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AB9E" w14:textId="0BAB5DBA" w:rsidR="001432D8" w:rsidRPr="00B34735" w:rsidRDefault="001432D8" w:rsidP="00C33BBA">
      <w:pPr>
        <w:pStyle w:val="Heading1"/>
        <w:widowControl w:val="0"/>
        <w:autoSpaceDE/>
        <w:autoSpaceDN/>
        <w:adjustRightInd/>
        <w:spacing w:line="480" w:lineRule="auto"/>
        <w:rPr>
          <w:sz w:val="24"/>
        </w:rPr>
      </w:pPr>
      <w:bookmarkStart w:id="0" w:name="_GoBack"/>
      <w:bookmarkEnd w:id="0"/>
      <w:r w:rsidRPr="00B34735">
        <w:rPr>
          <w:sz w:val="24"/>
        </w:rPr>
        <w:t xml:space="preserve">Health </w:t>
      </w:r>
      <w:r w:rsidR="00CC62FB">
        <w:rPr>
          <w:sz w:val="24"/>
        </w:rPr>
        <w:t>and Employment after Fifty</w:t>
      </w:r>
      <w:r w:rsidR="00AC2D46" w:rsidRPr="00B34735">
        <w:rPr>
          <w:sz w:val="24"/>
        </w:rPr>
        <w:t xml:space="preserve"> (HEAF)</w:t>
      </w:r>
      <w:r w:rsidR="00B3286F" w:rsidRPr="00B34735">
        <w:rPr>
          <w:sz w:val="24"/>
        </w:rPr>
        <w:t xml:space="preserve">: </w:t>
      </w:r>
      <w:r w:rsidR="00740D10">
        <w:rPr>
          <w:sz w:val="24"/>
        </w:rPr>
        <w:t xml:space="preserve">a new </w:t>
      </w:r>
      <w:r w:rsidR="00CC62FB">
        <w:rPr>
          <w:sz w:val="24"/>
        </w:rPr>
        <w:t xml:space="preserve">prospective </w:t>
      </w:r>
      <w:r w:rsidR="00740D10">
        <w:rPr>
          <w:sz w:val="24"/>
        </w:rPr>
        <w:t>cohort</w:t>
      </w:r>
      <w:r w:rsidR="00CC62FB">
        <w:rPr>
          <w:sz w:val="24"/>
        </w:rPr>
        <w:t xml:space="preserve"> study</w:t>
      </w:r>
    </w:p>
    <w:p w14:paraId="20819DA9" w14:textId="77777777" w:rsidR="00932DB7" w:rsidRDefault="00932DB7" w:rsidP="00C33BBA">
      <w:pPr>
        <w:spacing w:line="480" w:lineRule="auto"/>
      </w:pPr>
    </w:p>
    <w:p w14:paraId="278A2706" w14:textId="1D32B6E5" w:rsidR="00932DB7" w:rsidRPr="003E4A25" w:rsidRDefault="00932DB7" w:rsidP="00C33BBA">
      <w:pPr>
        <w:spacing w:line="480" w:lineRule="auto"/>
      </w:pPr>
      <w:r>
        <w:t>Professor Keith T Palmer, Professor of Occupational Medicine</w:t>
      </w:r>
      <w:r>
        <w:rPr>
          <w:vertAlign w:val="superscript"/>
        </w:rPr>
        <w:t>1,2</w:t>
      </w:r>
      <w:r w:rsidR="003E4A25">
        <w:rPr>
          <w:vertAlign w:val="superscript"/>
        </w:rPr>
        <w:t xml:space="preserve"> </w:t>
      </w:r>
      <w:r w:rsidR="003E4A25">
        <w:t xml:space="preserve"> </w:t>
      </w:r>
      <w:r w:rsidR="003E4A25">
        <w:tab/>
        <w:t>ktp@mrc.soton.ac.uk</w:t>
      </w:r>
    </w:p>
    <w:p w14:paraId="7A07E7B8" w14:textId="55349FB2" w:rsidR="00932DB7" w:rsidRPr="003E4A25" w:rsidRDefault="00932DB7" w:rsidP="00C33BBA">
      <w:pPr>
        <w:spacing w:line="480" w:lineRule="auto"/>
      </w:pPr>
      <w:r>
        <w:t xml:space="preserve">Dr Karen Walker-Bone, </w:t>
      </w:r>
      <w:r w:rsidR="00BB3D80">
        <w:t>Associate Professor</w:t>
      </w:r>
      <w:r>
        <w:t>, Occupational Rheumatology</w:t>
      </w:r>
      <w:r>
        <w:rPr>
          <w:vertAlign w:val="superscript"/>
        </w:rPr>
        <w:t>1,2</w:t>
      </w:r>
      <w:r w:rsidR="00BB3D80">
        <w:t xml:space="preserve"> </w:t>
      </w:r>
      <w:r w:rsidR="003E4A25">
        <w:t>kwb@mrc.soton.ac.uk</w:t>
      </w:r>
    </w:p>
    <w:p w14:paraId="1AA13152" w14:textId="7CF41CFF" w:rsidR="004D0951" w:rsidRPr="003E4A25" w:rsidRDefault="004D0951" w:rsidP="00C33BBA">
      <w:pPr>
        <w:spacing w:line="480" w:lineRule="auto"/>
      </w:pPr>
      <w:r w:rsidRPr="004D0951">
        <w:t xml:space="preserve">Dr </w:t>
      </w:r>
      <w:r w:rsidR="00EE2D62">
        <w:t xml:space="preserve">E </w:t>
      </w:r>
      <w:r w:rsidRPr="004D0951">
        <w:t>C</w:t>
      </w:r>
      <w:r>
        <w:t xml:space="preserve">lare Harris, </w:t>
      </w:r>
      <w:r w:rsidR="009B2E64">
        <w:t>Research Fellow</w:t>
      </w:r>
      <w:r w:rsidR="009B2E64">
        <w:rPr>
          <w:vertAlign w:val="superscript"/>
        </w:rPr>
        <w:t>1,2</w:t>
      </w:r>
      <w:r w:rsidR="003E4A25">
        <w:rPr>
          <w:vertAlign w:val="superscript"/>
        </w:rPr>
        <w:tab/>
      </w:r>
      <w:r w:rsidR="003E4A25">
        <w:t>ech@mrc.soton.ac.uk</w:t>
      </w:r>
    </w:p>
    <w:p w14:paraId="2686405E" w14:textId="38D6213A" w:rsidR="004D0951" w:rsidRPr="003E4A25" w:rsidRDefault="004D0951" w:rsidP="00C33BBA">
      <w:pPr>
        <w:spacing w:line="480" w:lineRule="auto"/>
      </w:pPr>
      <w:r>
        <w:t xml:space="preserve">Dr Cathy Linaker, </w:t>
      </w:r>
      <w:r w:rsidR="009B2E64">
        <w:t>Research Nurse</w:t>
      </w:r>
      <w:r w:rsidR="009B2E64">
        <w:rPr>
          <w:vertAlign w:val="superscript"/>
        </w:rPr>
        <w:t>1,2</w:t>
      </w:r>
      <w:r w:rsidR="003E4A25">
        <w:tab/>
      </w:r>
      <w:r w:rsidR="003E4A25">
        <w:tab/>
        <w:t>chl@mrc.soton.ac.uk</w:t>
      </w:r>
    </w:p>
    <w:p w14:paraId="437DC26B" w14:textId="3BD03A99" w:rsidR="001D537D" w:rsidRPr="003E4A25" w:rsidRDefault="001D537D" w:rsidP="00C33BBA">
      <w:pPr>
        <w:spacing w:line="480" w:lineRule="auto"/>
      </w:pPr>
      <w:r>
        <w:t>Stefania D’Angelo, Statistician</w:t>
      </w:r>
      <w:r>
        <w:rPr>
          <w:vertAlign w:val="superscript"/>
        </w:rPr>
        <w:t>1,2</w:t>
      </w:r>
      <w:r w:rsidR="003E4A25">
        <w:tab/>
        <w:t>sd@mrc.soton.ac.uk</w:t>
      </w:r>
    </w:p>
    <w:p w14:paraId="1A443BF1" w14:textId="607CFE65" w:rsidR="00932DB7" w:rsidRPr="003E4A25" w:rsidRDefault="00932DB7" w:rsidP="00C33BBA">
      <w:pPr>
        <w:spacing w:line="480" w:lineRule="auto"/>
      </w:pPr>
      <w:r>
        <w:t>Professor Avan Aihie Sayer, Professor of Geriatric Medicine</w:t>
      </w:r>
      <w:r>
        <w:rPr>
          <w:vertAlign w:val="superscript"/>
        </w:rPr>
        <w:t>1</w:t>
      </w:r>
      <w:r w:rsidR="00A316CC">
        <w:rPr>
          <w:vertAlign w:val="superscript"/>
        </w:rPr>
        <w:t>,3,4,5,6</w:t>
      </w:r>
      <w:r w:rsidR="003E4A25">
        <w:tab/>
        <w:t xml:space="preserve"> aas@mrc.soton.ac.uk</w:t>
      </w:r>
    </w:p>
    <w:p w14:paraId="5E0630FB" w14:textId="2A1A8D86" w:rsidR="00932DB7" w:rsidRPr="003E4A25" w:rsidRDefault="005322F3" w:rsidP="00C33BBA">
      <w:pPr>
        <w:spacing w:line="480" w:lineRule="auto"/>
      </w:pPr>
      <w:r>
        <w:t>Professor</w:t>
      </w:r>
      <w:r w:rsidR="00932DB7">
        <w:t xml:space="preserve"> Catharine </w:t>
      </w:r>
      <w:r w:rsidR="00D17EA6">
        <w:t xml:space="preserve">R </w:t>
      </w:r>
      <w:r w:rsidR="00932DB7">
        <w:t xml:space="preserve">Gale, </w:t>
      </w:r>
      <w:r>
        <w:t xml:space="preserve">Professor of </w:t>
      </w:r>
      <w:r w:rsidR="00750CA7" w:rsidRPr="00750CA7">
        <w:t>Cognitive Epidemiology</w:t>
      </w:r>
      <w:r w:rsidR="00932DB7">
        <w:rPr>
          <w:vertAlign w:val="superscript"/>
        </w:rPr>
        <w:t>1</w:t>
      </w:r>
      <w:r w:rsidR="003E4A25">
        <w:tab/>
        <w:t>crg@mrc.soton.ac.uk</w:t>
      </w:r>
    </w:p>
    <w:p w14:paraId="30A8C836" w14:textId="168E821F" w:rsidR="00932DB7" w:rsidRPr="003E4A25" w:rsidRDefault="00932DB7" w:rsidP="00C33BBA">
      <w:pPr>
        <w:spacing w:line="480" w:lineRule="auto"/>
      </w:pPr>
      <w:r>
        <w:t xml:space="preserve">Professor Maria Evandrou, </w:t>
      </w:r>
      <w:r w:rsidRPr="00932DB7">
        <w:t>Professor of Gerontology</w:t>
      </w:r>
      <w:r>
        <w:rPr>
          <w:vertAlign w:val="superscript"/>
        </w:rPr>
        <w:t>3</w:t>
      </w:r>
      <w:r w:rsidR="003E4A25">
        <w:t xml:space="preserve"> </w:t>
      </w:r>
      <w:r w:rsidR="003E4A25" w:rsidRPr="003E4A25">
        <w:t>Maria.evandrou@soton.ac.uk</w:t>
      </w:r>
    </w:p>
    <w:p w14:paraId="5615940F" w14:textId="5FFB84FC" w:rsidR="00932DB7" w:rsidRPr="003E4A25" w:rsidRDefault="00932DB7" w:rsidP="00C33BBA">
      <w:pPr>
        <w:spacing w:line="480" w:lineRule="auto"/>
      </w:pPr>
      <w:r>
        <w:t>Professor Tjeerd van Staa, Professor of Health eResearch</w:t>
      </w:r>
      <w:r w:rsidR="00A316CC">
        <w:rPr>
          <w:vertAlign w:val="superscript"/>
        </w:rPr>
        <w:t>6</w:t>
      </w:r>
      <w:r w:rsidR="003E4A25">
        <w:rPr>
          <w:vertAlign w:val="superscript"/>
        </w:rPr>
        <w:tab/>
      </w:r>
      <w:r w:rsidR="003E4A25" w:rsidRPr="003E4A25">
        <w:t>tjeerd.vanstaa@manchester.ac.uk</w:t>
      </w:r>
    </w:p>
    <w:p w14:paraId="78B2D2BE" w14:textId="0CE5C4A9" w:rsidR="001432D8" w:rsidRPr="003E4A25" w:rsidRDefault="00932DB7" w:rsidP="00C33BBA">
      <w:pPr>
        <w:spacing w:line="480" w:lineRule="auto"/>
      </w:pPr>
      <w:r w:rsidRPr="00932DB7">
        <w:t>Professor Cyrus Cooper</w:t>
      </w:r>
      <w:r>
        <w:t>, Professor of Rheumatology</w:t>
      </w:r>
      <w:r>
        <w:rPr>
          <w:vertAlign w:val="superscript"/>
        </w:rPr>
        <w:t xml:space="preserve"> 1,2</w:t>
      </w:r>
      <w:r w:rsidR="003E4A25">
        <w:rPr>
          <w:vertAlign w:val="superscript"/>
        </w:rPr>
        <w:tab/>
      </w:r>
      <w:r w:rsidR="003E4A25">
        <w:t>cc@mrc.soton.ac.uk</w:t>
      </w:r>
    </w:p>
    <w:p w14:paraId="5D6EA66E" w14:textId="65B6400A" w:rsidR="00932DB7" w:rsidRPr="00932DB7" w:rsidRDefault="00932DB7" w:rsidP="00C33BBA">
      <w:pPr>
        <w:spacing w:line="480" w:lineRule="auto"/>
        <w:rPr>
          <w:vertAlign w:val="superscript"/>
        </w:rPr>
      </w:pPr>
      <w:r>
        <w:t>Professor David Coggon,</w:t>
      </w:r>
      <w:r w:rsidRPr="00932DB7">
        <w:t xml:space="preserve"> </w:t>
      </w:r>
      <w:r>
        <w:t>Professor of Occupational and Environmental Medicine</w:t>
      </w:r>
      <w:r>
        <w:rPr>
          <w:vertAlign w:val="superscript"/>
        </w:rPr>
        <w:t>1,2</w:t>
      </w:r>
      <w:r w:rsidR="003E4A25">
        <w:rPr>
          <w:vertAlign w:val="superscript"/>
        </w:rPr>
        <w:t xml:space="preserve"> </w:t>
      </w:r>
      <w:r w:rsidR="003E4A25" w:rsidRPr="003E4A25">
        <w:t>dnc@mrc.soton.ac.uk</w:t>
      </w:r>
    </w:p>
    <w:p w14:paraId="5E944E15" w14:textId="77777777" w:rsidR="00932DB7" w:rsidRDefault="00932DB7" w:rsidP="00C33BBA">
      <w:pPr>
        <w:spacing w:line="480" w:lineRule="auto"/>
        <w:rPr>
          <w:rFonts w:ascii="Verdana" w:hAnsi="Verdana"/>
          <w:b/>
          <w:bCs/>
        </w:rPr>
      </w:pPr>
    </w:p>
    <w:p w14:paraId="55A58AC6" w14:textId="36E24EF8" w:rsidR="00932DB7" w:rsidRDefault="00932DB7" w:rsidP="00C33BBA">
      <w:pPr>
        <w:pStyle w:val="ListParagraph"/>
        <w:numPr>
          <w:ilvl w:val="0"/>
          <w:numId w:val="22"/>
        </w:numPr>
        <w:spacing w:line="480" w:lineRule="auto"/>
      </w:pPr>
      <w:r>
        <w:t>MRC Lifecourse Epidemiology Unit, University of Southampton</w:t>
      </w:r>
    </w:p>
    <w:p w14:paraId="3E5DA92A" w14:textId="73B38490" w:rsidR="00932DB7" w:rsidRDefault="00932DB7" w:rsidP="00C33BBA">
      <w:pPr>
        <w:pStyle w:val="ListParagraph"/>
        <w:numPr>
          <w:ilvl w:val="0"/>
          <w:numId w:val="22"/>
        </w:numPr>
        <w:spacing w:line="480" w:lineRule="auto"/>
      </w:pPr>
      <w:r>
        <w:t>ARUK-MRC Centre for Musculoskeletal Health and Work, University of Southampton</w:t>
      </w:r>
    </w:p>
    <w:p w14:paraId="48F173AF" w14:textId="1F074F72" w:rsidR="00932DB7" w:rsidRDefault="00932DB7" w:rsidP="00C33BBA">
      <w:pPr>
        <w:pStyle w:val="ListParagraph"/>
        <w:numPr>
          <w:ilvl w:val="0"/>
          <w:numId w:val="22"/>
        </w:numPr>
        <w:spacing w:line="480" w:lineRule="auto"/>
      </w:pPr>
      <w:r w:rsidRPr="00932DB7">
        <w:t>Centre for Research on Ageing</w:t>
      </w:r>
      <w:r>
        <w:t>, University of Southampton</w:t>
      </w:r>
    </w:p>
    <w:p w14:paraId="4A7C6076" w14:textId="77777777" w:rsidR="00A316CC" w:rsidRDefault="00A316CC" w:rsidP="00C33BBA">
      <w:pPr>
        <w:pStyle w:val="ListParagraph"/>
        <w:numPr>
          <w:ilvl w:val="0"/>
          <w:numId w:val="22"/>
        </w:numPr>
        <w:spacing w:line="480" w:lineRule="auto"/>
      </w:pPr>
      <w:r>
        <w:t>Academic Geriatric Medicine, Faculty of Medicine, University of Southampton</w:t>
      </w:r>
    </w:p>
    <w:p w14:paraId="208D7BBE" w14:textId="1E4DE8B1" w:rsidR="00A316CC" w:rsidRDefault="00A316CC" w:rsidP="00C33BBA">
      <w:pPr>
        <w:pStyle w:val="ListParagraph"/>
        <w:numPr>
          <w:ilvl w:val="0"/>
          <w:numId w:val="22"/>
        </w:numPr>
        <w:spacing w:line="480" w:lineRule="auto"/>
      </w:pPr>
      <w:r>
        <w:t xml:space="preserve">NIHR Southampton Biomedical Research Centre, University of Southampton and University Hospital Southampton NHS Foundation Trust </w:t>
      </w:r>
    </w:p>
    <w:p w14:paraId="6ED0D893" w14:textId="77777777" w:rsidR="00A316CC" w:rsidRDefault="00A316CC" w:rsidP="00C33BBA">
      <w:pPr>
        <w:pStyle w:val="ListParagraph"/>
        <w:numPr>
          <w:ilvl w:val="0"/>
          <w:numId w:val="22"/>
        </w:numPr>
        <w:spacing w:line="480" w:lineRule="auto"/>
      </w:pPr>
      <w:r>
        <w:t>NIHR Collaboration for Leadership in Applied Health Research and Care: Wessex</w:t>
      </w:r>
    </w:p>
    <w:p w14:paraId="31E80D40" w14:textId="3036A018" w:rsidR="00A316CC" w:rsidRDefault="00A316CC" w:rsidP="00C33BBA">
      <w:pPr>
        <w:pStyle w:val="ListParagraph"/>
        <w:numPr>
          <w:ilvl w:val="0"/>
          <w:numId w:val="22"/>
        </w:numPr>
        <w:spacing w:line="480" w:lineRule="auto"/>
      </w:pPr>
      <w:r>
        <w:lastRenderedPageBreak/>
        <w:t>Newcastle University Institute for Ageing and Institute of Health &amp; Society, Newcastle University</w:t>
      </w:r>
    </w:p>
    <w:p w14:paraId="1D402D8C" w14:textId="77777777" w:rsidR="009B0EF1" w:rsidRDefault="00932DB7" w:rsidP="00C33BBA">
      <w:pPr>
        <w:pStyle w:val="ListParagraph"/>
        <w:numPr>
          <w:ilvl w:val="0"/>
          <w:numId w:val="22"/>
        </w:numPr>
        <w:spacing w:line="480" w:lineRule="auto"/>
      </w:pPr>
      <w:r w:rsidRPr="00932DB7">
        <w:t>Farr Institute, University of Manchester</w:t>
      </w:r>
    </w:p>
    <w:p w14:paraId="69BE32BB" w14:textId="77777777" w:rsidR="00B34735" w:rsidRDefault="00B34735" w:rsidP="00C33BBA">
      <w:pPr>
        <w:spacing w:line="480" w:lineRule="auto"/>
      </w:pPr>
    </w:p>
    <w:p w14:paraId="40AD26C5" w14:textId="13C03A31" w:rsidR="00B34735" w:rsidRDefault="00B34735" w:rsidP="00C33BBA">
      <w:pPr>
        <w:spacing w:line="480" w:lineRule="auto"/>
      </w:pPr>
      <w:r>
        <w:t>Correspondence to: Professor Keith Palmer, Medical Research Council Lifecourse Epidemiology Unit, University of Southampton, Southampton General Hospital, Southampton SO16 6YD, UK</w:t>
      </w:r>
    </w:p>
    <w:p w14:paraId="6152B91F" w14:textId="77777777" w:rsidR="00B34735" w:rsidRDefault="00B34735" w:rsidP="00C33BBA">
      <w:pPr>
        <w:spacing w:line="480" w:lineRule="auto"/>
      </w:pPr>
      <w:r>
        <w:t xml:space="preserve">Tel: (023) 80777624, Fax no: (023) 80704021 </w:t>
      </w:r>
    </w:p>
    <w:p w14:paraId="6562BACD" w14:textId="22F6DFB0" w:rsidR="00932DB7" w:rsidRPr="00932DB7" w:rsidRDefault="00B34735" w:rsidP="00C33BBA">
      <w:pPr>
        <w:spacing w:line="480" w:lineRule="auto"/>
      </w:pPr>
      <w:r>
        <w:t>E-mail: ktp@mrc.soton.ac.uk</w:t>
      </w:r>
      <w:r w:rsidR="00932DB7">
        <w:br w:type="page"/>
      </w:r>
    </w:p>
    <w:p w14:paraId="7F4BB715" w14:textId="2D59B432" w:rsidR="001432D8" w:rsidRPr="009C0451" w:rsidRDefault="00F132A6" w:rsidP="00C33BBA">
      <w:pPr>
        <w:pStyle w:val="Heading1"/>
        <w:widowControl w:val="0"/>
        <w:autoSpaceDE/>
        <w:autoSpaceDN/>
        <w:adjustRightInd/>
        <w:spacing w:line="480" w:lineRule="auto"/>
        <w:rPr>
          <w:sz w:val="24"/>
        </w:rPr>
      </w:pPr>
      <w:r w:rsidRPr="009C0451">
        <w:rPr>
          <w:sz w:val="24"/>
        </w:rPr>
        <w:lastRenderedPageBreak/>
        <w:t>Abstract</w:t>
      </w:r>
    </w:p>
    <w:p w14:paraId="43503B38" w14:textId="77777777" w:rsidR="005276A3" w:rsidRPr="0020441E" w:rsidRDefault="005276A3" w:rsidP="00C33BBA">
      <w:pPr>
        <w:widowControl w:val="0"/>
        <w:spacing w:line="480" w:lineRule="auto"/>
        <w:rPr>
          <w:rFonts w:ascii="Verdana" w:hAnsi="Verdana"/>
          <w:b/>
          <w:bCs/>
          <w:sz w:val="20"/>
        </w:rPr>
      </w:pPr>
      <w:r w:rsidRPr="0020441E">
        <w:rPr>
          <w:rFonts w:ascii="Verdana" w:hAnsi="Verdana"/>
          <w:b/>
          <w:bCs/>
          <w:sz w:val="20"/>
        </w:rPr>
        <w:t>Background:</w:t>
      </w:r>
    </w:p>
    <w:p w14:paraId="16BBAEC5" w14:textId="0EF45CFE" w:rsidR="00CE1EFE" w:rsidRPr="00F75FDB" w:rsidRDefault="00CC62FB" w:rsidP="00C33BBA">
      <w:pPr>
        <w:widowControl w:val="0"/>
        <w:spacing w:line="480" w:lineRule="auto"/>
        <w:rPr>
          <w:rFonts w:ascii="Verdana" w:hAnsi="Verdana"/>
          <w:sz w:val="20"/>
        </w:rPr>
      </w:pPr>
      <w:r>
        <w:rPr>
          <w:rFonts w:ascii="Verdana" w:hAnsi="Verdana"/>
          <w:bCs/>
          <w:sz w:val="20"/>
        </w:rPr>
        <w:t xml:space="preserve">Demographic trends in developed </w:t>
      </w:r>
      <w:r w:rsidR="00F33A2F">
        <w:rPr>
          <w:rFonts w:ascii="Verdana" w:hAnsi="Verdana"/>
          <w:bCs/>
          <w:sz w:val="20"/>
        </w:rPr>
        <w:t>countries</w:t>
      </w:r>
      <w:r w:rsidR="001432D8">
        <w:rPr>
          <w:rFonts w:ascii="Verdana" w:hAnsi="Verdana"/>
          <w:bCs/>
          <w:sz w:val="20"/>
        </w:rPr>
        <w:t xml:space="preserve"> </w:t>
      </w:r>
      <w:r>
        <w:rPr>
          <w:rFonts w:ascii="Verdana" w:hAnsi="Verdana"/>
          <w:bCs/>
          <w:sz w:val="20"/>
        </w:rPr>
        <w:t>have</w:t>
      </w:r>
      <w:r w:rsidR="001432D8">
        <w:rPr>
          <w:rFonts w:ascii="Verdana" w:hAnsi="Verdana"/>
          <w:bCs/>
          <w:sz w:val="20"/>
        </w:rPr>
        <w:t xml:space="preserve"> prompted government</w:t>
      </w:r>
      <w:r w:rsidR="00F33A2F">
        <w:rPr>
          <w:rFonts w:ascii="Verdana" w:hAnsi="Verdana"/>
          <w:bCs/>
          <w:sz w:val="20"/>
        </w:rPr>
        <w:t>al</w:t>
      </w:r>
      <w:r w:rsidR="001432D8">
        <w:rPr>
          <w:rFonts w:ascii="Verdana" w:hAnsi="Verdana"/>
          <w:bCs/>
          <w:sz w:val="20"/>
        </w:rPr>
        <w:t xml:space="preserve"> policies aimed at extending working lives. However, working beyond the traditional retirement age may not be feasible for those with major health problems of ageing, and depending on occupational and personal circumstances, might be either good or bad for health</w:t>
      </w:r>
      <w:r w:rsidR="00CE1EFE" w:rsidRPr="00F75FDB">
        <w:rPr>
          <w:rFonts w:ascii="Verdana" w:hAnsi="Verdana"/>
          <w:sz w:val="20"/>
        </w:rPr>
        <w:t>.</w:t>
      </w:r>
      <w:r>
        <w:rPr>
          <w:rFonts w:ascii="Verdana" w:hAnsi="Verdana"/>
          <w:sz w:val="20"/>
        </w:rPr>
        <w:t xml:space="preserve"> To address these uncertainties, we have initiated a new longitudinal study.</w:t>
      </w:r>
    </w:p>
    <w:p w14:paraId="392C8512" w14:textId="77777777" w:rsidR="001432D8" w:rsidRDefault="001432D8" w:rsidP="00C33BBA">
      <w:pPr>
        <w:widowControl w:val="0"/>
        <w:spacing w:line="480" w:lineRule="auto"/>
        <w:rPr>
          <w:rFonts w:ascii="Verdana" w:hAnsi="Verdana"/>
          <w:bCs/>
          <w:sz w:val="20"/>
        </w:rPr>
      </w:pPr>
    </w:p>
    <w:p w14:paraId="311FD1AF" w14:textId="7461FBDE" w:rsidR="005276A3" w:rsidRPr="0020441E" w:rsidRDefault="005276A3" w:rsidP="00C33BBA">
      <w:pPr>
        <w:widowControl w:val="0"/>
        <w:spacing w:line="480" w:lineRule="auto"/>
        <w:rPr>
          <w:rFonts w:ascii="Verdana" w:hAnsi="Verdana"/>
          <w:b/>
          <w:bCs/>
          <w:sz w:val="20"/>
        </w:rPr>
      </w:pPr>
      <w:r w:rsidRPr="0020441E">
        <w:rPr>
          <w:rFonts w:ascii="Verdana" w:hAnsi="Verdana"/>
          <w:b/>
          <w:bCs/>
          <w:sz w:val="20"/>
        </w:rPr>
        <w:t>Methods/design</w:t>
      </w:r>
      <w:r w:rsidR="0020441E" w:rsidRPr="0020441E">
        <w:rPr>
          <w:rFonts w:ascii="Verdana" w:hAnsi="Verdana"/>
          <w:b/>
          <w:bCs/>
          <w:sz w:val="20"/>
        </w:rPr>
        <w:t>:</w:t>
      </w:r>
    </w:p>
    <w:p w14:paraId="7BF9E4A5" w14:textId="4FDEA437" w:rsidR="001432D8" w:rsidRDefault="001432D8" w:rsidP="00C33BBA">
      <w:pPr>
        <w:widowControl w:val="0"/>
        <w:spacing w:line="480" w:lineRule="auto"/>
        <w:rPr>
          <w:rFonts w:ascii="Verdana" w:hAnsi="Verdana"/>
          <w:sz w:val="20"/>
        </w:rPr>
      </w:pPr>
      <w:r>
        <w:rPr>
          <w:rFonts w:ascii="Verdana" w:hAnsi="Verdana"/>
          <w:bCs/>
          <w:sz w:val="20"/>
        </w:rPr>
        <w:t xml:space="preserve">We </w:t>
      </w:r>
      <w:r>
        <w:rPr>
          <w:rFonts w:ascii="Verdana" w:hAnsi="Verdana"/>
          <w:sz w:val="20"/>
        </w:rPr>
        <w:t>recruit</w:t>
      </w:r>
      <w:r w:rsidR="008F5096">
        <w:rPr>
          <w:rFonts w:ascii="Verdana" w:hAnsi="Verdana"/>
          <w:sz w:val="20"/>
        </w:rPr>
        <w:t>ed some 8</w:t>
      </w:r>
      <w:r>
        <w:rPr>
          <w:rFonts w:ascii="Verdana" w:hAnsi="Verdana"/>
          <w:sz w:val="20"/>
        </w:rPr>
        <w:t xml:space="preserve">,000 </w:t>
      </w:r>
      <w:r w:rsidR="00AD6B48">
        <w:rPr>
          <w:rFonts w:ascii="Verdana" w:hAnsi="Verdana"/>
          <w:sz w:val="20"/>
        </w:rPr>
        <w:t xml:space="preserve">adults aged </w:t>
      </w:r>
      <w:r>
        <w:rPr>
          <w:rFonts w:ascii="Verdana" w:hAnsi="Verdana"/>
          <w:sz w:val="20"/>
        </w:rPr>
        <w:t xml:space="preserve">50-64 years from </w:t>
      </w:r>
      <w:r w:rsidR="008F5096">
        <w:rPr>
          <w:rFonts w:ascii="Verdana" w:hAnsi="Verdana"/>
          <w:sz w:val="20"/>
        </w:rPr>
        <w:t>24 British general</w:t>
      </w:r>
      <w:r w:rsidR="00211927">
        <w:rPr>
          <w:rFonts w:ascii="Verdana" w:hAnsi="Verdana"/>
          <w:sz w:val="20"/>
        </w:rPr>
        <w:t xml:space="preserve"> </w:t>
      </w:r>
      <w:r>
        <w:rPr>
          <w:rFonts w:ascii="Verdana" w:hAnsi="Verdana"/>
          <w:sz w:val="20"/>
        </w:rPr>
        <w:t>practices contributing to</w:t>
      </w:r>
      <w:r>
        <w:rPr>
          <w:rFonts w:ascii="Verdana" w:hAnsi="Verdana"/>
          <w:bCs/>
          <w:sz w:val="20"/>
        </w:rPr>
        <w:t xml:space="preserve"> the </w:t>
      </w:r>
      <w:r w:rsidR="007B434F">
        <w:rPr>
          <w:rFonts w:ascii="Verdana" w:hAnsi="Verdana"/>
          <w:bCs/>
          <w:sz w:val="20"/>
        </w:rPr>
        <w:t>Clinical</w:t>
      </w:r>
      <w:r>
        <w:rPr>
          <w:rFonts w:ascii="Verdana" w:hAnsi="Verdana"/>
          <w:bCs/>
          <w:sz w:val="20"/>
        </w:rPr>
        <w:t xml:space="preserve"> Practice Research Data</w:t>
      </w:r>
      <w:r w:rsidR="007B434F">
        <w:rPr>
          <w:rFonts w:ascii="Verdana" w:hAnsi="Verdana"/>
          <w:bCs/>
          <w:sz w:val="20"/>
        </w:rPr>
        <w:t>link (C</w:t>
      </w:r>
      <w:r>
        <w:rPr>
          <w:rFonts w:ascii="Verdana" w:hAnsi="Verdana"/>
          <w:bCs/>
          <w:sz w:val="20"/>
        </w:rPr>
        <w:t xml:space="preserve">PRD). </w:t>
      </w:r>
      <w:r>
        <w:rPr>
          <w:rFonts w:ascii="Verdana" w:hAnsi="Verdana"/>
          <w:sz w:val="20"/>
        </w:rPr>
        <w:t xml:space="preserve">Participants </w:t>
      </w:r>
      <w:r w:rsidR="0020441E">
        <w:rPr>
          <w:rFonts w:ascii="Verdana" w:hAnsi="Verdana"/>
          <w:sz w:val="20"/>
        </w:rPr>
        <w:t xml:space="preserve">have </w:t>
      </w:r>
      <w:r w:rsidR="008F5096">
        <w:rPr>
          <w:rFonts w:ascii="Verdana" w:hAnsi="Verdana"/>
          <w:sz w:val="20"/>
        </w:rPr>
        <w:t>complet</w:t>
      </w:r>
      <w:r w:rsidR="00D66498">
        <w:rPr>
          <w:rFonts w:ascii="Verdana" w:hAnsi="Verdana"/>
          <w:sz w:val="20"/>
        </w:rPr>
        <w:t>ed</w:t>
      </w:r>
      <w:r>
        <w:rPr>
          <w:rFonts w:ascii="Verdana" w:hAnsi="Verdana"/>
          <w:sz w:val="20"/>
        </w:rPr>
        <w:t xml:space="preserve"> </w:t>
      </w:r>
      <w:r w:rsidR="005844FA">
        <w:rPr>
          <w:rFonts w:ascii="Verdana" w:hAnsi="Verdana"/>
          <w:sz w:val="20"/>
        </w:rPr>
        <w:t>questionnaires about th</w:t>
      </w:r>
      <w:r w:rsidR="00D66498">
        <w:rPr>
          <w:rFonts w:ascii="Verdana" w:hAnsi="Verdana"/>
          <w:sz w:val="20"/>
        </w:rPr>
        <w:t>eir work and home circumstances</w:t>
      </w:r>
      <w:r w:rsidR="005844FA">
        <w:rPr>
          <w:rFonts w:ascii="Verdana" w:hAnsi="Verdana"/>
          <w:sz w:val="20"/>
        </w:rPr>
        <w:t xml:space="preserve"> at </w:t>
      </w:r>
      <w:r w:rsidR="00AD6B48">
        <w:rPr>
          <w:rFonts w:ascii="Verdana" w:hAnsi="Verdana"/>
          <w:sz w:val="20"/>
        </w:rPr>
        <w:t>baseline</w:t>
      </w:r>
      <w:r w:rsidR="00CC62FB">
        <w:rPr>
          <w:rFonts w:ascii="Verdana" w:hAnsi="Verdana"/>
          <w:sz w:val="20"/>
        </w:rPr>
        <w:t>,</w:t>
      </w:r>
      <w:r w:rsidR="005844FA">
        <w:rPr>
          <w:rFonts w:ascii="Verdana" w:hAnsi="Verdana"/>
          <w:sz w:val="20"/>
        </w:rPr>
        <w:t xml:space="preserve"> and</w:t>
      </w:r>
      <w:r w:rsidR="00AD6B48">
        <w:rPr>
          <w:rFonts w:ascii="Verdana" w:hAnsi="Verdana"/>
          <w:sz w:val="20"/>
        </w:rPr>
        <w:t xml:space="preserve"> </w:t>
      </w:r>
      <w:r w:rsidR="0020441E">
        <w:rPr>
          <w:rFonts w:ascii="Verdana" w:hAnsi="Verdana"/>
          <w:sz w:val="20"/>
        </w:rPr>
        <w:t>will do so</w:t>
      </w:r>
      <w:r w:rsidR="00740D10">
        <w:rPr>
          <w:rFonts w:ascii="Verdana" w:hAnsi="Verdana"/>
          <w:sz w:val="20"/>
        </w:rPr>
        <w:t xml:space="preserve"> regularly </w:t>
      </w:r>
      <w:r w:rsidR="005844FA">
        <w:rPr>
          <w:rFonts w:ascii="Verdana" w:hAnsi="Verdana"/>
          <w:sz w:val="20"/>
        </w:rPr>
        <w:t>over</w:t>
      </w:r>
      <w:r w:rsidR="00AD6B48">
        <w:rPr>
          <w:rFonts w:ascii="Verdana" w:hAnsi="Verdana"/>
          <w:sz w:val="20"/>
        </w:rPr>
        <w:t xml:space="preserve"> follow-up</w:t>
      </w:r>
      <w:r w:rsidR="005844FA">
        <w:rPr>
          <w:rFonts w:ascii="Verdana" w:hAnsi="Verdana"/>
          <w:sz w:val="20"/>
        </w:rPr>
        <w:t>,</w:t>
      </w:r>
      <w:r w:rsidR="00AD6B48">
        <w:rPr>
          <w:rFonts w:ascii="Verdana" w:hAnsi="Verdana"/>
          <w:sz w:val="20"/>
        </w:rPr>
        <w:t xml:space="preserve"> </w:t>
      </w:r>
      <w:r>
        <w:rPr>
          <w:rFonts w:ascii="Verdana" w:hAnsi="Verdana"/>
          <w:sz w:val="20"/>
        </w:rPr>
        <w:t xml:space="preserve">initially </w:t>
      </w:r>
      <w:r w:rsidR="005844FA">
        <w:rPr>
          <w:rFonts w:ascii="Verdana" w:hAnsi="Verdana"/>
          <w:sz w:val="20"/>
        </w:rPr>
        <w:t>for</w:t>
      </w:r>
      <w:r>
        <w:rPr>
          <w:rFonts w:ascii="Verdana" w:hAnsi="Verdana"/>
          <w:sz w:val="20"/>
        </w:rPr>
        <w:t xml:space="preserve"> a </w:t>
      </w:r>
      <w:r w:rsidR="008F5096">
        <w:rPr>
          <w:rFonts w:ascii="Verdana" w:hAnsi="Verdana"/>
          <w:sz w:val="20"/>
        </w:rPr>
        <w:t xml:space="preserve">5-year </w:t>
      </w:r>
      <w:r w:rsidR="005844FA">
        <w:rPr>
          <w:rFonts w:ascii="Verdana" w:hAnsi="Verdana"/>
          <w:sz w:val="20"/>
        </w:rPr>
        <w:t>period</w:t>
      </w:r>
      <w:r w:rsidR="008F5096">
        <w:rPr>
          <w:rFonts w:ascii="Verdana" w:hAnsi="Verdana"/>
          <w:sz w:val="20"/>
        </w:rPr>
        <w:t>. W</w:t>
      </w:r>
      <w:r>
        <w:rPr>
          <w:rFonts w:ascii="Verdana" w:hAnsi="Verdana"/>
          <w:sz w:val="20"/>
        </w:rPr>
        <w:t>ith their permission, we will ac</w:t>
      </w:r>
      <w:r w:rsidR="007B434F">
        <w:rPr>
          <w:rFonts w:ascii="Verdana" w:hAnsi="Verdana"/>
          <w:sz w:val="20"/>
        </w:rPr>
        <w:t xml:space="preserve">cess their </w:t>
      </w:r>
      <w:r w:rsidR="008F5096">
        <w:rPr>
          <w:rFonts w:ascii="Verdana" w:hAnsi="Verdana"/>
          <w:sz w:val="20"/>
        </w:rPr>
        <w:t xml:space="preserve">primary care </w:t>
      </w:r>
      <w:r w:rsidR="007B434F">
        <w:rPr>
          <w:rFonts w:ascii="Verdana" w:hAnsi="Verdana"/>
          <w:sz w:val="20"/>
        </w:rPr>
        <w:t xml:space="preserve">health </w:t>
      </w:r>
      <w:r w:rsidR="008F5096">
        <w:rPr>
          <w:rFonts w:ascii="Verdana" w:hAnsi="Verdana"/>
          <w:sz w:val="20"/>
        </w:rPr>
        <w:t>records</w:t>
      </w:r>
      <w:r w:rsidR="007B434F">
        <w:rPr>
          <w:rFonts w:ascii="Verdana" w:hAnsi="Verdana"/>
          <w:sz w:val="20"/>
        </w:rPr>
        <w:t xml:space="preserve"> via the C</w:t>
      </w:r>
      <w:r>
        <w:rPr>
          <w:rFonts w:ascii="Verdana" w:hAnsi="Verdana"/>
          <w:sz w:val="20"/>
        </w:rPr>
        <w:t xml:space="preserve">PRD.  The inter-relation of changes in employment (with reasons) and changes in health (e.g. major new illnesses, new treatments, mortality) will be examined. </w:t>
      </w:r>
    </w:p>
    <w:p w14:paraId="3CC5775E" w14:textId="77777777" w:rsidR="001432D8" w:rsidRDefault="001432D8" w:rsidP="00C33BBA">
      <w:pPr>
        <w:widowControl w:val="0"/>
        <w:spacing w:line="480" w:lineRule="auto"/>
        <w:rPr>
          <w:rFonts w:ascii="Verdana" w:hAnsi="Verdana"/>
          <w:sz w:val="20"/>
        </w:rPr>
      </w:pPr>
    </w:p>
    <w:p w14:paraId="6E0872A6" w14:textId="77777777" w:rsidR="0020441E" w:rsidRPr="0020441E" w:rsidRDefault="0020441E" w:rsidP="00C33BBA">
      <w:pPr>
        <w:widowControl w:val="0"/>
        <w:spacing w:line="480" w:lineRule="auto"/>
        <w:rPr>
          <w:rFonts w:ascii="Verdana" w:hAnsi="Verdana"/>
          <w:b/>
          <w:sz w:val="20"/>
        </w:rPr>
      </w:pPr>
      <w:r w:rsidRPr="0020441E">
        <w:rPr>
          <w:rFonts w:ascii="Verdana" w:hAnsi="Verdana"/>
          <w:b/>
          <w:sz w:val="20"/>
        </w:rPr>
        <w:t>Discussion:</w:t>
      </w:r>
    </w:p>
    <w:p w14:paraId="7E811A80" w14:textId="66D93056" w:rsidR="001432D8" w:rsidRDefault="007B434F" w:rsidP="00C33BBA">
      <w:pPr>
        <w:widowControl w:val="0"/>
        <w:spacing w:line="480" w:lineRule="auto"/>
        <w:rPr>
          <w:rFonts w:ascii="Verdana" w:hAnsi="Verdana"/>
          <w:sz w:val="20"/>
        </w:rPr>
      </w:pPr>
      <w:r>
        <w:rPr>
          <w:rFonts w:ascii="Verdana" w:hAnsi="Verdana"/>
          <w:sz w:val="20"/>
        </w:rPr>
        <w:t>C</w:t>
      </w:r>
      <w:r w:rsidR="001432D8">
        <w:rPr>
          <w:rFonts w:ascii="Verdana" w:hAnsi="Verdana"/>
          <w:sz w:val="20"/>
        </w:rPr>
        <w:t xml:space="preserve">PRD linkage </w:t>
      </w:r>
      <w:r w:rsidR="008F5096">
        <w:rPr>
          <w:rFonts w:ascii="Verdana" w:hAnsi="Verdana"/>
          <w:sz w:val="20"/>
        </w:rPr>
        <w:t>allows</w:t>
      </w:r>
      <w:r w:rsidR="001432D8">
        <w:rPr>
          <w:rFonts w:ascii="Verdana" w:hAnsi="Verdana"/>
          <w:sz w:val="20"/>
        </w:rPr>
        <w:t xml:space="preserve"> cost-effective </w:t>
      </w:r>
      <w:r w:rsidR="00740D10">
        <w:rPr>
          <w:rFonts w:ascii="Verdana" w:hAnsi="Verdana"/>
          <w:sz w:val="20"/>
        </w:rPr>
        <w:t xml:space="preserve">frequent </w:t>
      </w:r>
      <w:r w:rsidR="001432D8">
        <w:rPr>
          <w:rFonts w:ascii="Verdana" w:hAnsi="Verdana"/>
          <w:sz w:val="20"/>
        </w:rPr>
        <w:t>capture of</w:t>
      </w:r>
      <w:r w:rsidR="00740D10">
        <w:rPr>
          <w:rFonts w:ascii="Verdana" w:hAnsi="Verdana"/>
          <w:sz w:val="20"/>
        </w:rPr>
        <w:t xml:space="preserve"> detailed</w:t>
      </w:r>
      <w:r w:rsidR="001432D8">
        <w:rPr>
          <w:rFonts w:ascii="Verdana" w:hAnsi="Verdana"/>
          <w:sz w:val="20"/>
        </w:rPr>
        <w:t xml:space="preserve"> objective health data</w:t>
      </w:r>
      <w:r w:rsidR="0020441E">
        <w:rPr>
          <w:rFonts w:ascii="Verdana" w:hAnsi="Verdana"/>
          <w:sz w:val="20"/>
        </w:rPr>
        <w:t xml:space="preserve"> with which</w:t>
      </w:r>
      <w:r w:rsidR="001432D8">
        <w:rPr>
          <w:rFonts w:ascii="Verdana" w:hAnsi="Verdana"/>
          <w:sz w:val="20"/>
        </w:rPr>
        <w:t xml:space="preserve"> to examine the impact of health on work at older ages and of work on health. Findings </w:t>
      </w:r>
      <w:r w:rsidR="008F5096">
        <w:rPr>
          <w:rFonts w:ascii="Verdana" w:hAnsi="Verdana"/>
          <w:sz w:val="20"/>
        </w:rPr>
        <w:t>will</w:t>
      </w:r>
      <w:r w:rsidR="001432D8">
        <w:rPr>
          <w:rFonts w:ascii="Verdana" w:hAnsi="Verdana"/>
          <w:sz w:val="20"/>
        </w:rPr>
        <w:t xml:space="preserve"> inform government policy and </w:t>
      </w:r>
      <w:r w:rsidR="00CE1EFE">
        <w:rPr>
          <w:rFonts w:ascii="Verdana" w:hAnsi="Verdana"/>
          <w:sz w:val="20"/>
        </w:rPr>
        <w:t>also</w:t>
      </w:r>
      <w:r w:rsidR="008F5096">
        <w:rPr>
          <w:rFonts w:ascii="Verdana" w:hAnsi="Verdana"/>
          <w:sz w:val="20"/>
        </w:rPr>
        <w:t xml:space="preserve"> </w:t>
      </w:r>
      <w:r w:rsidR="001432D8">
        <w:rPr>
          <w:rFonts w:ascii="Verdana" w:hAnsi="Verdana"/>
          <w:sz w:val="20"/>
        </w:rPr>
        <w:t>the design of work for older people</w:t>
      </w:r>
      <w:r w:rsidR="008F5096">
        <w:rPr>
          <w:rFonts w:ascii="Verdana" w:hAnsi="Verdana"/>
          <w:sz w:val="20"/>
        </w:rPr>
        <w:t xml:space="preserve"> and the measures needed to support employment in later life</w:t>
      </w:r>
      <w:r w:rsidR="00CE1EFE">
        <w:rPr>
          <w:rFonts w:ascii="Verdana" w:hAnsi="Verdana"/>
          <w:sz w:val="20"/>
        </w:rPr>
        <w:t>, especially for those with health limitations</w:t>
      </w:r>
      <w:r w:rsidR="001432D8">
        <w:rPr>
          <w:rFonts w:ascii="Verdana" w:hAnsi="Verdana"/>
          <w:sz w:val="20"/>
        </w:rPr>
        <w:t>.</w:t>
      </w:r>
    </w:p>
    <w:p w14:paraId="39E29A09" w14:textId="77777777" w:rsidR="001432D8" w:rsidRDefault="001432D8" w:rsidP="00C33BBA">
      <w:pPr>
        <w:widowControl w:val="0"/>
        <w:spacing w:line="480" w:lineRule="auto"/>
        <w:rPr>
          <w:rFonts w:ascii="Verdana" w:hAnsi="Verdana"/>
          <w:sz w:val="20"/>
        </w:rPr>
      </w:pPr>
    </w:p>
    <w:p w14:paraId="453C16B9" w14:textId="77777777" w:rsidR="001432D8" w:rsidRDefault="001432D8" w:rsidP="00C33BBA">
      <w:pPr>
        <w:widowControl w:val="0"/>
        <w:spacing w:line="480" w:lineRule="auto"/>
        <w:rPr>
          <w:rFonts w:ascii="Verdana" w:hAnsi="Verdana"/>
          <w:sz w:val="20"/>
        </w:rPr>
      </w:pPr>
    </w:p>
    <w:p w14:paraId="02B29850" w14:textId="77777777" w:rsidR="00055AE1" w:rsidRDefault="00055AE1" w:rsidP="00C33BBA">
      <w:pPr>
        <w:widowControl w:val="0"/>
        <w:spacing w:line="480" w:lineRule="auto"/>
        <w:rPr>
          <w:rFonts w:ascii="Verdana" w:hAnsi="Verdana"/>
          <w:b/>
          <w:sz w:val="20"/>
        </w:rPr>
      </w:pPr>
      <w:r>
        <w:rPr>
          <w:rFonts w:ascii="Verdana" w:hAnsi="Verdana"/>
          <w:b/>
          <w:sz w:val="20"/>
        </w:rPr>
        <w:t>Key words</w:t>
      </w:r>
    </w:p>
    <w:p w14:paraId="1A67EEA7" w14:textId="18127726" w:rsidR="00055AE1" w:rsidRDefault="00055AE1" w:rsidP="00C33BBA">
      <w:pPr>
        <w:widowControl w:val="0"/>
        <w:spacing w:line="480" w:lineRule="auto"/>
        <w:rPr>
          <w:rFonts w:ascii="Verdana" w:hAnsi="Verdana"/>
          <w:sz w:val="20"/>
        </w:rPr>
      </w:pPr>
      <w:r>
        <w:rPr>
          <w:rFonts w:ascii="Verdana" w:hAnsi="Verdana"/>
          <w:sz w:val="20"/>
        </w:rPr>
        <w:t>Ageing population, older worker, retirement, CPRD</w:t>
      </w:r>
    </w:p>
    <w:p w14:paraId="2D408DAD" w14:textId="203B4EA4" w:rsidR="00F132A6" w:rsidRDefault="00F132A6" w:rsidP="00C33BBA">
      <w:pPr>
        <w:widowControl w:val="0"/>
        <w:spacing w:line="480" w:lineRule="auto"/>
        <w:rPr>
          <w:rFonts w:ascii="Verdana" w:hAnsi="Verdana"/>
          <w:b/>
          <w:sz w:val="20"/>
        </w:rPr>
      </w:pPr>
      <w:r>
        <w:rPr>
          <w:rFonts w:ascii="Verdana" w:hAnsi="Verdana"/>
          <w:b/>
          <w:sz w:val="20"/>
        </w:rPr>
        <w:br w:type="page"/>
      </w:r>
    </w:p>
    <w:p w14:paraId="2087F0DA" w14:textId="6C105C00" w:rsidR="001432D8" w:rsidRPr="000B37EE" w:rsidRDefault="0020441E" w:rsidP="00C33BBA">
      <w:pPr>
        <w:widowControl w:val="0"/>
        <w:spacing w:line="480" w:lineRule="auto"/>
        <w:rPr>
          <w:rFonts w:ascii="Verdana" w:hAnsi="Verdana"/>
          <w:b/>
          <w:bCs/>
        </w:rPr>
      </w:pPr>
      <w:r>
        <w:rPr>
          <w:rFonts w:ascii="Verdana" w:hAnsi="Verdana"/>
          <w:b/>
          <w:bCs/>
        </w:rPr>
        <w:lastRenderedPageBreak/>
        <w:t>Background</w:t>
      </w:r>
    </w:p>
    <w:p w14:paraId="1A2FAE38" w14:textId="07333CC4" w:rsidR="001432D8" w:rsidRPr="008F5096" w:rsidRDefault="001432D8" w:rsidP="00C33BBA">
      <w:pPr>
        <w:widowControl w:val="0"/>
        <w:spacing w:after="200" w:line="480" w:lineRule="auto"/>
        <w:rPr>
          <w:rFonts w:ascii="Verdana" w:eastAsia="Verdana" w:hAnsi="Verdana"/>
          <w:sz w:val="20"/>
          <w:szCs w:val="20"/>
        </w:rPr>
      </w:pPr>
      <w:r w:rsidRPr="00F76CB9">
        <w:rPr>
          <w:rFonts w:ascii="Verdana" w:hAnsi="Verdana"/>
          <w:sz w:val="20"/>
          <w:szCs w:val="20"/>
        </w:rPr>
        <w:t xml:space="preserve">During </w:t>
      </w:r>
      <w:r>
        <w:rPr>
          <w:rFonts w:ascii="Verdana" w:hAnsi="Verdana"/>
          <w:sz w:val="20"/>
          <w:szCs w:val="20"/>
        </w:rPr>
        <w:t xml:space="preserve">recent decades, </w:t>
      </w:r>
      <w:r w:rsidRPr="00F76CB9">
        <w:rPr>
          <w:rFonts w:ascii="Verdana" w:hAnsi="Verdana"/>
          <w:sz w:val="20"/>
          <w:szCs w:val="20"/>
        </w:rPr>
        <w:t xml:space="preserve">the proportion of </w:t>
      </w:r>
      <w:r w:rsidR="00AE712E">
        <w:rPr>
          <w:rFonts w:ascii="Verdana" w:hAnsi="Verdana"/>
          <w:sz w:val="20"/>
          <w:szCs w:val="20"/>
        </w:rPr>
        <w:t>people</w:t>
      </w:r>
      <w:r w:rsidR="008F5096">
        <w:rPr>
          <w:rFonts w:ascii="Verdana" w:eastAsia="Verdana" w:hAnsi="Verdana"/>
          <w:sz w:val="20"/>
          <w:szCs w:val="20"/>
        </w:rPr>
        <w:t xml:space="preserve"> in Western countries</w:t>
      </w:r>
      <w:r w:rsidR="008F5096" w:rsidRPr="008A3E79">
        <w:rPr>
          <w:rFonts w:ascii="Verdana" w:eastAsia="Verdana" w:hAnsi="Verdana"/>
          <w:sz w:val="20"/>
          <w:szCs w:val="20"/>
        </w:rPr>
        <w:t xml:space="preserve"> </w:t>
      </w:r>
      <w:r>
        <w:rPr>
          <w:rFonts w:ascii="Verdana" w:hAnsi="Verdana"/>
          <w:sz w:val="20"/>
          <w:szCs w:val="20"/>
        </w:rPr>
        <w:t xml:space="preserve">aged </w:t>
      </w:r>
      <w:r w:rsidRPr="00F76CB9">
        <w:rPr>
          <w:rFonts w:ascii="Verdana" w:hAnsi="Verdana"/>
          <w:sz w:val="20"/>
          <w:szCs w:val="20"/>
        </w:rPr>
        <w:t>50 year</w:t>
      </w:r>
      <w:r>
        <w:rPr>
          <w:rFonts w:ascii="Verdana" w:hAnsi="Verdana"/>
          <w:sz w:val="20"/>
          <w:szCs w:val="20"/>
        </w:rPr>
        <w:t>s</w:t>
      </w:r>
      <w:r w:rsidRPr="00F76CB9">
        <w:rPr>
          <w:rFonts w:ascii="Verdana" w:hAnsi="Verdana"/>
          <w:sz w:val="20"/>
          <w:szCs w:val="20"/>
        </w:rPr>
        <w:t xml:space="preserve"> </w:t>
      </w:r>
      <w:r>
        <w:rPr>
          <w:rFonts w:ascii="Verdana" w:hAnsi="Verdana"/>
          <w:sz w:val="20"/>
          <w:szCs w:val="20"/>
        </w:rPr>
        <w:t>or older</w:t>
      </w:r>
      <w:r w:rsidRPr="00F76CB9">
        <w:rPr>
          <w:rFonts w:ascii="Verdana" w:hAnsi="Verdana"/>
          <w:sz w:val="20"/>
          <w:szCs w:val="20"/>
        </w:rPr>
        <w:t xml:space="preserve"> </w:t>
      </w:r>
      <w:r>
        <w:rPr>
          <w:rFonts w:ascii="Verdana" w:hAnsi="Verdana"/>
          <w:sz w:val="20"/>
          <w:szCs w:val="20"/>
        </w:rPr>
        <w:t>has</w:t>
      </w:r>
      <w:r w:rsidRPr="00F76CB9">
        <w:rPr>
          <w:rFonts w:ascii="Verdana" w:hAnsi="Verdana"/>
          <w:sz w:val="20"/>
          <w:szCs w:val="20"/>
        </w:rPr>
        <w:t xml:space="preserve"> steadily grow</w:t>
      </w:r>
      <w:r>
        <w:rPr>
          <w:rFonts w:ascii="Verdana" w:hAnsi="Verdana"/>
          <w:sz w:val="20"/>
          <w:szCs w:val="20"/>
        </w:rPr>
        <w:t>n</w:t>
      </w:r>
      <w:r w:rsidR="00CC62FB">
        <w:rPr>
          <w:rFonts w:ascii="Verdana" w:hAnsi="Verdana"/>
          <w:sz w:val="20"/>
          <w:szCs w:val="20"/>
        </w:rPr>
        <w:t>, and by</w:t>
      </w:r>
      <w:r w:rsidR="008F5096" w:rsidRPr="008A3E79">
        <w:rPr>
          <w:rFonts w:ascii="Verdana" w:eastAsia="Verdana" w:hAnsi="Verdana"/>
          <w:sz w:val="20"/>
          <w:szCs w:val="20"/>
        </w:rPr>
        <w:t xml:space="preserve"> 2050, </w:t>
      </w:r>
      <w:r w:rsidR="008F5096">
        <w:rPr>
          <w:rFonts w:ascii="Verdana" w:eastAsia="Verdana" w:hAnsi="Verdana"/>
          <w:sz w:val="20"/>
          <w:szCs w:val="20"/>
        </w:rPr>
        <w:t xml:space="preserve">it is expected that </w:t>
      </w:r>
      <w:r w:rsidR="00AE712E">
        <w:rPr>
          <w:rFonts w:ascii="Verdana" w:eastAsia="Verdana" w:hAnsi="Verdana"/>
          <w:sz w:val="20"/>
          <w:szCs w:val="20"/>
        </w:rPr>
        <w:t xml:space="preserve">about </w:t>
      </w:r>
      <w:r w:rsidR="008F5096" w:rsidRPr="008A3E79">
        <w:rPr>
          <w:rFonts w:ascii="Verdana" w:eastAsia="Verdana" w:hAnsi="Verdana"/>
          <w:sz w:val="20"/>
          <w:szCs w:val="20"/>
        </w:rPr>
        <w:t xml:space="preserve">30% of </w:t>
      </w:r>
      <w:r w:rsidR="00AD6B48">
        <w:rPr>
          <w:rFonts w:ascii="Verdana" w:eastAsia="Verdana" w:hAnsi="Verdana"/>
          <w:sz w:val="20"/>
          <w:szCs w:val="20"/>
        </w:rPr>
        <w:t xml:space="preserve">the </w:t>
      </w:r>
      <w:r w:rsidR="008F5096" w:rsidRPr="008A3E79">
        <w:rPr>
          <w:rFonts w:ascii="Verdana" w:eastAsia="Verdana" w:hAnsi="Verdana"/>
          <w:sz w:val="20"/>
          <w:szCs w:val="20"/>
        </w:rPr>
        <w:t>European</w:t>
      </w:r>
      <w:r w:rsidR="008F5096">
        <w:rPr>
          <w:rFonts w:ascii="Verdana" w:eastAsia="Verdana" w:hAnsi="Verdana"/>
          <w:sz w:val="20"/>
          <w:szCs w:val="20"/>
        </w:rPr>
        <w:t xml:space="preserve"> </w:t>
      </w:r>
      <w:r w:rsidR="000D4E84">
        <w:rPr>
          <w:rFonts w:ascii="Verdana" w:eastAsia="Verdana" w:hAnsi="Verdana"/>
          <w:sz w:val="20"/>
          <w:szCs w:val="20"/>
        </w:rPr>
        <w:t>population</w:t>
      </w:r>
      <w:r w:rsidR="008F5096" w:rsidRPr="008A3E79">
        <w:rPr>
          <w:rFonts w:ascii="Verdana" w:eastAsia="Verdana" w:hAnsi="Verdana"/>
          <w:sz w:val="20"/>
          <w:szCs w:val="20"/>
        </w:rPr>
        <w:t xml:space="preserve"> will be aged &gt;65 years. This demographic trend generates an </w:t>
      </w:r>
      <w:r w:rsidR="008F5096" w:rsidRPr="00F76CB9">
        <w:rPr>
          <w:rFonts w:ascii="Verdana" w:hAnsi="Verdana"/>
          <w:sz w:val="20"/>
          <w:szCs w:val="20"/>
        </w:rPr>
        <w:t>economic</w:t>
      </w:r>
      <w:r w:rsidR="008F5096" w:rsidRPr="008A3E79">
        <w:rPr>
          <w:rFonts w:ascii="Verdana" w:eastAsia="Verdana" w:hAnsi="Verdana"/>
          <w:sz w:val="20"/>
          <w:szCs w:val="20"/>
        </w:rPr>
        <w:t xml:space="preserve"> imperative </w:t>
      </w:r>
      <w:r w:rsidR="008F5096">
        <w:rPr>
          <w:rFonts w:ascii="Verdana" w:eastAsia="Verdana" w:hAnsi="Verdana"/>
          <w:sz w:val="20"/>
          <w:szCs w:val="20"/>
        </w:rPr>
        <w:t>for</w:t>
      </w:r>
      <w:r w:rsidR="008F5096" w:rsidRPr="008A3E79">
        <w:rPr>
          <w:rFonts w:ascii="Verdana" w:eastAsia="Verdana" w:hAnsi="Verdana"/>
          <w:sz w:val="20"/>
          <w:szCs w:val="20"/>
        </w:rPr>
        <w:t xml:space="preserve"> people</w:t>
      </w:r>
      <w:r w:rsidR="008F5096">
        <w:rPr>
          <w:rFonts w:ascii="Verdana" w:eastAsia="Verdana" w:hAnsi="Verdana"/>
          <w:sz w:val="20"/>
          <w:szCs w:val="20"/>
        </w:rPr>
        <w:t xml:space="preserve"> to remain</w:t>
      </w:r>
      <w:r w:rsidR="008F5096" w:rsidRPr="008A3E79">
        <w:rPr>
          <w:rFonts w:ascii="Verdana" w:eastAsia="Verdana" w:hAnsi="Verdana"/>
          <w:sz w:val="20"/>
          <w:szCs w:val="20"/>
        </w:rPr>
        <w:t xml:space="preserve"> in work to older ages, especially in countries where reproduction and immigration rates are low.</w:t>
      </w:r>
      <w:r w:rsidR="008F5096">
        <w:rPr>
          <w:rFonts w:ascii="Verdana" w:eastAsia="Verdana" w:hAnsi="Verdana"/>
          <w:sz w:val="20"/>
          <w:szCs w:val="20"/>
        </w:rPr>
        <w:t xml:space="preserve"> </w:t>
      </w:r>
      <w:r w:rsidR="008F5096" w:rsidRPr="008A3E79">
        <w:rPr>
          <w:rFonts w:ascii="Verdana" w:eastAsia="Verdana" w:hAnsi="Verdana"/>
          <w:sz w:val="20"/>
          <w:szCs w:val="20"/>
        </w:rPr>
        <w:t>In response, governments have developed policies to boost labour force pa</w:t>
      </w:r>
      <w:r w:rsidR="008F5096">
        <w:rPr>
          <w:rFonts w:ascii="Verdana" w:eastAsia="Verdana" w:hAnsi="Verdana"/>
          <w:sz w:val="20"/>
          <w:szCs w:val="20"/>
        </w:rPr>
        <w:t>rticipation among older workers [</w:t>
      </w:r>
      <w:r w:rsidR="00ED4DE1">
        <w:rPr>
          <w:rFonts w:ascii="Verdana" w:eastAsia="Verdana" w:hAnsi="Verdana"/>
          <w:sz w:val="20"/>
          <w:szCs w:val="20"/>
        </w:rPr>
        <w:t>1</w:t>
      </w:r>
      <w:r w:rsidR="008F5096">
        <w:rPr>
          <w:rFonts w:ascii="Verdana" w:eastAsia="Verdana" w:hAnsi="Verdana"/>
          <w:sz w:val="20"/>
          <w:szCs w:val="20"/>
        </w:rPr>
        <w:t>].</w:t>
      </w:r>
      <w:r w:rsidR="008F5096" w:rsidRPr="008A3E79">
        <w:rPr>
          <w:rFonts w:ascii="Verdana" w:eastAsia="Verdana" w:hAnsi="Verdana"/>
          <w:sz w:val="20"/>
          <w:szCs w:val="20"/>
        </w:rPr>
        <w:t xml:space="preserve"> The UK government, for example, has raised the State pension age, abolished the default retirement age, legislated to remove age and disability discrimination in the workplace, and implemented other policies</w:t>
      </w:r>
      <w:r w:rsidR="008F5096">
        <w:rPr>
          <w:rFonts w:ascii="Verdana" w:eastAsia="Verdana" w:hAnsi="Verdana"/>
          <w:sz w:val="20"/>
          <w:szCs w:val="20"/>
        </w:rPr>
        <w:t xml:space="preserve"> [</w:t>
      </w:r>
      <w:r w:rsidR="00ED4DE1">
        <w:rPr>
          <w:rFonts w:ascii="Verdana" w:eastAsia="Verdana" w:hAnsi="Verdana"/>
          <w:sz w:val="20"/>
          <w:szCs w:val="20"/>
        </w:rPr>
        <w:t>2,3</w:t>
      </w:r>
      <w:r w:rsidR="008F5096">
        <w:rPr>
          <w:rFonts w:ascii="Verdana" w:eastAsia="Verdana" w:hAnsi="Verdana"/>
          <w:sz w:val="20"/>
          <w:szCs w:val="20"/>
        </w:rPr>
        <w:t>]</w:t>
      </w:r>
      <w:r w:rsidR="008F5096" w:rsidRPr="008A3E79">
        <w:rPr>
          <w:rFonts w:ascii="Verdana" w:eastAsia="Verdana" w:hAnsi="Verdana"/>
          <w:sz w:val="20"/>
          <w:szCs w:val="20"/>
        </w:rPr>
        <w:t xml:space="preserve"> to maximise employment. </w:t>
      </w:r>
      <w:r w:rsidR="008F5096" w:rsidRPr="00692421">
        <w:rPr>
          <w:rFonts w:ascii="Verdana" w:hAnsi="Verdana"/>
          <w:sz w:val="20"/>
          <w:szCs w:val="20"/>
        </w:rPr>
        <w:t>At the same time, increasing numbers</w:t>
      </w:r>
      <w:r w:rsidR="00740D10">
        <w:rPr>
          <w:rFonts w:ascii="Verdana" w:hAnsi="Verdana"/>
          <w:sz w:val="20"/>
          <w:szCs w:val="20"/>
        </w:rPr>
        <w:t xml:space="preserve"> of people</w:t>
      </w:r>
      <w:r w:rsidR="008F5096" w:rsidRPr="00692421">
        <w:rPr>
          <w:rFonts w:ascii="Verdana" w:hAnsi="Verdana"/>
          <w:sz w:val="20"/>
          <w:szCs w:val="20"/>
        </w:rPr>
        <w:t xml:space="preserve"> </w:t>
      </w:r>
      <w:r w:rsidR="008F5096">
        <w:rPr>
          <w:rFonts w:ascii="Verdana" w:hAnsi="Verdana"/>
          <w:sz w:val="20"/>
          <w:szCs w:val="20"/>
        </w:rPr>
        <w:t>are</w:t>
      </w:r>
      <w:r w:rsidR="008F5096" w:rsidRPr="00692421">
        <w:rPr>
          <w:rFonts w:ascii="Verdana" w:hAnsi="Verdana"/>
          <w:sz w:val="20"/>
          <w:szCs w:val="20"/>
        </w:rPr>
        <w:t xml:space="preserve"> intent on working longer to build savings for retirement in the face of personal indebtedness, higher costs and taxes, and diminishing returns on </w:t>
      </w:r>
      <w:r w:rsidR="008F5096">
        <w:rPr>
          <w:rFonts w:ascii="Verdana" w:hAnsi="Verdana"/>
          <w:sz w:val="20"/>
          <w:szCs w:val="20"/>
        </w:rPr>
        <w:t>saving</w:t>
      </w:r>
      <w:r w:rsidR="008F5096" w:rsidRPr="00692421">
        <w:rPr>
          <w:rFonts w:ascii="Verdana" w:hAnsi="Verdana"/>
          <w:sz w:val="20"/>
          <w:szCs w:val="20"/>
        </w:rPr>
        <w:t>s and pensions</w:t>
      </w:r>
      <w:r w:rsidR="008F5096">
        <w:rPr>
          <w:rFonts w:ascii="Verdana" w:hAnsi="Verdana"/>
          <w:sz w:val="20"/>
          <w:szCs w:val="20"/>
        </w:rPr>
        <w:t xml:space="preserve">. </w:t>
      </w:r>
      <w:r w:rsidR="008F5096" w:rsidRPr="008A3E79">
        <w:rPr>
          <w:rFonts w:ascii="Verdana" w:eastAsia="Verdana" w:hAnsi="Verdana"/>
          <w:sz w:val="20"/>
          <w:szCs w:val="20"/>
        </w:rPr>
        <w:t xml:space="preserve">A steady rise in the proportion of men </w:t>
      </w:r>
      <w:r w:rsidR="006D6D19">
        <w:rPr>
          <w:rFonts w:ascii="Verdana" w:eastAsia="Verdana" w:hAnsi="Verdana"/>
          <w:sz w:val="20"/>
          <w:szCs w:val="20"/>
        </w:rPr>
        <w:t xml:space="preserve">and women </w:t>
      </w:r>
      <w:r w:rsidR="008F5096" w:rsidRPr="008A3E79">
        <w:rPr>
          <w:rFonts w:ascii="Verdana" w:eastAsia="Verdana" w:hAnsi="Verdana"/>
          <w:sz w:val="20"/>
          <w:szCs w:val="20"/>
        </w:rPr>
        <w:t>working beyond the traditional retirement age has ensued</w:t>
      </w:r>
      <w:r w:rsidR="008F5096">
        <w:rPr>
          <w:rFonts w:ascii="Verdana" w:eastAsia="Verdana" w:hAnsi="Verdana"/>
          <w:sz w:val="20"/>
          <w:szCs w:val="20"/>
          <w:vertAlign w:val="superscript"/>
        </w:rPr>
        <w:t xml:space="preserve"> </w:t>
      </w:r>
      <w:r w:rsidR="008F5096">
        <w:rPr>
          <w:rFonts w:ascii="Verdana" w:eastAsia="Verdana" w:hAnsi="Verdana"/>
          <w:sz w:val="20"/>
          <w:szCs w:val="20"/>
        </w:rPr>
        <w:t>[</w:t>
      </w:r>
      <w:r w:rsidR="00ED4DE1">
        <w:rPr>
          <w:rFonts w:ascii="Verdana" w:eastAsia="Verdana" w:hAnsi="Verdana"/>
          <w:sz w:val="20"/>
          <w:szCs w:val="20"/>
        </w:rPr>
        <w:t>4</w:t>
      </w:r>
      <w:r w:rsidR="008F5096">
        <w:rPr>
          <w:rFonts w:ascii="Verdana" w:eastAsia="Verdana" w:hAnsi="Verdana"/>
          <w:sz w:val="20"/>
          <w:szCs w:val="20"/>
        </w:rPr>
        <w:t>]</w:t>
      </w:r>
      <w:r w:rsidR="008F5096" w:rsidRPr="008A3E79">
        <w:rPr>
          <w:rFonts w:ascii="Verdana" w:eastAsia="Verdana" w:hAnsi="Verdana"/>
          <w:sz w:val="20"/>
          <w:szCs w:val="20"/>
        </w:rPr>
        <w:t xml:space="preserve"> and t</w:t>
      </w:r>
      <w:r w:rsidR="008F5096">
        <w:rPr>
          <w:rFonts w:ascii="Verdana" w:eastAsia="Verdana" w:hAnsi="Verdana"/>
          <w:sz w:val="20"/>
          <w:szCs w:val="20"/>
        </w:rPr>
        <w:t>his trend is likely to continue [</w:t>
      </w:r>
      <w:r w:rsidR="00ED4DE1">
        <w:rPr>
          <w:rFonts w:ascii="Verdana" w:eastAsia="Verdana" w:hAnsi="Verdana"/>
          <w:sz w:val="20"/>
          <w:szCs w:val="20"/>
        </w:rPr>
        <w:t>5</w:t>
      </w:r>
      <w:r w:rsidR="008F5096">
        <w:rPr>
          <w:rFonts w:ascii="Verdana" w:eastAsia="Verdana" w:hAnsi="Verdana"/>
          <w:sz w:val="20"/>
          <w:szCs w:val="20"/>
        </w:rPr>
        <w:t>].</w:t>
      </w:r>
    </w:p>
    <w:p w14:paraId="323B57B6" w14:textId="3D017F20" w:rsidR="001432D8" w:rsidRPr="00B40319" w:rsidRDefault="008F5096" w:rsidP="00C33BBA">
      <w:pPr>
        <w:widowControl w:val="0"/>
        <w:spacing w:line="480" w:lineRule="auto"/>
        <w:rPr>
          <w:rFonts w:ascii="Verdana" w:eastAsia="Verdana" w:hAnsi="Verdana"/>
          <w:iCs/>
          <w:sz w:val="20"/>
          <w:szCs w:val="20"/>
        </w:rPr>
      </w:pPr>
      <w:r w:rsidRPr="008A3E79">
        <w:rPr>
          <w:rFonts w:ascii="Verdana" w:eastAsia="Verdana" w:hAnsi="Verdana"/>
          <w:sz w:val="20"/>
          <w:szCs w:val="20"/>
        </w:rPr>
        <w:t>Work at older ages may confer psychological benefits (</w:t>
      </w:r>
      <w:r>
        <w:rPr>
          <w:rFonts w:ascii="Verdana" w:eastAsia="Verdana" w:hAnsi="Verdana"/>
          <w:sz w:val="20"/>
          <w:szCs w:val="20"/>
        </w:rPr>
        <w:t>for example,</w:t>
      </w:r>
      <w:r w:rsidRPr="008A3E79">
        <w:rPr>
          <w:rFonts w:ascii="Verdana" w:eastAsia="Verdana" w:hAnsi="Verdana"/>
          <w:sz w:val="20"/>
          <w:szCs w:val="20"/>
        </w:rPr>
        <w:t xml:space="preserve"> sustained motivation</w:t>
      </w:r>
      <w:r w:rsidR="006D6D19">
        <w:rPr>
          <w:rFonts w:ascii="Verdana" w:eastAsia="Verdana" w:hAnsi="Verdana"/>
          <w:sz w:val="20"/>
          <w:szCs w:val="20"/>
        </w:rPr>
        <w:t>,</w:t>
      </w:r>
      <w:r w:rsidRPr="008A3E79">
        <w:rPr>
          <w:rFonts w:ascii="Verdana" w:eastAsia="Verdana" w:hAnsi="Verdana"/>
          <w:sz w:val="20"/>
          <w:szCs w:val="20"/>
        </w:rPr>
        <w:t xml:space="preserve"> sense of purpose</w:t>
      </w:r>
      <w:r w:rsidR="00AD6B48">
        <w:rPr>
          <w:rFonts w:ascii="Verdana" w:eastAsia="Verdana" w:hAnsi="Verdana"/>
          <w:sz w:val="20"/>
          <w:szCs w:val="20"/>
        </w:rPr>
        <w:t xml:space="preserve"> and achievement</w:t>
      </w:r>
      <w:r w:rsidRPr="008A3E79">
        <w:rPr>
          <w:rFonts w:ascii="Verdana" w:eastAsia="Verdana" w:hAnsi="Verdana"/>
          <w:sz w:val="20"/>
          <w:szCs w:val="20"/>
        </w:rPr>
        <w:t xml:space="preserve">, social engagement, and mental </w:t>
      </w:r>
      <w:r w:rsidR="00E7578E">
        <w:rPr>
          <w:rFonts w:ascii="Verdana" w:eastAsia="Verdana" w:hAnsi="Verdana"/>
          <w:sz w:val="20"/>
          <w:szCs w:val="20"/>
        </w:rPr>
        <w:t>sti</w:t>
      </w:r>
      <w:r w:rsidR="00CC62FB">
        <w:rPr>
          <w:rFonts w:ascii="Verdana" w:eastAsia="Verdana" w:hAnsi="Verdana"/>
          <w:sz w:val="20"/>
          <w:szCs w:val="20"/>
        </w:rPr>
        <w:t>mulation</w:t>
      </w:r>
      <w:r w:rsidRPr="008A3E79">
        <w:rPr>
          <w:rFonts w:ascii="Verdana" w:eastAsia="Verdana" w:hAnsi="Verdana"/>
          <w:sz w:val="20"/>
          <w:szCs w:val="20"/>
        </w:rPr>
        <w:t>), and physical benefits (</w:t>
      </w:r>
      <w:r>
        <w:rPr>
          <w:rFonts w:ascii="Verdana" w:eastAsia="Verdana" w:hAnsi="Verdana"/>
          <w:sz w:val="20"/>
          <w:szCs w:val="20"/>
        </w:rPr>
        <w:t>through</w:t>
      </w:r>
      <w:r w:rsidRPr="008A3E79">
        <w:rPr>
          <w:rFonts w:ascii="Verdana" w:eastAsia="Verdana" w:hAnsi="Verdana"/>
          <w:sz w:val="20"/>
          <w:szCs w:val="20"/>
        </w:rPr>
        <w:t xml:space="preserve"> maintaine</w:t>
      </w:r>
      <w:r>
        <w:rPr>
          <w:rFonts w:ascii="Verdana" w:eastAsia="Verdana" w:hAnsi="Verdana"/>
          <w:sz w:val="20"/>
          <w:szCs w:val="20"/>
        </w:rPr>
        <w:t>d mobilit</w:t>
      </w:r>
      <w:r w:rsidR="00CE1EFE">
        <w:rPr>
          <w:rFonts w:ascii="Verdana" w:eastAsia="Verdana" w:hAnsi="Verdana"/>
          <w:sz w:val="20"/>
          <w:szCs w:val="20"/>
        </w:rPr>
        <w:t>y and muscle strength) [6],</w:t>
      </w:r>
      <w:r w:rsidRPr="008A3E79">
        <w:rPr>
          <w:rFonts w:ascii="Verdana" w:eastAsia="Verdana" w:hAnsi="Verdana"/>
          <w:sz w:val="20"/>
          <w:szCs w:val="20"/>
        </w:rPr>
        <w:t xml:space="preserve"> </w:t>
      </w:r>
      <w:r w:rsidR="00CE1EFE">
        <w:rPr>
          <w:rFonts w:ascii="Verdana" w:hAnsi="Verdana"/>
          <w:sz w:val="20"/>
          <w:szCs w:val="20"/>
        </w:rPr>
        <w:t xml:space="preserve">while </w:t>
      </w:r>
      <w:r w:rsidR="00CE1EFE" w:rsidRPr="005C691E">
        <w:rPr>
          <w:rFonts w:ascii="Verdana" w:eastAsia="Verdana" w:hAnsi="Verdana"/>
          <w:iCs/>
          <w:sz w:val="20"/>
          <w:szCs w:val="20"/>
        </w:rPr>
        <w:t>involuntary job loss may precipitate psychological</w:t>
      </w:r>
      <w:r w:rsidR="00CE1EFE">
        <w:rPr>
          <w:rFonts w:ascii="Verdana" w:eastAsia="Verdana" w:hAnsi="Verdana"/>
          <w:iCs/>
          <w:sz w:val="20"/>
          <w:szCs w:val="20"/>
        </w:rPr>
        <w:t xml:space="preserve"> ill-health.</w:t>
      </w:r>
      <w:r w:rsidR="00CE1EFE" w:rsidRPr="00F76CB9">
        <w:rPr>
          <w:rFonts w:ascii="Verdana" w:hAnsi="Verdana"/>
          <w:sz w:val="20"/>
          <w:szCs w:val="20"/>
        </w:rPr>
        <w:t xml:space="preserve"> </w:t>
      </w:r>
      <w:r w:rsidRPr="00F76CB9">
        <w:rPr>
          <w:rFonts w:ascii="Verdana" w:hAnsi="Verdana"/>
          <w:sz w:val="20"/>
          <w:szCs w:val="20"/>
        </w:rPr>
        <w:t xml:space="preserve">Additionally, work may provide the wherewithal to support self and </w:t>
      </w:r>
      <w:r>
        <w:rPr>
          <w:rFonts w:ascii="Verdana" w:hAnsi="Verdana"/>
          <w:sz w:val="20"/>
          <w:szCs w:val="20"/>
        </w:rPr>
        <w:t>dependant</w:t>
      </w:r>
      <w:r w:rsidRPr="00F76CB9">
        <w:rPr>
          <w:rFonts w:ascii="Verdana" w:hAnsi="Verdana"/>
          <w:sz w:val="20"/>
          <w:szCs w:val="20"/>
        </w:rPr>
        <w:t>s and improve social cohesion in communities</w:t>
      </w:r>
      <w:r>
        <w:rPr>
          <w:rFonts w:ascii="Verdana" w:hAnsi="Verdana"/>
          <w:sz w:val="20"/>
          <w:szCs w:val="20"/>
        </w:rPr>
        <w:t xml:space="preserve"> [</w:t>
      </w:r>
      <w:r w:rsidR="00CD50C0">
        <w:rPr>
          <w:rFonts w:ascii="Verdana" w:hAnsi="Verdana"/>
          <w:sz w:val="20"/>
          <w:szCs w:val="20"/>
        </w:rPr>
        <w:t>7</w:t>
      </w:r>
      <w:r w:rsidR="005C691E">
        <w:rPr>
          <w:rFonts w:ascii="Verdana" w:hAnsi="Verdana"/>
          <w:sz w:val="20"/>
          <w:szCs w:val="20"/>
        </w:rPr>
        <w:t>]</w:t>
      </w:r>
      <w:r w:rsidR="005C691E">
        <w:rPr>
          <w:rFonts w:ascii="Verdana" w:eastAsia="Verdana" w:hAnsi="Verdana"/>
          <w:iCs/>
          <w:sz w:val="20"/>
          <w:szCs w:val="20"/>
        </w:rPr>
        <w:t xml:space="preserve">. </w:t>
      </w:r>
      <w:r w:rsidRPr="008A3E79">
        <w:rPr>
          <w:rFonts w:ascii="Verdana" w:eastAsia="Verdana" w:hAnsi="Verdana"/>
          <w:sz w:val="20"/>
          <w:szCs w:val="20"/>
        </w:rPr>
        <w:t xml:space="preserve">Set against this, older workers may struggle with the </w:t>
      </w:r>
      <w:r w:rsidR="00B40319" w:rsidRPr="00F76CB9">
        <w:rPr>
          <w:rFonts w:ascii="Verdana" w:hAnsi="Verdana"/>
          <w:sz w:val="20"/>
          <w:szCs w:val="20"/>
        </w:rPr>
        <w:t xml:space="preserve">physical and psychological </w:t>
      </w:r>
      <w:r w:rsidRPr="008A3E79">
        <w:rPr>
          <w:rFonts w:ascii="Verdana" w:eastAsia="Verdana" w:hAnsi="Verdana"/>
          <w:sz w:val="20"/>
          <w:szCs w:val="20"/>
        </w:rPr>
        <w:t>demands of work</w:t>
      </w:r>
      <w:r w:rsidR="00B40319">
        <w:rPr>
          <w:rFonts w:ascii="Verdana" w:eastAsia="Verdana" w:hAnsi="Verdana"/>
          <w:sz w:val="20"/>
          <w:szCs w:val="20"/>
          <w:vertAlign w:val="superscript"/>
        </w:rPr>
        <w:t xml:space="preserve"> </w:t>
      </w:r>
      <w:r w:rsidR="00B40319">
        <w:rPr>
          <w:rFonts w:ascii="Verdana" w:eastAsia="Verdana" w:hAnsi="Verdana"/>
          <w:sz w:val="20"/>
          <w:szCs w:val="20"/>
        </w:rPr>
        <w:t>[6]</w:t>
      </w:r>
      <w:r w:rsidR="00CE1EFE">
        <w:rPr>
          <w:rFonts w:ascii="Verdana" w:eastAsia="Verdana" w:hAnsi="Verdana"/>
          <w:sz w:val="20"/>
          <w:szCs w:val="20"/>
        </w:rPr>
        <w:t>,</w:t>
      </w:r>
      <w:r w:rsidRPr="008A3E79">
        <w:rPr>
          <w:rFonts w:ascii="Verdana" w:eastAsia="Verdana" w:hAnsi="Verdana"/>
          <w:sz w:val="20"/>
          <w:szCs w:val="20"/>
        </w:rPr>
        <w:t xml:space="preserve"> and</w:t>
      </w:r>
      <w:r w:rsidR="00B40319">
        <w:rPr>
          <w:rFonts w:ascii="Verdana" w:eastAsia="Verdana" w:hAnsi="Verdana"/>
          <w:sz w:val="20"/>
          <w:szCs w:val="20"/>
        </w:rPr>
        <w:t xml:space="preserve"> in principle</w:t>
      </w:r>
      <w:r w:rsidRPr="008A3E79">
        <w:rPr>
          <w:rFonts w:ascii="Verdana" w:eastAsia="Verdana" w:hAnsi="Verdana"/>
          <w:sz w:val="20"/>
          <w:szCs w:val="20"/>
        </w:rPr>
        <w:t xml:space="preserve"> their greater prevalence of illness and use of medication </w:t>
      </w:r>
      <w:r w:rsidR="00CE1EFE">
        <w:rPr>
          <w:rFonts w:ascii="Verdana" w:eastAsia="Verdana" w:hAnsi="Verdana"/>
          <w:sz w:val="20"/>
          <w:szCs w:val="20"/>
        </w:rPr>
        <w:t>could</w:t>
      </w:r>
      <w:r w:rsidRPr="008A3E79">
        <w:rPr>
          <w:rFonts w:ascii="Verdana" w:eastAsia="Verdana" w:hAnsi="Verdana"/>
          <w:sz w:val="20"/>
          <w:szCs w:val="20"/>
        </w:rPr>
        <w:t xml:space="preserve"> pose high</w:t>
      </w:r>
      <w:r w:rsidR="00B40319">
        <w:rPr>
          <w:rFonts w:ascii="Verdana" w:eastAsia="Verdana" w:hAnsi="Verdana"/>
          <w:sz w:val="20"/>
          <w:szCs w:val="20"/>
        </w:rPr>
        <w:t>er risks of occupational injury [</w:t>
      </w:r>
      <w:r w:rsidR="00CD50C0">
        <w:rPr>
          <w:rFonts w:ascii="Verdana" w:eastAsia="Verdana" w:hAnsi="Verdana"/>
          <w:sz w:val="20"/>
          <w:szCs w:val="20"/>
        </w:rPr>
        <w:t>8,9</w:t>
      </w:r>
      <w:r w:rsidR="00B40319">
        <w:rPr>
          <w:rFonts w:ascii="Verdana" w:eastAsia="Verdana" w:hAnsi="Verdana"/>
          <w:sz w:val="20"/>
          <w:szCs w:val="20"/>
        </w:rPr>
        <w:t>].</w:t>
      </w:r>
      <w:r w:rsidRPr="008A3E79">
        <w:rPr>
          <w:rFonts w:ascii="Verdana" w:eastAsia="Verdana" w:hAnsi="Verdana"/>
          <w:sz w:val="20"/>
          <w:szCs w:val="20"/>
        </w:rPr>
        <w:t xml:space="preserve"> Moreover, planned retirement may carry tangible health benefits of its own</w:t>
      </w:r>
      <w:r w:rsidR="00CE1EFE">
        <w:rPr>
          <w:rFonts w:ascii="Verdana" w:eastAsia="Verdana" w:hAnsi="Verdana"/>
          <w:sz w:val="20"/>
          <w:szCs w:val="20"/>
        </w:rPr>
        <w:t>, especially when</w:t>
      </w:r>
      <w:r w:rsidR="00740D10">
        <w:rPr>
          <w:rFonts w:ascii="Verdana" w:eastAsia="Verdana" w:hAnsi="Verdana"/>
          <w:sz w:val="20"/>
          <w:szCs w:val="20"/>
        </w:rPr>
        <w:t xml:space="preserve"> desired </w:t>
      </w:r>
      <w:r w:rsidR="00CE1EFE">
        <w:rPr>
          <w:rFonts w:ascii="Verdana" w:eastAsia="Verdana" w:hAnsi="Verdana"/>
          <w:sz w:val="20"/>
          <w:szCs w:val="20"/>
        </w:rPr>
        <w:t>and expected</w:t>
      </w:r>
      <w:r w:rsidR="00B40319">
        <w:rPr>
          <w:rFonts w:ascii="Verdana" w:eastAsia="Verdana" w:hAnsi="Verdana"/>
          <w:sz w:val="20"/>
          <w:szCs w:val="20"/>
        </w:rPr>
        <w:t xml:space="preserve"> [</w:t>
      </w:r>
      <w:r w:rsidR="00F132A6">
        <w:rPr>
          <w:rFonts w:ascii="Verdana" w:eastAsia="Verdana" w:hAnsi="Verdana"/>
          <w:sz w:val="20"/>
          <w:szCs w:val="20"/>
        </w:rPr>
        <w:t>10,11</w:t>
      </w:r>
      <w:r w:rsidR="00B40319">
        <w:rPr>
          <w:rFonts w:ascii="Verdana" w:eastAsia="Verdana" w:hAnsi="Verdana"/>
          <w:sz w:val="20"/>
          <w:szCs w:val="20"/>
        </w:rPr>
        <w:t>]</w:t>
      </w:r>
      <w:r w:rsidR="00CE1EFE">
        <w:rPr>
          <w:rFonts w:ascii="Verdana" w:eastAsia="Verdana" w:hAnsi="Verdana"/>
          <w:sz w:val="20"/>
          <w:szCs w:val="20"/>
        </w:rPr>
        <w:t>,</w:t>
      </w:r>
      <w:r w:rsidRPr="008A3E79">
        <w:rPr>
          <w:rFonts w:ascii="Verdana" w:eastAsia="Verdana" w:hAnsi="Verdana"/>
          <w:sz w:val="20"/>
          <w:szCs w:val="20"/>
        </w:rPr>
        <w:t xml:space="preserve"> </w:t>
      </w:r>
      <w:r w:rsidR="00B40319">
        <w:rPr>
          <w:rFonts w:ascii="Verdana" w:hAnsi="Verdana"/>
          <w:sz w:val="20"/>
        </w:rPr>
        <w:t>and foregoing it may</w:t>
      </w:r>
      <w:r w:rsidR="00740D10">
        <w:rPr>
          <w:rFonts w:ascii="Verdana" w:hAnsi="Verdana"/>
          <w:sz w:val="20"/>
        </w:rPr>
        <w:t xml:space="preserve"> sometimes</w:t>
      </w:r>
      <w:r w:rsidR="00B40319">
        <w:rPr>
          <w:rFonts w:ascii="Verdana" w:hAnsi="Verdana"/>
          <w:sz w:val="20"/>
        </w:rPr>
        <w:t xml:space="preserve"> be bad for psychological health. </w:t>
      </w:r>
      <w:r w:rsidRPr="008A3E79">
        <w:rPr>
          <w:rFonts w:ascii="Verdana" w:eastAsia="Verdana" w:hAnsi="Verdana"/>
          <w:sz w:val="20"/>
          <w:szCs w:val="20"/>
        </w:rPr>
        <w:t>An influential report</w:t>
      </w:r>
      <w:r w:rsidR="00CE1EFE">
        <w:rPr>
          <w:rFonts w:ascii="Verdana" w:eastAsia="Verdana" w:hAnsi="Verdana"/>
          <w:sz w:val="20"/>
          <w:szCs w:val="20"/>
        </w:rPr>
        <w:t xml:space="preserve"> for</w:t>
      </w:r>
      <w:r w:rsidRPr="008A3E79">
        <w:rPr>
          <w:rFonts w:ascii="Verdana" w:eastAsia="Verdana" w:hAnsi="Verdana"/>
          <w:sz w:val="20"/>
          <w:szCs w:val="20"/>
        </w:rPr>
        <w:t xml:space="preserve"> the </w:t>
      </w:r>
      <w:r w:rsidR="00CE1EFE">
        <w:rPr>
          <w:rFonts w:ascii="Verdana" w:eastAsia="Verdana" w:hAnsi="Verdana"/>
          <w:sz w:val="20"/>
          <w:szCs w:val="20"/>
        </w:rPr>
        <w:t>Department for W</w:t>
      </w:r>
      <w:r w:rsidR="00B40319">
        <w:rPr>
          <w:rFonts w:ascii="Verdana" w:eastAsia="Verdana" w:hAnsi="Verdana"/>
          <w:sz w:val="20"/>
          <w:szCs w:val="20"/>
        </w:rPr>
        <w:t>ork and Pensions in the UK</w:t>
      </w:r>
      <w:r w:rsidRPr="008A3E79">
        <w:rPr>
          <w:rFonts w:ascii="Verdana" w:eastAsia="Verdana" w:hAnsi="Verdana"/>
          <w:sz w:val="20"/>
          <w:szCs w:val="20"/>
        </w:rPr>
        <w:t xml:space="preserve"> has </w:t>
      </w:r>
      <w:r w:rsidR="00CC62FB">
        <w:rPr>
          <w:rFonts w:ascii="Verdana" w:eastAsia="Verdana" w:hAnsi="Verdana"/>
          <w:sz w:val="20"/>
          <w:szCs w:val="20"/>
        </w:rPr>
        <w:t>concluded</w:t>
      </w:r>
      <w:r w:rsidRPr="008A3E79">
        <w:rPr>
          <w:rFonts w:ascii="Verdana" w:eastAsia="Verdana" w:hAnsi="Verdana"/>
          <w:sz w:val="20"/>
          <w:szCs w:val="20"/>
        </w:rPr>
        <w:t xml:space="preserve"> that work is ‘generally good’ for health</w:t>
      </w:r>
      <w:r w:rsidR="00F132A6">
        <w:rPr>
          <w:rFonts w:ascii="Verdana" w:eastAsia="Verdana" w:hAnsi="Verdana"/>
          <w:sz w:val="20"/>
          <w:szCs w:val="20"/>
        </w:rPr>
        <w:t xml:space="preserve"> [12].</w:t>
      </w:r>
      <w:r w:rsidRPr="008A3E79">
        <w:rPr>
          <w:rFonts w:ascii="Verdana" w:eastAsia="Verdana" w:hAnsi="Verdana"/>
          <w:sz w:val="20"/>
          <w:szCs w:val="20"/>
        </w:rPr>
        <w:t xml:space="preserve">  However</w:t>
      </w:r>
      <w:r>
        <w:rPr>
          <w:rFonts w:ascii="Verdana" w:eastAsia="Verdana" w:hAnsi="Verdana"/>
          <w:sz w:val="20"/>
          <w:szCs w:val="20"/>
        </w:rPr>
        <w:t>,</w:t>
      </w:r>
      <w:r w:rsidRPr="008A3E79">
        <w:rPr>
          <w:rFonts w:ascii="Verdana" w:eastAsia="Verdana" w:hAnsi="Verdana"/>
          <w:sz w:val="20"/>
          <w:szCs w:val="20"/>
        </w:rPr>
        <w:t xml:space="preserve"> few data </w:t>
      </w:r>
      <w:r w:rsidR="008B616C">
        <w:rPr>
          <w:rFonts w:ascii="Verdana" w:eastAsia="Verdana" w:hAnsi="Verdana"/>
          <w:sz w:val="20"/>
          <w:szCs w:val="20"/>
        </w:rPr>
        <w:t>were</w:t>
      </w:r>
      <w:r w:rsidRPr="008A3E79">
        <w:rPr>
          <w:rFonts w:ascii="Verdana" w:eastAsia="Verdana" w:hAnsi="Verdana"/>
          <w:sz w:val="20"/>
          <w:szCs w:val="20"/>
        </w:rPr>
        <w:t xml:space="preserve"> available on the impact of deferred retirement in older workers, or on potential </w:t>
      </w:r>
      <w:r w:rsidRPr="008A3E79">
        <w:rPr>
          <w:rFonts w:ascii="Verdana" w:eastAsia="Verdana" w:hAnsi="Verdana"/>
          <w:sz w:val="20"/>
          <w:szCs w:val="20"/>
        </w:rPr>
        <w:lastRenderedPageBreak/>
        <w:t>effect modifiers such as</w:t>
      </w:r>
      <w:r w:rsidRPr="008A3E79">
        <w:rPr>
          <w:rFonts w:ascii="Verdana" w:eastAsia="Verdana" w:hAnsi="Verdana"/>
          <w:iCs/>
          <w:sz w:val="20"/>
          <w:szCs w:val="20"/>
        </w:rPr>
        <w:t xml:space="preserve"> </w:t>
      </w:r>
      <w:r w:rsidR="00AD6B48">
        <w:rPr>
          <w:rFonts w:ascii="Verdana" w:eastAsia="Verdana" w:hAnsi="Verdana"/>
          <w:iCs/>
          <w:sz w:val="20"/>
          <w:szCs w:val="20"/>
        </w:rPr>
        <w:t xml:space="preserve">type of </w:t>
      </w:r>
      <w:r w:rsidRPr="008A3E79">
        <w:rPr>
          <w:rFonts w:ascii="Verdana" w:eastAsia="Verdana" w:hAnsi="Verdana"/>
          <w:iCs/>
          <w:sz w:val="20"/>
          <w:szCs w:val="20"/>
        </w:rPr>
        <w:t>job surrendered (e.g. casual vs. permanent, physically or mentally demanding vs. l</w:t>
      </w:r>
      <w:r w:rsidR="00F132A6">
        <w:rPr>
          <w:rFonts w:ascii="Verdana" w:eastAsia="Verdana" w:hAnsi="Verdana"/>
          <w:iCs/>
          <w:sz w:val="20"/>
          <w:szCs w:val="20"/>
        </w:rPr>
        <w:t>ess so, rewarding vs. disliked) [13],</w:t>
      </w:r>
      <w:r w:rsidRPr="008A3E79">
        <w:rPr>
          <w:rFonts w:ascii="Verdana" w:eastAsia="Verdana" w:hAnsi="Verdana"/>
          <w:iCs/>
          <w:sz w:val="20"/>
          <w:szCs w:val="20"/>
        </w:rPr>
        <w:t xml:space="preserve"> or the circumstances of job loss (e.g. involuntary redundancy vs. normal retirement</w:t>
      </w:r>
      <w:r w:rsidR="00F132A6">
        <w:rPr>
          <w:rFonts w:ascii="Verdana" w:eastAsia="Verdana" w:hAnsi="Verdana"/>
          <w:iCs/>
          <w:sz w:val="20"/>
          <w:szCs w:val="20"/>
        </w:rPr>
        <w:t xml:space="preserve"> with adequate financial s</w:t>
      </w:r>
      <w:r w:rsidR="00AD6B48">
        <w:rPr>
          <w:rFonts w:ascii="Verdana" w:eastAsia="Verdana" w:hAnsi="Verdana"/>
          <w:iCs/>
          <w:sz w:val="20"/>
          <w:szCs w:val="20"/>
        </w:rPr>
        <w:t>ecurity</w:t>
      </w:r>
      <w:r w:rsidR="00F132A6">
        <w:rPr>
          <w:rFonts w:ascii="Verdana" w:eastAsia="Verdana" w:hAnsi="Verdana"/>
          <w:iCs/>
          <w:sz w:val="20"/>
          <w:szCs w:val="20"/>
        </w:rPr>
        <w:t>) [12].</w:t>
      </w:r>
      <w:r w:rsidRPr="008A3E79">
        <w:rPr>
          <w:rFonts w:ascii="Verdana" w:eastAsia="Verdana" w:hAnsi="Verdana"/>
          <w:iCs/>
          <w:sz w:val="20"/>
          <w:szCs w:val="20"/>
        </w:rPr>
        <w:t xml:space="preserve"> </w:t>
      </w:r>
      <w:r w:rsidR="00B40319">
        <w:rPr>
          <w:rFonts w:ascii="Verdana" w:hAnsi="Verdana"/>
          <w:sz w:val="20"/>
        </w:rPr>
        <w:t xml:space="preserve">There is thus uncertainty about the overall health implications of policies to extend working life and maximise employment at older ages.  </w:t>
      </w:r>
      <w:r w:rsidR="00AD6B48">
        <w:rPr>
          <w:rFonts w:ascii="Verdana" w:hAnsi="Verdana"/>
          <w:sz w:val="20"/>
        </w:rPr>
        <w:t>It is q</w:t>
      </w:r>
      <w:r w:rsidR="00B40319">
        <w:rPr>
          <w:rFonts w:ascii="Verdana" w:hAnsi="Verdana"/>
          <w:sz w:val="20"/>
        </w:rPr>
        <w:t xml:space="preserve">uite </w:t>
      </w:r>
      <w:r w:rsidR="00CE1EFE">
        <w:rPr>
          <w:rFonts w:ascii="Verdana" w:hAnsi="Verdana"/>
          <w:sz w:val="20"/>
        </w:rPr>
        <w:t>likely</w:t>
      </w:r>
      <w:r w:rsidR="00B40319">
        <w:rPr>
          <w:rFonts w:ascii="Verdana" w:hAnsi="Verdana"/>
          <w:sz w:val="20"/>
        </w:rPr>
        <w:t xml:space="preserve"> outcomes will vary </w:t>
      </w:r>
      <w:r w:rsidR="00AD6B48">
        <w:rPr>
          <w:rFonts w:ascii="Verdana" w:hAnsi="Verdana"/>
          <w:sz w:val="20"/>
        </w:rPr>
        <w:t>according to</w:t>
      </w:r>
      <w:r w:rsidR="00B40319">
        <w:rPr>
          <w:rFonts w:ascii="Verdana" w:hAnsi="Verdana"/>
          <w:sz w:val="20"/>
        </w:rPr>
        <w:t xml:space="preserve"> circumstances</w:t>
      </w:r>
      <w:r w:rsidR="00CE1EFE">
        <w:rPr>
          <w:rFonts w:ascii="Verdana" w:hAnsi="Verdana"/>
          <w:sz w:val="20"/>
        </w:rPr>
        <w:t>,</w:t>
      </w:r>
      <w:r w:rsidR="00B40319">
        <w:rPr>
          <w:rFonts w:ascii="Verdana" w:hAnsi="Verdana"/>
          <w:sz w:val="20"/>
        </w:rPr>
        <w:t xml:space="preserve"> </w:t>
      </w:r>
      <w:r w:rsidR="00B40319">
        <w:rPr>
          <w:rFonts w:ascii="Verdana" w:eastAsia="Verdana" w:hAnsi="Verdana"/>
          <w:iCs/>
          <w:sz w:val="20"/>
          <w:szCs w:val="20"/>
        </w:rPr>
        <w:t>and l</w:t>
      </w:r>
      <w:r w:rsidRPr="008A3E79">
        <w:rPr>
          <w:rFonts w:ascii="Verdana" w:eastAsia="Verdana" w:hAnsi="Verdana"/>
          <w:iCs/>
          <w:sz w:val="20"/>
          <w:szCs w:val="20"/>
        </w:rPr>
        <w:t>imited data</w:t>
      </w:r>
      <w:r w:rsidR="00B40319">
        <w:rPr>
          <w:rFonts w:ascii="Verdana" w:eastAsia="Verdana" w:hAnsi="Verdana"/>
          <w:iCs/>
          <w:sz w:val="20"/>
          <w:szCs w:val="20"/>
        </w:rPr>
        <w:t xml:space="preserve"> </w:t>
      </w:r>
      <w:r w:rsidRPr="008A3E79">
        <w:rPr>
          <w:rFonts w:ascii="Verdana" w:eastAsia="Verdana" w:hAnsi="Verdana"/>
          <w:iCs/>
          <w:sz w:val="20"/>
          <w:szCs w:val="20"/>
        </w:rPr>
        <w:t>support the notion of effect modifi</w:t>
      </w:r>
      <w:r w:rsidR="00F132A6">
        <w:rPr>
          <w:rFonts w:ascii="Verdana" w:eastAsia="Verdana" w:hAnsi="Verdana"/>
          <w:iCs/>
          <w:sz w:val="20"/>
          <w:szCs w:val="20"/>
        </w:rPr>
        <w:t>cation by age and other factors [11,12,14,15].</w:t>
      </w:r>
      <w:r w:rsidRPr="008A3E79">
        <w:rPr>
          <w:rFonts w:ascii="Verdana" w:eastAsia="Verdana" w:hAnsi="Verdana"/>
          <w:iCs/>
          <w:sz w:val="20"/>
          <w:szCs w:val="20"/>
        </w:rPr>
        <w:t xml:space="preserve"> </w:t>
      </w:r>
      <w:r w:rsidRPr="008A3E79">
        <w:rPr>
          <w:rFonts w:ascii="Verdana" w:eastAsia="Verdana" w:hAnsi="Verdana"/>
          <w:sz w:val="20"/>
          <w:szCs w:val="20"/>
        </w:rPr>
        <w:t xml:space="preserve">Presently, </w:t>
      </w:r>
      <w:r w:rsidR="00CE1EFE">
        <w:rPr>
          <w:rFonts w:ascii="Verdana" w:eastAsia="Verdana" w:hAnsi="Verdana"/>
          <w:sz w:val="20"/>
          <w:szCs w:val="20"/>
        </w:rPr>
        <w:t>however</w:t>
      </w:r>
      <w:r w:rsidRPr="008A3E79">
        <w:rPr>
          <w:rFonts w:ascii="Verdana" w:eastAsia="Verdana" w:hAnsi="Verdana"/>
          <w:sz w:val="20"/>
          <w:szCs w:val="20"/>
        </w:rPr>
        <w:t>, it remains</w:t>
      </w:r>
      <w:r w:rsidR="005F6831">
        <w:rPr>
          <w:rFonts w:ascii="Verdana" w:eastAsia="Verdana" w:hAnsi="Verdana"/>
          <w:iCs/>
          <w:sz w:val="20"/>
          <w:szCs w:val="20"/>
        </w:rPr>
        <w:t xml:space="preserve"> unclear </w:t>
      </w:r>
      <w:r w:rsidRPr="008A3E79">
        <w:rPr>
          <w:rFonts w:ascii="Verdana" w:eastAsia="Verdana" w:hAnsi="Verdana"/>
          <w:iCs/>
          <w:sz w:val="20"/>
          <w:szCs w:val="20"/>
        </w:rPr>
        <w:t>whether continuing work to older ages produces</w:t>
      </w:r>
      <w:r w:rsidR="005F6831">
        <w:rPr>
          <w:rFonts w:ascii="Verdana" w:eastAsia="Verdana" w:hAnsi="Verdana"/>
          <w:iCs/>
          <w:sz w:val="20"/>
          <w:szCs w:val="20"/>
        </w:rPr>
        <w:t xml:space="preserve"> net benefits or harm to health</w:t>
      </w:r>
      <w:r w:rsidRPr="008A3E79">
        <w:rPr>
          <w:rFonts w:ascii="Verdana" w:eastAsia="Verdana" w:hAnsi="Verdana"/>
          <w:iCs/>
          <w:sz w:val="20"/>
          <w:szCs w:val="20"/>
        </w:rPr>
        <w:t xml:space="preserve"> and in what circumstances. </w:t>
      </w:r>
      <w:r w:rsidR="00CE1EFE">
        <w:rPr>
          <w:rFonts w:ascii="Verdana" w:hAnsi="Verdana"/>
          <w:sz w:val="20"/>
        </w:rPr>
        <w:t>K</w:t>
      </w:r>
      <w:r w:rsidR="00B40319">
        <w:rPr>
          <w:rFonts w:ascii="Verdana" w:hAnsi="Verdana"/>
          <w:sz w:val="20"/>
        </w:rPr>
        <w:t>nowing the factors that predict a favourable outcome will become increasingly important in designing suitable work and social support for older workers.</w:t>
      </w:r>
    </w:p>
    <w:p w14:paraId="29A0B1E4" w14:textId="77777777" w:rsidR="005C691E" w:rsidRDefault="005C691E" w:rsidP="00C33BBA">
      <w:pPr>
        <w:widowControl w:val="0"/>
        <w:spacing w:line="480" w:lineRule="auto"/>
        <w:rPr>
          <w:rFonts w:ascii="Verdana" w:hAnsi="Verdana"/>
          <w:sz w:val="20"/>
        </w:rPr>
      </w:pPr>
    </w:p>
    <w:p w14:paraId="55912B77" w14:textId="492FEC9E" w:rsidR="001432D8" w:rsidRDefault="001432D8" w:rsidP="00C33BBA">
      <w:pPr>
        <w:widowControl w:val="0"/>
        <w:spacing w:line="480" w:lineRule="auto"/>
        <w:rPr>
          <w:rFonts w:ascii="Verdana" w:hAnsi="Verdana"/>
          <w:sz w:val="20"/>
        </w:rPr>
      </w:pPr>
      <w:r>
        <w:rPr>
          <w:rFonts w:ascii="Verdana" w:hAnsi="Verdana"/>
          <w:sz w:val="20"/>
        </w:rPr>
        <w:t xml:space="preserve">A second major area of uncertainty concerns the extent to which common health problems </w:t>
      </w:r>
      <w:r w:rsidR="00A25A1C">
        <w:rPr>
          <w:rFonts w:ascii="Verdana" w:eastAsia="Verdana" w:hAnsi="Verdana"/>
          <w:iCs/>
          <w:sz w:val="20"/>
          <w:szCs w:val="20"/>
        </w:rPr>
        <w:t>in older people</w:t>
      </w:r>
      <w:r w:rsidR="005C691E" w:rsidRPr="005C691E">
        <w:rPr>
          <w:rFonts w:ascii="Verdana" w:eastAsia="Verdana" w:hAnsi="Verdana"/>
          <w:iCs/>
          <w:sz w:val="20"/>
          <w:szCs w:val="20"/>
        </w:rPr>
        <w:t xml:space="preserve"> </w:t>
      </w:r>
      <w:r>
        <w:rPr>
          <w:rFonts w:ascii="Verdana" w:hAnsi="Verdana"/>
          <w:sz w:val="20"/>
        </w:rPr>
        <w:t>limit</w:t>
      </w:r>
      <w:r w:rsidR="00A25A1C">
        <w:rPr>
          <w:rFonts w:ascii="Verdana" w:hAnsi="Verdana"/>
          <w:sz w:val="20"/>
        </w:rPr>
        <w:t xml:space="preserve"> their participation</w:t>
      </w:r>
      <w:r>
        <w:rPr>
          <w:rFonts w:ascii="Verdana" w:hAnsi="Verdana"/>
          <w:sz w:val="20"/>
        </w:rPr>
        <w:t xml:space="preserve">. For example, </w:t>
      </w:r>
      <w:r w:rsidR="00B40319">
        <w:rPr>
          <w:rFonts w:ascii="Verdana" w:eastAsia="Verdana" w:hAnsi="Verdana"/>
          <w:iCs/>
          <w:sz w:val="20"/>
          <w:szCs w:val="20"/>
        </w:rPr>
        <w:t>a</w:t>
      </w:r>
      <w:r w:rsidR="00B40319" w:rsidRPr="008A3E79">
        <w:rPr>
          <w:rFonts w:ascii="Verdana" w:eastAsia="Verdana" w:hAnsi="Verdana"/>
          <w:iCs/>
          <w:sz w:val="20"/>
          <w:szCs w:val="20"/>
        </w:rPr>
        <w:t xml:space="preserve">mong </w:t>
      </w:r>
      <w:r w:rsidR="00CC62FB">
        <w:rPr>
          <w:rFonts w:ascii="Verdana" w:hAnsi="Verdana"/>
          <w:sz w:val="20"/>
          <w:szCs w:val="20"/>
        </w:rPr>
        <w:t>disorders</w:t>
      </w:r>
      <w:r w:rsidR="00B40319" w:rsidRPr="008A3E79">
        <w:rPr>
          <w:rFonts w:ascii="Verdana" w:eastAsia="Verdana" w:hAnsi="Verdana"/>
          <w:iCs/>
          <w:sz w:val="20"/>
          <w:szCs w:val="20"/>
        </w:rPr>
        <w:t xml:space="preserve"> </w:t>
      </w:r>
      <w:r w:rsidR="00A25A1C" w:rsidRPr="008A3E79">
        <w:rPr>
          <w:rFonts w:ascii="Verdana" w:eastAsia="Verdana" w:hAnsi="Verdana"/>
          <w:iCs/>
          <w:sz w:val="20"/>
          <w:szCs w:val="20"/>
        </w:rPr>
        <w:t xml:space="preserve">affecting </w:t>
      </w:r>
      <w:r w:rsidR="00A25A1C">
        <w:rPr>
          <w:rFonts w:ascii="Verdana" w:eastAsia="Verdana" w:hAnsi="Verdana"/>
          <w:iCs/>
          <w:sz w:val="20"/>
          <w:szCs w:val="20"/>
        </w:rPr>
        <w:t>the musculoskeletal system, some become more common and severe at older ages</w:t>
      </w:r>
      <w:r w:rsidR="00B40319" w:rsidRPr="008A3E79">
        <w:rPr>
          <w:rFonts w:ascii="Verdana" w:eastAsia="Verdana" w:hAnsi="Verdana"/>
          <w:iCs/>
          <w:sz w:val="20"/>
          <w:szCs w:val="20"/>
        </w:rPr>
        <w:t xml:space="preserve"> </w:t>
      </w:r>
      <w:r w:rsidR="00B40319">
        <w:rPr>
          <w:rFonts w:ascii="Verdana" w:eastAsia="Verdana" w:hAnsi="Verdana"/>
          <w:iCs/>
          <w:sz w:val="20"/>
          <w:szCs w:val="20"/>
        </w:rPr>
        <w:t>(</w:t>
      </w:r>
      <w:r w:rsidR="00A25A1C">
        <w:rPr>
          <w:rFonts w:ascii="Verdana" w:eastAsia="Verdana" w:hAnsi="Verdana"/>
          <w:iCs/>
          <w:sz w:val="20"/>
          <w:szCs w:val="20"/>
        </w:rPr>
        <w:t>e.g. osteoarthritis) and others may become more limiting</w:t>
      </w:r>
      <w:r w:rsidR="00B40319" w:rsidRPr="008A3E79">
        <w:rPr>
          <w:rFonts w:ascii="Verdana" w:eastAsia="Verdana" w:hAnsi="Verdana"/>
          <w:iCs/>
          <w:sz w:val="20"/>
          <w:szCs w:val="20"/>
        </w:rPr>
        <w:t xml:space="preserve"> </w:t>
      </w:r>
      <w:r w:rsidR="00A25A1C">
        <w:rPr>
          <w:rFonts w:ascii="Verdana" w:eastAsia="Verdana" w:hAnsi="Verdana"/>
          <w:iCs/>
          <w:sz w:val="20"/>
          <w:szCs w:val="20"/>
        </w:rPr>
        <w:t xml:space="preserve">(e.g. </w:t>
      </w:r>
      <w:r w:rsidR="00B40319" w:rsidRPr="008A3E79">
        <w:rPr>
          <w:rFonts w:ascii="Verdana" w:eastAsia="Verdana" w:hAnsi="Verdana"/>
          <w:iCs/>
          <w:sz w:val="20"/>
          <w:szCs w:val="20"/>
        </w:rPr>
        <w:t>soft tissue rheumatism, disorders of the back, neck, upper limbs</w:t>
      </w:r>
      <w:r w:rsidR="00B40319" w:rsidRPr="00B40319">
        <w:rPr>
          <w:rFonts w:ascii="Verdana" w:hAnsi="Verdana"/>
          <w:sz w:val="20"/>
          <w:szCs w:val="20"/>
        </w:rPr>
        <w:t xml:space="preserve"> </w:t>
      </w:r>
      <w:r w:rsidR="00B40319" w:rsidRPr="00F76CB9">
        <w:rPr>
          <w:rFonts w:ascii="Verdana" w:hAnsi="Verdana"/>
          <w:sz w:val="20"/>
          <w:szCs w:val="20"/>
        </w:rPr>
        <w:t>and knee cartilage</w:t>
      </w:r>
      <w:r w:rsidR="00A25A1C">
        <w:rPr>
          <w:rFonts w:ascii="Verdana" w:eastAsia="Verdana" w:hAnsi="Verdana"/>
          <w:iCs/>
          <w:sz w:val="20"/>
          <w:szCs w:val="20"/>
        </w:rPr>
        <w:t>), with the potential to</w:t>
      </w:r>
      <w:r w:rsidR="00B40319" w:rsidRPr="008A3E79">
        <w:rPr>
          <w:rFonts w:ascii="Verdana" w:eastAsia="Verdana" w:hAnsi="Verdana"/>
          <w:iCs/>
          <w:sz w:val="20"/>
          <w:szCs w:val="20"/>
        </w:rPr>
        <w:t xml:space="preserve"> </w:t>
      </w:r>
      <w:r w:rsidR="00A25A1C">
        <w:rPr>
          <w:rFonts w:ascii="Verdana" w:hAnsi="Verdana"/>
          <w:sz w:val="20"/>
          <w:szCs w:val="20"/>
        </w:rPr>
        <w:t>reduce</w:t>
      </w:r>
      <w:r w:rsidR="00B40319" w:rsidRPr="00F76CB9">
        <w:rPr>
          <w:rFonts w:ascii="Verdana" w:hAnsi="Verdana"/>
          <w:sz w:val="20"/>
          <w:szCs w:val="20"/>
        </w:rPr>
        <w:t xml:space="preserve"> late-career capacity for </w:t>
      </w:r>
      <w:r w:rsidR="00B40319">
        <w:rPr>
          <w:rFonts w:ascii="Verdana" w:hAnsi="Verdana"/>
          <w:sz w:val="20"/>
          <w:szCs w:val="20"/>
        </w:rPr>
        <w:t>work</w:t>
      </w:r>
      <w:r w:rsidR="00A25A1C">
        <w:rPr>
          <w:rFonts w:ascii="Verdana" w:eastAsia="Verdana" w:hAnsi="Verdana"/>
          <w:iCs/>
          <w:sz w:val="20"/>
          <w:szCs w:val="20"/>
        </w:rPr>
        <w:t xml:space="preserve"> [16]. The impact may </w:t>
      </w:r>
      <w:r w:rsidR="00A25A1C" w:rsidRPr="008A3E79">
        <w:rPr>
          <w:rFonts w:ascii="Verdana" w:eastAsia="Verdana" w:hAnsi="Verdana"/>
          <w:iCs/>
          <w:sz w:val="20"/>
          <w:szCs w:val="20"/>
        </w:rPr>
        <w:t>especially</w:t>
      </w:r>
      <w:r w:rsidR="00A25A1C">
        <w:rPr>
          <w:rFonts w:ascii="Verdana" w:eastAsia="Verdana" w:hAnsi="Verdana"/>
          <w:iCs/>
          <w:sz w:val="20"/>
          <w:szCs w:val="20"/>
        </w:rPr>
        <w:t xml:space="preserve"> be felt</w:t>
      </w:r>
      <w:r w:rsidR="00B40319" w:rsidRPr="008A3E79">
        <w:rPr>
          <w:rFonts w:ascii="Verdana" w:eastAsia="Verdana" w:hAnsi="Verdana"/>
          <w:iCs/>
          <w:sz w:val="20"/>
          <w:szCs w:val="20"/>
        </w:rPr>
        <w:t xml:space="preserve"> </w:t>
      </w:r>
      <w:r w:rsidR="00A25A1C">
        <w:rPr>
          <w:rFonts w:ascii="Verdana" w:eastAsia="Verdana" w:hAnsi="Verdana"/>
          <w:iCs/>
          <w:sz w:val="20"/>
          <w:szCs w:val="20"/>
        </w:rPr>
        <w:t>by</w:t>
      </w:r>
      <w:r w:rsidR="00B40319" w:rsidRPr="008A3E79">
        <w:rPr>
          <w:rFonts w:ascii="Verdana" w:eastAsia="Verdana" w:hAnsi="Verdana"/>
          <w:iCs/>
          <w:sz w:val="20"/>
          <w:szCs w:val="20"/>
        </w:rPr>
        <w:t xml:space="preserve"> workers with other concurrent medical problems that might other</w:t>
      </w:r>
      <w:r w:rsidR="00F132A6">
        <w:rPr>
          <w:rFonts w:ascii="Verdana" w:eastAsia="Verdana" w:hAnsi="Verdana"/>
          <w:iCs/>
          <w:sz w:val="20"/>
          <w:szCs w:val="20"/>
        </w:rPr>
        <w:t>wise be compatible with working [17].</w:t>
      </w:r>
      <w:r w:rsidR="00B40319" w:rsidRPr="008A3E79">
        <w:rPr>
          <w:rFonts w:ascii="Verdana" w:eastAsia="Verdana" w:hAnsi="Verdana"/>
          <w:iCs/>
          <w:sz w:val="20"/>
          <w:szCs w:val="20"/>
        </w:rPr>
        <w:t xml:space="preserve"> </w:t>
      </w:r>
      <w:r w:rsidR="005F6831" w:rsidRPr="00F75FDB">
        <w:rPr>
          <w:rFonts w:ascii="Verdana" w:hAnsi="Verdana"/>
          <w:sz w:val="20"/>
        </w:rPr>
        <w:t xml:space="preserve">Better understanding of the impact of </w:t>
      </w:r>
      <w:r w:rsidR="00CC62FB">
        <w:rPr>
          <w:rFonts w:ascii="Verdana" w:hAnsi="Verdana"/>
          <w:sz w:val="20"/>
        </w:rPr>
        <w:t>disease and illness</w:t>
      </w:r>
      <w:r w:rsidR="005F6831">
        <w:rPr>
          <w:rFonts w:ascii="Verdana" w:hAnsi="Verdana"/>
          <w:sz w:val="20"/>
        </w:rPr>
        <w:t xml:space="preserve"> on employment at older ages</w:t>
      </w:r>
      <w:r w:rsidR="005F6831" w:rsidRPr="00F75FDB">
        <w:rPr>
          <w:rFonts w:ascii="Verdana" w:hAnsi="Verdana"/>
          <w:sz w:val="20"/>
        </w:rPr>
        <w:t>, and the factors that make it easie</w:t>
      </w:r>
      <w:r w:rsidR="005F6831">
        <w:rPr>
          <w:rFonts w:ascii="Verdana" w:hAnsi="Verdana"/>
          <w:sz w:val="20"/>
        </w:rPr>
        <w:t xml:space="preserve">r (or more difficult) for those </w:t>
      </w:r>
      <w:r w:rsidR="005F6831" w:rsidRPr="00F75FDB">
        <w:rPr>
          <w:rFonts w:ascii="Verdana" w:hAnsi="Verdana"/>
          <w:sz w:val="20"/>
        </w:rPr>
        <w:t xml:space="preserve">with </w:t>
      </w:r>
      <w:r w:rsidR="005F6831">
        <w:rPr>
          <w:rFonts w:ascii="Verdana" w:hAnsi="Verdana"/>
          <w:sz w:val="20"/>
        </w:rPr>
        <w:t>health problems</w:t>
      </w:r>
      <w:r w:rsidR="005F6831" w:rsidRPr="00F75FDB">
        <w:rPr>
          <w:rFonts w:ascii="Verdana" w:hAnsi="Verdana"/>
          <w:sz w:val="20"/>
        </w:rPr>
        <w:t xml:space="preserve"> to remain in safe productive work, is </w:t>
      </w:r>
      <w:r w:rsidR="005F6831">
        <w:rPr>
          <w:rFonts w:ascii="Verdana" w:hAnsi="Verdana"/>
          <w:sz w:val="20"/>
        </w:rPr>
        <w:t>important</w:t>
      </w:r>
      <w:r w:rsidR="005F6831" w:rsidRPr="00F75FDB">
        <w:rPr>
          <w:rFonts w:ascii="Verdana" w:hAnsi="Verdana"/>
          <w:sz w:val="20"/>
        </w:rPr>
        <w:t xml:space="preserve"> </w:t>
      </w:r>
      <w:r w:rsidR="00CC62FB">
        <w:rPr>
          <w:rFonts w:ascii="Verdana" w:hAnsi="Verdana"/>
          <w:sz w:val="20"/>
        </w:rPr>
        <w:t>for</w:t>
      </w:r>
      <w:r w:rsidR="005F6831" w:rsidRPr="00F75FDB">
        <w:rPr>
          <w:rFonts w:ascii="Verdana" w:hAnsi="Verdana"/>
          <w:sz w:val="20"/>
        </w:rPr>
        <w:t xml:space="preserve"> public health policy</w:t>
      </w:r>
      <w:r w:rsidR="005F6831">
        <w:rPr>
          <w:rFonts w:ascii="Verdana" w:hAnsi="Verdana"/>
          <w:sz w:val="20"/>
        </w:rPr>
        <w:t xml:space="preserve">, needed </w:t>
      </w:r>
      <w:r w:rsidR="005F6831" w:rsidRPr="00F75FDB">
        <w:rPr>
          <w:rFonts w:ascii="Verdana" w:hAnsi="Verdana"/>
          <w:sz w:val="20"/>
        </w:rPr>
        <w:t xml:space="preserve">to </w:t>
      </w:r>
      <w:r w:rsidR="005F6831">
        <w:rPr>
          <w:rFonts w:ascii="Verdana" w:hAnsi="Verdana"/>
          <w:sz w:val="20"/>
        </w:rPr>
        <w:t>aid the design of</w:t>
      </w:r>
      <w:r w:rsidR="005F6831" w:rsidRPr="00F75FDB">
        <w:rPr>
          <w:rFonts w:ascii="Verdana" w:hAnsi="Verdana"/>
          <w:sz w:val="20"/>
        </w:rPr>
        <w:t xml:space="preserve"> </w:t>
      </w:r>
      <w:r w:rsidR="005F6831" w:rsidRPr="008A3E79">
        <w:rPr>
          <w:rFonts w:ascii="Verdana" w:eastAsia="Verdana" w:hAnsi="Verdana"/>
          <w:iCs/>
          <w:sz w:val="20"/>
          <w:szCs w:val="20"/>
        </w:rPr>
        <w:t xml:space="preserve">jobs </w:t>
      </w:r>
      <w:r w:rsidR="005F6831">
        <w:rPr>
          <w:rFonts w:ascii="Verdana" w:eastAsia="Verdana" w:hAnsi="Verdana"/>
          <w:iCs/>
          <w:sz w:val="20"/>
          <w:szCs w:val="20"/>
        </w:rPr>
        <w:t>that</w:t>
      </w:r>
      <w:r w:rsidR="005F6831" w:rsidRPr="008A3E79">
        <w:rPr>
          <w:rFonts w:ascii="Verdana" w:eastAsia="Verdana" w:hAnsi="Verdana"/>
          <w:iCs/>
          <w:sz w:val="20"/>
          <w:szCs w:val="20"/>
        </w:rPr>
        <w:t xml:space="preserve"> better accommodate older workers</w:t>
      </w:r>
      <w:r w:rsidR="00CE1EFE">
        <w:rPr>
          <w:rFonts w:ascii="Verdana" w:eastAsia="Verdana" w:hAnsi="Verdana"/>
          <w:iCs/>
          <w:sz w:val="20"/>
          <w:szCs w:val="20"/>
        </w:rPr>
        <w:t xml:space="preserve"> with</w:t>
      </w:r>
      <w:r w:rsidR="005F6831" w:rsidRPr="00F75FDB">
        <w:rPr>
          <w:rFonts w:ascii="Verdana" w:hAnsi="Verdana"/>
          <w:sz w:val="20"/>
        </w:rPr>
        <w:t xml:space="preserve"> </w:t>
      </w:r>
      <w:r w:rsidR="005F6831">
        <w:rPr>
          <w:rFonts w:ascii="Verdana" w:hAnsi="Verdana"/>
          <w:sz w:val="20"/>
        </w:rPr>
        <w:t xml:space="preserve">health limitations. </w:t>
      </w:r>
      <w:r w:rsidR="005F6831">
        <w:rPr>
          <w:rFonts w:ascii="Verdana" w:hAnsi="Verdana"/>
          <w:sz w:val="20"/>
          <w:szCs w:val="20"/>
        </w:rPr>
        <w:t>Again, the context is likely to be important, some work circumstances being more forgiving of health limitations than others</w:t>
      </w:r>
      <w:r w:rsidR="00CE1EFE">
        <w:rPr>
          <w:rFonts w:ascii="Verdana" w:hAnsi="Verdana"/>
          <w:sz w:val="20"/>
          <w:szCs w:val="20"/>
        </w:rPr>
        <w:t>, and some health limitations being more amenable to accommodation in the workplace</w:t>
      </w:r>
      <w:r w:rsidR="00CC62FB">
        <w:rPr>
          <w:rFonts w:ascii="Verdana" w:hAnsi="Verdana"/>
          <w:sz w:val="20"/>
          <w:szCs w:val="20"/>
        </w:rPr>
        <w:t>.</w:t>
      </w:r>
      <w:r w:rsidR="005F6831">
        <w:rPr>
          <w:rFonts w:ascii="Verdana" w:hAnsi="Verdana"/>
          <w:sz w:val="20"/>
        </w:rPr>
        <w:t xml:space="preserve"> </w:t>
      </w:r>
      <w:r w:rsidR="00CC62FB">
        <w:rPr>
          <w:rFonts w:ascii="Verdana" w:hAnsi="Verdana"/>
          <w:sz w:val="20"/>
        </w:rPr>
        <w:t>U</w:t>
      </w:r>
      <w:r w:rsidR="005F6831" w:rsidRPr="00F75FDB">
        <w:rPr>
          <w:rFonts w:ascii="Verdana" w:hAnsi="Verdana"/>
          <w:sz w:val="20"/>
        </w:rPr>
        <w:t>nderstanding</w:t>
      </w:r>
      <w:r w:rsidR="005F6831">
        <w:rPr>
          <w:rFonts w:ascii="Verdana" w:hAnsi="Verdana"/>
          <w:sz w:val="20"/>
        </w:rPr>
        <w:t xml:space="preserve"> is required</w:t>
      </w:r>
      <w:r w:rsidR="005F6831" w:rsidRPr="00F75FDB">
        <w:rPr>
          <w:rFonts w:ascii="Verdana" w:hAnsi="Verdana"/>
          <w:sz w:val="20"/>
        </w:rPr>
        <w:t xml:space="preserve"> of </w:t>
      </w:r>
      <w:r w:rsidR="00CE1EFE" w:rsidRPr="00F75FDB">
        <w:rPr>
          <w:rFonts w:ascii="Verdana" w:hAnsi="Verdana"/>
          <w:sz w:val="20"/>
        </w:rPr>
        <w:t>how much work outcome</w:t>
      </w:r>
      <w:r w:rsidR="00CE1EFE">
        <w:rPr>
          <w:rFonts w:ascii="Verdana" w:hAnsi="Verdana"/>
          <w:sz w:val="20"/>
        </w:rPr>
        <w:t>s</w:t>
      </w:r>
      <w:r w:rsidR="00CE1EFE" w:rsidRPr="00F75FDB">
        <w:rPr>
          <w:rFonts w:ascii="Verdana" w:hAnsi="Verdana"/>
          <w:sz w:val="20"/>
        </w:rPr>
        <w:t xml:space="preserve"> </w:t>
      </w:r>
      <w:r w:rsidR="00CE1EFE">
        <w:rPr>
          <w:rFonts w:ascii="Verdana" w:hAnsi="Verdana"/>
          <w:sz w:val="20"/>
        </w:rPr>
        <w:t>vary by diagnosis and environment</w:t>
      </w:r>
      <w:r w:rsidR="005F6831" w:rsidRPr="00F75FDB">
        <w:rPr>
          <w:rFonts w:ascii="Verdana" w:hAnsi="Verdana"/>
          <w:sz w:val="20"/>
        </w:rPr>
        <w:t>, and which</w:t>
      </w:r>
      <w:r w:rsidR="00CE1EFE">
        <w:rPr>
          <w:rFonts w:ascii="Verdana" w:hAnsi="Verdana"/>
          <w:sz w:val="20"/>
        </w:rPr>
        <w:t xml:space="preserve"> types of intervention</w:t>
      </w:r>
      <w:r w:rsidR="005F6831" w:rsidRPr="00F75FDB">
        <w:rPr>
          <w:rFonts w:ascii="Verdana" w:hAnsi="Verdana"/>
          <w:sz w:val="20"/>
        </w:rPr>
        <w:t xml:space="preserve"> are needed and for whom.</w:t>
      </w:r>
    </w:p>
    <w:p w14:paraId="0EA81C59" w14:textId="77777777" w:rsidR="00C33BBA" w:rsidRPr="00C33BBA" w:rsidRDefault="00C33BBA" w:rsidP="00C33BBA">
      <w:pPr>
        <w:widowControl w:val="0"/>
        <w:spacing w:line="480" w:lineRule="auto"/>
        <w:rPr>
          <w:rFonts w:ascii="Verdana" w:hAnsi="Verdana"/>
          <w:sz w:val="20"/>
        </w:rPr>
      </w:pPr>
    </w:p>
    <w:p w14:paraId="3D3D61DA" w14:textId="77777777" w:rsidR="001432D8" w:rsidRDefault="001432D8" w:rsidP="00C33BBA">
      <w:pPr>
        <w:widowControl w:val="0"/>
        <w:spacing w:line="480" w:lineRule="auto"/>
        <w:rPr>
          <w:rFonts w:ascii="Verdana" w:hAnsi="Verdana"/>
          <w:sz w:val="20"/>
          <w:szCs w:val="20"/>
        </w:rPr>
      </w:pPr>
      <w:r>
        <w:rPr>
          <w:rFonts w:ascii="Verdana" w:hAnsi="Verdana"/>
          <w:sz w:val="20"/>
          <w:szCs w:val="20"/>
        </w:rPr>
        <w:lastRenderedPageBreak/>
        <w:t>A third uncertainty, given the rising prevalence of age-related disorders and their treatments in modern workforces, is the associated risk to physical safety and the jobs that older workers can safely perform. A systematic review of health</w:t>
      </w:r>
      <w:r w:rsidR="00F132A6">
        <w:rPr>
          <w:rFonts w:ascii="Verdana" w:hAnsi="Verdana"/>
          <w:sz w:val="20"/>
          <w:szCs w:val="20"/>
        </w:rPr>
        <w:t xml:space="preserve"> and risk of occupational injury [8]</w:t>
      </w:r>
      <w:r>
        <w:rPr>
          <w:rFonts w:ascii="Verdana" w:hAnsi="Verdana"/>
          <w:sz w:val="20"/>
          <w:szCs w:val="20"/>
        </w:rPr>
        <w:t xml:space="preserve"> highlighted the paucity of data and the difficulty managers will have in setting evidence-based employment policies.</w:t>
      </w:r>
    </w:p>
    <w:p w14:paraId="7D76BB33" w14:textId="77777777" w:rsidR="00E7578E" w:rsidRDefault="00E7578E" w:rsidP="00C33BBA">
      <w:pPr>
        <w:widowControl w:val="0"/>
        <w:spacing w:line="480" w:lineRule="auto"/>
        <w:rPr>
          <w:rFonts w:ascii="Verdana" w:hAnsi="Verdana"/>
          <w:sz w:val="20"/>
          <w:szCs w:val="20"/>
        </w:rPr>
      </w:pPr>
    </w:p>
    <w:p w14:paraId="4EF885CB" w14:textId="085C72D4" w:rsidR="00E7578E" w:rsidRDefault="00E7578E" w:rsidP="00C33BBA">
      <w:pPr>
        <w:widowControl w:val="0"/>
        <w:spacing w:line="480" w:lineRule="auto"/>
        <w:rPr>
          <w:rFonts w:ascii="Verdana" w:hAnsi="Verdana"/>
          <w:sz w:val="20"/>
          <w:szCs w:val="20"/>
        </w:rPr>
      </w:pPr>
      <w:r>
        <w:rPr>
          <w:rFonts w:ascii="Verdana" w:hAnsi="Verdana"/>
          <w:sz w:val="20"/>
          <w:szCs w:val="20"/>
        </w:rPr>
        <w:t xml:space="preserve">A fourth area bearing investigation concerns the impact </w:t>
      </w:r>
      <w:r w:rsidR="00653E6C">
        <w:rPr>
          <w:rFonts w:ascii="Verdana" w:hAnsi="Verdana"/>
          <w:sz w:val="20"/>
          <w:szCs w:val="20"/>
        </w:rPr>
        <w:t xml:space="preserve">that </w:t>
      </w:r>
      <w:r>
        <w:rPr>
          <w:rFonts w:ascii="Verdana" w:hAnsi="Verdana"/>
          <w:sz w:val="20"/>
          <w:szCs w:val="20"/>
        </w:rPr>
        <w:t xml:space="preserve">social and financial factors have on retirement </w:t>
      </w:r>
      <w:r w:rsidR="00881B35">
        <w:rPr>
          <w:rFonts w:ascii="Verdana" w:hAnsi="Verdana"/>
          <w:sz w:val="20"/>
          <w:szCs w:val="20"/>
        </w:rPr>
        <w:t>intentions</w:t>
      </w:r>
      <w:r>
        <w:rPr>
          <w:rFonts w:ascii="Verdana" w:hAnsi="Verdana"/>
          <w:sz w:val="20"/>
          <w:szCs w:val="20"/>
        </w:rPr>
        <w:t xml:space="preserve"> (e.g. affordability, other commitments and interests), and how this varies by health status and circumstances of employment. </w:t>
      </w:r>
    </w:p>
    <w:p w14:paraId="76DFB811" w14:textId="77777777" w:rsidR="001432D8" w:rsidRDefault="001432D8" w:rsidP="00C33BBA">
      <w:pPr>
        <w:widowControl w:val="0"/>
        <w:spacing w:line="480" w:lineRule="auto"/>
        <w:rPr>
          <w:rFonts w:ascii="Verdana" w:hAnsi="Verdana"/>
          <w:sz w:val="20"/>
        </w:rPr>
      </w:pPr>
    </w:p>
    <w:p w14:paraId="7FA55623" w14:textId="14088C0D" w:rsidR="001432D8" w:rsidRDefault="008B616C" w:rsidP="00C33BBA">
      <w:pPr>
        <w:widowControl w:val="0"/>
        <w:spacing w:line="480" w:lineRule="auto"/>
        <w:rPr>
          <w:rFonts w:ascii="Verdana" w:hAnsi="Verdana"/>
          <w:sz w:val="20"/>
        </w:rPr>
      </w:pPr>
      <w:r>
        <w:rPr>
          <w:rFonts w:ascii="Verdana" w:hAnsi="Verdana"/>
          <w:sz w:val="20"/>
        </w:rPr>
        <w:t>Finally, e</w:t>
      </w:r>
      <w:r w:rsidR="001432D8">
        <w:rPr>
          <w:rFonts w:ascii="Verdana" w:hAnsi="Verdana"/>
          <w:sz w:val="20"/>
        </w:rPr>
        <w:t xml:space="preserve">ffective planning to maximise work opportunities at older ages requires information on the descriptive epidemiology of ageing and adverse employment outcomes.  </w:t>
      </w:r>
      <w:r w:rsidR="00B40319">
        <w:rPr>
          <w:rFonts w:ascii="Verdana" w:hAnsi="Verdana"/>
          <w:sz w:val="20"/>
        </w:rPr>
        <w:t>For example</w:t>
      </w:r>
      <w:r w:rsidR="001432D8">
        <w:rPr>
          <w:rFonts w:ascii="Verdana" w:hAnsi="Verdana"/>
          <w:sz w:val="20"/>
        </w:rPr>
        <w:t xml:space="preserve">, it would be helpful to know: </w:t>
      </w:r>
      <w:r w:rsidR="007F279F">
        <w:rPr>
          <w:rFonts w:ascii="Verdana" w:hAnsi="Verdana"/>
          <w:sz w:val="20"/>
        </w:rPr>
        <w:t xml:space="preserve">how often middle-aged workers struggle to cope at work; </w:t>
      </w:r>
      <w:r w:rsidR="001432D8">
        <w:rPr>
          <w:rFonts w:ascii="Verdana" w:hAnsi="Verdana"/>
          <w:sz w:val="20"/>
        </w:rPr>
        <w:t xml:space="preserve">how often </w:t>
      </w:r>
      <w:r w:rsidR="007F279F">
        <w:rPr>
          <w:rFonts w:ascii="Verdana" w:hAnsi="Verdana"/>
          <w:sz w:val="20"/>
        </w:rPr>
        <w:t>they</w:t>
      </w:r>
      <w:r w:rsidR="00B40319">
        <w:rPr>
          <w:rFonts w:ascii="Verdana" w:hAnsi="Verdana"/>
          <w:sz w:val="20"/>
        </w:rPr>
        <w:t xml:space="preserve"> quit a job for medical reasons</w:t>
      </w:r>
      <w:r w:rsidR="001432D8">
        <w:rPr>
          <w:rFonts w:ascii="Verdana" w:hAnsi="Verdana"/>
          <w:sz w:val="20"/>
        </w:rPr>
        <w:t xml:space="preserve"> and which disorders are most often responsible; the levels of sickness absence in older workers from the general population and its leading causes; how well medical factors and indices of mental and physical health predict sickness absence and job loss; the likelihood that an older adult who quits a job for medical reasons will find re-employment, and how this varies by reason for job loss; how patterns of job loss vary by type of work and how much they are modified by workplace psychosocial and physical conditions and access to rehabilitation services</w:t>
      </w:r>
      <w:r w:rsidR="007F279F">
        <w:rPr>
          <w:rFonts w:ascii="Verdana" w:hAnsi="Verdana"/>
          <w:sz w:val="20"/>
        </w:rPr>
        <w:t>; and how the demands and perceived rewards of work, and employers’ support, bear on retirement intentions and work retention</w:t>
      </w:r>
      <w:r w:rsidR="001432D8">
        <w:rPr>
          <w:rFonts w:ascii="Verdana" w:hAnsi="Verdana"/>
          <w:sz w:val="20"/>
        </w:rPr>
        <w:t xml:space="preserve">. </w:t>
      </w:r>
      <w:r w:rsidR="00D17EA6" w:rsidRPr="00D17EA6">
        <w:rPr>
          <w:rFonts w:ascii="Verdana" w:hAnsi="Verdana"/>
          <w:sz w:val="20"/>
        </w:rPr>
        <w:t>Only limited data are currently available to answer these questions, but all require answers urgently</w:t>
      </w:r>
      <w:r w:rsidR="001432D8">
        <w:rPr>
          <w:rFonts w:ascii="Verdana" w:hAnsi="Verdana"/>
          <w:sz w:val="20"/>
        </w:rPr>
        <w:t xml:space="preserve">, given the changing demographics </w:t>
      </w:r>
      <w:r w:rsidR="00B40319">
        <w:rPr>
          <w:rFonts w:ascii="Verdana" w:hAnsi="Verdana"/>
          <w:sz w:val="20"/>
        </w:rPr>
        <w:t>in modern</w:t>
      </w:r>
      <w:r w:rsidR="001432D8">
        <w:rPr>
          <w:rFonts w:ascii="Verdana" w:hAnsi="Verdana"/>
          <w:sz w:val="20"/>
        </w:rPr>
        <w:t xml:space="preserve"> workforce</w:t>
      </w:r>
      <w:r w:rsidR="00B40319">
        <w:rPr>
          <w:rFonts w:ascii="Verdana" w:hAnsi="Verdana"/>
          <w:sz w:val="20"/>
        </w:rPr>
        <w:t>s</w:t>
      </w:r>
      <w:r w:rsidR="001432D8">
        <w:rPr>
          <w:rFonts w:ascii="Verdana" w:hAnsi="Verdana"/>
          <w:sz w:val="20"/>
        </w:rPr>
        <w:t xml:space="preserve">. </w:t>
      </w:r>
    </w:p>
    <w:p w14:paraId="04E68790" w14:textId="77777777" w:rsidR="005F6831" w:rsidRDefault="005F6831" w:rsidP="00C33BBA">
      <w:pPr>
        <w:widowControl w:val="0"/>
        <w:spacing w:line="480" w:lineRule="auto"/>
        <w:rPr>
          <w:rFonts w:ascii="Verdana" w:hAnsi="Verdana"/>
          <w:sz w:val="20"/>
        </w:rPr>
      </w:pPr>
    </w:p>
    <w:p w14:paraId="1AEB42C2" w14:textId="741E116E" w:rsidR="00013B1B" w:rsidRDefault="00B40319" w:rsidP="00C33BBA">
      <w:pPr>
        <w:widowControl w:val="0"/>
        <w:spacing w:line="480" w:lineRule="auto"/>
        <w:rPr>
          <w:rFonts w:ascii="Verdana" w:hAnsi="Verdana"/>
          <w:sz w:val="20"/>
        </w:rPr>
      </w:pPr>
      <w:r w:rsidRPr="008A3E79">
        <w:rPr>
          <w:rFonts w:ascii="Verdana" w:eastAsia="Verdana" w:hAnsi="Verdana"/>
          <w:iCs/>
          <w:sz w:val="20"/>
          <w:szCs w:val="20"/>
        </w:rPr>
        <w:t>As a precursor to the develo</w:t>
      </w:r>
      <w:r w:rsidR="005F6831">
        <w:rPr>
          <w:rFonts w:ascii="Verdana" w:eastAsia="Verdana" w:hAnsi="Verdana"/>
          <w:iCs/>
          <w:sz w:val="20"/>
          <w:szCs w:val="20"/>
        </w:rPr>
        <w:t>pment of guidance for employers</w:t>
      </w:r>
      <w:r w:rsidRPr="008A3E79">
        <w:rPr>
          <w:rFonts w:ascii="Verdana" w:eastAsia="Verdana" w:hAnsi="Verdana"/>
          <w:iCs/>
          <w:sz w:val="20"/>
          <w:szCs w:val="20"/>
        </w:rPr>
        <w:t xml:space="preserve"> and its assessment through intervention studies, </w:t>
      </w:r>
      <w:r w:rsidRPr="008A3E79">
        <w:rPr>
          <w:rFonts w:ascii="Verdana" w:eastAsia="Verdana" w:hAnsi="Verdana"/>
          <w:sz w:val="20"/>
          <w:szCs w:val="20"/>
        </w:rPr>
        <w:t xml:space="preserve">we have been funded by Arthritis Research UK, </w:t>
      </w:r>
      <w:r>
        <w:rPr>
          <w:rFonts w:ascii="Verdana" w:eastAsia="Verdana" w:hAnsi="Verdana"/>
          <w:sz w:val="20"/>
          <w:szCs w:val="20"/>
        </w:rPr>
        <w:t>the Medical Research Council</w:t>
      </w:r>
      <w:r w:rsidRPr="008A3E79">
        <w:rPr>
          <w:rFonts w:ascii="Verdana" w:eastAsia="Verdana" w:hAnsi="Verdana"/>
          <w:sz w:val="20"/>
          <w:szCs w:val="20"/>
        </w:rPr>
        <w:t xml:space="preserve">, and </w:t>
      </w:r>
      <w:r>
        <w:rPr>
          <w:rFonts w:ascii="Verdana" w:eastAsia="Verdana" w:hAnsi="Verdana"/>
          <w:sz w:val="20"/>
          <w:szCs w:val="20"/>
        </w:rPr>
        <w:t>the</w:t>
      </w:r>
      <w:r w:rsidR="00FD02A5">
        <w:rPr>
          <w:rFonts w:ascii="Verdana" w:eastAsia="Verdana" w:hAnsi="Verdana"/>
          <w:sz w:val="20"/>
          <w:szCs w:val="20"/>
        </w:rPr>
        <w:t xml:space="preserve"> </w:t>
      </w:r>
      <w:r w:rsidR="00FD02A5" w:rsidRPr="00FD02A5">
        <w:rPr>
          <w:rFonts w:ascii="Verdana" w:eastAsia="Verdana" w:hAnsi="Verdana"/>
          <w:sz w:val="20"/>
          <w:szCs w:val="20"/>
        </w:rPr>
        <w:t>Economic and Social Research Council</w:t>
      </w:r>
      <w:r>
        <w:rPr>
          <w:rFonts w:ascii="Verdana" w:eastAsia="Verdana" w:hAnsi="Verdana"/>
          <w:sz w:val="20"/>
          <w:szCs w:val="20"/>
        </w:rPr>
        <w:t xml:space="preserve"> </w:t>
      </w:r>
      <w:r w:rsidR="00FD02A5">
        <w:rPr>
          <w:rFonts w:ascii="Verdana" w:eastAsia="Verdana" w:hAnsi="Verdana"/>
          <w:sz w:val="20"/>
          <w:szCs w:val="20"/>
        </w:rPr>
        <w:t>(</w:t>
      </w:r>
      <w:r w:rsidRPr="008A3E79">
        <w:rPr>
          <w:rFonts w:ascii="Verdana" w:eastAsia="Verdana" w:hAnsi="Verdana"/>
          <w:sz w:val="20"/>
          <w:szCs w:val="20"/>
        </w:rPr>
        <w:t>ESRC</w:t>
      </w:r>
      <w:r w:rsidR="00FD02A5">
        <w:rPr>
          <w:rFonts w:ascii="Verdana" w:eastAsia="Verdana" w:hAnsi="Verdana"/>
          <w:sz w:val="20"/>
          <w:szCs w:val="20"/>
        </w:rPr>
        <w:t>)</w:t>
      </w:r>
      <w:r w:rsidRPr="008A3E79">
        <w:rPr>
          <w:rFonts w:ascii="Verdana" w:eastAsia="Verdana" w:hAnsi="Verdana"/>
          <w:sz w:val="20"/>
          <w:szCs w:val="20"/>
        </w:rPr>
        <w:t xml:space="preserve"> to </w:t>
      </w:r>
      <w:r>
        <w:rPr>
          <w:rFonts w:ascii="Verdana" w:eastAsia="Verdana" w:hAnsi="Verdana"/>
          <w:sz w:val="20"/>
          <w:szCs w:val="20"/>
        </w:rPr>
        <w:t>establish</w:t>
      </w:r>
      <w:r w:rsidRPr="008A3E79">
        <w:rPr>
          <w:rFonts w:ascii="Verdana" w:eastAsia="Verdana" w:hAnsi="Verdana"/>
          <w:sz w:val="20"/>
          <w:szCs w:val="20"/>
        </w:rPr>
        <w:t xml:space="preserve"> a new cohort investigation of a</w:t>
      </w:r>
      <w:r>
        <w:rPr>
          <w:rFonts w:ascii="Verdana" w:eastAsia="Verdana" w:hAnsi="Verdana"/>
          <w:sz w:val="20"/>
          <w:szCs w:val="20"/>
        </w:rPr>
        <w:t>geing and employment transition called</w:t>
      </w:r>
      <w:r w:rsidRPr="008A3E79">
        <w:rPr>
          <w:rFonts w:ascii="Verdana" w:eastAsia="Verdana" w:hAnsi="Verdana"/>
          <w:sz w:val="20"/>
          <w:szCs w:val="20"/>
        </w:rPr>
        <w:t xml:space="preserve"> the </w:t>
      </w:r>
      <w:r w:rsidRPr="008A3E79">
        <w:rPr>
          <w:rFonts w:ascii="Verdana" w:eastAsia="Verdana" w:hAnsi="Verdana"/>
          <w:b/>
          <w:sz w:val="20"/>
          <w:szCs w:val="20"/>
        </w:rPr>
        <w:t>H</w:t>
      </w:r>
      <w:r w:rsidRPr="008A3E79">
        <w:rPr>
          <w:rFonts w:ascii="Verdana" w:eastAsia="Verdana" w:hAnsi="Verdana"/>
          <w:sz w:val="20"/>
          <w:szCs w:val="20"/>
        </w:rPr>
        <w:t xml:space="preserve">ealth and </w:t>
      </w:r>
      <w:r w:rsidRPr="008A3E79">
        <w:rPr>
          <w:rFonts w:ascii="Verdana" w:eastAsia="Verdana" w:hAnsi="Verdana"/>
          <w:b/>
          <w:sz w:val="20"/>
          <w:szCs w:val="20"/>
        </w:rPr>
        <w:lastRenderedPageBreak/>
        <w:t>E</w:t>
      </w:r>
      <w:r w:rsidRPr="008A3E79">
        <w:rPr>
          <w:rFonts w:ascii="Verdana" w:eastAsia="Verdana" w:hAnsi="Verdana"/>
          <w:sz w:val="20"/>
          <w:szCs w:val="20"/>
        </w:rPr>
        <w:t xml:space="preserve">mployment </w:t>
      </w:r>
      <w:r w:rsidRPr="008A3E79">
        <w:rPr>
          <w:rFonts w:ascii="Verdana" w:eastAsia="Verdana" w:hAnsi="Verdana"/>
          <w:b/>
          <w:sz w:val="20"/>
          <w:szCs w:val="20"/>
        </w:rPr>
        <w:t>A</w:t>
      </w:r>
      <w:r w:rsidRPr="008A3E79">
        <w:rPr>
          <w:rFonts w:ascii="Verdana" w:eastAsia="Verdana" w:hAnsi="Verdana"/>
          <w:sz w:val="20"/>
          <w:szCs w:val="20"/>
        </w:rPr>
        <w:t xml:space="preserve">fter </w:t>
      </w:r>
      <w:r w:rsidRPr="008A3E79">
        <w:rPr>
          <w:rFonts w:ascii="Verdana" w:eastAsia="Verdana" w:hAnsi="Verdana"/>
          <w:b/>
          <w:sz w:val="20"/>
          <w:szCs w:val="20"/>
        </w:rPr>
        <w:t>F</w:t>
      </w:r>
      <w:r w:rsidRPr="008A3E79">
        <w:rPr>
          <w:rFonts w:ascii="Verdana" w:eastAsia="Verdana" w:hAnsi="Verdana"/>
          <w:sz w:val="20"/>
          <w:szCs w:val="20"/>
        </w:rPr>
        <w:t xml:space="preserve">ifty (HEAF) study. </w:t>
      </w:r>
      <w:r w:rsidR="00155228">
        <w:rPr>
          <w:rFonts w:ascii="Verdana" w:hAnsi="Verdana"/>
          <w:sz w:val="20"/>
        </w:rPr>
        <w:t>In this report we describe the aims of the HEAF study, its methods of recruitment and the participation rates at baseline, the information being collected and data sources, and our plans to date for follow-up, analysis and related field work.</w:t>
      </w:r>
    </w:p>
    <w:p w14:paraId="4E6CBCBB" w14:textId="77777777" w:rsidR="005F6831" w:rsidRDefault="005F6831" w:rsidP="00C33BBA">
      <w:pPr>
        <w:widowControl w:val="0"/>
        <w:spacing w:line="480" w:lineRule="auto"/>
        <w:rPr>
          <w:rFonts w:ascii="Verdana" w:hAnsi="Verdana"/>
          <w:sz w:val="20"/>
        </w:rPr>
      </w:pPr>
    </w:p>
    <w:p w14:paraId="3C912AE0" w14:textId="77777777" w:rsidR="005F6831" w:rsidRPr="005C691E" w:rsidRDefault="005F6831" w:rsidP="00C33BBA">
      <w:pPr>
        <w:widowControl w:val="0"/>
        <w:spacing w:line="480" w:lineRule="auto"/>
        <w:rPr>
          <w:rFonts w:ascii="Verdana" w:hAnsi="Verdana"/>
          <w:sz w:val="20"/>
        </w:rPr>
      </w:pPr>
    </w:p>
    <w:p w14:paraId="28269E28" w14:textId="184C7176" w:rsidR="00632D60" w:rsidRPr="00DA5D5E" w:rsidRDefault="00CC62FB" w:rsidP="00C33BBA">
      <w:pPr>
        <w:widowControl w:val="0"/>
        <w:spacing w:line="480" w:lineRule="auto"/>
        <w:rPr>
          <w:rFonts w:ascii="Verdana" w:hAnsi="Verdana"/>
          <w:b/>
          <w:bCs/>
        </w:rPr>
      </w:pPr>
      <w:r>
        <w:rPr>
          <w:rFonts w:ascii="Verdana" w:hAnsi="Verdana"/>
          <w:b/>
          <w:bCs/>
        </w:rPr>
        <w:t>Objectives</w:t>
      </w:r>
    </w:p>
    <w:p w14:paraId="47A96E85" w14:textId="4A01B610" w:rsidR="00CC62FB" w:rsidRDefault="00CC62FB" w:rsidP="00C33BBA">
      <w:pPr>
        <w:widowControl w:val="0"/>
        <w:spacing w:line="480" w:lineRule="auto"/>
        <w:rPr>
          <w:rFonts w:ascii="Verdana" w:hAnsi="Verdana"/>
          <w:sz w:val="20"/>
        </w:rPr>
      </w:pPr>
      <w:r>
        <w:rPr>
          <w:rFonts w:ascii="Verdana" w:hAnsi="Verdana"/>
          <w:sz w:val="20"/>
        </w:rPr>
        <w:t>The aims of the HEAF study are:</w:t>
      </w:r>
    </w:p>
    <w:p w14:paraId="6C8E22A5" w14:textId="47262AFE" w:rsidR="00632D60" w:rsidRPr="005A05FE" w:rsidRDefault="00632D60" w:rsidP="00C33BBA">
      <w:pPr>
        <w:widowControl w:val="0"/>
        <w:numPr>
          <w:ilvl w:val="0"/>
          <w:numId w:val="1"/>
        </w:numPr>
        <w:spacing w:line="480" w:lineRule="auto"/>
        <w:rPr>
          <w:rFonts w:ascii="Verdana" w:hAnsi="Verdana"/>
          <w:sz w:val="20"/>
        </w:rPr>
      </w:pPr>
      <w:r>
        <w:rPr>
          <w:rFonts w:ascii="Verdana" w:hAnsi="Verdana"/>
          <w:sz w:val="20"/>
        </w:rPr>
        <w:t>To assess the health benefits and risks of remaining in work at older ages and their predictors (health as an outcome), and thereby the</w:t>
      </w:r>
      <w:r w:rsidR="00CC62FB">
        <w:rPr>
          <w:rFonts w:ascii="Verdana" w:hAnsi="Verdana"/>
          <w:sz w:val="20"/>
        </w:rPr>
        <w:t xml:space="preserve"> potential</w:t>
      </w:r>
      <w:r>
        <w:rPr>
          <w:rFonts w:ascii="Verdana" w:hAnsi="Verdana"/>
          <w:sz w:val="20"/>
        </w:rPr>
        <w:t xml:space="preserve"> health impact of policies to extend working life and maximise employment in later working life; t</w:t>
      </w:r>
      <w:r w:rsidRPr="005A05FE">
        <w:rPr>
          <w:rFonts w:ascii="Verdana" w:hAnsi="Verdana"/>
          <w:sz w:val="20"/>
        </w:rPr>
        <w:t xml:space="preserve">o identify occupational, social and personal </w:t>
      </w:r>
      <w:r>
        <w:rPr>
          <w:rFonts w:ascii="Verdana" w:hAnsi="Verdana"/>
          <w:sz w:val="20"/>
        </w:rPr>
        <w:t>co-</w:t>
      </w:r>
      <w:r w:rsidRPr="005A05FE">
        <w:rPr>
          <w:rFonts w:ascii="Verdana" w:hAnsi="Verdana"/>
          <w:sz w:val="20"/>
        </w:rPr>
        <w:t>factors which modify th</w:t>
      </w:r>
      <w:r>
        <w:rPr>
          <w:rFonts w:ascii="Verdana" w:hAnsi="Verdana"/>
          <w:sz w:val="20"/>
        </w:rPr>
        <w:t>is</w:t>
      </w:r>
      <w:r w:rsidRPr="005A05FE">
        <w:rPr>
          <w:rFonts w:ascii="Verdana" w:hAnsi="Verdana"/>
          <w:sz w:val="20"/>
        </w:rPr>
        <w:t xml:space="preserve"> relationship</w:t>
      </w:r>
      <w:r w:rsidR="005C691E">
        <w:rPr>
          <w:rFonts w:ascii="Verdana" w:hAnsi="Verdana"/>
          <w:sz w:val="20"/>
        </w:rPr>
        <w:t xml:space="preserve">, as </w:t>
      </w:r>
      <w:r w:rsidR="00CC62FB">
        <w:rPr>
          <w:rFonts w:ascii="Verdana" w:hAnsi="Verdana"/>
          <w:sz w:val="20"/>
        </w:rPr>
        <w:t>possible</w:t>
      </w:r>
      <w:r w:rsidR="005C691E">
        <w:rPr>
          <w:rFonts w:ascii="Verdana" w:hAnsi="Verdana"/>
          <w:sz w:val="20"/>
        </w:rPr>
        <w:t xml:space="preserve"> targets </w:t>
      </w:r>
      <w:r w:rsidR="00CC62FB">
        <w:rPr>
          <w:rFonts w:ascii="Verdana" w:hAnsi="Verdana"/>
          <w:sz w:val="20"/>
        </w:rPr>
        <w:t>for</w:t>
      </w:r>
      <w:r w:rsidR="005C691E">
        <w:rPr>
          <w:rFonts w:ascii="Verdana" w:hAnsi="Verdana"/>
          <w:sz w:val="20"/>
        </w:rPr>
        <w:t xml:space="preserve"> intervention</w:t>
      </w:r>
      <w:r w:rsidRPr="005A05FE">
        <w:rPr>
          <w:rFonts w:ascii="Verdana" w:hAnsi="Verdana"/>
          <w:sz w:val="20"/>
        </w:rPr>
        <w:t>.</w:t>
      </w:r>
    </w:p>
    <w:p w14:paraId="23D40409" w14:textId="77777777" w:rsidR="00632D60" w:rsidRPr="00F353B4" w:rsidRDefault="00632D60" w:rsidP="00C33BBA">
      <w:pPr>
        <w:widowControl w:val="0"/>
        <w:numPr>
          <w:ilvl w:val="0"/>
          <w:numId w:val="1"/>
        </w:numPr>
        <w:spacing w:line="480" w:lineRule="auto"/>
        <w:rPr>
          <w:rFonts w:ascii="Verdana" w:hAnsi="Verdana"/>
          <w:sz w:val="20"/>
        </w:rPr>
      </w:pPr>
      <w:r>
        <w:rPr>
          <w:rFonts w:ascii="Verdana" w:hAnsi="Verdana"/>
          <w:sz w:val="20"/>
        </w:rPr>
        <w:t xml:space="preserve">To assess the impact of health on employment outcome and lost work time (health as an exposure) - e.g. the </w:t>
      </w:r>
      <w:r w:rsidRPr="00F76CB9">
        <w:rPr>
          <w:rFonts w:ascii="Verdana" w:hAnsi="Verdana"/>
          <w:sz w:val="20"/>
          <w:szCs w:val="20"/>
        </w:rPr>
        <w:t>impact of musculoskeletal</w:t>
      </w:r>
      <w:r>
        <w:rPr>
          <w:rFonts w:ascii="Verdana" w:hAnsi="Verdana"/>
          <w:sz w:val="20"/>
          <w:szCs w:val="20"/>
        </w:rPr>
        <w:t xml:space="preserve"> illness </w:t>
      </w:r>
      <w:r w:rsidRPr="00F76CB9">
        <w:rPr>
          <w:rFonts w:ascii="Verdana" w:hAnsi="Verdana"/>
          <w:sz w:val="20"/>
          <w:szCs w:val="20"/>
        </w:rPr>
        <w:t xml:space="preserve">at older ages on </w:t>
      </w:r>
      <w:r>
        <w:rPr>
          <w:rFonts w:ascii="Verdana" w:hAnsi="Verdana"/>
          <w:sz w:val="20"/>
          <w:szCs w:val="20"/>
        </w:rPr>
        <w:t xml:space="preserve">work capability, </w:t>
      </w:r>
      <w:r w:rsidRPr="00F76CB9">
        <w:rPr>
          <w:rFonts w:ascii="Verdana" w:hAnsi="Verdana"/>
          <w:sz w:val="20"/>
          <w:szCs w:val="20"/>
        </w:rPr>
        <w:t>employment status</w:t>
      </w:r>
      <w:r>
        <w:rPr>
          <w:rFonts w:ascii="Verdana" w:hAnsi="Verdana"/>
          <w:sz w:val="20"/>
          <w:szCs w:val="20"/>
        </w:rPr>
        <w:t xml:space="preserve">, </w:t>
      </w:r>
      <w:r w:rsidRPr="00F76CB9">
        <w:rPr>
          <w:rFonts w:ascii="Verdana" w:hAnsi="Verdana"/>
          <w:sz w:val="20"/>
          <w:szCs w:val="20"/>
        </w:rPr>
        <w:t>and</w:t>
      </w:r>
      <w:r>
        <w:rPr>
          <w:rFonts w:ascii="Verdana" w:hAnsi="Verdana"/>
          <w:sz w:val="20"/>
          <w:szCs w:val="20"/>
        </w:rPr>
        <w:t xml:space="preserve"> job </w:t>
      </w:r>
      <w:r w:rsidRPr="00F76CB9">
        <w:rPr>
          <w:rFonts w:ascii="Verdana" w:hAnsi="Verdana"/>
          <w:sz w:val="20"/>
          <w:szCs w:val="20"/>
        </w:rPr>
        <w:t>retention</w:t>
      </w:r>
      <w:r w:rsidR="005C691E">
        <w:rPr>
          <w:rFonts w:ascii="Verdana" w:hAnsi="Verdana"/>
          <w:sz w:val="20"/>
          <w:szCs w:val="20"/>
        </w:rPr>
        <w:t xml:space="preserve">, to enable the development of interventions </w:t>
      </w:r>
      <w:r w:rsidR="005F6831">
        <w:rPr>
          <w:rFonts w:ascii="Verdana" w:hAnsi="Verdana"/>
          <w:sz w:val="20"/>
          <w:szCs w:val="20"/>
        </w:rPr>
        <w:t>that</w:t>
      </w:r>
      <w:r w:rsidR="005C691E">
        <w:rPr>
          <w:rFonts w:ascii="Verdana" w:hAnsi="Verdana"/>
          <w:sz w:val="20"/>
          <w:szCs w:val="20"/>
        </w:rPr>
        <w:t xml:space="preserve"> support extended working life</w:t>
      </w:r>
      <w:r>
        <w:rPr>
          <w:rFonts w:ascii="Verdana" w:hAnsi="Verdana"/>
          <w:sz w:val="20"/>
          <w:szCs w:val="20"/>
        </w:rPr>
        <w:t>.</w:t>
      </w:r>
    </w:p>
    <w:p w14:paraId="17AB9CEC" w14:textId="77777777" w:rsidR="00632D60" w:rsidRDefault="00632D60" w:rsidP="00C33BBA">
      <w:pPr>
        <w:widowControl w:val="0"/>
        <w:spacing w:line="480" w:lineRule="auto"/>
        <w:rPr>
          <w:rFonts w:ascii="Verdana" w:hAnsi="Verdana"/>
          <w:sz w:val="20"/>
        </w:rPr>
      </w:pPr>
      <w:r>
        <w:rPr>
          <w:rFonts w:ascii="Verdana" w:hAnsi="Verdana"/>
          <w:sz w:val="20"/>
        </w:rPr>
        <w:t>The study will also lend itself to:</w:t>
      </w:r>
    </w:p>
    <w:p w14:paraId="2DAFC06F" w14:textId="77777777" w:rsidR="00632D60" w:rsidRDefault="00632D60" w:rsidP="00C33BBA">
      <w:pPr>
        <w:widowControl w:val="0"/>
        <w:numPr>
          <w:ilvl w:val="0"/>
          <w:numId w:val="1"/>
        </w:numPr>
        <w:spacing w:line="480" w:lineRule="auto"/>
        <w:rPr>
          <w:rFonts w:ascii="Verdana" w:hAnsi="Verdana"/>
          <w:sz w:val="20"/>
        </w:rPr>
      </w:pPr>
      <w:r>
        <w:rPr>
          <w:rFonts w:ascii="Verdana" w:hAnsi="Verdana"/>
          <w:sz w:val="20"/>
        </w:rPr>
        <w:t>Assessing the effect of common health problems of ageing on risk of workplace injuries (health as an exposure with injury as an outcome)</w:t>
      </w:r>
      <w:r w:rsidR="005F6831">
        <w:rPr>
          <w:rFonts w:ascii="Verdana" w:hAnsi="Verdana"/>
          <w:sz w:val="20"/>
        </w:rPr>
        <w:t>, and therefore refined risk assessment in the job placement of older workers</w:t>
      </w:r>
      <w:r>
        <w:rPr>
          <w:rFonts w:ascii="Verdana" w:hAnsi="Verdana"/>
          <w:sz w:val="20"/>
        </w:rPr>
        <w:t>.</w:t>
      </w:r>
    </w:p>
    <w:p w14:paraId="4A762CBA" w14:textId="5211246E" w:rsidR="00632D60" w:rsidRDefault="00632D60" w:rsidP="00C33BBA">
      <w:pPr>
        <w:widowControl w:val="0"/>
        <w:numPr>
          <w:ilvl w:val="0"/>
          <w:numId w:val="1"/>
        </w:numPr>
        <w:spacing w:line="480" w:lineRule="auto"/>
        <w:rPr>
          <w:rFonts w:ascii="Verdana" w:hAnsi="Verdana"/>
          <w:sz w:val="20"/>
        </w:rPr>
      </w:pPr>
      <w:r>
        <w:rPr>
          <w:rFonts w:ascii="Verdana" w:hAnsi="Verdana"/>
          <w:sz w:val="20"/>
        </w:rPr>
        <w:t>Mapping the descriptive epidemiology of ageing and employment transitions</w:t>
      </w:r>
      <w:r w:rsidR="007F279F">
        <w:rPr>
          <w:rFonts w:ascii="Verdana" w:hAnsi="Verdana"/>
          <w:sz w:val="20"/>
        </w:rPr>
        <w:t>, including factors that may promote or hinder extended working</w:t>
      </w:r>
      <w:r>
        <w:rPr>
          <w:rFonts w:ascii="Verdana" w:hAnsi="Verdana"/>
          <w:sz w:val="20"/>
        </w:rPr>
        <w:t>.</w:t>
      </w:r>
    </w:p>
    <w:p w14:paraId="329EC392" w14:textId="77777777" w:rsidR="00F75FDB" w:rsidRDefault="00F75FDB" w:rsidP="00C33BBA">
      <w:pPr>
        <w:widowControl w:val="0"/>
        <w:spacing w:line="480" w:lineRule="auto"/>
        <w:rPr>
          <w:rFonts w:ascii="Verdana" w:hAnsi="Verdana"/>
          <w:sz w:val="20"/>
        </w:rPr>
      </w:pPr>
    </w:p>
    <w:p w14:paraId="0FC19661" w14:textId="77777777" w:rsidR="00CE1EFE" w:rsidRDefault="00CE1EFE" w:rsidP="00C33BBA">
      <w:pPr>
        <w:widowControl w:val="0"/>
        <w:spacing w:line="480" w:lineRule="auto"/>
        <w:rPr>
          <w:rFonts w:ascii="Verdana" w:hAnsi="Verdana"/>
          <w:b/>
          <w:sz w:val="20"/>
          <w:szCs w:val="20"/>
        </w:rPr>
      </w:pPr>
    </w:p>
    <w:p w14:paraId="10B2AEA7" w14:textId="77777777" w:rsidR="00CF2F35" w:rsidRPr="00DA5D5E" w:rsidRDefault="00CF2F35" w:rsidP="00C33BBA">
      <w:pPr>
        <w:widowControl w:val="0"/>
        <w:spacing w:line="480" w:lineRule="auto"/>
        <w:rPr>
          <w:rFonts w:ascii="Verdana" w:hAnsi="Verdana"/>
          <w:b/>
          <w:bCs/>
        </w:rPr>
      </w:pPr>
      <w:r w:rsidRPr="00DA5D5E">
        <w:rPr>
          <w:rFonts w:ascii="Verdana" w:hAnsi="Verdana"/>
          <w:b/>
          <w:bCs/>
        </w:rPr>
        <w:t>Methods</w:t>
      </w:r>
    </w:p>
    <w:p w14:paraId="31E304FA" w14:textId="77777777" w:rsidR="00013B1B" w:rsidRDefault="00013B1B" w:rsidP="00C33BBA">
      <w:pPr>
        <w:widowControl w:val="0"/>
        <w:spacing w:line="480" w:lineRule="auto"/>
        <w:rPr>
          <w:rFonts w:ascii="Verdana" w:hAnsi="Verdana"/>
          <w:b/>
          <w:i/>
          <w:sz w:val="20"/>
          <w:szCs w:val="20"/>
        </w:rPr>
      </w:pPr>
    </w:p>
    <w:p w14:paraId="6D42A929" w14:textId="77777777" w:rsidR="00CF2F35" w:rsidRPr="00632D60" w:rsidRDefault="00CF2F35" w:rsidP="00C33BBA">
      <w:pPr>
        <w:widowControl w:val="0"/>
        <w:spacing w:line="480" w:lineRule="auto"/>
        <w:rPr>
          <w:rFonts w:ascii="Verdana" w:hAnsi="Verdana"/>
          <w:b/>
          <w:sz w:val="20"/>
          <w:szCs w:val="20"/>
        </w:rPr>
      </w:pPr>
      <w:r w:rsidRPr="00632D60">
        <w:rPr>
          <w:rFonts w:ascii="Verdana" w:hAnsi="Verdana"/>
          <w:b/>
          <w:sz w:val="20"/>
          <w:szCs w:val="20"/>
        </w:rPr>
        <w:t>Ethical approval</w:t>
      </w:r>
    </w:p>
    <w:p w14:paraId="31606888" w14:textId="77777777" w:rsidR="00CF2F35" w:rsidRDefault="008B616C" w:rsidP="00C33BBA">
      <w:pPr>
        <w:widowControl w:val="0"/>
        <w:spacing w:line="480" w:lineRule="auto"/>
        <w:rPr>
          <w:rFonts w:ascii="Verdana" w:hAnsi="Verdana"/>
          <w:sz w:val="20"/>
          <w:szCs w:val="20"/>
        </w:rPr>
      </w:pPr>
      <w:r>
        <w:rPr>
          <w:rFonts w:ascii="Verdana" w:hAnsi="Verdana"/>
          <w:sz w:val="20"/>
          <w:szCs w:val="20"/>
        </w:rPr>
        <w:t>The protocol “</w:t>
      </w:r>
      <w:r w:rsidRPr="008B616C">
        <w:rPr>
          <w:rFonts w:ascii="Verdana" w:hAnsi="Verdana"/>
          <w:sz w:val="20"/>
          <w:szCs w:val="20"/>
        </w:rPr>
        <w:t>Health risks and benefits of extended working life</w:t>
      </w:r>
      <w:r>
        <w:rPr>
          <w:rFonts w:ascii="Verdana" w:hAnsi="Verdana"/>
          <w:sz w:val="20"/>
          <w:szCs w:val="20"/>
        </w:rPr>
        <w:t>” (</w:t>
      </w:r>
      <w:r w:rsidRPr="008B616C">
        <w:rPr>
          <w:rFonts w:ascii="Verdana" w:hAnsi="Verdana"/>
          <w:sz w:val="20"/>
          <w:szCs w:val="20"/>
        </w:rPr>
        <w:t>RGO 8569</w:t>
      </w:r>
      <w:r>
        <w:rPr>
          <w:rFonts w:ascii="Verdana" w:hAnsi="Verdana"/>
          <w:sz w:val="20"/>
          <w:szCs w:val="20"/>
        </w:rPr>
        <w:t xml:space="preserve">) was </w:t>
      </w:r>
      <w:r>
        <w:rPr>
          <w:rFonts w:ascii="Verdana" w:hAnsi="Verdana"/>
          <w:sz w:val="20"/>
          <w:szCs w:val="20"/>
        </w:rPr>
        <w:lastRenderedPageBreak/>
        <w:t xml:space="preserve">approved by the </w:t>
      </w:r>
      <w:r w:rsidRPr="008B616C">
        <w:rPr>
          <w:rFonts w:ascii="Verdana" w:hAnsi="Verdana"/>
          <w:sz w:val="20"/>
          <w:szCs w:val="20"/>
        </w:rPr>
        <w:t>National Research Ethics Service</w:t>
      </w:r>
      <w:r>
        <w:rPr>
          <w:rFonts w:ascii="Verdana" w:hAnsi="Verdana"/>
          <w:sz w:val="20"/>
          <w:szCs w:val="20"/>
        </w:rPr>
        <w:t xml:space="preserve"> </w:t>
      </w:r>
      <w:r w:rsidR="008B3169">
        <w:rPr>
          <w:rFonts w:ascii="Verdana" w:hAnsi="Verdana"/>
          <w:sz w:val="20"/>
          <w:szCs w:val="20"/>
        </w:rPr>
        <w:t>Committee North West-</w:t>
      </w:r>
      <w:r w:rsidRPr="008B616C">
        <w:rPr>
          <w:rFonts w:ascii="Verdana" w:hAnsi="Verdana"/>
          <w:sz w:val="20"/>
          <w:szCs w:val="20"/>
        </w:rPr>
        <w:t>Liverpool East</w:t>
      </w:r>
      <w:r>
        <w:rPr>
          <w:rFonts w:ascii="Verdana" w:hAnsi="Verdana"/>
          <w:sz w:val="20"/>
          <w:szCs w:val="20"/>
        </w:rPr>
        <w:t xml:space="preserve"> (REC reference </w:t>
      </w:r>
      <w:r w:rsidRPr="008B616C">
        <w:rPr>
          <w:rFonts w:ascii="Verdana" w:hAnsi="Verdana"/>
          <w:sz w:val="20"/>
          <w:szCs w:val="20"/>
        </w:rPr>
        <w:t>12/NW/0500</w:t>
      </w:r>
      <w:r w:rsidR="008B3169">
        <w:rPr>
          <w:rFonts w:ascii="Verdana" w:hAnsi="Verdana"/>
          <w:sz w:val="20"/>
          <w:szCs w:val="20"/>
        </w:rPr>
        <w:t>)</w:t>
      </w:r>
      <w:r w:rsidR="000748E5">
        <w:rPr>
          <w:rFonts w:ascii="Verdana" w:hAnsi="Verdana"/>
          <w:sz w:val="20"/>
          <w:szCs w:val="20"/>
        </w:rPr>
        <w:t xml:space="preserve"> </w:t>
      </w:r>
      <w:r w:rsidR="008B3169">
        <w:rPr>
          <w:rFonts w:ascii="Verdana" w:hAnsi="Verdana"/>
          <w:sz w:val="20"/>
          <w:szCs w:val="20"/>
        </w:rPr>
        <w:t>and by</w:t>
      </w:r>
      <w:r>
        <w:rPr>
          <w:rFonts w:ascii="Verdana" w:hAnsi="Verdana"/>
          <w:sz w:val="20"/>
          <w:szCs w:val="20"/>
        </w:rPr>
        <w:t xml:space="preserve"> the </w:t>
      </w:r>
      <w:r w:rsidR="008B3169" w:rsidRPr="008B3169">
        <w:rPr>
          <w:rFonts w:ascii="Verdana" w:hAnsi="Verdana"/>
          <w:sz w:val="20"/>
          <w:szCs w:val="20"/>
        </w:rPr>
        <w:t>Independent Scientific Advisory Committee</w:t>
      </w:r>
      <w:r w:rsidR="008B3169">
        <w:rPr>
          <w:rFonts w:ascii="Verdana" w:hAnsi="Verdana"/>
          <w:sz w:val="20"/>
          <w:szCs w:val="20"/>
        </w:rPr>
        <w:t xml:space="preserve"> of the </w:t>
      </w:r>
      <w:r w:rsidR="008B3169" w:rsidRPr="008B3169">
        <w:rPr>
          <w:rFonts w:ascii="Verdana" w:hAnsi="Verdana"/>
          <w:sz w:val="20"/>
          <w:szCs w:val="20"/>
        </w:rPr>
        <w:t>Clinical Practice Research Datalink</w:t>
      </w:r>
      <w:r w:rsidR="008B3169">
        <w:rPr>
          <w:rFonts w:ascii="Verdana" w:hAnsi="Verdana"/>
          <w:sz w:val="20"/>
          <w:szCs w:val="20"/>
        </w:rPr>
        <w:t xml:space="preserve"> (reference </w:t>
      </w:r>
      <w:r w:rsidR="008B3169" w:rsidRPr="008B3169">
        <w:rPr>
          <w:rFonts w:ascii="Verdana" w:hAnsi="Verdana"/>
          <w:sz w:val="20"/>
          <w:szCs w:val="20"/>
        </w:rPr>
        <w:t>12_054R2</w:t>
      </w:r>
      <w:r w:rsidR="008B3169">
        <w:rPr>
          <w:rFonts w:ascii="Verdana" w:hAnsi="Verdana"/>
          <w:sz w:val="20"/>
          <w:szCs w:val="20"/>
        </w:rPr>
        <w:t>)</w:t>
      </w:r>
      <w:r w:rsidR="000748E5">
        <w:rPr>
          <w:rFonts w:ascii="Verdana" w:hAnsi="Verdana"/>
          <w:sz w:val="20"/>
          <w:szCs w:val="20"/>
        </w:rPr>
        <w:t>, as well as being adopted by the Hampshire and Isle of Wight</w:t>
      </w:r>
      <w:r w:rsidR="000748E5" w:rsidRPr="000748E5">
        <w:t xml:space="preserve"> </w:t>
      </w:r>
      <w:r w:rsidR="000748E5" w:rsidRPr="000748E5">
        <w:rPr>
          <w:rFonts w:ascii="Verdana" w:hAnsi="Verdana"/>
          <w:sz w:val="20"/>
          <w:szCs w:val="20"/>
        </w:rPr>
        <w:t>NIHR Clinical Research Network</w:t>
      </w:r>
      <w:r w:rsidR="000748E5">
        <w:rPr>
          <w:rFonts w:ascii="Verdana" w:hAnsi="Verdana"/>
          <w:sz w:val="20"/>
          <w:szCs w:val="20"/>
        </w:rPr>
        <w:t xml:space="preserve"> (reference 103258)</w:t>
      </w:r>
      <w:r w:rsidR="008B3169">
        <w:rPr>
          <w:rFonts w:ascii="Verdana" w:hAnsi="Verdana"/>
          <w:sz w:val="20"/>
          <w:szCs w:val="20"/>
        </w:rPr>
        <w:t>.</w:t>
      </w:r>
    </w:p>
    <w:p w14:paraId="5A96ECC4" w14:textId="77777777" w:rsidR="00632D60" w:rsidRDefault="00632D60" w:rsidP="00C33BBA">
      <w:pPr>
        <w:widowControl w:val="0"/>
        <w:spacing w:line="480" w:lineRule="auto"/>
        <w:rPr>
          <w:rFonts w:ascii="Verdana" w:hAnsi="Verdana"/>
          <w:sz w:val="20"/>
        </w:rPr>
      </w:pPr>
    </w:p>
    <w:p w14:paraId="6B06005B" w14:textId="77777777" w:rsidR="00632D60" w:rsidRDefault="00632D60" w:rsidP="00C33BBA">
      <w:pPr>
        <w:widowControl w:val="0"/>
        <w:spacing w:line="480" w:lineRule="auto"/>
        <w:rPr>
          <w:rFonts w:ascii="Verdana" w:hAnsi="Verdana"/>
          <w:sz w:val="20"/>
        </w:rPr>
      </w:pPr>
      <w:r w:rsidRPr="002A73D6">
        <w:rPr>
          <w:rFonts w:ascii="Verdana" w:hAnsi="Verdana"/>
          <w:b/>
          <w:sz w:val="20"/>
        </w:rPr>
        <w:t>Study design</w:t>
      </w:r>
    </w:p>
    <w:p w14:paraId="60488523" w14:textId="77777777" w:rsidR="00632D60" w:rsidRDefault="009C0451" w:rsidP="00C33BBA">
      <w:pPr>
        <w:widowControl w:val="0"/>
        <w:spacing w:line="480" w:lineRule="auto"/>
        <w:rPr>
          <w:rFonts w:ascii="Verdana" w:hAnsi="Verdana"/>
          <w:sz w:val="20"/>
        </w:rPr>
      </w:pPr>
      <w:r>
        <w:rPr>
          <w:rFonts w:ascii="Verdana" w:hAnsi="Verdana"/>
          <w:sz w:val="20"/>
        </w:rPr>
        <w:t>The HEAF investigation is an o</w:t>
      </w:r>
      <w:r w:rsidR="00632D60">
        <w:rPr>
          <w:rFonts w:ascii="Verdana" w:hAnsi="Verdana"/>
          <w:sz w:val="20"/>
        </w:rPr>
        <w:t>bservational prospective cohort study.</w:t>
      </w:r>
    </w:p>
    <w:p w14:paraId="59288713" w14:textId="77777777" w:rsidR="00632D60" w:rsidRDefault="00632D60" w:rsidP="00C33BBA">
      <w:pPr>
        <w:widowControl w:val="0"/>
        <w:spacing w:line="480" w:lineRule="auto"/>
        <w:rPr>
          <w:rFonts w:ascii="Verdana" w:hAnsi="Verdana"/>
          <w:b/>
          <w:i/>
          <w:sz w:val="20"/>
          <w:szCs w:val="20"/>
        </w:rPr>
      </w:pPr>
    </w:p>
    <w:p w14:paraId="02D2CB4F" w14:textId="77777777" w:rsidR="00CF2F35" w:rsidRPr="00632D60" w:rsidRDefault="00632D60" w:rsidP="00C33BBA">
      <w:pPr>
        <w:widowControl w:val="0"/>
        <w:spacing w:line="480" w:lineRule="auto"/>
        <w:rPr>
          <w:rFonts w:ascii="Verdana" w:hAnsi="Verdana"/>
          <w:b/>
          <w:sz w:val="20"/>
          <w:szCs w:val="20"/>
        </w:rPr>
      </w:pPr>
      <w:r w:rsidRPr="00632D60">
        <w:rPr>
          <w:rFonts w:ascii="Verdana" w:hAnsi="Verdana"/>
          <w:b/>
          <w:sz w:val="20"/>
          <w:szCs w:val="20"/>
        </w:rPr>
        <w:t>The CPRD</w:t>
      </w:r>
      <w:r>
        <w:rPr>
          <w:rFonts w:ascii="Verdana" w:hAnsi="Verdana"/>
          <w:b/>
          <w:sz w:val="20"/>
          <w:szCs w:val="20"/>
        </w:rPr>
        <w:t xml:space="preserve"> database</w:t>
      </w:r>
    </w:p>
    <w:p w14:paraId="6BCE3C49" w14:textId="79888E42" w:rsidR="008675BC" w:rsidRPr="009C0451" w:rsidRDefault="00CC62FB" w:rsidP="00C33BBA">
      <w:pPr>
        <w:widowControl w:val="0"/>
        <w:spacing w:line="480" w:lineRule="auto"/>
        <w:rPr>
          <w:rFonts w:ascii="Verdana" w:hAnsi="Verdana"/>
          <w:sz w:val="20"/>
          <w:szCs w:val="20"/>
        </w:rPr>
      </w:pPr>
      <w:r>
        <w:rPr>
          <w:rFonts w:ascii="Verdana" w:hAnsi="Verdana"/>
          <w:sz w:val="20"/>
          <w:szCs w:val="20"/>
        </w:rPr>
        <w:t xml:space="preserve">To facilitate the collection of health-related data, the study sample has been recruited from patients registered with general practices contributing data to the </w:t>
      </w:r>
      <w:r w:rsidR="00105E94" w:rsidRPr="008B3169">
        <w:rPr>
          <w:rFonts w:ascii="Verdana" w:hAnsi="Verdana"/>
          <w:sz w:val="20"/>
          <w:szCs w:val="20"/>
        </w:rPr>
        <w:t>Clinical Pr</w:t>
      </w:r>
      <w:r w:rsidR="00632D60">
        <w:rPr>
          <w:rFonts w:ascii="Verdana" w:hAnsi="Verdana"/>
          <w:sz w:val="20"/>
          <w:szCs w:val="20"/>
        </w:rPr>
        <w:t>actice Research Datalink (CPRD)</w:t>
      </w:r>
      <w:r>
        <w:rPr>
          <w:rFonts w:ascii="Verdana" w:hAnsi="Verdana"/>
          <w:sz w:val="20"/>
        </w:rPr>
        <w:t>.</w:t>
      </w:r>
      <w:r w:rsidR="00105E94" w:rsidRPr="008B3169">
        <w:rPr>
          <w:rFonts w:ascii="Verdana" w:hAnsi="Verdana"/>
          <w:sz w:val="20"/>
        </w:rPr>
        <w:t xml:space="preserve"> </w:t>
      </w:r>
      <w:r>
        <w:rPr>
          <w:rFonts w:ascii="Verdana" w:hAnsi="Verdana"/>
          <w:sz w:val="20"/>
          <w:szCs w:val="20"/>
        </w:rPr>
        <w:t>The CRPD,</w:t>
      </w:r>
      <w:r w:rsidRPr="008B3169">
        <w:rPr>
          <w:rFonts w:ascii="Verdana" w:hAnsi="Verdana"/>
          <w:sz w:val="20"/>
          <w:szCs w:val="20"/>
        </w:rPr>
        <w:t xml:space="preserve"> </w:t>
      </w:r>
      <w:r>
        <w:rPr>
          <w:rFonts w:ascii="Verdana" w:hAnsi="Verdana"/>
          <w:sz w:val="20"/>
        </w:rPr>
        <w:t>formerly known as the GPRD,</w:t>
      </w:r>
      <w:r w:rsidRPr="008B3169">
        <w:rPr>
          <w:rFonts w:ascii="Verdana" w:hAnsi="Verdana"/>
          <w:sz w:val="20"/>
        </w:rPr>
        <w:t xml:space="preserve"> </w:t>
      </w:r>
      <w:r w:rsidR="00105E94" w:rsidRPr="008B3169">
        <w:rPr>
          <w:rFonts w:ascii="Verdana" w:hAnsi="Verdana"/>
          <w:sz w:val="20"/>
        </w:rPr>
        <w:t xml:space="preserve">was </w:t>
      </w:r>
      <w:r w:rsidR="009C0451" w:rsidRPr="008B3169">
        <w:rPr>
          <w:rFonts w:ascii="Verdana" w:hAnsi="Verdana"/>
          <w:sz w:val="20"/>
          <w:szCs w:val="20"/>
        </w:rPr>
        <w:t xml:space="preserve">originally </w:t>
      </w:r>
      <w:r w:rsidR="00105E94" w:rsidRPr="008B3169">
        <w:rPr>
          <w:rFonts w:ascii="Verdana" w:hAnsi="Verdana"/>
          <w:sz w:val="20"/>
          <w:szCs w:val="20"/>
        </w:rPr>
        <w:t xml:space="preserve">established in 1987 to enable post-marketing surveillance of drug safety, and has since been maintained </w:t>
      </w:r>
      <w:r w:rsidR="001D0A28" w:rsidRPr="008B3169">
        <w:rPr>
          <w:rFonts w:ascii="Verdana" w:hAnsi="Verdana"/>
          <w:sz w:val="20"/>
          <w:szCs w:val="20"/>
        </w:rPr>
        <w:t xml:space="preserve">as a research resource </w:t>
      </w:r>
      <w:r w:rsidR="00105E94" w:rsidRPr="008B3169">
        <w:rPr>
          <w:rFonts w:ascii="Verdana" w:hAnsi="Verdana"/>
          <w:sz w:val="20"/>
          <w:szCs w:val="20"/>
        </w:rPr>
        <w:t>by the Medicines and Healthcare Products Regulatory Agency (MHRA)</w:t>
      </w:r>
      <w:r w:rsidR="001D0A28" w:rsidRPr="008B3169">
        <w:rPr>
          <w:rFonts w:ascii="Verdana" w:hAnsi="Verdana"/>
          <w:sz w:val="20"/>
        </w:rPr>
        <w:t xml:space="preserve">, an executive agency of the </w:t>
      </w:r>
      <w:r w:rsidR="00105E94" w:rsidRPr="008B3169">
        <w:rPr>
          <w:rFonts w:ascii="Verdana" w:hAnsi="Verdana"/>
          <w:sz w:val="20"/>
          <w:szCs w:val="20"/>
        </w:rPr>
        <w:t xml:space="preserve">English Department of Health. The CPRD provides a log of all </w:t>
      </w:r>
      <w:r w:rsidR="009C0451">
        <w:rPr>
          <w:rFonts w:ascii="Verdana" w:hAnsi="Verdana"/>
          <w:sz w:val="20"/>
          <w:szCs w:val="20"/>
        </w:rPr>
        <w:t xml:space="preserve">medical </w:t>
      </w:r>
      <w:r w:rsidR="00105E94" w:rsidRPr="008B3169">
        <w:rPr>
          <w:rFonts w:ascii="Verdana" w:hAnsi="Verdana"/>
          <w:sz w:val="20"/>
          <w:szCs w:val="20"/>
        </w:rPr>
        <w:t>consultations</w:t>
      </w:r>
      <w:r w:rsidR="00013B1B" w:rsidRPr="008B3169">
        <w:rPr>
          <w:rFonts w:ascii="Verdana" w:hAnsi="Verdana"/>
          <w:sz w:val="20"/>
          <w:szCs w:val="20"/>
        </w:rPr>
        <w:t xml:space="preserve"> in primary care and hospital</w:t>
      </w:r>
      <w:r w:rsidR="00105E94" w:rsidRPr="008B3169">
        <w:rPr>
          <w:rFonts w:ascii="Verdana" w:hAnsi="Verdana"/>
          <w:sz w:val="20"/>
          <w:szCs w:val="20"/>
        </w:rPr>
        <w:t xml:space="preserve"> associated with significant events, illnesses, or medical activity (diagnosis, referral, prescription, etc</w:t>
      </w:r>
      <w:r w:rsidR="00632D60">
        <w:rPr>
          <w:rFonts w:ascii="Verdana" w:hAnsi="Verdana"/>
          <w:sz w:val="20"/>
          <w:szCs w:val="20"/>
        </w:rPr>
        <w:t>.</w:t>
      </w:r>
      <w:r w:rsidR="00105E94" w:rsidRPr="008B3169">
        <w:rPr>
          <w:rFonts w:ascii="Verdana" w:hAnsi="Verdana"/>
          <w:sz w:val="20"/>
          <w:szCs w:val="20"/>
        </w:rPr>
        <w:t xml:space="preserve">) among patients </w:t>
      </w:r>
      <w:r w:rsidR="00013B1B" w:rsidRPr="008B3169">
        <w:rPr>
          <w:rFonts w:ascii="Verdana" w:hAnsi="Verdana"/>
          <w:sz w:val="20"/>
          <w:szCs w:val="20"/>
        </w:rPr>
        <w:t>from</w:t>
      </w:r>
      <w:r w:rsidR="00105E94" w:rsidRPr="008B3169">
        <w:rPr>
          <w:rFonts w:ascii="Verdana" w:hAnsi="Verdana"/>
          <w:sz w:val="20"/>
          <w:szCs w:val="20"/>
        </w:rPr>
        <w:t xml:space="preserve"> participating general practices. Data </w:t>
      </w:r>
      <w:r w:rsidR="00AD6B48">
        <w:rPr>
          <w:rFonts w:ascii="Verdana" w:hAnsi="Verdana"/>
          <w:sz w:val="20"/>
          <w:szCs w:val="20"/>
        </w:rPr>
        <w:t xml:space="preserve">are obtained </w:t>
      </w:r>
      <w:r w:rsidR="00105E94" w:rsidRPr="008B3169">
        <w:rPr>
          <w:rFonts w:ascii="Verdana" w:hAnsi="Verdana"/>
          <w:sz w:val="20"/>
          <w:szCs w:val="20"/>
        </w:rPr>
        <w:t xml:space="preserve">on some </w:t>
      </w:r>
      <w:r w:rsidR="001D0A28" w:rsidRPr="008B3169">
        <w:rPr>
          <w:rFonts w:ascii="Verdana" w:hAnsi="Verdana"/>
          <w:sz w:val="20"/>
          <w:szCs w:val="20"/>
        </w:rPr>
        <w:t>five</w:t>
      </w:r>
      <w:r w:rsidR="00105E94" w:rsidRPr="008B3169">
        <w:rPr>
          <w:rFonts w:ascii="Verdana" w:hAnsi="Verdana"/>
          <w:sz w:val="20"/>
          <w:szCs w:val="20"/>
        </w:rPr>
        <w:t xml:space="preserve"> million patients from about 590 participating general practices throughout the UK (</w:t>
      </w:r>
      <w:r w:rsidR="00632D60">
        <w:rPr>
          <w:rFonts w:ascii="Verdana" w:hAnsi="Verdana"/>
          <w:sz w:val="20"/>
          <w:szCs w:val="20"/>
        </w:rPr>
        <w:t xml:space="preserve">about </w:t>
      </w:r>
      <w:r w:rsidR="00105E94" w:rsidRPr="008B3169">
        <w:rPr>
          <w:rFonts w:ascii="Verdana" w:hAnsi="Verdana"/>
          <w:sz w:val="20"/>
          <w:szCs w:val="20"/>
        </w:rPr>
        <w:t>6% of the</w:t>
      </w:r>
      <w:r>
        <w:rPr>
          <w:rFonts w:ascii="Verdana" w:hAnsi="Verdana"/>
          <w:sz w:val="20"/>
          <w:szCs w:val="20"/>
        </w:rPr>
        <w:t xml:space="preserve"> national</w:t>
      </w:r>
      <w:r w:rsidR="00105E94" w:rsidRPr="008B3169">
        <w:rPr>
          <w:rFonts w:ascii="Verdana" w:hAnsi="Verdana"/>
          <w:sz w:val="20"/>
          <w:szCs w:val="20"/>
        </w:rPr>
        <w:t xml:space="preserve"> population</w:t>
      </w:r>
      <w:r>
        <w:rPr>
          <w:rFonts w:ascii="Verdana" w:hAnsi="Verdana"/>
          <w:sz w:val="20"/>
          <w:szCs w:val="20"/>
        </w:rPr>
        <w:t>, almost all of whom are registered with general practices</w:t>
      </w:r>
      <w:r w:rsidR="00105E94" w:rsidRPr="008B3169">
        <w:rPr>
          <w:rFonts w:ascii="Verdana" w:hAnsi="Verdana"/>
          <w:sz w:val="20"/>
          <w:szCs w:val="20"/>
        </w:rPr>
        <w:t>) [</w:t>
      </w:r>
      <w:r w:rsidR="00632D60">
        <w:rPr>
          <w:rFonts w:ascii="Verdana" w:hAnsi="Verdana"/>
          <w:sz w:val="20"/>
          <w:szCs w:val="20"/>
        </w:rPr>
        <w:t>18</w:t>
      </w:r>
      <w:r w:rsidR="00105E94" w:rsidRPr="008B3169">
        <w:rPr>
          <w:rFonts w:ascii="Verdana" w:hAnsi="Verdana"/>
          <w:sz w:val="20"/>
          <w:szCs w:val="20"/>
        </w:rPr>
        <w:t>], uploaded regularly in anonymised form</w:t>
      </w:r>
      <w:r w:rsidR="00AD6B48">
        <w:rPr>
          <w:rFonts w:ascii="Verdana" w:hAnsi="Verdana"/>
          <w:sz w:val="20"/>
          <w:szCs w:val="20"/>
        </w:rPr>
        <w:t>,</w:t>
      </w:r>
      <w:r w:rsidR="00105E94" w:rsidRPr="008B3169">
        <w:rPr>
          <w:rFonts w:ascii="Verdana" w:hAnsi="Verdana"/>
          <w:sz w:val="20"/>
          <w:szCs w:val="20"/>
        </w:rPr>
        <w:t xml:space="preserve"> and checked for completeness</w:t>
      </w:r>
      <w:r w:rsidR="00013B1B" w:rsidRPr="008B3169">
        <w:rPr>
          <w:rFonts w:ascii="Verdana" w:hAnsi="Verdana"/>
          <w:sz w:val="20"/>
          <w:szCs w:val="20"/>
        </w:rPr>
        <w:t xml:space="preserve"> </w:t>
      </w:r>
      <w:r w:rsidR="00105E94" w:rsidRPr="008B3169">
        <w:rPr>
          <w:rFonts w:ascii="Verdana" w:hAnsi="Verdana"/>
          <w:sz w:val="20"/>
          <w:szCs w:val="20"/>
        </w:rPr>
        <w:t xml:space="preserve">(&gt;97%) and validity (deemed high in several external audits </w:t>
      </w:r>
      <w:r w:rsidR="00014FA3" w:rsidRPr="00014FA3">
        <w:rPr>
          <w:rFonts w:ascii="Verdana" w:hAnsi="Verdana"/>
          <w:sz w:val="20"/>
        </w:rPr>
        <w:t>of selected end-points</w:t>
      </w:r>
      <w:r w:rsidR="00014FA3" w:rsidRPr="008B3169">
        <w:rPr>
          <w:rFonts w:ascii="Verdana" w:hAnsi="Verdana"/>
          <w:sz w:val="20"/>
          <w:szCs w:val="20"/>
        </w:rPr>
        <w:t xml:space="preserve"> </w:t>
      </w:r>
      <w:r w:rsidR="00105E94" w:rsidRPr="008B3169">
        <w:rPr>
          <w:rFonts w:ascii="Verdana" w:hAnsi="Verdana"/>
          <w:sz w:val="20"/>
          <w:szCs w:val="20"/>
        </w:rPr>
        <w:t>[</w:t>
      </w:r>
      <w:r w:rsidR="00632D60">
        <w:rPr>
          <w:rFonts w:ascii="Verdana" w:hAnsi="Verdana"/>
          <w:sz w:val="20"/>
          <w:szCs w:val="20"/>
        </w:rPr>
        <w:t>19</w:t>
      </w:r>
      <w:r w:rsidR="00AF4198">
        <w:rPr>
          <w:rFonts w:ascii="Verdana" w:hAnsi="Verdana"/>
          <w:sz w:val="20"/>
          <w:szCs w:val="20"/>
        </w:rPr>
        <w:t>-21</w:t>
      </w:r>
      <w:r w:rsidR="00105E94" w:rsidRPr="008B3169">
        <w:rPr>
          <w:rFonts w:ascii="Verdana" w:hAnsi="Verdana"/>
          <w:sz w:val="20"/>
          <w:szCs w:val="20"/>
        </w:rPr>
        <w:t xml:space="preserve">]). </w:t>
      </w:r>
      <w:r w:rsidR="001432D8" w:rsidRPr="008B3169">
        <w:rPr>
          <w:rFonts w:ascii="Verdana" w:hAnsi="Verdana"/>
          <w:sz w:val="20"/>
          <w:szCs w:val="20"/>
        </w:rPr>
        <w:t>Events are linked at the individual level via</w:t>
      </w:r>
      <w:r w:rsidR="00632D60">
        <w:rPr>
          <w:rFonts w:ascii="Verdana" w:hAnsi="Verdana"/>
          <w:sz w:val="20"/>
          <w:szCs w:val="20"/>
        </w:rPr>
        <w:t xml:space="preserve"> a</w:t>
      </w:r>
      <w:r w:rsidR="001432D8" w:rsidRPr="008B3169">
        <w:rPr>
          <w:rFonts w:ascii="Verdana" w:hAnsi="Verdana"/>
          <w:sz w:val="20"/>
          <w:szCs w:val="20"/>
        </w:rPr>
        <w:t xml:space="preserve"> unique </w:t>
      </w:r>
      <w:r w:rsidR="00632D60" w:rsidRPr="008B3169">
        <w:rPr>
          <w:rFonts w:ascii="Verdana" w:hAnsi="Verdana"/>
          <w:sz w:val="20"/>
          <w:szCs w:val="20"/>
        </w:rPr>
        <w:t>identif</w:t>
      </w:r>
      <w:r w:rsidR="00AD6B48">
        <w:rPr>
          <w:rFonts w:ascii="Verdana" w:hAnsi="Verdana"/>
          <w:sz w:val="20"/>
          <w:szCs w:val="20"/>
        </w:rPr>
        <w:t>ying</w:t>
      </w:r>
      <w:r w:rsidR="00632D60">
        <w:rPr>
          <w:rFonts w:ascii="Verdana" w:hAnsi="Verdana"/>
          <w:sz w:val="20"/>
          <w:szCs w:val="20"/>
        </w:rPr>
        <w:t xml:space="preserve"> code number</w:t>
      </w:r>
      <w:r w:rsidR="001432D8" w:rsidRPr="008B3169">
        <w:rPr>
          <w:rFonts w:ascii="Verdana" w:hAnsi="Verdana"/>
          <w:sz w:val="20"/>
          <w:szCs w:val="20"/>
        </w:rPr>
        <w:t xml:space="preserve">. </w:t>
      </w:r>
      <w:r w:rsidR="00105E94" w:rsidRPr="008B3169">
        <w:rPr>
          <w:rFonts w:ascii="Verdana" w:hAnsi="Verdana"/>
          <w:sz w:val="20"/>
          <w:szCs w:val="20"/>
        </w:rPr>
        <w:t xml:space="preserve"> </w:t>
      </w:r>
      <w:r w:rsidR="001432D8" w:rsidRPr="008B3169">
        <w:rPr>
          <w:rFonts w:ascii="Verdana" w:hAnsi="Verdana"/>
          <w:sz w:val="20"/>
          <w:szCs w:val="20"/>
        </w:rPr>
        <w:t xml:space="preserve">Although health </w:t>
      </w:r>
      <w:r w:rsidR="00105E94" w:rsidRPr="008B3169">
        <w:rPr>
          <w:rFonts w:ascii="Verdana" w:hAnsi="Verdana"/>
          <w:sz w:val="20"/>
          <w:szCs w:val="20"/>
        </w:rPr>
        <w:t>information is</w:t>
      </w:r>
      <w:r w:rsidR="001432D8" w:rsidRPr="008B3169">
        <w:rPr>
          <w:rFonts w:ascii="Verdana" w:hAnsi="Verdana"/>
          <w:sz w:val="20"/>
          <w:szCs w:val="20"/>
        </w:rPr>
        <w:t xml:space="preserve"> well captured, </w:t>
      </w:r>
      <w:r w:rsidR="00632D60" w:rsidRPr="008B3169">
        <w:rPr>
          <w:rFonts w:ascii="Verdana" w:hAnsi="Verdana"/>
          <w:sz w:val="20"/>
        </w:rPr>
        <w:t>other variables (</w:t>
      </w:r>
      <w:r w:rsidR="00AD6B48">
        <w:rPr>
          <w:rFonts w:ascii="Verdana" w:hAnsi="Verdana"/>
          <w:sz w:val="20"/>
        </w:rPr>
        <w:t>such as</w:t>
      </w:r>
      <w:r w:rsidR="00632D60" w:rsidRPr="008B3169">
        <w:rPr>
          <w:rFonts w:ascii="Verdana" w:hAnsi="Verdana"/>
          <w:sz w:val="20"/>
        </w:rPr>
        <w:t xml:space="preserve"> employment and job transitions, occupational demands and support, attitudes to work and retirement, personal, social and demographic characteristics, health behaviours and beliefs, self-perceived health and retirement expectations</w:t>
      </w:r>
      <w:r w:rsidR="006D6D19">
        <w:rPr>
          <w:rFonts w:ascii="Verdana" w:hAnsi="Verdana"/>
          <w:sz w:val="20"/>
        </w:rPr>
        <w:t>)</w:t>
      </w:r>
      <w:r w:rsidR="00632D60" w:rsidRPr="008B3169">
        <w:rPr>
          <w:rFonts w:ascii="Verdana" w:hAnsi="Verdana"/>
          <w:sz w:val="20"/>
        </w:rPr>
        <w:t xml:space="preserve"> </w:t>
      </w:r>
      <w:r w:rsidR="001432D8" w:rsidRPr="008B3169">
        <w:rPr>
          <w:rFonts w:ascii="Verdana" w:hAnsi="Verdana"/>
          <w:sz w:val="20"/>
          <w:szCs w:val="20"/>
        </w:rPr>
        <w:t>are not</w:t>
      </w:r>
      <w:r w:rsidR="00AD6B48">
        <w:rPr>
          <w:rFonts w:ascii="Verdana" w:hAnsi="Verdana"/>
          <w:sz w:val="20"/>
          <w:szCs w:val="20"/>
        </w:rPr>
        <w:t>.</w:t>
      </w:r>
      <w:r w:rsidR="001432D8" w:rsidRPr="008B3169">
        <w:rPr>
          <w:rFonts w:ascii="Verdana" w:hAnsi="Verdana"/>
          <w:sz w:val="20"/>
          <w:szCs w:val="20"/>
        </w:rPr>
        <w:t xml:space="preserve"> </w:t>
      </w:r>
      <w:r w:rsidR="00AD6B48">
        <w:rPr>
          <w:rFonts w:ascii="Verdana" w:hAnsi="Verdana"/>
          <w:sz w:val="20"/>
          <w:szCs w:val="20"/>
        </w:rPr>
        <w:t xml:space="preserve"> These</w:t>
      </w:r>
      <w:r w:rsidR="001432D8" w:rsidRPr="008B3169">
        <w:rPr>
          <w:rFonts w:ascii="Verdana" w:hAnsi="Verdana"/>
          <w:sz w:val="20"/>
          <w:szCs w:val="20"/>
        </w:rPr>
        <w:t xml:space="preserve"> </w:t>
      </w:r>
      <w:r w:rsidR="00632D60">
        <w:rPr>
          <w:rFonts w:ascii="Verdana" w:hAnsi="Verdana"/>
          <w:sz w:val="20"/>
          <w:szCs w:val="20"/>
        </w:rPr>
        <w:t>are therefore</w:t>
      </w:r>
      <w:r w:rsidR="001432D8" w:rsidRPr="008B3169">
        <w:rPr>
          <w:rFonts w:ascii="Verdana" w:hAnsi="Verdana"/>
          <w:sz w:val="20"/>
          <w:szCs w:val="20"/>
        </w:rPr>
        <w:t xml:space="preserve"> ascertained</w:t>
      </w:r>
      <w:r w:rsidR="009C0451">
        <w:rPr>
          <w:rFonts w:ascii="Verdana" w:hAnsi="Verdana"/>
          <w:sz w:val="20"/>
          <w:szCs w:val="20"/>
        </w:rPr>
        <w:t xml:space="preserve"> in the HEAF study</w:t>
      </w:r>
      <w:r w:rsidR="001432D8" w:rsidRPr="008B3169">
        <w:rPr>
          <w:rFonts w:ascii="Verdana" w:hAnsi="Verdana"/>
          <w:sz w:val="20"/>
          <w:szCs w:val="20"/>
        </w:rPr>
        <w:t xml:space="preserve"> by </w:t>
      </w:r>
      <w:r w:rsidR="00632D60">
        <w:rPr>
          <w:rFonts w:ascii="Verdana" w:hAnsi="Verdana"/>
          <w:sz w:val="20"/>
          <w:szCs w:val="20"/>
        </w:rPr>
        <w:t>means of a postal questionnaire</w:t>
      </w:r>
      <w:r w:rsidR="001432D8" w:rsidRPr="008B3169">
        <w:rPr>
          <w:rFonts w:ascii="Verdana" w:hAnsi="Verdana"/>
          <w:sz w:val="20"/>
          <w:szCs w:val="20"/>
        </w:rPr>
        <w:t xml:space="preserve">. </w:t>
      </w:r>
    </w:p>
    <w:p w14:paraId="61EBAB44" w14:textId="77777777" w:rsidR="001432D8" w:rsidRPr="00210B1F" w:rsidRDefault="001432D8" w:rsidP="00C33BBA">
      <w:pPr>
        <w:widowControl w:val="0"/>
        <w:spacing w:line="480" w:lineRule="auto"/>
        <w:rPr>
          <w:rFonts w:ascii="Verdana" w:hAnsi="Verdana"/>
          <w:sz w:val="20"/>
        </w:rPr>
      </w:pPr>
    </w:p>
    <w:p w14:paraId="29162C17" w14:textId="77777777" w:rsidR="001432D8" w:rsidRDefault="009C0451" w:rsidP="00C33BBA">
      <w:pPr>
        <w:widowControl w:val="0"/>
        <w:spacing w:line="480" w:lineRule="auto"/>
        <w:rPr>
          <w:rFonts w:ascii="Verdana" w:hAnsi="Verdana"/>
          <w:sz w:val="20"/>
        </w:rPr>
      </w:pPr>
      <w:r>
        <w:rPr>
          <w:rFonts w:ascii="Verdana" w:hAnsi="Verdana"/>
          <w:b/>
          <w:sz w:val="20"/>
        </w:rPr>
        <w:lastRenderedPageBreak/>
        <w:t>Recruitment</w:t>
      </w:r>
    </w:p>
    <w:p w14:paraId="52A646C5" w14:textId="690B8021" w:rsidR="00A74857" w:rsidRDefault="009C0451" w:rsidP="00C33BBA">
      <w:pPr>
        <w:widowControl w:val="0"/>
        <w:spacing w:line="480" w:lineRule="auto"/>
        <w:rPr>
          <w:rFonts w:ascii="Verdana" w:hAnsi="Verdana"/>
          <w:sz w:val="20"/>
        </w:rPr>
      </w:pPr>
      <w:r w:rsidRPr="009C0451">
        <w:rPr>
          <w:rFonts w:ascii="Verdana" w:hAnsi="Verdana"/>
          <w:i/>
          <w:sz w:val="20"/>
        </w:rPr>
        <w:t>Practices</w:t>
      </w:r>
      <w:r w:rsidR="00740D10">
        <w:rPr>
          <w:rFonts w:ascii="Verdana" w:hAnsi="Verdana"/>
          <w:sz w:val="20"/>
        </w:rPr>
        <w:t xml:space="preserve">: In </w:t>
      </w:r>
      <w:r w:rsidR="00740D10" w:rsidRPr="00B8561A">
        <w:rPr>
          <w:rFonts w:ascii="Verdana" w:hAnsi="Verdana"/>
          <w:sz w:val="20"/>
        </w:rPr>
        <w:t>201</w:t>
      </w:r>
      <w:r w:rsidR="00B8561A" w:rsidRPr="00B8561A">
        <w:rPr>
          <w:rFonts w:ascii="Verdana" w:hAnsi="Verdana"/>
          <w:sz w:val="20"/>
        </w:rPr>
        <w:t>2</w:t>
      </w:r>
      <w:r>
        <w:rPr>
          <w:rFonts w:ascii="Verdana" w:hAnsi="Verdana"/>
          <w:sz w:val="20"/>
        </w:rPr>
        <w:t xml:space="preserve">, the CPRD advertised the HEAF study to all practices in </w:t>
      </w:r>
      <w:r w:rsidRPr="00222164">
        <w:rPr>
          <w:rFonts w:ascii="Verdana" w:hAnsi="Verdana"/>
          <w:sz w:val="20"/>
        </w:rPr>
        <w:t xml:space="preserve">England contributing data to its database. (The CPRD collects data also from Scotland, Wales and Northern Ireland, but </w:t>
      </w:r>
      <w:r w:rsidR="0044775A" w:rsidRPr="00222164">
        <w:rPr>
          <w:rFonts w:ascii="Verdana" w:hAnsi="Verdana"/>
          <w:sz w:val="20"/>
        </w:rPr>
        <w:t xml:space="preserve">geographical </w:t>
      </w:r>
      <w:r w:rsidRPr="00222164">
        <w:rPr>
          <w:rFonts w:ascii="Verdana" w:hAnsi="Verdana"/>
          <w:sz w:val="20"/>
        </w:rPr>
        <w:t>restriction was employed to allow later</w:t>
      </w:r>
      <w:r w:rsidR="0044775A" w:rsidRPr="00222164">
        <w:rPr>
          <w:rFonts w:ascii="Verdana" w:hAnsi="Verdana"/>
          <w:sz w:val="20"/>
        </w:rPr>
        <w:t xml:space="preserve"> linkage</w:t>
      </w:r>
      <w:r w:rsidRPr="00222164">
        <w:rPr>
          <w:rFonts w:ascii="Verdana" w:hAnsi="Verdana"/>
          <w:sz w:val="20"/>
        </w:rPr>
        <w:t xml:space="preserve"> </w:t>
      </w:r>
      <w:r w:rsidR="0044775A" w:rsidRPr="00222164">
        <w:rPr>
          <w:rFonts w:ascii="Verdana" w:hAnsi="Verdana"/>
          <w:sz w:val="20"/>
        </w:rPr>
        <w:t xml:space="preserve">with English databases </w:t>
      </w:r>
      <w:r w:rsidR="00CC62FB">
        <w:rPr>
          <w:rFonts w:ascii="Verdana" w:hAnsi="Verdana"/>
          <w:sz w:val="20"/>
        </w:rPr>
        <w:t>that</w:t>
      </w:r>
      <w:r w:rsidR="0044775A" w:rsidRPr="00222164">
        <w:rPr>
          <w:rFonts w:ascii="Verdana" w:hAnsi="Verdana"/>
          <w:sz w:val="20"/>
        </w:rPr>
        <w:t xml:space="preserve"> record hospital inpatient and outpatient care (Hospital Episode Statistics), as well as mortality and cancer incidence (</w:t>
      </w:r>
      <w:r w:rsidR="006D6D19">
        <w:rPr>
          <w:rFonts w:ascii="Verdana" w:hAnsi="Verdana"/>
          <w:sz w:val="20"/>
        </w:rPr>
        <w:t>Health and Social Care</w:t>
      </w:r>
      <w:r w:rsidR="006D6D19" w:rsidRPr="00222164">
        <w:rPr>
          <w:rFonts w:ascii="Verdana" w:hAnsi="Verdana"/>
          <w:sz w:val="20"/>
        </w:rPr>
        <w:t xml:space="preserve"> </w:t>
      </w:r>
      <w:r w:rsidR="0044775A" w:rsidRPr="00222164">
        <w:rPr>
          <w:rFonts w:ascii="Verdana" w:hAnsi="Verdana"/>
          <w:sz w:val="20"/>
        </w:rPr>
        <w:t>Information Centre)</w:t>
      </w:r>
      <w:r w:rsidR="00D66498">
        <w:rPr>
          <w:rFonts w:ascii="Verdana" w:hAnsi="Verdana"/>
          <w:sz w:val="20"/>
        </w:rPr>
        <w:t>)</w:t>
      </w:r>
      <w:r w:rsidR="0044775A" w:rsidRPr="00222164">
        <w:rPr>
          <w:rFonts w:ascii="Verdana" w:hAnsi="Verdana"/>
          <w:sz w:val="20"/>
        </w:rPr>
        <w:t>.</w:t>
      </w:r>
      <w:r w:rsidR="0044775A">
        <w:rPr>
          <w:rFonts w:ascii="Verdana" w:hAnsi="Verdana"/>
          <w:sz w:val="20"/>
        </w:rPr>
        <w:t xml:space="preserve"> </w:t>
      </w:r>
      <w:r>
        <w:rPr>
          <w:rFonts w:ascii="Verdana" w:hAnsi="Verdana"/>
          <w:sz w:val="20"/>
        </w:rPr>
        <w:t xml:space="preserve">Practices that volunteered to </w:t>
      </w:r>
      <w:r w:rsidR="00A74857">
        <w:rPr>
          <w:rFonts w:ascii="Verdana" w:hAnsi="Verdana"/>
          <w:sz w:val="20"/>
        </w:rPr>
        <w:t>assist</w:t>
      </w:r>
      <w:r>
        <w:rPr>
          <w:rFonts w:ascii="Verdana" w:hAnsi="Verdana"/>
          <w:sz w:val="20"/>
        </w:rPr>
        <w:t xml:space="preserve"> recruitment </w:t>
      </w:r>
      <w:r w:rsidR="00A74857">
        <w:rPr>
          <w:rFonts w:ascii="Verdana" w:hAnsi="Verdana"/>
          <w:sz w:val="20"/>
        </w:rPr>
        <w:t>in</w:t>
      </w:r>
      <w:r>
        <w:rPr>
          <w:rFonts w:ascii="Verdana" w:hAnsi="Verdana"/>
          <w:sz w:val="20"/>
        </w:rPr>
        <w:t>to the</w:t>
      </w:r>
      <w:r w:rsidR="0044775A">
        <w:rPr>
          <w:rFonts w:ascii="Verdana" w:hAnsi="Verdana"/>
          <w:sz w:val="20"/>
        </w:rPr>
        <w:t xml:space="preserve"> HEAF</w:t>
      </w:r>
      <w:r>
        <w:rPr>
          <w:rFonts w:ascii="Verdana" w:hAnsi="Verdana"/>
          <w:sz w:val="20"/>
        </w:rPr>
        <w:t xml:space="preserve"> study were made known to the research team</w:t>
      </w:r>
      <w:r w:rsidR="0044775A">
        <w:rPr>
          <w:rFonts w:ascii="Verdana" w:hAnsi="Verdana"/>
          <w:sz w:val="20"/>
        </w:rPr>
        <w:t xml:space="preserve"> and all that did so became </w:t>
      </w:r>
      <w:r w:rsidR="009879E3">
        <w:rPr>
          <w:rFonts w:ascii="Verdana" w:hAnsi="Verdana"/>
          <w:sz w:val="20"/>
        </w:rPr>
        <w:t>f</w:t>
      </w:r>
      <w:r w:rsidR="0044775A">
        <w:rPr>
          <w:rFonts w:ascii="Verdana" w:hAnsi="Verdana"/>
          <w:sz w:val="20"/>
        </w:rPr>
        <w:t>oci of recruitment</w:t>
      </w:r>
      <w:r w:rsidR="009879E3">
        <w:rPr>
          <w:rFonts w:ascii="Verdana" w:hAnsi="Verdana"/>
          <w:sz w:val="20"/>
        </w:rPr>
        <w:t>,</w:t>
      </w:r>
      <w:r w:rsidR="000748E5">
        <w:rPr>
          <w:rFonts w:ascii="Verdana" w:hAnsi="Verdana"/>
          <w:sz w:val="20"/>
        </w:rPr>
        <w:t xml:space="preserve"> until </w:t>
      </w:r>
      <w:r w:rsidR="00A74857">
        <w:rPr>
          <w:rFonts w:ascii="Verdana" w:hAnsi="Verdana"/>
          <w:sz w:val="20"/>
        </w:rPr>
        <w:t xml:space="preserve">the target sample size </w:t>
      </w:r>
      <w:r w:rsidR="00AD6B48">
        <w:rPr>
          <w:rFonts w:ascii="Verdana" w:hAnsi="Verdana"/>
          <w:sz w:val="20"/>
        </w:rPr>
        <w:t>was met</w:t>
      </w:r>
      <w:r w:rsidR="000748E5">
        <w:rPr>
          <w:rFonts w:ascii="Verdana" w:hAnsi="Verdana"/>
          <w:sz w:val="20"/>
        </w:rPr>
        <w:t xml:space="preserve">. </w:t>
      </w:r>
    </w:p>
    <w:p w14:paraId="4FF5DA4B" w14:textId="77777777" w:rsidR="00A74857" w:rsidRDefault="00A74857" w:rsidP="00C33BBA">
      <w:pPr>
        <w:widowControl w:val="0"/>
        <w:spacing w:line="480" w:lineRule="auto"/>
        <w:rPr>
          <w:rFonts w:ascii="Verdana" w:hAnsi="Verdana"/>
          <w:sz w:val="20"/>
        </w:rPr>
      </w:pPr>
    </w:p>
    <w:p w14:paraId="25C44A36" w14:textId="41777646" w:rsidR="000748E5" w:rsidRDefault="000748E5" w:rsidP="00C33BBA">
      <w:pPr>
        <w:widowControl w:val="0"/>
        <w:spacing w:line="480" w:lineRule="auto"/>
        <w:rPr>
          <w:rFonts w:ascii="Verdana" w:hAnsi="Verdana"/>
          <w:sz w:val="20"/>
        </w:rPr>
      </w:pPr>
      <w:r>
        <w:rPr>
          <w:rFonts w:ascii="Verdana" w:hAnsi="Verdana"/>
          <w:sz w:val="20"/>
        </w:rPr>
        <w:t xml:space="preserve">In all, 24 </w:t>
      </w:r>
      <w:r w:rsidR="005C634C">
        <w:rPr>
          <w:rFonts w:ascii="Verdana" w:hAnsi="Verdana"/>
          <w:sz w:val="20"/>
        </w:rPr>
        <w:t xml:space="preserve">general </w:t>
      </w:r>
      <w:r>
        <w:rPr>
          <w:rFonts w:ascii="Verdana" w:hAnsi="Verdana"/>
          <w:sz w:val="20"/>
        </w:rPr>
        <w:t>practices finally c</w:t>
      </w:r>
      <w:r w:rsidR="009879E3">
        <w:rPr>
          <w:rFonts w:ascii="Verdana" w:hAnsi="Verdana"/>
          <w:sz w:val="20"/>
        </w:rPr>
        <w:t>ontributed to the sampl</w:t>
      </w:r>
      <w:r w:rsidR="00AD6B48">
        <w:rPr>
          <w:rFonts w:ascii="Verdana" w:hAnsi="Verdana"/>
          <w:sz w:val="20"/>
        </w:rPr>
        <w:t>ing</w:t>
      </w:r>
      <w:r w:rsidR="009879E3">
        <w:rPr>
          <w:rFonts w:ascii="Verdana" w:hAnsi="Verdana"/>
          <w:sz w:val="20"/>
        </w:rPr>
        <w:t xml:space="preserve"> frame</w:t>
      </w:r>
      <w:r w:rsidR="00AB4E73">
        <w:rPr>
          <w:rFonts w:ascii="Verdana" w:hAnsi="Verdana"/>
          <w:sz w:val="20"/>
        </w:rPr>
        <w:t xml:space="preserve"> (during Jan 2013 to June 2014)</w:t>
      </w:r>
      <w:r w:rsidR="009879E3">
        <w:rPr>
          <w:rFonts w:ascii="Verdana" w:hAnsi="Verdana"/>
          <w:sz w:val="20"/>
        </w:rPr>
        <w:t xml:space="preserve">. These offered a </w:t>
      </w:r>
      <w:r w:rsidR="00AD6B48">
        <w:rPr>
          <w:rFonts w:ascii="Verdana" w:hAnsi="Verdana"/>
          <w:sz w:val="20"/>
        </w:rPr>
        <w:t>good</w:t>
      </w:r>
      <w:r w:rsidR="009879E3" w:rsidRPr="00B16966">
        <w:rPr>
          <w:rFonts w:ascii="Verdana" w:hAnsi="Verdana"/>
          <w:sz w:val="20"/>
        </w:rPr>
        <w:t xml:space="preserve"> geographical spread</w:t>
      </w:r>
      <w:r w:rsidR="009879E3">
        <w:rPr>
          <w:rFonts w:ascii="Verdana" w:hAnsi="Verdana"/>
          <w:sz w:val="20"/>
        </w:rPr>
        <w:t>, with recruitment</w:t>
      </w:r>
      <w:r w:rsidR="009879E3" w:rsidRPr="00B16966">
        <w:rPr>
          <w:rFonts w:ascii="Verdana" w:hAnsi="Verdana"/>
          <w:sz w:val="20"/>
        </w:rPr>
        <w:t xml:space="preserve"> from the South, Midlands </w:t>
      </w:r>
      <w:r w:rsidR="009879E3">
        <w:rPr>
          <w:rFonts w:ascii="Verdana" w:hAnsi="Verdana"/>
          <w:sz w:val="20"/>
        </w:rPr>
        <w:t xml:space="preserve">and North of England </w:t>
      </w:r>
      <w:r w:rsidR="009879E3" w:rsidRPr="00F30453">
        <w:rPr>
          <w:rFonts w:ascii="Verdana" w:hAnsi="Verdana"/>
          <w:sz w:val="20"/>
        </w:rPr>
        <w:t>(Figure 1). (</w:t>
      </w:r>
      <w:r w:rsidR="00F30453">
        <w:rPr>
          <w:rFonts w:ascii="Verdana" w:hAnsi="Verdana"/>
          <w:sz w:val="20"/>
        </w:rPr>
        <w:t>T</w:t>
      </w:r>
      <w:r w:rsidR="009879E3">
        <w:rPr>
          <w:rFonts w:ascii="Verdana" w:hAnsi="Verdana"/>
          <w:sz w:val="20"/>
        </w:rPr>
        <w:t xml:space="preserve">here </w:t>
      </w:r>
      <w:r w:rsidR="00740D10">
        <w:rPr>
          <w:rFonts w:ascii="Verdana" w:hAnsi="Verdana"/>
          <w:sz w:val="20"/>
        </w:rPr>
        <w:t>wa</w:t>
      </w:r>
      <w:r w:rsidR="009879E3" w:rsidRPr="00B16966">
        <w:rPr>
          <w:rFonts w:ascii="Verdana" w:hAnsi="Verdana"/>
          <w:sz w:val="20"/>
        </w:rPr>
        <w:t xml:space="preserve">s no requirement that the distribution of respondents’ </w:t>
      </w:r>
      <w:r w:rsidR="009879E3">
        <w:rPr>
          <w:rFonts w:ascii="Verdana" w:hAnsi="Verdana"/>
          <w:sz w:val="20"/>
        </w:rPr>
        <w:t xml:space="preserve">occupations should be nationally representative, </w:t>
      </w:r>
      <w:r w:rsidR="00F30453">
        <w:rPr>
          <w:rFonts w:ascii="Verdana" w:hAnsi="Verdana"/>
          <w:sz w:val="20"/>
        </w:rPr>
        <w:t xml:space="preserve">but </w:t>
      </w:r>
      <w:r w:rsidR="003E1134">
        <w:rPr>
          <w:rFonts w:ascii="Verdana" w:hAnsi="Verdana"/>
          <w:sz w:val="20"/>
        </w:rPr>
        <w:t>geographical</w:t>
      </w:r>
      <w:r w:rsidR="009879E3">
        <w:rPr>
          <w:rFonts w:ascii="Verdana" w:hAnsi="Verdana"/>
          <w:sz w:val="20"/>
        </w:rPr>
        <w:t xml:space="preserve"> </w:t>
      </w:r>
      <w:r w:rsidR="003E1134">
        <w:rPr>
          <w:rFonts w:ascii="Verdana" w:hAnsi="Verdana"/>
          <w:sz w:val="20"/>
        </w:rPr>
        <w:t>dispersion</w:t>
      </w:r>
      <w:r w:rsidR="009879E3">
        <w:rPr>
          <w:rFonts w:ascii="Verdana" w:hAnsi="Verdana"/>
          <w:sz w:val="20"/>
        </w:rPr>
        <w:t xml:space="preserve"> was deemed </w:t>
      </w:r>
      <w:r w:rsidR="00F30453">
        <w:rPr>
          <w:rFonts w:ascii="Verdana" w:hAnsi="Verdana"/>
          <w:sz w:val="20"/>
        </w:rPr>
        <w:t>desirable</w:t>
      </w:r>
      <w:r w:rsidR="009879E3" w:rsidRPr="00B16966">
        <w:rPr>
          <w:rFonts w:ascii="Verdana" w:hAnsi="Verdana"/>
          <w:sz w:val="20"/>
        </w:rPr>
        <w:t xml:space="preserve"> as unemployment rates and patterns of illness behaviour</w:t>
      </w:r>
      <w:r w:rsidR="009879E3">
        <w:rPr>
          <w:rFonts w:ascii="Verdana" w:hAnsi="Verdana"/>
          <w:sz w:val="20"/>
        </w:rPr>
        <w:t xml:space="preserve"> and</w:t>
      </w:r>
      <w:r w:rsidR="009879E3" w:rsidRPr="00B16966">
        <w:rPr>
          <w:rFonts w:ascii="Verdana" w:hAnsi="Verdana"/>
          <w:sz w:val="20"/>
        </w:rPr>
        <w:t xml:space="preserve"> c</w:t>
      </w:r>
      <w:r w:rsidR="009879E3">
        <w:rPr>
          <w:rFonts w:ascii="Verdana" w:hAnsi="Verdana"/>
          <w:sz w:val="20"/>
        </w:rPr>
        <w:t xml:space="preserve">onsulting are liable to vary </w:t>
      </w:r>
      <w:r w:rsidR="003E1134">
        <w:rPr>
          <w:rFonts w:ascii="Verdana" w:hAnsi="Verdana"/>
          <w:sz w:val="20"/>
        </w:rPr>
        <w:t>between regions</w:t>
      </w:r>
      <w:r w:rsidR="009879E3">
        <w:rPr>
          <w:rFonts w:ascii="Verdana" w:hAnsi="Verdana"/>
          <w:sz w:val="20"/>
        </w:rPr>
        <w:t>.)</w:t>
      </w:r>
    </w:p>
    <w:p w14:paraId="765FC0B9" w14:textId="77777777" w:rsidR="000748E5" w:rsidRDefault="000748E5" w:rsidP="00C33BBA">
      <w:pPr>
        <w:widowControl w:val="0"/>
        <w:spacing w:line="480" w:lineRule="auto"/>
        <w:rPr>
          <w:rFonts w:ascii="Verdana" w:hAnsi="Verdana"/>
          <w:sz w:val="20"/>
        </w:rPr>
      </w:pPr>
    </w:p>
    <w:p w14:paraId="52716182" w14:textId="49990C76" w:rsidR="000748E5" w:rsidRDefault="00A74857" w:rsidP="00C33BBA">
      <w:pPr>
        <w:widowControl w:val="0"/>
        <w:spacing w:line="480" w:lineRule="auto"/>
        <w:rPr>
          <w:rFonts w:ascii="Verdana" w:hAnsi="Verdana"/>
          <w:sz w:val="20"/>
        </w:rPr>
      </w:pPr>
      <w:r>
        <w:rPr>
          <w:rFonts w:ascii="Verdana" w:hAnsi="Verdana"/>
          <w:i/>
          <w:sz w:val="20"/>
        </w:rPr>
        <w:t xml:space="preserve">Participants and recruitment: </w:t>
      </w:r>
      <w:r w:rsidR="000748E5">
        <w:rPr>
          <w:rFonts w:ascii="Verdana" w:hAnsi="Verdana"/>
          <w:sz w:val="20"/>
        </w:rPr>
        <w:t xml:space="preserve">All patients </w:t>
      </w:r>
      <w:r w:rsidR="00B8561A">
        <w:rPr>
          <w:rFonts w:ascii="Verdana" w:hAnsi="Verdana"/>
          <w:sz w:val="20"/>
        </w:rPr>
        <w:t>born between 1948 and 1962 (</w:t>
      </w:r>
      <w:r w:rsidR="00E246A1">
        <w:rPr>
          <w:rFonts w:ascii="Verdana" w:hAnsi="Verdana"/>
          <w:sz w:val="20"/>
        </w:rPr>
        <w:t>target age band</w:t>
      </w:r>
      <w:r w:rsidR="000748E5" w:rsidRPr="00B16966">
        <w:rPr>
          <w:rFonts w:ascii="Verdana" w:hAnsi="Verdana"/>
          <w:sz w:val="20"/>
        </w:rPr>
        <w:t xml:space="preserve"> 50-64 years</w:t>
      </w:r>
      <w:r w:rsidR="00B8561A">
        <w:rPr>
          <w:rFonts w:ascii="Verdana" w:hAnsi="Verdana"/>
          <w:sz w:val="20"/>
        </w:rPr>
        <w:t>)</w:t>
      </w:r>
      <w:r w:rsidR="000748E5">
        <w:rPr>
          <w:rFonts w:ascii="Verdana" w:hAnsi="Verdana"/>
          <w:sz w:val="20"/>
        </w:rPr>
        <w:t xml:space="preserve"> </w:t>
      </w:r>
      <w:r w:rsidR="003E1134">
        <w:rPr>
          <w:rFonts w:ascii="Verdana" w:hAnsi="Verdana"/>
          <w:sz w:val="20"/>
        </w:rPr>
        <w:t>who were registered with</w:t>
      </w:r>
      <w:r w:rsidR="000748E5">
        <w:rPr>
          <w:rFonts w:ascii="Verdana" w:hAnsi="Verdana"/>
          <w:sz w:val="20"/>
        </w:rPr>
        <w:t xml:space="preserve"> the participating practices were eligible to be recruited, although general practitioners (GPs) were asked to </w:t>
      </w:r>
      <w:r w:rsidR="00571202">
        <w:rPr>
          <w:rFonts w:ascii="Verdana" w:hAnsi="Verdana"/>
          <w:sz w:val="20"/>
        </w:rPr>
        <w:t>review</w:t>
      </w:r>
      <w:r w:rsidR="000748E5">
        <w:rPr>
          <w:rFonts w:ascii="Verdana" w:hAnsi="Verdana"/>
          <w:sz w:val="20"/>
        </w:rPr>
        <w:t xml:space="preserve"> the sampling lists before mailing and to exclude</w:t>
      </w:r>
      <w:r w:rsidR="000748E5" w:rsidRPr="000748E5">
        <w:rPr>
          <w:rFonts w:ascii="Verdana" w:hAnsi="Verdana"/>
          <w:sz w:val="20"/>
        </w:rPr>
        <w:t xml:space="preserve"> patients whom they th</w:t>
      </w:r>
      <w:r w:rsidR="000748E5">
        <w:rPr>
          <w:rFonts w:ascii="Verdana" w:hAnsi="Verdana"/>
          <w:sz w:val="20"/>
        </w:rPr>
        <w:t>ought</w:t>
      </w:r>
      <w:r w:rsidR="000748E5" w:rsidRPr="000748E5">
        <w:rPr>
          <w:rFonts w:ascii="Verdana" w:hAnsi="Verdana"/>
          <w:sz w:val="20"/>
        </w:rPr>
        <w:t xml:space="preserve"> should not be approached (e.g. because of terminal illness or recent bereavement</w:t>
      </w:r>
      <w:r w:rsidR="000748E5">
        <w:rPr>
          <w:rFonts w:ascii="Verdana" w:hAnsi="Verdana"/>
          <w:sz w:val="20"/>
        </w:rPr>
        <w:t xml:space="preserve">). </w:t>
      </w:r>
      <w:r w:rsidR="00963C28">
        <w:rPr>
          <w:rFonts w:ascii="Verdana" w:hAnsi="Verdana"/>
          <w:sz w:val="20"/>
        </w:rPr>
        <w:t>M</w:t>
      </w:r>
      <w:r>
        <w:rPr>
          <w:rFonts w:ascii="Verdana" w:hAnsi="Verdana"/>
          <w:sz w:val="20"/>
        </w:rPr>
        <w:t xml:space="preserve">ailings were conducted </w:t>
      </w:r>
      <w:r w:rsidRPr="000748E5">
        <w:rPr>
          <w:rFonts w:ascii="Verdana" w:hAnsi="Verdana"/>
          <w:sz w:val="20"/>
        </w:rPr>
        <w:t xml:space="preserve">initially by </w:t>
      </w:r>
      <w:r>
        <w:rPr>
          <w:rFonts w:ascii="Verdana" w:hAnsi="Verdana"/>
          <w:sz w:val="20"/>
        </w:rPr>
        <w:t>the practices</w:t>
      </w:r>
      <w:r w:rsidR="00E246A1">
        <w:rPr>
          <w:rFonts w:ascii="Verdana" w:hAnsi="Verdana"/>
          <w:sz w:val="20"/>
        </w:rPr>
        <w:t xml:space="preserve"> (between January 2013 and </w:t>
      </w:r>
      <w:r w:rsidR="006D6D19">
        <w:rPr>
          <w:rFonts w:ascii="Verdana" w:hAnsi="Verdana"/>
          <w:sz w:val="20"/>
        </w:rPr>
        <w:t xml:space="preserve">June </w:t>
      </w:r>
      <w:r w:rsidR="00E246A1">
        <w:rPr>
          <w:rFonts w:ascii="Verdana" w:hAnsi="Verdana"/>
          <w:sz w:val="20"/>
        </w:rPr>
        <w:t>2014)</w:t>
      </w:r>
      <w:r>
        <w:rPr>
          <w:rFonts w:ascii="Verdana" w:hAnsi="Verdana"/>
          <w:sz w:val="20"/>
        </w:rPr>
        <w:t>.</w:t>
      </w:r>
      <w:r w:rsidR="00A053A6">
        <w:rPr>
          <w:rFonts w:ascii="Verdana" w:hAnsi="Verdana"/>
          <w:sz w:val="20"/>
        </w:rPr>
        <w:t xml:space="preserve"> A single invitation was issued</w:t>
      </w:r>
      <w:r>
        <w:rPr>
          <w:rFonts w:ascii="Verdana" w:hAnsi="Verdana"/>
          <w:sz w:val="20"/>
        </w:rPr>
        <w:t xml:space="preserve"> without reminder. </w:t>
      </w:r>
      <w:r w:rsidR="000748E5">
        <w:rPr>
          <w:rFonts w:ascii="Verdana" w:hAnsi="Verdana"/>
          <w:sz w:val="20"/>
        </w:rPr>
        <w:t xml:space="preserve">To safeguard the privacy of non-participants, </w:t>
      </w:r>
      <w:r w:rsidR="000748E5" w:rsidRPr="000748E5">
        <w:rPr>
          <w:rFonts w:ascii="Verdana" w:hAnsi="Verdana"/>
          <w:sz w:val="20"/>
        </w:rPr>
        <w:t>contact details</w:t>
      </w:r>
      <w:r>
        <w:rPr>
          <w:rFonts w:ascii="Verdana" w:hAnsi="Verdana"/>
          <w:sz w:val="20"/>
        </w:rPr>
        <w:t xml:space="preserve"> were</w:t>
      </w:r>
      <w:r w:rsidR="000748E5" w:rsidRPr="000748E5">
        <w:rPr>
          <w:rFonts w:ascii="Verdana" w:hAnsi="Verdana"/>
          <w:sz w:val="20"/>
        </w:rPr>
        <w:t xml:space="preserve"> </w:t>
      </w:r>
      <w:r w:rsidR="000748E5">
        <w:rPr>
          <w:rFonts w:ascii="Verdana" w:hAnsi="Verdana"/>
          <w:sz w:val="20"/>
        </w:rPr>
        <w:t>withheld</w:t>
      </w:r>
      <w:r w:rsidR="000748E5" w:rsidRPr="000748E5">
        <w:rPr>
          <w:rFonts w:ascii="Verdana" w:hAnsi="Verdana"/>
          <w:sz w:val="20"/>
        </w:rPr>
        <w:t xml:space="preserve"> </w:t>
      </w:r>
      <w:r w:rsidR="000748E5">
        <w:rPr>
          <w:rFonts w:ascii="Verdana" w:hAnsi="Verdana"/>
          <w:sz w:val="20"/>
        </w:rPr>
        <w:t xml:space="preserve">from </w:t>
      </w:r>
      <w:r w:rsidR="000748E5" w:rsidRPr="000748E5">
        <w:rPr>
          <w:rFonts w:ascii="Verdana" w:hAnsi="Verdana"/>
          <w:sz w:val="20"/>
        </w:rPr>
        <w:t xml:space="preserve">the researchers </w:t>
      </w:r>
      <w:r w:rsidR="00726C31">
        <w:rPr>
          <w:rFonts w:ascii="Verdana" w:hAnsi="Verdana"/>
          <w:sz w:val="20"/>
        </w:rPr>
        <w:t xml:space="preserve">until </w:t>
      </w:r>
      <w:r w:rsidR="00AA07D5">
        <w:rPr>
          <w:rFonts w:ascii="Verdana" w:hAnsi="Verdana"/>
          <w:sz w:val="20"/>
        </w:rPr>
        <w:t>those who agreed to participate</w:t>
      </w:r>
      <w:r>
        <w:rPr>
          <w:rFonts w:ascii="Verdana" w:hAnsi="Verdana"/>
          <w:sz w:val="20"/>
        </w:rPr>
        <w:t xml:space="preserve"> </w:t>
      </w:r>
      <w:r w:rsidRPr="000748E5">
        <w:rPr>
          <w:rFonts w:ascii="Verdana" w:hAnsi="Verdana"/>
          <w:sz w:val="20"/>
        </w:rPr>
        <w:t>return</w:t>
      </w:r>
      <w:r>
        <w:rPr>
          <w:rFonts w:ascii="Verdana" w:hAnsi="Verdana"/>
          <w:sz w:val="20"/>
        </w:rPr>
        <w:t>ed</w:t>
      </w:r>
      <w:r w:rsidRPr="000748E5">
        <w:rPr>
          <w:rFonts w:ascii="Verdana" w:hAnsi="Verdana"/>
          <w:sz w:val="20"/>
        </w:rPr>
        <w:t xml:space="preserve"> </w:t>
      </w:r>
      <w:r>
        <w:rPr>
          <w:rFonts w:ascii="Verdana" w:hAnsi="Verdana"/>
          <w:sz w:val="20"/>
        </w:rPr>
        <w:t>their baseline</w:t>
      </w:r>
      <w:r w:rsidRPr="000748E5">
        <w:rPr>
          <w:rFonts w:ascii="Verdana" w:hAnsi="Verdana"/>
          <w:sz w:val="20"/>
        </w:rPr>
        <w:t xml:space="preserve"> questionnaire</w:t>
      </w:r>
      <w:r w:rsidR="00726C31">
        <w:rPr>
          <w:rFonts w:ascii="Verdana" w:hAnsi="Verdana"/>
          <w:sz w:val="20"/>
        </w:rPr>
        <w:t>, written consent</w:t>
      </w:r>
      <w:r>
        <w:rPr>
          <w:rFonts w:ascii="Verdana" w:hAnsi="Verdana"/>
          <w:sz w:val="20"/>
        </w:rPr>
        <w:t xml:space="preserve"> </w:t>
      </w:r>
      <w:r w:rsidR="00726C31">
        <w:rPr>
          <w:rFonts w:ascii="Verdana" w:hAnsi="Verdana"/>
          <w:sz w:val="20"/>
        </w:rPr>
        <w:t>and</w:t>
      </w:r>
      <w:r>
        <w:rPr>
          <w:rFonts w:ascii="Verdana" w:hAnsi="Verdana"/>
          <w:sz w:val="20"/>
        </w:rPr>
        <w:t xml:space="preserve"> contact information </w:t>
      </w:r>
      <w:r w:rsidR="000748E5">
        <w:rPr>
          <w:rFonts w:ascii="Verdana" w:hAnsi="Verdana"/>
          <w:sz w:val="20"/>
        </w:rPr>
        <w:t>(Table 1)</w:t>
      </w:r>
      <w:r>
        <w:rPr>
          <w:rFonts w:ascii="Verdana" w:hAnsi="Verdana"/>
          <w:sz w:val="20"/>
        </w:rPr>
        <w:t xml:space="preserve">. </w:t>
      </w:r>
      <w:r w:rsidR="00AA07D5">
        <w:rPr>
          <w:rFonts w:ascii="Verdana" w:hAnsi="Verdana"/>
          <w:sz w:val="20"/>
        </w:rPr>
        <w:t>M</w:t>
      </w:r>
      <w:r w:rsidR="005C634C">
        <w:rPr>
          <w:rFonts w:ascii="Verdana" w:hAnsi="Verdana"/>
          <w:sz w:val="20"/>
        </w:rPr>
        <w:t xml:space="preserve">ethods </w:t>
      </w:r>
      <w:r w:rsidR="00AA07D5">
        <w:rPr>
          <w:rFonts w:ascii="Verdana" w:hAnsi="Verdana"/>
          <w:sz w:val="20"/>
        </w:rPr>
        <w:t xml:space="preserve">of recruitment were </w:t>
      </w:r>
      <w:r w:rsidR="00AA07D5" w:rsidRPr="005C634C">
        <w:rPr>
          <w:rFonts w:ascii="Verdana" w:hAnsi="Verdana"/>
          <w:sz w:val="20"/>
        </w:rPr>
        <w:t xml:space="preserve">piloted </w:t>
      </w:r>
      <w:r w:rsidR="005C634C">
        <w:rPr>
          <w:rFonts w:ascii="Verdana" w:hAnsi="Verdana"/>
          <w:sz w:val="20"/>
        </w:rPr>
        <w:t>and response rates</w:t>
      </w:r>
      <w:r w:rsidR="00963C28">
        <w:rPr>
          <w:rFonts w:ascii="Verdana" w:hAnsi="Verdana"/>
          <w:sz w:val="20"/>
        </w:rPr>
        <w:t xml:space="preserve"> were</w:t>
      </w:r>
      <w:r w:rsidR="00AA07D5">
        <w:rPr>
          <w:rFonts w:ascii="Verdana" w:hAnsi="Verdana"/>
          <w:sz w:val="20"/>
        </w:rPr>
        <w:t xml:space="preserve"> assessed</w:t>
      </w:r>
      <w:r w:rsidR="005C634C">
        <w:rPr>
          <w:rFonts w:ascii="Verdana" w:hAnsi="Verdana"/>
          <w:sz w:val="20"/>
        </w:rPr>
        <w:t xml:space="preserve"> </w:t>
      </w:r>
      <w:r w:rsidR="005C634C" w:rsidRPr="005C634C">
        <w:rPr>
          <w:rFonts w:ascii="Verdana" w:hAnsi="Verdana"/>
          <w:sz w:val="20"/>
        </w:rPr>
        <w:t xml:space="preserve">in two of the practices before </w:t>
      </w:r>
      <w:r w:rsidR="00AA07D5">
        <w:rPr>
          <w:rFonts w:ascii="Verdana" w:hAnsi="Verdana"/>
          <w:sz w:val="20"/>
        </w:rPr>
        <w:t>recruitment was</w:t>
      </w:r>
      <w:r w:rsidR="005C634C">
        <w:rPr>
          <w:rFonts w:ascii="Verdana" w:hAnsi="Verdana"/>
          <w:sz w:val="20"/>
        </w:rPr>
        <w:t xml:space="preserve"> rolled out to the </w:t>
      </w:r>
      <w:r w:rsidR="00963C28">
        <w:rPr>
          <w:rFonts w:ascii="Verdana" w:hAnsi="Verdana"/>
          <w:sz w:val="20"/>
        </w:rPr>
        <w:t>remain</w:t>
      </w:r>
      <w:r w:rsidR="00571202">
        <w:rPr>
          <w:rFonts w:ascii="Verdana" w:hAnsi="Verdana"/>
          <w:sz w:val="20"/>
        </w:rPr>
        <w:t>der</w:t>
      </w:r>
      <w:r w:rsidR="005C634C">
        <w:rPr>
          <w:rFonts w:ascii="Verdana" w:hAnsi="Verdana"/>
          <w:sz w:val="20"/>
        </w:rPr>
        <w:t>.</w:t>
      </w:r>
    </w:p>
    <w:p w14:paraId="62B68C12" w14:textId="77777777" w:rsidR="000748E5" w:rsidRDefault="000748E5" w:rsidP="00C33BBA">
      <w:pPr>
        <w:widowControl w:val="0"/>
        <w:spacing w:line="480" w:lineRule="auto"/>
        <w:rPr>
          <w:rFonts w:ascii="Verdana" w:hAnsi="Verdana"/>
          <w:i/>
          <w:sz w:val="20"/>
        </w:rPr>
      </w:pPr>
    </w:p>
    <w:p w14:paraId="10287232" w14:textId="77777777" w:rsidR="009879E3" w:rsidRPr="009879E3" w:rsidRDefault="009879E3" w:rsidP="00C33BBA">
      <w:pPr>
        <w:widowControl w:val="0"/>
        <w:spacing w:line="480" w:lineRule="auto"/>
        <w:rPr>
          <w:rFonts w:ascii="Verdana" w:hAnsi="Verdana"/>
          <w:b/>
          <w:sz w:val="20"/>
          <w:szCs w:val="20"/>
        </w:rPr>
      </w:pPr>
      <w:r w:rsidRPr="009879E3">
        <w:rPr>
          <w:rFonts w:ascii="Verdana" w:hAnsi="Verdana"/>
          <w:b/>
          <w:sz w:val="20"/>
          <w:szCs w:val="20"/>
        </w:rPr>
        <w:lastRenderedPageBreak/>
        <w:t>Baseline questionnaire</w:t>
      </w:r>
    </w:p>
    <w:p w14:paraId="7AB1B1F7" w14:textId="13D7E309" w:rsidR="00CF0C1C" w:rsidRDefault="00CF0C1C" w:rsidP="00C33BBA">
      <w:pPr>
        <w:widowControl w:val="0"/>
        <w:spacing w:line="480" w:lineRule="auto"/>
        <w:rPr>
          <w:rFonts w:ascii="Verdana" w:hAnsi="Verdana"/>
          <w:sz w:val="20"/>
          <w:szCs w:val="20"/>
        </w:rPr>
      </w:pPr>
      <w:r>
        <w:rPr>
          <w:rFonts w:ascii="Verdana" w:hAnsi="Verdana"/>
          <w:sz w:val="20"/>
          <w:szCs w:val="20"/>
        </w:rPr>
        <w:t>The baseline questionnaire</w:t>
      </w:r>
      <w:r w:rsidR="005C634C">
        <w:rPr>
          <w:rFonts w:ascii="Verdana" w:hAnsi="Verdana"/>
          <w:sz w:val="20"/>
          <w:szCs w:val="20"/>
        </w:rPr>
        <w:t xml:space="preserve"> (Appendix 1) </w:t>
      </w:r>
      <w:r>
        <w:rPr>
          <w:rFonts w:ascii="Verdana" w:hAnsi="Verdana"/>
          <w:sz w:val="20"/>
          <w:szCs w:val="20"/>
        </w:rPr>
        <w:t>was</w:t>
      </w:r>
      <w:r w:rsidR="00740D10">
        <w:rPr>
          <w:rFonts w:ascii="Verdana" w:hAnsi="Verdana"/>
          <w:sz w:val="20"/>
          <w:szCs w:val="20"/>
        </w:rPr>
        <w:t xml:space="preserve"> tested </w:t>
      </w:r>
      <w:r>
        <w:rPr>
          <w:rFonts w:ascii="Verdana" w:hAnsi="Verdana"/>
          <w:sz w:val="20"/>
          <w:szCs w:val="20"/>
        </w:rPr>
        <w:t>for ease of completion</w:t>
      </w:r>
      <w:r w:rsidRPr="00CF0C1C">
        <w:t xml:space="preserve"> </w:t>
      </w:r>
      <w:r w:rsidRPr="00CF0C1C">
        <w:rPr>
          <w:rFonts w:ascii="Verdana" w:hAnsi="Verdana"/>
          <w:sz w:val="20"/>
          <w:szCs w:val="20"/>
        </w:rPr>
        <w:t>in 10 clerical staff of compara</w:t>
      </w:r>
      <w:r>
        <w:rPr>
          <w:rFonts w:ascii="Verdana" w:hAnsi="Verdana"/>
          <w:sz w:val="20"/>
          <w:szCs w:val="20"/>
        </w:rPr>
        <w:t xml:space="preserve">ble age to the target study population. </w:t>
      </w:r>
      <w:r w:rsidR="00D17EA6" w:rsidRPr="00D17EA6">
        <w:rPr>
          <w:rFonts w:ascii="Verdana" w:hAnsi="Verdana"/>
          <w:sz w:val="20"/>
          <w:szCs w:val="20"/>
        </w:rPr>
        <w:t>All items on the questionnaire were completed  by all respondents</w:t>
      </w:r>
      <w:r>
        <w:rPr>
          <w:rFonts w:ascii="Verdana" w:hAnsi="Verdana"/>
          <w:sz w:val="20"/>
          <w:szCs w:val="20"/>
        </w:rPr>
        <w:t xml:space="preserve">; </w:t>
      </w:r>
      <w:r w:rsidR="005C634C">
        <w:rPr>
          <w:rFonts w:ascii="Verdana" w:hAnsi="Verdana"/>
          <w:sz w:val="20"/>
          <w:szCs w:val="20"/>
        </w:rPr>
        <w:t>c</w:t>
      </w:r>
      <w:r w:rsidRPr="00CF0C1C">
        <w:rPr>
          <w:rFonts w:ascii="Verdana" w:hAnsi="Verdana"/>
          <w:sz w:val="20"/>
          <w:szCs w:val="20"/>
        </w:rPr>
        <w:t>ompletion times ranged from 10 to 25 minu</w:t>
      </w:r>
      <w:r>
        <w:rPr>
          <w:rFonts w:ascii="Verdana" w:hAnsi="Verdana"/>
          <w:sz w:val="20"/>
          <w:szCs w:val="20"/>
        </w:rPr>
        <w:t>tes with a median of 17 minutes</w:t>
      </w:r>
      <w:r w:rsidR="005C634C">
        <w:rPr>
          <w:rFonts w:ascii="Verdana" w:hAnsi="Verdana"/>
          <w:sz w:val="20"/>
          <w:szCs w:val="20"/>
        </w:rPr>
        <w:t>,</w:t>
      </w:r>
      <w:r w:rsidRPr="00CF0C1C">
        <w:rPr>
          <w:rFonts w:ascii="Verdana" w:hAnsi="Verdana"/>
          <w:sz w:val="20"/>
          <w:szCs w:val="20"/>
        </w:rPr>
        <w:t xml:space="preserve"> </w:t>
      </w:r>
      <w:r w:rsidR="003E1134">
        <w:rPr>
          <w:rFonts w:ascii="Verdana" w:hAnsi="Verdana"/>
          <w:sz w:val="20"/>
          <w:szCs w:val="20"/>
        </w:rPr>
        <w:t>eight</w:t>
      </w:r>
      <w:r w:rsidRPr="00CF0C1C">
        <w:rPr>
          <w:rFonts w:ascii="Verdana" w:hAnsi="Verdana"/>
          <w:sz w:val="20"/>
          <w:szCs w:val="20"/>
        </w:rPr>
        <w:t xml:space="preserve"> of </w:t>
      </w:r>
      <w:r w:rsidR="00BD78D1">
        <w:rPr>
          <w:rFonts w:ascii="Verdana" w:hAnsi="Verdana"/>
          <w:sz w:val="20"/>
          <w:szCs w:val="20"/>
        </w:rPr>
        <w:t>the</w:t>
      </w:r>
      <w:r w:rsidRPr="00CF0C1C">
        <w:rPr>
          <w:rFonts w:ascii="Verdana" w:hAnsi="Verdana"/>
          <w:sz w:val="20"/>
          <w:szCs w:val="20"/>
        </w:rPr>
        <w:t xml:space="preserve"> </w:t>
      </w:r>
      <w:r>
        <w:rPr>
          <w:rFonts w:ascii="Verdana" w:hAnsi="Verdana"/>
          <w:sz w:val="20"/>
          <w:szCs w:val="20"/>
        </w:rPr>
        <w:t>individuals</w:t>
      </w:r>
      <w:r w:rsidR="005C634C">
        <w:rPr>
          <w:rFonts w:ascii="Verdana" w:hAnsi="Verdana"/>
          <w:sz w:val="20"/>
          <w:szCs w:val="20"/>
        </w:rPr>
        <w:t xml:space="preserve"> taking</w:t>
      </w:r>
      <w:r w:rsidRPr="00CF0C1C">
        <w:rPr>
          <w:rFonts w:ascii="Verdana" w:hAnsi="Verdana"/>
          <w:sz w:val="20"/>
          <w:szCs w:val="20"/>
        </w:rPr>
        <w:t xml:space="preserve"> less than 20 minutes </w:t>
      </w:r>
      <w:r w:rsidR="005C634C">
        <w:rPr>
          <w:rFonts w:ascii="Verdana" w:hAnsi="Verdana"/>
          <w:sz w:val="20"/>
          <w:szCs w:val="20"/>
        </w:rPr>
        <w:t>in total</w:t>
      </w:r>
      <w:r>
        <w:rPr>
          <w:rFonts w:ascii="Verdana" w:hAnsi="Verdana"/>
          <w:sz w:val="20"/>
          <w:szCs w:val="20"/>
        </w:rPr>
        <w:t>.</w:t>
      </w:r>
    </w:p>
    <w:p w14:paraId="0E054DB7" w14:textId="77777777" w:rsidR="00CF0C1C" w:rsidRDefault="00CF0C1C" w:rsidP="00C33BBA">
      <w:pPr>
        <w:widowControl w:val="0"/>
        <w:spacing w:line="480" w:lineRule="auto"/>
        <w:rPr>
          <w:rFonts w:ascii="Verdana" w:hAnsi="Verdana"/>
          <w:sz w:val="20"/>
          <w:szCs w:val="20"/>
        </w:rPr>
      </w:pPr>
    </w:p>
    <w:p w14:paraId="5EFB5A7C" w14:textId="02446270" w:rsidR="006839C1" w:rsidRDefault="00BD78D1" w:rsidP="00C33BBA">
      <w:pPr>
        <w:widowControl w:val="0"/>
        <w:spacing w:line="480" w:lineRule="auto"/>
        <w:rPr>
          <w:rFonts w:ascii="Verdana" w:hAnsi="Verdana"/>
          <w:sz w:val="20"/>
          <w:szCs w:val="20"/>
        </w:rPr>
      </w:pPr>
      <w:r>
        <w:rPr>
          <w:rFonts w:ascii="Verdana" w:hAnsi="Verdana"/>
          <w:sz w:val="20"/>
          <w:szCs w:val="20"/>
        </w:rPr>
        <w:t>The questionnaire</w:t>
      </w:r>
      <w:r w:rsidR="005C634C">
        <w:rPr>
          <w:rFonts w:ascii="Verdana" w:hAnsi="Verdana"/>
          <w:sz w:val="20"/>
          <w:szCs w:val="20"/>
        </w:rPr>
        <w:t xml:space="preserve"> covered the following</w:t>
      </w:r>
      <w:r w:rsidR="006921A5">
        <w:rPr>
          <w:rFonts w:ascii="Verdana" w:hAnsi="Verdana"/>
          <w:sz w:val="20"/>
          <w:szCs w:val="20"/>
        </w:rPr>
        <w:t xml:space="preserve"> main</w:t>
      </w:r>
      <w:r w:rsidR="005C634C">
        <w:rPr>
          <w:rFonts w:ascii="Verdana" w:hAnsi="Verdana"/>
          <w:sz w:val="20"/>
          <w:szCs w:val="20"/>
        </w:rPr>
        <w:t xml:space="preserve"> domains: </w:t>
      </w:r>
      <w:r w:rsidR="00A30957">
        <w:rPr>
          <w:rFonts w:ascii="Verdana" w:hAnsi="Verdana"/>
          <w:sz w:val="20"/>
          <w:szCs w:val="20"/>
        </w:rPr>
        <w:t xml:space="preserve">demographic </w:t>
      </w:r>
      <w:r w:rsidR="00122A38">
        <w:rPr>
          <w:rFonts w:ascii="Verdana" w:hAnsi="Verdana"/>
          <w:sz w:val="20"/>
          <w:szCs w:val="20"/>
        </w:rPr>
        <w:t xml:space="preserve">and anthropometric </w:t>
      </w:r>
      <w:r w:rsidR="00A30957">
        <w:rPr>
          <w:rFonts w:ascii="Verdana" w:hAnsi="Verdana"/>
          <w:sz w:val="20"/>
          <w:szCs w:val="20"/>
        </w:rPr>
        <w:t>characteristics</w:t>
      </w:r>
      <w:r w:rsidR="005C634C">
        <w:rPr>
          <w:rFonts w:ascii="Verdana" w:hAnsi="Verdana"/>
          <w:sz w:val="20"/>
          <w:szCs w:val="20"/>
        </w:rPr>
        <w:t>;</w:t>
      </w:r>
      <w:r w:rsidR="00122A38">
        <w:rPr>
          <w:rFonts w:ascii="Verdana" w:hAnsi="Verdana"/>
          <w:sz w:val="20"/>
          <w:szCs w:val="20"/>
        </w:rPr>
        <w:t xml:space="preserve"> </w:t>
      </w:r>
      <w:r w:rsidR="009879E3">
        <w:rPr>
          <w:rFonts w:ascii="Verdana" w:hAnsi="Verdana"/>
          <w:sz w:val="20"/>
          <w:szCs w:val="20"/>
        </w:rPr>
        <w:t>current</w:t>
      </w:r>
      <w:r w:rsidR="009879E3" w:rsidRPr="00F76CB9">
        <w:rPr>
          <w:rFonts w:ascii="Verdana" w:hAnsi="Verdana"/>
          <w:sz w:val="20"/>
          <w:szCs w:val="20"/>
        </w:rPr>
        <w:t xml:space="preserve"> </w:t>
      </w:r>
      <w:r w:rsidR="009879E3">
        <w:rPr>
          <w:rFonts w:ascii="Verdana" w:hAnsi="Verdana"/>
          <w:sz w:val="20"/>
          <w:szCs w:val="20"/>
        </w:rPr>
        <w:t>work</w:t>
      </w:r>
      <w:r w:rsidR="009879E3" w:rsidRPr="00F76CB9">
        <w:rPr>
          <w:rFonts w:ascii="Verdana" w:hAnsi="Verdana"/>
          <w:sz w:val="20"/>
          <w:szCs w:val="20"/>
        </w:rPr>
        <w:t xml:space="preserve"> </w:t>
      </w:r>
      <w:r w:rsidR="009879E3">
        <w:rPr>
          <w:rFonts w:ascii="Verdana" w:hAnsi="Verdana"/>
          <w:sz w:val="20"/>
          <w:szCs w:val="20"/>
        </w:rPr>
        <w:t>status</w:t>
      </w:r>
      <w:r w:rsidR="006839C1">
        <w:rPr>
          <w:rFonts w:ascii="Verdana" w:hAnsi="Verdana"/>
          <w:sz w:val="20"/>
          <w:szCs w:val="20"/>
        </w:rPr>
        <w:t>; content and characteristics</w:t>
      </w:r>
      <w:r w:rsidR="009879E3">
        <w:rPr>
          <w:rFonts w:ascii="Verdana" w:hAnsi="Verdana"/>
          <w:sz w:val="20"/>
          <w:szCs w:val="20"/>
        </w:rPr>
        <w:t xml:space="preserve"> </w:t>
      </w:r>
      <w:r w:rsidR="009879E3" w:rsidRPr="00A30957">
        <w:rPr>
          <w:rFonts w:ascii="Verdana" w:hAnsi="Verdana"/>
          <w:sz w:val="20"/>
          <w:szCs w:val="20"/>
        </w:rPr>
        <w:t xml:space="preserve">of </w:t>
      </w:r>
      <w:r w:rsidR="00726C31" w:rsidRPr="00A30957">
        <w:rPr>
          <w:rFonts w:ascii="Verdana" w:hAnsi="Verdana"/>
          <w:sz w:val="20"/>
          <w:szCs w:val="20"/>
        </w:rPr>
        <w:t xml:space="preserve">paid </w:t>
      </w:r>
      <w:r w:rsidR="009879E3" w:rsidRPr="00A30957">
        <w:rPr>
          <w:rFonts w:ascii="Verdana" w:hAnsi="Verdana"/>
          <w:sz w:val="20"/>
          <w:szCs w:val="20"/>
        </w:rPr>
        <w:t>work</w:t>
      </w:r>
      <w:r w:rsidR="009879E3" w:rsidRPr="00122A38">
        <w:rPr>
          <w:rFonts w:ascii="Verdana" w:hAnsi="Verdana"/>
          <w:sz w:val="20"/>
          <w:szCs w:val="20"/>
        </w:rPr>
        <w:t>;</w:t>
      </w:r>
      <w:r w:rsidR="00F30453">
        <w:rPr>
          <w:rFonts w:ascii="Verdana" w:hAnsi="Verdana"/>
          <w:sz w:val="20"/>
          <w:szCs w:val="20"/>
        </w:rPr>
        <w:t xml:space="preserve"> </w:t>
      </w:r>
      <w:r w:rsidR="009879E3" w:rsidRPr="00122A38">
        <w:rPr>
          <w:rFonts w:ascii="Verdana" w:hAnsi="Verdana"/>
          <w:sz w:val="20"/>
          <w:szCs w:val="20"/>
        </w:rPr>
        <w:t xml:space="preserve">physical </w:t>
      </w:r>
      <w:r w:rsidR="00A30957" w:rsidRPr="00122A38">
        <w:rPr>
          <w:rFonts w:ascii="Verdana" w:hAnsi="Verdana"/>
          <w:sz w:val="20"/>
          <w:szCs w:val="20"/>
        </w:rPr>
        <w:t>a</w:t>
      </w:r>
      <w:r w:rsidR="006839C1">
        <w:rPr>
          <w:rFonts w:ascii="Verdana" w:hAnsi="Verdana"/>
          <w:sz w:val="20"/>
          <w:szCs w:val="20"/>
        </w:rPr>
        <w:t xml:space="preserve">nd psychosocial demands of work; </w:t>
      </w:r>
      <w:r w:rsidR="00A30957" w:rsidRPr="00122A38">
        <w:rPr>
          <w:rFonts w:ascii="Verdana" w:hAnsi="Verdana"/>
          <w:sz w:val="20"/>
          <w:szCs w:val="20"/>
        </w:rPr>
        <w:t>feelings about work</w:t>
      </w:r>
      <w:r w:rsidR="006D6D19">
        <w:rPr>
          <w:rFonts w:ascii="Verdana" w:hAnsi="Verdana"/>
          <w:sz w:val="20"/>
          <w:szCs w:val="20"/>
        </w:rPr>
        <w:t>,</w:t>
      </w:r>
      <w:r w:rsidR="00A30957" w:rsidRPr="00122A38">
        <w:rPr>
          <w:rFonts w:ascii="Verdana" w:hAnsi="Verdana"/>
          <w:sz w:val="20"/>
          <w:szCs w:val="20"/>
        </w:rPr>
        <w:t xml:space="preserve"> </w:t>
      </w:r>
      <w:r w:rsidR="009879E3" w:rsidRPr="00122A38">
        <w:rPr>
          <w:rFonts w:ascii="Verdana" w:hAnsi="Verdana"/>
          <w:sz w:val="20"/>
          <w:szCs w:val="20"/>
        </w:rPr>
        <w:t xml:space="preserve">financial status </w:t>
      </w:r>
      <w:r w:rsidR="006839C1">
        <w:rPr>
          <w:rFonts w:ascii="Verdana" w:hAnsi="Verdana"/>
          <w:sz w:val="20"/>
          <w:szCs w:val="20"/>
        </w:rPr>
        <w:t>and retirement expectations and plans;</w:t>
      </w:r>
      <w:r w:rsidR="009879E3" w:rsidRPr="00122A38">
        <w:rPr>
          <w:rFonts w:ascii="Verdana" w:hAnsi="Verdana"/>
          <w:sz w:val="20"/>
          <w:szCs w:val="20"/>
        </w:rPr>
        <w:t xml:space="preserve"> leisure and social activities; </w:t>
      </w:r>
      <w:r w:rsidR="006839C1">
        <w:rPr>
          <w:rFonts w:ascii="Verdana" w:hAnsi="Verdana"/>
          <w:sz w:val="20"/>
          <w:szCs w:val="20"/>
        </w:rPr>
        <w:t>and s</w:t>
      </w:r>
      <w:r w:rsidR="009879E3" w:rsidRPr="00122A38">
        <w:rPr>
          <w:rFonts w:ascii="Verdana" w:hAnsi="Verdana"/>
          <w:sz w:val="20"/>
          <w:szCs w:val="20"/>
        </w:rPr>
        <w:t xml:space="preserve">elected </w:t>
      </w:r>
      <w:r w:rsidR="00122A38" w:rsidRPr="00122A38">
        <w:rPr>
          <w:rFonts w:ascii="Verdana" w:hAnsi="Verdana"/>
          <w:sz w:val="20"/>
          <w:szCs w:val="20"/>
        </w:rPr>
        <w:t xml:space="preserve">items on </w:t>
      </w:r>
      <w:r w:rsidR="009879E3" w:rsidRPr="00122A38">
        <w:rPr>
          <w:rFonts w:ascii="Verdana" w:hAnsi="Verdana"/>
          <w:sz w:val="20"/>
          <w:szCs w:val="20"/>
        </w:rPr>
        <w:t>health</w:t>
      </w:r>
      <w:r w:rsidR="006839C1">
        <w:rPr>
          <w:rFonts w:ascii="Verdana" w:hAnsi="Verdana"/>
          <w:sz w:val="20"/>
          <w:szCs w:val="20"/>
        </w:rPr>
        <w:t>.</w:t>
      </w:r>
      <w:r w:rsidR="00FF426A">
        <w:rPr>
          <w:rFonts w:ascii="Verdana" w:hAnsi="Verdana"/>
          <w:sz w:val="20"/>
          <w:szCs w:val="20"/>
        </w:rPr>
        <w:t xml:space="preserve"> </w:t>
      </w:r>
      <w:r w:rsidR="006839C1" w:rsidRPr="00B774F2">
        <w:rPr>
          <w:rFonts w:ascii="Verdana" w:hAnsi="Verdana"/>
          <w:sz w:val="20"/>
          <w:szCs w:val="20"/>
        </w:rPr>
        <w:t>The principal variables in each domain are listed in Table 2.</w:t>
      </w:r>
      <w:r w:rsidR="006921A5">
        <w:rPr>
          <w:rFonts w:ascii="Verdana" w:hAnsi="Verdana"/>
          <w:sz w:val="20"/>
          <w:szCs w:val="20"/>
        </w:rPr>
        <w:t xml:space="preserve"> Below we comment on the </w:t>
      </w:r>
      <w:r w:rsidR="006921A5" w:rsidRPr="00F76CB9">
        <w:rPr>
          <w:rFonts w:ascii="Verdana" w:hAnsi="Verdana"/>
          <w:sz w:val="20"/>
          <w:szCs w:val="20"/>
        </w:rPr>
        <w:t>properties</w:t>
      </w:r>
      <w:r w:rsidR="006921A5">
        <w:rPr>
          <w:rFonts w:ascii="Verdana" w:hAnsi="Verdana"/>
          <w:sz w:val="20"/>
          <w:szCs w:val="20"/>
        </w:rPr>
        <w:t xml:space="preserve"> of the key measures</w:t>
      </w:r>
      <w:r w:rsidR="00D63ABD">
        <w:rPr>
          <w:rFonts w:ascii="Verdana" w:hAnsi="Verdana"/>
          <w:sz w:val="20"/>
          <w:szCs w:val="20"/>
        </w:rPr>
        <w:t>, s</w:t>
      </w:r>
      <w:r w:rsidR="00D63ABD" w:rsidRPr="00D63ABD">
        <w:rPr>
          <w:rFonts w:ascii="Verdana" w:hAnsi="Verdana"/>
          <w:sz w:val="20"/>
          <w:szCs w:val="20"/>
        </w:rPr>
        <w:t xml:space="preserve">everal of </w:t>
      </w:r>
      <w:r w:rsidR="00D63ABD">
        <w:rPr>
          <w:rFonts w:ascii="Verdana" w:hAnsi="Verdana"/>
          <w:sz w:val="20"/>
          <w:szCs w:val="20"/>
        </w:rPr>
        <w:t>which</w:t>
      </w:r>
      <w:r w:rsidR="00D63ABD" w:rsidRPr="00D63ABD">
        <w:rPr>
          <w:rFonts w:ascii="Verdana" w:hAnsi="Verdana"/>
          <w:sz w:val="20"/>
          <w:szCs w:val="20"/>
        </w:rPr>
        <w:t xml:space="preserve"> are widely used standards</w:t>
      </w:r>
      <w:r w:rsidR="00D63ABD">
        <w:rPr>
          <w:rFonts w:ascii="Verdana" w:hAnsi="Verdana"/>
          <w:sz w:val="20"/>
          <w:szCs w:val="20"/>
        </w:rPr>
        <w:t>,</w:t>
      </w:r>
      <w:r w:rsidR="006921A5">
        <w:rPr>
          <w:rFonts w:ascii="Verdana" w:hAnsi="Verdana"/>
          <w:sz w:val="20"/>
          <w:szCs w:val="20"/>
        </w:rPr>
        <w:t xml:space="preserve"> and our </w:t>
      </w:r>
      <w:r w:rsidR="00D63ABD">
        <w:rPr>
          <w:rFonts w:ascii="Verdana" w:hAnsi="Verdana"/>
          <w:sz w:val="20"/>
          <w:szCs w:val="20"/>
        </w:rPr>
        <w:t>intended</w:t>
      </w:r>
      <w:r w:rsidR="006921A5">
        <w:rPr>
          <w:rFonts w:ascii="Verdana" w:hAnsi="Verdana"/>
          <w:sz w:val="20"/>
          <w:szCs w:val="20"/>
        </w:rPr>
        <w:t xml:space="preserve"> analytic treatment of them.</w:t>
      </w:r>
    </w:p>
    <w:p w14:paraId="4C3EC23A" w14:textId="77777777" w:rsidR="009879E3" w:rsidRDefault="009879E3" w:rsidP="00C33BBA">
      <w:pPr>
        <w:widowControl w:val="0"/>
        <w:spacing w:line="480" w:lineRule="auto"/>
        <w:rPr>
          <w:rFonts w:ascii="Verdana" w:hAnsi="Verdana"/>
          <w:sz w:val="20"/>
          <w:szCs w:val="20"/>
        </w:rPr>
      </w:pPr>
    </w:p>
    <w:p w14:paraId="0703CF63" w14:textId="64E2FD90" w:rsidR="0056285E" w:rsidRPr="0056285E" w:rsidRDefault="0056285E" w:rsidP="00C33BBA">
      <w:pPr>
        <w:widowControl w:val="0"/>
        <w:spacing w:line="480" w:lineRule="auto"/>
        <w:rPr>
          <w:rFonts w:ascii="Verdana" w:hAnsi="Verdana"/>
          <w:i/>
          <w:sz w:val="20"/>
          <w:szCs w:val="20"/>
        </w:rPr>
      </w:pPr>
      <w:r w:rsidRPr="0056285E">
        <w:rPr>
          <w:rFonts w:ascii="Verdana" w:hAnsi="Verdana"/>
          <w:i/>
          <w:sz w:val="20"/>
          <w:szCs w:val="20"/>
        </w:rPr>
        <w:t>Occupational outcomes</w:t>
      </w:r>
    </w:p>
    <w:p w14:paraId="7016E70C" w14:textId="5EEFBA0C" w:rsidR="00C6535E" w:rsidRDefault="0056285E" w:rsidP="00C33BBA">
      <w:pPr>
        <w:widowControl w:val="0"/>
        <w:spacing w:line="480" w:lineRule="auto"/>
        <w:rPr>
          <w:rFonts w:ascii="Verdana" w:hAnsi="Verdana"/>
          <w:sz w:val="20"/>
          <w:szCs w:val="20"/>
        </w:rPr>
      </w:pPr>
      <w:r>
        <w:rPr>
          <w:rFonts w:ascii="Verdana" w:hAnsi="Verdana"/>
          <w:sz w:val="20"/>
          <w:szCs w:val="20"/>
        </w:rPr>
        <w:t xml:space="preserve">Questions </w:t>
      </w:r>
      <w:r w:rsidR="003E1134">
        <w:rPr>
          <w:rFonts w:ascii="Verdana" w:hAnsi="Verdana"/>
          <w:sz w:val="20"/>
          <w:szCs w:val="20"/>
        </w:rPr>
        <w:t>were</w:t>
      </w:r>
      <w:r>
        <w:rPr>
          <w:rFonts w:ascii="Verdana" w:hAnsi="Verdana"/>
          <w:sz w:val="20"/>
          <w:szCs w:val="20"/>
        </w:rPr>
        <w:t xml:space="preserve"> posed about</w:t>
      </w:r>
      <w:r w:rsidR="00C6535E">
        <w:rPr>
          <w:rFonts w:ascii="Verdana" w:hAnsi="Verdana"/>
          <w:sz w:val="20"/>
          <w:szCs w:val="20"/>
        </w:rPr>
        <w:t>:</w:t>
      </w:r>
      <w:r>
        <w:rPr>
          <w:rFonts w:ascii="Verdana" w:hAnsi="Verdana"/>
          <w:sz w:val="20"/>
          <w:szCs w:val="20"/>
        </w:rPr>
        <w:t xml:space="preserve"> current employment status</w:t>
      </w:r>
      <w:r w:rsidR="00C6535E">
        <w:rPr>
          <w:rFonts w:ascii="Verdana" w:hAnsi="Verdana"/>
          <w:sz w:val="20"/>
          <w:szCs w:val="20"/>
        </w:rPr>
        <w:t xml:space="preserve"> (with current occupation coded according to the Standard Occupational Classification 2010 (SOC</w:t>
      </w:r>
      <w:r w:rsidR="00C926B2">
        <w:rPr>
          <w:rFonts w:ascii="Verdana" w:hAnsi="Verdana"/>
          <w:sz w:val="20"/>
          <w:szCs w:val="20"/>
        </w:rPr>
        <w:t xml:space="preserve"> </w:t>
      </w:r>
      <w:r w:rsidR="00C6535E">
        <w:rPr>
          <w:rFonts w:ascii="Verdana" w:hAnsi="Verdana"/>
          <w:sz w:val="20"/>
          <w:szCs w:val="20"/>
        </w:rPr>
        <w:t>2010)</w:t>
      </w:r>
      <w:r w:rsidR="009116EF">
        <w:rPr>
          <w:rFonts w:ascii="Verdana" w:hAnsi="Verdana"/>
          <w:sz w:val="20"/>
          <w:szCs w:val="20"/>
        </w:rPr>
        <w:t xml:space="preserve"> [22]</w:t>
      </w:r>
      <w:r w:rsidR="00C6535E">
        <w:rPr>
          <w:rFonts w:ascii="Verdana" w:hAnsi="Verdana"/>
          <w:sz w:val="20"/>
          <w:szCs w:val="20"/>
        </w:rPr>
        <w:t>, allowing a determination of social class);</w:t>
      </w:r>
      <w:r w:rsidR="00C6535E" w:rsidRPr="00C6535E">
        <w:rPr>
          <w:rFonts w:ascii="Verdana" w:hAnsi="Verdana"/>
          <w:sz w:val="20"/>
          <w:szCs w:val="20"/>
        </w:rPr>
        <w:t xml:space="preserve"> </w:t>
      </w:r>
      <w:r w:rsidR="00C6535E">
        <w:rPr>
          <w:rFonts w:ascii="Verdana" w:hAnsi="Verdana"/>
          <w:sz w:val="20"/>
          <w:szCs w:val="20"/>
        </w:rPr>
        <w:t xml:space="preserve">and, among those who </w:t>
      </w:r>
      <w:r w:rsidR="003E1134">
        <w:rPr>
          <w:rFonts w:ascii="Verdana" w:hAnsi="Verdana"/>
          <w:sz w:val="20"/>
          <w:szCs w:val="20"/>
        </w:rPr>
        <w:t>we</w:t>
      </w:r>
      <w:r w:rsidR="00C6535E">
        <w:rPr>
          <w:rFonts w:ascii="Verdana" w:hAnsi="Verdana"/>
          <w:sz w:val="20"/>
          <w:szCs w:val="20"/>
        </w:rPr>
        <w:t>re retired or unemployed, about quitting an earlier job for a health reason or receiving an ill-health pension.</w:t>
      </w:r>
    </w:p>
    <w:p w14:paraId="61F84799" w14:textId="77777777" w:rsidR="00C6535E" w:rsidRDefault="00C6535E" w:rsidP="00C33BBA">
      <w:pPr>
        <w:widowControl w:val="0"/>
        <w:spacing w:line="480" w:lineRule="auto"/>
        <w:rPr>
          <w:rFonts w:ascii="Verdana" w:hAnsi="Verdana"/>
          <w:sz w:val="20"/>
          <w:szCs w:val="20"/>
        </w:rPr>
      </w:pPr>
    </w:p>
    <w:p w14:paraId="0B17B7D4" w14:textId="2858F3A2" w:rsidR="00C6535E" w:rsidRDefault="00C6535E" w:rsidP="00C33BBA">
      <w:pPr>
        <w:widowControl w:val="0"/>
        <w:spacing w:line="480" w:lineRule="auto"/>
        <w:rPr>
          <w:rFonts w:ascii="Verdana" w:hAnsi="Verdana"/>
          <w:sz w:val="20"/>
          <w:szCs w:val="20"/>
        </w:rPr>
      </w:pPr>
      <w:r>
        <w:rPr>
          <w:rFonts w:ascii="Verdana" w:hAnsi="Verdana"/>
          <w:sz w:val="20"/>
          <w:szCs w:val="20"/>
        </w:rPr>
        <w:t>A</w:t>
      </w:r>
      <w:r w:rsidR="0056285E">
        <w:rPr>
          <w:rFonts w:ascii="Verdana" w:hAnsi="Verdana"/>
          <w:sz w:val="20"/>
          <w:szCs w:val="20"/>
        </w:rPr>
        <w:t xml:space="preserve">mong those in work, information </w:t>
      </w:r>
      <w:r w:rsidR="003E1134">
        <w:rPr>
          <w:rFonts w:ascii="Verdana" w:hAnsi="Verdana"/>
          <w:sz w:val="20"/>
          <w:szCs w:val="20"/>
        </w:rPr>
        <w:t>was</w:t>
      </w:r>
      <w:r w:rsidR="0056285E">
        <w:rPr>
          <w:rFonts w:ascii="Verdana" w:hAnsi="Verdana"/>
          <w:sz w:val="20"/>
          <w:szCs w:val="20"/>
        </w:rPr>
        <w:t xml:space="preserve"> collected </w:t>
      </w:r>
      <w:r>
        <w:rPr>
          <w:rFonts w:ascii="Verdana" w:hAnsi="Verdana"/>
          <w:sz w:val="20"/>
          <w:szCs w:val="20"/>
        </w:rPr>
        <w:t>on</w:t>
      </w:r>
      <w:r w:rsidR="0056285E">
        <w:rPr>
          <w:rFonts w:ascii="Verdana" w:hAnsi="Verdana"/>
          <w:sz w:val="20"/>
          <w:szCs w:val="20"/>
        </w:rPr>
        <w:t xml:space="preserve"> sickness absence in the past 12 months (overall and related to musculoskeletal pain); </w:t>
      </w:r>
      <w:r>
        <w:rPr>
          <w:rFonts w:ascii="Verdana" w:hAnsi="Verdana"/>
          <w:sz w:val="20"/>
          <w:szCs w:val="20"/>
        </w:rPr>
        <w:t xml:space="preserve">on </w:t>
      </w:r>
      <w:r w:rsidR="0056285E">
        <w:rPr>
          <w:rFonts w:ascii="Verdana" w:hAnsi="Verdana"/>
          <w:sz w:val="20"/>
          <w:szCs w:val="20"/>
        </w:rPr>
        <w:t xml:space="preserve">having to cut down on work activities because of ill-health; and </w:t>
      </w:r>
      <w:r>
        <w:rPr>
          <w:rFonts w:ascii="Verdana" w:hAnsi="Verdana"/>
          <w:sz w:val="20"/>
          <w:szCs w:val="20"/>
        </w:rPr>
        <w:t>on</w:t>
      </w:r>
      <w:r w:rsidR="0056285E">
        <w:rPr>
          <w:rFonts w:ascii="Verdana" w:hAnsi="Verdana"/>
          <w:sz w:val="20"/>
          <w:szCs w:val="20"/>
        </w:rPr>
        <w:t xml:space="preserve"> </w:t>
      </w:r>
      <w:r w:rsidR="003E1134">
        <w:rPr>
          <w:rFonts w:ascii="Verdana" w:hAnsi="Verdana"/>
          <w:sz w:val="20"/>
          <w:szCs w:val="20"/>
        </w:rPr>
        <w:t>perceived</w:t>
      </w:r>
      <w:r w:rsidR="0056285E">
        <w:rPr>
          <w:rFonts w:ascii="Verdana" w:hAnsi="Verdana"/>
          <w:sz w:val="20"/>
          <w:szCs w:val="20"/>
        </w:rPr>
        <w:t xml:space="preserve"> coping with workplace demands</w:t>
      </w:r>
      <w:r>
        <w:rPr>
          <w:rFonts w:ascii="Verdana" w:hAnsi="Verdana"/>
          <w:sz w:val="20"/>
          <w:szCs w:val="20"/>
        </w:rPr>
        <w:t>, as well as</w:t>
      </w:r>
      <w:r w:rsidR="0056285E">
        <w:rPr>
          <w:rFonts w:ascii="Verdana" w:hAnsi="Verdana"/>
          <w:sz w:val="20"/>
          <w:szCs w:val="20"/>
        </w:rPr>
        <w:t xml:space="preserve"> expectations of future coping. </w:t>
      </w:r>
    </w:p>
    <w:p w14:paraId="4AB88A14" w14:textId="77777777" w:rsidR="0056285E" w:rsidRDefault="0056285E" w:rsidP="00C33BBA">
      <w:pPr>
        <w:widowControl w:val="0"/>
        <w:spacing w:line="480" w:lineRule="auto"/>
        <w:rPr>
          <w:rFonts w:ascii="Verdana" w:hAnsi="Verdana"/>
          <w:sz w:val="20"/>
          <w:szCs w:val="20"/>
        </w:rPr>
      </w:pPr>
    </w:p>
    <w:p w14:paraId="742BFF64" w14:textId="20DEC55C" w:rsidR="00753096" w:rsidRPr="00753096" w:rsidRDefault="00753096" w:rsidP="00C33BBA">
      <w:pPr>
        <w:widowControl w:val="0"/>
        <w:spacing w:line="480" w:lineRule="auto"/>
        <w:rPr>
          <w:rFonts w:ascii="Verdana" w:hAnsi="Verdana"/>
          <w:i/>
          <w:sz w:val="20"/>
          <w:szCs w:val="20"/>
        </w:rPr>
      </w:pPr>
      <w:r w:rsidRPr="00753096">
        <w:rPr>
          <w:rFonts w:ascii="Verdana" w:hAnsi="Verdana"/>
          <w:i/>
          <w:sz w:val="20"/>
          <w:szCs w:val="20"/>
        </w:rPr>
        <w:t>Measures of health</w:t>
      </w:r>
    </w:p>
    <w:p w14:paraId="2A138271" w14:textId="4120B934" w:rsidR="0032121E" w:rsidRDefault="006921A5" w:rsidP="00C33BBA">
      <w:pPr>
        <w:widowControl w:val="0"/>
        <w:spacing w:line="480" w:lineRule="auto"/>
        <w:rPr>
          <w:rFonts w:ascii="Verdana" w:hAnsi="Verdana"/>
          <w:sz w:val="20"/>
          <w:szCs w:val="20"/>
        </w:rPr>
      </w:pPr>
      <w:r>
        <w:rPr>
          <w:rFonts w:ascii="Verdana" w:hAnsi="Verdana"/>
          <w:sz w:val="20"/>
          <w:szCs w:val="20"/>
        </w:rPr>
        <w:t>S</w:t>
      </w:r>
      <w:r w:rsidRPr="00F30453">
        <w:rPr>
          <w:rFonts w:ascii="Verdana" w:hAnsi="Verdana"/>
          <w:sz w:val="20"/>
          <w:szCs w:val="20"/>
        </w:rPr>
        <w:t>elf-</w:t>
      </w:r>
      <w:r>
        <w:rPr>
          <w:rFonts w:ascii="Verdana" w:hAnsi="Verdana"/>
          <w:sz w:val="20"/>
          <w:szCs w:val="20"/>
        </w:rPr>
        <w:t>r</w:t>
      </w:r>
      <w:r w:rsidRPr="00F30453">
        <w:rPr>
          <w:rFonts w:ascii="Verdana" w:hAnsi="Verdana"/>
          <w:sz w:val="20"/>
          <w:szCs w:val="20"/>
        </w:rPr>
        <w:t xml:space="preserve">ated </w:t>
      </w:r>
      <w:r>
        <w:rPr>
          <w:rFonts w:ascii="Verdana" w:hAnsi="Verdana"/>
          <w:sz w:val="20"/>
          <w:szCs w:val="20"/>
        </w:rPr>
        <w:t>h</w:t>
      </w:r>
      <w:r w:rsidRPr="00F30453">
        <w:rPr>
          <w:rFonts w:ascii="Verdana" w:hAnsi="Verdana"/>
          <w:sz w:val="20"/>
          <w:szCs w:val="20"/>
        </w:rPr>
        <w:t>ealth (SRH)</w:t>
      </w:r>
      <w:r>
        <w:rPr>
          <w:rFonts w:ascii="Verdana" w:hAnsi="Verdana"/>
          <w:sz w:val="20"/>
          <w:szCs w:val="20"/>
        </w:rPr>
        <w:t>, which is known to predict mortality and morbidity [2</w:t>
      </w:r>
      <w:r w:rsidR="009116EF">
        <w:rPr>
          <w:rFonts w:ascii="Verdana" w:hAnsi="Verdana"/>
          <w:sz w:val="20"/>
          <w:szCs w:val="20"/>
        </w:rPr>
        <w:t>3</w:t>
      </w:r>
      <w:r>
        <w:rPr>
          <w:rFonts w:ascii="Verdana" w:hAnsi="Verdana"/>
          <w:sz w:val="20"/>
          <w:szCs w:val="20"/>
        </w:rPr>
        <w:t xml:space="preserve">], was assessed </w:t>
      </w:r>
      <w:r w:rsidRPr="00C212E7">
        <w:rPr>
          <w:rFonts w:ascii="Verdana" w:hAnsi="Verdana"/>
          <w:sz w:val="20"/>
          <w:szCs w:val="20"/>
        </w:rPr>
        <w:t xml:space="preserve">using the question: “In general would you say your health is…excellent/very </w:t>
      </w:r>
      <w:r w:rsidRPr="00C212E7">
        <w:rPr>
          <w:rFonts w:ascii="Verdana" w:hAnsi="Verdana"/>
          <w:sz w:val="20"/>
          <w:szCs w:val="20"/>
        </w:rPr>
        <w:lastRenderedPageBreak/>
        <w:t>good/good/fair/poor</w:t>
      </w:r>
      <w:r>
        <w:rPr>
          <w:rFonts w:ascii="Verdana" w:hAnsi="Verdana"/>
          <w:sz w:val="20"/>
          <w:szCs w:val="20"/>
        </w:rPr>
        <w:t xml:space="preserve">”; for most purposes we plan to combine </w:t>
      </w:r>
      <w:r w:rsidRPr="003C2AA8">
        <w:rPr>
          <w:rFonts w:ascii="Verdana" w:hAnsi="Verdana"/>
          <w:sz w:val="20"/>
          <w:szCs w:val="20"/>
        </w:rPr>
        <w:t>the response categories ‘good and ‘very good’, and also those for ‘fair’ and ‘poor’ to create a scale with three levels.</w:t>
      </w:r>
      <w:r>
        <w:rPr>
          <w:rFonts w:ascii="Verdana" w:hAnsi="Verdana"/>
          <w:sz w:val="20"/>
          <w:szCs w:val="20"/>
        </w:rPr>
        <w:t xml:space="preserve"> </w:t>
      </w:r>
    </w:p>
    <w:p w14:paraId="4CBCD05D" w14:textId="77777777" w:rsidR="0032121E" w:rsidRDefault="0032121E" w:rsidP="00C33BBA">
      <w:pPr>
        <w:widowControl w:val="0"/>
        <w:spacing w:line="480" w:lineRule="auto"/>
        <w:rPr>
          <w:rFonts w:ascii="Verdana" w:hAnsi="Verdana"/>
          <w:sz w:val="20"/>
          <w:szCs w:val="20"/>
        </w:rPr>
      </w:pPr>
    </w:p>
    <w:p w14:paraId="02926BC3" w14:textId="3486D5AA" w:rsidR="0032121E" w:rsidRDefault="003E1134" w:rsidP="00C33BBA">
      <w:pPr>
        <w:widowControl w:val="0"/>
        <w:spacing w:line="480" w:lineRule="auto"/>
        <w:rPr>
          <w:rFonts w:ascii="Verdana" w:hAnsi="Verdana"/>
          <w:sz w:val="20"/>
          <w:szCs w:val="20"/>
        </w:rPr>
      </w:pPr>
      <w:r>
        <w:rPr>
          <w:rFonts w:ascii="Verdana" w:hAnsi="Verdana"/>
          <w:sz w:val="20"/>
          <w:szCs w:val="20"/>
        </w:rPr>
        <w:t xml:space="preserve">Somatising tendency was measured using questions from the </w:t>
      </w:r>
      <w:r w:rsidR="006921A5" w:rsidRPr="00F30453">
        <w:rPr>
          <w:rFonts w:ascii="Verdana" w:hAnsi="Verdana"/>
          <w:sz w:val="20"/>
          <w:szCs w:val="20"/>
        </w:rPr>
        <w:t>Brief Symptom Inventory (BSI)</w:t>
      </w:r>
      <w:r w:rsidR="006921A5">
        <w:rPr>
          <w:rFonts w:ascii="Verdana" w:hAnsi="Verdana"/>
          <w:sz w:val="20"/>
          <w:szCs w:val="20"/>
        </w:rPr>
        <w:t xml:space="preserve"> [2</w:t>
      </w:r>
      <w:r w:rsidR="009116EF">
        <w:rPr>
          <w:rFonts w:ascii="Verdana" w:hAnsi="Verdana"/>
          <w:sz w:val="20"/>
          <w:szCs w:val="20"/>
        </w:rPr>
        <w:t>4</w:t>
      </w:r>
      <w:r w:rsidR="006921A5">
        <w:rPr>
          <w:rFonts w:ascii="Verdana" w:hAnsi="Verdana"/>
          <w:sz w:val="20"/>
          <w:szCs w:val="20"/>
        </w:rPr>
        <w:t xml:space="preserve">] </w:t>
      </w:r>
      <w:r>
        <w:rPr>
          <w:rFonts w:ascii="Verdana" w:hAnsi="Verdana"/>
          <w:sz w:val="20"/>
          <w:szCs w:val="20"/>
        </w:rPr>
        <w:t>which asked about</w:t>
      </w:r>
      <w:r w:rsidR="006921A5" w:rsidRPr="00C212E7">
        <w:rPr>
          <w:rFonts w:ascii="Verdana" w:hAnsi="Verdana"/>
          <w:sz w:val="20"/>
          <w:szCs w:val="20"/>
        </w:rPr>
        <w:t xml:space="preserve"> distress </w:t>
      </w:r>
      <w:r>
        <w:rPr>
          <w:rFonts w:ascii="Verdana" w:hAnsi="Verdana"/>
          <w:sz w:val="20"/>
          <w:szCs w:val="20"/>
        </w:rPr>
        <w:t>from five</w:t>
      </w:r>
      <w:r w:rsidRPr="00C212E7">
        <w:rPr>
          <w:rFonts w:ascii="Verdana" w:hAnsi="Verdana"/>
          <w:sz w:val="20"/>
          <w:szCs w:val="20"/>
        </w:rPr>
        <w:t xml:space="preserve"> </w:t>
      </w:r>
      <w:r>
        <w:rPr>
          <w:rFonts w:ascii="Verdana" w:hAnsi="Verdana"/>
          <w:sz w:val="20"/>
          <w:szCs w:val="20"/>
        </w:rPr>
        <w:t>common physical symptoms (</w:t>
      </w:r>
      <w:r w:rsidR="006921A5">
        <w:rPr>
          <w:rFonts w:ascii="Verdana" w:hAnsi="Verdana"/>
          <w:sz w:val="20"/>
          <w:szCs w:val="20"/>
        </w:rPr>
        <w:t>nausea, faintness or</w:t>
      </w:r>
      <w:r w:rsidR="006921A5" w:rsidRPr="00C212E7">
        <w:rPr>
          <w:rFonts w:ascii="Verdana" w:hAnsi="Verdana"/>
          <w:sz w:val="20"/>
          <w:szCs w:val="20"/>
        </w:rPr>
        <w:t xml:space="preserve"> dizzi</w:t>
      </w:r>
      <w:r w:rsidR="006921A5">
        <w:rPr>
          <w:rFonts w:ascii="Verdana" w:hAnsi="Verdana"/>
          <w:sz w:val="20"/>
          <w:szCs w:val="20"/>
        </w:rPr>
        <w:t>ness, chest pain, hot or cold spells</w:t>
      </w:r>
      <w:r w:rsidR="006921A5" w:rsidRPr="00C212E7">
        <w:rPr>
          <w:rFonts w:ascii="Verdana" w:hAnsi="Verdana"/>
          <w:sz w:val="20"/>
          <w:szCs w:val="20"/>
        </w:rPr>
        <w:t xml:space="preserve"> and br</w:t>
      </w:r>
      <w:r w:rsidR="006921A5">
        <w:rPr>
          <w:rFonts w:ascii="Verdana" w:hAnsi="Verdana"/>
          <w:sz w:val="20"/>
          <w:szCs w:val="20"/>
        </w:rPr>
        <w:t>eathing difficulties</w:t>
      </w:r>
      <w:r>
        <w:rPr>
          <w:rFonts w:ascii="Verdana" w:hAnsi="Verdana"/>
          <w:sz w:val="20"/>
          <w:szCs w:val="20"/>
        </w:rPr>
        <w:t>)</w:t>
      </w:r>
      <w:r w:rsidR="006921A5">
        <w:rPr>
          <w:rFonts w:ascii="Verdana" w:hAnsi="Verdana"/>
          <w:sz w:val="20"/>
          <w:szCs w:val="20"/>
        </w:rPr>
        <w:t xml:space="preserve"> during the </w:t>
      </w:r>
      <w:r w:rsidR="006921A5" w:rsidRPr="00C212E7">
        <w:rPr>
          <w:rFonts w:ascii="Verdana" w:hAnsi="Verdana"/>
          <w:sz w:val="20"/>
          <w:szCs w:val="20"/>
        </w:rPr>
        <w:t>past 7 days</w:t>
      </w:r>
      <w:r w:rsidR="006921A5">
        <w:rPr>
          <w:rFonts w:ascii="Verdana" w:hAnsi="Verdana"/>
          <w:sz w:val="20"/>
          <w:szCs w:val="20"/>
        </w:rPr>
        <w:t xml:space="preserve">. </w:t>
      </w:r>
      <w:r w:rsidR="006921A5" w:rsidRPr="000E0A8D">
        <w:rPr>
          <w:rFonts w:ascii="Verdana" w:hAnsi="Verdana"/>
          <w:sz w:val="20"/>
          <w:szCs w:val="20"/>
        </w:rPr>
        <w:t>Subjects</w:t>
      </w:r>
      <w:r w:rsidR="00740D10">
        <w:rPr>
          <w:rFonts w:ascii="Verdana" w:hAnsi="Verdana"/>
          <w:sz w:val="20"/>
          <w:szCs w:val="20"/>
        </w:rPr>
        <w:t xml:space="preserve"> </w:t>
      </w:r>
      <w:r>
        <w:rPr>
          <w:rFonts w:ascii="Verdana" w:hAnsi="Verdana"/>
          <w:sz w:val="20"/>
          <w:szCs w:val="20"/>
        </w:rPr>
        <w:t>were</w:t>
      </w:r>
      <w:r w:rsidR="006921A5" w:rsidRPr="000E0A8D">
        <w:rPr>
          <w:rFonts w:ascii="Verdana" w:hAnsi="Verdana"/>
          <w:sz w:val="20"/>
          <w:szCs w:val="20"/>
        </w:rPr>
        <w:t xml:space="preserve"> classified according to the number of</w:t>
      </w:r>
      <w:r w:rsidR="00740D10">
        <w:rPr>
          <w:rFonts w:ascii="Verdana" w:hAnsi="Verdana"/>
          <w:sz w:val="20"/>
          <w:szCs w:val="20"/>
        </w:rPr>
        <w:t xml:space="preserve"> such </w:t>
      </w:r>
      <w:r w:rsidR="006921A5" w:rsidRPr="000E0A8D">
        <w:rPr>
          <w:rFonts w:ascii="Verdana" w:hAnsi="Verdana"/>
          <w:sz w:val="20"/>
          <w:szCs w:val="20"/>
        </w:rPr>
        <w:t xml:space="preserve">symptoms reported as </w:t>
      </w:r>
      <w:r>
        <w:rPr>
          <w:rFonts w:ascii="Verdana" w:hAnsi="Verdana"/>
          <w:sz w:val="20"/>
          <w:szCs w:val="20"/>
        </w:rPr>
        <w:t>causing at least moderate distress,</w:t>
      </w:r>
      <w:r w:rsidR="006921A5" w:rsidRPr="000E0A8D">
        <w:rPr>
          <w:rFonts w:ascii="Verdana" w:hAnsi="Verdana"/>
          <w:sz w:val="20"/>
          <w:szCs w:val="20"/>
        </w:rPr>
        <w:t xml:space="preserve"> </w:t>
      </w:r>
      <w:r w:rsidR="00740D10">
        <w:rPr>
          <w:rFonts w:ascii="Verdana" w:hAnsi="Verdana"/>
          <w:sz w:val="20"/>
          <w:szCs w:val="20"/>
        </w:rPr>
        <w:t xml:space="preserve">a measure </w:t>
      </w:r>
      <w:r w:rsidR="006921A5">
        <w:rPr>
          <w:rFonts w:ascii="Verdana" w:hAnsi="Verdana"/>
          <w:sz w:val="20"/>
          <w:szCs w:val="20"/>
        </w:rPr>
        <w:t>which has been shown to predict</w:t>
      </w:r>
      <w:r w:rsidR="006921A5" w:rsidRPr="00F76CB9">
        <w:rPr>
          <w:rFonts w:ascii="Verdana" w:hAnsi="Verdana"/>
          <w:sz w:val="20"/>
          <w:szCs w:val="20"/>
        </w:rPr>
        <w:t xml:space="preserve"> incide</w:t>
      </w:r>
      <w:r w:rsidR="006921A5">
        <w:rPr>
          <w:rFonts w:ascii="Verdana" w:hAnsi="Verdana"/>
          <w:sz w:val="20"/>
          <w:szCs w:val="20"/>
        </w:rPr>
        <w:t>nt and persistent regional pain [2</w:t>
      </w:r>
      <w:r w:rsidR="009116EF">
        <w:rPr>
          <w:rFonts w:ascii="Verdana" w:hAnsi="Verdana"/>
          <w:sz w:val="20"/>
          <w:szCs w:val="20"/>
        </w:rPr>
        <w:t>5</w:t>
      </w:r>
      <w:r w:rsidR="006921A5">
        <w:rPr>
          <w:rFonts w:ascii="Verdana" w:hAnsi="Verdana"/>
          <w:sz w:val="20"/>
          <w:szCs w:val="20"/>
        </w:rPr>
        <w:t>,2</w:t>
      </w:r>
      <w:r w:rsidR="009116EF">
        <w:rPr>
          <w:rFonts w:ascii="Verdana" w:hAnsi="Verdana"/>
          <w:sz w:val="20"/>
          <w:szCs w:val="20"/>
        </w:rPr>
        <w:t>6</w:t>
      </w:r>
      <w:r w:rsidR="006921A5">
        <w:rPr>
          <w:rFonts w:ascii="Verdana" w:hAnsi="Verdana"/>
          <w:sz w:val="20"/>
          <w:szCs w:val="20"/>
        </w:rPr>
        <w:t>].</w:t>
      </w:r>
      <w:r w:rsidR="006921A5" w:rsidRPr="006921A5">
        <w:rPr>
          <w:rFonts w:ascii="Verdana" w:hAnsi="Verdana"/>
          <w:sz w:val="20"/>
          <w:szCs w:val="20"/>
        </w:rPr>
        <w:t xml:space="preserve"> </w:t>
      </w:r>
    </w:p>
    <w:p w14:paraId="23D8250B" w14:textId="77777777" w:rsidR="0032121E" w:rsidRDefault="0032121E" w:rsidP="00C33BBA">
      <w:pPr>
        <w:widowControl w:val="0"/>
        <w:spacing w:line="480" w:lineRule="auto"/>
        <w:rPr>
          <w:rFonts w:ascii="Verdana" w:hAnsi="Verdana"/>
          <w:sz w:val="20"/>
          <w:szCs w:val="20"/>
        </w:rPr>
      </w:pPr>
    </w:p>
    <w:p w14:paraId="3611E3CC" w14:textId="026F4617" w:rsidR="0032121E" w:rsidRDefault="003E1134" w:rsidP="00C33BBA">
      <w:pPr>
        <w:widowControl w:val="0"/>
        <w:spacing w:line="480" w:lineRule="auto"/>
        <w:rPr>
          <w:rFonts w:ascii="Verdana" w:hAnsi="Verdana"/>
          <w:sz w:val="20"/>
          <w:szCs w:val="20"/>
        </w:rPr>
      </w:pPr>
      <w:r>
        <w:rPr>
          <w:rFonts w:ascii="Verdana" w:hAnsi="Verdana"/>
          <w:sz w:val="20"/>
          <w:szCs w:val="20"/>
        </w:rPr>
        <w:t>Depression was assessed through t</w:t>
      </w:r>
      <w:r w:rsidR="006921A5" w:rsidRPr="00F30453">
        <w:rPr>
          <w:rFonts w:ascii="Verdana" w:hAnsi="Verdana"/>
          <w:sz w:val="20"/>
          <w:szCs w:val="20"/>
        </w:rPr>
        <w:t xml:space="preserve">he </w:t>
      </w:r>
      <w:r w:rsidR="006921A5">
        <w:rPr>
          <w:rFonts w:ascii="Verdana" w:hAnsi="Verdana"/>
          <w:sz w:val="20"/>
          <w:szCs w:val="20"/>
        </w:rPr>
        <w:t xml:space="preserve">20-item </w:t>
      </w:r>
      <w:r w:rsidR="006921A5" w:rsidRPr="00F30453">
        <w:rPr>
          <w:rFonts w:ascii="Verdana" w:hAnsi="Verdana"/>
          <w:sz w:val="20"/>
          <w:szCs w:val="20"/>
        </w:rPr>
        <w:t>Center for Epidemiologic Studies Depression Scale (CES-D)</w:t>
      </w:r>
      <w:r>
        <w:rPr>
          <w:rFonts w:ascii="Verdana" w:hAnsi="Verdana"/>
          <w:sz w:val="20"/>
          <w:szCs w:val="20"/>
        </w:rPr>
        <w:t>, which</w:t>
      </w:r>
      <w:r w:rsidR="006921A5" w:rsidRPr="006921A5">
        <w:rPr>
          <w:rFonts w:ascii="Verdana" w:hAnsi="Verdana"/>
          <w:sz w:val="20"/>
          <w:szCs w:val="20"/>
        </w:rPr>
        <w:t xml:space="preserve"> </w:t>
      </w:r>
      <w:r w:rsidR="006921A5" w:rsidRPr="00873618">
        <w:rPr>
          <w:rFonts w:ascii="Verdana" w:hAnsi="Verdana"/>
          <w:sz w:val="20"/>
          <w:szCs w:val="20"/>
        </w:rPr>
        <w:t>measure</w:t>
      </w:r>
      <w:r w:rsidR="006921A5">
        <w:rPr>
          <w:rFonts w:ascii="Verdana" w:hAnsi="Verdana"/>
          <w:sz w:val="20"/>
          <w:szCs w:val="20"/>
        </w:rPr>
        <w:t>s frequency of</w:t>
      </w:r>
      <w:r w:rsidR="006921A5" w:rsidRPr="00873618">
        <w:rPr>
          <w:rFonts w:ascii="Verdana" w:hAnsi="Verdana"/>
          <w:sz w:val="20"/>
          <w:szCs w:val="20"/>
        </w:rPr>
        <w:t xml:space="preserve"> symptoms of depression</w:t>
      </w:r>
      <w:r w:rsidR="006921A5">
        <w:rPr>
          <w:rFonts w:ascii="Verdana" w:hAnsi="Verdana"/>
          <w:sz w:val="20"/>
          <w:szCs w:val="20"/>
        </w:rPr>
        <w:t xml:space="preserve"> over the past 7 days on a four-point </w:t>
      </w:r>
      <w:r>
        <w:rPr>
          <w:rFonts w:ascii="Verdana" w:hAnsi="Verdana"/>
          <w:sz w:val="20"/>
          <w:szCs w:val="20"/>
        </w:rPr>
        <w:t>ordinal</w:t>
      </w:r>
      <w:r w:rsidR="006921A5">
        <w:rPr>
          <w:rFonts w:ascii="Verdana" w:hAnsi="Verdana"/>
          <w:sz w:val="20"/>
          <w:szCs w:val="20"/>
        </w:rPr>
        <w:t xml:space="preserve"> scale (&lt;1 day</w:t>
      </w:r>
      <w:r w:rsidR="0032121E">
        <w:rPr>
          <w:rFonts w:ascii="Verdana" w:hAnsi="Verdana"/>
          <w:sz w:val="20"/>
          <w:szCs w:val="20"/>
        </w:rPr>
        <w:t xml:space="preserve"> </w:t>
      </w:r>
      <w:r w:rsidR="006921A5">
        <w:rPr>
          <w:rFonts w:ascii="Verdana" w:hAnsi="Verdana"/>
          <w:sz w:val="20"/>
          <w:szCs w:val="20"/>
        </w:rPr>
        <w:t>=0 through to 5-7 days =3) [2</w:t>
      </w:r>
      <w:r w:rsidR="009116EF">
        <w:rPr>
          <w:rFonts w:ascii="Verdana" w:hAnsi="Verdana"/>
          <w:sz w:val="20"/>
          <w:szCs w:val="20"/>
        </w:rPr>
        <w:t>7</w:t>
      </w:r>
      <w:r w:rsidR="006921A5">
        <w:rPr>
          <w:rFonts w:ascii="Verdana" w:hAnsi="Verdana"/>
          <w:sz w:val="20"/>
          <w:szCs w:val="20"/>
        </w:rPr>
        <w:t>] and covers</w:t>
      </w:r>
      <w:r w:rsidR="006921A5" w:rsidRPr="00873618">
        <w:rPr>
          <w:rFonts w:ascii="Verdana" w:hAnsi="Verdana"/>
          <w:sz w:val="20"/>
          <w:szCs w:val="20"/>
        </w:rPr>
        <w:t xml:space="preserve"> nine different </w:t>
      </w:r>
      <w:r w:rsidR="006921A5">
        <w:rPr>
          <w:rFonts w:ascii="Verdana" w:hAnsi="Verdana"/>
          <w:sz w:val="20"/>
          <w:szCs w:val="20"/>
        </w:rPr>
        <w:t xml:space="preserve">components, </w:t>
      </w:r>
      <w:r w:rsidR="006921A5" w:rsidRPr="006E2754">
        <w:rPr>
          <w:rFonts w:ascii="Verdana" w:hAnsi="Verdana"/>
          <w:sz w:val="20"/>
          <w:szCs w:val="20"/>
        </w:rPr>
        <w:t>including depress</w:t>
      </w:r>
      <w:r w:rsidR="006921A5">
        <w:rPr>
          <w:rFonts w:ascii="Verdana" w:hAnsi="Verdana"/>
          <w:sz w:val="20"/>
          <w:szCs w:val="20"/>
        </w:rPr>
        <w:t xml:space="preserve">ive mood, feelings of guilt and </w:t>
      </w:r>
      <w:r w:rsidR="006921A5" w:rsidRPr="006E2754">
        <w:rPr>
          <w:rFonts w:ascii="Verdana" w:hAnsi="Verdana"/>
          <w:sz w:val="20"/>
          <w:szCs w:val="20"/>
        </w:rPr>
        <w:t>worthlessness, p</w:t>
      </w:r>
      <w:r w:rsidR="006921A5">
        <w:rPr>
          <w:rFonts w:ascii="Verdana" w:hAnsi="Verdana"/>
          <w:sz w:val="20"/>
          <w:szCs w:val="20"/>
        </w:rPr>
        <w:t xml:space="preserve">sychomotor retardation, loss of </w:t>
      </w:r>
      <w:r w:rsidR="006921A5" w:rsidRPr="006E2754">
        <w:rPr>
          <w:rFonts w:ascii="Verdana" w:hAnsi="Verdana"/>
          <w:sz w:val="20"/>
          <w:szCs w:val="20"/>
        </w:rPr>
        <w:t>appetite, and sleep disturbance</w:t>
      </w:r>
      <w:r w:rsidR="006921A5">
        <w:rPr>
          <w:rFonts w:ascii="Verdana" w:hAnsi="Verdana"/>
          <w:sz w:val="20"/>
          <w:szCs w:val="20"/>
        </w:rPr>
        <w:t xml:space="preserve">; points are summed (with scores inverted for four of the items), </w:t>
      </w:r>
      <w:r w:rsidR="006921A5" w:rsidRPr="00753096">
        <w:rPr>
          <w:rFonts w:ascii="Verdana" w:hAnsi="Verdana"/>
          <w:sz w:val="20"/>
          <w:szCs w:val="20"/>
        </w:rPr>
        <w:t xml:space="preserve">a cut-off score of 16 </w:t>
      </w:r>
      <w:r w:rsidR="006921A5">
        <w:rPr>
          <w:rFonts w:ascii="Verdana" w:hAnsi="Verdana"/>
          <w:sz w:val="20"/>
          <w:szCs w:val="20"/>
        </w:rPr>
        <w:t xml:space="preserve">(in a range of 0 to 60) </w:t>
      </w:r>
      <w:r w:rsidR="006921A5" w:rsidRPr="00753096">
        <w:rPr>
          <w:rFonts w:ascii="Verdana" w:hAnsi="Verdana"/>
          <w:sz w:val="20"/>
          <w:szCs w:val="20"/>
        </w:rPr>
        <w:t>often being</w:t>
      </w:r>
      <w:r w:rsidR="00740D10">
        <w:rPr>
          <w:rFonts w:ascii="Verdana" w:hAnsi="Verdana"/>
          <w:sz w:val="20"/>
          <w:szCs w:val="20"/>
        </w:rPr>
        <w:t xml:space="preserve"> taken as</w:t>
      </w:r>
      <w:r w:rsidR="006921A5" w:rsidRPr="00753096">
        <w:rPr>
          <w:rFonts w:ascii="Verdana" w:hAnsi="Verdana"/>
          <w:sz w:val="20"/>
          <w:szCs w:val="20"/>
        </w:rPr>
        <w:t xml:space="preserve"> indicative of “significant” or “mild” depression.</w:t>
      </w:r>
      <w:r w:rsidR="000E0A8D">
        <w:rPr>
          <w:rFonts w:ascii="Verdana" w:hAnsi="Verdana"/>
          <w:sz w:val="20"/>
          <w:szCs w:val="20"/>
        </w:rPr>
        <w:t xml:space="preserve"> The scale is widely used and has high internal consistency</w:t>
      </w:r>
      <w:r w:rsidR="000E0A8D" w:rsidRPr="00F76CB9">
        <w:rPr>
          <w:rFonts w:ascii="Verdana" w:hAnsi="Verdana"/>
          <w:sz w:val="20"/>
          <w:szCs w:val="20"/>
        </w:rPr>
        <w:t xml:space="preserve"> and adequate test-retest repeatability and concu</w:t>
      </w:r>
      <w:r w:rsidR="000E0A8D">
        <w:rPr>
          <w:rFonts w:ascii="Verdana" w:hAnsi="Verdana"/>
          <w:sz w:val="20"/>
          <w:szCs w:val="20"/>
        </w:rPr>
        <w:t>rr</w:t>
      </w:r>
      <w:r w:rsidR="009116EF">
        <w:rPr>
          <w:rFonts w:ascii="Verdana" w:hAnsi="Verdana"/>
          <w:sz w:val="20"/>
          <w:szCs w:val="20"/>
        </w:rPr>
        <w:t>ent and discriminant validity</w:t>
      </w:r>
      <w:r w:rsidR="000E0A8D">
        <w:rPr>
          <w:rFonts w:ascii="Verdana" w:hAnsi="Verdana"/>
          <w:sz w:val="20"/>
          <w:szCs w:val="20"/>
        </w:rPr>
        <w:t>.</w:t>
      </w:r>
      <w:r w:rsidR="000E0A8D" w:rsidRPr="000E0A8D">
        <w:rPr>
          <w:rFonts w:ascii="Verdana" w:hAnsi="Verdana"/>
          <w:sz w:val="20"/>
          <w:szCs w:val="20"/>
        </w:rPr>
        <w:t xml:space="preserve"> </w:t>
      </w:r>
    </w:p>
    <w:p w14:paraId="7286A9EB" w14:textId="77777777" w:rsidR="0032121E" w:rsidRDefault="0032121E" w:rsidP="00C33BBA">
      <w:pPr>
        <w:widowControl w:val="0"/>
        <w:spacing w:line="480" w:lineRule="auto"/>
        <w:rPr>
          <w:rFonts w:ascii="Verdana" w:hAnsi="Verdana"/>
          <w:sz w:val="20"/>
          <w:szCs w:val="20"/>
        </w:rPr>
      </w:pPr>
    </w:p>
    <w:p w14:paraId="33319C80" w14:textId="4FCB66B8" w:rsidR="0032121E" w:rsidRDefault="003E1134" w:rsidP="00C33BBA">
      <w:pPr>
        <w:widowControl w:val="0"/>
        <w:spacing w:line="480" w:lineRule="auto"/>
        <w:rPr>
          <w:rFonts w:ascii="Verdana" w:hAnsi="Verdana"/>
          <w:sz w:val="20"/>
          <w:szCs w:val="20"/>
        </w:rPr>
      </w:pPr>
      <w:r>
        <w:rPr>
          <w:rFonts w:ascii="Verdana" w:hAnsi="Verdana"/>
          <w:sz w:val="20"/>
          <w:szCs w:val="20"/>
        </w:rPr>
        <w:t>We also included t</w:t>
      </w:r>
      <w:r w:rsidR="000E0A8D" w:rsidRPr="00A471BE">
        <w:rPr>
          <w:rFonts w:ascii="Verdana" w:hAnsi="Verdana"/>
          <w:sz w:val="20"/>
          <w:szCs w:val="20"/>
        </w:rPr>
        <w:t xml:space="preserve">he </w:t>
      </w:r>
      <w:r w:rsidR="000E0A8D">
        <w:rPr>
          <w:rFonts w:ascii="Verdana" w:hAnsi="Verdana"/>
          <w:sz w:val="20"/>
          <w:szCs w:val="20"/>
        </w:rPr>
        <w:t xml:space="preserve">14-question </w:t>
      </w:r>
      <w:r w:rsidR="000E0A8D" w:rsidRPr="00A471BE">
        <w:rPr>
          <w:rFonts w:ascii="Verdana" w:hAnsi="Verdana"/>
          <w:sz w:val="20"/>
          <w:szCs w:val="20"/>
        </w:rPr>
        <w:t xml:space="preserve">Warwick-Edinburgh Mental Well-being Scale </w:t>
      </w:r>
      <w:r w:rsidR="000E0A8D" w:rsidRPr="00F30453">
        <w:rPr>
          <w:rFonts w:ascii="Verdana" w:hAnsi="Verdana"/>
          <w:sz w:val="20"/>
          <w:szCs w:val="20"/>
        </w:rPr>
        <w:t>(</w:t>
      </w:r>
      <w:r w:rsidR="00911BBA">
        <w:rPr>
          <w:rFonts w:ascii="Verdana" w:hAnsi="Verdana"/>
          <w:sz w:val="20"/>
          <w:szCs w:val="20"/>
        </w:rPr>
        <w:t>WE</w:t>
      </w:r>
      <w:r w:rsidR="000E0A8D" w:rsidRPr="00F30453">
        <w:rPr>
          <w:rFonts w:ascii="Verdana" w:hAnsi="Verdana"/>
          <w:sz w:val="20"/>
          <w:szCs w:val="20"/>
        </w:rPr>
        <w:t>M</w:t>
      </w:r>
      <w:r w:rsidR="00911BBA">
        <w:rPr>
          <w:rFonts w:ascii="Verdana" w:hAnsi="Verdana"/>
          <w:sz w:val="20"/>
          <w:szCs w:val="20"/>
        </w:rPr>
        <w:t>W</w:t>
      </w:r>
      <w:r w:rsidR="000E0A8D" w:rsidRPr="00F30453">
        <w:rPr>
          <w:rFonts w:ascii="Verdana" w:hAnsi="Verdana"/>
          <w:sz w:val="20"/>
          <w:szCs w:val="20"/>
        </w:rPr>
        <w:t>BS)</w:t>
      </w:r>
      <w:r>
        <w:rPr>
          <w:rFonts w:ascii="Verdana" w:hAnsi="Verdana"/>
          <w:sz w:val="20"/>
          <w:szCs w:val="20"/>
        </w:rPr>
        <w:t>, which</w:t>
      </w:r>
      <w:r w:rsidR="000E0A8D" w:rsidRPr="000E0A8D">
        <w:rPr>
          <w:rFonts w:ascii="Verdana" w:hAnsi="Verdana"/>
          <w:sz w:val="20"/>
          <w:szCs w:val="20"/>
        </w:rPr>
        <w:t xml:space="preserve"> </w:t>
      </w:r>
      <w:r w:rsidR="000E0A8D">
        <w:rPr>
          <w:rFonts w:ascii="Verdana" w:hAnsi="Verdana"/>
          <w:sz w:val="20"/>
          <w:szCs w:val="20"/>
        </w:rPr>
        <w:t xml:space="preserve">assesses the frequency of feelings and thoughts about positive well-being over the previous two weeks on a five-point </w:t>
      </w:r>
      <w:r>
        <w:rPr>
          <w:rFonts w:ascii="Verdana" w:hAnsi="Verdana"/>
          <w:sz w:val="20"/>
          <w:szCs w:val="20"/>
        </w:rPr>
        <w:t>ordinal</w:t>
      </w:r>
      <w:r w:rsidR="000E0A8D">
        <w:rPr>
          <w:rFonts w:ascii="Verdana" w:hAnsi="Verdana"/>
          <w:sz w:val="20"/>
          <w:szCs w:val="20"/>
        </w:rPr>
        <w:t xml:space="preserve"> scale (‘none of the time’=1 through to ‘all of the time’=5); points are summed to give a scale range of 14 to 70, population scores being normally distributed</w:t>
      </w:r>
      <w:r w:rsidR="006B2B72">
        <w:rPr>
          <w:rFonts w:ascii="Verdana" w:hAnsi="Verdana"/>
          <w:sz w:val="20"/>
          <w:szCs w:val="20"/>
        </w:rPr>
        <w:t xml:space="preserve"> with a mean of about 50 points</w:t>
      </w:r>
      <w:r w:rsidR="000E0A8D">
        <w:rPr>
          <w:rFonts w:ascii="Verdana" w:hAnsi="Verdana"/>
          <w:sz w:val="20"/>
          <w:szCs w:val="20"/>
        </w:rPr>
        <w:t xml:space="preserve">. The </w:t>
      </w:r>
      <w:r w:rsidR="00911BBA">
        <w:rPr>
          <w:rFonts w:ascii="Verdana" w:hAnsi="Verdana"/>
          <w:sz w:val="20"/>
          <w:szCs w:val="20"/>
        </w:rPr>
        <w:t>WE</w:t>
      </w:r>
      <w:r w:rsidR="00911BBA" w:rsidRPr="00F30453">
        <w:rPr>
          <w:rFonts w:ascii="Verdana" w:hAnsi="Verdana"/>
          <w:sz w:val="20"/>
          <w:szCs w:val="20"/>
        </w:rPr>
        <w:t>M</w:t>
      </w:r>
      <w:r w:rsidR="00911BBA">
        <w:rPr>
          <w:rFonts w:ascii="Verdana" w:hAnsi="Verdana"/>
          <w:sz w:val="20"/>
          <w:szCs w:val="20"/>
        </w:rPr>
        <w:t>W</w:t>
      </w:r>
      <w:r w:rsidR="00911BBA" w:rsidRPr="00F30453">
        <w:rPr>
          <w:rFonts w:ascii="Verdana" w:hAnsi="Verdana"/>
          <w:sz w:val="20"/>
          <w:szCs w:val="20"/>
        </w:rPr>
        <w:t>BS</w:t>
      </w:r>
      <w:r w:rsidR="000E0A8D">
        <w:rPr>
          <w:rFonts w:ascii="Verdana" w:hAnsi="Verdana"/>
          <w:sz w:val="20"/>
          <w:szCs w:val="20"/>
        </w:rPr>
        <w:t xml:space="preserve"> </w:t>
      </w:r>
      <w:r w:rsidR="000E0A8D" w:rsidRPr="00A471BE">
        <w:rPr>
          <w:rFonts w:ascii="Verdana" w:hAnsi="Verdana"/>
          <w:sz w:val="20"/>
          <w:szCs w:val="20"/>
        </w:rPr>
        <w:t xml:space="preserve">has been </w:t>
      </w:r>
      <w:r>
        <w:rPr>
          <w:rFonts w:ascii="Verdana" w:hAnsi="Verdana"/>
          <w:sz w:val="20"/>
          <w:szCs w:val="20"/>
        </w:rPr>
        <w:t>shown to have acceptable</w:t>
      </w:r>
      <w:r w:rsidR="000E0A8D" w:rsidRPr="00A471BE">
        <w:rPr>
          <w:rFonts w:ascii="Verdana" w:hAnsi="Verdana"/>
          <w:sz w:val="20"/>
          <w:szCs w:val="20"/>
        </w:rPr>
        <w:t xml:space="preserve"> internal consistency, test-retest repeatability, and</w:t>
      </w:r>
      <w:r w:rsidR="000E0A8D">
        <w:rPr>
          <w:rFonts w:ascii="Verdana" w:hAnsi="Verdana"/>
          <w:sz w:val="20"/>
          <w:szCs w:val="20"/>
        </w:rPr>
        <w:t xml:space="preserve"> co</w:t>
      </w:r>
      <w:r w:rsidR="009116EF">
        <w:rPr>
          <w:rFonts w:ascii="Verdana" w:hAnsi="Verdana"/>
          <w:sz w:val="20"/>
          <w:szCs w:val="20"/>
        </w:rPr>
        <w:t>ntent and construct validity [</w:t>
      </w:r>
      <w:r w:rsidR="006B2B72">
        <w:rPr>
          <w:rFonts w:ascii="Verdana" w:hAnsi="Verdana"/>
          <w:sz w:val="20"/>
          <w:szCs w:val="20"/>
        </w:rPr>
        <w:t>28</w:t>
      </w:r>
      <w:r w:rsidR="009116EF">
        <w:rPr>
          <w:rFonts w:ascii="Verdana" w:hAnsi="Verdana"/>
          <w:sz w:val="20"/>
          <w:szCs w:val="20"/>
        </w:rPr>
        <w:t>,29</w:t>
      </w:r>
      <w:r w:rsidR="000E0A8D">
        <w:rPr>
          <w:rFonts w:ascii="Verdana" w:hAnsi="Verdana"/>
          <w:sz w:val="20"/>
          <w:szCs w:val="20"/>
        </w:rPr>
        <w:t>].</w:t>
      </w:r>
      <w:r w:rsidR="000E0A8D" w:rsidRPr="000E0A8D">
        <w:rPr>
          <w:rFonts w:ascii="Verdana" w:hAnsi="Verdana"/>
          <w:sz w:val="20"/>
          <w:szCs w:val="20"/>
        </w:rPr>
        <w:t xml:space="preserve"> </w:t>
      </w:r>
    </w:p>
    <w:p w14:paraId="6AC79966" w14:textId="77777777" w:rsidR="0032121E" w:rsidRDefault="0032121E" w:rsidP="00C33BBA">
      <w:pPr>
        <w:widowControl w:val="0"/>
        <w:spacing w:line="480" w:lineRule="auto"/>
        <w:rPr>
          <w:rFonts w:ascii="Verdana" w:hAnsi="Verdana"/>
          <w:sz w:val="20"/>
          <w:szCs w:val="20"/>
        </w:rPr>
      </w:pPr>
    </w:p>
    <w:p w14:paraId="0654D246" w14:textId="643325DD" w:rsidR="0032121E" w:rsidRDefault="000E0A8D" w:rsidP="00C33BBA">
      <w:pPr>
        <w:widowControl w:val="0"/>
        <w:spacing w:line="480" w:lineRule="auto"/>
        <w:rPr>
          <w:rFonts w:ascii="Verdana" w:hAnsi="Verdana"/>
          <w:sz w:val="20"/>
          <w:szCs w:val="20"/>
        </w:rPr>
      </w:pPr>
      <w:r>
        <w:rPr>
          <w:rFonts w:ascii="Verdana" w:hAnsi="Verdana"/>
          <w:sz w:val="20"/>
          <w:szCs w:val="20"/>
        </w:rPr>
        <w:lastRenderedPageBreak/>
        <w:t>The</w:t>
      </w:r>
      <w:r w:rsidRPr="00F30453">
        <w:rPr>
          <w:rFonts w:ascii="Verdana" w:hAnsi="Verdana"/>
          <w:sz w:val="20"/>
          <w:szCs w:val="20"/>
        </w:rPr>
        <w:t xml:space="preserve"> </w:t>
      </w:r>
      <w:r w:rsidR="00D63ABD">
        <w:rPr>
          <w:rFonts w:ascii="Verdana" w:hAnsi="Verdana"/>
          <w:sz w:val="20"/>
          <w:szCs w:val="20"/>
        </w:rPr>
        <w:t>28-item</w:t>
      </w:r>
      <w:r w:rsidR="00D63ABD" w:rsidRPr="00F30453">
        <w:rPr>
          <w:rFonts w:ascii="Verdana" w:hAnsi="Verdana"/>
          <w:sz w:val="20"/>
          <w:szCs w:val="20"/>
        </w:rPr>
        <w:t xml:space="preserve"> </w:t>
      </w:r>
      <w:r w:rsidRPr="00F30453">
        <w:rPr>
          <w:rFonts w:ascii="Verdana" w:hAnsi="Verdana"/>
          <w:sz w:val="20"/>
          <w:szCs w:val="20"/>
        </w:rPr>
        <w:t>Sleep Problems Scale</w:t>
      </w:r>
      <w:r>
        <w:rPr>
          <w:rFonts w:ascii="Verdana" w:hAnsi="Verdana"/>
          <w:sz w:val="20"/>
          <w:szCs w:val="20"/>
        </w:rPr>
        <w:t xml:space="preserve"> of Jenkins </w:t>
      </w:r>
      <w:r w:rsidRPr="00873CF7">
        <w:rPr>
          <w:rFonts w:ascii="Verdana" w:hAnsi="Verdana"/>
          <w:i/>
          <w:sz w:val="20"/>
          <w:szCs w:val="20"/>
        </w:rPr>
        <w:t>et al</w:t>
      </w:r>
      <w:r>
        <w:rPr>
          <w:rFonts w:ascii="Verdana" w:hAnsi="Verdana"/>
          <w:sz w:val="20"/>
          <w:szCs w:val="20"/>
        </w:rPr>
        <w:t xml:space="preserve"> has established test-retest reliability and internal consistency [</w:t>
      </w:r>
      <w:r w:rsidR="009116EF">
        <w:rPr>
          <w:rFonts w:ascii="Verdana" w:hAnsi="Verdana"/>
          <w:sz w:val="20"/>
          <w:szCs w:val="20"/>
        </w:rPr>
        <w:t>30</w:t>
      </w:r>
      <w:r>
        <w:rPr>
          <w:rFonts w:ascii="Verdana" w:hAnsi="Verdana"/>
          <w:sz w:val="20"/>
          <w:szCs w:val="20"/>
        </w:rPr>
        <w:t>]</w:t>
      </w:r>
      <w:r w:rsidR="0032121E">
        <w:rPr>
          <w:rFonts w:ascii="Verdana" w:hAnsi="Verdana"/>
          <w:sz w:val="20"/>
          <w:szCs w:val="20"/>
        </w:rPr>
        <w:t>. W</w:t>
      </w:r>
      <w:r>
        <w:rPr>
          <w:rFonts w:ascii="Verdana" w:hAnsi="Verdana"/>
          <w:sz w:val="20"/>
          <w:szCs w:val="20"/>
        </w:rPr>
        <w:t xml:space="preserve">e selected four principal questions </w:t>
      </w:r>
      <w:r w:rsidR="0032121E">
        <w:rPr>
          <w:rFonts w:ascii="Verdana" w:hAnsi="Verdana"/>
          <w:sz w:val="20"/>
          <w:szCs w:val="20"/>
        </w:rPr>
        <w:t xml:space="preserve">from it </w:t>
      </w:r>
      <w:r>
        <w:rPr>
          <w:rFonts w:ascii="Verdana" w:hAnsi="Verdana"/>
          <w:sz w:val="20"/>
          <w:szCs w:val="20"/>
        </w:rPr>
        <w:t>concerning difficulty in falling asleep, staying asleep, waking too early, and feeling unrefreshed; these can be scored on a four-point scale, ranging from ‘no problem’ to ‘severe problem’</w:t>
      </w:r>
      <w:r w:rsidR="0032121E">
        <w:rPr>
          <w:rFonts w:ascii="Verdana" w:hAnsi="Verdana"/>
          <w:sz w:val="20"/>
          <w:szCs w:val="20"/>
        </w:rPr>
        <w:t>,</w:t>
      </w:r>
      <w:r w:rsidR="00D63ABD">
        <w:rPr>
          <w:rFonts w:ascii="Verdana" w:hAnsi="Verdana"/>
          <w:sz w:val="20"/>
          <w:szCs w:val="20"/>
        </w:rPr>
        <w:t xml:space="preserve"> reference data </w:t>
      </w:r>
      <w:r w:rsidR="0032121E">
        <w:rPr>
          <w:rFonts w:ascii="Verdana" w:hAnsi="Verdana"/>
          <w:sz w:val="20"/>
          <w:szCs w:val="20"/>
        </w:rPr>
        <w:t>being</w:t>
      </w:r>
      <w:r w:rsidR="00D63ABD">
        <w:rPr>
          <w:rFonts w:ascii="Verdana" w:hAnsi="Verdana"/>
          <w:sz w:val="20"/>
          <w:szCs w:val="20"/>
        </w:rPr>
        <w:t xml:space="preserve"> available from</w:t>
      </w:r>
      <w:r w:rsidR="00D63ABD" w:rsidRPr="00D63ABD">
        <w:rPr>
          <w:rFonts w:ascii="Verdana" w:hAnsi="Verdana"/>
          <w:sz w:val="20"/>
          <w:szCs w:val="20"/>
        </w:rPr>
        <w:t xml:space="preserve"> </w:t>
      </w:r>
      <w:r w:rsidR="00D63ABD">
        <w:rPr>
          <w:rFonts w:ascii="Verdana" w:hAnsi="Verdana"/>
          <w:sz w:val="20"/>
          <w:szCs w:val="20"/>
        </w:rPr>
        <w:t>a large British population-based study of incident and persistent insomnia [3</w:t>
      </w:r>
      <w:r w:rsidR="009116EF">
        <w:rPr>
          <w:rFonts w:ascii="Verdana" w:hAnsi="Verdana"/>
          <w:sz w:val="20"/>
          <w:szCs w:val="20"/>
        </w:rPr>
        <w:t>1</w:t>
      </w:r>
      <w:r w:rsidR="00D63ABD">
        <w:rPr>
          <w:rFonts w:ascii="Verdana" w:hAnsi="Verdana"/>
          <w:sz w:val="20"/>
          <w:szCs w:val="20"/>
        </w:rPr>
        <w:t>]</w:t>
      </w:r>
      <w:r>
        <w:rPr>
          <w:rFonts w:ascii="Verdana" w:hAnsi="Verdana"/>
          <w:sz w:val="20"/>
          <w:szCs w:val="20"/>
        </w:rPr>
        <w:t xml:space="preserve">.  </w:t>
      </w:r>
    </w:p>
    <w:p w14:paraId="27CC7A0F" w14:textId="77777777" w:rsidR="0032121E" w:rsidRDefault="0032121E" w:rsidP="00C33BBA">
      <w:pPr>
        <w:widowControl w:val="0"/>
        <w:spacing w:line="480" w:lineRule="auto"/>
        <w:rPr>
          <w:rFonts w:ascii="Verdana" w:hAnsi="Verdana"/>
          <w:sz w:val="20"/>
          <w:szCs w:val="20"/>
        </w:rPr>
      </w:pPr>
    </w:p>
    <w:p w14:paraId="68B886BB" w14:textId="42E9D907" w:rsidR="00E348D8" w:rsidRDefault="00E348D8" w:rsidP="00C33BBA">
      <w:pPr>
        <w:widowControl w:val="0"/>
        <w:spacing w:line="480" w:lineRule="auto"/>
        <w:rPr>
          <w:rFonts w:ascii="Verdana" w:hAnsi="Verdana"/>
          <w:sz w:val="20"/>
          <w:szCs w:val="20"/>
        </w:rPr>
      </w:pPr>
      <w:r>
        <w:rPr>
          <w:rFonts w:ascii="Verdana" w:hAnsi="Verdana"/>
          <w:sz w:val="20"/>
          <w:szCs w:val="20"/>
        </w:rPr>
        <w:t>The Work Ability Index</w:t>
      </w:r>
      <w:r w:rsidR="00E34115">
        <w:rPr>
          <w:rFonts w:ascii="Verdana" w:hAnsi="Verdana"/>
          <w:sz w:val="20"/>
          <w:szCs w:val="20"/>
        </w:rPr>
        <w:t xml:space="preserve"> (WAI)</w:t>
      </w:r>
      <w:r>
        <w:rPr>
          <w:rFonts w:ascii="Verdana" w:hAnsi="Verdana"/>
          <w:sz w:val="20"/>
          <w:szCs w:val="20"/>
        </w:rPr>
        <w:t xml:space="preserve"> [</w:t>
      </w:r>
      <w:r w:rsidR="00820C05">
        <w:rPr>
          <w:rFonts w:ascii="Verdana" w:hAnsi="Verdana"/>
          <w:sz w:val="20"/>
          <w:szCs w:val="20"/>
        </w:rPr>
        <w:t>3</w:t>
      </w:r>
      <w:r w:rsidR="009116EF">
        <w:rPr>
          <w:rFonts w:ascii="Verdana" w:hAnsi="Verdana"/>
          <w:sz w:val="20"/>
          <w:szCs w:val="20"/>
        </w:rPr>
        <w:t>2</w:t>
      </w:r>
      <w:r>
        <w:rPr>
          <w:rFonts w:ascii="Verdana" w:hAnsi="Verdana"/>
          <w:sz w:val="20"/>
          <w:szCs w:val="20"/>
        </w:rPr>
        <w:t>] comprises self-reported items on current work ability (relative to a lifetime best and the physical and mental demands of work), expectations of work capacity in two years’ time, presenteeism, sickness absence in the past year, p</w:t>
      </w:r>
      <w:r w:rsidRPr="00E348D8">
        <w:rPr>
          <w:rFonts w:ascii="Verdana" w:hAnsi="Verdana"/>
          <w:sz w:val="20"/>
          <w:szCs w:val="20"/>
        </w:rPr>
        <w:t>sychological resources</w:t>
      </w:r>
      <w:r>
        <w:rPr>
          <w:rFonts w:ascii="Verdana" w:hAnsi="Verdana"/>
          <w:sz w:val="20"/>
          <w:szCs w:val="20"/>
        </w:rPr>
        <w:t xml:space="preserve"> (enjoyment of daily tasks, optimism about the future) and tally of diagnosed diseases. </w:t>
      </w:r>
      <w:r w:rsidR="00E34115">
        <w:rPr>
          <w:rFonts w:ascii="Verdana" w:hAnsi="Verdana"/>
          <w:sz w:val="20"/>
          <w:szCs w:val="20"/>
        </w:rPr>
        <w:t>The WAI has adequate test-retest reliability [</w:t>
      </w:r>
      <w:r w:rsidR="00820C05">
        <w:rPr>
          <w:rFonts w:ascii="Verdana" w:hAnsi="Verdana"/>
          <w:sz w:val="20"/>
          <w:szCs w:val="20"/>
        </w:rPr>
        <w:t>3</w:t>
      </w:r>
      <w:r w:rsidR="009116EF">
        <w:rPr>
          <w:rFonts w:ascii="Verdana" w:hAnsi="Verdana"/>
          <w:sz w:val="20"/>
          <w:szCs w:val="20"/>
        </w:rPr>
        <w:t>3</w:t>
      </w:r>
      <w:r w:rsidR="00E34115">
        <w:rPr>
          <w:rFonts w:ascii="Verdana" w:hAnsi="Verdana"/>
          <w:sz w:val="20"/>
          <w:szCs w:val="20"/>
        </w:rPr>
        <w:t>] and is predictive of future work incapacity and disability pensioning</w:t>
      </w:r>
      <w:r w:rsidR="00820C05">
        <w:rPr>
          <w:rFonts w:ascii="Verdana" w:hAnsi="Verdana"/>
          <w:sz w:val="20"/>
          <w:szCs w:val="20"/>
        </w:rPr>
        <w:t xml:space="preserve"> [3</w:t>
      </w:r>
      <w:r w:rsidR="009116EF">
        <w:rPr>
          <w:rFonts w:ascii="Verdana" w:hAnsi="Verdana"/>
          <w:sz w:val="20"/>
          <w:szCs w:val="20"/>
        </w:rPr>
        <w:t>4</w:t>
      </w:r>
      <w:r w:rsidR="00820C05">
        <w:rPr>
          <w:rFonts w:ascii="Verdana" w:hAnsi="Verdana"/>
          <w:sz w:val="20"/>
          <w:szCs w:val="20"/>
        </w:rPr>
        <w:t>]</w:t>
      </w:r>
      <w:r w:rsidR="00E34115">
        <w:rPr>
          <w:rFonts w:ascii="Verdana" w:hAnsi="Verdana"/>
          <w:sz w:val="20"/>
          <w:szCs w:val="20"/>
        </w:rPr>
        <w:t xml:space="preserve">. Questions 44-46, 89, 91, 39, and 84 </w:t>
      </w:r>
      <w:r w:rsidR="003E1134">
        <w:rPr>
          <w:rFonts w:ascii="Verdana" w:hAnsi="Verdana"/>
          <w:sz w:val="20"/>
          <w:szCs w:val="20"/>
        </w:rPr>
        <w:t>in</w:t>
      </w:r>
      <w:r w:rsidR="00E34115">
        <w:rPr>
          <w:rFonts w:ascii="Verdana" w:hAnsi="Verdana"/>
          <w:sz w:val="20"/>
          <w:szCs w:val="20"/>
        </w:rPr>
        <w:t xml:space="preserve"> Appendix 1 (when linked with CPRD data on physician</w:t>
      </w:r>
      <w:r w:rsidR="00AE460C">
        <w:rPr>
          <w:rFonts w:ascii="Verdana" w:hAnsi="Verdana"/>
          <w:sz w:val="20"/>
          <w:szCs w:val="20"/>
        </w:rPr>
        <w:t>’s</w:t>
      </w:r>
      <w:r w:rsidR="00E34115">
        <w:rPr>
          <w:rFonts w:ascii="Verdana" w:hAnsi="Verdana"/>
          <w:sz w:val="20"/>
          <w:szCs w:val="20"/>
        </w:rPr>
        <w:t xml:space="preserve"> diagnoses) </w:t>
      </w:r>
      <w:r w:rsidR="00740D10">
        <w:rPr>
          <w:rFonts w:ascii="Verdana" w:hAnsi="Verdana"/>
          <w:sz w:val="20"/>
          <w:szCs w:val="20"/>
        </w:rPr>
        <w:t xml:space="preserve">will </w:t>
      </w:r>
      <w:r w:rsidR="00E34115">
        <w:rPr>
          <w:rFonts w:ascii="Verdana" w:hAnsi="Verdana"/>
          <w:sz w:val="20"/>
          <w:szCs w:val="20"/>
        </w:rPr>
        <w:t>provide proxy information on m</w:t>
      </w:r>
      <w:r w:rsidR="00AE460C">
        <w:rPr>
          <w:rFonts w:ascii="Verdana" w:hAnsi="Verdana"/>
          <w:sz w:val="20"/>
          <w:szCs w:val="20"/>
        </w:rPr>
        <w:t xml:space="preserve">ost aspects of work ability, </w:t>
      </w:r>
      <w:r w:rsidR="009116EF">
        <w:rPr>
          <w:rFonts w:ascii="Verdana" w:hAnsi="Verdana"/>
          <w:sz w:val="20"/>
          <w:szCs w:val="20"/>
        </w:rPr>
        <w:t xml:space="preserve">similar to the WAI, </w:t>
      </w:r>
      <w:r w:rsidR="00E34115">
        <w:rPr>
          <w:rFonts w:ascii="Verdana" w:hAnsi="Verdana"/>
          <w:sz w:val="20"/>
          <w:szCs w:val="20"/>
        </w:rPr>
        <w:t>although there is no</w:t>
      </w:r>
      <w:r w:rsidR="00AE032F">
        <w:rPr>
          <w:rFonts w:ascii="Verdana" w:hAnsi="Verdana"/>
          <w:sz w:val="20"/>
          <w:szCs w:val="20"/>
        </w:rPr>
        <w:t xml:space="preserve"> </w:t>
      </w:r>
      <w:r w:rsidR="00E34115">
        <w:rPr>
          <w:rFonts w:ascii="Verdana" w:hAnsi="Verdana"/>
          <w:sz w:val="20"/>
          <w:szCs w:val="20"/>
        </w:rPr>
        <w:t>intention</w:t>
      </w:r>
      <w:r w:rsidR="00AE460C">
        <w:rPr>
          <w:rFonts w:ascii="Verdana" w:hAnsi="Verdana"/>
          <w:sz w:val="20"/>
          <w:szCs w:val="20"/>
        </w:rPr>
        <w:t xml:space="preserve"> </w:t>
      </w:r>
      <w:r w:rsidR="00E34115">
        <w:rPr>
          <w:rFonts w:ascii="Verdana" w:hAnsi="Verdana"/>
          <w:sz w:val="20"/>
          <w:szCs w:val="20"/>
        </w:rPr>
        <w:t xml:space="preserve">to calculate a </w:t>
      </w:r>
      <w:r w:rsidR="00AE460C">
        <w:rPr>
          <w:rFonts w:ascii="Verdana" w:hAnsi="Verdana"/>
          <w:sz w:val="20"/>
          <w:szCs w:val="20"/>
        </w:rPr>
        <w:t>WAI score</w:t>
      </w:r>
      <w:r w:rsidR="00740D10" w:rsidRPr="00740D10">
        <w:rPr>
          <w:rFonts w:ascii="Verdana" w:hAnsi="Verdana"/>
          <w:sz w:val="20"/>
          <w:szCs w:val="20"/>
        </w:rPr>
        <w:t xml:space="preserve"> </w:t>
      </w:r>
      <w:r w:rsidR="00740D10">
        <w:rPr>
          <w:rFonts w:ascii="Verdana" w:hAnsi="Verdana"/>
          <w:sz w:val="20"/>
          <w:szCs w:val="20"/>
        </w:rPr>
        <w:t>per se</w:t>
      </w:r>
      <w:r w:rsidR="00E34115">
        <w:rPr>
          <w:rFonts w:ascii="Verdana" w:hAnsi="Verdana"/>
          <w:sz w:val="20"/>
          <w:szCs w:val="20"/>
        </w:rPr>
        <w:t xml:space="preserve">. </w:t>
      </w:r>
    </w:p>
    <w:p w14:paraId="26B93672" w14:textId="77777777" w:rsidR="0032121E" w:rsidRDefault="0032121E" w:rsidP="00C33BBA">
      <w:pPr>
        <w:widowControl w:val="0"/>
        <w:spacing w:line="480" w:lineRule="auto"/>
        <w:rPr>
          <w:rFonts w:ascii="Verdana" w:hAnsi="Verdana"/>
          <w:sz w:val="20"/>
          <w:szCs w:val="20"/>
        </w:rPr>
      </w:pPr>
    </w:p>
    <w:p w14:paraId="51DF8836" w14:textId="44EB7071" w:rsidR="006921A5" w:rsidRDefault="000E0A8D" w:rsidP="00C33BBA">
      <w:pPr>
        <w:widowControl w:val="0"/>
        <w:spacing w:line="480" w:lineRule="auto"/>
        <w:rPr>
          <w:rFonts w:ascii="Verdana" w:hAnsi="Verdana"/>
          <w:sz w:val="20"/>
          <w:szCs w:val="20"/>
        </w:rPr>
      </w:pPr>
      <w:r>
        <w:rPr>
          <w:rFonts w:ascii="Verdana" w:hAnsi="Verdana"/>
          <w:sz w:val="20"/>
          <w:szCs w:val="20"/>
        </w:rPr>
        <w:t>T</w:t>
      </w:r>
      <w:r w:rsidRPr="00F30453">
        <w:rPr>
          <w:rFonts w:ascii="Verdana" w:hAnsi="Verdana"/>
          <w:sz w:val="20"/>
          <w:szCs w:val="20"/>
        </w:rPr>
        <w:t>he Fried frailty index</w:t>
      </w:r>
      <w:r w:rsidR="00820C05">
        <w:rPr>
          <w:rFonts w:ascii="Verdana" w:hAnsi="Verdana"/>
          <w:sz w:val="20"/>
          <w:szCs w:val="20"/>
        </w:rPr>
        <w:t xml:space="preserve"> [3</w:t>
      </w:r>
      <w:r w:rsidR="009116EF">
        <w:rPr>
          <w:rFonts w:ascii="Verdana" w:hAnsi="Verdana"/>
          <w:sz w:val="20"/>
          <w:szCs w:val="20"/>
        </w:rPr>
        <w:t>5</w:t>
      </w:r>
      <w:r>
        <w:rPr>
          <w:rFonts w:ascii="Verdana" w:hAnsi="Verdana"/>
          <w:sz w:val="20"/>
          <w:szCs w:val="20"/>
        </w:rPr>
        <w:t>]</w:t>
      </w:r>
      <w:r w:rsidRPr="00F30453">
        <w:rPr>
          <w:rFonts w:ascii="Verdana" w:hAnsi="Verdana"/>
          <w:sz w:val="20"/>
          <w:szCs w:val="20"/>
        </w:rPr>
        <w:t>)</w:t>
      </w:r>
      <w:r>
        <w:rPr>
          <w:rFonts w:ascii="Verdana" w:hAnsi="Verdana"/>
          <w:sz w:val="20"/>
          <w:szCs w:val="20"/>
        </w:rPr>
        <w:t xml:space="preserve"> has been widely applied</w:t>
      </w:r>
      <w:r w:rsidR="00740D10">
        <w:rPr>
          <w:rFonts w:ascii="Verdana" w:hAnsi="Verdana"/>
          <w:sz w:val="20"/>
          <w:szCs w:val="20"/>
        </w:rPr>
        <w:t>,</w:t>
      </w:r>
      <w:r>
        <w:rPr>
          <w:rFonts w:ascii="Verdana" w:hAnsi="Verdana"/>
          <w:sz w:val="20"/>
          <w:szCs w:val="20"/>
        </w:rPr>
        <w:t xml:space="preserve"> with minor variation</w:t>
      </w:r>
      <w:r w:rsidR="00740D10">
        <w:rPr>
          <w:rFonts w:ascii="Verdana" w:hAnsi="Verdana"/>
          <w:sz w:val="20"/>
          <w:szCs w:val="20"/>
        </w:rPr>
        <w:t>,</w:t>
      </w:r>
      <w:r>
        <w:rPr>
          <w:rFonts w:ascii="Verdana" w:hAnsi="Verdana"/>
          <w:sz w:val="20"/>
          <w:szCs w:val="20"/>
        </w:rPr>
        <w:t xml:space="preserve"> in research on older people, and been shown to have good construct, convergent, concur</w:t>
      </w:r>
      <w:r w:rsidR="00820C05">
        <w:rPr>
          <w:rFonts w:ascii="Verdana" w:hAnsi="Verdana"/>
          <w:sz w:val="20"/>
          <w:szCs w:val="20"/>
        </w:rPr>
        <w:t>rent and predictive validity [3</w:t>
      </w:r>
      <w:r w:rsidR="009116EF">
        <w:rPr>
          <w:rFonts w:ascii="Verdana" w:hAnsi="Verdana"/>
          <w:sz w:val="20"/>
          <w:szCs w:val="20"/>
        </w:rPr>
        <w:t>6</w:t>
      </w:r>
      <w:r>
        <w:rPr>
          <w:rFonts w:ascii="Verdana" w:hAnsi="Verdana"/>
          <w:sz w:val="20"/>
          <w:szCs w:val="20"/>
        </w:rPr>
        <w:t>] (e.g. predicting mortality</w:t>
      </w:r>
      <w:r w:rsidRPr="003C2AA8">
        <w:rPr>
          <w:rFonts w:ascii="Verdana" w:hAnsi="Verdana"/>
          <w:sz w:val="20"/>
          <w:szCs w:val="20"/>
        </w:rPr>
        <w:t xml:space="preserve"> </w:t>
      </w:r>
      <w:r>
        <w:rPr>
          <w:rFonts w:ascii="Verdana" w:hAnsi="Verdana"/>
          <w:sz w:val="20"/>
          <w:szCs w:val="20"/>
        </w:rPr>
        <w:t xml:space="preserve">and risk of </w:t>
      </w:r>
      <w:r w:rsidRPr="003C2AA8">
        <w:rPr>
          <w:rFonts w:ascii="Verdana" w:hAnsi="Verdana"/>
          <w:sz w:val="20"/>
          <w:szCs w:val="20"/>
        </w:rPr>
        <w:t>fractures, falls, hospit</w:t>
      </w:r>
      <w:r>
        <w:rPr>
          <w:rFonts w:ascii="Verdana" w:hAnsi="Verdana"/>
          <w:sz w:val="20"/>
          <w:szCs w:val="20"/>
        </w:rPr>
        <w:t>alisation, institutionalisation and visits to</w:t>
      </w:r>
      <w:r w:rsidRPr="003C2AA8">
        <w:rPr>
          <w:rFonts w:ascii="Verdana" w:hAnsi="Verdana"/>
          <w:sz w:val="20"/>
          <w:szCs w:val="20"/>
        </w:rPr>
        <w:t xml:space="preserve"> emergency department</w:t>
      </w:r>
      <w:r w:rsidR="003E1134">
        <w:rPr>
          <w:rFonts w:ascii="Verdana" w:hAnsi="Verdana"/>
          <w:sz w:val="20"/>
          <w:szCs w:val="20"/>
        </w:rPr>
        <w:t>s). Our version of it comprised</w:t>
      </w:r>
      <w:r>
        <w:rPr>
          <w:rFonts w:ascii="Verdana" w:hAnsi="Verdana"/>
          <w:sz w:val="20"/>
          <w:szCs w:val="20"/>
        </w:rPr>
        <w:t xml:space="preserve"> questions on unintended weight loss, exhaustion, poor grip strength (difficulty in opening jars), slow walking speed and </w:t>
      </w:r>
      <w:r w:rsidR="00AE460C">
        <w:rPr>
          <w:rFonts w:ascii="Verdana" w:hAnsi="Verdana"/>
          <w:sz w:val="20"/>
          <w:szCs w:val="20"/>
        </w:rPr>
        <w:t>low physical activity</w:t>
      </w:r>
      <w:r w:rsidR="00D63ABD">
        <w:rPr>
          <w:rFonts w:ascii="Verdana" w:hAnsi="Verdana"/>
          <w:sz w:val="20"/>
          <w:szCs w:val="20"/>
        </w:rPr>
        <w:t xml:space="preserve"> (in terms of </w:t>
      </w:r>
      <w:r w:rsidR="00AE460C">
        <w:rPr>
          <w:rFonts w:ascii="Verdana" w:hAnsi="Verdana"/>
          <w:sz w:val="20"/>
          <w:szCs w:val="20"/>
        </w:rPr>
        <w:t xml:space="preserve">regular activities sufficient to </w:t>
      </w:r>
      <w:r w:rsidR="00740D10">
        <w:rPr>
          <w:rFonts w:ascii="Verdana" w:hAnsi="Verdana"/>
          <w:sz w:val="20"/>
          <w:szCs w:val="20"/>
        </w:rPr>
        <w:t>cause sweating</w:t>
      </w:r>
      <w:r w:rsidR="00D63ABD">
        <w:rPr>
          <w:rFonts w:ascii="Verdana" w:hAnsi="Verdana"/>
          <w:sz w:val="20"/>
          <w:szCs w:val="20"/>
        </w:rPr>
        <w:t xml:space="preserve">). </w:t>
      </w:r>
    </w:p>
    <w:p w14:paraId="726B68E4" w14:textId="77777777" w:rsidR="006B2B72" w:rsidRDefault="006B2B72" w:rsidP="00C33BBA">
      <w:pPr>
        <w:widowControl w:val="0"/>
        <w:spacing w:line="480" w:lineRule="auto"/>
        <w:rPr>
          <w:rFonts w:ascii="Verdana" w:hAnsi="Verdana"/>
          <w:sz w:val="20"/>
          <w:szCs w:val="20"/>
        </w:rPr>
      </w:pPr>
    </w:p>
    <w:p w14:paraId="1DA3DA15" w14:textId="319DA74E" w:rsidR="006B2B72" w:rsidRDefault="006B2B72" w:rsidP="00C33BBA">
      <w:pPr>
        <w:widowControl w:val="0"/>
        <w:spacing w:line="480" w:lineRule="auto"/>
        <w:rPr>
          <w:rFonts w:ascii="Verdana" w:hAnsi="Verdana"/>
          <w:sz w:val="20"/>
          <w:szCs w:val="20"/>
        </w:rPr>
      </w:pPr>
      <w:r>
        <w:rPr>
          <w:rFonts w:ascii="Verdana" w:hAnsi="Verdana"/>
          <w:sz w:val="20"/>
          <w:szCs w:val="20"/>
        </w:rPr>
        <w:t>Additionally, questions were posed on frequency of falls in the past 12 months</w:t>
      </w:r>
      <w:r w:rsidR="00352E1A">
        <w:rPr>
          <w:rFonts w:ascii="Verdana" w:hAnsi="Verdana"/>
          <w:sz w:val="20"/>
          <w:szCs w:val="20"/>
        </w:rPr>
        <w:t xml:space="preserve"> (</w:t>
      </w:r>
      <w:r w:rsidR="00BB3D80">
        <w:rPr>
          <w:rFonts w:ascii="Verdana" w:hAnsi="Verdana"/>
          <w:sz w:val="20"/>
          <w:szCs w:val="20"/>
        </w:rPr>
        <w:t xml:space="preserve">falls are associated with sarcopenia and frailty </w:t>
      </w:r>
      <w:r w:rsidR="00820C05">
        <w:rPr>
          <w:rFonts w:ascii="Verdana" w:hAnsi="Verdana"/>
          <w:sz w:val="20"/>
          <w:szCs w:val="20"/>
        </w:rPr>
        <w:t>[3</w:t>
      </w:r>
      <w:r w:rsidR="009116EF">
        <w:rPr>
          <w:rFonts w:ascii="Verdana" w:hAnsi="Verdana"/>
          <w:sz w:val="20"/>
          <w:szCs w:val="20"/>
        </w:rPr>
        <w:t>7</w:t>
      </w:r>
      <w:r w:rsidR="00FD2F06">
        <w:rPr>
          <w:rFonts w:ascii="Verdana" w:hAnsi="Verdana"/>
          <w:sz w:val="20"/>
          <w:szCs w:val="20"/>
        </w:rPr>
        <w:t>]); worsening of memory;</w:t>
      </w:r>
      <w:r>
        <w:rPr>
          <w:rFonts w:ascii="Verdana" w:hAnsi="Verdana"/>
          <w:sz w:val="20"/>
          <w:szCs w:val="20"/>
        </w:rPr>
        <w:t xml:space="preserve"> </w:t>
      </w:r>
      <w:r w:rsidR="00FD2F06">
        <w:rPr>
          <w:rFonts w:ascii="Verdana" w:hAnsi="Verdana"/>
          <w:sz w:val="20"/>
          <w:szCs w:val="20"/>
        </w:rPr>
        <w:t>regional pain making it difficult or impossible to get washed or dressed or do household chores (adapted from the widely used Nordic Questionnaire [</w:t>
      </w:r>
      <w:r w:rsidR="00820C05">
        <w:rPr>
          <w:rFonts w:ascii="Verdana" w:hAnsi="Verdana"/>
          <w:sz w:val="20"/>
          <w:szCs w:val="20"/>
        </w:rPr>
        <w:t>3</w:t>
      </w:r>
      <w:r w:rsidR="009116EF">
        <w:rPr>
          <w:rFonts w:ascii="Verdana" w:hAnsi="Verdana"/>
          <w:sz w:val="20"/>
          <w:szCs w:val="20"/>
        </w:rPr>
        <w:t>8</w:t>
      </w:r>
      <w:r w:rsidR="00FD2F06">
        <w:rPr>
          <w:rFonts w:ascii="Verdana" w:hAnsi="Verdana"/>
          <w:sz w:val="20"/>
          <w:szCs w:val="20"/>
        </w:rPr>
        <w:t xml:space="preserve">]); and </w:t>
      </w:r>
      <w:r w:rsidR="00820C05">
        <w:rPr>
          <w:rFonts w:ascii="Verdana" w:hAnsi="Verdana"/>
          <w:sz w:val="20"/>
          <w:szCs w:val="20"/>
        </w:rPr>
        <w:t>difficulties in hearing</w:t>
      </w:r>
      <w:r w:rsidR="00740D10">
        <w:rPr>
          <w:rFonts w:ascii="Verdana" w:hAnsi="Verdana"/>
          <w:sz w:val="20"/>
          <w:szCs w:val="20"/>
        </w:rPr>
        <w:t xml:space="preserve"> (</w:t>
      </w:r>
      <w:r w:rsidR="003E1134">
        <w:rPr>
          <w:rFonts w:ascii="Verdana" w:hAnsi="Verdana"/>
          <w:sz w:val="20"/>
          <w:szCs w:val="20"/>
        </w:rPr>
        <w:t>for</w:t>
      </w:r>
      <w:r w:rsidR="00740D10">
        <w:rPr>
          <w:rFonts w:ascii="Verdana" w:hAnsi="Verdana"/>
          <w:sz w:val="20"/>
          <w:szCs w:val="20"/>
        </w:rPr>
        <w:t xml:space="preserve"> which </w:t>
      </w:r>
      <w:r w:rsidR="00FD2F06">
        <w:rPr>
          <w:rFonts w:ascii="Verdana" w:hAnsi="Verdana"/>
          <w:sz w:val="20"/>
          <w:szCs w:val="20"/>
        </w:rPr>
        <w:t>self-</w:t>
      </w:r>
      <w:r w:rsidR="00FD2F06">
        <w:rPr>
          <w:rFonts w:ascii="Verdana" w:hAnsi="Verdana"/>
          <w:sz w:val="20"/>
          <w:szCs w:val="20"/>
        </w:rPr>
        <w:lastRenderedPageBreak/>
        <w:t xml:space="preserve">report of moderate </w:t>
      </w:r>
      <w:r w:rsidR="00CA0363">
        <w:rPr>
          <w:rFonts w:ascii="Verdana" w:hAnsi="Verdana"/>
          <w:sz w:val="20"/>
          <w:szCs w:val="20"/>
        </w:rPr>
        <w:t>to</w:t>
      </w:r>
      <w:r w:rsidR="00FD2F06">
        <w:rPr>
          <w:rFonts w:ascii="Verdana" w:hAnsi="Verdana"/>
          <w:sz w:val="20"/>
          <w:szCs w:val="20"/>
        </w:rPr>
        <w:t xml:space="preserve"> great difficulty in hearing conversation in a quiet room (or the wearing of a hearing aid)</w:t>
      </w:r>
      <w:r w:rsidR="00FD2F06" w:rsidRPr="00CA0363">
        <w:rPr>
          <w:rFonts w:ascii="Verdana" w:hAnsi="Verdana"/>
          <w:sz w:val="20"/>
          <w:szCs w:val="20"/>
        </w:rPr>
        <w:t xml:space="preserve"> </w:t>
      </w:r>
      <w:r w:rsidR="00CA0363" w:rsidRPr="00CA0363">
        <w:rPr>
          <w:rFonts w:ascii="Verdana" w:hAnsi="Verdana"/>
          <w:sz w:val="20"/>
          <w:szCs w:val="20"/>
        </w:rPr>
        <w:t xml:space="preserve">has been </w:t>
      </w:r>
      <w:r w:rsidR="00FD2F06" w:rsidRPr="00FD2F06">
        <w:rPr>
          <w:rFonts w:ascii="Verdana" w:hAnsi="Verdana"/>
          <w:sz w:val="20"/>
          <w:szCs w:val="20"/>
        </w:rPr>
        <w:t>found</w:t>
      </w:r>
      <w:r w:rsidR="00820C05">
        <w:rPr>
          <w:rFonts w:ascii="Verdana" w:hAnsi="Verdana"/>
          <w:sz w:val="20"/>
          <w:szCs w:val="20"/>
        </w:rPr>
        <w:t>,</w:t>
      </w:r>
      <w:r w:rsidR="00FD2F06" w:rsidRPr="00FD2F06">
        <w:rPr>
          <w:rFonts w:ascii="Verdana" w:hAnsi="Verdana"/>
          <w:sz w:val="20"/>
          <w:szCs w:val="20"/>
        </w:rPr>
        <w:t xml:space="preserve"> </w:t>
      </w:r>
      <w:r w:rsidR="00820C05">
        <w:rPr>
          <w:rFonts w:ascii="Verdana" w:hAnsi="Verdana"/>
          <w:sz w:val="20"/>
          <w:szCs w:val="20"/>
        </w:rPr>
        <w:t xml:space="preserve">in a British national survey of hearing, </w:t>
      </w:r>
      <w:r w:rsidR="00FD2F06" w:rsidRPr="00FD2F06">
        <w:rPr>
          <w:rFonts w:ascii="Verdana" w:hAnsi="Verdana"/>
          <w:sz w:val="20"/>
          <w:szCs w:val="20"/>
        </w:rPr>
        <w:t xml:space="preserve">to </w:t>
      </w:r>
      <w:r w:rsidR="00CA0363">
        <w:rPr>
          <w:rFonts w:ascii="Verdana" w:hAnsi="Verdana"/>
          <w:sz w:val="20"/>
          <w:szCs w:val="20"/>
        </w:rPr>
        <w:t xml:space="preserve">correspond to a mean hearing impairment of </w:t>
      </w:r>
      <w:r w:rsidR="00FD2F06" w:rsidRPr="00FD2F06">
        <w:rPr>
          <w:rFonts w:ascii="Verdana" w:hAnsi="Verdana"/>
          <w:sz w:val="20"/>
          <w:szCs w:val="20"/>
        </w:rPr>
        <w:t>about 45 dB HL</w:t>
      </w:r>
      <w:r w:rsidR="00CA0363">
        <w:rPr>
          <w:rFonts w:ascii="Verdana" w:hAnsi="Verdana"/>
          <w:sz w:val="20"/>
          <w:szCs w:val="20"/>
        </w:rPr>
        <w:t xml:space="preserve"> [</w:t>
      </w:r>
      <w:r w:rsidR="00820C05">
        <w:rPr>
          <w:rFonts w:ascii="Verdana" w:hAnsi="Verdana"/>
          <w:sz w:val="20"/>
          <w:szCs w:val="20"/>
        </w:rPr>
        <w:t>3</w:t>
      </w:r>
      <w:r w:rsidR="009116EF">
        <w:rPr>
          <w:rFonts w:ascii="Verdana" w:hAnsi="Verdana"/>
          <w:sz w:val="20"/>
          <w:szCs w:val="20"/>
        </w:rPr>
        <w:t>9</w:t>
      </w:r>
      <w:r w:rsidR="00CA0363">
        <w:rPr>
          <w:rFonts w:ascii="Verdana" w:hAnsi="Verdana"/>
          <w:sz w:val="20"/>
          <w:szCs w:val="20"/>
        </w:rPr>
        <w:t>]</w:t>
      </w:r>
      <w:r w:rsidR="00740D10">
        <w:rPr>
          <w:rFonts w:ascii="Verdana" w:hAnsi="Verdana"/>
          <w:sz w:val="20"/>
          <w:szCs w:val="20"/>
        </w:rPr>
        <w:t>)</w:t>
      </w:r>
      <w:r w:rsidR="00FD2F06" w:rsidRPr="00FD2F06">
        <w:rPr>
          <w:rFonts w:ascii="Verdana" w:hAnsi="Verdana"/>
          <w:sz w:val="20"/>
          <w:szCs w:val="20"/>
        </w:rPr>
        <w:t>.</w:t>
      </w:r>
    </w:p>
    <w:p w14:paraId="587FCCB5" w14:textId="77777777" w:rsidR="00EB089C" w:rsidRDefault="00EB089C" w:rsidP="00C33BBA">
      <w:pPr>
        <w:widowControl w:val="0"/>
        <w:spacing w:line="480" w:lineRule="auto"/>
        <w:rPr>
          <w:rFonts w:ascii="Verdana" w:hAnsi="Verdana"/>
          <w:sz w:val="20"/>
          <w:szCs w:val="20"/>
        </w:rPr>
      </w:pPr>
    </w:p>
    <w:p w14:paraId="39DD0E67" w14:textId="4CA90188" w:rsidR="00EB089C" w:rsidRPr="00EB089C" w:rsidRDefault="00EB089C" w:rsidP="00C33BBA">
      <w:pPr>
        <w:widowControl w:val="0"/>
        <w:spacing w:line="480" w:lineRule="auto"/>
        <w:rPr>
          <w:rFonts w:ascii="Verdana" w:hAnsi="Verdana"/>
          <w:i/>
          <w:sz w:val="20"/>
          <w:szCs w:val="20"/>
        </w:rPr>
      </w:pPr>
      <w:r w:rsidRPr="00EB089C">
        <w:rPr>
          <w:rFonts w:ascii="Verdana" w:hAnsi="Verdana"/>
          <w:i/>
          <w:sz w:val="20"/>
          <w:szCs w:val="20"/>
        </w:rPr>
        <w:t>Conditions of paid work</w:t>
      </w:r>
    </w:p>
    <w:p w14:paraId="259BAAEA" w14:textId="6D6D7EB8" w:rsidR="00EB089C" w:rsidRDefault="00EB089C" w:rsidP="00C33BBA">
      <w:pPr>
        <w:widowControl w:val="0"/>
        <w:spacing w:line="480" w:lineRule="auto"/>
        <w:rPr>
          <w:rFonts w:ascii="Verdana" w:hAnsi="Verdana"/>
          <w:sz w:val="20"/>
          <w:szCs w:val="20"/>
        </w:rPr>
      </w:pPr>
      <w:r>
        <w:rPr>
          <w:rFonts w:ascii="Verdana" w:hAnsi="Verdana"/>
          <w:sz w:val="20"/>
          <w:szCs w:val="20"/>
        </w:rPr>
        <w:t>Among those in paid work, questions were asked about the type of employment, contract, employer’s size, length of employment, and entitlement to holiday, paid sick leave</w:t>
      </w:r>
      <w:r w:rsidRPr="00EB089C">
        <w:rPr>
          <w:rFonts w:ascii="Verdana" w:hAnsi="Verdana"/>
          <w:sz w:val="20"/>
          <w:szCs w:val="20"/>
        </w:rPr>
        <w:t xml:space="preserve"> </w:t>
      </w:r>
      <w:r>
        <w:rPr>
          <w:rFonts w:ascii="Verdana" w:hAnsi="Verdana"/>
          <w:sz w:val="20"/>
          <w:szCs w:val="20"/>
        </w:rPr>
        <w:t>and an ill-health pension; also, about physical conditions of work and about the psychosocial work environment and feelings about work and retirement.</w:t>
      </w:r>
    </w:p>
    <w:p w14:paraId="1A26B222" w14:textId="5FF89FBC" w:rsidR="006921A5" w:rsidRDefault="00EB089C" w:rsidP="00C33BBA">
      <w:pPr>
        <w:widowControl w:val="0"/>
        <w:spacing w:line="480" w:lineRule="auto"/>
        <w:rPr>
          <w:rFonts w:ascii="Verdana" w:hAnsi="Verdana"/>
          <w:sz w:val="20"/>
          <w:szCs w:val="20"/>
        </w:rPr>
      </w:pPr>
      <w:r>
        <w:rPr>
          <w:rFonts w:ascii="Verdana" w:hAnsi="Verdana"/>
          <w:sz w:val="20"/>
          <w:szCs w:val="20"/>
        </w:rPr>
        <w:t xml:space="preserve"> </w:t>
      </w:r>
    </w:p>
    <w:p w14:paraId="5F96576A" w14:textId="24AB3D3B" w:rsidR="00AE032F" w:rsidRPr="00EB089C" w:rsidRDefault="00AE032F" w:rsidP="00C33BBA">
      <w:pPr>
        <w:widowControl w:val="0"/>
        <w:spacing w:line="480" w:lineRule="auto"/>
        <w:rPr>
          <w:rFonts w:ascii="Verdana" w:hAnsi="Verdana"/>
          <w:i/>
          <w:sz w:val="20"/>
          <w:szCs w:val="20"/>
        </w:rPr>
      </w:pPr>
      <w:r w:rsidRPr="00F03C89">
        <w:rPr>
          <w:rFonts w:ascii="Verdana" w:hAnsi="Verdana"/>
          <w:i/>
          <w:sz w:val="20"/>
          <w:szCs w:val="20"/>
        </w:rPr>
        <w:t>Physical working condi</w:t>
      </w:r>
      <w:r w:rsidR="00EB089C">
        <w:rPr>
          <w:rFonts w:ascii="Verdana" w:hAnsi="Verdana"/>
          <w:i/>
          <w:sz w:val="20"/>
          <w:szCs w:val="20"/>
        </w:rPr>
        <w:t xml:space="preserve">tions: </w:t>
      </w:r>
      <w:r w:rsidR="00EB089C">
        <w:rPr>
          <w:rFonts w:ascii="Verdana" w:hAnsi="Verdana"/>
          <w:sz w:val="20"/>
          <w:szCs w:val="20"/>
        </w:rPr>
        <w:t xml:space="preserve">A series of questions was </w:t>
      </w:r>
      <w:r w:rsidRPr="00D63ABD">
        <w:rPr>
          <w:rFonts w:ascii="Verdana" w:hAnsi="Verdana"/>
          <w:sz w:val="20"/>
          <w:szCs w:val="20"/>
        </w:rPr>
        <w:t>asked about exposures in an average working day to: kneeling/squatting (for &gt;1 hour/day in total), climbing</w:t>
      </w:r>
      <w:r>
        <w:rPr>
          <w:rFonts w:ascii="Verdana" w:hAnsi="Verdana"/>
          <w:sz w:val="20"/>
          <w:szCs w:val="20"/>
        </w:rPr>
        <w:t xml:space="preserve"> a ladder, climbing stairs (&gt;30 </w:t>
      </w:r>
      <w:r w:rsidRPr="00D63ABD">
        <w:rPr>
          <w:rFonts w:ascii="Verdana" w:hAnsi="Verdana"/>
          <w:sz w:val="20"/>
          <w:szCs w:val="20"/>
        </w:rPr>
        <w:t xml:space="preserve">flights/day), digging/shovelling, lifting ≥10 kg by hand, hard physical work sufficient to </w:t>
      </w:r>
      <w:r w:rsidR="00740D10">
        <w:rPr>
          <w:rFonts w:ascii="Verdana" w:hAnsi="Verdana"/>
          <w:sz w:val="20"/>
          <w:szCs w:val="20"/>
        </w:rPr>
        <w:t>cause sweating</w:t>
      </w:r>
      <w:r w:rsidRPr="00D63ABD">
        <w:rPr>
          <w:rFonts w:ascii="Verdana" w:hAnsi="Verdana"/>
          <w:sz w:val="20"/>
          <w:szCs w:val="20"/>
        </w:rPr>
        <w:t>, and standing or walking (most of the day, &gt;3 hours at a time)</w:t>
      </w:r>
      <w:r w:rsidR="00AE460C">
        <w:rPr>
          <w:rFonts w:ascii="Verdana" w:hAnsi="Verdana"/>
          <w:sz w:val="20"/>
          <w:szCs w:val="20"/>
        </w:rPr>
        <w:t>. S</w:t>
      </w:r>
      <w:r w:rsidR="00A00462">
        <w:rPr>
          <w:rFonts w:ascii="Verdana" w:hAnsi="Verdana"/>
          <w:sz w:val="20"/>
          <w:szCs w:val="20"/>
        </w:rPr>
        <w:t>uch exposures have</w:t>
      </w:r>
      <w:r w:rsidR="00A00462" w:rsidRPr="00A00462">
        <w:rPr>
          <w:rFonts w:ascii="Verdana" w:hAnsi="Verdana"/>
          <w:sz w:val="20"/>
          <w:szCs w:val="20"/>
        </w:rPr>
        <w:t xml:space="preserve"> </w:t>
      </w:r>
      <w:r w:rsidR="00A00462">
        <w:rPr>
          <w:rFonts w:ascii="Verdana" w:hAnsi="Verdana"/>
          <w:sz w:val="20"/>
          <w:szCs w:val="20"/>
        </w:rPr>
        <w:t>been linked with a range of musculoskeletal disorders of interest, including osteoarthritis of the knee [</w:t>
      </w:r>
      <w:r w:rsidR="009116EF">
        <w:rPr>
          <w:rFonts w:ascii="Verdana" w:hAnsi="Verdana"/>
          <w:sz w:val="20"/>
          <w:szCs w:val="20"/>
        </w:rPr>
        <w:t>40], meniscal injury [41]</w:t>
      </w:r>
      <w:r w:rsidR="00A00462">
        <w:rPr>
          <w:rFonts w:ascii="Verdana" w:hAnsi="Verdana"/>
          <w:sz w:val="20"/>
          <w:szCs w:val="20"/>
        </w:rPr>
        <w:t xml:space="preserve"> and </w:t>
      </w:r>
      <w:r w:rsidR="009116EF">
        <w:rPr>
          <w:rFonts w:ascii="Verdana" w:hAnsi="Verdana"/>
          <w:sz w:val="20"/>
          <w:szCs w:val="20"/>
        </w:rPr>
        <w:t>back pain [42</w:t>
      </w:r>
      <w:r w:rsidR="00A00462">
        <w:rPr>
          <w:rFonts w:ascii="Verdana" w:hAnsi="Verdana"/>
          <w:sz w:val="20"/>
          <w:szCs w:val="20"/>
        </w:rPr>
        <w:t>]</w:t>
      </w:r>
      <w:r w:rsidRPr="00D63ABD">
        <w:rPr>
          <w:rFonts w:ascii="Verdana" w:hAnsi="Verdana"/>
          <w:sz w:val="20"/>
          <w:szCs w:val="20"/>
        </w:rPr>
        <w:t>.</w:t>
      </w:r>
    </w:p>
    <w:p w14:paraId="25A4788B" w14:textId="77777777" w:rsidR="00AE032F" w:rsidRDefault="00AE032F" w:rsidP="00C33BBA">
      <w:pPr>
        <w:widowControl w:val="0"/>
        <w:spacing w:line="480" w:lineRule="auto"/>
        <w:rPr>
          <w:rFonts w:ascii="Verdana" w:hAnsi="Verdana"/>
          <w:i/>
          <w:sz w:val="20"/>
          <w:szCs w:val="20"/>
        </w:rPr>
      </w:pPr>
    </w:p>
    <w:p w14:paraId="40CFDC37" w14:textId="12E369D2" w:rsidR="00EB089C" w:rsidRDefault="00AE032F" w:rsidP="00C33BBA">
      <w:pPr>
        <w:widowControl w:val="0"/>
        <w:spacing w:line="480" w:lineRule="auto"/>
        <w:rPr>
          <w:rFonts w:ascii="Verdana" w:hAnsi="Verdana"/>
          <w:sz w:val="20"/>
          <w:szCs w:val="20"/>
        </w:rPr>
      </w:pPr>
      <w:r w:rsidRPr="00753096">
        <w:rPr>
          <w:rFonts w:ascii="Verdana" w:hAnsi="Verdana"/>
          <w:i/>
          <w:sz w:val="20"/>
          <w:szCs w:val="20"/>
        </w:rPr>
        <w:t>Psychological factors</w:t>
      </w:r>
      <w:r w:rsidR="00C6535E">
        <w:rPr>
          <w:rFonts w:ascii="Verdana" w:hAnsi="Verdana"/>
          <w:i/>
          <w:sz w:val="20"/>
          <w:szCs w:val="20"/>
        </w:rPr>
        <w:t xml:space="preserve"> (including feelings about work)</w:t>
      </w:r>
      <w:r w:rsidR="00EB089C">
        <w:rPr>
          <w:rFonts w:ascii="Verdana" w:hAnsi="Verdana"/>
          <w:i/>
          <w:sz w:val="20"/>
          <w:szCs w:val="20"/>
        </w:rPr>
        <w:t xml:space="preserve">: </w:t>
      </w:r>
      <w:r w:rsidRPr="00C8003A">
        <w:rPr>
          <w:rFonts w:ascii="Verdana" w:hAnsi="Verdana"/>
          <w:sz w:val="20"/>
          <w:szCs w:val="20"/>
        </w:rPr>
        <w:t>Questions</w:t>
      </w:r>
      <w:r w:rsidR="00740D10">
        <w:rPr>
          <w:rFonts w:ascii="Verdana" w:hAnsi="Verdana"/>
          <w:sz w:val="20"/>
          <w:szCs w:val="20"/>
        </w:rPr>
        <w:t xml:space="preserve"> about </w:t>
      </w:r>
      <w:r w:rsidR="00352E1A" w:rsidRPr="00C8003A">
        <w:rPr>
          <w:rFonts w:ascii="Verdana" w:hAnsi="Verdana"/>
          <w:sz w:val="20"/>
          <w:szCs w:val="20"/>
        </w:rPr>
        <w:t>psychosocial</w:t>
      </w:r>
      <w:r w:rsidR="00740D10">
        <w:rPr>
          <w:rFonts w:ascii="Verdana" w:hAnsi="Verdana"/>
          <w:sz w:val="20"/>
          <w:szCs w:val="20"/>
        </w:rPr>
        <w:t xml:space="preserve"> aspects </w:t>
      </w:r>
      <w:r w:rsidR="00352E1A">
        <w:rPr>
          <w:rFonts w:ascii="Verdana" w:hAnsi="Verdana"/>
          <w:sz w:val="20"/>
          <w:szCs w:val="20"/>
        </w:rPr>
        <w:t>of work</w:t>
      </w:r>
      <w:r w:rsidRPr="00C8003A">
        <w:rPr>
          <w:rFonts w:ascii="Verdana" w:hAnsi="Verdana"/>
          <w:sz w:val="20"/>
          <w:szCs w:val="20"/>
        </w:rPr>
        <w:t xml:space="preserve"> were</w:t>
      </w:r>
      <w:r>
        <w:rPr>
          <w:rFonts w:ascii="Verdana" w:hAnsi="Verdana"/>
          <w:sz w:val="20"/>
          <w:szCs w:val="20"/>
        </w:rPr>
        <w:t xml:space="preserve"> based</w:t>
      </w:r>
      <w:r w:rsidR="00AE460C">
        <w:rPr>
          <w:rFonts w:ascii="Verdana" w:hAnsi="Verdana"/>
          <w:sz w:val="20"/>
          <w:szCs w:val="20"/>
        </w:rPr>
        <w:t xml:space="preserve"> broadly</w:t>
      </w:r>
      <w:r>
        <w:rPr>
          <w:rFonts w:ascii="Verdana" w:hAnsi="Verdana"/>
          <w:sz w:val="20"/>
          <w:szCs w:val="20"/>
        </w:rPr>
        <w:t xml:space="preserve"> on the Karasek model of decision latitude, colleagues’ support, and work demands [</w:t>
      </w:r>
      <w:r w:rsidR="009116EF">
        <w:rPr>
          <w:rFonts w:ascii="Verdana" w:hAnsi="Verdana"/>
          <w:sz w:val="20"/>
          <w:szCs w:val="20"/>
        </w:rPr>
        <w:t>43</w:t>
      </w:r>
      <w:r>
        <w:rPr>
          <w:rFonts w:ascii="Verdana" w:hAnsi="Verdana"/>
          <w:sz w:val="20"/>
          <w:szCs w:val="20"/>
        </w:rPr>
        <w:t xml:space="preserve">]. </w:t>
      </w:r>
      <w:r w:rsidR="00EB089C">
        <w:rPr>
          <w:rFonts w:ascii="Verdana" w:hAnsi="Verdana"/>
          <w:sz w:val="20"/>
          <w:szCs w:val="20"/>
        </w:rPr>
        <w:t>A</w:t>
      </w:r>
      <w:r>
        <w:rPr>
          <w:rFonts w:ascii="Verdana" w:hAnsi="Verdana"/>
          <w:sz w:val="20"/>
          <w:szCs w:val="20"/>
        </w:rPr>
        <w:t>dditional</w:t>
      </w:r>
      <w:r w:rsidR="00EB089C">
        <w:rPr>
          <w:rFonts w:ascii="Verdana" w:hAnsi="Verdana"/>
          <w:sz w:val="20"/>
          <w:szCs w:val="20"/>
        </w:rPr>
        <w:t>ly,</w:t>
      </w:r>
      <w:r>
        <w:rPr>
          <w:rFonts w:ascii="Verdana" w:hAnsi="Verdana"/>
          <w:sz w:val="20"/>
          <w:szCs w:val="20"/>
        </w:rPr>
        <w:t xml:space="preserve"> questions were posed </w:t>
      </w:r>
      <w:r w:rsidR="00EB089C">
        <w:rPr>
          <w:rFonts w:ascii="Verdana" w:hAnsi="Verdana"/>
          <w:sz w:val="20"/>
          <w:szCs w:val="20"/>
        </w:rPr>
        <w:t>concerning</w:t>
      </w:r>
      <w:r>
        <w:rPr>
          <w:rFonts w:ascii="Verdana" w:hAnsi="Verdana"/>
          <w:sz w:val="20"/>
          <w:szCs w:val="20"/>
        </w:rPr>
        <w:t xml:space="preserve"> </w:t>
      </w:r>
      <w:r w:rsidRPr="00C8003A">
        <w:rPr>
          <w:rFonts w:ascii="Verdana" w:hAnsi="Verdana"/>
          <w:sz w:val="20"/>
          <w:szCs w:val="20"/>
        </w:rPr>
        <w:t>job satisfaction</w:t>
      </w:r>
      <w:r>
        <w:rPr>
          <w:rFonts w:ascii="Verdana" w:hAnsi="Verdana"/>
          <w:sz w:val="20"/>
          <w:szCs w:val="20"/>
        </w:rPr>
        <w:t xml:space="preserve"> (overall</w:t>
      </w:r>
      <w:r w:rsidR="003A02E0">
        <w:rPr>
          <w:rFonts w:ascii="Verdana" w:hAnsi="Verdana"/>
          <w:sz w:val="20"/>
          <w:szCs w:val="20"/>
        </w:rPr>
        <w:t>,</w:t>
      </w:r>
      <w:r>
        <w:rPr>
          <w:rFonts w:ascii="Verdana" w:hAnsi="Verdana"/>
          <w:sz w:val="20"/>
          <w:szCs w:val="20"/>
        </w:rPr>
        <w:t xml:space="preserve"> and </w:t>
      </w:r>
      <w:r w:rsidR="003A02E0">
        <w:rPr>
          <w:rFonts w:ascii="Verdana" w:hAnsi="Verdana"/>
          <w:sz w:val="20"/>
          <w:szCs w:val="20"/>
        </w:rPr>
        <w:t xml:space="preserve">specifically </w:t>
      </w:r>
      <w:r w:rsidR="00AE460C">
        <w:rPr>
          <w:rFonts w:ascii="Verdana" w:hAnsi="Verdana"/>
          <w:sz w:val="20"/>
          <w:szCs w:val="20"/>
        </w:rPr>
        <w:t>with pay and working hours);</w:t>
      </w:r>
      <w:r>
        <w:rPr>
          <w:rFonts w:ascii="Verdana" w:hAnsi="Verdana"/>
          <w:sz w:val="20"/>
          <w:szCs w:val="20"/>
        </w:rPr>
        <w:t xml:space="preserve"> sense of achievement gained through work; feeling appreciated by those at work</w:t>
      </w:r>
      <w:r w:rsidR="00AE460C">
        <w:rPr>
          <w:rFonts w:ascii="Verdana" w:hAnsi="Verdana"/>
          <w:sz w:val="20"/>
          <w:szCs w:val="20"/>
        </w:rPr>
        <w:t>, or unfairly criticised by them;</w:t>
      </w:r>
      <w:r>
        <w:rPr>
          <w:rFonts w:ascii="Verdana" w:hAnsi="Verdana"/>
          <w:sz w:val="20"/>
          <w:szCs w:val="20"/>
        </w:rPr>
        <w:t xml:space="preserve"> </w:t>
      </w:r>
      <w:r w:rsidR="00AE460C">
        <w:rPr>
          <w:rFonts w:ascii="Verdana" w:hAnsi="Verdana"/>
          <w:sz w:val="20"/>
          <w:szCs w:val="20"/>
        </w:rPr>
        <w:t>difficult relationships and special friendships at work;</w:t>
      </w:r>
      <w:r>
        <w:rPr>
          <w:rFonts w:ascii="Verdana" w:hAnsi="Verdana"/>
          <w:sz w:val="20"/>
          <w:szCs w:val="20"/>
        </w:rPr>
        <w:t xml:space="preserve"> lying awa</w:t>
      </w:r>
      <w:r w:rsidR="00AE460C">
        <w:rPr>
          <w:rFonts w:ascii="Verdana" w:hAnsi="Verdana"/>
          <w:sz w:val="20"/>
          <w:szCs w:val="20"/>
        </w:rPr>
        <w:t>ke at night worrying about work;</w:t>
      </w:r>
      <w:r>
        <w:rPr>
          <w:rFonts w:ascii="Verdana" w:hAnsi="Verdana"/>
          <w:sz w:val="20"/>
          <w:szCs w:val="20"/>
        </w:rPr>
        <w:t xml:space="preserve"> and job </w:t>
      </w:r>
      <w:r w:rsidR="00AE460C">
        <w:rPr>
          <w:rFonts w:ascii="Verdana" w:hAnsi="Verdana"/>
          <w:sz w:val="20"/>
          <w:szCs w:val="20"/>
        </w:rPr>
        <w:t>in</w:t>
      </w:r>
      <w:r>
        <w:rPr>
          <w:rFonts w:ascii="Verdana" w:hAnsi="Verdana"/>
          <w:sz w:val="20"/>
          <w:szCs w:val="20"/>
        </w:rPr>
        <w:t>security in illness and in health.</w:t>
      </w:r>
      <w:r w:rsidR="00C6535E">
        <w:rPr>
          <w:rFonts w:ascii="Verdana" w:hAnsi="Verdana"/>
          <w:sz w:val="20"/>
          <w:szCs w:val="20"/>
        </w:rPr>
        <w:t xml:space="preserve"> Subjects still in work were also asked about their retirement expectations (e.g. expected age at retirement, preferred age of retirement, expected pre-retirement changes in working hours).</w:t>
      </w:r>
    </w:p>
    <w:p w14:paraId="2079AA2F" w14:textId="77777777" w:rsidR="00AE460C" w:rsidRDefault="00AE460C" w:rsidP="00C33BBA">
      <w:pPr>
        <w:widowControl w:val="0"/>
        <w:spacing w:line="480" w:lineRule="auto"/>
        <w:rPr>
          <w:rFonts w:ascii="Verdana" w:hAnsi="Verdana"/>
          <w:sz w:val="20"/>
          <w:szCs w:val="20"/>
        </w:rPr>
      </w:pPr>
    </w:p>
    <w:p w14:paraId="71D8BCA2" w14:textId="34584F46" w:rsidR="0087125A" w:rsidRPr="00A578E4" w:rsidRDefault="00C6535E" w:rsidP="00C33BBA">
      <w:pPr>
        <w:widowControl w:val="0"/>
        <w:spacing w:line="480" w:lineRule="auto"/>
        <w:rPr>
          <w:rFonts w:ascii="Verdana" w:hAnsi="Verdana"/>
          <w:i/>
          <w:sz w:val="20"/>
          <w:szCs w:val="20"/>
        </w:rPr>
      </w:pPr>
      <w:r w:rsidRPr="00A578E4">
        <w:rPr>
          <w:rFonts w:ascii="Verdana" w:hAnsi="Verdana"/>
          <w:i/>
          <w:sz w:val="20"/>
          <w:szCs w:val="20"/>
        </w:rPr>
        <w:lastRenderedPageBreak/>
        <w:t>Social and financial circumstances</w:t>
      </w:r>
    </w:p>
    <w:p w14:paraId="4405FA18" w14:textId="0A5D42EA" w:rsidR="00C6535E" w:rsidRDefault="00C6535E" w:rsidP="00C33BBA">
      <w:pPr>
        <w:widowControl w:val="0"/>
        <w:spacing w:line="480" w:lineRule="auto"/>
        <w:rPr>
          <w:rFonts w:ascii="Verdana" w:hAnsi="Verdana"/>
          <w:sz w:val="20"/>
          <w:szCs w:val="20"/>
        </w:rPr>
      </w:pPr>
      <w:r>
        <w:rPr>
          <w:rFonts w:ascii="Verdana" w:hAnsi="Verdana"/>
          <w:sz w:val="20"/>
          <w:szCs w:val="20"/>
        </w:rPr>
        <w:t>Affordability of retirement, family circums</w:t>
      </w:r>
      <w:r w:rsidR="003E1134">
        <w:rPr>
          <w:rFonts w:ascii="Verdana" w:hAnsi="Verdana"/>
          <w:sz w:val="20"/>
          <w:szCs w:val="20"/>
        </w:rPr>
        <w:t>tances, outside interests, caring</w:t>
      </w:r>
      <w:r>
        <w:rPr>
          <w:rFonts w:ascii="Verdana" w:hAnsi="Verdana"/>
          <w:sz w:val="20"/>
          <w:szCs w:val="20"/>
        </w:rPr>
        <w:t xml:space="preserve"> commitments and various other social and financial </w:t>
      </w:r>
      <w:r w:rsidR="00A578E4">
        <w:rPr>
          <w:rFonts w:ascii="Verdana" w:hAnsi="Verdana"/>
          <w:sz w:val="20"/>
          <w:szCs w:val="20"/>
        </w:rPr>
        <w:t xml:space="preserve">factors are liable to weigh in people’s retirement planning. The HEAF questionnaire will allow us to identify those who live alone or have </w:t>
      </w:r>
      <w:r w:rsidR="003E1134">
        <w:rPr>
          <w:rFonts w:ascii="Verdana" w:hAnsi="Verdana"/>
          <w:sz w:val="20"/>
          <w:szCs w:val="20"/>
        </w:rPr>
        <w:t>no partner, those who have caring</w:t>
      </w:r>
      <w:r w:rsidR="00A578E4">
        <w:rPr>
          <w:rFonts w:ascii="Verdana" w:hAnsi="Verdana"/>
          <w:sz w:val="20"/>
          <w:szCs w:val="20"/>
        </w:rPr>
        <w:t xml:space="preserve"> and non-paid voluntary commitments, or leisure pursuits, those who are the main household bread winners, and those who have others who are financially dependent on them. Questions on home ownership, on how well a person manages financially, and on the affordability of desired purchases provide a broad indication of current financial status; further questions</w:t>
      </w:r>
      <w:r w:rsidR="00740D10">
        <w:rPr>
          <w:rFonts w:ascii="Verdana" w:hAnsi="Verdana"/>
          <w:sz w:val="20"/>
          <w:szCs w:val="20"/>
        </w:rPr>
        <w:t xml:space="preserve"> concern</w:t>
      </w:r>
      <w:r w:rsidR="003E1134">
        <w:rPr>
          <w:rFonts w:ascii="Verdana" w:hAnsi="Verdana"/>
          <w:sz w:val="20"/>
          <w:szCs w:val="20"/>
        </w:rPr>
        <w:t>ed</w:t>
      </w:r>
      <w:r w:rsidR="00740D10">
        <w:rPr>
          <w:rFonts w:ascii="Verdana" w:hAnsi="Verdana"/>
          <w:sz w:val="20"/>
          <w:szCs w:val="20"/>
        </w:rPr>
        <w:t xml:space="preserve"> </w:t>
      </w:r>
      <w:r w:rsidR="00A578E4">
        <w:rPr>
          <w:rFonts w:ascii="Verdana" w:hAnsi="Verdana"/>
          <w:sz w:val="20"/>
          <w:szCs w:val="20"/>
        </w:rPr>
        <w:t>current and expected pension benefits and relative income in retirement</w:t>
      </w:r>
      <w:r w:rsidR="0009762D">
        <w:rPr>
          <w:rFonts w:ascii="Verdana" w:hAnsi="Verdana"/>
          <w:sz w:val="20"/>
          <w:szCs w:val="20"/>
        </w:rPr>
        <w:t>.</w:t>
      </w:r>
    </w:p>
    <w:p w14:paraId="24C61A85" w14:textId="77777777" w:rsidR="00C6535E" w:rsidRDefault="00C6535E" w:rsidP="00C33BBA">
      <w:pPr>
        <w:widowControl w:val="0"/>
        <w:spacing w:line="480" w:lineRule="auto"/>
        <w:rPr>
          <w:rFonts w:ascii="Verdana" w:hAnsi="Verdana"/>
          <w:sz w:val="20"/>
          <w:szCs w:val="20"/>
        </w:rPr>
      </w:pPr>
    </w:p>
    <w:p w14:paraId="0387E93F" w14:textId="77777777" w:rsidR="00A769CB" w:rsidRPr="00A769CB" w:rsidRDefault="00A769CB" w:rsidP="00C33BBA">
      <w:pPr>
        <w:widowControl w:val="0"/>
        <w:spacing w:line="480" w:lineRule="auto"/>
        <w:rPr>
          <w:rFonts w:ascii="Verdana" w:hAnsi="Verdana"/>
          <w:b/>
          <w:sz w:val="20"/>
          <w:szCs w:val="20"/>
        </w:rPr>
      </w:pPr>
      <w:r w:rsidRPr="00A769CB">
        <w:rPr>
          <w:rFonts w:ascii="Verdana" w:hAnsi="Verdana"/>
          <w:b/>
          <w:sz w:val="20"/>
          <w:szCs w:val="20"/>
        </w:rPr>
        <w:t>Follow-up</w:t>
      </w:r>
    </w:p>
    <w:p w14:paraId="100BC073" w14:textId="61FD936F" w:rsidR="001432D8" w:rsidRDefault="00963C28" w:rsidP="00C33BBA">
      <w:pPr>
        <w:widowControl w:val="0"/>
        <w:spacing w:line="480" w:lineRule="auto"/>
        <w:rPr>
          <w:rFonts w:ascii="Verdana" w:hAnsi="Verdana"/>
          <w:sz w:val="20"/>
          <w:szCs w:val="20"/>
        </w:rPr>
      </w:pPr>
      <w:r>
        <w:rPr>
          <w:rFonts w:ascii="Verdana" w:hAnsi="Verdana"/>
          <w:sz w:val="20"/>
          <w:szCs w:val="20"/>
        </w:rPr>
        <w:t>S</w:t>
      </w:r>
      <w:r w:rsidR="00A769CB" w:rsidRPr="00F76CB9">
        <w:rPr>
          <w:rFonts w:ascii="Verdana" w:hAnsi="Verdana"/>
          <w:sz w:val="20"/>
          <w:szCs w:val="20"/>
        </w:rPr>
        <w:t xml:space="preserve">ubjects </w:t>
      </w:r>
      <w:r>
        <w:rPr>
          <w:rFonts w:ascii="Verdana" w:hAnsi="Verdana"/>
          <w:sz w:val="20"/>
          <w:szCs w:val="20"/>
        </w:rPr>
        <w:t>are</w:t>
      </w:r>
      <w:r w:rsidR="001C1C43">
        <w:rPr>
          <w:rFonts w:ascii="Verdana" w:hAnsi="Verdana"/>
          <w:sz w:val="20"/>
          <w:szCs w:val="20"/>
        </w:rPr>
        <w:t xml:space="preserve"> </w:t>
      </w:r>
      <w:r w:rsidR="00A769CB">
        <w:rPr>
          <w:rFonts w:ascii="Verdana" w:hAnsi="Verdana"/>
          <w:sz w:val="20"/>
          <w:szCs w:val="20"/>
        </w:rPr>
        <w:t xml:space="preserve">being </w:t>
      </w:r>
      <w:r w:rsidR="00A769CB" w:rsidRPr="00F76CB9">
        <w:rPr>
          <w:rFonts w:ascii="Verdana" w:hAnsi="Verdana"/>
          <w:sz w:val="20"/>
          <w:szCs w:val="20"/>
        </w:rPr>
        <w:t>follow</w:t>
      </w:r>
      <w:r w:rsidR="00A769CB">
        <w:rPr>
          <w:rFonts w:ascii="Verdana" w:hAnsi="Verdana"/>
          <w:sz w:val="20"/>
          <w:szCs w:val="20"/>
        </w:rPr>
        <w:t>ed</w:t>
      </w:r>
      <w:r w:rsidR="00A769CB" w:rsidRPr="00F76CB9">
        <w:rPr>
          <w:rFonts w:ascii="Verdana" w:hAnsi="Verdana"/>
          <w:sz w:val="20"/>
          <w:szCs w:val="20"/>
        </w:rPr>
        <w:t xml:space="preserve">-up </w:t>
      </w:r>
      <w:r w:rsidR="00740D10">
        <w:rPr>
          <w:rFonts w:ascii="Verdana" w:hAnsi="Verdana"/>
          <w:sz w:val="20"/>
          <w:szCs w:val="20"/>
        </w:rPr>
        <w:t>regularly</w:t>
      </w:r>
      <w:r>
        <w:rPr>
          <w:rFonts w:ascii="Verdana" w:hAnsi="Verdana"/>
          <w:sz w:val="20"/>
          <w:szCs w:val="20"/>
        </w:rPr>
        <w:t xml:space="preserve">, </w:t>
      </w:r>
      <w:r w:rsidR="00A769CB">
        <w:rPr>
          <w:rFonts w:ascii="Verdana" w:hAnsi="Verdana"/>
          <w:sz w:val="20"/>
          <w:szCs w:val="20"/>
        </w:rPr>
        <w:t xml:space="preserve">for </w:t>
      </w:r>
      <w:r w:rsidR="001C1C43">
        <w:rPr>
          <w:rFonts w:ascii="Verdana" w:hAnsi="Verdana"/>
          <w:sz w:val="20"/>
          <w:szCs w:val="20"/>
        </w:rPr>
        <w:t>five</w:t>
      </w:r>
      <w:r w:rsidR="00A769CB">
        <w:rPr>
          <w:rFonts w:ascii="Verdana" w:hAnsi="Verdana"/>
          <w:sz w:val="20"/>
          <w:szCs w:val="20"/>
        </w:rPr>
        <w:t xml:space="preserve"> years initially</w:t>
      </w:r>
      <w:r>
        <w:rPr>
          <w:rFonts w:ascii="Verdana" w:hAnsi="Verdana"/>
          <w:sz w:val="20"/>
          <w:szCs w:val="20"/>
        </w:rPr>
        <w:t>,</w:t>
      </w:r>
      <w:r w:rsidR="001C1C43">
        <w:rPr>
          <w:rFonts w:ascii="Verdana" w:hAnsi="Verdana"/>
          <w:sz w:val="20"/>
          <w:szCs w:val="20"/>
        </w:rPr>
        <w:t xml:space="preserve"> </w:t>
      </w:r>
      <w:r w:rsidR="00A769CB">
        <w:rPr>
          <w:rFonts w:ascii="Verdana" w:hAnsi="Verdana"/>
          <w:sz w:val="20"/>
          <w:szCs w:val="20"/>
        </w:rPr>
        <w:t>with</w:t>
      </w:r>
      <w:r w:rsidR="00A769CB" w:rsidRPr="00F76CB9">
        <w:rPr>
          <w:rFonts w:ascii="Verdana" w:hAnsi="Verdana"/>
          <w:sz w:val="20"/>
          <w:szCs w:val="20"/>
        </w:rPr>
        <w:t xml:space="preserve"> a </w:t>
      </w:r>
      <w:r w:rsidR="00A769CB">
        <w:rPr>
          <w:rFonts w:ascii="Verdana" w:hAnsi="Verdana"/>
          <w:sz w:val="20"/>
          <w:szCs w:val="20"/>
        </w:rPr>
        <w:t>briefer postal</w:t>
      </w:r>
      <w:r w:rsidR="00A769CB" w:rsidRPr="00F76CB9">
        <w:rPr>
          <w:rFonts w:ascii="Verdana" w:hAnsi="Verdana"/>
          <w:sz w:val="20"/>
          <w:szCs w:val="20"/>
        </w:rPr>
        <w:t xml:space="preserve"> </w:t>
      </w:r>
      <w:r w:rsidR="00A769CB">
        <w:rPr>
          <w:rFonts w:ascii="Verdana" w:hAnsi="Verdana"/>
          <w:sz w:val="20"/>
          <w:szCs w:val="20"/>
        </w:rPr>
        <w:t>questionnaire</w:t>
      </w:r>
      <w:r w:rsidR="001C1C43">
        <w:rPr>
          <w:rFonts w:ascii="Verdana" w:hAnsi="Verdana"/>
          <w:sz w:val="20"/>
          <w:szCs w:val="20"/>
        </w:rPr>
        <w:t xml:space="preserve"> (</w:t>
      </w:r>
      <w:r w:rsidR="00A769CB">
        <w:rPr>
          <w:rFonts w:ascii="Verdana" w:hAnsi="Verdana"/>
          <w:sz w:val="20"/>
          <w:szCs w:val="20"/>
        </w:rPr>
        <w:t>Appendix 2)</w:t>
      </w:r>
      <w:r>
        <w:rPr>
          <w:rFonts w:ascii="Verdana" w:hAnsi="Verdana"/>
          <w:sz w:val="20"/>
          <w:szCs w:val="20"/>
        </w:rPr>
        <w:t>. This is</w:t>
      </w:r>
      <w:r w:rsidR="00A769CB">
        <w:rPr>
          <w:rFonts w:ascii="Verdana" w:hAnsi="Verdana"/>
          <w:sz w:val="20"/>
          <w:szCs w:val="20"/>
        </w:rPr>
        <w:t xml:space="preserve"> aimed at </w:t>
      </w:r>
      <w:r w:rsidR="001432D8" w:rsidRPr="00F76CB9">
        <w:rPr>
          <w:rFonts w:ascii="Verdana" w:hAnsi="Verdana"/>
          <w:sz w:val="20"/>
          <w:szCs w:val="20"/>
        </w:rPr>
        <w:t>assess</w:t>
      </w:r>
      <w:r w:rsidR="00A769CB">
        <w:rPr>
          <w:rFonts w:ascii="Verdana" w:hAnsi="Verdana"/>
          <w:sz w:val="20"/>
          <w:szCs w:val="20"/>
        </w:rPr>
        <w:t>ing</w:t>
      </w:r>
      <w:r>
        <w:rPr>
          <w:rFonts w:ascii="Verdana" w:hAnsi="Verdana"/>
          <w:sz w:val="20"/>
          <w:szCs w:val="20"/>
        </w:rPr>
        <w:t xml:space="preserve"> changes from baseline in: </w:t>
      </w:r>
      <w:r w:rsidR="001432D8" w:rsidRPr="00F76CB9">
        <w:rPr>
          <w:rFonts w:ascii="Verdana" w:hAnsi="Verdana"/>
          <w:sz w:val="20"/>
          <w:szCs w:val="20"/>
        </w:rPr>
        <w:t>job circumstances, with reasons (</w:t>
      </w:r>
      <w:r w:rsidR="00A769CB">
        <w:rPr>
          <w:rFonts w:ascii="Verdana" w:hAnsi="Verdana"/>
          <w:sz w:val="20"/>
          <w:szCs w:val="20"/>
        </w:rPr>
        <w:t xml:space="preserve">e.g. </w:t>
      </w:r>
      <w:r w:rsidR="001432D8" w:rsidRPr="00F76CB9">
        <w:rPr>
          <w:rFonts w:ascii="Verdana" w:hAnsi="Verdana"/>
          <w:sz w:val="20"/>
          <w:szCs w:val="20"/>
        </w:rPr>
        <w:t>job loss, new job, job modification, for healt</w:t>
      </w:r>
      <w:r>
        <w:rPr>
          <w:rFonts w:ascii="Verdana" w:hAnsi="Verdana"/>
          <w:sz w:val="20"/>
          <w:szCs w:val="20"/>
        </w:rPr>
        <w:t xml:space="preserve">h-related or other reasons); </w:t>
      </w:r>
      <w:r w:rsidR="001432D8" w:rsidRPr="00F76CB9">
        <w:rPr>
          <w:rFonts w:ascii="Verdana" w:hAnsi="Verdana"/>
          <w:sz w:val="20"/>
          <w:szCs w:val="20"/>
        </w:rPr>
        <w:t xml:space="preserve">health (e.g. </w:t>
      </w:r>
      <w:r w:rsidRPr="00F76CB9">
        <w:rPr>
          <w:rFonts w:ascii="Verdana" w:hAnsi="Verdana"/>
          <w:sz w:val="20"/>
          <w:szCs w:val="20"/>
        </w:rPr>
        <w:t>changes in SRH, BSI, CES-D</w:t>
      </w:r>
      <w:r w:rsidR="004A564B">
        <w:rPr>
          <w:rFonts w:ascii="Verdana" w:hAnsi="Verdana"/>
          <w:sz w:val="20"/>
          <w:szCs w:val="20"/>
        </w:rPr>
        <w:t xml:space="preserve">, MWBS, frailty, </w:t>
      </w:r>
      <w:r w:rsidR="00D17EA6">
        <w:rPr>
          <w:rFonts w:ascii="Verdana" w:hAnsi="Verdana"/>
          <w:sz w:val="20"/>
          <w:szCs w:val="20"/>
        </w:rPr>
        <w:t>memory</w:t>
      </w:r>
      <w:r w:rsidR="001432D8" w:rsidRPr="00F76CB9">
        <w:rPr>
          <w:rFonts w:ascii="Verdana" w:hAnsi="Verdana"/>
          <w:sz w:val="20"/>
          <w:szCs w:val="20"/>
        </w:rPr>
        <w:t xml:space="preserve">); </w:t>
      </w:r>
      <w:r w:rsidR="001432D8">
        <w:rPr>
          <w:rFonts w:ascii="Verdana" w:hAnsi="Verdana"/>
          <w:sz w:val="20"/>
          <w:szCs w:val="20"/>
        </w:rPr>
        <w:t xml:space="preserve">and </w:t>
      </w:r>
      <w:r w:rsidR="001432D8" w:rsidRPr="00F76CB9">
        <w:rPr>
          <w:rFonts w:ascii="Verdana" w:hAnsi="Verdana"/>
          <w:sz w:val="20"/>
          <w:szCs w:val="20"/>
        </w:rPr>
        <w:t>attitudes towards retirement (including tho</w:t>
      </w:r>
      <w:r w:rsidR="001432D8">
        <w:rPr>
          <w:rFonts w:ascii="Verdana" w:hAnsi="Verdana"/>
          <w:sz w:val="20"/>
          <w:szCs w:val="20"/>
        </w:rPr>
        <w:t>se modified by spouse’s health and employment)</w:t>
      </w:r>
      <w:r w:rsidR="001432D8" w:rsidRPr="00F76CB9">
        <w:rPr>
          <w:rFonts w:ascii="Verdana" w:hAnsi="Verdana"/>
          <w:sz w:val="20"/>
          <w:szCs w:val="20"/>
        </w:rPr>
        <w:t>.</w:t>
      </w:r>
      <w:r w:rsidR="005C634C">
        <w:rPr>
          <w:rFonts w:ascii="Verdana" w:hAnsi="Verdana"/>
          <w:sz w:val="20"/>
          <w:szCs w:val="20"/>
        </w:rPr>
        <w:t xml:space="preserve"> </w:t>
      </w:r>
      <w:r w:rsidR="003E1134">
        <w:rPr>
          <w:rFonts w:ascii="Verdana" w:hAnsi="Verdana"/>
          <w:sz w:val="20"/>
          <w:szCs w:val="20"/>
        </w:rPr>
        <w:t>Additional f</w:t>
      </w:r>
      <w:r w:rsidR="002839DD">
        <w:rPr>
          <w:rFonts w:ascii="Verdana" w:hAnsi="Verdana"/>
          <w:sz w:val="20"/>
          <w:szCs w:val="20"/>
        </w:rPr>
        <w:t xml:space="preserve">ollow-up information on </w:t>
      </w:r>
      <w:r w:rsidR="002839DD" w:rsidRPr="00F76CB9">
        <w:rPr>
          <w:rFonts w:ascii="Verdana" w:hAnsi="Verdana"/>
          <w:sz w:val="20"/>
          <w:szCs w:val="20"/>
        </w:rPr>
        <w:t>hospital referrals</w:t>
      </w:r>
      <w:r w:rsidR="002839DD">
        <w:rPr>
          <w:rFonts w:ascii="Verdana" w:hAnsi="Verdana"/>
          <w:sz w:val="20"/>
          <w:szCs w:val="20"/>
        </w:rPr>
        <w:t>, new diagnoses, new treatments and</w:t>
      </w:r>
      <w:r w:rsidR="002839DD" w:rsidRPr="00F76CB9">
        <w:rPr>
          <w:rFonts w:ascii="Verdana" w:hAnsi="Verdana"/>
          <w:sz w:val="20"/>
          <w:szCs w:val="20"/>
        </w:rPr>
        <w:t xml:space="preserve"> </w:t>
      </w:r>
      <w:r w:rsidR="002839DD">
        <w:rPr>
          <w:rFonts w:ascii="Verdana" w:hAnsi="Verdana"/>
          <w:sz w:val="20"/>
          <w:szCs w:val="20"/>
        </w:rPr>
        <w:t xml:space="preserve">new workplace injuries will come from CPRD files, by record linkage. </w:t>
      </w:r>
    </w:p>
    <w:p w14:paraId="2DE2B5D9" w14:textId="77777777" w:rsidR="001432D8" w:rsidRDefault="001432D8" w:rsidP="00C33BBA">
      <w:pPr>
        <w:widowControl w:val="0"/>
        <w:spacing w:line="480" w:lineRule="auto"/>
        <w:rPr>
          <w:rFonts w:ascii="Verdana" w:hAnsi="Verdana"/>
          <w:sz w:val="20"/>
        </w:rPr>
      </w:pPr>
    </w:p>
    <w:p w14:paraId="6D6716E7" w14:textId="77777777" w:rsidR="00A769CB" w:rsidRPr="00A769CB" w:rsidRDefault="00A769CB" w:rsidP="00C33BBA">
      <w:pPr>
        <w:widowControl w:val="0"/>
        <w:spacing w:line="480" w:lineRule="auto"/>
        <w:rPr>
          <w:rFonts w:ascii="Verdana" w:hAnsi="Verdana"/>
          <w:b/>
          <w:sz w:val="20"/>
          <w:szCs w:val="20"/>
        </w:rPr>
      </w:pPr>
      <w:r>
        <w:rPr>
          <w:rFonts w:ascii="Verdana" w:hAnsi="Verdana"/>
          <w:b/>
          <w:sz w:val="20"/>
          <w:szCs w:val="20"/>
        </w:rPr>
        <w:t xml:space="preserve">CPRD-linked </w:t>
      </w:r>
      <w:r w:rsidRPr="00A769CB">
        <w:rPr>
          <w:rFonts w:ascii="Verdana" w:hAnsi="Verdana"/>
          <w:b/>
          <w:sz w:val="20"/>
          <w:szCs w:val="20"/>
        </w:rPr>
        <w:t>data</w:t>
      </w:r>
    </w:p>
    <w:p w14:paraId="26E68A4A" w14:textId="5CACCB01" w:rsidR="001432D8" w:rsidRDefault="007B434F" w:rsidP="00C33BBA">
      <w:pPr>
        <w:widowControl w:val="0"/>
        <w:spacing w:line="480" w:lineRule="auto"/>
        <w:rPr>
          <w:rFonts w:ascii="Verdana" w:hAnsi="Verdana"/>
          <w:sz w:val="20"/>
          <w:szCs w:val="20"/>
        </w:rPr>
      </w:pPr>
      <w:r>
        <w:rPr>
          <w:rFonts w:ascii="Verdana" w:hAnsi="Verdana"/>
          <w:sz w:val="20"/>
          <w:szCs w:val="20"/>
        </w:rPr>
        <w:t>The C</w:t>
      </w:r>
      <w:r w:rsidR="001432D8" w:rsidRPr="00F76CB9">
        <w:rPr>
          <w:rFonts w:ascii="Verdana" w:hAnsi="Verdana"/>
          <w:sz w:val="20"/>
          <w:szCs w:val="20"/>
        </w:rPr>
        <w:t xml:space="preserve">PRD </w:t>
      </w:r>
      <w:r w:rsidR="00963C28">
        <w:rPr>
          <w:rFonts w:ascii="Verdana" w:hAnsi="Verdana"/>
          <w:sz w:val="20"/>
          <w:szCs w:val="20"/>
        </w:rPr>
        <w:t>records of participants</w:t>
      </w:r>
      <w:r w:rsidR="001432D8" w:rsidRPr="00F76CB9">
        <w:rPr>
          <w:rFonts w:ascii="Verdana" w:hAnsi="Verdana"/>
          <w:sz w:val="20"/>
          <w:szCs w:val="20"/>
        </w:rPr>
        <w:t xml:space="preserve"> </w:t>
      </w:r>
      <w:r w:rsidR="00963C28">
        <w:rPr>
          <w:rFonts w:ascii="Verdana" w:hAnsi="Verdana"/>
          <w:sz w:val="20"/>
          <w:szCs w:val="20"/>
        </w:rPr>
        <w:t>offer a</w:t>
      </w:r>
      <w:r w:rsidR="00A769CB">
        <w:rPr>
          <w:rFonts w:ascii="Verdana" w:hAnsi="Verdana"/>
          <w:sz w:val="20"/>
          <w:szCs w:val="20"/>
        </w:rPr>
        <w:t xml:space="preserve"> </w:t>
      </w:r>
      <w:r w:rsidR="003E1134">
        <w:rPr>
          <w:rFonts w:ascii="Verdana" w:hAnsi="Verdana"/>
          <w:sz w:val="20"/>
          <w:szCs w:val="20"/>
        </w:rPr>
        <w:t>complementary</w:t>
      </w:r>
      <w:r w:rsidR="001432D8" w:rsidRPr="00F76CB9">
        <w:rPr>
          <w:rFonts w:ascii="Verdana" w:hAnsi="Verdana"/>
          <w:sz w:val="20"/>
          <w:szCs w:val="20"/>
        </w:rPr>
        <w:t xml:space="preserve"> source of information on health</w:t>
      </w:r>
      <w:r w:rsidR="001432D8">
        <w:rPr>
          <w:rFonts w:ascii="Verdana" w:hAnsi="Verdana"/>
          <w:sz w:val="20"/>
          <w:szCs w:val="20"/>
        </w:rPr>
        <w:t xml:space="preserve"> at baseline and follow-up</w:t>
      </w:r>
      <w:r w:rsidR="001432D8" w:rsidRPr="00F76CB9">
        <w:rPr>
          <w:rFonts w:ascii="Verdana" w:hAnsi="Verdana"/>
          <w:sz w:val="20"/>
          <w:szCs w:val="20"/>
        </w:rPr>
        <w:t xml:space="preserve">. </w:t>
      </w:r>
      <w:r w:rsidR="001432D8">
        <w:rPr>
          <w:rFonts w:ascii="Verdana" w:hAnsi="Verdana"/>
          <w:sz w:val="20"/>
        </w:rPr>
        <w:t>Taking musculoskeletal and me</w:t>
      </w:r>
      <w:r w:rsidR="00BB3D80">
        <w:rPr>
          <w:rFonts w:ascii="Verdana" w:hAnsi="Verdana"/>
          <w:sz w:val="20"/>
        </w:rPr>
        <w:t>n</w:t>
      </w:r>
      <w:r w:rsidR="001432D8">
        <w:rPr>
          <w:rFonts w:ascii="Verdana" w:hAnsi="Verdana"/>
          <w:sz w:val="20"/>
        </w:rPr>
        <w:t>tal health problems as examples:</w:t>
      </w:r>
      <w:r w:rsidR="001432D8" w:rsidRPr="002A73D6">
        <w:rPr>
          <w:rFonts w:ascii="Verdana" w:hAnsi="Verdana"/>
          <w:sz w:val="20"/>
          <w:szCs w:val="20"/>
        </w:rPr>
        <w:t xml:space="preserve"> </w:t>
      </w:r>
      <w:r w:rsidR="001432D8">
        <w:rPr>
          <w:rFonts w:ascii="Verdana" w:hAnsi="Verdana"/>
          <w:sz w:val="20"/>
          <w:szCs w:val="20"/>
        </w:rPr>
        <w:t>c</w:t>
      </w:r>
      <w:r w:rsidR="001432D8" w:rsidRPr="00F76CB9">
        <w:rPr>
          <w:rFonts w:ascii="Verdana" w:hAnsi="Verdana"/>
          <w:sz w:val="20"/>
          <w:szCs w:val="20"/>
        </w:rPr>
        <w:t>onsultation episodes are classified by the hierarchical Read diagnostic coding system, enabling diagnoses to</w:t>
      </w:r>
      <w:r w:rsidR="001432D8">
        <w:rPr>
          <w:rFonts w:ascii="Verdana" w:hAnsi="Verdana"/>
          <w:sz w:val="20"/>
          <w:szCs w:val="20"/>
        </w:rPr>
        <w:t xml:space="preserve"> be</w:t>
      </w:r>
      <w:r w:rsidR="001432D8" w:rsidRPr="00F76CB9">
        <w:rPr>
          <w:rFonts w:ascii="Verdana" w:hAnsi="Verdana"/>
          <w:sz w:val="20"/>
          <w:szCs w:val="20"/>
        </w:rPr>
        <w:t xml:space="preserve"> defined broadly (e.g. Read code N: Musculoskeletal and connective tissue diseases; E: Mental disorders), in fine divisions of detail (e.g. N211: rotator cuff syndrome; N143: sciatica; N2165: prepatellar bursitis; E112: major depressive episode), and where relevant in functional or symptomatic terms (e.g. N3371 complex regional pain syndrome; N131: chronic/recurrent neck pain). Similarly, </w:t>
      </w:r>
      <w:r w:rsidR="001432D8" w:rsidRPr="009116EF">
        <w:rPr>
          <w:rFonts w:ascii="Verdana" w:hAnsi="Verdana"/>
          <w:sz w:val="20"/>
          <w:szCs w:val="20"/>
        </w:rPr>
        <w:t>GPs’</w:t>
      </w:r>
      <w:r w:rsidR="001432D8" w:rsidRPr="00F76CB9">
        <w:rPr>
          <w:rFonts w:ascii="Verdana" w:hAnsi="Verdana"/>
          <w:sz w:val="20"/>
          <w:szCs w:val="20"/>
        </w:rPr>
        <w:t xml:space="preserve"> </w:t>
      </w:r>
      <w:r w:rsidR="001432D8" w:rsidRPr="00F76CB9">
        <w:rPr>
          <w:rFonts w:ascii="Verdana" w:hAnsi="Verdana"/>
          <w:sz w:val="20"/>
          <w:szCs w:val="20"/>
        </w:rPr>
        <w:lastRenderedPageBreak/>
        <w:t>prescriptions are logged using British National Formulary codes, from broad categories (e.g. 10.3: Drugs for the relief of soft-tissue inflammation) down to specific formulations, doses, and durations of treatment.</w:t>
      </w:r>
      <w:r w:rsidR="001432D8">
        <w:rPr>
          <w:rFonts w:ascii="Verdana" w:hAnsi="Verdana"/>
          <w:sz w:val="20"/>
          <w:szCs w:val="20"/>
        </w:rPr>
        <w:t xml:space="preserve"> In a separate scoping exercise, we have determined a suitable coding framework for consultations linked with injury</w:t>
      </w:r>
      <w:r w:rsidR="00C926B2">
        <w:rPr>
          <w:rFonts w:ascii="Verdana" w:hAnsi="Verdana"/>
          <w:sz w:val="20"/>
          <w:szCs w:val="20"/>
        </w:rPr>
        <w:t xml:space="preserve"> </w:t>
      </w:r>
      <w:r w:rsidR="00E07732">
        <w:rPr>
          <w:rFonts w:ascii="Verdana" w:hAnsi="Verdana"/>
          <w:sz w:val="20"/>
          <w:szCs w:val="20"/>
        </w:rPr>
        <w:t xml:space="preserve">that is likely to be occupational </w:t>
      </w:r>
      <w:r w:rsidR="00936453">
        <w:rPr>
          <w:rFonts w:ascii="Verdana" w:hAnsi="Verdana"/>
          <w:sz w:val="20"/>
          <w:szCs w:val="20"/>
        </w:rPr>
        <w:t>[</w:t>
      </w:r>
      <w:r w:rsidR="00C926B2">
        <w:rPr>
          <w:rFonts w:ascii="Verdana" w:hAnsi="Verdana"/>
          <w:sz w:val="20"/>
          <w:szCs w:val="20"/>
        </w:rPr>
        <w:t>44</w:t>
      </w:r>
      <w:r w:rsidR="00936453">
        <w:rPr>
          <w:rFonts w:ascii="Verdana" w:hAnsi="Verdana"/>
          <w:sz w:val="20"/>
          <w:szCs w:val="20"/>
        </w:rPr>
        <w:t>,45</w:t>
      </w:r>
      <w:r w:rsidR="00A769CB">
        <w:rPr>
          <w:rFonts w:ascii="Verdana" w:hAnsi="Verdana"/>
          <w:sz w:val="20"/>
          <w:szCs w:val="20"/>
        </w:rPr>
        <w:t>]</w:t>
      </w:r>
      <w:r w:rsidR="001432D8">
        <w:rPr>
          <w:rFonts w:ascii="Verdana" w:hAnsi="Verdana"/>
          <w:sz w:val="20"/>
          <w:szCs w:val="20"/>
        </w:rPr>
        <w:t>.</w:t>
      </w:r>
    </w:p>
    <w:p w14:paraId="755401C9" w14:textId="77777777" w:rsidR="001432D8" w:rsidRDefault="001432D8" w:rsidP="00C33BBA">
      <w:pPr>
        <w:widowControl w:val="0"/>
        <w:spacing w:line="480" w:lineRule="auto"/>
        <w:rPr>
          <w:rFonts w:ascii="Verdana" w:hAnsi="Verdana"/>
          <w:sz w:val="20"/>
          <w:szCs w:val="20"/>
        </w:rPr>
      </w:pPr>
    </w:p>
    <w:p w14:paraId="32D5721C" w14:textId="77777777" w:rsidR="001432D8" w:rsidRPr="00272E90" w:rsidRDefault="00A769CB" w:rsidP="00C33BBA">
      <w:pPr>
        <w:widowControl w:val="0"/>
        <w:spacing w:line="480" w:lineRule="auto"/>
        <w:rPr>
          <w:rFonts w:ascii="Verdana" w:hAnsi="Verdana"/>
          <w:sz w:val="20"/>
          <w:szCs w:val="20"/>
        </w:rPr>
      </w:pPr>
      <w:r>
        <w:rPr>
          <w:rFonts w:ascii="Verdana" w:hAnsi="Verdana"/>
          <w:sz w:val="20"/>
          <w:szCs w:val="20"/>
        </w:rPr>
        <w:t>Data linkage</w:t>
      </w:r>
      <w:r w:rsidR="001432D8" w:rsidRPr="00272E90">
        <w:rPr>
          <w:rFonts w:ascii="Verdana" w:hAnsi="Verdana"/>
          <w:sz w:val="20"/>
          <w:szCs w:val="20"/>
        </w:rPr>
        <w:t xml:space="preserve"> will focus on the follo</w:t>
      </w:r>
      <w:r w:rsidR="007B434F">
        <w:rPr>
          <w:rFonts w:ascii="Verdana" w:hAnsi="Verdana"/>
          <w:sz w:val="20"/>
          <w:szCs w:val="20"/>
        </w:rPr>
        <w:t>wing items from the C</w:t>
      </w:r>
      <w:r w:rsidR="001432D8" w:rsidRPr="00272E90">
        <w:rPr>
          <w:rFonts w:ascii="Verdana" w:hAnsi="Verdana"/>
          <w:sz w:val="20"/>
          <w:szCs w:val="20"/>
        </w:rPr>
        <w:t>PRD record (in the 12 months prior to study entry and for the duration of follow-up):</w:t>
      </w:r>
    </w:p>
    <w:p w14:paraId="418759D7"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All hospital admissions, including all discharge diagnoses and procedures</w:t>
      </w:r>
    </w:p>
    <w:p w14:paraId="008E5364"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All GP consultations for musculoskeletal disorders</w:t>
      </w:r>
      <w:r w:rsidR="00A769CB">
        <w:rPr>
          <w:rFonts w:ascii="Verdana" w:hAnsi="Verdana"/>
          <w:sz w:val="20"/>
          <w:szCs w:val="20"/>
        </w:rPr>
        <w:t xml:space="preserve"> (MSDs)</w:t>
      </w:r>
    </w:p>
    <w:p w14:paraId="6F21E556"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All GP consultations for mental health problems</w:t>
      </w:r>
    </w:p>
    <w:p w14:paraId="0268156C"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All GP consultations for asthma or COPD</w:t>
      </w:r>
    </w:p>
    <w:p w14:paraId="6E0A94F1"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All GP consultations for cardiovascular problems</w:t>
      </w:r>
    </w:p>
    <w:p w14:paraId="2700D10C"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All GP consultations for diabetes and epilepsy</w:t>
      </w:r>
    </w:p>
    <w:p w14:paraId="65608EB3"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All prescriptions related to these health problems (e.g. anxiolytics, hypnotics, sedatives, antidepressants, antipsychotics, narcotics, circulatory drugs, insulin, oral hypoglycaemics, antiepileptic medicines)</w:t>
      </w:r>
    </w:p>
    <w:p w14:paraId="444F64F5" w14:textId="44EB938A"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 xml:space="preserve">All injuries </w:t>
      </w:r>
      <w:r w:rsidR="00E07732">
        <w:rPr>
          <w:rFonts w:ascii="Verdana" w:hAnsi="Verdana"/>
          <w:sz w:val="20"/>
          <w:szCs w:val="20"/>
        </w:rPr>
        <w:t>likely to be</w:t>
      </w:r>
      <w:r w:rsidRPr="00272E90">
        <w:rPr>
          <w:rFonts w:ascii="Verdana" w:hAnsi="Verdana"/>
          <w:sz w:val="20"/>
          <w:szCs w:val="20"/>
        </w:rPr>
        <w:t xml:space="preserve"> occupatio</w:t>
      </w:r>
      <w:r w:rsidR="00E07732">
        <w:rPr>
          <w:rFonts w:ascii="Verdana" w:hAnsi="Verdana"/>
          <w:sz w:val="20"/>
          <w:szCs w:val="20"/>
        </w:rPr>
        <w:t>nal</w:t>
      </w:r>
    </w:p>
    <w:p w14:paraId="34E0F57A" w14:textId="0EA3CB1F"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Frequency of GP consultations f</w:t>
      </w:r>
      <w:r w:rsidR="00571202">
        <w:rPr>
          <w:rFonts w:ascii="Verdana" w:hAnsi="Verdana"/>
          <w:sz w:val="20"/>
          <w:szCs w:val="20"/>
        </w:rPr>
        <w:t>o</w:t>
      </w:r>
      <w:r w:rsidRPr="00272E90">
        <w:rPr>
          <w:rFonts w:ascii="Verdana" w:hAnsi="Verdana"/>
          <w:sz w:val="20"/>
          <w:szCs w:val="20"/>
        </w:rPr>
        <w:t>r all reasons combined</w:t>
      </w:r>
    </w:p>
    <w:p w14:paraId="3536276E" w14:textId="77777777" w:rsidR="001432D8" w:rsidRPr="00272E90" w:rsidRDefault="001432D8" w:rsidP="00C33BBA">
      <w:pPr>
        <w:widowControl w:val="0"/>
        <w:numPr>
          <w:ilvl w:val="0"/>
          <w:numId w:val="16"/>
        </w:numPr>
        <w:spacing w:line="480" w:lineRule="auto"/>
        <w:ind w:left="714" w:hanging="357"/>
        <w:rPr>
          <w:rFonts w:ascii="Verdana" w:hAnsi="Verdana"/>
          <w:sz w:val="20"/>
          <w:szCs w:val="20"/>
        </w:rPr>
      </w:pPr>
      <w:r w:rsidRPr="00272E90">
        <w:rPr>
          <w:rFonts w:ascii="Verdana" w:hAnsi="Verdana"/>
          <w:sz w:val="20"/>
          <w:szCs w:val="20"/>
        </w:rPr>
        <w:t>Any records of height, weight, BMI, smoking habits, alcohol consumption.</w:t>
      </w:r>
    </w:p>
    <w:p w14:paraId="79938631" w14:textId="77777777" w:rsidR="00C212E7" w:rsidRDefault="00C212E7" w:rsidP="00C33BBA">
      <w:pPr>
        <w:widowControl w:val="0"/>
        <w:spacing w:line="480" w:lineRule="auto"/>
        <w:rPr>
          <w:rFonts w:ascii="Verdana" w:hAnsi="Verdana"/>
          <w:sz w:val="20"/>
          <w:szCs w:val="20"/>
        </w:rPr>
      </w:pPr>
    </w:p>
    <w:p w14:paraId="2B9000D6" w14:textId="73B99B37" w:rsidR="00A769CB" w:rsidRPr="00A769CB" w:rsidRDefault="00E07732" w:rsidP="00C33BBA">
      <w:pPr>
        <w:widowControl w:val="0"/>
        <w:autoSpaceDE w:val="0"/>
        <w:autoSpaceDN w:val="0"/>
        <w:adjustRightInd w:val="0"/>
        <w:spacing w:line="480" w:lineRule="auto"/>
        <w:rPr>
          <w:rFonts w:ascii="Verdana" w:hAnsi="Verdana" w:cs="Arial"/>
          <w:b/>
          <w:iCs/>
          <w:sz w:val="20"/>
          <w:szCs w:val="20"/>
        </w:rPr>
      </w:pPr>
      <w:r>
        <w:rPr>
          <w:rFonts w:ascii="Verdana" w:hAnsi="Verdana" w:cs="Arial"/>
          <w:b/>
          <w:iCs/>
          <w:sz w:val="20"/>
          <w:szCs w:val="20"/>
        </w:rPr>
        <w:t>Plans for</w:t>
      </w:r>
      <w:r w:rsidR="00C3575F">
        <w:rPr>
          <w:rFonts w:ascii="Verdana" w:hAnsi="Verdana" w:cs="Arial"/>
          <w:b/>
          <w:iCs/>
          <w:sz w:val="20"/>
          <w:szCs w:val="20"/>
        </w:rPr>
        <w:t xml:space="preserve"> a</w:t>
      </w:r>
      <w:r w:rsidR="001432D8" w:rsidRPr="00A769CB">
        <w:rPr>
          <w:rFonts w:ascii="Verdana" w:hAnsi="Verdana" w:cs="Arial"/>
          <w:b/>
          <w:iCs/>
          <w:sz w:val="20"/>
          <w:szCs w:val="20"/>
        </w:rPr>
        <w:t>nalysis</w:t>
      </w:r>
    </w:p>
    <w:p w14:paraId="4E7CCF1C" w14:textId="290FCDAF" w:rsidR="001432D8" w:rsidRPr="00101B81" w:rsidRDefault="001432D8" w:rsidP="00C33BBA">
      <w:pPr>
        <w:widowControl w:val="0"/>
        <w:autoSpaceDE w:val="0"/>
        <w:autoSpaceDN w:val="0"/>
        <w:adjustRightInd w:val="0"/>
        <w:spacing w:line="480" w:lineRule="auto"/>
        <w:rPr>
          <w:rFonts w:ascii="Verdana" w:hAnsi="Verdana"/>
          <w:sz w:val="20"/>
          <w:szCs w:val="20"/>
        </w:rPr>
      </w:pPr>
      <w:r>
        <w:rPr>
          <w:rFonts w:ascii="Verdana" w:hAnsi="Verdana" w:cs="Arial"/>
          <w:sz w:val="20"/>
          <w:szCs w:val="20"/>
        </w:rPr>
        <w:t>A</w:t>
      </w:r>
      <w:r w:rsidRPr="000971B6">
        <w:rPr>
          <w:rFonts w:ascii="Verdana" w:hAnsi="Verdana" w:cs="Arial"/>
          <w:sz w:val="20"/>
          <w:szCs w:val="20"/>
        </w:rPr>
        <w:t xml:space="preserve">nalysis will </w:t>
      </w:r>
      <w:r w:rsidR="00963C28">
        <w:rPr>
          <w:rFonts w:ascii="Verdana" w:hAnsi="Verdana" w:cs="Arial"/>
          <w:sz w:val="20"/>
          <w:szCs w:val="20"/>
        </w:rPr>
        <w:t>consider</w:t>
      </w:r>
      <w:r w:rsidRPr="000971B6">
        <w:rPr>
          <w:rFonts w:ascii="Verdana" w:hAnsi="Verdana" w:cs="Arial"/>
          <w:sz w:val="20"/>
          <w:szCs w:val="20"/>
        </w:rPr>
        <w:t xml:space="preserve"> health </w:t>
      </w:r>
      <w:r>
        <w:rPr>
          <w:rFonts w:ascii="Verdana" w:hAnsi="Verdana" w:cs="Arial"/>
          <w:sz w:val="20"/>
          <w:szCs w:val="20"/>
        </w:rPr>
        <w:t>condition</w:t>
      </w:r>
      <w:r w:rsidRPr="000971B6">
        <w:rPr>
          <w:rFonts w:ascii="Verdana" w:hAnsi="Verdana" w:cs="Arial"/>
          <w:sz w:val="20"/>
          <w:szCs w:val="20"/>
        </w:rPr>
        <w:t>s</w:t>
      </w:r>
      <w:r>
        <w:rPr>
          <w:rFonts w:ascii="Verdana" w:hAnsi="Verdana" w:cs="Arial"/>
          <w:sz w:val="20"/>
          <w:szCs w:val="20"/>
        </w:rPr>
        <w:t xml:space="preserve"> </w:t>
      </w:r>
      <w:r w:rsidR="00A769CB">
        <w:rPr>
          <w:rFonts w:ascii="Verdana" w:hAnsi="Verdana" w:cs="Arial"/>
          <w:sz w:val="20"/>
          <w:szCs w:val="20"/>
        </w:rPr>
        <w:t>as predictors of work outcome (e.g.</w:t>
      </w:r>
      <w:r w:rsidRPr="000971B6">
        <w:rPr>
          <w:rFonts w:ascii="Verdana" w:hAnsi="Verdana" w:cs="Arial"/>
          <w:sz w:val="20"/>
          <w:szCs w:val="20"/>
        </w:rPr>
        <w:t xml:space="preserve"> the effect of MSDs on work capacity, employment status</w:t>
      </w:r>
      <w:r w:rsidR="00A769CB">
        <w:rPr>
          <w:rFonts w:ascii="Verdana" w:hAnsi="Verdana" w:cs="Arial"/>
          <w:sz w:val="20"/>
          <w:szCs w:val="20"/>
        </w:rPr>
        <w:t>,</w:t>
      </w:r>
      <w:r w:rsidRPr="000971B6">
        <w:rPr>
          <w:rFonts w:ascii="Verdana" w:hAnsi="Verdana" w:cs="Arial"/>
          <w:sz w:val="20"/>
          <w:szCs w:val="20"/>
        </w:rPr>
        <w:t xml:space="preserve"> </w:t>
      </w:r>
      <w:r w:rsidR="00963C28">
        <w:rPr>
          <w:rFonts w:ascii="Verdana" w:hAnsi="Verdana" w:cs="Arial"/>
          <w:sz w:val="20"/>
          <w:szCs w:val="20"/>
        </w:rPr>
        <w:t>and job retention);</w:t>
      </w:r>
      <w:r>
        <w:rPr>
          <w:rFonts w:ascii="Verdana" w:hAnsi="Verdana" w:cs="Arial"/>
          <w:sz w:val="20"/>
          <w:szCs w:val="20"/>
        </w:rPr>
        <w:t xml:space="preserve"> </w:t>
      </w:r>
      <w:r w:rsidR="00963C28">
        <w:rPr>
          <w:rFonts w:ascii="Verdana" w:hAnsi="Verdana" w:cs="Arial"/>
          <w:sz w:val="20"/>
          <w:szCs w:val="20"/>
        </w:rPr>
        <w:t>a</w:t>
      </w:r>
      <w:r>
        <w:rPr>
          <w:rFonts w:ascii="Verdana" w:hAnsi="Verdana" w:cs="Arial"/>
          <w:sz w:val="20"/>
          <w:szCs w:val="20"/>
        </w:rPr>
        <w:t xml:space="preserve">lso, </w:t>
      </w:r>
      <w:r w:rsidRPr="000971B6">
        <w:rPr>
          <w:rFonts w:ascii="Verdana" w:hAnsi="Verdana" w:cs="Arial"/>
          <w:sz w:val="20"/>
          <w:szCs w:val="20"/>
        </w:rPr>
        <w:t>as t</w:t>
      </w:r>
      <w:r w:rsidR="000D3A9A">
        <w:rPr>
          <w:rFonts w:ascii="Verdana" w:hAnsi="Verdana" w:cs="Arial"/>
          <w:sz w:val="20"/>
          <w:szCs w:val="20"/>
        </w:rPr>
        <w:t xml:space="preserve">he timing of events within the </w:t>
      </w:r>
      <w:r w:rsidRPr="000971B6">
        <w:rPr>
          <w:rFonts w:ascii="Verdana" w:hAnsi="Verdana" w:cs="Arial"/>
          <w:sz w:val="20"/>
          <w:szCs w:val="20"/>
        </w:rPr>
        <w:t xml:space="preserve">database is recorded </w:t>
      </w:r>
      <w:r>
        <w:rPr>
          <w:rFonts w:ascii="Verdana" w:hAnsi="Verdana" w:cs="Arial"/>
          <w:sz w:val="20"/>
          <w:szCs w:val="20"/>
        </w:rPr>
        <w:t>for</w:t>
      </w:r>
      <w:r w:rsidRPr="000971B6">
        <w:rPr>
          <w:rFonts w:ascii="Verdana" w:hAnsi="Verdana" w:cs="Arial"/>
          <w:sz w:val="20"/>
          <w:szCs w:val="20"/>
        </w:rPr>
        <w:t xml:space="preserve"> ill-</w:t>
      </w:r>
      <w:r>
        <w:rPr>
          <w:rFonts w:ascii="Verdana" w:hAnsi="Verdana" w:cs="Arial"/>
          <w:sz w:val="20"/>
          <w:szCs w:val="20"/>
        </w:rPr>
        <w:t xml:space="preserve">health classified across a </w:t>
      </w:r>
      <w:r w:rsidR="00101B81">
        <w:rPr>
          <w:rFonts w:ascii="Verdana" w:hAnsi="Verdana" w:cs="Arial"/>
          <w:sz w:val="20"/>
          <w:szCs w:val="20"/>
        </w:rPr>
        <w:t>broad range</w:t>
      </w:r>
      <w:r w:rsidRPr="000971B6">
        <w:rPr>
          <w:rFonts w:ascii="Verdana" w:hAnsi="Verdana" w:cs="Arial"/>
          <w:sz w:val="20"/>
          <w:szCs w:val="20"/>
        </w:rPr>
        <w:t xml:space="preserve"> </w:t>
      </w:r>
      <w:r>
        <w:rPr>
          <w:rFonts w:ascii="Verdana" w:hAnsi="Verdana" w:cs="Arial"/>
          <w:sz w:val="20"/>
          <w:szCs w:val="20"/>
        </w:rPr>
        <w:t xml:space="preserve">of diagnoses, </w:t>
      </w:r>
      <w:r w:rsidRPr="000971B6">
        <w:rPr>
          <w:rFonts w:ascii="Verdana" w:hAnsi="Verdana" w:cs="Arial"/>
          <w:sz w:val="20"/>
          <w:szCs w:val="20"/>
        </w:rPr>
        <w:t>more complex causal chain</w:t>
      </w:r>
      <w:r w:rsidR="00963C28">
        <w:rPr>
          <w:rFonts w:ascii="Verdana" w:hAnsi="Verdana" w:cs="Arial"/>
          <w:sz w:val="20"/>
          <w:szCs w:val="20"/>
        </w:rPr>
        <w:t>s can be examined</w:t>
      </w:r>
      <w:r>
        <w:rPr>
          <w:rFonts w:ascii="Verdana" w:hAnsi="Verdana" w:cs="Arial"/>
          <w:sz w:val="20"/>
          <w:szCs w:val="20"/>
        </w:rPr>
        <w:t xml:space="preserve"> such as the impact </w:t>
      </w:r>
      <w:r w:rsidRPr="000971B6">
        <w:rPr>
          <w:rFonts w:ascii="Verdana" w:hAnsi="Verdana" w:cs="Arial"/>
          <w:sz w:val="20"/>
          <w:szCs w:val="20"/>
        </w:rPr>
        <w:t xml:space="preserve">that </w:t>
      </w:r>
      <w:r w:rsidRPr="009116EF">
        <w:rPr>
          <w:rFonts w:ascii="Verdana" w:hAnsi="Verdana" w:cs="Arial"/>
          <w:sz w:val="20"/>
          <w:szCs w:val="20"/>
        </w:rPr>
        <w:t>MSD-</w:t>
      </w:r>
      <w:r w:rsidRPr="000971B6">
        <w:rPr>
          <w:rFonts w:ascii="Verdana" w:hAnsi="Verdana" w:cs="Arial"/>
          <w:sz w:val="20"/>
          <w:szCs w:val="20"/>
        </w:rPr>
        <w:t>related</w:t>
      </w:r>
      <w:r>
        <w:rPr>
          <w:rFonts w:ascii="Verdana" w:hAnsi="Verdana" w:cs="Arial"/>
          <w:sz w:val="20"/>
          <w:szCs w:val="20"/>
        </w:rPr>
        <w:t xml:space="preserve"> job loss </w:t>
      </w:r>
      <w:r w:rsidRPr="000971B6">
        <w:rPr>
          <w:rFonts w:ascii="Verdana" w:hAnsi="Verdana" w:cs="Arial"/>
          <w:sz w:val="20"/>
          <w:szCs w:val="20"/>
        </w:rPr>
        <w:t>might have on subse</w:t>
      </w:r>
      <w:r>
        <w:rPr>
          <w:rFonts w:ascii="Verdana" w:hAnsi="Verdana" w:cs="Arial"/>
          <w:sz w:val="20"/>
          <w:szCs w:val="20"/>
        </w:rPr>
        <w:t xml:space="preserve">quent short-term mental health, or the impact of job loss or retention at older ages on mental health. </w:t>
      </w:r>
      <w:r w:rsidRPr="000971B6">
        <w:rPr>
          <w:rFonts w:ascii="Verdana" w:hAnsi="Verdana" w:cs="ArialMT"/>
          <w:sz w:val="20"/>
          <w:szCs w:val="20"/>
        </w:rPr>
        <w:t>Th</w:t>
      </w:r>
      <w:r>
        <w:rPr>
          <w:rFonts w:ascii="Verdana" w:hAnsi="Verdana" w:cs="ArialMT"/>
          <w:sz w:val="20"/>
          <w:szCs w:val="20"/>
        </w:rPr>
        <w:t xml:space="preserve">us, </w:t>
      </w:r>
      <w:r w:rsidR="00101B81">
        <w:rPr>
          <w:rFonts w:ascii="Verdana" w:hAnsi="Verdana"/>
          <w:sz w:val="20"/>
          <w:szCs w:val="20"/>
        </w:rPr>
        <w:t>w</w:t>
      </w:r>
      <w:r w:rsidR="00101B81" w:rsidRPr="001727C7">
        <w:rPr>
          <w:rFonts w:ascii="Verdana" w:hAnsi="Verdana"/>
          <w:sz w:val="20"/>
          <w:szCs w:val="20"/>
        </w:rPr>
        <w:t>ith health and employment assessed at various time points (T</w:t>
      </w:r>
      <w:r w:rsidR="00101B81" w:rsidRPr="001727C7">
        <w:rPr>
          <w:rFonts w:ascii="Verdana" w:hAnsi="Verdana"/>
          <w:sz w:val="20"/>
          <w:szCs w:val="20"/>
          <w:vertAlign w:val="subscript"/>
        </w:rPr>
        <w:t>1</w:t>
      </w:r>
      <w:r w:rsidR="00101B81" w:rsidRPr="001727C7">
        <w:rPr>
          <w:rFonts w:ascii="Verdana" w:hAnsi="Verdana"/>
          <w:sz w:val="20"/>
          <w:szCs w:val="20"/>
        </w:rPr>
        <w:t>, T</w:t>
      </w:r>
      <w:r w:rsidR="00101B81" w:rsidRPr="001727C7">
        <w:rPr>
          <w:rFonts w:ascii="Verdana" w:hAnsi="Verdana"/>
          <w:sz w:val="20"/>
          <w:szCs w:val="20"/>
          <w:vertAlign w:val="subscript"/>
        </w:rPr>
        <w:t>2</w:t>
      </w:r>
      <w:r w:rsidR="00101B81" w:rsidRPr="001727C7">
        <w:rPr>
          <w:rFonts w:ascii="Verdana" w:hAnsi="Verdana"/>
          <w:sz w:val="20"/>
          <w:szCs w:val="20"/>
        </w:rPr>
        <w:t>,... T</w:t>
      </w:r>
      <w:r w:rsidR="00101B81" w:rsidRPr="001727C7">
        <w:rPr>
          <w:rFonts w:ascii="Verdana" w:hAnsi="Verdana"/>
          <w:sz w:val="20"/>
          <w:szCs w:val="20"/>
          <w:vertAlign w:val="subscript"/>
        </w:rPr>
        <w:t>n</w:t>
      </w:r>
      <w:r w:rsidR="00101B81" w:rsidRPr="001727C7">
        <w:rPr>
          <w:rFonts w:ascii="Verdana" w:hAnsi="Verdana"/>
          <w:sz w:val="20"/>
          <w:szCs w:val="20"/>
        </w:rPr>
        <w:t>) and denoted at each by H</w:t>
      </w:r>
      <w:r w:rsidR="00101B81" w:rsidRPr="001727C7">
        <w:rPr>
          <w:rFonts w:ascii="Verdana" w:hAnsi="Verdana"/>
          <w:sz w:val="20"/>
          <w:szCs w:val="20"/>
          <w:vertAlign w:val="subscript"/>
        </w:rPr>
        <w:t>1</w:t>
      </w:r>
      <w:r w:rsidR="00101B81" w:rsidRPr="001727C7">
        <w:rPr>
          <w:rFonts w:ascii="Verdana" w:hAnsi="Verdana"/>
          <w:sz w:val="20"/>
          <w:szCs w:val="20"/>
        </w:rPr>
        <w:t>, H</w:t>
      </w:r>
      <w:r w:rsidR="00101B81" w:rsidRPr="001727C7">
        <w:rPr>
          <w:rFonts w:ascii="Verdana" w:hAnsi="Verdana"/>
          <w:sz w:val="20"/>
          <w:szCs w:val="20"/>
          <w:vertAlign w:val="subscript"/>
        </w:rPr>
        <w:t>2</w:t>
      </w:r>
      <w:r w:rsidR="00101B81" w:rsidRPr="001727C7">
        <w:rPr>
          <w:rFonts w:ascii="Verdana" w:hAnsi="Verdana"/>
          <w:sz w:val="20"/>
          <w:szCs w:val="20"/>
        </w:rPr>
        <w:t>..H</w:t>
      </w:r>
      <w:r w:rsidR="00101B81" w:rsidRPr="001727C7">
        <w:rPr>
          <w:rFonts w:ascii="Verdana" w:hAnsi="Verdana"/>
          <w:sz w:val="20"/>
          <w:szCs w:val="20"/>
          <w:vertAlign w:val="subscript"/>
        </w:rPr>
        <w:t>n</w:t>
      </w:r>
      <w:r w:rsidR="00101B81" w:rsidRPr="001727C7">
        <w:rPr>
          <w:rFonts w:ascii="Verdana" w:hAnsi="Verdana"/>
          <w:sz w:val="20"/>
          <w:szCs w:val="20"/>
        </w:rPr>
        <w:t xml:space="preserve"> and E</w:t>
      </w:r>
      <w:r w:rsidR="00101B81" w:rsidRPr="001727C7">
        <w:rPr>
          <w:rFonts w:ascii="Verdana" w:hAnsi="Verdana"/>
          <w:sz w:val="20"/>
          <w:szCs w:val="20"/>
          <w:vertAlign w:val="subscript"/>
        </w:rPr>
        <w:t>1</w:t>
      </w:r>
      <w:r w:rsidR="00101B81" w:rsidRPr="001727C7">
        <w:rPr>
          <w:rFonts w:ascii="Verdana" w:hAnsi="Verdana"/>
          <w:sz w:val="20"/>
          <w:szCs w:val="20"/>
        </w:rPr>
        <w:t xml:space="preserve">, </w:t>
      </w:r>
      <w:r w:rsidR="00101B81" w:rsidRPr="001727C7">
        <w:rPr>
          <w:rFonts w:ascii="Verdana" w:hAnsi="Verdana"/>
          <w:sz w:val="20"/>
          <w:szCs w:val="20"/>
        </w:rPr>
        <w:lastRenderedPageBreak/>
        <w:t>E</w:t>
      </w:r>
      <w:r w:rsidR="00101B81" w:rsidRPr="001727C7">
        <w:rPr>
          <w:rFonts w:ascii="Verdana" w:hAnsi="Verdana"/>
          <w:sz w:val="20"/>
          <w:szCs w:val="20"/>
          <w:vertAlign w:val="subscript"/>
        </w:rPr>
        <w:t>2</w:t>
      </w:r>
      <w:r w:rsidR="00101B81" w:rsidRPr="001727C7">
        <w:rPr>
          <w:rFonts w:ascii="Verdana" w:hAnsi="Verdana"/>
          <w:sz w:val="20"/>
          <w:szCs w:val="20"/>
        </w:rPr>
        <w:t>,...E</w:t>
      </w:r>
      <w:r w:rsidR="00101B81" w:rsidRPr="001727C7">
        <w:rPr>
          <w:rFonts w:ascii="Verdana" w:hAnsi="Verdana"/>
          <w:sz w:val="20"/>
          <w:szCs w:val="20"/>
          <w:vertAlign w:val="subscript"/>
        </w:rPr>
        <w:t>n</w:t>
      </w:r>
      <w:r w:rsidR="00101B81" w:rsidRPr="001727C7">
        <w:rPr>
          <w:rFonts w:ascii="Verdana" w:hAnsi="Verdana"/>
          <w:sz w:val="20"/>
          <w:szCs w:val="20"/>
        </w:rPr>
        <w:t xml:space="preserve"> respectively, or by change measures (ΔE</w:t>
      </w:r>
      <w:r w:rsidR="00101B81" w:rsidRPr="001727C7">
        <w:rPr>
          <w:rFonts w:ascii="Verdana" w:hAnsi="Verdana"/>
          <w:sz w:val="20"/>
          <w:szCs w:val="20"/>
          <w:vertAlign w:val="subscript"/>
        </w:rPr>
        <w:t>1-2</w:t>
      </w:r>
      <w:r w:rsidR="00101B81" w:rsidRPr="001727C7">
        <w:rPr>
          <w:rFonts w:ascii="Verdana" w:hAnsi="Verdana"/>
          <w:sz w:val="20"/>
          <w:szCs w:val="20"/>
        </w:rPr>
        <w:t>, ΔH</w:t>
      </w:r>
      <w:r w:rsidR="00101B81" w:rsidRPr="001727C7">
        <w:rPr>
          <w:rFonts w:ascii="Verdana" w:hAnsi="Verdana"/>
          <w:sz w:val="20"/>
          <w:szCs w:val="20"/>
          <w:vertAlign w:val="subscript"/>
        </w:rPr>
        <w:t>1-2</w:t>
      </w:r>
      <w:r w:rsidR="00101B81" w:rsidRPr="001727C7">
        <w:rPr>
          <w:rFonts w:ascii="Verdana" w:hAnsi="Verdana"/>
          <w:sz w:val="20"/>
          <w:szCs w:val="20"/>
        </w:rPr>
        <w:t>, etc), with measures also of covariates of interest (C</w:t>
      </w:r>
      <w:r w:rsidR="00101B81" w:rsidRPr="001727C7">
        <w:rPr>
          <w:rFonts w:ascii="Verdana" w:hAnsi="Verdana"/>
          <w:sz w:val="20"/>
          <w:szCs w:val="20"/>
          <w:vertAlign w:val="subscript"/>
        </w:rPr>
        <w:t>1</w:t>
      </w:r>
      <w:r w:rsidR="00101B81" w:rsidRPr="001727C7">
        <w:rPr>
          <w:rFonts w:ascii="Verdana" w:hAnsi="Verdana"/>
          <w:sz w:val="20"/>
          <w:szCs w:val="20"/>
        </w:rPr>
        <w:t>, C</w:t>
      </w:r>
      <w:r w:rsidR="00101B81" w:rsidRPr="001727C7">
        <w:rPr>
          <w:rFonts w:ascii="Verdana" w:hAnsi="Verdana"/>
          <w:sz w:val="20"/>
          <w:szCs w:val="20"/>
          <w:vertAlign w:val="subscript"/>
        </w:rPr>
        <w:t>2</w:t>
      </w:r>
      <w:r w:rsidR="00101B81" w:rsidRPr="001727C7">
        <w:rPr>
          <w:rFonts w:ascii="Verdana" w:hAnsi="Verdana"/>
          <w:sz w:val="20"/>
          <w:szCs w:val="20"/>
        </w:rPr>
        <w:t>..) (Table</w:t>
      </w:r>
      <w:r w:rsidR="00E75923">
        <w:rPr>
          <w:rFonts w:ascii="Verdana" w:hAnsi="Verdana"/>
          <w:sz w:val="20"/>
          <w:szCs w:val="20"/>
        </w:rPr>
        <w:t>s 2 and</w:t>
      </w:r>
      <w:r w:rsidR="00101B81" w:rsidRPr="001727C7">
        <w:rPr>
          <w:rFonts w:ascii="Verdana" w:hAnsi="Verdana"/>
          <w:sz w:val="20"/>
          <w:szCs w:val="20"/>
        </w:rPr>
        <w:t xml:space="preserve"> </w:t>
      </w:r>
      <w:r w:rsidR="00E75923">
        <w:rPr>
          <w:rFonts w:ascii="Verdana" w:hAnsi="Verdana"/>
          <w:sz w:val="20"/>
          <w:szCs w:val="20"/>
        </w:rPr>
        <w:t>3</w:t>
      </w:r>
      <w:r w:rsidR="00101B81" w:rsidRPr="001727C7">
        <w:rPr>
          <w:rFonts w:ascii="Verdana" w:hAnsi="Verdana"/>
          <w:sz w:val="20"/>
          <w:szCs w:val="20"/>
        </w:rPr>
        <w:t>), we will assess: a) cross-sectional associations between (i) health and work status (H1 vs.E1), (ii) change in health and later work status/transition (ΔH</w:t>
      </w:r>
      <w:r w:rsidR="00101B81" w:rsidRPr="001727C7">
        <w:rPr>
          <w:rFonts w:ascii="Verdana" w:hAnsi="Verdana"/>
          <w:sz w:val="20"/>
          <w:szCs w:val="20"/>
          <w:vertAlign w:val="subscript"/>
        </w:rPr>
        <w:t>1-2</w:t>
      </w:r>
      <w:r w:rsidR="00101B81" w:rsidRPr="001727C7">
        <w:rPr>
          <w:rFonts w:ascii="Verdana" w:hAnsi="Verdana"/>
          <w:sz w:val="20"/>
          <w:szCs w:val="20"/>
        </w:rPr>
        <w:t xml:space="preserve"> vs. E</w:t>
      </w:r>
      <w:r w:rsidR="00101B81" w:rsidRPr="001727C7">
        <w:rPr>
          <w:rFonts w:ascii="Verdana" w:hAnsi="Verdana"/>
          <w:sz w:val="20"/>
          <w:szCs w:val="20"/>
          <w:vertAlign w:val="subscript"/>
        </w:rPr>
        <w:t>2</w:t>
      </w:r>
      <w:r w:rsidR="00101B81" w:rsidRPr="001727C7">
        <w:rPr>
          <w:rFonts w:ascii="Verdana" w:hAnsi="Verdana"/>
          <w:sz w:val="20"/>
          <w:szCs w:val="20"/>
        </w:rPr>
        <w:t>, ΔH</w:t>
      </w:r>
      <w:r w:rsidR="00101B81" w:rsidRPr="001727C7">
        <w:rPr>
          <w:rFonts w:ascii="Verdana" w:hAnsi="Verdana"/>
          <w:sz w:val="20"/>
          <w:szCs w:val="20"/>
          <w:vertAlign w:val="subscript"/>
        </w:rPr>
        <w:t>1-2</w:t>
      </w:r>
      <w:r w:rsidR="00101B81" w:rsidRPr="001727C7">
        <w:rPr>
          <w:rFonts w:ascii="Verdana" w:hAnsi="Verdana"/>
          <w:sz w:val="20"/>
          <w:szCs w:val="20"/>
        </w:rPr>
        <w:t xml:space="preserve"> vs. ΔE</w:t>
      </w:r>
      <w:r w:rsidR="00101B81" w:rsidRPr="001727C7">
        <w:rPr>
          <w:rFonts w:ascii="Verdana" w:hAnsi="Verdana"/>
          <w:sz w:val="20"/>
          <w:szCs w:val="20"/>
          <w:vertAlign w:val="subscript"/>
        </w:rPr>
        <w:t>1-2</w:t>
      </w:r>
      <w:r w:rsidR="00101B81" w:rsidRPr="001727C7">
        <w:rPr>
          <w:rFonts w:ascii="Verdana" w:hAnsi="Verdana"/>
          <w:sz w:val="20"/>
          <w:szCs w:val="20"/>
        </w:rPr>
        <w:t xml:space="preserve">), (iii) work transition </w:t>
      </w:r>
      <w:r w:rsidR="00571202">
        <w:rPr>
          <w:rFonts w:ascii="Verdana" w:hAnsi="Verdana"/>
          <w:sz w:val="20"/>
          <w:szCs w:val="20"/>
        </w:rPr>
        <w:t>and</w:t>
      </w:r>
      <w:r w:rsidR="00101B81" w:rsidRPr="001727C7">
        <w:rPr>
          <w:rFonts w:ascii="Verdana" w:hAnsi="Verdana"/>
          <w:sz w:val="20"/>
          <w:szCs w:val="20"/>
        </w:rPr>
        <w:t xml:space="preserve"> later health/change in health (ΔE</w:t>
      </w:r>
      <w:r w:rsidR="00101B81" w:rsidRPr="001727C7">
        <w:rPr>
          <w:rFonts w:ascii="Verdana" w:hAnsi="Verdana"/>
          <w:sz w:val="20"/>
          <w:szCs w:val="20"/>
          <w:vertAlign w:val="subscript"/>
        </w:rPr>
        <w:t>1-2</w:t>
      </w:r>
      <w:r w:rsidR="00101B81" w:rsidRPr="001727C7">
        <w:rPr>
          <w:rFonts w:ascii="Verdana" w:hAnsi="Verdana"/>
          <w:sz w:val="20"/>
          <w:szCs w:val="20"/>
        </w:rPr>
        <w:t xml:space="preserve"> vs. H</w:t>
      </w:r>
      <w:r w:rsidR="00101B81" w:rsidRPr="001727C7">
        <w:rPr>
          <w:rFonts w:ascii="Verdana" w:hAnsi="Verdana"/>
          <w:sz w:val="20"/>
          <w:szCs w:val="20"/>
          <w:vertAlign w:val="subscript"/>
        </w:rPr>
        <w:t>2</w:t>
      </w:r>
      <w:r w:rsidR="00101B81" w:rsidRPr="001727C7">
        <w:rPr>
          <w:rFonts w:ascii="Verdana" w:hAnsi="Verdana"/>
          <w:sz w:val="20"/>
          <w:szCs w:val="20"/>
        </w:rPr>
        <w:t>, ΔE</w:t>
      </w:r>
      <w:r w:rsidR="00101B81" w:rsidRPr="001727C7">
        <w:rPr>
          <w:rFonts w:ascii="Verdana" w:hAnsi="Verdana"/>
          <w:sz w:val="20"/>
          <w:szCs w:val="20"/>
          <w:vertAlign w:val="subscript"/>
        </w:rPr>
        <w:t>1-2</w:t>
      </w:r>
      <w:r w:rsidR="00101B81" w:rsidRPr="001727C7">
        <w:rPr>
          <w:rFonts w:ascii="Verdana" w:hAnsi="Verdana"/>
          <w:sz w:val="20"/>
          <w:szCs w:val="20"/>
        </w:rPr>
        <w:t xml:space="preserve"> vs. ΔH</w:t>
      </w:r>
      <w:r w:rsidR="00101B81" w:rsidRPr="001727C7">
        <w:rPr>
          <w:rFonts w:ascii="Verdana" w:hAnsi="Verdana"/>
          <w:sz w:val="20"/>
          <w:szCs w:val="20"/>
          <w:vertAlign w:val="subscript"/>
        </w:rPr>
        <w:t>1-2</w:t>
      </w:r>
      <w:r w:rsidR="00101B81" w:rsidRPr="001727C7">
        <w:rPr>
          <w:rFonts w:ascii="Verdana" w:hAnsi="Verdana"/>
          <w:sz w:val="20"/>
          <w:szCs w:val="20"/>
        </w:rPr>
        <w:t>); b) the longitudinal relation between (i) health (or health change) and work transition (H</w:t>
      </w:r>
      <w:r w:rsidR="00101B81" w:rsidRPr="001727C7">
        <w:rPr>
          <w:rFonts w:ascii="Verdana" w:hAnsi="Verdana"/>
          <w:sz w:val="20"/>
          <w:szCs w:val="20"/>
          <w:vertAlign w:val="subscript"/>
        </w:rPr>
        <w:t>1</w:t>
      </w:r>
      <w:r w:rsidR="00101B81" w:rsidRPr="001727C7">
        <w:rPr>
          <w:rFonts w:ascii="Verdana" w:hAnsi="Verdana"/>
          <w:sz w:val="20"/>
          <w:szCs w:val="20"/>
        </w:rPr>
        <w:t xml:space="preserve"> vs. ΔE</w:t>
      </w:r>
      <w:r w:rsidR="00101B81" w:rsidRPr="001727C7">
        <w:rPr>
          <w:rFonts w:ascii="Verdana" w:hAnsi="Verdana"/>
          <w:sz w:val="20"/>
          <w:szCs w:val="20"/>
          <w:vertAlign w:val="subscript"/>
        </w:rPr>
        <w:t>1-2</w:t>
      </w:r>
      <w:r w:rsidR="00101B81" w:rsidRPr="001727C7">
        <w:rPr>
          <w:rFonts w:ascii="Verdana" w:hAnsi="Verdana"/>
          <w:sz w:val="20"/>
          <w:szCs w:val="20"/>
        </w:rPr>
        <w:t>, ΔH</w:t>
      </w:r>
      <w:r w:rsidR="00101B81" w:rsidRPr="001727C7">
        <w:rPr>
          <w:rFonts w:ascii="Verdana" w:hAnsi="Verdana"/>
          <w:sz w:val="20"/>
          <w:szCs w:val="20"/>
          <w:vertAlign w:val="subscript"/>
        </w:rPr>
        <w:t>1-2</w:t>
      </w:r>
      <w:r w:rsidR="00101B81" w:rsidRPr="001727C7">
        <w:rPr>
          <w:rFonts w:ascii="Verdana" w:hAnsi="Verdana"/>
          <w:sz w:val="20"/>
          <w:szCs w:val="20"/>
        </w:rPr>
        <w:t xml:space="preserve"> vs. ΔE</w:t>
      </w:r>
      <w:r w:rsidR="00101B81" w:rsidRPr="001727C7">
        <w:rPr>
          <w:rFonts w:ascii="Verdana" w:hAnsi="Verdana"/>
          <w:sz w:val="20"/>
          <w:szCs w:val="20"/>
          <w:vertAlign w:val="subscript"/>
        </w:rPr>
        <w:t>2-3</w:t>
      </w:r>
      <w:r w:rsidR="00101B81" w:rsidRPr="001727C7">
        <w:rPr>
          <w:rFonts w:ascii="Verdana" w:hAnsi="Verdana"/>
          <w:sz w:val="20"/>
          <w:szCs w:val="20"/>
        </w:rPr>
        <w:t xml:space="preserve"> etc), and between (ii) work transition and changed health (e.g. ΔE</w:t>
      </w:r>
      <w:r w:rsidR="00101B81" w:rsidRPr="001727C7">
        <w:rPr>
          <w:rFonts w:ascii="Verdana" w:hAnsi="Verdana"/>
          <w:sz w:val="20"/>
          <w:szCs w:val="20"/>
          <w:vertAlign w:val="subscript"/>
        </w:rPr>
        <w:t>1-2</w:t>
      </w:r>
      <w:r w:rsidR="00101B81" w:rsidRPr="001727C7">
        <w:rPr>
          <w:rFonts w:ascii="Verdana" w:hAnsi="Verdana"/>
          <w:sz w:val="20"/>
          <w:szCs w:val="20"/>
        </w:rPr>
        <w:t xml:space="preserve"> vs. ΔH</w:t>
      </w:r>
      <w:r w:rsidR="00101B81" w:rsidRPr="001727C7">
        <w:rPr>
          <w:rFonts w:ascii="Verdana" w:hAnsi="Verdana"/>
          <w:sz w:val="20"/>
          <w:szCs w:val="20"/>
          <w:vertAlign w:val="subscript"/>
        </w:rPr>
        <w:t>2-3</w:t>
      </w:r>
      <w:r w:rsidR="00101B81" w:rsidRPr="001727C7">
        <w:rPr>
          <w:rFonts w:ascii="Verdana" w:hAnsi="Verdana"/>
          <w:sz w:val="20"/>
          <w:szCs w:val="20"/>
        </w:rPr>
        <w:t xml:space="preserve">). Multi-level modelling will estimate effects with allowance for other personal and social factors as confounders or effect modifiers. Data will be combined across available time points using multi-level modelling to allow for non-independence of serial within-person measures. Modelling will adjust for covariates measured at the same time point (cross-sectional) or as in Table </w:t>
      </w:r>
      <w:r w:rsidR="00E75923">
        <w:rPr>
          <w:rFonts w:ascii="Verdana" w:hAnsi="Verdana"/>
          <w:sz w:val="20"/>
          <w:szCs w:val="20"/>
        </w:rPr>
        <w:t>3</w:t>
      </w:r>
      <w:r w:rsidR="00101B81" w:rsidRPr="001727C7">
        <w:rPr>
          <w:rFonts w:ascii="Verdana" w:hAnsi="Verdana"/>
          <w:sz w:val="20"/>
          <w:szCs w:val="20"/>
        </w:rPr>
        <w:t xml:space="preserve"> (longitudinal).  Analyses related to job transition will sub-classify </w:t>
      </w:r>
      <w:r w:rsidR="00101B81">
        <w:rPr>
          <w:rFonts w:ascii="Verdana" w:hAnsi="Verdana"/>
          <w:sz w:val="20"/>
          <w:szCs w:val="20"/>
        </w:rPr>
        <w:t xml:space="preserve">by main reason for job change. </w:t>
      </w:r>
      <w:r w:rsidR="00101B81" w:rsidRPr="001727C7">
        <w:rPr>
          <w:rFonts w:ascii="Verdana" w:hAnsi="Verdana"/>
          <w:sz w:val="20"/>
          <w:szCs w:val="20"/>
          <w:lang w:eastAsia="en-GB"/>
        </w:rPr>
        <w:t>More formally:</w:t>
      </w:r>
      <w:r w:rsidR="00101B81" w:rsidRPr="001727C7">
        <w:rPr>
          <w:rFonts w:ascii="Verdana" w:hAnsi="Verdana"/>
          <w:sz w:val="20"/>
          <w:szCs w:val="20"/>
        </w:rPr>
        <w:t xml:space="preserve"> </w:t>
      </w:r>
      <w:r w:rsidR="00101B81">
        <w:rPr>
          <w:rFonts w:ascii="Verdana" w:hAnsi="Verdana"/>
          <w:sz w:val="20"/>
          <w:szCs w:val="20"/>
          <w:lang w:eastAsia="en-GB"/>
        </w:rPr>
        <w:t>l</w:t>
      </w:r>
      <w:r w:rsidR="00101B81" w:rsidRPr="001727C7">
        <w:rPr>
          <w:rFonts w:ascii="Verdana" w:hAnsi="Verdana"/>
          <w:sz w:val="20"/>
          <w:szCs w:val="20"/>
          <w:lang w:eastAsia="en-GB"/>
        </w:rPr>
        <w:t xml:space="preserve">et </w:t>
      </w:r>
      <w:r w:rsidR="00101B81" w:rsidRPr="001727C7">
        <w:rPr>
          <w:rFonts w:ascii="Verdana" w:hAnsi="Verdana"/>
          <w:i/>
          <w:sz w:val="20"/>
          <w:szCs w:val="20"/>
          <w:lang w:eastAsia="en-GB"/>
        </w:rPr>
        <w:t>H</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 {H</w:t>
      </w:r>
      <w:r w:rsidR="00101B81" w:rsidRPr="001727C7">
        <w:rPr>
          <w:rFonts w:ascii="Verdana" w:hAnsi="Verdana"/>
          <w:sz w:val="20"/>
          <w:szCs w:val="20"/>
          <w:vertAlign w:val="subscript"/>
          <w:lang w:eastAsia="en-GB"/>
        </w:rPr>
        <w:t>1</w:t>
      </w:r>
      <w:r w:rsidR="00101B81" w:rsidRPr="001727C7">
        <w:rPr>
          <w:rFonts w:ascii="Verdana" w:hAnsi="Verdana"/>
          <w:sz w:val="20"/>
          <w:szCs w:val="20"/>
          <w:lang w:eastAsia="en-GB"/>
        </w:rPr>
        <w:t>, H</w:t>
      </w:r>
      <w:r w:rsidR="00101B81" w:rsidRPr="001727C7">
        <w:rPr>
          <w:rFonts w:ascii="Verdana" w:hAnsi="Verdana"/>
          <w:sz w:val="20"/>
          <w:szCs w:val="20"/>
          <w:vertAlign w:val="subscript"/>
          <w:lang w:eastAsia="en-GB"/>
        </w:rPr>
        <w:t>2</w:t>
      </w:r>
      <w:r w:rsidR="00101B81" w:rsidRPr="001727C7">
        <w:rPr>
          <w:rFonts w:ascii="Verdana" w:hAnsi="Verdana"/>
          <w:sz w:val="20"/>
          <w:szCs w:val="20"/>
          <w:lang w:eastAsia="en-GB"/>
        </w:rPr>
        <w:t>, …, H</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be the health history up to and including time n; let </w:t>
      </w:r>
      <w:r w:rsidR="00101B81" w:rsidRPr="001727C7">
        <w:rPr>
          <w:rFonts w:ascii="Verdana" w:hAnsi="Verdana"/>
          <w:i/>
          <w:sz w:val="20"/>
          <w:szCs w:val="20"/>
          <w:lang w:eastAsia="en-GB"/>
        </w:rPr>
        <w:t>E</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 {E</w:t>
      </w:r>
      <w:r w:rsidR="00101B81" w:rsidRPr="001727C7">
        <w:rPr>
          <w:rFonts w:ascii="Verdana" w:hAnsi="Verdana"/>
          <w:sz w:val="20"/>
          <w:szCs w:val="20"/>
          <w:vertAlign w:val="subscript"/>
          <w:lang w:eastAsia="en-GB"/>
        </w:rPr>
        <w:t>1</w:t>
      </w:r>
      <w:r w:rsidR="00101B81" w:rsidRPr="001727C7">
        <w:rPr>
          <w:rFonts w:ascii="Verdana" w:hAnsi="Verdana"/>
          <w:sz w:val="20"/>
          <w:szCs w:val="20"/>
          <w:lang w:eastAsia="en-GB"/>
        </w:rPr>
        <w:t>, E</w:t>
      </w:r>
      <w:r w:rsidR="00101B81" w:rsidRPr="001727C7">
        <w:rPr>
          <w:rFonts w:ascii="Verdana" w:hAnsi="Verdana"/>
          <w:sz w:val="20"/>
          <w:szCs w:val="20"/>
          <w:vertAlign w:val="subscript"/>
          <w:lang w:eastAsia="en-GB"/>
        </w:rPr>
        <w:t>2</w:t>
      </w:r>
      <w:r w:rsidR="00101B81" w:rsidRPr="001727C7">
        <w:rPr>
          <w:rFonts w:ascii="Verdana" w:hAnsi="Verdana"/>
          <w:sz w:val="20"/>
          <w:szCs w:val="20"/>
          <w:lang w:eastAsia="en-GB"/>
        </w:rPr>
        <w:t>, …, E</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be the employment history up to and including time n;</w:t>
      </w:r>
      <w:r w:rsidR="00101B81" w:rsidRPr="001727C7">
        <w:rPr>
          <w:rFonts w:ascii="Verdana" w:hAnsi="Verdana"/>
          <w:sz w:val="20"/>
          <w:szCs w:val="20"/>
        </w:rPr>
        <w:t xml:space="preserve"> l</w:t>
      </w:r>
      <w:r w:rsidR="00101B81" w:rsidRPr="001727C7">
        <w:rPr>
          <w:rFonts w:ascii="Verdana" w:hAnsi="Verdana"/>
          <w:sz w:val="20"/>
          <w:szCs w:val="20"/>
          <w:lang w:eastAsia="en-GB"/>
        </w:rPr>
        <w:t xml:space="preserve">et </w:t>
      </w:r>
      <w:r w:rsidR="00101B81" w:rsidRPr="001727C7">
        <w:rPr>
          <w:rFonts w:ascii="Verdana" w:hAnsi="Verdana"/>
          <w:i/>
          <w:sz w:val="20"/>
          <w:szCs w:val="20"/>
          <w:lang w:eastAsia="en-GB"/>
        </w:rPr>
        <w:t>C</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 {C</w:t>
      </w:r>
      <w:r w:rsidR="00101B81" w:rsidRPr="001727C7">
        <w:rPr>
          <w:rFonts w:ascii="Verdana" w:hAnsi="Verdana"/>
          <w:sz w:val="20"/>
          <w:szCs w:val="20"/>
          <w:vertAlign w:val="subscript"/>
          <w:lang w:eastAsia="en-GB"/>
        </w:rPr>
        <w:t>1</w:t>
      </w:r>
      <w:r w:rsidR="00101B81" w:rsidRPr="001727C7">
        <w:rPr>
          <w:rFonts w:ascii="Verdana" w:hAnsi="Verdana"/>
          <w:sz w:val="20"/>
          <w:szCs w:val="20"/>
          <w:lang w:eastAsia="en-GB"/>
        </w:rPr>
        <w:t>, C</w:t>
      </w:r>
      <w:r w:rsidR="00101B81" w:rsidRPr="001727C7">
        <w:rPr>
          <w:rFonts w:ascii="Verdana" w:hAnsi="Verdana"/>
          <w:sz w:val="20"/>
          <w:szCs w:val="20"/>
          <w:vertAlign w:val="subscript"/>
          <w:lang w:eastAsia="en-GB"/>
        </w:rPr>
        <w:t>2</w:t>
      </w:r>
      <w:r w:rsidR="00101B81" w:rsidRPr="001727C7">
        <w:rPr>
          <w:rFonts w:ascii="Verdana" w:hAnsi="Verdana"/>
          <w:sz w:val="20"/>
          <w:szCs w:val="20"/>
          <w:lang w:eastAsia="en-GB"/>
        </w:rPr>
        <w:t>, …, C</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be the </w:t>
      </w:r>
      <w:r w:rsidR="005844FA">
        <w:rPr>
          <w:rFonts w:ascii="Verdana" w:hAnsi="Verdana"/>
          <w:sz w:val="20"/>
          <w:szCs w:val="20"/>
          <w:lang w:eastAsia="en-GB"/>
        </w:rPr>
        <w:t xml:space="preserve">effects of confounding </w:t>
      </w:r>
      <w:r w:rsidR="00101B81" w:rsidRPr="001727C7">
        <w:rPr>
          <w:rFonts w:ascii="Verdana" w:hAnsi="Verdana"/>
          <w:sz w:val="20"/>
          <w:szCs w:val="20"/>
          <w:lang w:eastAsia="en-GB"/>
        </w:rPr>
        <w:t>up to and including time n.</w:t>
      </w:r>
      <w:r w:rsidR="00101B81" w:rsidRPr="001727C7">
        <w:rPr>
          <w:rFonts w:ascii="Verdana" w:hAnsi="Verdana"/>
          <w:sz w:val="20"/>
          <w:szCs w:val="20"/>
        </w:rPr>
        <w:t xml:space="preserve"> </w:t>
      </w:r>
      <w:r w:rsidR="00101B81" w:rsidRPr="001727C7">
        <w:rPr>
          <w:rFonts w:ascii="Verdana" w:hAnsi="Verdana"/>
          <w:sz w:val="20"/>
          <w:szCs w:val="20"/>
          <w:lang w:eastAsia="en-GB"/>
        </w:rPr>
        <w:t xml:space="preserve">When H and E are binary, we will use multi-level logistic regression analysis to model </w:t>
      </w:r>
      <w:r w:rsidR="00740D10">
        <w:rPr>
          <w:rFonts w:ascii="Verdana" w:hAnsi="Verdana"/>
          <w:sz w:val="20"/>
          <w:szCs w:val="20"/>
          <w:lang w:eastAsia="en-GB"/>
        </w:rPr>
        <w:t>logit</w:t>
      </w:r>
      <w:r w:rsidR="00101B81" w:rsidRPr="001727C7">
        <w:rPr>
          <w:rFonts w:ascii="Verdana" w:hAnsi="Verdana"/>
          <w:sz w:val="20"/>
          <w:szCs w:val="20"/>
          <w:lang w:eastAsia="en-GB"/>
        </w:rPr>
        <w:t xml:space="preserve"> (</w:t>
      </w:r>
      <w:r w:rsidR="00101B81" w:rsidRPr="001727C7">
        <w:rPr>
          <w:rFonts w:ascii="Verdana" w:hAnsi="Verdana"/>
          <w:i/>
          <w:sz w:val="20"/>
          <w:szCs w:val="20"/>
          <w:lang w:eastAsia="en-GB"/>
        </w:rPr>
        <w:t>H</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 1 | </w:t>
      </w:r>
      <w:r w:rsidR="00101B81" w:rsidRPr="001727C7">
        <w:rPr>
          <w:rFonts w:ascii="Verdana" w:hAnsi="Verdana"/>
          <w:i/>
          <w:sz w:val="20"/>
          <w:szCs w:val="20"/>
          <w:lang w:eastAsia="en-GB"/>
        </w:rPr>
        <w:t>H</w:t>
      </w:r>
      <w:r w:rsidR="00101B81" w:rsidRPr="001727C7">
        <w:rPr>
          <w:rFonts w:ascii="Verdana" w:hAnsi="Verdana"/>
          <w:sz w:val="20"/>
          <w:szCs w:val="20"/>
          <w:vertAlign w:val="subscript"/>
          <w:lang w:eastAsia="en-GB"/>
        </w:rPr>
        <w:t>n-1</w:t>
      </w:r>
      <w:r w:rsidR="00101B81" w:rsidRPr="001727C7">
        <w:rPr>
          <w:rFonts w:ascii="Verdana" w:hAnsi="Verdana"/>
          <w:sz w:val="20"/>
          <w:szCs w:val="20"/>
          <w:lang w:eastAsia="en-GB"/>
        </w:rPr>
        <w:t xml:space="preserve">, </w:t>
      </w:r>
      <w:r w:rsidR="00101B81" w:rsidRPr="001727C7">
        <w:rPr>
          <w:rFonts w:ascii="Verdana" w:hAnsi="Verdana"/>
          <w:i/>
          <w:sz w:val="20"/>
          <w:szCs w:val="20"/>
          <w:lang w:eastAsia="en-GB"/>
        </w:rPr>
        <w:t>E</w:t>
      </w:r>
      <w:r w:rsidR="00101B81" w:rsidRPr="001727C7">
        <w:rPr>
          <w:rFonts w:ascii="Verdana" w:hAnsi="Verdana"/>
          <w:sz w:val="20"/>
          <w:szCs w:val="20"/>
          <w:vertAlign w:val="subscript"/>
          <w:lang w:eastAsia="en-GB"/>
        </w:rPr>
        <w:t>n-1</w:t>
      </w:r>
      <w:r w:rsidR="00101B81" w:rsidRPr="001727C7">
        <w:rPr>
          <w:rFonts w:ascii="Verdana" w:hAnsi="Verdana"/>
          <w:sz w:val="20"/>
          <w:szCs w:val="20"/>
          <w:lang w:eastAsia="en-GB"/>
        </w:rPr>
        <w:t xml:space="preserve">, </w:t>
      </w:r>
      <w:r w:rsidR="00101B81" w:rsidRPr="001727C7">
        <w:rPr>
          <w:rFonts w:ascii="Verdana" w:hAnsi="Verdana"/>
          <w:i/>
          <w:sz w:val="20"/>
          <w:szCs w:val="20"/>
          <w:lang w:eastAsia="en-GB"/>
        </w:rPr>
        <w:t>C</w:t>
      </w:r>
      <w:r w:rsidR="00101B81" w:rsidRPr="001727C7">
        <w:rPr>
          <w:rFonts w:ascii="Verdana" w:hAnsi="Verdana"/>
          <w:sz w:val="20"/>
          <w:szCs w:val="20"/>
          <w:vertAlign w:val="subscript"/>
          <w:lang w:eastAsia="en-GB"/>
        </w:rPr>
        <w:t>n-1</w:t>
      </w:r>
      <w:r w:rsidR="00101B81" w:rsidRPr="001727C7">
        <w:rPr>
          <w:rFonts w:ascii="Verdana" w:hAnsi="Verdana"/>
          <w:sz w:val="20"/>
          <w:szCs w:val="20"/>
          <w:lang w:eastAsia="en-GB"/>
        </w:rPr>
        <w:t>), where 2 ≤ n ≤ N</w:t>
      </w:r>
      <w:r w:rsidR="00101B81" w:rsidRPr="001727C7">
        <w:rPr>
          <w:rFonts w:ascii="Verdana" w:hAnsi="Verdana"/>
          <w:sz w:val="20"/>
          <w:szCs w:val="20"/>
          <w:vertAlign w:val="subscript"/>
          <w:lang w:eastAsia="en-GB"/>
        </w:rPr>
        <w:t xml:space="preserve">i, </w:t>
      </w:r>
      <w:r w:rsidR="00101B81" w:rsidRPr="001727C7">
        <w:rPr>
          <w:rFonts w:ascii="Verdana" w:hAnsi="Verdana"/>
          <w:sz w:val="20"/>
          <w:szCs w:val="20"/>
          <w:lang w:eastAsia="en-GB"/>
        </w:rPr>
        <w:t>the number of observations of subject i. Such a model determines the extent to which all that is known at the beginning of an interval is associated with health at the end of the interval. One extension will be to include E</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and/or C</w:t>
      </w:r>
      <w:r w:rsidR="00101B81" w:rsidRPr="001727C7">
        <w:rPr>
          <w:rFonts w:ascii="Verdana" w:hAnsi="Verdana"/>
          <w:sz w:val="20"/>
          <w:szCs w:val="20"/>
          <w:vertAlign w:val="subscript"/>
          <w:lang w:eastAsia="en-GB"/>
        </w:rPr>
        <w:t>n</w:t>
      </w:r>
      <w:r w:rsidR="00101B81" w:rsidRPr="001727C7">
        <w:rPr>
          <w:rFonts w:ascii="Verdana" w:hAnsi="Verdana"/>
          <w:sz w:val="20"/>
          <w:szCs w:val="20"/>
          <w:lang w:eastAsia="en-GB"/>
        </w:rPr>
        <w:t xml:space="preserve"> as further predictors; another will be to run analyses in which the roles of health and employment are reversed. When H and E are continuous we will use multi-level linear regression analysis.</w:t>
      </w:r>
      <w:r w:rsidR="00101B81" w:rsidRPr="001727C7">
        <w:rPr>
          <w:rFonts w:ascii="Verdana" w:hAnsi="Verdana"/>
          <w:sz w:val="20"/>
          <w:szCs w:val="20"/>
        </w:rPr>
        <w:t xml:space="preserve"> Table </w:t>
      </w:r>
      <w:r w:rsidR="00E75923">
        <w:rPr>
          <w:rFonts w:ascii="Verdana" w:hAnsi="Verdana"/>
          <w:sz w:val="20"/>
          <w:szCs w:val="20"/>
        </w:rPr>
        <w:t>4</w:t>
      </w:r>
      <w:r w:rsidR="00101B81" w:rsidRPr="001727C7">
        <w:rPr>
          <w:rFonts w:ascii="Verdana" w:hAnsi="Verdana"/>
          <w:sz w:val="20"/>
          <w:szCs w:val="20"/>
        </w:rPr>
        <w:t xml:space="preserve"> summarises certain health circumstances and </w:t>
      </w:r>
      <w:r w:rsidR="00101B81">
        <w:rPr>
          <w:rFonts w:ascii="Verdana" w:hAnsi="Verdana"/>
          <w:sz w:val="20"/>
          <w:szCs w:val="20"/>
        </w:rPr>
        <w:t>the</w:t>
      </w:r>
      <w:r w:rsidR="00101B81" w:rsidRPr="001727C7">
        <w:rPr>
          <w:rFonts w:ascii="Verdana" w:hAnsi="Verdana"/>
          <w:sz w:val="20"/>
          <w:szCs w:val="20"/>
        </w:rPr>
        <w:t xml:space="preserve"> intended treatment of them.</w:t>
      </w:r>
      <w:r w:rsidR="00101B81" w:rsidRPr="001727C7">
        <w:t xml:space="preserve"> </w:t>
      </w:r>
      <w:r w:rsidRPr="000971B6">
        <w:rPr>
          <w:rFonts w:ascii="Verdana" w:hAnsi="Verdana" w:cs="ArialMT"/>
          <w:sz w:val="20"/>
          <w:szCs w:val="20"/>
        </w:rPr>
        <w:t>Analysis will also explore health and</w:t>
      </w:r>
      <w:r>
        <w:rPr>
          <w:rFonts w:ascii="Verdana" w:hAnsi="Verdana" w:cs="Arial"/>
          <w:sz w:val="20"/>
          <w:szCs w:val="20"/>
        </w:rPr>
        <w:t xml:space="preserve"> </w:t>
      </w:r>
      <w:r w:rsidRPr="000971B6">
        <w:rPr>
          <w:rFonts w:ascii="Verdana" w:hAnsi="Verdana" w:cs="ArialMT"/>
          <w:sz w:val="20"/>
          <w:szCs w:val="20"/>
        </w:rPr>
        <w:t>medication as p</w:t>
      </w:r>
      <w:r w:rsidRPr="002468CB">
        <w:rPr>
          <w:rFonts w:ascii="Verdana" w:hAnsi="Verdana" w:cs="Arial"/>
          <w:sz w:val="20"/>
          <w:szCs w:val="20"/>
        </w:rPr>
        <w:t>re</w:t>
      </w:r>
      <w:r w:rsidRPr="000971B6">
        <w:rPr>
          <w:rFonts w:ascii="Verdana" w:hAnsi="Verdana" w:cs="ArialMT"/>
          <w:sz w:val="20"/>
          <w:szCs w:val="20"/>
        </w:rPr>
        <w:t>dictors of occupational injury.</w:t>
      </w:r>
    </w:p>
    <w:p w14:paraId="252235F2" w14:textId="77777777" w:rsidR="001432D8" w:rsidRDefault="001432D8" w:rsidP="00C33BBA">
      <w:pPr>
        <w:widowControl w:val="0"/>
        <w:autoSpaceDE w:val="0"/>
        <w:autoSpaceDN w:val="0"/>
        <w:adjustRightInd w:val="0"/>
        <w:spacing w:line="480" w:lineRule="auto"/>
        <w:rPr>
          <w:rFonts w:ascii="Verdana" w:hAnsi="Verdana" w:cs="ArialMT"/>
          <w:sz w:val="20"/>
          <w:szCs w:val="20"/>
        </w:rPr>
      </w:pPr>
    </w:p>
    <w:p w14:paraId="2C7C5769" w14:textId="77777777" w:rsidR="00DA5D5E" w:rsidRDefault="00DA5D5E" w:rsidP="00C33BBA">
      <w:pPr>
        <w:widowControl w:val="0"/>
        <w:autoSpaceDE w:val="0"/>
        <w:autoSpaceDN w:val="0"/>
        <w:adjustRightInd w:val="0"/>
        <w:spacing w:line="480" w:lineRule="auto"/>
        <w:rPr>
          <w:rFonts w:ascii="Verdana" w:hAnsi="Verdana" w:cs="Arial"/>
          <w:b/>
          <w:sz w:val="20"/>
          <w:szCs w:val="20"/>
        </w:rPr>
      </w:pPr>
      <w:r>
        <w:rPr>
          <w:rFonts w:ascii="Verdana" w:hAnsi="Verdana" w:cs="Arial"/>
          <w:b/>
          <w:iCs/>
          <w:sz w:val="20"/>
          <w:szCs w:val="20"/>
        </w:rPr>
        <w:t xml:space="preserve">Sample size and </w:t>
      </w:r>
      <w:r w:rsidR="001432D8" w:rsidRPr="00DA5D5E">
        <w:rPr>
          <w:rFonts w:ascii="Verdana" w:hAnsi="Verdana" w:cs="Arial"/>
          <w:b/>
          <w:iCs/>
          <w:sz w:val="20"/>
          <w:szCs w:val="20"/>
        </w:rPr>
        <w:t>study power</w:t>
      </w:r>
    </w:p>
    <w:p w14:paraId="39323076" w14:textId="54AD6000" w:rsidR="001432D8" w:rsidRDefault="00DA5D5E" w:rsidP="00C33BBA">
      <w:pPr>
        <w:widowControl w:val="0"/>
        <w:autoSpaceDE w:val="0"/>
        <w:autoSpaceDN w:val="0"/>
        <w:adjustRightInd w:val="0"/>
        <w:spacing w:line="480" w:lineRule="auto"/>
        <w:rPr>
          <w:rFonts w:ascii="Verdana" w:hAnsi="Verdana" w:cs="Arial"/>
          <w:sz w:val="20"/>
          <w:szCs w:val="20"/>
        </w:rPr>
      </w:pPr>
      <w:r w:rsidRPr="00DA5D5E">
        <w:rPr>
          <w:rFonts w:ascii="Verdana" w:hAnsi="Verdana" w:cs="Arial"/>
          <w:sz w:val="20"/>
          <w:szCs w:val="20"/>
        </w:rPr>
        <w:t>Power calculations were originally based on a target recruitment of 6,000</w:t>
      </w:r>
      <w:r>
        <w:rPr>
          <w:rFonts w:ascii="Verdana" w:hAnsi="Verdana" w:cs="Arial"/>
          <w:sz w:val="20"/>
          <w:szCs w:val="20"/>
        </w:rPr>
        <w:t xml:space="preserve"> at baseline</w:t>
      </w:r>
      <w:r w:rsidR="00507BC3">
        <w:rPr>
          <w:rFonts w:ascii="Verdana" w:hAnsi="Verdana" w:cs="Arial"/>
          <w:sz w:val="20"/>
          <w:szCs w:val="20"/>
        </w:rPr>
        <w:t xml:space="preserve"> </w:t>
      </w:r>
      <w:r>
        <w:rPr>
          <w:rFonts w:ascii="Verdana" w:hAnsi="Verdana" w:cs="Arial"/>
          <w:sz w:val="20"/>
          <w:szCs w:val="20"/>
        </w:rPr>
        <w:t>which has since been exceeded</w:t>
      </w:r>
      <w:r w:rsidR="00E07732">
        <w:rPr>
          <w:rFonts w:ascii="Verdana" w:hAnsi="Verdana" w:cs="Arial"/>
          <w:sz w:val="20"/>
          <w:szCs w:val="20"/>
        </w:rPr>
        <w:t xml:space="preserve"> (see below)</w:t>
      </w:r>
      <w:r w:rsidRPr="00DA5D5E">
        <w:rPr>
          <w:rFonts w:ascii="Verdana" w:hAnsi="Verdana" w:cs="Arial"/>
          <w:sz w:val="20"/>
          <w:szCs w:val="20"/>
        </w:rPr>
        <w:t>. On the original basis, assuming the employme</w:t>
      </w:r>
      <w:r>
        <w:rPr>
          <w:rFonts w:ascii="Verdana" w:hAnsi="Verdana" w:cs="Arial"/>
          <w:sz w:val="20"/>
          <w:szCs w:val="20"/>
        </w:rPr>
        <w:t xml:space="preserve">nt rates in </w:t>
      </w:r>
      <w:r w:rsidRPr="00DA5D5E">
        <w:rPr>
          <w:rFonts w:ascii="Verdana" w:hAnsi="Verdana" w:cs="Arial"/>
          <w:i/>
          <w:sz w:val="20"/>
          <w:szCs w:val="20"/>
        </w:rPr>
        <w:t>Pension Trends 2012</w:t>
      </w:r>
      <w:r w:rsidR="00936453">
        <w:rPr>
          <w:rFonts w:ascii="Verdana" w:hAnsi="Verdana" w:cs="Arial"/>
          <w:sz w:val="20"/>
          <w:szCs w:val="20"/>
        </w:rPr>
        <w:t xml:space="preserve"> [46</w:t>
      </w:r>
      <w:r>
        <w:rPr>
          <w:rFonts w:ascii="Verdana" w:hAnsi="Verdana" w:cs="Arial"/>
          <w:sz w:val="20"/>
          <w:szCs w:val="20"/>
        </w:rPr>
        <w:t>],</w:t>
      </w:r>
      <w:r w:rsidRPr="00DA5D5E">
        <w:rPr>
          <w:rFonts w:ascii="Verdana" w:hAnsi="Verdana" w:cs="Arial"/>
          <w:sz w:val="20"/>
          <w:szCs w:val="20"/>
        </w:rPr>
        <w:t xml:space="preserve"> the disease frequencies in the </w:t>
      </w:r>
      <w:r w:rsidRPr="00DA5D5E">
        <w:rPr>
          <w:rFonts w:ascii="Verdana" w:hAnsi="Verdana" w:cs="Arial"/>
          <w:i/>
          <w:sz w:val="20"/>
          <w:szCs w:val="20"/>
        </w:rPr>
        <w:t xml:space="preserve">4th </w:t>
      </w:r>
      <w:r w:rsidRPr="00DA5D5E">
        <w:rPr>
          <w:rFonts w:ascii="Verdana" w:hAnsi="Verdana" w:cs="Arial"/>
          <w:i/>
          <w:sz w:val="20"/>
          <w:szCs w:val="20"/>
        </w:rPr>
        <w:lastRenderedPageBreak/>
        <w:t>Morbidity Survey in General Practice</w:t>
      </w:r>
      <w:r w:rsidR="00936453">
        <w:rPr>
          <w:rFonts w:ascii="Verdana" w:hAnsi="Verdana" w:cs="Arial"/>
          <w:sz w:val="20"/>
          <w:szCs w:val="20"/>
        </w:rPr>
        <w:t xml:space="preserve"> [47</w:t>
      </w:r>
      <w:r>
        <w:rPr>
          <w:rFonts w:ascii="Verdana" w:hAnsi="Verdana" w:cs="Arial"/>
          <w:sz w:val="20"/>
          <w:szCs w:val="20"/>
        </w:rPr>
        <w:t>],</w:t>
      </w:r>
      <w:r w:rsidRPr="00DA5D5E">
        <w:rPr>
          <w:rFonts w:ascii="Verdana" w:hAnsi="Verdana" w:cs="Arial"/>
          <w:sz w:val="20"/>
          <w:szCs w:val="20"/>
        </w:rPr>
        <w:t xml:space="preserve"> 3 years of follow-up, with a 75% response</w:t>
      </w:r>
      <w:r>
        <w:rPr>
          <w:rFonts w:ascii="Verdana" w:hAnsi="Verdana" w:cs="Arial"/>
          <w:sz w:val="20"/>
          <w:szCs w:val="20"/>
        </w:rPr>
        <w:t xml:space="preserve"> at follow-up</w:t>
      </w:r>
      <w:r w:rsidRPr="00DA5D5E">
        <w:rPr>
          <w:rFonts w:ascii="Verdana" w:hAnsi="Verdana" w:cs="Arial"/>
          <w:sz w:val="20"/>
          <w:szCs w:val="20"/>
        </w:rPr>
        <w:t xml:space="preserve"> and </w:t>
      </w:r>
      <w:r>
        <w:rPr>
          <w:rFonts w:ascii="Verdana" w:hAnsi="Verdana" w:cs="Arial"/>
          <w:sz w:val="20"/>
          <w:szCs w:val="20"/>
        </w:rPr>
        <w:t xml:space="preserve">a </w:t>
      </w:r>
      <w:r w:rsidRPr="00DA5D5E">
        <w:rPr>
          <w:rFonts w:ascii="Verdana" w:hAnsi="Verdana" w:cs="Arial"/>
          <w:sz w:val="20"/>
          <w:szCs w:val="20"/>
        </w:rPr>
        <w:t>30%</w:t>
      </w:r>
      <w:r>
        <w:rPr>
          <w:rFonts w:ascii="Verdana" w:hAnsi="Verdana" w:cs="Arial"/>
          <w:sz w:val="20"/>
          <w:szCs w:val="20"/>
        </w:rPr>
        <w:t xml:space="preserve"> rate of</w:t>
      </w:r>
      <w:r w:rsidRPr="00DA5D5E">
        <w:rPr>
          <w:rFonts w:ascii="Verdana" w:hAnsi="Verdana" w:cs="Arial"/>
          <w:sz w:val="20"/>
          <w:szCs w:val="20"/>
        </w:rPr>
        <w:t xml:space="preserve"> job loss, </w:t>
      </w:r>
      <w:r>
        <w:rPr>
          <w:rFonts w:ascii="Verdana" w:hAnsi="Verdana" w:cs="Arial"/>
          <w:sz w:val="20"/>
          <w:szCs w:val="20"/>
        </w:rPr>
        <w:t>relative risks (</w:t>
      </w:r>
      <w:r w:rsidRPr="00DA5D5E">
        <w:rPr>
          <w:rFonts w:ascii="Verdana" w:hAnsi="Verdana" w:cs="Arial"/>
          <w:sz w:val="20"/>
          <w:szCs w:val="20"/>
        </w:rPr>
        <w:t>RRs</w:t>
      </w:r>
      <w:r>
        <w:rPr>
          <w:rFonts w:ascii="Verdana" w:hAnsi="Verdana" w:cs="Arial"/>
          <w:sz w:val="20"/>
          <w:szCs w:val="20"/>
        </w:rPr>
        <w:t>)</w:t>
      </w:r>
      <w:r w:rsidRPr="00DA5D5E">
        <w:rPr>
          <w:rFonts w:ascii="Verdana" w:hAnsi="Verdana" w:cs="Arial"/>
          <w:sz w:val="20"/>
          <w:szCs w:val="20"/>
        </w:rPr>
        <w:t xml:space="preserve"> of sickness-related job loss of 1.20 to 1.52 would be detectable across a range of common diseases (osteoarthritis, mental illness, chronic obstructive pulmonary disease, ischaemic heart disease) wit</w:t>
      </w:r>
      <w:r>
        <w:rPr>
          <w:rFonts w:ascii="Verdana" w:hAnsi="Verdana" w:cs="Arial"/>
          <w:sz w:val="20"/>
          <w:szCs w:val="20"/>
        </w:rPr>
        <w:t>h an alpha 0.05 and a power 80%.</w:t>
      </w:r>
      <w:r w:rsidRPr="00DA5D5E">
        <w:rPr>
          <w:rFonts w:ascii="Verdana" w:hAnsi="Verdana" w:cs="Arial"/>
          <w:sz w:val="20"/>
          <w:szCs w:val="20"/>
        </w:rPr>
        <w:t xml:space="preserve"> RRs of 1.54, 1.77, and 2.25 respectively would be detectable for new consultations with neurotic illness, hypertension</w:t>
      </w:r>
      <w:r w:rsidR="00507BC3">
        <w:rPr>
          <w:rFonts w:ascii="Verdana" w:hAnsi="Verdana" w:cs="Arial"/>
          <w:sz w:val="20"/>
          <w:szCs w:val="20"/>
        </w:rPr>
        <w:t xml:space="preserve"> and angina on the same basis. </w:t>
      </w:r>
      <w:r w:rsidRPr="00DA5D5E">
        <w:rPr>
          <w:rFonts w:ascii="Verdana" w:hAnsi="Verdana" w:cs="Arial"/>
          <w:sz w:val="20"/>
          <w:szCs w:val="20"/>
        </w:rPr>
        <w:t xml:space="preserve">Actual study power </w:t>
      </w:r>
      <w:r>
        <w:rPr>
          <w:rFonts w:ascii="Verdana" w:hAnsi="Verdana" w:cs="Arial"/>
          <w:sz w:val="20"/>
          <w:szCs w:val="20"/>
        </w:rPr>
        <w:t>should</w:t>
      </w:r>
      <w:r w:rsidRPr="00DA5D5E">
        <w:rPr>
          <w:rFonts w:ascii="Verdana" w:hAnsi="Verdana" w:cs="Arial"/>
          <w:sz w:val="20"/>
          <w:szCs w:val="20"/>
        </w:rPr>
        <w:t xml:space="preserve"> be higher, given the greater than </w:t>
      </w:r>
      <w:r>
        <w:rPr>
          <w:rFonts w:ascii="Verdana" w:hAnsi="Verdana" w:cs="Arial"/>
          <w:sz w:val="20"/>
          <w:szCs w:val="20"/>
        </w:rPr>
        <w:t>anticipated</w:t>
      </w:r>
      <w:r w:rsidR="00507BC3">
        <w:rPr>
          <w:rFonts w:ascii="Verdana" w:hAnsi="Verdana" w:cs="Arial"/>
          <w:sz w:val="20"/>
          <w:szCs w:val="20"/>
        </w:rPr>
        <w:t xml:space="preserve"> numbers at baseline</w:t>
      </w:r>
      <w:r w:rsidR="00E07732">
        <w:rPr>
          <w:rFonts w:ascii="Verdana" w:hAnsi="Verdana" w:cs="Arial"/>
          <w:sz w:val="20"/>
          <w:szCs w:val="20"/>
        </w:rPr>
        <w:t xml:space="preserve"> (see below)</w:t>
      </w:r>
      <w:r w:rsidR="00507BC3">
        <w:rPr>
          <w:rFonts w:ascii="Verdana" w:hAnsi="Verdana" w:cs="Arial"/>
          <w:sz w:val="20"/>
          <w:szCs w:val="20"/>
        </w:rPr>
        <w:t>.</w:t>
      </w:r>
      <w:r>
        <w:rPr>
          <w:rFonts w:ascii="Verdana" w:hAnsi="Verdana" w:cs="Arial"/>
          <w:sz w:val="20"/>
          <w:szCs w:val="20"/>
        </w:rPr>
        <w:t xml:space="preserve"> </w:t>
      </w:r>
    </w:p>
    <w:p w14:paraId="5579E61F" w14:textId="77777777" w:rsidR="00CE1EFE" w:rsidRDefault="00CE1EFE" w:rsidP="00C33BBA">
      <w:pPr>
        <w:widowControl w:val="0"/>
        <w:autoSpaceDE w:val="0"/>
        <w:autoSpaceDN w:val="0"/>
        <w:adjustRightInd w:val="0"/>
        <w:spacing w:line="480" w:lineRule="auto"/>
        <w:rPr>
          <w:rFonts w:ascii="Verdana" w:hAnsi="Verdana" w:cs="Arial"/>
          <w:sz w:val="20"/>
          <w:szCs w:val="20"/>
        </w:rPr>
      </w:pPr>
    </w:p>
    <w:p w14:paraId="407E2980" w14:textId="619D341A" w:rsidR="00CE1EFE" w:rsidRPr="00004D8C" w:rsidRDefault="00004D8C" w:rsidP="00C33BBA">
      <w:pPr>
        <w:widowControl w:val="0"/>
        <w:autoSpaceDE w:val="0"/>
        <w:autoSpaceDN w:val="0"/>
        <w:adjustRightInd w:val="0"/>
        <w:spacing w:line="480" w:lineRule="auto"/>
        <w:rPr>
          <w:rFonts w:ascii="Verdana" w:hAnsi="Verdana"/>
          <w:b/>
          <w:bCs/>
        </w:rPr>
      </w:pPr>
      <w:r w:rsidRPr="00004D8C">
        <w:rPr>
          <w:rFonts w:ascii="Verdana" w:hAnsi="Verdana"/>
          <w:b/>
          <w:bCs/>
        </w:rPr>
        <w:t>Re</w:t>
      </w:r>
      <w:r w:rsidR="0000790C">
        <w:rPr>
          <w:rFonts w:ascii="Verdana" w:hAnsi="Verdana"/>
          <w:b/>
          <w:bCs/>
        </w:rPr>
        <w:t>sponse patterns at baseline</w:t>
      </w:r>
    </w:p>
    <w:p w14:paraId="1728E696" w14:textId="5F484844" w:rsidR="008E5737" w:rsidRDefault="00004D8C" w:rsidP="00C33BBA">
      <w:pPr>
        <w:widowControl w:val="0"/>
        <w:autoSpaceDE w:val="0"/>
        <w:autoSpaceDN w:val="0"/>
        <w:adjustRightInd w:val="0"/>
        <w:spacing w:line="480" w:lineRule="auto"/>
        <w:rPr>
          <w:rFonts w:ascii="Verdana" w:hAnsi="Verdana" w:cs="Arial"/>
          <w:sz w:val="20"/>
          <w:szCs w:val="20"/>
        </w:rPr>
      </w:pPr>
      <w:r>
        <w:rPr>
          <w:rFonts w:ascii="Verdana" w:hAnsi="Verdana" w:cs="Arial"/>
          <w:sz w:val="20"/>
          <w:szCs w:val="20"/>
        </w:rPr>
        <w:t xml:space="preserve">At baseline, </w:t>
      </w:r>
      <w:r w:rsidR="004615BB">
        <w:rPr>
          <w:rFonts w:ascii="Verdana" w:hAnsi="Verdana" w:cs="Arial"/>
          <w:sz w:val="20"/>
          <w:szCs w:val="20"/>
        </w:rPr>
        <w:t xml:space="preserve">the CPRD identified 40,357 individuals from the practices with qualifying dates of birth, but 997 of these subjects were excluded prior to mailing, principally on GPs’ advice </w:t>
      </w:r>
      <w:r w:rsidR="004615BB" w:rsidRPr="001F1C0C">
        <w:rPr>
          <w:rFonts w:ascii="Verdana" w:hAnsi="Verdana" w:cs="Arial"/>
          <w:sz w:val="20"/>
          <w:szCs w:val="20"/>
        </w:rPr>
        <w:t>(</w:t>
      </w:r>
      <w:r w:rsidR="002839DD" w:rsidRPr="001F1C0C">
        <w:rPr>
          <w:rFonts w:ascii="Verdana" w:hAnsi="Verdana" w:cs="Arial"/>
          <w:sz w:val="20"/>
          <w:szCs w:val="20"/>
        </w:rPr>
        <w:t>on grounds of terminal illness, recent bereavement, or de-registration</w:t>
      </w:r>
      <w:r w:rsidR="004615BB" w:rsidRPr="001F1C0C">
        <w:rPr>
          <w:rFonts w:ascii="Verdana" w:hAnsi="Verdana" w:cs="Arial"/>
          <w:sz w:val="20"/>
          <w:szCs w:val="20"/>
        </w:rPr>
        <w:t>).</w:t>
      </w:r>
      <w:r w:rsidR="004615BB">
        <w:rPr>
          <w:rFonts w:ascii="Verdana" w:hAnsi="Verdana" w:cs="Arial"/>
          <w:sz w:val="20"/>
          <w:szCs w:val="20"/>
        </w:rPr>
        <w:t xml:space="preserve"> Of the 39,359 people who</w:t>
      </w:r>
      <w:r>
        <w:rPr>
          <w:rFonts w:ascii="Verdana" w:hAnsi="Verdana" w:cs="Arial"/>
          <w:sz w:val="20"/>
          <w:szCs w:val="20"/>
        </w:rPr>
        <w:t xml:space="preserve"> were approached to participate</w:t>
      </w:r>
      <w:r w:rsidR="00014FA3" w:rsidRPr="00D451A9">
        <w:rPr>
          <w:rFonts w:ascii="Verdana" w:hAnsi="Verdana" w:cs="Arial"/>
          <w:sz w:val="20"/>
          <w:szCs w:val="20"/>
        </w:rPr>
        <w:t>,</w:t>
      </w:r>
      <w:r w:rsidRPr="00D451A9">
        <w:rPr>
          <w:rFonts w:ascii="Verdana" w:hAnsi="Verdana" w:cs="Arial"/>
          <w:sz w:val="20"/>
          <w:szCs w:val="20"/>
        </w:rPr>
        <w:t xml:space="preserve"> </w:t>
      </w:r>
      <w:r w:rsidR="000C1798" w:rsidRPr="00D451A9">
        <w:rPr>
          <w:rFonts w:ascii="Verdana" w:hAnsi="Verdana" w:cs="Arial"/>
          <w:sz w:val="20"/>
          <w:szCs w:val="20"/>
        </w:rPr>
        <w:t>8,</w:t>
      </w:r>
      <w:r w:rsidR="000C39B8" w:rsidRPr="00D451A9">
        <w:rPr>
          <w:rFonts w:ascii="Verdana" w:hAnsi="Verdana" w:cs="Arial"/>
          <w:sz w:val="20"/>
          <w:szCs w:val="20"/>
        </w:rPr>
        <w:t>134</w:t>
      </w:r>
      <w:r w:rsidRPr="00D451A9">
        <w:rPr>
          <w:rFonts w:ascii="Verdana" w:hAnsi="Verdana" w:cs="Arial"/>
          <w:sz w:val="20"/>
          <w:szCs w:val="20"/>
        </w:rPr>
        <w:t xml:space="preserve"> </w:t>
      </w:r>
      <w:r w:rsidR="00242EBD" w:rsidRPr="00D451A9">
        <w:rPr>
          <w:rFonts w:ascii="Verdana" w:hAnsi="Verdana" w:cs="Arial"/>
          <w:sz w:val="20"/>
          <w:szCs w:val="20"/>
        </w:rPr>
        <w:t>(</w:t>
      </w:r>
      <w:r w:rsidR="000C1798" w:rsidRPr="00D451A9">
        <w:rPr>
          <w:rFonts w:ascii="Verdana" w:hAnsi="Verdana" w:cs="Arial"/>
          <w:sz w:val="20"/>
          <w:szCs w:val="20"/>
        </w:rPr>
        <w:t>20.7</w:t>
      </w:r>
      <w:r w:rsidR="00242EBD" w:rsidRPr="00D451A9">
        <w:rPr>
          <w:rFonts w:ascii="Verdana" w:hAnsi="Verdana" w:cs="Arial"/>
          <w:sz w:val="20"/>
          <w:szCs w:val="20"/>
        </w:rPr>
        <w:t>%)</w:t>
      </w:r>
      <w:r w:rsidR="00242EBD">
        <w:rPr>
          <w:rFonts w:ascii="Verdana" w:hAnsi="Verdana" w:cs="Arial"/>
          <w:sz w:val="20"/>
          <w:szCs w:val="20"/>
        </w:rPr>
        <w:t xml:space="preserve"> </w:t>
      </w:r>
      <w:r>
        <w:rPr>
          <w:rFonts w:ascii="Verdana" w:hAnsi="Verdana" w:cs="Arial"/>
          <w:sz w:val="20"/>
          <w:szCs w:val="20"/>
        </w:rPr>
        <w:t>returned a valid questionnaire</w:t>
      </w:r>
      <w:r w:rsidR="00D451A9">
        <w:rPr>
          <w:rFonts w:ascii="Verdana" w:hAnsi="Verdana" w:cs="Arial"/>
          <w:sz w:val="20"/>
          <w:szCs w:val="20"/>
        </w:rPr>
        <w:t>, were in the target age range and</w:t>
      </w:r>
      <w:r>
        <w:rPr>
          <w:rFonts w:ascii="Verdana" w:hAnsi="Verdana" w:cs="Arial"/>
          <w:sz w:val="20"/>
          <w:szCs w:val="20"/>
        </w:rPr>
        <w:t xml:space="preserve"> consent</w:t>
      </w:r>
      <w:r w:rsidR="00242EBD">
        <w:rPr>
          <w:rFonts w:ascii="Verdana" w:hAnsi="Verdana" w:cs="Arial"/>
          <w:sz w:val="20"/>
          <w:szCs w:val="20"/>
        </w:rPr>
        <w:t>ed</w:t>
      </w:r>
      <w:r>
        <w:rPr>
          <w:rFonts w:ascii="Verdana" w:hAnsi="Verdana" w:cs="Arial"/>
          <w:sz w:val="20"/>
          <w:szCs w:val="20"/>
        </w:rPr>
        <w:t xml:space="preserve"> to</w:t>
      </w:r>
      <w:r w:rsidR="00242EBD">
        <w:rPr>
          <w:rFonts w:ascii="Verdana" w:hAnsi="Verdana" w:cs="Arial"/>
          <w:sz w:val="20"/>
          <w:szCs w:val="20"/>
        </w:rPr>
        <w:t xml:space="preserve"> be</w:t>
      </w:r>
      <w:r>
        <w:rPr>
          <w:rFonts w:ascii="Verdana" w:hAnsi="Verdana" w:cs="Arial"/>
          <w:sz w:val="20"/>
          <w:szCs w:val="20"/>
        </w:rPr>
        <w:t xml:space="preserve"> follow</w:t>
      </w:r>
      <w:r w:rsidR="00242EBD">
        <w:rPr>
          <w:rFonts w:ascii="Verdana" w:hAnsi="Verdana" w:cs="Arial"/>
          <w:sz w:val="20"/>
          <w:szCs w:val="20"/>
        </w:rPr>
        <w:t xml:space="preserve">ed </w:t>
      </w:r>
      <w:r>
        <w:rPr>
          <w:rFonts w:ascii="Verdana" w:hAnsi="Verdana" w:cs="Arial"/>
          <w:sz w:val="20"/>
          <w:szCs w:val="20"/>
        </w:rPr>
        <w:t xml:space="preserve">up. </w:t>
      </w:r>
      <w:r w:rsidR="00E246A1">
        <w:rPr>
          <w:rFonts w:ascii="Verdana" w:hAnsi="Verdana" w:cs="Arial"/>
          <w:sz w:val="20"/>
          <w:szCs w:val="20"/>
        </w:rPr>
        <w:t xml:space="preserve">Of these, </w:t>
      </w:r>
      <w:r w:rsidR="004615BB">
        <w:rPr>
          <w:rFonts w:ascii="Verdana" w:hAnsi="Verdana" w:cs="Arial"/>
          <w:sz w:val="20"/>
          <w:szCs w:val="20"/>
        </w:rPr>
        <w:t>some</w:t>
      </w:r>
      <w:r w:rsidR="00E246A1">
        <w:rPr>
          <w:rFonts w:ascii="Verdana" w:hAnsi="Verdana" w:cs="Arial"/>
          <w:sz w:val="20"/>
          <w:szCs w:val="20"/>
        </w:rPr>
        <w:t xml:space="preserve"> 200 </w:t>
      </w:r>
      <w:r w:rsidR="00BB66D6">
        <w:rPr>
          <w:rFonts w:ascii="Verdana" w:hAnsi="Verdana" w:cs="Arial"/>
          <w:sz w:val="20"/>
          <w:szCs w:val="20"/>
        </w:rPr>
        <w:t>agreed</w:t>
      </w:r>
      <w:r w:rsidR="00E246A1">
        <w:rPr>
          <w:rFonts w:ascii="Verdana" w:hAnsi="Verdana" w:cs="Arial"/>
          <w:sz w:val="20"/>
          <w:szCs w:val="20"/>
        </w:rPr>
        <w:t xml:space="preserve"> to receive further questionnaires but did not indicate whether we could access their anonymised NHS records. </w:t>
      </w:r>
      <w:r w:rsidR="000C1798">
        <w:rPr>
          <w:rFonts w:ascii="Verdana" w:hAnsi="Verdana" w:cs="Arial"/>
          <w:sz w:val="20"/>
          <w:szCs w:val="20"/>
        </w:rPr>
        <w:t xml:space="preserve">A further </w:t>
      </w:r>
      <w:r w:rsidR="006D6D19">
        <w:rPr>
          <w:rFonts w:ascii="Verdana" w:hAnsi="Verdana" w:cs="Arial"/>
          <w:sz w:val="20"/>
          <w:szCs w:val="20"/>
        </w:rPr>
        <w:t xml:space="preserve">1,291 </w:t>
      </w:r>
      <w:r w:rsidR="000C1798">
        <w:rPr>
          <w:rFonts w:ascii="Verdana" w:hAnsi="Verdana" w:cs="Arial"/>
          <w:sz w:val="20"/>
          <w:szCs w:val="20"/>
        </w:rPr>
        <w:t>completed a baseline return but did not agree to</w:t>
      </w:r>
      <w:r w:rsidR="00A148E4">
        <w:rPr>
          <w:rFonts w:ascii="Verdana" w:hAnsi="Verdana" w:cs="Arial"/>
          <w:sz w:val="20"/>
          <w:szCs w:val="20"/>
        </w:rPr>
        <w:t xml:space="preserve"> </w:t>
      </w:r>
      <w:r w:rsidR="000C1798">
        <w:rPr>
          <w:rFonts w:ascii="Verdana" w:hAnsi="Verdana" w:cs="Arial"/>
          <w:sz w:val="20"/>
          <w:szCs w:val="20"/>
        </w:rPr>
        <w:t>follow up</w:t>
      </w:r>
      <w:r w:rsidR="00E246A1">
        <w:rPr>
          <w:rFonts w:ascii="Verdana" w:hAnsi="Verdana" w:cs="Arial"/>
          <w:sz w:val="20"/>
          <w:szCs w:val="20"/>
        </w:rPr>
        <w:t>, or did not offer their contact details</w:t>
      </w:r>
      <w:r w:rsidR="000C1798">
        <w:rPr>
          <w:rFonts w:ascii="Verdana" w:hAnsi="Verdana" w:cs="Arial"/>
          <w:sz w:val="20"/>
          <w:szCs w:val="20"/>
        </w:rPr>
        <w:t>.</w:t>
      </w:r>
    </w:p>
    <w:p w14:paraId="2C74D50A" w14:textId="77777777" w:rsidR="008E5737" w:rsidRDefault="008E5737" w:rsidP="00C33BBA">
      <w:pPr>
        <w:widowControl w:val="0"/>
        <w:autoSpaceDE w:val="0"/>
        <w:autoSpaceDN w:val="0"/>
        <w:adjustRightInd w:val="0"/>
        <w:spacing w:line="480" w:lineRule="auto"/>
        <w:rPr>
          <w:rFonts w:ascii="Verdana" w:hAnsi="Verdana" w:cs="Arial"/>
          <w:sz w:val="20"/>
          <w:szCs w:val="20"/>
        </w:rPr>
      </w:pPr>
    </w:p>
    <w:p w14:paraId="37DE610C" w14:textId="60356773" w:rsidR="004615BB" w:rsidRDefault="00BB66D6" w:rsidP="00C33BBA">
      <w:pPr>
        <w:widowControl w:val="0"/>
        <w:autoSpaceDE w:val="0"/>
        <w:autoSpaceDN w:val="0"/>
        <w:adjustRightInd w:val="0"/>
        <w:spacing w:line="480" w:lineRule="auto"/>
        <w:rPr>
          <w:rFonts w:ascii="Verdana" w:hAnsi="Verdana" w:cs="Arial"/>
          <w:sz w:val="20"/>
          <w:szCs w:val="20"/>
        </w:rPr>
      </w:pPr>
      <w:r>
        <w:rPr>
          <w:rFonts w:ascii="Verdana" w:hAnsi="Verdana" w:cs="Arial"/>
          <w:sz w:val="20"/>
          <w:szCs w:val="20"/>
        </w:rPr>
        <w:t>Table 5 sets out the numbers of individuals excluded, approached and participating by deciles of relative deprivation. Classification</w:t>
      </w:r>
      <w:r w:rsidR="00E07732">
        <w:rPr>
          <w:rFonts w:ascii="Verdana" w:hAnsi="Verdana" w:cs="Arial"/>
          <w:sz w:val="20"/>
          <w:szCs w:val="20"/>
        </w:rPr>
        <w:t xml:space="preserve"> of deprivation</w:t>
      </w:r>
      <w:r>
        <w:rPr>
          <w:rFonts w:ascii="Verdana" w:hAnsi="Verdana" w:cs="Arial"/>
          <w:sz w:val="20"/>
          <w:szCs w:val="20"/>
        </w:rPr>
        <w:t xml:space="preserve"> was based on the </w:t>
      </w:r>
      <w:r w:rsidR="004615BB">
        <w:rPr>
          <w:rFonts w:ascii="Verdana" w:hAnsi="Verdana" w:cs="Arial"/>
          <w:sz w:val="20"/>
          <w:szCs w:val="20"/>
        </w:rPr>
        <w:t>postcode details</w:t>
      </w:r>
      <w:r>
        <w:rPr>
          <w:rFonts w:ascii="Verdana" w:hAnsi="Verdana" w:cs="Arial"/>
          <w:sz w:val="20"/>
          <w:szCs w:val="20"/>
        </w:rPr>
        <w:t xml:space="preserve"> of their</w:t>
      </w:r>
      <w:r w:rsidR="004615BB">
        <w:rPr>
          <w:rFonts w:ascii="Verdana" w:hAnsi="Verdana" w:cs="Arial"/>
          <w:sz w:val="20"/>
          <w:szCs w:val="20"/>
        </w:rPr>
        <w:t xml:space="preserve"> practice</w:t>
      </w:r>
      <w:r w:rsidR="00E07732">
        <w:rPr>
          <w:rFonts w:ascii="Verdana" w:hAnsi="Verdana" w:cs="Arial"/>
          <w:sz w:val="20"/>
          <w:szCs w:val="20"/>
        </w:rPr>
        <w:t>,</w:t>
      </w:r>
      <w:r>
        <w:rPr>
          <w:rFonts w:ascii="Verdana" w:hAnsi="Verdana" w:cs="Arial"/>
          <w:sz w:val="20"/>
          <w:szCs w:val="20"/>
        </w:rPr>
        <w:t xml:space="preserve"> and used</w:t>
      </w:r>
      <w:r w:rsidR="004615BB" w:rsidRPr="00242EBD">
        <w:rPr>
          <w:rFonts w:ascii="Verdana" w:hAnsi="Verdana" w:cs="Arial"/>
          <w:sz w:val="20"/>
          <w:szCs w:val="20"/>
        </w:rPr>
        <w:t xml:space="preserve"> </w:t>
      </w:r>
      <w:r w:rsidR="004615BB">
        <w:rPr>
          <w:rFonts w:ascii="Verdana" w:hAnsi="Verdana" w:cs="Arial"/>
          <w:sz w:val="20"/>
          <w:szCs w:val="20"/>
        </w:rPr>
        <w:t xml:space="preserve">the English Index of Multiple </w:t>
      </w:r>
      <w:r w:rsidR="004615BB" w:rsidRPr="00D10408">
        <w:rPr>
          <w:rFonts w:ascii="Verdana" w:hAnsi="Verdana" w:cs="Arial"/>
          <w:sz w:val="20"/>
          <w:szCs w:val="20"/>
        </w:rPr>
        <w:t>Deprivation 2010</w:t>
      </w:r>
      <w:r w:rsidR="004615BB">
        <w:rPr>
          <w:rFonts w:ascii="Verdana" w:hAnsi="Verdana" w:cs="Arial"/>
          <w:sz w:val="20"/>
          <w:szCs w:val="20"/>
        </w:rPr>
        <w:t xml:space="preserve"> (IMD</w:t>
      </w:r>
      <w:r w:rsidR="00D34B1A">
        <w:rPr>
          <w:rFonts w:ascii="Verdana" w:hAnsi="Verdana" w:cs="Arial"/>
          <w:sz w:val="20"/>
          <w:szCs w:val="20"/>
        </w:rPr>
        <w:t xml:space="preserve"> </w:t>
      </w:r>
      <w:r w:rsidR="00936453">
        <w:rPr>
          <w:rFonts w:ascii="Verdana" w:hAnsi="Verdana" w:cs="Arial"/>
          <w:sz w:val="20"/>
          <w:szCs w:val="20"/>
        </w:rPr>
        <w:t>2010) [48</w:t>
      </w:r>
      <w:r>
        <w:rPr>
          <w:rFonts w:ascii="Verdana" w:hAnsi="Verdana" w:cs="Arial"/>
          <w:sz w:val="20"/>
          <w:szCs w:val="20"/>
        </w:rPr>
        <w:t>]. This is</w:t>
      </w:r>
      <w:r w:rsidR="004615BB">
        <w:rPr>
          <w:rFonts w:ascii="Verdana" w:hAnsi="Verdana" w:cs="Arial"/>
          <w:sz w:val="20"/>
          <w:szCs w:val="20"/>
        </w:rPr>
        <w:t xml:space="preserve"> a weighted average of </w:t>
      </w:r>
      <w:r w:rsidR="004615BB" w:rsidRPr="00D10408">
        <w:rPr>
          <w:rFonts w:ascii="Verdana" w:hAnsi="Verdana" w:cs="Arial"/>
          <w:sz w:val="20"/>
          <w:szCs w:val="20"/>
        </w:rPr>
        <w:t>38 indicators</w:t>
      </w:r>
      <w:r w:rsidR="004615BB">
        <w:rPr>
          <w:rFonts w:ascii="Verdana" w:hAnsi="Verdana" w:cs="Arial"/>
          <w:sz w:val="20"/>
          <w:szCs w:val="20"/>
        </w:rPr>
        <w:t xml:space="preserve"> in</w:t>
      </w:r>
      <w:r w:rsidR="004615BB" w:rsidRPr="00D10408">
        <w:rPr>
          <w:rFonts w:ascii="Verdana" w:hAnsi="Verdana" w:cs="Arial"/>
          <w:sz w:val="20"/>
          <w:szCs w:val="20"/>
        </w:rPr>
        <w:t xml:space="preserve"> seven </w:t>
      </w:r>
      <w:r w:rsidR="004615BB">
        <w:rPr>
          <w:rFonts w:ascii="Verdana" w:hAnsi="Verdana" w:cs="Arial"/>
          <w:sz w:val="20"/>
          <w:szCs w:val="20"/>
        </w:rPr>
        <w:t>domains</w:t>
      </w:r>
      <w:r w:rsidR="004615BB" w:rsidRPr="00D10408">
        <w:rPr>
          <w:rFonts w:ascii="Verdana" w:hAnsi="Verdana" w:cs="Arial"/>
          <w:sz w:val="20"/>
          <w:szCs w:val="20"/>
        </w:rPr>
        <w:t xml:space="preserve"> of deprivation</w:t>
      </w:r>
      <w:r w:rsidR="004615BB">
        <w:rPr>
          <w:rFonts w:ascii="Verdana" w:hAnsi="Verdana" w:cs="Arial"/>
          <w:sz w:val="20"/>
          <w:szCs w:val="20"/>
        </w:rPr>
        <w:t xml:space="preserve"> – </w:t>
      </w:r>
      <w:r w:rsidR="004615BB" w:rsidRPr="00D10408">
        <w:rPr>
          <w:rFonts w:ascii="Verdana" w:hAnsi="Verdana" w:cs="Arial"/>
          <w:sz w:val="20"/>
          <w:szCs w:val="20"/>
        </w:rPr>
        <w:t xml:space="preserve">income, employment, health and disability, education skills and training, barriers to housing and </w:t>
      </w:r>
      <w:r w:rsidR="004615BB">
        <w:rPr>
          <w:rFonts w:ascii="Verdana" w:hAnsi="Verdana" w:cs="Arial"/>
          <w:sz w:val="20"/>
          <w:szCs w:val="20"/>
        </w:rPr>
        <w:t>social</w:t>
      </w:r>
      <w:r w:rsidR="004615BB" w:rsidRPr="00D10408">
        <w:rPr>
          <w:rFonts w:ascii="Verdana" w:hAnsi="Verdana" w:cs="Arial"/>
          <w:sz w:val="20"/>
          <w:szCs w:val="20"/>
        </w:rPr>
        <w:t xml:space="preserve"> services, crime and living environment</w:t>
      </w:r>
      <w:r w:rsidR="00E07732">
        <w:rPr>
          <w:rFonts w:ascii="Verdana" w:hAnsi="Verdana" w:cs="Arial"/>
          <w:sz w:val="20"/>
          <w:szCs w:val="20"/>
        </w:rPr>
        <w:t xml:space="preserve"> –</w:t>
      </w:r>
      <w:r w:rsidR="004615BB">
        <w:rPr>
          <w:rFonts w:ascii="Verdana" w:hAnsi="Verdana" w:cs="Arial"/>
          <w:sz w:val="20"/>
          <w:szCs w:val="20"/>
        </w:rPr>
        <w:t xml:space="preserve"> </w:t>
      </w:r>
      <w:r w:rsidR="004615BB" w:rsidRPr="00D10408">
        <w:rPr>
          <w:rFonts w:ascii="Verdana" w:hAnsi="Verdana" w:cs="Arial"/>
          <w:sz w:val="20"/>
          <w:szCs w:val="20"/>
        </w:rPr>
        <w:t xml:space="preserve">calculated for </w:t>
      </w:r>
      <w:r w:rsidR="004615BB">
        <w:rPr>
          <w:rFonts w:ascii="Verdana" w:hAnsi="Verdana" w:cs="Arial"/>
          <w:sz w:val="20"/>
          <w:szCs w:val="20"/>
        </w:rPr>
        <w:t>each local area unit (</w:t>
      </w:r>
      <w:r w:rsidR="004615BB" w:rsidRPr="00D10408">
        <w:rPr>
          <w:rFonts w:ascii="Verdana" w:hAnsi="Verdana" w:cs="Arial"/>
          <w:sz w:val="20"/>
          <w:szCs w:val="20"/>
        </w:rPr>
        <w:t>Lower layer Super Output Area</w:t>
      </w:r>
      <w:r w:rsidR="004615BB">
        <w:rPr>
          <w:rFonts w:ascii="Verdana" w:hAnsi="Verdana" w:cs="Arial"/>
          <w:sz w:val="20"/>
          <w:szCs w:val="20"/>
        </w:rPr>
        <w:t>)</w:t>
      </w:r>
      <w:r w:rsidR="004615BB" w:rsidRPr="00D10408">
        <w:rPr>
          <w:rFonts w:ascii="Verdana" w:hAnsi="Verdana" w:cs="Arial"/>
          <w:sz w:val="20"/>
          <w:szCs w:val="20"/>
        </w:rPr>
        <w:t xml:space="preserve"> in England</w:t>
      </w:r>
      <w:r w:rsidR="004615BB">
        <w:rPr>
          <w:rFonts w:ascii="Verdana" w:hAnsi="Verdana" w:cs="Arial"/>
          <w:sz w:val="20"/>
          <w:szCs w:val="20"/>
        </w:rPr>
        <w:t xml:space="preserve">. The sample included practices from all but one of the deciles of deprivation, but somewhat over-represented deciles 6 to 8 and under-represented deciles 1 to 3 – i.e. the sample was drawn from relatively more </w:t>
      </w:r>
      <w:r w:rsidR="008B5D74">
        <w:rPr>
          <w:rFonts w:ascii="Verdana" w:hAnsi="Verdana" w:cs="Arial"/>
          <w:sz w:val="20"/>
          <w:szCs w:val="20"/>
        </w:rPr>
        <w:t>affluent</w:t>
      </w:r>
      <w:r w:rsidR="004615BB">
        <w:rPr>
          <w:rFonts w:ascii="Verdana" w:hAnsi="Verdana" w:cs="Arial"/>
          <w:sz w:val="20"/>
          <w:szCs w:val="20"/>
        </w:rPr>
        <w:t xml:space="preserve"> catchment areas than the population of England as a whole. (The </w:t>
      </w:r>
      <w:r w:rsidR="004615BB">
        <w:rPr>
          <w:rFonts w:ascii="Verdana" w:hAnsi="Verdana" w:cs="Arial"/>
          <w:sz w:val="20"/>
          <w:szCs w:val="20"/>
        </w:rPr>
        <w:lastRenderedPageBreak/>
        <w:t>postcodes of individuals may have varied from that of their practice, but that information was available only for those who responded.)</w:t>
      </w:r>
      <w:r w:rsidR="004615BB" w:rsidRPr="00301A12">
        <w:rPr>
          <w:rFonts w:ascii="Verdana" w:hAnsi="Verdana" w:cs="Arial"/>
          <w:sz w:val="20"/>
          <w:szCs w:val="20"/>
        </w:rPr>
        <w:t xml:space="preserve"> </w:t>
      </w:r>
      <w:r w:rsidR="004615BB">
        <w:rPr>
          <w:rFonts w:ascii="Verdana" w:hAnsi="Verdana" w:cs="Arial"/>
          <w:sz w:val="20"/>
          <w:szCs w:val="20"/>
        </w:rPr>
        <w:t xml:space="preserve">Response rates </w:t>
      </w:r>
      <w:r>
        <w:rPr>
          <w:rFonts w:ascii="Verdana" w:hAnsi="Verdana" w:cs="Arial"/>
          <w:sz w:val="20"/>
          <w:szCs w:val="20"/>
        </w:rPr>
        <w:t>were</w:t>
      </w:r>
      <w:r w:rsidR="004615BB">
        <w:rPr>
          <w:rFonts w:ascii="Verdana" w:hAnsi="Verdana" w:cs="Arial"/>
          <w:sz w:val="20"/>
          <w:szCs w:val="20"/>
        </w:rPr>
        <w:t xml:space="preserve"> lowest </w:t>
      </w:r>
      <w:r>
        <w:rPr>
          <w:rFonts w:ascii="Verdana" w:hAnsi="Verdana" w:cs="Arial"/>
          <w:sz w:val="20"/>
          <w:szCs w:val="20"/>
        </w:rPr>
        <w:t xml:space="preserve">in the </w:t>
      </w:r>
      <w:r w:rsidR="008B5D74">
        <w:rPr>
          <w:rFonts w:ascii="Verdana" w:hAnsi="Verdana" w:cs="Arial"/>
          <w:sz w:val="20"/>
          <w:szCs w:val="20"/>
        </w:rPr>
        <w:t>most</w:t>
      </w:r>
      <w:r>
        <w:rPr>
          <w:rFonts w:ascii="Verdana" w:hAnsi="Verdana" w:cs="Arial"/>
          <w:sz w:val="20"/>
          <w:szCs w:val="20"/>
        </w:rPr>
        <w:t xml:space="preserve"> deprived practices but</w:t>
      </w:r>
      <w:r w:rsidR="004615BB">
        <w:rPr>
          <w:rFonts w:ascii="Verdana" w:hAnsi="Verdana" w:cs="Arial"/>
          <w:sz w:val="20"/>
          <w:szCs w:val="20"/>
        </w:rPr>
        <w:t xml:space="preserve"> </w:t>
      </w:r>
      <w:r w:rsidR="009700C6">
        <w:rPr>
          <w:rFonts w:ascii="Verdana" w:hAnsi="Verdana" w:cs="Arial"/>
          <w:sz w:val="20"/>
          <w:szCs w:val="20"/>
        </w:rPr>
        <w:t xml:space="preserve">otherwise </w:t>
      </w:r>
      <w:r w:rsidR="004615BB">
        <w:rPr>
          <w:rFonts w:ascii="Verdana" w:hAnsi="Verdana" w:cs="Arial"/>
          <w:sz w:val="20"/>
          <w:szCs w:val="20"/>
        </w:rPr>
        <w:t>varied relatively little by IMD</w:t>
      </w:r>
      <w:r w:rsidR="00D34B1A">
        <w:rPr>
          <w:rFonts w:ascii="Verdana" w:hAnsi="Verdana" w:cs="Arial"/>
          <w:sz w:val="20"/>
          <w:szCs w:val="20"/>
        </w:rPr>
        <w:t xml:space="preserve"> </w:t>
      </w:r>
      <w:r w:rsidR="004615BB">
        <w:rPr>
          <w:rFonts w:ascii="Verdana" w:hAnsi="Verdana" w:cs="Arial"/>
          <w:sz w:val="20"/>
          <w:szCs w:val="20"/>
        </w:rPr>
        <w:t xml:space="preserve">2010 grouping and showed no clear trend with index of deprivation. </w:t>
      </w:r>
    </w:p>
    <w:p w14:paraId="693DD110" w14:textId="77777777" w:rsidR="004615BB" w:rsidRDefault="004615BB" w:rsidP="00C33BBA">
      <w:pPr>
        <w:widowControl w:val="0"/>
        <w:autoSpaceDE w:val="0"/>
        <w:autoSpaceDN w:val="0"/>
        <w:adjustRightInd w:val="0"/>
        <w:spacing w:line="480" w:lineRule="auto"/>
        <w:rPr>
          <w:rFonts w:ascii="Verdana" w:hAnsi="Verdana" w:cs="Arial"/>
          <w:sz w:val="20"/>
          <w:szCs w:val="20"/>
        </w:rPr>
      </w:pPr>
    </w:p>
    <w:p w14:paraId="324E9E4D" w14:textId="5A8F49A1" w:rsidR="00242EBD" w:rsidRDefault="00BB66D6" w:rsidP="00C33BBA">
      <w:pPr>
        <w:widowControl w:val="0"/>
        <w:autoSpaceDE w:val="0"/>
        <w:autoSpaceDN w:val="0"/>
        <w:adjustRightInd w:val="0"/>
        <w:spacing w:line="480" w:lineRule="auto"/>
        <w:rPr>
          <w:rFonts w:ascii="Verdana" w:hAnsi="Verdana" w:cs="Arial"/>
          <w:sz w:val="20"/>
          <w:szCs w:val="20"/>
        </w:rPr>
      </w:pPr>
      <w:r>
        <w:rPr>
          <w:rFonts w:ascii="Verdana" w:hAnsi="Verdana" w:cs="Arial"/>
          <w:sz w:val="20"/>
          <w:szCs w:val="20"/>
        </w:rPr>
        <w:t>P</w:t>
      </w:r>
      <w:r w:rsidR="00242EBD">
        <w:rPr>
          <w:rFonts w:ascii="Verdana" w:hAnsi="Verdana" w:cs="Arial"/>
          <w:sz w:val="20"/>
          <w:szCs w:val="20"/>
        </w:rPr>
        <w:t>articipating general practices were broadly spread geographically</w:t>
      </w:r>
      <w:r w:rsidR="004615BB" w:rsidRPr="004615BB">
        <w:rPr>
          <w:rFonts w:ascii="Verdana" w:hAnsi="Verdana" w:cs="Arial"/>
          <w:sz w:val="20"/>
          <w:szCs w:val="20"/>
        </w:rPr>
        <w:t xml:space="preserve"> </w:t>
      </w:r>
      <w:r w:rsidR="004615BB">
        <w:rPr>
          <w:rFonts w:ascii="Verdana" w:hAnsi="Verdana" w:cs="Arial"/>
          <w:sz w:val="20"/>
          <w:szCs w:val="20"/>
        </w:rPr>
        <w:t>(Table 6)</w:t>
      </w:r>
      <w:r w:rsidR="00242EBD">
        <w:rPr>
          <w:rFonts w:ascii="Verdana" w:hAnsi="Verdana" w:cs="Arial"/>
          <w:sz w:val="20"/>
          <w:szCs w:val="20"/>
        </w:rPr>
        <w:t xml:space="preserve">, some 40% of respondents </w:t>
      </w:r>
      <w:r w:rsidR="00D451A9">
        <w:rPr>
          <w:rFonts w:ascii="Verdana" w:hAnsi="Verdana" w:cs="Arial"/>
          <w:sz w:val="20"/>
          <w:szCs w:val="20"/>
        </w:rPr>
        <w:t>being</w:t>
      </w:r>
      <w:r w:rsidR="00242EBD">
        <w:rPr>
          <w:rFonts w:ascii="Verdana" w:hAnsi="Verdana" w:cs="Arial"/>
          <w:sz w:val="20"/>
          <w:szCs w:val="20"/>
        </w:rPr>
        <w:t xml:space="preserve"> drawn from the South of England, </w:t>
      </w:r>
      <w:r w:rsidR="00B545BC">
        <w:rPr>
          <w:rFonts w:ascii="Verdana" w:hAnsi="Verdana" w:cs="Arial"/>
          <w:sz w:val="20"/>
          <w:szCs w:val="20"/>
        </w:rPr>
        <w:t>37%</w:t>
      </w:r>
      <w:r w:rsidR="00242EBD">
        <w:rPr>
          <w:rFonts w:ascii="Verdana" w:hAnsi="Verdana" w:cs="Arial"/>
          <w:sz w:val="20"/>
          <w:szCs w:val="20"/>
        </w:rPr>
        <w:t xml:space="preserve"> from</w:t>
      </w:r>
      <w:r w:rsidR="00740D10">
        <w:rPr>
          <w:rFonts w:ascii="Verdana" w:hAnsi="Verdana" w:cs="Arial"/>
          <w:sz w:val="20"/>
          <w:szCs w:val="20"/>
        </w:rPr>
        <w:t xml:space="preserve"> </w:t>
      </w:r>
      <w:r w:rsidR="00D34B1A">
        <w:rPr>
          <w:rFonts w:ascii="Verdana" w:hAnsi="Verdana" w:cs="Arial"/>
          <w:sz w:val="20"/>
          <w:szCs w:val="20"/>
        </w:rPr>
        <w:t xml:space="preserve">Central </w:t>
      </w:r>
      <w:r w:rsidR="00242EBD">
        <w:rPr>
          <w:rFonts w:ascii="Verdana" w:hAnsi="Verdana" w:cs="Arial"/>
          <w:sz w:val="20"/>
          <w:szCs w:val="20"/>
        </w:rPr>
        <w:t xml:space="preserve">England, and 23% from the North. Response rates </w:t>
      </w:r>
      <w:r w:rsidR="00B545BC">
        <w:rPr>
          <w:rFonts w:ascii="Verdana" w:hAnsi="Verdana" w:cs="Arial"/>
          <w:sz w:val="20"/>
          <w:szCs w:val="20"/>
        </w:rPr>
        <w:t>were somewhat lower in London and the South East (16.1%) than in other areas (19.5% to 22.0%)</w:t>
      </w:r>
      <w:r w:rsidR="00242EBD">
        <w:rPr>
          <w:rFonts w:ascii="Verdana" w:hAnsi="Verdana" w:cs="Arial"/>
          <w:sz w:val="20"/>
          <w:szCs w:val="20"/>
        </w:rPr>
        <w:t>.</w:t>
      </w:r>
    </w:p>
    <w:p w14:paraId="5DAB02FF" w14:textId="77777777" w:rsidR="00301A12" w:rsidRDefault="00301A12" w:rsidP="00C33BBA">
      <w:pPr>
        <w:widowControl w:val="0"/>
        <w:autoSpaceDE w:val="0"/>
        <w:autoSpaceDN w:val="0"/>
        <w:adjustRightInd w:val="0"/>
        <w:spacing w:line="480" w:lineRule="auto"/>
        <w:rPr>
          <w:rFonts w:ascii="Verdana" w:hAnsi="Verdana" w:cs="Arial"/>
          <w:sz w:val="20"/>
          <w:szCs w:val="20"/>
        </w:rPr>
      </w:pPr>
    </w:p>
    <w:p w14:paraId="049EDC8A" w14:textId="44674F6C" w:rsidR="00301A12" w:rsidRPr="000C39B8" w:rsidRDefault="000C39B8" w:rsidP="00C33BBA">
      <w:pPr>
        <w:widowControl w:val="0"/>
        <w:autoSpaceDE w:val="0"/>
        <w:autoSpaceDN w:val="0"/>
        <w:adjustRightInd w:val="0"/>
        <w:spacing w:line="480" w:lineRule="auto"/>
        <w:rPr>
          <w:rFonts w:ascii="Verdana" w:hAnsi="Verdana" w:cs="Arial"/>
          <w:color w:val="000000" w:themeColor="text1"/>
          <w:sz w:val="20"/>
          <w:szCs w:val="20"/>
        </w:rPr>
      </w:pPr>
      <w:r w:rsidRPr="000C39B8">
        <w:rPr>
          <w:rFonts w:ascii="Verdana" w:hAnsi="Verdana" w:cs="Arial"/>
          <w:color w:val="000000" w:themeColor="text1"/>
          <w:sz w:val="20"/>
          <w:szCs w:val="20"/>
        </w:rPr>
        <w:t>R</w:t>
      </w:r>
      <w:r w:rsidR="00BB66D6" w:rsidRPr="000C39B8">
        <w:rPr>
          <w:rFonts w:ascii="Verdana" w:hAnsi="Verdana" w:cs="Arial"/>
          <w:color w:val="000000" w:themeColor="text1"/>
          <w:sz w:val="20"/>
          <w:szCs w:val="20"/>
        </w:rPr>
        <w:t xml:space="preserve">esponse rates </w:t>
      </w:r>
      <w:r w:rsidRPr="000C39B8">
        <w:rPr>
          <w:rFonts w:ascii="Verdana" w:hAnsi="Verdana" w:cs="Arial"/>
          <w:color w:val="000000" w:themeColor="text1"/>
          <w:sz w:val="20"/>
          <w:szCs w:val="20"/>
        </w:rPr>
        <w:t>were higher at older ages</w:t>
      </w:r>
      <w:r w:rsidR="00BB66D6" w:rsidRPr="000C39B8">
        <w:rPr>
          <w:rFonts w:ascii="Verdana" w:hAnsi="Verdana" w:cs="Arial"/>
          <w:color w:val="000000" w:themeColor="text1"/>
          <w:sz w:val="20"/>
          <w:szCs w:val="20"/>
        </w:rPr>
        <w:t xml:space="preserve"> </w:t>
      </w:r>
      <w:r>
        <w:rPr>
          <w:rFonts w:ascii="Verdana" w:hAnsi="Verdana" w:cs="Arial"/>
          <w:color w:val="000000" w:themeColor="text1"/>
          <w:sz w:val="20"/>
          <w:szCs w:val="20"/>
        </w:rPr>
        <w:t xml:space="preserve">and </w:t>
      </w:r>
      <w:r w:rsidRPr="000C39B8">
        <w:rPr>
          <w:rFonts w:ascii="Verdana" w:hAnsi="Verdana" w:cs="Arial"/>
          <w:color w:val="000000" w:themeColor="text1"/>
          <w:sz w:val="20"/>
          <w:szCs w:val="20"/>
        </w:rPr>
        <w:t xml:space="preserve">higher in </w:t>
      </w:r>
      <w:r w:rsidR="00D451A9">
        <w:rPr>
          <w:rFonts w:ascii="Verdana" w:hAnsi="Verdana" w:cs="Arial"/>
          <w:color w:val="000000" w:themeColor="text1"/>
          <w:sz w:val="20"/>
          <w:szCs w:val="20"/>
        </w:rPr>
        <w:t>wo</w:t>
      </w:r>
      <w:r w:rsidRPr="000C39B8">
        <w:rPr>
          <w:rFonts w:ascii="Verdana" w:hAnsi="Verdana" w:cs="Arial"/>
          <w:color w:val="000000" w:themeColor="text1"/>
          <w:sz w:val="20"/>
          <w:szCs w:val="20"/>
        </w:rPr>
        <w:t>men than men</w:t>
      </w:r>
      <w:r w:rsidR="00BB66D6" w:rsidRPr="000C39B8">
        <w:rPr>
          <w:rFonts w:ascii="Verdana" w:hAnsi="Verdana" w:cs="Arial"/>
          <w:color w:val="000000" w:themeColor="text1"/>
          <w:sz w:val="20"/>
          <w:szCs w:val="20"/>
        </w:rPr>
        <w:t xml:space="preserve"> (T</w:t>
      </w:r>
      <w:r w:rsidR="00301A12" w:rsidRPr="000C39B8">
        <w:rPr>
          <w:rFonts w:ascii="Verdana" w:hAnsi="Verdana" w:cs="Arial"/>
          <w:color w:val="000000" w:themeColor="text1"/>
          <w:sz w:val="20"/>
          <w:szCs w:val="20"/>
        </w:rPr>
        <w:t>able 7)</w:t>
      </w:r>
      <w:r w:rsidR="004D3515" w:rsidRPr="000C39B8">
        <w:rPr>
          <w:rFonts w:ascii="Verdana" w:hAnsi="Verdana" w:cs="Arial"/>
          <w:color w:val="000000" w:themeColor="text1"/>
          <w:sz w:val="20"/>
          <w:szCs w:val="20"/>
        </w:rPr>
        <w:t>. The overall sample</w:t>
      </w:r>
      <w:r w:rsidR="00D451A9">
        <w:rPr>
          <w:rFonts w:ascii="Verdana" w:hAnsi="Verdana" w:cs="Arial"/>
          <w:color w:val="000000" w:themeColor="text1"/>
          <w:sz w:val="20"/>
          <w:szCs w:val="20"/>
        </w:rPr>
        <w:t>, therefore,</w:t>
      </w:r>
      <w:r w:rsidR="004D3515" w:rsidRPr="000C39B8">
        <w:rPr>
          <w:rFonts w:ascii="Verdana" w:hAnsi="Verdana" w:cs="Arial"/>
          <w:color w:val="000000" w:themeColor="text1"/>
          <w:sz w:val="20"/>
          <w:szCs w:val="20"/>
        </w:rPr>
        <w:t xml:space="preserve"> comprised more women than men</w:t>
      </w:r>
      <w:r w:rsidRPr="000C39B8">
        <w:rPr>
          <w:rFonts w:ascii="Verdana" w:hAnsi="Verdana" w:cs="Arial"/>
          <w:color w:val="000000" w:themeColor="text1"/>
          <w:sz w:val="20"/>
          <w:szCs w:val="20"/>
        </w:rPr>
        <w:t xml:space="preserve"> (54% vs. 46%)</w:t>
      </w:r>
      <w:r w:rsidR="004D3515" w:rsidRPr="000C39B8">
        <w:rPr>
          <w:rFonts w:ascii="Verdana" w:hAnsi="Verdana" w:cs="Arial"/>
          <w:color w:val="000000" w:themeColor="text1"/>
          <w:sz w:val="20"/>
          <w:szCs w:val="20"/>
        </w:rPr>
        <w:t xml:space="preserve"> and </w:t>
      </w:r>
      <w:r w:rsidR="00740D10" w:rsidRPr="000C39B8">
        <w:rPr>
          <w:rFonts w:ascii="Verdana" w:hAnsi="Verdana" w:cs="Arial"/>
          <w:color w:val="000000" w:themeColor="text1"/>
          <w:sz w:val="20"/>
          <w:szCs w:val="20"/>
        </w:rPr>
        <w:t xml:space="preserve">a greater proportion of </w:t>
      </w:r>
      <w:r w:rsidR="004D3515" w:rsidRPr="000C39B8">
        <w:rPr>
          <w:rFonts w:ascii="Verdana" w:hAnsi="Verdana" w:cs="Arial"/>
          <w:color w:val="000000" w:themeColor="text1"/>
          <w:sz w:val="20"/>
          <w:szCs w:val="20"/>
        </w:rPr>
        <w:t>individuals in the</w:t>
      </w:r>
      <w:r w:rsidR="00740D10" w:rsidRPr="000C39B8">
        <w:rPr>
          <w:rFonts w:ascii="Verdana" w:hAnsi="Verdana" w:cs="Arial"/>
          <w:color w:val="000000" w:themeColor="text1"/>
          <w:sz w:val="20"/>
          <w:szCs w:val="20"/>
        </w:rPr>
        <w:t xml:space="preserve"> oldest </w:t>
      </w:r>
      <w:r w:rsidR="004D3515" w:rsidRPr="000C39B8">
        <w:rPr>
          <w:rFonts w:ascii="Verdana" w:hAnsi="Verdana" w:cs="Arial"/>
          <w:color w:val="000000" w:themeColor="text1"/>
          <w:sz w:val="20"/>
          <w:szCs w:val="20"/>
        </w:rPr>
        <w:t>age band</w:t>
      </w:r>
      <w:r w:rsidR="00740D10" w:rsidRPr="000C39B8">
        <w:rPr>
          <w:rFonts w:ascii="Verdana" w:hAnsi="Verdana" w:cs="Arial"/>
          <w:color w:val="000000" w:themeColor="text1"/>
          <w:sz w:val="20"/>
          <w:szCs w:val="20"/>
        </w:rPr>
        <w:t xml:space="preserve"> </w:t>
      </w:r>
      <w:r w:rsidRPr="000C39B8">
        <w:rPr>
          <w:rFonts w:ascii="Verdana" w:hAnsi="Verdana" w:cs="Arial"/>
          <w:color w:val="000000" w:themeColor="text1"/>
          <w:sz w:val="20"/>
          <w:szCs w:val="20"/>
        </w:rPr>
        <w:t xml:space="preserve">(42%) </w:t>
      </w:r>
      <w:r w:rsidR="00740D10" w:rsidRPr="000C39B8">
        <w:rPr>
          <w:rFonts w:ascii="Verdana" w:hAnsi="Verdana" w:cs="Arial"/>
          <w:color w:val="000000" w:themeColor="text1"/>
          <w:sz w:val="20"/>
          <w:szCs w:val="20"/>
        </w:rPr>
        <w:t xml:space="preserve">compared with the </w:t>
      </w:r>
      <w:r w:rsidR="00E07732">
        <w:rPr>
          <w:rFonts w:ascii="Verdana" w:hAnsi="Verdana" w:cs="Arial"/>
          <w:color w:val="000000" w:themeColor="text1"/>
          <w:sz w:val="20"/>
          <w:szCs w:val="20"/>
        </w:rPr>
        <w:t>younger</w:t>
      </w:r>
      <w:r w:rsidR="00740D10" w:rsidRPr="000C39B8">
        <w:rPr>
          <w:rFonts w:ascii="Verdana" w:hAnsi="Verdana" w:cs="Arial"/>
          <w:color w:val="000000" w:themeColor="text1"/>
          <w:sz w:val="20"/>
          <w:szCs w:val="20"/>
        </w:rPr>
        <w:t xml:space="preserve"> age bands</w:t>
      </w:r>
      <w:r w:rsidR="00102F45" w:rsidRPr="000C39B8">
        <w:rPr>
          <w:rFonts w:ascii="Verdana" w:hAnsi="Verdana" w:cs="Arial"/>
          <w:color w:val="000000" w:themeColor="text1"/>
          <w:sz w:val="20"/>
          <w:szCs w:val="20"/>
        </w:rPr>
        <w:t xml:space="preserve"> (26-32%)</w:t>
      </w:r>
      <w:r w:rsidR="00D451A9">
        <w:rPr>
          <w:rFonts w:ascii="Verdana" w:hAnsi="Verdana" w:cs="Arial"/>
          <w:color w:val="000000" w:themeColor="text1"/>
          <w:sz w:val="20"/>
          <w:szCs w:val="20"/>
        </w:rPr>
        <w:t>. I</w:t>
      </w:r>
      <w:r>
        <w:rPr>
          <w:rFonts w:ascii="Verdana" w:hAnsi="Verdana" w:cs="Arial"/>
          <w:color w:val="000000" w:themeColor="text1"/>
          <w:sz w:val="20"/>
          <w:szCs w:val="20"/>
        </w:rPr>
        <w:t xml:space="preserve">n comparison with the general population of England aged 50-64 years in June 2013, the sample was </w:t>
      </w:r>
      <w:r w:rsidRPr="000C39B8">
        <w:rPr>
          <w:rFonts w:ascii="Verdana" w:hAnsi="Verdana" w:cs="Arial"/>
          <w:color w:val="000000" w:themeColor="text1"/>
          <w:sz w:val="20"/>
          <w:szCs w:val="20"/>
        </w:rPr>
        <w:t>somewhat</w:t>
      </w:r>
      <w:r>
        <w:rPr>
          <w:rFonts w:ascii="Verdana" w:hAnsi="Verdana" w:cs="Arial"/>
          <w:color w:val="000000" w:themeColor="text1"/>
          <w:sz w:val="20"/>
          <w:szCs w:val="20"/>
        </w:rPr>
        <w:t xml:space="preserve"> older.</w:t>
      </w:r>
    </w:p>
    <w:p w14:paraId="495AB6B4" w14:textId="77777777" w:rsidR="00AE42FC" w:rsidRDefault="00AE42FC" w:rsidP="00C33BBA">
      <w:pPr>
        <w:widowControl w:val="0"/>
        <w:autoSpaceDE w:val="0"/>
        <w:autoSpaceDN w:val="0"/>
        <w:adjustRightInd w:val="0"/>
        <w:spacing w:line="480" w:lineRule="auto"/>
        <w:rPr>
          <w:rFonts w:ascii="Verdana" w:hAnsi="Verdana" w:cs="Arial"/>
          <w:sz w:val="20"/>
          <w:szCs w:val="20"/>
        </w:rPr>
      </w:pPr>
    </w:p>
    <w:p w14:paraId="713CEAE7" w14:textId="66E5DA36" w:rsidR="007B5FC0" w:rsidRDefault="00D2002C" w:rsidP="00C33BBA">
      <w:pPr>
        <w:widowControl w:val="0"/>
        <w:autoSpaceDE w:val="0"/>
        <w:autoSpaceDN w:val="0"/>
        <w:adjustRightInd w:val="0"/>
        <w:spacing w:line="480" w:lineRule="auto"/>
        <w:rPr>
          <w:rFonts w:ascii="Verdana" w:hAnsi="Verdana" w:cs="Arial"/>
          <w:sz w:val="20"/>
          <w:szCs w:val="20"/>
        </w:rPr>
      </w:pPr>
      <w:r>
        <w:rPr>
          <w:rFonts w:ascii="Verdana" w:hAnsi="Verdana" w:cs="Arial"/>
          <w:sz w:val="20"/>
          <w:szCs w:val="20"/>
        </w:rPr>
        <w:t xml:space="preserve">Table </w:t>
      </w:r>
      <w:r w:rsidR="007B5FC0">
        <w:rPr>
          <w:rFonts w:ascii="Verdana" w:hAnsi="Verdana" w:cs="Arial"/>
          <w:sz w:val="20"/>
          <w:szCs w:val="20"/>
        </w:rPr>
        <w:t>8</w:t>
      </w:r>
      <w:r>
        <w:rPr>
          <w:rFonts w:ascii="Verdana" w:hAnsi="Verdana" w:cs="Arial"/>
          <w:sz w:val="20"/>
          <w:szCs w:val="20"/>
        </w:rPr>
        <w:t xml:space="preserve"> summarises the </w:t>
      </w:r>
      <w:r w:rsidR="007B5FC0">
        <w:rPr>
          <w:rFonts w:ascii="Verdana" w:hAnsi="Verdana" w:cs="Arial"/>
          <w:sz w:val="20"/>
          <w:szCs w:val="20"/>
        </w:rPr>
        <w:t>work status of participants at baseline</w:t>
      </w:r>
      <w:r w:rsidR="004D3515">
        <w:rPr>
          <w:rFonts w:ascii="Verdana" w:hAnsi="Verdana" w:cs="Arial"/>
          <w:sz w:val="20"/>
          <w:szCs w:val="20"/>
        </w:rPr>
        <w:t>,</w:t>
      </w:r>
      <w:r w:rsidR="007B5FC0">
        <w:rPr>
          <w:rFonts w:ascii="Verdana" w:hAnsi="Verdana" w:cs="Arial"/>
          <w:sz w:val="20"/>
          <w:szCs w:val="20"/>
        </w:rPr>
        <w:t xml:space="preserve"> </w:t>
      </w:r>
      <w:r w:rsidR="004D3515">
        <w:rPr>
          <w:rFonts w:ascii="Verdana" w:hAnsi="Verdana" w:cs="Arial"/>
          <w:sz w:val="20"/>
          <w:szCs w:val="20"/>
        </w:rPr>
        <w:t>by age and sex</w:t>
      </w:r>
      <w:r w:rsidR="00242E76">
        <w:rPr>
          <w:rFonts w:ascii="Verdana" w:hAnsi="Verdana" w:cs="Arial"/>
          <w:sz w:val="20"/>
          <w:szCs w:val="20"/>
        </w:rPr>
        <w:t>.</w:t>
      </w:r>
      <w:r w:rsidR="00736DDB">
        <w:rPr>
          <w:rFonts w:ascii="Verdana" w:hAnsi="Verdana" w:cs="Arial"/>
          <w:sz w:val="20"/>
          <w:szCs w:val="20"/>
        </w:rPr>
        <w:t xml:space="preserve">  </w:t>
      </w:r>
      <w:r>
        <w:rPr>
          <w:rFonts w:ascii="Verdana" w:hAnsi="Verdana" w:cs="Arial"/>
          <w:sz w:val="20"/>
          <w:szCs w:val="20"/>
        </w:rPr>
        <w:t>In all</w:t>
      </w:r>
      <w:r w:rsidR="006B78B0">
        <w:rPr>
          <w:rFonts w:ascii="Verdana" w:hAnsi="Verdana" w:cs="Arial"/>
          <w:sz w:val="20"/>
          <w:szCs w:val="20"/>
        </w:rPr>
        <w:t>,</w:t>
      </w:r>
      <w:r>
        <w:rPr>
          <w:rFonts w:ascii="Verdana" w:hAnsi="Verdana" w:cs="Arial"/>
          <w:sz w:val="20"/>
          <w:szCs w:val="20"/>
        </w:rPr>
        <w:t xml:space="preserve"> </w:t>
      </w:r>
      <w:r w:rsidR="00200B36">
        <w:rPr>
          <w:rFonts w:ascii="Verdana" w:hAnsi="Verdana" w:cs="Arial"/>
          <w:sz w:val="20"/>
          <w:szCs w:val="20"/>
        </w:rPr>
        <w:t>5,509 respondents (68%)</w:t>
      </w:r>
      <w:r>
        <w:rPr>
          <w:rFonts w:ascii="Verdana" w:hAnsi="Verdana" w:cs="Arial"/>
          <w:sz w:val="20"/>
          <w:szCs w:val="20"/>
        </w:rPr>
        <w:t xml:space="preserve"> were in paid work (employed or self-employed)</w:t>
      </w:r>
      <w:r w:rsidR="00014F89">
        <w:rPr>
          <w:rFonts w:ascii="Verdana" w:hAnsi="Verdana" w:cs="Arial"/>
          <w:sz w:val="20"/>
          <w:szCs w:val="20"/>
        </w:rPr>
        <w:t>, the remainder being unemployed (</w:t>
      </w:r>
      <w:r w:rsidR="00200B36">
        <w:rPr>
          <w:rFonts w:ascii="Verdana" w:hAnsi="Verdana" w:cs="Arial"/>
          <w:sz w:val="20"/>
          <w:szCs w:val="20"/>
        </w:rPr>
        <w:t>7</w:t>
      </w:r>
      <w:r w:rsidR="006B78B0">
        <w:rPr>
          <w:rFonts w:ascii="Verdana" w:hAnsi="Verdana" w:cs="Arial"/>
          <w:sz w:val="20"/>
          <w:szCs w:val="20"/>
        </w:rPr>
        <w:t>%</w:t>
      </w:r>
      <w:r w:rsidR="00014F89">
        <w:rPr>
          <w:rFonts w:ascii="Verdana" w:hAnsi="Verdana" w:cs="Arial"/>
          <w:sz w:val="20"/>
          <w:szCs w:val="20"/>
        </w:rPr>
        <w:t>) or retired (</w:t>
      </w:r>
      <w:r w:rsidR="006B78B0">
        <w:rPr>
          <w:rFonts w:ascii="Verdana" w:hAnsi="Verdana" w:cs="Arial"/>
          <w:sz w:val="20"/>
          <w:szCs w:val="20"/>
        </w:rPr>
        <w:t>26%</w:t>
      </w:r>
      <w:r w:rsidR="00014F89">
        <w:rPr>
          <w:rFonts w:ascii="Verdana" w:hAnsi="Verdana" w:cs="Arial"/>
          <w:sz w:val="20"/>
          <w:szCs w:val="20"/>
        </w:rPr>
        <w:t xml:space="preserve">). </w:t>
      </w:r>
      <w:r w:rsidR="00722FAC">
        <w:rPr>
          <w:rFonts w:ascii="Verdana" w:hAnsi="Verdana" w:cs="Arial"/>
          <w:sz w:val="20"/>
          <w:szCs w:val="20"/>
        </w:rPr>
        <w:t>These</w:t>
      </w:r>
      <w:r w:rsidR="001E48B7">
        <w:rPr>
          <w:rFonts w:ascii="Verdana" w:hAnsi="Verdana" w:cs="Arial"/>
          <w:sz w:val="20"/>
          <w:szCs w:val="20"/>
        </w:rPr>
        <w:t xml:space="preserve"> rate</w:t>
      </w:r>
      <w:r w:rsidR="00722FAC">
        <w:rPr>
          <w:rFonts w:ascii="Verdana" w:hAnsi="Verdana" w:cs="Arial"/>
          <w:sz w:val="20"/>
          <w:szCs w:val="20"/>
        </w:rPr>
        <w:t>s</w:t>
      </w:r>
      <w:r w:rsidR="001E48B7">
        <w:rPr>
          <w:rFonts w:ascii="Verdana" w:hAnsi="Verdana" w:cs="Arial"/>
          <w:sz w:val="20"/>
          <w:szCs w:val="20"/>
        </w:rPr>
        <w:t xml:space="preserve"> </w:t>
      </w:r>
      <w:r w:rsidR="00722FAC">
        <w:rPr>
          <w:rFonts w:ascii="Verdana" w:hAnsi="Verdana" w:cs="Arial"/>
          <w:sz w:val="20"/>
          <w:szCs w:val="20"/>
        </w:rPr>
        <w:t>are</w:t>
      </w:r>
      <w:r w:rsidR="001E48B7">
        <w:rPr>
          <w:rFonts w:ascii="Verdana" w:hAnsi="Verdana" w:cs="Arial"/>
          <w:sz w:val="20"/>
          <w:szCs w:val="20"/>
        </w:rPr>
        <w:t xml:space="preserve"> </w:t>
      </w:r>
      <w:r w:rsidR="00722FAC">
        <w:rPr>
          <w:rFonts w:ascii="Verdana" w:hAnsi="Verdana" w:cs="Arial"/>
          <w:sz w:val="20"/>
          <w:szCs w:val="20"/>
        </w:rPr>
        <w:t>very similar</w:t>
      </w:r>
      <w:r w:rsidR="001E48B7">
        <w:rPr>
          <w:rFonts w:ascii="Verdana" w:hAnsi="Verdana" w:cs="Arial"/>
          <w:sz w:val="20"/>
          <w:szCs w:val="20"/>
        </w:rPr>
        <w:t xml:space="preserve"> to </w:t>
      </w:r>
      <w:r w:rsidR="00722FAC">
        <w:rPr>
          <w:rFonts w:ascii="Verdana" w:hAnsi="Verdana" w:cs="Arial"/>
          <w:sz w:val="20"/>
          <w:szCs w:val="20"/>
        </w:rPr>
        <w:t>those</w:t>
      </w:r>
      <w:r w:rsidR="001E48B7">
        <w:rPr>
          <w:rFonts w:ascii="Verdana" w:hAnsi="Verdana" w:cs="Arial"/>
          <w:sz w:val="20"/>
          <w:szCs w:val="20"/>
        </w:rPr>
        <w:t xml:space="preserve"> for</w:t>
      </w:r>
      <w:r w:rsidR="00722FAC">
        <w:rPr>
          <w:rFonts w:ascii="Verdana" w:hAnsi="Verdana" w:cs="Arial"/>
          <w:sz w:val="20"/>
          <w:szCs w:val="20"/>
        </w:rPr>
        <w:t xml:space="preserve"> all</w:t>
      </w:r>
      <w:r w:rsidR="001E48B7">
        <w:rPr>
          <w:rFonts w:ascii="Verdana" w:hAnsi="Verdana" w:cs="Arial"/>
          <w:sz w:val="20"/>
          <w:szCs w:val="20"/>
        </w:rPr>
        <w:t xml:space="preserve"> 50-64 year-olds </w:t>
      </w:r>
      <w:r w:rsidR="00722FAC">
        <w:rPr>
          <w:rFonts w:ascii="Verdana" w:hAnsi="Verdana" w:cs="Arial"/>
          <w:sz w:val="20"/>
          <w:szCs w:val="20"/>
        </w:rPr>
        <w:t>in</w:t>
      </w:r>
      <w:r w:rsidR="001E48B7">
        <w:rPr>
          <w:rFonts w:ascii="Verdana" w:hAnsi="Verdana" w:cs="Arial"/>
          <w:sz w:val="20"/>
          <w:szCs w:val="20"/>
        </w:rPr>
        <w:t xml:space="preserve"> the UK, </w:t>
      </w:r>
      <w:r w:rsidR="00D24450">
        <w:rPr>
          <w:rFonts w:ascii="Verdana" w:hAnsi="Verdana" w:cs="Arial"/>
          <w:sz w:val="20"/>
          <w:szCs w:val="20"/>
        </w:rPr>
        <w:t>as judged by</w:t>
      </w:r>
      <w:r w:rsidR="001E48B7">
        <w:rPr>
          <w:rFonts w:ascii="Verdana" w:hAnsi="Verdana" w:cs="Arial"/>
          <w:sz w:val="20"/>
          <w:szCs w:val="20"/>
        </w:rPr>
        <w:t xml:space="preserve"> Labour Force Statistics</w:t>
      </w:r>
      <w:r w:rsidR="00722FAC">
        <w:rPr>
          <w:rFonts w:ascii="Verdana" w:hAnsi="Verdana" w:cs="Arial"/>
          <w:sz w:val="20"/>
          <w:szCs w:val="20"/>
        </w:rPr>
        <w:t xml:space="preserve"> for 2013 (67% in paid work, 5% unemployed, 29% economically inactive)</w:t>
      </w:r>
      <w:r w:rsidR="00936453">
        <w:rPr>
          <w:rFonts w:ascii="Verdana" w:hAnsi="Verdana" w:cs="Arial"/>
          <w:sz w:val="20"/>
          <w:szCs w:val="20"/>
        </w:rPr>
        <w:t xml:space="preserve"> [49</w:t>
      </w:r>
      <w:r w:rsidR="001E48B7">
        <w:rPr>
          <w:rFonts w:ascii="Verdana" w:hAnsi="Verdana" w:cs="Arial"/>
          <w:sz w:val="20"/>
          <w:szCs w:val="20"/>
        </w:rPr>
        <w:t xml:space="preserve">]. </w:t>
      </w:r>
      <w:r w:rsidR="006B78B0">
        <w:rPr>
          <w:rFonts w:ascii="Verdana" w:hAnsi="Verdana" w:cs="Arial"/>
          <w:sz w:val="20"/>
          <w:szCs w:val="20"/>
        </w:rPr>
        <w:t xml:space="preserve">Some </w:t>
      </w:r>
      <w:r w:rsidR="00DA587D">
        <w:rPr>
          <w:rFonts w:ascii="Verdana" w:hAnsi="Verdana" w:cs="Arial"/>
          <w:sz w:val="20"/>
          <w:szCs w:val="20"/>
        </w:rPr>
        <w:t>5</w:t>
      </w:r>
      <w:r w:rsidR="006B78B0">
        <w:rPr>
          <w:rFonts w:ascii="Verdana" w:hAnsi="Verdana" w:cs="Arial"/>
          <w:sz w:val="20"/>
          <w:szCs w:val="20"/>
        </w:rPr>
        <w:t>%</w:t>
      </w:r>
      <w:r w:rsidR="001E48B7">
        <w:rPr>
          <w:rFonts w:ascii="Verdana" w:hAnsi="Verdana" w:cs="Arial"/>
          <w:sz w:val="20"/>
          <w:szCs w:val="20"/>
        </w:rPr>
        <w:t xml:space="preserve"> of HEAF participants</w:t>
      </w:r>
      <w:r w:rsidR="007B5FC0">
        <w:rPr>
          <w:rFonts w:ascii="Verdana" w:hAnsi="Verdana" w:cs="Arial"/>
          <w:sz w:val="20"/>
          <w:szCs w:val="20"/>
        </w:rPr>
        <w:t xml:space="preserve"> h</w:t>
      </w:r>
      <w:r w:rsidR="00D24450">
        <w:rPr>
          <w:rFonts w:ascii="Verdana" w:hAnsi="Verdana" w:cs="Arial"/>
          <w:sz w:val="20"/>
          <w:szCs w:val="20"/>
        </w:rPr>
        <w:t>eld</w:t>
      </w:r>
      <w:r w:rsidR="007B5FC0">
        <w:rPr>
          <w:rFonts w:ascii="Verdana" w:hAnsi="Verdana" w:cs="Arial"/>
          <w:sz w:val="20"/>
          <w:szCs w:val="20"/>
        </w:rPr>
        <w:t xml:space="preserve"> more than one paid job. </w:t>
      </w:r>
      <w:r w:rsidR="00DA587D" w:rsidRPr="00200B36">
        <w:rPr>
          <w:rFonts w:ascii="Verdana" w:hAnsi="Verdana" w:cs="Arial"/>
          <w:sz w:val="20"/>
          <w:szCs w:val="20"/>
        </w:rPr>
        <w:t>Employment rates were lower in women than men</w:t>
      </w:r>
      <w:r w:rsidR="00200B36" w:rsidRPr="00200B36">
        <w:rPr>
          <w:rFonts w:ascii="Verdana" w:hAnsi="Verdana" w:cs="Arial"/>
          <w:sz w:val="20"/>
          <w:szCs w:val="20"/>
        </w:rPr>
        <w:t>, although differences by sex were not marked. However, they</w:t>
      </w:r>
      <w:r w:rsidR="00DA587D" w:rsidRPr="00200B36">
        <w:rPr>
          <w:rFonts w:ascii="Verdana" w:hAnsi="Verdana" w:cs="Arial"/>
          <w:sz w:val="20"/>
          <w:szCs w:val="20"/>
        </w:rPr>
        <w:t xml:space="preserve"> </w:t>
      </w:r>
      <w:r w:rsidR="00FD31C8" w:rsidRPr="00200B36">
        <w:rPr>
          <w:rFonts w:ascii="Verdana" w:hAnsi="Verdana" w:cs="Arial"/>
          <w:sz w:val="20"/>
          <w:szCs w:val="20"/>
        </w:rPr>
        <w:t>fell off steeply in the oldest band (4</w:t>
      </w:r>
      <w:r w:rsidR="00200B36" w:rsidRPr="00200B36">
        <w:rPr>
          <w:rFonts w:ascii="Verdana" w:hAnsi="Verdana" w:cs="Arial"/>
          <w:sz w:val="20"/>
          <w:szCs w:val="20"/>
        </w:rPr>
        <w:t>6</w:t>
      </w:r>
      <w:r w:rsidR="00FD31C8" w:rsidRPr="00200B36">
        <w:rPr>
          <w:rFonts w:ascii="Verdana" w:hAnsi="Verdana" w:cs="Arial"/>
          <w:sz w:val="20"/>
          <w:szCs w:val="20"/>
        </w:rPr>
        <w:t>% in work), among whom the retired proportion was substantial relative to 50-54 year-olds (51% vs. 3%).</w:t>
      </w:r>
    </w:p>
    <w:p w14:paraId="016259BA" w14:textId="77777777" w:rsidR="007B5FC0" w:rsidRDefault="007B5FC0" w:rsidP="00C33BBA">
      <w:pPr>
        <w:widowControl w:val="0"/>
        <w:autoSpaceDE w:val="0"/>
        <w:autoSpaceDN w:val="0"/>
        <w:adjustRightInd w:val="0"/>
        <w:spacing w:line="480" w:lineRule="auto"/>
        <w:rPr>
          <w:rFonts w:ascii="Verdana" w:hAnsi="Verdana" w:cs="Arial"/>
          <w:sz w:val="20"/>
          <w:szCs w:val="20"/>
        </w:rPr>
      </w:pPr>
    </w:p>
    <w:p w14:paraId="36323E90" w14:textId="382DB46C" w:rsidR="00014FA3" w:rsidRDefault="007B5FC0" w:rsidP="00C33BBA">
      <w:pPr>
        <w:widowControl w:val="0"/>
        <w:autoSpaceDE w:val="0"/>
        <w:autoSpaceDN w:val="0"/>
        <w:adjustRightInd w:val="0"/>
        <w:spacing w:line="480" w:lineRule="auto"/>
        <w:rPr>
          <w:rFonts w:ascii="Verdana" w:hAnsi="Verdana" w:cs="Arial"/>
          <w:sz w:val="20"/>
          <w:szCs w:val="20"/>
        </w:rPr>
      </w:pPr>
      <w:r>
        <w:rPr>
          <w:rFonts w:ascii="Verdana" w:hAnsi="Verdana" w:cs="Arial"/>
          <w:sz w:val="20"/>
          <w:szCs w:val="20"/>
        </w:rPr>
        <w:t>The demographic characteristics of participants, overall and by sex, are given in Table 9. Su</w:t>
      </w:r>
      <w:r w:rsidR="004D3515">
        <w:rPr>
          <w:rFonts w:ascii="Verdana" w:hAnsi="Verdana" w:cs="Arial"/>
          <w:sz w:val="20"/>
          <w:szCs w:val="20"/>
        </w:rPr>
        <w:t>bjects were typically Caucasian</w:t>
      </w:r>
      <w:r w:rsidR="00437680">
        <w:rPr>
          <w:rFonts w:ascii="Verdana" w:hAnsi="Verdana" w:cs="Arial"/>
          <w:sz w:val="20"/>
          <w:szCs w:val="20"/>
        </w:rPr>
        <w:t xml:space="preserve"> (98%)</w:t>
      </w:r>
      <w:r w:rsidR="004D3515">
        <w:rPr>
          <w:rFonts w:ascii="Verdana" w:hAnsi="Verdana" w:cs="Arial"/>
          <w:sz w:val="20"/>
          <w:szCs w:val="20"/>
        </w:rPr>
        <w:t xml:space="preserve"> and</w:t>
      </w:r>
      <w:r>
        <w:rPr>
          <w:rFonts w:ascii="Verdana" w:hAnsi="Verdana" w:cs="Arial"/>
          <w:sz w:val="20"/>
          <w:szCs w:val="20"/>
        </w:rPr>
        <w:t xml:space="preserve"> married or in a </w:t>
      </w:r>
      <w:r w:rsidR="004D3515">
        <w:rPr>
          <w:rFonts w:ascii="Verdana" w:hAnsi="Verdana" w:cs="Arial"/>
          <w:sz w:val="20"/>
          <w:szCs w:val="20"/>
        </w:rPr>
        <w:t>civil partnership</w:t>
      </w:r>
      <w:r w:rsidR="00437680">
        <w:rPr>
          <w:rFonts w:ascii="Verdana" w:hAnsi="Verdana" w:cs="Arial"/>
          <w:sz w:val="20"/>
          <w:szCs w:val="20"/>
        </w:rPr>
        <w:t xml:space="preserve"> (7</w:t>
      </w:r>
      <w:r w:rsidR="007E6287">
        <w:rPr>
          <w:rFonts w:ascii="Verdana" w:hAnsi="Verdana" w:cs="Arial"/>
          <w:sz w:val="20"/>
          <w:szCs w:val="20"/>
        </w:rPr>
        <w:t>1</w:t>
      </w:r>
      <w:r w:rsidR="00437680">
        <w:rPr>
          <w:rFonts w:ascii="Verdana" w:hAnsi="Verdana" w:cs="Arial"/>
          <w:sz w:val="20"/>
          <w:szCs w:val="20"/>
        </w:rPr>
        <w:t xml:space="preserve">%), </w:t>
      </w:r>
      <w:r w:rsidR="00D24450">
        <w:rPr>
          <w:rFonts w:ascii="Verdana" w:hAnsi="Verdana" w:cs="Arial"/>
          <w:sz w:val="20"/>
          <w:szCs w:val="20"/>
        </w:rPr>
        <w:t xml:space="preserve">figures </w:t>
      </w:r>
      <w:r w:rsidR="00437680">
        <w:rPr>
          <w:rFonts w:ascii="Verdana" w:hAnsi="Verdana" w:cs="Arial"/>
          <w:sz w:val="20"/>
          <w:szCs w:val="20"/>
        </w:rPr>
        <w:t xml:space="preserve">which compare with recent </w:t>
      </w:r>
      <w:r w:rsidR="00D24450">
        <w:rPr>
          <w:rFonts w:ascii="Verdana" w:hAnsi="Verdana" w:cs="Arial"/>
          <w:sz w:val="20"/>
          <w:szCs w:val="20"/>
        </w:rPr>
        <w:t>population values</w:t>
      </w:r>
      <w:r w:rsidR="001C2E79">
        <w:rPr>
          <w:rFonts w:ascii="Verdana" w:hAnsi="Verdana" w:cs="Arial"/>
          <w:sz w:val="20"/>
          <w:szCs w:val="20"/>
        </w:rPr>
        <w:t xml:space="preserve"> for England and Wales</w:t>
      </w:r>
      <w:r w:rsidR="00437680">
        <w:rPr>
          <w:rFonts w:ascii="Verdana" w:hAnsi="Verdana" w:cs="Arial"/>
          <w:sz w:val="20"/>
          <w:szCs w:val="20"/>
        </w:rPr>
        <w:t xml:space="preserve"> </w:t>
      </w:r>
      <w:r w:rsidR="00D24450">
        <w:rPr>
          <w:rFonts w:ascii="Verdana" w:hAnsi="Verdana" w:cs="Arial"/>
          <w:sz w:val="20"/>
          <w:szCs w:val="20"/>
        </w:rPr>
        <w:t>(</w:t>
      </w:r>
      <w:r w:rsidR="00437680">
        <w:rPr>
          <w:rFonts w:ascii="Verdana" w:hAnsi="Verdana" w:cs="Arial"/>
          <w:sz w:val="20"/>
          <w:szCs w:val="20"/>
        </w:rPr>
        <w:t xml:space="preserve">of 93% </w:t>
      </w:r>
      <w:r w:rsidR="00437680">
        <w:rPr>
          <w:rFonts w:ascii="Verdana" w:hAnsi="Verdana" w:cs="Arial"/>
          <w:sz w:val="20"/>
          <w:szCs w:val="20"/>
        </w:rPr>
        <w:lastRenderedPageBreak/>
        <w:t>[</w:t>
      </w:r>
      <w:r w:rsidR="00936453">
        <w:rPr>
          <w:rFonts w:ascii="Verdana" w:hAnsi="Verdana" w:cs="Arial"/>
          <w:sz w:val="20"/>
          <w:szCs w:val="20"/>
        </w:rPr>
        <w:t>50</w:t>
      </w:r>
      <w:r w:rsidR="00437680">
        <w:rPr>
          <w:rFonts w:ascii="Verdana" w:hAnsi="Verdana" w:cs="Arial"/>
          <w:sz w:val="20"/>
          <w:szCs w:val="20"/>
        </w:rPr>
        <w:t xml:space="preserve">] and </w:t>
      </w:r>
      <w:r w:rsidR="001C2E79">
        <w:rPr>
          <w:rFonts w:ascii="Verdana" w:hAnsi="Verdana" w:cs="Arial"/>
          <w:sz w:val="20"/>
          <w:szCs w:val="20"/>
        </w:rPr>
        <w:t>70</w:t>
      </w:r>
      <w:r w:rsidR="00437680">
        <w:rPr>
          <w:rFonts w:ascii="Verdana" w:hAnsi="Verdana" w:cs="Arial"/>
          <w:sz w:val="20"/>
          <w:szCs w:val="20"/>
        </w:rPr>
        <w:t>% [</w:t>
      </w:r>
      <w:r w:rsidR="00936453">
        <w:rPr>
          <w:rFonts w:ascii="Verdana" w:hAnsi="Verdana" w:cs="Arial"/>
          <w:sz w:val="20"/>
          <w:szCs w:val="20"/>
        </w:rPr>
        <w:t>51</w:t>
      </w:r>
      <w:r w:rsidR="00437680">
        <w:rPr>
          <w:rFonts w:ascii="Verdana" w:hAnsi="Verdana" w:cs="Arial"/>
          <w:sz w:val="20"/>
          <w:szCs w:val="20"/>
        </w:rPr>
        <w:t>] respectively</w:t>
      </w:r>
      <w:r w:rsidR="00D24450">
        <w:rPr>
          <w:rFonts w:ascii="Verdana" w:hAnsi="Verdana" w:cs="Arial"/>
          <w:sz w:val="20"/>
          <w:szCs w:val="20"/>
        </w:rPr>
        <w:t>)</w:t>
      </w:r>
      <w:r w:rsidR="004D3515">
        <w:rPr>
          <w:rFonts w:ascii="Verdana" w:hAnsi="Verdana" w:cs="Arial"/>
          <w:sz w:val="20"/>
          <w:szCs w:val="20"/>
        </w:rPr>
        <w:t>.</w:t>
      </w:r>
      <w:r>
        <w:rPr>
          <w:rFonts w:ascii="Verdana" w:hAnsi="Verdana" w:cs="Arial"/>
          <w:sz w:val="20"/>
          <w:szCs w:val="20"/>
        </w:rPr>
        <w:t xml:space="preserve"> </w:t>
      </w:r>
      <w:r w:rsidR="004D3515">
        <w:rPr>
          <w:rFonts w:ascii="Verdana" w:hAnsi="Verdana" w:cs="Arial"/>
          <w:sz w:val="20"/>
          <w:szCs w:val="20"/>
        </w:rPr>
        <w:t xml:space="preserve">One in </w:t>
      </w:r>
      <w:r w:rsidR="00350E56">
        <w:rPr>
          <w:rFonts w:ascii="Verdana" w:hAnsi="Verdana" w:cs="Arial"/>
          <w:sz w:val="20"/>
          <w:szCs w:val="20"/>
        </w:rPr>
        <w:t>seven</w:t>
      </w:r>
      <w:r w:rsidR="004D3515">
        <w:rPr>
          <w:rFonts w:ascii="Verdana" w:hAnsi="Verdana" w:cs="Arial"/>
          <w:sz w:val="20"/>
          <w:szCs w:val="20"/>
        </w:rPr>
        <w:t xml:space="preserve"> had no</w:t>
      </w:r>
      <w:r>
        <w:rPr>
          <w:rFonts w:ascii="Verdana" w:hAnsi="Verdana" w:cs="Arial"/>
          <w:sz w:val="20"/>
          <w:szCs w:val="20"/>
        </w:rPr>
        <w:t xml:space="preserve"> </w:t>
      </w:r>
      <w:r w:rsidR="006B78B0">
        <w:rPr>
          <w:rFonts w:ascii="Verdana" w:hAnsi="Verdana" w:cs="Arial"/>
          <w:sz w:val="20"/>
          <w:szCs w:val="20"/>
        </w:rPr>
        <w:t>qualifications</w:t>
      </w:r>
      <w:r w:rsidR="004D3515">
        <w:rPr>
          <w:rFonts w:ascii="Verdana" w:hAnsi="Verdana" w:cs="Arial"/>
          <w:sz w:val="20"/>
          <w:szCs w:val="20"/>
        </w:rPr>
        <w:t xml:space="preserve">, </w:t>
      </w:r>
      <w:r w:rsidR="00350E56">
        <w:rPr>
          <w:rFonts w:ascii="Verdana" w:hAnsi="Verdana" w:cs="Arial"/>
          <w:sz w:val="20"/>
          <w:szCs w:val="20"/>
        </w:rPr>
        <w:t>whereas a</w:t>
      </w:r>
      <w:r w:rsidR="004D3515">
        <w:rPr>
          <w:rFonts w:ascii="Verdana" w:hAnsi="Verdana" w:cs="Arial"/>
          <w:sz w:val="20"/>
          <w:szCs w:val="20"/>
        </w:rPr>
        <w:t xml:space="preserve"> third had a university degree or a hi</w:t>
      </w:r>
      <w:r w:rsidR="00350E56">
        <w:rPr>
          <w:rFonts w:ascii="Verdana" w:hAnsi="Verdana" w:cs="Arial"/>
          <w:sz w:val="20"/>
          <w:szCs w:val="20"/>
        </w:rPr>
        <w:t>gher professional qualification; the comparative figures for adult residents of England and Wales were 23% and 27% res</w:t>
      </w:r>
      <w:r w:rsidR="00936453">
        <w:rPr>
          <w:rFonts w:ascii="Verdana" w:hAnsi="Verdana" w:cs="Arial"/>
          <w:sz w:val="20"/>
          <w:szCs w:val="20"/>
        </w:rPr>
        <w:t>pectively at the 2011 Census [52</w:t>
      </w:r>
      <w:r w:rsidR="00350E56">
        <w:rPr>
          <w:rFonts w:ascii="Verdana" w:hAnsi="Verdana" w:cs="Arial"/>
          <w:sz w:val="20"/>
          <w:szCs w:val="20"/>
        </w:rPr>
        <w:t xml:space="preserve">]. A </w:t>
      </w:r>
      <w:r>
        <w:rPr>
          <w:rFonts w:ascii="Verdana" w:hAnsi="Verdana" w:cs="Arial"/>
          <w:sz w:val="20"/>
          <w:szCs w:val="20"/>
        </w:rPr>
        <w:t>high proportion</w:t>
      </w:r>
      <w:r w:rsidR="00350E56">
        <w:rPr>
          <w:rFonts w:ascii="Verdana" w:hAnsi="Verdana" w:cs="Arial"/>
          <w:sz w:val="20"/>
          <w:szCs w:val="20"/>
        </w:rPr>
        <w:t xml:space="preserve"> of HEAF respondents</w:t>
      </w:r>
      <w:r>
        <w:rPr>
          <w:rFonts w:ascii="Verdana" w:hAnsi="Verdana" w:cs="Arial"/>
          <w:sz w:val="20"/>
          <w:szCs w:val="20"/>
        </w:rPr>
        <w:t xml:space="preserve"> were </w:t>
      </w:r>
      <w:r w:rsidR="00D24450">
        <w:rPr>
          <w:rFonts w:ascii="Verdana" w:hAnsi="Verdana" w:cs="Arial"/>
          <w:sz w:val="20"/>
          <w:szCs w:val="20"/>
        </w:rPr>
        <w:t>o</w:t>
      </w:r>
      <w:r w:rsidR="00350E56">
        <w:rPr>
          <w:rFonts w:ascii="Verdana" w:hAnsi="Verdana" w:cs="Arial"/>
          <w:sz w:val="20"/>
          <w:szCs w:val="20"/>
        </w:rPr>
        <w:t>wner-</w:t>
      </w:r>
      <w:r w:rsidR="00D24450">
        <w:rPr>
          <w:rFonts w:ascii="Verdana" w:hAnsi="Verdana" w:cs="Arial"/>
          <w:sz w:val="20"/>
          <w:szCs w:val="20"/>
        </w:rPr>
        <w:t>occupiers</w:t>
      </w:r>
      <w:r w:rsidR="00350E56">
        <w:rPr>
          <w:rFonts w:ascii="Verdana" w:hAnsi="Verdana" w:cs="Arial"/>
          <w:sz w:val="20"/>
          <w:szCs w:val="20"/>
        </w:rPr>
        <w:t>,</w:t>
      </w:r>
      <w:r w:rsidR="00D24450">
        <w:rPr>
          <w:rFonts w:ascii="Verdana" w:hAnsi="Verdana" w:cs="Arial"/>
          <w:sz w:val="20"/>
          <w:szCs w:val="20"/>
        </w:rPr>
        <w:t xml:space="preserve"> outright</w:t>
      </w:r>
      <w:r>
        <w:rPr>
          <w:rFonts w:ascii="Verdana" w:hAnsi="Verdana" w:cs="Arial"/>
          <w:sz w:val="20"/>
          <w:szCs w:val="20"/>
        </w:rPr>
        <w:t xml:space="preserve"> or </w:t>
      </w:r>
      <w:r w:rsidR="00D24450">
        <w:rPr>
          <w:rFonts w:ascii="Verdana" w:hAnsi="Verdana" w:cs="Arial"/>
          <w:sz w:val="20"/>
          <w:szCs w:val="20"/>
        </w:rPr>
        <w:t>with</w:t>
      </w:r>
      <w:r w:rsidR="007E6287">
        <w:rPr>
          <w:rFonts w:ascii="Verdana" w:hAnsi="Verdana" w:cs="Arial"/>
          <w:sz w:val="20"/>
          <w:szCs w:val="20"/>
        </w:rPr>
        <w:t xml:space="preserve"> a</w:t>
      </w:r>
      <w:r w:rsidR="00D24450">
        <w:rPr>
          <w:rFonts w:ascii="Verdana" w:hAnsi="Verdana" w:cs="Arial"/>
          <w:sz w:val="20"/>
          <w:szCs w:val="20"/>
        </w:rPr>
        <w:t xml:space="preserve"> </w:t>
      </w:r>
      <w:r w:rsidR="006B78B0">
        <w:rPr>
          <w:rFonts w:ascii="Verdana" w:hAnsi="Verdana" w:cs="Arial"/>
          <w:sz w:val="20"/>
          <w:szCs w:val="20"/>
        </w:rPr>
        <w:t>mortgage</w:t>
      </w:r>
      <w:r w:rsidR="00D24450">
        <w:rPr>
          <w:rFonts w:ascii="Verdana" w:hAnsi="Verdana" w:cs="Arial"/>
          <w:sz w:val="20"/>
          <w:szCs w:val="20"/>
        </w:rPr>
        <w:t xml:space="preserve"> (8</w:t>
      </w:r>
      <w:r w:rsidR="007E6287">
        <w:rPr>
          <w:rFonts w:ascii="Verdana" w:hAnsi="Verdana" w:cs="Arial"/>
          <w:sz w:val="20"/>
          <w:szCs w:val="20"/>
        </w:rPr>
        <w:t>6</w:t>
      </w:r>
      <w:r w:rsidR="00D24450">
        <w:rPr>
          <w:rFonts w:ascii="Verdana" w:hAnsi="Verdana" w:cs="Arial"/>
          <w:sz w:val="20"/>
          <w:szCs w:val="20"/>
        </w:rPr>
        <w:t xml:space="preserve">%), </w:t>
      </w:r>
      <w:r w:rsidR="00350E56">
        <w:rPr>
          <w:rFonts w:ascii="Verdana" w:hAnsi="Verdana" w:cs="Arial"/>
          <w:sz w:val="20"/>
          <w:szCs w:val="20"/>
        </w:rPr>
        <w:t xml:space="preserve">and this is </w:t>
      </w:r>
      <w:r w:rsidR="00D24450">
        <w:rPr>
          <w:rFonts w:ascii="Verdana" w:hAnsi="Verdana" w:cs="Arial"/>
          <w:sz w:val="20"/>
          <w:szCs w:val="20"/>
        </w:rPr>
        <w:t>above the average for home ownership in this age group across all of England and Wales (75</w:t>
      </w:r>
      <w:r w:rsidR="00350E56">
        <w:rPr>
          <w:rFonts w:ascii="Verdana" w:hAnsi="Verdana" w:cs="Arial"/>
          <w:sz w:val="20"/>
          <w:szCs w:val="20"/>
        </w:rPr>
        <w:t>%</w:t>
      </w:r>
      <w:r w:rsidR="00350E56" w:rsidRPr="00350E56">
        <w:rPr>
          <w:rFonts w:ascii="Verdana" w:hAnsi="Verdana" w:cs="Arial"/>
          <w:sz w:val="20"/>
          <w:szCs w:val="20"/>
        </w:rPr>
        <w:t xml:space="preserve"> </w:t>
      </w:r>
      <w:r w:rsidR="00350E56">
        <w:rPr>
          <w:rFonts w:ascii="Verdana" w:hAnsi="Verdana" w:cs="Arial"/>
          <w:sz w:val="20"/>
          <w:szCs w:val="20"/>
        </w:rPr>
        <w:t>in 2011</w:t>
      </w:r>
      <w:r w:rsidR="00D24450">
        <w:rPr>
          <w:rFonts w:ascii="Verdana" w:hAnsi="Verdana" w:cs="Arial"/>
          <w:sz w:val="20"/>
          <w:szCs w:val="20"/>
        </w:rPr>
        <w:t xml:space="preserve">) </w:t>
      </w:r>
      <w:r w:rsidR="00936453">
        <w:rPr>
          <w:rFonts w:ascii="Verdana" w:hAnsi="Verdana" w:cs="Arial"/>
          <w:sz w:val="20"/>
          <w:szCs w:val="20"/>
        </w:rPr>
        <w:t>[53</w:t>
      </w:r>
      <w:r w:rsidR="00D24450">
        <w:rPr>
          <w:rFonts w:ascii="Verdana" w:hAnsi="Verdana" w:cs="Arial"/>
          <w:sz w:val="20"/>
          <w:szCs w:val="20"/>
        </w:rPr>
        <w:t>]</w:t>
      </w:r>
      <w:r w:rsidR="006B78B0">
        <w:rPr>
          <w:rFonts w:ascii="Verdana" w:hAnsi="Verdana" w:cs="Arial"/>
          <w:sz w:val="20"/>
          <w:szCs w:val="20"/>
        </w:rPr>
        <w:t xml:space="preserve">. One in five </w:t>
      </w:r>
      <w:r>
        <w:rPr>
          <w:rFonts w:ascii="Verdana" w:hAnsi="Verdana" w:cs="Arial"/>
          <w:sz w:val="20"/>
          <w:szCs w:val="20"/>
        </w:rPr>
        <w:t xml:space="preserve">lived alone. </w:t>
      </w:r>
      <w:r w:rsidR="00014FA3">
        <w:rPr>
          <w:rFonts w:ascii="Verdana" w:hAnsi="Verdana" w:cs="Arial"/>
          <w:sz w:val="20"/>
          <w:szCs w:val="20"/>
        </w:rPr>
        <w:t>Descriptive information on respondents’ circumstances of work, finances, health, well-being</w:t>
      </w:r>
      <w:r w:rsidR="00221991">
        <w:rPr>
          <w:rFonts w:ascii="Verdana" w:hAnsi="Verdana" w:cs="Arial"/>
          <w:sz w:val="20"/>
          <w:szCs w:val="20"/>
        </w:rPr>
        <w:t>,</w:t>
      </w:r>
      <w:r w:rsidR="00014FA3">
        <w:rPr>
          <w:rFonts w:ascii="Verdana" w:hAnsi="Verdana" w:cs="Arial"/>
          <w:sz w:val="20"/>
          <w:szCs w:val="20"/>
        </w:rPr>
        <w:t xml:space="preserve"> and retirement expectations and plans will feature in fu</w:t>
      </w:r>
      <w:r w:rsidR="00221991">
        <w:rPr>
          <w:rFonts w:ascii="Verdana" w:hAnsi="Verdana" w:cs="Arial"/>
          <w:sz w:val="20"/>
          <w:szCs w:val="20"/>
        </w:rPr>
        <w:t>ture</w:t>
      </w:r>
      <w:r w:rsidR="00014FA3">
        <w:rPr>
          <w:rFonts w:ascii="Verdana" w:hAnsi="Verdana" w:cs="Arial"/>
          <w:sz w:val="20"/>
          <w:szCs w:val="20"/>
        </w:rPr>
        <w:t xml:space="preserve"> </w:t>
      </w:r>
      <w:r w:rsidR="00740D10">
        <w:rPr>
          <w:rFonts w:ascii="Verdana" w:hAnsi="Verdana" w:cs="Arial"/>
          <w:sz w:val="20"/>
          <w:szCs w:val="20"/>
        </w:rPr>
        <w:t>reports</w:t>
      </w:r>
      <w:r w:rsidR="00014FA3">
        <w:rPr>
          <w:rFonts w:ascii="Verdana" w:hAnsi="Verdana" w:cs="Arial"/>
          <w:sz w:val="20"/>
          <w:szCs w:val="20"/>
        </w:rPr>
        <w:t>.</w:t>
      </w:r>
    </w:p>
    <w:p w14:paraId="4A5C092E" w14:textId="77777777" w:rsidR="003E1134" w:rsidRDefault="003E1134" w:rsidP="00C33BBA">
      <w:pPr>
        <w:widowControl w:val="0"/>
        <w:autoSpaceDE w:val="0"/>
        <w:autoSpaceDN w:val="0"/>
        <w:adjustRightInd w:val="0"/>
        <w:spacing w:line="480" w:lineRule="auto"/>
        <w:rPr>
          <w:rFonts w:ascii="Verdana" w:hAnsi="Verdana" w:cs="Arial"/>
          <w:sz w:val="20"/>
          <w:szCs w:val="20"/>
        </w:rPr>
      </w:pPr>
    </w:p>
    <w:p w14:paraId="47D8F71D" w14:textId="698CDF5C" w:rsidR="003E1134" w:rsidRDefault="003E1134" w:rsidP="00C33BBA">
      <w:pPr>
        <w:widowControl w:val="0"/>
        <w:autoSpaceDE w:val="0"/>
        <w:autoSpaceDN w:val="0"/>
        <w:adjustRightInd w:val="0"/>
        <w:spacing w:line="480" w:lineRule="auto"/>
        <w:rPr>
          <w:rFonts w:ascii="Verdana" w:hAnsi="Verdana" w:cs="Arial"/>
          <w:sz w:val="20"/>
          <w:szCs w:val="20"/>
        </w:rPr>
      </w:pPr>
      <w:r w:rsidRPr="00860A99">
        <w:rPr>
          <w:rFonts w:ascii="Verdana" w:hAnsi="Verdana"/>
          <w:sz w:val="20"/>
          <w:szCs w:val="20"/>
        </w:rPr>
        <w:t>At the time of writing, the stage 1 follow-up has been completed, with a response rate of some 80%.</w:t>
      </w:r>
    </w:p>
    <w:p w14:paraId="52A7A4D2" w14:textId="77777777" w:rsidR="00736DDB" w:rsidRPr="00B348EB" w:rsidRDefault="00736DDB" w:rsidP="00C33BBA">
      <w:pPr>
        <w:widowControl w:val="0"/>
        <w:autoSpaceDE w:val="0"/>
        <w:autoSpaceDN w:val="0"/>
        <w:adjustRightInd w:val="0"/>
        <w:spacing w:line="480" w:lineRule="auto"/>
        <w:rPr>
          <w:rFonts w:ascii="Verdana" w:hAnsi="Verdana" w:cs="Arial"/>
          <w:b/>
          <w:sz w:val="20"/>
          <w:szCs w:val="20"/>
        </w:rPr>
      </w:pPr>
    </w:p>
    <w:p w14:paraId="557207C2" w14:textId="5F109BDA" w:rsidR="00CE3631" w:rsidRPr="0020441E" w:rsidRDefault="00CE3631" w:rsidP="00C33BBA">
      <w:pPr>
        <w:widowControl w:val="0"/>
        <w:spacing w:line="480" w:lineRule="auto"/>
        <w:rPr>
          <w:rFonts w:ascii="Verdana" w:hAnsi="Verdana"/>
          <w:b/>
          <w:bCs/>
        </w:rPr>
      </w:pPr>
      <w:r w:rsidRPr="0020441E">
        <w:rPr>
          <w:rFonts w:ascii="Verdana" w:hAnsi="Verdana"/>
          <w:b/>
          <w:bCs/>
        </w:rPr>
        <w:t>Discussion</w:t>
      </w:r>
    </w:p>
    <w:p w14:paraId="14C20E80" w14:textId="77777777" w:rsidR="00350E56" w:rsidRDefault="00CE3631" w:rsidP="00C33BBA">
      <w:pPr>
        <w:widowControl w:val="0"/>
        <w:spacing w:line="480" w:lineRule="auto"/>
        <w:rPr>
          <w:rFonts w:ascii="Verdana" w:hAnsi="Verdana"/>
          <w:sz w:val="20"/>
          <w:szCs w:val="20"/>
        </w:rPr>
      </w:pPr>
      <w:r>
        <w:rPr>
          <w:rFonts w:ascii="Verdana" w:hAnsi="Verdana"/>
          <w:sz w:val="20"/>
          <w:szCs w:val="20"/>
        </w:rPr>
        <w:t xml:space="preserve">The HEAF study is set to generate substantial information which will be the subject of multiple reports. </w:t>
      </w:r>
    </w:p>
    <w:p w14:paraId="35D42CFE" w14:textId="77777777" w:rsidR="00350E56" w:rsidRDefault="00350E56" w:rsidP="00C33BBA">
      <w:pPr>
        <w:widowControl w:val="0"/>
        <w:spacing w:line="480" w:lineRule="auto"/>
        <w:rPr>
          <w:rFonts w:ascii="Verdana" w:hAnsi="Verdana"/>
          <w:sz w:val="20"/>
          <w:szCs w:val="20"/>
        </w:rPr>
      </w:pPr>
    </w:p>
    <w:p w14:paraId="3089F60C" w14:textId="2322FB5B" w:rsidR="00CE3631" w:rsidRDefault="00CE3631" w:rsidP="00C33BBA">
      <w:pPr>
        <w:widowControl w:val="0"/>
        <w:spacing w:line="480" w:lineRule="auto"/>
        <w:rPr>
          <w:rFonts w:ascii="Verdana" w:hAnsi="Verdana"/>
          <w:sz w:val="20"/>
        </w:rPr>
      </w:pPr>
      <w:r>
        <w:rPr>
          <w:rFonts w:ascii="Verdana" w:hAnsi="Verdana"/>
          <w:sz w:val="20"/>
          <w:szCs w:val="20"/>
        </w:rPr>
        <w:t xml:space="preserve">A particular strength </w:t>
      </w:r>
      <w:r w:rsidR="00350E56">
        <w:rPr>
          <w:rFonts w:ascii="Verdana" w:hAnsi="Verdana"/>
          <w:sz w:val="20"/>
          <w:szCs w:val="20"/>
        </w:rPr>
        <w:t xml:space="preserve">of the study </w:t>
      </w:r>
      <w:r>
        <w:rPr>
          <w:rFonts w:ascii="Verdana" w:hAnsi="Verdana"/>
          <w:sz w:val="20"/>
          <w:szCs w:val="20"/>
        </w:rPr>
        <w:t xml:space="preserve">is that it is nested </w:t>
      </w:r>
      <w:r w:rsidRPr="008B3169">
        <w:rPr>
          <w:rFonts w:ascii="Verdana" w:hAnsi="Verdana"/>
          <w:sz w:val="20"/>
          <w:szCs w:val="20"/>
        </w:rPr>
        <w:t>within the dynamic population</w:t>
      </w:r>
      <w:r>
        <w:rPr>
          <w:rFonts w:ascii="Verdana" w:hAnsi="Verdana"/>
          <w:sz w:val="20"/>
          <w:szCs w:val="20"/>
        </w:rPr>
        <w:t xml:space="preserve"> of</w:t>
      </w:r>
      <w:r w:rsidRPr="008B3169">
        <w:rPr>
          <w:rFonts w:ascii="Verdana" w:hAnsi="Verdana"/>
          <w:sz w:val="20"/>
          <w:szCs w:val="20"/>
        </w:rPr>
        <w:t xml:space="preserve"> patient</w:t>
      </w:r>
      <w:r>
        <w:rPr>
          <w:rFonts w:ascii="Verdana" w:hAnsi="Verdana"/>
          <w:sz w:val="20"/>
          <w:szCs w:val="20"/>
        </w:rPr>
        <w:t>s</w:t>
      </w:r>
      <w:r w:rsidRPr="008B3169">
        <w:rPr>
          <w:rFonts w:ascii="Verdana" w:hAnsi="Verdana"/>
          <w:sz w:val="20"/>
          <w:szCs w:val="20"/>
        </w:rPr>
        <w:t xml:space="preserve"> registered with the CPRD</w:t>
      </w:r>
      <w:r>
        <w:rPr>
          <w:rFonts w:ascii="Verdana" w:hAnsi="Verdana"/>
          <w:sz w:val="20"/>
          <w:szCs w:val="20"/>
        </w:rPr>
        <w:t xml:space="preserve">; record </w:t>
      </w:r>
      <w:r w:rsidRPr="008B3169">
        <w:rPr>
          <w:rFonts w:ascii="Verdana" w:hAnsi="Verdana"/>
          <w:sz w:val="20"/>
        </w:rPr>
        <w:t>linkage</w:t>
      </w:r>
      <w:r>
        <w:rPr>
          <w:rFonts w:ascii="Verdana" w:hAnsi="Verdana"/>
          <w:sz w:val="20"/>
        </w:rPr>
        <w:t xml:space="preserve"> will thus</w:t>
      </w:r>
      <w:r w:rsidRPr="008B3169">
        <w:rPr>
          <w:rFonts w:ascii="Verdana" w:hAnsi="Verdana"/>
          <w:sz w:val="20"/>
        </w:rPr>
        <w:t xml:space="preserve"> </w:t>
      </w:r>
      <w:r>
        <w:rPr>
          <w:rFonts w:ascii="Verdana" w:hAnsi="Verdana"/>
          <w:sz w:val="20"/>
        </w:rPr>
        <w:t>allow</w:t>
      </w:r>
      <w:r w:rsidRPr="008B3169">
        <w:rPr>
          <w:rFonts w:ascii="Verdana" w:hAnsi="Verdana"/>
          <w:sz w:val="20"/>
        </w:rPr>
        <w:t xml:space="preserve"> cos</w:t>
      </w:r>
      <w:r>
        <w:rPr>
          <w:rFonts w:ascii="Verdana" w:hAnsi="Verdana"/>
          <w:sz w:val="20"/>
        </w:rPr>
        <w:t xml:space="preserve">t-effective capture of </w:t>
      </w:r>
      <w:r w:rsidRPr="008B3169">
        <w:rPr>
          <w:rFonts w:ascii="Verdana" w:hAnsi="Verdana"/>
          <w:sz w:val="20"/>
        </w:rPr>
        <w:t>detailed</w:t>
      </w:r>
      <w:r w:rsidRPr="009C0451">
        <w:rPr>
          <w:rFonts w:ascii="Verdana" w:hAnsi="Verdana"/>
          <w:sz w:val="20"/>
        </w:rPr>
        <w:t xml:space="preserve"> </w:t>
      </w:r>
      <w:r w:rsidRPr="008B3169">
        <w:rPr>
          <w:rFonts w:ascii="Verdana" w:hAnsi="Verdana"/>
          <w:sz w:val="20"/>
        </w:rPr>
        <w:t>health data</w:t>
      </w:r>
      <w:r>
        <w:rPr>
          <w:rFonts w:ascii="Verdana" w:hAnsi="Verdana"/>
          <w:sz w:val="20"/>
        </w:rPr>
        <w:t xml:space="preserve"> without reliance on the memory of study participants</w:t>
      </w:r>
      <w:r w:rsidRPr="008B3169">
        <w:rPr>
          <w:rFonts w:ascii="Verdana" w:hAnsi="Verdana"/>
          <w:sz w:val="20"/>
        </w:rPr>
        <w:t>.</w:t>
      </w:r>
      <w:r>
        <w:rPr>
          <w:rFonts w:ascii="Verdana" w:hAnsi="Verdana"/>
          <w:sz w:val="20"/>
        </w:rPr>
        <w:t xml:space="preserve"> </w:t>
      </w:r>
      <w:r w:rsidRPr="00CE3631">
        <w:rPr>
          <w:rFonts w:ascii="Verdana" w:hAnsi="Verdana"/>
          <w:sz w:val="20"/>
        </w:rPr>
        <w:t xml:space="preserve">The study involves a novel use of the CPRD database: prior studies have employed registry-based surveillance, nested case-control analyses and a randomised trial, but not </w:t>
      </w:r>
      <w:r w:rsidR="00E07732">
        <w:rPr>
          <w:rFonts w:ascii="Verdana" w:hAnsi="Verdana"/>
          <w:sz w:val="20"/>
        </w:rPr>
        <w:t>so</w:t>
      </w:r>
      <w:r w:rsidRPr="00CE3631">
        <w:rPr>
          <w:rFonts w:ascii="Verdana" w:hAnsi="Verdana"/>
          <w:sz w:val="20"/>
        </w:rPr>
        <w:t xml:space="preserve"> far observational follow-up of a cohort.</w:t>
      </w:r>
    </w:p>
    <w:p w14:paraId="2BABB642" w14:textId="77777777" w:rsidR="00CE3631" w:rsidRDefault="00CE3631" w:rsidP="00C33BBA">
      <w:pPr>
        <w:widowControl w:val="0"/>
        <w:spacing w:line="480" w:lineRule="auto"/>
        <w:rPr>
          <w:rFonts w:ascii="Verdana" w:hAnsi="Verdana"/>
          <w:sz w:val="20"/>
        </w:rPr>
      </w:pPr>
    </w:p>
    <w:p w14:paraId="5F19F707" w14:textId="3F84F1FB" w:rsidR="00EF29B9" w:rsidRDefault="00CE3631" w:rsidP="00C33BBA">
      <w:pPr>
        <w:widowControl w:val="0"/>
        <w:spacing w:line="480" w:lineRule="auto"/>
        <w:rPr>
          <w:rFonts w:ascii="Verdana" w:hAnsi="Verdana"/>
          <w:sz w:val="20"/>
        </w:rPr>
      </w:pPr>
      <w:r>
        <w:rPr>
          <w:rFonts w:ascii="Verdana" w:hAnsi="Verdana"/>
          <w:sz w:val="20"/>
        </w:rPr>
        <w:t xml:space="preserve">A limitation, at least at baseline, is that response rates were relatively low. </w:t>
      </w:r>
      <w:r w:rsidRPr="00CE3631">
        <w:rPr>
          <w:rFonts w:ascii="Verdana" w:hAnsi="Verdana"/>
          <w:sz w:val="20"/>
        </w:rPr>
        <w:t xml:space="preserve">However, </w:t>
      </w:r>
      <w:r w:rsidR="00350E56">
        <w:rPr>
          <w:rFonts w:ascii="Verdana" w:hAnsi="Verdana"/>
          <w:sz w:val="20"/>
        </w:rPr>
        <w:t xml:space="preserve">the recruited sample, although somewhat </w:t>
      </w:r>
      <w:r w:rsidR="009914E3">
        <w:rPr>
          <w:rFonts w:ascii="Verdana" w:hAnsi="Verdana"/>
          <w:sz w:val="20"/>
        </w:rPr>
        <w:t xml:space="preserve">older, better educated, and wealthier than 50-64 year-olds in the population at large, was reasonably representative, especially in terms of employment status, ethnicity and marital status, and included participants from most regions of England and most deciles of neighbourhood material affluence or deprivation.  Moreover, </w:t>
      </w:r>
      <w:r>
        <w:rPr>
          <w:rFonts w:ascii="Verdana" w:hAnsi="Verdana"/>
          <w:sz w:val="20"/>
        </w:rPr>
        <w:t xml:space="preserve">in terms of the critical longitudinal questions, about work transitions and </w:t>
      </w:r>
      <w:r>
        <w:rPr>
          <w:rFonts w:ascii="Verdana" w:hAnsi="Verdana"/>
          <w:sz w:val="20"/>
        </w:rPr>
        <w:lastRenderedPageBreak/>
        <w:t>changes in health,</w:t>
      </w:r>
      <w:r w:rsidRPr="00CE3631">
        <w:rPr>
          <w:rFonts w:ascii="Verdana" w:hAnsi="Verdana"/>
          <w:sz w:val="20"/>
        </w:rPr>
        <w:t xml:space="preserve"> </w:t>
      </w:r>
      <w:r>
        <w:rPr>
          <w:rFonts w:ascii="Verdana" w:hAnsi="Verdana"/>
          <w:sz w:val="20"/>
        </w:rPr>
        <w:t xml:space="preserve">the </w:t>
      </w:r>
      <w:r w:rsidRPr="00CE3631">
        <w:rPr>
          <w:rFonts w:ascii="Verdana" w:hAnsi="Verdana"/>
          <w:sz w:val="20"/>
        </w:rPr>
        <w:t>important response rate</w:t>
      </w:r>
      <w:r w:rsidR="00EF29B9">
        <w:rPr>
          <w:rFonts w:ascii="Verdana" w:hAnsi="Verdana"/>
          <w:sz w:val="20"/>
        </w:rPr>
        <w:t>s</w:t>
      </w:r>
      <w:r w:rsidRPr="00CE3631">
        <w:rPr>
          <w:rFonts w:ascii="Verdana" w:hAnsi="Verdana"/>
          <w:sz w:val="20"/>
        </w:rPr>
        <w:t xml:space="preserve"> for judging internal validity </w:t>
      </w:r>
      <w:r w:rsidR="00740D10">
        <w:rPr>
          <w:rFonts w:ascii="Verdana" w:hAnsi="Verdana"/>
          <w:sz w:val="20"/>
        </w:rPr>
        <w:t>will be those</w:t>
      </w:r>
      <w:r w:rsidRPr="00CE3631">
        <w:rPr>
          <w:rFonts w:ascii="Verdana" w:hAnsi="Verdana"/>
          <w:sz w:val="20"/>
        </w:rPr>
        <w:t xml:space="preserve"> </w:t>
      </w:r>
      <w:r w:rsidR="00E07732">
        <w:rPr>
          <w:rFonts w:ascii="Verdana" w:hAnsi="Verdana"/>
          <w:sz w:val="20"/>
        </w:rPr>
        <w:t>at follow-up (</w:t>
      </w:r>
      <w:r w:rsidRPr="00CE3631">
        <w:rPr>
          <w:rFonts w:ascii="Verdana" w:hAnsi="Verdana"/>
          <w:sz w:val="20"/>
        </w:rPr>
        <w:t>as explained in standard texts</w:t>
      </w:r>
      <w:r>
        <w:rPr>
          <w:rFonts w:ascii="Verdana" w:hAnsi="Verdana"/>
          <w:sz w:val="20"/>
        </w:rPr>
        <w:t xml:space="preserve"> [</w:t>
      </w:r>
      <w:r w:rsidR="00936453">
        <w:rPr>
          <w:rFonts w:ascii="Verdana" w:hAnsi="Verdana"/>
          <w:sz w:val="20"/>
        </w:rPr>
        <w:t>54</w:t>
      </w:r>
      <w:r>
        <w:rPr>
          <w:rFonts w:ascii="Verdana" w:hAnsi="Verdana"/>
          <w:sz w:val="20"/>
        </w:rPr>
        <w:t>]</w:t>
      </w:r>
      <w:r w:rsidR="00E07732">
        <w:rPr>
          <w:rFonts w:ascii="Verdana" w:hAnsi="Verdana"/>
          <w:sz w:val="20"/>
        </w:rPr>
        <w:t>),</w:t>
      </w:r>
      <w:r w:rsidR="00EF29B9">
        <w:rPr>
          <w:rFonts w:ascii="Verdana" w:hAnsi="Verdana"/>
          <w:sz w:val="20"/>
        </w:rPr>
        <w:t xml:space="preserve"> and these initially have been </w:t>
      </w:r>
      <w:r w:rsidR="00350E56">
        <w:rPr>
          <w:rFonts w:ascii="Verdana" w:hAnsi="Verdana"/>
          <w:sz w:val="20"/>
        </w:rPr>
        <w:t>satisfactory</w:t>
      </w:r>
      <w:r>
        <w:rPr>
          <w:rFonts w:ascii="Verdana" w:hAnsi="Verdana"/>
          <w:sz w:val="20"/>
        </w:rPr>
        <w:t>.</w:t>
      </w:r>
      <w:r w:rsidR="00EF29B9" w:rsidRPr="00EF29B9">
        <w:t xml:space="preserve"> </w:t>
      </w:r>
      <w:r w:rsidR="00740D10">
        <w:rPr>
          <w:rFonts w:ascii="Verdana" w:hAnsi="Verdana"/>
          <w:sz w:val="20"/>
        </w:rPr>
        <w:t>Also</w:t>
      </w:r>
      <w:r w:rsidR="00EF29B9">
        <w:rPr>
          <w:rFonts w:ascii="Verdana" w:hAnsi="Verdana"/>
          <w:sz w:val="20"/>
        </w:rPr>
        <w:t xml:space="preserve">, while many variables of interest </w:t>
      </w:r>
      <w:r w:rsidR="009914E3">
        <w:rPr>
          <w:rFonts w:ascii="Verdana" w:hAnsi="Verdana"/>
          <w:sz w:val="20"/>
        </w:rPr>
        <w:t>are</w:t>
      </w:r>
      <w:r w:rsidR="00EF29B9">
        <w:rPr>
          <w:rFonts w:ascii="Verdana" w:hAnsi="Verdana"/>
          <w:sz w:val="20"/>
        </w:rPr>
        <w:t xml:space="preserve"> self-reported (e.g. feelings about work and retirement), r</w:t>
      </w:r>
      <w:r w:rsidR="00EF29B9" w:rsidRPr="00EF29B9">
        <w:rPr>
          <w:rFonts w:ascii="Verdana" w:hAnsi="Verdana"/>
          <w:sz w:val="20"/>
        </w:rPr>
        <w:t xml:space="preserve">ecall bias </w:t>
      </w:r>
      <w:r w:rsidR="009914E3">
        <w:rPr>
          <w:rFonts w:ascii="Verdana" w:hAnsi="Verdana"/>
          <w:sz w:val="20"/>
        </w:rPr>
        <w:t>should</w:t>
      </w:r>
      <w:r w:rsidR="00E07732">
        <w:rPr>
          <w:rFonts w:ascii="Verdana" w:hAnsi="Verdana"/>
          <w:sz w:val="20"/>
        </w:rPr>
        <w:t xml:space="preserve"> be of less</w:t>
      </w:r>
      <w:r w:rsidR="00EF29B9">
        <w:rPr>
          <w:rFonts w:ascii="Verdana" w:hAnsi="Verdana"/>
          <w:sz w:val="20"/>
        </w:rPr>
        <w:t xml:space="preserve"> concern for</w:t>
      </w:r>
      <w:r w:rsidR="00EF29B9" w:rsidRPr="00EF29B9">
        <w:rPr>
          <w:rFonts w:ascii="Verdana" w:hAnsi="Verdana"/>
          <w:sz w:val="20"/>
        </w:rPr>
        <w:t xml:space="preserve"> subjective inquiries made prospec</w:t>
      </w:r>
      <w:r w:rsidR="00EF29B9">
        <w:rPr>
          <w:rFonts w:ascii="Verdana" w:hAnsi="Verdana"/>
          <w:sz w:val="20"/>
        </w:rPr>
        <w:t xml:space="preserve">tively, ahead of </w:t>
      </w:r>
      <w:r w:rsidR="009914E3">
        <w:rPr>
          <w:rFonts w:ascii="Verdana" w:hAnsi="Verdana"/>
          <w:sz w:val="20"/>
        </w:rPr>
        <w:t xml:space="preserve">the main </w:t>
      </w:r>
      <w:r w:rsidR="00EF29B9">
        <w:rPr>
          <w:rFonts w:ascii="Verdana" w:hAnsi="Verdana"/>
          <w:sz w:val="20"/>
        </w:rPr>
        <w:t>study outcomes.</w:t>
      </w:r>
    </w:p>
    <w:p w14:paraId="12A073DF" w14:textId="77777777" w:rsidR="00CE3631" w:rsidRDefault="00CE3631" w:rsidP="00C33BBA">
      <w:pPr>
        <w:widowControl w:val="0"/>
        <w:spacing w:line="480" w:lineRule="auto"/>
        <w:rPr>
          <w:rFonts w:ascii="Verdana" w:hAnsi="Verdana"/>
          <w:sz w:val="20"/>
        </w:rPr>
      </w:pPr>
    </w:p>
    <w:p w14:paraId="3DB0F51F" w14:textId="580DF7C4" w:rsidR="00AB4E73" w:rsidRDefault="009914E3" w:rsidP="00C33BBA">
      <w:pPr>
        <w:widowControl w:val="0"/>
        <w:spacing w:line="480" w:lineRule="auto"/>
        <w:rPr>
          <w:rFonts w:ascii="Verdana" w:hAnsi="Verdana" w:cs="Arial"/>
          <w:sz w:val="20"/>
          <w:szCs w:val="20"/>
        </w:rPr>
      </w:pPr>
      <w:r>
        <w:rPr>
          <w:rFonts w:ascii="Verdana" w:hAnsi="Verdana"/>
          <w:sz w:val="20"/>
        </w:rPr>
        <w:t>In summary, the HEAF study is a major new resource for the investigation of health risks and benefits of extended working</w:t>
      </w:r>
      <w:r w:rsidR="00FB33F5">
        <w:rPr>
          <w:rFonts w:ascii="Verdana" w:hAnsi="Verdana"/>
          <w:sz w:val="20"/>
        </w:rPr>
        <w:t xml:space="preserve"> lives. Although the data collected have inevitable limitations, they should allow exploration of many policy-relevant questions on work at older ages and the factors that may support the continuing employment, healthy ageing, and well-being of the ageing workforce. Opportunities exist, also, to make face-to-face </w:t>
      </w:r>
      <w:r w:rsidR="00D17EA6">
        <w:rPr>
          <w:rFonts w:ascii="Verdana" w:hAnsi="Verdana"/>
          <w:sz w:val="20"/>
        </w:rPr>
        <w:t xml:space="preserve">objective </w:t>
      </w:r>
      <w:r w:rsidR="00FB33F5">
        <w:rPr>
          <w:rFonts w:ascii="Verdana" w:hAnsi="Verdana"/>
          <w:sz w:val="20"/>
        </w:rPr>
        <w:t xml:space="preserve">assessments of physical and cognitive function within subsamples of the HEAF cohort, and to pool data with </w:t>
      </w:r>
      <w:r w:rsidR="00FB33F5" w:rsidRPr="00FB33F5">
        <w:rPr>
          <w:rFonts w:ascii="Verdana" w:hAnsi="Verdana"/>
          <w:sz w:val="20"/>
          <w:szCs w:val="20"/>
        </w:rPr>
        <w:t>similarly aimed cohort studies</w:t>
      </w:r>
      <w:r w:rsidR="00FB33F5" w:rsidRPr="00FB33F5">
        <w:rPr>
          <w:rFonts w:ascii="Verdana" w:hAnsi="Verdana"/>
          <w:sz w:val="20"/>
        </w:rPr>
        <w:t xml:space="preserve"> </w:t>
      </w:r>
      <w:r w:rsidR="00FB33F5" w:rsidRPr="00FB33F5">
        <w:rPr>
          <w:rFonts w:ascii="Verdana" w:hAnsi="Verdana"/>
          <w:sz w:val="20"/>
          <w:szCs w:val="20"/>
        </w:rPr>
        <w:t xml:space="preserve">of work transitions in older people from other countries, </w:t>
      </w:r>
      <w:r w:rsidR="00FB33F5" w:rsidRPr="00FB33F5">
        <w:rPr>
          <w:rFonts w:ascii="Verdana" w:hAnsi="Verdana"/>
          <w:sz w:val="20"/>
        </w:rPr>
        <w:t>thereby adding to the cohort’s long-term value.</w:t>
      </w:r>
      <w:r w:rsidR="00FB33F5">
        <w:rPr>
          <w:rFonts w:ascii="Verdana" w:hAnsi="Verdana"/>
          <w:sz w:val="20"/>
        </w:rPr>
        <w:t xml:space="preserve"> </w:t>
      </w:r>
    </w:p>
    <w:p w14:paraId="6978F2B8" w14:textId="77777777" w:rsidR="00AB4E73" w:rsidRDefault="00AB4E73" w:rsidP="00C33BBA">
      <w:pPr>
        <w:widowControl w:val="0"/>
        <w:spacing w:line="480" w:lineRule="auto"/>
        <w:rPr>
          <w:rFonts w:ascii="Verdana" w:hAnsi="Verdana" w:cs="Arial"/>
          <w:sz w:val="20"/>
          <w:szCs w:val="20"/>
        </w:rPr>
      </w:pPr>
    </w:p>
    <w:p w14:paraId="60046392" w14:textId="77777777" w:rsidR="00AB4E73" w:rsidRDefault="00AB4E73" w:rsidP="00C33BBA">
      <w:pPr>
        <w:widowControl w:val="0"/>
        <w:spacing w:line="480" w:lineRule="auto"/>
        <w:rPr>
          <w:rFonts w:ascii="Verdana" w:hAnsi="Verdana" w:cs="Arial"/>
          <w:sz w:val="20"/>
          <w:szCs w:val="20"/>
        </w:rPr>
      </w:pPr>
    </w:p>
    <w:p w14:paraId="4FEAFEF6" w14:textId="48B882A6" w:rsidR="005C1F97" w:rsidRPr="003F6A6C" w:rsidRDefault="005C1F97" w:rsidP="00C33BBA">
      <w:pPr>
        <w:spacing w:line="480" w:lineRule="auto"/>
        <w:rPr>
          <w:rFonts w:ascii="Verdana" w:hAnsi="Verdana"/>
          <w:b/>
          <w:bCs/>
          <w:sz w:val="22"/>
          <w:szCs w:val="22"/>
        </w:rPr>
      </w:pPr>
      <w:r w:rsidRPr="003F6A6C">
        <w:rPr>
          <w:rFonts w:ascii="Verdana" w:hAnsi="Verdana"/>
          <w:b/>
          <w:bCs/>
          <w:sz w:val="22"/>
          <w:szCs w:val="22"/>
        </w:rPr>
        <w:t>Acknowledgements</w:t>
      </w:r>
    </w:p>
    <w:p w14:paraId="5EA4EE84" w14:textId="554BE958" w:rsidR="005C1F97" w:rsidRDefault="005C1F97" w:rsidP="00C33BBA">
      <w:pPr>
        <w:widowControl w:val="0"/>
        <w:autoSpaceDE w:val="0"/>
        <w:autoSpaceDN w:val="0"/>
        <w:adjustRightInd w:val="0"/>
        <w:spacing w:line="480" w:lineRule="auto"/>
        <w:rPr>
          <w:rFonts w:ascii="Verdana" w:hAnsi="Verdana" w:cs="Arial"/>
          <w:sz w:val="20"/>
          <w:szCs w:val="20"/>
        </w:rPr>
      </w:pPr>
      <w:r w:rsidRPr="00D849C2">
        <w:rPr>
          <w:rFonts w:ascii="Verdana" w:hAnsi="Verdana" w:cs="Arial"/>
          <w:sz w:val="20"/>
          <w:szCs w:val="20"/>
        </w:rPr>
        <w:t>The HEAF study is funded by the Medical Research Council (though core pr</w:t>
      </w:r>
      <w:r w:rsidR="00D849C2" w:rsidRPr="00D849C2">
        <w:rPr>
          <w:rFonts w:ascii="Verdana" w:hAnsi="Verdana" w:cs="Arial"/>
          <w:sz w:val="20"/>
          <w:szCs w:val="20"/>
        </w:rPr>
        <w:t>ogramme support</w:t>
      </w:r>
      <w:r w:rsidR="00731498" w:rsidRPr="00D849C2">
        <w:rPr>
          <w:rFonts w:ascii="Verdana" w:hAnsi="Verdana" w:cs="Arial"/>
          <w:sz w:val="20"/>
          <w:szCs w:val="20"/>
        </w:rPr>
        <w:t>)</w:t>
      </w:r>
      <w:r w:rsidR="002E0C53">
        <w:rPr>
          <w:rFonts w:ascii="Verdana" w:hAnsi="Verdana" w:cs="Arial"/>
          <w:sz w:val="20"/>
          <w:szCs w:val="20"/>
        </w:rPr>
        <w:t>,</w:t>
      </w:r>
      <w:r w:rsidR="00731498" w:rsidRPr="00D849C2">
        <w:rPr>
          <w:rFonts w:ascii="Verdana" w:hAnsi="Verdana" w:cs="Arial"/>
          <w:sz w:val="20"/>
          <w:szCs w:val="20"/>
        </w:rPr>
        <w:t xml:space="preserve"> and </w:t>
      </w:r>
      <w:r w:rsidRPr="00D849C2">
        <w:rPr>
          <w:rFonts w:ascii="Verdana" w:hAnsi="Verdana" w:cs="Arial"/>
          <w:sz w:val="20"/>
          <w:szCs w:val="20"/>
        </w:rPr>
        <w:t xml:space="preserve">by </w:t>
      </w:r>
      <w:r w:rsidR="00731498" w:rsidRPr="00D849C2">
        <w:rPr>
          <w:rFonts w:ascii="Verdana" w:hAnsi="Verdana" w:cs="Arial"/>
          <w:sz w:val="20"/>
          <w:szCs w:val="20"/>
        </w:rPr>
        <w:t xml:space="preserve">grant awards </w:t>
      </w:r>
      <w:r w:rsidR="002E0C53">
        <w:rPr>
          <w:rFonts w:ascii="Verdana" w:hAnsi="Verdana" w:cs="Arial"/>
          <w:sz w:val="20"/>
          <w:szCs w:val="20"/>
        </w:rPr>
        <w:t>from</w:t>
      </w:r>
      <w:r w:rsidR="00731498" w:rsidRPr="00D849C2">
        <w:rPr>
          <w:rFonts w:ascii="Verdana" w:hAnsi="Verdana" w:cs="Arial"/>
          <w:sz w:val="20"/>
          <w:szCs w:val="20"/>
        </w:rPr>
        <w:t xml:space="preserve"> </w:t>
      </w:r>
      <w:r w:rsidR="00D849C2" w:rsidRPr="00D849C2">
        <w:rPr>
          <w:rFonts w:ascii="Verdana" w:hAnsi="Verdana" w:cs="Arial"/>
          <w:sz w:val="20"/>
          <w:szCs w:val="20"/>
        </w:rPr>
        <w:t xml:space="preserve">Arthritis Research UK, </w:t>
      </w:r>
      <w:r w:rsidR="00731498" w:rsidRPr="00D849C2">
        <w:rPr>
          <w:rFonts w:ascii="Verdana" w:hAnsi="Verdana" w:cs="Arial"/>
          <w:sz w:val="20"/>
          <w:szCs w:val="20"/>
        </w:rPr>
        <w:t xml:space="preserve">the </w:t>
      </w:r>
      <w:r w:rsidR="00D849C2" w:rsidRPr="00D849C2">
        <w:rPr>
          <w:rFonts w:ascii="Verdana" w:hAnsi="Verdana" w:cs="Arial"/>
          <w:sz w:val="20"/>
          <w:szCs w:val="20"/>
        </w:rPr>
        <w:t>Economic and Social Research Council</w:t>
      </w:r>
      <w:r w:rsidR="001F3E8D" w:rsidRPr="00D849C2">
        <w:rPr>
          <w:rFonts w:ascii="Verdana" w:hAnsi="Verdana" w:cs="Arial"/>
          <w:sz w:val="20"/>
          <w:szCs w:val="20"/>
        </w:rPr>
        <w:t xml:space="preserve"> </w:t>
      </w:r>
      <w:r w:rsidR="00731498" w:rsidRPr="00D849C2">
        <w:rPr>
          <w:rFonts w:ascii="Verdana" w:hAnsi="Verdana" w:cs="Arial"/>
          <w:sz w:val="20"/>
          <w:szCs w:val="20"/>
        </w:rPr>
        <w:t xml:space="preserve">and </w:t>
      </w:r>
      <w:r w:rsidR="00D849C2" w:rsidRPr="00D849C2">
        <w:rPr>
          <w:rFonts w:ascii="Verdana" w:hAnsi="Verdana" w:cs="Arial"/>
          <w:sz w:val="20"/>
          <w:szCs w:val="20"/>
        </w:rPr>
        <w:t xml:space="preserve">Medical Research Council; </w:t>
      </w:r>
      <w:r w:rsidR="002E0C53">
        <w:rPr>
          <w:rFonts w:ascii="Verdana" w:hAnsi="Verdana" w:cs="Arial"/>
          <w:sz w:val="20"/>
          <w:szCs w:val="20"/>
        </w:rPr>
        <w:t>the work is being conducted under the ambit of</w:t>
      </w:r>
      <w:r w:rsidR="00D849C2" w:rsidRPr="00D849C2">
        <w:rPr>
          <w:rFonts w:ascii="Verdana" w:hAnsi="Verdana" w:cs="Arial"/>
          <w:sz w:val="20"/>
          <w:szCs w:val="20"/>
        </w:rPr>
        <w:t xml:space="preserve"> the </w:t>
      </w:r>
      <w:r w:rsidR="008A2BE3" w:rsidRPr="008A2BE3">
        <w:rPr>
          <w:rFonts w:ascii="Verdana" w:hAnsi="Verdana" w:cs="Arial"/>
          <w:sz w:val="20"/>
          <w:szCs w:val="20"/>
        </w:rPr>
        <w:t>Arthritis Research UK/MRC Centre for Musculoskeletal Health and Work</w:t>
      </w:r>
      <w:r w:rsidR="00D849C2" w:rsidRPr="00D849C2">
        <w:rPr>
          <w:rFonts w:ascii="Verdana" w:hAnsi="Verdana" w:cs="Arial"/>
          <w:sz w:val="20"/>
          <w:szCs w:val="20"/>
        </w:rPr>
        <w:t>.</w:t>
      </w:r>
      <w:r w:rsidR="002A5E1F">
        <w:rPr>
          <w:rFonts w:ascii="Verdana" w:hAnsi="Verdana" w:cs="Arial"/>
          <w:sz w:val="20"/>
          <w:szCs w:val="20"/>
        </w:rPr>
        <w:t xml:space="preserve"> We wish to thank the CPRD and the 24 general practices that</w:t>
      </w:r>
      <w:r w:rsidR="00A73EDF">
        <w:rPr>
          <w:rFonts w:ascii="Verdana" w:hAnsi="Verdana" w:cs="Arial"/>
          <w:sz w:val="20"/>
          <w:szCs w:val="20"/>
        </w:rPr>
        <w:t xml:space="preserve"> have supported data collection; also, the staff of the MRC LEU who provided invaluable support </w:t>
      </w:r>
      <w:r w:rsidR="00E07732">
        <w:rPr>
          <w:rFonts w:ascii="Verdana" w:hAnsi="Verdana" w:cs="Arial"/>
          <w:sz w:val="20"/>
          <w:szCs w:val="20"/>
        </w:rPr>
        <w:t>with</w:t>
      </w:r>
      <w:r w:rsidR="00A73EDF">
        <w:rPr>
          <w:rFonts w:ascii="Verdana" w:hAnsi="Verdana" w:cs="Arial"/>
          <w:sz w:val="20"/>
          <w:szCs w:val="20"/>
        </w:rPr>
        <w:t xml:space="preserve"> data entry and computing (notably Helena Demetriou and Vanessa Cox).</w:t>
      </w:r>
    </w:p>
    <w:p w14:paraId="231BC38B" w14:textId="77777777" w:rsidR="003F6A6C" w:rsidRDefault="003F6A6C" w:rsidP="00C33BBA">
      <w:pPr>
        <w:widowControl w:val="0"/>
        <w:autoSpaceDE w:val="0"/>
        <w:autoSpaceDN w:val="0"/>
        <w:adjustRightInd w:val="0"/>
        <w:spacing w:line="480" w:lineRule="auto"/>
        <w:rPr>
          <w:rFonts w:ascii="Verdana" w:hAnsi="Verdana" w:cs="Arial"/>
          <w:sz w:val="20"/>
          <w:szCs w:val="20"/>
        </w:rPr>
      </w:pPr>
    </w:p>
    <w:p w14:paraId="7B296D6E" w14:textId="72040462" w:rsidR="003F6A6C" w:rsidRPr="003F6A6C" w:rsidRDefault="003F6A6C" w:rsidP="00C33BBA">
      <w:pPr>
        <w:spacing w:line="480" w:lineRule="auto"/>
        <w:rPr>
          <w:rFonts w:ascii="Verdana" w:hAnsi="Verdana"/>
          <w:b/>
          <w:bCs/>
          <w:sz w:val="22"/>
          <w:szCs w:val="22"/>
        </w:rPr>
      </w:pPr>
      <w:r w:rsidRPr="003F6A6C">
        <w:rPr>
          <w:rFonts w:ascii="Verdana" w:hAnsi="Verdana"/>
          <w:b/>
          <w:bCs/>
          <w:sz w:val="22"/>
          <w:szCs w:val="22"/>
        </w:rPr>
        <w:t>Competing interests</w:t>
      </w:r>
    </w:p>
    <w:p w14:paraId="7F581AAB" w14:textId="24EDB4C4" w:rsidR="003F6A6C" w:rsidRDefault="003F6A6C" w:rsidP="00C33BBA">
      <w:pPr>
        <w:widowControl w:val="0"/>
        <w:autoSpaceDE w:val="0"/>
        <w:autoSpaceDN w:val="0"/>
        <w:adjustRightInd w:val="0"/>
        <w:spacing w:line="480" w:lineRule="auto"/>
        <w:rPr>
          <w:rFonts w:ascii="Verdana" w:hAnsi="Verdana" w:cs="Arial"/>
          <w:sz w:val="20"/>
          <w:szCs w:val="20"/>
        </w:rPr>
      </w:pPr>
      <w:r w:rsidRPr="003F6A6C">
        <w:rPr>
          <w:rFonts w:ascii="Verdana" w:hAnsi="Verdana" w:cs="Arial"/>
          <w:sz w:val="20"/>
          <w:szCs w:val="20"/>
        </w:rPr>
        <w:t>The authors declare that they have no competing interests</w:t>
      </w:r>
      <w:r w:rsidR="00F86FD0">
        <w:rPr>
          <w:rFonts w:ascii="Verdana" w:hAnsi="Verdana" w:cs="Arial"/>
          <w:sz w:val="20"/>
          <w:szCs w:val="20"/>
        </w:rPr>
        <w:t>.</w:t>
      </w:r>
    </w:p>
    <w:p w14:paraId="7B9EB862" w14:textId="77777777" w:rsidR="003F6A6C" w:rsidRPr="00D849C2" w:rsidRDefault="003F6A6C" w:rsidP="00C33BBA">
      <w:pPr>
        <w:widowControl w:val="0"/>
        <w:autoSpaceDE w:val="0"/>
        <w:autoSpaceDN w:val="0"/>
        <w:adjustRightInd w:val="0"/>
        <w:spacing w:line="480" w:lineRule="auto"/>
        <w:rPr>
          <w:rFonts w:ascii="Verdana" w:hAnsi="Verdana" w:cs="Arial"/>
          <w:sz w:val="20"/>
          <w:szCs w:val="20"/>
        </w:rPr>
      </w:pPr>
    </w:p>
    <w:p w14:paraId="26FCF520" w14:textId="77777777" w:rsidR="008F074A" w:rsidRDefault="008F074A" w:rsidP="00C33BBA">
      <w:pPr>
        <w:spacing w:line="480" w:lineRule="auto"/>
        <w:rPr>
          <w:rFonts w:ascii="Verdana" w:hAnsi="Verdana"/>
          <w:b/>
          <w:sz w:val="20"/>
        </w:rPr>
      </w:pPr>
    </w:p>
    <w:p w14:paraId="515489B1" w14:textId="542EEDC3" w:rsidR="008F074A" w:rsidRPr="003F6A6C" w:rsidRDefault="003F6A6C" w:rsidP="00C33BBA">
      <w:pPr>
        <w:spacing w:line="480" w:lineRule="auto"/>
        <w:rPr>
          <w:rFonts w:ascii="Verdana" w:hAnsi="Verdana"/>
          <w:b/>
          <w:bCs/>
          <w:sz w:val="22"/>
          <w:szCs w:val="22"/>
        </w:rPr>
      </w:pPr>
      <w:r w:rsidRPr="003F6A6C">
        <w:rPr>
          <w:rFonts w:ascii="Verdana" w:hAnsi="Verdana"/>
          <w:b/>
          <w:bCs/>
          <w:sz w:val="22"/>
          <w:szCs w:val="22"/>
        </w:rPr>
        <w:lastRenderedPageBreak/>
        <w:t>Authors' contributions</w:t>
      </w:r>
    </w:p>
    <w:p w14:paraId="1C1BF479" w14:textId="34857705" w:rsidR="00AB4E73" w:rsidRPr="00EE2D62" w:rsidRDefault="00EE2D62" w:rsidP="00C33BBA">
      <w:pPr>
        <w:spacing w:line="480" w:lineRule="auto"/>
        <w:rPr>
          <w:rFonts w:ascii="Verdana" w:hAnsi="Verdana" w:cs="Arial"/>
          <w:sz w:val="20"/>
          <w:szCs w:val="20"/>
        </w:rPr>
      </w:pPr>
      <w:r w:rsidRPr="00EE2D62">
        <w:rPr>
          <w:rFonts w:ascii="Verdana" w:hAnsi="Verdana" w:cs="Arial"/>
          <w:sz w:val="20"/>
          <w:szCs w:val="20"/>
        </w:rPr>
        <w:t>K</w:t>
      </w:r>
      <w:r>
        <w:rPr>
          <w:rFonts w:ascii="Verdana" w:hAnsi="Verdana" w:cs="Arial"/>
          <w:sz w:val="20"/>
          <w:szCs w:val="20"/>
        </w:rPr>
        <w:t>T</w:t>
      </w:r>
      <w:r w:rsidRPr="00EE2D62">
        <w:rPr>
          <w:rFonts w:ascii="Verdana" w:hAnsi="Verdana" w:cs="Arial"/>
          <w:sz w:val="20"/>
          <w:szCs w:val="20"/>
        </w:rPr>
        <w:t>P</w:t>
      </w:r>
      <w:r>
        <w:rPr>
          <w:rFonts w:ascii="Verdana" w:hAnsi="Verdana" w:cs="Arial"/>
          <w:sz w:val="20"/>
          <w:szCs w:val="20"/>
        </w:rPr>
        <w:t xml:space="preserve"> and DC identified the study questions and designed the study and its measuring instruments. KTP also supervised data collection and wrote the first draft of this paper. KWB, ECH, CL, AAS, CG, ME, TS and CC contributed significantly to the study’s design, content</w:t>
      </w:r>
      <w:r w:rsidR="00EE0E35">
        <w:rPr>
          <w:rFonts w:ascii="Verdana" w:hAnsi="Verdana" w:cs="Arial"/>
          <w:sz w:val="20"/>
          <w:szCs w:val="20"/>
        </w:rPr>
        <w:t>, measuring instruments</w:t>
      </w:r>
      <w:r>
        <w:rPr>
          <w:rFonts w:ascii="Verdana" w:hAnsi="Verdana" w:cs="Arial"/>
          <w:sz w:val="20"/>
          <w:szCs w:val="20"/>
        </w:rPr>
        <w:t xml:space="preserve"> and plan of execution. Additionally, ECH and CL led in data collection, cleaning and preparation, and the enlistment of participating general practices. SD performed the analyses. All authors </w:t>
      </w:r>
      <w:r w:rsidRPr="00EE2D62">
        <w:rPr>
          <w:rFonts w:ascii="Verdana" w:hAnsi="Verdana" w:cs="Arial"/>
          <w:sz w:val="20"/>
          <w:szCs w:val="20"/>
        </w:rPr>
        <w:t>read and approved the final manuscript</w:t>
      </w:r>
      <w:r>
        <w:rPr>
          <w:rFonts w:ascii="Verdana" w:hAnsi="Verdana" w:cs="Arial"/>
          <w:sz w:val="20"/>
          <w:szCs w:val="20"/>
        </w:rPr>
        <w:t>.</w:t>
      </w:r>
      <w:r w:rsidR="00AB4E73" w:rsidRPr="00EE2D62">
        <w:rPr>
          <w:rFonts w:ascii="Verdana" w:hAnsi="Verdana" w:cs="Arial"/>
          <w:sz w:val="20"/>
          <w:szCs w:val="20"/>
        </w:rPr>
        <w:br w:type="page"/>
      </w:r>
    </w:p>
    <w:p w14:paraId="261765CC" w14:textId="236CB301" w:rsidR="001432D8" w:rsidRPr="0020441E" w:rsidRDefault="001432D8" w:rsidP="00C33BBA">
      <w:pPr>
        <w:spacing w:line="480" w:lineRule="auto"/>
        <w:rPr>
          <w:rFonts w:ascii="Verdana" w:hAnsi="Verdana"/>
          <w:b/>
          <w:bCs/>
        </w:rPr>
      </w:pPr>
      <w:r w:rsidRPr="0020441E">
        <w:rPr>
          <w:rFonts w:ascii="Verdana" w:hAnsi="Verdana"/>
          <w:b/>
          <w:bCs/>
        </w:rPr>
        <w:lastRenderedPageBreak/>
        <w:t>References</w:t>
      </w:r>
    </w:p>
    <w:p w14:paraId="471024A4" w14:textId="77777777" w:rsidR="00CC7E81" w:rsidRPr="00CC7E81" w:rsidRDefault="00CC7E81" w:rsidP="00C33BBA">
      <w:pPr>
        <w:pStyle w:val="BodyText"/>
        <w:spacing w:line="480" w:lineRule="auto"/>
        <w:jc w:val="left"/>
        <w:rPr>
          <w:rFonts w:ascii="Verdana" w:hAnsi="Verdana" w:cs="Times New Roman"/>
          <w:i w:val="0"/>
          <w:iCs w:val="0"/>
          <w:sz w:val="20"/>
        </w:rPr>
      </w:pPr>
    </w:p>
    <w:p w14:paraId="6AA904F8" w14:textId="77777777" w:rsidR="00ED4DE1" w:rsidRDefault="00ED4DE1" w:rsidP="00C33BBA">
      <w:pPr>
        <w:pStyle w:val="BodyText"/>
        <w:numPr>
          <w:ilvl w:val="0"/>
          <w:numId w:val="4"/>
        </w:numPr>
        <w:spacing w:line="480" w:lineRule="auto"/>
        <w:jc w:val="left"/>
        <w:rPr>
          <w:rFonts w:ascii="Verdana" w:hAnsi="Verdana" w:cs="Times New Roman"/>
          <w:i w:val="0"/>
          <w:iCs w:val="0"/>
          <w:sz w:val="20"/>
        </w:rPr>
      </w:pPr>
      <w:r>
        <w:rPr>
          <w:rFonts w:ascii="Verdana" w:hAnsi="Verdana"/>
          <w:i w:val="0"/>
          <w:iCs w:val="0"/>
          <w:sz w:val="20"/>
        </w:rPr>
        <w:t>Cooke M. Policy changes and the labour force participation of older workers: evidence from six countries. Can J Aging 2006;25:387–400.</w:t>
      </w:r>
    </w:p>
    <w:p w14:paraId="71309155" w14:textId="428AA977" w:rsidR="00ED4DE1" w:rsidRPr="00ED4DE1" w:rsidRDefault="00ED4DE1" w:rsidP="00C33BBA">
      <w:pPr>
        <w:pStyle w:val="ListParagraph"/>
        <w:numPr>
          <w:ilvl w:val="0"/>
          <w:numId w:val="4"/>
        </w:numPr>
        <w:spacing w:line="480" w:lineRule="auto"/>
        <w:rPr>
          <w:rFonts w:ascii="Verdana" w:eastAsia="Verdana" w:hAnsi="Verdana"/>
          <w:sz w:val="20"/>
          <w:szCs w:val="20"/>
        </w:rPr>
      </w:pPr>
      <w:r w:rsidRPr="00ED4DE1">
        <w:rPr>
          <w:rFonts w:ascii="Verdana" w:eastAsia="Verdana" w:hAnsi="Verdana"/>
          <w:sz w:val="20"/>
          <w:szCs w:val="20"/>
        </w:rPr>
        <w:t xml:space="preserve">Department for </w:t>
      </w:r>
      <w:r w:rsidR="008B616C">
        <w:rPr>
          <w:rFonts w:ascii="Verdana" w:eastAsia="Verdana" w:hAnsi="Verdana"/>
          <w:sz w:val="20"/>
          <w:szCs w:val="20"/>
        </w:rPr>
        <w:t xml:space="preserve">Work and Pensions, </w:t>
      </w:r>
      <w:r w:rsidRPr="00ED4DE1">
        <w:rPr>
          <w:rFonts w:ascii="Verdana" w:eastAsia="Verdana" w:hAnsi="Verdana"/>
          <w:sz w:val="20"/>
          <w:szCs w:val="20"/>
        </w:rPr>
        <w:t>Department of Health. Improving health and work: changing lives. The Government's Response to Dame Carol Black's Review of the health of Britain's w</w:t>
      </w:r>
      <w:r w:rsidR="008B616C">
        <w:rPr>
          <w:rFonts w:ascii="Verdana" w:eastAsia="Verdana" w:hAnsi="Verdana"/>
          <w:sz w:val="20"/>
          <w:szCs w:val="20"/>
        </w:rPr>
        <w:t xml:space="preserve">orking-age population. Cm 7492. London: </w:t>
      </w:r>
      <w:r w:rsidRPr="00ED4DE1">
        <w:rPr>
          <w:rFonts w:ascii="Verdana" w:eastAsia="Verdana" w:hAnsi="Verdana"/>
          <w:sz w:val="20"/>
          <w:szCs w:val="20"/>
        </w:rPr>
        <w:t xml:space="preserve">The Stationery Office, 2008 </w:t>
      </w:r>
      <w:hyperlink r:id="rId9" w:history="1">
        <w:r w:rsidR="00CD50C0" w:rsidRPr="00AA1E73">
          <w:rPr>
            <w:rStyle w:val="Hyperlink"/>
            <w:rFonts w:ascii="Verdana" w:eastAsia="Verdana" w:hAnsi="Verdana"/>
            <w:sz w:val="20"/>
            <w:szCs w:val="20"/>
          </w:rPr>
          <w:t>https://www.gov.uk/government/uploads/system/uploads/attachment_data/file/210858/hwwb-improving-health-and-work-changing-lives.pdf</w:t>
        </w:r>
      </w:hyperlink>
      <w:r w:rsidR="00CD50C0">
        <w:rPr>
          <w:rFonts w:ascii="Verdana" w:eastAsia="Verdana" w:hAnsi="Verdana"/>
          <w:sz w:val="20"/>
          <w:szCs w:val="20"/>
        </w:rPr>
        <w:t xml:space="preserve">) (accessed </w:t>
      </w:r>
      <w:r w:rsidR="00936453">
        <w:rPr>
          <w:rFonts w:ascii="Verdana" w:eastAsia="Verdana" w:hAnsi="Verdana"/>
          <w:sz w:val="20"/>
          <w:szCs w:val="20"/>
        </w:rPr>
        <w:t>21/7/15</w:t>
      </w:r>
      <w:r w:rsidR="00CD50C0">
        <w:rPr>
          <w:rFonts w:ascii="Verdana" w:eastAsia="Verdana" w:hAnsi="Verdana"/>
          <w:sz w:val="20"/>
          <w:szCs w:val="20"/>
        </w:rPr>
        <w:t>)</w:t>
      </w:r>
    </w:p>
    <w:p w14:paraId="6F4451A7" w14:textId="77777777" w:rsidR="00ED4DE1" w:rsidRPr="00ED4DE1" w:rsidRDefault="00ED4DE1" w:rsidP="00C33BBA">
      <w:pPr>
        <w:pStyle w:val="ListParagraph"/>
        <w:widowControl w:val="0"/>
        <w:numPr>
          <w:ilvl w:val="0"/>
          <w:numId w:val="4"/>
        </w:numPr>
        <w:spacing w:line="480" w:lineRule="auto"/>
        <w:rPr>
          <w:rFonts w:ascii="Verdana" w:hAnsi="Verdana" w:cs="Arial"/>
          <w:sz w:val="20"/>
        </w:rPr>
      </w:pPr>
      <w:r w:rsidRPr="008A3E79">
        <w:rPr>
          <w:rFonts w:ascii="Verdana" w:eastAsia="Verdana" w:hAnsi="Verdana"/>
          <w:sz w:val="20"/>
          <w:szCs w:val="20"/>
        </w:rPr>
        <w:t>Department for Work and Pensions.  No one written off: reforming welfare to reward responsibility.  Public consultation.  2008.  The Stationery Office.  ISBN. 978 0 10 173632 9.</w:t>
      </w:r>
    </w:p>
    <w:p w14:paraId="2AFD638A" w14:textId="77777777" w:rsidR="00ED4DE1" w:rsidRPr="00ED4DE1" w:rsidRDefault="00ED4DE1" w:rsidP="00C33BBA">
      <w:pPr>
        <w:pStyle w:val="ListParagraph"/>
        <w:widowControl w:val="0"/>
        <w:numPr>
          <w:ilvl w:val="0"/>
          <w:numId w:val="4"/>
        </w:numPr>
        <w:spacing w:line="480" w:lineRule="auto"/>
        <w:rPr>
          <w:rFonts w:ascii="Verdana" w:hAnsi="Verdana" w:cs="Arial"/>
          <w:sz w:val="20"/>
        </w:rPr>
      </w:pPr>
      <w:r w:rsidRPr="008A3E79">
        <w:rPr>
          <w:rFonts w:ascii="Verdana" w:eastAsia="Verdana" w:hAnsi="Verdana"/>
          <w:sz w:val="20"/>
          <w:szCs w:val="20"/>
        </w:rPr>
        <w:t xml:space="preserve">Office for National Statistics. Pension Trends. Chapter 4: The Labour Market and Retirement, 2013 Edition. http://www.ons.gov.uk/ons/dcp171766_297899.pdf </w:t>
      </w:r>
    </w:p>
    <w:p w14:paraId="55E05FF3" w14:textId="557F716A" w:rsidR="00ED4DE1" w:rsidRPr="00ED4DE1" w:rsidRDefault="00ED4DE1" w:rsidP="00C33BBA">
      <w:pPr>
        <w:pStyle w:val="ListParagraph"/>
        <w:widowControl w:val="0"/>
        <w:numPr>
          <w:ilvl w:val="0"/>
          <w:numId w:val="4"/>
        </w:numPr>
        <w:spacing w:line="480" w:lineRule="auto"/>
        <w:rPr>
          <w:rFonts w:ascii="Verdana" w:hAnsi="Verdana" w:cs="Arial"/>
          <w:sz w:val="20"/>
        </w:rPr>
      </w:pPr>
      <w:r w:rsidRPr="008A3E79">
        <w:rPr>
          <w:rFonts w:ascii="Verdana" w:eastAsia="Verdana" w:hAnsi="Verdana"/>
          <w:sz w:val="20"/>
          <w:szCs w:val="20"/>
        </w:rPr>
        <w:t xml:space="preserve">The Times. Number of over-65s in work tops 1m for first time. June 12th 2013 </w:t>
      </w:r>
      <w:hyperlink r:id="rId10" w:history="1">
        <w:r w:rsidRPr="00AA1E73">
          <w:rPr>
            <w:rStyle w:val="Hyperlink"/>
            <w:rFonts w:ascii="Verdana" w:eastAsia="Verdana" w:hAnsi="Verdana"/>
            <w:sz w:val="20"/>
            <w:szCs w:val="20"/>
          </w:rPr>
          <w:t>http://www.thetimes.co.uk/tto/business/economics/article3789087.ece</w:t>
        </w:r>
      </w:hyperlink>
      <w:r>
        <w:rPr>
          <w:rFonts w:ascii="Verdana" w:eastAsia="Verdana" w:hAnsi="Verdana"/>
          <w:sz w:val="20"/>
          <w:szCs w:val="20"/>
        </w:rPr>
        <w:t xml:space="preserve"> </w:t>
      </w:r>
      <w:r w:rsidRPr="008A3E79">
        <w:rPr>
          <w:rFonts w:ascii="Verdana" w:eastAsia="Verdana" w:hAnsi="Verdana"/>
          <w:sz w:val="20"/>
          <w:szCs w:val="20"/>
        </w:rPr>
        <w:t xml:space="preserve">(accessed </w:t>
      </w:r>
      <w:r w:rsidR="00936453">
        <w:rPr>
          <w:rFonts w:ascii="Verdana" w:eastAsia="Verdana" w:hAnsi="Verdana"/>
          <w:sz w:val="20"/>
          <w:szCs w:val="20"/>
        </w:rPr>
        <w:t>21/7/15</w:t>
      </w:r>
      <w:r w:rsidRPr="008A3E79">
        <w:rPr>
          <w:rFonts w:ascii="Verdana" w:eastAsia="Verdana" w:hAnsi="Verdana"/>
          <w:sz w:val="20"/>
          <w:szCs w:val="20"/>
        </w:rPr>
        <w:t>).</w:t>
      </w:r>
    </w:p>
    <w:p w14:paraId="1BCDDDAC" w14:textId="77777777" w:rsidR="00CD50C0" w:rsidRPr="00ED4DE1" w:rsidRDefault="00CD50C0"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Wegman DH.  Older workers. Occupational Medicine: State of the Art Reviews 1999;14:537-57.</w:t>
      </w:r>
    </w:p>
    <w:p w14:paraId="43BDD4A5" w14:textId="01C375C1" w:rsidR="00ED4DE1" w:rsidRPr="00CD50C0" w:rsidRDefault="00CD50C0" w:rsidP="00C33BBA">
      <w:pPr>
        <w:pStyle w:val="ListParagraph"/>
        <w:widowControl w:val="0"/>
        <w:numPr>
          <w:ilvl w:val="0"/>
          <w:numId w:val="4"/>
        </w:numPr>
        <w:spacing w:line="480" w:lineRule="auto"/>
        <w:rPr>
          <w:rFonts w:ascii="Verdana" w:hAnsi="Verdana" w:cs="Arial"/>
          <w:sz w:val="20"/>
        </w:rPr>
      </w:pPr>
      <w:r>
        <w:rPr>
          <w:rFonts w:ascii="Verdana" w:hAnsi="Verdana" w:cs="Arial"/>
          <w:sz w:val="20"/>
        </w:rPr>
        <w:t>Black C</w:t>
      </w:r>
      <w:r w:rsidRPr="00CD50C0">
        <w:rPr>
          <w:rFonts w:ascii="Verdana" w:hAnsi="Verdana" w:cs="Arial"/>
          <w:sz w:val="20"/>
        </w:rPr>
        <w:t>.</w:t>
      </w:r>
      <w:r>
        <w:rPr>
          <w:rFonts w:ascii="Verdana" w:hAnsi="Verdana" w:cs="Arial"/>
          <w:sz w:val="20"/>
        </w:rPr>
        <w:t xml:space="preserve"> </w:t>
      </w:r>
      <w:r w:rsidRPr="00CD50C0">
        <w:rPr>
          <w:rFonts w:ascii="Verdana" w:hAnsi="Verdana" w:cs="Arial"/>
          <w:sz w:val="20"/>
        </w:rPr>
        <w:t>Working for a healthier tomorrow: Review of the health of Britain's working age</w:t>
      </w:r>
      <w:r>
        <w:rPr>
          <w:rFonts w:ascii="Verdana" w:hAnsi="Verdana" w:cs="Arial"/>
          <w:sz w:val="20"/>
        </w:rPr>
        <w:t xml:space="preserve"> </w:t>
      </w:r>
      <w:r w:rsidRPr="00CD50C0">
        <w:rPr>
          <w:rFonts w:ascii="Verdana" w:hAnsi="Verdana" w:cs="Arial"/>
          <w:sz w:val="20"/>
        </w:rPr>
        <w:t>population. T</w:t>
      </w:r>
      <w:r w:rsidR="008B616C">
        <w:rPr>
          <w:rFonts w:ascii="Verdana" w:hAnsi="Verdana" w:cs="Arial"/>
          <w:sz w:val="20"/>
        </w:rPr>
        <w:t xml:space="preserve">he </w:t>
      </w:r>
      <w:r w:rsidRPr="00CD50C0">
        <w:rPr>
          <w:rFonts w:ascii="Verdana" w:hAnsi="Verdana" w:cs="Arial"/>
          <w:sz w:val="20"/>
        </w:rPr>
        <w:t>S</w:t>
      </w:r>
      <w:r w:rsidR="008B616C">
        <w:rPr>
          <w:rFonts w:ascii="Verdana" w:hAnsi="Verdana" w:cs="Arial"/>
          <w:sz w:val="20"/>
        </w:rPr>
        <w:t xml:space="preserve">tationery </w:t>
      </w:r>
      <w:r w:rsidRPr="00CD50C0">
        <w:rPr>
          <w:rFonts w:ascii="Verdana" w:hAnsi="Verdana" w:cs="Arial"/>
          <w:sz w:val="20"/>
        </w:rPr>
        <w:t>O</w:t>
      </w:r>
      <w:r w:rsidR="008B616C">
        <w:rPr>
          <w:rFonts w:ascii="Verdana" w:hAnsi="Verdana" w:cs="Arial"/>
          <w:sz w:val="20"/>
        </w:rPr>
        <w:t>ffice,</w:t>
      </w:r>
      <w:r w:rsidRPr="00CD50C0">
        <w:rPr>
          <w:rFonts w:ascii="Verdana" w:hAnsi="Verdana" w:cs="Arial"/>
          <w:sz w:val="20"/>
        </w:rPr>
        <w:t xml:space="preserve"> </w:t>
      </w:r>
      <w:r>
        <w:rPr>
          <w:rFonts w:ascii="Verdana" w:hAnsi="Verdana" w:cs="Arial"/>
          <w:sz w:val="20"/>
        </w:rPr>
        <w:t>2008.</w:t>
      </w:r>
      <w:r w:rsidRPr="00CD50C0">
        <w:t xml:space="preserve"> </w:t>
      </w:r>
      <w:hyperlink r:id="rId11" w:history="1">
        <w:r w:rsidRPr="00AA1E73">
          <w:rPr>
            <w:rStyle w:val="Hyperlink"/>
            <w:rFonts w:ascii="Verdana" w:hAnsi="Verdana" w:cs="Arial"/>
            <w:sz w:val="20"/>
          </w:rPr>
          <w:t>https://www.gov.uk/government/uploads/system/uploads/attachment_data/file/209782/hwwb-working-for-a-healthier-tomorrow.pdf</w:t>
        </w:r>
      </w:hyperlink>
      <w:r>
        <w:rPr>
          <w:rFonts w:ascii="Verdana" w:hAnsi="Verdana" w:cs="Arial"/>
          <w:sz w:val="20"/>
        </w:rPr>
        <w:t xml:space="preserve"> (accessed </w:t>
      </w:r>
      <w:r w:rsidR="00936453">
        <w:rPr>
          <w:rFonts w:ascii="Verdana" w:hAnsi="Verdana" w:cs="Arial"/>
          <w:sz w:val="20"/>
        </w:rPr>
        <w:t>21/7/15</w:t>
      </w:r>
      <w:r>
        <w:rPr>
          <w:rFonts w:ascii="Verdana" w:hAnsi="Verdana" w:cs="Arial"/>
          <w:sz w:val="20"/>
        </w:rPr>
        <w:t>)</w:t>
      </w:r>
    </w:p>
    <w:p w14:paraId="64938A84" w14:textId="77777777" w:rsidR="00CD50C0" w:rsidRPr="00ED4DE1" w:rsidRDefault="00CD50C0"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Palmer KT, Harris EC, Coggon D. Chronic health problems and risk of accidental injury in the workplace: A systematic literature review. Occup Environ Med 2008; 65:757-764.</w:t>
      </w:r>
    </w:p>
    <w:p w14:paraId="0B35DC39" w14:textId="77777777" w:rsidR="00F132A6" w:rsidRPr="00ED4DE1" w:rsidRDefault="00F132A6"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Kisner SM, Pratt SG. Occupational fatalities among older workers in the United States: 1980-1991. J Occup Environ Med 1997;39:715-718.</w:t>
      </w:r>
    </w:p>
    <w:p w14:paraId="2C4E2A42" w14:textId="77777777" w:rsidR="00F132A6" w:rsidRPr="00ED4DE1" w:rsidRDefault="00F132A6"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lastRenderedPageBreak/>
        <w:t>Midanik LT, Soghikian K, Ransom LJ, Tekawa IS. The effect of retirement on mental health and health behaviors: The Kaiser Permanente retirement study.  Journal of Gerontology: Social Sciences 1995;50:S59-S61.</w:t>
      </w:r>
    </w:p>
    <w:p w14:paraId="4DB7FE9E" w14:textId="5F2C2BCB" w:rsidR="00F132A6" w:rsidRPr="00ED4DE1" w:rsidRDefault="00F132A6"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 xml:space="preserve">Mein G, Martikainen P, Hemingway H, Stansfeld S, Marmot M. </w:t>
      </w:r>
      <w:r w:rsidR="001F3E8D">
        <w:rPr>
          <w:rFonts w:ascii="Verdana" w:hAnsi="Verdana" w:cs="Arial"/>
          <w:sz w:val="20"/>
        </w:rPr>
        <w:t>Is retirement good or bad for mental and physical health functioning? Whitehall II longitudinal study of civil servants.</w:t>
      </w:r>
      <w:r w:rsidRPr="00ED4DE1">
        <w:rPr>
          <w:rFonts w:ascii="Verdana" w:hAnsi="Verdana" w:cs="Arial"/>
          <w:sz w:val="20"/>
        </w:rPr>
        <w:t xml:space="preserve"> J Epidemiol. Community Health 2003;57:46-9.</w:t>
      </w:r>
    </w:p>
    <w:p w14:paraId="26AFC8AB" w14:textId="77777777" w:rsidR="00F132A6" w:rsidRDefault="00F132A6" w:rsidP="00C33BBA">
      <w:pPr>
        <w:pStyle w:val="ListParagraph"/>
        <w:widowControl w:val="0"/>
        <w:numPr>
          <w:ilvl w:val="0"/>
          <w:numId w:val="4"/>
        </w:numPr>
        <w:spacing w:line="480" w:lineRule="auto"/>
        <w:rPr>
          <w:rFonts w:ascii="Verdana" w:hAnsi="Verdana" w:cs="Arial"/>
          <w:sz w:val="20"/>
        </w:rPr>
      </w:pPr>
      <w:r w:rsidRPr="00F132A6">
        <w:rPr>
          <w:rFonts w:ascii="Verdana" w:hAnsi="Verdana" w:cs="Arial"/>
          <w:sz w:val="20"/>
        </w:rPr>
        <w:t>Waddell G, Burton AK.  Is work good for your health and well-being? London. The Stationery Office. 2006 ISBN 0 11 7036943</w:t>
      </w:r>
      <w:r>
        <w:rPr>
          <w:rFonts w:ascii="Verdana" w:hAnsi="Verdana" w:cs="Arial"/>
          <w:sz w:val="20"/>
        </w:rPr>
        <w:t>.</w:t>
      </w:r>
    </w:p>
    <w:p w14:paraId="40B216B9" w14:textId="77777777" w:rsidR="00F132A6" w:rsidRPr="00F132A6" w:rsidRDefault="00F132A6" w:rsidP="00C33BBA">
      <w:pPr>
        <w:pStyle w:val="ListParagraph"/>
        <w:widowControl w:val="0"/>
        <w:numPr>
          <w:ilvl w:val="0"/>
          <w:numId w:val="4"/>
        </w:numPr>
        <w:spacing w:line="480" w:lineRule="auto"/>
        <w:rPr>
          <w:rFonts w:ascii="Verdana" w:hAnsi="Verdana" w:cs="Arial"/>
          <w:sz w:val="20"/>
        </w:rPr>
      </w:pPr>
      <w:r w:rsidRPr="008A3E79">
        <w:rPr>
          <w:rFonts w:ascii="Verdana" w:eastAsia="Verdana" w:hAnsi="Verdana"/>
          <w:sz w:val="20"/>
          <w:szCs w:val="20"/>
        </w:rPr>
        <w:t>Leino-Arjas P, Liira J, Mutanen P, Malmivaara A, Matikainen E.  Predictors and consequences of unemployment among construction workers: prospective cohort study. BMJ 1999;319:600-5.</w:t>
      </w:r>
    </w:p>
    <w:p w14:paraId="0B1E7F71" w14:textId="2F021B65" w:rsidR="00F132A6" w:rsidRPr="00F132A6" w:rsidRDefault="00F132A6" w:rsidP="00C33BBA">
      <w:pPr>
        <w:pStyle w:val="ListParagraph"/>
        <w:numPr>
          <w:ilvl w:val="0"/>
          <w:numId w:val="4"/>
        </w:numPr>
        <w:spacing w:line="480" w:lineRule="auto"/>
        <w:rPr>
          <w:rFonts w:ascii="Verdana" w:eastAsia="Verdana" w:hAnsi="Verdana"/>
          <w:sz w:val="20"/>
          <w:szCs w:val="20"/>
        </w:rPr>
      </w:pPr>
      <w:r w:rsidRPr="00F132A6">
        <w:rPr>
          <w:rFonts w:ascii="Verdana" w:eastAsia="Verdana" w:hAnsi="Verdana"/>
          <w:sz w:val="20"/>
          <w:szCs w:val="20"/>
        </w:rPr>
        <w:t xml:space="preserve">Gallo WT, Bradley EH, Dubin JA, Jones RN, Falba TA, Teng H-M, </w:t>
      </w:r>
      <w:r w:rsidR="003F6A6C">
        <w:rPr>
          <w:rFonts w:ascii="Verdana" w:eastAsia="Verdana" w:hAnsi="Verdana"/>
          <w:sz w:val="20"/>
          <w:szCs w:val="20"/>
        </w:rPr>
        <w:t>et al</w:t>
      </w:r>
      <w:r w:rsidRPr="00F132A6">
        <w:rPr>
          <w:rFonts w:ascii="Verdana" w:eastAsia="Verdana" w:hAnsi="Verdana"/>
          <w:sz w:val="20"/>
          <w:szCs w:val="20"/>
        </w:rPr>
        <w:t>. The persistence of depressive symptoms in older workers who experience involuntary job loss: results from the Health Retirement Survey.  J Gerontol 2006;61B:S221-8.</w:t>
      </w:r>
    </w:p>
    <w:p w14:paraId="2C0BC96D" w14:textId="77777777" w:rsidR="00F132A6" w:rsidRPr="00F132A6" w:rsidRDefault="00F132A6" w:rsidP="00C33BBA">
      <w:pPr>
        <w:pStyle w:val="ListParagraph"/>
        <w:numPr>
          <w:ilvl w:val="0"/>
          <w:numId w:val="4"/>
        </w:numPr>
        <w:spacing w:line="480" w:lineRule="auto"/>
        <w:rPr>
          <w:rFonts w:ascii="Verdana" w:eastAsia="Verdana" w:hAnsi="Verdana"/>
          <w:sz w:val="20"/>
          <w:szCs w:val="20"/>
        </w:rPr>
      </w:pPr>
      <w:r w:rsidRPr="00F132A6">
        <w:rPr>
          <w:rFonts w:ascii="Verdana" w:eastAsia="Verdana" w:hAnsi="Verdana"/>
          <w:sz w:val="20"/>
          <w:szCs w:val="20"/>
        </w:rPr>
        <w:t>Tyhurst JS, Salk L, Kennedy M.  Mortality, morbidity and retirement.  Am J Public Health 1957;47:1434-44.</w:t>
      </w:r>
    </w:p>
    <w:p w14:paraId="5B3B16FD" w14:textId="77777777" w:rsidR="00F132A6" w:rsidRPr="00F132A6" w:rsidRDefault="00F132A6" w:rsidP="00C33BBA">
      <w:pPr>
        <w:pStyle w:val="ListParagraph"/>
        <w:widowControl w:val="0"/>
        <w:numPr>
          <w:ilvl w:val="0"/>
          <w:numId w:val="4"/>
        </w:numPr>
        <w:spacing w:line="480" w:lineRule="auto"/>
        <w:rPr>
          <w:rFonts w:ascii="Verdana" w:hAnsi="Verdana" w:cs="Arial"/>
          <w:sz w:val="20"/>
        </w:rPr>
      </w:pPr>
      <w:r w:rsidRPr="008A3E79">
        <w:rPr>
          <w:rFonts w:ascii="Verdana" w:eastAsia="Verdana" w:hAnsi="Verdana"/>
          <w:sz w:val="20"/>
          <w:szCs w:val="20"/>
        </w:rPr>
        <w:t>Yelin EH.  Musculoskeletal conditions and employment.  Arthritis &amp; Rheumatism 1995;8:311-317.</w:t>
      </w:r>
    </w:p>
    <w:p w14:paraId="04EDD130" w14:textId="77777777" w:rsidR="00F132A6" w:rsidRPr="00632D60" w:rsidRDefault="00F132A6" w:rsidP="00C33BBA">
      <w:pPr>
        <w:pStyle w:val="ListParagraph"/>
        <w:widowControl w:val="0"/>
        <w:numPr>
          <w:ilvl w:val="0"/>
          <w:numId w:val="4"/>
        </w:numPr>
        <w:spacing w:line="480" w:lineRule="auto"/>
        <w:rPr>
          <w:rFonts w:ascii="Verdana" w:hAnsi="Verdana" w:cs="Arial"/>
          <w:sz w:val="20"/>
        </w:rPr>
      </w:pPr>
      <w:r w:rsidRPr="008A3E79">
        <w:rPr>
          <w:rFonts w:ascii="Verdana" w:eastAsia="Verdana" w:hAnsi="Verdana"/>
          <w:sz w:val="20"/>
          <w:szCs w:val="20"/>
        </w:rPr>
        <w:t>Li X, Gignac MAM, Anis AH. Workplace, psychosocial factors, and depressive symptoms among working people with arthritis: a longitudinal study. J Rheumatol 2006; 33:1849-55.</w:t>
      </w:r>
    </w:p>
    <w:p w14:paraId="327ED9C8" w14:textId="77777777" w:rsidR="00632D60" w:rsidRPr="00632D60" w:rsidRDefault="00632D60" w:rsidP="00C33BBA">
      <w:pPr>
        <w:pStyle w:val="ListParagraph"/>
        <w:widowControl w:val="0"/>
        <w:numPr>
          <w:ilvl w:val="0"/>
          <w:numId w:val="4"/>
        </w:numPr>
        <w:spacing w:line="480" w:lineRule="auto"/>
        <w:rPr>
          <w:rFonts w:ascii="Verdana" w:hAnsi="Verdana" w:cs="Arial"/>
          <w:sz w:val="20"/>
        </w:rPr>
      </w:pPr>
      <w:r w:rsidRPr="00632D60">
        <w:rPr>
          <w:rFonts w:ascii="Verdana" w:hAnsi="Verdana" w:cs="Arial"/>
          <w:sz w:val="20"/>
        </w:rPr>
        <w:t>Walley T, Mantgani A. The UK General Practice Research Database. Lancet 1997; 350: 1097-9.</w:t>
      </w:r>
    </w:p>
    <w:p w14:paraId="4775A21A" w14:textId="77777777" w:rsidR="00632D60" w:rsidRPr="00632D60" w:rsidRDefault="00632D60" w:rsidP="00C33BBA">
      <w:pPr>
        <w:pStyle w:val="ListParagraph"/>
        <w:widowControl w:val="0"/>
        <w:numPr>
          <w:ilvl w:val="0"/>
          <w:numId w:val="4"/>
        </w:numPr>
        <w:spacing w:line="480" w:lineRule="auto"/>
        <w:rPr>
          <w:rFonts w:ascii="Verdana" w:hAnsi="Verdana" w:cs="Arial"/>
          <w:sz w:val="20"/>
        </w:rPr>
      </w:pPr>
      <w:r w:rsidRPr="00632D60">
        <w:rPr>
          <w:rFonts w:ascii="Verdana" w:hAnsi="Verdana" w:cs="Arial"/>
          <w:sz w:val="20"/>
        </w:rPr>
        <w:t>Hollowell J. General Practice Research Database (GPRD): Scope and Quality of Data. London: Office of Population Censuses and Surveys, 1994.</w:t>
      </w:r>
    </w:p>
    <w:p w14:paraId="06D88E20" w14:textId="77777777" w:rsidR="00AF4198" w:rsidRPr="00ED4DE1" w:rsidRDefault="00AF4198"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Williams T, van Staa TP, Puri S, Eaton S. Recent advances in the utility and use of the General Practice Research Database as an example of a UK primary care data resource. Therapeutic Advances in Drug Safety 2012; 3: 2 89-99.</w:t>
      </w:r>
    </w:p>
    <w:p w14:paraId="3CD10A76" w14:textId="7879075E" w:rsidR="00AF4198" w:rsidRPr="00ED4DE1" w:rsidRDefault="00AF4198"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 xml:space="preserve">Herrett E, Thomas SL, Schoonen WM, Smeeth L, Hall AJ. </w:t>
      </w:r>
      <w:hyperlink r:id="rId12" w:history="1">
        <w:r w:rsidRPr="00ED4DE1">
          <w:rPr>
            <w:rFonts w:ascii="Verdana" w:hAnsi="Verdana" w:cs="Arial"/>
            <w:sz w:val="20"/>
          </w:rPr>
          <w:t xml:space="preserve">Validation and validity of </w:t>
        </w:r>
        <w:r w:rsidRPr="00ED4DE1">
          <w:rPr>
            <w:rFonts w:ascii="Verdana" w:hAnsi="Verdana" w:cs="Arial"/>
            <w:sz w:val="20"/>
          </w:rPr>
          <w:lastRenderedPageBreak/>
          <w:t>diagnoses in the General Practice Research Database: a systematic review.</w:t>
        </w:r>
      </w:hyperlink>
      <w:r w:rsidRPr="00ED4DE1">
        <w:rPr>
          <w:rFonts w:ascii="Verdana" w:hAnsi="Verdana" w:cs="Arial"/>
          <w:sz w:val="20"/>
        </w:rPr>
        <w:t xml:space="preserve"> Br J Clin Pharmacol 2010;69:4-14.</w:t>
      </w:r>
      <w:r w:rsidR="009116EF" w:rsidRPr="009116EF">
        <w:t xml:space="preserve"> </w:t>
      </w:r>
    </w:p>
    <w:p w14:paraId="2DC13C19" w14:textId="3C90FE67" w:rsidR="009116EF" w:rsidRDefault="009116EF" w:rsidP="00C33BBA">
      <w:pPr>
        <w:pStyle w:val="ListParagraph"/>
        <w:widowControl w:val="0"/>
        <w:numPr>
          <w:ilvl w:val="0"/>
          <w:numId w:val="4"/>
        </w:numPr>
        <w:spacing w:line="480" w:lineRule="auto"/>
        <w:rPr>
          <w:rFonts w:ascii="Verdana" w:hAnsi="Verdana" w:cs="Arial"/>
          <w:sz w:val="20"/>
        </w:rPr>
      </w:pPr>
      <w:r>
        <w:rPr>
          <w:rFonts w:ascii="Verdana" w:hAnsi="Verdana" w:cs="Arial"/>
          <w:sz w:val="20"/>
        </w:rPr>
        <w:t xml:space="preserve">Office for National Statistics. </w:t>
      </w:r>
      <w:r w:rsidRPr="009116EF">
        <w:rPr>
          <w:rFonts w:ascii="Verdana" w:hAnsi="Verdana" w:cs="Arial"/>
          <w:sz w:val="20"/>
        </w:rPr>
        <w:t>Standard occupational classification 2010 (SOC2010)</w:t>
      </w:r>
      <w:r>
        <w:rPr>
          <w:rFonts w:ascii="Verdana" w:hAnsi="Verdana" w:cs="Arial"/>
          <w:sz w:val="20"/>
        </w:rPr>
        <w:t xml:space="preserve">. </w:t>
      </w:r>
      <w:hyperlink r:id="rId13" w:history="1">
        <w:r w:rsidRPr="00995255">
          <w:rPr>
            <w:rStyle w:val="Hyperlink"/>
            <w:rFonts w:ascii="Verdana" w:hAnsi="Verdana" w:cs="Arial"/>
            <w:sz w:val="20"/>
          </w:rPr>
          <w:t>http://www.ons.gov.uk/ons/guide-method/classifications/current-standard-classifications/soc2010/index.html</w:t>
        </w:r>
      </w:hyperlink>
      <w:r>
        <w:rPr>
          <w:rFonts w:ascii="Verdana" w:hAnsi="Verdana" w:cs="Arial"/>
          <w:sz w:val="20"/>
        </w:rPr>
        <w:t xml:space="preserve"> (accessed 21/7/15).</w:t>
      </w:r>
    </w:p>
    <w:p w14:paraId="3A8B2A7B" w14:textId="77777777" w:rsidR="001432D8" w:rsidRDefault="001432D8" w:rsidP="00C33BBA">
      <w:pPr>
        <w:pStyle w:val="ListParagraph"/>
        <w:widowControl w:val="0"/>
        <w:numPr>
          <w:ilvl w:val="0"/>
          <w:numId w:val="4"/>
        </w:numPr>
        <w:spacing w:line="480" w:lineRule="auto"/>
        <w:rPr>
          <w:rFonts w:ascii="Verdana" w:hAnsi="Verdana" w:cs="Arial"/>
          <w:sz w:val="20"/>
        </w:rPr>
      </w:pPr>
      <w:r w:rsidRPr="00AF4198">
        <w:rPr>
          <w:rFonts w:ascii="Verdana" w:hAnsi="Verdana" w:cs="Arial"/>
          <w:sz w:val="20"/>
        </w:rPr>
        <w:t>Eriksson I, Unden A-L, Elofsson S. Self-rated health. Comparisons between three different measures. Results from a population study. Int J Epidemiol 2001;30:326-333.</w:t>
      </w:r>
    </w:p>
    <w:p w14:paraId="3A2401A7" w14:textId="77777777" w:rsidR="00873CF7" w:rsidRPr="00873CF7" w:rsidRDefault="00873CF7"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Derogatis LR, Melisaratos N. The brief symptom inventory: an introductory report. Psychol</w:t>
      </w:r>
      <w:r>
        <w:rPr>
          <w:rFonts w:ascii="Verdana" w:hAnsi="Verdana" w:cs="Arial"/>
          <w:sz w:val="20"/>
        </w:rPr>
        <w:t xml:space="preserve"> Med</w:t>
      </w:r>
      <w:r w:rsidRPr="00ED4DE1">
        <w:rPr>
          <w:rFonts w:ascii="Verdana" w:hAnsi="Verdana" w:cs="Arial"/>
          <w:sz w:val="20"/>
        </w:rPr>
        <w:t xml:space="preserve"> 1983;13:595-605.</w:t>
      </w:r>
    </w:p>
    <w:p w14:paraId="131504F8" w14:textId="77777777" w:rsidR="00873CF7" w:rsidRDefault="00873CF7" w:rsidP="00C33BBA">
      <w:pPr>
        <w:pStyle w:val="ListParagraph"/>
        <w:widowControl w:val="0"/>
        <w:numPr>
          <w:ilvl w:val="0"/>
          <w:numId w:val="4"/>
        </w:numPr>
        <w:spacing w:line="480" w:lineRule="auto"/>
        <w:rPr>
          <w:rFonts w:ascii="Verdana" w:hAnsi="Verdana" w:cs="Arial"/>
          <w:sz w:val="20"/>
        </w:rPr>
      </w:pPr>
      <w:r w:rsidRPr="00AF4198">
        <w:rPr>
          <w:rFonts w:ascii="Verdana" w:hAnsi="Verdana" w:cs="Arial"/>
          <w:sz w:val="20"/>
        </w:rPr>
        <w:t>Palmer KT, Reading I, Linaker C, Calnan M, Coggon D. Population based cohort study of incident and persistent arm pain: role of mental health, self-rated health and health beliefs. Pain 2008; 136: 30-37.</w:t>
      </w:r>
    </w:p>
    <w:p w14:paraId="61004300" w14:textId="77777777" w:rsidR="00873CF7" w:rsidRDefault="00873CF7" w:rsidP="00C33BBA">
      <w:pPr>
        <w:pStyle w:val="ListParagraph"/>
        <w:widowControl w:val="0"/>
        <w:numPr>
          <w:ilvl w:val="0"/>
          <w:numId w:val="4"/>
        </w:numPr>
        <w:spacing w:line="480" w:lineRule="auto"/>
        <w:rPr>
          <w:rFonts w:ascii="Verdana" w:hAnsi="Verdana" w:cs="Arial"/>
          <w:sz w:val="20"/>
        </w:rPr>
      </w:pPr>
      <w:r w:rsidRPr="00AC3303">
        <w:rPr>
          <w:rFonts w:ascii="Verdana" w:hAnsi="Verdana" w:cs="Arial"/>
          <w:sz w:val="20"/>
        </w:rPr>
        <w:t xml:space="preserve">Palmer KT, Reading I, Calnan M, Linaker C, Coggon D.  Does knee pain in the community behave like a regional pain syndrome? Prospective cohort study of incidence and persistence.  Ann </w:t>
      </w:r>
      <w:r>
        <w:rPr>
          <w:rFonts w:ascii="Verdana" w:hAnsi="Verdana" w:cs="Arial"/>
          <w:sz w:val="20"/>
        </w:rPr>
        <w:t>Rheum Dis</w:t>
      </w:r>
      <w:r w:rsidRPr="00AC3303">
        <w:rPr>
          <w:rFonts w:ascii="Verdana" w:hAnsi="Verdana" w:cs="Arial"/>
          <w:sz w:val="20"/>
        </w:rPr>
        <w:t xml:space="preserve"> 2007;66:1190-4.</w:t>
      </w:r>
    </w:p>
    <w:p w14:paraId="0E9934E0" w14:textId="77777777" w:rsidR="00CA0363" w:rsidRDefault="00CA0363" w:rsidP="00C33BBA">
      <w:pPr>
        <w:pStyle w:val="ListParagraph"/>
        <w:widowControl w:val="0"/>
        <w:numPr>
          <w:ilvl w:val="0"/>
          <w:numId w:val="4"/>
        </w:numPr>
        <w:spacing w:line="480" w:lineRule="auto"/>
        <w:rPr>
          <w:rFonts w:ascii="Verdana" w:hAnsi="Verdana" w:cs="Arial"/>
          <w:sz w:val="20"/>
        </w:rPr>
      </w:pPr>
      <w:r>
        <w:rPr>
          <w:rFonts w:ascii="Verdana" w:hAnsi="Verdana" w:cs="Arial"/>
          <w:sz w:val="20"/>
        </w:rPr>
        <w:t>Radloff LS.</w:t>
      </w:r>
      <w:r w:rsidRPr="006E2754">
        <w:t xml:space="preserve"> </w:t>
      </w:r>
      <w:r w:rsidRPr="006E2754">
        <w:rPr>
          <w:rFonts w:ascii="Verdana" w:hAnsi="Verdana" w:cs="Arial"/>
          <w:sz w:val="20"/>
        </w:rPr>
        <w:t xml:space="preserve">The CES-D </w:t>
      </w:r>
      <w:r>
        <w:rPr>
          <w:rFonts w:ascii="Verdana" w:hAnsi="Verdana" w:cs="Arial"/>
          <w:sz w:val="20"/>
        </w:rPr>
        <w:t>s</w:t>
      </w:r>
      <w:r w:rsidRPr="006E2754">
        <w:rPr>
          <w:rFonts w:ascii="Verdana" w:hAnsi="Verdana" w:cs="Arial"/>
          <w:sz w:val="20"/>
        </w:rPr>
        <w:t>cale</w:t>
      </w:r>
      <w:r>
        <w:rPr>
          <w:rFonts w:ascii="Verdana" w:hAnsi="Verdana" w:cs="Arial"/>
          <w:sz w:val="20"/>
        </w:rPr>
        <w:t>: a</w:t>
      </w:r>
      <w:r w:rsidRPr="006E2754">
        <w:rPr>
          <w:rFonts w:ascii="Verdana" w:hAnsi="Verdana" w:cs="Arial"/>
          <w:sz w:val="20"/>
        </w:rPr>
        <w:t xml:space="preserve"> </w:t>
      </w:r>
      <w:r>
        <w:rPr>
          <w:rFonts w:ascii="Verdana" w:hAnsi="Verdana" w:cs="Arial"/>
          <w:sz w:val="20"/>
        </w:rPr>
        <w:t>s</w:t>
      </w:r>
      <w:r w:rsidRPr="006E2754">
        <w:rPr>
          <w:rFonts w:ascii="Verdana" w:hAnsi="Verdana" w:cs="Arial"/>
          <w:sz w:val="20"/>
        </w:rPr>
        <w:t>elf-</w:t>
      </w:r>
      <w:r>
        <w:rPr>
          <w:rFonts w:ascii="Verdana" w:hAnsi="Verdana" w:cs="Arial"/>
          <w:sz w:val="20"/>
        </w:rPr>
        <w:t>r</w:t>
      </w:r>
      <w:r w:rsidRPr="006E2754">
        <w:rPr>
          <w:rFonts w:ascii="Verdana" w:hAnsi="Verdana" w:cs="Arial"/>
          <w:sz w:val="20"/>
        </w:rPr>
        <w:t xml:space="preserve">eport </w:t>
      </w:r>
      <w:r>
        <w:rPr>
          <w:rFonts w:ascii="Verdana" w:hAnsi="Verdana" w:cs="Arial"/>
          <w:sz w:val="20"/>
        </w:rPr>
        <w:t>d</w:t>
      </w:r>
      <w:r w:rsidRPr="006E2754">
        <w:rPr>
          <w:rFonts w:ascii="Verdana" w:hAnsi="Verdana" w:cs="Arial"/>
          <w:sz w:val="20"/>
        </w:rPr>
        <w:t xml:space="preserve">epression </w:t>
      </w:r>
      <w:r>
        <w:rPr>
          <w:rFonts w:ascii="Verdana" w:hAnsi="Verdana" w:cs="Arial"/>
          <w:sz w:val="20"/>
        </w:rPr>
        <w:t>s</w:t>
      </w:r>
      <w:r w:rsidRPr="006E2754">
        <w:rPr>
          <w:rFonts w:ascii="Verdana" w:hAnsi="Verdana" w:cs="Arial"/>
          <w:sz w:val="20"/>
        </w:rPr>
        <w:t xml:space="preserve">cale for </w:t>
      </w:r>
      <w:r>
        <w:rPr>
          <w:rFonts w:ascii="Verdana" w:hAnsi="Verdana" w:cs="Arial"/>
          <w:sz w:val="20"/>
        </w:rPr>
        <w:t>r</w:t>
      </w:r>
      <w:r w:rsidRPr="006E2754">
        <w:rPr>
          <w:rFonts w:ascii="Verdana" w:hAnsi="Verdana" w:cs="Arial"/>
          <w:sz w:val="20"/>
        </w:rPr>
        <w:t xml:space="preserve">esearch in the </w:t>
      </w:r>
      <w:r>
        <w:rPr>
          <w:rFonts w:ascii="Verdana" w:hAnsi="Verdana" w:cs="Arial"/>
          <w:sz w:val="20"/>
        </w:rPr>
        <w:t>g</w:t>
      </w:r>
      <w:r w:rsidRPr="006E2754">
        <w:rPr>
          <w:rFonts w:ascii="Verdana" w:hAnsi="Verdana" w:cs="Arial"/>
          <w:sz w:val="20"/>
        </w:rPr>
        <w:t xml:space="preserve">eneral </w:t>
      </w:r>
      <w:r>
        <w:rPr>
          <w:rFonts w:ascii="Verdana" w:hAnsi="Verdana" w:cs="Arial"/>
          <w:sz w:val="20"/>
        </w:rPr>
        <w:t>p</w:t>
      </w:r>
      <w:r w:rsidRPr="006E2754">
        <w:rPr>
          <w:rFonts w:ascii="Verdana" w:hAnsi="Verdana" w:cs="Arial"/>
          <w:sz w:val="20"/>
        </w:rPr>
        <w:t>opulation</w:t>
      </w:r>
      <w:r>
        <w:rPr>
          <w:rFonts w:ascii="Verdana" w:hAnsi="Verdana" w:cs="Arial"/>
          <w:sz w:val="20"/>
        </w:rPr>
        <w:t>. Applied Psychological Measurement 1977; 1: 385-401.</w:t>
      </w:r>
    </w:p>
    <w:p w14:paraId="10203A18" w14:textId="7AC2D940" w:rsidR="00873CF7" w:rsidRDefault="00873CF7" w:rsidP="00C33BBA">
      <w:pPr>
        <w:pStyle w:val="ListParagraph"/>
        <w:widowControl w:val="0"/>
        <w:numPr>
          <w:ilvl w:val="0"/>
          <w:numId w:val="4"/>
        </w:numPr>
        <w:spacing w:line="480" w:lineRule="auto"/>
        <w:rPr>
          <w:rFonts w:ascii="Verdana" w:hAnsi="Verdana" w:cs="Arial"/>
          <w:sz w:val="20"/>
        </w:rPr>
      </w:pPr>
      <w:r w:rsidRPr="00ED4DE1">
        <w:rPr>
          <w:rFonts w:ascii="Verdana" w:hAnsi="Verdana" w:cs="Arial"/>
          <w:sz w:val="20"/>
        </w:rPr>
        <w:t xml:space="preserve">Stewart-Brown S, Janmohamed K. Warwick-Edinburgh Mental Well-being Scale. User Guide, v1 (June 2008). </w:t>
      </w:r>
      <w:hyperlink r:id="rId14" w:history="1">
        <w:r w:rsidRPr="00ED4DE1">
          <w:rPr>
            <w:rFonts w:ascii="Verdana" w:hAnsi="Verdana" w:cs="Arial"/>
            <w:sz w:val="20"/>
          </w:rPr>
          <w:t>http://www.healthscotland.com/uploads/documents/7551-WEMWBS%20User%20Guide%20Version%201%20June%202008.pdf</w:t>
        </w:r>
      </w:hyperlink>
      <w:r w:rsidR="00936453">
        <w:rPr>
          <w:rFonts w:ascii="Verdana" w:hAnsi="Verdana" w:cs="Arial"/>
          <w:sz w:val="20"/>
        </w:rPr>
        <w:t xml:space="preserve"> (accessed </w:t>
      </w:r>
      <w:r w:rsidR="00936453">
        <w:rPr>
          <w:rFonts w:ascii="Verdana" w:eastAsia="Calibri" w:hAnsi="Verdana"/>
          <w:bCs/>
          <w:sz w:val="20"/>
          <w:szCs w:val="20"/>
        </w:rPr>
        <w:t>21/7/15)</w:t>
      </w:r>
    </w:p>
    <w:p w14:paraId="3864B96E" w14:textId="7054AB74" w:rsidR="006D5375" w:rsidRPr="00820C05" w:rsidRDefault="006D5375" w:rsidP="00C33BBA">
      <w:pPr>
        <w:pStyle w:val="ListParagraph"/>
        <w:widowControl w:val="0"/>
        <w:numPr>
          <w:ilvl w:val="0"/>
          <w:numId w:val="4"/>
        </w:numPr>
        <w:spacing w:line="480" w:lineRule="auto"/>
        <w:rPr>
          <w:rFonts w:ascii="Verdana" w:hAnsi="Verdana" w:cs="Arial"/>
          <w:sz w:val="20"/>
        </w:rPr>
      </w:pPr>
      <w:r w:rsidRPr="00820C05">
        <w:rPr>
          <w:rFonts w:ascii="Verdana" w:hAnsi="Verdana" w:cs="Arial"/>
          <w:sz w:val="20"/>
        </w:rPr>
        <w:t xml:space="preserve">Tennant R, Hiller L,  Fishwick R, Platt S, Joseph S, Weich S,  Scott S,  </w:t>
      </w:r>
      <w:r w:rsidR="003F6A6C">
        <w:rPr>
          <w:rFonts w:ascii="Verdana" w:hAnsi="Verdana" w:cs="Arial"/>
          <w:sz w:val="20"/>
        </w:rPr>
        <w:t>et al</w:t>
      </w:r>
      <w:r w:rsidRPr="00820C05">
        <w:rPr>
          <w:rFonts w:ascii="Verdana" w:hAnsi="Verdana" w:cs="Arial"/>
          <w:sz w:val="20"/>
        </w:rPr>
        <w:t xml:space="preserve">.  The Warwick-Edinburgh Mental Well-being Scale (WEMWBS): development and UK validation. Health </w:t>
      </w:r>
      <w:r w:rsidR="00820C05">
        <w:rPr>
          <w:rFonts w:ascii="Verdana" w:hAnsi="Verdana" w:cs="Arial"/>
          <w:sz w:val="20"/>
        </w:rPr>
        <w:t>&amp; Quality of Life Outcomes 2007;</w:t>
      </w:r>
      <w:r w:rsidRPr="00820C05">
        <w:rPr>
          <w:rFonts w:ascii="Verdana" w:hAnsi="Verdana" w:cs="Arial"/>
          <w:sz w:val="20"/>
        </w:rPr>
        <w:t xml:space="preserve"> 5:63.</w:t>
      </w:r>
    </w:p>
    <w:p w14:paraId="7F5E795B" w14:textId="5AB273E7" w:rsidR="00AF4198" w:rsidRDefault="00FF426A" w:rsidP="00C33BBA">
      <w:pPr>
        <w:pStyle w:val="ListParagraph"/>
        <w:widowControl w:val="0"/>
        <w:numPr>
          <w:ilvl w:val="0"/>
          <w:numId w:val="4"/>
        </w:numPr>
        <w:spacing w:line="480" w:lineRule="auto"/>
        <w:rPr>
          <w:rFonts w:ascii="Verdana" w:hAnsi="Verdana" w:cs="Arial"/>
          <w:sz w:val="20"/>
        </w:rPr>
      </w:pPr>
      <w:r>
        <w:rPr>
          <w:rFonts w:ascii="Verdana" w:hAnsi="Verdana" w:cs="Arial"/>
          <w:sz w:val="20"/>
        </w:rPr>
        <w:t>Jenkins CD</w:t>
      </w:r>
      <w:r w:rsidRPr="00FF426A">
        <w:rPr>
          <w:rFonts w:ascii="Verdana" w:hAnsi="Verdana" w:cs="Arial"/>
          <w:sz w:val="20"/>
        </w:rPr>
        <w:t>, Stanton BA, Niemcryk SJ, Rose RM. A scale for the estimation of sleep problems in clinical research.</w:t>
      </w:r>
      <w:r>
        <w:rPr>
          <w:rFonts w:ascii="Verdana" w:hAnsi="Verdana" w:cs="Arial"/>
          <w:sz w:val="20"/>
        </w:rPr>
        <w:t xml:space="preserve"> </w:t>
      </w:r>
      <w:r w:rsidRPr="00FF426A">
        <w:rPr>
          <w:rFonts w:ascii="Verdana" w:hAnsi="Verdana" w:cs="Arial"/>
          <w:sz w:val="20"/>
        </w:rPr>
        <w:t>J Clin Epidemi</w:t>
      </w:r>
      <w:r>
        <w:rPr>
          <w:rFonts w:ascii="Verdana" w:hAnsi="Verdana" w:cs="Arial"/>
          <w:sz w:val="20"/>
        </w:rPr>
        <w:t>ol 1988;41</w:t>
      </w:r>
      <w:r w:rsidRPr="00FF426A">
        <w:rPr>
          <w:rFonts w:ascii="Verdana" w:hAnsi="Verdana" w:cs="Arial"/>
          <w:sz w:val="20"/>
        </w:rPr>
        <w:t>:313-21.</w:t>
      </w:r>
    </w:p>
    <w:p w14:paraId="212525E0" w14:textId="02DBACC4" w:rsidR="00820C05" w:rsidRPr="00873CF7" w:rsidRDefault="00820C05" w:rsidP="00C33BBA">
      <w:pPr>
        <w:pStyle w:val="ListParagraph"/>
        <w:widowControl w:val="0"/>
        <w:numPr>
          <w:ilvl w:val="0"/>
          <w:numId w:val="4"/>
        </w:numPr>
        <w:spacing w:line="480" w:lineRule="auto"/>
        <w:rPr>
          <w:rFonts w:ascii="Verdana" w:hAnsi="Verdana" w:cs="Arial"/>
          <w:sz w:val="20"/>
        </w:rPr>
      </w:pPr>
      <w:r w:rsidRPr="00820C05">
        <w:rPr>
          <w:rFonts w:ascii="Verdana" w:hAnsi="Verdana" w:cs="Arial"/>
          <w:sz w:val="20"/>
        </w:rPr>
        <w:t>Morphy H, Dunn KM Lewis M, Boardman HF</w:t>
      </w:r>
      <w:r>
        <w:rPr>
          <w:rFonts w:ascii="Verdana" w:hAnsi="Verdana" w:cs="Arial"/>
          <w:sz w:val="20"/>
        </w:rPr>
        <w:t>,</w:t>
      </w:r>
      <w:r w:rsidRPr="00820C05">
        <w:rPr>
          <w:rFonts w:ascii="Verdana" w:hAnsi="Verdana" w:cs="Arial"/>
          <w:sz w:val="20"/>
        </w:rPr>
        <w:t xml:space="preserve"> Croft PR. </w:t>
      </w:r>
      <w:r>
        <w:rPr>
          <w:rFonts w:ascii="Verdana" w:hAnsi="Verdana" w:cs="Arial"/>
          <w:sz w:val="20"/>
        </w:rPr>
        <w:t>Epidemiology of insomnia: a longitudinal s</w:t>
      </w:r>
      <w:r w:rsidRPr="00820C05">
        <w:rPr>
          <w:rFonts w:ascii="Verdana" w:hAnsi="Verdana" w:cs="Arial"/>
          <w:sz w:val="20"/>
        </w:rPr>
        <w:t xml:space="preserve">tudy in a UK Population. </w:t>
      </w:r>
      <w:r>
        <w:rPr>
          <w:rFonts w:ascii="Verdana" w:hAnsi="Verdana" w:cs="Arial"/>
          <w:sz w:val="20"/>
        </w:rPr>
        <w:t>Sleep 2007;30</w:t>
      </w:r>
      <w:r w:rsidRPr="00820C05">
        <w:rPr>
          <w:rFonts w:ascii="Verdana" w:hAnsi="Verdana" w:cs="Arial"/>
          <w:sz w:val="20"/>
        </w:rPr>
        <w:t>:274-280.</w:t>
      </w:r>
    </w:p>
    <w:p w14:paraId="2A827425" w14:textId="77777777" w:rsidR="00A04F2B" w:rsidRDefault="00A04F2B" w:rsidP="00C33BBA">
      <w:pPr>
        <w:pStyle w:val="ListParagraph"/>
        <w:widowControl w:val="0"/>
        <w:numPr>
          <w:ilvl w:val="0"/>
          <w:numId w:val="4"/>
        </w:numPr>
        <w:spacing w:line="480" w:lineRule="auto"/>
        <w:ind w:left="357" w:hanging="357"/>
        <w:rPr>
          <w:rFonts w:ascii="Verdana" w:hAnsi="Verdana" w:cs="Arial"/>
          <w:sz w:val="20"/>
        </w:rPr>
      </w:pPr>
      <w:r w:rsidRPr="003C2AA8">
        <w:rPr>
          <w:rFonts w:ascii="Verdana" w:hAnsi="Verdana" w:cs="Arial"/>
          <w:sz w:val="20"/>
        </w:rPr>
        <w:lastRenderedPageBreak/>
        <w:t>Ilmarinen J, Tuomi K,</w:t>
      </w:r>
      <w:r w:rsidRPr="00820C05">
        <w:rPr>
          <w:rFonts w:ascii="Verdana" w:hAnsi="Verdana" w:cs="Arial"/>
          <w:sz w:val="20"/>
        </w:rPr>
        <w:t xml:space="preserve"> </w:t>
      </w:r>
      <w:r w:rsidRPr="003C2AA8">
        <w:rPr>
          <w:rFonts w:ascii="Verdana" w:hAnsi="Verdana" w:cs="Arial"/>
          <w:sz w:val="20"/>
        </w:rPr>
        <w:t>Klockars M. Changes in the work ability of active employees over an 11 -year period. Scand J Work Environ Health 1997;23 Suppl 1:49-57.</w:t>
      </w:r>
    </w:p>
    <w:p w14:paraId="1B38F680" w14:textId="15CA58BD" w:rsidR="00820C05" w:rsidRDefault="00820C05" w:rsidP="00C33BBA">
      <w:pPr>
        <w:pStyle w:val="ListParagraph"/>
        <w:widowControl w:val="0"/>
        <w:numPr>
          <w:ilvl w:val="0"/>
          <w:numId w:val="4"/>
        </w:numPr>
        <w:spacing w:line="480" w:lineRule="auto"/>
        <w:rPr>
          <w:rFonts w:ascii="Verdana" w:hAnsi="Verdana" w:cs="Arial"/>
          <w:sz w:val="20"/>
        </w:rPr>
      </w:pPr>
      <w:r w:rsidRPr="00820C05">
        <w:rPr>
          <w:rFonts w:ascii="Verdana" w:hAnsi="Verdana" w:cs="Arial"/>
          <w:sz w:val="20"/>
        </w:rPr>
        <w:t>De Zwart BC, Frings-Dresen MH, van Duivenbooden JC. Test-retest reliability of the Work Ability Index questionnaire. Occup Med 2002;52:177–181.</w:t>
      </w:r>
    </w:p>
    <w:p w14:paraId="0EBAFA51" w14:textId="706557DB" w:rsidR="00820C05" w:rsidRPr="00820C05" w:rsidRDefault="00820C05" w:rsidP="00C33BBA">
      <w:pPr>
        <w:pStyle w:val="ListParagraph"/>
        <w:widowControl w:val="0"/>
        <w:numPr>
          <w:ilvl w:val="0"/>
          <w:numId w:val="4"/>
        </w:numPr>
        <w:spacing w:line="480" w:lineRule="auto"/>
        <w:rPr>
          <w:rFonts w:ascii="Verdana" w:hAnsi="Verdana" w:cs="Arial"/>
          <w:sz w:val="20"/>
        </w:rPr>
      </w:pPr>
      <w:r w:rsidRPr="00820C05">
        <w:rPr>
          <w:rFonts w:ascii="Verdana" w:hAnsi="Verdana" w:cs="Arial"/>
          <w:sz w:val="20"/>
        </w:rPr>
        <w:t>Alavinia SM, de Boer AGEM, van Duivenbooden JC, Frings-Dresen MHW, Burdorf A.</w:t>
      </w:r>
      <w:r>
        <w:rPr>
          <w:rFonts w:ascii="Verdana" w:hAnsi="Verdana" w:cs="Arial"/>
          <w:sz w:val="20"/>
        </w:rPr>
        <w:t xml:space="preserve"> </w:t>
      </w:r>
      <w:r w:rsidRPr="00820C05">
        <w:rPr>
          <w:rFonts w:ascii="Verdana" w:hAnsi="Verdana" w:cs="Arial"/>
          <w:sz w:val="20"/>
        </w:rPr>
        <w:t>Determinants of work ability and its predictive value for disability. Occup Med 2009;59:32–37.</w:t>
      </w:r>
    </w:p>
    <w:p w14:paraId="0FDC625C" w14:textId="2C76DA0E" w:rsidR="00AC3303" w:rsidRPr="00873CF7" w:rsidRDefault="00AF4198" w:rsidP="00C33BBA">
      <w:pPr>
        <w:pStyle w:val="ListParagraph"/>
        <w:widowControl w:val="0"/>
        <w:numPr>
          <w:ilvl w:val="0"/>
          <w:numId w:val="4"/>
        </w:numPr>
        <w:spacing w:line="480" w:lineRule="auto"/>
        <w:rPr>
          <w:rFonts w:ascii="Verdana" w:hAnsi="Verdana" w:cs="Arial"/>
          <w:sz w:val="20"/>
        </w:rPr>
      </w:pPr>
      <w:r w:rsidRPr="00AF4198">
        <w:rPr>
          <w:rFonts w:ascii="Verdana" w:hAnsi="Verdana" w:cs="Arial"/>
          <w:sz w:val="20"/>
        </w:rPr>
        <w:t xml:space="preserve">Fried LP, Tangen CM, Walston J, Newman AB, Hirsch C, Gottdiener J, </w:t>
      </w:r>
      <w:r w:rsidR="003F6A6C">
        <w:rPr>
          <w:rFonts w:ascii="Verdana" w:hAnsi="Verdana" w:cs="Arial"/>
          <w:sz w:val="20"/>
        </w:rPr>
        <w:t>et al</w:t>
      </w:r>
      <w:r w:rsidRPr="00AF4198">
        <w:rPr>
          <w:rFonts w:ascii="Verdana" w:hAnsi="Verdana" w:cs="Arial"/>
          <w:sz w:val="20"/>
        </w:rPr>
        <w:t>, Cardiovascular Health Study Collaborative Research Group. Frailty in older adults: evidence for a phenotype. J Gerontol A Biol Sci Med Sci 2001; 56:M146–M156.</w:t>
      </w:r>
      <w:r w:rsidR="00AC3303" w:rsidRPr="00873CF7">
        <w:rPr>
          <w:rFonts w:ascii="Verdana" w:hAnsi="Verdana" w:cs="Arial"/>
          <w:sz w:val="20"/>
        </w:rPr>
        <w:t xml:space="preserve">  </w:t>
      </w:r>
    </w:p>
    <w:p w14:paraId="5661ADAB" w14:textId="6E7D89CF" w:rsidR="003C2AA8" w:rsidRDefault="003C2AA8" w:rsidP="00C33BBA">
      <w:pPr>
        <w:pStyle w:val="ListParagraph"/>
        <w:numPr>
          <w:ilvl w:val="0"/>
          <w:numId w:val="4"/>
        </w:numPr>
        <w:spacing w:line="480" w:lineRule="auto"/>
        <w:ind w:left="357" w:hanging="357"/>
        <w:rPr>
          <w:rFonts w:ascii="Verdana" w:hAnsi="Verdana" w:cs="Arial"/>
          <w:sz w:val="20"/>
        </w:rPr>
      </w:pPr>
      <w:r w:rsidRPr="003C2AA8">
        <w:rPr>
          <w:rFonts w:ascii="Verdana" w:hAnsi="Verdana" w:cs="Arial"/>
          <w:sz w:val="20"/>
        </w:rPr>
        <w:t xml:space="preserve">Bouillon K, Kivimaki M, Hamer M, Sabia S, Fransson EI, Singh-Manoux A, </w:t>
      </w:r>
      <w:r w:rsidR="003F6A6C">
        <w:rPr>
          <w:rFonts w:ascii="Verdana" w:hAnsi="Verdana" w:cs="Arial"/>
          <w:sz w:val="20"/>
        </w:rPr>
        <w:t>et al</w:t>
      </w:r>
      <w:r w:rsidRPr="003C2AA8">
        <w:rPr>
          <w:rFonts w:ascii="Verdana" w:hAnsi="Verdana" w:cs="Arial"/>
          <w:sz w:val="20"/>
        </w:rPr>
        <w:t>. Measures of frailty in population-based studies: an overview. BMC Geriatr 2013;13:64.</w:t>
      </w:r>
    </w:p>
    <w:p w14:paraId="7A2C8863" w14:textId="57812ADA" w:rsidR="00820C05" w:rsidRDefault="00820C05" w:rsidP="00C33BBA">
      <w:pPr>
        <w:pStyle w:val="ListParagraph"/>
        <w:numPr>
          <w:ilvl w:val="0"/>
          <w:numId w:val="4"/>
        </w:numPr>
        <w:spacing w:line="480" w:lineRule="auto"/>
        <w:rPr>
          <w:rFonts w:ascii="Verdana" w:hAnsi="Verdana" w:cs="Arial"/>
          <w:sz w:val="20"/>
        </w:rPr>
      </w:pPr>
      <w:r w:rsidRPr="00820C05">
        <w:rPr>
          <w:rFonts w:ascii="Verdana" w:hAnsi="Verdana" w:cs="Arial"/>
          <w:sz w:val="20"/>
        </w:rPr>
        <w:t xml:space="preserve">Landi F, Liperoti R, Russo A, Giovannini S, Tosato M, Capoluongo E, </w:t>
      </w:r>
      <w:r w:rsidR="003F6A6C">
        <w:rPr>
          <w:rFonts w:ascii="Verdana" w:hAnsi="Verdana" w:cs="Arial"/>
          <w:sz w:val="20"/>
        </w:rPr>
        <w:t>et al</w:t>
      </w:r>
      <w:r w:rsidRPr="00820C05">
        <w:rPr>
          <w:rFonts w:ascii="Verdana" w:hAnsi="Verdana" w:cs="Arial"/>
          <w:sz w:val="20"/>
        </w:rPr>
        <w:t>. Sarcopenia as a risk factor for falls in elderly individuals: Results from the ilSIRENTE study. Clin Nutr 2012; 31: 652-658.</w:t>
      </w:r>
    </w:p>
    <w:p w14:paraId="55945F84" w14:textId="1649A429" w:rsidR="00820C05" w:rsidRDefault="00820C05" w:rsidP="00C33BBA">
      <w:pPr>
        <w:pStyle w:val="ListParagraph"/>
        <w:numPr>
          <w:ilvl w:val="0"/>
          <w:numId w:val="4"/>
        </w:numPr>
        <w:spacing w:line="480" w:lineRule="auto"/>
        <w:rPr>
          <w:rFonts w:ascii="Verdana" w:hAnsi="Verdana" w:cs="Arial"/>
          <w:sz w:val="20"/>
        </w:rPr>
      </w:pPr>
      <w:r w:rsidRPr="00820C05">
        <w:rPr>
          <w:rFonts w:ascii="Verdana" w:hAnsi="Verdana" w:cs="Arial"/>
          <w:sz w:val="20"/>
        </w:rPr>
        <w:t xml:space="preserve">Kuorinka I, Jonsson B, Kilbom A, Vinterberg H, Biering-Sørensen F, Andersson G, </w:t>
      </w:r>
      <w:r w:rsidR="003F6A6C">
        <w:rPr>
          <w:rFonts w:ascii="Verdana" w:hAnsi="Verdana" w:cs="Arial"/>
          <w:sz w:val="20"/>
        </w:rPr>
        <w:t>et al</w:t>
      </w:r>
      <w:r w:rsidRPr="00820C05">
        <w:rPr>
          <w:rFonts w:ascii="Verdana" w:hAnsi="Verdana" w:cs="Arial"/>
          <w:sz w:val="20"/>
        </w:rPr>
        <w:t>.  Standardised Nordic questionnaire for the analysis of musculoskeletal symptoms.  Appl Ergon 1987; 18: 233-237.</w:t>
      </w:r>
    </w:p>
    <w:p w14:paraId="38211C67" w14:textId="46E1319B" w:rsidR="00820C05" w:rsidRPr="003C2AA8" w:rsidRDefault="00820C05" w:rsidP="00C33BBA">
      <w:pPr>
        <w:pStyle w:val="ListParagraph"/>
        <w:numPr>
          <w:ilvl w:val="0"/>
          <w:numId w:val="4"/>
        </w:numPr>
        <w:spacing w:line="480" w:lineRule="auto"/>
        <w:rPr>
          <w:rFonts w:ascii="Verdana" w:hAnsi="Verdana" w:cs="Arial"/>
          <w:sz w:val="20"/>
        </w:rPr>
      </w:pPr>
      <w:r w:rsidRPr="00820C05">
        <w:rPr>
          <w:rFonts w:ascii="Verdana" w:hAnsi="Verdana" w:cs="Arial"/>
          <w:sz w:val="20"/>
        </w:rPr>
        <w:t>Davis AC. The prevalence of hearing impairment and reported hearing disability among adults in Great Britain. Int J Epidemiol 1989;18:911–17.</w:t>
      </w:r>
    </w:p>
    <w:p w14:paraId="7D53D8E4" w14:textId="37408306" w:rsidR="00385CE8" w:rsidRDefault="00385CE8" w:rsidP="00C33BBA">
      <w:pPr>
        <w:pStyle w:val="ListParagraph"/>
        <w:widowControl w:val="0"/>
        <w:numPr>
          <w:ilvl w:val="0"/>
          <w:numId w:val="4"/>
        </w:numPr>
        <w:spacing w:line="480" w:lineRule="auto"/>
        <w:rPr>
          <w:rFonts w:ascii="Verdana" w:hAnsi="Verdana" w:cs="Arial"/>
          <w:sz w:val="20"/>
        </w:rPr>
      </w:pPr>
      <w:r w:rsidRPr="00385CE8">
        <w:rPr>
          <w:rFonts w:ascii="Verdana" w:hAnsi="Verdana" w:cs="Arial"/>
          <w:sz w:val="20"/>
        </w:rPr>
        <w:t>Palmer KT.  Occupational activities and osteoarthritis of the knee.  Br</w:t>
      </w:r>
      <w:r>
        <w:rPr>
          <w:rFonts w:ascii="Verdana" w:hAnsi="Verdana" w:cs="Arial"/>
          <w:sz w:val="20"/>
        </w:rPr>
        <w:t xml:space="preserve"> Med Bull</w:t>
      </w:r>
      <w:r w:rsidRPr="00385CE8">
        <w:rPr>
          <w:rFonts w:ascii="Verdana" w:hAnsi="Verdana" w:cs="Arial"/>
          <w:sz w:val="20"/>
        </w:rPr>
        <w:t xml:space="preserve"> 2012;102:147-70.</w:t>
      </w:r>
    </w:p>
    <w:p w14:paraId="40EF4C61" w14:textId="00A900DE" w:rsidR="00385CE8" w:rsidRDefault="00296B2C" w:rsidP="00C33BBA">
      <w:pPr>
        <w:pStyle w:val="ListParagraph"/>
        <w:widowControl w:val="0"/>
        <w:numPr>
          <w:ilvl w:val="0"/>
          <w:numId w:val="4"/>
        </w:numPr>
        <w:spacing w:line="480" w:lineRule="auto"/>
        <w:rPr>
          <w:rFonts w:ascii="Verdana" w:hAnsi="Verdana" w:cs="Arial"/>
          <w:sz w:val="20"/>
        </w:rPr>
      </w:pPr>
      <w:r w:rsidRPr="00296B2C">
        <w:rPr>
          <w:rFonts w:ascii="Verdana" w:hAnsi="Verdana" w:cs="Arial"/>
          <w:sz w:val="20"/>
        </w:rPr>
        <w:t>Baker P, Coggon D, Reading I, Barrett D, McLaren M, Cooper C.  Sports injury, occupational physical activity, joint laxity, and meniscal damage.  J Rheumatol 2002 29:557-63.</w:t>
      </w:r>
    </w:p>
    <w:p w14:paraId="6E92ED7B" w14:textId="23380746" w:rsidR="00296B2C" w:rsidRDefault="00296B2C" w:rsidP="00C33BBA">
      <w:pPr>
        <w:pStyle w:val="ListParagraph"/>
        <w:widowControl w:val="0"/>
        <w:numPr>
          <w:ilvl w:val="0"/>
          <w:numId w:val="4"/>
        </w:numPr>
        <w:spacing w:line="480" w:lineRule="auto"/>
        <w:rPr>
          <w:rFonts w:ascii="Verdana" w:hAnsi="Verdana" w:cs="Arial"/>
          <w:sz w:val="20"/>
        </w:rPr>
      </w:pPr>
      <w:r w:rsidRPr="00296B2C">
        <w:rPr>
          <w:rFonts w:ascii="Verdana" w:hAnsi="Verdana" w:cs="Arial"/>
          <w:sz w:val="20"/>
        </w:rPr>
        <w:t>Burdorf A, Sorock G. Positive and negative evidence of risk factors for back disorders.  Scand J Work Environ Health 1997; 23:243-56.</w:t>
      </w:r>
    </w:p>
    <w:p w14:paraId="47CCFF2B" w14:textId="77777777" w:rsidR="001E48B7" w:rsidRDefault="00352E1A" w:rsidP="00C33BBA">
      <w:pPr>
        <w:pStyle w:val="ListParagraph"/>
        <w:widowControl w:val="0"/>
        <w:numPr>
          <w:ilvl w:val="0"/>
          <w:numId w:val="4"/>
        </w:numPr>
        <w:spacing w:line="480" w:lineRule="auto"/>
        <w:rPr>
          <w:rFonts w:ascii="Verdana" w:hAnsi="Verdana" w:cs="Arial"/>
          <w:sz w:val="20"/>
        </w:rPr>
      </w:pPr>
      <w:r w:rsidRPr="00352E1A">
        <w:rPr>
          <w:rFonts w:ascii="Verdana" w:hAnsi="Verdana" w:cs="Arial"/>
          <w:sz w:val="20"/>
        </w:rPr>
        <w:t xml:space="preserve">Karasek RA. Job demands, job decision latitude, and mental strain: implications for </w:t>
      </w:r>
      <w:r w:rsidRPr="00352E1A">
        <w:rPr>
          <w:rFonts w:ascii="Verdana" w:hAnsi="Verdana" w:cs="Arial"/>
          <w:sz w:val="20"/>
        </w:rPr>
        <w:lastRenderedPageBreak/>
        <w:t>job redesign. Administrative Science Quarterly 1979; 24: 285 -308.</w:t>
      </w:r>
    </w:p>
    <w:p w14:paraId="6F1D1BC9" w14:textId="77777777" w:rsidR="001E48B7" w:rsidRDefault="00A769CB" w:rsidP="00C33BBA">
      <w:pPr>
        <w:pStyle w:val="ListParagraph"/>
        <w:widowControl w:val="0"/>
        <w:numPr>
          <w:ilvl w:val="0"/>
          <w:numId w:val="4"/>
        </w:numPr>
        <w:spacing w:line="480" w:lineRule="auto"/>
        <w:rPr>
          <w:rFonts w:ascii="Verdana" w:hAnsi="Verdana" w:cs="Arial"/>
          <w:sz w:val="20"/>
        </w:rPr>
      </w:pPr>
      <w:r w:rsidRPr="001E48B7">
        <w:rPr>
          <w:rFonts w:ascii="Verdana" w:hAnsi="Verdana" w:cs="Arial"/>
          <w:sz w:val="20"/>
        </w:rPr>
        <w:t>Palmer KT, D’Angelo S, Harris EC, Linaker C, Coggon D.  The role of mental health problems and common psychotropic drug treatments in accidental injury at work, a case-control study.  Occup Environ Med 2014;71:308-12.</w:t>
      </w:r>
    </w:p>
    <w:p w14:paraId="17E1E12A" w14:textId="6BD9381F" w:rsidR="001E48B7" w:rsidRDefault="00A769CB" w:rsidP="00C33BBA">
      <w:pPr>
        <w:pStyle w:val="ListParagraph"/>
        <w:widowControl w:val="0"/>
        <w:numPr>
          <w:ilvl w:val="0"/>
          <w:numId w:val="4"/>
        </w:numPr>
        <w:spacing w:line="480" w:lineRule="auto"/>
        <w:rPr>
          <w:rFonts w:ascii="Verdana" w:hAnsi="Verdana" w:cs="Arial"/>
          <w:sz w:val="20"/>
        </w:rPr>
      </w:pPr>
      <w:r w:rsidRPr="001E48B7">
        <w:rPr>
          <w:rFonts w:ascii="Verdana" w:hAnsi="Verdana" w:cs="Arial"/>
          <w:sz w:val="20"/>
        </w:rPr>
        <w:t>Palmer KT, D’Angelo S, Harris EC, Linaker C, Coggon D.  Epilepsy, diabetes mellitus, and accidental injury at work.  Occup Med 2014</w:t>
      </w:r>
      <w:r w:rsidR="001F3E8D">
        <w:rPr>
          <w:rFonts w:ascii="Verdana" w:hAnsi="Verdana" w:cs="Arial"/>
          <w:sz w:val="20"/>
        </w:rPr>
        <w:t>;64:448-453</w:t>
      </w:r>
      <w:r w:rsidRPr="001E48B7">
        <w:rPr>
          <w:rFonts w:ascii="Verdana" w:hAnsi="Verdana" w:cs="Arial"/>
          <w:sz w:val="20"/>
        </w:rPr>
        <w:t>.</w:t>
      </w:r>
    </w:p>
    <w:p w14:paraId="09486ADD" w14:textId="42892E60" w:rsidR="001E48B7" w:rsidRPr="00936453" w:rsidRDefault="00DA5D5E" w:rsidP="00C33BBA">
      <w:pPr>
        <w:pStyle w:val="ListParagraph"/>
        <w:widowControl w:val="0"/>
        <w:numPr>
          <w:ilvl w:val="0"/>
          <w:numId w:val="4"/>
        </w:numPr>
        <w:spacing w:line="480" w:lineRule="auto"/>
        <w:rPr>
          <w:rFonts w:ascii="Verdana" w:eastAsia="Calibri" w:hAnsi="Verdana"/>
          <w:bCs/>
          <w:sz w:val="20"/>
          <w:szCs w:val="20"/>
        </w:rPr>
      </w:pPr>
      <w:r w:rsidRPr="001E48B7">
        <w:rPr>
          <w:rFonts w:ascii="Verdana" w:eastAsia="Calibri" w:hAnsi="Verdana"/>
          <w:bCs/>
          <w:sz w:val="20"/>
          <w:szCs w:val="20"/>
        </w:rPr>
        <w:t xml:space="preserve">Office for National Statistics. Pension Trends 2012, Chapter 4. The Labour Market and Retirement. </w:t>
      </w:r>
      <w:hyperlink r:id="rId15" w:history="1">
        <w:r w:rsidRPr="001E48B7">
          <w:rPr>
            <w:rFonts w:ascii="Verdana" w:eastAsia="Calibri" w:hAnsi="Verdana"/>
            <w:bCs/>
            <w:color w:val="0000FF"/>
            <w:sz w:val="20"/>
            <w:szCs w:val="20"/>
            <w:u w:val="single"/>
          </w:rPr>
          <w:t>http://www.google.co.uk/url?sa=t&amp;rct=j&amp;q=pension%20trends%2C%202012%20edition%20chapter%204&amp;source=web&amp;cd=1&amp;cad=rja&amp;ved=0CC8QFjAA&amp;url=http%3A%2F%2Fwww.ons.gov.uk%2Fons%2Frel%2Fpensions%2Fpension-trends%2Fchapter-4--the-labour-market-and-retirement--2012-edition-%2Findex.html&amp;ei=en4nUdvYB8aW0QW8p4GQCw&amp;usg=AFQjCNGM-8o3xWz_e97f9-JBRC3ZWizEsA&amp;bvm=bv.42768644,d.d2k</w:t>
        </w:r>
      </w:hyperlink>
      <w:r w:rsidR="00936453" w:rsidRPr="00936453">
        <w:rPr>
          <w:rFonts w:ascii="Verdana" w:eastAsia="Calibri" w:hAnsi="Verdana"/>
          <w:bCs/>
          <w:sz w:val="20"/>
          <w:szCs w:val="20"/>
        </w:rPr>
        <w:t xml:space="preserve"> (accessed 21/7/15)</w:t>
      </w:r>
    </w:p>
    <w:p w14:paraId="5B381859" w14:textId="3A3864D8" w:rsidR="00DA5D5E" w:rsidRPr="001E48B7" w:rsidRDefault="00DA5D5E" w:rsidP="00C33BBA">
      <w:pPr>
        <w:pStyle w:val="ListParagraph"/>
        <w:widowControl w:val="0"/>
        <w:numPr>
          <w:ilvl w:val="0"/>
          <w:numId w:val="4"/>
        </w:numPr>
        <w:spacing w:line="480" w:lineRule="auto"/>
        <w:rPr>
          <w:rFonts w:ascii="Verdana" w:hAnsi="Verdana" w:cs="Arial"/>
          <w:sz w:val="20"/>
        </w:rPr>
      </w:pPr>
      <w:r w:rsidRPr="001E48B7">
        <w:rPr>
          <w:rFonts w:ascii="Verdana" w:eastAsia="Calibri" w:hAnsi="Verdana"/>
          <w:bCs/>
          <w:sz w:val="20"/>
          <w:szCs w:val="20"/>
        </w:rPr>
        <w:t>McCormick A, Fleming D, Charlton J. Office of Population Census Surveys. Morbidity Statistics from Primary Care. 4th National Study 1991-2. Series MB5 no. 3. HMSO: London, 1995.</w:t>
      </w:r>
    </w:p>
    <w:p w14:paraId="00DD4721" w14:textId="1B8DDF0C" w:rsidR="00C926B2" w:rsidRPr="001E48B7" w:rsidRDefault="00C926B2" w:rsidP="00C33BBA">
      <w:pPr>
        <w:pStyle w:val="ListParagraph"/>
        <w:widowControl w:val="0"/>
        <w:numPr>
          <w:ilvl w:val="0"/>
          <w:numId w:val="4"/>
        </w:numPr>
        <w:spacing w:line="480" w:lineRule="auto"/>
        <w:rPr>
          <w:rFonts w:ascii="Verdana" w:hAnsi="Verdana" w:cs="Arial"/>
          <w:sz w:val="20"/>
        </w:rPr>
      </w:pPr>
      <w:r>
        <w:rPr>
          <w:rFonts w:ascii="Verdana" w:eastAsia="Calibri" w:hAnsi="Verdana"/>
          <w:bCs/>
          <w:sz w:val="20"/>
          <w:szCs w:val="20"/>
        </w:rPr>
        <w:t xml:space="preserve">Department for Communities and Local Government. </w:t>
      </w:r>
      <w:r w:rsidRPr="00C926B2">
        <w:rPr>
          <w:rFonts w:ascii="Verdana" w:eastAsia="Calibri" w:hAnsi="Verdana"/>
          <w:bCs/>
          <w:sz w:val="20"/>
          <w:szCs w:val="20"/>
        </w:rPr>
        <w:t>English Indices of Deprivation 2010</w:t>
      </w:r>
      <w:r>
        <w:rPr>
          <w:rFonts w:ascii="Verdana" w:eastAsia="Calibri" w:hAnsi="Verdana"/>
          <w:bCs/>
          <w:sz w:val="20"/>
          <w:szCs w:val="20"/>
        </w:rPr>
        <w:t xml:space="preserve">. </w:t>
      </w:r>
      <w:r w:rsidRPr="00C926B2">
        <w:rPr>
          <w:rFonts w:ascii="Verdana" w:eastAsia="Calibri" w:hAnsi="Verdana"/>
          <w:bCs/>
          <w:sz w:val="20"/>
          <w:szCs w:val="20"/>
        </w:rPr>
        <w:t>Neighbourhoods Statistical Release</w:t>
      </w:r>
      <w:r>
        <w:rPr>
          <w:rFonts w:ascii="Verdana" w:eastAsia="Calibri" w:hAnsi="Verdana"/>
          <w:bCs/>
          <w:sz w:val="20"/>
          <w:szCs w:val="20"/>
        </w:rPr>
        <w:t xml:space="preserve">, 24/11/2011, </w:t>
      </w:r>
      <w:r w:rsidRPr="00C926B2">
        <w:rPr>
          <w:rFonts w:ascii="Verdana" w:eastAsia="Calibri" w:hAnsi="Verdana"/>
          <w:bCs/>
          <w:sz w:val="20"/>
          <w:szCs w:val="20"/>
        </w:rPr>
        <w:t>ISBN 9781409829249</w:t>
      </w:r>
      <w:r>
        <w:rPr>
          <w:rFonts w:ascii="Verdana" w:eastAsia="Calibri" w:hAnsi="Verdana"/>
          <w:bCs/>
          <w:sz w:val="20"/>
          <w:szCs w:val="20"/>
        </w:rPr>
        <w:t xml:space="preserve">. </w:t>
      </w:r>
      <w:hyperlink r:id="rId16" w:history="1">
        <w:r w:rsidRPr="0018080A">
          <w:rPr>
            <w:rStyle w:val="Hyperlink"/>
            <w:rFonts w:ascii="Verdana" w:eastAsia="Calibri" w:hAnsi="Verdana"/>
            <w:bCs/>
            <w:sz w:val="20"/>
            <w:szCs w:val="20"/>
          </w:rPr>
          <w:t>https://www.gov.uk/government/statistics/english-indices-of-deprivation-2010</w:t>
        </w:r>
      </w:hyperlink>
      <w:r>
        <w:rPr>
          <w:rFonts w:ascii="Verdana" w:eastAsia="Calibri" w:hAnsi="Verdana"/>
          <w:bCs/>
          <w:sz w:val="20"/>
          <w:szCs w:val="20"/>
        </w:rPr>
        <w:t xml:space="preserve"> (accessed </w:t>
      </w:r>
      <w:r w:rsidR="00936453">
        <w:rPr>
          <w:rFonts w:ascii="Verdana" w:eastAsia="Calibri" w:hAnsi="Verdana"/>
          <w:bCs/>
          <w:sz w:val="20"/>
          <w:szCs w:val="20"/>
        </w:rPr>
        <w:t>21/7/15</w:t>
      </w:r>
      <w:r>
        <w:rPr>
          <w:rFonts w:ascii="Verdana" w:eastAsia="Calibri" w:hAnsi="Verdana"/>
          <w:bCs/>
          <w:sz w:val="20"/>
          <w:szCs w:val="20"/>
        </w:rPr>
        <w:t>)</w:t>
      </w:r>
    </w:p>
    <w:p w14:paraId="08445B84" w14:textId="34D10BE5" w:rsidR="009A7B93" w:rsidRDefault="001E48B7" w:rsidP="00C33BBA">
      <w:pPr>
        <w:pStyle w:val="ListParagraph"/>
        <w:widowControl w:val="0"/>
        <w:numPr>
          <w:ilvl w:val="0"/>
          <w:numId w:val="4"/>
        </w:numPr>
        <w:spacing w:line="480" w:lineRule="auto"/>
        <w:rPr>
          <w:rFonts w:ascii="Verdana" w:eastAsia="Calibri" w:hAnsi="Verdana"/>
          <w:bCs/>
          <w:sz w:val="20"/>
          <w:szCs w:val="20"/>
        </w:rPr>
      </w:pPr>
      <w:r>
        <w:rPr>
          <w:rFonts w:ascii="Verdana" w:eastAsia="Calibri" w:hAnsi="Verdana"/>
          <w:bCs/>
          <w:sz w:val="20"/>
          <w:szCs w:val="20"/>
        </w:rPr>
        <w:t xml:space="preserve">Department for Work and Pensions. </w:t>
      </w:r>
      <w:r w:rsidRPr="001E48B7">
        <w:rPr>
          <w:rFonts w:ascii="Verdana" w:eastAsia="Calibri" w:hAnsi="Verdana"/>
          <w:bCs/>
          <w:sz w:val="20"/>
          <w:szCs w:val="20"/>
        </w:rPr>
        <w:t>Older Workers Statistical</w:t>
      </w:r>
      <w:r>
        <w:rPr>
          <w:rFonts w:ascii="Verdana" w:eastAsia="Calibri" w:hAnsi="Verdana"/>
          <w:bCs/>
          <w:sz w:val="20"/>
          <w:szCs w:val="20"/>
        </w:rPr>
        <w:t xml:space="preserve"> </w:t>
      </w:r>
      <w:r w:rsidRPr="001E48B7">
        <w:rPr>
          <w:rFonts w:ascii="Verdana" w:eastAsia="Calibri" w:hAnsi="Verdana"/>
          <w:bCs/>
          <w:sz w:val="20"/>
          <w:szCs w:val="20"/>
        </w:rPr>
        <w:t>Information Booklet 2013</w:t>
      </w:r>
      <w:r>
        <w:rPr>
          <w:rFonts w:ascii="Verdana" w:eastAsia="Calibri" w:hAnsi="Verdana"/>
          <w:bCs/>
          <w:sz w:val="20"/>
          <w:szCs w:val="20"/>
        </w:rPr>
        <w:t xml:space="preserve">. </w:t>
      </w:r>
      <w:hyperlink r:id="rId17" w:history="1">
        <w:r w:rsidR="00231D83" w:rsidRPr="00FF4558">
          <w:rPr>
            <w:rStyle w:val="Hyperlink"/>
            <w:rFonts w:ascii="Verdana" w:eastAsia="Calibri" w:hAnsi="Verdana"/>
            <w:bCs/>
            <w:sz w:val="20"/>
            <w:szCs w:val="20"/>
          </w:rPr>
          <w:t>https://www.gov.uk/government/statistics/older-workers-statistical-information-booklet-quarter-2-2013</w:t>
        </w:r>
      </w:hyperlink>
      <w:r w:rsidR="00231D83">
        <w:rPr>
          <w:rFonts w:ascii="Verdana" w:eastAsia="Calibri" w:hAnsi="Verdana"/>
          <w:bCs/>
          <w:sz w:val="20"/>
          <w:szCs w:val="20"/>
        </w:rPr>
        <w:t xml:space="preserve"> </w:t>
      </w:r>
      <w:r w:rsidR="00D24450">
        <w:rPr>
          <w:rFonts w:ascii="Verdana" w:eastAsia="Calibri" w:hAnsi="Verdana"/>
          <w:bCs/>
          <w:sz w:val="20"/>
          <w:szCs w:val="20"/>
        </w:rPr>
        <w:t xml:space="preserve">(accessed </w:t>
      </w:r>
      <w:r w:rsidR="00936453">
        <w:rPr>
          <w:rFonts w:ascii="Verdana" w:eastAsia="Calibri" w:hAnsi="Verdana"/>
          <w:bCs/>
          <w:sz w:val="20"/>
          <w:szCs w:val="20"/>
        </w:rPr>
        <w:t>21/7</w:t>
      </w:r>
      <w:r w:rsidR="00D24450">
        <w:rPr>
          <w:rFonts w:ascii="Verdana" w:eastAsia="Calibri" w:hAnsi="Verdana"/>
          <w:bCs/>
          <w:sz w:val="20"/>
          <w:szCs w:val="20"/>
        </w:rPr>
        <w:t>/15)</w:t>
      </w:r>
    </w:p>
    <w:p w14:paraId="1D8F5D8D" w14:textId="69860389" w:rsidR="009A7B93" w:rsidRPr="009A7B93" w:rsidRDefault="009A7B93" w:rsidP="00C33BBA">
      <w:pPr>
        <w:pStyle w:val="ListParagraph"/>
        <w:widowControl w:val="0"/>
        <w:numPr>
          <w:ilvl w:val="0"/>
          <w:numId w:val="4"/>
        </w:numPr>
        <w:spacing w:line="480" w:lineRule="auto"/>
        <w:rPr>
          <w:rFonts w:ascii="Verdana" w:eastAsia="Calibri" w:hAnsi="Verdana"/>
          <w:bCs/>
          <w:sz w:val="20"/>
          <w:szCs w:val="20"/>
        </w:rPr>
      </w:pPr>
      <w:r w:rsidRPr="009A7B93">
        <w:rPr>
          <w:rFonts w:ascii="Verdana" w:hAnsi="Verdana"/>
          <w:sz w:val="20"/>
          <w:szCs w:val="20"/>
        </w:rPr>
        <w:t xml:space="preserve">Office for National Statistics. Population Estimates by Ethnic Group, mid-2009. </w:t>
      </w:r>
      <w:hyperlink r:id="rId18" w:history="1">
        <w:r w:rsidRPr="009A7B93">
          <w:rPr>
            <w:rStyle w:val="Hyperlink"/>
            <w:rFonts w:ascii="Verdana" w:hAnsi="Verdana"/>
            <w:sz w:val="20"/>
            <w:szCs w:val="20"/>
          </w:rPr>
          <w:t>http://www.ons.gov.uk/ons/rel/peeg/population-estimates-by-ethnic-group--experimental-/current-estimates/population-estimates-by-ethnic-group-mid-2009--experimental--.zip</w:t>
        </w:r>
      </w:hyperlink>
      <w:r w:rsidRPr="009A7B93">
        <w:rPr>
          <w:rFonts w:ascii="Verdana" w:hAnsi="Verdana"/>
          <w:sz w:val="20"/>
          <w:szCs w:val="20"/>
        </w:rPr>
        <w:t xml:space="preserve"> </w:t>
      </w:r>
      <w:r w:rsidR="00D24450">
        <w:rPr>
          <w:rFonts w:ascii="Verdana" w:hAnsi="Verdana"/>
          <w:sz w:val="20"/>
          <w:szCs w:val="20"/>
        </w:rPr>
        <w:t xml:space="preserve"> </w:t>
      </w:r>
      <w:r w:rsidR="00D24450">
        <w:rPr>
          <w:rFonts w:ascii="Verdana" w:eastAsia="Calibri" w:hAnsi="Verdana"/>
          <w:bCs/>
          <w:sz w:val="20"/>
          <w:szCs w:val="20"/>
        </w:rPr>
        <w:t>(accessed 13/4/15)</w:t>
      </w:r>
    </w:p>
    <w:p w14:paraId="17D38FAD" w14:textId="755B64D6" w:rsidR="009A7B93" w:rsidRDefault="009A7B93" w:rsidP="00C33BBA">
      <w:pPr>
        <w:pStyle w:val="ListParagraph"/>
        <w:widowControl w:val="0"/>
        <w:numPr>
          <w:ilvl w:val="0"/>
          <w:numId w:val="4"/>
        </w:numPr>
        <w:spacing w:line="480" w:lineRule="auto"/>
        <w:rPr>
          <w:rFonts w:ascii="Verdana" w:eastAsia="Calibri" w:hAnsi="Verdana"/>
          <w:bCs/>
          <w:sz w:val="20"/>
          <w:szCs w:val="20"/>
        </w:rPr>
      </w:pPr>
      <w:r w:rsidRPr="009A7B93">
        <w:rPr>
          <w:rFonts w:ascii="Verdana" w:hAnsi="Verdana"/>
          <w:sz w:val="20"/>
          <w:szCs w:val="20"/>
        </w:rPr>
        <w:t xml:space="preserve">Office for National Statistics. Population Estimates by Marital Status, Mid-2010 </w:t>
      </w:r>
      <w:hyperlink r:id="rId19" w:history="1">
        <w:r w:rsidRPr="009A7B93">
          <w:rPr>
            <w:rStyle w:val="Hyperlink"/>
            <w:rFonts w:ascii="Verdana" w:hAnsi="Verdana"/>
            <w:sz w:val="20"/>
            <w:szCs w:val="20"/>
          </w:rPr>
          <w:t>http://www.ons.gov.uk/ons/rel/pop-estimate/population-estimates-by-marital-status/mid-2010/rft---marital-status-estimates-excluding-marriages-abroad-mid-2010.zip</w:t>
        </w:r>
      </w:hyperlink>
      <w:r w:rsidR="00D24450">
        <w:rPr>
          <w:rFonts w:ascii="Verdana" w:hAnsi="Verdana"/>
          <w:sz w:val="20"/>
          <w:szCs w:val="20"/>
        </w:rPr>
        <w:t xml:space="preserve"> </w:t>
      </w:r>
      <w:r w:rsidR="00D24450">
        <w:rPr>
          <w:rFonts w:ascii="Verdana" w:eastAsia="Calibri" w:hAnsi="Verdana"/>
          <w:bCs/>
          <w:sz w:val="20"/>
          <w:szCs w:val="20"/>
        </w:rPr>
        <w:t>(accessed 13/4/15)</w:t>
      </w:r>
    </w:p>
    <w:p w14:paraId="336997EA" w14:textId="7983B585" w:rsidR="00350E56" w:rsidRPr="00D24450" w:rsidRDefault="00350E56" w:rsidP="00C33BBA">
      <w:pPr>
        <w:pStyle w:val="ListParagraph"/>
        <w:widowControl w:val="0"/>
        <w:numPr>
          <w:ilvl w:val="0"/>
          <w:numId w:val="4"/>
        </w:numPr>
        <w:spacing w:line="480" w:lineRule="auto"/>
        <w:rPr>
          <w:rFonts w:ascii="Verdana" w:eastAsia="Calibri" w:hAnsi="Verdana"/>
          <w:bCs/>
          <w:sz w:val="20"/>
          <w:szCs w:val="20"/>
        </w:rPr>
      </w:pPr>
      <w:r w:rsidRPr="009A7B93">
        <w:rPr>
          <w:rFonts w:ascii="Verdana" w:hAnsi="Verdana"/>
          <w:sz w:val="20"/>
          <w:szCs w:val="20"/>
        </w:rPr>
        <w:t>Office for National Statistics.</w:t>
      </w:r>
      <w:r>
        <w:rPr>
          <w:rFonts w:ascii="Verdana" w:hAnsi="Verdana"/>
          <w:sz w:val="20"/>
          <w:szCs w:val="20"/>
        </w:rPr>
        <w:t xml:space="preserve"> </w:t>
      </w:r>
      <w:r w:rsidRPr="00350E56">
        <w:rPr>
          <w:rFonts w:ascii="Verdana" w:hAnsi="Verdana"/>
          <w:sz w:val="20"/>
          <w:szCs w:val="20"/>
        </w:rPr>
        <w:t>Highest levels of qualification across England and Wales</w:t>
      </w:r>
      <w:r>
        <w:rPr>
          <w:rFonts w:ascii="Verdana" w:hAnsi="Verdana"/>
          <w:sz w:val="20"/>
          <w:szCs w:val="20"/>
        </w:rPr>
        <w:t xml:space="preserve">, 7/3/2014. </w:t>
      </w:r>
      <w:hyperlink r:id="rId20" w:history="1">
        <w:r w:rsidRPr="00FF4558">
          <w:rPr>
            <w:rStyle w:val="Hyperlink"/>
            <w:rFonts w:ascii="Verdana" w:hAnsi="Verdana"/>
            <w:sz w:val="20"/>
            <w:szCs w:val="20"/>
          </w:rPr>
          <w:t>http://www.ons.gov.uk/ons/rel/census/2011-census-analysis/local-area-analysis-of-qualifications-across-england-and-wales/info-highest-qualifications.html</w:t>
        </w:r>
      </w:hyperlink>
      <w:r>
        <w:rPr>
          <w:rFonts w:ascii="Verdana" w:hAnsi="Verdana"/>
          <w:sz w:val="20"/>
          <w:szCs w:val="20"/>
        </w:rPr>
        <w:t xml:space="preserve">  </w:t>
      </w:r>
      <w:r>
        <w:rPr>
          <w:rFonts w:ascii="Verdana" w:eastAsia="Calibri" w:hAnsi="Verdana"/>
          <w:bCs/>
          <w:sz w:val="20"/>
          <w:szCs w:val="20"/>
        </w:rPr>
        <w:t>(accessed 13/4/15)</w:t>
      </w:r>
      <w:r>
        <w:rPr>
          <w:rFonts w:ascii="Verdana" w:hAnsi="Verdana"/>
          <w:sz w:val="20"/>
          <w:szCs w:val="20"/>
        </w:rPr>
        <w:t xml:space="preserve"> </w:t>
      </w:r>
    </w:p>
    <w:p w14:paraId="572B71B7" w14:textId="73D10151" w:rsidR="00D24450" w:rsidRPr="009A7B93" w:rsidRDefault="00D24450" w:rsidP="00C33BBA">
      <w:pPr>
        <w:pStyle w:val="ListParagraph"/>
        <w:widowControl w:val="0"/>
        <w:numPr>
          <w:ilvl w:val="0"/>
          <w:numId w:val="4"/>
        </w:numPr>
        <w:spacing w:line="480" w:lineRule="auto"/>
        <w:rPr>
          <w:rFonts w:ascii="Verdana" w:eastAsia="Calibri" w:hAnsi="Verdana"/>
          <w:bCs/>
          <w:sz w:val="20"/>
          <w:szCs w:val="20"/>
        </w:rPr>
      </w:pPr>
      <w:r w:rsidRPr="009A7B93">
        <w:rPr>
          <w:rFonts w:ascii="Verdana" w:hAnsi="Verdana"/>
          <w:sz w:val="20"/>
          <w:szCs w:val="20"/>
        </w:rPr>
        <w:t>Office for National Statistics.</w:t>
      </w:r>
      <w:r>
        <w:rPr>
          <w:rFonts w:ascii="Verdana" w:hAnsi="Verdana"/>
          <w:sz w:val="20"/>
          <w:szCs w:val="20"/>
        </w:rPr>
        <w:t xml:space="preserve"> </w:t>
      </w:r>
      <w:r w:rsidRPr="00D24450">
        <w:rPr>
          <w:rFonts w:ascii="Verdana" w:hAnsi="Verdana"/>
          <w:sz w:val="20"/>
          <w:szCs w:val="20"/>
        </w:rPr>
        <w:t>Home ownership and renting in England and Wales – Detailed Characteristics</w:t>
      </w:r>
      <w:r>
        <w:rPr>
          <w:rFonts w:ascii="Verdana" w:hAnsi="Verdana"/>
          <w:sz w:val="20"/>
          <w:szCs w:val="20"/>
        </w:rPr>
        <w:t xml:space="preserve">. June 2013. </w:t>
      </w:r>
      <w:hyperlink r:id="rId21" w:history="1">
        <w:r w:rsidRPr="00FF4558">
          <w:rPr>
            <w:rStyle w:val="Hyperlink"/>
            <w:rFonts w:ascii="Verdana" w:hAnsi="Verdana"/>
            <w:sz w:val="20"/>
            <w:szCs w:val="20"/>
          </w:rPr>
          <w:t>http://www.ons.gov.uk/ons/rel/census/2011-census/detailed-characteristics-on-housing-for-local-authorities-in-england-and-wales/short-story-on-detailed-characteristics.html</w:t>
        </w:r>
      </w:hyperlink>
      <w:r>
        <w:rPr>
          <w:rFonts w:ascii="Verdana" w:hAnsi="Verdana"/>
          <w:sz w:val="20"/>
          <w:szCs w:val="20"/>
        </w:rPr>
        <w:t xml:space="preserve">  </w:t>
      </w:r>
      <w:r>
        <w:rPr>
          <w:rFonts w:ascii="Verdana" w:eastAsia="Calibri" w:hAnsi="Verdana"/>
          <w:bCs/>
          <w:sz w:val="20"/>
          <w:szCs w:val="20"/>
        </w:rPr>
        <w:t xml:space="preserve">(accessed </w:t>
      </w:r>
      <w:r w:rsidR="00936453">
        <w:rPr>
          <w:rFonts w:ascii="Verdana" w:eastAsia="Calibri" w:hAnsi="Verdana"/>
          <w:bCs/>
          <w:sz w:val="20"/>
          <w:szCs w:val="20"/>
        </w:rPr>
        <w:t>21/7</w:t>
      </w:r>
      <w:r>
        <w:rPr>
          <w:rFonts w:ascii="Verdana" w:eastAsia="Calibri" w:hAnsi="Verdana"/>
          <w:bCs/>
          <w:sz w:val="20"/>
          <w:szCs w:val="20"/>
        </w:rPr>
        <w:t>/15)</w:t>
      </w:r>
    </w:p>
    <w:p w14:paraId="4ACF6B3F" w14:textId="4DA13AC8" w:rsidR="00E360D3" w:rsidRPr="0028345F" w:rsidRDefault="00EF29B9" w:rsidP="00C33BBA">
      <w:pPr>
        <w:pStyle w:val="ListParagraph"/>
        <w:widowControl w:val="0"/>
        <w:numPr>
          <w:ilvl w:val="0"/>
          <w:numId w:val="4"/>
        </w:numPr>
        <w:spacing w:line="480" w:lineRule="auto"/>
        <w:rPr>
          <w:rFonts w:ascii="Verdana" w:hAnsi="Verdana" w:cs="Arial"/>
          <w:sz w:val="20"/>
        </w:rPr>
      </w:pPr>
      <w:r>
        <w:rPr>
          <w:rFonts w:ascii="Verdana" w:hAnsi="Verdana"/>
          <w:sz w:val="20"/>
        </w:rPr>
        <w:t>Hennekens CH,</w:t>
      </w:r>
      <w:r w:rsidR="00CE3631" w:rsidRPr="00CE3631">
        <w:rPr>
          <w:rFonts w:ascii="Verdana" w:hAnsi="Verdana"/>
          <w:sz w:val="20"/>
        </w:rPr>
        <w:t xml:space="preserve"> Buring</w:t>
      </w:r>
      <w:r>
        <w:rPr>
          <w:rFonts w:ascii="Verdana" w:hAnsi="Verdana"/>
          <w:sz w:val="20"/>
        </w:rPr>
        <w:t xml:space="preserve"> JE</w:t>
      </w:r>
      <w:r w:rsidR="00CE3631" w:rsidRPr="00CE3631">
        <w:rPr>
          <w:rFonts w:ascii="Verdana" w:hAnsi="Verdana"/>
          <w:sz w:val="20"/>
        </w:rPr>
        <w:t>. Epidemiology in Medicine, 5th edn</w:t>
      </w:r>
      <w:r>
        <w:rPr>
          <w:rFonts w:ascii="Verdana" w:hAnsi="Verdana"/>
          <w:sz w:val="20"/>
        </w:rPr>
        <w:t>. Little Brown and Company, Boston,</w:t>
      </w:r>
      <w:r w:rsidR="00CE3631" w:rsidRPr="00CE3631">
        <w:rPr>
          <w:rFonts w:ascii="Verdana" w:hAnsi="Verdana"/>
          <w:sz w:val="20"/>
        </w:rPr>
        <w:t xml:space="preserve"> 1987, p37 &amp; p171</w:t>
      </w:r>
      <w:r>
        <w:rPr>
          <w:rFonts w:ascii="Verdana" w:hAnsi="Verdana"/>
          <w:sz w:val="20"/>
        </w:rPr>
        <w:t>.</w:t>
      </w:r>
      <w:r w:rsidR="00E360D3" w:rsidRPr="0028345F">
        <w:rPr>
          <w:rFonts w:ascii="Verdana" w:hAnsi="Verdana" w:cs="Arial"/>
          <w:sz w:val="20"/>
        </w:rPr>
        <w:br w:type="page"/>
      </w:r>
    </w:p>
    <w:p w14:paraId="12522CF3" w14:textId="77777777" w:rsidR="002B2069" w:rsidRPr="00911BBA" w:rsidRDefault="00E360D3" w:rsidP="00C33BBA">
      <w:pPr>
        <w:spacing w:line="480" w:lineRule="auto"/>
        <w:rPr>
          <w:rFonts w:ascii="Verdana" w:hAnsi="Verdana"/>
          <w:b/>
          <w:sz w:val="20"/>
          <w:szCs w:val="20"/>
        </w:rPr>
      </w:pPr>
      <w:r w:rsidRPr="00911BBA">
        <w:rPr>
          <w:rFonts w:ascii="Verdana" w:hAnsi="Verdana"/>
          <w:b/>
          <w:sz w:val="20"/>
          <w:szCs w:val="20"/>
        </w:rPr>
        <w:lastRenderedPageBreak/>
        <w:t>Figure 1: Location of practices participating in the HEAF study</w:t>
      </w:r>
    </w:p>
    <w:p w14:paraId="759330AE" w14:textId="77777777" w:rsidR="00E360D3" w:rsidRDefault="00E360D3" w:rsidP="00C33BBA">
      <w:pPr>
        <w:pStyle w:val="ListParagraph"/>
        <w:widowControl w:val="0"/>
        <w:spacing w:line="480" w:lineRule="auto"/>
        <w:ind w:left="0"/>
        <w:rPr>
          <w:rFonts w:ascii="Verdana" w:hAnsi="Verdana" w:cs="Arial"/>
          <w:sz w:val="20"/>
        </w:rPr>
      </w:pPr>
    </w:p>
    <w:p w14:paraId="2ABF6B37" w14:textId="3075F83C" w:rsidR="00E360D3" w:rsidRDefault="00802E85" w:rsidP="00C33BBA">
      <w:pPr>
        <w:pStyle w:val="ListParagraph"/>
        <w:widowControl w:val="0"/>
        <w:spacing w:line="480" w:lineRule="auto"/>
        <w:ind w:left="0"/>
        <w:rPr>
          <w:rFonts w:ascii="Verdana" w:hAnsi="Verdana" w:cs="Arial"/>
          <w:sz w:val="20"/>
        </w:rPr>
      </w:pPr>
      <w:r>
        <w:rPr>
          <w:noProof/>
          <w:lang w:eastAsia="en-GB"/>
        </w:rPr>
        <mc:AlternateContent>
          <mc:Choice Requires="wps">
            <w:drawing>
              <wp:anchor distT="0" distB="0" distL="114300" distR="114300" simplePos="0" relativeHeight="251661312" behindDoc="0" locked="0" layoutInCell="1" allowOverlap="1" wp14:anchorId="38C0DFE7" wp14:editId="2655259D">
                <wp:simplePos x="0" y="0"/>
                <wp:positionH relativeFrom="column">
                  <wp:posOffset>3816350</wp:posOffset>
                </wp:positionH>
                <wp:positionV relativeFrom="paragraph">
                  <wp:posOffset>591185</wp:posOffset>
                </wp:positionV>
                <wp:extent cx="1600200" cy="2762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6225"/>
                        </a:xfrm>
                        <a:prstGeom prst="rect">
                          <a:avLst/>
                        </a:prstGeom>
                        <a:solidFill>
                          <a:srgbClr val="FFFFFF"/>
                        </a:solidFill>
                        <a:ln w="9525">
                          <a:solidFill>
                            <a:srgbClr val="000000"/>
                          </a:solidFill>
                          <a:miter lim="800000"/>
                          <a:headEnd/>
                          <a:tailEnd/>
                        </a:ln>
                      </wps:spPr>
                      <wps:txbx>
                        <w:txbxContent>
                          <w:p w14:paraId="53392A15" w14:textId="655B4900" w:rsidR="003E4A25" w:rsidRDefault="003E4A25" w:rsidP="00802E85">
                            <w:r>
                              <w:t>Participating practices practices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C0DFE7" id="_x0000_t202" coordsize="21600,21600" o:spt="202" path="m,l,21600r21600,l21600,xe">
                <v:stroke joinstyle="miter"/>
                <v:path gradientshapeok="t" o:connecttype="rect"/>
              </v:shapetype>
              <v:shape id="Text Box 5" o:spid="_x0000_s1026" type="#_x0000_t202" style="position:absolute;margin-left:300.5pt;margin-top:46.55pt;width:12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">
                <v:textbox>
                  <w:txbxContent>
                    <w:p w14:paraId="53392A15" w14:textId="655B4900" w:rsidR="003E4A25" w:rsidRDefault="003E4A25" w:rsidP="00802E85">
                      <w:r>
                        <w:t>Participating practices practices</w:t>
                      </w:r>
                    </w:p>
                  </w:txbxContent>
                </v:textbox>
              </v:shape>
            </w:pict>
          </mc:Fallback>
        </mc:AlternateContent>
      </w:r>
      <w:r w:rsidR="00911BBA">
        <w:rPr>
          <w:noProof/>
          <w:lang w:eastAsia="en-GB"/>
        </w:rPr>
        <w:drawing>
          <wp:inline distT="0" distB="0" distL="0" distR="0" wp14:anchorId="7F0E048C" wp14:editId="5DE245AD">
            <wp:extent cx="5619750" cy="65817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0" cy="6581775"/>
                    </a:xfrm>
                    <a:prstGeom prst="rect">
                      <a:avLst/>
                    </a:prstGeom>
                    <a:noFill/>
                    <a:ln>
                      <a:solidFill>
                        <a:schemeClr val="tx1"/>
                      </a:solidFill>
                    </a:ln>
                  </pic:spPr>
                </pic:pic>
              </a:graphicData>
            </a:graphic>
          </wp:inline>
        </w:drawing>
      </w:r>
    </w:p>
    <w:p w14:paraId="0C80D4F5" w14:textId="77777777" w:rsidR="00E360D3" w:rsidRDefault="00E360D3" w:rsidP="00C33BBA">
      <w:pPr>
        <w:pStyle w:val="ListParagraph"/>
        <w:widowControl w:val="0"/>
        <w:spacing w:line="480" w:lineRule="auto"/>
        <w:ind w:left="0"/>
        <w:rPr>
          <w:rFonts w:ascii="Verdana" w:hAnsi="Verdana" w:cs="Arial"/>
          <w:sz w:val="20"/>
        </w:rPr>
      </w:pPr>
    </w:p>
    <w:p w14:paraId="4576626B" w14:textId="77777777" w:rsidR="001D1DD1" w:rsidRDefault="001D1DD1" w:rsidP="00C33BBA">
      <w:pPr>
        <w:spacing w:line="480" w:lineRule="auto"/>
        <w:rPr>
          <w:rFonts w:ascii="Verdana" w:hAnsi="Verdana" w:cs="Arial"/>
          <w:sz w:val="20"/>
        </w:rPr>
      </w:pPr>
      <w:r>
        <w:rPr>
          <w:rFonts w:ascii="Verdana" w:hAnsi="Verdana" w:cs="Arial"/>
          <w:sz w:val="20"/>
        </w:rPr>
        <w:br w:type="page"/>
      </w:r>
    </w:p>
    <w:p w14:paraId="69AA6B2D" w14:textId="77777777" w:rsidR="001D1DD1" w:rsidRPr="001D1DD1" w:rsidRDefault="001D1DD1" w:rsidP="00C33BBA">
      <w:pPr>
        <w:spacing w:line="480" w:lineRule="auto"/>
        <w:rPr>
          <w:rFonts w:ascii="Verdana" w:hAnsi="Verdana"/>
          <w:b/>
          <w:sz w:val="20"/>
          <w:szCs w:val="20"/>
        </w:rPr>
      </w:pPr>
      <w:r w:rsidRPr="001D1DD1">
        <w:rPr>
          <w:rFonts w:ascii="Verdana" w:hAnsi="Verdana"/>
          <w:b/>
          <w:sz w:val="20"/>
          <w:szCs w:val="20"/>
        </w:rPr>
        <w:lastRenderedPageBreak/>
        <w:t>Table 1: The baseline recruitment protocol</w:t>
      </w:r>
    </w:p>
    <w:p w14:paraId="49DE820D" w14:textId="77777777" w:rsidR="001D1DD1" w:rsidRPr="00A74857" w:rsidRDefault="001D1DD1" w:rsidP="00C33BBA">
      <w:pPr>
        <w:spacing w:line="480" w:lineRule="auto"/>
        <w:rPr>
          <w:rFonts w:ascii="Verdana" w:hAnsi="Verdana"/>
          <w:sz w:val="20"/>
        </w:rPr>
      </w:pPr>
    </w:p>
    <w:p w14:paraId="78300B5B" w14:textId="77777777" w:rsidR="001D1DD1" w:rsidRPr="00A74857" w:rsidRDefault="001D1DD1" w:rsidP="00C33BBA">
      <w:pPr>
        <w:pStyle w:val="ListParagraph"/>
        <w:numPr>
          <w:ilvl w:val="0"/>
          <w:numId w:val="21"/>
        </w:numPr>
        <w:pBdr>
          <w:top w:val="single" w:sz="4" w:space="1" w:color="auto"/>
        </w:pBdr>
        <w:spacing w:line="480" w:lineRule="auto"/>
        <w:rPr>
          <w:rFonts w:ascii="Verdana" w:hAnsi="Verdana"/>
          <w:sz w:val="20"/>
        </w:rPr>
      </w:pPr>
      <w:r w:rsidRPr="00A74857">
        <w:rPr>
          <w:rFonts w:ascii="Verdana" w:hAnsi="Verdana"/>
          <w:sz w:val="20"/>
        </w:rPr>
        <w:t>The CPRD advertised the study to practices already participating in CPRD data collection; volunteer practices were identified and made known to the research team. Their practice managers were approached.</w:t>
      </w:r>
    </w:p>
    <w:p w14:paraId="66308BB5" w14:textId="77777777" w:rsidR="001D1DD1" w:rsidRPr="00A74857" w:rsidRDefault="001D1DD1" w:rsidP="00C33BBA">
      <w:pPr>
        <w:pStyle w:val="ListParagraph"/>
        <w:numPr>
          <w:ilvl w:val="0"/>
          <w:numId w:val="21"/>
        </w:numPr>
        <w:spacing w:line="480" w:lineRule="auto"/>
        <w:rPr>
          <w:rFonts w:ascii="Verdana" w:hAnsi="Verdana"/>
          <w:sz w:val="20"/>
        </w:rPr>
      </w:pPr>
      <w:r w:rsidRPr="00A74857">
        <w:rPr>
          <w:rFonts w:ascii="Verdana" w:hAnsi="Verdana"/>
          <w:sz w:val="20"/>
        </w:rPr>
        <w:t>The research team provided each practice with a model letter from GP to patient introducing the study and the researchers. One generic letter was signed by a doctor in the practice and returned to the research team for copying and inclusion in mailings to patients.</w:t>
      </w:r>
    </w:p>
    <w:p w14:paraId="6F6C7D16" w14:textId="23BF0808" w:rsidR="001D1DD1" w:rsidRPr="00A74857" w:rsidRDefault="001D1DD1" w:rsidP="00C33BBA">
      <w:pPr>
        <w:pStyle w:val="ListParagraph"/>
        <w:numPr>
          <w:ilvl w:val="0"/>
          <w:numId w:val="21"/>
        </w:numPr>
        <w:spacing w:line="480" w:lineRule="auto"/>
        <w:rPr>
          <w:rFonts w:ascii="Verdana" w:hAnsi="Verdana"/>
          <w:sz w:val="20"/>
        </w:rPr>
      </w:pPr>
      <w:r w:rsidRPr="00A74857">
        <w:rPr>
          <w:rFonts w:ascii="Verdana" w:hAnsi="Verdana"/>
          <w:sz w:val="20"/>
        </w:rPr>
        <w:t>The CPRD sent each practice manager an electroni</w:t>
      </w:r>
      <w:r w:rsidR="00E07732">
        <w:rPr>
          <w:rFonts w:ascii="Verdana" w:hAnsi="Verdana"/>
          <w:sz w:val="20"/>
        </w:rPr>
        <w:t>c file listing the CPRD-</w:t>
      </w:r>
      <w:r w:rsidRPr="00A74857">
        <w:rPr>
          <w:rFonts w:ascii="Verdana" w:hAnsi="Verdana"/>
          <w:sz w:val="20"/>
        </w:rPr>
        <w:t>coded identifier and a special study code number for each patient from the practice eligible to take part in the study (those born between 1948 and 1962 inclusive).</w:t>
      </w:r>
    </w:p>
    <w:p w14:paraId="3007A922" w14:textId="77777777" w:rsidR="001D1DD1" w:rsidRPr="00A74857" w:rsidRDefault="001D1DD1" w:rsidP="00C33BBA">
      <w:pPr>
        <w:pStyle w:val="ListParagraph"/>
        <w:numPr>
          <w:ilvl w:val="0"/>
          <w:numId w:val="21"/>
        </w:numPr>
        <w:spacing w:line="480" w:lineRule="auto"/>
        <w:rPr>
          <w:rFonts w:ascii="Verdana" w:hAnsi="Verdana"/>
          <w:sz w:val="20"/>
        </w:rPr>
      </w:pPr>
      <w:r w:rsidRPr="00A74857">
        <w:rPr>
          <w:rFonts w:ascii="Verdana" w:hAnsi="Verdana"/>
          <w:sz w:val="20"/>
        </w:rPr>
        <w:t>A member of the practice staff added the name and address of each patient to this file.</w:t>
      </w:r>
    </w:p>
    <w:p w14:paraId="30F045CF" w14:textId="77777777" w:rsidR="001D1DD1" w:rsidRPr="00A74857" w:rsidRDefault="001D1DD1" w:rsidP="00C33BBA">
      <w:pPr>
        <w:pStyle w:val="ListParagraph"/>
        <w:numPr>
          <w:ilvl w:val="0"/>
          <w:numId w:val="21"/>
        </w:numPr>
        <w:spacing w:line="480" w:lineRule="auto"/>
        <w:rPr>
          <w:rFonts w:ascii="Verdana" w:hAnsi="Verdana"/>
          <w:sz w:val="20"/>
        </w:rPr>
      </w:pPr>
      <w:r w:rsidRPr="00A74857">
        <w:rPr>
          <w:rFonts w:ascii="Verdana" w:hAnsi="Verdana"/>
          <w:sz w:val="20"/>
        </w:rPr>
        <w:t>The GP excluded any patients from the mailing list whom he or she felt should not be approached (e.g. because of terminal illness or recent bereavement).</w:t>
      </w:r>
    </w:p>
    <w:p w14:paraId="0CB2E27B" w14:textId="77777777" w:rsidR="001D1DD1" w:rsidRPr="00A74857" w:rsidRDefault="001D1DD1" w:rsidP="00C33BBA">
      <w:pPr>
        <w:pStyle w:val="ListParagraph"/>
        <w:numPr>
          <w:ilvl w:val="0"/>
          <w:numId w:val="21"/>
        </w:numPr>
        <w:spacing w:line="480" w:lineRule="auto"/>
        <w:rPr>
          <w:rFonts w:ascii="Verdana" w:hAnsi="Verdana"/>
          <w:sz w:val="20"/>
        </w:rPr>
      </w:pPr>
      <w:r w:rsidRPr="00A74857">
        <w:rPr>
          <w:rFonts w:ascii="Verdana" w:hAnsi="Verdana"/>
          <w:sz w:val="20"/>
        </w:rPr>
        <w:t>A member of the practice staff printed an address label for each of the remaining patients, including the study code number and the name and address.</w:t>
      </w:r>
    </w:p>
    <w:p w14:paraId="45A738B6" w14:textId="77777777" w:rsidR="001D1DD1" w:rsidRPr="00A74857" w:rsidRDefault="001D1DD1" w:rsidP="00C33BBA">
      <w:pPr>
        <w:pStyle w:val="ListParagraph"/>
        <w:numPr>
          <w:ilvl w:val="0"/>
          <w:numId w:val="21"/>
        </w:numPr>
        <w:spacing w:line="480" w:lineRule="auto"/>
        <w:rPr>
          <w:rFonts w:ascii="Verdana" w:hAnsi="Verdana"/>
          <w:sz w:val="20"/>
        </w:rPr>
      </w:pPr>
      <w:r w:rsidRPr="00A74857">
        <w:rPr>
          <w:rFonts w:ascii="Verdana" w:hAnsi="Verdana"/>
          <w:sz w:val="20"/>
        </w:rPr>
        <w:t>The research team delivered to each practice a set of sealed envelopes with postage pre-paid, each marked with a study code number.</w:t>
      </w:r>
    </w:p>
    <w:p w14:paraId="3B378884" w14:textId="77777777" w:rsidR="001D1DD1" w:rsidRPr="00A74857" w:rsidRDefault="001D1DD1" w:rsidP="00C33BBA">
      <w:pPr>
        <w:pStyle w:val="ListParagraph"/>
        <w:numPr>
          <w:ilvl w:val="0"/>
          <w:numId w:val="21"/>
        </w:numPr>
        <w:spacing w:line="480" w:lineRule="auto"/>
        <w:rPr>
          <w:rFonts w:ascii="Verdana" w:hAnsi="Verdana"/>
          <w:sz w:val="20"/>
        </w:rPr>
      </w:pPr>
      <w:r w:rsidRPr="00A74857">
        <w:rPr>
          <w:rFonts w:ascii="Verdana" w:hAnsi="Verdana"/>
          <w:sz w:val="20"/>
        </w:rPr>
        <w:t>Practice staff attached the appropriate address label to each envelope and mailed them. Envelopes for patients withdrawn from the study were counted and destroyed.</w:t>
      </w:r>
    </w:p>
    <w:p w14:paraId="5C7D0718" w14:textId="4BEC4566" w:rsidR="001D1DD1" w:rsidRPr="00A74857" w:rsidRDefault="001D1DD1" w:rsidP="00C33BBA">
      <w:pPr>
        <w:pStyle w:val="ListParagraph"/>
        <w:numPr>
          <w:ilvl w:val="0"/>
          <w:numId w:val="21"/>
        </w:numPr>
        <w:pBdr>
          <w:bottom w:val="single" w:sz="4" w:space="1" w:color="auto"/>
        </w:pBdr>
        <w:spacing w:line="480" w:lineRule="auto"/>
        <w:rPr>
          <w:rFonts w:ascii="Verdana" w:hAnsi="Verdana"/>
          <w:sz w:val="20"/>
        </w:rPr>
      </w:pPr>
      <w:r w:rsidRPr="00A74857">
        <w:rPr>
          <w:rFonts w:ascii="Verdana" w:hAnsi="Verdana"/>
          <w:sz w:val="20"/>
        </w:rPr>
        <w:t xml:space="preserve">Questionnaires were returned directly to the research team. Consent </w:t>
      </w:r>
      <w:r w:rsidR="001F3E8D">
        <w:rPr>
          <w:rFonts w:ascii="Verdana" w:hAnsi="Verdana"/>
          <w:sz w:val="20"/>
        </w:rPr>
        <w:t xml:space="preserve">to baseline self-completed information </w:t>
      </w:r>
      <w:r w:rsidRPr="00A74857">
        <w:rPr>
          <w:rFonts w:ascii="Verdana" w:hAnsi="Verdana"/>
          <w:sz w:val="20"/>
        </w:rPr>
        <w:t xml:space="preserve">was signified by return of a questionnaire. Additionally, participants were asked to complete and return a signed consent to the further stages of data linkage and postal follow-up, and to provide their name and contact details to the research team to enable follow-up without need for further involvement of the practices. </w:t>
      </w:r>
    </w:p>
    <w:p w14:paraId="43860713" w14:textId="77777777" w:rsidR="001D1DD1" w:rsidRDefault="001D1DD1" w:rsidP="00C33BBA">
      <w:pPr>
        <w:spacing w:line="480" w:lineRule="auto"/>
      </w:pPr>
      <w:r>
        <w:lastRenderedPageBreak/>
        <w:t xml:space="preserve"> </w:t>
      </w:r>
    </w:p>
    <w:p w14:paraId="07CA3833" w14:textId="77777777" w:rsidR="001D1DD1" w:rsidRDefault="001D1DD1" w:rsidP="00C33BBA">
      <w:pPr>
        <w:widowControl w:val="0"/>
        <w:spacing w:line="480" w:lineRule="auto"/>
        <w:rPr>
          <w:rFonts w:ascii="Verdana" w:hAnsi="Verdana"/>
          <w:i/>
          <w:sz w:val="20"/>
        </w:rPr>
      </w:pPr>
    </w:p>
    <w:p w14:paraId="73DABD43" w14:textId="77777777" w:rsidR="001D1DD1" w:rsidRDefault="001D1DD1" w:rsidP="00C33BBA">
      <w:pPr>
        <w:spacing w:line="480" w:lineRule="auto"/>
        <w:rPr>
          <w:rFonts w:ascii="Verdana" w:hAnsi="Verdana" w:cs="Arial"/>
          <w:sz w:val="20"/>
        </w:rPr>
      </w:pPr>
      <w:r>
        <w:rPr>
          <w:rFonts w:ascii="Verdana" w:hAnsi="Verdana" w:cs="Arial"/>
          <w:sz w:val="20"/>
        </w:rPr>
        <w:br w:type="page"/>
      </w:r>
    </w:p>
    <w:p w14:paraId="7CD3257F" w14:textId="303F4585" w:rsidR="006839C1" w:rsidRPr="006839C1" w:rsidRDefault="006839C1" w:rsidP="00C33BBA">
      <w:pPr>
        <w:spacing w:line="480" w:lineRule="auto"/>
        <w:rPr>
          <w:rFonts w:ascii="Verdana" w:hAnsi="Verdana"/>
          <w:b/>
          <w:sz w:val="20"/>
          <w:szCs w:val="20"/>
        </w:rPr>
      </w:pPr>
      <w:r w:rsidRPr="006839C1">
        <w:rPr>
          <w:rFonts w:ascii="Verdana" w:hAnsi="Verdana"/>
          <w:b/>
          <w:sz w:val="20"/>
          <w:szCs w:val="20"/>
        </w:rPr>
        <w:lastRenderedPageBreak/>
        <w:t xml:space="preserve">Table 2: </w:t>
      </w:r>
      <w:r w:rsidR="007B6331">
        <w:rPr>
          <w:rFonts w:ascii="Verdana" w:hAnsi="Verdana"/>
          <w:b/>
          <w:sz w:val="20"/>
          <w:szCs w:val="20"/>
        </w:rPr>
        <w:t>Main</w:t>
      </w:r>
      <w:r w:rsidRPr="006839C1">
        <w:rPr>
          <w:rFonts w:ascii="Verdana" w:hAnsi="Verdana"/>
          <w:b/>
          <w:sz w:val="20"/>
          <w:szCs w:val="20"/>
        </w:rPr>
        <w:t xml:space="preserve"> domains and variables on which information </w:t>
      </w:r>
      <w:r w:rsidR="00E07732">
        <w:rPr>
          <w:rFonts w:ascii="Verdana" w:hAnsi="Verdana"/>
          <w:b/>
          <w:sz w:val="20"/>
          <w:szCs w:val="20"/>
        </w:rPr>
        <w:t>was</w:t>
      </w:r>
      <w:r w:rsidRPr="006839C1">
        <w:rPr>
          <w:rFonts w:ascii="Verdana" w:hAnsi="Verdana"/>
          <w:b/>
          <w:sz w:val="20"/>
          <w:szCs w:val="20"/>
        </w:rPr>
        <w:t xml:space="preserve"> collected at baseline</w:t>
      </w:r>
    </w:p>
    <w:p w14:paraId="4B528554" w14:textId="77777777" w:rsidR="006839C1" w:rsidRPr="006E6EFD" w:rsidRDefault="006839C1" w:rsidP="00C33BBA">
      <w:pPr>
        <w:spacing w:line="480" w:lineRule="auto"/>
        <w:rPr>
          <w:b/>
        </w:rPr>
      </w:pPr>
    </w:p>
    <w:tbl>
      <w:tblPr>
        <w:tblStyle w:val="TableGrid"/>
        <w:tblW w:w="9809" w:type="dxa"/>
        <w:tblLook w:val="04A0" w:firstRow="1" w:lastRow="0" w:firstColumn="1" w:lastColumn="0" w:noHBand="0" w:noVBand="1"/>
      </w:tblPr>
      <w:tblGrid>
        <w:gridCol w:w="3227"/>
        <w:gridCol w:w="6582"/>
      </w:tblGrid>
      <w:tr w:rsidR="006839C1" w:rsidRPr="006E6EFD" w14:paraId="52431CA2" w14:textId="77777777" w:rsidTr="006921A5">
        <w:tc>
          <w:tcPr>
            <w:tcW w:w="3227" w:type="dxa"/>
          </w:tcPr>
          <w:p w14:paraId="37D1BBA9" w14:textId="77777777" w:rsidR="006839C1" w:rsidRPr="00D6305A" w:rsidRDefault="006839C1" w:rsidP="00C33BBA">
            <w:pPr>
              <w:spacing w:line="480" w:lineRule="auto"/>
              <w:rPr>
                <w:rFonts w:ascii="Verdana" w:hAnsi="Verdana"/>
                <w:b/>
                <w:sz w:val="20"/>
              </w:rPr>
            </w:pPr>
            <w:r w:rsidRPr="00D6305A">
              <w:rPr>
                <w:rFonts w:ascii="Verdana" w:hAnsi="Verdana"/>
                <w:b/>
                <w:sz w:val="20"/>
              </w:rPr>
              <w:t>Domain</w:t>
            </w:r>
          </w:p>
        </w:tc>
        <w:tc>
          <w:tcPr>
            <w:tcW w:w="6582" w:type="dxa"/>
          </w:tcPr>
          <w:p w14:paraId="04191B90" w14:textId="77777777" w:rsidR="006839C1" w:rsidRPr="00D6305A" w:rsidRDefault="006839C1" w:rsidP="00C33BBA">
            <w:pPr>
              <w:spacing w:line="480" w:lineRule="auto"/>
              <w:rPr>
                <w:rFonts w:ascii="Verdana" w:hAnsi="Verdana"/>
                <w:b/>
                <w:sz w:val="20"/>
              </w:rPr>
            </w:pPr>
            <w:r w:rsidRPr="00D6305A">
              <w:rPr>
                <w:rFonts w:ascii="Verdana" w:hAnsi="Verdana"/>
                <w:b/>
                <w:sz w:val="20"/>
              </w:rPr>
              <w:t>Variables</w:t>
            </w:r>
          </w:p>
        </w:tc>
      </w:tr>
      <w:tr w:rsidR="006839C1" w14:paraId="1D08ED70" w14:textId="77777777" w:rsidTr="006921A5">
        <w:tc>
          <w:tcPr>
            <w:tcW w:w="3227" w:type="dxa"/>
          </w:tcPr>
          <w:p w14:paraId="73AE4AF7" w14:textId="77777777" w:rsidR="006839C1" w:rsidRPr="006839C1" w:rsidRDefault="006839C1" w:rsidP="00C33BBA">
            <w:pPr>
              <w:spacing w:line="480" w:lineRule="auto"/>
              <w:rPr>
                <w:rFonts w:ascii="Verdana" w:hAnsi="Verdana"/>
                <w:sz w:val="20"/>
              </w:rPr>
            </w:pPr>
            <w:r w:rsidRPr="006839C1">
              <w:rPr>
                <w:rFonts w:ascii="Verdana" w:hAnsi="Verdana"/>
                <w:sz w:val="20"/>
              </w:rPr>
              <w:t>Demographic and anthropometric characteristics</w:t>
            </w:r>
          </w:p>
        </w:tc>
        <w:tc>
          <w:tcPr>
            <w:tcW w:w="6582" w:type="dxa"/>
          </w:tcPr>
          <w:p w14:paraId="007ED6F4" w14:textId="145C2B6B" w:rsidR="006839C1" w:rsidRPr="006839C1" w:rsidRDefault="006839C1" w:rsidP="00C33BBA">
            <w:pPr>
              <w:spacing w:line="480" w:lineRule="auto"/>
              <w:rPr>
                <w:rFonts w:ascii="Verdana" w:hAnsi="Verdana"/>
                <w:sz w:val="20"/>
              </w:rPr>
            </w:pPr>
            <w:r w:rsidRPr="006839C1">
              <w:rPr>
                <w:rFonts w:ascii="Verdana" w:hAnsi="Verdana"/>
                <w:sz w:val="20"/>
              </w:rPr>
              <w:t>Age, sex, height and weight</w:t>
            </w:r>
            <w:r>
              <w:rPr>
                <w:rFonts w:ascii="Verdana" w:hAnsi="Verdana"/>
                <w:sz w:val="20"/>
              </w:rPr>
              <w:t>,</w:t>
            </w:r>
            <w:r w:rsidRPr="006839C1">
              <w:rPr>
                <w:rFonts w:ascii="Verdana" w:hAnsi="Verdana"/>
                <w:sz w:val="20"/>
              </w:rPr>
              <w:t xml:space="preserve"> marital status, ethnic origin, qualifications and e</w:t>
            </w:r>
            <w:r>
              <w:rPr>
                <w:rFonts w:ascii="Verdana" w:hAnsi="Verdana"/>
                <w:sz w:val="20"/>
              </w:rPr>
              <w:t>ducation, household composition</w:t>
            </w:r>
            <w:r w:rsidRPr="006839C1">
              <w:rPr>
                <w:rFonts w:ascii="Verdana" w:hAnsi="Verdana"/>
                <w:sz w:val="20"/>
              </w:rPr>
              <w:t xml:space="preserve"> </w:t>
            </w:r>
          </w:p>
        </w:tc>
      </w:tr>
      <w:tr w:rsidR="006839C1" w14:paraId="0B2E7A56" w14:textId="77777777" w:rsidTr="006921A5">
        <w:tc>
          <w:tcPr>
            <w:tcW w:w="3227" w:type="dxa"/>
          </w:tcPr>
          <w:p w14:paraId="7A89AE43" w14:textId="77777777" w:rsidR="006839C1" w:rsidRPr="006839C1" w:rsidRDefault="006839C1" w:rsidP="00C33BBA">
            <w:pPr>
              <w:spacing w:line="480" w:lineRule="auto"/>
              <w:rPr>
                <w:rFonts w:ascii="Verdana" w:hAnsi="Verdana"/>
                <w:sz w:val="20"/>
              </w:rPr>
            </w:pPr>
            <w:r w:rsidRPr="006839C1">
              <w:rPr>
                <w:rFonts w:ascii="Verdana" w:hAnsi="Verdana"/>
                <w:sz w:val="20"/>
              </w:rPr>
              <w:t>Current work status</w:t>
            </w:r>
          </w:p>
        </w:tc>
        <w:tc>
          <w:tcPr>
            <w:tcW w:w="6582" w:type="dxa"/>
          </w:tcPr>
          <w:p w14:paraId="0EEF3E1C" w14:textId="77777777" w:rsidR="006839C1" w:rsidRPr="006839C1" w:rsidRDefault="006839C1" w:rsidP="00C33BBA">
            <w:pPr>
              <w:spacing w:line="480" w:lineRule="auto"/>
              <w:rPr>
                <w:rFonts w:ascii="Verdana" w:hAnsi="Verdana"/>
                <w:sz w:val="20"/>
              </w:rPr>
            </w:pPr>
            <w:r w:rsidRPr="006839C1">
              <w:rPr>
                <w:rFonts w:ascii="Verdana" w:hAnsi="Verdana"/>
                <w:sz w:val="20"/>
              </w:rPr>
              <w:t>Employed, self-employed, unemployed, or retired; more than one job; left last job for a health reason; receiving an ill-health pension</w:t>
            </w:r>
          </w:p>
        </w:tc>
      </w:tr>
      <w:tr w:rsidR="006839C1" w14:paraId="5A6E6D95" w14:textId="77777777" w:rsidTr="006921A5">
        <w:tc>
          <w:tcPr>
            <w:tcW w:w="3227" w:type="dxa"/>
          </w:tcPr>
          <w:p w14:paraId="1117F7A2" w14:textId="77777777" w:rsidR="006839C1" w:rsidRPr="006839C1" w:rsidRDefault="006839C1" w:rsidP="00C33BBA">
            <w:pPr>
              <w:spacing w:line="480" w:lineRule="auto"/>
              <w:rPr>
                <w:rFonts w:ascii="Verdana" w:hAnsi="Verdana"/>
                <w:sz w:val="20"/>
              </w:rPr>
            </w:pPr>
            <w:r w:rsidRPr="006839C1">
              <w:rPr>
                <w:rFonts w:ascii="Verdana" w:hAnsi="Verdana"/>
                <w:sz w:val="20"/>
              </w:rPr>
              <w:t>Content and characteristics of paid work</w:t>
            </w:r>
          </w:p>
        </w:tc>
        <w:tc>
          <w:tcPr>
            <w:tcW w:w="6582" w:type="dxa"/>
          </w:tcPr>
          <w:p w14:paraId="5F83B2C7" w14:textId="57D0D845" w:rsidR="006839C1" w:rsidRPr="006839C1" w:rsidRDefault="006839C1" w:rsidP="00C33BBA">
            <w:pPr>
              <w:spacing w:line="480" w:lineRule="auto"/>
              <w:rPr>
                <w:rFonts w:ascii="Verdana" w:hAnsi="Verdana"/>
                <w:sz w:val="20"/>
              </w:rPr>
            </w:pPr>
            <w:r w:rsidRPr="006839C1">
              <w:rPr>
                <w:rFonts w:ascii="Verdana" w:hAnsi="Verdana"/>
                <w:sz w:val="20"/>
              </w:rPr>
              <w:t xml:space="preserve">Main occupation, length of service, pattern of work (e.g. salaried vs. piece work, permanent vs. temporary, shift and night working, income protection in illness, flexibility of working hours) and employer’s size; physical </w:t>
            </w:r>
            <w:r w:rsidR="00D6305A">
              <w:rPr>
                <w:rFonts w:ascii="Verdana" w:hAnsi="Verdana"/>
                <w:sz w:val="20"/>
              </w:rPr>
              <w:t xml:space="preserve">demands </w:t>
            </w:r>
            <w:r w:rsidRPr="006839C1">
              <w:rPr>
                <w:rFonts w:ascii="Verdana" w:hAnsi="Verdana"/>
                <w:sz w:val="20"/>
              </w:rPr>
              <w:t>of work (e.g. regular kneeling, climbing, digging, lifting, and standing</w:t>
            </w:r>
            <w:r w:rsidR="00D6305A">
              <w:rPr>
                <w:rFonts w:ascii="Verdana" w:hAnsi="Verdana"/>
                <w:sz w:val="20"/>
              </w:rPr>
              <w:t>)</w:t>
            </w:r>
          </w:p>
        </w:tc>
      </w:tr>
      <w:tr w:rsidR="006839C1" w14:paraId="6BF389BA" w14:textId="77777777" w:rsidTr="006921A5">
        <w:tc>
          <w:tcPr>
            <w:tcW w:w="3227" w:type="dxa"/>
          </w:tcPr>
          <w:p w14:paraId="596EDF8B" w14:textId="77777777" w:rsidR="006839C1" w:rsidRPr="006839C1" w:rsidRDefault="006839C1" w:rsidP="00C33BBA">
            <w:pPr>
              <w:spacing w:line="480" w:lineRule="auto"/>
              <w:rPr>
                <w:rFonts w:ascii="Verdana" w:hAnsi="Verdana"/>
                <w:sz w:val="20"/>
              </w:rPr>
            </w:pPr>
            <w:r w:rsidRPr="006839C1">
              <w:rPr>
                <w:rFonts w:ascii="Verdana" w:hAnsi="Verdana"/>
                <w:sz w:val="20"/>
              </w:rPr>
              <w:t>Perceptions about work</w:t>
            </w:r>
          </w:p>
        </w:tc>
        <w:tc>
          <w:tcPr>
            <w:tcW w:w="6582" w:type="dxa"/>
          </w:tcPr>
          <w:p w14:paraId="0D82BF5A" w14:textId="1A375552" w:rsidR="006839C1" w:rsidRPr="006839C1" w:rsidRDefault="006839C1" w:rsidP="00C33BBA">
            <w:pPr>
              <w:spacing w:line="480" w:lineRule="auto"/>
              <w:rPr>
                <w:rFonts w:ascii="Verdana" w:hAnsi="Verdana"/>
                <w:sz w:val="20"/>
              </w:rPr>
            </w:pPr>
            <w:r w:rsidRPr="006839C1">
              <w:rPr>
                <w:rFonts w:ascii="Verdana" w:hAnsi="Verdana"/>
                <w:sz w:val="20"/>
              </w:rPr>
              <w:t>Psychosocial demands, support from colleagues or manager, decision latitude, self-assessed ability to cope with the physical and mental demands of work; worry or anger about work; other feelings about work</w:t>
            </w:r>
            <w:r w:rsidR="00D6305A">
              <w:rPr>
                <w:rFonts w:ascii="Verdana" w:hAnsi="Verdana"/>
                <w:sz w:val="20"/>
              </w:rPr>
              <w:t>, e.g.</w:t>
            </w:r>
            <w:r w:rsidRPr="006839C1">
              <w:rPr>
                <w:rFonts w:ascii="Verdana" w:hAnsi="Verdana"/>
                <w:sz w:val="20"/>
              </w:rPr>
              <w:t xml:space="preserve"> satisfaction with work schedule, pay, and the job overall, conflicts at work and relational justice, perceived job security</w:t>
            </w:r>
          </w:p>
        </w:tc>
      </w:tr>
      <w:tr w:rsidR="006839C1" w14:paraId="7A9E01FC" w14:textId="77777777" w:rsidTr="006921A5">
        <w:tc>
          <w:tcPr>
            <w:tcW w:w="3227" w:type="dxa"/>
          </w:tcPr>
          <w:p w14:paraId="78F7A0F3" w14:textId="77777777" w:rsidR="006839C1" w:rsidRPr="006839C1" w:rsidRDefault="006839C1" w:rsidP="00C33BBA">
            <w:pPr>
              <w:spacing w:line="480" w:lineRule="auto"/>
              <w:rPr>
                <w:rFonts w:ascii="Verdana" w:hAnsi="Verdana"/>
                <w:sz w:val="20"/>
              </w:rPr>
            </w:pPr>
            <w:r w:rsidRPr="006839C1">
              <w:rPr>
                <w:rFonts w:ascii="Verdana" w:hAnsi="Verdana"/>
                <w:sz w:val="20"/>
              </w:rPr>
              <w:t>Perceptions about retirement</w:t>
            </w:r>
          </w:p>
        </w:tc>
        <w:tc>
          <w:tcPr>
            <w:tcW w:w="6582" w:type="dxa"/>
          </w:tcPr>
          <w:p w14:paraId="4EE67832" w14:textId="77777777" w:rsidR="006839C1" w:rsidRPr="006839C1" w:rsidRDefault="006839C1" w:rsidP="00C33BBA">
            <w:pPr>
              <w:spacing w:line="480" w:lineRule="auto"/>
              <w:rPr>
                <w:rFonts w:ascii="Verdana" w:hAnsi="Verdana"/>
                <w:sz w:val="20"/>
              </w:rPr>
            </w:pPr>
            <w:r w:rsidRPr="006839C1">
              <w:rPr>
                <w:rFonts w:ascii="Verdana" w:hAnsi="Verdana"/>
                <w:sz w:val="20"/>
              </w:rPr>
              <w:t>Retirement expectations, ambitions and plans (e.g. expected and ideal retirement age)</w:t>
            </w:r>
          </w:p>
        </w:tc>
      </w:tr>
      <w:tr w:rsidR="006839C1" w14:paraId="1321E449" w14:textId="77777777" w:rsidTr="006921A5">
        <w:tc>
          <w:tcPr>
            <w:tcW w:w="3227" w:type="dxa"/>
          </w:tcPr>
          <w:p w14:paraId="1ABF0900" w14:textId="77777777" w:rsidR="006839C1" w:rsidRPr="006839C1" w:rsidRDefault="006839C1" w:rsidP="00C33BBA">
            <w:pPr>
              <w:spacing w:line="480" w:lineRule="auto"/>
              <w:rPr>
                <w:rFonts w:ascii="Verdana" w:hAnsi="Verdana"/>
                <w:sz w:val="20"/>
              </w:rPr>
            </w:pPr>
            <w:r w:rsidRPr="006839C1">
              <w:rPr>
                <w:rFonts w:ascii="Verdana" w:hAnsi="Verdana"/>
                <w:sz w:val="20"/>
              </w:rPr>
              <w:t>Financial status</w:t>
            </w:r>
          </w:p>
        </w:tc>
        <w:tc>
          <w:tcPr>
            <w:tcW w:w="6582" w:type="dxa"/>
          </w:tcPr>
          <w:p w14:paraId="2DC9006B" w14:textId="77777777" w:rsidR="006839C1" w:rsidRPr="006839C1" w:rsidRDefault="006839C1" w:rsidP="00C33BBA">
            <w:pPr>
              <w:spacing w:line="480" w:lineRule="auto"/>
              <w:rPr>
                <w:rFonts w:ascii="Verdana" w:hAnsi="Verdana"/>
                <w:sz w:val="20"/>
              </w:rPr>
            </w:pPr>
            <w:r w:rsidRPr="006839C1">
              <w:rPr>
                <w:rFonts w:ascii="Verdana" w:hAnsi="Verdana"/>
                <w:sz w:val="20"/>
              </w:rPr>
              <w:t>Housing tenure, affordability of consumer durables, contribution to total household income, pension provision, financial responsibility for others</w:t>
            </w:r>
          </w:p>
        </w:tc>
      </w:tr>
      <w:tr w:rsidR="006839C1" w14:paraId="58396D69" w14:textId="77777777" w:rsidTr="006921A5">
        <w:tc>
          <w:tcPr>
            <w:tcW w:w="3227" w:type="dxa"/>
          </w:tcPr>
          <w:p w14:paraId="163F8F13" w14:textId="77777777" w:rsidR="006839C1" w:rsidRPr="006839C1" w:rsidRDefault="006839C1" w:rsidP="00C33BBA">
            <w:pPr>
              <w:spacing w:line="480" w:lineRule="auto"/>
              <w:rPr>
                <w:rFonts w:ascii="Verdana" w:hAnsi="Verdana"/>
                <w:sz w:val="20"/>
              </w:rPr>
            </w:pPr>
            <w:r w:rsidRPr="006839C1">
              <w:rPr>
                <w:rFonts w:ascii="Verdana" w:hAnsi="Verdana"/>
                <w:sz w:val="20"/>
              </w:rPr>
              <w:t>Social</w:t>
            </w:r>
          </w:p>
        </w:tc>
        <w:tc>
          <w:tcPr>
            <w:tcW w:w="6582" w:type="dxa"/>
          </w:tcPr>
          <w:p w14:paraId="1F609B7A" w14:textId="0205B2BA" w:rsidR="006839C1" w:rsidRPr="006839C1" w:rsidRDefault="006839C1" w:rsidP="00C33BBA">
            <w:pPr>
              <w:spacing w:line="480" w:lineRule="auto"/>
              <w:rPr>
                <w:rFonts w:ascii="Verdana" w:hAnsi="Verdana"/>
                <w:sz w:val="20"/>
              </w:rPr>
            </w:pPr>
            <w:r w:rsidRPr="006839C1">
              <w:rPr>
                <w:rFonts w:ascii="Verdana" w:hAnsi="Verdana"/>
                <w:sz w:val="20"/>
              </w:rPr>
              <w:t>Leisure and social activities; smoking and alcohol history; workplace friendships</w:t>
            </w:r>
            <w:r w:rsidR="00D6305A">
              <w:rPr>
                <w:rFonts w:ascii="Verdana" w:hAnsi="Verdana"/>
                <w:sz w:val="20"/>
              </w:rPr>
              <w:t>; caring and voluntary responsibilities</w:t>
            </w:r>
          </w:p>
        </w:tc>
      </w:tr>
      <w:tr w:rsidR="006839C1" w14:paraId="7B97CF42" w14:textId="77777777" w:rsidTr="006921A5">
        <w:tc>
          <w:tcPr>
            <w:tcW w:w="3227" w:type="dxa"/>
          </w:tcPr>
          <w:p w14:paraId="2E274A09" w14:textId="77777777" w:rsidR="006839C1" w:rsidRPr="006839C1" w:rsidRDefault="006839C1" w:rsidP="00C33BBA">
            <w:pPr>
              <w:spacing w:line="480" w:lineRule="auto"/>
              <w:rPr>
                <w:rFonts w:ascii="Verdana" w:hAnsi="Verdana"/>
                <w:sz w:val="20"/>
              </w:rPr>
            </w:pPr>
            <w:r w:rsidRPr="006839C1">
              <w:rPr>
                <w:rFonts w:ascii="Verdana" w:hAnsi="Verdana"/>
                <w:sz w:val="20"/>
              </w:rPr>
              <w:lastRenderedPageBreak/>
              <w:t>Health</w:t>
            </w:r>
          </w:p>
        </w:tc>
        <w:tc>
          <w:tcPr>
            <w:tcW w:w="6582" w:type="dxa"/>
          </w:tcPr>
          <w:p w14:paraId="344FFC88" w14:textId="65550318" w:rsidR="006839C1" w:rsidRPr="006839C1" w:rsidRDefault="006839C1" w:rsidP="00C33BBA">
            <w:pPr>
              <w:spacing w:line="480" w:lineRule="auto"/>
              <w:rPr>
                <w:rFonts w:ascii="Verdana" w:hAnsi="Verdana"/>
                <w:sz w:val="20"/>
              </w:rPr>
            </w:pPr>
            <w:r w:rsidRPr="006839C1">
              <w:rPr>
                <w:rFonts w:ascii="Verdana" w:hAnsi="Verdana"/>
                <w:sz w:val="20"/>
              </w:rPr>
              <w:t xml:space="preserve">Self-rated health (SRH) [22]; an abridged Sleep Problems Scale [23]; </w:t>
            </w:r>
            <w:r w:rsidR="00E07732">
              <w:rPr>
                <w:rFonts w:ascii="Verdana" w:hAnsi="Verdana"/>
                <w:sz w:val="20"/>
              </w:rPr>
              <w:t xml:space="preserve">five items from </w:t>
            </w:r>
            <w:r w:rsidRPr="006839C1">
              <w:rPr>
                <w:rFonts w:ascii="Verdana" w:hAnsi="Verdana"/>
                <w:sz w:val="20"/>
              </w:rPr>
              <w:t>the somatising subscale of the Brief Symptom Inventory (BSI) [24]; the Center for Epidemiologic Studies Depression Scale (CES-D) [25], the Warwick-Edinburgh Mental Well-being Scale (</w:t>
            </w:r>
            <w:r w:rsidR="001F3E8D">
              <w:rPr>
                <w:rFonts w:ascii="Verdana" w:hAnsi="Verdana"/>
                <w:sz w:val="20"/>
              </w:rPr>
              <w:t>WE</w:t>
            </w:r>
            <w:r w:rsidRPr="006839C1">
              <w:rPr>
                <w:rFonts w:ascii="Verdana" w:hAnsi="Verdana"/>
                <w:sz w:val="20"/>
              </w:rPr>
              <w:t>MWBS) [26]; certain items on frailty (based on the Fried frailty index [27]), and hearing and memory impairments; chronic regional pain in the past 12 months; sickness absence in the past 12 months</w:t>
            </w:r>
            <w:r w:rsidR="00D6305A">
              <w:rPr>
                <w:rFonts w:ascii="Verdana" w:hAnsi="Verdana"/>
                <w:sz w:val="20"/>
              </w:rPr>
              <w:t>; presenteeism</w:t>
            </w:r>
          </w:p>
        </w:tc>
      </w:tr>
    </w:tbl>
    <w:p w14:paraId="09F71FB9" w14:textId="77777777" w:rsidR="006839C1" w:rsidRDefault="006839C1" w:rsidP="00C33BBA">
      <w:pPr>
        <w:spacing w:line="480" w:lineRule="auto"/>
      </w:pPr>
    </w:p>
    <w:p w14:paraId="58B412CB" w14:textId="77777777" w:rsidR="006839C1" w:rsidRDefault="006839C1" w:rsidP="00C33BBA">
      <w:pPr>
        <w:spacing w:line="480" w:lineRule="auto"/>
        <w:rPr>
          <w:rFonts w:ascii="Verdana" w:hAnsi="Verdana"/>
          <w:b/>
          <w:sz w:val="20"/>
          <w:szCs w:val="20"/>
        </w:rPr>
      </w:pPr>
      <w:r>
        <w:rPr>
          <w:rFonts w:ascii="Verdana" w:hAnsi="Verdana"/>
          <w:b/>
          <w:sz w:val="20"/>
          <w:szCs w:val="20"/>
        </w:rPr>
        <w:br w:type="page"/>
      </w:r>
    </w:p>
    <w:p w14:paraId="299BB125" w14:textId="2EFA7054" w:rsidR="001D1DD1" w:rsidRPr="00E75923" w:rsidRDefault="001D1DD1" w:rsidP="00C33BBA">
      <w:pPr>
        <w:widowControl w:val="0"/>
        <w:autoSpaceDE w:val="0"/>
        <w:autoSpaceDN w:val="0"/>
        <w:adjustRightInd w:val="0"/>
        <w:spacing w:line="480" w:lineRule="auto"/>
        <w:rPr>
          <w:rFonts w:ascii="Verdana" w:hAnsi="Verdana"/>
          <w:b/>
          <w:sz w:val="20"/>
          <w:szCs w:val="20"/>
        </w:rPr>
      </w:pPr>
      <w:r w:rsidRPr="00E75923">
        <w:rPr>
          <w:rFonts w:ascii="Verdana" w:hAnsi="Verdana"/>
          <w:b/>
          <w:sz w:val="20"/>
          <w:szCs w:val="20"/>
        </w:rPr>
        <w:lastRenderedPageBreak/>
        <w:t xml:space="preserve">Table </w:t>
      </w:r>
      <w:r>
        <w:rPr>
          <w:rFonts w:ascii="Verdana" w:hAnsi="Verdana"/>
          <w:b/>
          <w:sz w:val="20"/>
          <w:szCs w:val="20"/>
        </w:rPr>
        <w:t>2</w:t>
      </w:r>
      <w:r w:rsidRPr="00E75923">
        <w:rPr>
          <w:rFonts w:ascii="Verdana" w:hAnsi="Verdana"/>
          <w:b/>
          <w:sz w:val="20"/>
          <w:szCs w:val="20"/>
        </w:rPr>
        <w:t>: Serial observations of health status, employment status and other covariates</w:t>
      </w:r>
    </w:p>
    <w:p w14:paraId="54E7B161" w14:textId="77777777" w:rsidR="001D1DD1" w:rsidRDefault="001D1DD1" w:rsidP="00C33BBA">
      <w:pPr>
        <w:widowControl w:val="0"/>
        <w:autoSpaceDE w:val="0"/>
        <w:autoSpaceDN w:val="0"/>
        <w:adjustRightInd w:val="0"/>
        <w:spacing w:line="480" w:lineRule="auto"/>
        <w:rPr>
          <w:rFonts w:ascii="Verdana" w:hAnsi="Verdana"/>
          <w:sz w:val="20"/>
        </w:rPr>
      </w:pPr>
    </w:p>
    <w:tbl>
      <w:tblPr>
        <w:tblW w:w="7627" w:type="dxa"/>
        <w:jc w:val="center"/>
        <w:tblLook w:val="0000" w:firstRow="0" w:lastRow="0" w:firstColumn="0" w:lastColumn="0" w:noHBand="0" w:noVBand="0"/>
      </w:tblPr>
      <w:tblGrid>
        <w:gridCol w:w="1906"/>
        <w:gridCol w:w="1907"/>
        <w:gridCol w:w="1907"/>
        <w:gridCol w:w="1907"/>
      </w:tblGrid>
      <w:tr w:rsidR="001D1DD1" w:rsidRPr="00625C50" w14:paraId="2EEDBEC9" w14:textId="77777777" w:rsidTr="00CB7573">
        <w:trPr>
          <w:jc w:val="center"/>
        </w:trPr>
        <w:tc>
          <w:tcPr>
            <w:tcW w:w="1906" w:type="dxa"/>
            <w:tcBorders>
              <w:top w:val="single" w:sz="12" w:space="0" w:color="auto"/>
              <w:bottom w:val="single" w:sz="12" w:space="0" w:color="auto"/>
            </w:tcBorders>
          </w:tcPr>
          <w:p w14:paraId="578CC761"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noProof/>
                <w:sz w:val="20"/>
                <w:szCs w:val="20"/>
                <w:lang w:eastAsia="en-GB"/>
              </w:rPr>
              <mc:AlternateContent>
                <mc:Choice Requires="wps">
                  <w:drawing>
                    <wp:anchor distT="0" distB="0" distL="114300" distR="114300" simplePos="0" relativeHeight="251655168" behindDoc="0" locked="0" layoutInCell="1" allowOverlap="1" wp14:anchorId="2605EE79" wp14:editId="4C9A6163">
                      <wp:simplePos x="0" y="0"/>
                      <wp:positionH relativeFrom="column">
                        <wp:posOffset>769620</wp:posOffset>
                      </wp:positionH>
                      <wp:positionV relativeFrom="paragraph">
                        <wp:posOffset>85725</wp:posOffset>
                      </wp:positionV>
                      <wp:extent cx="628650" cy="0"/>
                      <wp:effectExtent l="7620" t="57150" r="20955"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4590BF"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6.75pt" to="110.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">
                      <v:stroke endarrow="block"/>
                    </v:line>
                  </w:pict>
                </mc:Fallback>
              </mc:AlternateContent>
            </w:r>
            <w:r w:rsidRPr="00E75923">
              <w:rPr>
                <w:rFonts w:ascii="Verdana" w:hAnsi="Verdana"/>
                <w:sz w:val="20"/>
                <w:szCs w:val="20"/>
              </w:rPr>
              <w:t>T</w:t>
            </w:r>
            <w:r w:rsidRPr="00E75923">
              <w:rPr>
                <w:rFonts w:ascii="Verdana" w:hAnsi="Verdana"/>
                <w:sz w:val="20"/>
                <w:szCs w:val="20"/>
                <w:vertAlign w:val="subscript"/>
              </w:rPr>
              <w:t>1</w:t>
            </w:r>
          </w:p>
        </w:tc>
        <w:tc>
          <w:tcPr>
            <w:tcW w:w="1907" w:type="dxa"/>
            <w:tcBorders>
              <w:top w:val="single" w:sz="12" w:space="0" w:color="auto"/>
              <w:bottom w:val="single" w:sz="12" w:space="0" w:color="auto"/>
            </w:tcBorders>
          </w:tcPr>
          <w:p w14:paraId="4EC9B8B7"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noProof/>
                <w:sz w:val="20"/>
                <w:szCs w:val="20"/>
                <w:lang w:eastAsia="en-GB"/>
              </w:rPr>
              <mc:AlternateContent>
                <mc:Choice Requires="wps">
                  <w:drawing>
                    <wp:anchor distT="0" distB="0" distL="114300" distR="114300" simplePos="0" relativeHeight="251657216" behindDoc="0" locked="0" layoutInCell="1" allowOverlap="1" wp14:anchorId="5996ED1A" wp14:editId="0E12EBFE">
                      <wp:simplePos x="0" y="0"/>
                      <wp:positionH relativeFrom="column">
                        <wp:posOffset>823595</wp:posOffset>
                      </wp:positionH>
                      <wp:positionV relativeFrom="paragraph">
                        <wp:posOffset>90805</wp:posOffset>
                      </wp:positionV>
                      <wp:extent cx="628650" cy="0"/>
                      <wp:effectExtent l="13970" t="52705" r="14605" b="615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122DF4"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7.15pt" to="114.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itMwIAAFc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">
                      <v:stroke endarrow="block"/>
                    </v:line>
                  </w:pict>
                </mc:Fallback>
              </mc:AlternateContent>
            </w:r>
            <w:r w:rsidRPr="00E75923">
              <w:rPr>
                <w:rFonts w:ascii="Verdana" w:hAnsi="Verdana"/>
                <w:sz w:val="20"/>
                <w:szCs w:val="20"/>
              </w:rPr>
              <w:t>T</w:t>
            </w:r>
            <w:r w:rsidRPr="00E75923">
              <w:rPr>
                <w:rFonts w:ascii="Verdana" w:hAnsi="Verdana"/>
                <w:sz w:val="20"/>
                <w:szCs w:val="20"/>
                <w:vertAlign w:val="subscript"/>
              </w:rPr>
              <w:t>2</w:t>
            </w:r>
          </w:p>
        </w:tc>
        <w:tc>
          <w:tcPr>
            <w:tcW w:w="1907" w:type="dxa"/>
            <w:tcBorders>
              <w:top w:val="single" w:sz="12" w:space="0" w:color="auto"/>
              <w:bottom w:val="single" w:sz="12" w:space="0" w:color="auto"/>
            </w:tcBorders>
          </w:tcPr>
          <w:p w14:paraId="2BC03493"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06F4382F" wp14:editId="621C0C6F">
                      <wp:simplePos x="0" y="0"/>
                      <wp:positionH relativeFrom="column">
                        <wp:posOffset>801370</wp:posOffset>
                      </wp:positionH>
                      <wp:positionV relativeFrom="paragraph">
                        <wp:posOffset>90805</wp:posOffset>
                      </wp:positionV>
                      <wp:extent cx="628650" cy="0"/>
                      <wp:effectExtent l="10795" t="52705" r="17780" b="615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4964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7.15pt" to="11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">
                      <v:stroke dashstyle="dash" endarrow="block"/>
                    </v:line>
                  </w:pict>
                </mc:Fallback>
              </mc:AlternateContent>
            </w:r>
            <w:r w:rsidRPr="00E75923">
              <w:rPr>
                <w:rFonts w:ascii="Verdana" w:hAnsi="Verdana"/>
                <w:sz w:val="20"/>
                <w:szCs w:val="20"/>
              </w:rPr>
              <w:t>T</w:t>
            </w:r>
            <w:r w:rsidRPr="00E75923">
              <w:rPr>
                <w:rFonts w:ascii="Verdana" w:hAnsi="Verdana"/>
                <w:sz w:val="20"/>
                <w:szCs w:val="20"/>
                <w:vertAlign w:val="subscript"/>
              </w:rPr>
              <w:t>3</w:t>
            </w:r>
          </w:p>
        </w:tc>
        <w:tc>
          <w:tcPr>
            <w:tcW w:w="1907" w:type="dxa"/>
            <w:tcBorders>
              <w:top w:val="single" w:sz="12" w:space="0" w:color="auto"/>
              <w:bottom w:val="single" w:sz="12" w:space="0" w:color="auto"/>
            </w:tcBorders>
          </w:tcPr>
          <w:p w14:paraId="07ADBB0E"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sz w:val="20"/>
                <w:szCs w:val="20"/>
              </w:rPr>
              <w:t>T</w:t>
            </w:r>
            <w:r w:rsidRPr="00E75923">
              <w:rPr>
                <w:rFonts w:ascii="Verdana" w:hAnsi="Verdana"/>
                <w:sz w:val="20"/>
                <w:szCs w:val="20"/>
                <w:vertAlign w:val="subscript"/>
              </w:rPr>
              <w:t>n</w:t>
            </w:r>
          </w:p>
        </w:tc>
      </w:tr>
      <w:tr w:rsidR="001D1DD1" w:rsidRPr="00625C50" w14:paraId="1A40762B" w14:textId="77777777" w:rsidTr="00CB7573">
        <w:trPr>
          <w:jc w:val="center"/>
        </w:trPr>
        <w:tc>
          <w:tcPr>
            <w:tcW w:w="1906" w:type="dxa"/>
            <w:tcBorders>
              <w:top w:val="single" w:sz="12" w:space="0" w:color="auto"/>
            </w:tcBorders>
          </w:tcPr>
          <w:p w14:paraId="71BCEF6C"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sz w:val="20"/>
                <w:szCs w:val="20"/>
              </w:rPr>
              <w:t>H</w:t>
            </w:r>
            <w:r w:rsidRPr="00E75923">
              <w:rPr>
                <w:rFonts w:ascii="Verdana" w:hAnsi="Verdana"/>
                <w:sz w:val="20"/>
                <w:szCs w:val="20"/>
                <w:vertAlign w:val="subscript"/>
              </w:rPr>
              <w:t>1</w:t>
            </w:r>
          </w:p>
        </w:tc>
        <w:tc>
          <w:tcPr>
            <w:tcW w:w="1907" w:type="dxa"/>
            <w:tcBorders>
              <w:top w:val="single" w:sz="12" w:space="0" w:color="auto"/>
            </w:tcBorders>
          </w:tcPr>
          <w:p w14:paraId="7839EA3B"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H</w:t>
            </w:r>
            <w:r w:rsidRPr="00E75923">
              <w:rPr>
                <w:rFonts w:ascii="Verdana" w:hAnsi="Verdana"/>
                <w:sz w:val="20"/>
                <w:szCs w:val="20"/>
                <w:vertAlign w:val="subscript"/>
              </w:rPr>
              <w:t>2</w:t>
            </w:r>
          </w:p>
        </w:tc>
        <w:tc>
          <w:tcPr>
            <w:tcW w:w="1907" w:type="dxa"/>
            <w:tcBorders>
              <w:top w:val="single" w:sz="12" w:space="0" w:color="auto"/>
            </w:tcBorders>
          </w:tcPr>
          <w:p w14:paraId="60DBDE21"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H</w:t>
            </w:r>
            <w:r w:rsidRPr="00E75923">
              <w:rPr>
                <w:rFonts w:ascii="Verdana" w:hAnsi="Verdana"/>
                <w:sz w:val="20"/>
                <w:szCs w:val="20"/>
                <w:vertAlign w:val="subscript"/>
              </w:rPr>
              <w:t>3</w:t>
            </w:r>
          </w:p>
        </w:tc>
        <w:tc>
          <w:tcPr>
            <w:tcW w:w="1907" w:type="dxa"/>
            <w:tcBorders>
              <w:top w:val="single" w:sz="12" w:space="0" w:color="auto"/>
            </w:tcBorders>
          </w:tcPr>
          <w:p w14:paraId="6DE58C33"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H</w:t>
            </w:r>
            <w:r w:rsidRPr="00E75923">
              <w:rPr>
                <w:rFonts w:ascii="Verdana" w:hAnsi="Verdana"/>
                <w:sz w:val="20"/>
                <w:szCs w:val="20"/>
                <w:vertAlign w:val="subscript"/>
              </w:rPr>
              <w:t>n</w:t>
            </w:r>
          </w:p>
        </w:tc>
      </w:tr>
      <w:tr w:rsidR="001D1DD1" w:rsidRPr="00625C50" w14:paraId="30A54B0F" w14:textId="77777777" w:rsidTr="00CB7573">
        <w:trPr>
          <w:jc w:val="center"/>
        </w:trPr>
        <w:tc>
          <w:tcPr>
            <w:tcW w:w="1906" w:type="dxa"/>
            <w:tcBorders>
              <w:bottom w:val="single" w:sz="4" w:space="0" w:color="auto"/>
            </w:tcBorders>
          </w:tcPr>
          <w:p w14:paraId="360209FE"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p>
        </w:tc>
        <w:tc>
          <w:tcPr>
            <w:tcW w:w="1907" w:type="dxa"/>
            <w:tcBorders>
              <w:bottom w:val="single" w:sz="4" w:space="0" w:color="auto"/>
            </w:tcBorders>
          </w:tcPr>
          <w:p w14:paraId="07461BDC"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ΔH</w:t>
            </w:r>
            <w:r w:rsidRPr="00E75923">
              <w:rPr>
                <w:rFonts w:ascii="Verdana" w:hAnsi="Verdana"/>
                <w:sz w:val="20"/>
                <w:szCs w:val="20"/>
                <w:vertAlign w:val="subscript"/>
              </w:rPr>
              <w:t>1-2</w:t>
            </w:r>
          </w:p>
        </w:tc>
        <w:tc>
          <w:tcPr>
            <w:tcW w:w="1907" w:type="dxa"/>
            <w:tcBorders>
              <w:bottom w:val="single" w:sz="4" w:space="0" w:color="auto"/>
            </w:tcBorders>
          </w:tcPr>
          <w:p w14:paraId="27A77E72"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ΔH</w:t>
            </w:r>
            <w:r w:rsidRPr="00E75923">
              <w:rPr>
                <w:rFonts w:ascii="Verdana" w:hAnsi="Verdana"/>
                <w:sz w:val="20"/>
                <w:szCs w:val="20"/>
                <w:vertAlign w:val="subscript"/>
              </w:rPr>
              <w:t>2-3</w:t>
            </w:r>
          </w:p>
        </w:tc>
        <w:tc>
          <w:tcPr>
            <w:tcW w:w="1907" w:type="dxa"/>
            <w:tcBorders>
              <w:bottom w:val="single" w:sz="4" w:space="0" w:color="auto"/>
            </w:tcBorders>
          </w:tcPr>
          <w:p w14:paraId="5FAAA5BE"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ΔH</w:t>
            </w:r>
            <w:r w:rsidRPr="00E75923">
              <w:rPr>
                <w:rFonts w:ascii="Verdana" w:hAnsi="Verdana"/>
                <w:sz w:val="20"/>
                <w:szCs w:val="20"/>
                <w:vertAlign w:val="subscript"/>
              </w:rPr>
              <w:t>(n-1)-n</w:t>
            </w:r>
          </w:p>
        </w:tc>
      </w:tr>
      <w:tr w:rsidR="001D1DD1" w:rsidRPr="00625C50" w14:paraId="27C12BB3" w14:textId="77777777" w:rsidTr="00CB7573">
        <w:trPr>
          <w:jc w:val="center"/>
        </w:trPr>
        <w:tc>
          <w:tcPr>
            <w:tcW w:w="1906" w:type="dxa"/>
            <w:tcBorders>
              <w:top w:val="single" w:sz="4" w:space="0" w:color="auto"/>
            </w:tcBorders>
          </w:tcPr>
          <w:p w14:paraId="503D3A8B"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sz w:val="20"/>
                <w:szCs w:val="20"/>
              </w:rPr>
              <w:t>E</w:t>
            </w:r>
            <w:r w:rsidRPr="00E75923">
              <w:rPr>
                <w:rFonts w:ascii="Verdana" w:hAnsi="Verdana"/>
                <w:sz w:val="20"/>
                <w:szCs w:val="20"/>
                <w:vertAlign w:val="subscript"/>
              </w:rPr>
              <w:t>1</w:t>
            </w:r>
          </w:p>
        </w:tc>
        <w:tc>
          <w:tcPr>
            <w:tcW w:w="1907" w:type="dxa"/>
            <w:tcBorders>
              <w:top w:val="single" w:sz="4" w:space="0" w:color="auto"/>
            </w:tcBorders>
          </w:tcPr>
          <w:p w14:paraId="57FBB3E5"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E</w:t>
            </w:r>
            <w:r w:rsidRPr="00E75923">
              <w:rPr>
                <w:rFonts w:ascii="Verdana" w:hAnsi="Verdana"/>
                <w:sz w:val="20"/>
                <w:szCs w:val="20"/>
                <w:vertAlign w:val="subscript"/>
              </w:rPr>
              <w:t>2</w:t>
            </w:r>
          </w:p>
        </w:tc>
        <w:tc>
          <w:tcPr>
            <w:tcW w:w="1907" w:type="dxa"/>
            <w:tcBorders>
              <w:top w:val="single" w:sz="4" w:space="0" w:color="auto"/>
            </w:tcBorders>
          </w:tcPr>
          <w:p w14:paraId="6E314A61"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E</w:t>
            </w:r>
            <w:r w:rsidRPr="00E75923">
              <w:rPr>
                <w:rFonts w:ascii="Verdana" w:hAnsi="Verdana"/>
                <w:sz w:val="20"/>
                <w:szCs w:val="20"/>
                <w:vertAlign w:val="subscript"/>
              </w:rPr>
              <w:t>3</w:t>
            </w:r>
          </w:p>
        </w:tc>
        <w:tc>
          <w:tcPr>
            <w:tcW w:w="1907" w:type="dxa"/>
            <w:tcBorders>
              <w:top w:val="single" w:sz="4" w:space="0" w:color="auto"/>
            </w:tcBorders>
          </w:tcPr>
          <w:p w14:paraId="73FF648B"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E</w:t>
            </w:r>
            <w:r w:rsidRPr="00E75923">
              <w:rPr>
                <w:rFonts w:ascii="Verdana" w:hAnsi="Verdana"/>
                <w:sz w:val="20"/>
                <w:szCs w:val="20"/>
                <w:vertAlign w:val="subscript"/>
              </w:rPr>
              <w:t>n</w:t>
            </w:r>
          </w:p>
        </w:tc>
      </w:tr>
      <w:tr w:rsidR="001D1DD1" w:rsidRPr="00625C50" w14:paraId="78576258" w14:textId="77777777" w:rsidTr="00CB7573">
        <w:trPr>
          <w:jc w:val="center"/>
        </w:trPr>
        <w:tc>
          <w:tcPr>
            <w:tcW w:w="1906" w:type="dxa"/>
            <w:tcBorders>
              <w:bottom w:val="single" w:sz="4" w:space="0" w:color="auto"/>
            </w:tcBorders>
          </w:tcPr>
          <w:p w14:paraId="38B6279A"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p>
        </w:tc>
        <w:tc>
          <w:tcPr>
            <w:tcW w:w="1907" w:type="dxa"/>
            <w:tcBorders>
              <w:bottom w:val="single" w:sz="4" w:space="0" w:color="auto"/>
            </w:tcBorders>
          </w:tcPr>
          <w:p w14:paraId="3F1A13EA"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ΔE</w:t>
            </w:r>
            <w:r w:rsidRPr="00E75923">
              <w:rPr>
                <w:rFonts w:ascii="Verdana" w:hAnsi="Verdana"/>
                <w:sz w:val="20"/>
                <w:szCs w:val="20"/>
                <w:vertAlign w:val="subscript"/>
              </w:rPr>
              <w:t>1-2</w:t>
            </w:r>
          </w:p>
        </w:tc>
        <w:tc>
          <w:tcPr>
            <w:tcW w:w="1907" w:type="dxa"/>
            <w:tcBorders>
              <w:bottom w:val="single" w:sz="4" w:space="0" w:color="auto"/>
            </w:tcBorders>
          </w:tcPr>
          <w:p w14:paraId="667AD118"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ΔE</w:t>
            </w:r>
            <w:r w:rsidRPr="00E75923">
              <w:rPr>
                <w:rFonts w:ascii="Verdana" w:hAnsi="Verdana"/>
                <w:sz w:val="20"/>
                <w:szCs w:val="20"/>
                <w:vertAlign w:val="subscript"/>
              </w:rPr>
              <w:t>2-3</w:t>
            </w:r>
          </w:p>
        </w:tc>
        <w:tc>
          <w:tcPr>
            <w:tcW w:w="1907" w:type="dxa"/>
            <w:tcBorders>
              <w:bottom w:val="single" w:sz="4" w:space="0" w:color="auto"/>
            </w:tcBorders>
          </w:tcPr>
          <w:p w14:paraId="10B484CD" w14:textId="77777777" w:rsidR="001D1DD1" w:rsidRPr="00E75923" w:rsidRDefault="001D1DD1" w:rsidP="00C33BBA">
            <w:pPr>
              <w:widowControl w:val="0"/>
              <w:autoSpaceDE w:val="0"/>
              <w:autoSpaceDN w:val="0"/>
              <w:adjustRightInd w:val="0"/>
              <w:spacing w:line="480" w:lineRule="auto"/>
              <w:rPr>
                <w:rFonts w:ascii="Verdana" w:hAnsi="Verdana"/>
                <w:sz w:val="20"/>
                <w:szCs w:val="20"/>
              </w:rPr>
            </w:pPr>
            <w:r w:rsidRPr="00E75923">
              <w:rPr>
                <w:rFonts w:ascii="Verdana" w:hAnsi="Verdana"/>
                <w:sz w:val="20"/>
                <w:szCs w:val="20"/>
              </w:rPr>
              <w:t>ΔE</w:t>
            </w:r>
            <w:r w:rsidRPr="00E75923">
              <w:rPr>
                <w:rFonts w:ascii="Verdana" w:hAnsi="Verdana"/>
                <w:sz w:val="20"/>
                <w:szCs w:val="20"/>
                <w:vertAlign w:val="subscript"/>
              </w:rPr>
              <w:t>(n-1)-n</w:t>
            </w:r>
          </w:p>
        </w:tc>
      </w:tr>
      <w:tr w:rsidR="001D1DD1" w:rsidRPr="00625C50" w14:paraId="6E46FA1F" w14:textId="77777777" w:rsidTr="00CB7573">
        <w:trPr>
          <w:jc w:val="center"/>
        </w:trPr>
        <w:tc>
          <w:tcPr>
            <w:tcW w:w="1906" w:type="dxa"/>
            <w:tcBorders>
              <w:top w:val="single" w:sz="4" w:space="0" w:color="auto"/>
              <w:bottom w:val="single" w:sz="12" w:space="0" w:color="auto"/>
            </w:tcBorders>
          </w:tcPr>
          <w:p w14:paraId="4B64BACF"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sz w:val="20"/>
                <w:szCs w:val="20"/>
              </w:rPr>
              <w:t>C</w:t>
            </w:r>
            <w:r w:rsidRPr="00E75923">
              <w:rPr>
                <w:rFonts w:ascii="Verdana" w:hAnsi="Verdana"/>
                <w:sz w:val="20"/>
                <w:szCs w:val="20"/>
                <w:vertAlign w:val="subscript"/>
              </w:rPr>
              <w:t>1</w:t>
            </w:r>
          </w:p>
        </w:tc>
        <w:tc>
          <w:tcPr>
            <w:tcW w:w="1907" w:type="dxa"/>
            <w:tcBorders>
              <w:top w:val="single" w:sz="4" w:space="0" w:color="auto"/>
              <w:bottom w:val="single" w:sz="12" w:space="0" w:color="auto"/>
            </w:tcBorders>
          </w:tcPr>
          <w:p w14:paraId="725F8651"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sz w:val="20"/>
                <w:szCs w:val="20"/>
              </w:rPr>
              <w:t>C</w:t>
            </w:r>
            <w:r w:rsidRPr="00E75923">
              <w:rPr>
                <w:rFonts w:ascii="Verdana" w:hAnsi="Verdana"/>
                <w:sz w:val="20"/>
                <w:szCs w:val="20"/>
                <w:vertAlign w:val="subscript"/>
              </w:rPr>
              <w:t>2</w:t>
            </w:r>
          </w:p>
        </w:tc>
        <w:tc>
          <w:tcPr>
            <w:tcW w:w="1907" w:type="dxa"/>
            <w:tcBorders>
              <w:top w:val="single" w:sz="4" w:space="0" w:color="auto"/>
              <w:bottom w:val="single" w:sz="12" w:space="0" w:color="auto"/>
            </w:tcBorders>
          </w:tcPr>
          <w:p w14:paraId="55B0B993"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sz w:val="20"/>
                <w:szCs w:val="20"/>
              </w:rPr>
              <w:t>C</w:t>
            </w:r>
            <w:r w:rsidRPr="00E75923">
              <w:rPr>
                <w:rFonts w:ascii="Verdana" w:hAnsi="Verdana"/>
                <w:sz w:val="20"/>
                <w:szCs w:val="20"/>
                <w:vertAlign w:val="subscript"/>
              </w:rPr>
              <w:t>3</w:t>
            </w:r>
          </w:p>
        </w:tc>
        <w:tc>
          <w:tcPr>
            <w:tcW w:w="1907" w:type="dxa"/>
            <w:tcBorders>
              <w:top w:val="single" w:sz="4" w:space="0" w:color="auto"/>
              <w:bottom w:val="single" w:sz="12" w:space="0" w:color="auto"/>
            </w:tcBorders>
          </w:tcPr>
          <w:p w14:paraId="77CC28D2" w14:textId="77777777" w:rsidR="001D1DD1" w:rsidRPr="00E75923" w:rsidRDefault="001D1DD1" w:rsidP="00C33BBA">
            <w:pPr>
              <w:widowControl w:val="0"/>
              <w:autoSpaceDE w:val="0"/>
              <w:autoSpaceDN w:val="0"/>
              <w:adjustRightInd w:val="0"/>
              <w:spacing w:line="480" w:lineRule="auto"/>
              <w:rPr>
                <w:rFonts w:ascii="Verdana" w:hAnsi="Verdana"/>
                <w:sz w:val="20"/>
                <w:szCs w:val="20"/>
                <w:vertAlign w:val="subscript"/>
              </w:rPr>
            </w:pPr>
            <w:r w:rsidRPr="00E75923">
              <w:rPr>
                <w:rFonts w:ascii="Verdana" w:hAnsi="Verdana"/>
                <w:sz w:val="20"/>
                <w:szCs w:val="20"/>
              </w:rPr>
              <w:t>C</w:t>
            </w:r>
            <w:r w:rsidRPr="00E75923">
              <w:rPr>
                <w:rFonts w:ascii="Verdana" w:hAnsi="Verdana"/>
                <w:sz w:val="20"/>
                <w:szCs w:val="20"/>
                <w:vertAlign w:val="subscript"/>
              </w:rPr>
              <w:t>n</w:t>
            </w:r>
          </w:p>
        </w:tc>
      </w:tr>
    </w:tbl>
    <w:p w14:paraId="33F65E97" w14:textId="77777777" w:rsidR="001D1DD1" w:rsidRDefault="001D1DD1" w:rsidP="00C33BBA">
      <w:pPr>
        <w:widowControl w:val="0"/>
        <w:autoSpaceDE w:val="0"/>
        <w:autoSpaceDN w:val="0"/>
        <w:adjustRightInd w:val="0"/>
        <w:spacing w:line="480" w:lineRule="auto"/>
        <w:rPr>
          <w:rFonts w:ascii="Verdana" w:hAnsi="Verdana"/>
          <w:sz w:val="20"/>
        </w:rPr>
      </w:pPr>
    </w:p>
    <w:p w14:paraId="0D978CEB" w14:textId="77777777" w:rsidR="001D1DD1" w:rsidRDefault="001D1DD1" w:rsidP="00C33BBA">
      <w:pPr>
        <w:widowControl w:val="0"/>
        <w:autoSpaceDE w:val="0"/>
        <w:autoSpaceDN w:val="0"/>
        <w:adjustRightInd w:val="0"/>
        <w:spacing w:line="480" w:lineRule="auto"/>
        <w:rPr>
          <w:rFonts w:ascii="Verdana" w:hAnsi="Verdana"/>
          <w:sz w:val="20"/>
        </w:rPr>
      </w:pPr>
    </w:p>
    <w:p w14:paraId="0A05C07B" w14:textId="77777777" w:rsidR="001D1DD1" w:rsidRPr="001727C7" w:rsidRDefault="001D1DD1" w:rsidP="00C33BBA">
      <w:pPr>
        <w:widowControl w:val="0"/>
        <w:autoSpaceDE w:val="0"/>
        <w:autoSpaceDN w:val="0"/>
        <w:adjustRightInd w:val="0"/>
        <w:spacing w:line="480" w:lineRule="auto"/>
        <w:rPr>
          <w:rFonts w:ascii="Verdana" w:hAnsi="Verdana"/>
          <w:b/>
          <w:sz w:val="20"/>
          <w:szCs w:val="20"/>
        </w:rPr>
      </w:pPr>
      <w:r w:rsidRPr="001727C7">
        <w:rPr>
          <w:rFonts w:ascii="Verdana" w:hAnsi="Verdana"/>
          <w:b/>
          <w:sz w:val="20"/>
          <w:szCs w:val="20"/>
        </w:rPr>
        <w:t xml:space="preserve">Table </w:t>
      </w:r>
      <w:r>
        <w:rPr>
          <w:rFonts w:ascii="Verdana" w:hAnsi="Verdana"/>
          <w:b/>
          <w:sz w:val="20"/>
          <w:szCs w:val="20"/>
        </w:rPr>
        <w:t>3</w:t>
      </w:r>
      <w:r w:rsidRPr="001727C7">
        <w:rPr>
          <w:rFonts w:ascii="Verdana" w:hAnsi="Verdana"/>
          <w:b/>
          <w:sz w:val="20"/>
          <w:szCs w:val="20"/>
        </w:rPr>
        <w:t>: Longitudinal analyses of time series data sets (for simplicity only 3 time points are presented)</w:t>
      </w:r>
    </w:p>
    <w:p w14:paraId="19B5EF80"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1490"/>
        <w:gridCol w:w="1611"/>
        <w:gridCol w:w="1460"/>
      </w:tblGrid>
      <w:tr w:rsidR="001D1DD1" w:rsidRPr="001727C7" w14:paraId="23136033" w14:textId="77777777" w:rsidTr="00CB7573">
        <w:trPr>
          <w:jc w:val="center"/>
        </w:trPr>
        <w:tc>
          <w:tcPr>
            <w:tcW w:w="5419" w:type="dxa"/>
            <w:tcBorders>
              <w:top w:val="single" w:sz="12" w:space="0" w:color="auto"/>
              <w:bottom w:val="single" w:sz="12" w:space="0" w:color="auto"/>
            </w:tcBorders>
            <w:vAlign w:val="center"/>
          </w:tcPr>
          <w:p w14:paraId="73B1B98B"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Study question</w:t>
            </w:r>
          </w:p>
        </w:tc>
        <w:tc>
          <w:tcPr>
            <w:tcW w:w="1418" w:type="dxa"/>
            <w:tcBorders>
              <w:top w:val="single" w:sz="12" w:space="0" w:color="auto"/>
              <w:bottom w:val="single" w:sz="12" w:space="0" w:color="auto"/>
            </w:tcBorders>
          </w:tcPr>
          <w:p w14:paraId="0428049B"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 xml:space="preserve">Independent variable </w:t>
            </w:r>
          </w:p>
        </w:tc>
        <w:tc>
          <w:tcPr>
            <w:tcW w:w="1688" w:type="dxa"/>
            <w:tcBorders>
              <w:top w:val="single" w:sz="12" w:space="0" w:color="auto"/>
              <w:bottom w:val="single" w:sz="12" w:space="0" w:color="auto"/>
            </w:tcBorders>
          </w:tcPr>
          <w:p w14:paraId="0E457292"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Dependent variable</w:t>
            </w:r>
          </w:p>
        </w:tc>
        <w:tc>
          <w:tcPr>
            <w:tcW w:w="1460" w:type="dxa"/>
            <w:tcBorders>
              <w:top w:val="single" w:sz="12" w:space="0" w:color="auto"/>
              <w:bottom w:val="single" w:sz="12" w:space="0" w:color="auto"/>
            </w:tcBorders>
            <w:vAlign w:val="center"/>
          </w:tcPr>
          <w:p w14:paraId="194910BA"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Covariate(s)</w:t>
            </w:r>
          </w:p>
        </w:tc>
      </w:tr>
      <w:tr w:rsidR="001D1DD1" w:rsidRPr="001727C7" w14:paraId="4614FD48" w14:textId="77777777" w:rsidTr="00CB7573">
        <w:trPr>
          <w:jc w:val="center"/>
        </w:trPr>
        <w:tc>
          <w:tcPr>
            <w:tcW w:w="5419" w:type="dxa"/>
            <w:tcBorders>
              <w:top w:val="single" w:sz="12" w:space="0" w:color="auto"/>
              <w:bottom w:val="nil"/>
            </w:tcBorders>
          </w:tcPr>
          <w:p w14:paraId="395E59F2" w14:textId="77777777" w:rsidR="001D1DD1" w:rsidRPr="00D67A83" w:rsidRDefault="001D1DD1" w:rsidP="00C33BBA">
            <w:pPr>
              <w:pStyle w:val="Heading9"/>
              <w:keepNext w:val="0"/>
              <w:widowControl w:val="0"/>
              <w:spacing w:before="0" w:line="480" w:lineRule="auto"/>
              <w:rPr>
                <w:rFonts w:ascii="Verdana" w:hAnsi="Verdana"/>
              </w:rPr>
            </w:pPr>
            <w:r w:rsidRPr="00D67A83">
              <w:rPr>
                <w:rFonts w:ascii="Verdana" w:hAnsi="Verdana"/>
              </w:rPr>
              <w:t>Effect of work on health</w:t>
            </w:r>
          </w:p>
          <w:p w14:paraId="73AD7573"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Employment status as a predictor of health decline or improvement</w:t>
            </w:r>
          </w:p>
        </w:tc>
        <w:tc>
          <w:tcPr>
            <w:tcW w:w="1418" w:type="dxa"/>
            <w:tcBorders>
              <w:top w:val="single" w:sz="12" w:space="0" w:color="auto"/>
              <w:bottom w:val="nil"/>
            </w:tcBorders>
          </w:tcPr>
          <w:p w14:paraId="607FA321"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p>
          <w:p w14:paraId="1BA207A0" w14:textId="77777777" w:rsidR="001D1DD1" w:rsidRPr="001727C7" w:rsidRDefault="001D1DD1" w:rsidP="00C33BBA">
            <w:pPr>
              <w:widowControl w:val="0"/>
              <w:autoSpaceDE w:val="0"/>
              <w:autoSpaceDN w:val="0"/>
              <w:adjustRightInd w:val="0"/>
              <w:spacing w:line="480" w:lineRule="auto"/>
              <w:rPr>
                <w:rFonts w:ascii="Verdana" w:hAnsi="Verdana"/>
                <w:sz w:val="20"/>
                <w:szCs w:val="20"/>
                <w:vertAlign w:val="subscript"/>
              </w:rPr>
            </w:pPr>
            <w:r w:rsidRPr="001727C7">
              <w:rPr>
                <w:rFonts w:ascii="Verdana" w:hAnsi="Verdana"/>
                <w:sz w:val="20"/>
                <w:szCs w:val="20"/>
              </w:rPr>
              <w:t>E</w:t>
            </w:r>
            <w:r w:rsidRPr="001727C7">
              <w:rPr>
                <w:rFonts w:ascii="Verdana" w:hAnsi="Verdana"/>
                <w:sz w:val="20"/>
                <w:szCs w:val="20"/>
                <w:vertAlign w:val="subscript"/>
              </w:rPr>
              <w:t>1</w:t>
            </w:r>
          </w:p>
        </w:tc>
        <w:tc>
          <w:tcPr>
            <w:tcW w:w="1688" w:type="dxa"/>
            <w:tcBorders>
              <w:top w:val="single" w:sz="12" w:space="0" w:color="auto"/>
              <w:bottom w:val="nil"/>
            </w:tcBorders>
          </w:tcPr>
          <w:p w14:paraId="320B4869"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p>
          <w:p w14:paraId="75E5C254"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ΔH</w:t>
            </w:r>
            <w:r w:rsidRPr="001727C7">
              <w:rPr>
                <w:rFonts w:ascii="Verdana" w:hAnsi="Verdana"/>
                <w:sz w:val="20"/>
                <w:szCs w:val="20"/>
                <w:vertAlign w:val="subscript"/>
              </w:rPr>
              <w:t>1-2</w:t>
            </w:r>
          </w:p>
        </w:tc>
        <w:tc>
          <w:tcPr>
            <w:tcW w:w="1460" w:type="dxa"/>
            <w:tcBorders>
              <w:top w:val="single" w:sz="12" w:space="0" w:color="auto"/>
              <w:bottom w:val="nil"/>
            </w:tcBorders>
          </w:tcPr>
          <w:p w14:paraId="0A5CF6B9"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p>
          <w:p w14:paraId="2B71C165" w14:textId="77777777" w:rsidR="001D1DD1" w:rsidRPr="001727C7" w:rsidRDefault="001D1DD1" w:rsidP="00C33BBA">
            <w:pPr>
              <w:widowControl w:val="0"/>
              <w:autoSpaceDE w:val="0"/>
              <w:autoSpaceDN w:val="0"/>
              <w:adjustRightInd w:val="0"/>
              <w:spacing w:line="480" w:lineRule="auto"/>
              <w:rPr>
                <w:rFonts w:ascii="Verdana" w:hAnsi="Verdana"/>
                <w:sz w:val="20"/>
                <w:szCs w:val="20"/>
                <w:vertAlign w:val="subscript"/>
              </w:rPr>
            </w:pPr>
            <w:r w:rsidRPr="001727C7">
              <w:rPr>
                <w:rFonts w:ascii="Verdana" w:hAnsi="Verdana"/>
                <w:sz w:val="20"/>
                <w:szCs w:val="20"/>
              </w:rPr>
              <w:t>C</w:t>
            </w:r>
            <w:r w:rsidRPr="001727C7">
              <w:rPr>
                <w:rFonts w:ascii="Verdana" w:hAnsi="Verdana"/>
                <w:sz w:val="20"/>
                <w:szCs w:val="20"/>
                <w:vertAlign w:val="subscript"/>
              </w:rPr>
              <w:t>1</w:t>
            </w:r>
          </w:p>
        </w:tc>
      </w:tr>
      <w:tr w:rsidR="001D1DD1" w:rsidRPr="001727C7" w14:paraId="485CA275" w14:textId="77777777" w:rsidTr="00CB7573">
        <w:trPr>
          <w:jc w:val="center"/>
        </w:trPr>
        <w:tc>
          <w:tcPr>
            <w:tcW w:w="5419" w:type="dxa"/>
            <w:tcBorders>
              <w:top w:val="nil"/>
            </w:tcBorders>
          </w:tcPr>
          <w:p w14:paraId="2E4598D6"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Job change (e.g. new unemployment, planned retirement) as a predictor of health change</w:t>
            </w:r>
          </w:p>
          <w:p w14:paraId="3F050FE0"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Longer term effects of employment status</w:t>
            </w:r>
          </w:p>
        </w:tc>
        <w:tc>
          <w:tcPr>
            <w:tcW w:w="1418" w:type="dxa"/>
            <w:tcBorders>
              <w:top w:val="nil"/>
            </w:tcBorders>
          </w:tcPr>
          <w:p w14:paraId="403EDED0" w14:textId="77777777" w:rsidR="001D1DD1" w:rsidRPr="001727C7" w:rsidRDefault="001D1DD1" w:rsidP="00C33BBA">
            <w:pPr>
              <w:widowControl w:val="0"/>
              <w:autoSpaceDE w:val="0"/>
              <w:autoSpaceDN w:val="0"/>
              <w:adjustRightInd w:val="0"/>
              <w:spacing w:line="480" w:lineRule="auto"/>
              <w:rPr>
                <w:rFonts w:ascii="Verdana" w:hAnsi="Verdana"/>
                <w:sz w:val="20"/>
                <w:szCs w:val="20"/>
                <w:vertAlign w:val="subscript"/>
              </w:rPr>
            </w:pPr>
            <w:r w:rsidRPr="001727C7">
              <w:rPr>
                <w:rFonts w:ascii="Verdana" w:hAnsi="Verdana"/>
                <w:sz w:val="20"/>
                <w:szCs w:val="20"/>
              </w:rPr>
              <w:t>ΔE</w:t>
            </w:r>
            <w:r w:rsidRPr="001727C7">
              <w:rPr>
                <w:rFonts w:ascii="Verdana" w:hAnsi="Verdana"/>
                <w:sz w:val="20"/>
                <w:szCs w:val="20"/>
                <w:vertAlign w:val="subscript"/>
              </w:rPr>
              <w:t>1-2</w:t>
            </w:r>
          </w:p>
          <w:p w14:paraId="2A19BC23" w14:textId="77777777" w:rsidR="001F3E8D" w:rsidRDefault="001F3E8D" w:rsidP="00C33BBA">
            <w:pPr>
              <w:widowControl w:val="0"/>
              <w:autoSpaceDE w:val="0"/>
              <w:autoSpaceDN w:val="0"/>
              <w:adjustRightInd w:val="0"/>
              <w:spacing w:line="480" w:lineRule="auto"/>
              <w:rPr>
                <w:rFonts w:ascii="Verdana" w:hAnsi="Verdana"/>
                <w:sz w:val="20"/>
                <w:szCs w:val="20"/>
              </w:rPr>
            </w:pPr>
          </w:p>
          <w:p w14:paraId="385362FB" w14:textId="77777777" w:rsidR="001F3E8D" w:rsidRDefault="001F3E8D" w:rsidP="00C33BBA">
            <w:pPr>
              <w:widowControl w:val="0"/>
              <w:autoSpaceDE w:val="0"/>
              <w:autoSpaceDN w:val="0"/>
              <w:adjustRightInd w:val="0"/>
              <w:spacing w:line="480" w:lineRule="auto"/>
              <w:rPr>
                <w:rFonts w:ascii="Verdana" w:hAnsi="Verdana"/>
                <w:sz w:val="20"/>
                <w:szCs w:val="20"/>
              </w:rPr>
            </w:pPr>
          </w:p>
          <w:p w14:paraId="46F6B49E" w14:textId="77777777" w:rsidR="001D1DD1" w:rsidRPr="001727C7" w:rsidRDefault="001D1DD1" w:rsidP="00C33BBA">
            <w:pPr>
              <w:widowControl w:val="0"/>
              <w:autoSpaceDE w:val="0"/>
              <w:autoSpaceDN w:val="0"/>
              <w:adjustRightInd w:val="0"/>
              <w:spacing w:line="480" w:lineRule="auto"/>
              <w:rPr>
                <w:rFonts w:ascii="Verdana" w:hAnsi="Verdana"/>
                <w:sz w:val="20"/>
                <w:szCs w:val="20"/>
                <w:vertAlign w:val="subscript"/>
              </w:rPr>
            </w:pPr>
            <w:r w:rsidRPr="001727C7">
              <w:rPr>
                <w:rFonts w:ascii="Verdana" w:hAnsi="Verdana"/>
                <w:sz w:val="20"/>
                <w:szCs w:val="20"/>
              </w:rPr>
              <w:t>E</w:t>
            </w:r>
            <w:r w:rsidRPr="001727C7">
              <w:rPr>
                <w:rFonts w:ascii="Verdana" w:hAnsi="Verdana"/>
                <w:sz w:val="20"/>
                <w:szCs w:val="20"/>
                <w:vertAlign w:val="subscript"/>
              </w:rPr>
              <w:t>1</w:t>
            </w:r>
          </w:p>
          <w:p w14:paraId="017BF030"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ΔE</w:t>
            </w:r>
            <w:r w:rsidRPr="001727C7">
              <w:rPr>
                <w:rFonts w:ascii="Verdana" w:hAnsi="Verdana"/>
                <w:sz w:val="20"/>
                <w:szCs w:val="20"/>
                <w:vertAlign w:val="subscript"/>
              </w:rPr>
              <w:t>1-2</w:t>
            </w:r>
          </w:p>
        </w:tc>
        <w:tc>
          <w:tcPr>
            <w:tcW w:w="1688" w:type="dxa"/>
            <w:tcBorders>
              <w:top w:val="nil"/>
            </w:tcBorders>
          </w:tcPr>
          <w:p w14:paraId="0ABA0C4D" w14:textId="77777777" w:rsidR="001D1DD1" w:rsidRPr="001727C7" w:rsidRDefault="001D1DD1" w:rsidP="00C33BBA">
            <w:pPr>
              <w:widowControl w:val="0"/>
              <w:autoSpaceDE w:val="0"/>
              <w:autoSpaceDN w:val="0"/>
              <w:adjustRightInd w:val="0"/>
              <w:spacing w:line="480" w:lineRule="auto"/>
              <w:rPr>
                <w:rFonts w:ascii="Verdana" w:hAnsi="Verdana"/>
                <w:sz w:val="20"/>
                <w:szCs w:val="20"/>
                <w:vertAlign w:val="subscript"/>
              </w:rPr>
            </w:pPr>
            <w:r w:rsidRPr="001727C7">
              <w:rPr>
                <w:rFonts w:ascii="Verdana" w:hAnsi="Verdana"/>
                <w:sz w:val="20"/>
                <w:szCs w:val="20"/>
              </w:rPr>
              <w:t>ΔH</w:t>
            </w:r>
            <w:r w:rsidRPr="001727C7">
              <w:rPr>
                <w:rFonts w:ascii="Verdana" w:hAnsi="Verdana"/>
                <w:sz w:val="20"/>
                <w:szCs w:val="20"/>
                <w:vertAlign w:val="subscript"/>
              </w:rPr>
              <w:t>2-3</w:t>
            </w:r>
          </w:p>
          <w:p w14:paraId="72090FF9" w14:textId="77777777" w:rsidR="001F3E8D" w:rsidRDefault="001F3E8D" w:rsidP="00C33BBA">
            <w:pPr>
              <w:widowControl w:val="0"/>
              <w:autoSpaceDE w:val="0"/>
              <w:autoSpaceDN w:val="0"/>
              <w:adjustRightInd w:val="0"/>
              <w:spacing w:line="480" w:lineRule="auto"/>
              <w:rPr>
                <w:rFonts w:ascii="Verdana" w:hAnsi="Verdana"/>
                <w:sz w:val="20"/>
                <w:szCs w:val="20"/>
              </w:rPr>
            </w:pPr>
          </w:p>
          <w:p w14:paraId="60B6A6A9" w14:textId="77777777" w:rsidR="001F3E8D" w:rsidRDefault="001F3E8D" w:rsidP="00C33BBA">
            <w:pPr>
              <w:widowControl w:val="0"/>
              <w:autoSpaceDE w:val="0"/>
              <w:autoSpaceDN w:val="0"/>
              <w:adjustRightInd w:val="0"/>
              <w:spacing w:line="480" w:lineRule="auto"/>
              <w:rPr>
                <w:rFonts w:ascii="Verdana" w:hAnsi="Verdana"/>
                <w:sz w:val="20"/>
                <w:szCs w:val="20"/>
              </w:rPr>
            </w:pPr>
          </w:p>
          <w:p w14:paraId="1E76958E"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ΔH</w:t>
            </w:r>
            <w:r w:rsidRPr="001727C7">
              <w:rPr>
                <w:rFonts w:ascii="Verdana" w:hAnsi="Verdana"/>
                <w:sz w:val="20"/>
                <w:szCs w:val="20"/>
                <w:vertAlign w:val="subscript"/>
              </w:rPr>
              <w:t xml:space="preserve">2-4, </w:t>
            </w:r>
            <w:r w:rsidRPr="001727C7">
              <w:rPr>
                <w:rFonts w:ascii="Verdana" w:hAnsi="Verdana"/>
                <w:sz w:val="20"/>
                <w:szCs w:val="20"/>
              </w:rPr>
              <w:t>ΔH</w:t>
            </w:r>
            <w:r w:rsidRPr="001727C7">
              <w:rPr>
                <w:rFonts w:ascii="Verdana" w:hAnsi="Verdana"/>
                <w:sz w:val="20"/>
                <w:szCs w:val="20"/>
                <w:vertAlign w:val="subscript"/>
              </w:rPr>
              <w:t>3-4</w:t>
            </w:r>
          </w:p>
          <w:p w14:paraId="465434AD"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ΔH</w:t>
            </w:r>
            <w:r w:rsidRPr="001727C7">
              <w:rPr>
                <w:rFonts w:ascii="Verdana" w:hAnsi="Verdana"/>
                <w:sz w:val="20"/>
                <w:szCs w:val="20"/>
                <w:vertAlign w:val="subscript"/>
              </w:rPr>
              <w:t xml:space="preserve">2-4, </w:t>
            </w:r>
            <w:r w:rsidRPr="001727C7">
              <w:rPr>
                <w:rFonts w:ascii="Verdana" w:hAnsi="Verdana"/>
                <w:sz w:val="20"/>
                <w:szCs w:val="20"/>
              </w:rPr>
              <w:t>ΔH</w:t>
            </w:r>
            <w:r w:rsidRPr="001727C7">
              <w:rPr>
                <w:rFonts w:ascii="Verdana" w:hAnsi="Verdana"/>
                <w:sz w:val="20"/>
                <w:szCs w:val="20"/>
                <w:vertAlign w:val="subscript"/>
              </w:rPr>
              <w:t>3-4</w:t>
            </w:r>
          </w:p>
        </w:tc>
        <w:tc>
          <w:tcPr>
            <w:tcW w:w="1460" w:type="dxa"/>
            <w:tcBorders>
              <w:top w:val="nil"/>
            </w:tcBorders>
          </w:tcPr>
          <w:p w14:paraId="2775A901"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H</w:t>
            </w:r>
            <w:r w:rsidRPr="001727C7">
              <w:rPr>
                <w:rFonts w:ascii="Verdana" w:hAnsi="Verdana"/>
                <w:sz w:val="20"/>
                <w:szCs w:val="20"/>
                <w:vertAlign w:val="subscript"/>
              </w:rPr>
              <w:t>2</w:t>
            </w:r>
            <w:r w:rsidRPr="001727C7">
              <w:rPr>
                <w:rFonts w:ascii="Verdana" w:hAnsi="Verdana"/>
                <w:sz w:val="20"/>
                <w:szCs w:val="20"/>
              </w:rPr>
              <w:t>, C</w:t>
            </w:r>
            <w:r w:rsidRPr="001727C7">
              <w:rPr>
                <w:rFonts w:ascii="Verdana" w:hAnsi="Verdana"/>
                <w:sz w:val="20"/>
                <w:szCs w:val="20"/>
                <w:vertAlign w:val="subscript"/>
              </w:rPr>
              <w:t>2</w:t>
            </w:r>
          </w:p>
          <w:p w14:paraId="5A248E1D" w14:textId="77777777" w:rsidR="001F3E8D" w:rsidRDefault="001F3E8D" w:rsidP="00C33BBA">
            <w:pPr>
              <w:widowControl w:val="0"/>
              <w:autoSpaceDE w:val="0"/>
              <w:autoSpaceDN w:val="0"/>
              <w:adjustRightInd w:val="0"/>
              <w:spacing w:line="480" w:lineRule="auto"/>
              <w:rPr>
                <w:rFonts w:ascii="Verdana" w:hAnsi="Verdana"/>
                <w:sz w:val="20"/>
                <w:szCs w:val="20"/>
              </w:rPr>
            </w:pPr>
          </w:p>
          <w:p w14:paraId="476CDDE1" w14:textId="77777777" w:rsidR="001F3E8D" w:rsidRDefault="001F3E8D" w:rsidP="00C33BBA">
            <w:pPr>
              <w:widowControl w:val="0"/>
              <w:autoSpaceDE w:val="0"/>
              <w:autoSpaceDN w:val="0"/>
              <w:adjustRightInd w:val="0"/>
              <w:spacing w:line="480" w:lineRule="auto"/>
              <w:rPr>
                <w:rFonts w:ascii="Verdana" w:hAnsi="Verdana"/>
                <w:sz w:val="20"/>
                <w:szCs w:val="20"/>
              </w:rPr>
            </w:pPr>
          </w:p>
          <w:p w14:paraId="67E1468E"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H</w:t>
            </w:r>
            <w:r w:rsidRPr="001727C7">
              <w:rPr>
                <w:rFonts w:ascii="Verdana" w:hAnsi="Verdana"/>
                <w:sz w:val="20"/>
                <w:szCs w:val="20"/>
                <w:vertAlign w:val="subscript"/>
              </w:rPr>
              <w:t>2</w:t>
            </w:r>
            <w:r w:rsidRPr="001727C7">
              <w:rPr>
                <w:rFonts w:ascii="Verdana" w:hAnsi="Verdana"/>
                <w:sz w:val="20"/>
                <w:szCs w:val="20"/>
              </w:rPr>
              <w:t>, C</w:t>
            </w:r>
            <w:r w:rsidRPr="001727C7">
              <w:rPr>
                <w:rFonts w:ascii="Verdana" w:hAnsi="Verdana"/>
                <w:sz w:val="20"/>
                <w:szCs w:val="20"/>
                <w:vertAlign w:val="subscript"/>
              </w:rPr>
              <w:t>2</w:t>
            </w:r>
          </w:p>
        </w:tc>
      </w:tr>
      <w:tr w:rsidR="001D1DD1" w:rsidRPr="001727C7" w14:paraId="0D02B579" w14:textId="77777777" w:rsidTr="00CB7573">
        <w:trPr>
          <w:jc w:val="center"/>
        </w:trPr>
        <w:tc>
          <w:tcPr>
            <w:tcW w:w="5419" w:type="dxa"/>
            <w:tcBorders>
              <w:bottom w:val="nil"/>
            </w:tcBorders>
          </w:tcPr>
          <w:p w14:paraId="24D1396C" w14:textId="77777777" w:rsidR="001D1DD1" w:rsidRPr="00D67A83" w:rsidRDefault="001D1DD1" w:rsidP="00C33BBA">
            <w:pPr>
              <w:pStyle w:val="Heading9"/>
              <w:keepNext w:val="0"/>
              <w:widowControl w:val="0"/>
              <w:spacing w:before="0" w:line="480" w:lineRule="auto"/>
              <w:rPr>
                <w:rFonts w:ascii="Verdana" w:hAnsi="Verdana"/>
              </w:rPr>
            </w:pPr>
            <w:r w:rsidRPr="00D67A83">
              <w:rPr>
                <w:rFonts w:ascii="Verdana" w:hAnsi="Verdana"/>
              </w:rPr>
              <w:t>Effect of health on work</w:t>
            </w:r>
          </w:p>
          <w:p w14:paraId="0994B2B0"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Health as a predictor of job transition</w:t>
            </w:r>
          </w:p>
        </w:tc>
        <w:tc>
          <w:tcPr>
            <w:tcW w:w="1418" w:type="dxa"/>
            <w:tcBorders>
              <w:bottom w:val="nil"/>
            </w:tcBorders>
          </w:tcPr>
          <w:p w14:paraId="2897C43C"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p>
          <w:p w14:paraId="614FF169" w14:textId="77777777" w:rsidR="001D1DD1" w:rsidRPr="001727C7" w:rsidRDefault="001D1DD1" w:rsidP="00C33BBA">
            <w:pPr>
              <w:widowControl w:val="0"/>
              <w:autoSpaceDE w:val="0"/>
              <w:autoSpaceDN w:val="0"/>
              <w:adjustRightInd w:val="0"/>
              <w:spacing w:line="480" w:lineRule="auto"/>
              <w:rPr>
                <w:rFonts w:ascii="Verdana" w:hAnsi="Verdana"/>
                <w:sz w:val="20"/>
                <w:szCs w:val="20"/>
                <w:vertAlign w:val="subscript"/>
              </w:rPr>
            </w:pPr>
            <w:r w:rsidRPr="001727C7">
              <w:rPr>
                <w:rFonts w:ascii="Verdana" w:hAnsi="Verdana"/>
                <w:sz w:val="20"/>
                <w:szCs w:val="20"/>
              </w:rPr>
              <w:t>H</w:t>
            </w:r>
            <w:r w:rsidRPr="001727C7">
              <w:rPr>
                <w:rFonts w:ascii="Verdana" w:hAnsi="Verdana"/>
                <w:sz w:val="20"/>
                <w:szCs w:val="20"/>
                <w:vertAlign w:val="subscript"/>
              </w:rPr>
              <w:t>1</w:t>
            </w:r>
          </w:p>
        </w:tc>
        <w:tc>
          <w:tcPr>
            <w:tcW w:w="1688" w:type="dxa"/>
            <w:tcBorders>
              <w:bottom w:val="nil"/>
            </w:tcBorders>
          </w:tcPr>
          <w:p w14:paraId="52ED2B26"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p>
          <w:p w14:paraId="6F9D411F"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ΔE</w:t>
            </w:r>
            <w:r w:rsidRPr="001727C7">
              <w:rPr>
                <w:rFonts w:ascii="Verdana" w:hAnsi="Verdana"/>
                <w:sz w:val="20"/>
                <w:szCs w:val="20"/>
                <w:vertAlign w:val="subscript"/>
              </w:rPr>
              <w:t>1-2</w:t>
            </w:r>
          </w:p>
        </w:tc>
        <w:tc>
          <w:tcPr>
            <w:tcW w:w="1460" w:type="dxa"/>
            <w:tcBorders>
              <w:bottom w:val="nil"/>
            </w:tcBorders>
          </w:tcPr>
          <w:p w14:paraId="7ED826D0"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p>
          <w:p w14:paraId="4555F0C6"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C</w:t>
            </w:r>
            <w:r w:rsidRPr="001727C7">
              <w:rPr>
                <w:rFonts w:ascii="Verdana" w:hAnsi="Verdana"/>
                <w:sz w:val="20"/>
                <w:szCs w:val="20"/>
                <w:vertAlign w:val="subscript"/>
              </w:rPr>
              <w:t>1</w:t>
            </w:r>
          </w:p>
        </w:tc>
      </w:tr>
      <w:tr w:rsidR="001D1DD1" w:rsidRPr="001727C7" w14:paraId="55A7DCC2" w14:textId="77777777" w:rsidTr="00CB7573">
        <w:trPr>
          <w:jc w:val="center"/>
        </w:trPr>
        <w:tc>
          <w:tcPr>
            <w:tcW w:w="5419" w:type="dxa"/>
            <w:tcBorders>
              <w:top w:val="nil"/>
              <w:bottom w:val="single" w:sz="12" w:space="0" w:color="auto"/>
            </w:tcBorders>
          </w:tcPr>
          <w:p w14:paraId="3BF898C2"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Impact of health change on job status</w:t>
            </w:r>
          </w:p>
        </w:tc>
        <w:tc>
          <w:tcPr>
            <w:tcW w:w="1418" w:type="dxa"/>
            <w:tcBorders>
              <w:top w:val="nil"/>
              <w:bottom w:val="single" w:sz="12" w:space="0" w:color="auto"/>
            </w:tcBorders>
            <w:vAlign w:val="center"/>
          </w:tcPr>
          <w:p w14:paraId="4B090DFD"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ΔH</w:t>
            </w:r>
            <w:r w:rsidRPr="001727C7">
              <w:rPr>
                <w:rFonts w:ascii="Verdana" w:hAnsi="Verdana"/>
                <w:sz w:val="20"/>
                <w:szCs w:val="20"/>
                <w:vertAlign w:val="subscript"/>
              </w:rPr>
              <w:t>1-2</w:t>
            </w:r>
          </w:p>
        </w:tc>
        <w:tc>
          <w:tcPr>
            <w:tcW w:w="1688" w:type="dxa"/>
            <w:tcBorders>
              <w:top w:val="nil"/>
              <w:bottom w:val="single" w:sz="12" w:space="0" w:color="auto"/>
            </w:tcBorders>
            <w:vAlign w:val="center"/>
          </w:tcPr>
          <w:p w14:paraId="356A6FA3"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ΔE</w:t>
            </w:r>
            <w:r w:rsidRPr="001727C7">
              <w:rPr>
                <w:rFonts w:ascii="Verdana" w:hAnsi="Verdana"/>
                <w:sz w:val="20"/>
                <w:szCs w:val="20"/>
                <w:vertAlign w:val="subscript"/>
              </w:rPr>
              <w:t>2-3</w:t>
            </w:r>
          </w:p>
        </w:tc>
        <w:tc>
          <w:tcPr>
            <w:tcW w:w="1460" w:type="dxa"/>
            <w:tcBorders>
              <w:top w:val="nil"/>
              <w:bottom w:val="single" w:sz="12" w:space="0" w:color="auto"/>
            </w:tcBorders>
            <w:vAlign w:val="center"/>
          </w:tcPr>
          <w:p w14:paraId="4F499A0E" w14:textId="77777777" w:rsidR="001D1DD1" w:rsidRPr="001727C7" w:rsidRDefault="001D1DD1" w:rsidP="00C33BBA">
            <w:pPr>
              <w:widowControl w:val="0"/>
              <w:autoSpaceDE w:val="0"/>
              <w:autoSpaceDN w:val="0"/>
              <w:adjustRightInd w:val="0"/>
              <w:spacing w:line="480" w:lineRule="auto"/>
              <w:rPr>
                <w:rFonts w:ascii="Verdana" w:hAnsi="Verdana"/>
                <w:sz w:val="20"/>
                <w:szCs w:val="20"/>
              </w:rPr>
            </w:pPr>
            <w:r w:rsidRPr="001727C7">
              <w:rPr>
                <w:rFonts w:ascii="Verdana" w:hAnsi="Verdana"/>
                <w:sz w:val="20"/>
                <w:szCs w:val="20"/>
              </w:rPr>
              <w:t>E</w:t>
            </w:r>
            <w:r w:rsidRPr="001727C7">
              <w:rPr>
                <w:rFonts w:ascii="Verdana" w:hAnsi="Verdana"/>
                <w:sz w:val="20"/>
                <w:szCs w:val="20"/>
                <w:vertAlign w:val="subscript"/>
              </w:rPr>
              <w:t>2</w:t>
            </w:r>
            <w:r w:rsidRPr="001727C7">
              <w:rPr>
                <w:rFonts w:ascii="Verdana" w:hAnsi="Verdana"/>
                <w:sz w:val="20"/>
                <w:szCs w:val="20"/>
              </w:rPr>
              <w:t>, C</w:t>
            </w:r>
            <w:r w:rsidRPr="001727C7">
              <w:rPr>
                <w:rFonts w:ascii="Verdana" w:hAnsi="Verdana"/>
                <w:sz w:val="20"/>
                <w:szCs w:val="20"/>
                <w:vertAlign w:val="subscript"/>
              </w:rPr>
              <w:t>2</w:t>
            </w:r>
          </w:p>
        </w:tc>
      </w:tr>
    </w:tbl>
    <w:p w14:paraId="23CCD7DE" w14:textId="77777777" w:rsidR="001D1DD1" w:rsidRDefault="001D1DD1" w:rsidP="00C33BBA">
      <w:pPr>
        <w:widowControl w:val="0"/>
        <w:spacing w:line="480" w:lineRule="auto"/>
        <w:rPr>
          <w:rFonts w:ascii="Verdana" w:hAnsi="Verdana"/>
          <w:sz w:val="20"/>
          <w:szCs w:val="20"/>
        </w:rPr>
      </w:pPr>
    </w:p>
    <w:p w14:paraId="04822DE1" w14:textId="77777777" w:rsidR="001D1DD1" w:rsidRDefault="001D1DD1" w:rsidP="00C33BBA">
      <w:pPr>
        <w:widowControl w:val="0"/>
        <w:autoSpaceDE w:val="0"/>
        <w:autoSpaceDN w:val="0"/>
        <w:adjustRightInd w:val="0"/>
        <w:spacing w:line="480" w:lineRule="auto"/>
        <w:rPr>
          <w:rFonts w:ascii="Verdana" w:hAnsi="Verdana" w:cs="ArialMT"/>
          <w:sz w:val="20"/>
          <w:szCs w:val="20"/>
        </w:rPr>
      </w:pPr>
    </w:p>
    <w:p w14:paraId="1126B621" w14:textId="77777777" w:rsidR="00F1670E" w:rsidRDefault="00F1670E" w:rsidP="00C33BBA">
      <w:pPr>
        <w:spacing w:line="480" w:lineRule="auto"/>
        <w:rPr>
          <w:rFonts w:ascii="Verdana" w:hAnsi="Verdana" w:cs="Arial"/>
          <w:b/>
          <w:bCs/>
          <w:sz w:val="20"/>
          <w:szCs w:val="20"/>
        </w:rPr>
      </w:pPr>
      <w:r>
        <w:rPr>
          <w:rFonts w:ascii="Verdana" w:hAnsi="Verdana" w:cs="Arial"/>
          <w:b/>
          <w:bCs/>
          <w:sz w:val="20"/>
          <w:szCs w:val="20"/>
        </w:rPr>
        <w:lastRenderedPageBreak/>
        <w:br w:type="page"/>
      </w:r>
    </w:p>
    <w:p w14:paraId="1525DBF8" w14:textId="77777777" w:rsidR="001D1DD1" w:rsidRDefault="001D1DD1" w:rsidP="00C33BBA">
      <w:pPr>
        <w:widowControl w:val="0"/>
        <w:autoSpaceDE w:val="0"/>
        <w:autoSpaceDN w:val="0"/>
        <w:adjustRightInd w:val="0"/>
        <w:spacing w:line="480" w:lineRule="auto"/>
        <w:rPr>
          <w:rFonts w:ascii="Verdana" w:hAnsi="Verdana" w:cs="Arial"/>
          <w:b/>
          <w:bCs/>
          <w:sz w:val="20"/>
          <w:szCs w:val="20"/>
        </w:rPr>
      </w:pPr>
      <w:r w:rsidRPr="002468CB">
        <w:rPr>
          <w:rFonts w:ascii="Verdana" w:hAnsi="Verdana" w:cs="Arial"/>
          <w:b/>
          <w:bCs/>
          <w:sz w:val="20"/>
          <w:szCs w:val="20"/>
        </w:rPr>
        <w:lastRenderedPageBreak/>
        <w:t xml:space="preserve">Table </w:t>
      </w:r>
      <w:r>
        <w:rPr>
          <w:rFonts w:ascii="Verdana" w:hAnsi="Verdana" w:cs="Arial"/>
          <w:b/>
          <w:bCs/>
          <w:sz w:val="20"/>
          <w:szCs w:val="20"/>
        </w:rPr>
        <w:t>4</w:t>
      </w:r>
      <w:r w:rsidRPr="002468CB">
        <w:rPr>
          <w:rFonts w:ascii="Verdana" w:hAnsi="Verdana" w:cs="Arial"/>
          <w:b/>
          <w:bCs/>
          <w:sz w:val="20"/>
          <w:szCs w:val="20"/>
        </w:rPr>
        <w:t>: Some independent and dependent variables likely to feature in analysis</w:t>
      </w:r>
      <w:r>
        <w:rPr>
          <w:rFonts w:ascii="Verdana" w:hAnsi="Verdana" w:cs="Arial"/>
          <w:b/>
          <w:bCs/>
          <w:sz w:val="20"/>
          <w:szCs w:val="20"/>
        </w:rPr>
        <w:t xml:space="preserve"> (taking MSDs as an example)</w:t>
      </w:r>
    </w:p>
    <w:p w14:paraId="6874739C" w14:textId="77777777" w:rsidR="001D1DD1" w:rsidRDefault="001D1DD1" w:rsidP="00C33BBA">
      <w:pPr>
        <w:widowControl w:val="0"/>
        <w:autoSpaceDE w:val="0"/>
        <w:autoSpaceDN w:val="0"/>
        <w:adjustRightInd w:val="0"/>
        <w:spacing w:line="480" w:lineRule="auto"/>
        <w:rPr>
          <w:rFonts w:ascii="Verdana" w:hAnsi="Verdana" w:cs="Arial"/>
          <w:b/>
          <w:bCs/>
          <w:sz w:val="20"/>
          <w:szCs w:val="20"/>
        </w:rPr>
      </w:pPr>
    </w:p>
    <w:p w14:paraId="5684228E" w14:textId="77777777" w:rsidR="001D1DD1" w:rsidRDefault="001D1DD1" w:rsidP="00C33BBA">
      <w:pPr>
        <w:pStyle w:val="Heading9"/>
        <w:keepNext w:val="0"/>
        <w:widowControl w:val="0"/>
        <w:numPr>
          <w:ilvl w:val="0"/>
          <w:numId w:val="20"/>
        </w:numPr>
        <w:spacing w:before="0" w:line="480" w:lineRule="auto"/>
        <w:ind w:left="357" w:hanging="357"/>
        <w:rPr>
          <w:rFonts w:ascii="Verdana" w:hAnsi="Verdana"/>
          <w:iCs w:val="0"/>
        </w:rPr>
      </w:pPr>
      <w:r w:rsidRPr="001727C7">
        <w:rPr>
          <w:rFonts w:ascii="Verdana" w:hAnsi="Verdana"/>
          <w:iCs w:val="0"/>
        </w:rPr>
        <w:t>Effect of health on work:</w:t>
      </w:r>
    </w:p>
    <w:p w14:paraId="262E773B" w14:textId="77777777" w:rsidR="001D1DD1" w:rsidRPr="00101B81" w:rsidRDefault="001D1DD1" w:rsidP="00C33BBA">
      <w:pPr>
        <w:spacing w:line="48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6"/>
        <w:gridCol w:w="4816"/>
      </w:tblGrid>
      <w:tr w:rsidR="001D1DD1" w:rsidRPr="00101B81" w14:paraId="03A84161" w14:textId="77777777" w:rsidTr="00CB7573">
        <w:trPr>
          <w:jc w:val="center"/>
        </w:trPr>
        <w:tc>
          <w:tcPr>
            <w:tcW w:w="4537" w:type="dxa"/>
            <w:tcBorders>
              <w:top w:val="single" w:sz="12" w:space="0" w:color="auto"/>
              <w:bottom w:val="single" w:sz="12" w:space="0" w:color="auto"/>
            </w:tcBorders>
          </w:tcPr>
          <w:p w14:paraId="5FA0DD83"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rPr>
            </w:pPr>
            <w:r w:rsidRPr="00101B81">
              <w:rPr>
                <w:rFonts w:ascii="Verdana" w:eastAsia="Calibri" w:hAnsi="Verdana"/>
                <w:sz w:val="20"/>
                <w:szCs w:val="20"/>
              </w:rPr>
              <w:t xml:space="preserve">Predictor variables </w:t>
            </w:r>
          </w:p>
        </w:tc>
        <w:tc>
          <w:tcPr>
            <w:tcW w:w="5000" w:type="dxa"/>
            <w:tcBorders>
              <w:top w:val="single" w:sz="12" w:space="0" w:color="auto"/>
              <w:bottom w:val="single" w:sz="12" w:space="0" w:color="auto"/>
            </w:tcBorders>
          </w:tcPr>
          <w:p w14:paraId="395EC494"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rPr>
            </w:pPr>
            <w:r w:rsidRPr="00101B81">
              <w:rPr>
                <w:rFonts w:ascii="Verdana" w:eastAsia="Calibri" w:hAnsi="Verdana"/>
                <w:sz w:val="20"/>
                <w:szCs w:val="20"/>
              </w:rPr>
              <w:t>Outcome variables</w:t>
            </w:r>
          </w:p>
        </w:tc>
      </w:tr>
      <w:tr w:rsidR="001D1DD1" w:rsidRPr="00101B81" w14:paraId="4558E959" w14:textId="77777777" w:rsidTr="00CB7573">
        <w:trPr>
          <w:jc w:val="center"/>
        </w:trPr>
        <w:tc>
          <w:tcPr>
            <w:tcW w:w="4537" w:type="dxa"/>
            <w:tcBorders>
              <w:bottom w:val="single" w:sz="12" w:space="0" w:color="auto"/>
            </w:tcBorders>
          </w:tcPr>
          <w:p w14:paraId="68E0D105"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u w:val="single"/>
              </w:rPr>
            </w:pPr>
            <w:r w:rsidRPr="00101B81">
              <w:rPr>
                <w:rFonts w:ascii="Verdana" w:eastAsia="Calibri" w:hAnsi="Verdana"/>
                <w:sz w:val="20"/>
                <w:szCs w:val="20"/>
                <w:u w:val="single"/>
              </w:rPr>
              <w:t xml:space="preserve">Health or change in health </w:t>
            </w:r>
          </w:p>
          <w:p w14:paraId="13BFA228" w14:textId="77777777" w:rsidR="001D1DD1" w:rsidRPr="00101B81" w:rsidRDefault="001D1DD1" w:rsidP="00C33BBA">
            <w:pPr>
              <w:widowControl w:val="0"/>
              <w:autoSpaceDE w:val="0"/>
              <w:autoSpaceDN w:val="0"/>
              <w:adjustRightInd w:val="0"/>
              <w:spacing w:line="480" w:lineRule="auto"/>
              <w:rPr>
                <w:rFonts w:ascii="Verdana" w:hAnsi="Verdana"/>
                <w:sz w:val="20"/>
                <w:szCs w:val="20"/>
              </w:rPr>
            </w:pPr>
            <w:r w:rsidRPr="00101B81">
              <w:rPr>
                <w:rFonts w:ascii="Verdana" w:eastAsia="Calibri" w:hAnsi="Verdana"/>
                <w:sz w:val="20"/>
                <w:szCs w:val="20"/>
              </w:rPr>
              <w:t>1)</w:t>
            </w:r>
            <w:r w:rsidRPr="00101B81">
              <w:rPr>
                <w:rFonts w:ascii="Verdana" w:eastAsia="Calibri" w:hAnsi="Verdana"/>
                <w:i/>
                <w:iCs/>
                <w:sz w:val="20"/>
                <w:szCs w:val="20"/>
              </w:rPr>
              <w:t xml:space="preserve"> CPRD record</w:t>
            </w:r>
            <w:r w:rsidRPr="00101B81">
              <w:rPr>
                <w:rFonts w:ascii="Verdana" w:hAnsi="Verdana"/>
                <w:sz w:val="20"/>
                <w:szCs w:val="20"/>
              </w:rPr>
              <w:t>: diagnosis (</w:t>
            </w:r>
            <w:r w:rsidRPr="00101B81">
              <w:rPr>
                <w:rFonts w:ascii="Verdana" w:eastAsia="Calibri" w:hAnsi="Verdana"/>
                <w:sz w:val="20"/>
                <w:szCs w:val="20"/>
              </w:rPr>
              <w:t xml:space="preserve">or </w:t>
            </w:r>
            <w:r w:rsidRPr="00101B81">
              <w:rPr>
                <w:rFonts w:ascii="Verdana" w:hAnsi="Verdana"/>
                <w:sz w:val="20"/>
                <w:szCs w:val="20"/>
              </w:rPr>
              <w:t>treatment/</w:t>
            </w:r>
            <w:r w:rsidRPr="00101B81">
              <w:rPr>
                <w:rFonts w:ascii="Verdana" w:eastAsia="Calibri" w:hAnsi="Verdana"/>
                <w:sz w:val="20"/>
                <w:szCs w:val="20"/>
              </w:rPr>
              <w:t>worsening</w:t>
            </w:r>
            <w:r w:rsidRPr="00101B81">
              <w:rPr>
                <w:rFonts w:ascii="Verdana" w:hAnsi="Verdana"/>
                <w:sz w:val="20"/>
                <w:szCs w:val="20"/>
              </w:rPr>
              <w:t>)</w:t>
            </w:r>
            <w:r w:rsidRPr="00101B81">
              <w:rPr>
                <w:rFonts w:ascii="Verdana" w:eastAsia="Calibri" w:hAnsi="Verdana"/>
                <w:sz w:val="20"/>
                <w:szCs w:val="20"/>
              </w:rPr>
              <w:t xml:space="preserve"> </w:t>
            </w:r>
            <w:r w:rsidRPr="00101B81">
              <w:rPr>
                <w:rFonts w:ascii="Verdana" w:hAnsi="Verdana"/>
                <w:sz w:val="20"/>
                <w:szCs w:val="20"/>
              </w:rPr>
              <w:t xml:space="preserve">of </w:t>
            </w:r>
            <w:r w:rsidRPr="00101B81">
              <w:rPr>
                <w:rFonts w:ascii="Verdana" w:eastAsia="Calibri" w:hAnsi="Verdana"/>
                <w:sz w:val="20"/>
                <w:szCs w:val="20"/>
              </w:rPr>
              <w:t xml:space="preserve">arthritis, </w:t>
            </w:r>
            <w:r w:rsidRPr="00101B81">
              <w:rPr>
                <w:rFonts w:ascii="Verdana" w:hAnsi="Verdana"/>
                <w:sz w:val="20"/>
                <w:szCs w:val="20"/>
              </w:rPr>
              <w:t xml:space="preserve">soft tissue rheumatism, or other MSDs; or in those with MSDs, of concurrent... anxiety, depression, neurotic illness, insomnia, cardiovascular disease, new hospital treated illnesses etc.  </w:t>
            </w:r>
            <w:r w:rsidRPr="00101B81">
              <w:rPr>
                <w:rFonts w:ascii="Verdana" w:eastAsia="Calibri" w:hAnsi="Verdana"/>
                <w:sz w:val="20"/>
                <w:szCs w:val="20"/>
              </w:rPr>
              <w:t xml:space="preserve"> </w:t>
            </w:r>
          </w:p>
          <w:p w14:paraId="39BC9D3E"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rPr>
            </w:pPr>
            <w:r w:rsidRPr="00101B81">
              <w:rPr>
                <w:rFonts w:ascii="Verdana" w:hAnsi="Verdana"/>
                <w:sz w:val="20"/>
                <w:szCs w:val="20"/>
              </w:rPr>
              <w:t xml:space="preserve">2) </w:t>
            </w:r>
            <w:r w:rsidRPr="00101B81">
              <w:rPr>
                <w:rFonts w:ascii="Verdana" w:eastAsia="Calibri" w:hAnsi="Verdana"/>
                <w:i/>
                <w:iCs/>
                <w:sz w:val="20"/>
                <w:szCs w:val="20"/>
              </w:rPr>
              <w:t>Questionnaire</w:t>
            </w:r>
            <w:r w:rsidRPr="00101B81">
              <w:rPr>
                <w:rFonts w:ascii="Verdana" w:eastAsia="Calibri" w:hAnsi="Verdana"/>
                <w:sz w:val="20"/>
                <w:szCs w:val="20"/>
              </w:rPr>
              <w:t xml:space="preserve">: </w:t>
            </w:r>
            <w:r w:rsidRPr="00101B81">
              <w:rPr>
                <w:rFonts w:ascii="Verdana" w:hAnsi="Verdana"/>
                <w:sz w:val="20"/>
                <w:szCs w:val="20"/>
              </w:rPr>
              <w:t xml:space="preserve">in those with MSDs: </w:t>
            </w:r>
            <w:r w:rsidRPr="00101B81">
              <w:rPr>
                <w:rFonts w:ascii="Verdana" w:eastAsia="Calibri" w:hAnsi="Verdana"/>
                <w:sz w:val="20"/>
                <w:szCs w:val="20"/>
              </w:rPr>
              <w:t xml:space="preserve">change </w:t>
            </w:r>
            <w:r w:rsidRPr="00101B81">
              <w:rPr>
                <w:rFonts w:ascii="Verdana" w:hAnsi="Verdana"/>
                <w:sz w:val="20"/>
                <w:szCs w:val="20"/>
              </w:rPr>
              <w:t xml:space="preserve">in </w:t>
            </w:r>
            <w:r w:rsidRPr="00101B81">
              <w:rPr>
                <w:rFonts w:ascii="Verdana" w:eastAsia="Calibri" w:hAnsi="Verdana"/>
                <w:sz w:val="20"/>
                <w:szCs w:val="20"/>
              </w:rPr>
              <w:t>pain symptoms</w:t>
            </w:r>
            <w:r w:rsidRPr="00101B81">
              <w:rPr>
                <w:rFonts w:ascii="Verdana" w:hAnsi="Verdana"/>
                <w:sz w:val="20"/>
                <w:szCs w:val="20"/>
              </w:rPr>
              <w:t xml:space="preserve">, </w:t>
            </w:r>
            <w:r w:rsidRPr="00101B81">
              <w:rPr>
                <w:rFonts w:ascii="Verdana" w:eastAsia="Calibri" w:hAnsi="Verdana"/>
                <w:sz w:val="20"/>
                <w:szCs w:val="20"/>
              </w:rPr>
              <w:t>SRH, CES-D, BSI, sleep problems</w:t>
            </w:r>
          </w:p>
        </w:tc>
        <w:tc>
          <w:tcPr>
            <w:tcW w:w="5000" w:type="dxa"/>
            <w:tcBorders>
              <w:bottom w:val="single" w:sz="12" w:space="0" w:color="auto"/>
            </w:tcBorders>
          </w:tcPr>
          <w:p w14:paraId="13E91CA8" w14:textId="77777777" w:rsidR="001D1DD1" w:rsidRPr="00101B81" w:rsidRDefault="001D1DD1" w:rsidP="00C33BBA">
            <w:pPr>
              <w:pStyle w:val="BodyText3"/>
              <w:widowControl w:val="0"/>
              <w:spacing w:after="0" w:line="480" w:lineRule="auto"/>
              <w:rPr>
                <w:rFonts w:ascii="Verdana" w:eastAsia="Calibri" w:hAnsi="Verdana"/>
                <w:sz w:val="20"/>
                <w:szCs w:val="20"/>
              </w:rPr>
            </w:pPr>
            <w:r w:rsidRPr="00101B81">
              <w:rPr>
                <w:rFonts w:ascii="Verdana" w:eastAsia="Calibri" w:hAnsi="Verdana"/>
                <w:sz w:val="20"/>
                <w:szCs w:val="20"/>
                <w:u w:val="single"/>
              </w:rPr>
              <w:t>Employment status</w:t>
            </w:r>
            <w:r w:rsidRPr="00101B81">
              <w:rPr>
                <w:rFonts w:ascii="Verdana" w:eastAsia="Calibri" w:hAnsi="Verdana"/>
                <w:sz w:val="20"/>
                <w:szCs w:val="20"/>
              </w:rPr>
              <w:t xml:space="preserve">: unemployed, retired, ill-health retired, temporarily off sick, employed, other role (e.g. carer) </w:t>
            </w:r>
          </w:p>
          <w:p w14:paraId="70FD174B" w14:textId="77777777" w:rsidR="001D1DD1" w:rsidRPr="00101B81" w:rsidRDefault="001D1DD1" w:rsidP="00C33BBA">
            <w:pPr>
              <w:pStyle w:val="BodyText3"/>
              <w:widowControl w:val="0"/>
              <w:spacing w:after="0" w:line="480" w:lineRule="auto"/>
              <w:rPr>
                <w:rFonts w:ascii="Verdana" w:eastAsia="Calibri" w:hAnsi="Verdana"/>
                <w:sz w:val="20"/>
                <w:szCs w:val="20"/>
              </w:rPr>
            </w:pPr>
          </w:p>
          <w:p w14:paraId="38739647" w14:textId="77777777" w:rsidR="001D1DD1" w:rsidRPr="00101B81" w:rsidRDefault="001D1DD1" w:rsidP="00C33BBA">
            <w:pPr>
              <w:pStyle w:val="BodyText3"/>
              <w:widowControl w:val="0"/>
              <w:spacing w:after="0" w:line="480" w:lineRule="auto"/>
              <w:rPr>
                <w:rFonts w:ascii="Verdana" w:eastAsia="Calibri" w:hAnsi="Verdana"/>
                <w:sz w:val="20"/>
                <w:szCs w:val="20"/>
              </w:rPr>
            </w:pPr>
            <w:r w:rsidRPr="00101B81">
              <w:rPr>
                <w:rFonts w:ascii="Verdana" w:eastAsia="Calibri" w:hAnsi="Verdana"/>
                <w:sz w:val="20"/>
                <w:szCs w:val="20"/>
                <w:u w:val="single"/>
              </w:rPr>
              <w:t>Employment change</w:t>
            </w:r>
            <w:r w:rsidRPr="00101B81">
              <w:rPr>
                <w:rFonts w:ascii="Verdana" w:eastAsia="Calibri" w:hAnsi="Verdana"/>
                <w:sz w:val="20"/>
                <w:szCs w:val="20"/>
              </w:rPr>
              <w:t>: (new) involuntary job loss; planned normal retirement; early planned retirement; early ill-health retirement; re-employment</w:t>
            </w:r>
          </w:p>
        </w:tc>
      </w:tr>
    </w:tbl>
    <w:p w14:paraId="7EFCE713" w14:textId="77777777" w:rsidR="001D1DD1" w:rsidRPr="00101B81" w:rsidRDefault="001D1DD1" w:rsidP="00C33BBA">
      <w:pPr>
        <w:pStyle w:val="Heading9"/>
        <w:keepNext w:val="0"/>
        <w:widowControl w:val="0"/>
        <w:spacing w:before="0" w:line="480" w:lineRule="auto"/>
        <w:rPr>
          <w:rFonts w:ascii="Verdana" w:hAnsi="Verdana"/>
        </w:rPr>
      </w:pPr>
    </w:p>
    <w:p w14:paraId="4739CBBF" w14:textId="77777777" w:rsidR="001D1DD1" w:rsidRPr="00101B81" w:rsidRDefault="001D1DD1" w:rsidP="00C33BBA">
      <w:pPr>
        <w:pStyle w:val="Heading9"/>
        <w:keepNext w:val="0"/>
        <w:keepLines w:val="0"/>
        <w:widowControl w:val="0"/>
        <w:numPr>
          <w:ilvl w:val="0"/>
          <w:numId w:val="20"/>
        </w:numPr>
        <w:autoSpaceDE w:val="0"/>
        <w:autoSpaceDN w:val="0"/>
        <w:adjustRightInd w:val="0"/>
        <w:spacing w:before="0" w:line="480" w:lineRule="auto"/>
        <w:ind w:left="357" w:hanging="357"/>
        <w:rPr>
          <w:rFonts w:ascii="Verdana" w:hAnsi="Verdana"/>
        </w:rPr>
      </w:pPr>
      <w:r w:rsidRPr="00101B81">
        <w:rPr>
          <w:rFonts w:ascii="Verdana" w:hAnsi="Verdana"/>
        </w:rPr>
        <w:t>Effect of work on health</w:t>
      </w:r>
      <w:r>
        <w:rPr>
          <w:rFonts w:ascii="Verdana" w:hAnsi="Verdan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7"/>
        <w:gridCol w:w="4885"/>
      </w:tblGrid>
      <w:tr w:rsidR="001D1DD1" w:rsidRPr="00101B81" w14:paraId="007286B4" w14:textId="77777777" w:rsidTr="00CB7573">
        <w:trPr>
          <w:cantSplit/>
          <w:trHeight w:val="286"/>
          <w:jc w:val="center"/>
        </w:trPr>
        <w:tc>
          <w:tcPr>
            <w:tcW w:w="4491" w:type="dxa"/>
            <w:tcBorders>
              <w:top w:val="single" w:sz="12" w:space="0" w:color="auto"/>
              <w:bottom w:val="single" w:sz="4" w:space="0" w:color="auto"/>
            </w:tcBorders>
          </w:tcPr>
          <w:p w14:paraId="0F4A445E"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rPr>
            </w:pPr>
            <w:r w:rsidRPr="00101B81">
              <w:rPr>
                <w:rFonts w:ascii="Verdana" w:eastAsia="Calibri" w:hAnsi="Verdana"/>
                <w:sz w:val="20"/>
                <w:szCs w:val="20"/>
              </w:rPr>
              <w:t xml:space="preserve">Predictor variables </w:t>
            </w:r>
          </w:p>
        </w:tc>
        <w:tc>
          <w:tcPr>
            <w:tcW w:w="5011" w:type="dxa"/>
            <w:tcBorders>
              <w:top w:val="single" w:sz="12" w:space="0" w:color="auto"/>
              <w:bottom w:val="single" w:sz="4" w:space="0" w:color="auto"/>
            </w:tcBorders>
          </w:tcPr>
          <w:p w14:paraId="2F2D85CB"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rPr>
            </w:pPr>
            <w:r w:rsidRPr="00101B81">
              <w:rPr>
                <w:rFonts w:ascii="Verdana" w:eastAsia="Calibri" w:hAnsi="Verdana"/>
                <w:sz w:val="20"/>
                <w:szCs w:val="20"/>
              </w:rPr>
              <w:t>Outcome variables</w:t>
            </w:r>
          </w:p>
        </w:tc>
      </w:tr>
      <w:tr w:rsidR="001D1DD1" w:rsidRPr="00101B81" w14:paraId="1BCE6EC4" w14:textId="77777777" w:rsidTr="00CB7573">
        <w:trPr>
          <w:cantSplit/>
          <w:trHeight w:val="1539"/>
          <w:jc w:val="center"/>
        </w:trPr>
        <w:tc>
          <w:tcPr>
            <w:tcW w:w="4491" w:type="dxa"/>
            <w:tcBorders>
              <w:top w:val="single" w:sz="12" w:space="0" w:color="auto"/>
              <w:bottom w:val="single" w:sz="4" w:space="0" w:color="auto"/>
            </w:tcBorders>
          </w:tcPr>
          <w:p w14:paraId="44A66595" w14:textId="77777777" w:rsidR="001D1DD1" w:rsidRPr="00101B81" w:rsidRDefault="001D1DD1" w:rsidP="00C33BBA">
            <w:pPr>
              <w:pStyle w:val="BodyText3"/>
              <w:widowControl w:val="0"/>
              <w:spacing w:after="0" w:line="480" w:lineRule="auto"/>
              <w:rPr>
                <w:rFonts w:ascii="Verdana" w:eastAsia="Calibri" w:hAnsi="Verdana"/>
                <w:sz w:val="20"/>
                <w:szCs w:val="20"/>
              </w:rPr>
            </w:pPr>
            <w:r w:rsidRPr="00101B81">
              <w:rPr>
                <w:rFonts w:ascii="Verdana" w:eastAsia="Calibri" w:hAnsi="Verdana"/>
                <w:sz w:val="20"/>
                <w:szCs w:val="20"/>
                <w:u w:val="single"/>
              </w:rPr>
              <w:lastRenderedPageBreak/>
              <w:t>Employment status</w:t>
            </w:r>
            <w:r w:rsidRPr="00101B81">
              <w:rPr>
                <w:rFonts w:ascii="Verdana" w:eastAsia="Calibri" w:hAnsi="Verdana"/>
                <w:sz w:val="20"/>
                <w:szCs w:val="20"/>
              </w:rPr>
              <w:t xml:space="preserve">: unemployed, retired, ill-health retired, temporarily off sick, employed, other role (e.g. carer) </w:t>
            </w:r>
          </w:p>
          <w:p w14:paraId="3E93D5D4" w14:textId="77777777" w:rsidR="001D1DD1" w:rsidRPr="00101B81" w:rsidRDefault="001D1DD1" w:rsidP="00C33BBA">
            <w:pPr>
              <w:pStyle w:val="BodyText3"/>
              <w:widowControl w:val="0"/>
              <w:spacing w:after="0" w:line="480" w:lineRule="auto"/>
              <w:rPr>
                <w:rFonts w:ascii="Verdana" w:eastAsia="Calibri" w:hAnsi="Verdana"/>
                <w:sz w:val="20"/>
                <w:szCs w:val="20"/>
                <w:u w:val="single"/>
              </w:rPr>
            </w:pPr>
          </w:p>
          <w:p w14:paraId="487EFD02" w14:textId="77777777" w:rsidR="001D1DD1" w:rsidRPr="00101B81" w:rsidRDefault="001D1DD1" w:rsidP="00C33BBA">
            <w:pPr>
              <w:pStyle w:val="BodyText3"/>
              <w:widowControl w:val="0"/>
              <w:spacing w:after="0" w:line="480" w:lineRule="auto"/>
              <w:rPr>
                <w:rFonts w:ascii="Verdana" w:hAnsi="Verdana"/>
                <w:sz w:val="20"/>
                <w:szCs w:val="20"/>
              </w:rPr>
            </w:pPr>
            <w:r w:rsidRPr="00101B81">
              <w:rPr>
                <w:rFonts w:ascii="Verdana" w:eastAsia="Calibri" w:hAnsi="Verdana"/>
                <w:sz w:val="20"/>
                <w:szCs w:val="20"/>
                <w:u w:val="single"/>
              </w:rPr>
              <w:t>Employment change</w:t>
            </w:r>
            <w:r w:rsidRPr="00101B81">
              <w:rPr>
                <w:rFonts w:ascii="Verdana" w:eastAsia="Calibri" w:hAnsi="Verdana"/>
                <w:sz w:val="20"/>
                <w:szCs w:val="20"/>
              </w:rPr>
              <w:t>: (new) involuntary job loss; planned normal retirement; early planned retirement; early ill-health retirement; re-employment</w:t>
            </w:r>
          </w:p>
          <w:p w14:paraId="4ABD0B25" w14:textId="77777777" w:rsidR="001D1DD1" w:rsidRPr="00101B81" w:rsidRDefault="001D1DD1" w:rsidP="00C33BBA">
            <w:pPr>
              <w:pStyle w:val="BodyText3"/>
              <w:widowControl w:val="0"/>
              <w:spacing w:after="0" w:line="480" w:lineRule="auto"/>
              <w:rPr>
                <w:rFonts w:ascii="Verdana" w:eastAsia="Calibri" w:hAnsi="Verdana"/>
                <w:i/>
                <w:sz w:val="20"/>
                <w:szCs w:val="20"/>
              </w:rPr>
            </w:pPr>
            <w:r w:rsidRPr="00101B81">
              <w:rPr>
                <w:rFonts w:ascii="Verdana" w:hAnsi="Verdana"/>
                <w:i/>
                <w:sz w:val="20"/>
                <w:szCs w:val="20"/>
              </w:rPr>
              <w:t>(Including MSD-related employment changes)</w:t>
            </w:r>
          </w:p>
        </w:tc>
        <w:tc>
          <w:tcPr>
            <w:tcW w:w="5011" w:type="dxa"/>
            <w:tcBorders>
              <w:top w:val="single" w:sz="12" w:space="0" w:color="auto"/>
              <w:bottom w:val="single" w:sz="4" w:space="0" w:color="auto"/>
            </w:tcBorders>
          </w:tcPr>
          <w:p w14:paraId="516166FA"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u w:val="single"/>
              </w:rPr>
            </w:pPr>
            <w:r w:rsidRPr="00101B81">
              <w:rPr>
                <w:rFonts w:ascii="Verdana" w:eastAsia="Calibri" w:hAnsi="Verdana"/>
                <w:sz w:val="20"/>
                <w:szCs w:val="20"/>
                <w:u w:val="single"/>
              </w:rPr>
              <w:t>Change in health</w:t>
            </w:r>
          </w:p>
          <w:p w14:paraId="20B86B2D"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rPr>
            </w:pPr>
            <w:r w:rsidRPr="00101B81">
              <w:rPr>
                <w:rFonts w:ascii="Verdana" w:eastAsia="Calibri" w:hAnsi="Verdana"/>
                <w:sz w:val="20"/>
                <w:szCs w:val="20"/>
              </w:rPr>
              <w:t>1)</w:t>
            </w:r>
            <w:r w:rsidRPr="00101B81">
              <w:rPr>
                <w:rFonts w:ascii="Verdana" w:eastAsia="Calibri" w:hAnsi="Verdana"/>
                <w:i/>
                <w:iCs/>
                <w:sz w:val="20"/>
                <w:szCs w:val="20"/>
              </w:rPr>
              <w:t xml:space="preserve"> CPRD record</w:t>
            </w:r>
            <w:r w:rsidRPr="00101B81">
              <w:rPr>
                <w:rFonts w:ascii="Verdana" w:hAnsi="Verdana"/>
                <w:sz w:val="20"/>
                <w:szCs w:val="20"/>
              </w:rPr>
              <w:t xml:space="preserve">: </w:t>
            </w:r>
            <w:r w:rsidRPr="00101B81">
              <w:rPr>
                <w:rFonts w:ascii="Verdana" w:eastAsia="Calibri" w:hAnsi="Verdana"/>
                <w:sz w:val="20"/>
                <w:szCs w:val="20"/>
              </w:rPr>
              <w:t>new diagnosis</w:t>
            </w:r>
            <w:r w:rsidRPr="00101B81">
              <w:rPr>
                <w:rFonts w:ascii="Verdana" w:hAnsi="Verdana"/>
                <w:sz w:val="20"/>
                <w:szCs w:val="20"/>
              </w:rPr>
              <w:t xml:space="preserve"> of</w:t>
            </w:r>
            <w:r w:rsidRPr="00101B81">
              <w:rPr>
                <w:rFonts w:ascii="Verdana" w:eastAsia="Calibri" w:hAnsi="Verdana"/>
                <w:sz w:val="20"/>
                <w:szCs w:val="20"/>
              </w:rPr>
              <w:t>, treatment</w:t>
            </w:r>
            <w:r w:rsidRPr="00101B81">
              <w:rPr>
                <w:rFonts w:ascii="Verdana" w:hAnsi="Verdana"/>
                <w:sz w:val="20"/>
                <w:szCs w:val="20"/>
              </w:rPr>
              <w:t xml:space="preserve"> for, worsening/recovery from</w:t>
            </w:r>
            <w:r w:rsidRPr="00101B81">
              <w:rPr>
                <w:rFonts w:ascii="Verdana" w:eastAsia="Calibri" w:hAnsi="Verdana"/>
                <w:sz w:val="20"/>
                <w:szCs w:val="20"/>
              </w:rPr>
              <w:t xml:space="preserve"> … anxiety, depression, neurotic illness, insomnia, cardiovascular disease, hypertension; new hospital treated illnesses; altered frequency of GP visits</w:t>
            </w:r>
          </w:p>
          <w:p w14:paraId="5DF45578" w14:textId="77777777" w:rsidR="001D1DD1" w:rsidRPr="00101B81" w:rsidRDefault="001D1DD1" w:rsidP="00C33BBA">
            <w:pPr>
              <w:widowControl w:val="0"/>
              <w:autoSpaceDE w:val="0"/>
              <w:autoSpaceDN w:val="0"/>
              <w:adjustRightInd w:val="0"/>
              <w:spacing w:line="480" w:lineRule="auto"/>
              <w:rPr>
                <w:rFonts w:ascii="Verdana" w:eastAsia="Calibri" w:hAnsi="Verdana"/>
                <w:sz w:val="20"/>
                <w:szCs w:val="20"/>
              </w:rPr>
            </w:pPr>
            <w:r w:rsidRPr="00101B81">
              <w:rPr>
                <w:rFonts w:ascii="Verdana" w:eastAsia="Calibri" w:hAnsi="Verdana"/>
                <w:sz w:val="20"/>
                <w:szCs w:val="20"/>
              </w:rPr>
              <w:t>2)</w:t>
            </w:r>
            <w:r w:rsidRPr="00101B81">
              <w:rPr>
                <w:rFonts w:ascii="Verdana" w:eastAsia="Calibri" w:hAnsi="Verdana"/>
                <w:i/>
                <w:iCs/>
                <w:sz w:val="20"/>
                <w:szCs w:val="20"/>
              </w:rPr>
              <w:t xml:space="preserve"> Questionnaire</w:t>
            </w:r>
            <w:r w:rsidRPr="00101B81">
              <w:rPr>
                <w:rFonts w:ascii="Verdana" w:eastAsia="Calibri" w:hAnsi="Verdana"/>
                <w:sz w:val="20"/>
                <w:szCs w:val="20"/>
              </w:rPr>
              <w:t>: (change in) … SRH, CES-D, BSI, sleep problems</w:t>
            </w:r>
          </w:p>
          <w:p w14:paraId="017FB84F" w14:textId="77777777" w:rsidR="001D1DD1" w:rsidRPr="00101B81" w:rsidRDefault="001D1DD1" w:rsidP="00C33BBA">
            <w:pPr>
              <w:widowControl w:val="0"/>
              <w:autoSpaceDE w:val="0"/>
              <w:autoSpaceDN w:val="0"/>
              <w:adjustRightInd w:val="0"/>
              <w:spacing w:line="480" w:lineRule="auto"/>
              <w:rPr>
                <w:rFonts w:ascii="Verdana" w:eastAsia="Calibri" w:hAnsi="Verdana"/>
                <w:i/>
                <w:iCs/>
                <w:sz w:val="20"/>
                <w:szCs w:val="20"/>
              </w:rPr>
            </w:pPr>
          </w:p>
        </w:tc>
      </w:tr>
    </w:tbl>
    <w:p w14:paraId="597C144B" w14:textId="77777777" w:rsidR="001D1DD1" w:rsidRDefault="001D1DD1" w:rsidP="00C33BBA">
      <w:pPr>
        <w:widowControl w:val="0"/>
        <w:autoSpaceDE w:val="0"/>
        <w:autoSpaceDN w:val="0"/>
        <w:adjustRightInd w:val="0"/>
        <w:spacing w:line="480" w:lineRule="auto"/>
        <w:rPr>
          <w:rFonts w:ascii="Verdana" w:hAnsi="Verdana"/>
          <w:sz w:val="20"/>
          <w:szCs w:val="20"/>
        </w:rPr>
      </w:pPr>
    </w:p>
    <w:p w14:paraId="08236458" w14:textId="77777777" w:rsidR="001D1DD1" w:rsidRDefault="001D1DD1" w:rsidP="00C33BBA">
      <w:pPr>
        <w:pStyle w:val="ListParagraph"/>
        <w:widowControl w:val="0"/>
        <w:spacing w:line="480" w:lineRule="auto"/>
        <w:ind w:left="0"/>
        <w:rPr>
          <w:rFonts w:ascii="Verdana" w:hAnsi="Verdana" w:cs="Arial"/>
          <w:sz w:val="20"/>
        </w:rPr>
        <w:sectPr w:rsidR="001D1DD1" w:rsidSect="00C33BBA">
          <w:footerReference w:type="default" r:id="rId23"/>
          <w:pgSz w:w="11906" w:h="16838"/>
          <w:pgMar w:top="1361" w:right="1440" w:bottom="1361" w:left="1440" w:header="709" w:footer="709" w:gutter="0"/>
          <w:lnNumType w:countBy="1"/>
          <w:cols w:space="708"/>
          <w:docGrid w:linePitch="360"/>
        </w:sectPr>
      </w:pPr>
    </w:p>
    <w:p w14:paraId="11C4EDA3" w14:textId="6567785D" w:rsidR="00C720CF" w:rsidRDefault="00C720CF" w:rsidP="00C33BBA">
      <w:pPr>
        <w:spacing w:line="480" w:lineRule="auto"/>
        <w:rPr>
          <w:rFonts w:ascii="Verdana" w:hAnsi="Verdana"/>
          <w:b/>
          <w:sz w:val="20"/>
          <w:szCs w:val="20"/>
        </w:rPr>
      </w:pPr>
      <w:r w:rsidRPr="001D1DD1">
        <w:rPr>
          <w:rFonts w:ascii="Verdana" w:hAnsi="Verdana"/>
          <w:b/>
          <w:sz w:val="20"/>
          <w:szCs w:val="20"/>
        </w:rPr>
        <w:lastRenderedPageBreak/>
        <w:t>Table</w:t>
      </w:r>
      <w:r>
        <w:rPr>
          <w:rFonts w:ascii="Verdana" w:hAnsi="Verdana"/>
          <w:b/>
          <w:sz w:val="20"/>
          <w:szCs w:val="20"/>
        </w:rPr>
        <w:t xml:space="preserve"> 5</w:t>
      </w:r>
      <w:r w:rsidRPr="001D1DD1">
        <w:rPr>
          <w:rFonts w:ascii="Verdana" w:hAnsi="Verdana"/>
          <w:b/>
          <w:sz w:val="20"/>
          <w:szCs w:val="20"/>
        </w:rPr>
        <w:t xml:space="preserve">: Recruitment and response rates </w:t>
      </w:r>
      <w:r w:rsidR="00E07732">
        <w:rPr>
          <w:rFonts w:ascii="Verdana" w:hAnsi="Verdana"/>
          <w:b/>
          <w:sz w:val="20"/>
          <w:szCs w:val="20"/>
        </w:rPr>
        <w:t xml:space="preserve">at baseline </w:t>
      </w:r>
      <w:r w:rsidRPr="001D1DD1">
        <w:rPr>
          <w:rFonts w:ascii="Verdana" w:hAnsi="Verdana"/>
          <w:b/>
          <w:sz w:val="20"/>
          <w:szCs w:val="20"/>
        </w:rPr>
        <w:t xml:space="preserve">by practice </w:t>
      </w:r>
      <w:r>
        <w:rPr>
          <w:rFonts w:ascii="Verdana" w:hAnsi="Verdana"/>
          <w:b/>
          <w:sz w:val="20"/>
          <w:szCs w:val="20"/>
        </w:rPr>
        <w:t>deprivation score</w:t>
      </w:r>
    </w:p>
    <w:p w14:paraId="4ADD51F8" w14:textId="77777777" w:rsidR="00C720CF" w:rsidRDefault="00C720CF" w:rsidP="00C33BBA">
      <w:pPr>
        <w:spacing w:line="480" w:lineRule="auto"/>
        <w:rPr>
          <w:rFonts w:ascii="Verdana" w:hAnsi="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025"/>
        <w:gridCol w:w="2025"/>
        <w:gridCol w:w="2025"/>
        <w:gridCol w:w="2025"/>
        <w:gridCol w:w="2025"/>
        <w:gridCol w:w="2025"/>
      </w:tblGrid>
      <w:tr w:rsidR="00C720CF" w14:paraId="7379697C" w14:textId="77777777" w:rsidTr="006D6D19">
        <w:tc>
          <w:tcPr>
            <w:tcW w:w="2024" w:type="dxa"/>
            <w:tcBorders>
              <w:top w:val="single" w:sz="4" w:space="0" w:color="auto"/>
            </w:tcBorders>
          </w:tcPr>
          <w:p w14:paraId="279E6313" w14:textId="77777777" w:rsidR="00C720CF" w:rsidRDefault="00C720CF" w:rsidP="00C33BBA">
            <w:pPr>
              <w:spacing w:line="480" w:lineRule="auto"/>
              <w:rPr>
                <w:rFonts w:ascii="Verdana" w:hAnsi="Verdana"/>
                <w:b/>
                <w:sz w:val="20"/>
                <w:szCs w:val="20"/>
              </w:rPr>
            </w:pPr>
            <w:r>
              <w:rPr>
                <w:rFonts w:ascii="Verdana" w:hAnsi="Verdana"/>
                <w:b/>
                <w:sz w:val="20"/>
                <w:szCs w:val="20"/>
              </w:rPr>
              <w:t>Decile of deprivation*</w:t>
            </w:r>
          </w:p>
        </w:tc>
        <w:tc>
          <w:tcPr>
            <w:tcW w:w="2025" w:type="dxa"/>
            <w:tcBorders>
              <w:top w:val="single" w:sz="4" w:space="0" w:color="auto"/>
            </w:tcBorders>
          </w:tcPr>
          <w:p w14:paraId="024B8A6D" w14:textId="77777777" w:rsidR="00C720CF" w:rsidRDefault="00C720CF" w:rsidP="00C33BBA">
            <w:pPr>
              <w:spacing w:line="480" w:lineRule="auto"/>
              <w:rPr>
                <w:rFonts w:ascii="Verdana" w:hAnsi="Verdana"/>
                <w:b/>
                <w:sz w:val="20"/>
                <w:szCs w:val="20"/>
              </w:rPr>
            </w:pPr>
            <w:r>
              <w:rPr>
                <w:rFonts w:ascii="Verdana" w:hAnsi="Verdana"/>
                <w:b/>
                <w:sz w:val="20"/>
                <w:szCs w:val="20"/>
              </w:rPr>
              <w:t>Practices</w:t>
            </w:r>
          </w:p>
        </w:tc>
        <w:tc>
          <w:tcPr>
            <w:tcW w:w="2025" w:type="dxa"/>
            <w:tcBorders>
              <w:top w:val="single" w:sz="4" w:space="0" w:color="auto"/>
              <w:bottom w:val="single" w:sz="4" w:space="0" w:color="auto"/>
            </w:tcBorders>
          </w:tcPr>
          <w:p w14:paraId="270A25C1" w14:textId="77777777" w:rsidR="00C720CF" w:rsidRDefault="00C720CF" w:rsidP="00C33BBA">
            <w:pPr>
              <w:spacing w:line="480" w:lineRule="auto"/>
              <w:rPr>
                <w:rFonts w:ascii="Verdana" w:hAnsi="Verdana"/>
                <w:b/>
                <w:sz w:val="20"/>
                <w:szCs w:val="20"/>
              </w:rPr>
            </w:pPr>
            <w:r>
              <w:rPr>
                <w:rFonts w:ascii="Verdana" w:hAnsi="Verdana"/>
                <w:b/>
                <w:sz w:val="20"/>
                <w:szCs w:val="20"/>
              </w:rPr>
              <w:t>Subjects</w:t>
            </w:r>
          </w:p>
        </w:tc>
        <w:tc>
          <w:tcPr>
            <w:tcW w:w="2025" w:type="dxa"/>
            <w:tcBorders>
              <w:top w:val="single" w:sz="4" w:space="0" w:color="auto"/>
              <w:bottom w:val="single" w:sz="4" w:space="0" w:color="auto"/>
            </w:tcBorders>
          </w:tcPr>
          <w:p w14:paraId="4B5732C2" w14:textId="77777777" w:rsidR="00C720CF" w:rsidRDefault="00C720CF" w:rsidP="00C33BBA">
            <w:pPr>
              <w:spacing w:line="480" w:lineRule="auto"/>
              <w:rPr>
                <w:rFonts w:ascii="Verdana" w:hAnsi="Verdana"/>
                <w:b/>
                <w:sz w:val="20"/>
                <w:szCs w:val="20"/>
              </w:rPr>
            </w:pPr>
          </w:p>
        </w:tc>
        <w:tc>
          <w:tcPr>
            <w:tcW w:w="2025" w:type="dxa"/>
            <w:tcBorders>
              <w:top w:val="single" w:sz="4" w:space="0" w:color="auto"/>
              <w:bottom w:val="single" w:sz="4" w:space="0" w:color="auto"/>
            </w:tcBorders>
          </w:tcPr>
          <w:p w14:paraId="6B431E8E" w14:textId="77777777" w:rsidR="00C720CF" w:rsidRDefault="00C720CF" w:rsidP="00C33BBA">
            <w:pPr>
              <w:spacing w:line="480" w:lineRule="auto"/>
              <w:rPr>
                <w:rFonts w:ascii="Verdana" w:hAnsi="Verdana"/>
                <w:b/>
                <w:sz w:val="20"/>
                <w:szCs w:val="20"/>
              </w:rPr>
            </w:pPr>
          </w:p>
        </w:tc>
        <w:tc>
          <w:tcPr>
            <w:tcW w:w="2025" w:type="dxa"/>
            <w:tcBorders>
              <w:top w:val="single" w:sz="4" w:space="0" w:color="auto"/>
              <w:bottom w:val="single" w:sz="4" w:space="0" w:color="auto"/>
            </w:tcBorders>
          </w:tcPr>
          <w:p w14:paraId="08F824E0" w14:textId="77777777" w:rsidR="00C720CF" w:rsidRDefault="00C720CF" w:rsidP="00C33BBA">
            <w:pPr>
              <w:spacing w:line="480" w:lineRule="auto"/>
              <w:rPr>
                <w:rFonts w:ascii="Verdana" w:hAnsi="Verdana"/>
                <w:b/>
                <w:sz w:val="20"/>
                <w:szCs w:val="20"/>
              </w:rPr>
            </w:pPr>
          </w:p>
        </w:tc>
        <w:tc>
          <w:tcPr>
            <w:tcW w:w="2025" w:type="dxa"/>
            <w:tcBorders>
              <w:top w:val="single" w:sz="4" w:space="0" w:color="auto"/>
            </w:tcBorders>
          </w:tcPr>
          <w:p w14:paraId="32AB5F72" w14:textId="77777777" w:rsidR="00C720CF" w:rsidRDefault="00C720CF" w:rsidP="00C33BBA">
            <w:pPr>
              <w:spacing w:line="480" w:lineRule="auto"/>
              <w:rPr>
                <w:rFonts w:ascii="Verdana" w:hAnsi="Verdana"/>
                <w:b/>
                <w:sz w:val="20"/>
                <w:szCs w:val="20"/>
              </w:rPr>
            </w:pPr>
            <w:r>
              <w:rPr>
                <w:rFonts w:ascii="Verdana" w:hAnsi="Verdana"/>
                <w:b/>
                <w:sz w:val="20"/>
                <w:szCs w:val="20"/>
              </w:rPr>
              <w:t>% of all participants</w:t>
            </w:r>
          </w:p>
        </w:tc>
      </w:tr>
      <w:tr w:rsidR="00C720CF" w14:paraId="760B311C" w14:textId="77777777" w:rsidTr="006D6D19">
        <w:tc>
          <w:tcPr>
            <w:tcW w:w="2024" w:type="dxa"/>
            <w:tcBorders>
              <w:bottom w:val="single" w:sz="4" w:space="0" w:color="auto"/>
            </w:tcBorders>
          </w:tcPr>
          <w:p w14:paraId="13D0A86B" w14:textId="77777777" w:rsidR="00C720CF" w:rsidRDefault="00C720CF" w:rsidP="00C33BBA">
            <w:pPr>
              <w:spacing w:line="480" w:lineRule="auto"/>
              <w:rPr>
                <w:rFonts w:ascii="Verdana" w:hAnsi="Verdana"/>
                <w:b/>
                <w:sz w:val="20"/>
                <w:szCs w:val="20"/>
              </w:rPr>
            </w:pPr>
          </w:p>
        </w:tc>
        <w:tc>
          <w:tcPr>
            <w:tcW w:w="2025" w:type="dxa"/>
            <w:tcBorders>
              <w:bottom w:val="single" w:sz="4" w:space="0" w:color="auto"/>
            </w:tcBorders>
          </w:tcPr>
          <w:p w14:paraId="46D9D9C7" w14:textId="77777777" w:rsidR="00C720CF" w:rsidRDefault="00C720CF" w:rsidP="00C33BBA">
            <w:pPr>
              <w:spacing w:line="480" w:lineRule="auto"/>
              <w:rPr>
                <w:rFonts w:ascii="Verdana" w:hAnsi="Verdana"/>
                <w:b/>
                <w:sz w:val="20"/>
                <w:szCs w:val="20"/>
              </w:rPr>
            </w:pPr>
            <w:r>
              <w:rPr>
                <w:rFonts w:ascii="Verdana" w:hAnsi="Verdana"/>
                <w:b/>
                <w:sz w:val="20"/>
                <w:szCs w:val="20"/>
              </w:rPr>
              <w:t>(N)</w:t>
            </w:r>
          </w:p>
        </w:tc>
        <w:tc>
          <w:tcPr>
            <w:tcW w:w="2025" w:type="dxa"/>
            <w:tcBorders>
              <w:top w:val="single" w:sz="4" w:space="0" w:color="auto"/>
              <w:bottom w:val="single" w:sz="4" w:space="0" w:color="auto"/>
            </w:tcBorders>
          </w:tcPr>
          <w:p w14:paraId="2E847705" w14:textId="77777777" w:rsidR="00C720CF" w:rsidRDefault="00C720CF" w:rsidP="00C33BBA">
            <w:pPr>
              <w:spacing w:line="480" w:lineRule="auto"/>
              <w:rPr>
                <w:rFonts w:ascii="Verdana" w:hAnsi="Verdana"/>
                <w:b/>
                <w:sz w:val="20"/>
                <w:szCs w:val="20"/>
              </w:rPr>
            </w:pPr>
            <w:r>
              <w:rPr>
                <w:rFonts w:ascii="Verdana" w:hAnsi="Verdana"/>
                <w:b/>
                <w:sz w:val="20"/>
                <w:szCs w:val="20"/>
              </w:rPr>
              <w:t>No. excluded</w:t>
            </w:r>
          </w:p>
        </w:tc>
        <w:tc>
          <w:tcPr>
            <w:tcW w:w="2025" w:type="dxa"/>
            <w:tcBorders>
              <w:top w:val="single" w:sz="4" w:space="0" w:color="auto"/>
              <w:bottom w:val="single" w:sz="4" w:space="0" w:color="auto"/>
            </w:tcBorders>
          </w:tcPr>
          <w:p w14:paraId="2AD6B87C" w14:textId="77777777" w:rsidR="00C720CF" w:rsidRDefault="00C720CF" w:rsidP="00C33BBA">
            <w:pPr>
              <w:spacing w:line="480" w:lineRule="auto"/>
              <w:rPr>
                <w:rFonts w:ascii="Verdana" w:hAnsi="Verdana"/>
                <w:b/>
                <w:sz w:val="20"/>
                <w:szCs w:val="20"/>
              </w:rPr>
            </w:pPr>
            <w:r>
              <w:rPr>
                <w:rFonts w:ascii="Verdana" w:hAnsi="Verdana"/>
                <w:b/>
                <w:sz w:val="20"/>
                <w:szCs w:val="20"/>
              </w:rPr>
              <w:t>No. approached</w:t>
            </w:r>
          </w:p>
        </w:tc>
        <w:tc>
          <w:tcPr>
            <w:tcW w:w="2025" w:type="dxa"/>
            <w:tcBorders>
              <w:top w:val="single" w:sz="4" w:space="0" w:color="auto"/>
              <w:bottom w:val="single" w:sz="4" w:space="0" w:color="auto"/>
            </w:tcBorders>
          </w:tcPr>
          <w:p w14:paraId="0A703355" w14:textId="77777777" w:rsidR="00C720CF" w:rsidRDefault="00C720CF" w:rsidP="00C33BBA">
            <w:pPr>
              <w:spacing w:line="480" w:lineRule="auto"/>
              <w:rPr>
                <w:rFonts w:ascii="Verdana" w:hAnsi="Verdana"/>
                <w:b/>
                <w:sz w:val="20"/>
                <w:szCs w:val="20"/>
              </w:rPr>
            </w:pPr>
            <w:r>
              <w:rPr>
                <w:rFonts w:ascii="Verdana" w:hAnsi="Verdana"/>
                <w:b/>
                <w:sz w:val="20"/>
                <w:szCs w:val="20"/>
              </w:rPr>
              <w:t>No. recruited</w:t>
            </w:r>
          </w:p>
        </w:tc>
        <w:tc>
          <w:tcPr>
            <w:tcW w:w="2025" w:type="dxa"/>
            <w:tcBorders>
              <w:top w:val="single" w:sz="4" w:space="0" w:color="auto"/>
              <w:bottom w:val="single" w:sz="4" w:space="0" w:color="auto"/>
            </w:tcBorders>
          </w:tcPr>
          <w:p w14:paraId="0D6E05E5" w14:textId="77777777" w:rsidR="00C720CF" w:rsidRDefault="00C720CF" w:rsidP="00C33BBA">
            <w:pPr>
              <w:spacing w:line="480" w:lineRule="auto"/>
              <w:rPr>
                <w:rFonts w:ascii="Verdana" w:hAnsi="Verdana"/>
                <w:b/>
                <w:sz w:val="20"/>
                <w:szCs w:val="20"/>
              </w:rPr>
            </w:pPr>
            <w:r>
              <w:rPr>
                <w:rFonts w:ascii="Verdana" w:hAnsi="Verdana"/>
                <w:b/>
                <w:sz w:val="20"/>
                <w:szCs w:val="20"/>
              </w:rPr>
              <w:t>% recruited</w:t>
            </w:r>
          </w:p>
        </w:tc>
        <w:tc>
          <w:tcPr>
            <w:tcW w:w="2025" w:type="dxa"/>
            <w:tcBorders>
              <w:bottom w:val="single" w:sz="4" w:space="0" w:color="auto"/>
            </w:tcBorders>
          </w:tcPr>
          <w:p w14:paraId="50E4D6A4" w14:textId="77777777" w:rsidR="00C720CF" w:rsidRDefault="00C720CF" w:rsidP="00C33BBA">
            <w:pPr>
              <w:spacing w:line="480" w:lineRule="auto"/>
              <w:rPr>
                <w:rFonts w:ascii="Verdana" w:hAnsi="Verdana"/>
                <w:b/>
                <w:sz w:val="20"/>
                <w:szCs w:val="20"/>
              </w:rPr>
            </w:pPr>
          </w:p>
        </w:tc>
      </w:tr>
      <w:tr w:rsidR="00257F09" w14:paraId="607A935A" w14:textId="77777777" w:rsidTr="006D6D19">
        <w:tc>
          <w:tcPr>
            <w:tcW w:w="2024" w:type="dxa"/>
            <w:tcBorders>
              <w:top w:val="single" w:sz="4" w:space="0" w:color="auto"/>
            </w:tcBorders>
          </w:tcPr>
          <w:p w14:paraId="2667EFB7" w14:textId="260075B3" w:rsidR="00257F09" w:rsidRPr="000C1798" w:rsidRDefault="00257F09" w:rsidP="00C33BBA">
            <w:pPr>
              <w:spacing w:line="480" w:lineRule="auto"/>
              <w:rPr>
                <w:rFonts w:ascii="Verdana" w:hAnsi="Verdana"/>
                <w:sz w:val="20"/>
                <w:szCs w:val="20"/>
              </w:rPr>
            </w:pPr>
            <w:r w:rsidRPr="000C1798">
              <w:rPr>
                <w:rFonts w:ascii="Verdana" w:hAnsi="Verdana"/>
                <w:sz w:val="20"/>
                <w:szCs w:val="20"/>
              </w:rPr>
              <w:t>1 (</w:t>
            </w:r>
            <w:r w:rsidR="008B5D74">
              <w:rPr>
                <w:rFonts w:ascii="Verdana" w:hAnsi="Verdana"/>
                <w:sz w:val="20"/>
                <w:szCs w:val="20"/>
              </w:rPr>
              <w:t>worst</w:t>
            </w:r>
            <w:r w:rsidRPr="000C1798">
              <w:rPr>
                <w:rFonts w:ascii="Verdana" w:hAnsi="Verdana"/>
                <w:sz w:val="20"/>
                <w:szCs w:val="20"/>
              </w:rPr>
              <w:t>)</w:t>
            </w:r>
          </w:p>
        </w:tc>
        <w:tc>
          <w:tcPr>
            <w:tcW w:w="2025" w:type="dxa"/>
            <w:tcBorders>
              <w:top w:val="single" w:sz="4" w:space="0" w:color="auto"/>
            </w:tcBorders>
          </w:tcPr>
          <w:p w14:paraId="7C641293"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2</w:t>
            </w:r>
          </w:p>
        </w:tc>
        <w:tc>
          <w:tcPr>
            <w:tcW w:w="2025" w:type="dxa"/>
            <w:tcBorders>
              <w:top w:val="single" w:sz="4" w:space="0" w:color="auto"/>
            </w:tcBorders>
            <w:vAlign w:val="bottom"/>
          </w:tcPr>
          <w:p w14:paraId="26297C1A"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77</w:t>
            </w:r>
          </w:p>
        </w:tc>
        <w:tc>
          <w:tcPr>
            <w:tcW w:w="2025" w:type="dxa"/>
            <w:tcBorders>
              <w:top w:val="single" w:sz="4" w:space="0" w:color="auto"/>
            </w:tcBorders>
            <w:vAlign w:val="bottom"/>
          </w:tcPr>
          <w:p w14:paraId="208ABE19"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w:t>
            </w:r>
            <w:r>
              <w:rPr>
                <w:rFonts w:ascii="Verdana" w:hAnsi="Verdana"/>
                <w:sz w:val="20"/>
                <w:szCs w:val="20"/>
              </w:rPr>
              <w:t>,</w:t>
            </w:r>
            <w:r w:rsidRPr="00CC3F2D">
              <w:rPr>
                <w:rFonts w:ascii="Verdana" w:hAnsi="Verdana"/>
                <w:sz w:val="20"/>
                <w:szCs w:val="20"/>
              </w:rPr>
              <w:t>208</w:t>
            </w:r>
          </w:p>
        </w:tc>
        <w:tc>
          <w:tcPr>
            <w:tcW w:w="2025" w:type="dxa"/>
            <w:tcBorders>
              <w:top w:val="single" w:sz="4" w:space="0" w:color="auto"/>
            </w:tcBorders>
            <w:vAlign w:val="bottom"/>
          </w:tcPr>
          <w:p w14:paraId="05AB97F5" w14:textId="6756BB7A" w:rsidR="00257F09" w:rsidRPr="000C1798" w:rsidRDefault="00257F09" w:rsidP="00C33BBA">
            <w:pPr>
              <w:spacing w:line="480" w:lineRule="auto"/>
              <w:rPr>
                <w:rFonts w:ascii="Verdana" w:hAnsi="Verdana"/>
                <w:sz w:val="20"/>
                <w:szCs w:val="20"/>
              </w:rPr>
            </w:pPr>
            <w:r w:rsidRPr="00257F09">
              <w:rPr>
                <w:rFonts w:ascii="Verdana" w:hAnsi="Verdana"/>
                <w:sz w:val="20"/>
                <w:szCs w:val="20"/>
              </w:rPr>
              <w:t>297</w:t>
            </w:r>
          </w:p>
        </w:tc>
        <w:tc>
          <w:tcPr>
            <w:tcW w:w="2025" w:type="dxa"/>
            <w:tcBorders>
              <w:top w:val="single" w:sz="4" w:space="0" w:color="auto"/>
            </w:tcBorders>
            <w:vAlign w:val="bottom"/>
          </w:tcPr>
          <w:p w14:paraId="22F14170"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13.5%</w:t>
            </w:r>
          </w:p>
        </w:tc>
        <w:tc>
          <w:tcPr>
            <w:tcW w:w="2025" w:type="dxa"/>
            <w:tcBorders>
              <w:top w:val="single" w:sz="4" w:space="0" w:color="auto"/>
            </w:tcBorders>
            <w:vAlign w:val="bottom"/>
          </w:tcPr>
          <w:p w14:paraId="1C681857"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3.6%</w:t>
            </w:r>
          </w:p>
        </w:tc>
      </w:tr>
      <w:tr w:rsidR="00257F09" w14:paraId="1FBFC4F5" w14:textId="77777777" w:rsidTr="006D6D19">
        <w:tc>
          <w:tcPr>
            <w:tcW w:w="2024" w:type="dxa"/>
          </w:tcPr>
          <w:p w14:paraId="5973C40D"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2</w:t>
            </w:r>
          </w:p>
        </w:tc>
        <w:tc>
          <w:tcPr>
            <w:tcW w:w="2025" w:type="dxa"/>
          </w:tcPr>
          <w:p w14:paraId="49351731" w14:textId="77777777" w:rsidR="00257F09" w:rsidRPr="000C1798" w:rsidRDefault="00257F09" w:rsidP="00C33BBA">
            <w:pPr>
              <w:spacing w:line="480" w:lineRule="auto"/>
              <w:rPr>
                <w:rFonts w:ascii="Verdana" w:hAnsi="Verdana"/>
                <w:sz w:val="20"/>
                <w:szCs w:val="20"/>
              </w:rPr>
            </w:pPr>
            <w:r>
              <w:rPr>
                <w:rFonts w:ascii="Verdana" w:hAnsi="Verdana"/>
                <w:sz w:val="20"/>
                <w:szCs w:val="20"/>
              </w:rPr>
              <w:t>1</w:t>
            </w:r>
          </w:p>
        </w:tc>
        <w:tc>
          <w:tcPr>
            <w:tcW w:w="2025" w:type="dxa"/>
            <w:vAlign w:val="bottom"/>
          </w:tcPr>
          <w:p w14:paraId="14C77EEE"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47</w:t>
            </w:r>
          </w:p>
        </w:tc>
        <w:tc>
          <w:tcPr>
            <w:tcW w:w="2025" w:type="dxa"/>
            <w:vAlign w:val="bottom"/>
          </w:tcPr>
          <w:p w14:paraId="445D38EB"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w:t>
            </w:r>
            <w:r>
              <w:rPr>
                <w:rFonts w:ascii="Verdana" w:hAnsi="Verdana"/>
                <w:sz w:val="20"/>
                <w:szCs w:val="20"/>
              </w:rPr>
              <w:t>,</w:t>
            </w:r>
            <w:r w:rsidRPr="00CC3F2D">
              <w:rPr>
                <w:rFonts w:ascii="Verdana" w:hAnsi="Verdana"/>
                <w:sz w:val="20"/>
                <w:szCs w:val="20"/>
              </w:rPr>
              <w:t>830</w:t>
            </w:r>
          </w:p>
        </w:tc>
        <w:tc>
          <w:tcPr>
            <w:tcW w:w="2025" w:type="dxa"/>
            <w:vAlign w:val="bottom"/>
          </w:tcPr>
          <w:p w14:paraId="475D5BA6" w14:textId="4986EAAA" w:rsidR="00257F09" w:rsidRPr="000C1798" w:rsidRDefault="00257F09" w:rsidP="00C33BBA">
            <w:pPr>
              <w:spacing w:line="480" w:lineRule="auto"/>
              <w:rPr>
                <w:rFonts w:ascii="Verdana" w:hAnsi="Verdana"/>
                <w:sz w:val="20"/>
                <w:szCs w:val="20"/>
              </w:rPr>
            </w:pPr>
            <w:r w:rsidRPr="00257F09">
              <w:rPr>
                <w:rFonts w:ascii="Verdana" w:hAnsi="Verdana"/>
                <w:sz w:val="20"/>
                <w:szCs w:val="20"/>
              </w:rPr>
              <w:t>322</w:t>
            </w:r>
          </w:p>
        </w:tc>
        <w:tc>
          <w:tcPr>
            <w:tcW w:w="2025" w:type="dxa"/>
            <w:vAlign w:val="bottom"/>
          </w:tcPr>
          <w:p w14:paraId="6391C5B2" w14:textId="4C22BFD3" w:rsidR="00257F09" w:rsidRPr="000C1798" w:rsidRDefault="00257F09" w:rsidP="00C33BBA">
            <w:pPr>
              <w:spacing w:line="480" w:lineRule="auto"/>
              <w:rPr>
                <w:rFonts w:ascii="Verdana" w:hAnsi="Verdana"/>
                <w:sz w:val="20"/>
                <w:szCs w:val="20"/>
              </w:rPr>
            </w:pPr>
            <w:r w:rsidRPr="00CC3F2D">
              <w:rPr>
                <w:rFonts w:ascii="Verdana" w:hAnsi="Verdana"/>
                <w:sz w:val="20"/>
                <w:szCs w:val="20"/>
              </w:rPr>
              <w:t>17.</w:t>
            </w:r>
            <w:r>
              <w:rPr>
                <w:rFonts w:ascii="Verdana" w:hAnsi="Verdana"/>
                <w:sz w:val="20"/>
                <w:szCs w:val="20"/>
              </w:rPr>
              <w:t>6</w:t>
            </w:r>
            <w:r w:rsidRPr="00CC3F2D">
              <w:rPr>
                <w:rFonts w:ascii="Verdana" w:hAnsi="Verdana"/>
                <w:sz w:val="20"/>
                <w:szCs w:val="20"/>
              </w:rPr>
              <w:t>%</w:t>
            </w:r>
          </w:p>
        </w:tc>
        <w:tc>
          <w:tcPr>
            <w:tcW w:w="2025" w:type="dxa"/>
            <w:vAlign w:val="bottom"/>
          </w:tcPr>
          <w:p w14:paraId="6A5A280F"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4.0%</w:t>
            </w:r>
          </w:p>
        </w:tc>
      </w:tr>
      <w:tr w:rsidR="00257F09" w14:paraId="6B1AEBBA" w14:textId="77777777" w:rsidTr="006D6D19">
        <w:tc>
          <w:tcPr>
            <w:tcW w:w="2024" w:type="dxa"/>
          </w:tcPr>
          <w:p w14:paraId="1AF3A800"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3</w:t>
            </w:r>
          </w:p>
        </w:tc>
        <w:tc>
          <w:tcPr>
            <w:tcW w:w="2025" w:type="dxa"/>
          </w:tcPr>
          <w:p w14:paraId="1080B5EF" w14:textId="77777777" w:rsidR="00257F09" w:rsidRPr="000C1798" w:rsidRDefault="00257F09" w:rsidP="00C33BBA">
            <w:pPr>
              <w:spacing w:line="480" w:lineRule="auto"/>
              <w:rPr>
                <w:rFonts w:ascii="Verdana" w:hAnsi="Verdana"/>
                <w:sz w:val="20"/>
                <w:szCs w:val="20"/>
              </w:rPr>
            </w:pPr>
            <w:r>
              <w:rPr>
                <w:rFonts w:ascii="Verdana" w:hAnsi="Verdana"/>
                <w:sz w:val="20"/>
                <w:szCs w:val="20"/>
              </w:rPr>
              <w:t>0</w:t>
            </w:r>
          </w:p>
        </w:tc>
        <w:tc>
          <w:tcPr>
            <w:tcW w:w="2025" w:type="dxa"/>
            <w:vAlign w:val="center"/>
          </w:tcPr>
          <w:p w14:paraId="34D05290"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0</w:t>
            </w:r>
          </w:p>
        </w:tc>
        <w:tc>
          <w:tcPr>
            <w:tcW w:w="2025" w:type="dxa"/>
            <w:vAlign w:val="center"/>
          </w:tcPr>
          <w:p w14:paraId="36FC35C1"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0</w:t>
            </w:r>
          </w:p>
        </w:tc>
        <w:tc>
          <w:tcPr>
            <w:tcW w:w="2025" w:type="dxa"/>
            <w:vAlign w:val="center"/>
          </w:tcPr>
          <w:p w14:paraId="04A705FB" w14:textId="1279729F" w:rsidR="00257F09" w:rsidRPr="000C1798" w:rsidRDefault="00257F09" w:rsidP="00C33BBA">
            <w:pPr>
              <w:spacing w:line="480" w:lineRule="auto"/>
              <w:rPr>
                <w:rFonts w:ascii="Verdana" w:hAnsi="Verdana"/>
                <w:sz w:val="20"/>
                <w:szCs w:val="20"/>
              </w:rPr>
            </w:pPr>
            <w:r w:rsidRPr="00257F09">
              <w:rPr>
                <w:rFonts w:ascii="Verdana" w:hAnsi="Verdana"/>
                <w:sz w:val="20"/>
                <w:szCs w:val="20"/>
              </w:rPr>
              <w:t>0</w:t>
            </w:r>
          </w:p>
        </w:tc>
        <w:tc>
          <w:tcPr>
            <w:tcW w:w="2025" w:type="dxa"/>
            <w:vAlign w:val="bottom"/>
          </w:tcPr>
          <w:p w14:paraId="169D31FF" w14:textId="77777777" w:rsidR="00257F09" w:rsidRPr="000C1798" w:rsidRDefault="00257F09" w:rsidP="00C33BBA">
            <w:pPr>
              <w:spacing w:line="480" w:lineRule="auto"/>
              <w:rPr>
                <w:rFonts w:ascii="Verdana" w:hAnsi="Verdana"/>
                <w:sz w:val="20"/>
                <w:szCs w:val="20"/>
              </w:rPr>
            </w:pPr>
            <w:r>
              <w:rPr>
                <w:rFonts w:ascii="Verdana" w:hAnsi="Verdana"/>
                <w:sz w:val="20"/>
                <w:szCs w:val="20"/>
              </w:rPr>
              <w:t>0%</w:t>
            </w:r>
          </w:p>
        </w:tc>
        <w:tc>
          <w:tcPr>
            <w:tcW w:w="2025" w:type="dxa"/>
            <w:vAlign w:val="bottom"/>
          </w:tcPr>
          <w:p w14:paraId="2793C5E0" w14:textId="77777777" w:rsidR="00257F09" w:rsidRPr="000C1798" w:rsidRDefault="00257F09" w:rsidP="00C33BBA">
            <w:pPr>
              <w:spacing w:line="480" w:lineRule="auto"/>
              <w:rPr>
                <w:rFonts w:ascii="Verdana" w:hAnsi="Verdana"/>
                <w:sz w:val="20"/>
                <w:szCs w:val="20"/>
              </w:rPr>
            </w:pPr>
            <w:r>
              <w:rPr>
                <w:rFonts w:ascii="Verdana" w:hAnsi="Verdana"/>
                <w:sz w:val="20"/>
                <w:szCs w:val="20"/>
              </w:rPr>
              <w:t>0%</w:t>
            </w:r>
          </w:p>
        </w:tc>
      </w:tr>
      <w:tr w:rsidR="00257F09" w14:paraId="69FD95C5" w14:textId="77777777" w:rsidTr="006D6D19">
        <w:tc>
          <w:tcPr>
            <w:tcW w:w="2024" w:type="dxa"/>
          </w:tcPr>
          <w:p w14:paraId="02D2381C"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4</w:t>
            </w:r>
          </w:p>
        </w:tc>
        <w:tc>
          <w:tcPr>
            <w:tcW w:w="2025" w:type="dxa"/>
          </w:tcPr>
          <w:p w14:paraId="55BF2F1C" w14:textId="77777777" w:rsidR="00257F09" w:rsidRPr="000C1798" w:rsidRDefault="00257F09" w:rsidP="00C33BBA">
            <w:pPr>
              <w:spacing w:line="480" w:lineRule="auto"/>
              <w:rPr>
                <w:rFonts w:ascii="Verdana" w:hAnsi="Verdana"/>
                <w:sz w:val="20"/>
                <w:szCs w:val="20"/>
              </w:rPr>
            </w:pPr>
            <w:r>
              <w:rPr>
                <w:rFonts w:ascii="Verdana" w:hAnsi="Verdana"/>
                <w:sz w:val="20"/>
                <w:szCs w:val="20"/>
              </w:rPr>
              <w:t>1</w:t>
            </w:r>
          </w:p>
        </w:tc>
        <w:tc>
          <w:tcPr>
            <w:tcW w:w="2025" w:type="dxa"/>
            <w:vAlign w:val="bottom"/>
          </w:tcPr>
          <w:p w14:paraId="227F3412"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66</w:t>
            </w:r>
          </w:p>
        </w:tc>
        <w:tc>
          <w:tcPr>
            <w:tcW w:w="2025" w:type="dxa"/>
            <w:vAlign w:val="bottom"/>
          </w:tcPr>
          <w:p w14:paraId="04FD5A6E"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w:t>
            </w:r>
            <w:r>
              <w:rPr>
                <w:rFonts w:ascii="Verdana" w:hAnsi="Verdana"/>
                <w:sz w:val="20"/>
                <w:szCs w:val="20"/>
              </w:rPr>
              <w:t>,</w:t>
            </w:r>
            <w:r w:rsidRPr="00CC3F2D">
              <w:rPr>
                <w:rFonts w:ascii="Verdana" w:hAnsi="Verdana"/>
                <w:sz w:val="20"/>
                <w:szCs w:val="20"/>
              </w:rPr>
              <w:t>102</w:t>
            </w:r>
          </w:p>
        </w:tc>
        <w:tc>
          <w:tcPr>
            <w:tcW w:w="2025" w:type="dxa"/>
            <w:vAlign w:val="bottom"/>
          </w:tcPr>
          <w:p w14:paraId="0682D0CE" w14:textId="1D4DF2CC" w:rsidR="00257F09" w:rsidRPr="000C1798" w:rsidRDefault="00257F09" w:rsidP="00C33BBA">
            <w:pPr>
              <w:spacing w:line="480" w:lineRule="auto"/>
              <w:rPr>
                <w:rFonts w:ascii="Verdana" w:hAnsi="Verdana"/>
                <w:sz w:val="20"/>
                <w:szCs w:val="20"/>
              </w:rPr>
            </w:pPr>
            <w:r w:rsidRPr="00257F09">
              <w:rPr>
                <w:rFonts w:ascii="Verdana" w:hAnsi="Verdana"/>
                <w:sz w:val="20"/>
                <w:szCs w:val="20"/>
              </w:rPr>
              <w:t>265</w:t>
            </w:r>
          </w:p>
        </w:tc>
        <w:tc>
          <w:tcPr>
            <w:tcW w:w="2025" w:type="dxa"/>
            <w:vAlign w:val="bottom"/>
          </w:tcPr>
          <w:p w14:paraId="63913411"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24.0%</w:t>
            </w:r>
          </w:p>
        </w:tc>
        <w:tc>
          <w:tcPr>
            <w:tcW w:w="2025" w:type="dxa"/>
            <w:vAlign w:val="bottom"/>
          </w:tcPr>
          <w:p w14:paraId="54876A15"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3.3%</w:t>
            </w:r>
          </w:p>
        </w:tc>
      </w:tr>
      <w:tr w:rsidR="00257F09" w14:paraId="50C5B41B" w14:textId="77777777" w:rsidTr="006D6D19">
        <w:tc>
          <w:tcPr>
            <w:tcW w:w="2024" w:type="dxa"/>
          </w:tcPr>
          <w:p w14:paraId="4067A738"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5</w:t>
            </w:r>
          </w:p>
        </w:tc>
        <w:tc>
          <w:tcPr>
            <w:tcW w:w="2025" w:type="dxa"/>
          </w:tcPr>
          <w:p w14:paraId="6386E476" w14:textId="77777777" w:rsidR="00257F09" w:rsidRPr="000C1798" w:rsidRDefault="00257F09" w:rsidP="00C33BBA">
            <w:pPr>
              <w:spacing w:line="480" w:lineRule="auto"/>
              <w:rPr>
                <w:rFonts w:ascii="Verdana" w:hAnsi="Verdana"/>
                <w:sz w:val="20"/>
                <w:szCs w:val="20"/>
              </w:rPr>
            </w:pPr>
            <w:r>
              <w:rPr>
                <w:rFonts w:ascii="Verdana" w:hAnsi="Verdana"/>
                <w:sz w:val="20"/>
                <w:szCs w:val="20"/>
              </w:rPr>
              <w:t>4</w:t>
            </w:r>
          </w:p>
        </w:tc>
        <w:tc>
          <w:tcPr>
            <w:tcW w:w="2025" w:type="dxa"/>
            <w:vAlign w:val="bottom"/>
          </w:tcPr>
          <w:p w14:paraId="48F769E5"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81</w:t>
            </w:r>
          </w:p>
        </w:tc>
        <w:tc>
          <w:tcPr>
            <w:tcW w:w="2025" w:type="dxa"/>
            <w:vAlign w:val="bottom"/>
          </w:tcPr>
          <w:p w14:paraId="56A646AA"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3</w:t>
            </w:r>
            <w:r>
              <w:rPr>
                <w:rFonts w:ascii="Verdana" w:hAnsi="Verdana"/>
                <w:sz w:val="20"/>
                <w:szCs w:val="20"/>
              </w:rPr>
              <w:t>,</w:t>
            </w:r>
            <w:r w:rsidRPr="00CC3F2D">
              <w:rPr>
                <w:rFonts w:ascii="Verdana" w:hAnsi="Verdana"/>
                <w:sz w:val="20"/>
                <w:szCs w:val="20"/>
              </w:rPr>
              <w:t>944</w:t>
            </w:r>
          </w:p>
        </w:tc>
        <w:tc>
          <w:tcPr>
            <w:tcW w:w="2025" w:type="dxa"/>
            <w:vAlign w:val="bottom"/>
          </w:tcPr>
          <w:p w14:paraId="43F1C4BE" w14:textId="05CD72F0" w:rsidR="00257F09" w:rsidRPr="000C1798" w:rsidRDefault="00257F09" w:rsidP="00C33BBA">
            <w:pPr>
              <w:spacing w:line="480" w:lineRule="auto"/>
              <w:rPr>
                <w:rFonts w:ascii="Verdana" w:hAnsi="Verdana"/>
                <w:sz w:val="20"/>
                <w:szCs w:val="20"/>
              </w:rPr>
            </w:pPr>
            <w:r w:rsidRPr="00257F09">
              <w:rPr>
                <w:rFonts w:ascii="Verdana" w:hAnsi="Verdana"/>
                <w:sz w:val="20"/>
                <w:szCs w:val="20"/>
              </w:rPr>
              <w:t>673</w:t>
            </w:r>
          </w:p>
        </w:tc>
        <w:tc>
          <w:tcPr>
            <w:tcW w:w="2025" w:type="dxa"/>
            <w:vAlign w:val="bottom"/>
          </w:tcPr>
          <w:p w14:paraId="2D1596D3"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17.1%</w:t>
            </w:r>
          </w:p>
        </w:tc>
        <w:tc>
          <w:tcPr>
            <w:tcW w:w="2025" w:type="dxa"/>
            <w:vAlign w:val="bottom"/>
          </w:tcPr>
          <w:p w14:paraId="3047E269"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8.3%</w:t>
            </w:r>
          </w:p>
        </w:tc>
      </w:tr>
      <w:tr w:rsidR="00257F09" w14:paraId="756C70C9" w14:textId="77777777" w:rsidTr="006D6D19">
        <w:tc>
          <w:tcPr>
            <w:tcW w:w="2024" w:type="dxa"/>
          </w:tcPr>
          <w:p w14:paraId="4B9B411B"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6</w:t>
            </w:r>
          </w:p>
        </w:tc>
        <w:tc>
          <w:tcPr>
            <w:tcW w:w="2025" w:type="dxa"/>
          </w:tcPr>
          <w:p w14:paraId="1E1D85B9" w14:textId="77777777" w:rsidR="00257F09" w:rsidRPr="000C1798" w:rsidRDefault="00257F09" w:rsidP="00C33BBA">
            <w:pPr>
              <w:spacing w:line="480" w:lineRule="auto"/>
              <w:rPr>
                <w:rFonts w:ascii="Verdana" w:hAnsi="Verdana"/>
                <w:sz w:val="20"/>
                <w:szCs w:val="20"/>
              </w:rPr>
            </w:pPr>
            <w:r>
              <w:rPr>
                <w:rFonts w:ascii="Verdana" w:hAnsi="Verdana"/>
                <w:sz w:val="20"/>
                <w:szCs w:val="20"/>
              </w:rPr>
              <w:t>5</w:t>
            </w:r>
          </w:p>
        </w:tc>
        <w:tc>
          <w:tcPr>
            <w:tcW w:w="2025" w:type="dxa"/>
            <w:vAlign w:val="bottom"/>
          </w:tcPr>
          <w:p w14:paraId="6D9FC6AC"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389</w:t>
            </w:r>
          </w:p>
        </w:tc>
        <w:tc>
          <w:tcPr>
            <w:tcW w:w="2025" w:type="dxa"/>
            <w:vAlign w:val="bottom"/>
          </w:tcPr>
          <w:p w14:paraId="2595A4BB"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11</w:t>
            </w:r>
            <w:r>
              <w:rPr>
                <w:rFonts w:ascii="Verdana" w:hAnsi="Verdana"/>
                <w:sz w:val="20"/>
                <w:szCs w:val="20"/>
              </w:rPr>
              <w:t>,</w:t>
            </w:r>
            <w:r w:rsidRPr="00CC3F2D">
              <w:rPr>
                <w:rFonts w:ascii="Verdana" w:hAnsi="Verdana"/>
                <w:sz w:val="20"/>
                <w:szCs w:val="20"/>
              </w:rPr>
              <w:t>940</w:t>
            </w:r>
          </w:p>
        </w:tc>
        <w:tc>
          <w:tcPr>
            <w:tcW w:w="2025" w:type="dxa"/>
            <w:vAlign w:val="bottom"/>
          </w:tcPr>
          <w:p w14:paraId="78DD5127" w14:textId="16843740" w:rsidR="00257F09" w:rsidRPr="000C1798" w:rsidRDefault="00257F09" w:rsidP="00C33BBA">
            <w:pPr>
              <w:spacing w:line="480" w:lineRule="auto"/>
              <w:rPr>
                <w:rFonts w:ascii="Verdana" w:hAnsi="Verdana"/>
                <w:sz w:val="20"/>
                <w:szCs w:val="20"/>
              </w:rPr>
            </w:pPr>
            <w:r w:rsidRPr="00257F09">
              <w:rPr>
                <w:rFonts w:ascii="Verdana" w:hAnsi="Verdana"/>
                <w:sz w:val="20"/>
                <w:szCs w:val="20"/>
              </w:rPr>
              <w:t>2</w:t>
            </w:r>
            <w:r>
              <w:rPr>
                <w:rFonts w:ascii="Verdana" w:hAnsi="Verdana"/>
                <w:sz w:val="20"/>
                <w:szCs w:val="20"/>
              </w:rPr>
              <w:t>,</w:t>
            </w:r>
            <w:r w:rsidRPr="00257F09">
              <w:rPr>
                <w:rFonts w:ascii="Verdana" w:hAnsi="Verdana"/>
                <w:sz w:val="20"/>
                <w:szCs w:val="20"/>
              </w:rPr>
              <w:t>432</w:t>
            </w:r>
          </w:p>
        </w:tc>
        <w:tc>
          <w:tcPr>
            <w:tcW w:w="2025" w:type="dxa"/>
            <w:vAlign w:val="bottom"/>
          </w:tcPr>
          <w:p w14:paraId="5D7F4059"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20.4%</w:t>
            </w:r>
          </w:p>
        </w:tc>
        <w:tc>
          <w:tcPr>
            <w:tcW w:w="2025" w:type="dxa"/>
            <w:vAlign w:val="bottom"/>
          </w:tcPr>
          <w:p w14:paraId="75D487D8"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29.9%</w:t>
            </w:r>
          </w:p>
        </w:tc>
      </w:tr>
      <w:tr w:rsidR="00257F09" w14:paraId="56BC608B" w14:textId="77777777" w:rsidTr="006D6D19">
        <w:tc>
          <w:tcPr>
            <w:tcW w:w="2024" w:type="dxa"/>
          </w:tcPr>
          <w:p w14:paraId="5C2FD0DE"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7</w:t>
            </w:r>
          </w:p>
        </w:tc>
        <w:tc>
          <w:tcPr>
            <w:tcW w:w="2025" w:type="dxa"/>
          </w:tcPr>
          <w:p w14:paraId="316CCC9C" w14:textId="77777777" w:rsidR="00257F09" w:rsidRPr="000C1798" w:rsidRDefault="00257F09" w:rsidP="00C33BBA">
            <w:pPr>
              <w:spacing w:line="480" w:lineRule="auto"/>
              <w:rPr>
                <w:rFonts w:ascii="Verdana" w:hAnsi="Verdana"/>
                <w:sz w:val="20"/>
                <w:szCs w:val="20"/>
              </w:rPr>
            </w:pPr>
            <w:r>
              <w:rPr>
                <w:rFonts w:ascii="Verdana" w:hAnsi="Verdana"/>
                <w:sz w:val="20"/>
                <w:szCs w:val="20"/>
              </w:rPr>
              <w:t>3</w:t>
            </w:r>
          </w:p>
        </w:tc>
        <w:tc>
          <w:tcPr>
            <w:tcW w:w="2025" w:type="dxa"/>
            <w:vAlign w:val="bottom"/>
          </w:tcPr>
          <w:p w14:paraId="35F24F18"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98</w:t>
            </w:r>
          </w:p>
        </w:tc>
        <w:tc>
          <w:tcPr>
            <w:tcW w:w="2025" w:type="dxa"/>
            <w:vAlign w:val="bottom"/>
          </w:tcPr>
          <w:p w14:paraId="2BD11E11"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6</w:t>
            </w:r>
            <w:r>
              <w:rPr>
                <w:rFonts w:ascii="Verdana" w:hAnsi="Verdana"/>
                <w:sz w:val="20"/>
                <w:szCs w:val="20"/>
              </w:rPr>
              <w:t>,</w:t>
            </w:r>
            <w:r w:rsidRPr="00CC3F2D">
              <w:rPr>
                <w:rFonts w:ascii="Verdana" w:hAnsi="Verdana"/>
                <w:sz w:val="20"/>
                <w:szCs w:val="20"/>
              </w:rPr>
              <w:t>080</w:t>
            </w:r>
          </w:p>
        </w:tc>
        <w:tc>
          <w:tcPr>
            <w:tcW w:w="2025" w:type="dxa"/>
            <w:vAlign w:val="bottom"/>
          </w:tcPr>
          <w:p w14:paraId="107B3D8F" w14:textId="69485AC7" w:rsidR="00257F09" w:rsidRPr="000C1798" w:rsidRDefault="00257F09" w:rsidP="00C33BBA">
            <w:pPr>
              <w:spacing w:line="480" w:lineRule="auto"/>
              <w:rPr>
                <w:rFonts w:ascii="Verdana" w:hAnsi="Verdana"/>
                <w:sz w:val="20"/>
                <w:szCs w:val="20"/>
              </w:rPr>
            </w:pPr>
            <w:r w:rsidRPr="00257F09">
              <w:rPr>
                <w:rFonts w:ascii="Verdana" w:hAnsi="Verdana"/>
                <w:sz w:val="20"/>
                <w:szCs w:val="20"/>
              </w:rPr>
              <w:t>1</w:t>
            </w:r>
            <w:r>
              <w:rPr>
                <w:rFonts w:ascii="Verdana" w:hAnsi="Verdana"/>
                <w:sz w:val="20"/>
                <w:szCs w:val="20"/>
              </w:rPr>
              <w:t>,</w:t>
            </w:r>
            <w:r w:rsidRPr="00257F09">
              <w:rPr>
                <w:rFonts w:ascii="Verdana" w:hAnsi="Verdana"/>
                <w:sz w:val="20"/>
                <w:szCs w:val="20"/>
              </w:rPr>
              <w:t>334</w:t>
            </w:r>
          </w:p>
        </w:tc>
        <w:tc>
          <w:tcPr>
            <w:tcW w:w="2025" w:type="dxa"/>
            <w:vAlign w:val="bottom"/>
          </w:tcPr>
          <w:p w14:paraId="62F54015" w14:textId="7271684F" w:rsidR="00257F09" w:rsidRPr="000C1798" w:rsidRDefault="00257F09" w:rsidP="00C33BBA">
            <w:pPr>
              <w:spacing w:line="480" w:lineRule="auto"/>
              <w:rPr>
                <w:rFonts w:ascii="Verdana" w:hAnsi="Verdana"/>
                <w:sz w:val="20"/>
                <w:szCs w:val="20"/>
              </w:rPr>
            </w:pPr>
            <w:r>
              <w:rPr>
                <w:rFonts w:ascii="Verdana" w:hAnsi="Verdana"/>
                <w:sz w:val="20"/>
                <w:szCs w:val="20"/>
              </w:rPr>
              <w:t>21.9</w:t>
            </w:r>
            <w:r w:rsidRPr="00CC3F2D">
              <w:rPr>
                <w:rFonts w:ascii="Verdana" w:hAnsi="Verdana"/>
                <w:sz w:val="20"/>
                <w:szCs w:val="20"/>
              </w:rPr>
              <w:t>%</w:t>
            </w:r>
          </w:p>
        </w:tc>
        <w:tc>
          <w:tcPr>
            <w:tcW w:w="2025" w:type="dxa"/>
            <w:vAlign w:val="bottom"/>
          </w:tcPr>
          <w:p w14:paraId="75A85B1D"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16.4%</w:t>
            </w:r>
          </w:p>
        </w:tc>
      </w:tr>
      <w:tr w:rsidR="00257F09" w14:paraId="0DFDFA9F" w14:textId="77777777" w:rsidTr="006D6D19">
        <w:tc>
          <w:tcPr>
            <w:tcW w:w="2024" w:type="dxa"/>
          </w:tcPr>
          <w:p w14:paraId="13D09BD3"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8</w:t>
            </w:r>
          </w:p>
        </w:tc>
        <w:tc>
          <w:tcPr>
            <w:tcW w:w="2025" w:type="dxa"/>
          </w:tcPr>
          <w:p w14:paraId="44F6B3A3" w14:textId="77777777" w:rsidR="00257F09" w:rsidRPr="000C1798" w:rsidRDefault="00257F09" w:rsidP="00C33BBA">
            <w:pPr>
              <w:spacing w:line="480" w:lineRule="auto"/>
              <w:rPr>
                <w:rFonts w:ascii="Verdana" w:hAnsi="Verdana"/>
                <w:sz w:val="20"/>
                <w:szCs w:val="20"/>
              </w:rPr>
            </w:pPr>
            <w:r>
              <w:rPr>
                <w:rFonts w:ascii="Verdana" w:hAnsi="Verdana"/>
                <w:sz w:val="20"/>
                <w:szCs w:val="20"/>
              </w:rPr>
              <w:t>4</w:t>
            </w:r>
          </w:p>
        </w:tc>
        <w:tc>
          <w:tcPr>
            <w:tcW w:w="2025" w:type="dxa"/>
            <w:vAlign w:val="bottom"/>
          </w:tcPr>
          <w:p w14:paraId="475640B7"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117</w:t>
            </w:r>
          </w:p>
        </w:tc>
        <w:tc>
          <w:tcPr>
            <w:tcW w:w="2025" w:type="dxa"/>
            <w:vAlign w:val="bottom"/>
          </w:tcPr>
          <w:p w14:paraId="52FD97C7"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4</w:t>
            </w:r>
            <w:r>
              <w:rPr>
                <w:rFonts w:ascii="Verdana" w:hAnsi="Verdana"/>
                <w:sz w:val="20"/>
                <w:szCs w:val="20"/>
              </w:rPr>
              <w:t>,</w:t>
            </w:r>
            <w:r w:rsidRPr="00CC3F2D">
              <w:rPr>
                <w:rFonts w:ascii="Verdana" w:hAnsi="Verdana"/>
                <w:sz w:val="20"/>
                <w:szCs w:val="20"/>
              </w:rPr>
              <w:t>761</w:t>
            </w:r>
          </w:p>
        </w:tc>
        <w:tc>
          <w:tcPr>
            <w:tcW w:w="2025" w:type="dxa"/>
            <w:vAlign w:val="bottom"/>
          </w:tcPr>
          <w:p w14:paraId="65B48B53" w14:textId="17CF7DE8" w:rsidR="00257F09" w:rsidRPr="000C1798" w:rsidRDefault="00257F09" w:rsidP="00C33BBA">
            <w:pPr>
              <w:spacing w:line="480" w:lineRule="auto"/>
              <w:rPr>
                <w:rFonts w:ascii="Verdana" w:hAnsi="Verdana"/>
                <w:sz w:val="20"/>
                <w:szCs w:val="20"/>
              </w:rPr>
            </w:pPr>
            <w:r w:rsidRPr="00257F09">
              <w:rPr>
                <w:rFonts w:ascii="Verdana" w:hAnsi="Verdana"/>
                <w:sz w:val="20"/>
                <w:szCs w:val="20"/>
              </w:rPr>
              <w:t>1</w:t>
            </w:r>
            <w:r>
              <w:rPr>
                <w:rFonts w:ascii="Verdana" w:hAnsi="Verdana"/>
                <w:sz w:val="20"/>
                <w:szCs w:val="20"/>
              </w:rPr>
              <w:t>,</w:t>
            </w:r>
            <w:r w:rsidRPr="00257F09">
              <w:rPr>
                <w:rFonts w:ascii="Verdana" w:hAnsi="Verdana"/>
                <w:sz w:val="20"/>
                <w:szCs w:val="20"/>
              </w:rPr>
              <w:t>136</w:t>
            </w:r>
          </w:p>
        </w:tc>
        <w:tc>
          <w:tcPr>
            <w:tcW w:w="2025" w:type="dxa"/>
            <w:vAlign w:val="bottom"/>
          </w:tcPr>
          <w:p w14:paraId="5A51EDC8"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23.9%</w:t>
            </w:r>
          </w:p>
        </w:tc>
        <w:tc>
          <w:tcPr>
            <w:tcW w:w="2025" w:type="dxa"/>
            <w:vAlign w:val="bottom"/>
          </w:tcPr>
          <w:p w14:paraId="141BEA73"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14.0%</w:t>
            </w:r>
          </w:p>
        </w:tc>
      </w:tr>
      <w:tr w:rsidR="00257F09" w14:paraId="0A58D44F" w14:textId="77777777" w:rsidTr="006D6D19">
        <w:tc>
          <w:tcPr>
            <w:tcW w:w="2024" w:type="dxa"/>
          </w:tcPr>
          <w:p w14:paraId="63846C1E" w14:textId="77777777" w:rsidR="00257F09" w:rsidRPr="000C1798" w:rsidRDefault="00257F09" w:rsidP="00C33BBA">
            <w:pPr>
              <w:spacing w:line="480" w:lineRule="auto"/>
              <w:rPr>
                <w:rFonts w:ascii="Verdana" w:hAnsi="Verdana"/>
                <w:sz w:val="20"/>
                <w:szCs w:val="20"/>
              </w:rPr>
            </w:pPr>
            <w:r w:rsidRPr="000C1798">
              <w:rPr>
                <w:rFonts w:ascii="Verdana" w:hAnsi="Verdana"/>
                <w:sz w:val="20"/>
                <w:szCs w:val="20"/>
              </w:rPr>
              <w:t>9</w:t>
            </w:r>
          </w:p>
        </w:tc>
        <w:tc>
          <w:tcPr>
            <w:tcW w:w="2025" w:type="dxa"/>
          </w:tcPr>
          <w:p w14:paraId="6A34AA3D" w14:textId="77777777" w:rsidR="00257F09" w:rsidRPr="000C1798" w:rsidRDefault="00257F09" w:rsidP="00C33BBA">
            <w:pPr>
              <w:spacing w:line="480" w:lineRule="auto"/>
              <w:rPr>
                <w:rFonts w:ascii="Verdana" w:hAnsi="Verdana"/>
                <w:sz w:val="20"/>
                <w:szCs w:val="20"/>
              </w:rPr>
            </w:pPr>
            <w:r>
              <w:rPr>
                <w:rFonts w:ascii="Verdana" w:hAnsi="Verdana"/>
                <w:sz w:val="20"/>
                <w:szCs w:val="20"/>
              </w:rPr>
              <w:t>3</w:t>
            </w:r>
          </w:p>
        </w:tc>
        <w:tc>
          <w:tcPr>
            <w:tcW w:w="2025" w:type="dxa"/>
            <w:vAlign w:val="bottom"/>
          </w:tcPr>
          <w:p w14:paraId="0173E338"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89</w:t>
            </w:r>
          </w:p>
        </w:tc>
        <w:tc>
          <w:tcPr>
            <w:tcW w:w="2025" w:type="dxa"/>
            <w:vAlign w:val="bottom"/>
          </w:tcPr>
          <w:p w14:paraId="55E094E3"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4</w:t>
            </w:r>
            <w:r>
              <w:rPr>
                <w:rFonts w:ascii="Verdana" w:hAnsi="Verdana"/>
                <w:sz w:val="20"/>
                <w:szCs w:val="20"/>
              </w:rPr>
              <w:t>,</w:t>
            </w:r>
            <w:r w:rsidRPr="00CC3F2D">
              <w:rPr>
                <w:rFonts w:ascii="Verdana" w:hAnsi="Verdana"/>
                <w:sz w:val="20"/>
                <w:szCs w:val="20"/>
              </w:rPr>
              <w:t>879</w:t>
            </w:r>
          </w:p>
        </w:tc>
        <w:tc>
          <w:tcPr>
            <w:tcW w:w="2025" w:type="dxa"/>
            <w:vAlign w:val="bottom"/>
          </w:tcPr>
          <w:p w14:paraId="23BCB57D" w14:textId="0E1DD931" w:rsidR="00257F09" w:rsidRPr="000C1798" w:rsidRDefault="00257F09" w:rsidP="00C33BBA">
            <w:pPr>
              <w:spacing w:line="480" w:lineRule="auto"/>
              <w:rPr>
                <w:rFonts w:ascii="Verdana" w:hAnsi="Verdana"/>
                <w:sz w:val="20"/>
                <w:szCs w:val="20"/>
              </w:rPr>
            </w:pPr>
            <w:r w:rsidRPr="00257F09">
              <w:rPr>
                <w:rFonts w:ascii="Verdana" w:hAnsi="Verdana"/>
                <w:sz w:val="20"/>
                <w:szCs w:val="20"/>
              </w:rPr>
              <w:t>1</w:t>
            </w:r>
            <w:r>
              <w:rPr>
                <w:rFonts w:ascii="Verdana" w:hAnsi="Verdana"/>
                <w:sz w:val="20"/>
                <w:szCs w:val="20"/>
              </w:rPr>
              <w:t>,</w:t>
            </w:r>
            <w:r w:rsidRPr="00257F09">
              <w:rPr>
                <w:rFonts w:ascii="Verdana" w:hAnsi="Verdana"/>
                <w:sz w:val="20"/>
                <w:szCs w:val="20"/>
              </w:rPr>
              <w:t>112</w:t>
            </w:r>
          </w:p>
        </w:tc>
        <w:tc>
          <w:tcPr>
            <w:tcW w:w="2025" w:type="dxa"/>
            <w:vAlign w:val="bottom"/>
          </w:tcPr>
          <w:p w14:paraId="198B465E"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22.8%</w:t>
            </w:r>
          </w:p>
        </w:tc>
        <w:tc>
          <w:tcPr>
            <w:tcW w:w="2025" w:type="dxa"/>
            <w:vAlign w:val="bottom"/>
          </w:tcPr>
          <w:p w14:paraId="0F174258"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13.7%</w:t>
            </w:r>
          </w:p>
        </w:tc>
      </w:tr>
      <w:tr w:rsidR="00257F09" w14:paraId="1922B5CA" w14:textId="77777777" w:rsidTr="006D6D19">
        <w:tc>
          <w:tcPr>
            <w:tcW w:w="2024" w:type="dxa"/>
            <w:tcBorders>
              <w:bottom w:val="single" w:sz="4" w:space="0" w:color="auto"/>
            </w:tcBorders>
          </w:tcPr>
          <w:p w14:paraId="0CD57FDE" w14:textId="60CA65F3" w:rsidR="00257F09" w:rsidRPr="000C1798" w:rsidRDefault="00257F09" w:rsidP="00C33BBA">
            <w:pPr>
              <w:spacing w:line="480" w:lineRule="auto"/>
              <w:rPr>
                <w:rFonts w:ascii="Verdana" w:hAnsi="Verdana"/>
                <w:sz w:val="20"/>
                <w:szCs w:val="20"/>
              </w:rPr>
            </w:pPr>
            <w:r w:rsidRPr="000C1798">
              <w:rPr>
                <w:rFonts w:ascii="Verdana" w:hAnsi="Verdana"/>
                <w:sz w:val="20"/>
                <w:szCs w:val="20"/>
              </w:rPr>
              <w:t>10</w:t>
            </w:r>
            <w:r>
              <w:rPr>
                <w:rFonts w:ascii="Verdana" w:hAnsi="Verdana"/>
                <w:sz w:val="20"/>
                <w:szCs w:val="20"/>
              </w:rPr>
              <w:t xml:space="preserve"> (</w:t>
            </w:r>
            <w:r w:rsidR="008B5D74">
              <w:rPr>
                <w:rFonts w:ascii="Verdana" w:hAnsi="Verdana"/>
                <w:sz w:val="20"/>
                <w:szCs w:val="20"/>
              </w:rPr>
              <w:t>best</w:t>
            </w:r>
            <w:r>
              <w:rPr>
                <w:rFonts w:ascii="Verdana" w:hAnsi="Verdana"/>
                <w:sz w:val="20"/>
                <w:szCs w:val="20"/>
              </w:rPr>
              <w:t>)</w:t>
            </w:r>
          </w:p>
        </w:tc>
        <w:tc>
          <w:tcPr>
            <w:tcW w:w="2025" w:type="dxa"/>
            <w:tcBorders>
              <w:bottom w:val="single" w:sz="4" w:space="0" w:color="auto"/>
            </w:tcBorders>
          </w:tcPr>
          <w:p w14:paraId="75971EB8" w14:textId="77777777" w:rsidR="00257F09" w:rsidRPr="000C1798" w:rsidRDefault="00257F09" w:rsidP="00C33BBA">
            <w:pPr>
              <w:spacing w:line="480" w:lineRule="auto"/>
              <w:rPr>
                <w:rFonts w:ascii="Verdana" w:hAnsi="Verdana"/>
                <w:sz w:val="20"/>
                <w:szCs w:val="20"/>
              </w:rPr>
            </w:pPr>
            <w:r>
              <w:rPr>
                <w:rFonts w:ascii="Verdana" w:hAnsi="Verdana"/>
                <w:sz w:val="20"/>
                <w:szCs w:val="20"/>
              </w:rPr>
              <w:t>1</w:t>
            </w:r>
          </w:p>
        </w:tc>
        <w:tc>
          <w:tcPr>
            <w:tcW w:w="2025" w:type="dxa"/>
            <w:tcBorders>
              <w:bottom w:val="single" w:sz="4" w:space="0" w:color="auto"/>
            </w:tcBorders>
            <w:vAlign w:val="bottom"/>
          </w:tcPr>
          <w:p w14:paraId="41826617"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33</w:t>
            </w:r>
          </w:p>
        </w:tc>
        <w:tc>
          <w:tcPr>
            <w:tcW w:w="2025" w:type="dxa"/>
            <w:tcBorders>
              <w:bottom w:val="single" w:sz="4" w:space="0" w:color="auto"/>
            </w:tcBorders>
            <w:vAlign w:val="bottom"/>
          </w:tcPr>
          <w:p w14:paraId="429353C0"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w:t>
            </w:r>
            <w:r>
              <w:rPr>
                <w:rFonts w:ascii="Verdana" w:hAnsi="Verdana"/>
                <w:sz w:val="20"/>
                <w:szCs w:val="20"/>
              </w:rPr>
              <w:t>,</w:t>
            </w:r>
            <w:r w:rsidRPr="00CC3F2D">
              <w:rPr>
                <w:rFonts w:ascii="Verdana" w:hAnsi="Verdana"/>
                <w:sz w:val="20"/>
                <w:szCs w:val="20"/>
              </w:rPr>
              <w:t>615</w:t>
            </w:r>
          </w:p>
        </w:tc>
        <w:tc>
          <w:tcPr>
            <w:tcW w:w="2025" w:type="dxa"/>
            <w:tcBorders>
              <w:bottom w:val="single" w:sz="4" w:space="0" w:color="auto"/>
            </w:tcBorders>
            <w:vAlign w:val="bottom"/>
          </w:tcPr>
          <w:p w14:paraId="2900CCF6" w14:textId="4EDF9B99" w:rsidR="00257F09" w:rsidRPr="000C1798" w:rsidRDefault="00257F09" w:rsidP="00C33BBA">
            <w:pPr>
              <w:spacing w:line="480" w:lineRule="auto"/>
              <w:rPr>
                <w:rFonts w:ascii="Verdana" w:hAnsi="Verdana"/>
                <w:sz w:val="20"/>
                <w:szCs w:val="20"/>
              </w:rPr>
            </w:pPr>
            <w:r w:rsidRPr="00257F09">
              <w:rPr>
                <w:rFonts w:ascii="Verdana" w:hAnsi="Verdana"/>
                <w:sz w:val="20"/>
                <w:szCs w:val="20"/>
              </w:rPr>
              <w:t>563</w:t>
            </w:r>
          </w:p>
        </w:tc>
        <w:tc>
          <w:tcPr>
            <w:tcW w:w="2025" w:type="dxa"/>
            <w:tcBorders>
              <w:bottom w:val="single" w:sz="4" w:space="0" w:color="auto"/>
            </w:tcBorders>
            <w:vAlign w:val="bottom"/>
          </w:tcPr>
          <w:p w14:paraId="1EC3B589"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21.5%</w:t>
            </w:r>
          </w:p>
        </w:tc>
        <w:tc>
          <w:tcPr>
            <w:tcW w:w="2025" w:type="dxa"/>
            <w:tcBorders>
              <w:bottom w:val="single" w:sz="4" w:space="0" w:color="auto"/>
            </w:tcBorders>
            <w:vAlign w:val="bottom"/>
          </w:tcPr>
          <w:p w14:paraId="55181D23" w14:textId="77777777" w:rsidR="00257F09" w:rsidRPr="000C1798" w:rsidRDefault="00257F09" w:rsidP="00C33BBA">
            <w:pPr>
              <w:spacing w:line="480" w:lineRule="auto"/>
              <w:rPr>
                <w:rFonts w:ascii="Verdana" w:hAnsi="Verdana"/>
                <w:sz w:val="20"/>
                <w:szCs w:val="20"/>
              </w:rPr>
            </w:pPr>
            <w:r w:rsidRPr="00CC3F2D">
              <w:rPr>
                <w:rFonts w:ascii="Verdana" w:hAnsi="Verdana"/>
                <w:sz w:val="20"/>
                <w:szCs w:val="20"/>
              </w:rPr>
              <w:t>6.9%</w:t>
            </w:r>
          </w:p>
        </w:tc>
      </w:tr>
      <w:tr w:rsidR="00C720CF" w14:paraId="037A8C26" w14:textId="77777777" w:rsidTr="006D6D19">
        <w:tc>
          <w:tcPr>
            <w:tcW w:w="2024" w:type="dxa"/>
            <w:tcBorders>
              <w:top w:val="single" w:sz="4" w:space="0" w:color="auto"/>
              <w:bottom w:val="single" w:sz="4" w:space="0" w:color="auto"/>
            </w:tcBorders>
          </w:tcPr>
          <w:p w14:paraId="63A4B357" w14:textId="77777777" w:rsidR="00C720CF" w:rsidRPr="000C1798" w:rsidRDefault="00C720CF" w:rsidP="00C33BBA">
            <w:pPr>
              <w:spacing w:line="480" w:lineRule="auto"/>
              <w:rPr>
                <w:rFonts w:ascii="Verdana" w:hAnsi="Verdana"/>
                <w:sz w:val="20"/>
                <w:szCs w:val="20"/>
              </w:rPr>
            </w:pPr>
            <w:r w:rsidRPr="000C1798">
              <w:rPr>
                <w:rFonts w:ascii="Verdana" w:hAnsi="Verdana"/>
                <w:sz w:val="20"/>
                <w:szCs w:val="20"/>
              </w:rPr>
              <w:t>All</w:t>
            </w:r>
          </w:p>
        </w:tc>
        <w:tc>
          <w:tcPr>
            <w:tcW w:w="2025" w:type="dxa"/>
            <w:tcBorders>
              <w:top w:val="single" w:sz="4" w:space="0" w:color="auto"/>
              <w:bottom w:val="single" w:sz="4" w:space="0" w:color="auto"/>
            </w:tcBorders>
          </w:tcPr>
          <w:p w14:paraId="4080E9D8" w14:textId="77777777" w:rsidR="00C720CF" w:rsidRPr="000C1798" w:rsidRDefault="00C720CF" w:rsidP="00C33BBA">
            <w:pPr>
              <w:spacing w:line="480" w:lineRule="auto"/>
              <w:rPr>
                <w:rFonts w:ascii="Verdana" w:hAnsi="Verdana"/>
                <w:sz w:val="20"/>
                <w:szCs w:val="20"/>
              </w:rPr>
            </w:pPr>
            <w:r>
              <w:rPr>
                <w:rFonts w:ascii="Verdana" w:hAnsi="Verdana"/>
                <w:sz w:val="20"/>
                <w:szCs w:val="20"/>
              </w:rPr>
              <w:t>24</w:t>
            </w:r>
          </w:p>
        </w:tc>
        <w:tc>
          <w:tcPr>
            <w:tcW w:w="2025" w:type="dxa"/>
            <w:tcBorders>
              <w:top w:val="single" w:sz="4" w:space="0" w:color="auto"/>
              <w:bottom w:val="single" w:sz="4" w:space="0" w:color="auto"/>
            </w:tcBorders>
            <w:vAlign w:val="bottom"/>
          </w:tcPr>
          <w:p w14:paraId="2C97EA1F" w14:textId="77777777" w:rsidR="00C720CF" w:rsidRPr="000C1798" w:rsidRDefault="00C720CF" w:rsidP="00C33BBA">
            <w:pPr>
              <w:spacing w:line="480" w:lineRule="auto"/>
              <w:rPr>
                <w:rFonts w:ascii="Verdana" w:hAnsi="Verdana"/>
                <w:sz w:val="20"/>
                <w:szCs w:val="20"/>
              </w:rPr>
            </w:pPr>
            <w:r w:rsidRPr="00CC3F2D">
              <w:rPr>
                <w:rFonts w:ascii="Verdana" w:hAnsi="Verdana"/>
                <w:sz w:val="20"/>
                <w:szCs w:val="20"/>
              </w:rPr>
              <w:t>997</w:t>
            </w:r>
          </w:p>
        </w:tc>
        <w:tc>
          <w:tcPr>
            <w:tcW w:w="2025" w:type="dxa"/>
            <w:tcBorders>
              <w:top w:val="single" w:sz="4" w:space="0" w:color="auto"/>
              <w:bottom w:val="single" w:sz="4" w:space="0" w:color="auto"/>
            </w:tcBorders>
            <w:vAlign w:val="bottom"/>
          </w:tcPr>
          <w:p w14:paraId="5AFD7B41" w14:textId="77777777" w:rsidR="00C720CF" w:rsidRPr="000C1798" w:rsidRDefault="00C720CF" w:rsidP="00C33BBA">
            <w:pPr>
              <w:spacing w:line="480" w:lineRule="auto"/>
              <w:rPr>
                <w:rFonts w:ascii="Verdana" w:hAnsi="Verdana"/>
                <w:sz w:val="20"/>
                <w:szCs w:val="20"/>
              </w:rPr>
            </w:pPr>
            <w:r w:rsidRPr="00CC3F2D">
              <w:rPr>
                <w:rFonts w:ascii="Verdana" w:hAnsi="Verdana"/>
                <w:sz w:val="20"/>
                <w:szCs w:val="20"/>
              </w:rPr>
              <w:t>39</w:t>
            </w:r>
            <w:r>
              <w:rPr>
                <w:rFonts w:ascii="Verdana" w:hAnsi="Verdana"/>
                <w:sz w:val="20"/>
                <w:szCs w:val="20"/>
              </w:rPr>
              <w:t>,</w:t>
            </w:r>
            <w:r w:rsidRPr="00CC3F2D">
              <w:rPr>
                <w:rFonts w:ascii="Verdana" w:hAnsi="Verdana"/>
                <w:sz w:val="20"/>
                <w:szCs w:val="20"/>
              </w:rPr>
              <w:t>359</w:t>
            </w:r>
          </w:p>
        </w:tc>
        <w:tc>
          <w:tcPr>
            <w:tcW w:w="2025" w:type="dxa"/>
            <w:tcBorders>
              <w:top w:val="single" w:sz="4" w:space="0" w:color="auto"/>
              <w:bottom w:val="single" w:sz="4" w:space="0" w:color="auto"/>
            </w:tcBorders>
            <w:vAlign w:val="bottom"/>
          </w:tcPr>
          <w:p w14:paraId="496E5E34" w14:textId="7B2FCC6A" w:rsidR="00C720CF" w:rsidRPr="000C1798" w:rsidRDefault="00C720CF" w:rsidP="00C33BBA">
            <w:pPr>
              <w:spacing w:line="480" w:lineRule="auto"/>
              <w:rPr>
                <w:rFonts w:ascii="Verdana" w:hAnsi="Verdana"/>
                <w:sz w:val="20"/>
                <w:szCs w:val="20"/>
              </w:rPr>
            </w:pPr>
            <w:r w:rsidRPr="00CC3F2D">
              <w:rPr>
                <w:rFonts w:ascii="Verdana" w:hAnsi="Verdana"/>
                <w:sz w:val="20"/>
                <w:szCs w:val="20"/>
              </w:rPr>
              <w:t>8</w:t>
            </w:r>
            <w:r>
              <w:rPr>
                <w:rFonts w:ascii="Verdana" w:hAnsi="Verdana"/>
                <w:sz w:val="20"/>
                <w:szCs w:val="20"/>
              </w:rPr>
              <w:t>,</w:t>
            </w:r>
            <w:r w:rsidRPr="00CC3F2D">
              <w:rPr>
                <w:rFonts w:ascii="Verdana" w:hAnsi="Verdana"/>
                <w:sz w:val="20"/>
                <w:szCs w:val="20"/>
              </w:rPr>
              <w:t>1</w:t>
            </w:r>
            <w:r w:rsidR="00257F09">
              <w:rPr>
                <w:rFonts w:ascii="Verdana" w:hAnsi="Verdana"/>
                <w:sz w:val="20"/>
                <w:szCs w:val="20"/>
              </w:rPr>
              <w:t>34</w:t>
            </w:r>
          </w:p>
        </w:tc>
        <w:tc>
          <w:tcPr>
            <w:tcW w:w="2025" w:type="dxa"/>
            <w:tcBorders>
              <w:top w:val="single" w:sz="4" w:space="0" w:color="auto"/>
              <w:bottom w:val="single" w:sz="4" w:space="0" w:color="auto"/>
            </w:tcBorders>
            <w:vAlign w:val="bottom"/>
          </w:tcPr>
          <w:p w14:paraId="2A20D8D1" w14:textId="77777777" w:rsidR="00C720CF" w:rsidRPr="000C1798" w:rsidRDefault="00C720CF" w:rsidP="00C33BBA">
            <w:pPr>
              <w:spacing w:line="480" w:lineRule="auto"/>
              <w:rPr>
                <w:rFonts w:ascii="Verdana" w:hAnsi="Verdana"/>
                <w:sz w:val="20"/>
                <w:szCs w:val="20"/>
              </w:rPr>
            </w:pPr>
            <w:r w:rsidRPr="00CC3F2D">
              <w:rPr>
                <w:rFonts w:ascii="Verdana" w:hAnsi="Verdana"/>
                <w:sz w:val="20"/>
                <w:szCs w:val="20"/>
              </w:rPr>
              <w:t>20.7%</w:t>
            </w:r>
          </w:p>
        </w:tc>
        <w:tc>
          <w:tcPr>
            <w:tcW w:w="2025" w:type="dxa"/>
            <w:tcBorders>
              <w:top w:val="single" w:sz="4" w:space="0" w:color="auto"/>
              <w:bottom w:val="single" w:sz="4" w:space="0" w:color="auto"/>
            </w:tcBorders>
            <w:vAlign w:val="bottom"/>
          </w:tcPr>
          <w:p w14:paraId="492AA14B" w14:textId="77777777" w:rsidR="00C720CF" w:rsidRPr="000C1798" w:rsidRDefault="00C720CF" w:rsidP="00C33BBA">
            <w:pPr>
              <w:spacing w:line="480" w:lineRule="auto"/>
              <w:rPr>
                <w:rFonts w:ascii="Verdana" w:hAnsi="Verdana"/>
                <w:sz w:val="20"/>
                <w:szCs w:val="20"/>
              </w:rPr>
            </w:pPr>
            <w:r w:rsidRPr="00CC3F2D">
              <w:rPr>
                <w:rFonts w:ascii="Verdana" w:hAnsi="Verdana"/>
                <w:sz w:val="20"/>
                <w:szCs w:val="20"/>
              </w:rPr>
              <w:t>100.0%</w:t>
            </w:r>
          </w:p>
        </w:tc>
      </w:tr>
    </w:tbl>
    <w:p w14:paraId="0F5F2F60" w14:textId="77777777" w:rsidR="00C720CF" w:rsidRDefault="00C720CF" w:rsidP="00C33BBA">
      <w:pPr>
        <w:spacing w:line="480" w:lineRule="auto"/>
        <w:rPr>
          <w:rFonts w:ascii="Verdana" w:hAnsi="Verdana"/>
          <w:b/>
          <w:sz w:val="20"/>
          <w:szCs w:val="20"/>
        </w:rPr>
      </w:pPr>
    </w:p>
    <w:p w14:paraId="51A937BC" w14:textId="5E97E1B1" w:rsidR="00C720CF" w:rsidRDefault="00C720CF" w:rsidP="00C33BBA">
      <w:pPr>
        <w:spacing w:line="480" w:lineRule="auto"/>
        <w:rPr>
          <w:rFonts w:ascii="Verdana" w:hAnsi="Verdana"/>
          <w:b/>
          <w:sz w:val="20"/>
          <w:szCs w:val="20"/>
        </w:rPr>
      </w:pPr>
      <w:r>
        <w:rPr>
          <w:rFonts w:ascii="Verdana" w:hAnsi="Verdana"/>
          <w:b/>
          <w:sz w:val="20"/>
          <w:szCs w:val="20"/>
        </w:rPr>
        <w:t>* IMD</w:t>
      </w:r>
      <w:r w:rsidR="001F3E8D">
        <w:rPr>
          <w:rFonts w:ascii="Verdana" w:hAnsi="Verdana"/>
          <w:b/>
          <w:sz w:val="20"/>
          <w:szCs w:val="20"/>
        </w:rPr>
        <w:t xml:space="preserve"> </w:t>
      </w:r>
      <w:r>
        <w:rPr>
          <w:rFonts w:ascii="Verdana" w:hAnsi="Verdana"/>
          <w:b/>
          <w:sz w:val="20"/>
          <w:szCs w:val="20"/>
        </w:rPr>
        <w:t>2010 (see text)</w:t>
      </w:r>
    </w:p>
    <w:p w14:paraId="63CC1A89" w14:textId="77777777" w:rsidR="00C720CF" w:rsidRDefault="00C720CF" w:rsidP="00C33BBA">
      <w:pPr>
        <w:spacing w:line="480" w:lineRule="auto"/>
        <w:rPr>
          <w:rFonts w:ascii="Verdana" w:hAnsi="Verdana"/>
          <w:b/>
          <w:sz w:val="20"/>
          <w:szCs w:val="20"/>
        </w:rPr>
      </w:pPr>
    </w:p>
    <w:p w14:paraId="5D33814A" w14:textId="77777777" w:rsidR="00C720CF" w:rsidRDefault="00C720CF" w:rsidP="00C33BBA">
      <w:pPr>
        <w:spacing w:line="480" w:lineRule="auto"/>
        <w:rPr>
          <w:rFonts w:ascii="Verdana" w:hAnsi="Verdana"/>
          <w:b/>
          <w:sz w:val="20"/>
          <w:szCs w:val="20"/>
        </w:rPr>
      </w:pPr>
      <w:r>
        <w:rPr>
          <w:rFonts w:ascii="Verdana" w:hAnsi="Verdana"/>
          <w:b/>
          <w:sz w:val="20"/>
          <w:szCs w:val="20"/>
        </w:rPr>
        <w:br w:type="page"/>
      </w:r>
    </w:p>
    <w:p w14:paraId="6EF384CE" w14:textId="73BE44EF" w:rsidR="00C6503E" w:rsidRDefault="00C6503E" w:rsidP="00C33BBA">
      <w:pPr>
        <w:spacing w:line="480" w:lineRule="auto"/>
        <w:rPr>
          <w:rFonts w:ascii="Verdana" w:hAnsi="Verdana"/>
          <w:b/>
          <w:sz w:val="20"/>
          <w:szCs w:val="20"/>
        </w:rPr>
      </w:pPr>
      <w:r>
        <w:rPr>
          <w:rFonts w:ascii="Verdana" w:hAnsi="Verdana"/>
          <w:b/>
          <w:sz w:val="20"/>
          <w:szCs w:val="20"/>
        </w:rPr>
        <w:lastRenderedPageBreak/>
        <w:t xml:space="preserve">Table </w:t>
      </w:r>
      <w:r w:rsidR="00C720CF">
        <w:rPr>
          <w:rFonts w:ascii="Verdana" w:hAnsi="Verdana"/>
          <w:b/>
          <w:sz w:val="20"/>
          <w:szCs w:val="20"/>
        </w:rPr>
        <w:t>6</w:t>
      </w:r>
      <w:r>
        <w:rPr>
          <w:rFonts w:ascii="Verdana" w:hAnsi="Verdana"/>
          <w:b/>
          <w:sz w:val="20"/>
          <w:szCs w:val="20"/>
        </w:rPr>
        <w:t xml:space="preserve">: </w:t>
      </w:r>
      <w:r w:rsidRPr="001D1DD1">
        <w:rPr>
          <w:rFonts w:ascii="Verdana" w:hAnsi="Verdana"/>
          <w:b/>
          <w:sz w:val="20"/>
          <w:szCs w:val="20"/>
        </w:rPr>
        <w:t>Recruitment and response rates</w:t>
      </w:r>
      <w:r w:rsidR="00E07732">
        <w:rPr>
          <w:rFonts w:ascii="Verdana" w:hAnsi="Verdana"/>
          <w:b/>
          <w:sz w:val="20"/>
          <w:szCs w:val="20"/>
        </w:rPr>
        <w:t xml:space="preserve"> at baseline</w:t>
      </w:r>
      <w:r w:rsidRPr="001D1DD1">
        <w:rPr>
          <w:rFonts w:ascii="Verdana" w:hAnsi="Verdana"/>
          <w:b/>
          <w:sz w:val="20"/>
          <w:szCs w:val="20"/>
        </w:rPr>
        <w:t xml:space="preserve"> by </w:t>
      </w:r>
      <w:r>
        <w:rPr>
          <w:rFonts w:ascii="Verdana" w:hAnsi="Verdana"/>
          <w:b/>
          <w:sz w:val="20"/>
          <w:szCs w:val="20"/>
        </w:rPr>
        <w:t>location of practice</w:t>
      </w:r>
    </w:p>
    <w:p w14:paraId="012B9668" w14:textId="77777777" w:rsidR="00B545BC" w:rsidRDefault="00B545BC" w:rsidP="00C33BBA">
      <w:pPr>
        <w:spacing w:line="480" w:lineRule="auto"/>
        <w:rPr>
          <w:rFonts w:ascii="Verdana" w:hAnsi="Verdana"/>
          <w:b/>
          <w:sz w:val="20"/>
          <w:szCs w:val="20"/>
        </w:rPr>
      </w:pPr>
    </w:p>
    <w:p w14:paraId="5BCDDA43" w14:textId="77777777" w:rsidR="00C6503E" w:rsidRDefault="00C6503E" w:rsidP="00C33BBA">
      <w:pPr>
        <w:spacing w:line="480" w:lineRule="auto"/>
        <w:rPr>
          <w:rFonts w:ascii="Verdana" w:hAnsi="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025"/>
        <w:gridCol w:w="2025"/>
        <w:gridCol w:w="2025"/>
        <w:gridCol w:w="2025"/>
        <w:gridCol w:w="2025"/>
      </w:tblGrid>
      <w:tr w:rsidR="00C6503E" w14:paraId="13D2BFAB" w14:textId="77777777" w:rsidTr="00B545BC">
        <w:tc>
          <w:tcPr>
            <w:tcW w:w="2802" w:type="dxa"/>
            <w:tcBorders>
              <w:top w:val="single" w:sz="4" w:space="0" w:color="auto"/>
            </w:tcBorders>
          </w:tcPr>
          <w:p w14:paraId="153EB185" w14:textId="39D2C9FA" w:rsidR="00C6503E" w:rsidRDefault="00C6503E" w:rsidP="00C33BBA">
            <w:pPr>
              <w:spacing w:line="480" w:lineRule="auto"/>
              <w:rPr>
                <w:rFonts w:ascii="Verdana" w:hAnsi="Verdana"/>
                <w:b/>
                <w:sz w:val="20"/>
                <w:szCs w:val="20"/>
              </w:rPr>
            </w:pPr>
            <w:r>
              <w:rPr>
                <w:rFonts w:ascii="Verdana" w:hAnsi="Verdana"/>
                <w:b/>
                <w:sz w:val="20"/>
                <w:szCs w:val="20"/>
              </w:rPr>
              <w:t>Location of practice</w:t>
            </w:r>
          </w:p>
        </w:tc>
        <w:tc>
          <w:tcPr>
            <w:tcW w:w="2025" w:type="dxa"/>
            <w:tcBorders>
              <w:top w:val="single" w:sz="4" w:space="0" w:color="auto"/>
            </w:tcBorders>
          </w:tcPr>
          <w:p w14:paraId="212D08CB" w14:textId="77777777" w:rsidR="00C6503E" w:rsidRDefault="00C6503E" w:rsidP="00C33BBA">
            <w:pPr>
              <w:spacing w:line="480" w:lineRule="auto"/>
              <w:rPr>
                <w:rFonts w:ascii="Verdana" w:hAnsi="Verdana"/>
                <w:b/>
                <w:sz w:val="20"/>
                <w:szCs w:val="20"/>
              </w:rPr>
            </w:pPr>
            <w:r>
              <w:rPr>
                <w:rFonts w:ascii="Verdana" w:hAnsi="Verdana"/>
                <w:b/>
                <w:sz w:val="20"/>
                <w:szCs w:val="20"/>
              </w:rPr>
              <w:t>Practices</w:t>
            </w:r>
          </w:p>
        </w:tc>
        <w:tc>
          <w:tcPr>
            <w:tcW w:w="2025" w:type="dxa"/>
            <w:tcBorders>
              <w:top w:val="single" w:sz="4" w:space="0" w:color="auto"/>
              <w:bottom w:val="single" w:sz="4" w:space="0" w:color="auto"/>
            </w:tcBorders>
          </w:tcPr>
          <w:p w14:paraId="284E7153" w14:textId="2DA7CE09" w:rsidR="00C6503E" w:rsidRDefault="00C6503E" w:rsidP="00C33BBA">
            <w:pPr>
              <w:spacing w:line="480" w:lineRule="auto"/>
              <w:rPr>
                <w:rFonts w:ascii="Verdana" w:hAnsi="Verdana"/>
                <w:b/>
                <w:sz w:val="20"/>
                <w:szCs w:val="20"/>
              </w:rPr>
            </w:pPr>
            <w:r>
              <w:rPr>
                <w:rFonts w:ascii="Verdana" w:hAnsi="Verdana"/>
                <w:b/>
                <w:sz w:val="20"/>
                <w:szCs w:val="20"/>
              </w:rPr>
              <w:t>Subjects</w:t>
            </w:r>
          </w:p>
        </w:tc>
        <w:tc>
          <w:tcPr>
            <w:tcW w:w="2025" w:type="dxa"/>
            <w:tcBorders>
              <w:top w:val="single" w:sz="4" w:space="0" w:color="auto"/>
              <w:bottom w:val="single" w:sz="4" w:space="0" w:color="auto"/>
            </w:tcBorders>
          </w:tcPr>
          <w:p w14:paraId="645E33EC" w14:textId="77777777" w:rsidR="00C6503E" w:rsidRDefault="00C6503E" w:rsidP="00C33BBA">
            <w:pPr>
              <w:spacing w:line="480" w:lineRule="auto"/>
              <w:rPr>
                <w:rFonts w:ascii="Verdana" w:hAnsi="Verdana"/>
                <w:b/>
                <w:sz w:val="20"/>
                <w:szCs w:val="20"/>
              </w:rPr>
            </w:pPr>
          </w:p>
        </w:tc>
        <w:tc>
          <w:tcPr>
            <w:tcW w:w="2025" w:type="dxa"/>
            <w:tcBorders>
              <w:top w:val="single" w:sz="4" w:space="0" w:color="auto"/>
              <w:bottom w:val="single" w:sz="4" w:space="0" w:color="auto"/>
            </w:tcBorders>
          </w:tcPr>
          <w:p w14:paraId="0CFADC79" w14:textId="77777777" w:rsidR="00C6503E" w:rsidRDefault="00C6503E" w:rsidP="00C33BBA">
            <w:pPr>
              <w:spacing w:line="480" w:lineRule="auto"/>
              <w:rPr>
                <w:rFonts w:ascii="Verdana" w:hAnsi="Verdana"/>
                <w:b/>
                <w:sz w:val="20"/>
                <w:szCs w:val="20"/>
              </w:rPr>
            </w:pPr>
          </w:p>
        </w:tc>
        <w:tc>
          <w:tcPr>
            <w:tcW w:w="2025" w:type="dxa"/>
            <w:tcBorders>
              <w:top w:val="single" w:sz="4" w:space="0" w:color="auto"/>
            </w:tcBorders>
          </w:tcPr>
          <w:p w14:paraId="0EE8CB7A" w14:textId="77777777" w:rsidR="00C6503E" w:rsidRDefault="00C6503E" w:rsidP="00C33BBA">
            <w:pPr>
              <w:spacing w:line="480" w:lineRule="auto"/>
              <w:rPr>
                <w:rFonts w:ascii="Verdana" w:hAnsi="Verdana"/>
                <w:b/>
                <w:sz w:val="20"/>
                <w:szCs w:val="20"/>
              </w:rPr>
            </w:pPr>
            <w:r>
              <w:rPr>
                <w:rFonts w:ascii="Verdana" w:hAnsi="Verdana"/>
                <w:b/>
                <w:sz w:val="20"/>
                <w:szCs w:val="20"/>
              </w:rPr>
              <w:t>% of all participants</w:t>
            </w:r>
          </w:p>
        </w:tc>
      </w:tr>
      <w:tr w:rsidR="00C6503E" w14:paraId="07B0B795" w14:textId="77777777" w:rsidTr="00B545BC">
        <w:tc>
          <w:tcPr>
            <w:tcW w:w="2802" w:type="dxa"/>
            <w:tcBorders>
              <w:bottom w:val="single" w:sz="4" w:space="0" w:color="auto"/>
            </w:tcBorders>
          </w:tcPr>
          <w:p w14:paraId="170FCD61" w14:textId="77777777" w:rsidR="00C6503E" w:rsidRDefault="00C6503E" w:rsidP="00C33BBA">
            <w:pPr>
              <w:spacing w:line="480" w:lineRule="auto"/>
              <w:rPr>
                <w:rFonts w:ascii="Verdana" w:hAnsi="Verdana"/>
                <w:b/>
                <w:sz w:val="20"/>
                <w:szCs w:val="20"/>
              </w:rPr>
            </w:pPr>
          </w:p>
        </w:tc>
        <w:tc>
          <w:tcPr>
            <w:tcW w:w="2025" w:type="dxa"/>
            <w:tcBorders>
              <w:bottom w:val="single" w:sz="4" w:space="0" w:color="auto"/>
            </w:tcBorders>
          </w:tcPr>
          <w:p w14:paraId="5446B5F0" w14:textId="77777777" w:rsidR="00C6503E" w:rsidRDefault="00C6503E" w:rsidP="00C33BBA">
            <w:pPr>
              <w:spacing w:line="480" w:lineRule="auto"/>
              <w:rPr>
                <w:rFonts w:ascii="Verdana" w:hAnsi="Verdana"/>
                <w:b/>
                <w:sz w:val="20"/>
                <w:szCs w:val="20"/>
              </w:rPr>
            </w:pPr>
            <w:r>
              <w:rPr>
                <w:rFonts w:ascii="Verdana" w:hAnsi="Verdana"/>
                <w:b/>
                <w:sz w:val="20"/>
                <w:szCs w:val="20"/>
              </w:rPr>
              <w:t>(N)</w:t>
            </w:r>
          </w:p>
        </w:tc>
        <w:tc>
          <w:tcPr>
            <w:tcW w:w="2025" w:type="dxa"/>
            <w:tcBorders>
              <w:top w:val="single" w:sz="4" w:space="0" w:color="auto"/>
              <w:bottom w:val="single" w:sz="4" w:space="0" w:color="auto"/>
            </w:tcBorders>
          </w:tcPr>
          <w:p w14:paraId="26DD923B" w14:textId="77777777" w:rsidR="00C6503E" w:rsidRDefault="00C6503E" w:rsidP="00C33BBA">
            <w:pPr>
              <w:spacing w:line="480" w:lineRule="auto"/>
              <w:rPr>
                <w:rFonts w:ascii="Verdana" w:hAnsi="Verdana"/>
                <w:b/>
                <w:sz w:val="20"/>
                <w:szCs w:val="20"/>
              </w:rPr>
            </w:pPr>
            <w:r>
              <w:rPr>
                <w:rFonts w:ascii="Verdana" w:hAnsi="Verdana"/>
                <w:b/>
                <w:sz w:val="20"/>
                <w:szCs w:val="20"/>
              </w:rPr>
              <w:t>No. approached</w:t>
            </w:r>
          </w:p>
        </w:tc>
        <w:tc>
          <w:tcPr>
            <w:tcW w:w="2025" w:type="dxa"/>
            <w:tcBorders>
              <w:top w:val="single" w:sz="4" w:space="0" w:color="auto"/>
              <w:bottom w:val="single" w:sz="4" w:space="0" w:color="auto"/>
            </w:tcBorders>
          </w:tcPr>
          <w:p w14:paraId="1D3FB0C9" w14:textId="77777777" w:rsidR="00C6503E" w:rsidRDefault="00C6503E" w:rsidP="00C33BBA">
            <w:pPr>
              <w:spacing w:line="480" w:lineRule="auto"/>
              <w:rPr>
                <w:rFonts w:ascii="Verdana" w:hAnsi="Verdana"/>
                <w:b/>
                <w:sz w:val="20"/>
                <w:szCs w:val="20"/>
              </w:rPr>
            </w:pPr>
            <w:r>
              <w:rPr>
                <w:rFonts w:ascii="Verdana" w:hAnsi="Verdana"/>
                <w:b/>
                <w:sz w:val="20"/>
                <w:szCs w:val="20"/>
              </w:rPr>
              <w:t>No. recruited</w:t>
            </w:r>
          </w:p>
        </w:tc>
        <w:tc>
          <w:tcPr>
            <w:tcW w:w="2025" w:type="dxa"/>
            <w:tcBorders>
              <w:top w:val="single" w:sz="4" w:space="0" w:color="auto"/>
              <w:bottom w:val="single" w:sz="4" w:space="0" w:color="auto"/>
            </w:tcBorders>
          </w:tcPr>
          <w:p w14:paraId="2F6DD035" w14:textId="77777777" w:rsidR="00C6503E" w:rsidRDefault="00C6503E" w:rsidP="00C33BBA">
            <w:pPr>
              <w:spacing w:line="480" w:lineRule="auto"/>
              <w:rPr>
                <w:rFonts w:ascii="Verdana" w:hAnsi="Verdana"/>
                <w:b/>
                <w:sz w:val="20"/>
                <w:szCs w:val="20"/>
              </w:rPr>
            </w:pPr>
            <w:r>
              <w:rPr>
                <w:rFonts w:ascii="Verdana" w:hAnsi="Verdana"/>
                <w:b/>
                <w:sz w:val="20"/>
                <w:szCs w:val="20"/>
              </w:rPr>
              <w:t>% recruited</w:t>
            </w:r>
          </w:p>
        </w:tc>
        <w:tc>
          <w:tcPr>
            <w:tcW w:w="2025" w:type="dxa"/>
            <w:tcBorders>
              <w:bottom w:val="single" w:sz="4" w:space="0" w:color="auto"/>
            </w:tcBorders>
          </w:tcPr>
          <w:p w14:paraId="22D95C25" w14:textId="77777777" w:rsidR="00C6503E" w:rsidRDefault="00C6503E" w:rsidP="00C33BBA">
            <w:pPr>
              <w:spacing w:line="480" w:lineRule="auto"/>
              <w:rPr>
                <w:rFonts w:ascii="Verdana" w:hAnsi="Verdana"/>
                <w:b/>
                <w:sz w:val="20"/>
                <w:szCs w:val="20"/>
              </w:rPr>
            </w:pPr>
          </w:p>
        </w:tc>
      </w:tr>
      <w:tr w:rsidR="00257F09" w14:paraId="4A633E0D" w14:textId="77777777" w:rsidTr="00B545BC">
        <w:tc>
          <w:tcPr>
            <w:tcW w:w="2802" w:type="dxa"/>
            <w:tcBorders>
              <w:top w:val="single" w:sz="4" w:space="0" w:color="auto"/>
            </w:tcBorders>
          </w:tcPr>
          <w:p w14:paraId="217F9530" w14:textId="47E9F02B" w:rsidR="00257F09" w:rsidRPr="000C1798" w:rsidRDefault="00257F09" w:rsidP="00C33BBA">
            <w:pPr>
              <w:spacing w:line="480" w:lineRule="auto"/>
              <w:rPr>
                <w:rFonts w:ascii="Verdana" w:hAnsi="Verdana"/>
                <w:sz w:val="20"/>
                <w:szCs w:val="20"/>
              </w:rPr>
            </w:pPr>
            <w:r>
              <w:rPr>
                <w:rFonts w:ascii="Verdana" w:hAnsi="Verdana"/>
                <w:sz w:val="20"/>
                <w:szCs w:val="20"/>
              </w:rPr>
              <w:t>London/South East</w:t>
            </w:r>
          </w:p>
        </w:tc>
        <w:tc>
          <w:tcPr>
            <w:tcW w:w="2025" w:type="dxa"/>
            <w:tcBorders>
              <w:top w:val="single" w:sz="4" w:space="0" w:color="auto"/>
            </w:tcBorders>
            <w:vAlign w:val="bottom"/>
          </w:tcPr>
          <w:p w14:paraId="368B25E9" w14:textId="79220833" w:rsidR="00257F09" w:rsidRPr="000C1798" w:rsidRDefault="00257F09" w:rsidP="00C33BBA">
            <w:pPr>
              <w:spacing w:line="480" w:lineRule="auto"/>
              <w:rPr>
                <w:rFonts w:ascii="Verdana" w:hAnsi="Verdana"/>
                <w:sz w:val="20"/>
                <w:szCs w:val="20"/>
              </w:rPr>
            </w:pPr>
            <w:r>
              <w:rPr>
                <w:rFonts w:ascii="Verdana" w:hAnsi="Verdana"/>
                <w:sz w:val="20"/>
                <w:szCs w:val="20"/>
              </w:rPr>
              <w:t>3</w:t>
            </w:r>
          </w:p>
        </w:tc>
        <w:tc>
          <w:tcPr>
            <w:tcW w:w="2025" w:type="dxa"/>
            <w:tcBorders>
              <w:top w:val="single" w:sz="4" w:space="0" w:color="auto"/>
            </w:tcBorders>
            <w:vAlign w:val="bottom"/>
          </w:tcPr>
          <w:p w14:paraId="376292EA" w14:textId="29B9CFED" w:rsidR="00257F09" w:rsidRPr="000C1798" w:rsidRDefault="00257F09" w:rsidP="00C33BBA">
            <w:pPr>
              <w:spacing w:line="480" w:lineRule="auto"/>
              <w:rPr>
                <w:rFonts w:ascii="Verdana" w:hAnsi="Verdana"/>
                <w:sz w:val="20"/>
                <w:szCs w:val="20"/>
              </w:rPr>
            </w:pPr>
            <w:r w:rsidRPr="00CC3F2D">
              <w:rPr>
                <w:rFonts w:ascii="Verdana" w:hAnsi="Verdana"/>
                <w:sz w:val="20"/>
                <w:szCs w:val="20"/>
              </w:rPr>
              <w:t>3</w:t>
            </w:r>
            <w:r>
              <w:rPr>
                <w:rFonts w:ascii="Verdana" w:hAnsi="Verdana"/>
                <w:sz w:val="20"/>
                <w:szCs w:val="20"/>
              </w:rPr>
              <w:t>,</w:t>
            </w:r>
            <w:r w:rsidRPr="00CC3F2D">
              <w:rPr>
                <w:rFonts w:ascii="Verdana" w:hAnsi="Verdana"/>
                <w:sz w:val="20"/>
                <w:szCs w:val="20"/>
              </w:rPr>
              <w:t>661</w:t>
            </w:r>
          </w:p>
        </w:tc>
        <w:tc>
          <w:tcPr>
            <w:tcW w:w="2025" w:type="dxa"/>
            <w:tcBorders>
              <w:top w:val="single" w:sz="4" w:space="0" w:color="auto"/>
            </w:tcBorders>
            <w:vAlign w:val="bottom"/>
          </w:tcPr>
          <w:p w14:paraId="5BAAEFC0" w14:textId="07204BE3" w:rsidR="00257F09" w:rsidRPr="000C1798" w:rsidRDefault="00257F09" w:rsidP="00C33BBA">
            <w:pPr>
              <w:spacing w:line="480" w:lineRule="auto"/>
              <w:rPr>
                <w:rFonts w:ascii="Verdana" w:hAnsi="Verdana"/>
                <w:sz w:val="20"/>
                <w:szCs w:val="20"/>
              </w:rPr>
            </w:pPr>
            <w:r w:rsidRPr="00257F09">
              <w:rPr>
                <w:rFonts w:ascii="Verdana" w:hAnsi="Verdana"/>
                <w:sz w:val="20"/>
                <w:szCs w:val="20"/>
              </w:rPr>
              <w:t>590</w:t>
            </w:r>
          </w:p>
        </w:tc>
        <w:tc>
          <w:tcPr>
            <w:tcW w:w="2025" w:type="dxa"/>
            <w:tcBorders>
              <w:top w:val="single" w:sz="4" w:space="0" w:color="auto"/>
            </w:tcBorders>
            <w:vAlign w:val="bottom"/>
          </w:tcPr>
          <w:p w14:paraId="47BC834C" w14:textId="52D6D396" w:rsidR="00257F09" w:rsidRPr="000C1798" w:rsidRDefault="00257F09" w:rsidP="00C33BBA">
            <w:pPr>
              <w:spacing w:line="480" w:lineRule="auto"/>
              <w:rPr>
                <w:rFonts w:ascii="Verdana" w:hAnsi="Verdana"/>
                <w:sz w:val="20"/>
                <w:szCs w:val="20"/>
              </w:rPr>
            </w:pPr>
            <w:r w:rsidRPr="00CC3F2D">
              <w:rPr>
                <w:rFonts w:ascii="Verdana" w:hAnsi="Verdana"/>
                <w:sz w:val="20"/>
                <w:szCs w:val="20"/>
              </w:rPr>
              <w:t>16.1%</w:t>
            </w:r>
          </w:p>
        </w:tc>
        <w:tc>
          <w:tcPr>
            <w:tcW w:w="2025" w:type="dxa"/>
            <w:tcBorders>
              <w:top w:val="single" w:sz="4" w:space="0" w:color="auto"/>
            </w:tcBorders>
            <w:vAlign w:val="bottom"/>
          </w:tcPr>
          <w:p w14:paraId="2605DFB1" w14:textId="466F6256" w:rsidR="00257F09" w:rsidRPr="000C1798" w:rsidRDefault="00257F09" w:rsidP="00C33BBA">
            <w:pPr>
              <w:spacing w:line="480" w:lineRule="auto"/>
              <w:rPr>
                <w:rFonts w:ascii="Verdana" w:hAnsi="Verdana"/>
                <w:sz w:val="20"/>
                <w:szCs w:val="20"/>
              </w:rPr>
            </w:pPr>
            <w:r w:rsidRPr="00CC3F2D">
              <w:rPr>
                <w:rFonts w:ascii="Verdana" w:hAnsi="Verdana"/>
                <w:sz w:val="20"/>
                <w:szCs w:val="20"/>
              </w:rPr>
              <w:t>7.2%</w:t>
            </w:r>
          </w:p>
        </w:tc>
      </w:tr>
      <w:tr w:rsidR="00257F09" w14:paraId="4A162824" w14:textId="77777777" w:rsidTr="00B545BC">
        <w:tc>
          <w:tcPr>
            <w:tcW w:w="2802" w:type="dxa"/>
          </w:tcPr>
          <w:p w14:paraId="5C504DC4" w14:textId="0AE0F263" w:rsidR="00257F09" w:rsidRPr="000C1798" w:rsidRDefault="00257F09" w:rsidP="00C33BBA">
            <w:pPr>
              <w:spacing w:line="480" w:lineRule="auto"/>
              <w:rPr>
                <w:rFonts w:ascii="Verdana" w:hAnsi="Verdana"/>
                <w:sz w:val="20"/>
                <w:szCs w:val="20"/>
              </w:rPr>
            </w:pPr>
            <w:r>
              <w:rPr>
                <w:rFonts w:ascii="Verdana" w:hAnsi="Verdana"/>
                <w:sz w:val="20"/>
                <w:szCs w:val="20"/>
              </w:rPr>
              <w:t>Central Southern</w:t>
            </w:r>
          </w:p>
        </w:tc>
        <w:tc>
          <w:tcPr>
            <w:tcW w:w="2025" w:type="dxa"/>
            <w:vAlign w:val="bottom"/>
          </w:tcPr>
          <w:p w14:paraId="0FC43844" w14:textId="29A17E0C" w:rsidR="00257F09" w:rsidRPr="000C1798" w:rsidRDefault="00257F09" w:rsidP="00C33BBA">
            <w:pPr>
              <w:spacing w:line="480" w:lineRule="auto"/>
              <w:rPr>
                <w:rFonts w:ascii="Verdana" w:hAnsi="Verdana"/>
                <w:sz w:val="20"/>
                <w:szCs w:val="20"/>
              </w:rPr>
            </w:pPr>
            <w:r>
              <w:rPr>
                <w:rFonts w:ascii="Verdana" w:hAnsi="Verdana"/>
                <w:sz w:val="20"/>
                <w:szCs w:val="20"/>
              </w:rPr>
              <w:t>2</w:t>
            </w:r>
          </w:p>
        </w:tc>
        <w:tc>
          <w:tcPr>
            <w:tcW w:w="2025" w:type="dxa"/>
            <w:vAlign w:val="bottom"/>
          </w:tcPr>
          <w:p w14:paraId="5DDB4B6F" w14:textId="586A8EB0" w:rsidR="00257F09" w:rsidRPr="000C1798" w:rsidRDefault="00257F09" w:rsidP="00C33BBA">
            <w:pPr>
              <w:spacing w:line="480" w:lineRule="auto"/>
              <w:rPr>
                <w:rFonts w:ascii="Verdana" w:hAnsi="Verdana"/>
                <w:sz w:val="20"/>
                <w:szCs w:val="20"/>
              </w:rPr>
            </w:pPr>
            <w:r w:rsidRPr="00CC3F2D">
              <w:rPr>
                <w:rFonts w:ascii="Verdana" w:hAnsi="Verdana"/>
                <w:sz w:val="20"/>
                <w:szCs w:val="20"/>
              </w:rPr>
              <w:t>3</w:t>
            </w:r>
            <w:r>
              <w:rPr>
                <w:rFonts w:ascii="Verdana" w:hAnsi="Verdana"/>
                <w:sz w:val="20"/>
                <w:szCs w:val="20"/>
              </w:rPr>
              <w:t>,</w:t>
            </w:r>
            <w:r w:rsidRPr="00CC3F2D">
              <w:rPr>
                <w:rFonts w:ascii="Verdana" w:hAnsi="Verdana"/>
                <w:sz w:val="20"/>
                <w:szCs w:val="20"/>
              </w:rPr>
              <w:t>635</w:t>
            </w:r>
          </w:p>
        </w:tc>
        <w:tc>
          <w:tcPr>
            <w:tcW w:w="2025" w:type="dxa"/>
            <w:vAlign w:val="bottom"/>
          </w:tcPr>
          <w:p w14:paraId="40E9CEA5" w14:textId="4CF3C568" w:rsidR="00257F09" w:rsidRPr="000C1798" w:rsidRDefault="00257F09" w:rsidP="00C33BBA">
            <w:pPr>
              <w:spacing w:line="480" w:lineRule="auto"/>
              <w:rPr>
                <w:rFonts w:ascii="Verdana" w:hAnsi="Verdana"/>
                <w:sz w:val="20"/>
                <w:szCs w:val="20"/>
              </w:rPr>
            </w:pPr>
            <w:r w:rsidRPr="00257F09">
              <w:rPr>
                <w:rFonts w:ascii="Verdana" w:hAnsi="Verdana"/>
                <w:sz w:val="20"/>
                <w:szCs w:val="20"/>
              </w:rPr>
              <w:t>745</w:t>
            </w:r>
          </w:p>
        </w:tc>
        <w:tc>
          <w:tcPr>
            <w:tcW w:w="2025" w:type="dxa"/>
            <w:vAlign w:val="bottom"/>
          </w:tcPr>
          <w:p w14:paraId="64A96A4E" w14:textId="1F3B083A" w:rsidR="00257F09" w:rsidRPr="000C1798" w:rsidRDefault="00257F09" w:rsidP="00C33BBA">
            <w:pPr>
              <w:spacing w:line="480" w:lineRule="auto"/>
              <w:rPr>
                <w:rFonts w:ascii="Verdana" w:hAnsi="Verdana"/>
                <w:sz w:val="20"/>
                <w:szCs w:val="20"/>
              </w:rPr>
            </w:pPr>
            <w:r w:rsidRPr="00CC3F2D">
              <w:rPr>
                <w:rFonts w:ascii="Verdana" w:hAnsi="Verdana"/>
                <w:sz w:val="20"/>
                <w:szCs w:val="20"/>
              </w:rPr>
              <w:t>20.5%</w:t>
            </w:r>
          </w:p>
        </w:tc>
        <w:tc>
          <w:tcPr>
            <w:tcW w:w="2025" w:type="dxa"/>
            <w:vAlign w:val="bottom"/>
          </w:tcPr>
          <w:p w14:paraId="52600E6C" w14:textId="3278F797" w:rsidR="00257F09" w:rsidRPr="000C1798" w:rsidRDefault="00257F09" w:rsidP="00C33BBA">
            <w:pPr>
              <w:spacing w:line="480" w:lineRule="auto"/>
              <w:rPr>
                <w:rFonts w:ascii="Verdana" w:hAnsi="Verdana"/>
                <w:sz w:val="20"/>
                <w:szCs w:val="20"/>
              </w:rPr>
            </w:pPr>
            <w:r w:rsidRPr="00CC3F2D">
              <w:rPr>
                <w:rFonts w:ascii="Verdana" w:hAnsi="Verdana"/>
                <w:sz w:val="20"/>
                <w:szCs w:val="20"/>
              </w:rPr>
              <w:t>9.2%</w:t>
            </w:r>
          </w:p>
        </w:tc>
      </w:tr>
      <w:tr w:rsidR="00257F09" w14:paraId="4EAFF4E9" w14:textId="77777777" w:rsidTr="00B545BC">
        <w:tc>
          <w:tcPr>
            <w:tcW w:w="2802" w:type="dxa"/>
          </w:tcPr>
          <w:p w14:paraId="4F0EBDED" w14:textId="37C1F072" w:rsidR="00257F09" w:rsidRPr="000C1798" w:rsidRDefault="00257F09" w:rsidP="00C33BBA">
            <w:pPr>
              <w:spacing w:line="480" w:lineRule="auto"/>
              <w:rPr>
                <w:rFonts w:ascii="Verdana" w:hAnsi="Verdana"/>
                <w:sz w:val="20"/>
                <w:szCs w:val="20"/>
              </w:rPr>
            </w:pPr>
            <w:r>
              <w:rPr>
                <w:rFonts w:ascii="Verdana" w:hAnsi="Verdana"/>
                <w:sz w:val="20"/>
                <w:szCs w:val="20"/>
              </w:rPr>
              <w:t>South West</w:t>
            </w:r>
          </w:p>
        </w:tc>
        <w:tc>
          <w:tcPr>
            <w:tcW w:w="2025" w:type="dxa"/>
            <w:vAlign w:val="bottom"/>
          </w:tcPr>
          <w:p w14:paraId="03990691" w14:textId="336D4D08" w:rsidR="00257F09" w:rsidRPr="000C1798" w:rsidRDefault="00257F09" w:rsidP="00C33BBA">
            <w:pPr>
              <w:spacing w:line="480" w:lineRule="auto"/>
              <w:rPr>
                <w:rFonts w:ascii="Verdana" w:hAnsi="Verdana"/>
                <w:sz w:val="20"/>
                <w:szCs w:val="20"/>
              </w:rPr>
            </w:pPr>
            <w:r>
              <w:rPr>
                <w:rFonts w:ascii="Verdana" w:hAnsi="Verdana"/>
                <w:sz w:val="20"/>
                <w:szCs w:val="20"/>
              </w:rPr>
              <w:t>5</w:t>
            </w:r>
          </w:p>
        </w:tc>
        <w:tc>
          <w:tcPr>
            <w:tcW w:w="2025" w:type="dxa"/>
            <w:vAlign w:val="bottom"/>
          </w:tcPr>
          <w:p w14:paraId="58CA1DDB" w14:textId="0AF0DCBE" w:rsidR="00257F09" w:rsidRPr="000C1798" w:rsidRDefault="00257F09" w:rsidP="00C33BBA">
            <w:pPr>
              <w:spacing w:line="480" w:lineRule="auto"/>
              <w:rPr>
                <w:rFonts w:ascii="Verdana" w:hAnsi="Verdana"/>
                <w:sz w:val="20"/>
                <w:szCs w:val="20"/>
              </w:rPr>
            </w:pPr>
            <w:r w:rsidRPr="00CC3F2D">
              <w:rPr>
                <w:rFonts w:ascii="Verdana" w:hAnsi="Verdana"/>
                <w:sz w:val="20"/>
                <w:szCs w:val="20"/>
              </w:rPr>
              <w:t>9</w:t>
            </w:r>
            <w:r>
              <w:rPr>
                <w:rFonts w:ascii="Verdana" w:hAnsi="Verdana"/>
                <w:sz w:val="20"/>
                <w:szCs w:val="20"/>
              </w:rPr>
              <w:t>,</w:t>
            </w:r>
            <w:r w:rsidRPr="00CC3F2D">
              <w:rPr>
                <w:rFonts w:ascii="Verdana" w:hAnsi="Verdana"/>
                <w:sz w:val="20"/>
                <w:szCs w:val="20"/>
              </w:rPr>
              <w:t>003</w:t>
            </w:r>
          </w:p>
        </w:tc>
        <w:tc>
          <w:tcPr>
            <w:tcW w:w="2025" w:type="dxa"/>
            <w:vAlign w:val="bottom"/>
          </w:tcPr>
          <w:p w14:paraId="5CE84D46" w14:textId="453FB8E7" w:rsidR="00257F09" w:rsidRPr="000C1798" w:rsidRDefault="00257F09" w:rsidP="00C33BBA">
            <w:pPr>
              <w:spacing w:line="480" w:lineRule="auto"/>
              <w:rPr>
                <w:rFonts w:ascii="Verdana" w:hAnsi="Verdana"/>
                <w:sz w:val="20"/>
                <w:szCs w:val="20"/>
              </w:rPr>
            </w:pPr>
            <w:r w:rsidRPr="00257F09">
              <w:rPr>
                <w:rFonts w:ascii="Verdana" w:hAnsi="Verdana"/>
                <w:sz w:val="20"/>
                <w:szCs w:val="20"/>
              </w:rPr>
              <w:t>1</w:t>
            </w:r>
            <w:r>
              <w:rPr>
                <w:rFonts w:ascii="Verdana" w:hAnsi="Verdana"/>
                <w:sz w:val="20"/>
                <w:szCs w:val="20"/>
              </w:rPr>
              <w:t>,</w:t>
            </w:r>
            <w:r w:rsidRPr="00257F09">
              <w:rPr>
                <w:rFonts w:ascii="Verdana" w:hAnsi="Verdana"/>
                <w:sz w:val="20"/>
                <w:szCs w:val="20"/>
              </w:rPr>
              <w:t>946</w:t>
            </w:r>
          </w:p>
        </w:tc>
        <w:tc>
          <w:tcPr>
            <w:tcW w:w="2025" w:type="dxa"/>
            <w:vAlign w:val="bottom"/>
          </w:tcPr>
          <w:p w14:paraId="56E953CA" w14:textId="0B9CE5EB" w:rsidR="00257F09" w:rsidRPr="000C1798" w:rsidRDefault="00257F09" w:rsidP="00C33BBA">
            <w:pPr>
              <w:spacing w:line="480" w:lineRule="auto"/>
              <w:rPr>
                <w:rFonts w:ascii="Verdana" w:hAnsi="Verdana"/>
                <w:sz w:val="20"/>
                <w:szCs w:val="20"/>
              </w:rPr>
            </w:pPr>
            <w:r w:rsidRPr="00CC3F2D">
              <w:rPr>
                <w:rFonts w:ascii="Verdana" w:hAnsi="Verdana"/>
                <w:sz w:val="20"/>
                <w:szCs w:val="20"/>
              </w:rPr>
              <w:t>21.</w:t>
            </w:r>
            <w:r>
              <w:rPr>
                <w:rFonts w:ascii="Verdana" w:hAnsi="Verdana"/>
                <w:sz w:val="20"/>
                <w:szCs w:val="20"/>
              </w:rPr>
              <w:t>6</w:t>
            </w:r>
            <w:r w:rsidRPr="00CC3F2D">
              <w:rPr>
                <w:rFonts w:ascii="Verdana" w:hAnsi="Verdana"/>
                <w:sz w:val="20"/>
                <w:szCs w:val="20"/>
              </w:rPr>
              <w:t>%</w:t>
            </w:r>
          </w:p>
        </w:tc>
        <w:tc>
          <w:tcPr>
            <w:tcW w:w="2025" w:type="dxa"/>
            <w:vAlign w:val="bottom"/>
          </w:tcPr>
          <w:p w14:paraId="504052A9" w14:textId="738F7750" w:rsidR="00257F09" w:rsidRPr="000C1798" w:rsidRDefault="00257F09" w:rsidP="00C33BBA">
            <w:pPr>
              <w:spacing w:line="480" w:lineRule="auto"/>
              <w:rPr>
                <w:rFonts w:ascii="Verdana" w:hAnsi="Verdana"/>
                <w:sz w:val="20"/>
                <w:szCs w:val="20"/>
              </w:rPr>
            </w:pPr>
            <w:r w:rsidRPr="00CC3F2D">
              <w:rPr>
                <w:rFonts w:ascii="Verdana" w:hAnsi="Verdana"/>
                <w:sz w:val="20"/>
                <w:szCs w:val="20"/>
              </w:rPr>
              <w:t>24.0%</w:t>
            </w:r>
          </w:p>
        </w:tc>
      </w:tr>
      <w:tr w:rsidR="00257F09" w14:paraId="2B5BA5DB" w14:textId="77777777" w:rsidTr="00B545BC">
        <w:tc>
          <w:tcPr>
            <w:tcW w:w="2802" w:type="dxa"/>
          </w:tcPr>
          <w:p w14:paraId="4F536E7A" w14:textId="69E6294E" w:rsidR="00257F09" w:rsidRPr="000C1798" w:rsidRDefault="00257F09" w:rsidP="00C33BBA">
            <w:pPr>
              <w:spacing w:line="480" w:lineRule="auto"/>
              <w:rPr>
                <w:rFonts w:ascii="Verdana" w:hAnsi="Verdana"/>
                <w:sz w:val="20"/>
                <w:szCs w:val="20"/>
              </w:rPr>
            </w:pPr>
            <w:r>
              <w:rPr>
                <w:rFonts w:ascii="Verdana" w:hAnsi="Verdana"/>
                <w:sz w:val="20"/>
                <w:szCs w:val="20"/>
              </w:rPr>
              <w:t>East</w:t>
            </w:r>
          </w:p>
        </w:tc>
        <w:tc>
          <w:tcPr>
            <w:tcW w:w="2025" w:type="dxa"/>
            <w:vAlign w:val="bottom"/>
          </w:tcPr>
          <w:p w14:paraId="4EC2245F" w14:textId="0330E801" w:rsidR="00257F09" w:rsidRPr="000C1798" w:rsidRDefault="00257F09" w:rsidP="00C33BBA">
            <w:pPr>
              <w:spacing w:line="480" w:lineRule="auto"/>
              <w:rPr>
                <w:rFonts w:ascii="Verdana" w:hAnsi="Verdana"/>
                <w:sz w:val="20"/>
                <w:szCs w:val="20"/>
              </w:rPr>
            </w:pPr>
            <w:r>
              <w:rPr>
                <w:rFonts w:ascii="Verdana" w:hAnsi="Verdana"/>
                <w:sz w:val="20"/>
                <w:szCs w:val="20"/>
              </w:rPr>
              <w:t>4</w:t>
            </w:r>
          </w:p>
        </w:tc>
        <w:tc>
          <w:tcPr>
            <w:tcW w:w="2025" w:type="dxa"/>
            <w:vAlign w:val="bottom"/>
          </w:tcPr>
          <w:p w14:paraId="027C363F" w14:textId="55512097" w:rsidR="00257F09" w:rsidRPr="000C1798" w:rsidRDefault="00257F09" w:rsidP="00C33BBA">
            <w:pPr>
              <w:spacing w:line="480" w:lineRule="auto"/>
              <w:rPr>
                <w:rFonts w:ascii="Verdana" w:hAnsi="Verdana"/>
                <w:sz w:val="20"/>
                <w:szCs w:val="20"/>
              </w:rPr>
            </w:pPr>
            <w:r w:rsidRPr="00CC3F2D">
              <w:rPr>
                <w:rFonts w:ascii="Verdana" w:hAnsi="Verdana"/>
                <w:sz w:val="20"/>
                <w:szCs w:val="20"/>
              </w:rPr>
              <w:t>8</w:t>
            </w:r>
            <w:r>
              <w:rPr>
                <w:rFonts w:ascii="Verdana" w:hAnsi="Verdana"/>
                <w:sz w:val="20"/>
                <w:szCs w:val="20"/>
              </w:rPr>
              <w:t>,</w:t>
            </w:r>
            <w:r w:rsidRPr="00CC3F2D">
              <w:rPr>
                <w:rFonts w:ascii="Verdana" w:hAnsi="Verdana"/>
                <w:sz w:val="20"/>
                <w:szCs w:val="20"/>
              </w:rPr>
              <w:t>438</w:t>
            </w:r>
          </w:p>
        </w:tc>
        <w:tc>
          <w:tcPr>
            <w:tcW w:w="2025" w:type="dxa"/>
            <w:vAlign w:val="bottom"/>
          </w:tcPr>
          <w:p w14:paraId="7239CD73" w14:textId="38A546B1" w:rsidR="00257F09" w:rsidRPr="000C1798" w:rsidRDefault="00257F09" w:rsidP="00C33BBA">
            <w:pPr>
              <w:spacing w:line="480" w:lineRule="auto"/>
              <w:rPr>
                <w:rFonts w:ascii="Verdana" w:hAnsi="Verdana"/>
                <w:sz w:val="20"/>
                <w:szCs w:val="20"/>
              </w:rPr>
            </w:pPr>
            <w:r w:rsidRPr="00257F09">
              <w:rPr>
                <w:rFonts w:ascii="Verdana" w:hAnsi="Verdana"/>
                <w:sz w:val="20"/>
                <w:szCs w:val="20"/>
              </w:rPr>
              <w:t>1</w:t>
            </w:r>
            <w:r>
              <w:rPr>
                <w:rFonts w:ascii="Verdana" w:hAnsi="Verdana"/>
                <w:sz w:val="20"/>
                <w:szCs w:val="20"/>
              </w:rPr>
              <w:t>,</w:t>
            </w:r>
            <w:r w:rsidRPr="00257F09">
              <w:rPr>
                <w:rFonts w:ascii="Verdana" w:hAnsi="Verdana"/>
                <w:sz w:val="20"/>
                <w:szCs w:val="20"/>
              </w:rPr>
              <w:t>854</w:t>
            </w:r>
          </w:p>
        </w:tc>
        <w:tc>
          <w:tcPr>
            <w:tcW w:w="2025" w:type="dxa"/>
            <w:vAlign w:val="bottom"/>
          </w:tcPr>
          <w:p w14:paraId="2E8BA852" w14:textId="171A8BB4" w:rsidR="00257F09" w:rsidRPr="000C1798" w:rsidRDefault="00257F09" w:rsidP="00C33BBA">
            <w:pPr>
              <w:spacing w:line="480" w:lineRule="auto"/>
              <w:rPr>
                <w:rFonts w:ascii="Verdana" w:hAnsi="Verdana"/>
                <w:sz w:val="20"/>
                <w:szCs w:val="20"/>
              </w:rPr>
            </w:pPr>
            <w:r w:rsidRPr="00CC3F2D">
              <w:rPr>
                <w:rFonts w:ascii="Verdana" w:hAnsi="Verdana"/>
                <w:sz w:val="20"/>
                <w:szCs w:val="20"/>
              </w:rPr>
              <w:t>22.0%</w:t>
            </w:r>
          </w:p>
        </w:tc>
        <w:tc>
          <w:tcPr>
            <w:tcW w:w="2025" w:type="dxa"/>
            <w:vAlign w:val="bottom"/>
          </w:tcPr>
          <w:p w14:paraId="3EC51FA4" w14:textId="4DC972FE" w:rsidR="00257F09" w:rsidRPr="000C1798" w:rsidRDefault="00257F09" w:rsidP="00C33BBA">
            <w:pPr>
              <w:spacing w:line="480" w:lineRule="auto"/>
              <w:rPr>
                <w:rFonts w:ascii="Verdana" w:hAnsi="Verdana"/>
                <w:sz w:val="20"/>
                <w:szCs w:val="20"/>
              </w:rPr>
            </w:pPr>
            <w:r w:rsidRPr="00CC3F2D">
              <w:rPr>
                <w:rFonts w:ascii="Verdana" w:hAnsi="Verdana"/>
                <w:sz w:val="20"/>
                <w:szCs w:val="20"/>
              </w:rPr>
              <w:t>22.8%</w:t>
            </w:r>
          </w:p>
        </w:tc>
      </w:tr>
      <w:tr w:rsidR="00257F09" w14:paraId="6E976E39" w14:textId="77777777" w:rsidTr="00B545BC">
        <w:tc>
          <w:tcPr>
            <w:tcW w:w="2802" w:type="dxa"/>
          </w:tcPr>
          <w:p w14:paraId="75F67CC6" w14:textId="4115DBC7" w:rsidR="00257F09" w:rsidRPr="000C1798" w:rsidRDefault="00257F09" w:rsidP="00C33BBA">
            <w:pPr>
              <w:spacing w:line="480" w:lineRule="auto"/>
              <w:rPr>
                <w:rFonts w:ascii="Verdana" w:hAnsi="Verdana"/>
                <w:sz w:val="20"/>
                <w:szCs w:val="20"/>
              </w:rPr>
            </w:pPr>
            <w:r>
              <w:rPr>
                <w:rFonts w:ascii="Verdana" w:hAnsi="Verdana"/>
                <w:sz w:val="20"/>
                <w:szCs w:val="20"/>
              </w:rPr>
              <w:t>West Midlands</w:t>
            </w:r>
          </w:p>
        </w:tc>
        <w:tc>
          <w:tcPr>
            <w:tcW w:w="2025" w:type="dxa"/>
            <w:vAlign w:val="bottom"/>
          </w:tcPr>
          <w:p w14:paraId="0C1DBD4E" w14:textId="06411568" w:rsidR="00257F09" w:rsidRPr="000C1798" w:rsidRDefault="00257F09" w:rsidP="00C33BBA">
            <w:pPr>
              <w:spacing w:line="480" w:lineRule="auto"/>
              <w:rPr>
                <w:rFonts w:ascii="Verdana" w:hAnsi="Verdana"/>
                <w:sz w:val="20"/>
                <w:szCs w:val="20"/>
              </w:rPr>
            </w:pPr>
            <w:r>
              <w:rPr>
                <w:rFonts w:ascii="Verdana" w:hAnsi="Verdana"/>
                <w:sz w:val="20"/>
                <w:szCs w:val="20"/>
              </w:rPr>
              <w:t>3</w:t>
            </w:r>
          </w:p>
        </w:tc>
        <w:tc>
          <w:tcPr>
            <w:tcW w:w="2025" w:type="dxa"/>
            <w:vAlign w:val="bottom"/>
          </w:tcPr>
          <w:p w14:paraId="0E73C407" w14:textId="245C2A35" w:rsidR="00257F09" w:rsidRPr="000C1798" w:rsidRDefault="00257F09" w:rsidP="00C33BBA">
            <w:pPr>
              <w:spacing w:line="480" w:lineRule="auto"/>
              <w:rPr>
                <w:rFonts w:ascii="Verdana" w:hAnsi="Verdana"/>
                <w:sz w:val="20"/>
                <w:szCs w:val="20"/>
              </w:rPr>
            </w:pPr>
            <w:r w:rsidRPr="00CC3F2D">
              <w:rPr>
                <w:rFonts w:ascii="Verdana" w:hAnsi="Verdana"/>
                <w:sz w:val="20"/>
                <w:szCs w:val="20"/>
              </w:rPr>
              <w:t>5</w:t>
            </w:r>
            <w:r>
              <w:rPr>
                <w:rFonts w:ascii="Verdana" w:hAnsi="Verdana"/>
                <w:sz w:val="20"/>
                <w:szCs w:val="20"/>
              </w:rPr>
              <w:t>,</w:t>
            </w:r>
            <w:r w:rsidRPr="00CC3F2D">
              <w:rPr>
                <w:rFonts w:ascii="Verdana" w:hAnsi="Verdana"/>
                <w:sz w:val="20"/>
                <w:szCs w:val="20"/>
              </w:rPr>
              <w:t>843</w:t>
            </w:r>
          </w:p>
        </w:tc>
        <w:tc>
          <w:tcPr>
            <w:tcW w:w="2025" w:type="dxa"/>
            <w:vAlign w:val="bottom"/>
          </w:tcPr>
          <w:p w14:paraId="0A340242" w14:textId="3795C6CC" w:rsidR="00257F09" w:rsidRPr="000C1798" w:rsidRDefault="00257F09" w:rsidP="00C33BBA">
            <w:pPr>
              <w:spacing w:line="480" w:lineRule="auto"/>
              <w:rPr>
                <w:rFonts w:ascii="Verdana" w:hAnsi="Verdana"/>
                <w:sz w:val="20"/>
                <w:szCs w:val="20"/>
              </w:rPr>
            </w:pPr>
            <w:r w:rsidRPr="00257F09">
              <w:rPr>
                <w:rFonts w:ascii="Verdana" w:hAnsi="Verdana"/>
                <w:sz w:val="20"/>
                <w:szCs w:val="20"/>
              </w:rPr>
              <w:t>1</w:t>
            </w:r>
            <w:r>
              <w:rPr>
                <w:rFonts w:ascii="Verdana" w:hAnsi="Verdana"/>
                <w:sz w:val="20"/>
                <w:szCs w:val="20"/>
              </w:rPr>
              <w:t>,</w:t>
            </w:r>
            <w:r w:rsidRPr="00257F09">
              <w:rPr>
                <w:rFonts w:ascii="Verdana" w:hAnsi="Verdana"/>
                <w:sz w:val="20"/>
                <w:szCs w:val="20"/>
              </w:rPr>
              <w:t>137</w:t>
            </w:r>
          </w:p>
        </w:tc>
        <w:tc>
          <w:tcPr>
            <w:tcW w:w="2025" w:type="dxa"/>
            <w:vAlign w:val="bottom"/>
          </w:tcPr>
          <w:p w14:paraId="08475CEC" w14:textId="569D713B" w:rsidR="00257F09" w:rsidRPr="000C1798" w:rsidRDefault="00257F09" w:rsidP="00C33BBA">
            <w:pPr>
              <w:spacing w:line="480" w:lineRule="auto"/>
              <w:rPr>
                <w:rFonts w:ascii="Verdana" w:hAnsi="Verdana"/>
                <w:sz w:val="20"/>
                <w:szCs w:val="20"/>
              </w:rPr>
            </w:pPr>
            <w:r w:rsidRPr="00CC3F2D">
              <w:rPr>
                <w:rFonts w:ascii="Verdana" w:hAnsi="Verdana"/>
                <w:sz w:val="20"/>
                <w:szCs w:val="20"/>
              </w:rPr>
              <w:t>19.5%</w:t>
            </w:r>
          </w:p>
        </w:tc>
        <w:tc>
          <w:tcPr>
            <w:tcW w:w="2025" w:type="dxa"/>
            <w:vAlign w:val="bottom"/>
          </w:tcPr>
          <w:p w14:paraId="34C46D07" w14:textId="3A73F0A2" w:rsidR="00257F09" w:rsidRPr="000C1798" w:rsidRDefault="00257F09" w:rsidP="00C33BBA">
            <w:pPr>
              <w:spacing w:line="480" w:lineRule="auto"/>
              <w:rPr>
                <w:rFonts w:ascii="Verdana" w:hAnsi="Verdana"/>
                <w:sz w:val="20"/>
                <w:szCs w:val="20"/>
              </w:rPr>
            </w:pPr>
            <w:r w:rsidRPr="00CC3F2D">
              <w:rPr>
                <w:rFonts w:ascii="Verdana" w:hAnsi="Verdana"/>
                <w:sz w:val="20"/>
                <w:szCs w:val="20"/>
              </w:rPr>
              <w:t>14.0%</w:t>
            </w:r>
          </w:p>
        </w:tc>
      </w:tr>
      <w:tr w:rsidR="00257F09" w14:paraId="292611B7" w14:textId="77777777" w:rsidTr="00B545BC">
        <w:tc>
          <w:tcPr>
            <w:tcW w:w="2802" w:type="dxa"/>
          </w:tcPr>
          <w:p w14:paraId="426C61E4" w14:textId="70CA1AD5" w:rsidR="00257F09" w:rsidRPr="000C1798" w:rsidRDefault="00257F09" w:rsidP="00C33BBA">
            <w:pPr>
              <w:spacing w:line="480" w:lineRule="auto"/>
              <w:rPr>
                <w:rFonts w:ascii="Verdana" w:hAnsi="Verdana"/>
                <w:sz w:val="20"/>
                <w:szCs w:val="20"/>
              </w:rPr>
            </w:pPr>
            <w:r>
              <w:rPr>
                <w:rFonts w:ascii="Verdana" w:hAnsi="Verdana"/>
                <w:sz w:val="20"/>
                <w:szCs w:val="20"/>
              </w:rPr>
              <w:t>North East</w:t>
            </w:r>
          </w:p>
        </w:tc>
        <w:tc>
          <w:tcPr>
            <w:tcW w:w="2025" w:type="dxa"/>
            <w:vAlign w:val="bottom"/>
          </w:tcPr>
          <w:p w14:paraId="52F431EE" w14:textId="09DEDC40" w:rsidR="00257F09" w:rsidRPr="000C1798" w:rsidRDefault="00257F09" w:rsidP="00C33BBA">
            <w:pPr>
              <w:spacing w:line="480" w:lineRule="auto"/>
              <w:rPr>
                <w:rFonts w:ascii="Verdana" w:hAnsi="Verdana"/>
                <w:sz w:val="20"/>
                <w:szCs w:val="20"/>
              </w:rPr>
            </w:pPr>
            <w:r>
              <w:rPr>
                <w:rFonts w:ascii="Verdana" w:hAnsi="Verdana"/>
                <w:sz w:val="20"/>
                <w:szCs w:val="20"/>
              </w:rPr>
              <w:t>4</w:t>
            </w:r>
          </w:p>
        </w:tc>
        <w:tc>
          <w:tcPr>
            <w:tcW w:w="2025" w:type="dxa"/>
            <w:vAlign w:val="bottom"/>
          </w:tcPr>
          <w:p w14:paraId="2BE97E19" w14:textId="7ECBF590" w:rsidR="00257F09" w:rsidRPr="000C1798" w:rsidRDefault="00257F09" w:rsidP="00C33BBA">
            <w:pPr>
              <w:spacing w:line="480" w:lineRule="auto"/>
              <w:rPr>
                <w:rFonts w:ascii="Verdana" w:hAnsi="Verdana"/>
                <w:sz w:val="20"/>
                <w:szCs w:val="20"/>
              </w:rPr>
            </w:pPr>
            <w:r w:rsidRPr="00CC3F2D">
              <w:rPr>
                <w:rFonts w:ascii="Verdana" w:hAnsi="Verdana"/>
                <w:sz w:val="20"/>
                <w:szCs w:val="20"/>
              </w:rPr>
              <w:t>6</w:t>
            </w:r>
            <w:r>
              <w:rPr>
                <w:rFonts w:ascii="Verdana" w:hAnsi="Verdana"/>
                <w:sz w:val="20"/>
                <w:szCs w:val="20"/>
              </w:rPr>
              <w:t>,</w:t>
            </w:r>
            <w:r w:rsidRPr="00CC3F2D">
              <w:rPr>
                <w:rFonts w:ascii="Verdana" w:hAnsi="Verdana"/>
                <w:sz w:val="20"/>
                <w:szCs w:val="20"/>
              </w:rPr>
              <w:t>165</w:t>
            </w:r>
          </w:p>
        </w:tc>
        <w:tc>
          <w:tcPr>
            <w:tcW w:w="2025" w:type="dxa"/>
            <w:vAlign w:val="bottom"/>
          </w:tcPr>
          <w:p w14:paraId="3797516F" w14:textId="07F8596D" w:rsidR="00257F09" w:rsidRPr="000C1798" w:rsidRDefault="00257F09" w:rsidP="00C33BBA">
            <w:pPr>
              <w:spacing w:line="480" w:lineRule="auto"/>
              <w:rPr>
                <w:rFonts w:ascii="Verdana" w:hAnsi="Verdana"/>
                <w:sz w:val="20"/>
                <w:szCs w:val="20"/>
              </w:rPr>
            </w:pPr>
            <w:r w:rsidRPr="00257F09">
              <w:rPr>
                <w:rFonts w:ascii="Verdana" w:hAnsi="Verdana"/>
                <w:sz w:val="20"/>
                <w:szCs w:val="20"/>
              </w:rPr>
              <w:t>1</w:t>
            </w:r>
            <w:r>
              <w:rPr>
                <w:rFonts w:ascii="Verdana" w:hAnsi="Verdana"/>
                <w:sz w:val="20"/>
                <w:szCs w:val="20"/>
              </w:rPr>
              <w:t>,</w:t>
            </w:r>
            <w:r w:rsidRPr="00257F09">
              <w:rPr>
                <w:rFonts w:ascii="Verdana" w:hAnsi="Verdana"/>
                <w:sz w:val="20"/>
                <w:szCs w:val="20"/>
              </w:rPr>
              <w:t>344</w:t>
            </w:r>
          </w:p>
        </w:tc>
        <w:tc>
          <w:tcPr>
            <w:tcW w:w="2025" w:type="dxa"/>
            <w:vAlign w:val="bottom"/>
          </w:tcPr>
          <w:p w14:paraId="431BECAF" w14:textId="660CDF89" w:rsidR="00257F09" w:rsidRPr="000C1798" w:rsidRDefault="00257F09" w:rsidP="00C33BBA">
            <w:pPr>
              <w:spacing w:line="480" w:lineRule="auto"/>
              <w:rPr>
                <w:rFonts w:ascii="Verdana" w:hAnsi="Verdana"/>
                <w:sz w:val="20"/>
                <w:szCs w:val="20"/>
              </w:rPr>
            </w:pPr>
            <w:r w:rsidRPr="00CC3F2D">
              <w:rPr>
                <w:rFonts w:ascii="Verdana" w:hAnsi="Verdana"/>
                <w:sz w:val="20"/>
                <w:szCs w:val="20"/>
              </w:rPr>
              <w:t>21.8%</w:t>
            </w:r>
          </w:p>
        </w:tc>
        <w:tc>
          <w:tcPr>
            <w:tcW w:w="2025" w:type="dxa"/>
            <w:vAlign w:val="bottom"/>
          </w:tcPr>
          <w:p w14:paraId="2153DBDB" w14:textId="70B574CF" w:rsidR="00257F09" w:rsidRPr="000C1798" w:rsidRDefault="00257F09" w:rsidP="00C33BBA">
            <w:pPr>
              <w:spacing w:line="480" w:lineRule="auto"/>
              <w:rPr>
                <w:rFonts w:ascii="Verdana" w:hAnsi="Verdana"/>
                <w:sz w:val="20"/>
                <w:szCs w:val="20"/>
              </w:rPr>
            </w:pPr>
            <w:r w:rsidRPr="00CC3F2D">
              <w:rPr>
                <w:rFonts w:ascii="Verdana" w:hAnsi="Verdana"/>
                <w:sz w:val="20"/>
                <w:szCs w:val="20"/>
              </w:rPr>
              <w:t>16.5%</w:t>
            </w:r>
          </w:p>
        </w:tc>
      </w:tr>
      <w:tr w:rsidR="00257F09" w14:paraId="0AC6225B" w14:textId="77777777" w:rsidTr="00B545BC">
        <w:tc>
          <w:tcPr>
            <w:tcW w:w="2802" w:type="dxa"/>
            <w:tcBorders>
              <w:bottom w:val="single" w:sz="4" w:space="0" w:color="auto"/>
            </w:tcBorders>
          </w:tcPr>
          <w:p w14:paraId="348252F4" w14:textId="4C4B9080" w:rsidR="00257F09" w:rsidRPr="000C1798" w:rsidRDefault="00257F09" w:rsidP="00C33BBA">
            <w:pPr>
              <w:spacing w:line="480" w:lineRule="auto"/>
              <w:rPr>
                <w:rFonts w:ascii="Verdana" w:hAnsi="Verdana"/>
                <w:sz w:val="20"/>
                <w:szCs w:val="20"/>
              </w:rPr>
            </w:pPr>
            <w:r>
              <w:rPr>
                <w:rFonts w:ascii="Verdana" w:hAnsi="Verdana"/>
                <w:sz w:val="20"/>
                <w:szCs w:val="20"/>
              </w:rPr>
              <w:t>North West</w:t>
            </w:r>
          </w:p>
        </w:tc>
        <w:tc>
          <w:tcPr>
            <w:tcW w:w="2025" w:type="dxa"/>
            <w:tcBorders>
              <w:bottom w:val="single" w:sz="4" w:space="0" w:color="auto"/>
            </w:tcBorders>
            <w:vAlign w:val="bottom"/>
          </w:tcPr>
          <w:p w14:paraId="06B51A55" w14:textId="45B446D5" w:rsidR="00257F09" w:rsidRPr="000C1798" w:rsidRDefault="00257F09" w:rsidP="00C33BBA">
            <w:pPr>
              <w:spacing w:line="480" w:lineRule="auto"/>
              <w:rPr>
                <w:rFonts w:ascii="Verdana" w:hAnsi="Verdana"/>
                <w:sz w:val="20"/>
                <w:szCs w:val="20"/>
              </w:rPr>
            </w:pPr>
            <w:r>
              <w:rPr>
                <w:rFonts w:ascii="Verdana" w:hAnsi="Verdana"/>
                <w:sz w:val="20"/>
                <w:szCs w:val="20"/>
              </w:rPr>
              <w:t>3</w:t>
            </w:r>
          </w:p>
        </w:tc>
        <w:tc>
          <w:tcPr>
            <w:tcW w:w="2025" w:type="dxa"/>
            <w:tcBorders>
              <w:bottom w:val="single" w:sz="4" w:space="0" w:color="auto"/>
            </w:tcBorders>
            <w:vAlign w:val="bottom"/>
          </w:tcPr>
          <w:p w14:paraId="1AA0349C" w14:textId="71988BFF" w:rsidR="00257F09" w:rsidRPr="000C1798" w:rsidRDefault="00257F09" w:rsidP="00C33BBA">
            <w:pPr>
              <w:spacing w:line="480" w:lineRule="auto"/>
              <w:rPr>
                <w:rFonts w:ascii="Verdana" w:hAnsi="Verdana"/>
                <w:sz w:val="20"/>
                <w:szCs w:val="20"/>
              </w:rPr>
            </w:pPr>
            <w:r w:rsidRPr="00CC3F2D">
              <w:rPr>
                <w:rFonts w:ascii="Verdana" w:hAnsi="Verdana"/>
                <w:sz w:val="20"/>
                <w:szCs w:val="20"/>
              </w:rPr>
              <w:t>2</w:t>
            </w:r>
            <w:r>
              <w:rPr>
                <w:rFonts w:ascii="Verdana" w:hAnsi="Verdana"/>
                <w:sz w:val="20"/>
                <w:szCs w:val="20"/>
              </w:rPr>
              <w:t>,</w:t>
            </w:r>
            <w:r w:rsidRPr="00CC3F2D">
              <w:rPr>
                <w:rFonts w:ascii="Verdana" w:hAnsi="Verdana"/>
                <w:sz w:val="20"/>
                <w:szCs w:val="20"/>
              </w:rPr>
              <w:t>614</w:t>
            </w:r>
          </w:p>
        </w:tc>
        <w:tc>
          <w:tcPr>
            <w:tcW w:w="2025" w:type="dxa"/>
            <w:tcBorders>
              <w:bottom w:val="single" w:sz="4" w:space="0" w:color="auto"/>
            </w:tcBorders>
            <w:vAlign w:val="bottom"/>
          </w:tcPr>
          <w:p w14:paraId="0F0F033E" w14:textId="3DAEFD68" w:rsidR="00257F09" w:rsidRPr="000C1798" w:rsidRDefault="00257F09" w:rsidP="00C33BBA">
            <w:pPr>
              <w:spacing w:line="480" w:lineRule="auto"/>
              <w:rPr>
                <w:rFonts w:ascii="Verdana" w:hAnsi="Verdana"/>
                <w:sz w:val="20"/>
                <w:szCs w:val="20"/>
              </w:rPr>
            </w:pPr>
            <w:r w:rsidRPr="00257F09">
              <w:rPr>
                <w:rFonts w:ascii="Verdana" w:hAnsi="Verdana"/>
                <w:sz w:val="20"/>
                <w:szCs w:val="20"/>
              </w:rPr>
              <w:t>518</w:t>
            </w:r>
          </w:p>
        </w:tc>
        <w:tc>
          <w:tcPr>
            <w:tcW w:w="2025" w:type="dxa"/>
            <w:tcBorders>
              <w:bottom w:val="single" w:sz="4" w:space="0" w:color="auto"/>
            </w:tcBorders>
            <w:vAlign w:val="bottom"/>
          </w:tcPr>
          <w:p w14:paraId="4DFC0856" w14:textId="0F3F1041" w:rsidR="00257F09" w:rsidRPr="000C1798" w:rsidRDefault="00257F09" w:rsidP="00C33BBA">
            <w:pPr>
              <w:spacing w:line="480" w:lineRule="auto"/>
              <w:rPr>
                <w:rFonts w:ascii="Verdana" w:hAnsi="Verdana"/>
                <w:sz w:val="20"/>
                <w:szCs w:val="20"/>
              </w:rPr>
            </w:pPr>
            <w:r w:rsidRPr="00CC3F2D">
              <w:rPr>
                <w:rFonts w:ascii="Verdana" w:hAnsi="Verdana"/>
                <w:sz w:val="20"/>
                <w:szCs w:val="20"/>
              </w:rPr>
              <w:t>19.8%</w:t>
            </w:r>
          </w:p>
        </w:tc>
        <w:tc>
          <w:tcPr>
            <w:tcW w:w="2025" w:type="dxa"/>
            <w:tcBorders>
              <w:bottom w:val="single" w:sz="4" w:space="0" w:color="auto"/>
            </w:tcBorders>
            <w:vAlign w:val="bottom"/>
          </w:tcPr>
          <w:p w14:paraId="58D8A887" w14:textId="3FC97016" w:rsidR="00257F09" w:rsidRPr="000C1798" w:rsidRDefault="00257F09" w:rsidP="00C33BBA">
            <w:pPr>
              <w:spacing w:line="480" w:lineRule="auto"/>
              <w:rPr>
                <w:rFonts w:ascii="Verdana" w:hAnsi="Verdana"/>
                <w:sz w:val="20"/>
                <w:szCs w:val="20"/>
              </w:rPr>
            </w:pPr>
            <w:r w:rsidRPr="00CC3F2D">
              <w:rPr>
                <w:rFonts w:ascii="Verdana" w:hAnsi="Verdana"/>
                <w:sz w:val="20"/>
                <w:szCs w:val="20"/>
              </w:rPr>
              <w:t>6.4%</w:t>
            </w:r>
          </w:p>
        </w:tc>
      </w:tr>
      <w:tr w:rsidR="00870838" w14:paraId="5D020386" w14:textId="77777777" w:rsidTr="00870838">
        <w:tc>
          <w:tcPr>
            <w:tcW w:w="2802" w:type="dxa"/>
            <w:tcBorders>
              <w:top w:val="single" w:sz="4" w:space="0" w:color="auto"/>
              <w:bottom w:val="single" w:sz="4" w:space="0" w:color="auto"/>
            </w:tcBorders>
          </w:tcPr>
          <w:p w14:paraId="62DC70E0" w14:textId="77777777" w:rsidR="00870838" w:rsidRPr="000C1798" w:rsidRDefault="00870838" w:rsidP="00C33BBA">
            <w:pPr>
              <w:spacing w:line="480" w:lineRule="auto"/>
              <w:rPr>
                <w:rFonts w:ascii="Verdana" w:hAnsi="Verdana"/>
                <w:sz w:val="20"/>
                <w:szCs w:val="20"/>
              </w:rPr>
            </w:pPr>
            <w:r w:rsidRPr="000C1798">
              <w:rPr>
                <w:rFonts w:ascii="Verdana" w:hAnsi="Verdana"/>
                <w:sz w:val="20"/>
                <w:szCs w:val="20"/>
              </w:rPr>
              <w:t>All</w:t>
            </w:r>
          </w:p>
        </w:tc>
        <w:tc>
          <w:tcPr>
            <w:tcW w:w="2025" w:type="dxa"/>
            <w:tcBorders>
              <w:top w:val="single" w:sz="4" w:space="0" w:color="auto"/>
              <w:bottom w:val="single" w:sz="4" w:space="0" w:color="auto"/>
            </w:tcBorders>
          </w:tcPr>
          <w:p w14:paraId="3DE32C26" w14:textId="77777777" w:rsidR="00870838" w:rsidRPr="000C1798" w:rsidRDefault="00870838" w:rsidP="00C33BBA">
            <w:pPr>
              <w:spacing w:line="480" w:lineRule="auto"/>
              <w:rPr>
                <w:rFonts w:ascii="Verdana" w:hAnsi="Verdana"/>
                <w:sz w:val="20"/>
                <w:szCs w:val="20"/>
              </w:rPr>
            </w:pPr>
            <w:r>
              <w:rPr>
                <w:rFonts w:ascii="Verdana" w:hAnsi="Verdana"/>
                <w:sz w:val="20"/>
                <w:szCs w:val="20"/>
              </w:rPr>
              <w:t>24</w:t>
            </w:r>
          </w:p>
        </w:tc>
        <w:tc>
          <w:tcPr>
            <w:tcW w:w="2025" w:type="dxa"/>
            <w:tcBorders>
              <w:top w:val="single" w:sz="4" w:space="0" w:color="auto"/>
              <w:bottom w:val="single" w:sz="4" w:space="0" w:color="auto"/>
            </w:tcBorders>
            <w:vAlign w:val="bottom"/>
          </w:tcPr>
          <w:p w14:paraId="536F0159" w14:textId="043FAB0E" w:rsidR="00870838" w:rsidRPr="000C1798" w:rsidRDefault="00870838" w:rsidP="00C33BBA">
            <w:pPr>
              <w:spacing w:line="480" w:lineRule="auto"/>
              <w:rPr>
                <w:rFonts w:ascii="Verdana" w:hAnsi="Verdana"/>
                <w:sz w:val="20"/>
                <w:szCs w:val="20"/>
              </w:rPr>
            </w:pPr>
            <w:r w:rsidRPr="00CC3F2D">
              <w:rPr>
                <w:rFonts w:ascii="Verdana" w:hAnsi="Verdana"/>
                <w:sz w:val="20"/>
                <w:szCs w:val="20"/>
              </w:rPr>
              <w:t>39</w:t>
            </w:r>
            <w:r w:rsidR="00CC3F2D">
              <w:rPr>
                <w:rFonts w:ascii="Verdana" w:hAnsi="Verdana"/>
                <w:sz w:val="20"/>
                <w:szCs w:val="20"/>
              </w:rPr>
              <w:t>,</w:t>
            </w:r>
            <w:r w:rsidRPr="00CC3F2D">
              <w:rPr>
                <w:rFonts w:ascii="Verdana" w:hAnsi="Verdana"/>
                <w:sz w:val="20"/>
                <w:szCs w:val="20"/>
              </w:rPr>
              <w:t>359</w:t>
            </w:r>
          </w:p>
        </w:tc>
        <w:tc>
          <w:tcPr>
            <w:tcW w:w="2025" w:type="dxa"/>
            <w:tcBorders>
              <w:top w:val="single" w:sz="4" w:space="0" w:color="auto"/>
              <w:bottom w:val="single" w:sz="4" w:space="0" w:color="auto"/>
            </w:tcBorders>
            <w:vAlign w:val="bottom"/>
          </w:tcPr>
          <w:p w14:paraId="6493897F" w14:textId="7F248AE8" w:rsidR="00870838" w:rsidRPr="000C1798" w:rsidRDefault="00870838" w:rsidP="00C33BBA">
            <w:pPr>
              <w:spacing w:line="480" w:lineRule="auto"/>
              <w:rPr>
                <w:rFonts w:ascii="Verdana" w:hAnsi="Verdana"/>
                <w:sz w:val="20"/>
                <w:szCs w:val="20"/>
              </w:rPr>
            </w:pPr>
            <w:r w:rsidRPr="00CC3F2D">
              <w:rPr>
                <w:rFonts w:ascii="Verdana" w:hAnsi="Verdana"/>
                <w:sz w:val="20"/>
                <w:szCs w:val="20"/>
              </w:rPr>
              <w:t>8</w:t>
            </w:r>
            <w:r w:rsidR="00CC3F2D">
              <w:rPr>
                <w:rFonts w:ascii="Verdana" w:hAnsi="Verdana"/>
                <w:sz w:val="20"/>
                <w:szCs w:val="20"/>
              </w:rPr>
              <w:t>,</w:t>
            </w:r>
            <w:r w:rsidRPr="00CC3F2D">
              <w:rPr>
                <w:rFonts w:ascii="Verdana" w:hAnsi="Verdana"/>
                <w:sz w:val="20"/>
                <w:szCs w:val="20"/>
              </w:rPr>
              <w:t>1</w:t>
            </w:r>
            <w:r w:rsidR="00257F09">
              <w:rPr>
                <w:rFonts w:ascii="Verdana" w:hAnsi="Verdana"/>
                <w:sz w:val="20"/>
                <w:szCs w:val="20"/>
              </w:rPr>
              <w:t>34</w:t>
            </w:r>
          </w:p>
        </w:tc>
        <w:tc>
          <w:tcPr>
            <w:tcW w:w="2025" w:type="dxa"/>
            <w:tcBorders>
              <w:top w:val="single" w:sz="4" w:space="0" w:color="auto"/>
              <w:bottom w:val="single" w:sz="4" w:space="0" w:color="auto"/>
            </w:tcBorders>
            <w:vAlign w:val="bottom"/>
          </w:tcPr>
          <w:p w14:paraId="0B0EC8FF" w14:textId="757CD1AC" w:rsidR="00870838" w:rsidRPr="000C1798" w:rsidRDefault="00870838" w:rsidP="00C33BBA">
            <w:pPr>
              <w:spacing w:line="480" w:lineRule="auto"/>
              <w:rPr>
                <w:rFonts w:ascii="Verdana" w:hAnsi="Verdana"/>
                <w:sz w:val="20"/>
                <w:szCs w:val="20"/>
              </w:rPr>
            </w:pPr>
            <w:r w:rsidRPr="00CC3F2D">
              <w:rPr>
                <w:rFonts w:ascii="Verdana" w:hAnsi="Verdana"/>
                <w:sz w:val="20"/>
                <w:szCs w:val="20"/>
              </w:rPr>
              <w:t>20.7%</w:t>
            </w:r>
          </w:p>
        </w:tc>
        <w:tc>
          <w:tcPr>
            <w:tcW w:w="2025" w:type="dxa"/>
            <w:tcBorders>
              <w:top w:val="single" w:sz="4" w:space="0" w:color="auto"/>
              <w:bottom w:val="single" w:sz="4" w:space="0" w:color="auto"/>
            </w:tcBorders>
            <w:vAlign w:val="bottom"/>
          </w:tcPr>
          <w:p w14:paraId="51419BC7" w14:textId="790AEC44" w:rsidR="00870838" w:rsidRPr="000C1798" w:rsidRDefault="00CC3F2D" w:rsidP="00C33BBA">
            <w:pPr>
              <w:spacing w:line="480" w:lineRule="auto"/>
              <w:rPr>
                <w:rFonts w:ascii="Verdana" w:hAnsi="Verdana"/>
                <w:sz w:val="20"/>
                <w:szCs w:val="20"/>
              </w:rPr>
            </w:pPr>
            <w:r>
              <w:rPr>
                <w:rFonts w:ascii="Verdana" w:hAnsi="Verdana"/>
                <w:sz w:val="20"/>
                <w:szCs w:val="20"/>
              </w:rPr>
              <w:t>(</w:t>
            </w:r>
            <w:r w:rsidR="00870838" w:rsidRPr="00CC3F2D">
              <w:rPr>
                <w:rFonts w:ascii="Verdana" w:hAnsi="Verdana"/>
                <w:sz w:val="20"/>
                <w:szCs w:val="20"/>
              </w:rPr>
              <w:t>100.0%</w:t>
            </w:r>
            <w:r>
              <w:rPr>
                <w:rFonts w:ascii="Verdana" w:hAnsi="Verdana"/>
                <w:sz w:val="20"/>
                <w:szCs w:val="20"/>
              </w:rPr>
              <w:t>)</w:t>
            </w:r>
          </w:p>
        </w:tc>
      </w:tr>
    </w:tbl>
    <w:p w14:paraId="7B46A1C3" w14:textId="77777777" w:rsidR="00B545BC" w:rsidRDefault="00B545BC" w:rsidP="00C33BBA">
      <w:pPr>
        <w:spacing w:line="480" w:lineRule="auto"/>
        <w:rPr>
          <w:rFonts w:ascii="Verdana" w:hAnsi="Verdana"/>
          <w:b/>
          <w:sz w:val="20"/>
          <w:szCs w:val="20"/>
        </w:rPr>
      </w:pPr>
    </w:p>
    <w:p w14:paraId="4C187693" w14:textId="77777777" w:rsidR="00B545BC" w:rsidRDefault="00B545BC" w:rsidP="00C33BBA">
      <w:pPr>
        <w:spacing w:line="480" w:lineRule="auto"/>
        <w:rPr>
          <w:rFonts w:ascii="Verdana" w:hAnsi="Verdana"/>
          <w:b/>
          <w:sz w:val="20"/>
          <w:szCs w:val="20"/>
        </w:rPr>
      </w:pPr>
      <w:r>
        <w:rPr>
          <w:rFonts w:ascii="Verdana" w:hAnsi="Verdana"/>
          <w:b/>
          <w:sz w:val="20"/>
          <w:szCs w:val="20"/>
        </w:rPr>
        <w:br w:type="page"/>
      </w:r>
    </w:p>
    <w:p w14:paraId="5A851831" w14:textId="77777777" w:rsidR="000C1798" w:rsidRPr="001D1DD1" w:rsidRDefault="000C1798" w:rsidP="00C33BBA">
      <w:pPr>
        <w:spacing w:line="480" w:lineRule="auto"/>
        <w:rPr>
          <w:rFonts w:ascii="Verdana" w:hAnsi="Verdana"/>
          <w:b/>
          <w:sz w:val="20"/>
          <w:szCs w:val="20"/>
        </w:rPr>
      </w:pPr>
    </w:p>
    <w:p w14:paraId="726DA22A" w14:textId="77777777" w:rsidR="00DA03A0" w:rsidRDefault="00DA03A0" w:rsidP="00C33BBA">
      <w:pPr>
        <w:spacing w:line="480" w:lineRule="auto"/>
      </w:pPr>
    </w:p>
    <w:p w14:paraId="0DA792BA" w14:textId="09649BEB" w:rsidR="00095737" w:rsidRDefault="00095737" w:rsidP="00C33BBA">
      <w:pPr>
        <w:spacing w:line="480" w:lineRule="auto"/>
        <w:rPr>
          <w:rFonts w:ascii="Verdana" w:hAnsi="Verdana"/>
          <w:b/>
          <w:sz w:val="20"/>
          <w:szCs w:val="20"/>
        </w:rPr>
      </w:pPr>
      <w:r>
        <w:rPr>
          <w:rFonts w:ascii="Verdana" w:hAnsi="Verdana"/>
          <w:b/>
          <w:sz w:val="20"/>
          <w:szCs w:val="20"/>
        </w:rPr>
        <w:t>Table</w:t>
      </w:r>
      <w:r w:rsidR="00301A12">
        <w:rPr>
          <w:rFonts w:ascii="Verdana" w:hAnsi="Verdana"/>
          <w:b/>
          <w:sz w:val="20"/>
          <w:szCs w:val="20"/>
        </w:rPr>
        <w:t xml:space="preserve"> 7</w:t>
      </w:r>
      <w:r>
        <w:rPr>
          <w:rFonts w:ascii="Verdana" w:hAnsi="Verdana"/>
          <w:b/>
          <w:sz w:val="20"/>
          <w:szCs w:val="20"/>
        </w:rPr>
        <w:t xml:space="preserve">: </w:t>
      </w:r>
      <w:r w:rsidR="001E0E7F">
        <w:rPr>
          <w:rFonts w:ascii="Verdana" w:hAnsi="Verdana"/>
          <w:b/>
          <w:sz w:val="20"/>
          <w:szCs w:val="20"/>
        </w:rPr>
        <w:t xml:space="preserve">HEAF </w:t>
      </w:r>
      <w:r w:rsidR="00E07732">
        <w:rPr>
          <w:rFonts w:ascii="Verdana" w:hAnsi="Verdana"/>
          <w:b/>
          <w:sz w:val="20"/>
          <w:szCs w:val="20"/>
        </w:rPr>
        <w:t xml:space="preserve">baseline </w:t>
      </w:r>
      <w:r w:rsidR="001E0E7F">
        <w:rPr>
          <w:rFonts w:ascii="Verdana" w:hAnsi="Verdana"/>
          <w:b/>
          <w:sz w:val="20"/>
          <w:szCs w:val="20"/>
        </w:rPr>
        <w:t>response rates by age and sex</w:t>
      </w:r>
    </w:p>
    <w:p w14:paraId="7B4BA641" w14:textId="77777777" w:rsidR="00095737" w:rsidRPr="00095737" w:rsidRDefault="00095737" w:rsidP="00C33BBA">
      <w:pPr>
        <w:spacing w:line="480" w:lineRule="auto"/>
        <w:rPr>
          <w:rFonts w:ascii="Verdana" w:hAnsi="Verdana"/>
          <w:b/>
          <w:sz w:val="20"/>
          <w:szCs w:val="20"/>
        </w:rPr>
      </w:pPr>
    </w:p>
    <w:p w14:paraId="70B4A5BC" w14:textId="77777777" w:rsidR="00095737" w:rsidRDefault="00095737" w:rsidP="00C33BBA">
      <w:pPr>
        <w:spacing w:line="48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843"/>
        <w:gridCol w:w="284"/>
        <w:gridCol w:w="1559"/>
        <w:gridCol w:w="1559"/>
      </w:tblGrid>
      <w:tr w:rsidR="003B6F7E" w:rsidRPr="00FF789F" w14:paraId="4A521E8B" w14:textId="77777777" w:rsidTr="00200B36">
        <w:tc>
          <w:tcPr>
            <w:tcW w:w="4219" w:type="dxa"/>
            <w:tcBorders>
              <w:top w:val="single" w:sz="4" w:space="0" w:color="auto"/>
            </w:tcBorders>
          </w:tcPr>
          <w:p w14:paraId="5D471807" w14:textId="77777777" w:rsidR="003B6F7E" w:rsidRPr="00FF789F" w:rsidRDefault="003B6F7E" w:rsidP="00C33BBA">
            <w:pPr>
              <w:spacing w:line="480" w:lineRule="auto"/>
              <w:rPr>
                <w:rFonts w:ascii="Verdana" w:hAnsi="Verdana" w:cs="Arial"/>
                <w:sz w:val="20"/>
              </w:rPr>
            </w:pPr>
          </w:p>
        </w:tc>
        <w:tc>
          <w:tcPr>
            <w:tcW w:w="1843" w:type="dxa"/>
            <w:tcBorders>
              <w:top w:val="single" w:sz="4" w:space="0" w:color="auto"/>
            </w:tcBorders>
          </w:tcPr>
          <w:p w14:paraId="23DE045C" w14:textId="5D00C948" w:rsidR="003B6F7E" w:rsidRPr="00200B36" w:rsidRDefault="003B6F7E" w:rsidP="00C33BBA">
            <w:pPr>
              <w:spacing w:line="480" w:lineRule="auto"/>
              <w:rPr>
                <w:rFonts w:ascii="Verdana" w:hAnsi="Verdana"/>
                <w:b/>
                <w:sz w:val="20"/>
                <w:szCs w:val="20"/>
              </w:rPr>
            </w:pPr>
            <w:r w:rsidRPr="00200B36">
              <w:rPr>
                <w:rFonts w:ascii="Verdana" w:hAnsi="Verdana"/>
                <w:b/>
                <w:sz w:val="20"/>
                <w:szCs w:val="20"/>
              </w:rPr>
              <w:t>N (%) responded</w:t>
            </w:r>
          </w:p>
        </w:tc>
        <w:tc>
          <w:tcPr>
            <w:tcW w:w="284" w:type="dxa"/>
            <w:tcBorders>
              <w:top w:val="single" w:sz="4" w:space="0" w:color="auto"/>
            </w:tcBorders>
          </w:tcPr>
          <w:p w14:paraId="1759F04D" w14:textId="77777777" w:rsidR="003B6F7E" w:rsidRPr="00200B36" w:rsidRDefault="003B6F7E" w:rsidP="00C33BBA">
            <w:pPr>
              <w:spacing w:line="480" w:lineRule="auto"/>
              <w:rPr>
                <w:rFonts w:ascii="Verdana" w:hAnsi="Verdana"/>
                <w:b/>
                <w:sz w:val="20"/>
                <w:szCs w:val="20"/>
              </w:rPr>
            </w:pPr>
          </w:p>
        </w:tc>
        <w:tc>
          <w:tcPr>
            <w:tcW w:w="1559" w:type="dxa"/>
            <w:tcBorders>
              <w:top w:val="single" w:sz="4" w:space="0" w:color="auto"/>
              <w:bottom w:val="single" w:sz="4" w:space="0" w:color="auto"/>
            </w:tcBorders>
          </w:tcPr>
          <w:p w14:paraId="70647A42" w14:textId="77777777" w:rsidR="003B6F7E" w:rsidRPr="00200B36" w:rsidRDefault="003B6F7E" w:rsidP="00C33BBA">
            <w:pPr>
              <w:spacing w:line="480" w:lineRule="auto"/>
              <w:rPr>
                <w:rFonts w:ascii="Verdana" w:hAnsi="Verdana"/>
                <w:b/>
                <w:sz w:val="20"/>
                <w:szCs w:val="20"/>
              </w:rPr>
            </w:pPr>
            <w:r w:rsidRPr="00200B36">
              <w:rPr>
                <w:rFonts w:ascii="Verdana" w:hAnsi="Verdana"/>
                <w:b/>
                <w:sz w:val="20"/>
                <w:szCs w:val="20"/>
              </w:rPr>
              <w:t>% of all</w:t>
            </w:r>
          </w:p>
        </w:tc>
        <w:tc>
          <w:tcPr>
            <w:tcW w:w="1559" w:type="dxa"/>
            <w:tcBorders>
              <w:top w:val="single" w:sz="4" w:space="0" w:color="auto"/>
              <w:bottom w:val="single" w:sz="4" w:space="0" w:color="auto"/>
            </w:tcBorders>
          </w:tcPr>
          <w:p w14:paraId="59B33055" w14:textId="77777777" w:rsidR="003B6F7E" w:rsidRPr="00200B36" w:rsidRDefault="003B6F7E" w:rsidP="00C33BBA">
            <w:pPr>
              <w:spacing w:line="480" w:lineRule="auto"/>
              <w:rPr>
                <w:rFonts w:ascii="Verdana" w:hAnsi="Verdana"/>
                <w:b/>
                <w:sz w:val="20"/>
                <w:szCs w:val="20"/>
              </w:rPr>
            </w:pPr>
          </w:p>
        </w:tc>
      </w:tr>
      <w:tr w:rsidR="003B6F7E" w14:paraId="5436500C" w14:textId="77777777" w:rsidTr="00200B36">
        <w:tc>
          <w:tcPr>
            <w:tcW w:w="4219" w:type="dxa"/>
            <w:tcBorders>
              <w:bottom w:val="single" w:sz="4" w:space="0" w:color="auto"/>
            </w:tcBorders>
          </w:tcPr>
          <w:p w14:paraId="4B6AA964" w14:textId="77777777" w:rsidR="003B6F7E" w:rsidRDefault="003B6F7E" w:rsidP="00C33BBA">
            <w:pPr>
              <w:spacing w:line="480" w:lineRule="auto"/>
            </w:pPr>
          </w:p>
        </w:tc>
        <w:tc>
          <w:tcPr>
            <w:tcW w:w="1843" w:type="dxa"/>
            <w:tcBorders>
              <w:bottom w:val="single" w:sz="4" w:space="0" w:color="auto"/>
            </w:tcBorders>
          </w:tcPr>
          <w:p w14:paraId="217ABDAD" w14:textId="77777777" w:rsidR="003B6F7E" w:rsidRPr="00200B36" w:rsidRDefault="003B6F7E" w:rsidP="00C33BBA">
            <w:pPr>
              <w:spacing w:line="480" w:lineRule="auto"/>
              <w:rPr>
                <w:rFonts w:ascii="Verdana" w:hAnsi="Verdana"/>
                <w:b/>
                <w:sz w:val="20"/>
                <w:szCs w:val="20"/>
              </w:rPr>
            </w:pPr>
          </w:p>
        </w:tc>
        <w:tc>
          <w:tcPr>
            <w:tcW w:w="284" w:type="dxa"/>
            <w:tcBorders>
              <w:bottom w:val="single" w:sz="4" w:space="0" w:color="auto"/>
            </w:tcBorders>
          </w:tcPr>
          <w:p w14:paraId="7CCB5A41" w14:textId="77777777" w:rsidR="003B6F7E" w:rsidRPr="00200B36" w:rsidRDefault="003B6F7E" w:rsidP="00C33BBA">
            <w:pPr>
              <w:spacing w:line="480" w:lineRule="auto"/>
              <w:rPr>
                <w:rFonts w:ascii="Verdana" w:hAnsi="Verdana"/>
                <w:b/>
                <w:sz w:val="20"/>
                <w:szCs w:val="20"/>
              </w:rPr>
            </w:pPr>
          </w:p>
        </w:tc>
        <w:tc>
          <w:tcPr>
            <w:tcW w:w="1559" w:type="dxa"/>
            <w:tcBorders>
              <w:top w:val="single" w:sz="4" w:space="0" w:color="auto"/>
              <w:bottom w:val="single" w:sz="4" w:space="0" w:color="auto"/>
            </w:tcBorders>
          </w:tcPr>
          <w:p w14:paraId="20526999" w14:textId="057CB622" w:rsidR="003B6F7E" w:rsidRPr="00200B36" w:rsidRDefault="003B6F7E" w:rsidP="00C33BBA">
            <w:pPr>
              <w:spacing w:line="480" w:lineRule="auto"/>
              <w:rPr>
                <w:rFonts w:ascii="Verdana" w:hAnsi="Verdana"/>
                <w:b/>
                <w:sz w:val="20"/>
                <w:szCs w:val="20"/>
              </w:rPr>
            </w:pPr>
            <w:r w:rsidRPr="00200B36">
              <w:rPr>
                <w:rFonts w:ascii="Verdana" w:hAnsi="Verdana"/>
                <w:b/>
                <w:sz w:val="20"/>
                <w:szCs w:val="20"/>
              </w:rPr>
              <w:t>Sample</w:t>
            </w:r>
            <w:r w:rsidRPr="00200B36">
              <w:rPr>
                <w:rFonts w:ascii="Verdana" w:hAnsi="Verdana"/>
                <w:b/>
                <w:sz w:val="20"/>
                <w:szCs w:val="20"/>
                <w:vertAlign w:val="superscript"/>
              </w:rPr>
              <w:t>a</w:t>
            </w:r>
          </w:p>
        </w:tc>
        <w:tc>
          <w:tcPr>
            <w:tcW w:w="1559" w:type="dxa"/>
            <w:tcBorders>
              <w:top w:val="single" w:sz="4" w:space="0" w:color="auto"/>
              <w:bottom w:val="single" w:sz="4" w:space="0" w:color="auto"/>
            </w:tcBorders>
          </w:tcPr>
          <w:p w14:paraId="14A9E156" w14:textId="3F08BE74" w:rsidR="003B6F7E" w:rsidRPr="00200B36" w:rsidRDefault="003B6F7E" w:rsidP="00C33BBA">
            <w:pPr>
              <w:spacing w:line="480" w:lineRule="auto"/>
              <w:rPr>
                <w:rFonts w:ascii="Verdana" w:hAnsi="Verdana"/>
                <w:b/>
                <w:sz w:val="20"/>
                <w:szCs w:val="20"/>
              </w:rPr>
            </w:pPr>
            <w:r w:rsidRPr="00200B36">
              <w:rPr>
                <w:rFonts w:ascii="Verdana" w:hAnsi="Verdana"/>
                <w:b/>
                <w:sz w:val="20"/>
                <w:szCs w:val="20"/>
              </w:rPr>
              <w:t>Population</w:t>
            </w:r>
            <w:r w:rsidRPr="00200B36">
              <w:rPr>
                <w:rFonts w:ascii="Verdana" w:hAnsi="Verdana"/>
                <w:b/>
                <w:sz w:val="20"/>
                <w:szCs w:val="20"/>
                <w:vertAlign w:val="superscript"/>
              </w:rPr>
              <w:t>b</w:t>
            </w:r>
          </w:p>
        </w:tc>
      </w:tr>
      <w:tr w:rsidR="003B6F7E" w:rsidRPr="0028345F" w14:paraId="4C654CCF" w14:textId="77777777" w:rsidTr="00200B36">
        <w:tc>
          <w:tcPr>
            <w:tcW w:w="4219" w:type="dxa"/>
            <w:tcBorders>
              <w:top w:val="single" w:sz="4" w:space="0" w:color="auto"/>
            </w:tcBorders>
          </w:tcPr>
          <w:p w14:paraId="42A9B1DA" w14:textId="27F5F621" w:rsidR="003B6F7E" w:rsidRPr="0028345F" w:rsidRDefault="003B6F7E" w:rsidP="00C33BBA">
            <w:pPr>
              <w:pStyle w:val="ListParagraph"/>
              <w:widowControl w:val="0"/>
              <w:spacing w:before="120" w:line="480" w:lineRule="auto"/>
              <w:ind w:left="0"/>
              <w:rPr>
                <w:rFonts w:ascii="Verdana" w:hAnsi="Verdana" w:cs="Arial"/>
                <w:sz w:val="20"/>
                <w:szCs w:val="20"/>
              </w:rPr>
            </w:pPr>
            <w:r w:rsidRPr="0028345F">
              <w:rPr>
                <w:rFonts w:ascii="Verdana" w:hAnsi="Verdana" w:cs="Arial"/>
                <w:sz w:val="20"/>
                <w:szCs w:val="20"/>
              </w:rPr>
              <w:t>Date of birth (approx. age at baseline</w:t>
            </w:r>
            <w:r>
              <w:rPr>
                <w:rFonts w:ascii="Verdana" w:hAnsi="Verdana" w:cs="Arial"/>
                <w:sz w:val="20"/>
                <w:szCs w:val="20"/>
                <w:vertAlign w:val="superscript"/>
              </w:rPr>
              <w:t>c</w:t>
            </w:r>
            <w:r w:rsidRPr="0028345F">
              <w:rPr>
                <w:rFonts w:ascii="Verdana" w:hAnsi="Verdana" w:cs="Arial"/>
                <w:sz w:val="20"/>
                <w:szCs w:val="20"/>
              </w:rPr>
              <w:t>)</w:t>
            </w:r>
          </w:p>
        </w:tc>
        <w:tc>
          <w:tcPr>
            <w:tcW w:w="1843" w:type="dxa"/>
            <w:tcBorders>
              <w:top w:val="single" w:sz="4" w:space="0" w:color="auto"/>
            </w:tcBorders>
          </w:tcPr>
          <w:p w14:paraId="6BB14442" w14:textId="77777777" w:rsidR="003B6F7E" w:rsidRPr="0028345F" w:rsidRDefault="003B6F7E" w:rsidP="00C33BBA">
            <w:pPr>
              <w:pStyle w:val="ListParagraph"/>
              <w:widowControl w:val="0"/>
              <w:spacing w:before="120" w:line="480" w:lineRule="auto"/>
              <w:ind w:left="0"/>
              <w:rPr>
                <w:rFonts w:ascii="Verdana" w:hAnsi="Verdana" w:cs="Arial"/>
                <w:sz w:val="20"/>
                <w:szCs w:val="20"/>
              </w:rPr>
            </w:pPr>
          </w:p>
        </w:tc>
        <w:tc>
          <w:tcPr>
            <w:tcW w:w="284" w:type="dxa"/>
            <w:tcBorders>
              <w:top w:val="single" w:sz="4" w:space="0" w:color="auto"/>
            </w:tcBorders>
          </w:tcPr>
          <w:p w14:paraId="0A9476D7" w14:textId="77777777" w:rsidR="003B6F7E" w:rsidRPr="0028345F" w:rsidRDefault="003B6F7E" w:rsidP="00C33BBA">
            <w:pPr>
              <w:pStyle w:val="ListParagraph"/>
              <w:widowControl w:val="0"/>
              <w:spacing w:before="120" w:line="480" w:lineRule="auto"/>
              <w:ind w:left="0"/>
              <w:rPr>
                <w:rFonts w:ascii="Verdana" w:hAnsi="Verdana" w:cs="Arial"/>
                <w:sz w:val="20"/>
                <w:szCs w:val="20"/>
              </w:rPr>
            </w:pPr>
          </w:p>
        </w:tc>
        <w:tc>
          <w:tcPr>
            <w:tcW w:w="1559" w:type="dxa"/>
            <w:tcBorders>
              <w:top w:val="single" w:sz="4" w:space="0" w:color="auto"/>
            </w:tcBorders>
          </w:tcPr>
          <w:p w14:paraId="7C9FDEDC" w14:textId="77777777" w:rsidR="003B6F7E" w:rsidRPr="0028345F" w:rsidRDefault="003B6F7E" w:rsidP="00C33BBA">
            <w:pPr>
              <w:pStyle w:val="ListParagraph"/>
              <w:widowControl w:val="0"/>
              <w:spacing w:before="120" w:line="480" w:lineRule="auto"/>
              <w:ind w:left="0"/>
              <w:rPr>
                <w:rFonts w:ascii="Verdana" w:hAnsi="Verdana" w:cs="Arial"/>
                <w:sz w:val="20"/>
                <w:szCs w:val="20"/>
              </w:rPr>
            </w:pPr>
          </w:p>
        </w:tc>
        <w:tc>
          <w:tcPr>
            <w:tcW w:w="1559" w:type="dxa"/>
            <w:tcBorders>
              <w:top w:val="single" w:sz="4" w:space="0" w:color="auto"/>
            </w:tcBorders>
          </w:tcPr>
          <w:p w14:paraId="1C358613" w14:textId="77777777" w:rsidR="003B6F7E" w:rsidRPr="0028345F" w:rsidRDefault="003B6F7E" w:rsidP="00C33BBA">
            <w:pPr>
              <w:pStyle w:val="ListParagraph"/>
              <w:widowControl w:val="0"/>
              <w:spacing w:before="120" w:line="480" w:lineRule="auto"/>
              <w:ind w:left="0"/>
              <w:rPr>
                <w:rFonts w:ascii="Verdana" w:hAnsi="Verdana" w:cs="Arial"/>
                <w:sz w:val="20"/>
                <w:szCs w:val="20"/>
              </w:rPr>
            </w:pPr>
          </w:p>
        </w:tc>
      </w:tr>
      <w:tr w:rsidR="003B6F7E" w:rsidRPr="0028345F" w14:paraId="35D21172" w14:textId="77777777" w:rsidTr="00200B36">
        <w:tc>
          <w:tcPr>
            <w:tcW w:w="4219" w:type="dxa"/>
          </w:tcPr>
          <w:p w14:paraId="65408D18" w14:textId="5C0798F2"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1948-1922 (60-64)</w:t>
            </w:r>
          </w:p>
        </w:tc>
        <w:tc>
          <w:tcPr>
            <w:tcW w:w="1843" w:type="dxa"/>
          </w:tcPr>
          <w:p w14:paraId="3F0B3960" w14:textId="256708E9" w:rsidR="003B6F7E" w:rsidRPr="0028345F" w:rsidRDefault="003B6F7E" w:rsidP="00C33BBA">
            <w:pPr>
              <w:pStyle w:val="ListParagraph"/>
              <w:widowControl w:val="0"/>
              <w:spacing w:line="480" w:lineRule="auto"/>
              <w:ind w:left="0"/>
              <w:rPr>
                <w:rFonts w:ascii="Verdana" w:hAnsi="Verdana" w:cs="Arial"/>
                <w:sz w:val="20"/>
                <w:szCs w:val="20"/>
              </w:rPr>
            </w:pPr>
            <w:r>
              <w:rPr>
                <w:rFonts w:ascii="Verdana" w:hAnsi="Verdana" w:cs="Arial"/>
                <w:sz w:val="20"/>
                <w:szCs w:val="20"/>
              </w:rPr>
              <w:t>3,444 (28)</w:t>
            </w:r>
          </w:p>
        </w:tc>
        <w:tc>
          <w:tcPr>
            <w:tcW w:w="284" w:type="dxa"/>
          </w:tcPr>
          <w:p w14:paraId="2CA4F3AA"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4F2487CA" w14:textId="0482AAD3" w:rsidR="003B6F7E" w:rsidRPr="0028345F" w:rsidRDefault="000C39B8" w:rsidP="00C33BBA">
            <w:pPr>
              <w:pStyle w:val="ListParagraph"/>
              <w:widowControl w:val="0"/>
              <w:spacing w:line="480" w:lineRule="auto"/>
              <w:ind w:left="0"/>
              <w:rPr>
                <w:rFonts w:ascii="Verdana" w:hAnsi="Verdana" w:cs="Arial"/>
                <w:sz w:val="20"/>
                <w:szCs w:val="20"/>
              </w:rPr>
            </w:pPr>
            <w:r>
              <w:rPr>
                <w:rFonts w:ascii="Verdana" w:hAnsi="Verdana" w:cs="Arial"/>
                <w:sz w:val="20"/>
                <w:szCs w:val="20"/>
              </w:rPr>
              <w:t>42</w:t>
            </w:r>
          </w:p>
        </w:tc>
        <w:tc>
          <w:tcPr>
            <w:tcW w:w="1559" w:type="dxa"/>
          </w:tcPr>
          <w:p w14:paraId="477A31B7" w14:textId="07A53EC9"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3</w:t>
            </w:r>
            <w:r w:rsidR="000C39B8">
              <w:rPr>
                <w:rFonts w:ascii="Verdana" w:hAnsi="Verdana" w:cs="Arial"/>
                <w:sz w:val="20"/>
                <w:szCs w:val="20"/>
              </w:rPr>
              <w:t>0</w:t>
            </w:r>
          </w:p>
        </w:tc>
      </w:tr>
      <w:tr w:rsidR="003B6F7E" w:rsidRPr="0028345F" w14:paraId="002CE827" w14:textId="77777777" w:rsidTr="00200B36">
        <w:tc>
          <w:tcPr>
            <w:tcW w:w="4219" w:type="dxa"/>
          </w:tcPr>
          <w:p w14:paraId="56F425B1" w14:textId="6529180A"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1953-1957 (55-59)</w:t>
            </w:r>
          </w:p>
        </w:tc>
        <w:tc>
          <w:tcPr>
            <w:tcW w:w="1843" w:type="dxa"/>
          </w:tcPr>
          <w:p w14:paraId="7481D721" w14:textId="20F87E57" w:rsidR="003B6F7E" w:rsidRPr="0028345F" w:rsidRDefault="003B6F7E" w:rsidP="00C33BBA">
            <w:pPr>
              <w:pStyle w:val="ListParagraph"/>
              <w:widowControl w:val="0"/>
              <w:spacing w:line="480" w:lineRule="auto"/>
              <w:ind w:left="0"/>
              <w:rPr>
                <w:rFonts w:ascii="Verdana" w:hAnsi="Verdana" w:cs="Arial"/>
                <w:sz w:val="20"/>
                <w:szCs w:val="20"/>
              </w:rPr>
            </w:pPr>
            <w:r>
              <w:rPr>
                <w:rFonts w:ascii="Verdana" w:hAnsi="Verdana" w:cs="Arial"/>
                <w:sz w:val="20"/>
                <w:szCs w:val="20"/>
              </w:rPr>
              <w:t>2,582 (20)</w:t>
            </w:r>
          </w:p>
        </w:tc>
        <w:tc>
          <w:tcPr>
            <w:tcW w:w="284" w:type="dxa"/>
          </w:tcPr>
          <w:p w14:paraId="34270A7F"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58CA6734" w14:textId="2157795E"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32</w:t>
            </w:r>
          </w:p>
        </w:tc>
        <w:tc>
          <w:tcPr>
            <w:tcW w:w="1559" w:type="dxa"/>
          </w:tcPr>
          <w:p w14:paraId="67E61127" w14:textId="77777777"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32</w:t>
            </w:r>
          </w:p>
        </w:tc>
      </w:tr>
      <w:tr w:rsidR="003B6F7E" w:rsidRPr="0028345F" w14:paraId="478A0609" w14:textId="77777777" w:rsidTr="00200B36">
        <w:tc>
          <w:tcPr>
            <w:tcW w:w="4219" w:type="dxa"/>
          </w:tcPr>
          <w:p w14:paraId="55D2D19F" w14:textId="501E8444" w:rsidR="003B6F7E" w:rsidRPr="0028345F" w:rsidRDefault="003B6F7E" w:rsidP="00C33BBA">
            <w:pPr>
              <w:pStyle w:val="ListParagraph"/>
              <w:widowControl w:val="0"/>
              <w:spacing w:line="480" w:lineRule="auto"/>
              <w:ind w:left="0"/>
              <w:rPr>
                <w:rFonts w:ascii="Verdana" w:hAnsi="Verdana" w:cs="Arial"/>
                <w:sz w:val="20"/>
                <w:szCs w:val="20"/>
                <w:vertAlign w:val="superscript"/>
              </w:rPr>
            </w:pPr>
            <w:r w:rsidRPr="0028345F">
              <w:rPr>
                <w:rFonts w:ascii="Verdana" w:hAnsi="Verdana" w:cs="Arial"/>
                <w:sz w:val="20"/>
                <w:szCs w:val="20"/>
              </w:rPr>
              <w:t>1958-1962 (50-54)</w:t>
            </w:r>
          </w:p>
        </w:tc>
        <w:tc>
          <w:tcPr>
            <w:tcW w:w="1843" w:type="dxa"/>
          </w:tcPr>
          <w:p w14:paraId="5E4B6DC3" w14:textId="192ACE64" w:rsidR="003B6F7E" w:rsidRPr="0028345F" w:rsidRDefault="003B6F7E" w:rsidP="00C33BBA">
            <w:pPr>
              <w:pStyle w:val="ListParagraph"/>
              <w:widowControl w:val="0"/>
              <w:spacing w:line="480" w:lineRule="auto"/>
              <w:ind w:left="0"/>
              <w:rPr>
                <w:rFonts w:ascii="Verdana" w:hAnsi="Verdana" w:cs="Arial"/>
                <w:sz w:val="20"/>
                <w:szCs w:val="20"/>
              </w:rPr>
            </w:pPr>
            <w:r>
              <w:rPr>
                <w:rFonts w:ascii="Verdana" w:hAnsi="Verdana" w:cs="Arial"/>
                <w:sz w:val="20"/>
                <w:szCs w:val="20"/>
              </w:rPr>
              <w:t>2,108 (14)</w:t>
            </w:r>
          </w:p>
        </w:tc>
        <w:tc>
          <w:tcPr>
            <w:tcW w:w="284" w:type="dxa"/>
          </w:tcPr>
          <w:p w14:paraId="0EBEB785"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45932F73" w14:textId="23E00F56" w:rsidR="003B6F7E" w:rsidRPr="0028345F" w:rsidRDefault="000C39B8" w:rsidP="00C33BBA">
            <w:pPr>
              <w:pStyle w:val="ListParagraph"/>
              <w:widowControl w:val="0"/>
              <w:spacing w:line="480" w:lineRule="auto"/>
              <w:ind w:left="0"/>
              <w:rPr>
                <w:rFonts w:ascii="Verdana" w:hAnsi="Verdana" w:cs="Arial"/>
                <w:sz w:val="20"/>
                <w:szCs w:val="20"/>
              </w:rPr>
            </w:pPr>
            <w:r>
              <w:rPr>
                <w:rFonts w:ascii="Verdana" w:hAnsi="Verdana" w:cs="Arial"/>
                <w:sz w:val="20"/>
                <w:szCs w:val="20"/>
              </w:rPr>
              <w:t>26</w:t>
            </w:r>
          </w:p>
        </w:tc>
        <w:tc>
          <w:tcPr>
            <w:tcW w:w="1559" w:type="dxa"/>
          </w:tcPr>
          <w:p w14:paraId="3A902937" w14:textId="1874198C" w:rsidR="003B6F7E" w:rsidRPr="0028345F" w:rsidRDefault="000C39B8" w:rsidP="00C33BBA">
            <w:pPr>
              <w:pStyle w:val="ListParagraph"/>
              <w:widowControl w:val="0"/>
              <w:spacing w:line="480" w:lineRule="auto"/>
              <w:ind w:left="0"/>
              <w:rPr>
                <w:rFonts w:ascii="Verdana" w:hAnsi="Verdana" w:cs="Arial"/>
                <w:sz w:val="20"/>
                <w:szCs w:val="20"/>
              </w:rPr>
            </w:pPr>
            <w:r>
              <w:rPr>
                <w:rFonts w:ascii="Verdana" w:hAnsi="Verdana" w:cs="Arial"/>
                <w:sz w:val="20"/>
                <w:szCs w:val="20"/>
              </w:rPr>
              <w:t>37</w:t>
            </w:r>
          </w:p>
        </w:tc>
      </w:tr>
      <w:tr w:rsidR="003B6F7E" w:rsidRPr="0028345F" w14:paraId="68D1AE0B" w14:textId="77777777" w:rsidTr="00200B36">
        <w:tc>
          <w:tcPr>
            <w:tcW w:w="4219" w:type="dxa"/>
          </w:tcPr>
          <w:p w14:paraId="1516660F"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843" w:type="dxa"/>
          </w:tcPr>
          <w:p w14:paraId="5823C4A4"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284" w:type="dxa"/>
          </w:tcPr>
          <w:p w14:paraId="6F3BAE87"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5FA360E9" w14:textId="2B7AA4F3"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(100)</w:t>
            </w:r>
          </w:p>
        </w:tc>
        <w:tc>
          <w:tcPr>
            <w:tcW w:w="1559" w:type="dxa"/>
          </w:tcPr>
          <w:p w14:paraId="19C9ABD4" w14:textId="1B16DB1E"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(100)</w:t>
            </w:r>
          </w:p>
        </w:tc>
      </w:tr>
      <w:tr w:rsidR="003B6F7E" w:rsidRPr="0028345F" w14:paraId="4F4FCE98" w14:textId="77777777" w:rsidTr="00200B36">
        <w:tc>
          <w:tcPr>
            <w:tcW w:w="4219" w:type="dxa"/>
          </w:tcPr>
          <w:p w14:paraId="4F0EC785" w14:textId="77777777"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Sex:</w:t>
            </w:r>
          </w:p>
        </w:tc>
        <w:tc>
          <w:tcPr>
            <w:tcW w:w="1843" w:type="dxa"/>
          </w:tcPr>
          <w:p w14:paraId="4633EE18"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284" w:type="dxa"/>
          </w:tcPr>
          <w:p w14:paraId="5141E8A2"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6886677D"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073D220C" w14:textId="77777777" w:rsidR="003B6F7E" w:rsidRPr="0028345F" w:rsidRDefault="003B6F7E" w:rsidP="00C33BBA">
            <w:pPr>
              <w:pStyle w:val="ListParagraph"/>
              <w:widowControl w:val="0"/>
              <w:spacing w:line="480" w:lineRule="auto"/>
              <w:ind w:left="0"/>
              <w:rPr>
                <w:rFonts w:ascii="Verdana" w:hAnsi="Verdana" w:cs="Arial"/>
                <w:sz w:val="20"/>
                <w:szCs w:val="20"/>
              </w:rPr>
            </w:pPr>
          </w:p>
        </w:tc>
      </w:tr>
      <w:tr w:rsidR="003B6F7E" w:rsidRPr="0028345F" w14:paraId="3586C37F" w14:textId="77777777" w:rsidTr="00200B36">
        <w:tc>
          <w:tcPr>
            <w:tcW w:w="4219" w:type="dxa"/>
          </w:tcPr>
          <w:p w14:paraId="43B58BD0" w14:textId="77777777"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 xml:space="preserve">Male </w:t>
            </w:r>
          </w:p>
        </w:tc>
        <w:tc>
          <w:tcPr>
            <w:tcW w:w="1843" w:type="dxa"/>
          </w:tcPr>
          <w:p w14:paraId="6996AE5D" w14:textId="226F78C6" w:rsidR="003B6F7E" w:rsidRPr="0028345F" w:rsidRDefault="003B6F7E" w:rsidP="00C33BBA">
            <w:pPr>
              <w:pStyle w:val="ListParagraph"/>
              <w:widowControl w:val="0"/>
              <w:spacing w:line="480" w:lineRule="auto"/>
              <w:ind w:left="0"/>
              <w:rPr>
                <w:rFonts w:ascii="Verdana" w:hAnsi="Verdana" w:cs="Arial"/>
                <w:sz w:val="20"/>
                <w:szCs w:val="20"/>
              </w:rPr>
            </w:pPr>
            <w:r>
              <w:rPr>
                <w:rFonts w:ascii="Verdana" w:hAnsi="Verdana" w:cs="Arial"/>
                <w:sz w:val="20"/>
                <w:szCs w:val="20"/>
              </w:rPr>
              <w:t>3,707 (18)</w:t>
            </w:r>
          </w:p>
        </w:tc>
        <w:tc>
          <w:tcPr>
            <w:tcW w:w="284" w:type="dxa"/>
          </w:tcPr>
          <w:p w14:paraId="54AC0F0F"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67CA9427" w14:textId="554BF1AD"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46</w:t>
            </w:r>
          </w:p>
        </w:tc>
        <w:tc>
          <w:tcPr>
            <w:tcW w:w="1559" w:type="dxa"/>
          </w:tcPr>
          <w:p w14:paraId="61A296F9" w14:textId="77777777"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49</w:t>
            </w:r>
          </w:p>
        </w:tc>
      </w:tr>
      <w:tr w:rsidR="003B6F7E" w:rsidRPr="0028345F" w14:paraId="0D25A2BB" w14:textId="77777777" w:rsidTr="00200B36">
        <w:tc>
          <w:tcPr>
            <w:tcW w:w="4219" w:type="dxa"/>
          </w:tcPr>
          <w:p w14:paraId="0E06AE57" w14:textId="77777777"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Female</w:t>
            </w:r>
          </w:p>
        </w:tc>
        <w:tc>
          <w:tcPr>
            <w:tcW w:w="1843" w:type="dxa"/>
          </w:tcPr>
          <w:p w14:paraId="09239EB1" w14:textId="2195787F" w:rsidR="003B6F7E" w:rsidRPr="0028345F" w:rsidRDefault="003B6F7E" w:rsidP="00C33BBA">
            <w:pPr>
              <w:pStyle w:val="ListParagraph"/>
              <w:widowControl w:val="0"/>
              <w:spacing w:line="480" w:lineRule="auto"/>
              <w:ind w:left="0"/>
              <w:rPr>
                <w:rFonts w:ascii="Verdana" w:hAnsi="Verdana" w:cs="Arial"/>
                <w:sz w:val="20"/>
                <w:szCs w:val="20"/>
              </w:rPr>
            </w:pPr>
            <w:r>
              <w:rPr>
                <w:rFonts w:ascii="Verdana" w:hAnsi="Verdana" w:cs="Arial"/>
                <w:sz w:val="20"/>
                <w:szCs w:val="20"/>
              </w:rPr>
              <w:t>4,427 (22)</w:t>
            </w:r>
          </w:p>
        </w:tc>
        <w:tc>
          <w:tcPr>
            <w:tcW w:w="284" w:type="dxa"/>
          </w:tcPr>
          <w:p w14:paraId="368BABB1" w14:textId="77777777" w:rsidR="003B6F7E" w:rsidRPr="0028345F" w:rsidRDefault="003B6F7E" w:rsidP="00C33BBA">
            <w:pPr>
              <w:pStyle w:val="ListParagraph"/>
              <w:widowControl w:val="0"/>
              <w:spacing w:line="480" w:lineRule="auto"/>
              <w:ind w:left="0"/>
              <w:rPr>
                <w:rFonts w:ascii="Verdana" w:hAnsi="Verdana" w:cs="Arial"/>
                <w:sz w:val="20"/>
                <w:szCs w:val="20"/>
              </w:rPr>
            </w:pPr>
          </w:p>
        </w:tc>
        <w:tc>
          <w:tcPr>
            <w:tcW w:w="1559" w:type="dxa"/>
          </w:tcPr>
          <w:p w14:paraId="27467267" w14:textId="7FDB7654"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54</w:t>
            </w:r>
          </w:p>
        </w:tc>
        <w:tc>
          <w:tcPr>
            <w:tcW w:w="1559" w:type="dxa"/>
          </w:tcPr>
          <w:p w14:paraId="549FAFBC" w14:textId="77777777" w:rsidR="003B6F7E" w:rsidRPr="0028345F" w:rsidRDefault="003B6F7E" w:rsidP="00C33BBA">
            <w:pPr>
              <w:pStyle w:val="ListParagraph"/>
              <w:widowControl w:val="0"/>
              <w:spacing w:line="480" w:lineRule="auto"/>
              <w:ind w:left="0"/>
              <w:rPr>
                <w:rFonts w:ascii="Verdana" w:hAnsi="Verdana" w:cs="Arial"/>
                <w:sz w:val="20"/>
                <w:szCs w:val="20"/>
              </w:rPr>
            </w:pPr>
            <w:r w:rsidRPr="0028345F">
              <w:rPr>
                <w:rFonts w:ascii="Verdana" w:hAnsi="Verdana" w:cs="Arial"/>
                <w:sz w:val="20"/>
                <w:szCs w:val="20"/>
              </w:rPr>
              <w:t>51</w:t>
            </w:r>
          </w:p>
        </w:tc>
      </w:tr>
      <w:tr w:rsidR="003B6F7E" w14:paraId="34D191E6" w14:textId="77777777" w:rsidTr="00200B36">
        <w:tc>
          <w:tcPr>
            <w:tcW w:w="4219" w:type="dxa"/>
            <w:tcBorders>
              <w:bottom w:val="single" w:sz="4" w:space="0" w:color="auto"/>
            </w:tcBorders>
          </w:tcPr>
          <w:p w14:paraId="77E094D4" w14:textId="77777777" w:rsidR="003B6F7E" w:rsidRPr="00FF789F" w:rsidRDefault="003B6F7E" w:rsidP="00C33BBA">
            <w:pPr>
              <w:pStyle w:val="ListParagraph"/>
              <w:widowControl w:val="0"/>
              <w:spacing w:line="480" w:lineRule="auto"/>
              <w:ind w:left="0"/>
              <w:rPr>
                <w:rFonts w:ascii="Verdana" w:hAnsi="Verdana" w:cs="Arial"/>
                <w:sz w:val="20"/>
              </w:rPr>
            </w:pPr>
          </w:p>
        </w:tc>
        <w:tc>
          <w:tcPr>
            <w:tcW w:w="1843" w:type="dxa"/>
            <w:tcBorders>
              <w:bottom w:val="single" w:sz="4" w:space="0" w:color="auto"/>
            </w:tcBorders>
          </w:tcPr>
          <w:p w14:paraId="798DAB4F" w14:textId="77777777" w:rsidR="003B6F7E" w:rsidRPr="00FF789F" w:rsidRDefault="003B6F7E" w:rsidP="00C33BBA">
            <w:pPr>
              <w:pStyle w:val="ListParagraph"/>
              <w:widowControl w:val="0"/>
              <w:spacing w:line="480" w:lineRule="auto"/>
              <w:ind w:left="0"/>
              <w:rPr>
                <w:rFonts w:ascii="Verdana" w:hAnsi="Verdana" w:cs="Arial"/>
                <w:sz w:val="20"/>
              </w:rPr>
            </w:pPr>
          </w:p>
        </w:tc>
        <w:tc>
          <w:tcPr>
            <w:tcW w:w="284" w:type="dxa"/>
            <w:tcBorders>
              <w:bottom w:val="single" w:sz="4" w:space="0" w:color="auto"/>
            </w:tcBorders>
          </w:tcPr>
          <w:p w14:paraId="4AF1F873" w14:textId="77777777" w:rsidR="003B6F7E" w:rsidRPr="00FF789F" w:rsidRDefault="003B6F7E" w:rsidP="00C33BBA">
            <w:pPr>
              <w:pStyle w:val="ListParagraph"/>
              <w:widowControl w:val="0"/>
              <w:spacing w:line="480" w:lineRule="auto"/>
              <w:ind w:left="0"/>
              <w:rPr>
                <w:rFonts w:ascii="Verdana" w:hAnsi="Verdana" w:cs="Arial"/>
                <w:sz w:val="20"/>
              </w:rPr>
            </w:pPr>
          </w:p>
        </w:tc>
        <w:tc>
          <w:tcPr>
            <w:tcW w:w="1559" w:type="dxa"/>
            <w:tcBorders>
              <w:bottom w:val="single" w:sz="4" w:space="0" w:color="auto"/>
            </w:tcBorders>
          </w:tcPr>
          <w:p w14:paraId="3FD52C45" w14:textId="56E0C365" w:rsidR="003B6F7E" w:rsidRPr="00FF789F" w:rsidRDefault="003B6F7E" w:rsidP="00C33BBA">
            <w:pPr>
              <w:pStyle w:val="ListParagraph"/>
              <w:widowControl w:val="0"/>
              <w:spacing w:line="480" w:lineRule="auto"/>
              <w:ind w:left="0"/>
              <w:rPr>
                <w:rFonts w:ascii="Verdana" w:hAnsi="Verdana" w:cs="Arial"/>
                <w:sz w:val="20"/>
              </w:rPr>
            </w:pPr>
            <w:r>
              <w:rPr>
                <w:rFonts w:ascii="Verdana" w:hAnsi="Verdana" w:cs="Arial"/>
                <w:sz w:val="20"/>
              </w:rPr>
              <w:t>(100)</w:t>
            </w:r>
          </w:p>
        </w:tc>
        <w:tc>
          <w:tcPr>
            <w:tcW w:w="1559" w:type="dxa"/>
            <w:tcBorders>
              <w:bottom w:val="single" w:sz="4" w:space="0" w:color="auto"/>
            </w:tcBorders>
          </w:tcPr>
          <w:p w14:paraId="70101A65" w14:textId="07B4EE0F" w:rsidR="003B6F7E" w:rsidRPr="00FF789F" w:rsidRDefault="003B6F7E" w:rsidP="00C33BBA">
            <w:pPr>
              <w:pStyle w:val="ListParagraph"/>
              <w:widowControl w:val="0"/>
              <w:spacing w:line="480" w:lineRule="auto"/>
              <w:ind w:left="0"/>
              <w:rPr>
                <w:rFonts w:ascii="Verdana" w:hAnsi="Verdana" w:cs="Arial"/>
                <w:sz w:val="20"/>
              </w:rPr>
            </w:pPr>
            <w:r>
              <w:rPr>
                <w:rFonts w:ascii="Verdana" w:hAnsi="Verdana" w:cs="Arial"/>
                <w:sz w:val="20"/>
              </w:rPr>
              <w:t>(100)</w:t>
            </w:r>
          </w:p>
        </w:tc>
      </w:tr>
    </w:tbl>
    <w:p w14:paraId="20FD7866" w14:textId="78B92E97" w:rsidR="00095737" w:rsidRPr="0028345F" w:rsidRDefault="003B6F7E" w:rsidP="00C33BBA">
      <w:pPr>
        <w:spacing w:line="480" w:lineRule="auto"/>
        <w:rPr>
          <w:rFonts w:ascii="Verdana" w:hAnsi="Verdana"/>
          <w:sz w:val="20"/>
          <w:szCs w:val="20"/>
        </w:rPr>
      </w:pPr>
      <w:r>
        <w:rPr>
          <w:rFonts w:ascii="Verdana" w:hAnsi="Verdana"/>
          <w:sz w:val="20"/>
          <w:szCs w:val="20"/>
        </w:rPr>
        <w:lastRenderedPageBreak/>
        <w:t>a</w:t>
      </w:r>
      <w:r w:rsidR="00095737" w:rsidRPr="0028345F">
        <w:rPr>
          <w:rFonts w:ascii="Verdana" w:hAnsi="Verdana"/>
          <w:sz w:val="20"/>
          <w:szCs w:val="20"/>
        </w:rPr>
        <w:t xml:space="preserve"> – column</w:t>
      </w:r>
      <w:r w:rsidR="000C39B8">
        <w:rPr>
          <w:rFonts w:ascii="Verdana" w:hAnsi="Verdana"/>
          <w:sz w:val="20"/>
          <w:szCs w:val="20"/>
        </w:rPr>
        <w:t xml:space="preserve"> %;</w:t>
      </w:r>
      <w:r w:rsidR="001F3AFE" w:rsidRPr="0028345F">
        <w:rPr>
          <w:rFonts w:ascii="Verdana" w:hAnsi="Verdana"/>
          <w:sz w:val="20"/>
          <w:szCs w:val="20"/>
        </w:rPr>
        <w:t xml:space="preserve"> </w:t>
      </w:r>
      <w:r>
        <w:rPr>
          <w:rFonts w:ascii="Verdana" w:hAnsi="Verdana"/>
          <w:sz w:val="20"/>
          <w:szCs w:val="20"/>
        </w:rPr>
        <w:t>b</w:t>
      </w:r>
      <w:r w:rsidR="00095737" w:rsidRPr="0028345F">
        <w:rPr>
          <w:rFonts w:ascii="Verdana" w:hAnsi="Verdana"/>
          <w:sz w:val="20"/>
          <w:szCs w:val="20"/>
        </w:rPr>
        <w:t xml:space="preserve"> – Population of England aged 50-64 years, estimated for June 2013 by </w:t>
      </w:r>
      <w:r w:rsidR="001F3AFE" w:rsidRPr="0028345F">
        <w:rPr>
          <w:rFonts w:ascii="Verdana" w:hAnsi="Verdana"/>
          <w:sz w:val="20"/>
          <w:szCs w:val="20"/>
        </w:rPr>
        <w:t>the Office for National Statistics</w:t>
      </w:r>
      <w:r w:rsidR="000E1B8D" w:rsidRPr="0028345F">
        <w:rPr>
          <w:rFonts w:ascii="Verdana" w:hAnsi="Verdana"/>
          <w:sz w:val="20"/>
          <w:szCs w:val="20"/>
        </w:rPr>
        <w:t xml:space="preserve"> </w:t>
      </w:r>
      <w:r w:rsidR="00095737" w:rsidRPr="0028345F">
        <w:rPr>
          <w:rFonts w:ascii="Verdana" w:hAnsi="Verdana"/>
          <w:sz w:val="20"/>
          <w:szCs w:val="20"/>
        </w:rPr>
        <w:t>(</w:t>
      </w:r>
      <w:hyperlink r:id="rId24" w:anchor="tab-data-tables" w:history="1">
        <w:r w:rsidR="00095737" w:rsidRPr="0028345F">
          <w:rPr>
            <w:rStyle w:val="Hyperlink"/>
            <w:rFonts w:ascii="Verdana" w:hAnsi="Verdana"/>
            <w:sz w:val="20"/>
            <w:szCs w:val="20"/>
          </w:rPr>
          <w:t>http://ons.gov.uk/ons/taxonomy/index.html?nscl=Population#tab-data-tables</w:t>
        </w:r>
      </w:hyperlink>
      <w:r w:rsidR="00095737" w:rsidRPr="0028345F">
        <w:rPr>
          <w:rFonts w:ascii="Verdana" w:hAnsi="Verdana"/>
          <w:sz w:val="20"/>
          <w:szCs w:val="20"/>
        </w:rPr>
        <w:t>, accessed 12/3/15)</w:t>
      </w:r>
      <w:r w:rsidR="000C39B8">
        <w:rPr>
          <w:rFonts w:ascii="Verdana" w:hAnsi="Verdana"/>
          <w:sz w:val="20"/>
          <w:szCs w:val="20"/>
        </w:rPr>
        <w:t>;</w:t>
      </w:r>
      <w:r w:rsidR="000E1B8D" w:rsidRPr="0028345F">
        <w:rPr>
          <w:rFonts w:ascii="Verdana" w:hAnsi="Verdana"/>
          <w:sz w:val="20"/>
          <w:szCs w:val="20"/>
        </w:rPr>
        <w:t xml:space="preserve"> </w:t>
      </w:r>
      <w:r>
        <w:rPr>
          <w:rFonts w:ascii="Verdana" w:hAnsi="Verdana"/>
          <w:sz w:val="20"/>
          <w:szCs w:val="20"/>
        </w:rPr>
        <w:t>c</w:t>
      </w:r>
      <w:r w:rsidR="000E1B8D" w:rsidRPr="0028345F">
        <w:rPr>
          <w:rFonts w:ascii="Verdana" w:hAnsi="Verdana"/>
          <w:sz w:val="20"/>
          <w:szCs w:val="20"/>
        </w:rPr>
        <w:t xml:space="preserve"> – </w:t>
      </w:r>
      <w:r w:rsidR="00C720CF" w:rsidRPr="0028345F">
        <w:rPr>
          <w:rFonts w:ascii="Verdana" w:hAnsi="Verdana"/>
          <w:sz w:val="20"/>
          <w:szCs w:val="20"/>
        </w:rPr>
        <w:t>based on the age when sampling lists were drawn up (</w:t>
      </w:r>
      <w:r w:rsidR="00925C63">
        <w:rPr>
          <w:rFonts w:ascii="Verdana" w:hAnsi="Verdana"/>
          <w:sz w:val="20"/>
          <w:szCs w:val="20"/>
        </w:rPr>
        <w:t>a minority of</w:t>
      </w:r>
      <w:r>
        <w:rPr>
          <w:rFonts w:ascii="Verdana" w:hAnsi="Verdana"/>
          <w:sz w:val="20"/>
          <w:szCs w:val="20"/>
        </w:rPr>
        <w:t xml:space="preserve"> subjects</w:t>
      </w:r>
      <w:r w:rsidR="00C720CF" w:rsidRPr="0028345F">
        <w:rPr>
          <w:rFonts w:ascii="Verdana" w:hAnsi="Verdana"/>
          <w:sz w:val="20"/>
          <w:szCs w:val="20"/>
        </w:rPr>
        <w:t xml:space="preserve"> crossed age boundaries</w:t>
      </w:r>
      <w:r w:rsidR="000E1B8D" w:rsidRPr="0028345F">
        <w:rPr>
          <w:rFonts w:ascii="Verdana" w:hAnsi="Verdana"/>
          <w:sz w:val="20"/>
          <w:szCs w:val="20"/>
        </w:rPr>
        <w:t xml:space="preserve"> </w:t>
      </w:r>
      <w:r w:rsidR="00C720CF" w:rsidRPr="0028345F">
        <w:rPr>
          <w:rFonts w:ascii="Verdana" w:hAnsi="Verdana"/>
          <w:sz w:val="20"/>
          <w:szCs w:val="20"/>
        </w:rPr>
        <w:t xml:space="preserve">by the time of response – </w:t>
      </w:r>
      <w:r>
        <w:rPr>
          <w:rFonts w:ascii="Verdana" w:hAnsi="Verdana"/>
          <w:sz w:val="20"/>
          <w:szCs w:val="20"/>
        </w:rPr>
        <w:t>e.g.</w:t>
      </w:r>
      <w:r w:rsidR="00C720CF" w:rsidRPr="0028345F">
        <w:rPr>
          <w:rFonts w:ascii="Verdana" w:hAnsi="Verdana"/>
          <w:sz w:val="20"/>
          <w:szCs w:val="20"/>
        </w:rPr>
        <w:t xml:space="preserve"> </w:t>
      </w:r>
      <w:r w:rsidR="00925C63">
        <w:rPr>
          <w:rFonts w:ascii="Verdana" w:hAnsi="Verdana"/>
          <w:sz w:val="20"/>
          <w:szCs w:val="20"/>
        </w:rPr>
        <w:t>557</w:t>
      </w:r>
      <w:r w:rsidR="00C720CF" w:rsidRPr="0028345F">
        <w:rPr>
          <w:rFonts w:ascii="Verdana" w:hAnsi="Verdana"/>
          <w:sz w:val="20"/>
          <w:szCs w:val="20"/>
        </w:rPr>
        <w:t xml:space="preserve"> were aged 65 years by then)</w:t>
      </w:r>
    </w:p>
    <w:p w14:paraId="3700A278" w14:textId="77777777" w:rsidR="00095737" w:rsidRPr="0028345F" w:rsidRDefault="00095737" w:rsidP="00C33BBA">
      <w:pPr>
        <w:pStyle w:val="ListParagraph"/>
        <w:widowControl w:val="0"/>
        <w:spacing w:line="480" w:lineRule="auto"/>
        <w:ind w:left="0"/>
        <w:rPr>
          <w:rFonts w:ascii="Verdana" w:hAnsi="Verdana"/>
          <w:b/>
          <w:sz w:val="20"/>
          <w:szCs w:val="20"/>
        </w:rPr>
      </w:pPr>
    </w:p>
    <w:p w14:paraId="0B928352" w14:textId="77777777" w:rsidR="00095737" w:rsidRDefault="00095737" w:rsidP="00C33BBA">
      <w:pPr>
        <w:spacing w:line="480" w:lineRule="auto"/>
        <w:rPr>
          <w:rFonts w:ascii="Verdana" w:hAnsi="Verdana"/>
          <w:b/>
          <w:sz w:val="20"/>
          <w:szCs w:val="20"/>
        </w:rPr>
      </w:pPr>
      <w:r>
        <w:rPr>
          <w:rFonts w:ascii="Verdana" w:hAnsi="Verdana"/>
          <w:b/>
          <w:sz w:val="20"/>
          <w:szCs w:val="20"/>
        </w:rPr>
        <w:br w:type="page"/>
      </w:r>
    </w:p>
    <w:p w14:paraId="51CB752B" w14:textId="51C03BB0" w:rsidR="00A85989" w:rsidRPr="006C7AE1" w:rsidRDefault="00A85989" w:rsidP="00C33BBA">
      <w:pPr>
        <w:pStyle w:val="ListParagraph"/>
        <w:widowControl w:val="0"/>
        <w:spacing w:line="480" w:lineRule="auto"/>
        <w:ind w:left="0"/>
        <w:rPr>
          <w:rFonts w:ascii="Verdana" w:hAnsi="Verdana"/>
          <w:b/>
          <w:sz w:val="20"/>
          <w:szCs w:val="20"/>
        </w:rPr>
      </w:pPr>
      <w:r w:rsidRPr="006C7AE1">
        <w:rPr>
          <w:rFonts w:ascii="Verdana" w:hAnsi="Verdana"/>
          <w:b/>
          <w:sz w:val="20"/>
          <w:szCs w:val="20"/>
        </w:rPr>
        <w:lastRenderedPageBreak/>
        <w:t xml:space="preserve">Table </w:t>
      </w:r>
      <w:r w:rsidR="00301A12">
        <w:rPr>
          <w:rFonts w:ascii="Verdana" w:hAnsi="Verdana"/>
          <w:b/>
          <w:sz w:val="20"/>
          <w:szCs w:val="20"/>
        </w:rPr>
        <w:t>8</w:t>
      </w:r>
      <w:r w:rsidRPr="006C7AE1">
        <w:rPr>
          <w:rFonts w:ascii="Verdana" w:hAnsi="Verdana"/>
          <w:b/>
          <w:sz w:val="20"/>
          <w:szCs w:val="20"/>
        </w:rPr>
        <w:t xml:space="preserve">: </w:t>
      </w:r>
      <w:r w:rsidR="00095737">
        <w:rPr>
          <w:rFonts w:ascii="Verdana" w:hAnsi="Verdana"/>
          <w:b/>
          <w:sz w:val="20"/>
          <w:szCs w:val="20"/>
        </w:rPr>
        <w:t>E</w:t>
      </w:r>
      <w:r w:rsidR="00095737" w:rsidRPr="006C7AE1">
        <w:rPr>
          <w:rFonts w:ascii="Verdana" w:hAnsi="Verdana"/>
          <w:b/>
          <w:sz w:val="20"/>
          <w:szCs w:val="20"/>
        </w:rPr>
        <w:t xml:space="preserve">mployment status </w:t>
      </w:r>
      <w:r w:rsidR="00F8431F">
        <w:rPr>
          <w:rFonts w:ascii="Verdana" w:hAnsi="Verdana"/>
          <w:b/>
          <w:sz w:val="20"/>
          <w:szCs w:val="20"/>
        </w:rPr>
        <w:t>of respondents</w:t>
      </w:r>
      <w:r w:rsidRPr="006C7AE1">
        <w:rPr>
          <w:rFonts w:ascii="Verdana" w:hAnsi="Verdana"/>
          <w:b/>
          <w:sz w:val="20"/>
          <w:szCs w:val="20"/>
        </w:rPr>
        <w:t xml:space="preserve"> </w:t>
      </w:r>
      <w:r w:rsidR="00095737">
        <w:rPr>
          <w:rFonts w:ascii="Verdana" w:hAnsi="Verdana"/>
          <w:b/>
          <w:sz w:val="20"/>
          <w:szCs w:val="20"/>
        </w:rPr>
        <w:t>at baseline</w:t>
      </w:r>
    </w:p>
    <w:p w14:paraId="055AD0CF" w14:textId="77777777" w:rsidR="00A85989" w:rsidRDefault="00A85989" w:rsidP="00C33BBA">
      <w:pPr>
        <w:pStyle w:val="ListParagraph"/>
        <w:widowControl w:val="0"/>
        <w:spacing w:line="480" w:lineRule="auto"/>
        <w:ind w:left="0"/>
        <w:rPr>
          <w:rFonts w:ascii="Verdana" w:hAnsi="Verdana"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855"/>
        <w:gridCol w:w="1511"/>
        <w:gridCol w:w="1614"/>
        <w:gridCol w:w="1843"/>
        <w:gridCol w:w="1559"/>
      </w:tblGrid>
      <w:tr w:rsidR="00200B36" w14:paraId="72088A9F" w14:textId="77777777" w:rsidTr="00200B36">
        <w:tc>
          <w:tcPr>
            <w:tcW w:w="2376" w:type="dxa"/>
            <w:vMerge w:val="restart"/>
            <w:tcBorders>
              <w:top w:val="single" w:sz="4" w:space="0" w:color="auto"/>
            </w:tcBorders>
          </w:tcPr>
          <w:p w14:paraId="0809550B" w14:textId="77777777" w:rsidR="00200B36" w:rsidRPr="00200B36" w:rsidRDefault="00200B36" w:rsidP="00C33BBA">
            <w:pPr>
              <w:pStyle w:val="ListParagraph"/>
              <w:widowControl w:val="0"/>
              <w:spacing w:line="480" w:lineRule="auto"/>
              <w:ind w:left="0"/>
              <w:rPr>
                <w:rFonts w:ascii="Verdana" w:hAnsi="Verdana" w:cs="Arial"/>
                <w:b/>
                <w:sz w:val="20"/>
                <w:szCs w:val="20"/>
              </w:rPr>
            </w:pPr>
            <w:r w:rsidRPr="00200B36">
              <w:rPr>
                <w:rFonts w:ascii="Verdana" w:hAnsi="Verdana" w:cs="Arial"/>
                <w:b/>
                <w:sz w:val="20"/>
                <w:szCs w:val="20"/>
              </w:rPr>
              <w:t>Characteristic</w:t>
            </w:r>
          </w:p>
        </w:tc>
        <w:tc>
          <w:tcPr>
            <w:tcW w:w="6823" w:type="dxa"/>
            <w:gridSpan w:val="4"/>
            <w:tcBorders>
              <w:top w:val="single" w:sz="4" w:space="0" w:color="auto"/>
              <w:bottom w:val="single" w:sz="4" w:space="0" w:color="auto"/>
            </w:tcBorders>
          </w:tcPr>
          <w:p w14:paraId="55F10ED2" w14:textId="77777777" w:rsidR="00200B36" w:rsidRPr="00200B36" w:rsidRDefault="00200B36" w:rsidP="00C33BBA">
            <w:pPr>
              <w:pStyle w:val="ListParagraph"/>
              <w:widowControl w:val="0"/>
              <w:spacing w:line="480" w:lineRule="auto"/>
              <w:ind w:left="0"/>
              <w:rPr>
                <w:rFonts w:ascii="Verdana" w:hAnsi="Verdana" w:cs="Arial"/>
                <w:b/>
                <w:sz w:val="20"/>
                <w:szCs w:val="20"/>
              </w:rPr>
            </w:pPr>
            <w:r w:rsidRPr="00200B36">
              <w:rPr>
                <w:rFonts w:ascii="Verdana" w:hAnsi="Verdana" w:cs="Arial"/>
                <w:b/>
                <w:sz w:val="20"/>
                <w:szCs w:val="20"/>
              </w:rPr>
              <w:t>Current work situation, N (%)</w:t>
            </w:r>
          </w:p>
        </w:tc>
        <w:tc>
          <w:tcPr>
            <w:tcW w:w="1559" w:type="dxa"/>
            <w:vMerge w:val="restart"/>
            <w:tcBorders>
              <w:top w:val="single" w:sz="4" w:space="0" w:color="auto"/>
            </w:tcBorders>
          </w:tcPr>
          <w:p w14:paraId="1BD268BB" w14:textId="77777777" w:rsidR="00200B36" w:rsidRPr="00200B36" w:rsidRDefault="00200B36" w:rsidP="00C33BBA">
            <w:pPr>
              <w:pStyle w:val="ListParagraph"/>
              <w:widowControl w:val="0"/>
              <w:spacing w:line="480" w:lineRule="auto"/>
              <w:ind w:left="0"/>
              <w:rPr>
                <w:rFonts w:ascii="Verdana" w:hAnsi="Verdana" w:cs="Arial"/>
                <w:b/>
                <w:sz w:val="20"/>
                <w:szCs w:val="20"/>
              </w:rPr>
            </w:pPr>
            <w:r w:rsidRPr="00200B36">
              <w:rPr>
                <w:rFonts w:ascii="Verdana" w:hAnsi="Verdana" w:cs="Arial"/>
                <w:b/>
                <w:sz w:val="20"/>
                <w:szCs w:val="20"/>
              </w:rPr>
              <w:t>More than 1 current job, N (%)</w:t>
            </w:r>
          </w:p>
        </w:tc>
      </w:tr>
      <w:tr w:rsidR="00200B36" w14:paraId="74A268BF" w14:textId="77777777" w:rsidTr="00200B36">
        <w:tc>
          <w:tcPr>
            <w:tcW w:w="2376" w:type="dxa"/>
            <w:vMerge/>
            <w:tcBorders>
              <w:bottom w:val="single" w:sz="4" w:space="0" w:color="auto"/>
            </w:tcBorders>
          </w:tcPr>
          <w:p w14:paraId="4CBAFAE9"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855" w:type="dxa"/>
            <w:tcBorders>
              <w:top w:val="single" w:sz="4" w:space="0" w:color="auto"/>
              <w:bottom w:val="single" w:sz="4" w:space="0" w:color="auto"/>
            </w:tcBorders>
          </w:tcPr>
          <w:p w14:paraId="7C8518B2" w14:textId="77777777" w:rsidR="00200B36" w:rsidRPr="00200B36" w:rsidRDefault="00200B36" w:rsidP="00C33BBA">
            <w:pPr>
              <w:pStyle w:val="ListParagraph"/>
              <w:widowControl w:val="0"/>
              <w:spacing w:line="480" w:lineRule="auto"/>
              <w:ind w:left="0"/>
              <w:rPr>
                <w:rFonts w:ascii="Verdana" w:hAnsi="Verdana" w:cs="Arial"/>
                <w:b/>
                <w:sz w:val="20"/>
                <w:szCs w:val="20"/>
              </w:rPr>
            </w:pPr>
            <w:r w:rsidRPr="00200B36">
              <w:rPr>
                <w:rFonts w:ascii="Verdana" w:hAnsi="Verdana" w:cs="Arial"/>
                <w:b/>
                <w:sz w:val="20"/>
                <w:szCs w:val="20"/>
              </w:rPr>
              <w:t>Employed</w:t>
            </w:r>
          </w:p>
        </w:tc>
        <w:tc>
          <w:tcPr>
            <w:tcW w:w="1511" w:type="dxa"/>
            <w:tcBorders>
              <w:top w:val="single" w:sz="4" w:space="0" w:color="auto"/>
              <w:bottom w:val="single" w:sz="4" w:space="0" w:color="auto"/>
            </w:tcBorders>
          </w:tcPr>
          <w:p w14:paraId="191154E9" w14:textId="77777777" w:rsidR="00200B36" w:rsidRPr="00200B36" w:rsidRDefault="00200B36" w:rsidP="00C33BBA">
            <w:pPr>
              <w:pStyle w:val="ListParagraph"/>
              <w:widowControl w:val="0"/>
              <w:spacing w:line="480" w:lineRule="auto"/>
              <w:ind w:left="0"/>
              <w:rPr>
                <w:rFonts w:ascii="Verdana" w:hAnsi="Verdana" w:cs="Arial"/>
                <w:b/>
                <w:sz w:val="20"/>
                <w:szCs w:val="20"/>
              </w:rPr>
            </w:pPr>
            <w:r w:rsidRPr="00200B36">
              <w:rPr>
                <w:rFonts w:ascii="Verdana" w:hAnsi="Verdana" w:cs="Arial"/>
                <w:b/>
                <w:sz w:val="20"/>
                <w:szCs w:val="20"/>
              </w:rPr>
              <w:t>Self-employed</w:t>
            </w:r>
          </w:p>
        </w:tc>
        <w:tc>
          <w:tcPr>
            <w:tcW w:w="1614" w:type="dxa"/>
            <w:tcBorders>
              <w:top w:val="single" w:sz="4" w:space="0" w:color="auto"/>
              <w:bottom w:val="single" w:sz="4" w:space="0" w:color="auto"/>
            </w:tcBorders>
          </w:tcPr>
          <w:p w14:paraId="48F32604" w14:textId="77777777" w:rsidR="00200B36" w:rsidRPr="00200B36" w:rsidRDefault="00200B36" w:rsidP="00C33BBA">
            <w:pPr>
              <w:pStyle w:val="ListParagraph"/>
              <w:widowControl w:val="0"/>
              <w:spacing w:line="480" w:lineRule="auto"/>
              <w:ind w:left="0"/>
              <w:rPr>
                <w:rFonts w:ascii="Verdana" w:hAnsi="Verdana" w:cs="Arial"/>
                <w:b/>
                <w:sz w:val="20"/>
                <w:szCs w:val="20"/>
              </w:rPr>
            </w:pPr>
            <w:r w:rsidRPr="00200B36">
              <w:rPr>
                <w:rFonts w:ascii="Verdana" w:hAnsi="Verdana" w:cs="Arial"/>
                <w:b/>
                <w:sz w:val="20"/>
                <w:szCs w:val="20"/>
              </w:rPr>
              <w:t>Unemployed</w:t>
            </w:r>
          </w:p>
        </w:tc>
        <w:tc>
          <w:tcPr>
            <w:tcW w:w="1843" w:type="dxa"/>
            <w:tcBorders>
              <w:top w:val="single" w:sz="4" w:space="0" w:color="auto"/>
              <w:bottom w:val="single" w:sz="4" w:space="0" w:color="auto"/>
            </w:tcBorders>
          </w:tcPr>
          <w:p w14:paraId="33064A36" w14:textId="77777777" w:rsidR="00200B36" w:rsidRPr="00200B36" w:rsidRDefault="00200B36" w:rsidP="00C33BBA">
            <w:pPr>
              <w:pStyle w:val="ListParagraph"/>
              <w:widowControl w:val="0"/>
              <w:spacing w:line="480" w:lineRule="auto"/>
              <w:ind w:left="0"/>
              <w:rPr>
                <w:rFonts w:ascii="Verdana" w:hAnsi="Verdana" w:cs="Arial"/>
                <w:b/>
                <w:sz w:val="20"/>
                <w:szCs w:val="20"/>
              </w:rPr>
            </w:pPr>
            <w:r w:rsidRPr="00200B36">
              <w:rPr>
                <w:rFonts w:ascii="Verdana" w:hAnsi="Verdana" w:cs="Arial"/>
                <w:b/>
                <w:sz w:val="20"/>
                <w:szCs w:val="20"/>
              </w:rPr>
              <w:t>Retired</w:t>
            </w:r>
          </w:p>
        </w:tc>
        <w:tc>
          <w:tcPr>
            <w:tcW w:w="1559" w:type="dxa"/>
            <w:vMerge/>
            <w:tcBorders>
              <w:bottom w:val="single" w:sz="4" w:space="0" w:color="auto"/>
            </w:tcBorders>
          </w:tcPr>
          <w:p w14:paraId="1359BC88" w14:textId="77777777" w:rsidR="00200B36" w:rsidRPr="002424DE" w:rsidRDefault="00200B36" w:rsidP="00C33BBA">
            <w:pPr>
              <w:pStyle w:val="ListParagraph"/>
              <w:widowControl w:val="0"/>
              <w:spacing w:line="480" w:lineRule="auto"/>
              <w:ind w:left="0"/>
              <w:rPr>
                <w:rFonts w:ascii="Verdana" w:hAnsi="Verdana" w:cs="Arial"/>
                <w:sz w:val="20"/>
                <w:szCs w:val="20"/>
              </w:rPr>
            </w:pPr>
          </w:p>
        </w:tc>
      </w:tr>
      <w:tr w:rsidR="00200B36" w14:paraId="30601D9C" w14:textId="77777777" w:rsidTr="00200B36">
        <w:tc>
          <w:tcPr>
            <w:tcW w:w="2376" w:type="dxa"/>
            <w:tcBorders>
              <w:top w:val="single" w:sz="4" w:space="0" w:color="auto"/>
            </w:tcBorders>
          </w:tcPr>
          <w:p w14:paraId="15996232" w14:textId="77777777" w:rsidR="00200B36" w:rsidRPr="002424DE" w:rsidRDefault="00200B36" w:rsidP="00C33BBA">
            <w:pPr>
              <w:pStyle w:val="ListParagraph"/>
              <w:widowControl w:val="0"/>
              <w:spacing w:before="120" w:line="480" w:lineRule="auto"/>
              <w:ind w:left="0"/>
              <w:rPr>
                <w:rFonts w:ascii="Verdana" w:hAnsi="Verdana" w:cs="Arial"/>
                <w:sz w:val="20"/>
                <w:szCs w:val="20"/>
              </w:rPr>
            </w:pPr>
            <w:r w:rsidRPr="002424DE">
              <w:rPr>
                <w:rFonts w:ascii="Verdana" w:hAnsi="Verdana" w:cs="Arial"/>
                <w:sz w:val="20"/>
                <w:szCs w:val="20"/>
              </w:rPr>
              <w:t>Sex:</w:t>
            </w:r>
          </w:p>
        </w:tc>
        <w:tc>
          <w:tcPr>
            <w:tcW w:w="1855" w:type="dxa"/>
            <w:tcBorders>
              <w:top w:val="single" w:sz="4" w:space="0" w:color="auto"/>
            </w:tcBorders>
          </w:tcPr>
          <w:p w14:paraId="115F14D8" w14:textId="77777777" w:rsidR="00200B36" w:rsidRPr="002424DE" w:rsidRDefault="00200B36" w:rsidP="00C33BBA">
            <w:pPr>
              <w:pStyle w:val="ListParagraph"/>
              <w:widowControl w:val="0"/>
              <w:spacing w:before="120" w:line="480" w:lineRule="auto"/>
              <w:ind w:left="0"/>
              <w:rPr>
                <w:rFonts w:ascii="Verdana" w:hAnsi="Verdana" w:cs="Arial"/>
                <w:sz w:val="20"/>
                <w:szCs w:val="20"/>
              </w:rPr>
            </w:pPr>
          </w:p>
        </w:tc>
        <w:tc>
          <w:tcPr>
            <w:tcW w:w="1511" w:type="dxa"/>
            <w:tcBorders>
              <w:top w:val="single" w:sz="4" w:space="0" w:color="auto"/>
            </w:tcBorders>
          </w:tcPr>
          <w:p w14:paraId="07AF5F9D" w14:textId="77777777" w:rsidR="00200B36" w:rsidRPr="002424DE" w:rsidRDefault="00200B36" w:rsidP="00C33BBA">
            <w:pPr>
              <w:pStyle w:val="ListParagraph"/>
              <w:widowControl w:val="0"/>
              <w:spacing w:before="120" w:line="480" w:lineRule="auto"/>
              <w:ind w:left="0"/>
              <w:rPr>
                <w:rFonts w:ascii="Verdana" w:hAnsi="Verdana" w:cs="Arial"/>
                <w:sz w:val="20"/>
                <w:szCs w:val="20"/>
              </w:rPr>
            </w:pPr>
          </w:p>
        </w:tc>
        <w:tc>
          <w:tcPr>
            <w:tcW w:w="1614" w:type="dxa"/>
            <w:tcBorders>
              <w:top w:val="single" w:sz="4" w:space="0" w:color="auto"/>
            </w:tcBorders>
          </w:tcPr>
          <w:p w14:paraId="6DF3C5E6" w14:textId="77777777" w:rsidR="00200B36" w:rsidRPr="002424DE" w:rsidRDefault="00200B36" w:rsidP="00C33BBA">
            <w:pPr>
              <w:pStyle w:val="ListParagraph"/>
              <w:widowControl w:val="0"/>
              <w:spacing w:before="120" w:line="480" w:lineRule="auto"/>
              <w:ind w:left="0"/>
              <w:rPr>
                <w:rFonts w:ascii="Verdana" w:hAnsi="Verdana" w:cs="Arial"/>
                <w:sz w:val="20"/>
                <w:szCs w:val="20"/>
              </w:rPr>
            </w:pPr>
          </w:p>
        </w:tc>
        <w:tc>
          <w:tcPr>
            <w:tcW w:w="1843" w:type="dxa"/>
            <w:tcBorders>
              <w:top w:val="single" w:sz="4" w:space="0" w:color="auto"/>
            </w:tcBorders>
          </w:tcPr>
          <w:p w14:paraId="3BFC0DC7" w14:textId="77777777" w:rsidR="00200B36" w:rsidRPr="002424DE" w:rsidRDefault="00200B36" w:rsidP="00C33BBA">
            <w:pPr>
              <w:pStyle w:val="ListParagraph"/>
              <w:widowControl w:val="0"/>
              <w:spacing w:before="120" w:line="480" w:lineRule="auto"/>
              <w:ind w:left="0"/>
              <w:rPr>
                <w:rFonts w:ascii="Verdana" w:hAnsi="Verdana" w:cs="Arial"/>
                <w:sz w:val="20"/>
                <w:szCs w:val="20"/>
              </w:rPr>
            </w:pPr>
          </w:p>
        </w:tc>
        <w:tc>
          <w:tcPr>
            <w:tcW w:w="1559" w:type="dxa"/>
            <w:tcBorders>
              <w:top w:val="single" w:sz="4" w:space="0" w:color="auto"/>
            </w:tcBorders>
          </w:tcPr>
          <w:p w14:paraId="4FA963A2" w14:textId="77777777" w:rsidR="00200B36" w:rsidRPr="002424DE" w:rsidRDefault="00200B36" w:rsidP="00C33BBA">
            <w:pPr>
              <w:pStyle w:val="ListParagraph"/>
              <w:widowControl w:val="0"/>
              <w:spacing w:before="120" w:line="480" w:lineRule="auto"/>
              <w:ind w:left="0"/>
              <w:rPr>
                <w:rFonts w:ascii="Verdana" w:hAnsi="Verdana" w:cs="Arial"/>
                <w:sz w:val="20"/>
                <w:szCs w:val="20"/>
              </w:rPr>
            </w:pPr>
          </w:p>
        </w:tc>
      </w:tr>
      <w:tr w:rsidR="00200B36" w14:paraId="66B05A90" w14:textId="77777777" w:rsidTr="00200B36">
        <w:tc>
          <w:tcPr>
            <w:tcW w:w="2376" w:type="dxa"/>
          </w:tcPr>
          <w:p w14:paraId="725CC8C1" w14:textId="77777777" w:rsidR="00200B36" w:rsidRPr="002424DE" w:rsidRDefault="00200B36" w:rsidP="00C33BBA">
            <w:pPr>
              <w:pStyle w:val="ListParagraph"/>
              <w:widowControl w:val="0"/>
              <w:spacing w:line="480" w:lineRule="auto"/>
              <w:ind w:left="0"/>
              <w:rPr>
                <w:rFonts w:ascii="Verdana" w:hAnsi="Verdana" w:cs="Arial"/>
                <w:sz w:val="20"/>
                <w:szCs w:val="20"/>
              </w:rPr>
            </w:pPr>
            <w:r w:rsidRPr="002424DE">
              <w:rPr>
                <w:rFonts w:ascii="Verdana" w:hAnsi="Verdana" w:cs="Arial"/>
                <w:sz w:val="20"/>
                <w:szCs w:val="20"/>
              </w:rPr>
              <w:t xml:space="preserve">   Male</w:t>
            </w:r>
          </w:p>
        </w:tc>
        <w:tc>
          <w:tcPr>
            <w:tcW w:w="1855" w:type="dxa"/>
            <w:vAlign w:val="bottom"/>
          </w:tcPr>
          <w:p w14:paraId="3A92536E" w14:textId="6ED3288A"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2</w:t>
            </w:r>
            <w:r>
              <w:rPr>
                <w:rFonts w:ascii="Verdana" w:hAnsi="Verdana" w:cs="Arial"/>
                <w:sz w:val="20"/>
                <w:szCs w:val="20"/>
              </w:rPr>
              <w:t>,</w:t>
            </w:r>
            <w:r w:rsidRPr="000C39B8">
              <w:rPr>
                <w:rFonts w:ascii="Verdana" w:hAnsi="Verdana" w:cs="Arial"/>
                <w:sz w:val="20"/>
                <w:szCs w:val="20"/>
              </w:rPr>
              <w:t>099 (56.6)</w:t>
            </w:r>
          </w:p>
        </w:tc>
        <w:tc>
          <w:tcPr>
            <w:tcW w:w="1511" w:type="dxa"/>
            <w:vAlign w:val="bottom"/>
          </w:tcPr>
          <w:p w14:paraId="1A97655A" w14:textId="14007909"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593 (16.0)</w:t>
            </w:r>
          </w:p>
        </w:tc>
        <w:tc>
          <w:tcPr>
            <w:tcW w:w="1614" w:type="dxa"/>
            <w:vAlign w:val="bottom"/>
          </w:tcPr>
          <w:p w14:paraId="3D17DEA0" w14:textId="5BFBD452"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230 (6.2)</w:t>
            </w:r>
          </w:p>
        </w:tc>
        <w:tc>
          <w:tcPr>
            <w:tcW w:w="1843" w:type="dxa"/>
            <w:vAlign w:val="bottom"/>
          </w:tcPr>
          <w:p w14:paraId="57C46B0D" w14:textId="023CB48E"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785 (21.2)</w:t>
            </w:r>
          </w:p>
        </w:tc>
        <w:tc>
          <w:tcPr>
            <w:tcW w:w="1559" w:type="dxa"/>
            <w:vAlign w:val="bottom"/>
          </w:tcPr>
          <w:p w14:paraId="254BC424" w14:textId="61B2296A"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169 (4.6)</w:t>
            </w:r>
          </w:p>
        </w:tc>
      </w:tr>
      <w:tr w:rsidR="00200B36" w14:paraId="03D062EB" w14:textId="77777777" w:rsidTr="00200B36">
        <w:tc>
          <w:tcPr>
            <w:tcW w:w="2376" w:type="dxa"/>
          </w:tcPr>
          <w:p w14:paraId="168F3D14" w14:textId="77777777" w:rsidR="00200B36" w:rsidRPr="002424DE" w:rsidRDefault="00200B36" w:rsidP="00C33BBA">
            <w:pPr>
              <w:pStyle w:val="ListParagraph"/>
              <w:widowControl w:val="0"/>
              <w:spacing w:line="480" w:lineRule="auto"/>
              <w:ind w:left="0"/>
              <w:rPr>
                <w:rFonts w:ascii="Verdana" w:hAnsi="Verdana" w:cs="Arial"/>
                <w:sz w:val="20"/>
                <w:szCs w:val="20"/>
              </w:rPr>
            </w:pPr>
            <w:r w:rsidRPr="002424DE">
              <w:rPr>
                <w:rFonts w:ascii="Verdana" w:hAnsi="Verdana" w:cs="Arial"/>
                <w:sz w:val="20"/>
                <w:szCs w:val="20"/>
              </w:rPr>
              <w:t xml:space="preserve">   Female</w:t>
            </w:r>
          </w:p>
        </w:tc>
        <w:tc>
          <w:tcPr>
            <w:tcW w:w="1855" w:type="dxa"/>
            <w:vAlign w:val="bottom"/>
          </w:tcPr>
          <w:p w14:paraId="654D42A1" w14:textId="35C7221B"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2</w:t>
            </w:r>
            <w:r>
              <w:rPr>
                <w:rFonts w:ascii="Verdana" w:hAnsi="Verdana" w:cs="Arial"/>
                <w:sz w:val="20"/>
                <w:szCs w:val="20"/>
              </w:rPr>
              <w:t>,</w:t>
            </w:r>
            <w:r w:rsidRPr="000C39B8">
              <w:rPr>
                <w:rFonts w:ascii="Verdana" w:hAnsi="Verdana" w:cs="Arial"/>
                <w:sz w:val="20"/>
                <w:szCs w:val="20"/>
              </w:rPr>
              <w:t>475 (55.9)</w:t>
            </w:r>
          </w:p>
        </w:tc>
        <w:tc>
          <w:tcPr>
            <w:tcW w:w="1511" w:type="dxa"/>
            <w:vAlign w:val="bottom"/>
          </w:tcPr>
          <w:p w14:paraId="6001FBF8" w14:textId="79311483"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342 (7.7)</w:t>
            </w:r>
          </w:p>
        </w:tc>
        <w:tc>
          <w:tcPr>
            <w:tcW w:w="1614" w:type="dxa"/>
            <w:vAlign w:val="bottom"/>
          </w:tcPr>
          <w:p w14:paraId="472C3EFF" w14:textId="1A920D04"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306 (6.9)</w:t>
            </w:r>
          </w:p>
        </w:tc>
        <w:tc>
          <w:tcPr>
            <w:tcW w:w="1843" w:type="dxa"/>
            <w:vAlign w:val="bottom"/>
          </w:tcPr>
          <w:p w14:paraId="077997AE" w14:textId="4E94AA79"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1304 (29.5)</w:t>
            </w:r>
          </w:p>
        </w:tc>
        <w:tc>
          <w:tcPr>
            <w:tcW w:w="1559" w:type="dxa"/>
            <w:vAlign w:val="bottom"/>
          </w:tcPr>
          <w:p w14:paraId="5EBC95EC" w14:textId="5A0F3F97"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252 (5.7)</w:t>
            </w:r>
          </w:p>
        </w:tc>
      </w:tr>
      <w:tr w:rsidR="00200B36" w14:paraId="5A148F67" w14:textId="77777777" w:rsidTr="00200B36">
        <w:tc>
          <w:tcPr>
            <w:tcW w:w="2376" w:type="dxa"/>
          </w:tcPr>
          <w:p w14:paraId="643DC9ED"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855" w:type="dxa"/>
          </w:tcPr>
          <w:p w14:paraId="563CA6A4"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511" w:type="dxa"/>
          </w:tcPr>
          <w:p w14:paraId="6FD1C6A7"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614" w:type="dxa"/>
          </w:tcPr>
          <w:p w14:paraId="5DBEF624"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843" w:type="dxa"/>
          </w:tcPr>
          <w:p w14:paraId="01F5BE7D"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559" w:type="dxa"/>
          </w:tcPr>
          <w:p w14:paraId="4B997B1B" w14:textId="77777777" w:rsidR="00200B36" w:rsidRPr="002424DE" w:rsidRDefault="00200B36" w:rsidP="00C33BBA">
            <w:pPr>
              <w:pStyle w:val="ListParagraph"/>
              <w:widowControl w:val="0"/>
              <w:spacing w:line="480" w:lineRule="auto"/>
              <w:ind w:left="0"/>
              <w:rPr>
                <w:rFonts w:ascii="Verdana" w:hAnsi="Verdana" w:cs="Arial"/>
                <w:sz w:val="20"/>
                <w:szCs w:val="20"/>
              </w:rPr>
            </w:pPr>
          </w:p>
        </w:tc>
      </w:tr>
      <w:tr w:rsidR="00200B36" w14:paraId="0692D638" w14:textId="77777777" w:rsidTr="00200B36">
        <w:tc>
          <w:tcPr>
            <w:tcW w:w="2376" w:type="dxa"/>
          </w:tcPr>
          <w:p w14:paraId="6C6F7F3A" w14:textId="3BCBAAED" w:rsidR="00200B36" w:rsidRPr="002424DE" w:rsidRDefault="00200B36" w:rsidP="00C33BBA">
            <w:pPr>
              <w:pStyle w:val="ListParagraph"/>
              <w:widowControl w:val="0"/>
              <w:spacing w:line="480" w:lineRule="auto"/>
              <w:ind w:left="0"/>
              <w:rPr>
                <w:rFonts w:ascii="Verdana" w:hAnsi="Verdana" w:cs="Arial"/>
                <w:sz w:val="20"/>
                <w:szCs w:val="20"/>
              </w:rPr>
            </w:pPr>
            <w:r w:rsidRPr="002424DE">
              <w:rPr>
                <w:rFonts w:ascii="Verdana" w:hAnsi="Verdana" w:cs="Arial"/>
                <w:sz w:val="20"/>
                <w:szCs w:val="20"/>
              </w:rPr>
              <w:t>Age band (years)</w:t>
            </w:r>
            <w:r>
              <w:rPr>
                <w:rFonts w:ascii="Verdana" w:hAnsi="Verdana" w:cs="Arial"/>
                <w:sz w:val="20"/>
                <w:szCs w:val="20"/>
              </w:rPr>
              <w:t>:</w:t>
            </w:r>
            <w:r>
              <w:rPr>
                <w:rFonts w:ascii="Verdana" w:hAnsi="Verdana" w:cs="Arial"/>
                <w:sz w:val="20"/>
                <w:szCs w:val="20"/>
                <w:vertAlign w:val="superscript"/>
              </w:rPr>
              <w:t>a</w:t>
            </w:r>
          </w:p>
        </w:tc>
        <w:tc>
          <w:tcPr>
            <w:tcW w:w="1855" w:type="dxa"/>
          </w:tcPr>
          <w:p w14:paraId="47A6BC80"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511" w:type="dxa"/>
          </w:tcPr>
          <w:p w14:paraId="629A6412"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614" w:type="dxa"/>
          </w:tcPr>
          <w:p w14:paraId="57FE041E"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843" w:type="dxa"/>
          </w:tcPr>
          <w:p w14:paraId="46F0DD39" w14:textId="77777777" w:rsidR="00200B36" w:rsidRPr="002424DE" w:rsidRDefault="00200B36" w:rsidP="00C33BBA">
            <w:pPr>
              <w:pStyle w:val="ListParagraph"/>
              <w:widowControl w:val="0"/>
              <w:spacing w:line="480" w:lineRule="auto"/>
              <w:ind w:left="0"/>
              <w:rPr>
                <w:rFonts w:ascii="Verdana" w:hAnsi="Verdana" w:cs="Arial"/>
                <w:sz w:val="20"/>
                <w:szCs w:val="20"/>
              </w:rPr>
            </w:pPr>
          </w:p>
        </w:tc>
        <w:tc>
          <w:tcPr>
            <w:tcW w:w="1559" w:type="dxa"/>
          </w:tcPr>
          <w:p w14:paraId="2163A3E2" w14:textId="77777777" w:rsidR="00200B36" w:rsidRPr="002424DE" w:rsidRDefault="00200B36" w:rsidP="00C33BBA">
            <w:pPr>
              <w:pStyle w:val="ListParagraph"/>
              <w:widowControl w:val="0"/>
              <w:spacing w:line="480" w:lineRule="auto"/>
              <w:ind w:left="0"/>
              <w:rPr>
                <w:rFonts w:ascii="Verdana" w:hAnsi="Verdana" w:cs="Arial"/>
                <w:sz w:val="20"/>
                <w:szCs w:val="20"/>
              </w:rPr>
            </w:pPr>
          </w:p>
        </w:tc>
      </w:tr>
      <w:tr w:rsidR="00200B36" w14:paraId="0A818378" w14:textId="77777777" w:rsidTr="00200B36">
        <w:tc>
          <w:tcPr>
            <w:tcW w:w="2376" w:type="dxa"/>
          </w:tcPr>
          <w:p w14:paraId="4A30CFE6" w14:textId="77777777" w:rsidR="00200B36" w:rsidRPr="002424DE" w:rsidRDefault="00200B36" w:rsidP="00C33BBA">
            <w:pPr>
              <w:pStyle w:val="ListParagraph"/>
              <w:widowControl w:val="0"/>
              <w:spacing w:line="480" w:lineRule="auto"/>
              <w:ind w:left="0"/>
              <w:rPr>
                <w:rFonts w:ascii="Verdana" w:hAnsi="Verdana" w:cs="Arial"/>
                <w:sz w:val="20"/>
                <w:szCs w:val="20"/>
              </w:rPr>
            </w:pPr>
            <w:r w:rsidRPr="002424DE">
              <w:rPr>
                <w:rFonts w:ascii="Verdana" w:hAnsi="Verdana" w:cs="Arial"/>
                <w:sz w:val="20"/>
                <w:szCs w:val="20"/>
              </w:rPr>
              <w:t xml:space="preserve">   50-54</w:t>
            </w:r>
          </w:p>
        </w:tc>
        <w:tc>
          <w:tcPr>
            <w:tcW w:w="1855" w:type="dxa"/>
            <w:vAlign w:val="bottom"/>
          </w:tcPr>
          <w:p w14:paraId="7FB6B8AE" w14:textId="337435E8"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w:t>
            </w:r>
            <w:r>
              <w:rPr>
                <w:rFonts w:ascii="Verdana" w:hAnsi="Verdana" w:cs="Arial"/>
                <w:sz w:val="20"/>
                <w:szCs w:val="20"/>
              </w:rPr>
              <w:t>,</w:t>
            </w:r>
            <w:r w:rsidRPr="000C39B8">
              <w:rPr>
                <w:rFonts w:ascii="Verdana" w:hAnsi="Verdana" w:cs="Arial"/>
                <w:sz w:val="20"/>
                <w:szCs w:val="20"/>
              </w:rPr>
              <w:t>595 (75.7)</w:t>
            </w:r>
          </w:p>
        </w:tc>
        <w:tc>
          <w:tcPr>
            <w:tcW w:w="1511" w:type="dxa"/>
            <w:vAlign w:val="bottom"/>
          </w:tcPr>
          <w:p w14:paraId="1FD7E6FF" w14:textId="143812BA"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258 (12.2)</w:t>
            </w:r>
          </w:p>
        </w:tc>
        <w:tc>
          <w:tcPr>
            <w:tcW w:w="1614" w:type="dxa"/>
            <w:vAlign w:val="bottom"/>
          </w:tcPr>
          <w:p w14:paraId="38C57AD0" w14:textId="34388CA6"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187 (8.9)</w:t>
            </w:r>
          </w:p>
        </w:tc>
        <w:tc>
          <w:tcPr>
            <w:tcW w:w="1843" w:type="dxa"/>
            <w:vAlign w:val="bottom"/>
          </w:tcPr>
          <w:p w14:paraId="0B053D8E" w14:textId="45921633"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68 (3.2)</w:t>
            </w:r>
          </w:p>
        </w:tc>
        <w:tc>
          <w:tcPr>
            <w:tcW w:w="1559" w:type="dxa"/>
            <w:vAlign w:val="bottom"/>
          </w:tcPr>
          <w:p w14:paraId="631728B5" w14:textId="5FA7FA07"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130 (6.2)</w:t>
            </w:r>
          </w:p>
        </w:tc>
      </w:tr>
      <w:tr w:rsidR="00200B36" w14:paraId="2CD8A790" w14:textId="77777777" w:rsidTr="00200B36">
        <w:tc>
          <w:tcPr>
            <w:tcW w:w="2376" w:type="dxa"/>
          </w:tcPr>
          <w:p w14:paraId="259D52A9" w14:textId="77777777" w:rsidR="00200B36" w:rsidRPr="002424DE" w:rsidRDefault="00200B36" w:rsidP="00C33BBA">
            <w:pPr>
              <w:pStyle w:val="ListParagraph"/>
              <w:widowControl w:val="0"/>
              <w:spacing w:line="480" w:lineRule="auto"/>
              <w:ind w:left="0"/>
              <w:rPr>
                <w:rFonts w:ascii="Verdana" w:hAnsi="Verdana" w:cs="Arial"/>
                <w:sz w:val="20"/>
                <w:szCs w:val="20"/>
              </w:rPr>
            </w:pPr>
            <w:r w:rsidRPr="002424DE">
              <w:rPr>
                <w:rFonts w:ascii="Verdana" w:hAnsi="Verdana" w:cs="Arial"/>
                <w:sz w:val="20"/>
                <w:szCs w:val="20"/>
              </w:rPr>
              <w:t xml:space="preserve">   55-59</w:t>
            </w:r>
          </w:p>
        </w:tc>
        <w:tc>
          <w:tcPr>
            <w:tcW w:w="1855" w:type="dxa"/>
            <w:vAlign w:val="bottom"/>
          </w:tcPr>
          <w:p w14:paraId="33E84C04" w14:textId="0C44E5CB"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w:t>
            </w:r>
            <w:r>
              <w:rPr>
                <w:rFonts w:ascii="Verdana" w:hAnsi="Verdana" w:cs="Arial"/>
                <w:sz w:val="20"/>
                <w:szCs w:val="20"/>
              </w:rPr>
              <w:t>,</w:t>
            </w:r>
            <w:r w:rsidRPr="000C39B8">
              <w:rPr>
                <w:rFonts w:ascii="Verdana" w:hAnsi="Verdana" w:cs="Arial"/>
                <w:sz w:val="20"/>
                <w:szCs w:val="20"/>
              </w:rPr>
              <w:t>752 (67.9)</w:t>
            </w:r>
          </w:p>
        </w:tc>
        <w:tc>
          <w:tcPr>
            <w:tcW w:w="1511" w:type="dxa"/>
            <w:vAlign w:val="bottom"/>
          </w:tcPr>
          <w:p w14:paraId="71B91762" w14:textId="15FD9486"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322 (12.5)</w:t>
            </w:r>
          </w:p>
        </w:tc>
        <w:tc>
          <w:tcPr>
            <w:tcW w:w="1614" w:type="dxa"/>
            <w:vAlign w:val="bottom"/>
          </w:tcPr>
          <w:p w14:paraId="64C2F3F3" w14:textId="391CF6CF"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233 (9.0)</w:t>
            </w:r>
          </w:p>
        </w:tc>
        <w:tc>
          <w:tcPr>
            <w:tcW w:w="1843" w:type="dxa"/>
            <w:vAlign w:val="bottom"/>
          </w:tcPr>
          <w:p w14:paraId="26159A1B" w14:textId="3F4887C1"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275 (10.7)</w:t>
            </w:r>
          </w:p>
        </w:tc>
        <w:tc>
          <w:tcPr>
            <w:tcW w:w="1559" w:type="dxa"/>
            <w:vAlign w:val="bottom"/>
          </w:tcPr>
          <w:p w14:paraId="25C5B5B5" w14:textId="2224A7B6"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179 (6.9)</w:t>
            </w:r>
          </w:p>
        </w:tc>
      </w:tr>
      <w:tr w:rsidR="00200B36" w14:paraId="7D2ED023" w14:textId="77777777" w:rsidTr="00200B36">
        <w:tc>
          <w:tcPr>
            <w:tcW w:w="2376" w:type="dxa"/>
          </w:tcPr>
          <w:p w14:paraId="0EA10BBE" w14:textId="13CC9DA4" w:rsidR="00200B36" w:rsidRPr="00200B36" w:rsidRDefault="00200B36" w:rsidP="00C33BBA">
            <w:pPr>
              <w:pStyle w:val="ListParagraph"/>
              <w:widowControl w:val="0"/>
              <w:spacing w:after="120" w:line="480" w:lineRule="auto"/>
              <w:ind w:left="0"/>
              <w:rPr>
                <w:rFonts w:ascii="Verdana" w:hAnsi="Verdana" w:cs="Arial"/>
                <w:sz w:val="20"/>
                <w:szCs w:val="20"/>
              </w:rPr>
            </w:pPr>
            <w:r>
              <w:rPr>
                <w:rFonts w:ascii="Verdana" w:hAnsi="Verdana" w:cs="Arial"/>
                <w:sz w:val="20"/>
                <w:szCs w:val="20"/>
              </w:rPr>
              <w:t xml:space="preserve">   60-64</w:t>
            </w:r>
          </w:p>
        </w:tc>
        <w:tc>
          <w:tcPr>
            <w:tcW w:w="1855" w:type="dxa"/>
            <w:vAlign w:val="bottom"/>
          </w:tcPr>
          <w:p w14:paraId="3BC21D11" w14:textId="4A304E6C"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w:t>
            </w:r>
            <w:r>
              <w:rPr>
                <w:rFonts w:ascii="Verdana" w:hAnsi="Verdana" w:cs="Arial"/>
                <w:sz w:val="20"/>
                <w:szCs w:val="20"/>
              </w:rPr>
              <w:t>,</w:t>
            </w:r>
            <w:r w:rsidRPr="000C39B8">
              <w:rPr>
                <w:rFonts w:ascii="Verdana" w:hAnsi="Verdana" w:cs="Arial"/>
                <w:sz w:val="20"/>
                <w:szCs w:val="20"/>
              </w:rPr>
              <w:t>227 (35.6)</w:t>
            </w:r>
          </w:p>
        </w:tc>
        <w:tc>
          <w:tcPr>
            <w:tcW w:w="1511" w:type="dxa"/>
            <w:vAlign w:val="bottom"/>
          </w:tcPr>
          <w:p w14:paraId="20E1F17D" w14:textId="1FC6053A"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355 (10.3)</w:t>
            </w:r>
          </w:p>
        </w:tc>
        <w:tc>
          <w:tcPr>
            <w:tcW w:w="1614" w:type="dxa"/>
            <w:vAlign w:val="bottom"/>
          </w:tcPr>
          <w:p w14:paraId="16FA19DC" w14:textId="7EFE011D"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116 (3.4)</w:t>
            </w:r>
          </w:p>
        </w:tc>
        <w:tc>
          <w:tcPr>
            <w:tcW w:w="1843" w:type="dxa"/>
            <w:vAlign w:val="bottom"/>
          </w:tcPr>
          <w:p w14:paraId="13BED169" w14:textId="7CD4BADF" w:rsidR="00200B36" w:rsidRPr="002424DE" w:rsidRDefault="00200B36" w:rsidP="00C33BBA">
            <w:pPr>
              <w:pStyle w:val="ListParagraph"/>
              <w:widowControl w:val="0"/>
              <w:spacing w:line="480" w:lineRule="auto"/>
              <w:ind w:left="0"/>
              <w:rPr>
                <w:rFonts w:ascii="Verdana" w:hAnsi="Verdana" w:cs="Arial"/>
                <w:sz w:val="20"/>
                <w:szCs w:val="20"/>
              </w:rPr>
            </w:pPr>
            <w:r w:rsidRPr="000C39B8">
              <w:rPr>
                <w:rFonts w:ascii="Verdana" w:hAnsi="Verdana" w:cs="Arial"/>
                <w:sz w:val="20"/>
                <w:szCs w:val="20"/>
              </w:rPr>
              <w:t>1746 (50.7)</w:t>
            </w:r>
          </w:p>
        </w:tc>
        <w:tc>
          <w:tcPr>
            <w:tcW w:w="1559" w:type="dxa"/>
            <w:vAlign w:val="bottom"/>
          </w:tcPr>
          <w:p w14:paraId="1A745D5F" w14:textId="490105A4" w:rsidR="00200B36" w:rsidRPr="00200B36" w:rsidRDefault="00200B36" w:rsidP="00C33BBA">
            <w:pPr>
              <w:widowControl w:val="0"/>
              <w:spacing w:line="480" w:lineRule="auto"/>
              <w:rPr>
                <w:rFonts w:ascii="Verdana" w:hAnsi="Verdana" w:cs="Arial"/>
                <w:sz w:val="20"/>
                <w:szCs w:val="20"/>
              </w:rPr>
            </w:pPr>
            <w:r>
              <w:rPr>
                <w:rFonts w:ascii="Verdana" w:hAnsi="Verdana" w:cs="Arial"/>
                <w:sz w:val="20"/>
                <w:szCs w:val="20"/>
              </w:rPr>
              <w:t>112 (</w:t>
            </w:r>
            <w:r w:rsidRPr="00200B36">
              <w:rPr>
                <w:rFonts w:ascii="Verdana" w:hAnsi="Verdana" w:cs="Arial"/>
                <w:sz w:val="20"/>
                <w:szCs w:val="20"/>
              </w:rPr>
              <w:t>3.3)</w:t>
            </w:r>
          </w:p>
        </w:tc>
      </w:tr>
      <w:tr w:rsidR="00200B36" w14:paraId="165D2A17" w14:textId="77777777" w:rsidTr="00200B36">
        <w:tc>
          <w:tcPr>
            <w:tcW w:w="2376" w:type="dxa"/>
          </w:tcPr>
          <w:p w14:paraId="36DE13A9" w14:textId="77777777" w:rsidR="00200B36" w:rsidRDefault="00200B36" w:rsidP="00C33BBA">
            <w:pPr>
              <w:pStyle w:val="ListParagraph"/>
              <w:widowControl w:val="0"/>
              <w:spacing w:after="120" w:line="480" w:lineRule="auto"/>
              <w:ind w:left="0"/>
              <w:rPr>
                <w:rFonts w:ascii="Verdana" w:hAnsi="Verdana" w:cs="Arial"/>
                <w:sz w:val="20"/>
                <w:szCs w:val="20"/>
              </w:rPr>
            </w:pPr>
          </w:p>
        </w:tc>
        <w:tc>
          <w:tcPr>
            <w:tcW w:w="1855" w:type="dxa"/>
            <w:vAlign w:val="bottom"/>
          </w:tcPr>
          <w:p w14:paraId="00A50CD2" w14:textId="77777777" w:rsidR="00200B36" w:rsidRPr="000C39B8" w:rsidRDefault="00200B36" w:rsidP="00C33BBA">
            <w:pPr>
              <w:pStyle w:val="ListParagraph"/>
              <w:widowControl w:val="0"/>
              <w:spacing w:line="480" w:lineRule="auto"/>
              <w:ind w:left="0"/>
              <w:rPr>
                <w:rFonts w:ascii="Verdana" w:hAnsi="Verdana" w:cs="Arial"/>
                <w:sz w:val="20"/>
                <w:szCs w:val="20"/>
              </w:rPr>
            </w:pPr>
          </w:p>
        </w:tc>
        <w:tc>
          <w:tcPr>
            <w:tcW w:w="1511" w:type="dxa"/>
            <w:vAlign w:val="bottom"/>
          </w:tcPr>
          <w:p w14:paraId="56E98045" w14:textId="77777777" w:rsidR="00200B36" w:rsidRPr="000C39B8" w:rsidRDefault="00200B36" w:rsidP="00C33BBA">
            <w:pPr>
              <w:pStyle w:val="ListParagraph"/>
              <w:widowControl w:val="0"/>
              <w:spacing w:line="480" w:lineRule="auto"/>
              <w:ind w:left="0"/>
              <w:rPr>
                <w:rFonts w:ascii="Verdana" w:hAnsi="Verdana" w:cs="Arial"/>
                <w:sz w:val="20"/>
                <w:szCs w:val="20"/>
              </w:rPr>
            </w:pPr>
          </w:p>
        </w:tc>
        <w:tc>
          <w:tcPr>
            <w:tcW w:w="1614" w:type="dxa"/>
            <w:vAlign w:val="bottom"/>
          </w:tcPr>
          <w:p w14:paraId="56EAC8CF" w14:textId="77777777" w:rsidR="00200B36" w:rsidRPr="000C39B8" w:rsidRDefault="00200B36" w:rsidP="00C33BBA">
            <w:pPr>
              <w:pStyle w:val="ListParagraph"/>
              <w:widowControl w:val="0"/>
              <w:spacing w:line="480" w:lineRule="auto"/>
              <w:ind w:left="0"/>
              <w:rPr>
                <w:rFonts w:ascii="Verdana" w:hAnsi="Verdana" w:cs="Arial"/>
                <w:sz w:val="20"/>
                <w:szCs w:val="20"/>
              </w:rPr>
            </w:pPr>
          </w:p>
        </w:tc>
        <w:tc>
          <w:tcPr>
            <w:tcW w:w="1843" w:type="dxa"/>
            <w:vAlign w:val="bottom"/>
          </w:tcPr>
          <w:p w14:paraId="0826882A" w14:textId="77777777" w:rsidR="00200B36" w:rsidRPr="000C39B8" w:rsidRDefault="00200B36" w:rsidP="00C33BBA">
            <w:pPr>
              <w:pStyle w:val="ListParagraph"/>
              <w:widowControl w:val="0"/>
              <w:spacing w:line="480" w:lineRule="auto"/>
              <w:ind w:left="0"/>
              <w:rPr>
                <w:rFonts w:ascii="Verdana" w:hAnsi="Verdana" w:cs="Arial"/>
                <w:sz w:val="20"/>
                <w:szCs w:val="20"/>
              </w:rPr>
            </w:pPr>
          </w:p>
        </w:tc>
        <w:tc>
          <w:tcPr>
            <w:tcW w:w="1559" w:type="dxa"/>
            <w:vAlign w:val="bottom"/>
          </w:tcPr>
          <w:p w14:paraId="49427A5D" w14:textId="77777777" w:rsidR="00200B36" w:rsidRDefault="00200B36" w:rsidP="00C33BBA">
            <w:pPr>
              <w:widowControl w:val="0"/>
              <w:spacing w:line="480" w:lineRule="auto"/>
              <w:rPr>
                <w:rFonts w:ascii="Verdana" w:hAnsi="Verdana" w:cs="Arial"/>
                <w:sz w:val="20"/>
                <w:szCs w:val="20"/>
              </w:rPr>
            </w:pPr>
          </w:p>
        </w:tc>
      </w:tr>
      <w:tr w:rsidR="00200B36" w14:paraId="6DA42089" w14:textId="77777777" w:rsidTr="00200B36">
        <w:tc>
          <w:tcPr>
            <w:tcW w:w="2376" w:type="dxa"/>
            <w:tcBorders>
              <w:bottom w:val="single" w:sz="4" w:space="0" w:color="auto"/>
            </w:tcBorders>
          </w:tcPr>
          <w:p w14:paraId="305C2C33" w14:textId="4C810880" w:rsidR="00200B36" w:rsidRDefault="00200B36" w:rsidP="00C33BBA">
            <w:pPr>
              <w:pStyle w:val="ListParagraph"/>
              <w:widowControl w:val="0"/>
              <w:spacing w:after="120" w:line="480" w:lineRule="auto"/>
              <w:ind w:left="0"/>
              <w:rPr>
                <w:rFonts w:ascii="Verdana" w:hAnsi="Verdana" w:cs="Arial"/>
                <w:sz w:val="20"/>
                <w:szCs w:val="20"/>
              </w:rPr>
            </w:pPr>
            <w:r>
              <w:rPr>
                <w:rFonts w:ascii="Verdana" w:hAnsi="Verdana" w:cs="Arial"/>
                <w:sz w:val="20"/>
                <w:szCs w:val="20"/>
              </w:rPr>
              <w:t>All:</w:t>
            </w:r>
          </w:p>
        </w:tc>
        <w:tc>
          <w:tcPr>
            <w:tcW w:w="1855" w:type="dxa"/>
            <w:tcBorders>
              <w:bottom w:val="single" w:sz="4" w:space="0" w:color="auto"/>
            </w:tcBorders>
            <w:vAlign w:val="bottom"/>
          </w:tcPr>
          <w:p w14:paraId="5B187126" w14:textId="17CEA3DD" w:rsidR="00200B36" w:rsidRPr="000C39B8" w:rsidRDefault="00200B36" w:rsidP="00C33BBA">
            <w:pPr>
              <w:pStyle w:val="ListParagraph"/>
              <w:widowControl w:val="0"/>
              <w:spacing w:line="480" w:lineRule="auto"/>
              <w:ind w:left="0"/>
              <w:rPr>
                <w:rFonts w:ascii="Verdana" w:hAnsi="Verdana" w:cs="Arial"/>
                <w:sz w:val="20"/>
                <w:szCs w:val="20"/>
              </w:rPr>
            </w:pPr>
            <w:r w:rsidRPr="00200B36">
              <w:rPr>
                <w:rFonts w:ascii="Verdana" w:hAnsi="Verdana" w:cs="Arial"/>
                <w:sz w:val="20"/>
                <w:szCs w:val="20"/>
              </w:rPr>
              <w:t>4</w:t>
            </w:r>
            <w:r>
              <w:rPr>
                <w:rFonts w:ascii="Verdana" w:hAnsi="Verdana" w:cs="Arial"/>
                <w:sz w:val="20"/>
                <w:szCs w:val="20"/>
              </w:rPr>
              <w:t>,</w:t>
            </w:r>
            <w:r w:rsidRPr="00200B36">
              <w:rPr>
                <w:rFonts w:ascii="Verdana" w:hAnsi="Verdana" w:cs="Arial"/>
                <w:sz w:val="20"/>
                <w:szCs w:val="20"/>
              </w:rPr>
              <w:t>574 (56.2)</w:t>
            </w:r>
          </w:p>
        </w:tc>
        <w:tc>
          <w:tcPr>
            <w:tcW w:w="1511" w:type="dxa"/>
            <w:tcBorders>
              <w:bottom w:val="single" w:sz="4" w:space="0" w:color="auto"/>
            </w:tcBorders>
            <w:vAlign w:val="bottom"/>
          </w:tcPr>
          <w:p w14:paraId="53B9A9BA" w14:textId="099FB108" w:rsidR="00200B36" w:rsidRPr="000C39B8" w:rsidRDefault="00200B36" w:rsidP="00C33BBA">
            <w:pPr>
              <w:pStyle w:val="ListParagraph"/>
              <w:widowControl w:val="0"/>
              <w:spacing w:line="480" w:lineRule="auto"/>
              <w:ind w:left="0"/>
              <w:rPr>
                <w:rFonts w:ascii="Verdana" w:hAnsi="Verdana" w:cs="Arial"/>
                <w:sz w:val="20"/>
                <w:szCs w:val="20"/>
              </w:rPr>
            </w:pPr>
            <w:r w:rsidRPr="00200B36">
              <w:rPr>
                <w:rFonts w:ascii="Verdana" w:hAnsi="Verdana" w:cs="Arial"/>
                <w:sz w:val="20"/>
                <w:szCs w:val="20"/>
              </w:rPr>
              <w:t>935 (11.5)</w:t>
            </w:r>
          </w:p>
        </w:tc>
        <w:tc>
          <w:tcPr>
            <w:tcW w:w="1614" w:type="dxa"/>
            <w:tcBorders>
              <w:bottom w:val="single" w:sz="4" w:space="0" w:color="auto"/>
            </w:tcBorders>
            <w:vAlign w:val="bottom"/>
          </w:tcPr>
          <w:p w14:paraId="14B12621" w14:textId="4E572C30" w:rsidR="00200B36" w:rsidRPr="000C39B8" w:rsidRDefault="00200B36" w:rsidP="00C33BBA">
            <w:pPr>
              <w:pStyle w:val="ListParagraph"/>
              <w:widowControl w:val="0"/>
              <w:spacing w:line="480" w:lineRule="auto"/>
              <w:ind w:left="0"/>
              <w:rPr>
                <w:rFonts w:ascii="Verdana" w:hAnsi="Verdana" w:cs="Arial"/>
                <w:sz w:val="20"/>
                <w:szCs w:val="20"/>
              </w:rPr>
            </w:pPr>
            <w:r w:rsidRPr="00200B36">
              <w:rPr>
                <w:rFonts w:ascii="Verdana" w:hAnsi="Verdana" w:cs="Arial"/>
                <w:sz w:val="20"/>
                <w:szCs w:val="20"/>
              </w:rPr>
              <w:t>536 (6.6)</w:t>
            </w:r>
          </w:p>
        </w:tc>
        <w:tc>
          <w:tcPr>
            <w:tcW w:w="1843" w:type="dxa"/>
            <w:tcBorders>
              <w:bottom w:val="single" w:sz="4" w:space="0" w:color="auto"/>
            </w:tcBorders>
            <w:vAlign w:val="bottom"/>
          </w:tcPr>
          <w:p w14:paraId="6B10867E" w14:textId="6D711C3D" w:rsidR="00200B36" w:rsidRPr="000C39B8" w:rsidRDefault="00200B36" w:rsidP="00C33BBA">
            <w:pPr>
              <w:pStyle w:val="ListParagraph"/>
              <w:widowControl w:val="0"/>
              <w:spacing w:line="480" w:lineRule="auto"/>
              <w:ind w:left="0"/>
              <w:rPr>
                <w:rFonts w:ascii="Verdana" w:hAnsi="Verdana" w:cs="Arial"/>
                <w:sz w:val="20"/>
                <w:szCs w:val="20"/>
              </w:rPr>
            </w:pPr>
            <w:r w:rsidRPr="00200B36">
              <w:rPr>
                <w:rFonts w:ascii="Verdana" w:hAnsi="Verdana" w:cs="Arial"/>
                <w:sz w:val="20"/>
                <w:szCs w:val="20"/>
              </w:rPr>
              <w:t>2</w:t>
            </w:r>
            <w:r>
              <w:rPr>
                <w:rFonts w:ascii="Verdana" w:hAnsi="Verdana" w:cs="Arial"/>
                <w:sz w:val="20"/>
                <w:szCs w:val="20"/>
              </w:rPr>
              <w:t>,</w:t>
            </w:r>
            <w:r w:rsidRPr="00200B36">
              <w:rPr>
                <w:rFonts w:ascii="Verdana" w:hAnsi="Verdana" w:cs="Arial"/>
                <w:sz w:val="20"/>
                <w:szCs w:val="20"/>
              </w:rPr>
              <w:t>089 (25.7)</w:t>
            </w:r>
          </w:p>
        </w:tc>
        <w:tc>
          <w:tcPr>
            <w:tcW w:w="1559" w:type="dxa"/>
            <w:tcBorders>
              <w:bottom w:val="single" w:sz="4" w:space="0" w:color="auto"/>
            </w:tcBorders>
            <w:vAlign w:val="bottom"/>
          </w:tcPr>
          <w:p w14:paraId="74048D0D" w14:textId="1EF18951" w:rsidR="00200B36" w:rsidRDefault="00200B36" w:rsidP="00C33BBA">
            <w:pPr>
              <w:widowControl w:val="0"/>
              <w:spacing w:line="480" w:lineRule="auto"/>
              <w:rPr>
                <w:rFonts w:ascii="Verdana" w:hAnsi="Verdana" w:cs="Arial"/>
                <w:sz w:val="20"/>
                <w:szCs w:val="20"/>
              </w:rPr>
            </w:pPr>
            <w:r w:rsidRPr="00200B36">
              <w:rPr>
                <w:rFonts w:ascii="Verdana" w:hAnsi="Verdana" w:cs="Arial"/>
                <w:sz w:val="20"/>
                <w:szCs w:val="20"/>
              </w:rPr>
              <w:t>421 (5.2)</w:t>
            </w:r>
          </w:p>
        </w:tc>
      </w:tr>
    </w:tbl>
    <w:p w14:paraId="268F5001" w14:textId="77777777" w:rsidR="00200B36" w:rsidRDefault="00200B36" w:rsidP="00C33BBA">
      <w:pPr>
        <w:spacing w:line="480" w:lineRule="auto"/>
        <w:rPr>
          <w:rFonts w:ascii="Verdana" w:hAnsi="Verdana"/>
          <w:sz w:val="20"/>
          <w:szCs w:val="20"/>
        </w:rPr>
      </w:pPr>
    </w:p>
    <w:p w14:paraId="2035F843" w14:textId="256B1172" w:rsidR="00095737" w:rsidRDefault="00200B36" w:rsidP="00C33BBA">
      <w:pPr>
        <w:spacing w:line="480" w:lineRule="auto"/>
      </w:pPr>
      <w:r>
        <w:rPr>
          <w:rFonts w:ascii="Verdana" w:hAnsi="Verdana"/>
          <w:sz w:val="20"/>
          <w:szCs w:val="20"/>
        </w:rPr>
        <w:t>a. A</w:t>
      </w:r>
      <w:r w:rsidRPr="00200B36">
        <w:rPr>
          <w:rFonts w:ascii="Verdana" w:hAnsi="Verdana"/>
          <w:sz w:val="20"/>
          <w:szCs w:val="20"/>
        </w:rPr>
        <w:t xml:space="preserve"> few were aged 6</w:t>
      </w:r>
      <w:r>
        <w:rPr>
          <w:rFonts w:ascii="Verdana" w:hAnsi="Verdana"/>
          <w:sz w:val="20"/>
          <w:szCs w:val="20"/>
        </w:rPr>
        <w:t>4</w:t>
      </w:r>
      <w:r w:rsidRPr="00200B36">
        <w:rPr>
          <w:rFonts w:ascii="Verdana" w:hAnsi="Verdana"/>
          <w:sz w:val="20"/>
          <w:szCs w:val="20"/>
        </w:rPr>
        <w:t xml:space="preserve"> years when sampling lists </w:t>
      </w:r>
      <w:r>
        <w:rPr>
          <w:rFonts w:ascii="Verdana" w:hAnsi="Verdana"/>
          <w:sz w:val="20"/>
          <w:szCs w:val="20"/>
        </w:rPr>
        <w:t>but 65 years</w:t>
      </w:r>
      <w:r w:rsidRPr="00200B36">
        <w:rPr>
          <w:rFonts w:ascii="Verdana" w:hAnsi="Verdana"/>
          <w:sz w:val="20"/>
          <w:szCs w:val="20"/>
        </w:rPr>
        <w:t xml:space="preserve"> </w:t>
      </w:r>
      <w:r>
        <w:rPr>
          <w:rFonts w:ascii="Verdana" w:hAnsi="Verdana"/>
          <w:sz w:val="20"/>
          <w:szCs w:val="20"/>
        </w:rPr>
        <w:t>at</w:t>
      </w:r>
      <w:r w:rsidRPr="00200B36">
        <w:rPr>
          <w:rFonts w:ascii="Verdana" w:hAnsi="Verdana"/>
          <w:sz w:val="20"/>
          <w:szCs w:val="20"/>
        </w:rPr>
        <w:t xml:space="preserve"> the time of response </w:t>
      </w:r>
    </w:p>
    <w:p w14:paraId="5181E45A" w14:textId="77777777" w:rsidR="00095737" w:rsidRDefault="00095737" w:rsidP="00C33BBA">
      <w:pPr>
        <w:spacing w:line="480" w:lineRule="auto"/>
      </w:pPr>
    </w:p>
    <w:p w14:paraId="4E5226B8" w14:textId="77777777" w:rsidR="00FF789F" w:rsidRDefault="00FF789F" w:rsidP="00C33BBA">
      <w:pPr>
        <w:spacing w:line="480" w:lineRule="auto"/>
        <w:rPr>
          <w:rFonts w:ascii="Verdana" w:hAnsi="Verdana"/>
          <w:b/>
          <w:sz w:val="20"/>
          <w:szCs w:val="20"/>
        </w:rPr>
        <w:sectPr w:rsidR="00FF789F" w:rsidSect="001D1DD1">
          <w:pgSz w:w="16838" w:h="11906" w:orient="landscape"/>
          <w:pgMar w:top="1440" w:right="1440" w:bottom="1440" w:left="1440" w:header="708" w:footer="708" w:gutter="0"/>
          <w:cols w:space="708"/>
          <w:docGrid w:linePitch="360"/>
        </w:sectPr>
      </w:pPr>
    </w:p>
    <w:p w14:paraId="7F222B81" w14:textId="29712D5B" w:rsidR="00095737" w:rsidRPr="00095737" w:rsidRDefault="00095737" w:rsidP="00C33BBA">
      <w:pPr>
        <w:spacing w:line="480" w:lineRule="auto"/>
        <w:rPr>
          <w:rFonts w:ascii="Verdana" w:hAnsi="Verdana"/>
          <w:b/>
          <w:sz w:val="20"/>
          <w:szCs w:val="20"/>
        </w:rPr>
      </w:pPr>
      <w:r w:rsidRPr="00095737">
        <w:rPr>
          <w:rFonts w:ascii="Verdana" w:hAnsi="Verdana"/>
          <w:b/>
          <w:sz w:val="20"/>
          <w:szCs w:val="20"/>
        </w:rPr>
        <w:lastRenderedPageBreak/>
        <w:t xml:space="preserve">Table </w:t>
      </w:r>
      <w:r w:rsidR="007B5FC0">
        <w:rPr>
          <w:rFonts w:ascii="Verdana" w:hAnsi="Verdana"/>
          <w:b/>
          <w:sz w:val="20"/>
          <w:szCs w:val="20"/>
        </w:rPr>
        <w:t>9</w:t>
      </w:r>
      <w:r w:rsidRPr="00095737">
        <w:rPr>
          <w:rFonts w:ascii="Verdana" w:hAnsi="Verdana"/>
          <w:b/>
          <w:sz w:val="20"/>
          <w:szCs w:val="20"/>
        </w:rPr>
        <w:t>: Demographic characteristics of respondents at baseline</w:t>
      </w:r>
      <w:r w:rsidR="00166660">
        <w:rPr>
          <w:rFonts w:ascii="Verdana" w:hAnsi="Verdana"/>
          <w:b/>
          <w:sz w:val="20"/>
          <w:szCs w:val="20"/>
        </w:rPr>
        <w:t xml:space="preserve"> </w:t>
      </w:r>
    </w:p>
    <w:p w14:paraId="0222D918" w14:textId="77777777" w:rsidR="00095737" w:rsidRDefault="00095737" w:rsidP="00C33BBA">
      <w:pPr>
        <w:spacing w:line="48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560"/>
        <w:gridCol w:w="1559"/>
        <w:gridCol w:w="1843"/>
      </w:tblGrid>
      <w:tr w:rsidR="00FF789F" w14:paraId="21373FE3" w14:textId="77777777" w:rsidTr="007E6287">
        <w:tc>
          <w:tcPr>
            <w:tcW w:w="3510" w:type="dxa"/>
            <w:tcBorders>
              <w:top w:val="single" w:sz="4" w:space="0" w:color="auto"/>
            </w:tcBorders>
          </w:tcPr>
          <w:p w14:paraId="0BCBA236" w14:textId="77777777" w:rsidR="00FF789F" w:rsidRPr="00200B36" w:rsidRDefault="00FF789F" w:rsidP="00C33BBA">
            <w:pPr>
              <w:pStyle w:val="ListParagraph"/>
              <w:widowControl w:val="0"/>
              <w:spacing w:line="480" w:lineRule="auto"/>
              <w:ind w:left="0"/>
              <w:rPr>
                <w:rFonts w:ascii="Verdana" w:hAnsi="Verdana" w:cs="Arial"/>
                <w:b/>
                <w:sz w:val="20"/>
              </w:rPr>
            </w:pPr>
            <w:r w:rsidRPr="00200B36">
              <w:rPr>
                <w:rFonts w:ascii="Verdana" w:hAnsi="Verdana" w:cs="Arial"/>
                <w:b/>
                <w:sz w:val="20"/>
              </w:rPr>
              <w:t>Characteristic</w:t>
            </w:r>
          </w:p>
        </w:tc>
        <w:tc>
          <w:tcPr>
            <w:tcW w:w="1560" w:type="dxa"/>
            <w:tcBorders>
              <w:top w:val="single" w:sz="4" w:space="0" w:color="auto"/>
            </w:tcBorders>
          </w:tcPr>
          <w:p w14:paraId="757B2084" w14:textId="5076DFB6" w:rsidR="00FF789F" w:rsidRPr="00200B36" w:rsidRDefault="00FF789F" w:rsidP="00C33BBA">
            <w:pPr>
              <w:pStyle w:val="ListParagraph"/>
              <w:widowControl w:val="0"/>
              <w:spacing w:line="480" w:lineRule="auto"/>
              <w:ind w:left="0"/>
              <w:rPr>
                <w:rFonts w:ascii="Verdana" w:hAnsi="Verdana" w:cs="Arial"/>
                <w:b/>
                <w:sz w:val="20"/>
              </w:rPr>
            </w:pPr>
            <w:r w:rsidRPr="00200B36">
              <w:rPr>
                <w:rFonts w:ascii="Verdana" w:hAnsi="Verdana" w:cs="Arial"/>
                <w:b/>
                <w:sz w:val="20"/>
              </w:rPr>
              <w:t xml:space="preserve">Men </w:t>
            </w:r>
          </w:p>
          <w:p w14:paraId="3A0CF065" w14:textId="0F9B6E9A" w:rsidR="00FF789F" w:rsidRPr="00200B36" w:rsidRDefault="00FF789F" w:rsidP="00C33BBA">
            <w:pPr>
              <w:pStyle w:val="ListParagraph"/>
              <w:widowControl w:val="0"/>
              <w:spacing w:line="480" w:lineRule="auto"/>
              <w:ind w:left="0"/>
              <w:rPr>
                <w:rFonts w:ascii="Verdana" w:hAnsi="Verdana" w:cs="Arial"/>
                <w:b/>
                <w:sz w:val="20"/>
              </w:rPr>
            </w:pPr>
            <w:r w:rsidRPr="00200B36">
              <w:rPr>
                <w:rFonts w:ascii="Verdana" w:hAnsi="Verdana" w:cs="Arial"/>
                <w:b/>
                <w:sz w:val="20"/>
              </w:rPr>
              <w:t>N (%)</w:t>
            </w:r>
          </w:p>
        </w:tc>
        <w:tc>
          <w:tcPr>
            <w:tcW w:w="1559" w:type="dxa"/>
            <w:tcBorders>
              <w:top w:val="single" w:sz="4" w:space="0" w:color="auto"/>
            </w:tcBorders>
          </w:tcPr>
          <w:p w14:paraId="71D1EF62" w14:textId="14C7846B" w:rsidR="00FF789F" w:rsidRPr="00200B36" w:rsidRDefault="00FF789F" w:rsidP="00C33BBA">
            <w:pPr>
              <w:pStyle w:val="ListParagraph"/>
              <w:widowControl w:val="0"/>
              <w:spacing w:line="480" w:lineRule="auto"/>
              <w:ind w:left="0"/>
              <w:rPr>
                <w:rFonts w:ascii="Verdana" w:hAnsi="Verdana" w:cs="Arial"/>
                <w:b/>
                <w:sz w:val="20"/>
              </w:rPr>
            </w:pPr>
            <w:r w:rsidRPr="00200B36">
              <w:rPr>
                <w:rFonts w:ascii="Verdana" w:hAnsi="Verdana" w:cs="Arial"/>
                <w:b/>
                <w:sz w:val="20"/>
              </w:rPr>
              <w:t>Women</w:t>
            </w:r>
          </w:p>
          <w:p w14:paraId="229B2DE8" w14:textId="1DD977F1" w:rsidR="00FF789F" w:rsidRPr="00200B36" w:rsidRDefault="00FF789F" w:rsidP="00C33BBA">
            <w:pPr>
              <w:pStyle w:val="ListParagraph"/>
              <w:widowControl w:val="0"/>
              <w:spacing w:line="480" w:lineRule="auto"/>
              <w:ind w:left="0"/>
              <w:rPr>
                <w:rFonts w:ascii="Verdana" w:hAnsi="Verdana" w:cs="Arial"/>
                <w:b/>
                <w:sz w:val="20"/>
              </w:rPr>
            </w:pPr>
            <w:r w:rsidRPr="00200B36">
              <w:rPr>
                <w:rFonts w:ascii="Verdana" w:hAnsi="Verdana" w:cs="Arial"/>
                <w:b/>
                <w:sz w:val="20"/>
              </w:rPr>
              <w:t>N (%)</w:t>
            </w:r>
          </w:p>
        </w:tc>
        <w:tc>
          <w:tcPr>
            <w:tcW w:w="1843" w:type="dxa"/>
            <w:tcBorders>
              <w:top w:val="single" w:sz="4" w:space="0" w:color="auto"/>
            </w:tcBorders>
          </w:tcPr>
          <w:p w14:paraId="1E1AAA44" w14:textId="260ED8AD" w:rsidR="00FF789F" w:rsidRPr="00200B36" w:rsidRDefault="00FF789F" w:rsidP="00C33BBA">
            <w:pPr>
              <w:pStyle w:val="ListParagraph"/>
              <w:widowControl w:val="0"/>
              <w:spacing w:line="480" w:lineRule="auto"/>
              <w:ind w:left="0"/>
              <w:rPr>
                <w:rFonts w:ascii="Verdana" w:hAnsi="Verdana" w:cs="Arial"/>
                <w:b/>
                <w:sz w:val="20"/>
              </w:rPr>
            </w:pPr>
            <w:r w:rsidRPr="00200B36">
              <w:rPr>
                <w:rFonts w:ascii="Verdana" w:hAnsi="Verdana" w:cs="Arial"/>
                <w:b/>
                <w:sz w:val="20"/>
              </w:rPr>
              <w:t xml:space="preserve">All, </w:t>
            </w:r>
          </w:p>
          <w:p w14:paraId="0002B279" w14:textId="77777777" w:rsidR="00FF789F" w:rsidRPr="00200B36" w:rsidRDefault="00FF789F" w:rsidP="00C33BBA">
            <w:pPr>
              <w:pStyle w:val="ListParagraph"/>
              <w:widowControl w:val="0"/>
              <w:spacing w:line="480" w:lineRule="auto"/>
              <w:ind w:left="0"/>
              <w:rPr>
                <w:rFonts w:ascii="Verdana" w:hAnsi="Verdana" w:cs="Arial"/>
                <w:b/>
                <w:sz w:val="20"/>
              </w:rPr>
            </w:pPr>
            <w:r w:rsidRPr="00200B36">
              <w:rPr>
                <w:rFonts w:ascii="Verdana" w:hAnsi="Verdana" w:cs="Arial"/>
                <w:b/>
                <w:sz w:val="20"/>
              </w:rPr>
              <w:t>N (%)</w:t>
            </w:r>
          </w:p>
        </w:tc>
      </w:tr>
      <w:tr w:rsidR="00FF789F" w:rsidRPr="007E6287" w14:paraId="1307C614" w14:textId="77777777" w:rsidTr="007E6287">
        <w:tc>
          <w:tcPr>
            <w:tcW w:w="3510" w:type="dxa"/>
            <w:tcBorders>
              <w:top w:val="single" w:sz="4" w:space="0" w:color="auto"/>
            </w:tcBorders>
          </w:tcPr>
          <w:p w14:paraId="07F3CBA0" w14:textId="77777777" w:rsidR="00FF789F" w:rsidRPr="007E6287" w:rsidRDefault="00FF789F" w:rsidP="00C33BBA">
            <w:pPr>
              <w:pStyle w:val="ListParagraph"/>
              <w:widowControl w:val="0"/>
              <w:spacing w:before="120" w:line="480" w:lineRule="auto"/>
              <w:ind w:left="0"/>
              <w:rPr>
                <w:rFonts w:ascii="Verdana" w:hAnsi="Verdana" w:cs="Arial"/>
                <w:sz w:val="20"/>
                <w:szCs w:val="20"/>
              </w:rPr>
            </w:pPr>
            <w:r w:rsidRPr="007E6287">
              <w:rPr>
                <w:rFonts w:ascii="Verdana" w:hAnsi="Verdana" w:cs="Arial"/>
                <w:sz w:val="20"/>
                <w:szCs w:val="20"/>
              </w:rPr>
              <w:t>Ethnic group:</w:t>
            </w:r>
          </w:p>
        </w:tc>
        <w:tc>
          <w:tcPr>
            <w:tcW w:w="1560" w:type="dxa"/>
            <w:tcBorders>
              <w:top w:val="single" w:sz="4" w:space="0" w:color="auto"/>
            </w:tcBorders>
          </w:tcPr>
          <w:p w14:paraId="4A6B8D57" w14:textId="77777777" w:rsidR="00FF789F" w:rsidRPr="007E6287" w:rsidRDefault="00FF789F" w:rsidP="00C33BBA">
            <w:pPr>
              <w:pStyle w:val="ListParagraph"/>
              <w:widowControl w:val="0"/>
              <w:spacing w:before="120" w:line="480" w:lineRule="auto"/>
              <w:ind w:left="0"/>
              <w:rPr>
                <w:rFonts w:ascii="Verdana" w:hAnsi="Verdana" w:cs="Arial"/>
                <w:sz w:val="20"/>
                <w:szCs w:val="20"/>
              </w:rPr>
            </w:pPr>
          </w:p>
        </w:tc>
        <w:tc>
          <w:tcPr>
            <w:tcW w:w="1559" w:type="dxa"/>
            <w:tcBorders>
              <w:top w:val="single" w:sz="4" w:space="0" w:color="auto"/>
            </w:tcBorders>
          </w:tcPr>
          <w:p w14:paraId="56B40D8D" w14:textId="1D6F1B00" w:rsidR="00FF789F" w:rsidRPr="007E6287" w:rsidRDefault="00FF789F" w:rsidP="00C33BBA">
            <w:pPr>
              <w:pStyle w:val="ListParagraph"/>
              <w:widowControl w:val="0"/>
              <w:spacing w:before="120" w:line="480" w:lineRule="auto"/>
              <w:ind w:left="0"/>
              <w:rPr>
                <w:rFonts w:ascii="Verdana" w:hAnsi="Verdana" w:cs="Arial"/>
                <w:sz w:val="20"/>
                <w:szCs w:val="20"/>
              </w:rPr>
            </w:pPr>
          </w:p>
        </w:tc>
        <w:tc>
          <w:tcPr>
            <w:tcW w:w="1843" w:type="dxa"/>
            <w:tcBorders>
              <w:top w:val="single" w:sz="4" w:space="0" w:color="auto"/>
            </w:tcBorders>
          </w:tcPr>
          <w:p w14:paraId="2ED764CF" w14:textId="363CD494" w:rsidR="00FF789F" w:rsidRPr="007E6287" w:rsidRDefault="00FF789F" w:rsidP="00C33BBA">
            <w:pPr>
              <w:pStyle w:val="ListParagraph"/>
              <w:widowControl w:val="0"/>
              <w:spacing w:before="120" w:line="480" w:lineRule="auto"/>
              <w:ind w:left="0"/>
              <w:rPr>
                <w:rFonts w:ascii="Verdana" w:hAnsi="Verdana" w:cs="Arial"/>
                <w:sz w:val="20"/>
                <w:szCs w:val="20"/>
              </w:rPr>
            </w:pPr>
          </w:p>
        </w:tc>
      </w:tr>
      <w:tr w:rsidR="00200B36" w:rsidRPr="007E6287" w14:paraId="0A1A4A59" w14:textId="77777777" w:rsidTr="007E6287">
        <w:tc>
          <w:tcPr>
            <w:tcW w:w="3510" w:type="dxa"/>
          </w:tcPr>
          <w:p w14:paraId="2C46B63F" w14:textId="20B22CA9"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Caucasian</w:t>
            </w:r>
          </w:p>
        </w:tc>
        <w:tc>
          <w:tcPr>
            <w:tcW w:w="1560" w:type="dxa"/>
            <w:vAlign w:val="bottom"/>
          </w:tcPr>
          <w:p w14:paraId="547A0ACF" w14:textId="17ABC04F"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3</w:t>
            </w:r>
            <w:r w:rsidR="007E6287">
              <w:rPr>
                <w:rFonts w:ascii="Verdana" w:hAnsi="Verdana"/>
                <w:color w:val="000000"/>
                <w:sz w:val="20"/>
                <w:szCs w:val="20"/>
              </w:rPr>
              <w:t>,</w:t>
            </w:r>
            <w:r w:rsidRPr="007E6287">
              <w:rPr>
                <w:rFonts w:ascii="Verdana" w:hAnsi="Verdana"/>
                <w:color w:val="000000"/>
                <w:sz w:val="20"/>
                <w:szCs w:val="20"/>
              </w:rPr>
              <w:t>627 (98.1)</w:t>
            </w:r>
          </w:p>
        </w:tc>
        <w:tc>
          <w:tcPr>
            <w:tcW w:w="1559" w:type="dxa"/>
            <w:vAlign w:val="bottom"/>
          </w:tcPr>
          <w:p w14:paraId="388ED9BB" w14:textId="32FD4947"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4</w:t>
            </w:r>
            <w:r w:rsidR="007E6287">
              <w:rPr>
                <w:rFonts w:ascii="Verdana" w:hAnsi="Verdana"/>
                <w:color w:val="000000"/>
                <w:sz w:val="20"/>
                <w:szCs w:val="20"/>
              </w:rPr>
              <w:t>,</w:t>
            </w:r>
            <w:r w:rsidRPr="007E6287">
              <w:rPr>
                <w:rFonts w:ascii="Verdana" w:hAnsi="Verdana"/>
                <w:color w:val="000000"/>
                <w:sz w:val="20"/>
                <w:szCs w:val="20"/>
              </w:rPr>
              <w:t>334 (98.2)</w:t>
            </w:r>
          </w:p>
        </w:tc>
        <w:tc>
          <w:tcPr>
            <w:tcW w:w="1843" w:type="dxa"/>
            <w:vAlign w:val="bottom"/>
          </w:tcPr>
          <w:p w14:paraId="2FCA6594" w14:textId="39F0F392"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w:t>
            </w:r>
            <w:r w:rsidR="007E6287">
              <w:rPr>
                <w:rFonts w:ascii="Verdana" w:hAnsi="Verdana"/>
                <w:color w:val="000000"/>
                <w:sz w:val="20"/>
                <w:szCs w:val="20"/>
              </w:rPr>
              <w:t>,</w:t>
            </w:r>
            <w:r w:rsidRPr="007E6287">
              <w:rPr>
                <w:rFonts w:ascii="Verdana" w:hAnsi="Verdana"/>
                <w:color w:val="000000"/>
                <w:sz w:val="20"/>
                <w:szCs w:val="20"/>
              </w:rPr>
              <w:t>961 (98.2)</w:t>
            </w:r>
          </w:p>
        </w:tc>
      </w:tr>
      <w:tr w:rsidR="00200B36" w:rsidRPr="007E6287" w14:paraId="6ECD524E" w14:textId="77777777" w:rsidTr="007E6287">
        <w:tc>
          <w:tcPr>
            <w:tcW w:w="3510" w:type="dxa"/>
          </w:tcPr>
          <w:p w14:paraId="1101C655" w14:textId="6E681AFF"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Other</w:t>
            </w:r>
          </w:p>
        </w:tc>
        <w:tc>
          <w:tcPr>
            <w:tcW w:w="1560" w:type="dxa"/>
            <w:vAlign w:val="bottom"/>
          </w:tcPr>
          <w:p w14:paraId="0C226CBF" w14:textId="48C9936B"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70 (1.9)</w:t>
            </w:r>
          </w:p>
        </w:tc>
        <w:tc>
          <w:tcPr>
            <w:tcW w:w="1559" w:type="dxa"/>
            <w:vAlign w:val="bottom"/>
          </w:tcPr>
          <w:p w14:paraId="1FB281E7" w14:textId="660E597B"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78 (1.8)</w:t>
            </w:r>
          </w:p>
        </w:tc>
        <w:tc>
          <w:tcPr>
            <w:tcW w:w="1843" w:type="dxa"/>
            <w:vAlign w:val="bottom"/>
          </w:tcPr>
          <w:p w14:paraId="1E2E3C55" w14:textId="3DF84362"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148 (1.8)</w:t>
            </w:r>
          </w:p>
        </w:tc>
      </w:tr>
      <w:tr w:rsidR="00AB4E73" w:rsidRPr="007E6287" w14:paraId="60E854A5" w14:textId="77777777" w:rsidTr="007E6287">
        <w:tc>
          <w:tcPr>
            <w:tcW w:w="3510" w:type="dxa"/>
          </w:tcPr>
          <w:p w14:paraId="18F48955"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560" w:type="dxa"/>
            <w:vAlign w:val="bottom"/>
          </w:tcPr>
          <w:p w14:paraId="784531C1"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559" w:type="dxa"/>
            <w:vAlign w:val="bottom"/>
          </w:tcPr>
          <w:p w14:paraId="1192BBF1"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843" w:type="dxa"/>
            <w:vAlign w:val="bottom"/>
          </w:tcPr>
          <w:p w14:paraId="4540C592" w14:textId="77777777" w:rsidR="00AB4E73" w:rsidRPr="007E6287" w:rsidRDefault="00AB4E73" w:rsidP="00C33BBA">
            <w:pPr>
              <w:pStyle w:val="ListParagraph"/>
              <w:widowControl w:val="0"/>
              <w:spacing w:line="480" w:lineRule="auto"/>
              <w:ind w:left="0"/>
              <w:rPr>
                <w:rFonts w:ascii="Verdana" w:hAnsi="Verdana" w:cs="Arial"/>
                <w:sz w:val="20"/>
                <w:szCs w:val="20"/>
              </w:rPr>
            </w:pPr>
          </w:p>
        </w:tc>
      </w:tr>
      <w:tr w:rsidR="00AB4E73" w:rsidRPr="007E6287" w14:paraId="20A61B1A" w14:textId="77777777" w:rsidTr="007E6287">
        <w:tc>
          <w:tcPr>
            <w:tcW w:w="3510" w:type="dxa"/>
          </w:tcPr>
          <w:p w14:paraId="2DA2FB8B" w14:textId="77777777" w:rsidR="00AB4E73" w:rsidRPr="007E6287" w:rsidRDefault="00AB4E73"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Marital status:</w:t>
            </w:r>
          </w:p>
        </w:tc>
        <w:tc>
          <w:tcPr>
            <w:tcW w:w="1560" w:type="dxa"/>
            <w:vAlign w:val="bottom"/>
          </w:tcPr>
          <w:p w14:paraId="60F2E6CD"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559" w:type="dxa"/>
            <w:vAlign w:val="bottom"/>
          </w:tcPr>
          <w:p w14:paraId="4F3304D6" w14:textId="68FD8562" w:rsidR="00AB4E73" w:rsidRPr="007E6287" w:rsidRDefault="00AB4E73" w:rsidP="00C33BBA">
            <w:pPr>
              <w:pStyle w:val="ListParagraph"/>
              <w:widowControl w:val="0"/>
              <w:spacing w:line="480" w:lineRule="auto"/>
              <w:ind w:left="0"/>
              <w:rPr>
                <w:rFonts w:ascii="Verdana" w:hAnsi="Verdana" w:cs="Arial"/>
                <w:sz w:val="20"/>
                <w:szCs w:val="20"/>
              </w:rPr>
            </w:pPr>
          </w:p>
        </w:tc>
        <w:tc>
          <w:tcPr>
            <w:tcW w:w="1843" w:type="dxa"/>
            <w:vAlign w:val="bottom"/>
          </w:tcPr>
          <w:p w14:paraId="6098DAB6" w14:textId="5B43B2E6" w:rsidR="00AB4E73" w:rsidRPr="007E6287" w:rsidRDefault="00AB4E73" w:rsidP="00C33BBA">
            <w:pPr>
              <w:pStyle w:val="ListParagraph"/>
              <w:widowControl w:val="0"/>
              <w:spacing w:line="480" w:lineRule="auto"/>
              <w:ind w:left="0"/>
              <w:rPr>
                <w:rFonts w:ascii="Verdana" w:hAnsi="Verdana" w:cs="Arial"/>
                <w:sz w:val="20"/>
                <w:szCs w:val="20"/>
              </w:rPr>
            </w:pPr>
          </w:p>
        </w:tc>
      </w:tr>
      <w:tr w:rsidR="00200B36" w:rsidRPr="007E6287" w14:paraId="569E07DD" w14:textId="77777777" w:rsidTr="007E6287">
        <w:tc>
          <w:tcPr>
            <w:tcW w:w="3510" w:type="dxa"/>
          </w:tcPr>
          <w:p w14:paraId="69ADF9C5" w14:textId="09FA5FAE"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Married/civil partnership</w:t>
            </w:r>
          </w:p>
        </w:tc>
        <w:tc>
          <w:tcPr>
            <w:tcW w:w="1560" w:type="dxa"/>
            <w:vAlign w:val="bottom"/>
          </w:tcPr>
          <w:p w14:paraId="5253EE54" w14:textId="11A2185D"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2</w:t>
            </w:r>
            <w:r w:rsidR="007E6287" w:rsidRPr="007E6287">
              <w:rPr>
                <w:rFonts w:ascii="Verdana" w:hAnsi="Verdana"/>
                <w:color w:val="000000"/>
                <w:sz w:val="20"/>
                <w:szCs w:val="20"/>
              </w:rPr>
              <w:t>,</w:t>
            </w:r>
            <w:r w:rsidRPr="007E6287">
              <w:rPr>
                <w:rFonts w:ascii="Verdana" w:hAnsi="Verdana"/>
                <w:color w:val="000000"/>
                <w:sz w:val="20"/>
                <w:szCs w:val="20"/>
              </w:rPr>
              <w:t>728 (73.8)</w:t>
            </w:r>
          </w:p>
        </w:tc>
        <w:tc>
          <w:tcPr>
            <w:tcW w:w="1559" w:type="dxa"/>
            <w:vAlign w:val="bottom"/>
          </w:tcPr>
          <w:p w14:paraId="78EAFEB4" w14:textId="128D6D8C"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2</w:t>
            </w:r>
            <w:r w:rsidR="007E6287" w:rsidRPr="007E6287">
              <w:rPr>
                <w:rFonts w:ascii="Verdana" w:hAnsi="Verdana"/>
                <w:color w:val="000000"/>
                <w:sz w:val="20"/>
                <w:szCs w:val="20"/>
              </w:rPr>
              <w:t>,</w:t>
            </w:r>
            <w:r w:rsidRPr="007E6287">
              <w:rPr>
                <w:rFonts w:ascii="Verdana" w:hAnsi="Verdana"/>
                <w:color w:val="000000"/>
                <w:sz w:val="20"/>
                <w:szCs w:val="20"/>
              </w:rPr>
              <w:t>995 (68.3)</w:t>
            </w:r>
          </w:p>
        </w:tc>
        <w:tc>
          <w:tcPr>
            <w:tcW w:w="1843" w:type="dxa"/>
            <w:vAlign w:val="bottom"/>
          </w:tcPr>
          <w:p w14:paraId="6A3A38B3" w14:textId="56B04B75"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5</w:t>
            </w:r>
            <w:r w:rsidR="007E6287" w:rsidRPr="007E6287">
              <w:rPr>
                <w:rFonts w:ascii="Verdana" w:hAnsi="Verdana"/>
                <w:color w:val="000000"/>
                <w:sz w:val="20"/>
                <w:szCs w:val="20"/>
              </w:rPr>
              <w:t>,</w:t>
            </w:r>
            <w:r w:rsidRPr="007E6287">
              <w:rPr>
                <w:rFonts w:ascii="Verdana" w:hAnsi="Verdana"/>
                <w:color w:val="000000"/>
                <w:sz w:val="20"/>
                <w:szCs w:val="20"/>
              </w:rPr>
              <w:t>723 (70.8)</w:t>
            </w:r>
          </w:p>
        </w:tc>
      </w:tr>
      <w:tr w:rsidR="00200B36" w:rsidRPr="007E6287" w14:paraId="4EBA6569" w14:textId="77777777" w:rsidTr="007E6287">
        <w:tc>
          <w:tcPr>
            <w:tcW w:w="3510" w:type="dxa"/>
          </w:tcPr>
          <w:p w14:paraId="127D4E58" w14:textId="07A08527"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Widowed</w:t>
            </w:r>
          </w:p>
        </w:tc>
        <w:tc>
          <w:tcPr>
            <w:tcW w:w="1560" w:type="dxa"/>
            <w:vAlign w:val="bottom"/>
          </w:tcPr>
          <w:p w14:paraId="6C333193" w14:textId="0074A005"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83 (2.3)</w:t>
            </w:r>
          </w:p>
        </w:tc>
        <w:tc>
          <w:tcPr>
            <w:tcW w:w="1559" w:type="dxa"/>
            <w:vAlign w:val="bottom"/>
          </w:tcPr>
          <w:p w14:paraId="0301C9AB" w14:textId="42F53EF9"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242 (5.5)</w:t>
            </w:r>
          </w:p>
        </w:tc>
        <w:tc>
          <w:tcPr>
            <w:tcW w:w="1843" w:type="dxa"/>
            <w:vAlign w:val="bottom"/>
          </w:tcPr>
          <w:p w14:paraId="76A262EF" w14:textId="50C6020E"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325 (4.0)</w:t>
            </w:r>
          </w:p>
        </w:tc>
      </w:tr>
      <w:tr w:rsidR="00200B36" w:rsidRPr="007E6287" w14:paraId="0C076389" w14:textId="77777777" w:rsidTr="007E6287">
        <w:tc>
          <w:tcPr>
            <w:tcW w:w="3510" w:type="dxa"/>
          </w:tcPr>
          <w:p w14:paraId="25A14005" w14:textId="12822E6D"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Divorced</w:t>
            </w:r>
          </w:p>
        </w:tc>
        <w:tc>
          <w:tcPr>
            <w:tcW w:w="1560" w:type="dxa"/>
            <w:vAlign w:val="bottom"/>
          </w:tcPr>
          <w:p w14:paraId="3621CABF" w14:textId="19503B6E"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472 (12.8)</w:t>
            </w:r>
          </w:p>
        </w:tc>
        <w:tc>
          <w:tcPr>
            <w:tcW w:w="1559" w:type="dxa"/>
            <w:vAlign w:val="bottom"/>
          </w:tcPr>
          <w:p w14:paraId="496BCD70" w14:textId="6CF980EE"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802 (18.3)</w:t>
            </w:r>
          </w:p>
        </w:tc>
        <w:tc>
          <w:tcPr>
            <w:tcW w:w="1843" w:type="dxa"/>
            <w:vAlign w:val="bottom"/>
          </w:tcPr>
          <w:p w14:paraId="47B5298A" w14:textId="444B98CD"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w:t>
            </w:r>
            <w:r w:rsidR="007E6287" w:rsidRPr="007E6287">
              <w:rPr>
                <w:rFonts w:ascii="Verdana" w:hAnsi="Verdana"/>
                <w:color w:val="000000"/>
                <w:sz w:val="20"/>
                <w:szCs w:val="20"/>
              </w:rPr>
              <w:t>,</w:t>
            </w:r>
            <w:r w:rsidRPr="007E6287">
              <w:rPr>
                <w:rFonts w:ascii="Verdana" w:hAnsi="Verdana"/>
                <w:color w:val="000000"/>
                <w:sz w:val="20"/>
                <w:szCs w:val="20"/>
              </w:rPr>
              <w:t>274 (15.8)</w:t>
            </w:r>
          </w:p>
        </w:tc>
      </w:tr>
      <w:tr w:rsidR="00200B36" w:rsidRPr="007E6287" w14:paraId="54FBE015" w14:textId="77777777" w:rsidTr="007E6287">
        <w:tc>
          <w:tcPr>
            <w:tcW w:w="3510" w:type="dxa"/>
          </w:tcPr>
          <w:p w14:paraId="077A4160" w14:textId="1617F2CA"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Single</w:t>
            </w:r>
          </w:p>
        </w:tc>
        <w:tc>
          <w:tcPr>
            <w:tcW w:w="1560" w:type="dxa"/>
            <w:vAlign w:val="bottom"/>
          </w:tcPr>
          <w:p w14:paraId="782AB4C5" w14:textId="36AFD681"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414 (11.2)</w:t>
            </w:r>
          </w:p>
        </w:tc>
        <w:tc>
          <w:tcPr>
            <w:tcW w:w="1559" w:type="dxa"/>
            <w:vAlign w:val="bottom"/>
          </w:tcPr>
          <w:p w14:paraId="1965F2EA" w14:textId="26DF10E5"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347 (7.9)</w:t>
            </w:r>
          </w:p>
        </w:tc>
        <w:tc>
          <w:tcPr>
            <w:tcW w:w="1843" w:type="dxa"/>
            <w:vAlign w:val="bottom"/>
          </w:tcPr>
          <w:p w14:paraId="7724AC88" w14:textId="1AA6ABB5" w:rsidR="00200B36" w:rsidRPr="007E6287" w:rsidRDefault="00200B36"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761 (9.4)</w:t>
            </w:r>
          </w:p>
        </w:tc>
      </w:tr>
      <w:tr w:rsidR="00AB4E73" w:rsidRPr="007E6287" w14:paraId="4509A1D0" w14:textId="77777777" w:rsidTr="007E6287">
        <w:tc>
          <w:tcPr>
            <w:tcW w:w="3510" w:type="dxa"/>
          </w:tcPr>
          <w:p w14:paraId="0384CB21"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560" w:type="dxa"/>
            <w:vAlign w:val="bottom"/>
          </w:tcPr>
          <w:p w14:paraId="18716178"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559" w:type="dxa"/>
            <w:vAlign w:val="bottom"/>
          </w:tcPr>
          <w:p w14:paraId="50B50013"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843" w:type="dxa"/>
            <w:vAlign w:val="bottom"/>
          </w:tcPr>
          <w:p w14:paraId="4AD0BDAE" w14:textId="77777777" w:rsidR="00AB4E73" w:rsidRPr="007E6287" w:rsidRDefault="00AB4E73" w:rsidP="00C33BBA">
            <w:pPr>
              <w:pStyle w:val="ListParagraph"/>
              <w:widowControl w:val="0"/>
              <w:spacing w:line="480" w:lineRule="auto"/>
              <w:ind w:left="0"/>
              <w:rPr>
                <w:rFonts w:ascii="Verdana" w:hAnsi="Verdana" w:cs="Arial"/>
                <w:sz w:val="20"/>
                <w:szCs w:val="20"/>
              </w:rPr>
            </w:pPr>
          </w:p>
        </w:tc>
      </w:tr>
      <w:tr w:rsidR="00AB4E73" w:rsidRPr="007E6287" w14:paraId="01FD534D" w14:textId="77777777" w:rsidTr="007E6287">
        <w:tc>
          <w:tcPr>
            <w:tcW w:w="3510" w:type="dxa"/>
          </w:tcPr>
          <w:p w14:paraId="1D918E18" w14:textId="60D682A2" w:rsidR="00AB4E73" w:rsidRPr="007E6287" w:rsidRDefault="00AB4E73" w:rsidP="00C33BBA">
            <w:pPr>
              <w:pStyle w:val="ListParagraph"/>
              <w:widowControl w:val="0"/>
              <w:spacing w:line="480" w:lineRule="auto"/>
              <w:ind w:left="0"/>
              <w:rPr>
                <w:rFonts w:ascii="Verdana" w:hAnsi="Verdana" w:cs="Arial"/>
                <w:sz w:val="20"/>
                <w:szCs w:val="20"/>
                <w:vertAlign w:val="superscript"/>
              </w:rPr>
            </w:pPr>
            <w:r w:rsidRPr="007E6287">
              <w:rPr>
                <w:rFonts w:ascii="Verdana" w:hAnsi="Verdana" w:cs="Arial"/>
                <w:sz w:val="20"/>
                <w:szCs w:val="20"/>
              </w:rPr>
              <w:t>Educational qualificatio</w:t>
            </w:r>
            <w:r w:rsidR="001C43F7" w:rsidRPr="007E6287">
              <w:rPr>
                <w:rFonts w:ascii="Verdana" w:hAnsi="Verdana" w:cs="Arial"/>
                <w:sz w:val="20"/>
                <w:szCs w:val="20"/>
              </w:rPr>
              <w:t>n:</w:t>
            </w:r>
            <w:r w:rsidRPr="007E6287">
              <w:rPr>
                <w:rFonts w:ascii="Verdana" w:hAnsi="Verdana" w:cs="Arial"/>
                <w:sz w:val="20"/>
                <w:szCs w:val="20"/>
                <w:vertAlign w:val="superscript"/>
              </w:rPr>
              <w:t>a</w:t>
            </w:r>
          </w:p>
        </w:tc>
        <w:tc>
          <w:tcPr>
            <w:tcW w:w="1560" w:type="dxa"/>
            <w:vAlign w:val="bottom"/>
          </w:tcPr>
          <w:p w14:paraId="7404E6EA"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559" w:type="dxa"/>
            <w:vAlign w:val="bottom"/>
          </w:tcPr>
          <w:p w14:paraId="7B1B81AF"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843" w:type="dxa"/>
            <w:vAlign w:val="bottom"/>
          </w:tcPr>
          <w:p w14:paraId="694B1F51" w14:textId="77777777" w:rsidR="00AB4E73" w:rsidRPr="007E6287" w:rsidRDefault="00AB4E73" w:rsidP="00C33BBA">
            <w:pPr>
              <w:pStyle w:val="ListParagraph"/>
              <w:widowControl w:val="0"/>
              <w:spacing w:line="480" w:lineRule="auto"/>
              <w:ind w:left="0"/>
              <w:rPr>
                <w:rFonts w:ascii="Verdana" w:hAnsi="Verdana" w:cs="Arial"/>
                <w:sz w:val="20"/>
                <w:szCs w:val="20"/>
              </w:rPr>
            </w:pPr>
          </w:p>
        </w:tc>
      </w:tr>
      <w:tr w:rsidR="007E6287" w:rsidRPr="007E6287" w14:paraId="6CF2A529" w14:textId="77777777" w:rsidTr="007E6287">
        <w:tc>
          <w:tcPr>
            <w:tcW w:w="3510" w:type="dxa"/>
          </w:tcPr>
          <w:p w14:paraId="29255923" w14:textId="0642176A"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None</w:t>
            </w:r>
          </w:p>
        </w:tc>
        <w:tc>
          <w:tcPr>
            <w:tcW w:w="1560" w:type="dxa"/>
            <w:vAlign w:val="bottom"/>
          </w:tcPr>
          <w:p w14:paraId="18D95222" w14:textId="1A488FB7"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539 (14.5)</w:t>
            </w:r>
          </w:p>
        </w:tc>
        <w:tc>
          <w:tcPr>
            <w:tcW w:w="1559" w:type="dxa"/>
            <w:vAlign w:val="bottom"/>
          </w:tcPr>
          <w:p w14:paraId="6430A197" w14:textId="5303F183"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733 (16.6)</w:t>
            </w:r>
          </w:p>
        </w:tc>
        <w:tc>
          <w:tcPr>
            <w:tcW w:w="1843" w:type="dxa"/>
            <w:vAlign w:val="bottom"/>
          </w:tcPr>
          <w:p w14:paraId="38B40362" w14:textId="56A70845"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1,272 (15.6)</w:t>
            </w:r>
          </w:p>
        </w:tc>
      </w:tr>
      <w:tr w:rsidR="007E6287" w:rsidRPr="007E6287" w14:paraId="3621C2A1" w14:textId="77777777" w:rsidTr="007E6287">
        <w:tc>
          <w:tcPr>
            <w:tcW w:w="3510" w:type="dxa"/>
          </w:tcPr>
          <w:p w14:paraId="6E716186" w14:textId="3088F81A"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School</w:t>
            </w:r>
          </w:p>
        </w:tc>
        <w:tc>
          <w:tcPr>
            <w:tcW w:w="1560" w:type="dxa"/>
            <w:vAlign w:val="bottom"/>
          </w:tcPr>
          <w:p w14:paraId="0EB74680" w14:textId="45AA182F"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631 (17.0)</w:t>
            </w:r>
          </w:p>
        </w:tc>
        <w:tc>
          <w:tcPr>
            <w:tcW w:w="1559" w:type="dxa"/>
            <w:vAlign w:val="bottom"/>
          </w:tcPr>
          <w:p w14:paraId="28184770" w14:textId="771B5DEF"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1,014 (22.9)</w:t>
            </w:r>
          </w:p>
        </w:tc>
        <w:tc>
          <w:tcPr>
            <w:tcW w:w="1843" w:type="dxa"/>
            <w:vAlign w:val="bottom"/>
          </w:tcPr>
          <w:p w14:paraId="46794A3C" w14:textId="60F52C89"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1,645 (20.2)</w:t>
            </w:r>
          </w:p>
        </w:tc>
      </w:tr>
      <w:tr w:rsidR="007E6287" w:rsidRPr="007E6287" w14:paraId="3EA1E1C1" w14:textId="77777777" w:rsidTr="007E6287">
        <w:tc>
          <w:tcPr>
            <w:tcW w:w="3510" w:type="dxa"/>
          </w:tcPr>
          <w:p w14:paraId="4834645E" w14:textId="11A2D8F0"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Vocational training certificate</w:t>
            </w:r>
          </w:p>
        </w:tc>
        <w:tc>
          <w:tcPr>
            <w:tcW w:w="1560" w:type="dxa"/>
            <w:vAlign w:val="bottom"/>
          </w:tcPr>
          <w:p w14:paraId="1CFB47BD" w14:textId="53EAF08E"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1,203 (32.5)</w:t>
            </w:r>
          </w:p>
        </w:tc>
        <w:tc>
          <w:tcPr>
            <w:tcW w:w="1559" w:type="dxa"/>
            <w:vAlign w:val="bottom"/>
          </w:tcPr>
          <w:p w14:paraId="6EFBCC1D" w14:textId="6FEF9EAB"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1,246 (28.2)</w:t>
            </w:r>
          </w:p>
        </w:tc>
        <w:tc>
          <w:tcPr>
            <w:tcW w:w="1843" w:type="dxa"/>
            <w:vAlign w:val="bottom"/>
          </w:tcPr>
          <w:p w14:paraId="4CD2660D" w14:textId="38BA6C12"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2,449 (30.1)</w:t>
            </w:r>
          </w:p>
        </w:tc>
      </w:tr>
      <w:tr w:rsidR="007E6287" w:rsidRPr="007E6287" w14:paraId="79EE2355" w14:textId="77777777" w:rsidTr="007E6287">
        <w:tc>
          <w:tcPr>
            <w:tcW w:w="3510" w:type="dxa"/>
          </w:tcPr>
          <w:p w14:paraId="635E8B91" w14:textId="2F691A59"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University degree</w:t>
            </w:r>
          </w:p>
        </w:tc>
        <w:tc>
          <w:tcPr>
            <w:tcW w:w="1560" w:type="dxa"/>
            <w:vAlign w:val="bottom"/>
          </w:tcPr>
          <w:p w14:paraId="3D1D2D71" w14:textId="7D906CEA"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631 (17.0)</w:t>
            </w:r>
          </w:p>
        </w:tc>
        <w:tc>
          <w:tcPr>
            <w:tcW w:w="1559" w:type="dxa"/>
            <w:vAlign w:val="bottom"/>
          </w:tcPr>
          <w:p w14:paraId="236513E1" w14:textId="6720CE93"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652 (14.7)</w:t>
            </w:r>
          </w:p>
        </w:tc>
        <w:tc>
          <w:tcPr>
            <w:tcW w:w="1843" w:type="dxa"/>
            <w:vAlign w:val="bottom"/>
          </w:tcPr>
          <w:p w14:paraId="77B871AE" w14:textId="62D0C262"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1,283 (15.8)</w:t>
            </w:r>
          </w:p>
        </w:tc>
      </w:tr>
      <w:tr w:rsidR="007E6287" w:rsidRPr="007E6287" w14:paraId="1B8A50C5" w14:textId="77777777" w:rsidTr="007E6287">
        <w:tc>
          <w:tcPr>
            <w:tcW w:w="3510" w:type="dxa"/>
          </w:tcPr>
          <w:p w14:paraId="3FCE6F23" w14:textId="6E2493C8"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Higher professional qualification</w:t>
            </w:r>
          </w:p>
        </w:tc>
        <w:tc>
          <w:tcPr>
            <w:tcW w:w="1560" w:type="dxa"/>
            <w:vAlign w:val="bottom"/>
          </w:tcPr>
          <w:p w14:paraId="6D8A63E9" w14:textId="171E23C2"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703 (19.0)</w:t>
            </w:r>
          </w:p>
        </w:tc>
        <w:tc>
          <w:tcPr>
            <w:tcW w:w="1559" w:type="dxa"/>
            <w:vAlign w:val="bottom"/>
          </w:tcPr>
          <w:p w14:paraId="7127C572" w14:textId="32A05158"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782 (17.7)</w:t>
            </w:r>
          </w:p>
        </w:tc>
        <w:tc>
          <w:tcPr>
            <w:tcW w:w="1843" w:type="dxa"/>
            <w:vAlign w:val="bottom"/>
          </w:tcPr>
          <w:p w14:paraId="1DCEA485" w14:textId="7DBE0D41"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1,485 (18.3)</w:t>
            </w:r>
          </w:p>
        </w:tc>
      </w:tr>
      <w:tr w:rsidR="00166660" w:rsidRPr="007E6287" w14:paraId="629DC1B4" w14:textId="77777777" w:rsidTr="007E6287">
        <w:tc>
          <w:tcPr>
            <w:tcW w:w="3510" w:type="dxa"/>
          </w:tcPr>
          <w:p w14:paraId="3AEF05DF" w14:textId="77777777" w:rsidR="00166660" w:rsidRPr="007E6287" w:rsidRDefault="00166660" w:rsidP="00C33BBA">
            <w:pPr>
              <w:pStyle w:val="ListParagraph"/>
              <w:widowControl w:val="0"/>
              <w:spacing w:line="480" w:lineRule="auto"/>
              <w:ind w:left="0"/>
              <w:rPr>
                <w:rFonts w:ascii="Verdana" w:hAnsi="Verdana" w:cs="Arial"/>
                <w:sz w:val="20"/>
                <w:szCs w:val="20"/>
              </w:rPr>
            </w:pPr>
          </w:p>
        </w:tc>
        <w:tc>
          <w:tcPr>
            <w:tcW w:w="1560" w:type="dxa"/>
            <w:vAlign w:val="bottom"/>
          </w:tcPr>
          <w:p w14:paraId="7EC10177" w14:textId="77777777" w:rsidR="00166660" w:rsidRPr="007E6287" w:rsidRDefault="00166660" w:rsidP="00C33BBA">
            <w:pPr>
              <w:pStyle w:val="ListParagraph"/>
              <w:widowControl w:val="0"/>
              <w:spacing w:line="480" w:lineRule="auto"/>
              <w:ind w:left="0"/>
              <w:rPr>
                <w:rFonts w:ascii="Verdana" w:hAnsi="Verdana"/>
                <w:color w:val="000000"/>
                <w:sz w:val="20"/>
                <w:szCs w:val="20"/>
              </w:rPr>
            </w:pPr>
          </w:p>
        </w:tc>
        <w:tc>
          <w:tcPr>
            <w:tcW w:w="1559" w:type="dxa"/>
            <w:vAlign w:val="bottom"/>
          </w:tcPr>
          <w:p w14:paraId="4D62410B" w14:textId="77777777" w:rsidR="00166660" w:rsidRPr="007E6287" w:rsidRDefault="00166660" w:rsidP="00C33BBA">
            <w:pPr>
              <w:pStyle w:val="ListParagraph"/>
              <w:widowControl w:val="0"/>
              <w:spacing w:line="480" w:lineRule="auto"/>
              <w:ind w:left="0"/>
              <w:rPr>
                <w:rFonts w:ascii="Verdana" w:hAnsi="Verdana"/>
                <w:color w:val="000000"/>
                <w:sz w:val="20"/>
                <w:szCs w:val="20"/>
              </w:rPr>
            </w:pPr>
          </w:p>
        </w:tc>
        <w:tc>
          <w:tcPr>
            <w:tcW w:w="1843" w:type="dxa"/>
            <w:vAlign w:val="bottom"/>
          </w:tcPr>
          <w:p w14:paraId="4D6624C7" w14:textId="77777777" w:rsidR="00166660" w:rsidRPr="007E6287" w:rsidRDefault="00166660" w:rsidP="00C33BBA">
            <w:pPr>
              <w:pStyle w:val="ListParagraph"/>
              <w:widowControl w:val="0"/>
              <w:spacing w:line="480" w:lineRule="auto"/>
              <w:ind w:left="0"/>
              <w:rPr>
                <w:rFonts w:ascii="Verdana" w:hAnsi="Verdana"/>
                <w:color w:val="000000"/>
                <w:sz w:val="20"/>
                <w:szCs w:val="20"/>
              </w:rPr>
            </w:pPr>
          </w:p>
        </w:tc>
      </w:tr>
      <w:tr w:rsidR="00AB4E73" w:rsidRPr="007E6287" w14:paraId="5A0B9958" w14:textId="77777777" w:rsidTr="007E6287">
        <w:tc>
          <w:tcPr>
            <w:tcW w:w="3510" w:type="dxa"/>
          </w:tcPr>
          <w:p w14:paraId="7CA36034" w14:textId="76227617" w:rsidR="00AB4E73" w:rsidRPr="007E6287" w:rsidRDefault="00AB4E73"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Home ownership:</w:t>
            </w:r>
          </w:p>
        </w:tc>
        <w:tc>
          <w:tcPr>
            <w:tcW w:w="1560" w:type="dxa"/>
            <w:vAlign w:val="bottom"/>
          </w:tcPr>
          <w:p w14:paraId="22AEB596" w14:textId="77777777" w:rsidR="00AB4E73" w:rsidRPr="007E6287" w:rsidRDefault="00AB4E73" w:rsidP="00C33BBA">
            <w:pPr>
              <w:pStyle w:val="ListParagraph"/>
              <w:widowControl w:val="0"/>
              <w:spacing w:line="480" w:lineRule="auto"/>
              <w:ind w:left="0"/>
              <w:rPr>
                <w:rFonts w:ascii="Verdana" w:hAnsi="Verdana"/>
                <w:color w:val="000000"/>
                <w:sz w:val="20"/>
                <w:szCs w:val="20"/>
              </w:rPr>
            </w:pPr>
          </w:p>
        </w:tc>
        <w:tc>
          <w:tcPr>
            <w:tcW w:w="1559" w:type="dxa"/>
            <w:vAlign w:val="bottom"/>
          </w:tcPr>
          <w:p w14:paraId="2378F75D" w14:textId="77777777" w:rsidR="00AB4E73" w:rsidRPr="007E6287" w:rsidRDefault="00AB4E73" w:rsidP="00C33BBA">
            <w:pPr>
              <w:pStyle w:val="ListParagraph"/>
              <w:widowControl w:val="0"/>
              <w:spacing w:line="480" w:lineRule="auto"/>
              <w:ind w:left="0"/>
              <w:rPr>
                <w:rFonts w:ascii="Verdana" w:hAnsi="Verdana"/>
                <w:color w:val="000000"/>
                <w:sz w:val="20"/>
                <w:szCs w:val="20"/>
              </w:rPr>
            </w:pPr>
          </w:p>
        </w:tc>
        <w:tc>
          <w:tcPr>
            <w:tcW w:w="1843" w:type="dxa"/>
            <w:vAlign w:val="bottom"/>
          </w:tcPr>
          <w:p w14:paraId="72B66347" w14:textId="77777777" w:rsidR="00AB4E73" w:rsidRPr="007E6287" w:rsidRDefault="00AB4E73" w:rsidP="00C33BBA">
            <w:pPr>
              <w:pStyle w:val="ListParagraph"/>
              <w:widowControl w:val="0"/>
              <w:spacing w:line="480" w:lineRule="auto"/>
              <w:ind w:left="0"/>
              <w:rPr>
                <w:rFonts w:ascii="Verdana" w:hAnsi="Verdana"/>
                <w:color w:val="000000"/>
                <w:sz w:val="20"/>
                <w:szCs w:val="20"/>
              </w:rPr>
            </w:pPr>
          </w:p>
        </w:tc>
      </w:tr>
      <w:tr w:rsidR="007E6287" w:rsidRPr="007E6287" w14:paraId="2616CE82" w14:textId="77777777" w:rsidTr="007E6287">
        <w:tc>
          <w:tcPr>
            <w:tcW w:w="3510" w:type="dxa"/>
          </w:tcPr>
          <w:p w14:paraId="0A06BD3B" w14:textId="54D6339F"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Owned outright</w:t>
            </w:r>
          </w:p>
        </w:tc>
        <w:tc>
          <w:tcPr>
            <w:tcW w:w="1560" w:type="dxa"/>
            <w:vAlign w:val="bottom"/>
          </w:tcPr>
          <w:p w14:paraId="3F96485D" w14:textId="2BF11BF5"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1,849 (51.1)</w:t>
            </w:r>
          </w:p>
        </w:tc>
        <w:tc>
          <w:tcPr>
            <w:tcW w:w="1559" w:type="dxa"/>
            <w:vAlign w:val="bottom"/>
          </w:tcPr>
          <w:p w14:paraId="03630004" w14:textId="78ACEE1C"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2,442 (56.7)</w:t>
            </w:r>
          </w:p>
        </w:tc>
        <w:tc>
          <w:tcPr>
            <w:tcW w:w="1843" w:type="dxa"/>
            <w:vAlign w:val="bottom"/>
          </w:tcPr>
          <w:p w14:paraId="08043FF8" w14:textId="7B1AFE6E"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4,291 (54.1)</w:t>
            </w:r>
          </w:p>
        </w:tc>
      </w:tr>
      <w:tr w:rsidR="007E6287" w:rsidRPr="007E6287" w14:paraId="656010C4" w14:textId="77777777" w:rsidTr="007E6287">
        <w:tc>
          <w:tcPr>
            <w:tcW w:w="3510" w:type="dxa"/>
          </w:tcPr>
          <w:p w14:paraId="53FD1AA8" w14:textId="506F3AF5"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Owned with a mortgage</w:t>
            </w:r>
          </w:p>
        </w:tc>
        <w:tc>
          <w:tcPr>
            <w:tcW w:w="1560" w:type="dxa"/>
            <w:vAlign w:val="bottom"/>
          </w:tcPr>
          <w:p w14:paraId="2FF4792C" w14:textId="5BCA3DAD"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1,236 (34.2)</w:t>
            </w:r>
          </w:p>
        </w:tc>
        <w:tc>
          <w:tcPr>
            <w:tcW w:w="1559" w:type="dxa"/>
            <w:vAlign w:val="bottom"/>
          </w:tcPr>
          <w:p w14:paraId="50D9542A" w14:textId="1D37A754"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1,259 (29.2)</w:t>
            </w:r>
          </w:p>
        </w:tc>
        <w:tc>
          <w:tcPr>
            <w:tcW w:w="1843" w:type="dxa"/>
            <w:vAlign w:val="bottom"/>
          </w:tcPr>
          <w:p w14:paraId="3C7EBE87" w14:textId="559FB5A6"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2,495 (31.5)</w:t>
            </w:r>
          </w:p>
        </w:tc>
      </w:tr>
      <w:tr w:rsidR="007E6287" w:rsidRPr="007E6287" w14:paraId="50208E29" w14:textId="77777777" w:rsidTr="007E6287">
        <w:tc>
          <w:tcPr>
            <w:tcW w:w="3510" w:type="dxa"/>
          </w:tcPr>
          <w:p w14:paraId="3A1A21BC" w14:textId="114032A3"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Rented</w:t>
            </w:r>
          </w:p>
        </w:tc>
        <w:tc>
          <w:tcPr>
            <w:tcW w:w="1560" w:type="dxa"/>
            <w:vAlign w:val="bottom"/>
          </w:tcPr>
          <w:p w14:paraId="178CEF82" w14:textId="6173C87E"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508 (14.0)</w:t>
            </w:r>
          </w:p>
        </w:tc>
        <w:tc>
          <w:tcPr>
            <w:tcW w:w="1559" w:type="dxa"/>
            <w:vAlign w:val="bottom"/>
          </w:tcPr>
          <w:p w14:paraId="14CD0946" w14:textId="63A99C70"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584 (14.0)</w:t>
            </w:r>
          </w:p>
        </w:tc>
        <w:tc>
          <w:tcPr>
            <w:tcW w:w="1843" w:type="dxa"/>
            <w:vAlign w:val="bottom"/>
          </w:tcPr>
          <w:p w14:paraId="18E97B01" w14:textId="6B088C86" w:rsidR="007E6287" w:rsidRPr="007E6287" w:rsidRDefault="007E6287" w:rsidP="00C33BBA">
            <w:pPr>
              <w:pStyle w:val="ListParagraph"/>
              <w:widowControl w:val="0"/>
              <w:spacing w:line="480" w:lineRule="auto"/>
              <w:ind w:left="0"/>
              <w:rPr>
                <w:rFonts w:ascii="Verdana" w:hAnsi="Verdana"/>
                <w:color w:val="000000"/>
                <w:sz w:val="20"/>
                <w:szCs w:val="20"/>
              </w:rPr>
            </w:pPr>
            <w:r w:rsidRPr="007E6287">
              <w:rPr>
                <w:rFonts w:ascii="Verdana" w:hAnsi="Verdana"/>
                <w:color w:val="000000"/>
                <w:sz w:val="20"/>
                <w:szCs w:val="20"/>
              </w:rPr>
              <w:t>1,092 (13.8)</w:t>
            </w:r>
          </w:p>
        </w:tc>
      </w:tr>
      <w:tr w:rsidR="007E6287" w:rsidRPr="007E6287" w14:paraId="02B8F5AE" w14:textId="77777777" w:rsidTr="007E6287">
        <w:tc>
          <w:tcPr>
            <w:tcW w:w="3510" w:type="dxa"/>
          </w:tcPr>
          <w:p w14:paraId="22D65B47" w14:textId="48392BF5"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Living rent free</w:t>
            </w:r>
          </w:p>
        </w:tc>
        <w:tc>
          <w:tcPr>
            <w:tcW w:w="1560" w:type="dxa"/>
            <w:vAlign w:val="bottom"/>
          </w:tcPr>
          <w:p w14:paraId="14786D2A" w14:textId="4B904A48"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26 (0.7)</w:t>
            </w:r>
          </w:p>
        </w:tc>
        <w:tc>
          <w:tcPr>
            <w:tcW w:w="1559" w:type="dxa"/>
            <w:vAlign w:val="bottom"/>
          </w:tcPr>
          <w:p w14:paraId="6B00AAD7" w14:textId="07ECC209"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22 (0.5)</w:t>
            </w:r>
          </w:p>
        </w:tc>
        <w:tc>
          <w:tcPr>
            <w:tcW w:w="1843" w:type="dxa"/>
            <w:vAlign w:val="bottom"/>
          </w:tcPr>
          <w:p w14:paraId="13A6D7FE" w14:textId="452A7614"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48 (0.6)</w:t>
            </w:r>
          </w:p>
        </w:tc>
      </w:tr>
      <w:tr w:rsidR="00AB4E73" w:rsidRPr="007E6287" w14:paraId="6A5A3777" w14:textId="77777777" w:rsidTr="007E6287">
        <w:tc>
          <w:tcPr>
            <w:tcW w:w="3510" w:type="dxa"/>
          </w:tcPr>
          <w:p w14:paraId="554374A9" w14:textId="77777777" w:rsidR="00AB4E73" w:rsidRPr="007E6287" w:rsidRDefault="00AB4E73" w:rsidP="00C33BBA">
            <w:pPr>
              <w:pStyle w:val="ListParagraph"/>
              <w:widowControl w:val="0"/>
              <w:spacing w:line="480" w:lineRule="auto"/>
              <w:ind w:left="0"/>
              <w:rPr>
                <w:rFonts w:ascii="Verdana" w:hAnsi="Verdana" w:cs="Arial"/>
                <w:sz w:val="20"/>
                <w:szCs w:val="20"/>
              </w:rPr>
            </w:pPr>
          </w:p>
        </w:tc>
        <w:tc>
          <w:tcPr>
            <w:tcW w:w="1560" w:type="dxa"/>
            <w:vAlign w:val="bottom"/>
          </w:tcPr>
          <w:p w14:paraId="17DF5941" w14:textId="71C17D6E" w:rsidR="00AB4E73" w:rsidRPr="007E6287" w:rsidRDefault="00AB4E73" w:rsidP="00C33BBA">
            <w:pPr>
              <w:pStyle w:val="ListParagraph"/>
              <w:widowControl w:val="0"/>
              <w:spacing w:line="480" w:lineRule="auto"/>
              <w:ind w:left="0"/>
              <w:rPr>
                <w:rFonts w:ascii="Verdana" w:hAnsi="Verdana" w:cs="Arial"/>
                <w:sz w:val="20"/>
                <w:szCs w:val="20"/>
              </w:rPr>
            </w:pPr>
          </w:p>
        </w:tc>
        <w:tc>
          <w:tcPr>
            <w:tcW w:w="1559" w:type="dxa"/>
            <w:vAlign w:val="bottom"/>
          </w:tcPr>
          <w:p w14:paraId="6E6FCEA1" w14:textId="75EBCA6C" w:rsidR="00AB4E73" w:rsidRPr="007E6287" w:rsidRDefault="00AB4E73" w:rsidP="00C33BBA">
            <w:pPr>
              <w:pStyle w:val="ListParagraph"/>
              <w:widowControl w:val="0"/>
              <w:spacing w:line="480" w:lineRule="auto"/>
              <w:ind w:left="0"/>
              <w:rPr>
                <w:rFonts w:ascii="Verdana" w:hAnsi="Verdana" w:cs="Arial"/>
                <w:sz w:val="20"/>
                <w:szCs w:val="20"/>
              </w:rPr>
            </w:pPr>
          </w:p>
        </w:tc>
        <w:tc>
          <w:tcPr>
            <w:tcW w:w="1843" w:type="dxa"/>
            <w:vAlign w:val="bottom"/>
          </w:tcPr>
          <w:p w14:paraId="5256E349" w14:textId="4F010A0F" w:rsidR="00AB4E73" w:rsidRPr="007E6287" w:rsidRDefault="00AB4E73" w:rsidP="00C33BBA">
            <w:pPr>
              <w:pStyle w:val="ListParagraph"/>
              <w:widowControl w:val="0"/>
              <w:spacing w:line="480" w:lineRule="auto"/>
              <w:ind w:left="0"/>
              <w:rPr>
                <w:rFonts w:ascii="Verdana" w:hAnsi="Verdana" w:cs="Arial"/>
                <w:sz w:val="20"/>
                <w:szCs w:val="20"/>
              </w:rPr>
            </w:pPr>
          </w:p>
        </w:tc>
      </w:tr>
      <w:tr w:rsidR="00AB4E73" w:rsidRPr="007E6287" w14:paraId="2A1D5CDB" w14:textId="77777777" w:rsidTr="007E6287">
        <w:tc>
          <w:tcPr>
            <w:tcW w:w="3510" w:type="dxa"/>
          </w:tcPr>
          <w:p w14:paraId="025340B6" w14:textId="6985FF34" w:rsidR="00AB4E73" w:rsidRPr="007E6287" w:rsidRDefault="00AB4E73"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t>Living alone:</w:t>
            </w:r>
          </w:p>
        </w:tc>
        <w:tc>
          <w:tcPr>
            <w:tcW w:w="1560" w:type="dxa"/>
            <w:vAlign w:val="bottom"/>
          </w:tcPr>
          <w:p w14:paraId="60C6EBD6" w14:textId="774FCC84" w:rsidR="00AB4E73" w:rsidRPr="007E6287" w:rsidRDefault="00AB4E73" w:rsidP="00C33BBA">
            <w:pPr>
              <w:pStyle w:val="ListParagraph"/>
              <w:widowControl w:val="0"/>
              <w:spacing w:line="480" w:lineRule="auto"/>
              <w:ind w:left="0"/>
              <w:rPr>
                <w:rFonts w:ascii="Verdana" w:hAnsi="Verdana" w:cs="Arial"/>
                <w:sz w:val="20"/>
                <w:szCs w:val="20"/>
              </w:rPr>
            </w:pPr>
          </w:p>
        </w:tc>
        <w:tc>
          <w:tcPr>
            <w:tcW w:w="1559" w:type="dxa"/>
            <w:vAlign w:val="bottom"/>
          </w:tcPr>
          <w:p w14:paraId="26660F99" w14:textId="3E4EFD14" w:rsidR="00AB4E73" w:rsidRPr="007E6287" w:rsidRDefault="00AB4E73" w:rsidP="00C33BBA">
            <w:pPr>
              <w:pStyle w:val="ListParagraph"/>
              <w:widowControl w:val="0"/>
              <w:spacing w:line="480" w:lineRule="auto"/>
              <w:ind w:left="0"/>
              <w:rPr>
                <w:rFonts w:ascii="Verdana" w:hAnsi="Verdana" w:cs="Arial"/>
                <w:sz w:val="20"/>
                <w:szCs w:val="20"/>
              </w:rPr>
            </w:pPr>
          </w:p>
        </w:tc>
        <w:tc>
          <w:tcPr>
            <w:tcW w:w="1843" w:type="dxa"/>
            <w:vAlign w:val="bottom"/>
          </w:tcPr>
          <w:p w14:paraId="4EE63638" w14:textId="26F5C9E4" w:rsidR="00AB4E73" w:rsidRPr="007E6287" w:rsidRDefault="00AB4E73" w:rsidP="00C33BBA">
            <w:pPr>
              <w:pStyle w:val="ListParagraph"/>
              <w:widowControl w:val="0"/>
              <w:spacing w:line="480" w:lineRule="auto"/>
              <w:ind w:left="0"/>
              <w:rPr>
                <w:rFonts w:ascii="Verdana" w:hAnsi="Verdana" w:cs="Arial"/>
                <w:sz w:val="20"/>
                <w:szCs w:val="20"/>
              </w:rPr>
            </w:pPr>
          </w:p>
        </w:tc>
      </w:tr>
      <w:tr w:rsidR="007E6287" w:rsidRPr="007E6287" w14:paraId="16FA47DA" w14:textId="77777777" w:rsidTr="007E6287">
        <w:tc>
          <w:tcPr>
            <w:tcW w:w="3510" w:type="dxa"/>
          </w:tcPr>
          <w:p w14:paraId="45AC5A37" w14:textId="17F988DD"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s="Arial"/>
                <w:sz w:val="20"/>
                <w:szCs w:val="20"/>
              </w:rPr>
              <w:lastRenderedPageBreak/>
              <w:t>Yes</w:t>
            </w:r>
          </w:p>
        </w:tc>
        <w:tc>
          <w:tcPr>
            <w:tcW w:w="1560" w:type="dxa"/>
            <w:vAlign w:val="bottom"/>
          </w:tcPr>
          <w:p w14:paraId="000DB72B" w14:textId="064278D9"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723 (19.8)</w:t>
            </w:r>
          </w:p>
        </w:tc>
        <w:tc>
          <w:tcPr>
            <w:tcW w:w="1559" w:type="dxa"/>
            <w:vAlign w:val="bottom"/>
          </w:tcPr>
          <w:p w14:paraId="29388F2A" w14:textId="386CD80A"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974 (22.3)</w:t>
            </w:r>
          </w:p>
        </w:tc>
        <w:tc>
          <w:tcPr>
            <w:tcW w:w="1843" w:type="dxa"/>
            <w:vAlign w:val="bottom"/>
          </w:tcPr>
          <w:p w14:paraId="79D90DFB" w14:textId="640B98C8"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1,697 (21.2)</w:t>
            </w:r>
          </w:p>
        </w:tc>
      </w:tr>
      <w:tr w:rsidR="007E6287" w:rsidRPr="007E6287" w14:paraId="33F6314C" w14:textId="77777777" w:rsidTr="007E6287">
        <w:tc>
          <w:tcPr>
            <w:tcW w:w="3510" w:type="dxa"/>
            <w:tcBorders>
              <w:bottom w:val="single" w:sz="4" w:space="0" w:color="auto"/>
            </w:tcBorders>
          </w:tcPr>
          <w:p w14:paraId="679E82FC" w14:textId="5B0438C9" w:rsidR="007E6287" w:rsidRPr="007E6287" w:rsidRDefault="007E6287" w:rsidP="00C33BBA">
            <w:pPr>
              <w:pStyle w:val="ListParagraph"/>
              <w:widowControl w:val="0"/>
              <w:spacing w:after="120" w:line="480" w:lineRule="auto"/>
              <w:ind w:left="0"/>
              <w:rPr>
                <w:rFonts w:ascii="Verdana" w:hAnsi="Verdana" w:cs="Arial"/>
                <w:sz w:val="20"/>
                <w:szCs w:val="20"/>
              </w:rPr>
            </w:pPr>
            <w:r w:rsidRPr="007E6287">
              <w:rPr>
                <w:rFonts w:ascii="Verdana" w:hAnsi="Verdana" w:cs="Arial"/>
                <w:sz w:val="20"/>
                <w:szCs w:val="20"/>
              </w:rPr>
              <w:t>No</w:t>
            </w:r>
          </w:p>
        </w:tc>
        <w:tc>
          <w:tcPr>
            <w:tcW w:w="1560" w:type="dxa"/>
            <w:tcBorders>
              <w:bottom w:val="single" w:sz="4" w:space="0" w:color="auto"/>
            </w:tcBorders>
            <w:vAlign w:val="bottom"/>
          </w:tcPr>
          <w:p w14:paraId="1476782F" w14:textId="23B1EA29"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2,936 (80.2)</w:t>
            </w:r>
          </w:p>
        </w:tc>
        <w:tc>
          <w:tcPr>
            <w:tcW w:w="1559" w:type="dxa"/>
            <w:tcBorders>
              <w:bottom w:val="single" w:sz="4" w:space="0" w:color="auto"/>
            </w:tcBorders>
            <w:vAlign w:val="bottom"/>
          </w:tcPr>
          <w:p w14:paraId="2F154BBF" w14:textId="7B70E7DB"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3,386 (77.7)</w:t>
            </w:r>
          </w:p>
        </w:tc>
        <w:tc>
          <w:tcPr>
            <w:tcW w:w="1843" w:type="dxa"/>
            <w:tcBorders>
              <w:bottom w:val="single" w:sz="4" w:space="0" w:color="auto"/>
            </w:tcBorders>
            <w:vAlign w:val="bottom"/>
          </w:tcPr>
          <w:p w14:paraId="4713FECC" w14:textId="357BA8E8" w:rsidR="007E6287" w:rsidRPr="007E6287" w:rsidRDefault="007E6287" w:rsidP="00C33BBA">
            <w:pPr>
              <w:pStyle w:val="ListParagraph"/>
              <w:widowControl w:val="0"/>
              <w:spacing w:line="480" w:lineRule="auto"/>
              <w:ind w:left="0"/>
              <w:rPr>
                <w:rFonts w:ascii="Verdana" w:hAnsi="Verdana" w:cs="Arial"/>
                <w:sz w:val="20"/>
                <w:szCs w:val="20"/>
              </w:rPr>
            </w:pPr>
            <w:r w:rsidRPr="007E6287">
              <w:rPr>
                <w:rFonts w:ascii="Verdana" w:hAnsi="Verdana"/>
                <w:color w:val="000000"/>
                <w:sz w:val="20"/>
                <w:szCs w:val="20"/>
              </w:rPr>
              <w:t>6,322 (78.8)</w:t>
            </w:r>
          </w:p>
        </w:tc>
      </w:tr>
    </w:tbl>
    <w:p w14:paraId="06CE0283" w14:textId="6BBD0C84" w:rsidR="00A85989" w:rsidRDefault="00D834CA" w:rsidP="00C33BBA">
      <w:pPr>
        <w:pStyle w:val="ListParagraph"/>
        <w:widowControl w:val="0"/>
        <w:spacing w:line="480" w:lineRule="auto"/>
        <w:ind w:left="0"/>
        <w:rPr>
          <w:rFonts w:ascii="Verdana" w:hAnsi="Verdana" w:cs="Arial"/>
          <w:sz w:val="20"/>
        </w:rPr>
      </w:pPr>
      <w:r>
        <w:rPr>
          <w:rFonts w:ascii="Verdana" w:hAnsi="Verdana" w:cs="Arial"/>
          <w:sz w:val="20"/>
        </w:rPr>
        <w:t>a – highest</w:t>
      </w:r>
      <w:r w:rsidR="007E6287">
        <w:rPr>
          <w:rFonts w:ascii="Verdana" w:hAnsi="Verdana" w:cs="Arial"/>
          <w:sz w:val="20"/>
        </w:rPr>
        <w:t xml:space="preserve"> attained</w:t>
      </w:r>
      <w:r>
        <w:rPr>
          <w:rFonts w:ascii="Verdana" w:hAnsi="Verdana" w:cs="Arial"/>
          <w:sz w:val="20"/>
        </w:rPr>
        <w:t xml:space="preserve"> level</w:t>
      </w:r>
    </w:p>
    <w:p w14:paraId="2842FD29" w14:textId="345E3B6B" w:rsidR="00E360D3" w:rsidRDefault="00E360D3" w:rsidP="00C33BBA">
      <w:pPr>
        <w:pStyle w:val="ListParagraph"/>
        <w:widowControl w:val="0"/>
        <w:spacing w:line="480" w:lineRule="auto"/>
        <w:ind w:left="0"/>
        <w:rPr>
          <w:rFonts w:ascii="Verdana" w:hAnsi="Verdana" w:cs="Arial"/>
          <w:sz w:val="20"/>
        </w:rPr>
      </w:pPr>
    </w:p>
    <w:p w14:paraId="390541F7" w14:textId="77777777" w:rsidR="00FB33F5" w:rsidRDefault="00FB33F5" w:rsidP="00C33BBA">
      <w:pPr>
        <w:pStyle w:val="ListParagraph"/>
        <w:widowControl w:val="0"/>
        <w:spacing w:line="480" w:lineRule="auto"/>
        <w:ind w:left="0"/>
        <w:rPr>
          <w:rFonts w:ascii="Verdana" w:hAnsi="Verdana" w:cs="Arial"/>
          <w:sz w:val="20"/>
        </w:rPr>
      </w:pPr>
    </w:p>
    <w:p w14:paraId="3EBCD131" w14:textId="77777777" w:rsidR="009071A6" w:rsidRDefault="009071A6" w:rsidP="00C33BBA">
      <w:pPr>
        <w:pStyle w:val="ListParagraph"/>
        <w:widowControl w:val="0"/>
        <w:spacing w:line="480" w:lineRule="auto"/>
        <w:ind w:left="0"/>
        <w:rPr>
          <w:rFonts w:ascii="Verdana" w:hAnsi="Verdana" w:cs="Arial"/>
          <w:b/>
          <w:sz w:val="20"/>
          <w:highlight w:val="yellow"/>
        </w:rPr>
      </w:pPr>
    </w:p>
    <w:p w14:paraId="6CB212A6" w14:textId="77777777" w:rsidR="009071A6" w:rsidRDefault="009071A6" w:rsidP="00C33BBA">
      <w:pPr>
        <w:pStyle w:val="ListParagraph"/>
        <w:widowControl w:val="0"/>
        <w:spacing w:line="480" w:lineRule="auto"/>
        <w:ind w:left="0"/>
        <w:rPr>
          <w:rFonts w:ascii="Verdana" w:hAnsi="Verdana" w:cs="Arial"/>
          <w:b/>
          <w:sz w:val="20"/>
          <w:highlight w:val="yellow"/>
        </w:rPr>
      </w:pPr>
    </w:p>
    <w:p w14:paraId="4045B076" w14:textId="062FE5FC" w:rsidR="00FB33F5" w:rsidRPr="00ED4DE1" w:rsidRDefault="00FB33F5" w:rsidP="00C33BBA">
      <w:pPr>
        <w:pStyle w:val="ListParagraph"/>
        <w:widowControl w:val="0"/>
        <w:spacing w:line="480" w:lineRule="auto"/>
        <w:ind w:left="0"/>
        <w:rPr>
          <w:rFonts w:ascii="Verdana" w:hAnsi="Verdana" w:cs="Arial"/>
          <w:sz w:val="20"/>
        </w:rPr>
      </w:pPr>
    </w:p>
    <w:sectPr w:rsidR="00FB33F5" w:rsidRPr="00ED4DE1" w:rsidSect="00FF78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FD3B5" w14:textId="77777777" w:rsidR="0032010A" w:rsidRDefault="0032010A" w:rsidP="00FA27C7">
      <w:r>
        <w:separator/>
      </w:r>
    </w:p>
  </w:endnote>
  <w:endnote w:type="continuationSeparator" w:id="0">
    <w:p w14:paraId="37378C2D" w14:textId="77777777" w:rsidR="0032010A" w:rsidRDefault="0032010A" w:rsidP="00FA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195422"/>
      <w:docPartObj>
        <w:docPartGallery w:val="Page Numbers (Bottom of Page)"/>
        <w:docPartUnique/>
      </w:docPartObj>
    </w:sdtPr>
    <w:sdtEndPr>
      <w:rPr>
        <w:noProof/>
      </w:rPr>
    </w:sdtEndPr>
    <w:sdtContent>
      <w:p w14:paraId="12EB2104" w14:textId="7C913B3D" w:rsidR="00C33BBA" w:rsidRDefault="00C33BBA">
        <w:pPr>
          <w:pStyle w:val="Footer"/>
          <w:jc w:val="center"/>
        </w:pPr>
        <w:r>
          <w:fldChar w:fldCharType="begin"/>
        </w:r>
        <w:r>
          <w:instrText xml:space="preserve"> PAGE   \* MERGEFORMAT </w:instrText>
        </w:r>
        <w:r>
          <w:fldChar w:fldCharType="separate"/>
        </w:r>
        <w:r w:rsidR="00496C95">
          <w:rPr>
            <w:noProof/>
          </w:rPr>
          <w:t>1</w:t>
        </w:r>
        <w:r>
          <w:rPr>
            <w:noProof/>
          </w:rPr>
          <w:fldChar w:fldCharType="end"/>
        </w:r>
      </w:p>
    </w:sdtContent>
  </w:sdt>
  <w:p w14:paraId="7FEAEBC2" w14:textId="77777777" w:rsidR="003E4A25" w:rsidRDefault="003E4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8B73F" w14:textId="77777777" w:rsidR="0032010A" w:rsidRDefault="0032010A" w:rsidP="00FA27C7">
      <w:r>
        <w:separator/>
      </w:r>
    </w:p>
  </w:footnote>
  <w:footnote w:type="continuationSeparator" w:id="0">
    <w:p w14:paraId="67FE984A" w14:textId="77777777" w:rsidR="0032010A" w:rsidRDefault="0032010A" w:rsidP="00FA2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ABD"/>
    <w:multiLevelType w:val="hybridMultilevel"/>
    <w:tmpl w:val="C9A093B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B445DCE"/>
    <w:multiLevelType w:val="hybridMultilevel"/>
    <w:tmpl w:val="DF461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9D3B11"/>
    <w:multiLevelType w:val="hybridMultilevel"/>
    <w:tmpl w:val="8CA86C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9C41F59"/>
    <w:multiLevelType w:val="hybridMultilevel"/>
    <w:tmpl w:val="79FC45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833044"/>
    <w:multiLevelType w:val="hybridMultilevel"/>
    <w:tmpl w:val="19B6E4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BCD3C46"/>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DE049BC"/>
    <w:multiLevelType w:val="hybridMultilevel"/>
    <w:tmpl w:val="09AC5C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FCE46B7"/>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2FC45F8"/>
    <w:multiLevelType w:val="hybridMultilevel"/>
    <w:tmpl w:val="3482A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F73913"/>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AD83188"/>
    <w:multiLevelType w:val="hybridMultilevel"/>
    <w:tmpl w:val="79FC45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EF607F"/>
    <w:multiLevelType w:val="hybridMultilevel"/>
    <w:tmpl w:val="2A1A914A"/>
    <w:lvl w:ilvl="0" w:tplc="ED4AD7EC">
      <w:start w:val="1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7736DD"/>
    <w:multiLevelType w:val="hybridMultilevel"/>
    <w:tmpl w:val="19B6E4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A101778"/>
    <w:multiLevelType w:val="hybridMultilevel"/>
    <w:tmpl w:val="F8C40F2C"/>
    <w:lvl w:ilvl="0" w:tplc="DFAED5C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CB0103"/>
    <w:multiLevelType w:val="multilevel"/>
    <w:tmpl w:val="0B7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277E28"/>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59A0255B"/>
    <w:multiLevelType w:val="hybridMultilevel"/>
    <w:tmpl w:val="491AD2A4"/>
    <w:lvl w:ilvl="0" w:tplc="DFAED5C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B76143F"/>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60881715"/>
    <w:multiLevelType w:val="hybridMultilevel"/>
    <w:tmpl w:val="5FCA48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9316F5"/>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6C2E61C9"/>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24509D1"/>
    <w:multiLevelType w:val="hybridMultilevel"/>
    <w:tmpl w:val="99EA2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C935FFC"/>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FCA32F5"/>
    <w:multiLevelType w:val="hybridMultilevel"/>
    <w:tmpl w:val="693C9B9C"/>
    <w:lvl w:ilvl="0" w:tplc="B1DCD844">
      <w:start w:val="1"/>
      <w:numFmt w:val="lowerLetter"/>
      <w:lvlText w:val="%1."/>
      <w:lvlJc w:val="left"/>
      <w:pPr>
        <w:ind w:left="720" w:hanging="360"/>
      </w:pPr>
      <w:rPr>
        <w:rFonts w:ascii="Verdana" w:hAnsi="Verdana"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6"/>
  </w:num>
  <w:num w:numId="3">
    <w:abstractNumId w:val="13"/>
  </w:num>
  <w:num w:numId="4">
    <w:abstractNumId w:val="0"/>
  </w:num>
  <w:num w:numId="5">
    <w:abstractNumId w:val="20"/>
  </w:num>
  <w:num w:numId="6">
    <w:abstractNumId w:val="22"/>
  </w:num>
  <w:num w:numId="7">
    <w:abstractNumId w:val="15"/>
  </w:num>
  <w:num w:numId="8">
    <w:abstractNumId w:val="7"/>
  </w:num>
  <w:num w:numId="9">
    <w:abstractNumId w:val="17"/>
  </w:num>
  <w:num w:numId="10">
    <w:abstractNumId w:val="5"/>
  </w:num>
  <w:num w:numId="11">
    <w:abstractNumId w:val="9"/>
  </w:num>
  <w:num w:numId="12">
    <w:abstractNumId w:val="19"/>
  </w:num>
  <w:num w:numId="13">
    <w:abstractNumId w:val="2"/>
  </w:num>
  <w:num w:numId="14">
    <w:abstractNumId w:val="12"/>
  </w:num>
  <w:num w:numId="15">
    <w:abstractNumId w:val="4"/>
  </w:num>
  <w:num w:numId="16">
    <w:abstractNumId w:val="14"/>
  </w:num>
  <w:num w:numId="17">
    <w:abstractNumId w:val="18"/>
  </w:num>
  <w:num w:numId="18">
    <w:abstractNumId w:val="10"/>
  </w:num>
  <w:num w:numId="19">
    <w:abstractNumId w:val="1"/>
  </w:num>
  <w:num w:numId="20">
    <w:abstractNumId w:val="6"/>
  </w:num>
  <w:num w:numId="21">
    <w:abstractNumId w:val="3"/>
  </w:num>
  <w:num w:numId="22">
    <w:abstractNumId w:val="8"/>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09B94B7-9921-4B86-92CC-DE480A7B8B73}"/>
    <w:docVar w:name="dgnword-eventsink" w:val="137432288"/>
  </w:docVars>
  <w:rsids>
    <w:rsidRoot w:val="0040793F"/>
    <w:rsid w:val="00004D8C"/>
    <w:rsid w:val="0000790C"/>
    <w:rsid w:val="00013B1B"/>
    <w:rsid w:val="00014F89"/>
    <w:rsid w:val="00014FA3"/>
    <w:rsid w:val="00017299"/>
    <w:rsid w:val="00021183"/>
    <w:rsid w:val="000222A7"/>
    <w:rsid w:val="000407A6"/>
    <w:rsid w:val="00055AE1"/>
    <w:rsid w:val="00057201"/>
    <w:rsid w:val="000748E5"/>
    <w:rsid w:val="00081468"/>
    <w:rsid w:val="000855D5"/>
    <w:rsid w:val="0008754F"/>
    <w:rsid w:val="00095737"/>
    <w:rsid w:val="000971B6"/>
    <w:rsid w:val="0009762D"/>
    <w:rsid w:val="000A0C2D"/>
    <w:rsid w:val="000B37EE"/>
    <w:rsid w:val="000B5BF5"/>
    <w:rsid w:val="000C1798"/>
    <w:rsid w:val="000C23DD"/>
    <w:rsid w:val="000C39B8"/>
    <w:rsid w:val="000C7CF7"/>
    <w:rsid w:val="000D3A9A"/>
    <w:rsid w:val="000D4E84"/>
    <w:rsid w:val="000D7153"/>
    <w:rsid w:val="000E0A8D"/>
    <w:rsid w:val="000E1B8D"/>
    <w:rsid w:val="00101B81"/>
    <w:rsid w:val="00102F45"/>
    <w:rsid w:val="00105E94"/>
    <w:rsid w:val="00122A38"/>
    <w:rsid w:val="001273E3"/>
    <w:rsid w:val="00136812"/>
    <w:rsid w:val="001432D8"/>
    <w:rsid w:val="001516F4"/>
    <w:rsid w:val="00152E74"/>
    <w:rsid w:val="00155228"/>
    <w:rsid w:val="00161715"/>
    <w:rsid w:val="001628B0"/>
    <w:rsid w:val="00166660"/>
    <w:rsid w:val="0017606C"/>
    <w:rsid w:val="001A7FD5"/>
    <w:rsid w:val="001C1255"/>
    <w:rsid w:val="001C1C43"/>
    <w:rsid w:val="001C2E79"/>
    <w:rsid w:val="001C43F7"/>
    <w:rsid w:val="001D0A28"/>
    <w:rsid w:val="001D1DD1"/>
    <w:rsid w:val="001D537D"/>
    <w:rsid w:val="001E0E7F"/>
    <w:rsid w:val="001E48B7"/>
    <w:rsid w:val="001E4E25"/>
    <w:rsid w:val="001F1C0C"/>
    <w:rsid w:val="001F1FC0"/>
    <w:rsid w:val="001F3AFE"/>
    <w:rsid w:val="001F3E8D"/>
    <w:rsid w:val="002002C0"/>
    <w:rsid w:val="00200B36"/>
    <w:rsid w:val="0020441E"/>
    <w:rsid w:val="00206050"/>
    <w:rsid w:val="00210B1F"/>
    <w:rsid w:val="00211927"/>
    <w:rsid w:val="00215EAC"/>
    <w:rsid w:val="0022056D"/>
    <w:rsid w:val="00221991"/>
    <w:rsid w:val="00222164"/>
    <w:rsid w:val="00231D83"/>
    <w:rsid w:val="002424DE"/>
    <w:rsid w:val="00242E76"/>
    <w:rsid w:val="00242EBD"/>
    <w:rsid w:val="002468CB"/>
    <w:rsid w:val="00250D3E"/>
    <w:rsid w:val="00256EAE"/>
    <w:rsid w:val="00257F09"/>
    <w:rsid w:val="00272E90"/>
    <w:rsid w:val="00280D2A"/>
    <w:rsid w:val="0028213B"/>
    <w:rsid w:val="0028345F"/>
    <w:rsid w:val="002839DD"/>
    <w:rsid w:val="00293546"/>
    <w:rsid w:val="00296B2C"/>
    <w:rsid w:val="002A5E1F"/>
    <w:rsid w:val="002A6044"/>
    <w:rsid w:val="002A73D6"/>
    <w:rsid w:val="002B2069"/>
    <w:rsid w:val="002B6CE9"/>
    <w:rsid w:val="002C604A"/>
    <w:rsid w:val="002E0C53"/>
    <w:rsid w:val="002E603B"/>
    <w:rsid w:val="002F1155"/>
    <w:rsid w:val="00301716"/>
    <w:rsid w:val="00301A12"/>
    <w:rsid w:val="00317571"/>
    <w:rsid w:val="0032010A"/>
    <w:rsid w:val="0032121E"/>
    <w:rsid w:val="00326702"/>
    <w:rsid w:val="00336379"/>
    <w:rsid w:val="00350E56"/>
    <w:rsid w:val="00352E1A"/>
    <w:rsid w:val="00362598"/>
    <w:rsid w:val="00366CA4"/>
    <w:rsid w:val="00372EF3"/>
    <w:rsid w:val="00384A92"/>
    <w:rsid w:val="00385CE8"/>
    <w:rsid w:val="00391B9F"/>
    <w:rsid w:val="003A02E0"/>
    <w:rsid w:val="003A6CB1"/>
    <w:rsid w:val="003B124D"/>
    <w:rsid w:val="003B3776"/>
    <w:rsid w:val="003B3C6D"/>
    <w:rsid w:val="003B6F7E"/>
    <w:rsid w:val="003C2A41"/>
    <w:rsid w:val="003C2AA8"/>
    <w:rsid w:val="003E1134"/>
    <w:rsid w:val="003E4A25"/>
    <w:rsid w:val="003E773F"/>
    <w:rsid w:val="003F1FD1"/>
    <w:rsid w:val="003F2F96"/>
    <w:rsid w:val="003F6A6C"/>
    <w:rsid w:val="00403972"/>
    <w:rsid w:val="0040793F"/>
    <w:rsid w:val="00417D09"/>
    <w:rsid w:val="004316E4"/>
    <w:rsid w:val="00437680"/>
    <w:rsid w:val="00440292"/>
    <w:rsid w:val="004475F3"/>
    <w:rsid w:val="0044775A"/>
    <w:rsid w:val="00450129"/>
    <w:rsid w:val="0045484D"/>
    <w:rsid w:val="004615BB"/>
    <w:rsid w:val="00465666"/>
    <w:rsid w:val="00470EFE"/>
    <w:rsid w:val="00485858"/>
    <w:rsid w:val="00496C95"/>
    <w:rsid w:val="004A564B"/>
    <w:rsid w:val="004C147B"/>
    <w:rsid w:val="004C6EAE"/>
    <w:rsid w:val="004D0951"/>
    <w:rsid w:val="004D3515"/>
    <w:rsid w:val="004E44B9"/>
    <w:rsid w:val="004E48B2"/>
    <w:rsid w:val="004E757C"/>
    <w:rsid w:val="00507BC3"/>
    <w:rsid w:val="00507FC0"/>
    <w:rsid w:val="00511886"/>
    <w:rsid w:val="005250B6"/>
    <w:rsid w:val="00526715"/>
    <w:rsid w:val="005276A3"/>
    <w:rsid w:val="005322F3"/>
    <w:rsid w:val="00551491"/>
    <w:rsid w:val="0056285E"/>
    <w:rsid w:val="00571202"/>
    <w:rsid w:val="005844FA"/>
    <w:rsid w:val="00584E8F"/>
    <w:rsid w:val="00586D3A"/>
    <w:rsid w:val="00594F5C"/>
    <w:rsid w:val="005A05FE"/>
    <w:rsid w:val="005B76CB"/>
    <w:rsid w:val="005C1F97"/>
    <w:rsid w:val="005C634C"/>
    <w:rsid w:val="005C691E"/>
    <w:rsid w:val="005C7A14"/>
    <w:rsid w:val="005C7A98"/>
    <w:rsid w:val="005D30A4"/>
    <w:rsid w:val="005F6831"/>
    <w:rsid w:val="00604CB3"/>
    <w:rsid w:val="0061260B"/>
    <w:rsid w:val="00623FA4"/>
    <w:rsid w:val="0063110F"/>
    <w:rsid w:val="00632D60"/>
    <w:rsid w:val="00653E6C"/>
    <w:rsid w:val="006839C1"/>
    <w:rsid w:val="00686E54"/>
    <w:rsid w:val="006921A5"/>
    <w:rsid w:val="00692421"/>
    <w:rsid w:val="006B2B72"/>
    <w:rsid w:val="006B2EA8"/>
    <w:rsid w:val="006B6922"/>
    <w:rsid w:val="006B6E77"/>
    <w:rsid w:val="006B78B0"/>
    <w:rsid w:val="006C0DB4"/>
    <w:rsid w:val="006C12E7"/>
    <w:rsid w:val="006C6FF5"/>
    <w:rsid w:val="006C7AE1"/>
    <w:rsid w:val="006D0463"/>
    <w:rsid w:val="006D5375"/>
    <w:rsid w:val="006D6D19"/>
    <w:rsid w:val="006E22EA"/>
    <w:rsid w:val="006E2754"/>
    <w:rsid w:val="006F0813"/>
    <w:rsid w:val="00700DB9"/>
    <w:rsid w:val="007134B9"/>
    <w:rsid w:val="00714FAC"/>
    <w:rsid w:val="00721392"/>
    <w:rsid w:val="00722FAC"/>
    <w:rsid w:val="00723022"/>
    <w:rsid w:val="007244FB"/>
    <w:rsid w:val="00726C31"/>
    <w:rsid w:val="00731498"/>
    <w:rsid w:val="00732474"/>
    <w:rsid w:val="00736DDB"/>
    <w:rsid w:val="00740D10"/>
    <w:rsid w:val="00744E77"/>
    <w:rsid w:val="00750CA7"/>
    <w:rsid w:val="00753096"/>
    <w:rsid w:val="00756236"/>
    <w:rsid w:val="007717BA"/>
    <w:rsid w:val="00785773"/>
    <w:rsid w:val="007A2C8F"/>
    <w:rsid w:val="007A78E0"/>
    <w:rsid w:val="007B434F"/>
    <w:rsid w:val="007B5FC0"/>
    <w:rsid w:val="007B6331"/>
    <w:rsid w:val="007C2B30"/>
    <w:rsid w:val="007E6287"/>
    <w:rsid w:val="007F279F"/>
    <w:rsid w:val="00802E85"/>
    <w:rsid w:val="00804BE6"/>
    <w:rsid w:val="00806C90"/>
    <w:rsid w:val="00807824"/>
    <w:rsid w:val="00820C05"/>
    <w:rsid w:val="008254DC"/>
    <w:rsid w:val="00847676"/>
    <w:rsid w:val="00860A99"/>
    <w:rsid w:val="008675BC"/>
    <w:rsid w:val="00870738"/>
    <w:rsid w:val="00870838"/>
    <w:rsid w:val="0087125A"/>
    <w:rsid w:val="00873618"/>
    <w:rsid w:val="00873CF7"/>
    <w:rsid w:val="00881B35"/>
    <w:rsid w:val="00882D0A"/>
    <w:rsid w:val="0088706D"/>
    <w:rsid w:val="00895832"/>
    <w:rsid w:val="008A2BE3"/>
    <w:rsid w:val="008B0BBB"/>
    <w:rsid w:val="008B3169"/>
    <w:rsid w:val="008B5D74"/>
    <w:rsid w:val="008B616C"/>
    <w:rsid w:val="008C6E3B"/>
    <w:rsid w:val="008E5737"/>
    <w:rsid w:val="008F074A"/>
    <w:rsid w:val="008F5096"/>
    <w:rsid w:val="00905AE0"/>
    <w:rsid w:val="009071A6"/>
    <w:rsid w:val="009116EF"/>
    <w:rsid w:val="00911BBA"/>
    <w:rsid w:val="00921F89"/>
    <w:rsid w:val="00925C63"/>
    <w:rsid w:val="00927973"/>
    <w:rsid w:val="00932DB7"/>
    <w:rsid w:val="00936453"/>
    <w:rsid w:val="00937EEF"/>
    <w:rsid w:val="009412D6"/>
    <w:rsid w:val="009544EF"/>
    <w:rsid w:val="0095486B"/>
    <w:rsid w:val="00955496"/>
    <w:rsid w:val="00963C28"/>
    <w:rsid w:val="009700C6"/>
    <w:rsid w:val="009769D0"/>
    <w:rsid w:val="00985DAE"/>
    <w:rsid w:val="009879E3"/>
    <w:rsid w:val="009914E3"/>
    <w:rsid w:val="00993AA0"/>
    <w:rsid w:val="00995276"/>
    <w:rsid w:val="009A3A22"/>
    <w:rsid w:val="009A4900"/>
    <w:rsid w:val="009A65B5"/>
    <w:rsid w:val="009A7B93"/>
    <w:rsid w:val="009B0EF1"/>
    <w:rsid w:val="009B2E64"/>
    <w:rsid w:val="009B75FF"/>
    <w:rsid w:val="009C0451"/>
    <w:rsid w:val="009D2F11"/>
    <w:rsid w:val="009D4EAF"/>
    <w:rsid w:val="009F5F05"/>
    <w:rsid w:val="00A00462"/>
    <w:rsid w:val="00A04F2B"/>
    <w:rsid w:val="00A053A6"/>
    <w:rsid w:val="00A148E4"/>
    <w:rsid w:val="00A25A1C"/>
    <w:rsid w:val="00A26684"/>
    <w:rsid w:val="00A30957"/>
    <w:rsid w:val="00A316CC"/>
    <w:rsid w:val="00A33C80"/>
    <w:rsid w:val="00A471BE"/>
    <w:rsid w:val="00A54756"/>
    <w:rsid w:val="00A578E4"/>
    <w:rsid w:val="00A57A4A"/>
    <w:rsid w:val="00A64B5E"/>
    <w:rsid w:val="00A67290"/>
    <w:rsid w:val="00A73EDF"/>
    <w:rsid w:val="00A74857"/>
    <w:rsid w:val="00A769CB"/>
    <w:rsid w:val="00A85989"/>
    <w:rsid w:val="00A90562"/>
    <w:rsid w:val="00AA07D5"/>
    <w:rsid w:val="00AB0FFC"/>
    <w:rsid w:val="00AB4E73"/>
    <w:rsid w:val="00AC2D46"/>
    <w:rsid w:val="00AC310D"/>
    <w:rsid w:val="00AC3303"/>
    <w:rsid w:val="00AC50B6"/>
    <w:rsid w:val="00AD2B39"/>
    <w:rsid w:val="00AD6B48"/>
    <w:rsid w:val="00AE032F"/>
    <w:rsid w:val="00AE42FC"/>
    <w:rsid w:val="00AE45C7"/>
    <w:rsid w:val="00AE460C"/>
    <w:rsid w:val="00AE712E"/>
    <w:rsid w:val="00AF4198"/>
    <w:rsid w:val="00B15C02"/>
    <w:rsid w:val="00B16966"/>
    <w:rsid w:val="00B21968"/>
    <w:rsid w:val="00B2474D"/>
    <w:rsid w:val="00B3286F"/>
    <w:rsid w:val="00B34735"/>
    <w:rsid w:val="00B348EB"/>
    <w:rsid w:val="00B40319"/>
    <w:rsid w:val="00B43A45"/>
    <w:rsid w:val="00B545BC"/>
    <w:rsid w:val="00B65B19"/>
    <w:rsid w:val="00B774F2"/>
    <w:rsid w:val="00B8561A"/>
    <w:rsid w:val="00BA1D77"/>
    <w:rsid w:val="00BA6717"/>
    <w:rsid w:val="00BB3D80"/>
    <w:rsid w:val="00BB66D6"/>
    <w:rsid w:val="00BD3E75"/>
    <w:rsid w:val="00BD5A3A"/>
    <w:rsid w:val="00BD78D1"/>
    <w:rsid w:val="00BE2F41"/>
    <w:rsid w:val="00BF0F05"/>
    <w:rsid w:val="00BF537B"/>
    <w:rsid w:val="00C05AD8"/>
    <w:rsid w:val="00C2045B"/>
    <w:rsid w:val="00C212E7"/>
    <w:rsid w:val="00C23B38"/>
    <w:rsid w:val="00C273F6"/>
    <w:rsid w:val="00C328CE"/>
    <w:rsid w:val="00C33BBA"/>
    <w:rsid w:val="00C3575F"/>
    <w:rsid w:val="00C54D53"/>
    <w:rsid w:val="00C6503E"/>
    <w:rsid w:val="00C6535E"/>
    <w:rsid w:val="00C708E7"/>
    <w:rsid w:val="00C720CF"/>
    <w:rsid w:val="00C8003A"/>
    <w:rsid w:val="00C801B5"/>
    <w:rsid w:val="00C926B2"/>
    <w:rsid w:val="00C968AA"/>
    <w:rsid w:val="00CA0363"/>
    <w:rsid w:val="00CB7573"/>
    <w:rsid w:val="00CC0878"/>
    <w:rsid w:val="00CC3F2D"/>
    <w:rsid w:val="00CC62FB"/>
    <w:rsid w:val="00CC7E81"/>
    <w:rsid w:val="00CD112B"/>
    <w:rsid w:val="00CD50C0"/>
    <w:rsid w:val="00CE1EFE"/>
    <w:rsid w:val="00CE3631"/>
    <w:rsid w:val="00CF088A"/>
    <w:rsid w:val="00CF0C1C"/>
    <w:rsid w:val="00CF2F35"/>
    <w:rsid w:val="00D04D0F"/>
    <w:rsid w:val="00D10408"/>
    <w:rsid w:val="00D1224E"/>
    <w:rsid w:val="00D12B11"/>
    <w:rsid w:val="00D167D4"/>
    <w:rsid w:val="00D17EA6"/>
    <w:rsid w:val="00D2002C"/>
    <w:rsid w:val="00D24450"/>
    <w:rsid w:val="00D32126"/>
    <w:rsid w:val="00D32B28"/>
    <w:rsid w:val="00D34B1A"/>
    <w:rsid w:val="00D451A9"/>
    <w:rsid w:val="00D459E1"/>
    <w:rsid w:val="00D5395F"/>
    <w:rsid w:val="00D53D2E"/>
    <w:rsid w:val="00D62AAA"/>
    <w:rsid w:val="00D6305A"/>
    <w:rsid w:val="00D63ABD"/>
    <w:rsid w:val="00D66498"/>
    <w:rsid w:val="00D81D73"/>
    <w:rsid w:val="00D834CA"/>
    <w:rsid w:val="00D849C2"/>
    <w:rsid w:val="00D91BA5"/>
    <w:rsid w:val="00DA03A0"/>
    <w:rsid w:val="00DA093F"/>
    <w:rsid w:val="00DA587D"/>
    <w:rsid w:val="00DA5D5E"/>
    <w:rsid w:val="00DB2B38"/>
    <w:rsid w:val="00DC7522"/>
    <w:rsid w:val="00DD192A"/>
    <w:rsid w:val="00DD7C3D"/>
    <w:rsid w:val="00DF2365"/>
    <w:rsid w:val="00DF26A9"/>
    <w:rsid w:val="00DF659C"/>
    <w:rsid w:val="00E06032"/>
    <w:rsid w:val="00E06A45"/>
    <w:rsid w:val="00E07732"/>
    <w:rsid w:val="00E162DB"/>
    <w:rsid w:val="00E246A1"/>
    <w:rsid w:val="00E34115"/>
    <w:rsid w:val="00E3412B"/>
    <w:rsid w:val="00E348D8"/>
    <w:rsid w:val="00E360D3"/>
    <w:rsid w:val="00E5103D"/>
    <w:rsid w:val="00E6266D"/>
    <w:rsid w:val="00E6431E"/>
    <w:rsid w:val="00E64B24"/>
    <w:rsid w:val="00E73587"/>
    <w:rsid w:val="00E7578E"/>
    <w:rsid w:val="00E75923"/>
    <w:rsid w:val="00EA1347"/>
    <w:rsid w:val="00EB089C"/>
    <w:rsid w:val="00EC4A55"/>
    <w:rsid w:val="00EC5455"/>
    <w:rsid w:val="00ED4DE1"/>
    <w:rsid w:val="00ED72D9"/>
    <w:rsid w:val="00EE0E35"/>
    <w:rsid w:val="00EE20A6"/>
    <w:rsid w:val="00EE2D62"/>
    <w:rsid w:val="00EE33DF"/>
    <w:rsid w:val="00EF29B9"/>
    <w:rsid w:val="00EF528B"/>
    <w:rsid w:val="00F00DB3"/>
    <w:rsid w:val="00F01A32"/>
    <w:rsid w:val="00F03C89"/>
    <w:rsid w:val="00F132A6"/>
    <w:rsid w:val="00F1670E"/>
    <w:rsid w:val="00F30453"/>
    <w:rsid w:val="00F33A2F"/>
    <w:rsid w:val="00F353B4"/>
    <w:rsid w:val="00F40421"/>
    <w:rsid w:val="00F446EF"/>
    <w:rsid w:val="00F46717"/>
    <w:rsid w:val="00F60ACC"/>
    <w:rsid w:val="00F75FDB"/>
    <w:rsid w:val="00F76CB9"/>
    <w:rsid w:val="00F840FE"/>
    <w:rsid w:val="00F8431F"/>
    <w:rsid w:val="00F86FD0"/>
    <w:rsid w:val="00F951A6"/>
    <w:rsid w:val="00FA27C7"/>
    <w:rsid w:val="00FA5D32"/>
    <w:rsid w:val="00FA738F"/>
    <w:rsid w:val="00FB33F5"/>
    <w:rsid w:val="00FC1154"/>
    <w:rsid w:val="00FC4803"/>
    <w:rsid w:val="00FD02A5"/>
    <w:rsid w:val="00FD2F06"/>
    <w:rsid w:val="00FD31C8"/>
    <w:rsid w:val="00FE113E"/>
    <w:rsid w:val="00FF426A"/>
    <w:rsid w:val="00FF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83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3F"/>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0793F"/>
    <w:pPr>
      <w:keepNext/>
      <w:autoSpaceDE w:val="0"/>
      <w:autoSpaceDN w:val="0"/>
      <w:adjustRightInd w:val="0"/>
      <w:outlineLvl w:val="0"/>
    </w:pPr>
    <w:rPr>
      <w:rFonts w:ascii="Verdana" w:hAnsi="Verdana"/>
      <w:b/>
      <w:bCs/>
      <w:sz w:val="20"/>
    </w:rPr>
  </w:style>
  <w:style w:type="paragraph" w:styleId="Heading9">
    <w:name w:val="heading 9"/>
    <w:basedOn w:val="Normal"/>
    <w:next w:val="Normal"/>
    <w:link w:val="Heading9Char"/>
    <w:uiPriority w:val="99"/>
    <w:qFormat/>
    <w:rsid w:val="002468C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793F"/>
    <w:rPr>
      <w:rFonts w:ascii="Verdana" w:hAnsi="Verdana" w:cs="Times New Roman"/>
      <w:b/>
      <w:bCs/>
      <w:sz w:val="24"/>
      <w:szCs w:val="24"/>
    </w:rPr>
  </w:style>
  <w:style w:type="character" w:customStyle="1" w:styleId="Heading9Char">
    <w:name w:val="Heading 9 Char"/>
    <w:basedOn w:val="DefaultParagraphFont"/>
    <w:link w:val="Heading9"/>
    <w:uiPriority w:val="99"/>
    <w:semiHidden/>
    <w:locked/>
    <w:rsid w:val="002468CB"/>
    <w:rPr>
      <w:rFonts w:ascii="Cambria" w:hAnsi="Cambria" w:cs="Times New Roman"/>
      <w:i/>
      <w:iCs/>
      <w:color w:val="404040"/>
      <w:sz w:val="20"/>
      <w:szCs w:val="20"/>
    </w:rPr>
  </w:style>
  <w:style w:type="paragraph" w:customStyle="1" w:styleId="before3">
    <w:name w:val="before 3"/>
    <w:basedOn w:val="Normal"/>
    <w:next w:val="Normal"/>
    <w:uiPriority w:val="99"/>
    <w:rsid w:val="002A73D6"/>
    <w:pPr>
      <w:spacing w:before="60"/>
      <w:jc w:val="both"/>
    </w:pPr>
    <w:rPr>
      <w:rFonts w:ascii="CG Omega" w:hAnsi="CG Omega"/>
      <w:sz w:val="22"/>
      <w:szCs w:val="20"/>
    </w:rPr>
  </w:style>
  <w:style w:type="paragraph" w:styleId="ListParagraph">
    <w:name w:val="List Paragraph"/>
    <w:basedOn w:val="Normal"/>
    <w:uiPriority w:val="34"/>
    <w:qFormat/>
    <w:rsid w:val="00526715"/>
    <w:pPr>
      <w:ind w:left="720"/>
      <w:contextualSpacing/>
    </w:pPr>
  </w:style>
  <w:style w:type="character" w:styleId="Hyperlink">
    <w:name w:val="Hyperlink"/>
    <w:basedOn w:val="DefaultParagraphFont"/>
    <w:uiPriority w:val="99"/>
    <w:rsid w:val="00D459E1"/>
    <w:rPr>
      <w:rFonts w:cs="Times New Roman"/>
      <w:color w:val="0000FF"/>
      <w:u w:val="single"/>
    </w:rPr>
  </w:style>
  <w:style w:type="paragraph" w:styleId="BalloonText">
    <w:name w:val="Balloon Text"/>
    <w:basedOn w:val="Normal"/>
    <w:link w:val="BalloonTextChar"/>
    <w:uiPriority w:val="99"/>
    <w:semiHidden/>
    <w:rsid w:val="002468CB"/>
    <w:pPr>
      <w:spacing w:line="36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68CB"/>
    <w:rPr>
      <w:rFonts w:ascii="Tahoma" w:hAnsi="Tahoma" w:cs="Tahoma"/>
      <w:sz w:val="16"/>
      <w:szCs w:val="16"/>
    </w:rPr>
  </w:style>
  <w:style w:type="paragraph" w:styleId="Header">
    <w:name w:val="header"/>
    <w:basedOn w:val="Normal"/>
    <w:link w:val="HeaderChar"/>
    <w:uiPriority w:val="99"/>
    <w:semiHidden/>
    <w:rsid w:val="00FA27C7"/>
    <w:pPr>
      <w:tabs>
        <w:tab w:val="center" w:pos="4513"/>
        <w:tab w:val="right" w:pos="9026"/>
      </w:tabs>
    </w:pPr>
  </w:style>
  <w:style w:type="character" w:customStyle="1" w:styleId="HeaderChar">
    <w:name w:val="Header Char"/>
    <w:basedOn w:val="DefaultParagraphFont"/>
    <w:link w:val="Header"/>
    <w:uiPriority w:val="99"/>
    <w:semiHidden/>
    <w:locked/>
    <w:rsid w:val="00FA27C7"/>
    <w:rPr>
      <w:rFonts w:ascii="Times New Roman" w:hAnsi="Times New Roman" w:cs="Times New Roman"/>
      <w:sz w:val="24"/>
      <w:szCs w:val="24"/>
    </w:rPr>
  </w:style>
  <w:style w:type="paragraph" w:styleId="Footer">
    <w:name w:val="footer"/>
    <w:basedOn w:val="Normal"/>
    <w:link w:val="FooterChar"/>
    <w:uiPriority w:val="99"/>
    <w:rsid w:val="00FA27C7"/>
    <w:pPr>
      <w:tabs>
        <w:tab w:val="center" w:pos="4513"/>
        <w:tab w:val="right" w:pos="9026"/>
      </w:tabs>
    </w:pPr>
  </w:style>
  <w:style w:type="character" w:customStyle="1" w:styleId="FooterChar">
    <w:name w:val="Footer Char"/>
    <w:basedOn w:val="DefaultParagraphFont"/>
    <w:link w:val="Footer"/>
    <w:uiPriority w:val="99"/>
    <w:locked/>
    <w:rsid w:val="00FA27C7"/>
    <w:rPr>
      <w:rFonts w:ascii="Times New Roman" w:hAnsi="Times New Roman" w:cs="Times New Roman"/>
      <w:sz w:val="24"/>
      <w:szCs w:val="24"/>
    </w:rPr>
  </w:style>
  <w:style w:type="character" w:styleId="CommentReference">
    <w:name w:val="annotation reference"/>
    <w:basedOn w:val="DefaultParagraphFont"/>
    <w:uiPriority w:val="99"/>
    <w:semiHidden/>
    <w:rsid w:val="00B21968"/>
    <w:rPr>
      <w:rFonts w:cs="Times New Roman"/>
      <w:sz w:val="16"/>
      <w:szCs w:val="16"/>
    </w:rPr>
  </w:style>
  <w:style w:type="paragraph" w:styleId="CommentText">
    <w:name w:val="annotation text"/>
    <w:basedOn w:val="Normal"/>
    <w:link w:val="CommentTextChar"/>
    <w:uiPriority w:val="99"/>
    <w:semiHidden/>
    <w:rsid w:val="00B21968"/>
    <w:rPr>
      <w:sz w:val="20"/>
      <w:szCs w:val="20"/>
    </w:rPr>
  </w:style>
  <w:style w:type="character" w:customStyle="1" w:styleId="CommentTextChar">
    <w:name w:val="Comment Text Char"/>
    <w:basedOn w:val="DefaultParagraphFont"/>
    <w:link w:val="CommentText"/>
    <w:uiPriority w:val="99"/>
    <w:semiHidden/>
    <w:locked/>
    <w:rsid w:val="00136812"/>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B21968"/>
    <w:rPr>
      <w:b/>
      <w:bCs/>
    </w:rPr>
  </w:style>
  <w:style w:type="character" w:customStyle="1" w:styleId="CommentSubjectChar">
    <w:name w:val="Comment Subject Char"/>
    <w:basedOn w:val="CommentTextChar"/>
    <w:link w:val="CommentSubject"/>
    <w:uiPriority w:val="99"/>
    <w:semiHidden/>
    <w:locked/>
    <w:rsid w:val="00136812"/>
    <w:rPr>
      <w:rFonts w:ascii="Times New Roman" w:hAnsi="Times New Roman" w:cs="Times New Roman"/>
      <w:b/>
      <w:bCs/>
      <w:sz w:val="20"/>
      <w:szCs w:val="20"/>
      <w:lang w:eastAsia="en-US"/>
    </w:rPr>
  </w:style>
  <w:style w:type="paragraph" w:styleId="BodyText">
    <w:name w:val="Body Text"/>
    <w:basedOn w:val="Normal"/>
    <w:link w:val="BodyTextChar"/>
    <w:semiHidden/>
    <w:rsid w:val="00ED4DE1"/>
    <w:pPr>
      <w:spacing w:line="360" w:lineRule="auto"/>
      <w:jc w:val="both"/>
    </w:pPr>
    <w:rPr>
      <w:rFonts w:ascii="Arial" w:hAnsi="Arial" w:cs="Arial"/>
      <w:i/>
      <w:iCs/>
      <w:sz w:val="22"/>
    </w:rPr>
  </w:style>
  <w:style w:type="character" w:customStyle="1" w:styleId="BodyTextChar">
    <w:name w:val="Body Text Char"/>
    <w:basedOn w:val="DefaultParagraphFont"/>
    <w:link w:val="BodyText"/>
    <w:semiHidden/>
    <w:rsid w:val="00ED4DE1"/>
    <w:rPr>
      <w:rFonts w:ascii="Arial" w:eastAsia="Times New Roman" w:hAnsi="Arial" w:cs="Arial"/>
      <w:i/>
      <w:iCs/>
      <w:sz w:val="22"/>
      <w:szCs w:val="24"/>
      <w:lang w:eastAsia="en-US"/>
    </w:rPr>
  </w:style>
  <w:style w:type="paragraph" w:styleId="BodyText3">
    <w:name w:val="Body Text 3"/>
    <w:basedOn w:val="Normal"/>
    <w:link w:val="BodyText3Char"/>
    <w:uiPriority w:val="99"/>
    <w:semiHidden/>
    <w:unhideWhenUsed/>
    <w:rsid w:val="00101B81"/>
    <w:pPr>
      <w:spacing w:after="120"/>
    </w:pPr>
    <w:rPr>
      <w:sz w:val="16"/>
      <w:szCs w:val="16"/>
    </w:rPr>
  </w:style>
  <w:style w:type="character" w:customStyle="1" w:styleId="BodyText3Char">
    <w:name w:val="Body Text 3 Char"/>
    <w:basedOn w:val="DefaultParagraphFont"/>
    <w:link w:val="BodyText3"/>
    <w:uiPriority w:val="99"/>
    <w:semiHidden/>
    <w:rsid w:val="00101B81"/>
    <w:rPr>
      <w:rFonts w:ascii="Times New Roman" w:eastAsia="Times New Roman" w:hAnsi="Times New Roman"/>
      <w:sz w:val="16"/>
      <w:szCs w:val="16"/>
      <w:lang w:eastAsia="en-US"/>
    </w:rPr>
  </w:style>
  <w:style w:type="table" w:styleId="TableGrid">
    <w:name w:val="Table Grid"/>
    <w:basedOn w:val="TableNormal"/>
    <w:uiPriority w:val="59"/>
    <w:locked/>
    <w:rsid w:val="001D1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1E48B7"/>
    <w:rPr>
      <w:i/>
      <w:iCs/>
    </w:rPr>
  </w:style>
  <w:style w:type="character" w:styleId="FollowedHyperlink">
    <w:name w:val="FollowedHyperlink"/>
    <w:basedOn w:val="DefaultParagraphFont"/>
    <w:uiPriority w:val="99"/>
    <w:semiHidden/>
    <w:unhideWhenUsed/>
    <w:rsid w:val="00231D83"/>
    <w:rPr>
      <w:color w:val="800080" w:themeColor="followedHyperlink"/>
      <w:u w:val="single"/>
    </w:rPr>
  </w:style>
  <w:style w:type="character" w:styleId="LineNumber">
    <w:name w:val="line number"/>
    <w:basedOn w:val="DefaultParagraphFont"/>
    <w:uiPriority w:val="99"/>
    <w:semiHidden/>
    <w:unhideWhenUsed/>
    <w:rsid w:val="00C33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3F"/>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0793F"/>
    <w:pPr>
      <w:keepNext/>
      <w:autoSpaceDE w:val="0"/>
      <w:autoSpaceDN w:val="0"/>
      <w:adjustRightInd w:val="0"/>
      <w:outlineLvl w:val="0"/>
    </w:pPr>
    <w:rPr>
      <w:rFonts w:ascii="Verdana" w:hAnsi="Verdana"/>
      <w:b/>
      <w:bCs/>
      <w:sz w:val="20"/>
    </w:rPr>
  </w:style>
  <w:style w:type="paragraph" w:styleId="Heading9">
    <w:name w:val="heading 9"/>
    <w:basedOn w:val="Normal"/>
    <w:next w:val="Normal"/>
    <w:link w:val="Heading9Char"/>
    <w:uiPriority w:val="99"/>
    <w:qFormat/>
    <w:rsid w:val="002468C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793F"/>
    <w:rPr>
      <w:rFonts w:ascii="Verdana" w:hAnsi="Verdana" w:cs="Times New Roman"/>
      <w:b/>
      <w:bCs/>
      <w:sz w:val="24"/>
      <w:szCs w:val="24"/>
    </w:rPr>
  </w:style>
  <w:style w:type="character" w:customStyle="1" w:styleId="Heading9Char">
    <w:name w:val="Heading 9 Char"/>
    <w:basedOn w:val="DefaultParagraphFont"/>
    <w:link w:val="Heading9"/>
    <w:uiPriority w:val="99"/>
    <w:semiHidden/>
    <w:locked/>
    <w:rsid w:val="002468CB"/>
    <w:rPr>
      <w:rFonts w:ascii="Cambria" w:hAnsi="Cambria" w:cs="Times New Roman"/>
      <w:i/>
      <w:iCs/>
      <w:color w:val="404040"/>
      <w:sz w:val="20"/>
      <w:szCs w:val="20"/>
    </w:rPr>
  </w:style>
  <w:style w:type="paragraph" w:customStyle="1" w:styleId="before3">
    <w:name w:val="before 3"/>
    <w:basedOn w:val="Normal"/>
    <w:next w:val="Normal"/>
    <w:uiPriority w:val="99"/>
    <w:rsid w:val="002A73D6"/>
    <w:pPr>
      <w:spacing w:before="60"/>
      <w:jc w:val="both"/>
    </w:pPr>
    <w:rPr>
      <w:rFonts w:ascii="CG Omega" w:hAnsi="CG Omega"/>
      <w:sz w:val="22"/>
      <w:szCs w:val="20"/>
    </w:rPr>
  </w:style>
  <w:style w:type="paragraph" w:styleId="ListParagraph">
    <w:name w:val="List Paragraph"/>
    <w:basedOn w:val="Normal"/>
    <w:uiPriority w:val="34"/>
    <w:qFormat/>
    <w:rsid w:val="00526715"/>
    <w:pPr>
      <w:ind w:left="720"/>
      <w:contextualSpacing/>
    </w:pPr>
  </w:style>
  <w:style w:type="character" w:styleId="Hyperlink">
    <w:name w:val="Hyperlink"/>
    <w:basedOn w:val="DefaultParagraphFont"/>
    <w:uiPriority w:val="99"/>
    <w:rsid w:val="00D459E1"/>
    <w:rPr>
      <w:rFonts w:cs="Times New Roman"/>
      <w:color w:val="0000FF"/>
      <w:u w:val="single"/>
    </w:rPr>
  </w:style>
  <w:style w:type="paragraph" w:styleId="BalloonText">
    <w:name w:val="Balloon Text"/>
    <w:basedOn w:val="Normal"/>
    <w:link w:val="BalloonTextChar"/>
    <w:uiPriority w:val="99"/>
    <w:semiHidden/>
    <w:rsid w:val="002468CB"/>
    <w:pPr>
      <w:spacing w:line="36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68CB"/>
    <w:rPr>
      <w:rFonts w:ascii="Tahoma" w:hAnsi="Tahoma" w:cs="Tahoma"/>
      <w:sz w:val="16"/>
      <w:szCs w:val="16"/>
    </w:rPr>
  </w:style>
  <w:style w:type="paragraph" w:styleId="Header">
    <w:name w:val="header"/>
    <w:basedOn w:val="Normal"/>
    <w:link w:val="HeaderChar"/>
    <w:uiPriority w:val="99"/>
    <w:semiHidden/>
    <w:rsid w:val="00FA27C7"/>
    <w:pPr>
      <w:tabs>
        <w:tab w:val="center" w:pos="4513"/>
        <w:tab w:val="right" w:pos="9026"/>
      </w:tabs>
    </w:pPr>
  </w:style>
  <w:style w:type="character" w:customStyle="1" w:styleId="HeaderChar">
    <w:name w:val="Header Char"/>
    <w:basedOn w:val="DefaultParagraphFont"/>
    <w:link w:val="Header"/>
    <w:uiPriority w:val="99"/>
    <w:semiHidden/>
    <w:locked/>
    <w:rsid w:val="00FA27C7"/>
    <w:rPr>
      <w:rFonts w:ascii="Times New Roman" w:hAnsi="Times New Roman" w:cs="Times New Roman"/>
      <w:sz w:val="24"/>
      <w:szCs w:val="24"/>
    </w:rPr>
  </w:style>
  <w:style w:type="paragraph" w:styleId="Footer">
    <w:name w:val="footer"/>
    <w:basedOn w:val="Normal"/>
    <w:link w:val="FooterChar"/>
    <w:uiPriority w:val="99"/>
    <w:rsid w:val="00FA27C7"/>
    <w:pPr>
      <w:tabs>
        <w:tab w:val="center" w:pos="4513"/>
        <w:tab w:val="right" w:pos="9026"/>
      </w:tabs>
    </w:pPr>
  </w:style>
  <w:style w:type="character" w:customStyle="1" w:styleId="FooterChar">
    <w:name w:val="Footer Char"/>
    <w:basedOn w:val="DefaultParagraphFont"/>
    <w:link w:val="Footer"/>
    <w:uiPriority w:val="99"/>
    <w:locked/>
    <w:rsid w:val="00FA27C7"/>
    <w:rPr>
      <w:rFonts w:ascii="Times New Roman" w:hAnsi="Times New Roman" w:cs="Times New Roman"/>
      <w:sz w:val="24"/>
      <w:szCs w:val="24"/>
    </w:rPr>
  </w:style>
  <w:style w:type="character" w:styleId="CommentReference">
    <w:name w:val="annotation reference"/>
    <w:basedOn w:val="DefaultParagraphFont"/>
    <w:uiPriority w:val="99"/>
    <w:semiHidden/>
    <w:rsid w:val="00B21968"/>
    <w:rPr>
      <w:rFonts w:cs="Times New Roman"/>
      <w:sz w:val="16"/>
      <w:szCs w:val="16"/>
    </w:rPr>
  </w:style>
  <w:style w:type="paragraph" w:styleId="CommentText">
    <w:name w:val="annotation text"/>
    <w:basedOn w:val="Normal"/>
    <w:link w:val="CommentTextChar"/>
    <w:uiPriority w:val="99"/>
    <w:semiHidden/>
    <w:rsid w:val="00B21968"/>
    <w:rPr>
      <w:sz w:val="20"/>
      <w:szCs w:val="20"/>
    </w:rPr>
  </w:style>
  <w:style w:type="character" w:customStyle="1" w:styleId="CommentTextChar">
    <w:name w:val="Comment Text Char"/>
    <w:basedOn w:val="DefaultParagraphFont"/>
    <w:link w:val="CommentText"/>
    <w:uiPriority w:val="99"/>
    <w:semiHidden/>
    <w:locked/>
    <w:rsid w:val="00136812"/>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B21968"/>
    <w:rPr>
      <w:b/>
      <w:bCs/>
    </w:rPr>
  </w:style>
  <w:style w:type="character" w:customStyle="1" w:styleId="CommentSubjectChar">
    <w:name w:val="Comment Subject Char"/>
    <w:basedOn w:val="CommentTextChar"/>
    <w:link w:val="CommentSubject"/>
    <w:uiPriority w:val="99"/>
    <w:semiHidden/>
    <w:locked/>
    <w:rsid w:val="00136812"/>
    <w:rPr>
      <w:rFonts w:ascii="Times New Roman" w:hAnsi="Times New Roman" w:cs="Times New Roman"/>
      <w:b/>
      <w:bCs/>
      <w:sz w:val="20"/>
      <w:szCs w:val="20"/>
      <w:lang w:eastAsia="en-US"/>
    </w:rPr>
  </w:style>
  <w:style w:type="paragraph" w:styleId="BodyText">
    <w:name w:val="Body Text"/>
    <w:basedOn w:val="Normal"/>
    <w:link w:val="BodyTextChar"/>
    <w:semiHidden/>
    <w:rsid w:val="00ED4DE1"/>
    <w:pPr>
      <w:spacing w:line="360" w:lineRule="auto"/>
      <w:jc w:val="both"/>
    </w:pPr>
    <w:rPr>
      <w:rFonts w:ascii="Arial" w:hAnsi="Arial" w:cs="Arial"/>
      <w:i/>
      <w:iCs/>
      <w:sz w:val="22"/>
    </w:rPr>
  </w:style>
  <w:style w:type="character" w:customStyle="1" w:styleId="BodyTextChar">
    <w:name w:val="Body Text Char"/>
    <w:basedOn w:val="DefaultParagraphFont"/>
    <w:link w:val="BodyText"/>
    <w:semiHidden/>
    <w:rsid w:val="00ED4DE1"/>
    <w:rPr>
      <w:rFonts w:ascii="Arial" w:eastAsia="Times New Roman" w:hAnsi="Arial" w:cs="Arial"/>
      <w:i/>
      <w:iCs/>
      <w:sz w:val="22"/>
      <w:szCs w:val="24"/>
      <w:lang w:eastAsia="en-US"/>
    </w:rPr>
  </w:style>
  <w:style w:type="paragraph" w:styleId="BodyText3">
    <w:name w:val="Body Text 3"/>
    <w:basedOn w:val="Normal"/>
    <w:link w:val="BodyText3Char"/>
    <w:uiPriority w:val="99"/>
    <w:semiHidden/>
    <w:unhideWhenUsed/>
    <w:rsid w:val="00101B81"/>
    <w:pPr>
      <w:spacing w:after="120"/>
    </w:pPr>
    <w:rPr>
      <w:sz w:val="16"/>
      <w:szCs w:val="16"/>
    </w:rPr>
  </w:style>
  <w:style w:type="character" w:customStyle="1" w:styleId="BodyText3Char">
    <w:name w:val="Body Text 3 Char"/>
    <w:basedOn w:val="DefaultParagraphFont"/>
    <w:link w:val="BodyText3"/>
    <w:uiPriority w:val="99"/>
    <w:semiHidden/>
    <w:rsid w:val="00101B81"/>
    <w:rPr>
      <w:rFonts w:ascii="Times New Roman" w:eastAsia="Times New Roman" w:hAnsi="Times New Roman"/>
      <w:sz w:val="16"/>
      <w:szCs w:val="16"/>
      <w:lang w:eastAsia="en-US"/>
    </w:rPr>
  </w:style>
  <w:style w:type="table" w:styleId="TableGrid">
    <w:name w:val="Table Grid"/>
    <w:basedOn w:val="TableNormal"/>
    <w:uiPriority w:val="59"/>
    <w:locked/>
    <w:rsid w:val="001D1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1E48B7"/>
    <w:rPr>
      <w:i/>
      <w:iCs/>
    </w:rPr>
  </w:style>
  <w:style w:type="character" w:styleId="FollowedHyperlink">
    <w:name w:val="FollowedHyperlink"/>
    <w:basedOn w:val="DefaultParagraphFont"/>
    <w:uiPriority w:val="99"/>
    <w:semiHidden/>
    <w:unhideWhenUsed/>
    <w:rsid w:val="00231D83"/>
    <w:rPr>
      <w:color w:val="800080" w:themeColor="followedHyperlink"/>
      <w:u w:val="single"/>
    </w:rPr>
  </w:style>
  <w:style w:type="character" w:styleId="LineNumber">
    <w:name w:val="line number"/>
    <w:basedOn w:val="DefaultParagraphFont"/>
    <w:uiPriority w:val="99"/>
    <w:semiHidden/>
    <w:unhideWhenUsed/>
    <w:rsid w:val="00C33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58098">
      <w:bodyDiv w:val="1"/>
      <w:marLeft w:val="0"/>
      <w:marRight w:val="0"/>
      <w:marTop w:val="0"/>
      <w:marBottom w:val="0"/>
      <w:divBdr>
        <w:top w:val="none" w:sz="0" w:space="0" w:color="auto"/>
        <w:left w:val="none" w:sz="0" w:space="0" w:color="auto"/>
        <w:bottom w:val="none" w:sz="0" w:space="0" w:color="auto"/>
        <w:right w:val="none" w:sz="0" w:space="0" w:color="auto"/>
      </w:divBdr>
    </w:div>
    <w:div w:id="1168208079">
      <w:bodyDiv w:val="1"/>
      <w:marLeft w:val="0"/>
      <w:marRight w:val="0"/>
      <w:marTop w:val="0"/>
      <w:marBottom w:val="0"/>
      <w:divBdr>
        <w:top w:val="none" w:sz="0" w:space="0" w:color="auto"/>
        <w:left w:val="none" w:sz="0" w:space="0" w:color="auto"/>
        <w:bottom w:val="none" w:sz="0" w:space="0" w:color="auto"/>
        <w:right w:val="none" w:sz="0" w:space="0" w:color="auto"/>
      </w:divBdr>
    </w:div>
    <w:div w:id="1179269856">
      <w:bodyDiv w:val="1"/>
      <w:marLeft w:val="0"/>
      <w:marRight w:val="0"/>
      <w:marTop w:val="0"/>
      <w:marBottom w:val="0"/>
      <w:divBdr>
        <w:top w:val="none" w:sz="0" w:space="0" w:color="auto"/>
        <w:left w:val="none" w:sz="0" w:space="0" w:color="auto"/>
        <w:bottom w:val="none" w:sz="0" w:space="0" w:color="auto"/>
        <w:right w:val="none" w:sz="0" w:space="0" w:color="auto"/>
      </w:divBdr>
    </w:div>
    <w:div w:id="1672176903">
      <w:marLeft w:val="0"/>
      <w:marRight w:val="0"/>
      <w:marTop w:val="0"/>
      <w:marBottom w:val="0"/>
      <w:divBdr>
        <w:top w:val="none" w:sz="0" w:space="0" w:color="auto"/>
        <w:left w:val="none" w:sz="0" w:space="0" w:color="auto"/>
        <w:bottom w:val="none" w:sz="0" w:space="0" w:color="auto"/>
        <w:right w:val="none" w:sz="0" w:space="0" w:color="auto"/>
      </w:divBdr>
    </w:div>
    <w:div w:id="20675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gov.uk/ons/guide-method/classifications/current-standard-classifications/soc2010/index.html" TargetMode="External"/><Relationship Id="rId18" Type="http://schemas.openxmlformats.org/officeDocument/2006/relationships/hyperlink" Target="http://www.ons.gov.uk/ons/rel/peeg/population-estimates-by-ethnic-group--experimental-/current-estimates/population-estimates-by-ethnic-group-mid-2009--experimental--.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ns.gov.uk/ons/rel/census/2011-census/detailed-characteristics-on-housing-for-local-authorities-in-england-and-wales/short-story-on-detailed-characteristics.html" TargetMode="External"/><Relationship Id="rId7" Type="http://schemas.openxmlformats.org/officeDocument/2006/relationships/footnotes" Target="footnotes.xml"/><Relationship Id="rId12" Type="http://schemas.openxmlformats.org/officeDocument/2006/relationships/hyperlink" Target="file:///C:\pubmed\20078607" TargetMode="External"/><Relationship Id="rId17" Type="http://schemas.openxmlformats.org/officeDocument/2006/relationships/hyperlink" Target="https://www.gov.uk/government/statistics/older-workers-statistical-information-booklet-quarter-2-20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statistics/english-indices-of-deprivation-2010" TargetMode="External"/><Relationship Id="rId20" Type="http://schemas.openxmlformats.org/officeDocument/2006/relationships/hyperlink" Target="http://www.ons.gov.uk/ons/rel/census/2011-census-analysis/local-area-analysis-of-qualifications-across-england-and-wales/info-highest-qualification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209782/hwwb-working-for-a-healthier-tomorrow.pdf" TargetMode="External"/><Relationship Id="rId24" Type="http://schemas.openxmlformats.org/officeDocument/2006/relationships/hyperlink" Target="http://ons.gov.uk/ons/taxonomy/index.html?nscl=Population" TargetMode="External"/><Relationship Id="rId5" Type="http://schemas.openxmlformats.org/officeDocument/2006/relationships/settings" Target="settings.xml"/><Relationship Id="rId15" Type="http://schemas.openxmlformats.org/officeDocument/2006/relationships/hyperlink" Target="http://www.google.co.uk/url?sa=t&amp;rct=j&amp;q=pension%20trends%2C%202012%20edition%20chapter%204&amp;source=web&amp;cd=1&amp;cad=rja&amp;ved=0CC8QFjAA&amp;url=http%3A%2F%2Fwww.ons.gov.uk%2Fons%2Frel%2Fpensions%2Fpension-trends%2Fchapter-4--the-labour-market-and-retirement--2012-edition-%2Findex.html&amp;ei=en4nUdvYB8aW0QW8p4GQCw&amp;usg=AFQjCNGM-8o3xWz_e97f9-JBRC3ZWizEsA&amp;bvm=bv.42768644,d.d2k" TargetMode="External"/><Relationship Id="rId23" Type="http://schemas.openxmlformats.org/officeDocument/2006/relationships/footer" Target="footer1.xml"/><Relationship Id="rId10" Type="http://schemas.openxmlformats.org/officeDocument/2006/relationships/hyperlink" Target="http://www.thetimes.co.uk/tto/business/economics/article3789087.ece" TargetMode="External"/><Relationship Id="rId19" Type="http://schemas.openxmlformats.org/officeDocument/2006/relationships/hyperlink" Target="http://www.ons.gov.uk/ons/rel/pop-estimate/population-estimates-by-marital-status/mid-2010/rft---marital-status-estimates-excluding-marriages-abroad-mid-2010.zip"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210858/hwwb-improving-health-and-work-changing-lives.pdf" TargetMode="External"/><Relationship Id="rId14" Type="http://schemas.openxmlformats.org/officeDocument/2006/relationships/hyperlink" Target="http://www.healthscotland.com/uploads/documents/7551-WEMWBS%20User%20Guide%20Version%201%20June%202008.pdf"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ACC1-216A-4486-912B-05CBFF50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8458</Words>
  <Characters>51508</Characters>
  <Application>Microsoft Office Word</Application>
  <DocSecurity>4</DocSecurity>
  <Lines>429</Lines>
  <Paragraphs>119</Paragraphs>
  <ScaleCrop>false</ScaleCrop>
  <HeadingPairs>
    <vt:vector size="2" baseType="variant">
      <vt:variant>
        <vt:lpstr>Title</vt:lpstr>
      </vt:variant>
      <vt:variant>
        <vt:i4>1</vt:i4>
      </vt:variant>
    </vt:vector>
  </HeadingPairs>
  <TitlesOfParts>
    <vt:vector size="1" baseType="lpstr">
      <vt:lpstr>Health risks and benefits of extended working life</vt:lpstr>
    </vt:vector>
  </TitlesOfParts>
  <Company>MRC ERC</Company>
  <LinksUpToDate>false</LinksUpToDate>
  <CharactersWithSpaces>59847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risks and benefits of extended working life</dc:title>
  <dc:creator>Palmer</dc:creator>
  <cp:lastModifiedBy>Karen Drake</cp:lastModifiedBy>
  <cp:revision>2</cp:revision>
  <cp:lastPrinted>2015-07-14T13:58:00Z</cp:lastPrinted>
  <dcterms:created xsi:type="dcterms:W3CDTF">2015-11-17T13:39:00Z</dcterms:created>
  <dcterms:modified xsi:type="dcterms:W3CDTF">2015-11-17T13:39:00Z</dcterms:modified>
</cp:coreProperties>
</file>