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0C" w:rsidRPr="0022202D" w:rsidRDefault="0019110C" w:rsidP="0019110C">
      <w:pPr>
        <w:numPr>
          <w:ilvl w:val="1"/>
          <w:numId w:val="1"/>
        </w:numPr>
        <w:tabs>
          <w:tab w:val="left" w:pos="284"/>
        </w:tabs>
        <w:spacing w:after="0" w:line="312" w:lineRule="auto"/>
        <w:rPr>
          <w:rFonts w:cs="Times New Roman"/>
          <w:b/>
          <w:snapToGrid w:val="0"/>
          <w:sz w:val="24"/>
          <w:szCs w:val="24"/>
          <w:lang w:val="en-US"/>
        </w:rPr>
      </w:pPr>
      <w:r w:rsidRPr="0022202D">
        <w:rPr>
          <w:rFonts w:cs="Times New Roman"/>
          <w:b/>
          <w:snapToGrid w:val="0"/>
          <w:sz w:val="24"/>
          <w:szCs w:val="24"/>
          <w:lang w:val="en-US"/>
        </w:rPr>
        <w:t xml:space="preserve">Overview of anion transport results </w:t>
      </w:r>
    </w:p>
    <w:p w:rsidR="0019110C" w:rsidRPr="00A27C51" w:rsidRDefault="0019110C" w:rsidP="0019110C">
      <w:pPr>
        <w:adjustRightInd w:val="0"/>
        <w:spacing w:after="0" w:line="240" w:lineRule="auto"/>
        <w:jc w:val="center"/>
        <w:rPr>
          <w:rFonts w:cs="Times New Roman"/>
          <w:bCs/>
          <w:color w:val="000000"/>
          <w:sz w:val="16"/>
          <w:szCs w:val="16"/>
          <w:lang w:val="en-U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230"/>
        <w:gridCol w:w="1231"/>
        <w:gridCol w:w="1230"/>
        <w:gridCol w:w="1231"/>
        <w:gridCol w:w="1230"/>
        <w:gridCol w:w="1231"/>
      </w:tblGrid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1063">
              <w:rPr>
                <w:b/>
                <w:bCs/>
                <w:sz w:val="24"/>
                <w:szCs w:val="24"/>
              </w:rPr>
              <w:t>Compound</w:t>
            </w:r>
            <w:proofErr w:type="spellEnd"/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EC</w:t>
            </w:r>
            <w:r w:rsidRPr="00F71063">
              <w:rPr>
                <w:b/>
                <w:bCs/>
                <w:sz w:val="24"/>
                <w:szCs w:val="24"/>
                <w:vertAlign w:val="subscript"/>
              </w:rPr>
              <w:t xml:space="preserve">50 </w:t>
            </w:r>
            <w:r w:rsidRPr="00F71063">
              <w:rPr>
                <w:b/>
                <w:bCs/>
                <w:sz w:val="24"/>
                <w:szCs w:val="24"/>
              </w:rPr>
              <w:t>(mol%)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Error</w:t>
            </w:r>
          </w:p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(EC</w:t>
            </w:r>
            <w:r w:rsidRPr="00F71063">
              <w:rPr>
                <w:b/>
                <w:bCs/>
                <w:sz w:val="24"/>
                <w:szCs w:val="24"/>
                <w:vertAlign w:val="subscript"/>
              </w:rPr>
              <w:t>50</w:t>
            </w:r>
            <w:r w:rsidRPr="00F7106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Error</w:t>
            </w:r>
          </w:p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(n)</w:t>
            </w:r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1063">
              <w:rPr>
                <w:b/>
                <w:bCs/>
                <w:sz w:val="24"/>
                <w:szCs w:val="24"/>
              </w:rPr>
              <w:t>k</w:t>
            </w:r>
            <w:r w:rsidRPr="00F71063">
              <w:rPr>
                <w:b/>
                <w:bCs/>
                <w:sz w:val="24"/>
                <w:szCs w:val="24"/>
                <w:vertAlign w:val="subscript"/>
              </w:rPr>
              <w:t>ini</w:t>
            </w:r>
            <w:proofErr w:type="spellEnd"/>
            <w:r w:rsidRPr="00F71063">
              <w:rPr>
                <w:b/>
                <w:bCs/>
                <w:sz w:val="24"/>
                <w:szCs w:val="24"/>
              </w:rPr>
              <w:t xml:space="preserve"> (% s</w:t>
            </w:r>
            <w:r w:rsidRPr="00F71063">
              <w:rPr>
                <w:b/>
                <w:bCs/>
                <w:sz w:val="24"/>
                <w:szCs w:val="24"/>
                <w:vertAlign w:val="superscript"/>
              </w:rPr>
              <w:t>-1</w:t>
            </w:r>
            <w:r w:rsidRPr="00F7106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Error</w:t>
            </w:r>
          </w:p>
          <w:p w:rsidR="0019110C" w:rsidRPr="00F71063" w:rsidRDefault="0019110C" w:rsidP="00C736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1063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F71063">
              <w:rPr>
                <w:b/>
                <w:bCs/>
                <w:sz w:val="24"/>
                <w:szCs w:val="24"/>
              </w:rPr>
              <w:t>k</w:t>
            </w:r>
            <w:r w:rsidRPr="00F71063">
              <w:rPr>
                <w:b/>
                <w:bCs/>
                <w:sz w:val="24"/>
                <w:szCs w:val="24"/>
                <w:vertAlign w:val="subscript"/>
              </w:rPr>
              <w:t>ini</w:t>
            </w:r>
            <w:proofErr w:type="spellEnd"/>
            <w:r w:rsidRPr="00F7106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0.0072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0.0015</w:t>
            </w:r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1.19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  <w:tc>
          <w:tcPr>
            <w:tcW w:w="12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0.95</w:t>
            </w: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0.0061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0.46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0.27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0.0078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0.2884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0.0688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0.07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0.64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F7106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0.11</w:t>
            </w:r>
          </w:p>
        </w:tc>
      </w:tr>
      <w:bookmarkEnd w:id="0"/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0.22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1.59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0.1965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0.85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0.3459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0.0659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0.0274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0.86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0.74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0.17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2.63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0.25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1.54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0.27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0.10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0.06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0.0157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0.74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0.03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0.86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0.08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0.03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0.0088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0.09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0.04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1.74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1.04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0.01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0.0017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0.03</w:t>
            </w:r>
          </w:p>
        </w:tc>
      </w:tr>
      <w:tr w:rsidR="0019110C" w:rsidTr="00C73601">
        <w:trPr>
          <w:trHeight w:val="227"/>
          <w:jc w:val="center"/>
        </w:trPr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0.0616</w:t>
            </w:r>
            <w:r w:rsidRPr="00563B4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0.0241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-</w:t>
            </w:r>
            <w:r w:rsidRPr="00563B4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0.19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110C" w:rsidRPr="00F71063" w:rsidRDefault="0019110C" w:rsidP="00C73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1063">
              <w:rPr>
                <w:sz w:val="20"/>
                <w:szCs w:val="20"/>
              </w:rPr>
              <w:t>0.03</w:t>
            </w:r>
          </w:p>
        </w:tc>
      </w:tr>
    </w:tbl>
    <w:p w:rsidR="0019110C" w:rsidRPr="0022202D" w:rsidRDefault="0019110C" w:rsidP="0019110C">
      <w:pPr>
        <w:adjustRightInd w:val="0"/>
        <w:spacing w:after="0" w:line="240" w:lineRule="auto"/>
        <w:jc w:val="center"/>
        <w:rPr>
          <w:rFonts w:cs="Times New Roman"/>
          <w:bCs/>
          <w:lang w:val="en-US" w:eastAsia="es-ES"/>
        </w:rPr>
      </w:pPr>
    </w:p>
    <w:p w:rsidR="0019110C" w:rsidRPr="00E54317" w:rsidRDefault="0019110C" w:rsidP="0019110C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sz w:val="20"/>
          <w:szCs w:val="20"/>
          <w:lang w:val="en-US" w:eastAsia="es-ES"/>
        </w:rPr>
      </w:pPr>
      <w:r w:rsidRPr="00E54317">
        <w:rPr>
          <w:rFonts w:cs="Times New Roman"/>
          <w:sz w:val="20"/>
          <w:szCs w:val="20"/>
          <w:lang w:val="en-US" w:eastAsia="es-ES"/>
        </w:rPr>
        <w:t xml:space="preserve">Table S1. </w:t>
      </w:r>
      <w:proofErr w:type="gramStart"/>
      <w:r w:rsidRPr="00E54317">
        <w:rPr>
          <w:rFonts w:cs="Times New Roman"/>
          <w:sz w:val="20"/>
          <w:szCs w:val="20"/>
          <w:lang w:val="en-US" w:eastAsia="es-ES"/>
        </w:rPr>
        <w:t xml:space="preserve">Overview of average of the obtained </w:t>
      </w:r>
      <w:r w:rsidRPr="00E54317">
        <w:rPr>
          <w:rFonts w:cs="Times New Roman"/>
          <w:i/>
          <w:iCs/>
          <w:sz w:val="20"/>
          <w:szCs w:val="20"/>
          <w:lang w:val="en-US" w:eastAsia="es-ES"/>
        </w:rPr>
        <w:t>EC</w:t>
      </w:r>
      <w:r w:rsidRPr="00E54317">
        <w:rPr>
          <w:rFonts w:cs="Times New Roman"/>
          <w:i/>
          <w:iCs/>
          <w:sz w:val="20"/>
          <w:szCs w:val="20"/>
          <w:vertAlign w:val="subscript"/>
          <w:lang w:val="en-US" w:eastAsia="es-ES"/>
        </w:rPr>
        <w:t>50</w:t>
      </w:r>
      <w:r w:rsidRPr="00E54317">
        <w:rPr>
          <w:rFonts w:cs="Times New Roman"/>
          <w:sz w:val="20"/>
          <w:szCs w:val="20"/>
          <w:lang w:val="en-US" w:eastAsia="es-ES"/>
        </w:rPr>
        <w:t xml:space="preserve">, </w:t>
      </w:r>
      <w:r w:rsidRPr="00E54317">
        <w:rPr>
          <w:rFonts w:cs="Times New Roman"/>
          <w:i/>
          <w:iCs/>
          <w:sz w:val="20"/>
          <w:szCs w:val="20"/>
          <w:lang w:val="en-US" w:eastAsia="es-ES"/>
        </w:rPr>
        <w:t xml:space="preserve">n </w:t>
      </w:r>
      <w:r w:rsidRPr="00E54317">
        <w:rPr>
          <w:rFonts w:cs="Times New Roman"/>
          <w:sz w:val="20"/>
          <w:szCs w:val="20"/>
          <w:lang w:val="en-US" w:eastAsia="es-ES"/>
        </w:rPr>
        <w:t xml:space="preserve">and </w:t>
      </w:r>
      <w:proofErr w:type="spellStart"/>
      <w:r w:rsidRPr="00E54317">
        <w:rPr>
          <w:rFonts w:cs="Times New Roman"/>
          <w:i/>
          <w:iCs/>
          <w:sz w:val="20"/>
          <w:szCs w:val="20"/>
          <w:lang w:val="en-US" w:eastAsia="es-ES"/>
        </w:rPr>
        <w:t>k</w:t>
      </w:r>
      <w:r w:rsidRPr="00E54317">
        <w:rPr>
          <w:rFonts w:cs="Times New Roman"/>
          <w:i/>
          <w:iCs/>
          <w:sz w:val="20"/>
          <w:szCs w:val="20"/>
          <w:vertAlign w:val="subscript"/>
          <w:lang w:val="en-US" w:eastAsia="es-ES"/>
        </w:rPr>
        <w:t>ini</w:t>
      </w:r>
      <w:proofErr w:type="spellEnd"/>
      <w:r w:rsidRPr="00E54317">
        <w:rPr>
          <w:rFonts w:cs="Times New Roman"/>
          <w:i/>
          <w:iCs/>
          <w:sz w:val="20"/>
          <w:szCs w:val="20"/>
          <w:lang w:val="en-US" w:eastAsia="es-ES"/>
        </w:rPr>
        <w:t xml:space="preserve"> </w:t>
      </w:r>
      <w:r w:rsidRPr="00E54317">
        <w:rPr>
          <w:rFonts w:cs="Times New Roman"/>
          <w:sz w:val="20"/>
          <w:szCs w:val="20"/>
          <w:lang w:val="en-US" w:eastAsia="es-ES"/>
        </w:rPr>
        <w:t>values.</w:t>
      </w:r>
      <w:proofErr w:type="gramEnd"/>
      <w:r>
        <w:rPr>
          <w:rFonts w:cs="Times New Roman"/>
          <w:sz w:val="20"/>
          <w:szCs w:val="20"/>
          <w:lang w:val="en-US" w:eastAsia="es-ES"/>
        </w:rPr>
        <w:t xml:space="preserve"> </w:t>
      </w:r>
      <w:proofErr w:type="gramStart"/>
      <w:r w:rsidRPr="00563B45">
        <w:rPr>
          <w:rFonts w:cs="Times New Roman"/>
          <w:sz w:val="20"/>
          <w:szCs w:val="20"/>
          <w:vertAlign w:val="superscript"/>
          <w:lang w:val="en-US" w:eastAsia="es-ES"/>
        </w:rPr>
        <w:t>a</w:t>
      </w:r>
      <w:proofErr w:type="gramEnd"/>
      <w:r w:rsidRPr="00563B45">
        <w:rPr>
          <w:rFonts w:cs="Times New Roman"/>
          <w:sz w:val="20"/>
          <w:szCs w:val="20"/>
          <w:vertAlign w:val="superscript"/>
          <w:lang w:val="en-US" w:eastAsia="es-ES"/>
        </w:rPr>
        <w:t xml:space="preserve"> </w:t>
      </w:r>
      <w:r>
        <w:rPr>
          <w:rFonts w:cs="Times New Roman"/>
          <w:sz w:val="20"/>
          <w:szCs w:val="20"/>
          <w:lang w:val="en-US" w:eastAsia="es-ES"/>
        </w:rPr>
        <w:t>Large error in Hill plot due to solubility issues.  EC</w:t>
      </w:r>
      <w:r w:rsidRPr="00563B45">
        <w:rPr>
          <w:rFonts w:cs="Times New Roman"/>
          <w:sz w:val="20"/>
          <w:szCs w:val="20"/>
          <w:vertAlign w:val="subscript"/>
          <w:lang w:val="en-US" w:eastAsia="es-ES"/>
        </w:rPr>
        <w:t>50</w:t>
      </w:r>
      <w:r>
        <w:rPr>
          <w:rFonts w:cs="Times New Roman"/>
          <w:sz w:val="20"/>
          <w:szCs w:val="20"/>
          <w:lang w:val="en-US" w:eastAsia="es-ES"/>
        </w:rPr>
        <w:t xml:space="preserve"> calculated from correlation with </w:t>
      </w:r>
      <w:proofErr w:type="spellStart"/>
      <w:r>
        <w:rPr>
          <w:rFonts w:cs="Times New Roman"/>
          <w:sz w:val="20"/>
          <w:szCs w:val="20"/>
          <w:lang w:val="en-US" w:eastAsia="es-ES"/>
        </w:rPr>
        <w:t>k</w:t>
      </w:r>
      <w:r w:rsidRPr="00563B45">
        <w:rPr>
          <w:rFonts w:cs="Times New Roman"/>
          <w:sz w:val="20"/>
          <w:szCs w:val="20"/>
          <w:vertAlign w:val="subscript"/>
          <w:lang w:val="en-US" w:eastAsia="es-ES"/>
        </w:rPr>
        <w:t>ini</w:t>
      </w:r>
      <w:proofErr w:type="spellEnd"/>
      <w:r>
        <w:rPr>
          <w:rFonts w:cs="Times New Roman"/>
          <w:sz w:val="20"/>
          <w:szCs w:val="20"/>
          <w:lang w:val="en-US" w:eastAsia="es-ES"/>
        </w:rPr>
        <w:t xml:space="preserve"> (see Figure S165).</w:t>
      </w:r>
    </w:p>
    <w:p w:rsidR="0019110C" w:rsidRDefault="0019110C" w:rsidP="0019110C">
      <w:pPr>
        <w:tabs>
          <w:tab w:val="left" w:pos="284"/>
        </w:tabs>
        <w:adjustRightInd w:val="0"/>
        <w:spacing w:after="0" w:line="312" w:lineRule="auto"/>
        <w:rPr>
          <w:rFonts w:cs="Times New Roman"/>
          <w:bCs/>
          <w:lang w:val="en-US" w:eastAsia="es-ES"/>
        </w:rPr>
      </w:pPr>
    </w:p>
    <w:p w:rsidR="00D16B3C" w:rsidRPr="0019110C" w:rsidRDefault="00D16B3C" w:rsidP="0019110C"/>
    <w:sectPr w:rsidR="00D16B3C" w:rsidRPr="0019110C" w:rsidSect="00D16B3C"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8EB"/>
    <w:multiLevelType w:val="multilevel"/>
    <w:tmpl w:val="D4D47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C"/>
    <w:rsid w:val="0019110C"/>
    <w:rsid w:val="003E0B35"/>
    <w:rsid w:val="00AE72A0"/>
    <w:rsid w:val="00D16B3C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Knight</dc:creator>
  <cp:lastModifiedBy>Nicola Knight</cp:lastModifiedBy>
  <cp:revision>2</cp:revision>
  <dcterms:created xsi:type="dcterms:W3CDTF">2015-11-19T14:59:00Z</dcterms:created>
  <dcterms:modified xsi:type="dcterms:W3CDTF">2015-11-19T14:59:00Z</dcterms:modified>
</cp:coreProperties>
</file>