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numPr>
          <w:ilvl w:val="1"/>
          <w:numId w:val="1"/>
        </w:numPr>
        <w:tabs>
          <w:tab w:val="left" w:pos="284"/>
        </w:tabs>
        <w:spacing w:after="0" w:line="312" w:lineRule="auto"/>
        <w:rPr>
          <w:rFonts w:cs="Times New Roman"/>
          <w:b/>
          <w:snapToGrid w:val="0"/>
          <w:sz w:val="24"/>
          <w:szCs w:val="24"/>
          <w:lang w:val="en-US"/>
        </w:rPr>
      </w:pPr>
      <w:bookmarkStart w:id="0" w:name="_GoBack"/>
      <w:bookmarkEnd w:id="0"/>
      <w:r w:rsidRPr="0022202D">
        <w:rPr>
          <w:rFonts w:cs="Times New Roman"/>
          <w:b/>
          <w:snapToGrid w:val="0"/>
          <w:sz w:val="24"/>
          <w:szCs w:val="24"/>
          <w:lang w:val="en-US"/>
        </w:rPr>
        <w:t xml:space="preserve"> Hill plot analyses. EC</w:t>
      </w:r>
      <w:r w:rsidRPr="0022202D">
        <w:rPr>
          <w:rFonts w:cs="Times New Roman"/>
          <w:b/>
          <w:snapToGrid w:val="0"/>
          <w:sz w:val="24"/>
          <w:szCs w:val="24"/>
          <w:vertAlign w:val="subscript"/>
          <w:lang w:val="en-US"/>
        </w:rPr>
        <w:t>50</w:t>
      </w:r>
      <w:r w:rsidRPr="0022202D">
        <w:rPr>
          <w:rFonts w:cs="Times New Roman"/>
          <w:b/>
          <w:snapToGrid w:val="0"/>
          <w:sz w:val="24"/>
          <w:szCs w:val="24"/>
          <w:lang w:val="en-US"/>
        </w:rPr>
        <w:t xml:space="preserve"> determination</w:t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bCs/>
          <w:sz w:val="24"/>
          <w:szCs w:val="24"/>
          <w:lang w:val="en-US" w:eastAsia="es-ES"/>
        </w:rPr>
      </w:pPr>
      <w:r w:rsidRPr="0022202D">
        <w:rPr>
          <w:rFonts w:cs="Times New Roman"/>
          <w:bCs/>
          <w:sz w:val="24"/>
          <w:szCs w:val="24"/>
          <w:lang w:val="en-US" w:eastAsia="es-ES"/>
        </w:rPr>
        <w:t>Chloride/nitrate transport assays were carried out using various concentrations of carriers as described. The chloride efflux (%) at 290 s was plotted as a function of the carrier concentration and the</w:t>
      </w:r>
      <w:r>
        <w:rPr>
          <w:rFonts w:cs="Times New Roman"/>
          <w:bCs/>
          <w:sz w:val="24"/>
          <w:szCs w:val="24"/>
          <w:lang w:val="en-US" w:eastAsia="es-ES"/>
        </w:rPr>
        <w:t xml:space="preserve"> obtained</w:t>
      </w:r>
      <w:r w:rsidRPr="0022202D">
        <w:rPr>
          <w:rFonts w:cs="Times New Roman"/>
          <w:bCs/>
          <w:sz w:val="24"/>
          <w:szCs w:val="24"/>
          <w:lang w:val="en-US" w:eastAsia="es-ES"/>
        </w:rPr>
        <w:t xml:space="preserve"> results fitted with the Hill equation using Origin 8.1: </w:t>
      </w: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0"/>
        </w:tabs>
        <w:adjustRightInd w:val="0"/>
        <w:spacing w:after="0" w:line="312" w:lineRule="auto"/>
        <w:jc w:val="center"/>
        <w:rPr>
          <w:rFonts w:cs="Times New Roman"/>
          <w:bCs/>
          <w:sz w:val="24"/>
          <w:szCs w:val="24"/>
          <w:lang w:val="en-US" w:eastAsia="es-ES"/>
        </w:rPr>
      </w:pPr>
      <w:r w:rsidRPr="0022202D">
        <w:rPr>
          <w:rFonts w:cs="Times New Roman"/>
          <w:bCs/>
          <w:position w:val="-32"/>
          <w:sz w:val="24"/>
          <w:szCs w:val="24"/>
          <w:lang w:val="en-US" w:eastAsia="es-ES"/>
        </w:rPr>
        <w:object w:dxaOrig="398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75pt;height:36.75pt" o:ole="">
            <v:imagedata r:id="rId6" o:title=""/>
          </v:shape>
          <o:OLEObject Type="Embed" ProgID="Equation.3" ShapeID="_x0000_i1025" DrawAspect="Content" ObjectID="_1509450124" r:id="rId7"/>
        </w:object>
      </w: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sz w:val="24"/>
          <w:szCs w:val="24"/>
          <w:lang w:val="en-US" w:eastAsia="es-ES"/>
        </w:rPr>
      </w:pPr>
      <w:r w:rsidRPr="0022202D">
        <w:rPr>
          <w:rFonts w:cs="Times New Roman"/>
          <w:bCs/>
          <w:sz w:val="24"/>
          <w:szCs w:val="24"/>
          <w:lang w:val="en-US" w:eastAsia="es-ES"/>
        </w:rPr>
        <w:t xml:space="preserve">where </w:t>
      </w:r>
      <w:r w:rsidRPr="0022202D">
        <w:rPr>
          <w:rFonts w:cs="Times New Roman"/>
          <w:bCs/>
          <w:i/>
          <w:sz w:val="24"/>
          <w:szCs w:val="24"/>
          <w:lang w:val="en-US" w:eastAsia="es-ES"/>
        </w:rPr>
        <w:t>x</w:t>
      </w:r>
      <w:r w:rsidRPr="0022202D">
        <w:rPr>
          <w:rFonts w:cs="Times New Roman"/>
          <w:bCs/>
          <w:sz w:val="24"/>
          <w:szCs w:val="24"/>
          <w:lang w:val="en-US" w:eastAsia="es-ES"/>
        </w:rPr>
        <w:t xml:space="preserve"> is the </w:t>
      </w:r>
      <w:r>
        <w:rPr>
          <w:rFonts w:cs="Times New Roman"/>
          <w:bCs/>
          <w:sz w:val="24"/>
          <w:szCs w:val="24"/>
          <w:lang w:val="en-US" w:eastAsia="es-ES"/>
        </w:rPr>
        <w:t xml:space="preserve">anion </w:t>
      </w:r>
      <w:r w:rsidRPr="0022202D">
        <w:rPr>
          <w:rFonts w:cs="Times New Roman"/>
          <w:bCs/>
          <w:sz w:val="24"/>
          <w:szCs w:val="24"/>
          <w:lang w:val="en-US" w:eastAsia="es-ES"/>
        </w:rPr>
        <w:t xml:space="preserve">carrier concentration, </w:t>
      </w:r>
      <w:proofErr w:type="spellStart"/>
      <w:r w:rsidRPr="0022202D">
        <w:rPr>
          <w:rFonts w:cs="Times New Roman"/>
          <w:bCs/>
          <w:i/>
          <w:sz w:val="24"/>
          <w:szCs w:val="24"/>
          <w:lang w:val="en-US" w:eastAsia="es-ES"/>
        </w:rPr>
        <w:t>V</w:t>
      </w:r>
      <w:r w:rsidRPr="0022202D">
        <w:rPr>
          <w:rFonts w:cs="Times New Roman"/>
          <w:bCs/>
          <w:i/>
          <w:sz w:val="24"/>
          <w:szCs w:val="24"/>
          <w:vertAlign w:val="subscript"/>
          <w:lang w:val="en-US" w:eastAsia="es-ES"/>
        </w:rPr>
        <w:t>max</w:t>
      </w:r>
      <w:proofErr w:type="spellEnd"/>
      <w:r w:rsidRPr="0022202D">
        <w:rPr>
          <w:rFonts w:cs="Times New Roman"/>
          <w:bCs/>
          <w:sz w:val="24"/>
          <w:szCs w:val="24"/>
          <w:lang w:val="en-US" w:eastAsia="es-ES"/>
        </w:rPr>
        <w:t xml:space="preserve"> is the maximum chloride efflux (100%), </w:t>
      </w:r>
      <w:r w:rsidRPr="0022202D">
        <w:rPr>
          <w:rFonts w:cs="Times New Roman"/>
          <w:bCs/>
          <w:i/>
          <w:sz w:val="24"/>
          <w:szCs w:val="24"/>
          <w:lang w:val="en-US" w:eastAsia="es-ES"/>
        </w:rPr>
        <w:t>y</w:t>
      </w:r>
      <w:r w:rsidRPr="0022202D">
        <w:rPr>
          <w:rFonts w:cs="Times New Roman"/>
          <w:bCs/>
          <w:sz w:val="24"/>
          <w:szCs w:val="24"/>
          <w:lang w:val="en-US" w:eastAsia="es-ES"/>
        </w:rPr>
        <w:t xml:space="preserve"> is the chloride efflux at 290 s (%), </w:t>
      </w:r>
      <w:r w:rsidRPr="0022202D">
        <w:rPr>
          <w:rFonts w:cs="Times New Roman"/>
          <w:bCs/>
          <w:i/>
          <w:sz w:val="24"/>
          <w:szCs w:val="24"/>
          <w:lang w:val="en-US" w:eastAsia="es-ES"/>
        </w:rPr>
        <w:t>n</w:t>
      </w:r>
      <w:r w:rsidRPr="0022202D">
        <w:rPr>
          <w:rFonts w:cs="Times New Roman"/>
          <w:bCs/>
          <w:sz w:val="24"/>
          <w:szCs w:val="24"/>
          <w:lang w:val="en-US" w:eastAsia="es-ES"/>
        </w:rPr>
        <w:t xml:space="preserve"> is the Hill coefficient and </w:t>
      </w:r>
      <w:r w:rsidRPr="0022202D">
        <w:rPr>
          <w:rFonts w:cs="Times New Roman"/>
          <w:bCs/>
          <w:i/>
          <w:sz w:val="24"/>
          <w:szCs w:val="24"/>
          <w:lang w:val="en-US" w:eastAsia="es-ES"/>
        </w:rPr>
        <w:t>k</w:t>
      </w:r>
      <w:r w:rsidRPr="0022202D">
        <w:rPr>
          <w:rFonts w:cs="Times New Roman"/>
          <w:bCs/>
          <w:sz w:val="24"/>
          <w:szCs w:val="24"/>
          <w:lang w:val="en-US" w:eastAsia="es-ES"/>
        </w:rPr>
        <w:t xml:space="preserve"> is the </w:t>
      </w:r>
      <w:r>
        <w:rPr>
          <w:rFonts w:cs="Times New Roman"/>
          <w:bCs/>
          <w:sz w:val="24"/>
          <w:szCs w:val="24"/>
          <w:lang w:val="en-US" w:eastAsia="es-ES"/>
        </w:rPr>
        <w:t xml:space="preserve">anion </w:t>
      </w:r>
      <w:r w:rsidRPr="0022202D">
        <w:rPr>
          <w:rFonts w:cs="Times New Roman"/>
          <w:bCs/>
          <w:sz w:val="24"/>
          <w:szCs w:val="24"/>
          <w:lang w:val="en-US" w:eastAsia="es-ES"/>
        </w:rPr>
        <w:t xml:space="preserve">carrier concentration needed to achieve </w:t>
      </w:r>
      <w:proofErr w:type="spellStart"/>
      <w:r w:rsidRPr="0022202D">
        <w:rPr>
          <w:rFonts w:cs="Times New Roman"/>
          <w:i/>
          <w:iCs/>
          <w:sz w:val="24"/>
          <w:szCs w:val="24"/>
          <w:lang w:val="en-US" w:eastAsia="es-ES"/>
        </w:rPr>
        <w:t>V</w:t>
      </w:r>
      <w:r w:rsidRPr="0022202D">
        <w:rPr>
          <w:rFonts w:cs="Times New Roman"/>
          <w:i/>
          <w:iCs/>
          <w:sz w:val="24"/>
          <w:szCs w:val="24"/>
          <w:vertAlign w:val="subscript"/>
          <w:lang w:val="en-US" w:eastAsia="es-ES"/>
        </w:rPr>
        <w:t>max</w:t>
      </w:r>
      <w:proofErr w:type="spellEnd"/>
      <w:r w:rsidRPr="0022202D">
        <w:rPr>
          <w:rFonts w:cs="Times New Roman"/>
          <w:i/>
          <w:iCs/>
          <w:sz w:val="24"/>
          <w:szCs w:val="24"/>
          <w:lang w:val="en-US" w:eastAsia="es-ES"/>
        </w:rPr>
        <w:t>/2 (</w:t>
      </w:r>
      <w:r w:rsidRPr="0022202D">
        <w:rPr>
          <w:rFonts w:cs="Times New Roman"/>
          <w:iCs/>
          <w:sz w:val="24"/>
          <w:szCs w:val="24"/>
          <w:lang w:val="en-US" w:eastAsia="es-ES"/>
        </w:rPr>
        <w:t xml:space="preserve">when </w:t>
      </w:r>
      <w:proofErr w:type="spellStart"/>
      <w:r w:rsidRPr="0022202D">
        <w:rPr>
          <w:rFonts w:cs="Times New Roman"/>
          <w:i/>
          <w:iCs/>
          <w:sz w:val="24"/>
          <w:szCs w:val="24"/>
          <w:lang w:val="en-US" w:eastAsia="es-ES"/>
        </w:rPr>
        <w:t>V</w:t>
      </w:r>
      <w:r w:rsidRPr="0022202D">
        <w:rPr>
          <w:rFonts w:cs="Times New Roman"/>
          <w:i/>
          <w:iCs/>
          <w:sz w:val="24"/>
          <w:szCs w:val="24"/>
          <w:vertAlign w:val="subscript"/>
          <w:lang w:val="en-US" w:eastAsia="es-ES"/>
        </w:rPr>
        <w:t>max</w:t>
      </w:r>
      <w:proofErr w:type="spellEnd"/>
      <w:r w:rsidRPr="0022202D">
        <w:rPr>
          <w:rFonts w:cs="Times New Roman"/>
          <w:iCs/>
          <w:sz w:val="24"/>
          <w:szCs w:val="24"/>
          <w:lang w:val="en-US" w:eastAsia="es-ES"/>
        </w:rPr>
        <w:t xml:space="preserve"> is fixed to 100%, </w:t>
      </w:r>
      <w:r w:rsidRPr="0022202D">
        <w:rPr>
          <w:rFonts w:cs="Times New Roman"/>
          <w:i/>
          <w:iCs/>
          <w:sz w:val="24"/>
          <w:szCs w:val="24"/>
          <w:lang w:val="en-US" w:eastAsia="es-ES"/>
        </w:rPr>
        <w:t>k</w:t>
      </w:r>
      <w:r w:rsidRPr="0022202D">
        <w:rPr>
          <w:rFonts w:cs="Times New Roman"/>
          <w:iCs/>
          <w:sz w:val="24"/>
          <w:szCs w:val="24"/>
          <w:lang w:val="en-US" w:eastAsia="es-ES"/>
        </w:rPr>
        <w:t xml:space="preserve"> equals </w:t>
      </w:r>
      <w:r w:rsidRPr="0022202D">
        <w:rPr>
          <w:rFonts w:cs="Times New Roman"/>
          <w:i/>
          <w:iCs/>
          <w:sz w:val="24"/>
          <w:szCs w:val="24"/>
          <w:lang w:val="en-US" w:eastAsia="es-ES"/>
        </w:rPr>
        <w:t>EC</w:t>
      </w:r>
      <w:r w:rsidRPr="0022202D">
        <w:rPr>
          <w:rFonts w:cs="Times New Roman"/>
          <w:i/>
          <w:iCs/>
          <w:sz w:val="24"/>
          <w:szCs w:val="24"/>
          <w:vertAlign w:val="subscript"/>
          <w:lang w:val="en-US" w:eastAsia="es-ES"/>
        </w:rPr>
        <w:t>50</w:t>
      </w:r>
      <w:r w:rsidRPr="0022202D">
        <w:rPr>
          <w:rFonts w:cs="Times New Roman"/>
          <w:i/>
          <w:iCs/>
          <w:sz w:val="24"/>
          <w:szCs w:val="24"/>
          <w:lang w:val="en-US" w:eastAsia="es-ES"/>
        </w:rPr>
        <w:t>);</w:t>
      </w:r>
      <w:r w:rsidRPr="0022202D">
        <w:rPr>
          <w:rFonts w:cs="Times New Roman"/>
          <w:bCs/>
          <w:sz w:val="24"/>
          <w:szCs w:val="24"/>
          <w:lang w:val="en-US" w:eastAsia="es-ES"/>
        </w:rPr>
        <w:t xml:space="preserve"> </w:t>
      </w:r>
      <w:r w:rsidRPr="0022202D">
        <w:rPr>
          <w:rFonts w:cs="Times New Roman"/>
          <w:bCs/>
          <w:i/>
          <w:sz w:val="24"/>
          <w:szCs w:val="24"/>
          <w:lang w:val="en-US" w:eastAsia="es-ES"/>
        </w:rPr>
        <w:t>k</w:t>
      </w:r>
      <w:r w:rsidRPr="0022202D">
        <w:rPr>
          <w:rFonts w:cs="Times New Roman"/>
          <w:bCs/>
          <w:sz w:val="24"/>
          <w:szCs w:val="24"/>
          <w:lang w:val="en-US" w:eastAsia="es-ES"/>
        </w:rPr>
        <w:t xml:space="preserve"> and </w:t>
      </w:r>
      <w:r w:rsidRPr="0022202D">
        <w:rPr>
          <w:rFonts w:cs="Times New Roman"/>
          <w:bCs/>
          <w:i/>
          <w:sz w:val="24"/>
          <w:szCs w:val="24"/>
          <w:lang w:val="en-US" w:eastAsia="es-ES"/>
        </w:rPr>
        <w:t>n</w:t>
      </w:r>
      <w:r w:rsidRPr="0022202D">
        <w:rPr>
          <w:rFonts w:cs="Times New Roman"/>
          <w:bCs/>
          <w:sz w:val="24"/>
          <w:szCs w:val="24"/>
          <w:lang w:val="en-US" w:eastAsia="es-ES"/>
        </w:rPr>
        <w:t xml:space="preserve"> are the parameters to be fitted. EC</w:t>
      </w:r>
      <w:r w:rsidRPr="0022202D">
        <w:rPr>
          <w:rFonts w:cs="Times New Roman"/>
          <w:bCs/>
          <w:sz w:val="24"/>
          <w:szCs w:val="24"/>
          <w:vertAlign w:val="subscript"/>
          <w:lang w:val="en-US" w:eastAsia="es-ES"/>
        </w:rPr>
        <w:t>50</w:t>
      </w:r>
      <w:r w:rsidRPr="0022202D">
        <w:rPr>
          <w:rFonts w:cs="Times New Roman"/>
          <w:bCs/>
          <w:sz w:val="24"/>
          <w:szCs w:val="24"/>
          <w:lang w:val="en-US" w:eastAsia="es-ES"/>
        </w:rPr>
        <w:t xml:space="preserve">, defined as the anion carrier concentration (molar % carrier to lipid) needed to induce 50% release of the total of the chloride </w:t>
      </w:r>
      <w:r w:rsidRPr="00BA4EE1">
        <w:rPr>
          <w:rFonts w:cs="Times New Roman"/>
          <w:bCs/>
          <w:sz w:val="24"/>
          <w:szCs w:val="24"/>
          <w:lang w:val="en-US" w:eastAsia="es-ES"/>
        </w:rPr>
        <w:t xml:space="preserve">encapsulated in the time scale of our </w:t>
      </w:r>
      <w:r w:rsidRPr="00BA4EE1">
        <w:rPr>
          <w:rFonts w:cs="Times New Roman"/>
          <w:bCs/>
          <w:color w:val="000000"/>
          <w:sz w:val="24"/>
          <w:szCs w:val="24"/>
          <w:lang w:val="en-US" w:eastAsia="es-ES"/>
        </w:rPr>
        <w:t>experiments, can be obtained directly from the graphs</w:t>
      </w:r>
      <w:r w:rsidRPr="00BA4EE1">
        <w:rPr>
          <w:rFonts w:cs="Times New Roman"/>
          <w:color w:val="000000"/>
          <w:sz w:val="24"/>
          <w:szCs w:val="24"/>
          <w:lang w:val="en-US" w:eastAsia="es-ES"/>
        </w:rPr>
        <w:t xml:space="preserve">. </w:t>
      </w:r>
      <w:r w:rsidRPr="00BA4EE1">
        <w:rPr>
          <w:rFonts w:cs="Times New Roman"/>
          <w:bCs/>
          <w:color w:val="000000"/>
          <w:sz w:val="24"/>
          <w:szCs w:val="24"/>
          <w:lang w:val="en-US" w:eastAsia="es-ES"/>
        </w:rPr>
        <w:t xml:space="preserve">Figures S122-S164 </w:t>
      </w:r>
      <w:proofErr w:type="gramStart"/>
      <w:r w:rsidRPr="00BA4EE1">
        <w:rPr>
          <w:rFonts w:cs="Times New Roman"/>
          <w:bCs/>
          <w:color w:val="000000"/>
          <w:sz w:val="24"/>
          <w:szCs w:val="24"/>
          <w:lang w:val="en-US" w:eastAsia="es-ES"/>
        </w:rPr>
        <w:t>show</w:t>
      </w:r>
      <w:proofErr w:type="gramEnd"/>
      <w:r w:rsidRPr="00BA4EE1">
        <w:rPr>
          <w:rFonts w:cs="Times New Roman"/>
          <w:bCs/>
          <w:color w:val="000000"/>
          <w:sz w:val="24"/>
          <w:szCs w:val="24"/>
          <w:lang w:val="en-US" w:eastAsia="es-ES"/>
        </w:rPr>
        <w:t xml:space="preserve"> all of the obtained transport data. An overview of the EC</w:t>
      </w:r>
      <w:r w:rsidRPr="00BA4EE1">
        <w:rPr>
          <w:rFonts w:cs="Times New Roman"/>
          <w:bCs/>
          <w:color w:val="000000"/>
          <w:sz w:val="24"/>
          <w:szCs w:val="24"/>
          <w:vertAlign w:val="subscript"/>
          <w:lang w:val="en-US" w:eastAsia="es-ES"/>
        </w:rPr>
        <w:t>50</w:t>
      </w:r>
      <w:r w:rsidRPr="00BA4EE1">
        <w:rPr>
          <w:rFonts w:cs="Times New Roman"/>
          <w:bCs/>
          <w:color w:val="000000"/>
          <w:sz w:val="24"/>
          <w:szCs w:val="24"/>
          <w:lang w:val="en-US" w:eastAsia="es-ES"/>
        </w:rPr>
        <w:t xml:space="preserve"> values can be found in Table S1 in </w:t>
      </w:r>
      <w:r>
        <w:rPr>
          <w:rFonts w:cs="Times New Roman"/>
          <w:bCs/>
          <w:color w:val="000000"/>
          <w:sz w:val="24"/>
          <w:szCs w:val="24"/>
          <w:lang w:val="en-US" w:eastAsia="es-ES"/>
        </w:rPr>
        <w:t>S91</w:t>
      </w:r>
      <w:r w:rsidRPr="0022202D">
        <w:rPr>
          <w:rFonts w:cs="Times New Roman"/>
          <w:bCs/>
          <w:color w:val="000000"/>
          <w:sz w:val="24"/>
          <w:szCs w:val="24"/>
          <w:lang w:val="en-US" w:eastAsia="es-ES"/>
        </w:rPr>
        <w:t xml:space="preserve">. </w:t>
      </w: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sz w:val="24"/>
          <w:szCs w:val="24"/>
          <w:lang w:val="en-US" w:eastAsia="es-ES"/>
        </w:rPr>
      </w:pPr>
      <w:r w:rsidRPr="0022202D">
        <w:rPr>
          <w:rFonts w:cs="Times New Roman"/>
          <w:bCs/>
          <w:sz w:val="24"/>
          <w:szCs w:val="24"/>
          <w:lang w:val="en-US" w:eastAsia="es-ES"/>
        </w:rPr>
        <w:t xml:space="preserve"> </w:t>
      </w:r>
      <w:r>
        <w:rPr>
          <w:rFonts w:cs="Times New Roman"/>
          <w:bCs/>
          <w:noProof/>
          <w:sz w:val="24"/>
          <w:szCs w:val="24"/>
          <w:lang w:val="en-GB" w:eastAsia="zh-CN"/>
        </w:rPr>
        <w:drawing>
          <wp:inline distT="0" distB="0" distL="0" distR="0">
            <wp:extent cx="5848350" cy="2981325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bCs/>
          <w:sz w:val="20"/>
          <w:szCs w:val="20"/>
          <w:lang w:val="en-US" w:eastAsia="es-ES"/>
        </w:rPr>
      </w:pPr>
      <w:r w:rsidRPr="000D7C95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122</w:t>
      </w:r>
      <w:r w:rsidRPr="000D7C95">
        <w:rPr>
          <w:rFonts w:cs="Times New Roman"/>
          <w:bCs/>
          <w:sz w:val="20"/>
          <w:szCs w:val="20"/>
          <w:lang w:val="en-US" w:eastAsia="es-ES"/>
        </w:rPr>
        <w:t>.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 xml:space="preserve"> </w:t>
      </w:r>
      <w:r w:rsidRPr="0022202D">
        <w:rPr>
          <w:rFonts w:cs="Times New Roman"/>
          <w:sz w:val="20"/>
          <w:szCs w:val="20"/>
          <w:lang w:val="en-US" w:eastAsia="es-ES"/>
        </w:rPr>
        <w:t xml:space="preserve">Overview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1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sz w:val="24"/>
          <w:szCs w:val="24"/>
          <w:lang w:val="en-US" w:eastAsia="es-ES"/>
        </w:rPr>
      </w:pPr>
      <w:r>
        <w:rPr>
          <w:rFonts w:cs="Times New Roman"/>
          <w:bCs/>
          <w:noProof/>
          <w:sz w:val="24"/>
          <w:szCs w:val="24"/>
          <w:lang w:val="en-GB" w:eastAsia="zh-CN"/>
        </w:rPr>
        <w:lastRenderedPageBreak/>
        <w:drawing>
          <wp:inline distT="0" distB="0" distL="0" distR="0">
            <wp:extent cx="5838825" cy="294322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bCs/>
          <w:sz w:val="20"/>
          <w:szCs w:val="20"/>
          <w:lang w:val="en-US" w:eastAsia="es-ES"/>
        </w:rPr>
      </w:pPr>
      <w:r w:rsidRPr="000D7C95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123</w:t>
      </w:r>
      <w:r w:rsidRPr="000D7C95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0D7C95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2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center"/>
        <w:rPr>
          <w:rFonts w:cs="Times New Roman"/>
          <w:bCs/>
          <w:sz w:val="24"/>
          <w:szCs w:val="24"/>
          <w:lang w:val="en-US" w:eastAsia="es-ES"/>
        </w:rPr>
      </w:pPr>
      <w:r>
        <w:rPr>
          <w:rFonts w:cs="Times New Roman"/>
          <w:bCs/>
          <w:noProof/>
          <w:sz w:val="24"/>
          <w:szCs w:val="24"/>
          <w:lang w:val="en-GB" w:eastAsia="zh-CN"/>
        </w:rPr>
        <w:drawing>
          <wp:inline distT="0" distB="0" distL="0" distR="0">
            <wp:extent cx="5848350" cy="298132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bCs/>
          <w:sz w:val="20"/>
          <w:szCs w:val="20"/>
          <w:lang w:val="en-US" w:eastAsia="es-ES"/>
        </w:rPr>
      </w:pPr>
      <w:r w:rsidRPr="000D7C95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124</w:t>
      </w:r>
      <w:r w:rsidRPr="000D7C95">
        <w:rPr>
          <w:rFonts w:cs="Times New Roman"/>
          <w:bCs/>
          <w:sz w:val="20"/>
          <w:szCs w:val="20"/>
          <w:lang w:val="en-US" w:eastAsia="es-ES"/>
        </w:rPr>
        <w:t>.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 xml:space="preserve"> </w:t>
      </w:r>
      <w:r w:rsidRPr="0022202D">
        <w:rPr>
          <w:rFonts w:cs="Times New Roman"/>
          <w:sz w:val="20"/>
          <w:szCs w:val="20"/>
          <w:lang w:val="en-US" w:eastAsia="es-ES"/>
        </w:rPr>
        <w:t xml:space="preserve">Overview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3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center"/>
        <w:rPr>
          <w:rFonts w:cs="Times New Roman"/>
          <w:bCs/>
          <w:sz w:val="24"/>
          <w:szCs w:val="24"/>
          <w:lang w:val="en-US" w:eastAsia="es-ES"/>
        </w:rPr>
      </w:pPr>
      <w:r>
        <w:rPr>
          <w:rFonts w:cs="Times New Roman"/>
          <w:bCs/>
          <w:noProof/>
          <w:sz w:val="24"/>
          <w:szCs w:val="24"/>
          <w:lang w:val="en-GB" w:eastAsia="zh-CN"/>
        </w:rPr>
        <w:lastRenderedPageBreak/>
        <w:drawing>
          <wp:inline distT="0" distB="0" distL="0" distR="0">
            <wp:extent cx="5848350" cy="29718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bCs/>
          <w:sz w:val="20"/>
          <w:szCs w:val="20"/>
          <w:lang w:val="en-US" w:eastAsia="es-ES"/>
        </w:rPr>
      </w:pPr>
      <w:r w:rsidRPr="000D7C95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125</w:t>
      </w:r>
      <w:r w:rsidRPr="000D7C95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0D7C95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4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center"/>
        <w:rPr>
          <w:rFonts w:cs="Times New Roman"/>
          <w:bCs/>
          <w:sz w:val="24"/>
          <w:szCs w:val="24"/>
          <w:lang w:val="en-US" w:eastAsia="es-ES"/>
        </w:rPr>
      </w:pPr>
      <w:r>
        <w:rPr>
          <w:rFonts w:cs="Times New Roman"/>
          <w:bCs/>
          <w:noProof/>
          <w:sz w:val="24"/>
          <w:szCs w:val="24"/>
          <w:lang w:val="en-GB" w:eastAsia="zh-CN"/>
        </w:rPr>
        <w:drawing>
          <wp:inline distT="0" distB="0" distL="0" distR="0">
            <wp:extent cx="5848350" cy="29527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bCs/>
          <w:sz w:val="20"/>
          <w:szCs w:val="20"/>
          <w:lang w:val="en-US" w:eastAsia="es-ES"/>
        </w:rPr>
      </w:pPr>
      <w:r w:rsidRPr="000D7C95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126</w:t>
      </w:r>
      <w:r w:rsidRPr="000D7C95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0D7C95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5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sz w:val="24"/>
          <w:szCs w:val="24"/>
          <w:lang w:val="en-US" w:eastAsia="es-ES"/>
        </w:rPr>
      </w:pPr>
      <w:r>
        <w:rPr>
          <w:rFonts w:cs="Times New Roman"/>
          <w:bCs/>
          <w:noProof/>
          <w:sz w:val="24"/>
          <w:szCs w:val="24"/>
          <w:lang w:val="en-GB" w:eastAsia="zh-CN"/>
        </w:rPr>
        <w:lastRenderedPageBreak/>
        <w:drawing>
          <wp:inline distT="0" distB="0" distL="0" distR="0">
            <wp:extent cx="5848350" cy="28860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bCs/>
          <w:sz w:val="20"/>
          <w:szCs w:val="20"/>
          <w:lang w:val="en-US" w:eastAsia="es-ES"/>
        </w:rPr>
      </w:pPr>
      <w:r w:rsidRPr="000D7C95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127</w:t>
      </w:r>
      <w:r w:rsidRPr="000D7C95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0D7C95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6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sz w:val="24"/>
          <w:szCs w:val="24"/>
          <w:lang w:val="en-US" w:eastAsia="es-ES"/>
        </w:rPr>
      </w:pPr>
      <w:r>
        <w:rPr>
          <w:rFonts w:cs="Times New Roman"/>
          <w:bCs/>
          <w:noProof/>
          <w:sz w:val="24"/>
          <w:szCs w:val="24"/>
          <w:lang w:val="en-GB" w:eastAsia="zh-CN"/>
        </w:rPr>
        <w:drawing>
          <wp:inline distT="0" distB="0" distL="0" distR="0">
            <wp:extent cx="5848350" cy="378142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bCs/>
          <w:sz w:val="20"/>
          <w:szCs w:val="20"/>
          <w:lang w:val="en-US" w:eastAsia="es-ES"/>
        </w:rPr>
      </w:pPr>
      <w:r>
        <w:rPr>
          <w:rFonts w:cs="Times New Roman"/>
          <w:bCs/>
          <w:sz w:val="20"/>
          <w:szCs w:val="20"/>
          <w:lang w:val="en-US" w:eastAsia="es-ES"/>
        </w:rPr>
        <w:t>Figure S128</w:t>
      </w:r>
      <w:r w:rsidRPr="000D7C95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0D7C95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7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sz w:val="24"/>
          <w:szCs w:val="24"/>
          <w:lang w:val="en-US" w:eastAsia="es-ES"/>
        </w:rPr>
      </w:pPr>
      <w:r>
        <w:rPr>
          <w:rFonts w:cs="Times New Roman"/>
          <w:bCs/>
          <w:noProof/>
          <w:sz w:val="24"/>
          <w:szCs w:val="24"/>
          <w:lang w:val="en-GB" w:eastAsia="zh-CN"/>
        </w:rPr>
        <w:lastRenderedPageBreak/>
        <w:drawing>
          <wp:inline distT="0" distB="0" distL="0" distR="0">
            <wp:extent cx="5848350" cy="29337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bCs/>
          <w:sz w:val="20"/>
          <w:szCs w:val="20"/>
          <w:lang w:val="en-US" w:eastAsia="es-ES"/>
        </w:rPr>
      </w:pPr>
      <w:r w:rsidRPr="000D7C95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129</w:t>
      </w:r>
      <w:r w:rsidRPr="000D7C95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0D7C95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8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sz w:val="24"/>
          <w:szCs w:val="24"/>
          <w:lang w:val="en-US" w:eastAsia="es-ES"/>
        </w:rPr>
      </w:pPr>
      <w:r>
        <w:rPr>
          <w:rFonts w:cs="Times New Roman"/>
          <w:bCs/>
          <w:noProof/>
          <w:sz w:val="24"/>
          <w:szCs w:val="24"/>
          <w:lang w:val="en-GB" w:eastAsia="zh-CN"/>
        </w:rPr>
        <w:drawing>
          <wp:inline distT="0" distB="0" distL="0" distR="0">
            <wp:extent cx="5848350" cy="290512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bCs/>
          <w:sz w:val="20"/>
          <w:szCs w:val="20"/>
          <w:lang w:val="en-US" w:eastAsia="es-ES"/>
        </w:rPr>
      </w:pPr>
      <w:r w:rsidRPr="000D7C95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130</w:t>
      </w:r>
      <w:r w:rsidRPr="000D7C95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0D7C95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9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sz w:val="24"/>
          <w:szCs w:val="24"/>
          <w:lang w:val="en-US" w:eastAsia="es-ES"/>
        </w:rPr>
      </w:pPr>
      <w:r>
        <w:rPr>
          <w:rFonts w:cs="Times New Roman"/>
          <w:bCs/>
          <w:noProof/>
          <w:sz w:val="24"/>
          <w:szCs w:val="24"/>
          <w:lang w:val="en-GB" w:eastAsia="zh-CN"/>
        </w:rPr>
        <w:lastRenderedPageBreak/>
        <w:drawing>
          <wp:inline distT="0" distB="0" distL="0" distR="0">
            <wp:extent cx="5848350" cy="292417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bCs/>
          <w:sz w:val="20"/>
          <w:szCs w:val="20"/>
          <w:lang w:val="en-US" w:eastAsia="es-ES"/>
        </w:rPr>
      </w:pPr>
      <w:r w:rsidRPr="000D7C95">
        <w:rPr>
          <w:rFonts w:cs="Times New Roman"/>
          <w:bCs/>
          <w:sz w:val="20"/>
          <w:szCs w:val="20"/>
          <w:lang w:val="en-US" w:eastAsia="es-ES"/>
        </w:rPr>
        <w:t>Figure S1</w:t>
      </w:r>
      <w:r>
        <w:rPr>
          <w:rFonts w:cs="Times New Roman"/>
          <w:bCs/>
          <w:sz w:val="20"/>
          <w:szCs w:val="20"/>
          <w:lang w:val="en-US" w:eastAsia="es-ES"/>
        </w:rPr>
        <w:t>31</w:t>
      </w:r>
      <w:r w:rsidRPr="000D7C95">
        <w:rPr>
          <w:rFonts w:cs="Times New Roman"/>
          <w:bCs/>
          <w:sz w:val="20"/>
          <w:szCs w:val="20"/>
          <w:lang w:val="en-US" w:eastAsia="es-ES"/>
        </w:rPr>
        <w:t>.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 xml:space="preserve"> </w:t>
      </w:r>
      <w:r w:rsidRPr="0022202D">
        <w:rPr>
          <w:rFonts w:cs="Times New Roman"/>
          <w:sz w:val="20"/>
          <w:szCs w:val="20"/>
          <w:lang w:val="en-US" w:eastAsia="es-ES"/>
        </w:rPr>
        <w:t xml:space="preserve">Overview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10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sz w:val="24"/>
          <w:szCs w:val="24"/>
          <w:lang w:val="en-US" w:eastAsia="es-ES"/>
        </w:rPr>
      </w:pPr>
      <w:r>
        <w:rPr>
          <w:rFonts w:cs="Times New Roman"/>
          <w:bCs/>
          <w:noProof/>
          <w:sz w:val="24"/>
          <w:szCs w:val="24"/>
          <w:lang w:val="en-GB" w:eastAsia="zh-CN"/>
        </w:rPr>
        <w:drawing>
          <wp:inline distT="0" distB="0" distL="0" distR="0">
            <wp:extent cx="5848350" cy="291465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bCs/>
          <w:sz w:val="20"/>
          <w:szCs w:val="20"/>
          <w:lang w:val="en-US" w:eastAsia="es-ES"/>
        </w:rPr>
      </w:pPr>
      <w:r w:rsidRPr="000D7C95">
        <w:rPr>
          <w:rFonts w:cs="Times New Roman"/>
          <w:bCs/>
          <w:sz w:val="20"/>
          <w:szCs w:val="20"/>
          <w:lang w:val="en-US" w:eastAsia="es-ES"/>
        </w:rPr>
        <w:t>Figure S13</w:t>
      </w:r>
      <w:r>
        <w:rPr>
          <w:rFonts w:cs="Times New Roman"/>
          <w:bCs/>
          <w:sz w:val="20"/>
          <w:szCs w:val="20"/>
          <w:lang w:val="en-US" w:eastAsia="es-ES"/>
        </w:rPr>
        <w:t>2</w:t>
      </w:r>
      <w:r w:rsidRPr="000D7C95">
        <w:rPr>
          <w:rFonts w:cs="Times New Roman"/>
          <w:bCs/>
          <w:sz w:val="20"/>
          <w:szCs w:val="20"/>
          <w:lang w:val="en-US" w:eastAsia="es-ES"/>
        </w:rPr>
        <w:t>.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 xml:space="preserve"> </w:t>
      </w:r>
      <w:r w:rsidRPr="0022202D">
        <w:rPr>
          <w:rFonts w:cs="Times New Roman"/>
          <w:sz w:val="20"/>
          <w:szCs w:val="20"/>
          <w:lang w:val="en-US" w:eastAsia="es-ES"/>
        </w:rPr>
        <w:t xml:space="preserve">Overview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11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sz w:val="24"/>
          <w:szCs w:val="24"/>
          <w:lang w:val="en-US" w:eastAsia="es-ES"/>
        </w:rPr>
      </w:pPr>
      <w:r>
        <w:rPr>
          <w:rFonts w:cs="Times New Roman"/>
          <w:bCs/>
          <w:noProof/>
          <w:sz w:val="24"/>
          <w:szCs w:val="24"/>
          <w:lang w:val="en-GB" w:eastAsia="zh-CN"/>
        </w:rPr>
        <w:lastRenderedPageBreak/>
        <w:drawing>
          <wp:inline distT="0" distB="0" distL="0" distR="0">
            <wp:extent cx="5848350" cy="40005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bCs/>
          <w:sz w:val="20"/>
          <w:szCs w:val="20"/>
          <w:lang w:val="en-US" w:eastAsia="es-ES"/>
        </w:rPr>
      </w:pPr>
      <w:r w:rsidRPr="000D7C95">
        <w:rPr>
          <w:rFonts w:cs="Times New Roman"/>
          <w:bCs/>
          <w:sz w:val="20"/>
          <w:szCs w:val="20"/>
          <w:lang w:val="en-US" w:eastAsia="es-ES"/>
        </w:rPr>
        <w:t>Figure S13</w:t>
      </w:r>
      <w:r>
        <w:rPr>
          <w:rFonts w:cs="Times New Roman"/>
          <w:bCs/>
          <w:sz w:val="20"/>
          <w:szCs w:val="20"/>
          <w:lang w:val="en-US" w:eastAsia="es-ES"/>
        </w:rPr>
        <w:t>3</w:t>
      </w:r>
      <w:r w:rsidRPr="000D7C95">
        <w:rPr>
          <w:rFonts w:cs="Times New Roman"/>
          <w:bCs/>
          <w:sz w:val="20"/>
          <w:szCs w:val="20"/>
          <w:lang w:val="en-US" w:eastAsia="es-ES"/>
        </w:rPr>
        <w:t>.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 xml:space="preserve"> </w:t>
      </w:r>
      <w:r w:rsidRPr="0022202D">
        <w:rPr>
          <w:rFonts w:cs="Times New Roman"/>
          <w:sz w:val="20"/>
          <w:szCs w:val="20"/>
          <w:lang w:val="en-US" w:eastAsia="es-ES"/>
        </w:rPr>
        <w:t xml:space="preserve">Overview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12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sz w:val="24"/>
          <w:szCs w:val="24"/>
          <w:lang w:val="en-US" w:eastAsia="es-ES"/>
        </w:rPr>
      </w:pPr>
      <w:r>
        <w:rPr>
          <w:rFonts w:cs="Times New Roman"/>
          <w:bCs/>
          <w:noProof/>
          <w:sz w:val="24"/>
          <w:szCs w:val="24"/>
          <w:lang w:val="en-GB" w:eastAsia="zh-CN"/>
        </w:rPr>
        <w:drawing>
          <wp:inline distT="0" distB="0" distL="0" distR="0">
            <wp:extent cx="5848350" cy="294322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bCs/>
          <w:sz w:val="20"/>
          <w:szCs w:val="20"/>
          <w:lang w:val="en-US" w:eastAsia="es-ES"/>
        </w:rPr>
      </w:pPr>
      <w:r w:rsidRPr="006E7A24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134</w:t>
      </w:r>
      <w:r w:rsidRPr="006E7A24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6E7A24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13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sz w:val="24"/>
          <w:szCs w:val="24"/>
          <w:lang w:val="en-US" w:eastAsia="es-ES"/>
        </w:rPr>
      </w:pPr>
      <w:r>
        <w:rPr>
          <w:rFonts w:cs="Times New Roman"/>
          <w:bCs/>
          <w:noProof/>
          <w:sz w:val="24"/>
          <w:szCs w:val="24"/>
          <w:lang w:val="en-GB" w:eastAsia="zh-CN"/>
        </w:rPr>
        <w:lastRenderedPageBreak/>
        <w:drawing>
          <wp:inline distT="0" distB="0" distL="0" distR="0">
            <wp:extent cx="5848350" cy="300037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bCs/>
          <w:sz w:val="20"/>
          <w:szCs w:val="20"/>
          <w:lang w:val="en-US" w:eastAsia="es-ES"/>
        </w:rPr>
      </w:pPr>
      <w:r w:rsidRPr="006E7A24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135</w:t>
      </w:r>
      <w:r w:rsidRPr="006E7A24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6E7A24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14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sz w:val="24"/>
          <w:szCs w:val="24"/>
          <w:lang w:val="en-US" w:eastAsia="es-ES"/>
        </w:rPr>
      </w:pPr>
      <w:r>
        <w:rPr>
          <w:rFonts w:cs="Times New Roman"/>
          <w:bCs/>
          <w:noProof/>
          <w:sz w:val="24"/>
          <w:szCs w:val="24"/>
          <w:lang w:val="en-GB" w:eastAsia="zh-CN"/>
        </w:rPr>
        <w:drawing>
          <wp:inline distT="0" distB="0" distL="0" distR="0">
            <wp:extent cx="5848350" cy="2943225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bCs/>
          <w:sz w:val="20"/>
          <w:szCs w:val="20"/>
          <w:lang w:val="en-US" w:eastAsia="es-ES"/>
        </w:rPr>
      </w:pPr>
      <w:r w:rsidRPr="006E7A24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136</w:t>
      </w:r>
      <w:r w:rsidRPr="006E7A24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6E7A24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15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sz w:val="24"/>
          <w:szCs w:val="24"/>
          <w:lang w:val="en-US" w:eastAsia="es-ES"/>
        </w:rPr>
      </w:pPr>
      <w:r>
        <w:rPr>
          <w:rFonts w:cs="Times New Roman"/>
          <w:bCs/>
          <w:noProof/>
          <w:sz w:val="24"/>
          <w:szCs w:val="24"/>
          <w:lang w:val="en-GB" w:eastAsia="zh-CN"/>
        </w:rPr>
        <w:lastRenderedPageBreak/>
        <w:drawing>
          <wp:inline distT="0" distB="0" distL="0" distR="0">
            <wp:extent cx="5848350" cy="28194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bCs/>
          <w:sz w:val="20"/>
          <w:szCs w:val="20"/>
          <w:lang w:val="en-US" w:eastAsia="es-ES"/>
        </w:rPr>
      </w:pPr>
      <w:r w:rsidRPr="006E7A24">
        <w:rPr>
          <w:rFonts w:cs="Times New Roman"/>
          <w:bCs/>
          <w:sz w:val="20"/>
          <w:szCs w:val="20"/>
          <w:lang w:val="en-US" w:eastAsia="es-ES"/>
        </w:rPr>
        <w:t>Figure</w:t>
      </w:r>
      <w:r>
        <w:rPr>
          <w:rFonts w:cs="Times New Roman"/>
          <w:bCs/>
          <w:sz w:val="20"/>
          <w:szCs w:val="20"/>
          <w:lang w:val="en-US" w:eastAsia="es-ES"/>
        </w:rPr>
        <w:t xml:space="preserve"> S137</w:t>
      </w:r>
      <w:r w:rsidRPr="006E7A24">
        <w:rPr>
          <w:rFonts w:cs="Times New Roman"/>
          <w:bCs/>
          <w:sz w:val="20"/>
          <w:szCs w:val="20"/>
          <w:lang w:val="en-US" w:eastAsia="es-ES"/>
        </w:rPr>
        <w:t>.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 xml:space="preserve"> </w:t>
      </w:r>
      <w:r w:rsidRPr="0022202D">
        <w:rPr>
          <w:rFonts w:cs="Times New Roman"/>
          <w:sz w:val="20"/>
          <w:szCs w:val="20"/>
          <w:lang w:val="en-US" w:eastAsia="es-ES"/>
        </w:rPr>
        <w:t xml:space="preserve">Overview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16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sz w:val="24"/>
          <w:szCs w:val="24"/>
          <w:lang w:val="en-US" w:eastAsia="es-ES"/>
        </w:rPr>
      </w:pPr>
      <w:r>
        <w:rPr>
          <w:rFonts w:cs="Times New Roman"/>
          <w:bCs/>
          <w:noProof/>
          <w:sz w:val="24"/>
          <w:szCs w:val="24"/>
          <w:lang w:val="en-GB" w:eastAsia="zh-CN"/>
        </w:rPr>
        <w:drawing>
          <wp:inline distT="0" distB="0" distL="0" distR="0">
            <wp:extent cx="5848350" cy="28956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6E7A24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138</w:t>
      </w:r>
      <w:r w:rsidRPr="006E7A24">
        <w:rPr>
          <w:rFonts w:cs="Times New Roman"/>
          <w:bCs/>
          <w:sz w:val="20"/>
          <w:szCs w:val="20"/>
          <w:lang w:val="en-US" w:eastAsia="es-ES"/>
        </w:rPr>
        <w:t>.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 xml:space="preserve"> </w:t>
      </w:r>
      <w:r w:rsidRPr="0022202D">
        <w:rPr>
          <w:rFonts w:cs="Times New Roman"/>
          <w:sz w:val="20"/>
          <w:szCs w:val="20"/>
          <w:lang w:val="en-US" w:eastAsia="es-ES"/>
        </w:rPr>
        <w:t xml:space="preserve">Overview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17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sz w:val="20"/>
          <w:szCs w:val="20"/>
          <w:lang w:val="en-US" w:eastAsia="es-ES"/>
        </w:rPr>
      </w:pPr>
      <w:r>
        <w:rPr>
          <w:rFonts w:cs="Times New Roman"/>
          <w:bCs/>
          <w:noProof/>
          <w:sz w:val="20"/>
          <w:szCs w:val="20"/>
          <w:lang w:val="en-GB" w:eastAsia="zh-CN"/>
        </w:rPr>
        <w:lastRenderedPageBreak/>
        <w:drawing>
          <wp:inline distT="0" distB="0" distL="0" distR="0">
            <wp:extent cx="5848350" cy="28384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6E7A24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139</w:t>
      </w:r>
      <w:r w:rsidRPr="006E7A24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6E7A24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18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sz w:val="24"/>
          <w:szCs w:val="24"/>
          <w:lang w:val="en-US" w:eastAsia="es-ES"/>
        </w:rPr>
      </w:pPr>
      <w:r w:rsidRPr="0022202D">
        <w:rPr>
          <w:rFonts w:cs="Times New Roman"/>
          <w:bCs/>
          <w:sz w:val="24"/>
          <w:szCs w:val="24"/>
          <w:lang w:val="en-US" w:eastAsia="es-ES"/>
        </w:rPr>
        <w:t xml:space="preserve"> </w:t>
      </w:r>
      <w:r>
        <w:rPr>
          <w:rFonts w:cs="Times New Roman"/>
          <w:bCs/>
          <w:noProof/>
          <w:sz w:val="24"/>
          <w:szCs w:val="24"/>
          <w:lang w:val="en-GB" w:eastAsia="zh-CN"/>
        </w:rPr>
        <w:drawing>
          <wp:inline distT="0" distB="0" distL="0" distR="0">
            <wp:extent cx="5848350" cy="28479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6E7A24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140</w:t>
      </w:r>
      <w:r w:rsidRPr="006E7A24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6E7A24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19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sz w:val="24"/>
          <w:szCs w:val="24"/>
          <w:lang w:val="en-US" w:eastAsia="es-ES"/>
        </w:rPr>
      </w:pPr>
      <w:r>
        <w:rPr>
          <w:rFonts w:cs="Times New Roman"/>
          <w:bCs/>
          <w:noProof/>
          <w:sz w:val="24"/>
          <w:szCs w:val="24"/>
          <w:lang w:val="en-GB" w:eastAsia="zh-CN"/>
        </w:rPr>
        <w:lastRenderedPageBreak/>
        <w:drawing>
          <wp:inline distT="0" distB="0" distL="0" distR="0">
            <wp:extent cx="5838825" cy="285750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6E7A24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141</w:t>
      </w:r>
      <w:r w:rsidRPr="006E7A24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6E7A24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20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sz w:val="24"/>
          <w:szCs w:val="24"/>
          <w:lang w:val="en-US" w:eastAsia="es-ES"/>
        </w:rPr>
      </w:pPr>
      <w:r>
        <w:rPr>
          <w:rFonts w:cs="Times New Roman"/>
          <w:bCs/>
          <w:noProof/>
          <w:sz w:val="24"/>
          <w:szCs w:val="24"/>
          <w:lang w:val="en-GB" w:eastAsia="zh-CN"/>
        </w:rPr>
        <w:drawing>
          <wp:inline distT="0" distB="0" distL="0" distR="0">
            <wp:extent cx="5848350" cy="29337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6E7A24">
        <w:rPr>
          <w:rFonts w:cs="Times New Roman"/>
          <w:bCs/>
          <w:sz w:val="20"/>
          <w:szCs w:val="20"/>
          <w:lang w:val="en-US" w:eastAsia="es-ES"/>
        </w:rPr>
        <w:t>Figure S14</w:t>
      </w:r>
      <w:r>
        <w:rPr>
          <w:rFonts w:cs="Times New Roman"/>
          <w:bCs/>
          <w:sz w:val="20"/>
          <w:szCs w:val="20"/>
          <w:lang w:val="en-US" w:eastAsia="es-ES"/>
        </w:rPr>
        <w:t>2</w:t>
      </w:r>
      <w:r w:rsidRPr="006E7A24">
        <w:rPr>
          <w:rFonts w:cs="Times New Roman"/>
          <w:bCs/>
          <w:sz w:val="20"/>
          <w:szCs w:val="20"/>
          <w:lang w:val="en-US" w:eastAsia="es-ES"/>
        </w:rPr>
        <w:t>.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 xml:space="preserve"> </w:t>
      </w:r>
      <w:r w:rsidRPr="0022202D">
        <w:rPr>
          <w:rFonts w:cs="Times New Roman"/>
          <w:sz w:val="20"/>
          <w:szCs w:val="20"/>
          <w:lang w:val="en-US" w:eastAsia="es-ES"/>
        </w:rPr>
        <w:t xml:space="preserve">Overview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21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lastRenderedPageBreak/>
        <w:drawing>
          <wp:inline distT="0" distB="0" distL="0" distR="0">
            <wp:extent cx="5848350" cy="28765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>
        <w:rPr>
          <w:rFonts w:cs="Times New Roman"/>
          <w:bCs/>
          <w:sz w:val="20"/>
          <w:szCs w:val="20"/>
          <w:lang w:val="en-US" w:eastAsia="es-ES"/>
        </w:rPr>
        <w:t>Figure S143</w:t>
      </w:r>
      <w:r w:rsidRPr="006E7A24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6E7A24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22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drawing>
          <wp:inline distT="0" distB="0" distL="0" distR="0">
            <wp:extent cx="5848350" cy="28956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>
        <w:rPr>
          <w:rFonts w:cs="Times New Roman"/>
          <w:bCs/>
          <w:sz w:val="20"/>
          <w:szCs w:val="20"/>
          <w:lang w:val="en-US" w:eastAsia="es-ES"/>
        </w:rPr>
        <w:t>Figure S144</w:t>
      </w:r>
      <w:r w:rsidRPr="006E7A24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6E7A24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23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lastRenderedPageBreak/>
        <w:drawing>
          <wp:inline distT="0" distB="0" distL="0" distR="0">
            <wp:extent cx="5848350" cy="28194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>
        <w:rPr>
          <w:rFonts w:cs="Times New Roman"/>
          <w:bCs/>
          <w:sz w:val="20"/>
          <w:szCs w:val="20"/>
          <w:lang w:val="en-US" w:eastAsia="es-ES"/>
        </w:rPr>
        <w:t>Figure S145</w:t>
      </w:r>
      <w:r w:rsidRPr="006E7A24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6E7A24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24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drawing>
          <wp:inline distT="0" distB="0" distL="0" distR="0">
            <wp:extent cx="5838825" cy="294322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6E7A24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146</w:t>
      </w:r>
      <w:r w:rsidRPr="006E7A24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6E7A24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25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lastRenderedPageBreak/>
        <w:drawing>
          <wp:inline distT="0" distB="0" distL="0" distR="0">
            <wp:extent cx="5848350" cy="27717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6E7A24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147</w:t>
      </w:r>
      <w:r w:rsidRPr="006E7A24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6E7A24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26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drawing>
          <wp:inline distT="0" distB="0" distL="0" distR="0">
            <wp:extent cx="5848350" cy="28384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6E7A24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148</w:t>
      </w:r>
      <w:r w:rsidRPr="006E7A24">
        <w:rPr>
          <w:rFonts w:cs="Times New Roman"/>
          <w:bCs/>
          <w:sz w:val="20"/>
          <w:szCs w:val="20"/>
          <w:lang w:val="en-US" w:eastAsia="es-ES"/>
        </w:rPr>
        <w:t>.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 xml:space="preserve"> </w:t>
      </w:r>
      <w:r w:rsidRPr="0022202D">
        <w:rPr>
          <w:rFonts w:cs="Times New Roman"/>
          <w:sz w:val="20"/>
          <w:szCs w:val="20"/>
          <w:lang w:val="en-US" w:eastAsia="es-ES"/>
        </w:rPr>
        <w:t xml:space="preserve">Overview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27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lastRenderedPageBreak/>
        <w:drawing>
          <wp:inline distT="0" distB="0" distL="0" distR="0">
            <wp:extent cx="5848350" cy="28194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6E7A24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149</w:t>
      </w:r>
      <w:r w:rsidRPr="006E7A24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6E7A24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28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drawing>
          <wp:inline distT="0" distB="0" distL="0" distR="0">
            <wp:extent cx="5848350" cy="29146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6E7A24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150</w:t>
      </w:r>
      <w:r w:rsidRPr="006E7A24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6E7A24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29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lastRenderedPageBreak/>
        <w:drawing>
          <wp:inline distT="0" distB="0" distL="0" distR="0">
            <wp:extent cx="5848350" cy="28575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6E7A24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151</w:t>
      </w:r>
      <w:r w:rsidRPr="006E7A24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6E7A24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30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drawing>
          <wp:inline distT="0" distB="0" distL="0" distR="0">
            <wp:extent cx="5848350" cy="28479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6E7A24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152</w:t>
      </w:r>
      <w:r w:rsidRPr="006E7A24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6E7A24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31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lastRenderedPageBreak/>
        <w:drawing>
          <wp:inline distT="0" distB="0" distL="0" distR="0">
            <wp:extent cx="5848350" cy="290512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6E7A24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153</w:t>
      </w:r>
      <w:r w:rsidRPr="006E7A24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6E7A24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32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drawing>
          <wp:inline distT="0" distB="0" distL="0" distR="0">
            <wp:extent cx="5848350" cy="29146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>
        <w:rPr>
          <w:rFonts w:cs="Times New Roman"/>
          <w:bCs/>
          <w:sz w:val="20"/>
          <w:szCs w:val="20"/>
          <w:lang w:val="en-US" w:eastAsia="es-ES"/>
        </w:rPr>
        <w:t>Figure S154</w:t>
      </w:r>
      <w:r w:rsidRPr="006E7A24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6E7A24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33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lastRenderedPageBreak/>
        <w:drawing>
          <wp:inline distT="0" distB="0" distL="0" distR="0">
            <wp:extent cx="5848350" cy="292417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6E7A24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155</w:t>
      </w:r>
      <w:r w:rsidRPr="006E7A24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6E7A24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34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drawing>
          <wp:inline distT="0" distB="0" distL="0" distR="0">
            <wp:extent cx="5848350" cy="29146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>
        <w:rPr>
          <w:rFonts w:cs="Times New Roman"/>
          <w:bCs/>
          <w:sz w:val="20"/>
          <w:szCs w:val="20"/>
          <w:lang w:val="en-US" w:eastAsia="es-ES"/>
        </w:rPr>
        <w:t>Figure S156</w:t>
      </w:r>
      <w:r w:rsidRPr="006E7A24">
        <w:rPr>
          <w:rFonts w:cs="Times New Roman"/>
          <w:bCs/>
          <w:sz w:val="20"/>
          <w:szCs w:val="20"/>
          <w:lang w:val="en-US" w:eastAsia="es-ES"/>
        </w:rPr>
        <w:t>.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 xml:space="preserve"> </w:t>
      </w:r>
      <w:r w:rsidRPr="0022202D">
        <w:rPr>
          <w:rFonts w:cs="Times New Roman"/>
          <w:sz w:val="20"/>
          <w:szCs w:val="20"/>
          <w:lang w:val="en-US" w:eastAsia="es-ES"/>
        </w:rPr>
        <w:t xml:space="preserve">Overview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35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lastRenderedPageBreak/>
        <w:drawing>
          <wp:inline distT="0" distB="0" distL="0" distR="0">
            <wp:extent cx="5848350" cy="26765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6E7A24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157</w:t>
      </w:r>
      <w:r w:rsidRPr="006E7A24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6E7A24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36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drawing>
          <wp:inline distT="0" distB="0" distL="0" distR="0">
            <wp:extent cx="5838825" cy="28098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6E7A24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158</w:t>
      </w:r>
      <w:r w:rsidRPr="006E7A24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6E7A24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37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22202D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lastRenderedPageBreak/>
        <w:drawing>
          <wp:inline distT="0" distB="0" distL="0" distR="0">
            <wp:extent cx="5848350" cy="27813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6E7A24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159</w:t>
      </w:r>
      <w:r w:rsidRPr="006E7A24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6E7A24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38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drawing>
          <wp:inline distT="0" distB="0" distL="0" distR="0">
            <wp:extent cx="5848350" cy="29241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>
        <w:rPr>
          <w:rFonts w:cs="Times New Roman"/>
          <w:bCs/>
          <w:sz w:val="20"/>
          <w:szCs w:val="20"/>
          <w:lang w:val="en-US" w:eastAsia="es-ES"/>
        </w:rPr>
        <w:t>Figure S160</w:t>
      </w:r>
      <w:r w:rsidRPr="006E7A24">
        <w:rPr>
          <w:rFonts w:cs="Times New Roman"/>
          <w:bCs/>
          <w:sz w:val="20"/>
          <w:szCs w:val="20"/>
          <w:lang w:val="en-US" w:eastAsia="es-ES"/>
        </w:rPr>
        <w:t>.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 xml:space="preserve"> </w:t>
      </w:r>
      <w:r w:rsidRPr="0022202D">
        <w:rPr>
          <w:rFonts w:cs="Times New Roman"/>
          <w:sz w:val="20"/>
          <w:szCs w:val="20"/>
          <w:lang w:val="en-US" w:eastAsia="es-ES"/>
        </w:rPr>
        <w:t xml:space="preserve">Overview of the Hill plots for compound 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>3</w:t>
      </w:r>
      <w:r>
        <w:rPr>
          <w:rFonts w:cs="Times New Roman"/>
          <w:b/>
          <w:bCs/>
          <w:sz w:val="20"/>
          <w:szCs w:val="20"/>
          <w:lang w:val="en-US" w:eastAsia="es-ES"/>
        </w:rPr>
        <w:t>9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lastRenderedPageBreak/>
        <w:drawing>
          <wp:inline distT="0" distB="0" distL="0" distR="0">
            <wp:extent cx="5848350" cy="27717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6E7A24">
        <w:rPr>
          <w:rFonts w:cs="Times New Roman"/>
          <w:bCs/>
          <w:sz w:val="20"/>
          <w:szCs w:val="20"/>
          <w:lang w:val="en-US" w:eastAsia="es-ES"/>
        </w:rPr>
        <w:t>Figure S</w:t>
      </w:r>
      <w:r>
        <w:rPr>
          <w:rFonts w:cs="Times New Roman"/>
          <w:bCs/>
          <w:sz w:val="20"/>
          <w:szCs w:val="20"/>
          <w:lang w:val="en-US" w:eastAsia="es-ES"/>
        </w:rPr>
        <w:t>161</w:t>
      </w:r>
      <w:r w:rsidRPr="006E7A24">
        <w:rPr>
          <w:rFonts w:cs="Times New Roman"/>
          <w:bCs/>
          <w:sz w:val="20"/>
          <w:szCs w:val="20"/>
          <w:lang w:val="en-US" w:eastAsia="es-ES"/>
        </w:rPr>
        <w:t>.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 xml:space="preserve"> </w:t>
      </w:r>
      <w:r w:rsidRPr="0022202D">
        <w:rPr>
          <w:rFonts w:cs="Times New Roman"/>
          <w:sz w:val="20"/>
          <w:szCs w:val="20"/>
          <w:lang w:val="en-US" w:eastAsia="es-ES"/>
        </w:rPr>
        <w:t xml:space="preserve">Overview of the Hill plots for compound </w:t>
      </w:r>
      <w:r>
        <w:rPr>
          <w:rFonts w:cs="Times New Roman"/>
          <w:b/>
          <w:bCs/>
          <w:sz w:val="20"/>
          <w:szCs w:val="20"/>
          <w:lang w:val="en-US" w:eastAsia="es-ES"/>
        </w:rPr>
        <w:t>40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drawing>
          <wp:inline distT="0" distB="0" distL="0" distR="0">
            <wp:extent cx="5848350" cy="28479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>
        <w:rPr>
          <w:rFonts w:cs="Times New Roman"/>
          <w:bCs/>
          <w:sz w:val="20"/>
          <w:szCs w:val="20"/>
          <w:lang w:val="en-US" w:eastAsia="es-ES"/>
        </w:rPr>
        <w:t>Figure S162</w:t>
      </w:r>
      <w:r w:rsidRPr="006E7A24">
        <w:rPr>
          <w:rFonts w:cs="Times New Roman"/>
          <w:bCs/>
          <w:sz w:val="20"/>
          <w:szCs w:val="20"/>
          <w:lang w:val="en-US" w:eastAsia="es-ES"/>
        </w:rPr>
        <w:t>.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 xml:space="preserve"> </w:t>
      </w:r>
      <w:r w:rsidRPr="0022202D">
        <w:rPr>
          <w:rFonts w:cs="Times New Roman"/>
          <w:sz w:val="20"/>
          <w:szCs w:val="20"/>
          <w:lang w:val="en-US" w:eastAsia="es-ES"/>
        </w:rPr>
        <w:t xml:space="preserve">Overview of the Hill plots for compound </w:t>
      </w:r>
      <w:r>
        <w:rPr>
          <w:rFonts w:cs="Times New Roman"/>
          <w:b/>
          <w:bCs/>
          <w:sz w:val="20"/>
          <w:szCs w:val="20"/>
          <w:lang w:val="en-US" w:eastAsia="es-ES"/>
        </w:rPr>
        <w:t>41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lastRenderedPageBreak/>
        <w:drawing>
          <wp:inline distT="0" distB="0" distL="0" distR="0">
            <wp:extent cx="5838825" cy="29241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>
        <w:rPr>
          <w:rFonts w:cs="Times New Roman"/>
          <w:bCs/>
          <w:sz w:val="20"/>
          <w:szCs w:val="20"/>
          <w:lang w:val="en-US" w:eastAsia="es-ES"/>
        </w:rPr>
        <w:t>Figure S163</w:t>
      </w:r>
      <w:r w:rsidRPr="006E7A24">
        <w:rPr>
          <w:rFonts w:cs="Times New Roman"/>
          <w:bCs/>
          <w:sz w:val="20"/>
          <w:szCs w:val="20"/>
          <w:lang w:val="en-US" w:eastAsia="es-ES"/>
        </w:rPr>
        <w:t xml:space="preserve">. </w:t>
      </w:r>
      <w:r w:rsidRPr="006E7A24">
        <w:rPr>
          <w:rFonts w:cs="Times New Roman"/>
          <w:sz w:val="20"/>
          <w:szCs w:val="20"/>
          <w:lang w:val="en-US" w:eastAsia="es-ES"/>
        </w:rPr>
        <w:t>Overview</w:t>
      </w:r>
      <w:r w:rsidRPr="0022202D">
        <w:rPr>
          <w:rFonts w:cs="Times New Roman"/>
          <w:sz w:val="20"/>
          <w:szCs w:val="20"/>
          <w:lang w:val="en-US" w:eastAsia="es-ES"/>
        </w:rPr>
        <w:t xml:space="preserve"> of the Hill plots for compound </w:t>
      </w:r>
      <w:r>
        <w:rPr>
          <w:rFonts w:cs="Times New Roman"/>
          <w:b/>
          <w:bCs/>
          <w:sz w:val="20"/>
          <w:szCs w:val="20"/>
          <w:lang w:val="en-US" w:eastAsia="es-ES"/>
        </w:rPr>
        <w:t>42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Pr="001E125E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Default="004C37E1" w:rsidP="004C37E1">
      <w:pPr>
        <w:tabs>
          <w:tab w:val="left" w:pos="284"/>
        </w:tabs>
        <w:adjustRightInd w:val="0"/>
        <w:spacing w:after="0" w:line="240" w:lineRule="auto"/>
        <w:jc w:val="both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drawing>
          <wp:inline distT="0" distB="0" distL="0" distR="0">
            <wp:extent cx="5838825" cy="28289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7E1" w:rsidRPr="0022202D" w:rsidRDefault="004C37E1" w:rsidP="004C37E1">
      <w:pPr>
        <w:tabs>
          <w:tab w:val="left" w:pos="284"/>
        </w:tabs>
        <w:adjustRightInd w:val="0"/>
        <w:spacing w:after="0" w:line="312" w:lineRule="auto"/>
        <w:jc w:val="both"/>
        <w:rPr>
          <w:rFonts w:cs="Times New Roman"/>
          <w:sz w:val="20"/>
          <w:szCs w:val="20"/>
          <w:lang w:val="en-US" w:eastAsia="es-ES"/>
        </w:rPr>
      </w:pPr>
      <w:r w:rsidRPr="006E7A24">
        <w:rPr>
          <w:rFonts w:cs="Times New Roman"/>
          <w:bCs/>
          <w:sz w:val="20"/>
          <w:szCs w:val="20"/>
          <w:lang w:val="en-US" w:eastAsia="es-ES"/>
        </w:rPr>
        <w:t>Figure S16</w:t>
      </w:r>
      <w:r>
        <w:rPr>
          <w:rFonts w:cs="Times New Roman"/>
          <w:bCs/>
          <w:sz w:val="20"/>
          <w:szCs w:val="20"/>
          <w:lang w:val="en-US" w:eastAsia="es-ES"/>
        </w:rPr>
        <w:t>4</w:t>
      </w:r>
      <w:r w:rsidRPr="006E7A24">
        <w:rPr>
          <w:rFonts w:cs="Times New Roman"/>
          <w:bCs/>
          <w:sz w:val="20"/>
          <w:szCs w:val="20"/>
          <w:lang w:val="en-US" w:eastAsia="es-ES"/>
        </w:rPr>
        <w:t>.</w:t>
      </w:r>
      <w:r w:rsidRPr="0022202D">
        <w:rPr>
          <w:rFonts w:cs="Times New Roman"/>
          <w:b/>
          <w:bCs/>
          <w:sz w:val="20"/>
          <w:szCs w:val="20"/>
          <w:lang w:val="en-US" w:eastAsia="es-ES"/>
        </w:rPr>
        <w:t xml:space="preserve"> </w:t>
      </w:r>
      <w:r w:rsidRPr="0022202D">
        <w:rPr>
          <w:rFonts w:cs="Times New Roman"/>
          <w:sz w:val="20"/>
          <w:szCs w:val="20"/>
          <w:lang w:val="en-US" w:eastAsia="es-ES"/>
        </w:rPr>
        <w:t xml:space="preserve">Overview of the Hill plots for compound </w:t>
      </w:r>
      <w:r>
        <w:rPr>
          <w:rFonts w:cs="Times New Roman"/>
          <w:b/>
          <w:bCs/>
          <w:sz w:val="20"/>
          <w:szCs w:val="20"/>
          <w:lang w:val="en-US" w:eastAsia="es-ES"/>
        </w:rPr>
        <w:t>43</w:t>
      </w:r>
      <w:r w:rsidRPr="0022202D">
        <w:rPr>
          <w:rFonts w:cs="Times New Roman"/>
          <w:sz w:val="20"/>
          <w:szCs w:val="20"/>
          <w:lang w:val="en-US" w:eastAsia="es-ES"/>
        </w:rPr>
        <w:t>. For experimental details, see main text.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Pr="00D32EF9" w:rsidRDefault="004C37E1" w:rsidP="004C37E1">
      <w:pPr>
        <w:numPr>
          <w:ilvl w:val="1"/>
          <w:numId w:val="1"/>
        </w:numPr>
        <w:adjustRightInd w:val="0"/>
        <w:spacing w:after="0" w:line="312" w:lineRule="auto"/>
        <w:jc w:val="both"/>
        <w:rPr>
          <w:rFonts w:cs="Times New Roman"/>
          <w:b/>
          <w:color w:val="000000"/>
          <w:lang w:val="en-US" w:eastAsia="es-ES"/>
        </w:rPr>
      </w:pPr>
      <w:r>
        <w:rPr>
          <w:rFonts w:cs="Times New Roman"/>
          <w:bCs/>
          <w:color w:val="000000"/>
          <w:lang w:val="en-US" w:eastAsia="es-ES"/>
        </w:rPr>
        <w:br w:type="page"/>
      </w:r>
      <w:proofErr w:type="spellStart"/>
      <w:r w:rsidRPr="00D32EF9">
        <w:rPr>
          <w:rFonts w:cs="Times New Roman"/>
          <w:b/>
          <w:color w:val="000000"/>
          <w:sz w:val="24"/>
          <w:szCs w:val="24"/>
          <w:lang w:val="en-US" w:eastAsia="es-ES"/>
        </w:rPr>
        <w:lastRenderedPageBreak/>
        <w:t>K</w:t>
      </w:r>
      <w:r w:rsidRPr="00D32EF9">
        <w:rPr>
          <w:rFonts w:cs="Times New Roman"/>
          <w:b/>
          <w:color w:val="000000"/>
          <w:sz w:val="24"/>
          <w:szCs w:val="24"/>
          <w:vertAlign w:val="subscript"/>
          <w:lang w:val="en-US" w:eastAsia="es-ES"/>
        </w:rPr>
        <w:t>ini</w:t>
      </w:r>
      <w:proofErr w:type="spellEnd"/>
      <w:r w:rsidRPr="00D32EF9">
        <w:rPr>
          <w:rFonts w:cs="Times New Roman"/>
          <w:b/>
          <w:color w:val="000000"/>
          <w:sz w:val="24"/>
          <w:szCs w:val="24"/>
          <w:lang w:val="en-US" w:eastAsia="es-ES"/>
        </w:rPr>
        <w:t xml:space="preserve"> EC</w:t>
      </w:r>
      <w:r w:rsidRPr="00D32EF9">
        <w:rPr>
          <w:rFonts w:cs="Times New Roman"/>
          <w:b/>
          <w:color w:val="000000"/>
          <w:sz w:val="24"/>
          <w:szCs w:val="24"/>
          <w:vertAlign w:val="subscript"/>
          <w:lang w:val="en-US" w:eastAsia="es-ES"/>
        </w:rPr>
        <w:t>50</w:t>
      </w:r>
      <w:r w:rsidRPr="00D32EF9">
        <w:rPr>
          <w:rFonts w:cs="Times New Roman"/>
          <w:b/>
          <w:color w:val="000000"/>
          <w:sz w:val="24"/>
          <w:szCs w:val="24"/>
          <w:lang w:val="en-US" w:eastAsia="es-ES"/>
        </w:rPr>
        <w:t xml:space="preserve"> correlation for EC</w:t>
      </w:r>
      <w:r w:rsidRPr="00D32EF9">
        <w:rPr>
          <w:rFonts w:cs="Times New Roman"/>
          <w:b/>
          <w:color w:val="000000"/>
          <w:sz w:val="24"/>
          <w:szCs w:val="24"/>
          <w:vertAlign w:val="subscript"/>
          <w:lang w:val="en-US" w:eastAsia="es-ES"/>
        </w:rPr>
        <w:t>50</w:t>
      </w:r>
      <w:r w:rsidRPr="00D32EF9">
        <w:rPr>
          <w:rFonts w:cs="Times New Roman"/>
          <w:b/>
          <w:color w:val="000000"/>
          <w:sz w:val="24"/>
          <w:szCs w:val="24"/>
          <w:lang w:val="en-US" w:eastAsia="es-ES"/>
        </w:rPr>
        <w:t xml:space="preserve"> Prediction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  <w:r>
        <w:rPr>
          <w:noProof/>
          <w:lang w:val="en-GB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228600</wp:posOffset>
            </wp:positionV>
            <wp:extent cx="5829300" cy="4351655"/>
            <wp:effectExtent l="0" t="0" r="0" b="0"/>
            <wp:wrapSquare wrapText="bothSides"/>
            <wp:docPr id="87" name="Picture 87" descr="kiniec50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niec50plot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Default="004C37E1" w:rsidP="004C37E1">
      <w:pPr>
        <w:adjustRightInd w:val="0"/>
        <w:spacing w:after="0" w:line="312" w:lineRule="auto"/>
        <w:jc w:val="center"/>
        <w:rPr>
          <w:rFonts w:cs="Times New Roman"/>
          <w:bCs/>
          <w:color w:val="000000"/>
          <w:sz w:val="20"/>
          <w:szCs w:val="20"/>
          <w:lang w:val="en-US" w:eastAsia="es-ES"/>
        </w:rPr>
      </w:pPr>
      <w:r w:rsidRPr="00673403">
        <w:rPr>
          <w:rFonts w:cs="Times New Roman"/>
          <w:bCs/>
          <w:color w:val="000000"/>
          <w:sz w:val="20"/>
          <w:szCs w:val="20"/>
          <w:lang w:val="en-US" w:eastAsia="es-ES"/>
        </w:rPr>
        <w:t xml:space="preserve">Figure S165 </w:t>
      </w:r>
      <w:r>
        <w:rPr>
          <w:rFonts w:cs="Times New Roman"/>
          <w:bCs/>
          <w:color w:val="000000"/>
          <w:sz w:val="20"/>
          <w:szCs w:val="20"/>
          <w:lang w:val="en-US" w:eastAsia="es-ES"/>
        </w:rPr>
        <w:t xml:space="preserve">–Correlation Plot for </w:t>
      </w:r>
      <w:proofErr w:type="gramStart"/>
      <w:r>
        <w:rPr>
          <w:rFonts w:cs="Times New Roman"/>
          <w:bCs/>
          <w:color w:val="000000"/>
          <w:sz w:val="20"/>
          <w:szCs w:val="20"/>
          <w:lang w:val="en-US" w:eastAsia="es-ES"/>
        </w:rPr>
        <w:t>Log(</w:t>
      </w:r>
      <w:proofErr w:type="gramEnd"/>
      <w:r>
        <w:rPr>
          <w:rFonts w:cs="Times New Roman"/>
          <w:bCs/>
          <w:color w:val="000000"/>
          <w:sz w:val="20"/>
          <w:szCs w:val="20"/>
          <w:lang w:val="en-US" w:eastAsia="es-ES"/>
        </w:rPr>
        <w:t>1/</w:t>
      </w:r>
      <w:proofErr w:type="spellStart"/>
      <w:r>
        <w:rPr>
          <w:rFonts w:cs="Times New Roman"/>
          <w:bCs/>
          <w:color w:val="000000"/>
          <w:sz w:val="20"/>
          <w:szCs w:val="20"/>
          <w:lang w:val="en-US" w:eastAsia="es-ES"/>
        </w:rPr>
        <w:t>k</w:t>
      </w:r>
      <w:r w:rsidRPr="00461AAE">
        <w:rPr>
          <w:rFonts w:cs="Times New Roman"/>
          <w:bCs/>
          <w:color w:val="000000"/>
          <w:sz w:val="20"/>
          <w:szCs w:val="20"/>
          <w:vertAlign w:val="subscript"/>
          <w:lang w:val="en-US" w:eastAsia="es-ES"/>
        </w:rPr>
        <w:t>ini</w:t>
      </w:r>
      <w:proofErr w:type="spellEnd"/>
      <w:r>
        <w:rPr>
          <w:rFonts w:cs="Times New Roman"/>
          <w:bCs/>
          <w:color w:val="000000"/>
          <w:sz w:val="20"/>
          <w:szCs w:val="20"/>
          <w:lang w:val="en-US" w:eastAsia="es-ES"/>
        </w:rPr>
        <w:t>) and Log(1/EC</w:t>
      </w:r>
      <w:r w:rsidRPr="00461AAE">
        <w:rPr>
          <w:rFonts w:cs="Times New Roman"/>
          <w:bCs/>
          <w:color w:val="000000"/>
          <w:sz w:val="20"/>
          <w:szCs w:val="20"/>
          <w:vertAlign w:val="subscript"/>
          <w:lang w:val="en-US" w:eastAsia="es-ES"/>
        </w:rPr>
        <w:t>50</w:t>
      </w:r>
      <w:r>
        <w:rPr>
          <w:rFonts w:cs="Times New Roman"/>
          <w:bCs/>
          <w:color w:val="000000"/>
          <w:sz w:val="20"/>
          <w:szCs w:val="20"/>
          <w:lang w:val="en-US" w:eastAsia="es-ES"/>
        </w:rPr>
        <w:t xml:space="preserve">) excluding compound </w:t>
      </w:r>
      <w:r w:rsidRPr="00F466B3">
        <w:rPr>
          <w:rFonts w:cs="Times New Roman"/>
          <w:b/>
          <w:bCs/>
          <w:color w:val="000000"/>
          <w:sz w:val="20"/>
          <w:szCs w:val="20"/>
          <w:lang w:val="en-US" w:eastAsia="es-ES"/>
        </w:rPr>
        <w:t>43</w:t>
      </w:r>
      <w:r>
        <w:rPr>
          <w:rFonts w:cs="Times New Roman"/>
          <w:bCs/>
          <w:color w:val="000000"/>
          <w:sz w:val="20"/>
          <w:szCs w:val="20"/>
          <w:lang w:val="en-US" w:eastAsia="es-ES"/>
        </w:rPr>
        <w:t xml:space="preserve">. </w:t>
      </w:r>
    </w:p>
    <w:p w:rsidR="004C37E1" w:rsidRPr="00673403" w:rsidRDefault="004C37E1" w:rsidP="004C37E1">
      <w:pPr>
        <w:adjustRightInd w:val="0"/>
        <w:spacing w:after="0" w:line="312" w:lineRule="auto"/>
        <w:jc w:val="center"/>
        <w:rPr>
          <w:rFonts w:cs="Times New Roman"/>
          <w:bCs/>
          <w:color w:val="000000"/>
          <w:sz w:val="20"/>
          <w:szCs w:val="20"/>
          <w:lang w:val="en-US" w:eastAsia="es-ES"/>
        </w:rPr>
      </w:pPr>
      <w:r>
        <w:rPr>
          <w:rFonts w:cs="Times New Roman"/>
          <w:bCs/>
          <w:color w:val="000000"/>
          <w:sz w:val="20"/>
          <w:szCs w:val="20"/>
          <w:lang w:val="en-US" w:eastAsia="es-ES"/>
        </w:rPr>
        <w:t>Used in the prediction of EC</w:t>
      </w:r>
      <w:r w:rsidRPr="00461AAE">
        <w:rPr>
          <w:rFonts w:cs="Times New Roman"/>
          <w:bCs/>
          <w:color w:val="000000"/>
          <w:sz w:val="20"/>
          <w:szCs w:val="20"/>
          <w:vertAlign w:val="subscript"/>
          <w:lang w:val="en-US" w:eastAsia="es-ES"/>
        </w:rPr>
        <w:t>50</w:t>
      </w:r>
      <w:r>
        <w:rPr>
          <w:rFonts w:cs="Times New Roman"/>
          <w:bCs/>
          <w:color w:val="000000"/>
          <w:sz w:val="20"/>
          <w:szCs w:val="20"/>
          <w:lang w:val="en-US" w:eastAsia="es-ES"/>
        </w:rPr>
        <w:t xml:space="preserve"> for compound </w:t>
      </w:r>
      <w:r w:rsidRPr="00F466B3">
        <w:rPr>
          <w:rFonts w:cs="Times New Roman"/>
          <w:b/>
          <w:bCs/>
          <w:color w:val="000000"/>
          <w:sz w:val="20"/>
          <w:szCs w:val="20"/>
          <w:lang w:val="en-US" w:eastAsia="es-ES"/>
        </w:rPr>
        <w:t>43</w:t>
      </w: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4C37E1" w:rsidRDefault="004C37E1" w:rsidP="004C37E1">
      <w:pPr>
        <w:adjustRightInd w:val="0"/>
        <w:spacing w:after="0" w:line="312" w:lineRule="auto"/>
        <w:jc w:val="both"/>
        <w:rPr>
          <w:rFonts w:cs="Times New Roman"/>
          <w:bCs/>
          <w:color w:val="000000"/>
          <w:lang w:val="en-US" w:eastAsia="es-ES"/>
        </w:rPr>
      </w:pPr>
    </w:p>
    <w:p w:rsidR="00DA5380" w:rsidRPr="004C37E1" w:rsidRDefault="004C37E1" w:rsidP="008E7932">
      <w:pPr>
        <w:rPr>
          <w:lang w:val="en-US"/>
        </w:rPr>
      </w:pPr>
    </w:p>
    <w:sectPr w:rsidR="00DA5380" w:rsidRPr="004C37E1" w:rsidSect="00D16B3C">
      <w:pgSz w:w="11906" w:h="16838"/>
      <w:pgMar w:top="1418" w:right="992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1B58EB"/>
    <w:multiLevelType w:val="multilevel"/>
    <w:tmpl w:val="70A268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B3C"/>
    <w:rsid w:val="004C37E1"/>
    <w:rsid w:val="008E7932"/>
    <w:rsid w:val="00AE72A0"/>
    <w:rsid w:val="00D16B3C"/>
    <w:rsid w:val="00FD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B3C"/>
    <w:pPr>
      <w:autoSpaceDE w:val="0"/>
      <w:autoSpaceDN w:val="0"/>
    </w:pPr>
    <w:rPr>
      <w:rFonts w:ascii="Calibri" w:eastAsia="Times New Roman" w:hAnsi="Calibri" w:cs="Calibri"/>
      <w:lang w:val="es-ES" w:eastAsia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B3C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B3C"/>
    <w:pPr>
      <w:autoSpaceDE w:val="0"/>
      <w:autoSpaceDN w:val="0"/>
    </w:pPr>
    <w:rPr>
      <w:rFonts w:ascii="Calibri" w:eastAsia="Times New Roman" w:hAnsi="Calibri" w:cs="Calibri"/>
      <w:lang w:val="es-ES" w:eastAsia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B3C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828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5542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Knight</dc:creator>
  <cp:lastModifiedBy>Nicola Knight</cp:lastModifiedBy>
  <cp:revision>3</cp:revision>
  <dcterms:created xsi:type="dcterms:W3CDTF">2015-11-19T14:54:00Z</dcterms:created>
  <dcterms:modified xsi:type="dcterms:W3CDTF">2015-11-19T14:55:00Z</dcterms:modified>
</cp:coreProperties>
</file>