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43" w:rsidRPr="00560436" w:rsidRDefault="00CA4A43" w:rsidP="000A4037">
      <w:pPr>
        <w:rPr>
          <w:b/>
          <w:bCs/>
          <w:sz w:val="28"/>
          <w:szCs w:val="28"/>
        </w:rPr>
      </w:pPr>
      <w:r w:rsidRPr="00560436">
        <w:rPr>
          <w:b/>
          <w:bCs/>
          <w:sz w:val="28"/>
          <w:szCs w:val="28"/>
        </w:rPr>
        <w:t>Appendix C</w:t>
      </w:r>
    </w:p>
    <w:p w:rsidR="00CA4A43" w:rsidRDefault="00CA4A43" w:rsidP="007C0A8E">
      <w:pPr>
        <w:rPr>
          <w:b/>
          <w:bCs/>
        </w:rPr>
      </w:pPr>
      <w:r>
        <w:rPr>
          <w:b/>
          <w:bCs/>
        </w:rPr>
        <w:t>Foreground system and avoided production data sources and data quality</w:t>
      </w:r>
    </w:p>
    <w:p w:rsidR="00CA4A43" w:rsidRDefault="00CA4A43" w:rsidP="007C0A8E">
      <w:pPr>
        <w:rPr>
          <w:b/>
          <w:bCs/>
        </w:rPr>
      </w:pPr>
    </w:p>
    <w:p w:rsidR="00CA4A43" w:rsidRDefault="00CA4A43" w:rsidP="007C0A8E">
      <w:r>
        <w:t>An o</w:t>
      </w:r>
      <w:r w:rsidRPr="007C0A8E">
        <w:t>verview of foreground system process and avoided production data used and, for each, data source, the results of a data quality assessment</w:t>
      </w:r>
      <w:r>
        <w:t xml:space="preserve"> are presented in Tables C1 and C2, respectively.</w:t>
      </w:r>
    </w:p>
    <w:p w:rsidR="00CA4A43" w:rsidRPr="007C0A8E" w:rsidRDefault="00CA4A43" w:rsidP="007C0A8E"/>
    <w:p w:rsidR="00CA4A43" w:rsidRPr="005774DC" w:rsidRDefault="00CA4A43" w:rsidP="00F519A5">
      <w:pPr>
        <w:spacing w:line="276" w:lineRule="auto"/>
        <w:rPr>
          <w:b/>
          <w:bCs/>
          <w:sz w:val="20"/>
          <w:szCs w:val="20"/>
        </w:rPr>
      </w:pPr>
      <w:r w:rsidRPr="005774DC">
        <w:rPr>
          <w:b/>
          <w:bCs/>
          <w:sz w:val="20"/>
          <w:szCs w:val="20"/>
        </w:rPr>
        <w:t>Table C1</w:t>
      </w:r>
    </w:p>
    <w:p w:rsidR="00CA4A43" w:rsidRPr="005774DC" w:rsidRDefault="00CA4A43" w:rsidP="00F519A5">
      <w:pPr>
        <w:spacing w:line="276" w:lineRule="auto"/>
        <w:rPr>
          <w:sz w:val="20"/>
          <w:szCs w:val="20"/>
        </w:rPr>
      </w:pPr>
      <w:r w:rsidRPr="005774DC">
        <w:rPr>
          <w:sz w:val="20"/>
          <w:szCs w:val="20"/>
        </w:rPr>
        <w:t>Recycled material foreground system process data used and data quality 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4678"/>
        <w:gridCol w:w="2200"/>
        <w:gridCol w:w="1503"/>
        <w:gridCol w:w="1139"/>
        <w:gridCol w:w="1319"/>
      </w:tblGrid>
      <w:tr w:rsidR="00CA4A43" w:rsidRPr="005774DC" w:rsidTr="005774DC">
        <w:trPr>
          <w:cantSplit/>
          <w:tblHeader/>
        </w:trPr>
        <w:tc>
          <w:tcPr>
            <w:tcW w:w="1418" w:type="dxa"/>
            <w:tcBorders>
              <w:top w:val="single" w:sz="4" w:space="0" w:color="auto"/>
              <w:bottom w:val="single" w:sz="4" w:space="0" w:color="auto"/>
            </w:tcBorders>
            <w:shd w:val="clear" w:color="auto" w:fill="auto"/>
            <w:vAlign w:val="bottom"/>
          </w:tcPr>
          <w:p w:rsidR="00CA4A43" w:rsidRPr="005774DC" w:rsidRDefault="00CA4A43" w:rsidP="00F519A5">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Waste material group</w:t>
            </w:r>
          </w:p>
        </w:tc>
        <w:tc>
          <w:tcPr>
            <w:tcW w:w="1701" w:type="dxa"/>
            <w:tcBorders>
              <w:top w:val="single" w:sz="4" w:space="0" w:color="auto"/>
              <w:bottom w:val="single" w:sz="4" w:space="0" w:color="auto"/>
            </w:tcBorders>
            <w:shd w:val="clear" w:color="auto" w:fill="auto"/>
            <w:vAlign w:val="bottom"/>
          </w:tcPr>
          <w:p w:rsidR="00CA4A43" w:rsidRPr="005774DC" w:rsidRDefault="00CA4A43" w:rsidP="00F519A5">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Waste material type</w:t>
            </w:r>
          </w:p>
        </w:tc>
        <w:tc>
          <w:tcPr>
            <w:tcW w:w="4678" w:type="dxa"/>
            <w:tcBorders>
              <w:top w:val="single" w:sz="4" w:space="0" w:color="auto"/>
              <w:bottom w:val="single" w:sz="4" w:space="0" w:color="auto"/>
            </w:tcBorders>
            <w:vAlign w:val="bottom"/>
          </w:tcPr>
          <w:p w:rsidR="00CA4A43" w:rsidRPr="005774DC" w:rsidRDefault="00CA4A43" w:rsidP="00F519A5">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Name of dataset used</w:t>
            </w:r>
          </w:p>
        </w:tc>
        <w:tc>
          <w:tcPr>
            <w:tcW w:w="2200" w:type="dxa"/>
            <w:tcBorders>
              <w:top w:val="single" w:sz="4" w:space="0" w:color="auto"/>
              <w:bottom w:val="single" w:sz="4" w:space="0" w:color="auto"/>
            </w:tcBorders>
            <w:shd w:val="clear" w:color="auto" w:fill="auto"/>
            <w:vAlign w:val="bottom"/>
          </w:tcPr>
          <w:p w:rsidR="00CA4A43" w:rsidRPr="005774DC" w:rsidRDefault="00CA4A43" w:rsidP="00F519A5">
            <w:pPr>
              <w:spacing w:line="276" w:lineRule="auto"/>
              <w:jc w:val="left"/>
              <w:rPr>
                <w:rFonts w:asciiTheme="majorBidi" w:hAnsiTheme="majorBidi" w:cstheme="majorBidi"/>
                <w:b/>
                <w:bCs/>
                <w:sz w:val="20"/>
                <w:szCs w:val="20"/>
                <w:lang w:eastAsia="ru-RU"/>
              </w:rPr>
            </w:pPr>
            <w:r w:rsidRPr="005774DC">
              <w:rPr>
                <w:rFonts w:asciiTheme="majorBidi" w:hAnsiTheme="majorBidi" w:cstheme="majorBidi"/>
                <w:sz w:val="20"/>
                <w:szCs w:val="20"/>
                <w:lang w:eastAsia="ru-RU"/>
              </w:rPr>
              <w:t>Data source</w:t>
            </w:r>
          </w:p>
        </w:tc>
        <w:tc>
          <w:tcPr>
            <w:tcW w:w="1503" w:type="dxa"/>
            <w:tcBorders>
              <w:top w:val="single" w:sz="4" w:space="0" w:color="auto"/>
              <w:bottom w:val="single" w:sz="4" w:space="0" w:color="auto"/>
            </w:tcBorders>
            <w:shd w:val="clear" w:color="auto" w:fill="auto"/>
            <w:vAlign w:val="bottom"/>
          </w:tcPr>
          <w:p w:rsidR="00CA4A43" w:rsidRPr="005774DC" w:rsidRDefault="00CA4A43" w:rsidP="00F519A5">
            <w:pPr>
              <w:spacing w:line="276" w:lineRule="auto"/>
              <w:jc w:val="left"/>
              <w:rPr>
                <w:rFonts w:asciiTheme="majorBidi" w:hAnsiTheme="majorBidi" w:cstheme="majorBidi"/>
                <w:b/>
                <w:bCs/>
                <w:sz w:val="20"/>
                <w:szCs w:val="20"/>
                <w:lang w:eastAsia="ru-RU"/>
              </w:rPr>
            </w:pPr>
            <w:r w:rsidRPr="005774DC">
              <w:rPr>
                <w:rFonts w:asciiTheme="majorBidi" w:hAnsiTheme="majorBidi" w:cstheme="majorBidi"/>
                <w:sz w:val="20"/>
                <w:szCs w:val="20"/>
                <w:lang w:eastAsia="ru-RU"/>
              </w:rPr>
              <w:t>Geographic coverage</w:t>
            </w:r>
          </w:p>
        </w:tc>
        <w:tc>
          <w:tcPr>
            <w:tcW w:w="1139" w:type="dxa"/>
            <w:tcBorders>
              <w:top w:val="single" w:sz="4" w:space="0" w:color="auto"/>
              <w:bottom w:val="single" w:sz="4" w:space="0" w:color="auto"/>
            </w:tcBorders>
            <w:shd w:val="clear" w:color="auto" w:fill="auto"/>
            <w:vAlign w:val="bottom"/>
          </w:tcPr>
          <w:p w:rsidR="00CA4A43" w:rsidRPr="005774DC" w:rsidRDefault="00CA4A43" w:rsidP="00F519A5">
            <w:pPr>
              <w:spacing w:line="276" w:lineRule="auto"/>
              <w:jc w:val="left"/>
              <w:rPr>
                <w:rFonts w:asciiTheme="majorBidi" w:hAnsiTheme="majorBidi" w:cstheme="majorBidi"/>
                <w:b/>
                <w:bCs/>
                <w:sz w:val="20"/>
                <w:szCs w:val="20"/>
                <w:lang w:eastAsia="ru-RU"/>
              </w:rPr>
            </w:pPr>
            <w:r w:rsidRPr="005774DC">
              <w:rPr>
                <w:rFonts w:asciiTheme="majorBidi" w:hAnsiTheme="majorBidi" w:cstheme="majorBidi"/>
                <w:sz w:val="20"/>
                <w:szCs w:val="20"/>
                <w:lang w:eastAsia="ru-RU"/>
              </w:rPr>
              <w:t>Reference year</w:t>
            </w:r>
          </w:p>
        </w:tc>
        <w:tc>
          <w:tcPr>
            <w:tcW w:w="0" w:type="auto"/>
            <w:tcBorders>
              <w:top w:val="single" w:sz="4" w:space="0" w:color="auto"/>
              <w:bottom w:val="single" w:sz="4" w:space="0" w:color="auto"/>
            </w:tcBorders>
            <w:vAlign w:val="bottom"/>
          </w:tcPr>
          <w:p w:rsidR="00CA4A43" w:rsidRPr="005774DC" w:rsidRDefault="00CA4A43" w:rsidP="00F519A5">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Data quality rating</w:t>
            </w:r>
          </w:p>
        </w:tc>
      </w:tr>
      <w:tr w:rsidR="00CA4A43" w:rsidRPr="005774DC" w:rsidTr="0090363A">
        <w:trPr>
          <w:cantSplit/>
        </w:trPr>
        <w:tc>
          <w:tcPr>
            <w:tcW w:w="1418" w:type="dxa"/>
            <w:vMerge w:val="restart"/>
            <w:tcBorders>
              <w:top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Glass</w:t>
            </w:r>
          </w:p>
        </w:tc>
        <w:tc>
          <w:tcPr>
            <w:tcW w:w="1701" w:type="dxa"/>
            <w:vMerge w:val="restart"/>
            <w:tcBorders>
              <w:top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Green glass</w:t>
            </w:r>
          </w:p>
        </w:tc>
        <w:tc>
          <w:tcPr>
            <w:tcW w:w="4678" w:type="dxa"/>
            <w:tcBorders>
              <w:top w:val="single" w:sz="4" w:space="0" w:color="auto"/>
            </w:tcBorders>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“Glass cullets, sorted, at sorting plant”</w:t>
            </w:r>
          </w:p>
        </w:tc>
        <w:tc>
          <w:tcPr>
            <w:tcW w:w="2200" w:type="dxa"/>
            <w:tcBorders>
              <w:top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tcBorders>
              <w:top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tcBorders>
              <w:top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1998</w:t>
            </w:r>
          </w:p>
        </w:tc>
        <w:tc>
          <w:tcPr>
            <w:tcW w:w="0" w:type="auto"/>
            <w:tcBorders>
              <w:top w:val="single" w:sz="4" w:space="0" w:color="auto"/>
            </w:tcBorders>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Container glass manufacture using recycled glass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Enviros Consulting Ltd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Glass production using glass waste as cullet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Larsen</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2009</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Brown glass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“Glass cullets, sorted, at sorting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1998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Container glass manufacture using recycled glass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Enviros Consulting Ltd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Glass production using glass waste as cullet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Larsen</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2009</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Clear glass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“Glass cullets, sorted, at sorting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1998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Container glass manufacture using recycled glass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Enviros Consulting Ltd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Glass production using glass waste as cullet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Larsen</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2009</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glass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“Glass cullets, sorted, at sorting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1998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Container glass manufacture using recycled glass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Enviros Consulting Ltd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Glass production using glass waste as cullet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Larsen</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2009</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Paper &amp; card</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Paper</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“Paper, newsprint, DIP containing,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Card</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testliner,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wellenstoff,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Books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testliner,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wellenstoff,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paper &amp; card</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testliner,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wellenstoff,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Yellow pages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testliner,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“Corrugated board base paper, wellenstoff, at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Metal</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Steel cans</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Crude steel production, electric arc furnace</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Burchart-Korol (2013)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Poland</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Aluminium cans</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“Aluminium, secondary production”</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eastAsia="PMingLiU" w:hAnsiTheme="majorBidi" w:cstheme="majorBidi"/>
                <w:noProof/>
                <w:sz w:val="20"/>
                <w:szCs w:val="20"/>
                <w:lang w:eastAsia="zh-TW"/>
              </w:rPr>
              <w:t>Classen</w:t>
            </w:r>
            <w:r w:rsidRPr="00F77F0E">
              <w:rPr>
                <w:rFonts w:asciiTheme="majorBidi" w:eastAsia="PMingLiU" w:hAnsiTheme="majorBidi" w:cstheme="majorBidi"/>
                <w:i/>
                <w:noProof/>
                <w:sz w:val="20"/>
                <w:szCs w:val="20"/>
                <w:lang w:eastAsia="zh-TW"/>
              </w:rPr>
              <w:t xml:space="preserve"> et al.</w:t>
            </w:r>
            <w:r>
              <w:rPr>
                <w:rFonts w:asciiTheme="majorBidi" w:eastAsia="PMingLiU" w:hAnsiTheme="majorBidi" w:cstheme="majorBidi"/>
                <w:noProof/>
                <w:sz w:val="20"/>
                <w:szCs w:val="20"/>
                <w:lang w:eastAsia="zh-TW"/>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vertAlign w:val="superscript"/>
              </w:rPr>
            </w:pPr>
            <w:r w:rsidRPr="005774DC">
              <w:rPr>
                <w:rFonts w:asciiTheme="majorBidi" w:hAnsiTheme="majorBidi" w:cstheme="majorBidi"/>
                <w:sz w:val="20"/>
                <w:szCs w:val="20"/>
              </w:rPr>
              <w:t>Mixed cans*</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Other scrap metal*</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Aluminium foil</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“Aluminium, secondary production”</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eastAsia="PMingLiU" w:hAnsiTheme="majorBidi" w:cstheme="majorBidi"/>
                <w:noProof/>
                <w:sz w:val="20"/>
                <w:szCs w:val="20"/>
                <w:lang w:eastAsia="zh-TW"/>
              </w:rPr>
              <w:t>Classen</w:t>
            </w:r>
            <w:r w:rsidRPr="00F77F0E">
              <w:rPr>
                <w:rFonts w:asciiTheme="majorBidi" w:eastAsia="PMingLiU" w:hAnsiTheme="majorBidi" w:cstheme="majorBidi"/>
                <w:i/>
                <w:noProof/>
                <w:sz w:val="20"/>
                <w:szCs w:val="20"/>
                <w:lang w:eastAsia="zh-TW"/>
              </w:rPr>
              <w:t xml:space="preserve"> et al.</w:t>
            </w:r>
            <w:r>
              <w:rPr>
                <w:rFonts w:asciiTheme="majorBidi" w:eastAsia="PMingLiU" w:hAnsiTheme="majorBidi" w:cstheme="majorBidi"/>
                <w:noProof/>
                <w:sz w:val="20"/>
                <w:szCs w:val="20"/>
                <w:lang w:eastAsia="zh-TW"/>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Aerosols*</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Fire extinguishers*</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Gas bottles*</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Bicycles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0" w:type="auto"/>
          </w:tcPr>
          <w:p w:rsidR="00CA4A43" w:rsidRPr="005774DC" w:rsidRDefault="00CA4A43" w:rsidP="0090363A">
            <w:pPr>
              <w:spacing w:line="276" w:lineRule="auto"/>
              <w:jc w:val="left"/>
              <w:rPr>
                <w:rFonts w:asciiTheme="majorBidi" w:hAnsiTheme="majorBidi" w:cstheme="majorBidi"/>
                <w:sz w:val="20"/>
                <w:szCs w:val="20"/>
              </w:rPr>
            </w:pP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Plastic</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plastics</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Stadler plastic film separation &amp; Titech NIR sorting</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Shonfield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 (HDPE) recycling, Linpac"</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plastic bottles</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Stadler plastic film separation &amp; Titech NIR sorting</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Shonfield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 (HDPE) recycling, Linpac"</w:t>
            </w:r>
          </w:p>
        </w:tc>
        <w:tc>
          <w:tcPr>
            <w:tcW w:w="2200" w:type="dxa"/>
            <w:shd w:val="clear" w:color="auto" w:fill="auto"/>
          </w:tcPr>
          <w:p w:rsidR="00CA4A43" w:rsidRPr="005774DC" w:rsidRDefault="00CA4A43" w:rsidP="00806006">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 xml:space="preserve">EA </w:t>
            </w:r>
            <w:r>
              <w:rPr>
                <w:rFonts w:asciiTheme="majorBidi" w:hAnsiTheme="majorBidi" w:cstheme="majorBidi"/>
                <w:noProof/>
                <w:sz w:val="20"/>
                <w:szCs w:val="20"/>
                <w:lang w:eastAsia="ru-RU"/>
              </w:rPr>
              <w:t>(2010)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PET</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“Plastics (PET) recycling, Delleve”</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HDPE</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 (HDPE) recycling, Linpac"</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PVC</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 (HDPE) recycling, Linpac"</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LDPE</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“Agricultural film recycling, BPI Poly”</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PP</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"Plastic (HDPE) recycling, Linpac"</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Pr>
                <w:rFonts w:asciiTheme="majorBidi" w:hAnsiTheme="majorBidi" w:cstheme="majorBidi"/>
                <w:sz w:val="20"/>
                <w:szCs w:val="20"/>
                <w:lang w:eastAsia="ru-RU"/>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Wood</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Wood</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wood materials recycling, microrelease process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Mitchell and Stevens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Chipboard &amp; MDF</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wood materials recycling, microrelease process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Mitchell and Stevens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wood materials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wood materials recycling, microrelease process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Mitchell and Stevens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WEEE</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LDA</w:t>
            </w:r>
            <w:r w:rsidRPr="005774DC">
              <w:rPr>
                <w:rFonts w:asciiTheme="majorBidi" w:hAnsiTheme="majorBidi" w:cstheme="majorBidi"/>
                <w:sz w:val="20"/>
                <w:szCs w:val="20"/>
              </w:rPr>
              <w:t>s*</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“Shredding, electrical and electronic scrap”</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Recycling of WEEE appliances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Crowe</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2000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“Disposal, treatment of printed wiring boards”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SDAs</w:t>
            </w:r>
            <w:r w:rsidRPr="005774DC">
              <w:rPr>
                <w:rFonts w:asciiTheme="majorBidi" w:hAnsiTheme="majorBidi" w:cstheme="majorBidi"/>
                <w:sz w:val="20"/>
                <w:szCs w:val="20"/>
              </w:rPr>
              <w:t>*</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“Shredding, electrical and electronic scrap”</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Recycling of WEEE appliances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Crowe</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2000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CRTs</w:t>
            </w:r>
            <w:r w:rsidRPr="005774DC">
              <w:rPr>
                <w:rFonts w:asciiTheme="majorBidi" w:hAnsiTheme="majorBidi" w:cstheme="majorBidi"/>
                <w:sz w:val="20"/>
                <w:szCs w:val="20"/>
              </w:rPr>
              <w:t>*</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“Manual depollution, CRT screen”</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“Mechanical treatment, shredding, CRT screen”</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“Copper, secondary, at refinery”</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Classen</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Pyrometallurgical processing of CRT funnel glass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Xu</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(2013)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USA</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Fluorescent tubes &amp; other light bulbs*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“Disposal, fluorescent lamps”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Switzerland</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Fridges &amp; freezers*</w:t>
            </w: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“Shredding, electrical and electronic scrap”</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Hischier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lang w:eastAsia="ru-RU"/>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Recycling of WEEE appliances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lang w:eastAsia="ru-RU"/>
              </w:rPr>
            </w:pPr>
            <w:r>
              <w:rPr>
                <w:rFonts w:asciiTheme="majorBidi" w:hAnsiTheme="majorBidi" w:cstheme="majorBidi"/>
                <w:noProof/>
                <w:sz w:val="20"/>
                <w:szCs w:val="20"/>
                <w:lang w:eastAsia="ru-RU"/>
              </w:rPr>
              <w:t>Crowe</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(2003)</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lang w:eastAsia="ru-RU"/>
              </w:rPr>
            </w:pPr>
            <w:r w:rsidRPr="005774DC">
              <w:rPr>
                <w:rFonts w:asciiTheme="majorBidi" w:hAnsiTheme="majorBidi" w:cstheme="majorBidi"/>
                <w:sz w:val="20"/>
                <w:szCs w:val="20"/>
                <w:lang w:eastAsia="ru-RU"/>
              </w:rPr>
              <w:t>2000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Batteries</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Automotive batteries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waste batteries sorting</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Fisher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2006</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Lead acid battery recycling, Campine</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Fisher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Belgium</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Post-consumer, non-automotive batteries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waste batteries sorting</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Fisher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2006</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Hydrometallurgical processing (RECUPYL</w:t>
            </w:r>
            <w:r w:rsidRPr="005774DC">
              <w:rPr>
                <w:rFonts w:asciiTheme="majorBidi" w:hAnsiTheme="majorBidi" w:cstheme="majorBidi"/>
                <w:sz w:val="20"/>
                <w:szCs w:val="20"/>
                <w:vertAlign w:val="superscript"/>
              </w:rPr>
              <w:t>TM</w:t>
            </w:r>
            <w:r w:rsidRPr="005774DC">
              <w:rPr>
                <w:rFonts w:asciiTheme="majorBidi" w:hAnsiTheme="majorBidi" w:cstheme="majorBidi"/>
                <w:sz w:val="20"/>
                <w:szCs w:val="20"/>
              </w:rPr>
              <w:t xml:space="preserve"> process) of spent alkaline batteries, Recupyl</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Fisher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France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Pyrometallurgical processing of spent alkaline batteries, Batrec</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Fisher</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Switzerland</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Tyres</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Car tyres*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Tyre recycling, multi-function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color w:val="000000"/>
                <w:sz w:val="20"/>
                <w:szCs w:val="20"/>
                <w:lang w:eastAsia="zh-TW"/>
              </w:rPr>
              <w:t>Eldan Recycling (2014)</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Recycling of end of life tyres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Baeyens</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Van tyres*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Tyre recycling, multi-function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color w:val="000000"/>
                <w:sz w:val="20"/>
                <w:szCs w:val="20"/>
                <w:lang w:eastAsia="zh-TW"/>
              </w:rPr>
              <w:t>Eldan Recycling (2014)</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Recycling of end of life tyres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Baeyens</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Large vehicle tyres*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Tyre recycling, multi-function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color w:val="000000"/>
                <w:sz w:val="20"/>
                <w:szCs w:val="20"/>
                <w:lang w:eastAsia="zh-TW"/>
              </w:rPr>
              <w:t>Eldan Recycling (2014)</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Recycling of end of life tyres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Baeyens</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Mixed tyres*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Tyre recycling, multi-function plant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color w:val="000000"/>
                <w:sz w:val="20"/>
                <w:szCs w:val="20"/>
                <w:lang w:eastAsia="zh-TW"/>
              </w:rPr>
              <w:t>Eldan Recycling (2014)</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Recycling of end of life tyres</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Baeyens</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Global</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lastRenderedPageBreak/>
              <w:t>Furniture</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Furniture</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wood materials recycling, microrelease process</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Mitchell and Stevens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2008</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Rubble</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Rubble*</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“Buiding rubble recycling, Tarmac”</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2004</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Soil</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Soil</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Boldrin</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2009</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Bruun</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Denmark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2006</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Hansen (2006)</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2006</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Plasterboard</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Plasterboard*</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Plasterboard recycling</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WRAP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2007</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Oil</w:t>
            </w: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Vegetable oil</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Biodiesel production, alkali-catalysed transesterification processing of waste vegetable oil</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Morais</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Mineral oil</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Biodiesel production, alkali-catalysed transesterification processing of waste vegetable oil</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lang w:eastAsia="ru-RU"/>
              </w:rPr>
              <w:t>Morais</w:t>
            </w:r>
            <w:r w:rsidRPr="00F77F0E">
              <w:rPr>
                <w:rFonts w:asciiTheme="majorBidi" w:hAnsiTheme="majorBidi" w:cstheme="majorBidi"/>
                <w:i/>
                <w:noProof/>
                <w:sz w:val="20"/>
                <w:szCs w:val="20"/>
                <w:lang w:eastAsia="ru-RU"/>
              </w:rPr>
              <w:t xml:space="preserve"> et al.</w:t>
            </w:r>
            <w:r>
              <w:rPr>
                <w:rFonts w:asciiTheme="majorBidi" w:hAnsiTheme="majorBidi" w:cstheme="majorBidi"/>
                <w:noProof/>
                <w:sz w:val="20"/>
                <w:szCs w:val="20"/>
                <w:lang w:eastAsia="ru-RU"/>
              </w:rPr>
              <w:t xml:space="preserve">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food &amp; beverage cartons*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“Waste paper, sorted, for further treatment”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2007</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Composite packaging waste recycling</w:t>
            </w:r>
          </w:p>
        </w:tc>
        <w:tc>
          <w:tcPr>
            <w:tcW w:w="2200" w:type="dxa"/>
            <w:shd w:val="clear" w:color="auto" w:fill="auto"/>
          </w:tcPr>
          <w:p w:rsidR="00CA4A43" w:rsidRPr="005774DC" w:rsidRDefault="00CA4A43" w:rsidP="00F77F0E">
            <w:pPr>
              <w:spacing w:line="276" w:lineRule="auto"/>
              <w:jc w:val="left"/>
              <w:rPr>
                <w:rFonts w:asciiTheme="majorBidi" w:hAnsiTheme="majorBidi" w:cstheme="majorBidi"/>
                <w:sz w:val="20"/>
                <w:szCs w:val="20"/>
              </w:rPr>
            </w:pPr>
            <w:r>
              <w:rPr>
                <w:rFonts w:asciiTheme="majorBidi" w:eastAsia="PMingLiU" w:hAnsiTheme="majorBidi" w:cstheme="majorBidi"/>
                <w:noProof/>
                <w:sz w:val="20"/>
                <w:szCs w:val="20"/>
                <w:lang w:eastAsia="zh-TW"/>
              </w:rPr>
              <w:t>Xie</w:t>
            </w:r>
            <w:r w:rsidRPr="00F77F0E">
              <w:rPr>
                <w:rFonts w:asciiTheme="majorBidi" w:eastAsia="PMingLiU" w:hAnsiTheme="majorBidi" w:cstheme="majorBidi"/>
                <w:i/>
                <w:noProof/>
                <w:sz w:val="20"/>
                <w:szCs w:val="20"/>
                <w:lang w:eastAsia="zh-TW"/>
              </w:rPr>
              <w:t xml:space="preserve"> et al.</w:t>
            </w:r>
            <w:r>
              <w:rPr>
                <w:rFonts w:asciiTheme="majorBidi" w:eastAsia="PMingLiU" w:hAnsiTheme="majorBidi" w:cstheme="majorBidi"/>
                <w:noProof/>
                <w:sz w:val="20"/>
                <w:szCs w:val="20"/>
                <w:lang w:eastAsia="zh-TW"/>
              </w:rPr>
              <w:t xml:space="preserve"> (2012)</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China</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2013</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Mattresses*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recovery, reclamation and processing,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Paint</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Paint*</w:t>
            </w:r>
          </w:p>
        </w:tc>
        <w:tc>
          <w:tcPr>
            <w:tcW w:w="4678" w:type="dxa"/>
          </w:tcPr>
          <w:p w:rsidR="00CA4A43" w:rsidRPr="005774DC" w:rsidRDefault="00CA4A43" w:rsidP="0090363A">
            <w:pPr>
              <w:spacing w:line="276" w:lineRule="auto"/>
              <w:jc w:val="left"/>
              <w:rPr>
                <w:rFonts w:asciiTheme="majorBidi" w:eastAsia="PMingLiU" w:hAnsiTheme="majorBidi" w:cstheme="majorBidi"/>
                <w:sz w:val="20"/>
                <w:szCs w:val="20"/>
                <w:lang w:eastAsia="zh-TW"/>
              </w:rPr>
            </w:pPr>
            <w:r w:rsidRPr="005774DC">
              <w:rPr>
                <w:rFonts w:asciiTheme="majorBidi" w:eastAsia="PMingLiU" w:hAnsiTheme="majorBidi" w:cstheme="majorBidi"/>
                <w:sz w:val="20"/>
                <w:szCs w:val="20"/>
                <w:lang w:eastAsia="zh-TW"/>
              </w:rPr>
              <w:t>“Scrap metal sorting and preparation”</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eastAsia="PMingLiU" w:hAnsiTheme="majorBidi" w:cstheme="majorBidi"/>
                <w:noProof/>
                <w:sz w:val="20"/>
                <w:szCs w:val="20"/>
                <w:lang w:eastAsia="zh-TW"/>
              </w:rPr>
              <w:t>EAA (2008)</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2002</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“Treatment, sewage, to wastewater treatment, class 5”</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Doka (2009)</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Switzerland</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2000</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&amp; footwear</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recovery, reclamation and processing,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recycling, production of filling fibre, Edward Clay &amp; Sons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reprocessing, production of wiping cloths,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only</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recovery, reclamation and processing,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recycling, production of filling fibre, Edward Clay &amp; Sons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reprocessing, production of wiping cloths,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Footwear only</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recovery, reclamation and processing,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recycling, production of filling fibre, Edward Clay &amp; Sons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Textiles reprocessing, production of wiping cloths, Jmp Wilcox &amp; Co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Pr>
                <w:rFonts w:asciiTheme="majorBidi" w:hAnsiTheme="majorBidi" w:cstheme="majorBidi"/>
                <w:sz w:val="20"/>
                <w:szCs w:val="20"/>
              </w:rPr>
              <w:t>EA (2010)</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2005</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Carpets*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Carpet recycling, Blackwater Ltd.</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lang w:eastAsia="ru-RU"/>
              </w:rPr>
              <w:t>WRAP (no date)</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Unknown</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Other</w:t>
            </w:r>
          </w:p>
        </w:tc>
        <w:tc>
          <w:tcPr>
            <w:tcW w:w="1701" w:type="dxa"/>
            <w:vMerge w:val="restart"/>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AHPs*</w:t>
            </w:r>
          </w:p>
        </w:tc>
        <w:tc>
          <w:tcPr>
            <w:tcW w:w="4678" w:type="dxa"/>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“Waste paper, sorted, for further treatment”</w:t>
            </w:r>
          </w:p>
        </w:tc>
        <w:tc>
          <w:tcPr>
            <w:tcW w:w="2200"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Hischier (2007)</w:t>
            </w:r>
          </w:p>
        </w:tc>
        <w:tc>
          <w:tcPr>
            <w:tcW w:w="1503"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Europe</w:t>
            </w:r>
          </w:p>
        </w:tc>
        <w:tc>
          <w:tcPr>
            <w:tcW w:w="1139" w:type="dxa"/>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2007</w:t>
            </w:r>
          </w:p>
        </w:tc>
        <w:tc>
          <w:tcPr>
            <w:tcW w:w="0" w:type="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Poor quality</w:t>
            </w:r>
          </w:p>
        </w:tc>
      </w:tr>
      <w:tr w:rsidR="00CA4A43" w:rsidRPr="005774DC" w:rsidTr="0090363A">
        <w:trPr>
          <w:cantSplit/>
        </w:trPr>
        <w:tc>
          <w:tcPr>
            <w:tcW w:w="1418" w:type="dxa"/>
            <w:vMerge/>
            <w:tcBorders>
              <w:bottom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1701" w:type="dxa"/>
            <w:vMerge/>
            <w:tcBorders>
              <w:bottom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p>
        </w:tc>
        <w:tc>
          <w:tcPr>
            <w:tcW w:w="4678" w:type="dxa"/>
            <w:tcBorders>
              <w:bottom w:val="single" w:sz="4" w:space="0" w:color="auto"/>
            </w:tcBorders>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Nappy recycling, Knowaste</w:t>
            </w:r>
          </w:p>
        </w:tc>
        <w:tc>
          <w:tcPr>
            <w:tcW w:w="2200" w:type="dxa"/>
            <w:tcBorders>
              <w:bottom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noProof/>
                <w:sz w:val="20"/>
                <w:szCs w:val="20"/>
              </w:rPr>
              <w:t>Freyberg (2012)</w:t>
            </w:r>
          </w:p>
        </w:tc>
        <w:tc>
          <w:tcPr>
            <w:tcW w:w="1503" w:type="dxa"/>
            <w:tcBorders>
              <w:bottom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UK</w:t>
            </w:r>
          </w:p>
        </w:tc>
        <w:tc>
          <w:tcPr>
            <w:tcW w:w="1139" w:type="dxa"/>
            <w:tcBorders>
              <w:bottom w:val="single" w:sz="4" w:space="0" w:color="auto"/>
            </w:tcBorders>
            <w:shd w:val="clear" w:color="auto" w:fill="auto"/>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2012</w:t>
            </w:r>
          </w:p>
        </w:tc>
        <w:tc>
          <w:tcPr>
            <w:tcW w:w="0" w:type="auto"/>
            <w:tcBorders>
              <w:bottom w:val="single" w:sz="4" w:space="0" w:color="auto"/>
            </w:tcBorders>
          </w:tcPr>
          <w:p w:rsidR="00CA4A43" w:rsidRPr="005774DC" w:rsidRDefault="00CA4A43" w:rsidP="0090363A">
            <w:pPr>
              <w:spacing w:line="276" w:lineRule="auto"/>
              <w:jc w:val="left"/>
              <w:rPr>
                <w:rFonts w:asciiTheme="majorBidi" w:hAnsiTheme="majorBidi" w:cstheme="majorBidi"/>
                <w:sz w:val="20"/>
                <w:szCs w:val="20"/>
              </w:rPr>
            </w:pPr>
            <w:r w:rsidRPr="005774DC">
              <w:rPr>
                <w:rFonts w:asciiTheme="majorBidi" w:hAnsiTheme="majorBidi" w:cstheme="majorBidi"/>
                <w:sz w:val="20"/>
                <w:szCs w:val="20"/>
              </w:rPr>
              <w:t>Fair quality</w:t>
            </w:r>
          </w:p>
        </w:tc>
      </w:tr>
    </w:tbl>
    <w:p w:rsidR="00CA4A43" w:rsidRDefault="00CA4A43" w:rsidP="00F519A5">
      <w:pPr>
        <w:spacing w:line="276" w:lineRule="auto"/>
        <w:rPr>
          <w:sz w:val="20"/>
          <w:szCs w:val="20"/>
        </w:rPr>
      </w:pPr>
      <w:r w:rsidRPr="005774DC">
        <w:rPr>
          <w:sz w:val="20"/>
          <w:szCs w:val="20"/>
        </w:rPr>
        <w:t>*For composite materials, only data sources used for material pre-processing (e.g. dismantlement, disassembly, and sorting) and the recycling (reprocessing) of components particular to that composite material are presented. Data sources used for the recycling of component material types are detailed individually.</w:t>
      </w:r>
    </w:p>
    <w:p w:rsidR="00CA4A43" w:rsidRPr="005774DC" w:rsidRDefault="00CA4A43" w:rsidP="00D258EA">
      <w:pPr>
        <w:spacing w:before="120" w:line="276" w:lineRule="auto"/>
        <w:rPr>
          <w:sz w:val="20"/>
          <w:szCs w:val="20"/>
        </w:rPr>
      </w:pPr>
      <w:r w:rsidRPr="00C1588F">
        <w:rPr>
          <w:sz w:val="20"/>
          <w:szCs w:val="20"/>
        </w:rPr>
        <w:t xml:space="preserve">PET, polyethylene terephthalate; LDPE, low-density polyethylene; HDPE, high-density polyethylene; PVC, polyvinyl chloride; PP, polypropylene; MDF, </w:t>
      </w:r>
      <w:r>
        <w:rPr>
          <w:sz w:val="20"/>
          <w:szCs w:val="20"/>
        </w:rPr>
        <w:t>medium-density fibreboard</w:t>
      </w:r>
      <w:r w:rsidRPr="00C1588F">
        <w:rPr>
          <w:sz w:val="20"/>
          <w:szCs w:val="20"/>
        </w:rPr>
        <w:t xml:space="preserve">; WEEE, </w:t>
      </w:r>
      <w:r>
        <w:rPr>
          <w:sz w:val="20"/>
          <w:szCs w:val="20"/>
        </w:rPr>
        <w:t>waste electrical and electronic equipment</w:t>
      </w:r>
      <w:r w:rsidRPr="00C1588F">
        <w:rPr>
          <w:sz w:val="20"/>
          <w:szCs w:val="20"/>
        </w:rPr>
        <w:t>; LDA, large domestic appliance; SDA, small domestic appliance; CRT, cathode ray tube</w:t>
      </w:r>
      <w:r>
        <w:rPr>
          <w:sz w:val="20"/>
          <w:szCs w:val="20"/>
        </w:rPr>
        <w:t>; AHP, absorbent hygiene product</w:t>
      </w:r>
      <w:r w:rsidRPr="005774DC">
        <w:rPr>
          <w:sz w:val="20"/>
          <w:szCs w:val="20"/>
        </w:rPr>
        <w:t xml:space="preserve"> </w:t>
      </w:r>
    </w:p>
    <w:p w:rsidR="00CA4A43" w:rsidRDefault="00CA4A43" w:rsidP="00F532B3">
      <w:pPr>
        <w:spacing w:line="276" w:lineRule="auto"/>
        <w:rPr>
          <w:b/>
          <w:bCs/>
          <w:sz w:val="16"/>
          <w:szCs w:val="16"/>
        </w:rPr>
        <w:sectPr w:rsidR="00CA4A43" w:rsidSect="00A247C1">
          <w:pgSz w:w="16838" w:h="11906" w:orient="landscape"/>
          <w:pgMar w:top="1440" w:right="1440" w:bottom="1440" w:left="1440" w:header="708" w:footer="708" w:gutter="0"/>
          <w:cols w:space="708"/>
          <w:docGrid w:linePitch="360"/>
        </w:sectPr>
      </w:pPr>
    </w:p>
    <w:p w:rsidR="00CA4A43" w:rsidRPr="00D52A03" w:rsidRDefault="00CA4A43" w:rsidP="00F532B3">
      <w:pPr>
        <w:spacing w:line="276" w:lineRule="auto"/>
        <w:rPr>
          <w:b/>
          <w:bCs/>
          <w:sz w:val="20"/>
          <w:szCs w:val="20"/>
        </w:rPr>
      </w:pPr>
      <w:r w:rsidRPr="00D52A03">
        <w:rPr>
          <w:b/>
          <w:bCs/>
          <w:sz w:val="20"/>
          <w:szCs w:val="20"/>
        </w:rPr>
        <w:lastRenderedPageBreak/>
        <w:t>Table C2</w:t>
      </w:r>
    </w:p>
    <w:p w:rsidR="00CA4A43" w:rsidRPr="00D52A03" w:rsidRDefault="00CA4A43" w:rsidP="00F532B3">
      <w:pPr>
        <w:spacing w:line="276" w:lineRule="auto"/>
        <w:rPr>
          <w:sz w:val="20"/>
          <w:szCs w:val="20"/>
        </w:rPr>
      </w:pPr>
      <w:r w:rsidRPr="00D52A03">
        <w:rPr>
          <w:sz w:val="20"/>
          <w:szCs w:val="20"/>
        </w:rPr>
        <w:t>Avoided primary production process data used and data quality rating.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942"/>
        <w:gridCol w:w="3702"/>
        <w:gridCol w:w="2066"/>
        <w:gridCol w:w="1598"/>
        <w:gridCol w:w="1251"/>
        <w:gridCol w:w="1309"/>
      </w:tblGrid>
      <w:tr w:rsidR="00CA4A43" w:rsidRPr="00D52A03" w:rsidTr="001F2123">
        <w:trPr>
          <w:tblHeader/>
        </w:trPr>
        <w:tc>
          <w:tcPr>
            <w:tcW w:w="0" w:type="auto"/>
            <w:tcBorders>
              <w:top w:val="single" w:sz="4" w:space="0" w:color="auto"/>
              <w:bottom w:val="single" w:sz="4" w:space="0" w:color="auto"/>
            </w:tcBorders>
            <w:vAlign w:val="bottom"/>
          </w:tcPr>
          <w:p w:rsidR="00CA4A43" w:rsidRPr="00D52A03" w:rsidRDefault="00CA4A43" w:rsidP="001F2123">
            <w:pPr>
              <w:spacing w:line="276" w:lineRule="auto"/>
              <w:jc w:val="left"/>
              <w:rPr>
                <w:rFonts w:asciiTheme="majorBidi" w:hAnsiTheme="majorBidi" w:cstheme="majorBidi"/>
                <w:sz w:val="20"/>
                <w:szCs w:val="20"/>
              </w:rPr>
            </w:pPr>
            <w:r w:rsidRPr="00D52A03">
              <w:rPr>
                <w:rFonts w:asciiTheme="majorBidi" w:hAnsiTheme="majorBidi" w:cstheme="majorBidi"/>
                <w:sz w:val="20"/>
                <w:szCs w:val="20"/>
              </w:rPr>
              <w:t>Secondary product</w:t>
            </w:r>
          </w:p>
        </w:tc>
        <w:tc>
          <w:tcPr>
            <w:tcW w:w="0" w:type="auto"/>
            <w:tcBorders>
              <w:top w:val="single" w:sz="4" w:space="0" w:color="auto"/>
              <w:bottom w:val="single" w:sz="4" w:space="0" w:color="auto"/>
            </w:tcBorders>
            <w:vAlign w:val="bottom"/>
          </w:tcPr>
          <w:p w:rsidR="00CA4A43" w:rsidRPr="00D52A03" w:rsidRDefault="00CA4A43" w:rsidP="001F2123">
            <w:pPr>
              <w:spacing w:line="276" w:lineRule="auto"/>
              <w:jc w:val="left"/>
              <w:rPr>
                <w:rFonts w:asciiTheme="majorBidi" w:hAnsiTheme="majorBidi" w:cstheme="majorBidi"/>
                <w:sz w:val="20"/>
                <w:szCs w:val="20"/>
                <w:lang w:eastAsia="ru-RU"/>
              </w:rPr>
            </w:pPr>
            <w:r w:rsidRPr="00D52A03">
              <w:rPr>
                <w:rFonts w:asciiTheme="majorBidi" w:hAnsiTheme="majorBidi" w:cstheme="majorBidi"/>
                <w:sz w:val="20"/>
                <w:szCs w:val="20"/>
              </w:rPr>
              <w:t>Avoided primary product</w:t>
            </w:r>
          </w:p>
        </w:tc>
        <w:tc>
          <w:tcPr>
            <w:tcW w:w="0" w:type="auto"/>
            <w:tcBorders>
              <w:top w:val="single" w:sz="4" w:space="0" w:color="auto"/>
              <w:bottom w:val="single" w:sz="4" w:space="0" w:color="auto"/>
            </w:tcBorders>
            <w:vAlign w:val="bottom"/>
          </w:tcPr>
          <w:p w:rsidR="00CA4A43" w:rsidRPr="00D52A03" w:rsidRDefault="00CA4A43" w:rsidP="001F2123">
            <w:pPr>
              <w:spacing w:line="276" w:lineRule="auto"/>
              <w:jc w:val="left"/>
              <w:rPr>
                <w:rFonts w:asciiTheme="majorBidi" w:hAnsiTheme="majorBidi" w:cstheme="majorBidi"/>
                <w:sz w:val="20"/>
                <w:szCs w:val="20"/>
                <w:lang w:eastAsia="ru-RU"/>
              </w:rPr>
            </w:pPr>
            <w:r w:rsidRPr="00D52A03">
              <w:rPr>
                <w:rFonts w:asciiTheme="majorBidi" w:hAnsiTheme="majorBidi" w:cstheme="majorBidi"/>
                <w:sz w:val="20"/>
                <w:szCs w:val="20"/>
                <w:lang w:eastAsia="ru-RU"/>
              </w:rPr>
              <w:t>Name of primary production data set used</w:t>
            </w:r>
          </w:p>
        </w:tc>
        <w:tc>
          <w:tcPr>
            <w:tcW w:w="0" w:type="auto"/>
            <w:tcBorders>
              <w:top w:val="single" w:sz="4" w:space="0" w:color="auto"/>
              <w:bottom w:val="single" w:sz="4" w:space="0" w:color="auto"/>
            </w:tcBorders>
            <w:shd w:val="clear" w:color="auto" w:fill="auto"/>
            <w:vAlign w:val="bottom"/>
          </w:tcPr>
          <w:p w:rsidR="00CA4A43" w:rsidRPr="00D52A03" w:rsidRDefault="00CA4A43" w:rsidP="001F2123">
            <w:pPr>
              <w:spacing w:line="276" w:lineRule="auto"/>
              <w:jc w:val="left"/>
              <w:rPr>
                <w:rFonts w:asciiTheme="majorBidi" w:hAnsiTheme="majorBidi" w:cstheme="majorBidi"/>
                <w:b/>
                <w:bCs/>
                <w:sz w:val="20"/>
                <w:szCs w:val="20"/>
                <w:lang w:eastAsia="ru-RU"/>
              </w:rPr>
            </w:pPr>
            <w:r w:rsidRPr="00D52A03">
              <w:rPr>
                <w:rFonts w:asciiTheme="majorBidi" w:hAnsiTheme="majorBidi" w:cstheme="majorBidi"/>
                <w:sz w:val="20"/>
                <w:szCs w:val="20"/>
                <w:lang w:eastAsia="ru-RU"/>
              </w:rPr>
              <w:t>Data source</w:t>
            </w:r>
          </w:p>
        </w:tc>
        <w:tc>
          <w:tcPr>
            <w:tcW w:w="0" w:type="auto"/>
            <w:tcBorders>
              <w:top w:val="single" w:sz="4" w:space="0" w:color="auto"/>
              <w:bottom w:val="single" w:sz="4" w:space="0" w:color="auto"/>
            </w:tcBorders>
            <w:shd w:val="clear" w:color="auto" w:fill="auto"/>
            <w:vAlign w:val="bottom"/>
          </w:tcPr>
          <w:p w:rsidR="00CA4A43" w:rsidRPr="00D52A03" w:rsidRDefault="00CA4A43" w:rsidP="001F2123">
            <w:pPr>
              <w:spacing w:line="276" w:lineRule="auto"/>
              <w:jc w:val="left"/>
              <w:rPr>
                <w:rFonts w:asciiTheme="majorBidi" w:hAnsiTheme="majorBidi" w:cstheme="majorBidi"/>
                <w:b/>
                <w:bCs/>
                <w:sz w:val="20"/>
                <w:szCs w:val="20"/>
                <w:lang w:eastAsia="ru-RU"/>
              </w:rPr>
            </w:pPr>
            <w:r w:rsidRPr="00D52A03">
              <w:rPr>
                <w:rFonts w:asciiTheme="majorBidi" w:hAnsiTheme="majorBidi" w:cstheme="majorBidi"/>
                <w:sz w:val="20"/>
                <w:szCs w:val="20"/>
                <w:lang w:eastAsia="ru-RU"/>
              </w:rPr>
              <w:t>Geographic coverage</w:t>
            </w:r>
          </w:p>
        </w:tc>
        <w:tc>
          <w:tcPr>
            <w:tcW w:w="0" w:type="auto"/>
            <w:tcBorders>
              <w:top w:val="single" w:sz="4" w:space="0" w:color="auto"/>
              <w:bottom w:val="single" w:sz="4" w:space="0" w:color="auto"/>
            </w:tcBorders>
            <w:shd w:val="clear" w:color="auto" w:fill="auto"/>
            <w:vAlign w:val="bottom"/>
          </w:tcPr>
          <w:p w:rsidR="00CA4A43" w:rsidRPr="00D52A03" w:rsidRDefault="00CA4A43" w:rsidP="001F2123">
            <w:pPr>
              <w:spacing w:line="276" w:lineRule="auto"/>
              <w:jc w:val="left"/>
              <w:rPr>
                <w:rFonts w:asciiTheme="majorBidi" w:hAnsiTheme="majorBidi" w:cstheme="majorBidi"/>
                <w:b/>
                <w:bCs/>
                <w:sz w:val="20"/>
                <w:szCs w:val="20"/>
                <w:lang w:eastAsia="ru-RU"/>
              </w:rPr>
            </w:pPr>
            <w:r w:rsidRPr="00D52A03">
              <w:rPr>
                <w:rFonts w:asciiTheme="majorBidi" w:hAnsiTheme="majorBidi" w:cstheme="majorBidi"/>
                <w:sz w:val="20"/>
                <w:szCs w:val="20"/>
                <w:lang w:eastAsia="ru-RU"/>
              </w:rPr>
              <w:t>Reference year</w:t>
            </w:r>
          </w:p>
        </w:tc>
        <w:tc>
          <w:tcPr>
            <w:tcW w:w="0" w:type="auto"/>
            <w:tcBorders>
              <w:top w:val="single" w:sz="4" w:space="0" w:color="auto"/>
              <w:bottom w:val="single" w:sz="4" w:space="0" w:color="auto"/>
            </w:tcBorders>
            <w:vAlign w:val="bottom"/>
          </w:tcPr>
          <w:p w:rsidR="00CA4A43" w:rsidRPr="00D52A03" w:rsidRDefault="00CA4A43" w:rsidP="001F2123">
            <w:pPr>
              <w:spacing w:line="276" w:lineRule="auto"/>
              <w:jc w:val="left"/>
              <w:rPr>
                <w:rFonts w:asciiTheme="majorBidi" w:hAnsiTheme="majorBidi" w:cstheme="majorBidi"/>
                <w:sz w:val="20"/>
                <w:szCs w:val="20"/>
                <w:lang w:eastAsia="ru-RU"/>
              </w:rPr>
            </w:pPr>
            <w:r w:rsidRPr="00D52A03">
              <w:rPr>
                <w:rFonts w:asciiTheme="majorBidi" w:hAnsiTheme="majorBidi" w:cstheme="majorBidi"/>
                <w:sz w:val="20"/>
                <w:szCs w:val="20"/>
                <w:lang w:eastAsia="ru-RU"/>
              </w:rPr>
              <w:t>Data quality rating</w:t>
            </w:r>
          </w:p>
        </w:tc>
      </w:tr>
      <w:tr w:rsidR="00CA4A43" w:rsidRPr="00D52A03" w:rsidTr="001F2123">
        <w:tc>
          <w:tcPr>
            <w:tcW w:w="0" w:type="auto"/>
            <w:vMerge w:val="restart"/>
            <w:tcBorders>
              <w:top w:val="single" w:sz="4" w:space="0" w:color="auto"/>
            </w:tcBorders>
          </w:tcPr>
          <w:p w:rsidR="00CA4A43" w:rsidRPr="00D52A03" w:rsidRDefault="00CA4A43" w:rsidP="001F2123">
            <w:pPr>
              <w:spacing w:line="276" w:lineRule="auto"/>
              <w:jc w:val="left"/>
              <w:rPr>
                <w:sz w:val="20"/>
                <w:szCs w:val="20"/>
              </w:rPr>
            </w:pPr>
            <w:r w:rsidRPr="00D52A03">
              <w:rPr>
                <w:sz w:val="20"/>
                <w:szCs w:val="20"/>
              </w:rPr>
              <w:t>Secondary container glass</w:t>
            </w:r>
          </w:p>
        </w:tc>
        <w:tc>
          <w:tcPr>
            <w:tcW w:w="0" w:type="auto"/>
            <w:vMerge w:val="restart"/>
            <w:tcBorders>
              <w:top w:val="single" w:sz="4" w:space="0" w:color="auto"/>
            </w:tcBorders>
          </w:tcPr>
          <w:p w:rsidR="00CA4A43" w:rsidRPr="00D52A03" w:rsidRDefault="00CA4A43" w:rsidP="001F2123">
            <w:pPr>
              <w:spacing w:line="276" w:lineRule="auto"/>
              <w:jc w:val="left"/>
              <w:rPr>
                <w:sz w:val="20"/>
                <w:szCs w:val="20"/>
              </w:rPr>
            </w:pPr>
            <w:r w:rsidRPr="00D52A03">
              <w:rPr>
                <w:sz w:val="20"/>
                <w:szCs w:val="20"/>
              </w:rPr>
              <w:t>Primary container glass</w:t>
            </w:r>
          </w:p>
        </w:tc>
        <w:tc>
          <w:tcPr>
            <w:tcW w:w="0" w:type="auto"/>
            <w:tcBorders>
              <w:top w:val="single" w:sz="4" w:space="0" w:color="auto"/>
            </w:tcBorders>
          </w:tcPr>
          <w:p w:rsidR="00CA4A43" w:rsidRPr="00D52A03" w:rsidRDefault="00CA4A43" w:rsidP="001F2123">
            <w:pPr>
              <w:spacing w:line="276" w:lineRule="auto"/>
              <w:jc w:val="left"/>
              <w:rPr>
                <w:sz w:val="20"/>
                <w:szCs w:val="20"/>
              </w:rPr>
            </w:pPr>
            <w:r w:rsidRPr="00D52A03">
              <w:rPr>
                <w:sz w:val="20"/>
                <w:szCs w:val="20"/>
              </w:rPr>
              <w:t>Container glass manufacture using recycled glass</w:t>
            </w:r>
          </w:p>
        </w:tc>
        <w:tc>
          <w:tcPr>
            <w:tcW w:w="0" w:type="auto"/>
            <w:tcBorders>
              <w:top w:val="single" w:sz="4" w:space="0" w:color="auto"/>
            </w:tcBorders>
            <w:shd w:val="clear" w:color="auto" w:fill="auto"/>
          </w:tcPr>
          <w:p w:rsidR="00CA4A43" w:rsidRPr="00D52A03" w:rsidRDefault="00CA4A43" w:rsidP="001F2123">
            <w:pPr>
              <w:spacing w:line="276" w:lineRule="auto"/>
              <w:jc w:val="left"/>
              <w:rPr>
                <w:sz w:val="20"/>
                <w:szCs w:val="20"/>
              </w:rPr>
            </w:pPr>
            <w:r w:rsidRPr="00D52A03">
              <w:rPr>
                <w:noProof/>
                <w:sz w:val="20"/>
                <w:szCs w:val="20"/>
              </w:rPr>
              <w:t>Enviros Consulting Ltd (2003)</w:t>
            </w:r>
          </w:p>
        </w:tc>
        <w:tc>
          <w:tcPr>
            <w:tcW w:w="0" w:type="auto"/>
            <w:tcBorders>
              <w:top w:val="single" w:sz="4" w:space="0" w:color="auto"/>
            </w:tcBorders>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tcBorders>
              <w:top w:val="single" w:sz="4" w:space="0" w:color="auto"/>
            </w:tcBorders>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Borders>
              <w:top w:val="single" w:sz="4" w:space="0" w:color="auto"/>
            </w:tcBorders>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vMerge/>
          </w:tcPr>
          <w:p w:rsidR="00CA4A43" w:rsidRPr="00D52A03" w:rsidRDefault="00CA4A43" w:rsidP="001F2123">
            <w:pPr>
              <w:spacing w:line="276" w:lineRule="auto"/>
              <w:jc w:val="left"/>
              <w:rPr>
                <w:rFonts w:asciiTheme="majorBidi" w:hAnsiTheme="majorBidi" w:cstheme="majorBidi"/>
                <w:sz w:val="20"/>
                <w:szCs w:val="20"/>
                <w:lang w:eastAsia="ru-RU"/>
              </w:rPr>
            </w:pPr>
          </w:p>
        </w:tc>
        <w:tc>
          <w:tcPr>
            <w:tcW w:w="0" w:type="auto"/>
            <w:vMerge/>
          </w:tcPr>
          <w:p w:rsidR="00CA4A43" w:rsidRPr="00D52A03" w:rsidRDefault="00CA4A43" w:rsidP="001F2123">
            <w:pPr>
              <w:spacing w:line="276" w:lineRule="auto"/>
              <w:jc w:val="left"/>
              <w:rPr>
                <w:rFonts w:asciiTheme="majorBidi" w:hAnsiTheme="majorBidi" w:cstheme="majorBidi"/>
                <w:sz w:val="20"/>
                <w:szCs w:val="20"/>
                <w:lang w:eastAsia="ru-RU"/>
              </w:rPr>
            </w:pPr>
          </w:p>
        </w:tc>
        <w:tc>
          <w:tcPr>
            <w:tcW w:w="0" w:type="auto"/>
          </w:tcPr>
          <w:p w:rsidR="00CA4A43" w:rsidRPr="00D52A03" w:rsidRDefault="00CA4A43" w:rsidP="001F2123">
            <w:pPr>
              <w:spacing w:line="276" w:lineRule="auto"/>
              <w:jc w:val="left"/>
              <w:rPr>
                <w:rFonts w:asciiTheme="majorBidi" w:hAnsiTheme="majorBidi" w:cstheme="majorBidi"/>
                <w:sz w:val="20"/>
                <w:szCs w:val="20"/>
                <w:lang w:eastAsia="ru-RU"/>
              </w:rPr>
            </w:pPr>
            <w:r w:rsidRPr="00D52A03">
              <w:rPr>
                <w:sz w:val="20"/>
                <w:szCs w:val="20"/>
              </w:rPr>
              <w:t>Glass production using glass waste as cullet</w:t>
            </w:r>
          </w:p>
        </w:tc>
        <w:tc>
          <w:tcPr>
            <w:tcW w:w="0" w:type="auto"/>
            <w:shd w:val="clear" w:color="auto" w:fill="auto"/>
          </w:tcPr>
          <w:p w:rsidR="00CA4A43" w:rsidRPr="00D52A03" w:rsidRDefault="00CA4A43" w:rsidP="00F77F0E">
            <w:pPr>
              <w:spacing w:line="276" w:lineRule="auto"/>
              <w:jc w:val="left"/>
              <w:rPr>
                <w:rFonts w:asciiTheme="majorBidi" w:hAnsiTheme="majorBidi" w:cstheme="majorBidi"/>
                <w:sz w:val="20"/>
                <w:szCs w:val="20"/>
              </w:rPr>
            </w:pPr>
            <w:r>
              <w:rPr>
                <w:rFonts w:asciiTheme="majorBidi" w:hAnsiTheme="majorBidi" w:cstheme="majorBidi"/>
                <w:noProof/>
                <w:sz w:val="20"/>
                <w:szCs w:val="20"/>
              </w:rPr>
              <w:t>Larsen</w:t>
            </w:r>
            <w:r w:rsidRPr="00F77F0E">
              <w:rPr>
                <w:rFonts w:asciiTheme="majorBidi" w:hAnsiTheme="majorBidi" w:cstheme="majorBidi"/>
                <w:i/>
                <w:noProof/>
                <w:sz w:val="20"/>
                <w:szCs w:val="20"/>
              </w:rPr>
              <w:t xml:space="preserve"> et al.</w:t>
            </w:r>
            <w:r>
              <w:rPr>
                <w:rFonts w:asciiTheme="majorBidi" w:hAnsiTheme="majorBidi" w:cstheme="majorBidi"/>
                <w:noProof/>
                <w:sz w:val="20"/>
                <w:szCs w:val="20"/>
              </w:rPr>
              <w:t xml:space="preserve"> (2009)</w:t>
            </w:r>
          </w:p>
        </w:tc>
        <w:tc>
          <w:tcPr>
            <w:tcW w:w="0" w:type="auto"/>
            <w:shd w:val="clear" w:color="auto" w:fill="auto"/>
          </w:tcPr>
          <w:p w:rsidR="00CA4A43" w:rsidRPr="00D52A03" w:rsidRDefault="00CA4A43" w:rsidP="001F2123">
            <w:pPr>
              <w:spacing w:line="276" w:lineRule="auto"/>
              <w:jc w:val="left"/>
              <w:rPr>
                <w:rFonts w:asciiTheme="majorBidi" w:hAnsiTheme="majorBidi" w:cstheme="majorBidi"/>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rFonts w:asciiTheme="majorBidi" w:hAnsiTheme="majorBidi" w:cstheme="majorBidi"/>
                <w:sz w:val="20"/>
                <w:szCs w:val="20"/>
              </w:rPr>
            </w:pPr>
            <w:r w:rsidRPr="00D52A03">
              <w:rPr>
                <w:sz w:val="20"/>
                <w:szCs w:val="20"/>
              </w:rPr>
              <w:t>2009</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Secondary newsprint</w:t>
            </w:r>
          </w:p>
        </w:tc>
        <w:tc>
          <w:tcPr>
            <w:tcW w:w="0" w:type="auto"/>
          </w:tcPr>
          <w:p w:rsidR="00CA4A43" w:rsidRPr="00D52A03" w:rsidRDefault="00CA4A43" w:rsidP="001F2123">
            <w:pPr>
              <w:spacing w:line="276" w:lineRule="auto"/>
              <w:jc w:val="left"/>
              <w:rPr>
                <w:sz w:val="20"/>
                <w:szCs w:val="20"/>
              </w:rPr>
            </w:pPr>
            <w:r w:rsidRPr="00D52A03">
              <w:rPr>
                <w:sz w:val="20"/>
                <w:szCs w:val="20"/>
              </w:rPr>
              <w:t>Primary newsprint</w:t>
            </w:r>
          </w:p>
        </w:tc>
        <w:tc>
          <w:tcPr>
            <w:tcW w:w="0" w:type="auto"/>
          </w:tcPr>
          <w:p w:rsidR="00CA4A43" w:rsidRPr="00D52A03" w:rsidRDefault="00CA4A43" w:rsidP="001F2123">
            <w:pPr>
              <w:spacing w:line="276" w:lineRule="auto"/>
              <w:jc w:val="left"/>
              <w:rPr>
                <w:sz w:val="20"/>
                <w:szCs w:val="20"/>
              </w:rPr>
            </w:pPr>
            <w:r w:rsidRPr="00D52A03">
              <w:rPr>
                <w:sz w:val="20"/>
                <w:szCs w:val="20"/>
              </w:rPr>
              <w:t>“Paper, newsprint, 0% DIP,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2000</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Testliner</w:t>
            </w:r>
          </w:p>
        </w:tc>
        <w:tc>
          <w:tcPr>
            <w:tcW w:w="0" w:type="auto"/>
          </w:tcPr>
          <w:p w:rsidR="00CA4A43" w:rsidRPr="00D52A03" w:rsidRDefault="00CA4A43" w:rsidP="001F2123">
            <w:pPr>
              <w:spacing w:line="276" w:lineRule="auto"/>
              <w:jc w:val="left"/>
              <w:rPr>
                <w:sz w:val="20"/>
                <w:szCs w:val="20"/>
              </w:rPr>
            </w:pPr>
            <w:r w:rsidRPr="00D52A03">
              <w:rPr>
                <w:sz w:val="20"/>
                <w:szCs w:val="20"/>
              </w:rPr>
              <w:t>Kraftliner</w:t>
            </w:r>
          </w:p>
        </w:tc>
        <w:tc>
          <w:tcPr>
            <w:tcW w:w="0" w:type="auto"/>
          </w:tcPr>
          <w:p w:rsidR="00CA4A43" w:rsidRPr="00D52A03" w:rsidRDefault="00CA4A43" w:rsidP="001F2123">
            <w:pPr>
              <w:spacing w:line="276" w:lineRule="auto"/>
              <w:jc w:val="left"/>
              <w:rPr>
                <w:sz w:val="20"/>
                <w:szCs w:val="20"/>
              </w:rPr>
            </w:pPr>
            <w:r w:rsidRPr="00D52A03">
              <w:rPr>
                <w:sz w:val="20"/>
                <w:szCs w:val="20"/>
              </w:rPr>
              <w:t>"Corrugated board base paper, kraftliner,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2005</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Wellenstoff</w:t>
            </w:r>
          </w:p>
        </w:tc>
        <w:tc>
          <w:tcPr>
            <w:tcW w:w="0" w:type="auto"/>
          </w:tcPr>
          <w:p w:rsidR="00CA4A43" w:rsidRPr="00D52A03" w:rsidRDefault="00CA4A43" w:rsidP="001F2123">
            <w:pPr>
              <w:spacing w:line="276" w:lineRule="auto"/>
              <w:jc w:val="left"/>
              <w:rPr>
                <w:sz w:val="20"/>
                <w:szCs w:val="20"/>
              </w:rPr>
            </w:pPr>
            <w:r w:rsidRPr="00D52A03">
              <w:rPr>
                <w:sz w:val="20"/>
                <w:szCs w:val="20"/>
              </w:rPr>
              <w:t>Semi-chemical fluting</w:t>
            </w:r>
          </w:p>
        </w:tc>
        <w:tc>
          <w:tcPr>
            <w:tcW w:w="0" w:type="auto"/>
          </w:tcPr>
          <w:p w:rsidR="00CA4A43" w:rsidRPr="00D52A03" w:rsidRDefault="00CA4A43" w:rsidP="001F2123">
            <w:pPr>
              <w:spacing w:line="276" w:lineRule="auto"/>
              <w:jc w:val="left"/>
              <w:rPr>
                <w:sz w:val="20"/>
                <w:szCs w:val="20"/>
              </w:rPr>
            </w:pPr>
            <w:r w:rsidRPr="00D52A03">
              <w:rPr>
                <w:sz w:val="20"/>
                <w:szCs w:val="20"/>
              </w:rPr>
              <w:t>"Corrugated board base paper, semichemical fluting,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2005</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Crude steel</w:t>
            </w:r>
          </w:p>
        </w:tc>
        <w:tc>
          <w:tcPr>
            <w:tcW w:w="0" w:type="auto"/>
          </w:tcPr>
          <w:p w:rsidR="00CA4A43" w:rsidRPr="00D52A03" w:rsidRDefault="00CA4A43" w:rsidP="001F2123">
            <w:pPr>
              <w:spacing w:line="276" w:lineRule="auto"/>
              <w:jc w:val="left"/>
              <w:rPr>
                <w:sz w:val="20"/>
                <w:szCs w:val="20"/>
              </w:rPr>
            </w:pPr>
            <w:r w:rsidRPr="00D52A03">
              <w:rPr>
                <w:sz w:val="20"/>
                <w:szCs w:val="20"/>
              </w:rPr>
              <w:t>Steel</w:t>
            </w:r>
          </w:p>
        </w:tc>
        <w:tc>
          <w:tcPr>
            <w:tcW w:w="0" w:type="auto"/>
          </w:tcPr>
          <w:p w:rsidR="00CA4A43" w:rsidRPr="00D52A03" w:rsidRDefault="00CA4A43" w:rsidP="001F2123">
            <w:pPr>
              <w:spacing w:line="276" w:lineRule="auto"/>
              <w:jc w:val="left"/>
              <w:rPr>
                <w:sz w:val="20"/>
                <w:szCs w:val="20"/>
              </w:rPr>
            </w:pPr>
            <w:r w:rsidRPr="00D52A03">
              <w:rPr>
                <w:sz w:val="20"/>
                <w:szCs w:val="20"/>
              </w:rPr>
              <w:t>"Steel, converter, unalloyed, at plant"</w:t>
            </w:r>
          </w:p>
        </w:tc>
        <w:tc>
          <w:tcPr>
            <w:tcW w:w="0" w:type="auto"/>
            <w:shd w:val="clear" w:color="auto" w:fill="auto"/>
          </w:tcPr>
          <w:p w:rsidR="00CA4A43" w:rsidRPr="00D52A03" w:rsidRDefault="00CA4A43" w:rsidP="00F77F0E">
            <w:pPr>
              <w:spacing w:line="276" w:lineRule="auto"/>
              <w:jc w:val="left"/>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Aluminium</w:t>
            </w:r>
          </w:p>
        </w:tc>
        <w:tc>
          <w:tcPr>
            <w:tcW w:w="0" w:type="auto"/>
          </w:tcPr>
          <w:p w:rsidR="00CA4A43" w:rsidRPr="00D52A03" w:rsidRDefault="00CA4A43" w:rsidP="001F2123">
            <w:pPr>
              <w:spacing w:line="276" w:lineRule="auto"/>
              <w:jc w:val="left"/>
              <w:rPr>
                <w:sz w:val="20"/>
                <w:szCs w:val="20"/>
              </w:rPr>
            </w:pPr>
            <w:r w:rsidRPr="00D52A03">
              <w:rPr>
                <w:sz w:val="20"/>
                <w:szCs w:val="20"/>
              </w:rPr>
              <w:t>Aluminium</w:t>
            </w:r>
          </w:p>
        </w:tc>
        <w:tc>
          <w:tcPr>
            <w:tcW w:w="0" w:type="auto"/>
          </w:tcPr>
          <w:p w:rsidR="00CA4A43" w:rsidRPr="00D52A03" w:rsidRDefault="00CA4A43" w:rsidP="001F2123">
            <w:pPr>
              <w:spacing w:line="276" w:lineRule="auto"/>
              <w:jc w:val="left"/>
              <w:rPr>
                <w:sz w:val="20"/>
                <w:szCs w:val="20"/>
              </w:rPr>
            </w:pPr>
            <w:r w:rsidRPr="00D52A03">
              <w:rPr>
                <w:sz w:val="20"/>
                <w:szCs w:val="20"/>
              </w:rPr>
              <w:t>"Aluminium, primary, at plant"</w:t>
            </w:r>
          </w:p>
        </w:tc>
        <w:tc>
          <w:tcPr>
            <w:tcW w:w="0" w:type="auto"/>
            <w:shd w:val="clear" w:color="auto" w:fill="auto"/>
          </w:tcPr>
          <w:p w:rsidR="00CA4A43" w:rsidRPr="00D52A03" w:rsidRDefault="00CA4A43" w:rsidP="00F77F0E">
            <w:pPr>
              <w:spacing w:line="276" w:lineRule="auto"/>
              <w:jc w:val="left"/>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2002</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PET flakes</w:t>
            </w:r>
          </w:p>
        </w:tc>
        <w:tc>
          <w:tcPr>
            <w:tcW w:w="0" w:type="auto"/>
          </w:tcPr>
          <w:p w:rsidR="00CA4A43" w:rsidRPr="00D52A03" w:rsidRDefault="00CA4A43" w:rsidP="001F2123">
            <w:pPr>
              <w:spacing w:line="276" w:lineRule="auto"/>
              <w:jc w:val="left"/>
              <w:rPr>
                <w:sz w:val="20"/>
                <w:szCs w:val="20"/>
              </w:rPr>
            </w:pPr>
            <w:r w:rsidRPr="00D52A03">
              <w:rPr>
                <w:sz w:val="20"/>
                <w:szCs w:val="20"/>
              </w:rPr>
              <w:t>PET flakes</w:t>
            </w:r>
          </w:p>
        </w:tc>
        <w:tc>
          <w:tcPr>
            <w:tcW w:w="0" w:type="auto"/>
          </w:tcPr>
          <w:p w:rsidR="00CA4A43" w:rsidRPr="00D52A03" w:rsidRDefault="00CA4A43" w:rsidP="001F2123">
            <w:pPr>
              <w:spacing w:line="276" w:lineRule="auto"/>
              <w:jc w:val="left"/>
              <w:rPr>
                <w:sz w:val="20"/>
                <w:szCs w:val="20"/>
              </w:rPr>
            </w:pPr>
            <w:r w:rsidRPr="00D52A03">
              <w:rPr>
                <w:sz w:val="20"/>
                <w:szCs w:val="20"/>
              </w:rPr>
              <w:t>"Polyethylene terephthalate, granulate, amorphous,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HDPE granulate</w:t>
            </w:r>
          </w:p>
        </w:tc>
        <w:tc>
          <w:tcPr>
            <w:tcW w:w="0" w:type="auto"/>
          </w:tcPr>
          <w:p w:rsidR="00CA4A43" w:rsidRPr="00D52A03" w:rsidRDefault="00CA4A43" w:rsidP="001F2123">
            <w:pPr>
              <w:spacing w:line="276" w:lineRule="auto"/>
              <w:jc w:val="left"/>
              <w:rPr>
                <w:sz w:val="20"/>
                <w:szCs w:val="20"/>
              </w:rPr>
            </w:pPr>
            <w:r w:rsidRPr="00D52A03">
              <w:rPr>
                <w:sz w:val="20"/>
                <w:szCs w:val="20"/>
              </w:rPr>
              <w:t>HDPE granulate</w:t>
            </w:r>
          </w:p>
        </w:tc>
        <w:tc>
          <w:tcPr>
            <w:tcW w:w="0" w:type="auto"/>
          </w:tcPr>
          <w:p w:rsidR="00CA4A43" w:rsidRPr="00D52A03" w:rsidRDefault="00CA4A43" w:rsidP="001F2123">
            <w:pPr>
              <w:spacing w:line="276" w:lineRule="auto"/>
              <w:jc w:val="left"/>
              <w:rPr>
                <w:sz w:val="20"/>
                <w:szCs w:val="20"/>
              </w:rPr>
            </w:pPr>
            <w:r w:rsidRPr="00D52A03">
              <w:rPr>
                <w:sz w:val="20"/>
                <w:szCs w:val="20"/>
              </w:rPr>
              <w:t>"Polyethylene, HDPE, granulate,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PVC pellets</w:t>
            </w:r>
          </w:p>
        </w:tc>
        <w:tc>
          <w:tcPr>
            <w:tcW w:w="0" w:type="auto"/>
          </w:tcPr>
          <w:p w:rsidR="00CA4A43" w:rsidRPr="00D52A03" w:rsidRDefault="00CA4A43" w:rsidP="001F2123">
            <w:pPr>
              <w:spacing w:line="276" w:lineRule="auto"/>
              <w:jc w:val="left"/>
              <w:rPr>
                <w:sz w:val="20"/>
                <w:szCs w:val="20"/>
              </w:rPr>
            </w:pPr>
            <w:r w:rsidRPr="00D52A03">
              <w:rPr>
                <w:sz w:val="20"/>
                <w:szCs w:val="20"/>
              </w:rPr>
              <w:t>PVC pellets</w:t>
            </w:r>
          </w:p>
        </w:tc>
        <w:tc>
          <w:tcPr>
            <w:tcW w:w="0" w:type="auto"/>
          </w:tcPr>
          <w:p w:rsidR="00CA4A43" w:rsidRPr="00D52A03" w:rsidRDefault="00CA4A43" w:rsidP="001F2123">
            <w:pPr>
              <w:spacing w:line="276" w:lineRule="auto"/>
              <w:jc w:val="left"/>
              <w:rPr>
                <w:sz w:val="20"/>
                <w:szCs w:val="20"/>
              </w:rPr>
            </w:pPr>
            <w:r w:rsidRPr="00D52A03">
              <w:rPr>
                <w:sz w:val="20"/>
                <w:szCs w:val="20"/>
              </w:rPr>
              <w:t>" Polyvinylchloride, suspension polymerised,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p>
        </w:tc>
        <w:tc>
          <w:tcPr>
            <w:tcW w:w="0" w:type="auto"/>
          </w:tcPr>
          <w:p w:rsidR="00CA4A43" w:rsidRPr="00D52A03" w:rsidRDefault="00CA4A43" w:rsidP="001F2123">
            <w:pPr>
              <w:spacing w:line="276" w:lineRule="auto"/>
              <w:jc w:val="left"/>
              <w:rPr>
                <w:sz w:val="20"/>
                <w:szCs w:val="20"/>
              </w:rPr>
            </w:pPr>
          </w:p>
        </w:tc>
        <w:tc>
          <w:tcPr>
            <w:tcW w:w="0" w:type="auto"/>
          </w:tcPr>
          <w:p w:rsidR="00CA4A43" w:rsidRPr="00D52A03" w:rsidRDefault="00CA4A43" w:rsidP="001F2123">
            <w:pPr>
              <w:spacing w:line="276" w:lineRule="auto"/>
              <w:jc w:val="left"/>
              <w:rPr>
                <w:sz w:val="20"/>
                <w:szCs w:val="20"/>
              </w:rPr>
            </w:pPr>
            <w:r w:rsidRPr="00D52A03">
              <w:rPr>
                <w:sz w:val="20"/>
                <w:szCs w:val="20"/>
              </w:rPr>
              <w:t>"Polyvinylchloride, emulsion polymerised,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PP granulate</w:t>
            </w:r>
          </w:p>
        </w:tc>
        <w:tc>
          <w:tcPr>
            <w:tcW w:w="0" w:type="auto"/>
          </w:tcPr>
          <w:p w:rsidR="00CA4A43" w:rsidRPr="00D52A03" w:rsidRDefault="00CA4A43" w:rsidP="001F2123">
            <w:pPr>
              <w:spacing w:line="276" w:lineRule="auto"/>
              <w:jc w:val="left"/>
              <w:rPr>
                <w:sz w:val="20"/>
                <w:szCs w:val="20"/>
              </w:rPr>
            </w:pPr>
            <w:r w:rsidRPr="00D52A03">
              <w:rPr>
                <w:sz w:val="20"/>
                <w:szCs w:val="20"/>
              </w:rPr>
              <w:t>PP granulate</w:t>
            </w:r>
          </w:p>
        </w:tc>
        <w:tc>
          <w:tcPr>
            <w:tcW w:w="0" w:type="auto"/>
          </w:tcPr>
          <w:p w:rsidR="00CA4A43" w:rsidRPr="00D52A03" w:rsidRDefault="00CA4A43" w:rsidP="001F2123">
            <w:pPr>
              <w:spacing w:line="276" w:lineRule="auto"/>
              <w:jc w:val="left"/>
              <w:rPr>
                <w:sz w:val="20"/>
                <w:szCs w:val="20"/>
              </w:rPr>
            </w:pPr>
            <w:r w:rsidRPr="00D52A03">
              <w:rPr>
                <w:sz w:val="20"/>
                <w:szCs w:val="20"/>
              </w:rPr>
              <w:t>"Polypropylene granulate (PP), production mix,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JRC (2008)</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LDPE pellets</w:t>
            </w:r>
          </w:p>
        </w:tc>
        <w:tc>
          <w:tcPr>
            <w:tcW w:w="0" w:type="auto"/>
          </w:tcPr>
          <w:p w:rsidR="00CA4A43" w:rsidRPr="00D52A03" w:rsidRDefault="00CA4A43" w:rsidP="001F2123">
            <w:pPr>
              <w:spacing w:line="276" w:lineRule="auto"/>
              <w:jc w:val="left"/>
              <w:rPr>
                <w:sz w:val="20"/>
                <w:szCs w:val="20"/>
              </w:rPr>
            </w:pPr>
            <w:r w:rsidRPr="00D52A03">
              <w:rPr>
                <w:sz w:val="20"/>
                <w:szCs w:val="20"/>
              </w:rPr>
              <w:t>LDPE pellets</w:t>
            </w:r>
          </w:p>
        </w:tc>
        <w:tc>
          <w:tcPr>
            <w:tcW w:w="0" w:type="auto"/>
          </w:tcPr>
          <w:p w:rsidR="00CA4A43" w:rsidRPr="00D52A03" w:rsidRDefault="00CA4A43" w:rsidP="001F2123">
            <w:pPr>
              <w:spacing w:line="276" w:lineRule="auto"/>
              <w:jc w:val="left"/>
              <w:rPr>
                <w:sz w:val="20"/>
                <w:szCs w:val="20"/>
              </w:rPr>
            </w:pPr>
            <w:r w:rsidRPr="00D52A03">
              <w:rPr>
                <w:sz w:val="20"/>
                <w:szCs w:val="20"/>
              </w:rPr>
              <w:t>"Polyethylene, LDPE, granulate,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Recycled MDF</w:t>
            </w:r>
          </w:p>
        </w:tc>
        <w:tc>
          <w:tcPr>
            <w:tcW w:w="0" w:type="auto"/>
          </w:tcPr>
          <w:p w:rsidR="00CA4A43" w:rsidRPr="00D52A03" w:rsidRDefault="00CA4A43" w:rsidP="001F2123">
            <w:pPr>
              <w:spacing w:line="276" w:lineRule="auto"/>
              <w:jc w:val="left"/>
              <w:rPr>
                <w:sz w:val="20"/>
                <w:szCs w:val="20"/>
              </w:rPr>
            </w:pPr>
            <w:r w:rsidRPr="00D52A03">
              <w:rPr>
                <w:sz w:val="20"/>
                <w:szCs w:val="20"/>
              </w:rPr>
              <w:t>Virgin MDF fibre</w:t>
            </w:r>
          </w:p>
        </w:tc>
        <w:tc>
          <w:tcPr>
            <w:tcW w:w="0" w:type="auto"/>
          </w:tcPr>
          <w:p w:rsidR="00CA4A43" w:rsidRPr="00D52A03" w:rsidRDefault="00CA4A43" w:rsidP="001F2123">
            <w:pPr>
              <w:spacing w:line="276" w:lineRule="auto"/>
              <w:jc w:val="left"/>
              <w:rPr>
                <w:sz w:val="20"/>
                <w:szCs w:val="20"/>
              </w:rPr>
            </w:pPr>
            <w:r w:rsidRPr="00D52A03">
              <w:rPr>
                <w:sz w:val="20"/>
                <w:szCs w:val="20"/>
              </w:rPr>
              <w: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Shonfield (2008)</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UK</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2008</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Zinc</w:t>
            </w:r>
          </w:p>
        </w:tc>
        <w:tc>
          <w:tcPr>
            <w:tcW w:w="0" w:type="auto"/>
          </w:tcPr>
          <w:p w:rsidR="00CA4A43" w:rsidRPr="00D52A03" w:rsidRDefault="00CA4A43" w:rsidP="001F2123">
            <w:pPr>
              <w:spacing w:line="276" w:lineRule="auto"/>
              <w:jc w:val="left"/>
              <w:rPr>
                <w:sz w:val="20"/>
                <w:szCs w:val="20"/>
              </w:rPr>
            </w:pPr>
            <w:r w:rsidRPr="00D52A03">
              <w:rPr>
                <w:sz w:val="20"/>
                <w:szCs w:val="20"/>
              </w:rPr>
              <w:t>Zinc</w:t>
            </w:r>
          </w:p>
        </w:tc>
        <w:tc>
          <w:tcPr>
            <w:tcW w:w="0" w:type="auto"/>
          </w:tcPr>
          <w:p w:rsidR="00CA4A43" w:rsidRPr="00D52A03" w:rsidRDefault="00CA4A43" w:rsidP="001F2123">
            <w:pPr>
              <w:spacing w:line="276" w:lineRule="auto"/>
              <w:jc w:val="left"/>
              <w:rPr>
                <w:sz w:val="20"/>
                <w:szCs w:val="20"/>
              </w:rPr>
            </w:pPr>
            <w:r w:rsidRPr="00D52A03">
              <w:rPr>
                <w:sz w:val="20"/>
                <w:szCs w:val="20"/>
              </w:rPr>
              <w:t>"Zinc, primary, at regional storage"</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Manganese</w:t>
            </w:r>
          </w:p>
        </w:tc>
        <w:tc>
          <w:tcPr>
            <w:tcW w:w="0" w:type="auto"/>
          </w:tcPr>
          <w:p w:rsidR="00CA4A43" w:rsidRPr="00D52A03" w:rsidRDefault="00CA4A43" w:rsidP="001F2123">
            <w:pPr>
              <w:spacing w:line="276" w:lineRule="auto"/>
              <w:jc w:val="left"/>
              <w:rPr>
                <w:sz w:val="20"/>
                <w:szCs w:val="20"/>
              </w:rPr>
            </w:pPr>
            <w:r w:rsidRPr="00D52A03">
              <w:rPr>
                <w:sz w:val="20"/>
                <w:szCs w:val="20"/>
              </w:rPr>
              <w:t>Manganese</w:t>
            </w:r>
          </w:p>
        </w:tc>
        <w:tc>
          <w:tcPr>
            <w:tcW w:w="0" w:type="auto"/>
          </w:tcPr>
          <w:p w:rsidR="00CA4A43" w:rsidRPr="00D52A03" w:rsidRDefault="00CA4A43" w:rsidP="001F2123">
            <w:pPr>
              <w:spacing w:line="276" w:lineRule="auto"/>
              <w:jc w:val="left"/>
              <w:rPr>
                <w:sz w:val="20"/>
                <w:szCs w:val="20"/>
              </w:rPr>
            </w:pPr>
            <w:r w:rsidRPr="00D52A03">
              <w:rPr>
                <w:sz w:val="20"/>
                <w:szCs w:val="20"/>
              </w:rPr>
              <w:t>"Manganese, at regional storage"</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Mercury</w:t>
            </w:r>
          </w:p>
        </w:tc>
        <w:tc>
          <w:tcPr>
            <w:tcW w:w="0" w:type="auto"/>
          </w:tcPr>
          <w:p w:rsidR="00CA4A43" w:rsidRPr="00D52A03" w:rsidRDefault="00CA4A43" w:rsidP="001F2123">
            <w:pPr>
              <w:spacing w:line="276" w:lineRule="auto"/>
              <w:jc w:val="left"/>
              <w:rPr>
                <w:sz w:val="20"/>
                <w:szCs w:val="20"/>
              </w:rPr>
            </w:pPr>
            <w:r w:rsidRPr="00D52A03">
              <w:rPr>
                <w:sz w:val="20"/>
                <w:szCs w:val="20"/>
              </w:rPr>
              <w:t>Mercury</w:t>
            </w:r>
          </w:p>
        </w:tc>
        <w:tc>
          <w:tcPr>
            <w:tcW w:w="0" w:type="auto"/>
          </w:tcPr>
          <w:p w:rsidR="00CA4A43" w:rsidRPr="00D52A03" w:rsidRDefault="00CA4A43" w:rsidP="001F2123">
            <w:pPr>
              <w:spacing w:line="276" w:lineRule="auto"/>
              <w:jc w:val="left"/>
              <w:rPr>
                <w:sz w:val="20"/>
                <w:szCs w:val="20"/>
              </w:rPr>
            </w:pPr>
            <w:r w:rsidRPr="00D52A03">
              <w:rPr>
                <w:sz w:val="20"/>
                <w:szCs w:val="20"/>
              </w:rPr>
              <w:t>"Mercury, liquid, at plant"</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Global</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2000</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 xml:space="preserve">Ferromanganese </w:t>
            </w:r>
          </w:p>
        </w:tc>
        <w:tc>
          <w:tcPr>
            <w:tcW w:w="0" w:type="auto"/>
          </w:tcPr>
          <w:p w:rsidR="00CA4A43" w:rsidRPr="00D52A03" w:rsidRDefault="00CA4A43" w:rsidP="001F2123">
            <w:pPr>
              <w:spacing w:line="276" w:lineRule="auto"/>
              <w:jc w:val="left"/>
              <w:rPr>
                <w:sz w:val="20"/>
                <w:szCs w:val="20"/>
              </w:rPr>
            </w:pPr>
            <w:r w:rsidRPr="00D52A03">
              <w:rPr>
                <w:sz w:val="20"/>
                <w:szCs w:val="20"/>
              </w:rPr>
              <w:t>Ferromanganese</w:t>
            </w:r>
          </w:p>
        </w:tc>
        <w:tc>
          <w:tcPr>
            <w:tcW w:w="0" w:type="auto"/>
          </w:tcPr>
          <w:p w:rsidR="00CA4A43" w:rsidRPr="00D52A03" w:rsidRDefault="00CA4A43" w:rsidP="001F2123">
            <w:pPr>
              <w:spacing w:line="276" w:lineRule="auto"/>
              <w:jc w:val="left"/>
              <w:rPr>
                <w:sz w:val="20"/>
                <w:szCs w:val="20"/>
              </w:rPr>
            </w:pPr>
            <w:r w:rsidRPr="00D52A03">
              <w:rPr>
                <w:sz w:val="20"/>
                <w:szCs w:val="20"/>
              </w:rPr>
              <w:t>"Ferromanganese, high-coal, 74/5% Mn, at regional storage"</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Lead</w:t>
            </w:r>
          </w:p>
        </w:tc>
        <w:tc>
          <w:tcPr>
            <w:tcW w:w="0" w:type="auto"/>
          </w:tcPr>
          <w:p w:rsidR="00CA4A43" w:rsidRPr="00D52A03" w:rsidRDefault="00CA4A43" w:rsidP="001F2123">
            <w:pPr>
              <w:spacing w:line="276" w:lineRule="auto"/>
              <w:jc w:val="left"/>
              <w:rPr>
                <w:sz w:val="20"/>
                <w:szCs w:val="20"/>
              </w:rPr>
            </w:pPr>
            <w:r w:rsidRPr="00D52A03">
              <w:rPr>
                <w:sz w:val="20"/>
                <w:szCs w:val="20"/>
              </w:rPr>
              <w:t>Lead</w:t>
            </w:r>
          </w:p>
        </w:tc>
        <w:tc>
          <w:tcPr>
            <w:tcW w:w="0" w:type="auto"/>
          </w:tcPr>
          <w:p w:rsidR="00CA4A43" w:rsidRPr="00D52A03" w:rsidRDefault="00CA4A43" w:rsidP="001F2123">
            <w:pPr>
              <w:spacing w:line="276" w:lineRule="auto"/>
              <w:jc w:val="left"/>
              <w:rPr>
                <w:sz w:val="20"/>
                <w:szCs w:val="20"/>
              </w:rPr>
            </w:pPr>
            <w:r w:rsidRPr="00D52A03">
              <w:rPr>
                <w:sz w:val="20"/>
                <w:szCs w:val="20"/>
              </w:rPr>
              <w:t>"Lead, primary, at plant"</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Global</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2005</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Copper</w:t>
            </w:r>
          </w:p>
        </w:tc>
        <w:tc>
          <w:tcPr>
            <w:tcW w:w="0" w:type="auto"/>
          </w:tcPr>
          <w:p w:rsidR="00CA4A43" w:rsidRPr="00D52A03" w:rsidRDefault="00CA4A43" w:rsidP="001F2123">
            <w:pPr>
              <w:spacing w:line="276" w:lineRule="auto"/>
              <w:jc w:val="left"/>
              <w:rPr>
                <w:sz w:val="20"/>
                <w:szCs w:val="20"/>
              </w:rPr>
            </w:pPr>
            <w:r w:rsidRPr="00D52A03">
              <w:rPr>
                <w:sz w:val="20"/>
                <w:szCs w:val="20"/>
              </w:rPr>
              <w:t>Copper</w:t>
            </w:r>
          </w:p>
        </w:tc>
        <w:tc>
          <w:tcPr>
            <w:tcW w:w="0" w:type="auto"/>
          </w:tcPr>
          <w:p w:rsidR="00CA4A43" w:rsidRPr="00D52A03" w:rsidRDefault="00CA4A43" w:rsidP="001F2123">
            <w:pPr>
              <w:spacing w:line="276" w:lineRule="auto"/>
              <w:jc w:val="left"/>
              <w:rPr>
                <w:sz w:val="20"/>
                <w:szCs w:val="20"/>
              </w:rPr>
            </w:pPr>
            <w:r w:rsidRPr="00D52A03">
              <w:rPr>
                <w:sz w:val="20"/>
                <w:szCs w:val="20"/>
              </w:rPr>
              <w:t>"Copper, primary, at refinery"</w:t>
            </w:r>
          </w:p>
        </w:tc>
        <w:tc>
          <w:tcPr>
            <w:tcW w:w="0" w:type="auto"/>
            <w:shd w:val="clear" w:color="auto" w:fill="auto"/>
          </w:tcPr>
          <w:p w:rsidR="00CA4A43" w:rsidRPr="00D52A03" w:rsidRDefault="00CA4A43" w:rsidP="00F77F0E">
            <w:pPr>
              <w:spacing w:line="276" w:lineRule="auto"/>
              <w:rPr>
                <w:sz w:val="20"/>
                <w:szCs w:val="20"/>
              </w:rPr>
            </w:pPr>
            <w:r>
              <w:rPr>
                <w:noProof/>
                <w:sz w:val="20"/>
                <w:szCs w:val="20"/>
              </w:rPr>
              <w:t>Classen</w:t>
            </w:r>
            <w:r w:rsidRPr="00F77F0E">
              <w:rPr>
                <w:i/>
                <w:noProof/>
                <w:sz w:val="20"/>
                <w:szCs w:val="20"/>
              </w:rPr>
              <w:t xml:space="preserve"> et al.</w:t>
            </w:r>
            <w:r>
              <w:rPr>
                <w:noProof/>
                <w:sz w:val="20"/>
                <w:szCs w:val="20"/>
              </w:rPr>
              <w:t xml:space="preserve"> (2009)</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lastRenderedPageBreak/>
              <w:t>Rubber granulate &lt;3 mm</w:t>
            </w:r>
          </w:p>
        </w:tc>
        <w:tc>
          <w:tcPr>
            <w:tcW w:w="0" w:type="auto"/>
          </w:tcPr>
          <w:p w:rsidR="00CA4A43" w:rsidRPr="00D52A03" w:rsidRDefault="00CA4A43" w:rsidP="001F2123">
            <w:pPr>
              <w:spacing w:line="276" w:lineRule="auto"/>
              <w:jc w:val="left"/>
              <w:rPr>
                <w:sz w:val="20"/>
                <w:szCs w:val="20"/>
              </w:rPr>
            </w:pPr>
            <w:r w:rsidRPr="00D52A03">
              <w:rPr>
                <w:sz w:val="20"/>
                <w:szCs w:val="20"/>
              </w:rPr>
              <w:t>Bitumen</w:t>
            </w:r>
          </w:p>
        </w:tc>
        <w:tc>
          <w:tcPr>
            <w:tcW w:w="0" w:type="auto"/>
          </w:tcPr>
          <w:p w:rsidR="00CA4A43" w:rsidRPr="00D52A03" w:rsidRDefault="00CA4A43" w:rsidP="001F2123">
            <w:pPr>
              <w:spacing w:line="276" w:lineRule="auto"/>
              <w:jc w:val="left"/>
              <w:rPr>
                <w:sz w:val="20"/>
                <w:szCs w:val="20"/>
              </w:rPr>
            </w:pPr>
            <w:r w:rsidRPr="00D52A03">
              <w:rPr>
                <w:sz w:val="20"/>
                <w:szCs w:val="20"/>
              </w:rPr>
              <w:t>"Bitumen, at refinery"</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Jungbluth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2000</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Rubber crumb &lt;20 mm</w:t>
            </w:r>
          </w:p>
        </w:tc>
        <w:tc>
          <w:tcPr>
            <w:tcW w:w="0" w:type="auto"/>
          </w:tcPr>
          <w:p w:rsidR="00CA4A43" w:rsidRPr="00D52A03" w:rsidRDefault="00CA4A43" w:rsidP="001F2123">
            <w:pPr>
              <w:spacing w:line="276" w:lineRule="auto"/>
              <w:jc w:val="left"/>
              <w:rPr>
                <w:sz w:val="20"/>
                <w:szCs w:val="20"/>
              </w:rPr>
            </w:pPr>
            <w:r w:rsidRPr="00D52A03">
              <w:rPr>
                <w:sz w:val="20"/>
                <w:szCs w:val="20"/>
              </w:rPr>
              <w:t>Synthetic rubber</w:t>
            </w:r>
          </w:p>
        </w:tc>
        <w:tc>
          <w:tcPr>
            <w:tcW w:w="0" w:type="auto"/>
          </w:tcPr>
          <w:p w:rsidR="00CA4A43" w:rsidRPr="00D52A03" w:rsidRDefault="00CA4A43" w:rsidP="001F2123">
            <w:pPr>
              <w:spacing w:line="276" w:lineRule="auto"/>
              <w:jc w:val="left"/>
              <w:rPr>
                <w:sz w:val="20"/>
                <w:szCs w:val="20"/>
              </w:rPr>
            </w:pPr>
            <w:r w:rsidRPr="00D52A03">
              <w:rPr>
                <w:sz w:val="20"/>
                <w:szCs w:val="20"/>
              </w:rPr>
              <w:t>"Synthetic rubber,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 xml:space="preserve">Aggregate </w:t>
            </w:r>
          </w:p>
        </w:tc>
        <w:tc>
          <w:tcPr>
            <w:tcW w:w="0" w:type="auto"/>
          </w:tcPr>
          <w:p w:rsidR="00CA4A43" w:rsidRPr="00D52A03" w:rsidRDefault="00CA4A43" w:rsidP="001F2123">
            <w:pPr>
              <w:spacing w:line="276" w:lineRule="auto"/>
              <w:jc w:val="left"/>
              <w:rPr>
                <w:sz w:val="20"/>
                <w:szCs w:val="20"/>
              </w:rPr>
            </w:pPr>
            <w:r w:rsidRPr="00D52A03">
              <w:rPr>
                <w:sz w:val="20"/>
                <w:szCs w:val="20"/>
              </w:rPr>
              <w:t>Gravel</w:t>
            </w:r>
          </w:p>
        </w:tc>
        <w:tc>
          <w:tcPr>
            <w:tcW w:w="0" w:type="auto"/>
          </w:tcPr>
          <w:p w:rsidR="00CA4A43" w:rsidRPr="00D52A03" w:rsidRDefault="00CA4A43" w:rsidP="001F2123">
            <w:pPr>
              <w:spacing w:line="276" w:lineRule="auto"/>
              <w:jc w:val="left"/>
              <w:rPr>
                <w:sz w:val="20"/>
                <w:szCs w:val="20"/>
              </w:rPr>
            </w:pPr>
            <w:r w:rsidRPr="00D52A03">
              <w:rPr>
                <w:sz w:val="20"/>
                <w:szCs w:val="20"/>
              </w:rPr>
              <w:t>"Gravel, unspecified, at mine"</w:t>
            </w:r>
          </w:p>
        </w:tc>
        <w:tc>
          <w:tcPr>
            <w:tcW w:w="0" w:type="auto"/>
            <w:shd w:val="clear" w:color="auto" w:fill="auto"/>
          </w:tcPr>
          <w:p w:rsidR="00CA4A43" w:rsidRPr="00D52A03" w:rsidRDefault="00CA4A43" w:rsidP="00F77F0E">
            <w:pPr>
              <w:spacing w:line="276" w:lineRule="auto"/>
              <w:jc w:val="left"/>
              <w:rPr>
                <w:sz w:val="20"/>
                <w:szCs w:val="20"/>
              </w:rPr>
            </w:pPr>
            <w:r>
              <w:rPr>
                <w:noProof/>
                <w:sz w:val="20"/>
                <w:szCs w:val="20"/>
              </w:rPr>
              <w:t>Kellenberger</w:t>
            </w:r>
            <w:r w:rsidRPr="00F77F0E">
              <w:rPr>
                <w:i/>
                <w:noProof/>
                <w:sz w:val="20"/>
                <w:szCs w:val="20"/>
              </w:rPr>
              <w:t xml:space="preserve"> et al.</w:t>
            </w:r>
            <w:r>
              <w:rPr>
                <w:noProof/>
                <w:sz w:val="20"/>
                <w:szCs w:val="20"/>
              </w:rPr>
              <w:t xml:space="preserve">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Switzerland</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2001</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vMerge w:val="restart"/>
          </w:tcPr>
          <w:p w:rsidR="00CA4A43" w:rsidRPr="00D52A03" w:rsidRDefault="00CA4A43" w:rsidP="001F2123">
            <w:pPr>
              <w:spacing w:line="276" w:lineRule="auto"/>
              <w:jc w:val="left"/>
              <w:rPr>
                <w:sz w:val="20"/>
                <w:szCs w:val="20"/>
              </w:rPr>
            </w:pPr>
            <w:r w:rsidRPr="00D52A03">
              <w:rPr>
                <w:sz w:val="20"/>
                <w:szCs w:val="20"/>
              </w:rPr>
              <w:t>Gypsum</w:t>
            </w:r>
          </w:p>
        </w:tc>
        <w:tc>
          <w:tcPr>
            <w:tcW w:w="0" w:type="auto"/>
            <w:vMerge w:val="restart"/>
          </w:tcPr>
          <w:p w:rsidR="00CA4A43" w:rsidRPr="00D52A03" w:rsidRDefault="00CA4A43" w:rsidP="001F2123">
            <w:pPr>
              <w:spacing w:line="276" w:lineRule="auto"/>
              <w:jc w:val="left"/>
              <w:rPr>
                <w:sz w:val="20"/>
                <w:szCs w:val="20"/>
              </w:rPr>
            </w:pPr>
            <w:r w:rsidRPr="00D52A03">
              <w:rPr>
                <w:sz w:val="20"/>
                <w:szCs w:val="20"/>
              </w:rPr>
              <w:t>Mineral gypsum</w:t>
            </w:r>
          </w:p>
        </w:tc>
        <w:tc>
          <w:tcPr>
            <w:tcW w:w="0" w:type="auto"/>
          </w:tcPr>
          <w:p w:rsidR="00CA4A43" w:rsidRPr="00D52A03" w:rsidRDefault="00CA4A43" w:rsidP="001F2123">
            <w:pPr>
              <w:spacing w:line="276" w:lineRule="auto"/>
              <w:jc w:val="left"/>
              <w:rPr>
                <w:sz w:val="20"/>
                <w:szCs w:val="20"/>
              </w:rPr>
            </w:pPr>
            <w:r w:rsidRPr="00D52A03">
              <w:rPr>
                <w:sz w:val="20"/>
                <w:szCs w:val="20"/>
              </w:rPr>
              <w:t>"Gypsum, mineral, at mine"</w:t>
            </w:r>
          </w:p>
        </w:tc>
        <w:tc>
          <w:tcPr>
            <w:tcW w:w="0" w:type="auto"/>
            <w:shd w:val="clear" w:color="auto" w:fill="auto"/>
          </w:tcPr>
          <w:p w:rsidR="00CA4A43" w:rsidRPr="00D52A03" w:rsidRDefault="00CA4A43" w:rsidP="00F77F0E">
            <w:pPr>
              <w:spacing w:line="276" w:lineRule="auto"/>
              <w:jc w:val="left"/>
              <w:rPr>
                <w:sz w:val="20"/>
                <w:szCs w:val="20"/>
              </w:rPr>
            </w:pPr>
            <w:r>
              <w:rPr>
                <w:noProof/>
                <w:sz w:val="20"/>
                <w:szCs w:val="20"/>
              </w:rPr>
              <w:t>Kellenberger</w:t>
            </w:r>
            <w:r w:rsidRPr="00F77F0E">
              <w:rPr>
                <w:i/>
                <w:noProof/>
                <w:sz w:val="20"/>
                <w:szCs w:val="20"/>
              </w:rPr>
              <w:t xml:space="preserve"> et al.</w:t>
            </w:r>
            <w:r>
              <w:rPr>
                <w:noProof/>
                <w:sz w:val="20"/>
                <w:szCs w:val="20"/>
              </w:rPr>
              <w:t xml:space="preserve">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Switzerland</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2003</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vMerge/>
          </w:tcPr>
          <w:p w:rsidR="00CA4A43" w:rsidRPr="00D52A03" w:rsidRDefault="00CA4A43" w:rsidP="001F2123">
            <w:pPr>
              <w:spacing w:line="276" w:lineRule="auto"/>
              <w:jc w:val="left"/>
              <w:rPr>
                <w:sz w:val="20"/>
                <w:szCs w:val="20"/>
              </w:rPr>
            </w:pPr>
          </w:p>
        </w:tc>
        <w:tc>
          <w:tcPr>
            <w:tcW w:w="0" w:type="auto"/>
            <w:vMerge/>
          </w:tcPr>
          <w:p w:rsidR="00CA4A43" w:rsidRPr="00D52A03" w:rsidRDefault="00CA4A43" w:rsidP="001F2123">
            <w:pPr>
              <w:spacing w:line="276" w:lineRule="auto"/>
              <w:jc w:val="left"/>
              <w:rPr>
                <w:sz w:val="20"/>
                <w:szCs w:val="20"/>
              </w:rPr>
            </w:pPr>
          </w:p>
        </w:tc>
        <w:tc>
          <w:tcPr>
            <w:tcW w:w="0" w:type="auto"/>
          </w:tcPr>
          <w:p w:rsidR="00CA4A43" w:rsidRPr="00D52A03" w:rsidRDefault="00CA4A43" w:rsidP="001F2123">
            <w:pPr>
              <w:spacing w:line="276" w:lineRule="auto"/>
              <w:jc w:val="left"/>
              <w:rPr>
                <w:sz w:val="20"/>
                <w:szCs w:val="20"/>
              </w:rPr>
            </w:pPr>
            <w:r w:rsidRPr="00D52A03">
              <w:rPr>
                <w:sz w:val="20"/>
                <w:szCs w:val="20"/>
              </w:rPr>
              <w: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WRAP (2008)</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UK</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2007</w:t>
            </w:r>
          </w:p>
        </w:tc>
        <w:tc>
          <w:tcPr>
            <w:tcW w:w="0" w:type="auto"/>
          </w:tcPr>
          <w:p w:rsidR="00CA4A43" w:rsidRPr="00D52A03" w:rsidRDefault="00CA4A43" w:rsidP="001F2123">
            <w:pPr>
              <w:spacing w:line="276" w:lineRule="auto"/>
              <w:jc w:val="left"/>
              <w:rPr>
                <w:sz w:val="20"/>
                <w:szCs w:val="20"/>
              </w:rPr>
            </w:pPr>
            <w:r w:rsidRPr="00D52A03">
              <w:rPr>
                <w:sz w:val="20"/>
                <w:szCs w:val="20"/>
              </w:rPr>
              <w:t>Fair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Biodiesel</w:t>
            </w:r>
          </w:p>
        </w:tc>
        <w:tc>
          <w:tcPr>
            <w:tcW w:w="0" w:type="auto"/>
          </w:tcPr>
          <w:p w:rsidR="00CA4A43" w:rsidRPr="00D52A03" w:rsidRDefault="00CA4A43" w:rsidP="001F2123">
            <w:pPr>
              <w:spacing w:line="276" w:lineRule="auto"/>
              <w:jc w:val="left"/>
              <w:rPr>
                <w:sz w:val="20"/>
                <w:szCs w:val="20"/>
              </w:rPr>
            </w:pPr>
            <w:r w:rsidRPr="00D52A03">
              <w:rPr>
                <w:sz w:val="20"/>
                <w:szCs w:val="20"/>
              </w:rPr>
              <w:t>Fossil diesel</w:t>
            </w:r>
          </w:p>
        </w:tc>
        <w:tc>
          <w:tcPr>
            <w:tcW w:w="0" w:type="auto"/>
          </w:tcPr>
          <w:p w:rsidR="00CA4A43" w:rsidRPr="00D52A03" w:rsidRDefault="00CA4A43" w:rsidP="001F2123">
            <w:pPr>
              <w:spacing w:line="276" w:lineRule="auto"/>
              <w:jc w:val="left"/>
              <w:rPr>
                <w:sz w:val="20"/>
                <w:szCs w:val="20"/>
              </w:rPr>
            </w:pPr>
            <w:r w:rsidRPr="00D52A03">
              <w:rPr>
                <w:sz w:val="20"/>
                <w:szCs w:val="20"/>
              </w:rPr>
              <w:t>-</w:t>
            </w:r>
          </w:p>
        </w:tc>
        <w:tc>
          <w:tcPr>
            <w:tcW w:w="0" w:type="auto"/>
            <w:shd w:val="clear" w:color="auto" w:fill="auto"/>
          </w:tcPr>
          <w:p w:rsidR="00CA4A43" w:rsidRPr="00D52A03" w:rsidRDefault="00CA4A43" w:rsidP="00F77F0E">
            <w:pPr>
              <w:spacing w:line="276" w:lineRule="auto"/>
              <w:jc w:val="left"/>
              <w:rPr>
                <w:sz w:val="20"/>
                <w:szCs w:val="20"/>
              </w:rPr>
            </w:pPr>
            <w:r>
              <w:rPr>
                <w:noProof/>
                <w:sz w:val="20"/>
                <w:szCs w:val="20"/>
              </w:rPr>
              <w:t>DEFRA</w:t>
            </w:r>
            <w:r w:rsidRPr="00F77F0E">
              <w:rPr>
                <w:i/>
                <w:noProof/>
                <w:sz w:val="20"/>
                <w:szCs w:val="20"/>
              </w:rPr>
              <w:t xml:space="preserve"> et al.</w:t>
            </w:r>
            <w:r>
              <w:rPr>
                <w:noProof/>
                <w:sz w:val="20"/>
                <w:szCs w:val="20"/>
              </w:rPr>
              <w:t xml:space="preserve"> (2014)</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UK</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2013</w:t>
            </w:r>
          </w:p>
        </w:tc>
        <w:tc>
          <w:tcPr>
            <w:tcW w:w="0" w:type="auto"/>
          </w:tcPr>
          <w:p w:rsidR="00CA4A43" w:rsidRPr="00D52A03" w:rsidRDefault="00CA4A43" w:rsidP="001F2123">
            <w:pPr>
              <w:spacing w:line="276" w:lineRule="auto"/>
              <w:jc w:val="left"/>
              <w:rPr>
                <w:sz w:val="20"/>
                <w:szCs w:val="20"/>
              </w:rPr>
            </w:pPr>
            <w:r w:rsidRPr="00D52A03">
              <w:rPr>
                <w:sz w:val="20"/>
                <w:szCs w:val="20"/>
              </w:rPr>
              <w:t>High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Mattress filling fibre</w:t>
            </w:r>
          </w:p>
        </w:tc>
        <w:tc>
          <w:tcPr>
            <w:tcW w:w="0" w:type="auto"/>
          </w:tcPr>
          <w:p w:rsidR="00CA4A43" w:rsidRPr="00D52A03" w:rsidRDefault="00CA4A43" w:rsidP="001F2123">
            <w:pPr>
              <w:spacing w:line="276" w:lineRule="auto"/>
              <w:jc w:val="left"/>
              <w:rPr>
                <w:sz w:val="20"/>
                <w:szCs w:val="20"/>
              </w:rPr>
            </w:pPr>
            <w:r w:rsidRPr="00D52A03">
              <w:rPr>
                <w:sz w:val="20"/>
                <w:szCs w:val="20"/>
              </w:rPr>
              <w:t>Flocking material</w:t>
            </w:r>
          </w:p>
        </w:tc>
        <w:tc>
          <w:tcPr>
            <w:tcW w:w="0" w:type="auto"/>
          </w:tcPr>
          <w:p w:rsidR="00CA4A43" w:rsidRPr="00D52A03" w:rsidRDefault="00CA4A43" w:rsidP="001F2123">
            <w:pPr>
              <w:spacing w:line="276" w:lineRule="auto"/>
              <w:jc w:val="left"/>
              <w:rPr>
                <w:sz w:val="20"/>
                <w:szCs w:val="20"/>
              </w:rPr>
            </w:pPr>
            <w:r w:rsidRPr="00D52A03">
              <w:rPr>
                <w:sz w:val="20"/>
                <w:szCs w:val="20"/>
              </w:rPr>
              <w:t>"Polyurethane, flexible foam,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1997</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Pr>
          <w:p w:rsidR="00CA4A43" w:rsidRPr="00D52A03" w:rsidRDefault="00CA4A43" w:rsidP="001F2123">
            <w:pPr>
              <w:spacing w:line="276" w:lineRule="auto"/>
              <w:jc w:val="left"/>
              <w:rPr>
                <w:sz w:val="20"/>
                <w:szCs w:val="20"/>
              </w:rPr>
            </w:pPr>
            <w:r w:rsidRPr="00D52A03">
              <w:rPr>
                <w:sz w:val="20"/>
                <w:szCs w:val="20"/>
              </w:rPr>
              <w:t>Natural fibre wiping cloths</w:t>
            </w:r>
          </w:p>
        </w:tc>
        <w:tc>
          <w:tcPr>
            <w:tcW w:w="0" w:type="auto"/>
          </w:tcPr>
          <w:p w:rsidR="00CA4A43" w:rsidRPr="00D52A03" w:rsidRDefault="00CA4A43" w:rsidP="001F2123">
            <w:pPr>
              <w:spacing w:line="276" w:lineRule="auto"/>
              <w:jc w:val="left"/>
              <w:rPr>
                <w:sz w:val="20"/>
                <w:szCs w:val="20"/>
              </w:rPr>
            </w:pPr>
            <w:r w:rsidRPr="00D52A03">
              <w:rPr>
                <w:sz w:val="20"/>
                <w:szCs w:val="20"/>
              </w:rPr>
              <w:t>Paper wiping cloths</w:t>
            </w:r>
          </w:p>
        </w:tc>
        <w:tc>
          <w:tcPr>
            <w:tcW w:w="0" w:type="auto"/>
          </w:tcPr>
          <w:p w:rsidR="00CA4A43" w:rsidRPr="00D52A03" w:rsidRDefault="00CA4A43" w:rsidP="001F2123">
            <w:pPr>
              <w:spacing w:line="276" w:lineRule="auto"/>
              <w:jc w:val="left"/>
              <w:rPr>
                <w:sz w:val="20"/>
                <w:szCs w:val="20"/>
              </w:rPr>
            </w:pPr>
            <w:r w:rsidRPr="00D52A03">
              <w:rPr>
                <w:sz w:val="20"/>
                <w:szCs w:val="20"/>
              </w:rPr>
              <w:t>"Kraft paper, bleached, at plant"</w:t>
            </w:r>
          </w:p>
        </w:tc>
        <w:tc>
          <w:tcPr>
            <w:tcW w:w="0" w:type="auto"/>
            <w:shd w:val="clear" w:color="auto" w:fill="auto"/>
          </w:tcPr>
          <w:p w:rsidR="00CA4A43" w:rsidRPr="00D52A03" w:rsidRDefault="00CA4A43" w:rsidP="001F2123">
            <w:pPr>
              <w:spacing w:line="276" w:lineRule="auto"/>
              <w:jc w:val="left"/>
              <w:rPr>
                <w:sz w:val="20"/>
                <w:szCs w:val="20"/>
              </w:rPr>
            </w:pPr>
            <w:r w:rsidRPr="00D52A03">
              <w:rPr>
                <w:noProof/>
                <w:sz w:val="20"/>
                <w:szCs w:val="20"/>
              </w:rPr>
              <w:t>Hischier (2007)</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Europe</w:t>
            </w:r>
          </w:p>
        </w:tc>
        <w:tc>
          <w:tcPr>
            <w:tcW w:w="0" w:type="auto"/>
            <w:shd w:val="clear" w:color="auto" w:fill="auto"/>
          </w:tcPr>
          <w:p w:rsidR="00CA4A43" w:rsidRPr="00D52A03" w:rsidRDefault="00CA4A43" w:rsidP="001F2123">
            <w:pPr>
              <w:spacing w:line="276" w:lineRule="auto"/>
              <w:jc w:val="left"/>
              <w:rPr>
                <w:sz w:val="20"/>
                <w:szCs w:val="20"/>
              </w:rPr>
            </w:pPr>
            <w:r w:rsidRPr="00D52A03">
              <w:rPr>
                <w:sz w:val="20"/>
                <w:szCs w:val="20"/>
              </w:rPr>
              <w:t>1993</w:t>
            </w:r>
          </w:p>
        </w:tc>
        <w:tc>
          <w:tcPr>
            <w:tcW w:w="0" w:type="auto"/>
          </w:tcPr>
          <w:p w:rsidR="00CA4A43" w:rsidRPr="00D52A03" w:rsidRDefault="00CA4A43" w:rsidP="001F2123">
            <w:pPr>
              <w:spacing w:line="276" w:lineRule="auto"/>
              <w:jc w:val="left"/>
              <w:rPr>
                <w:sz w:val="20"/>
                <w:szCs w:val="20"/>
              </w:rPr>
            </w:pPr>
            <w:r w:rsidRPr="00D52A03">
              <w:rPr>
                <w:sz w:val="20"/>
                <w:szCs w:val="20"/>
              </w:rPr>
              <w:t>Poor quality</w:t>
            </w:r>
          </w:p>
        </w:tc>
      </w:tr>
      <w:tr w:rsidR="00CA4A43" w:rsidRPr="00D52A03" w:rsidTr="001F2123">
        <w:tc>
          <w:tcPr>
            <w:tcW w:w="0" w:type="auto"/>
            <w:tcBorders>
              <w:bottom w:val="single" w:sz="4" w:space="0" w:color="auto"/>
            </w:tcBorders>
          </w:tcPr>
          <w:p w:rsidR="00CA4A43" w:rsidRPr="00D52A03" w:rsidRDefault="00CA4A43" w:rsidP="001F2123">
            <w:pPr>
              <w:spacing w:line="276" w:lineRule="auto"/>
              <w:jc w:val="left"/>
              <w:rPr>
                <w:sz w:val="20"/>
                <w:szCs w:val="20"/>
              </w:rPr>
            </w:pPr>
            <w:r w:rsidRPr="00D52A03">
              <w:rPr>
                <w:sz w:val="20"/>
                <w:szCs w:val="20"/>
              </w:rPr>
              <w:t>Artificial fibre wiping cloths</w:t>
            </w:r>
          </w:p>
        </w:tc>
        <w:tc>
          <w:tcPr>
            <w:tcW w:w="0" w:type="auto"/>
            <w:tcBorders>
              <w:bottom w:val="single" w:sz="4" w:space="0" w:color="auto"/>
            </w:tcBorders>
          </w:tcPr>
          <w:p w:rsidR="00CA4A43" w:rsidRPr="00D52A03" w:rsidRDefault="00CA4A43" w:rsidP="001F2123">
            <w:pPr>
              <w:spacing w:line="276" w:lineRule="auto"/>
              <w:jc w:val="left"/>
              <w:rPr>
                <w:sz w:val="20"/>
                <w:szCs w:val="20"/>
              </w:rPr>
            </w:pPr>
            <w:r w:rsidRPr="00D52A03">
              <w:rPr>
                <w:sz w:val="20"/>
                <w:szCs w:val="20"/>
              </w:rPr>
              <w:t>Artificial wiping cloths</w:t>
            </w:r>
          </w:p>
        </w:tc>
        <w:tc>
          <w:tcPr>
            <w:tcW w:w="0" w:type="auto"/>
            <w:tcBorders>
              <w:bottom w:val="single" w:sz="4" w:space="0" w:color="auto"/>
            </w:tcBorders>
          </w:tcPr>
          <w:p w:rsidR="00CA4A43" w:rsidRPr="00D52A03" w:rsidRDefault="00CA4A43" w:rsidP="001F2123">
            <w:pPr>
              <w:spacing w:line="276" w:lineRule="auto"/>
              <w:jc w:val="left"/>
              <w:rPr>
                <w:sz w:val="20"/>
                <w:szCs w:val="20"/>
              </w:rPr>
            </w:pPr>
            <w:r w:rsidRPr="00D52A03">
              <w:rPr>
                <w:sz w:val="20"/>
                <w:szCs w:val="20"/>
              </w:rPr>
              <w:t>-</w:t>
            </w:r>
          </w:p>
        </w:tc>
        <w:tc>
          <w:tcPr>
            <w:tcW w:w="0" w:type="auto"/>
            <w:tcBorders>
              <w:bottom w:val="single" w:sz="4" w:space="0" w:color="auto"/>
            </w:tcBorders>
            <w:shd w:val="clear" w:color="auto" w:fill="auto"/>
          </w:tcPr>
          <w:p w:rsidR="00CA4A43" w:rsidRPr="00D52A03" w:rsidRDefault="00CA4A43" w:rsidP="00F77F0E">
            <w:pPr>
              <w:spacing w:line="276" w:lineRule="auto"/>
              <w:jc w:val="left"/>
              <w:rPr>
                <w:sz w:val="20"/>
                <w:szCs w:val="20"/>
              </w:rPr>
            </w:pPr>
            <w:r>
              <w:rPr>
                <w:noProof/>
                <w:sz w:val="20"/>
                <w:szCs w:val="20"/>
              </w:rPr>
              <w:t>DEFRA</w:t>
            </w:r>
            <w:r w:rsidRPr="00F77F0E">
              <w:rPr>
                <w:i/>
                <w:noProof/>
                <w:sz w:val="20"/>
                <w:szCs w:val="20"/>
              </w:rPr>
              <w:t xml:space="preserve"> et al.</w:t>
            </w:r>
            <w:r>
              <w:rPr>
                <w:noProof/>
                <w:sz w:val="20"/>
                <w:szCs w:val="20"/>
              </w:rPr>
              <w:t xml:space="preserve"> (2014)</w:t>
            </w:r>
          </w:p>
        </w:tc>
        <w:tc>
          <w:tcPr>
            <w:tcW w:w="0" w:type="auto"/>
            <w:tcBorders>
              <w:bottom w:val="single" w:sz="4" w:space="0" w:color="auto"/>
            </w:tcBorders>
            <w:shd w:val="clear" w:color="auto" w:fill="auto"/>
          </w:tcPr>
          <w:p w:rsidR="00CA4A43" w:rsidRPr="00D52A03" w:rsidRDefault="00CA4A43" w:rsidP="001F2123">
            <w:pPr>
              <w:spacing w:line="276" w:lineRule="auto"/>
              <w:jc w:val="left"/>
              <w:rPr>
                <w:sz w:val="20"/>
                <w:szCs w:val="20"/>
              </w:rPr>
            </w:pPr>
            <w:r w:rsidRPr="00D52A03">
              <w:rPr>
                <w:sz w:val="20"/>
                <w:szCs w:val="20"/>
              </w:rPr>
              <w:t>UK</w:t>
            </w:r>
          </w:p>
        </w:tc>
        <w:tc>
          <w:tcPr>
            <w:tcW w:w="0" w:type="auto"/>
            <w:tcBorders>
              <w:bottom w:val="single" w:sz="4" w:space="0" w:color="auto"/>
            </w:tcBorders>
            <w:shd w:val="clear" w:color="auto" w:fill="auto"/>
          </w:tcPr>
          <w:p w:rsidR="00CA4A43" w:rsidRPr="00D52A03" w:rsidRDefault="00CA4A43" w:rsidP="001F2123">
            <w:pPr>
              <w:spacing w:line="276" w:lineRule="auto"/>
              <w:jc w:val="left"/>
              <w:rPr>
                <w:sz w:val="20"/>
                <w:szCs w:val="20"/>
              </w:rPr>
            </w:pPr>
            <w:r w:rsidRPr="00D52A03">
              <w:rPr>
                <w:sz w:val="20"/>
                <w:szCs w:val="20"/>
              </w:rPr>
              <w:t>2013</w:t>
            </w:r>
          </w:p>
        </w:tc>
        <w:tc>
          <w:tcPr>
            <w:tcW w:w="0" w:type="auto"/>
            <w:tcBorders>
              <w:bottom w:val="single" w:sz="4" w:space="0" w:color="auto"/>
            </w:tcBorders>
          </w:tcPr>
          <w:p w:rsidR="00CA4A43" w:rsidRPr="00D52A03" w:rsidRDefault="00CA4A43" w:rsidP="001F2123">
            <w:pPr>
              <w:spacing w:line="276" w:lineRule="auto"/>
              <w:jc w:val="left"/>
              <w:rPr>
                <w:sz w:val="20"/>
                <w:szCs w:val="20"/>
              </w:rPr>
            </w:pPr>
            <w:r w:rsidRPr="00D52A03">
              <w:rPr>
                <w:sz w:val="20"/>
                <w:szCs w:val="20"/>
              </w:rPr>
              <w:t>High quality</w:t>
            </w:r>
          </w:p>
        </w:tc>
      </w:tr>
    </w:tbl>
    <w:p w:rsidR="00CA4A43" w:rsidRDefault="00CA4A43" w:rsidP="00DF2C10">
      <w:pPr>
        <w:spacing w:line="276" w:lineRule="auto"/>
        <w:rPr>
          <w:sz w:val="20"/>
          <w:szCs w:val="20"/>
        </w:rPr>
      </w:pPr>
      <w:r w:rsidRPr="00C1588F">
        <w:rPr>
          <w:sz w:val="20"/>
          <w:szCs w:val="20"/>
        </w:rPr>
        <w:t>PET, polyethylene terephthalate; LDPE, low-density polyethylene; HDPE, high-density polyethylene; PVC, polyvinyl chloride; PP, polypropylene</w:t>
      </w:r>
      <w:r>
        <w:rPr>
          <w:sz w:val="20"/>
          <w:szCs w:val="20"/>
        </w:rPr>
        <w:t xml:space="preserve">; </w:t>
      </w:r>
      <w:r w:rsidRPr="00C1588F">
        <w:rPr>
          <w:sz w:val="20"/>
          <w:szCs w:val="20"/>
        </w:rPr>
        <w:t xml:space="preserve">MDF, </w:t>
      </w:r>
      <w:r>
        <w:rPr>
          <w:sz w:val="20"/>
          <w:szCs w:val="20"/>
        </w:rPr>
        <w:t>medium-density fibreboard</w:t>
      </w:r>
    </w:p>
    <w:p w:rsidR="00CA4A43" w:rsidRPr="00D258EA" w:rsidRDefault="00CA4A43" w:rsidP="00D258EA">
      <w:pPr>
        <w:rPr>
          <w:sz w:val="20"/>
          <w:szCs w:val="20"/>
        </w:rPr>
        <w:sectPr w:rsidR="00CA4A43" w:rsidRPr="00D258EA" w:rsidSect="005A658E">
          <w:pgSz w:w="16838" w:h="11906" w:orient="landscape"/>
          <w:pgMar w:top="1440" w:right="1440" w:bottom="1440" w:left="1440" w:header="708" w:footer="708" w:gutter="0"/>
          <w:cols w:space="708"/>
          <w:docGrid w:linePitch="360"/>
        </w:sectPr>
      </w:pPr>
    </w:p>
    <w:p w:rsidR="00CA4A43" w:rsidRPr="001C3168" w:rsidRDefault="00CA4A43" w:rsidP="00F77F0E">
      <w:pPr>
        <w:pStyle w:val="Heading2"/>
        <w:spacing w:before="0"/>
      </w:pPr>
      <w:r w:rsidRPr="001C3168">
        <w:lastRenderedPageBreak/>
        <w:t>References</w:t>
      </w:r>
    </w:p>
    <w:p w:rsidR="00CA4A43" w:rsidRPr="00F77F0E" w:rsidRDefault="00CA4A43" w:rsidP="00F77F0E">
      <w:pPr>
        <w:pStyle w:val="EndNoteBibliography"/>
        <w:ind w:left="720" w:hanging="720"/>
      </w:pPr>
      <w:r w:rsidRPr="00F77F0E">
        <w:t xml:space="preserve">Baeyens, J., Brems, A. and Dewil, R. (2010) Recovery and recycling of post-consumer waste materials. Part 2. Target wastes (glass beverage bottles, plastics, scrap metal and steel cans, end-of-life tyres, batteries and household hazardous waste). </w:t>
      </w:r>
      <w:r w:rsidRPr="00F77F0E">
        <w:rPr>
          <w:i/>
        </w:rPr>
        <w:t>International Journal of Sustainable Engineering,</w:t>
      </w:r>
      <w:r w:rsidRPr="00F77F0E">
        <w:t xml:space="preserve"> 3 (4), 232-245.</w:t>
      </w:r>
    </w:p>
    <w:p w:rsidR="00CA4A43" w:rsidRPr="00F77F0E" w:rsidRDefault="00CA4A43" w:rsidP="00F77F0E">
      <w:pPr>
        <w:pStyle w:val="EndNoteBibliography"/>
        <w:ind w:left="720" w:hanging="720"/>
      </w:pPr>
      <w:r w:rsidRPr="00F77F0E">
        <w:t xml:space="preserve">Boldrin, A., Andersen, J.K., Moller, J., Christensen, T.H. and Favoino, E. (2009) Composting and compost utilization: Accounting of greenhouse gases and global warming contributions. </w:t>
      </w:r>
      <w:r w:rsidRPr="00F77F0E">
        <w:rPr>
          <w:i/>
        </w:rPr>
        <w:t>Waste Management &amp; Research,</w:t>
      </w:r>
      <w:r w:rsidRPr="00F77F0E">
        <w:t xml:space="preserve"> 27 (8), 800-812.</w:t>
      </w:r>
    </w:p>
    <w:p w:rsidR="00CA4A43" w:rsidRPr="00F77F0E" w:rsidRDefault="00CA4A43" w:rsidP="00F77F0E">
      <w:pPr>
        <w:pStyle w:val="EndNoteBibliography"/>
        <w:ind w:left="720" w:hanging="720"/>
      </w:pPr>
      <w:r w:rsidRPr="00F77F0E">
        <w:t xml:space="preserve">Bruun, S., Hansen, T.L., Christensen, T.H., Magid, J. and Jensen, L.S. (2006) Application of processed organic municipal solid waste on agricultural land – a scenario analysis. </w:t>
      </w:r>
      <w:r w:rsidRPr="00F77F0E">
        <w:rPr>
          <w:i/>
        </w:rPr>
        <w:t>Environmental Modeling &amp; Assessment,</w:t>
      </w:r>
      <w:r w:rsidRPr="00F77F0E">
        <w:t xml:space="preserve"> 11 (3), 251-265.</w:t>
      </w:r>
    </w:p>
    <w:p w:rsidR="00CA4A43" w:rsidRPr="00F77F0E" w:rsidRDefault="00CA4A43" w:rsidP="00F77F0E">
      <w:pPr>
        <w:pStyle w:val="EndNoteBibliography"/>
        <w:ind w:left="720" w:hanging="720"/>
      </w:pPr>
      <w:r w:rsidRPr="00F77F0E">
        <w:t xml:space="preserve">Burchart-Korol, D. (2013) Life cycle assessment of steel production in Poland: a case study. </w:t>
      </w:r>
      <w:r w:rsidRPr="00F77F0E">
        <w:rPr>
          <w:i/>
        </w:rPr>
        <w:t>Journal of Cleaner Production,</w:t>
      </w:r>
      <w:r w:rsidRPr="00F77F0E">
        <w:t xml:space="preserve"> 54, 235-243.</w:t>
      </w:r>
    </w:p>
    <w:p w:rsidR="00CA4A43" w:rsidRPr="00F77F0E" w:rsidRDefault="00CA4A43" w:rsidP="00A247C1">
      <w:pPr>
        <w:pStyle w:val="EndNoteBibliography"/>
        <w:ind w:left="720" w:hanging="720"/>
      </w:pPr>
      <w:r w:rsidRPr="00F77F0E">
        <w:t xml:space="preserve">Classen, M., Althaus, H.-J., Balaser, S., Scharnhorst, W., Tuchschmid, M., Jungbluth, N. and Emmenegger, L. (2009) </w:t>
      </w:r>
      <w:r w:rsidRPr="00F77F0E">
        <w:rPr>
          <w:i/>
        </w:rPr>
        <w:t>Life cycle inventories of metals. Final report ecoinvent report No. 10</w:t>
      </w:r>
      <w:r w:rsidRPr="00F77F0E">
        <w:t>. Dübendorf, Switzerland: Swiss Cen</w:t>
      </w:r>
      <w:r w:rsidR="00A247C1">
        <w:t>tre for Life Cycle Inventories.</w:t>
      </w:r>
    </w:p>
    <w:p w:rsidR="00CA4A43" w:rsidRPr="00F77F0E" w:rsidRDefault="00CA4A43" w:rsidP="00F77F0E">
      <w:pPr>
        <w:pStyle w:val="EndNoteBibliography"/>
        <w:ind w:left="720" w:hanging="720"/>
      </w:pPr>
      <w:r w:rsidRPr="00F77F0E">
        <w:t xml:space="preserve">Crowe, M., Elser, A., Göpfert, B., Mertins, L., Meyer, T., Schmid, J., Spillner, A. and Ströbel, R. (2003) </w:t>
      </w:r>
      <w:r w:rsidRPr="00F77F0E">
        <w:rPr>
          <w:i/>
        </w:rPr>
        <w:t>Waste from electrical and electronic equipment (WEEE) - quantities, dangerous substances and treatment methods</w:t>
      </w:r>
      <w:r w:rsidRPr="00F77F0E">
        <w:t>. Copenhagen, Denmark: European Environment Agency.</w:t>
      </w:r>
    </w:p>
    <w:p w:rsidR="00CA4A43" w:rsidRPr="00F77F0E" w:rsidRDefault="00A247C1" w:rsidP="00A247C1">
      <w:pPr>
        <w:pStyle w:val="EndNoteBibliography"/>
        <w:ind w:left="720" w:hanging="720"/>
      </w:pPr>
      <w:r>
        <w:t>Department for Environment, Food &amp; Rural Affairs (Defra)</w:t>
      </w:r>
      <w:r w:rsidR="00CA4A43" w:rsidRPr="00F77F0E">
        <w:t xml:space="preserve">, Ricardo-AEA and Carbon Smart (2014) </w:t>
      </w:r>
      <w:r w:rsidR="00CA4A43" w:rsidRPr="00F77F0E">
        <w:rPr>
          <w:i/>
        </w:rPr>
        <w:t>Greenhouse gas conversion factor repository</w:t>
      </w:r>
      <w:r w:rsidR="00CA4A43" w:rsidRPr="00F77F0E">
        <w:t xml:space="preserve">. Available from: </w:t>
      </w:r>
      <w:r w:rsidR="00CA4A43" w:rsidRPr="00CA4A43">
        <w:t>http://www.ukconversionfactorscarbonsmart.co.uk/</w:t>
      </w:r>
      <w:r>
        <w:t xml:space="preserve"> [Accessed 10/06</w:t>
      </w:r>
      <w:r w:rsidR="00CA4A43" w:rsidRPr="00F77F0E">
        <w:t>/201</w:t>
      </w:r>
      <w:r>
        <w:t>5</w:t>
      </w:r>
      <w:r w:rsidR="00CA4A43" w:rsidRPr="00F77F0E">
        <w:t>].</w:t>
      </w:r>
    </w:p>
    <w:p w:rsidR="00CA4A43" w:rsidRPr="00F77F0E" w:rsidRDefault="00CA4A43" w:rsidP="00F77F0E">
      <w:pPr>
        <w:pStyle w:val="EndNoteBibliography"/>
        <w:ind w:left="720" w:hanging="720"/>
      </w:pPr>
      <w:r w:rsidRPr="00F77F0E">
        <w:t xml:space="preserve">Doka, G. (2009) </w:t>
      </w:r>
      <w:r w:rsidRPr="00F77F0E">
        <w:rPr>
          <w:i/>
        </w:rPr>
        <w:t>Life cycle inventories of waste treatment services. ecoinvent report No. 13</w:t>
      </w:r>
      <w:r w:rsidRPr="00F77F0E">
        <w:t>. Dübendorf, Switzerland: Swiss Centre for Life Cycle Inventories.</w:t>
      </w:r>
    </w:p>
    <w:p w:rsidR="00CA4A43" w:rsidRPr="00F77F0E" w:rsidRDefault="00CA4A43" w:rsidP="00F77F0E">
      <w:pPr>
        <w:pStyle w:val="EndNoteBibliography"/>
        <w:ind w:left="720" w:hanging="720"/>
      </w:pPr>
      <w:r w:rsidRPr="00F77F0E">
        <w:t xml:space="preserve">EAA (2008) </w:t>
      </w:r>
      <w:r w:rsidRPr="00F77F0E">
        <w:rPr>
          <w:i/>
        </w:rPr>
        <w:t>Environmental profile report for the European aluminium industry</w:t>
      </w:r>
      <w:r w:rsidRPr="00F77F0E">
        <w:t>. Brussels, Belgium: European Aluminium Association.</w:t>
      </w:r>
    </w:p>
    <w:p w:rsidR="00CA4A43" w:rsidRPr="00F77F0E" w:rsidRDefault="00CA4A43" w:rsidP="006B04BE">
      <w:pPr>
        <w:pStyle w:val="EndNoteBibliography"/>
        <w:ind w:left="720" w:hanging="720"/>
      </w:pPr>
      <w:r w:rsidRPr="00F77F0E">
        <w:t xml:space="preserve">Eldan Recycling (2014) </w:t>
      </w:r>
      <w:r w:rsidRPr="00F77F0E">
        <w:rPr>
          <w:i/>
        </w:rPr>
        <w:t>Multi Function Plant (Tyre/Cable/WEEE)</w:t>
      </w:r>
      <w:r w:rsidRPr="00F77F0E">
        <w:t xml:space="preserve">. Available from: </w:t>
      </w:r>
      <w:r w:rsidRPr="00CA4A43">
        <w:t>http://www.eldan-recycling.com/content/multi-function-plant-tyrecableweee-1</w:t>
      </w:r>
      <w:r w:rsidR="006B04BE">
        <w:t xml:space="preserve"> [Accessed 11/06</w:t>
      </w:r>
      <w:r w:rsidRPr="00F77F0E">
        <w:t>/201</w:t>
      </w:r>
      <w:r w:rsidR="006B04BE">
        <w:t>5</w:t>
      </w:r>
      <w:r w:rsidRPr="00F77F0E">
        <w:t>].</w:t>
      </w:r>
    </w:p>
    <w:p w:rsidR="00CA4A43" w:rsidRPr="00F77F0E" w:rsidRDefault="006B04BE" w:rsidP="00F77F0E">
      <w:pPr>
        <w:pStyle w:val="EndNoteBibliography"/>
        <w:ind w:left="720" w:hanging="720"/>
      </w:pPr>
      <w:r>
        <w:t>EA</w:t>
      </w:r>
      <w:r w:rsidR="00CA4A43" w:rsidRPr="00F77F0E">
        <w:t xml:space="preserve"> (2010) </w:t>
      </w:r>
      <w:r w:rsidR="00CA4A43" w:rsidRPr="00F77F0E">
        <w:rPr>
          <w:i/>
        </w:rPr>
        <w:t>Waste and Resources Assessment Tool for the Environment (WRATE) LCA model</w:t>
      </w:r>
      <w:r w:rsidR="00CA4A43" w:rsidRPr="00F77F0E">
        <w:t>. Rotherham, UK: Environment Agency.</w:t>
      </w:r>
    </w:p>
    <w:p w:rsidR="00CA4A43" w:rsidRPr="00F77F0E" w:rsidRDefault="00CA4A43" w:rsidP="00F77F0E">
      <w:pPr>
        <w:pStyle w:val="EndNoteBibliography"/>
        <w:ind w:left="720" w:hanging="720"/>
      </w:pPr>
      <w:r w:rsidRPr="00F77F0E">
        <w:lastRenderedPageBreak/>
        <w:t xml:space="preserve">Enviros Consulting Ltd (2003) </w:t>
      </w:r>
      <w:r w:rsidRPr="00F77F0E">
        <w:rPr>
          <w:i/>
        </w:rPr>
        <w:t>Glass recycling - life cycle carbon dioxide emissions</w:t>
      </w:r>
      <w:r w:rsidRPr="00F77F0E">
        <w:t>. Sheffield, UK: British Glass Manufacturers Confederation.</w:t>
      </w:r>
    </w:p>
    <w:p w:rsidR="00CA4A43" w:rsidRPr="00F77F0E" w:rsidRDefault="00CA4A43" w:rsidP="00F77F0E">
      <w:pPr>
        <w:pStyle w:val="EndNoteBibliography"/>
        <w:ind w:left="720" w:hanging="720"/>
      </w:pPr>
      <w:r w:rsidRPr="00F77F0E">
        <w:t xml:space="preserve">Fisher, K., Wallén, E., Laenen, P.P. and Collins, M. (2006) </w:t>
      </w:r>
      <w:r w:rsidRPr="00F77F0E">
        <w:rPr>
          <w:i/>
        </w:rPr>
        <w:t>Battery waste management life cycle assessment</w:t>
      </w:r>
      <w:r w:rsidRPr="00F77F0E">
        <w:t>. London, UK: Department for Environment</w:t>
      </w:r>
      <w:r w:rsidR="003641E1">
        <w:t>,</w:t>
      </w:r>
      <w:r w:rsidRPr="00F77F0E">
        <w:t xml:space="preserve"> Food &amp; Rural Affairs.</w:t>
      </w:r>
    </w:p>
    <w:p w:rsidR="00CA4A43" w:rsidRPr="00F77F0E" w:rsidRDefault="00CA4A43" w:rsidP="00F77F0E">
      <w:pPr>
        <w:pStyle w:val="EndNoteBibliography"/>
        <w:ind w:left="720" w:hanging="720"/>
      </w:pPr>
      <w:r w:rsidRPr="00F77F0E">
        <w:t xml:space="preserve">Freyberg, T. (2012) Nappy recycling is the UK ready to run walk or crawl? </w:t>
      </w:r>
      <w:r w:rsidRPr="00F77F0E">
        <w:rPr>
          <w:i/>
        </w:rPr>
        <w:t>Waste Management World,</w:t>
      </w:r>
      <w:r w:rsidRPr="00F77F0E">
        <w:t xml:space="preserve"> 13 (5).</w:t>
      </w:r>
    </w:p>
    <w:p w:rsidR="00CA4A43" w:rsidRPr="00F77F0E" w:rsidRDefault="00CA4A43" w:rsidP="00F77F0E">
      <w:pPr>
        <w:pStyle w:val="EndNoteBibliography"/>
        <w:ind w:left="720" w:hanging="720"/>
      </w:pPr>
      <w:r w:rsidRPr="00F77F0E">
        <w:t xml:space="preserve">Hansen, T.L. (2006) Environmental modelling of use of treated organic waste on agricultural land: a comparison of existing models for life cycle assessment of waste systems. </w:t>
      </w:r>
      <w:r w:rsidRPr="00F77F0E">
        <w:rPr>
          <w:i/>
        </w:rPr>
        <w:t>Waste Management &amp; Research,</w:t>
      </w:r>
      <w:r w:rsidRPr="00F77F0E">
        <w:t xml:space="preserve"> 24 (2), 141-152.</w:t>
      </w:r>
    </w:p>
    <w:p w:rsidR="00CA4A43" w:rsidRPr="00F77F0E" w:rsidRDefault="00CA4A43" w:rsidP="00F77F0E">
      <w:pPr>
        <w:pStyle w:val="EndNoteBibliography"/>
        <w:ind w:left="720" w:hanging="720"/>
      </w:pPr>
      <w:r w:rsidRPr="00F77F0E">
        <w:t xml:space="preserve">Hischier, R. (2007) </w:t>
      </w:r>
      <w:r w:rsidRPr="00F77F0E">
        <w:rPr>
          <w:i/>
        </w:rPr>
        <w:t>Life cycle inventories of packagings and graphical papers. ecoinvent report No. 11</w:t>
      </w:r>
      <w:r w:rsidRPr="00F77F0E">
        <w:t>. Dübendorf, Switzerland: Swiss Centre for Life Cycle Inventories.</w:t>
      </w:r>
    </w:p>
    <w:p w:rsidR="00CA4A43" w:rsidRPr="00F77F0E" w:rsidRDefault="00CA4A43" w:rsidP="00F77F0E">
      <w:pPr>
        <w:pStyle w:val="EndNoteBibliography"/>
        <w:ind w:left="720" w:hanging="720"/>
      </w:pPr>
      <w:r w:rsidRPr="00F77F0E">
        <w:t xml:space="preserve">Hischier, R., Classen, M., Lehmann, M. and Scharnhorst, W. (2007) </w:t>
      </w:r>
      <w:r w:rsidRPr="00F77F0E">
        <w:rPr>
          <w:i/>
        </w:rPr>
        <w:t>Life cycle inventories of electric and electronic equipment - production, use &amp; disposal. ecoinvent report No. 18</w:t>
      </w:r>
      <w:r w:rsidRPr="00F77F0E">
        <w:t>. Dübendorf, Switzerland: Swiss Centre for Life Cycle Inventories.</w:t>
      </w:r>
    </w:p>
    <w:p w:rsidR="00CA4A43" w:rsidRPr="00F77F0E" w:rsidRDefault="00A8748D" w:rsidP="00057E45">
      <w:pPr>
        <w:pStyle w:val="EndNoteBibliography"/>
        <w:ind w:left="720" w:hanging="720"/>
      </w:pPr>
      <w:r>
        <w:t xml:space="preserve">Joint Research </w:t>
      </w:r>
      <w:r w:rsidR="00057E45">
        <w:t>Centre</w:t>
      </w:r>
      <w:bookmarkStart w:id="0" w:name="_GoBack"/>
      <w:bookmarkEnd w:id="0"/>
      <w:r>
        <w:t xml:space="preserve"> (</w:t>
      </w:r>
      <w:r w:rsidR="00CA4A43" w:rsidRPr="00F77F0E">
        <w:t>JRC</w:t>
      </w:r>
      <w:r>
        <w:t>)</w:t>
      </w:r>
      <w:r w:rsidR="00CA4A43" w:rsidRPr="00F77F0E">
        <w:t xml:space="preserve"> (2008) </w:t>
      </w:r>
      <w:r w:rsidR="00CA4A43" w:rsidRPr="00F77F0E">
        <w:rPr>
          <w:i/>
        </w:rPr>
        <w:t>European reference life cycle database, version 2.0</w:t>
      </w:r>
      <w:r w:rsidR="00CA4A43" w:rsidRPr="00F77F0E">
        <w:t>.</w:t>
      </w:r>
      <w:r w:rsidR="00371057">
        <w:t xml:space="preserve"> European</w:t>
      </w:r>
      <w:r w:rsidR="00CA4A43" w:rsidRPr="00F77F0E">
        <w:t xml:space="preserve"> Commission. Available from: </w:t>
      </w:r>
      <w:r w:rsidR="00371057" w:rsidRPr="00371057">
        <w:t>http://eplca.jrc.ec.europa.eu/ELCD3/</w:t>
      </w:r>
      <w:r w:rsidR="00371057">
        <w:t xml:space="preserve"> [Accessed 11/06</w:t>
      </w:r>
      <w:r w:rsidR="00371057" w:rsidRPr="00F77F0E">
        <w:t>/201</w:t>
      </w:r>
      <w:r w:rsidR="00371057">
        <w:t>5</w:t>
      </w:r>
      <w:r w:rsidR="00371057" w:rsidRPr="00F77F0E">
        <w:t>].</w:t>
      </w:r>
    </w:p>
    <w:p w:rsidR="00CA4A43" w:rsidRPr="00F77F0E" w:rsidRDefault="00CA4A43" w:rsidP="00F77F0E">
      <w:pPr>
        <w:pStyle w:val="EndNoteBibliography"/>
        <w:ind w:left="720" w:hanging="720"/>
      </w:pPr>
      <w:r w:rsidRPr="00F77F0E">
        <w:t xml:space="preserve">Jungbluth, N. (2007) Erdӧl IN: Dones, R. (ed.) </w:t>
      </w:r>
      <w:r w:rsidRPr="00F77F0E">
        <w:rPr>
          <w:i/>
        </w:rPr>
        <w:t>Sachbilanzen von Energiesystemen: Grundlagen für den ӧkologischen Vergleich von Energiesystemen und den Einbezug von Energiesystemen in Ökobilanzen für die Schweiz. ecoinvent report No. 6-IV</w:t>
      </w:r>
      <w:r w:rsidRPr="00F77F0E">
        <w:t>. Dübendorf, Switzerland: Swiss Centre for Life Cycle Inventories.</w:t>
      </w:r>
    </w:p>
    <w:p w:rsidR="00CA4A43" w:rsidRPr="00F77F0E" w:rsidRDefault="00CA4A43" w:rsidP="00F77F0E">
      <w:pPr>
        <w:pStyle w:val="EndNoteBibliography"/>
        <w:ind w:left="720" w:hanging="720"/>
      </w:pPr>
      <w:r w:rsidRPr="00F77F0E">
        <w:t xml:space="preserve">Kellenberger, D., Althaus, H.-J., Künniger, T., Lehmann, M., Jungbluth, N. and Thalmann, P. (2007) </w:t>
      </w:r>
      <w:r w:rsidRPr="00F77F0E">
        <w:rPr>
          <w:i/>
        </w:rPr>
        <w:t>Life cycle inventories of building products. ecoinvent report No. 7</w:t>
      </w:r>
      <w:r w:rsidRPr="00F77F0E">
        <w:t>. Dübendorf, Switzerland: Swiss Centre for Life Cycle Inventories.</w:t>
      </w:r>
    </w:p>
    <w:p w:rsidR="00CA4A43" w:rsidRPr="00F77F0E" w:rsidRDefault="00CA4A43" w:rsidP="00F77F0E">
      <w:pPr>
        <w:pStyle w:val="EndNoteBibliography"/>
        <w:ind w:left="720" w:hanging="720"/>
      </w:pPr>
      <w:r w:rsidRPr="00F77F0E">
        <w:t xml:space="preserve">Larsen, A.W., Merrild, H. and Christensen, T.H. (2009) Recycling of glass: Accounting of greenhouse gases and global warming contributions. </w:t>
      </w:r>
      <w:r w:rsidRPr="00F77F0E">
        <w:rPr>
          <w:i/>
        </w:rPr>
        <w:t>Waste Management &amp; Research,</w:t>
      </w:r>
      <w:r w:rsidRPr="00F77F0E">
        <w:t xml:space="preserve"> 27 (8), 754-762.</w:t>
      </w:r>
    </w:p>
    <w:p w:rsidR="00CA4A43" w:rsidRPr="00F77F0E" w:rsidRDefault="00CA4A43" w:rsidP="00F77F0E">
      <w:pPr>
        <w:pStyle w:val="EndNoteBibliography"/>
        <w:ind w:left="720" w:hanging="720"/>
      </w:pPr>
      <w:r w:rsidRPr="00F77F0E">
        <w:t xml:space="preserve">Mitchell, A. and Stevens, G. (2009) </w:t>
      </w:r>
      <w:r w:rsidRPr="00F77F0E">
        <w:rPr>
          <w:i/>
        </w:rPr>
        <w:t>Life cycle assessment of closed loop MDF recycling: Microrelease trial</w:t>
      </w:r>
      <w:r w:rsidRPr="00F77F0E">
        <w:t>. Banbury, UK: Waste &amp; Resources Action Programme.</w:t>
      </w:r>
    </w:p>
    <w:p w:rsidR="00CA4A43" w:rsidRPr="00F77F0E" w:rsidRDefault="00CA4A43" w:rsidP="00F77F0E">
      <w:pPr>
        <w:pStyle w:val="EndNoteBibliography"/>
        <w:ind w:left="720" w:hanging="720"/>
      </w:pPr>
      <w:r w:rsidRPr="00F77F0E">
        <w:t xml:space="preserve">Morais, S., Mata, T.M., Martins, A.A., Pinto, G.A. and Costa, C.A.V. (2010) Simulation and life cycle assessment of process design alternatives for biodiesel production from waste vegetable oils. </w:t>
      </w:r>
      <w:r w:rsidRPr="00F77F0E">
        <w:rPr>
          <w:i/>
        </w:rPr>
        <w:t>Journal of Cleaner Production,</w:t>
      </w:r>
      <w:r w:rsidRPr="00F77F0E">
        <w:t xml:space="preserve"> 18 (13), 1251-1259.</w:t>
      </w:r>
    </w:p>
    <w:p w:rsidR="00CA4A43" w:rsidRPr="00F77F0E" w:rsidRDefault="00CA4A43" w:rsidP="00F77F0E">
      <w:pPr>
        <w:pStyle w:val="EndNoteBibliography"/>
        <w:ind w:left="720" w:hanging="720"/>
      </w:pPr>
      <w:r w:rsidRPr="00F77F0E">
        <w:t xml:space="preserve">Shonfield, P. (2008) </w:t>
      </w:r>
      <w:r w:rsidRPr="00F77F0E">
        <w:rPr>
          <w:i/>
        </w:rPr>
        <w:t>LCA of Management Options for Mixed Waste Plastics</w:t>
      </w:r>
      <w:r w:rsidRPr="00F77F0E">
        <w:t>. Banbury, UK: Waste &amp; Resources Action Programme.</w:t>
      </w:r>
    </w:p>
    <w:p w:rsidR="00CA4A43" w:rsidRPr="00F77F0E" w:rsidRDefault="00CA4A43" w:rsidP="00F77F0E">
      <w:pPr>
        <w:pStyle w:val="EndNoteBibliography"/>
        <w:ind w:left="720" w:hanging="720"/>
      </w:pPr>
      <w:r w:rsidRPr="00F77F0E">
        <w:lastRenderedPageBreak/>
        <w:t xml:space="preserve">WRAP (2008) </w:t>
      </w:r>
      <w:r w:rsidRPr="00F77F0E">
        <w:rPr>
          <w:i/>
        </w:rPr>
        <w:t>Life Cycle Assessment of plasterboard. Quantifying the environmental impacts throughout the product life cycle, building the evidence base in sustainable construction</w:t>
      </w:r>
      <w:r w:rsidRPr="00F77F0E">
        <w:t>. Banbury, UK: Waste &amp; Resources Action Programme.</w:t>
      </w:r>
    </w:p>
    <w:p w:rsidR="00CA4A43" w:rsidRPr="00F77F0E" w:rsidRDefault="00CA4A43" w:rsidP="00F77F0E">
      <w:pPr>
        <w:pStyle w:val="EndNoteBibliography"/>
        <w:ind w:left="720" w:hanging="720"/>
      </w:pPr>
      <w:r w:rsidRPr="00F77F0E">
        <w:t xml:space="preserve">WRAP (no date) </w:t>
      </w:r>
      <w:r w:rsidRPr="00F77F0E">
        <w:rPr>
          <w:i/>
        </w:rPr>
        <w:t>Collecting and shredding carpets from Household Waste Recycling Centres</w:t>
      </w:r>
      <w:r w:rsidRPr="00F77F0E">
        <w:t>. Banbury, UK: Waste &amp; Resources Action Programme.</w:t>
      </w:r>
    </w:p>
    <w:p w:rsidR="00CA4A43" w:rsidRPr="00F77F0E" w:rsidRDefault="00CA4A43" w:rsidP="00F77F0E">
      <w:pPr>
        <w:pStyle w:val="EndNoteBibliography"/>
        <w:ind w:left="720" w:hanging="720"/>
      </w:pPr>
      <w:r w:rsidRPr="00F77F0E">
        <w:t xml:space="preserve">Xie, M., Qiao, Q., Sun, Q. and Zhang, L. (2012) Life cycle assessment of composite packaging waste management—a Chinese case study on aseptic packaging. </w:t>
      </w:r>
      <w:r w:rsidRPr="00F77F0E">
        <w:rPr>
          <w:i/>
        </w:rPr>
        <w:t>The International Journal of Life Cycle Assessment,</w:t>
      </w:r>
      <w:r w:rsidRPr="00F77F0E">
        <w:t xml:space="preserve"> 18 (3), 626-635.</w:t>
      </w:r>
    </w:p>
    <w:p w:rsidR="00CA4A43" w:rsidRPr="00F77F0E" w:rsidRDefault="00CA4A43" w:rsidP="00F77F0E">
      <w:pPr>
        <w:pStyle w:val="EndNoteBibliography"/>
        <w:ind w:left="720" w:hanging="720"/>
      </w:pPr>
      <w:r w:rsidRPr="00F77F0E">
        <w:t xml:space="preserve">Xu, Q., Yu, M., Kendall, A., He, W., Li, G. and Schoenung, J.M. (2013) Environmental and economic evaluation of cathode ray tube (CRT) funnel glass waste management options in the United States. </w:t>
      </w:r>
      <w:r w:rsidRPr="00F77F0E">
        <w:rPr>
          <w:i/>
        </w:rPr>
        <w:t>Resources, Conservation and Recycling,</w:t>
      </w:r>
      <w:r w:rsidRPr="00F77F0E">
        <w:t xml:space="preserve"> 78, 92-104.</w:t>
      </w:r>
    </w:p>
    <w:p w:rsidR="00CA4A43" w:rsidRPr="002511D0" w:rsidRDefault="00CA4A43" w:rsidP="00F77F0E">
      <w:pPr>
        <w:rPr>
          <w:sz w:val="16"/>
          <w:szCs w:val="16"/>
          <w:lang w:eastAsia="ru-RU"/>
        </w:rPr>
      </w:pPr>
    </w:p>
    <w:p w:rsidR="00CA4A43" w:rsidRPr="002511D0" w:rsidRDefault="00CA4A43">
      <w:pPr>
        <w:rPr>
          <w:sz w:val="16"/>
          <w:szCs w:val="16"/>
          <w:lang w:eastAsia="ru-RU"/>
        </w:rPr>
      </w:pPr>
    </w:p>
    <w:p w:rsidR="00715B12" w:rsidRDefault="00057E45"/>
    <w:sectPr w:rsidR="00715B12" w:rsidSect="00023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1004"/>
    <w:multiLevelType w:val="hybridMultilevel"/>
    <w:tmpl w:val="9E5468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BE3428"/>
    <w:multiLevelType w:val="hybridMultilevel"/>
    <w:tmpl w:val="4824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00EF2"/>
    <w:multiLevelType w:val="hybridMultilevel"/>
    <w:tmpl w:val="2E06F2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2D58FD"/>
    <w:multiLevelType w:val="multilevel"/>
    <w:tmpl w:val="E702BA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pStyle w:val="Heading5"/>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4A43"/>
    <w:rsid w:val="00057E45"/>
    <w:rsid w:val="002E7547"/>
    <w:rsid w:val="00357880"/>
    <w:rsid w:val="003641E1"/>
    <w:rsid w:val="00371057"/>
    <w:rsid w:val="00576980"/>
    <w:rsid w:val="006B04BE"/>
    <w:rsid w:val="007D7D73"/>
    <w:rsid w:val="00A247C1"/>
    <w:rsid w:val="00A8748D"/>
    <w:rsid w:val="00B222A8"/>
    <w:rsid w:val="00CA4A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00B13-9956-413A-9E4C-66ED4C7C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43"/>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CA4A43"/>
    <w:pPr>
      <w:keepNext/>
      <w:pBdr>
        <w:bottom w:val="single" w:sz="4" w:space="1" w:color="auto"/>
      </w:pBdr>
      <w:shd w:val="solid" w:color="FFFFFF" w:fill="auto"/>
      <w:spacing w:after="720"/>
      <w:ind w:right="91"/>
      <w:outlineLvl w:val="0"/>
    </w:pPr>
    <w:rPr>
      <w:rFonts w:asciiTheme="majorBidi" w:eastAsiaTheme="minorEastAsia" w:hAnsiTheme="majorBidi" w:cstheme="majorBidi"/>
      <w:b/>
      <w:bCs/>
      <w:color w:val="000000"/>
      <w:kern w:val="32"/>
      <w:sz w:val="28"/>
      <w:shd w:val="solid" w:color="FFFFFF" w:fill="auto"/>
      <w:lang w:eastAsia="ru-RU"/>
    </w:rPr>
  </w:style>
  <w:style w:type="paragraph" w:styleId="Heading2">
    <w:name w:val="heading 2"/>
    <w:basedOn w:val="Normal"/>
    <w:next w:val="Normal"/>
    <w:link w:val="Heading2Char"/>
    <w:uiPriority w:val="9"/>
    <w:unhideWhenUsed/>
    <w:qFormat/>
    <w:rsid w:val="00CA4A43"/>
    <w:pPr>
      <w:keepNext/>
      <w:keepLines/>
      <w:spacing w:before="240" w:after="240"/>
      <w:outlineLvl w:val="1"/>
    </w:pPr>
    <w:rPr>
      <w:rFonts w:asciiTheme="majorBidi" w:eastAsiaTheme="majorEastAsia" w:hAnsiTheme="majorBidi" w:cstheme="majorBidi"/>
      <w:b/>
      <w:bCs/>
      <w:lang w:eastAsia="ru-RU"/>
    </w:rPr>
  </w:style>
  <w:style w:type="paragraph" w:styleId="Heading3">
    <w:name w:val="heading 3"/>
    <w:basedOn w:val="Heading2"/>
    <w:next w:val="Normal"/>
    <w:link w:val="Heading3Char"/>
    <w:uiPriority w:val="9"/>
    <w:unhideWhenUsed/>
    <w:qFormat/>
    <w:rsid w:val="00CA4A43"/>
    <w:pPr>
      <w:outlineLvl w:val="2"/>
    </w:pPr>
    <w:rPr>
      <w:b w:val="0"/>
      <w:bCs w:val="0"/>
      <w:i/>
      <w:iCs/>
      <w:lang w:eastAsia="zh-CN"/>
    </w:rPr>
  </w:style>
  <w:style w:type="paragraph" w:styleId="Heading4">
    <w:name w:val="heading 4"/>
    <w:basedOn w:val="Heading3"/>
    <w:next w:val="Normal"/>
    <w:link w:val="Heading4Char"/>
    <w:uiPriority w:val="9"/>
    <w:unhideWhenUsed/>
    <w:qFormat/>
    <w:rsid w:val="00CA4A43"/>
    <w:pPr>
      <w:outlineLvl w:val="3"/>
    </w:pPr>
  </w:style>
  <w:style w:type="paragraph" w:styleId="Heading5">
    <w:name w:val="heading 5"/>
    <w:basedOn w:val="Heading4"/>
    <w:next w:val="Normal"/>
    <w:link w:val="Heading5Char"/>
    <w:uiPriority w:val="9"/>
    <w:unhideWhenUsed/>
    <w:qFormat/>
    <w:rsid w:val="007D7D73"/>
    <w:pPr>
      <w:numPr>
        <w:ilvl w:val="3"/>
        <w:numId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1a"/>
    <w:basedOn w:val="Heading1"/>
    <w:uiPriority w:val="1"/>
    <w:qFormat/>
    <w:rsid w:val="00CA4A43"/>
    <w:pPr>
      <w:spacing w:after="240"/>
    </w:pPr>
    <w:rPr>
      <w:b w:val="0"/>
      <w:bCs w:val="0"/>
      <w:sz w:val="48"/>
      <w:szCs w:val="44"/>
    </w:rPr>
  </w:style>
  <w:style w:type="character" w:customStyle="1" w:styleId="Heading1Char">
    <w:name w:val="Heading 1 Char"/>
    <w:basedOn w:val="DefaultParagraphFont"/>
    <w:link w:val="Heading1"/>
    <w:uiPriority w:val="9"/>
    <w:rsid w:val="00CA4A43"/>
    <w:rPr>
      <w:rFonts w:asciiTheme="majorBidi" w:eastAsiaTheme="minorEastAsia" w:hAnsiTheme="majorBidi" w:cstheme="majorBidi"/>
      <w:b/>
      <w:bCs/>
      <w:color w:val="000000"/>
      <w:kern w:val="32"/>
      <w:sz w:val="28"/>
      <w:szCs w:val="24"/>
      <w:shd w:val="solid" w:color="FFFFFF" w:fill="auto"/>
      <w:lang w:eastAsia="ru-RU"/>
    </w:rPr>
  </w:style>
  <w:style w:type="character" w:customStyle="1" w:styleId="Heading2Char">
    <w:name w:val="Heading 2 Char"/>
    <w:basedOn w:val="DefaultParagraphFont"/>
    <w:link w:val="Heading2"/>
    <w:uiPriority w:val="9"/>
    <w:rsid w:val="00CA4A43"/>
    <w:rPr>
      <w:rFonts w:asciiTheme="majorBidi" w:eastAsiaTheme="majorEastAsia" w:hAnsiTheme="majorBidi" w:cstheme="majorBidi"/>
      <w:b/>
      <w:bCs/>
      <w:sz w:val="24"/>
      <w:szCs w:val="24"/>
      <w:lang w:eastAsia="ru-RU"/>
    </w:rPr>
  </w:style>
  <w:style w:type="character" w:customStyle="1" w:styleId="Heading3Char">
    <w:name w:val="Heading 3 Char"/>
    <w:basedOn w:val="DefaultParagraphFont"/>
    <w:link w:val="Heading3"/>
    <w:uiPriority w:val="9"/>
    <w:rsid w:val="00CA4A43"/>
    <w:rPr>
      <w:rFonts w:asciiTheme="majorBidi" w:eastAsiaTheme="majorEastAsia" w:hAnsiTheme="majorBidi" w:cstheme="majorBidi"/>
      <w:i/>
      <w:iCs/>
      <w:sz w:val="24"/>
      <w:szCs w:val="24"/>
    </w:rPr>
  </w:style>
  <w:style w:type="character" w:customStyle="1" w:styleId="Heading4Char">
    <w:name w:val="Heading 4 Char"/>
    <w:basedOn w:val="DefaultParagraphFont"/>
    <w:link w:val="Heading4"/>
    <w:uiPriority w:val="9"/>
    <w:rsid w:val="00CA4A43"/>
    <w:rPr>
      <w:rFonts w:asciiTheme="majorBidi" w:eastAsiaTheme="majorEastAsia" w:hAnsiTheme="majorBidi" w:cstheme="majorBidi"/>
      <w:i/>
      <w:iCs/>
      <w:sz w:val="24"/>
      <w:szCs w:val="24"/>
    </w:rPr>
  </w:style>
  <w:style w:type="character" w:customStyle="1" w:styleId="Heading5Char">
    <w:name w:val="Heading 5 Char"/>
    <w:basedOn w:val="DefaultParagraphFont"/>
    <w:link w:val="Heading5"/>
    <w:uiPriority w:val="9"/>
    <w:rsid w:val="007D7D73"/>
    <w:rPr>
      <w:rFonts w:asciiTheme="majorBidi" w:eastAsiaTheme="majorEastAsia" w:hAnsiTheme="majorBidi" w:cstheme="majorBidi"/>
      <w:i/>
      <w:iCs/>
      <w:sz w:val="24"/>
      <w:szCs w:val="24"/>
    </w:rPr>
  </w:style>
  <w:style w:type="table" w:styleId="TableGrid">
    <w:name w:val="Table Grid"/>
    <w:basedOn w:val="TableNormal"/>
    <w:uiPriority w:val="39"/>
    <w:rsid w:val="00CA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A43"/>
    <w:pPr>
      <w:ind w:left="720"/>
      <w:contextualSpacing/>
    </w:pPr>
  </w:style>
  <w:style w:type="paragraph" w:customStyle="1" w:styleId="EndNoteBibliographyTitle">
    <w:name w:val="EndNote Bibliography Title"/>
    <w:basedOn w:val="Normal"/>
    <w:link w:val="EndNoteBibliographyTitleChar"/>
    <w:rsid w:val="00CA4A43"/>
    <w:pPr>
      <w:jc w:val="center"/>
    </w:pPr>
    <w:rPr>
      <w:noProof/>
    </w:rPr>
  </w:style>
  <w:style w:type="character" w:customStyle="1" w:styleId="EndNoteBibliographyTitleChar">
    <w:name w:val="EndNote Bibliography Title Char"/>
    <w:basedOn w:val="DefaultParagraphFont"/>
    <w:link w:val="EndNoteBibliographyTitle"/>
    <w:rsid w:val="00CA4A43"/>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CA4A43"/>
    <w:rPr>
      <w:noProof/>
    </w:rPr>
  </w:style>
  <w:style w:type="character" w:customStyle="1" w:styleId="EndNoteBibliographyChar">
    <w:name w:val="EndNote Bibliography Char"/>
    <w:basedOn w:val="DefaultParagraphFont"/>
    <w:link w:val="EndNoteBibliography"/>
    <w:rsid w:val="00CA4A43"/>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CA4A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43"/>
    <w:rPr>
      <w:rFonts w:ascii="Segoe UI" w:hAnsi="Segoe UI" w:cs="Segoe UI"/>
      <w:sz w:val="18"/>
      <w:szCs w:val="18"/>
    </w:rPr>
  </w:style>
  <w:style w:type="character" w:styleId="Hyperlink">
    <w:name w:val="Hyperlink"/>
    <w:basedOn w:val="DefaultParagraphFont"/>
    <w:uiPriority w:val="99"/>
    <w:unhideWhenUsed/>
    <w:rsid w:val="00CA4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D.</dc:creator>
  <cp:keywords/>
  <dc:description/>
  <cp:lastModifiedBy>Turner D.</cp:lastModifiedBy>
  <cp:revision>7</cp:revision>
  <dcterms:created xsi:type="dcterms:W3CDTF">2015-07-16T11:10:00Z</dcterms:created>
  <dcterms:modified xsi:type="dcterms:W3CDTF">2015-07-16T16:36:00Z</dcterms:modified>
</cp:coreProperties>
</file>