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0FA" w:rsidRDefault="00F530FA" w:rsidP="00DE56FE">
      <w:pPr>
        <w:spacing w:line="480" w:lineRule="auto"/>
        <w:jc w:val="center"/>
        <w:rPr>
          <w:rFonts w:ascii="Times New Roman" w:hAnsi="Times New Roman"/>
        </w:rPr>
      </w:pPr>
      <w:r w:rsidRPr="00DE56FE">
        <w:rPr>
          <w:rFonts w:ascii="Times New Roman" w:hAnsi="Times New Roman"/>
        </w:rPr>
        <w:t>Electronic Supplementary Information for</w:t>
      </w:r>
    </w:p>
    <w:p w:rsidR="00F530FA" w:rsidRPr="00DE56FE" w:rsidRDefault="00F530FA" w:rsidP="00DE56FE">
      <w:pPr>
        <w:spacing w:line="480" w:lineRule="auto"/>
        <w:jc w:val="center"/>
        <w:rPr>
          <w:rFonts w:ascii="Times New Roman" w:hAnsi="Times New Roman"/>
          <w:b/>
          <w:sz w:val="28"/>
          <w:szCs w:val="28"/>
        </w:rPr>
      </w:pPr>
      <w:r w:rsidRPr="00DE56FE">
        <w:rPr>
          <w:rFonts w:ascii="Times New Roman" w:hAnsi="Times New Roman"/>
          <w:b/>
          <w:sz w:val="24"/>
          <w:szCs w:val="24"/>
        </w:rPr>
        <w:t>The Role of Hydrogen Bonds in Excited State Proton Transfer</w:t>
      </w:r>
      <w:r w:rsidRPr="00DE56FE">
        <w:rPr>
          <w:rFonts w:ascii="Times New Roman" w:hAnsi="Times New Roman"/>
          <w:b/>
          <w:sz w:val="28"/>
          <w:szCs w:val="28"/>
        </w:rPr>
        <w:t>.</w:t>
      </w:r>
    </w:p>
    <w:p w:rsidR="00F530FA" w:rsidRPr="00DE56FE" w:rsidRDefault="00F530FA" w:rsidP="00AC4C5D">
      <w:pPr>
        <w:spacing w:line="480" w:lineRule="auto"/>
        <w:rPr>
          <w:rFonts w:ascii="Times New Roman" w:hAnsi="Times New Roman"/>
          <w:vertAlign w:val="superscript"/>
        </w:rPr>
      </w:pPr>
      <w:r w:rsidRPr="00DE56FE">
        <w:rPr>
          <w:rFonts w:ascii="Times New Roman" w:hAnsi="Times New Roman"/>
        </w:rPr>
        <w:t>D.A. Horke</w:t>
      </w:r>
      <w:r w:rsidRPr="00DE56FE">
        <w:rPr>
          <w:rFonts w:ascii="Times New Roman" w:hAnsi="Times New Roman"/>
          <w:vertAlign w:val="superscript"/>
        </w:rPr>
        <w:t>a</w:t>
      </w:r>
      <w:r w:rsidRPr="00DE56FE">
        <w:rPr>
          <w:rFonts w:ascii="Times New Roman" w:hAnsi="Times New Roman"/>
        </w:rPr>
        <w:t>, H.M. Watts</w:t>
      </w:r>
      <w:r w:rsidRPr="00DE56FE">
        <w:rPr>
          <w:rFonts w:ascii="Times New Roman" w:hAnsi="Times New Roman"/>
          <w:vertAlign w:val="superscript"/>
        </w:rPr>
        <w:t>b</w:t>
      </w:r>
      <w:r w:rsidRPr="00DE56FE">
        <w:rPr>
          <w:rFonts w:ascii="Times New Roman" w:hAnsi="Times New Roman"/>
        </w:rPr>
        <w:t>, A.D. Smith</w:t>
      </w:r>
      <w:r w:rsidRPr="00DE56FE">
        <w:rPr>
          <w:rFonts w:ascii="Times New Roman" w:hAnsi="Times New Roman"/>
          <w:vertAlign w:val="superscript"/>
        </w:rPr>
        <w:t>b</w:t>
      </w:r>
      <w:r w:rsidRPr="00DE56FE">
        <w:rPr>
          <w:rFonts w:ascii="Times New Roman" w:hAnsi="Times New Roman"/>
        </w:rPr>
        <w:t>, E. Jager</w:t>
      </w:r>
      <w:r w:rsidRPr="00DE56FE">
        <w:rPr>
          <w:rFonts w:ascii="Times New Roman" w:hAnsi="Times New Roman"/>
          <w:vertAlign w:val="superscript"/>
        </w:rPr>
        <w:t>b</w:t>
      </w:r>
      <w:r w:rsidRPr="00DE56FE">
        <w:rPr>
          <w:rFonts w:ascii="Times New Roman" w:hAnsi="Times New Roman"/>
        </w:rPr>
        <w:t>, E. Springate</w:t>
      </w:r>
      <w:r w:rsidRPr="00DE56FE">
        <w:rPr>
          <w:rFonts w:ascii="Times New Roman" w:hAnsi="Times New Roman"/>
          <w:vertAlign w:val="superscript"/>
        </w:rPr>
        <w:t>c</w:t>
      </w:r>
      <w:r w:rsidRPr="00DE56FE">
        <w:rPr>
          <w:rFonts w:ascii="Times New Roman" w:hAnsi="Times New Roman"/>
        </w:rPr>
        <w:t>, O. Alexander</w:t>
      </w:r>
      <w:r w:rsidRPr="00DE56FE">
        <w:rPr>
          <w:rFonts w:ascii="Times New Roman" w:hAnsi="Times New Roman"/>
          <w:vertAlign w:val="superscript"/>
        </w:rPr>
        <w:t>c</w:t>
      </w:r>
      <w:r w:rsidRPr="00DE56FE">
        <w:rPr>
          <w:rFonts w:ascii="Times New Roman" w:hAnsi="Times New Roman"/>
        </w:rPr>
        <w:t>, C. Cacho</w:t>
      </w:r>
      <w:r w:rsidRPr="00DE56FE">
        <w:rPr>
          <w:rFonts w:ascii="Times New Roman" w:hAnsi="Times New Roman"/>
          <w:vertAlign w:val="superscript"/>
        </w:rPr>
        <w:t>c</w:t>
      </w:r>
      <w:r w:rsidRPr="00DE56FE">
        <w:rPr>
          <w:rFonts w:ascii="Times New Roman" w:hAnsi="Times New Roman"/>
        </w:rPr>
        <w:t>, R.T. Chapman</w:t>
      </w:r>
      <w:r w:rsidRPr="00DE56FE">
        <w:rPr>
          <w:rFonts w:ascii="Times New Roman" w:hAnsi="Times New Roman"/>
          <w:vertAlign w:val="superscript"/>
        </w:rPr>
        <w:t>c</w:t>
      </w:r>
      <w:r w:rsidRPr="00DE56FE">
        <w:rPr>
          <w:rFonts w:ascii="Times New Roman" w:hAnsi="Times New Roman"/>
        </w:rPr>
        <w:t>, and R.S. Minns</w:t>
      </w:r>
      <w:r w:rsidRPr="00DE56FE">
        <w:rPr>
          <w:rFonts w:ascii="Times New Roman" w:hAnsi="Times New Roman"/>
          <w:vertAlign w:val="superscript"/>
        </w:rPr>
        <w:t>b*</w:t>
      </w:r>
    </w:p>
    <w:p w:rsidR="00F530FA" w:rsidRPr="00DE56FE" w:rsidRDefault="00F530FA" w:rsidP="000C08C7">
      <w:pPr>
        <w:autoSpaceDE w:val="0"/>
        <w:autoSpaceDN w:val="0"/>
        <w:adjustRightInd w:val="0"/>
        <w:spacing w:after="0" w:line="480" w:lineRule="auto"/>
        <w:rPr>
          <w:rFonts w:ascii="Times New Roman" w:hAnsi="Times New Roman" w:cs="CMR10"/>
        </w:rPr>
      </w:pPr>
      <w:r w:rsidRPr="00DE56FE">
        <w:rPr>
          <w:rFonts w:ascii="Times New Roman" w:hAnsi="Times New Roman" w:cs="CMR10"/>
          <w:vertAlign w:val="superscript"/>
        </w:rPr>
        <w:t>a</w:t>
      </w:r>
      <w:r w:rsidRPr="00DE56FE">
        <w:rPr>
          <w:rFonts w:ascii="Times New Roman" w:hAnsi="Times New Roman" w:cs="CMR10"/>
        </w:rPr>
        <w:t xml:space="preserve">Center for Free-Electron Laser Science, DESY, Notkestrasse 85, 22607 Hamburg, Germany </w:t>
      </w:r>
    </w:p>
    <w:p w:rsidR="00F530FA" w:rsidRPr="00DE56FE" w:rsidRDefault="00F530FA" w:rsidP="000C08C7">
      <w:pPr>
        <w:spacing w:after="0" w:line="480" w:lineRule="auto"/>
        <w:rPr>
          <w:rFonts w:ascii="Times New Roman" w:hAnsi="Times New Roman"/>
        </w:rPr>
      </w:pPr>
      <w:r w:rsidRPr="00DE56FE">
        <w:rPr>
          <w:rFonts w:ascii="Times New Roman" w:hAnsi="Times New Roman"/>
          <w:vertAlign w:val="superscript"/>
        </w:rPr>
        <w:t>b</w:t>
      </w:r>
      <w:r w:rsidRPr="00DE56FE">
        <w:rPr>
          <w:rFonts w:ascii="Times New Roman" w:hAnsi="Times New Roman"/>
        </w:rPr>
        <w:t>Chemistry, University of Southampton, Highfield, Southampton SO17 1BJ, UK</w:t>
      </w:r>
    </w:p>
    <w:p w:rsidR="00F530FA" w:rsidRPr="00DE56FE" w:rsidRDefault="00F530FA" w:rsidP="000C08C7">
      <w:pPr>
        <w:autoSpaceDE w:val="0"/>
        <w:autoSpaceDN w:val="0"/>
        <w:adjustRightInd w:val="0"/>
        <w:spacing w:after="0" w:line="480" w:lineRule="auto"/>
        <w:rPr>
          <w:rFonts w:ascii="Times New Roman" w:hAnsi="Times New Roman" w:cs="CMR10"/>
        </w:rPr>
      </w:pPr>
      <w:r w:rsidRPr="00DE56FE">
        <w:rPr>
          <w:rFonts w:ascii="Times New Roman" w:hAnsi="Times New Roman" w:cs="CMR10"/>
          <w:vertAlign w:val="superscript"/>
        </w:rPr>
        <w:t>c</w:t>
      </w:r>
      <w:r w:rsidRPr="00DE56FE">
        <w:rPr>
          <w:rFonts w:ascii="Times New Roman" w:hAnsi="Times New Roman" w:cs="CMR10"/>
        </w:rPr>
        <w:t>Central Laser Facility, STFC Rutherford Appleton Laboratory, Didcot, Oxfordshire</w:t>
      </w:r>
    </w:p>
    <w:p w:rsidR="00F530FA" w:rsidRPr="00DE56FE" w:rsidRDefault="00F530FA" w:rsidP="000C08C7">
      <w:pPr>
        <w:spacing w:line="480" w:lineRule="auto"/>
        <w:rPr>
          <w:rFonts w:ascii="Times New Roman" w:hAnsi="Times New Roman" w:cs="CMR10"/>
        </w:rPr>
      </w:pPr>
      <w:r w:rsidRPr="00DE56FE">
        <w:rPr>
          <w:rFonts w:ascii="Times New Roman" w:hAnsi="Times New Roman" w:cs="CMR10"/>
        </w:rPr>
        <w:t>OX11 0QX, UK</w:t>
      </w:r>
    </w:p>
    <w:p w:rsidR="00F530FA" w:rsidRPr="00DE56FE" w:rsidRDefault="00F530FA" w:rsidP="00AC4C5D">
      <w:pPr>
        <w:rPr>
          <w:rFonts w:ascii="Times New Roman" w:hAnsi="Times New Roman" w:cs="CMR10"/>
        </w:rPr>
      </w:pPr>
      <w:r w:rsidRPr="005245F6">
        <w:rPr>
          <w:rFonts w:ascii="Times New Roman" w:hAnsi="Times New Roman"/>
          <w:vertAlign w:val="superscript"/>
        </w:rPr>
        <w:t>*</w:t>
      </w:r>
      <w:r w:rsidRPr="00DE56FE">
        <w:rPr>
          <w:rFonts w:ascii="Times New Roman" w:hAnsi="Times New Roman" w:cs="CMR10"/>
        </w:rPr>
        <w:t>r.s.minns@soton.ac.uk</w:t>
      </w:r>
    </w:p>
    <w:p w:rsidR="00F530FA" w:rsidRDefault="00F530FA" w:rsidP="002364AD">
      <w:pPr>
        <w:spacing w:line="480" w:lineRule="auto"/>
        <w:rPr>
          <w:rFonts w:ascii="Times New Roman" w:hAnsi="Times New Roman" w:cs="CMR10"/>
          <w:b/>
          <w:bCs/>
          <w:sz w:val="24"/>
          <w:szCs w:val="24"/>
        </w:rPr>
      </w:pPr>
    </w:p>
    <w:p w:rsidR="00F530FA" w:rsidRPr="00DE56FE" w:rsidRDefault="00F530FA" w:rsidP="00DE56FE">
      <w:pPr>
        <w:spacing w:after="0" w:line="480" w:lineRule="auto"/>
        <w:rPr>
          <w:rFonts w:ascii="Times New Roman" w:hAnsi="Times New Roman" w:cs="CMR12"/>
          <w:bCs/>
          <w:color w:val="000000"/>
          <w:u w:val="single"/>
        </w:rPr>
      </w:pPr>
      <w:r w:rsidRPr="00DE56FE">
        <w:rPr>
          <w:rFonts w:ascii="Times New Roman" w:hAnsi="Times New Roman" w:cs="CMR12"/>
          <w:bCs/>
          <w:color w:val="000000"/>
          <w:u w:val="single"/>
        </w:rPr>
        <w:t>Pump Probe Experiments</w:t>
      </w:r>
    </w:p>
    <w:p w:rsidR="00F530FA" w:rsidRPr="00DE56FE" w:rsidRDefault="00F530FA" w:rsidP="00C601D7">
      <w:pPr>
        <w:spacing w:line="480" w:lineRule="auto"/>
        <w:jc w:val="both"/>
        <w:rPr>
          <w:rFonts w:ascii="Times New Roman" w:hAnsi="Times New Roman"/>
        </w:rPr>
      </w:pPr>
      <w:r w:rsidRPr="00DE56FE">
        <w:rPr>
          <w:rFonts w:ascii="Times New Roman" w:hAnsi="Times New Roman" w:cs="CMR12"/>
          <w:color w:val="000000"/>
        </w:rPr>
        <w:t>An amplified femtosecond laser system (Red Dragon, KM labs) generates 30 fs duration pulses of 800 nm light with pulse energies up to 12 mJ at 1 kHz repetition rate. The output of the laser is split into two equal parts b</w:t>
      </w:r>
      <w:bookmarkStart w:id="0" w:name="_GoBack"/>
      <w:bookmarkEnd w:id="0"/>
      <w:r w:rsidRPr="00DE56FE">
        <w:rPr>
          <w:rFonts w:ascii="Times New Roman" w:hAnsi="Times New Roman" w:cs="CMR12"/>
          <w:color w:val="000000"/>
        </w:rPr>
        <w:t>efore compression allowing for independent optimisation of the chirp, duration and energy of the pulses used to generate the pump and probe</w:t>
      </w:r>
      <w:r>
        <w:rPr>
          <w:rFonts w:ascii="Times New Roman" w:hAnsi="Times New Roman" w:cs="CMR12"/>
          <w:color w:val="000000"/>
        </w:rPr>
        <w:t xml:space="preserve"> beams</w:t>
      </w:r>
      <w:r w:rsidRPr="00DE56FE">
        <w:rPr>
          <w:rFonts w:ascii="Times New Roman" w:hAnsi="Times New Roman" w:cs="CMR12"/>
          <w:color w:val="000000"/>
        </w:rPr>
        <w:t>. The pump is generated from the 5 mJ output of compressor 1 which</w:t>
      </w:r>
      <w:r w:rsidRPr="00DE56FE">
        <w:rPr>
          <w:rFonts w:ascii="Times New Roman" w:hAnsi="Times New Roman"/>
        </w:rPr>
        <w:t xml:space="preserve"> is frequency doubled in </w:t>
      </w:r>
      <w:r>
        <w:rPr>
          <w:rFonts w:ascii="Times New Roman" w:hAnsi="Times New Roman"/>
        </w:rPr>
        <w:t>beta-barium borate (</w:t>
      </w:r>
      <w:r w:rsidRPr="00DE56FE">
        <w:rPr>
          <w:rFonts w:ascii="Times New Roman" w:hAnsi="Times New Roman"/>
        </w:rPr>
        <w:t>BBO</w:t>
      </w:r>
      <w:r>
        <w:rPr>
          <w:rFonts w:ascii="Times New Roman" w:hAnsi="Times New Roman"/>
        </w:rPr>
        <w:t xml:space="preserve">) crystals, </w:t>
      </w:r>
      <w:r w:rsidRPr="00DE56FE">
        <w:rPr>
          <w:rFonts w:ascii="Times New Roman" w:hAnsi="Times New Roman"/>
        </w:rPr>
        <w:t xml:space="preserve">followed by two stages of sum frequency generation (SFG). The first SFG stage generates 266 nm light through mixing the fundamental 800 nm with the second harmonic at 395 nm in a type II process in BBO. The second SFG stage mixes the 266 nm light with a previously separated 800 nm beam to generate the pump at 200 nm with a controllable pulse energy of up to 20 </w:t>
      </w:r>
      <w:r w:rsidRPr="00DE56FE">
        <w:rPr>
          <w:rFonts w:ascii="Times New Roman" w:hAnsi="Times New Roman"/>
        </w:rPr>
        <w:sym w:font="Symbol" w:char="F06D"/>
      </w:r>
      <w:r w:rsidRPr="00DE56FE">
        <w:rPr>
          <w:rFonts w:ascii="Times New Roman" w:hAnsi="Times New Roman"/>
        </w:rPr>
        <w:t xml:space="preserve">J. For the experiments described in the main paper the pulse energy is kept to </w:t>
      </w:r>
      <w:r w:rsidRPr="00DE56FE">
        <w:rPr>
          <w:rFonts w:ascii="Times New Roman" w:hAnsi="Times New Roman"/>
        </w:rPr>
        <w:sym w:font="Symbol" w:char="F07E"/>
      </w:r>
      <w:r w:rsidRPr="00DE56FE">
        <w:rPr>
          <w:rFonts w:ascii="Times New Roman" w:hAnsi="Times New Roman"/>
        </w:rPr>
        <w:t xml:space="preserve">1 </w:t>
      </w:r>
      <w:r w:rsidRPr="00DE56FE">
        <w:rPr>
          <w:rFonts w:ascii="Times New Roman" w:hAnsi="Times New Roman"/>
        </w:rPr>
        <w:sym w:font="Symbol" w:char="F06D"/>
      </w:r>
      <w:r w:rsidRPr="00DE56FE">
        <w:rPr>
          <w:rFonts w:ascii="Times New Roman" w:hAnsi="Times New Roman"/>
        </w:rPr>
        <w:t xml:space="preserve">J. The probe is generated from second harmonic generation of the output of compressor 2, </w:t>
      </w:r>
      <w:r>
        <w:rPr>
          <w:rFonts w:ascii="Times New Roman" w:hAnsi="Times New Roman"/>
        </w:rPr>
        <w:t>and attenuated to pulse</w:t>
      </w:r>
      <w:r w:rsidRPr="00DE56FE">
        <w:rPr>
          <w:rFonts w:ascii="Times New Roman" w:hAnsi="Times New Roman"/>
        </w:rPr>
        <w:t xml:space="preserve"> energ</w:t>
      </w:r>
      <w:r>
        <w:rPr>
          <w:rFonts w:ascii="Times New Roman" w:hAnsi="Times New Roman"/>
        </w:rPr>
        <w:t>ies</w:t>
      </w:r>
      <w:r w:rsidRPr="00DE56FE">
        <w:rPr>
          <w:rFonts w:ascii="Times New Roman" w:hAnsi="Times New Roman"/>
        </w:rPr>
        <w:t xml:space="preserve"> of </w:t>
      </w:r>
      <w:r w:rsidRPr="00DE56FE">
        <w:rPr>
          <w:rFonts w:ascii="Times New Roman" w:hAnsi="Times New Roman"/>
        </w:rPr>
        <w:sym w:font="Symbol" w:char="F07E"/>
      </w:r>
      <w:r w:rsidRPr="00DE56FE">
        <w:rPr>
          <w:rFonts w:ascii="Times New Roman" w:hAnsi="Times New Roman"/>
        </w:rPr>
        <w:t xml:space="preserve">4 </w:t>
      </w:r>
      <w:r w:rsidRPr="00DE56FE">
        <w:rPr>
          <w:rFonts w:ascii="Times New Roman" w:hAnsi="Times New Roman"/>
        </w:rPr>
        <w:sym w:font="Symbol" w:char="F06D"/>
      </w:r>
      <w:r w:rsidRPr="00DE56FE">
        <w:rPr>
          <w:rFonts w:ascii="Times New Roman" w:hAnsi="Times New Roman"/>
        </w:rPr>
        <w:t xml:space="preserve">J at 395 nm. The </w:t>
      </w:r>
      <w:r>
        <w:rPr>
          <w:rFonts w:ascii="Times New Roman" w:hAnsi="Times New Roman"/>
        </w:rPr>
        <w:t>combined</w:t>
      </w:r>
      <w:r w:rsidRPr="00DE56FE">
        <w:rPr>
          <w:rFonts w:ascii="Times New Roman" w:hAnsi="Times New Roman"/>
        </w:rPr>
        <w:t xml:space="preserve"> photon energy of the pump and probe</w:t>
      </w:r>
      <w:r>
        <w:rPr>
          <w:rFonts w:ascii="Times New Roman" w:hAnsi="Times New Roman"/>
        </w:rPr>
        <w:t xml:space="preserve"> beams</w:t>
      </w:r>
      <w:r w:rsidRPr="00DE56FE">
        <w:rPr>
          <w:rFonts w:ascii="Times New Roman" w:hAnsi="Times New Roman"/>
        </w:rPr>
        <w:t xml:space="preserve"> is kept low</w:t>
      </w:r>
      <w:r>
        <w:rPr>
          <w:rFonts w:ascii="Times New Roman" w:hAnsi="Times New Roman"/>
        </w:rPr>
        <w:t>,</w:t>
      </w:r>
      <w:r w:rsidRPr="00DE56FE">
        <w:rPr>
          <w:rFonts w:ascii="Times New Roman" w:hAnsi="Times New Roman"/>
        </w:rPr>
        <w:t xml:space="preserve"> such that the total photon energy (pump + probe = 9.3 eV) is above the appearance energy (9.19 eV) and adiabatic ionisation potential (8.65 eV) of the dimer,</w:t>
      </w:r>
      <w:r>
        <w:rPr>
          <w:rFonts w:ascii="Times New Roman" w:hAnsi="Times New Roman"/>
          <w:noProof/>
        </w:rPr>
        <w:t>[20,24]</w:t>
      </w:r>
      <w:r w:rsidRPr="00DE56FE">
        <w:rPr>
          <w:rFonts w:ascii="Times New Roman" w:hAnsi="Times New Roman"/>
        </w:rPr>
        <w:t xml:space="preserve"> but remains below the ionisation potential of the ammonia molecule (10.07 </w:t>
      </w:r>
      <w:r w:rsidRPr="00DE56FE">
        <w:rPr>
          <w:rFonts w:ascii="Times New Roman" w:hAnsi="Times New Roman"/>
        </w:rPr>
        <w:lastRenderedPageBreak/>
        <w:t>eV).</w:t>
      </w:r>
      <w:r>
        <w:rPr>
          <w:rFonts w:ascii="Times New Roman" w:hAnsi="Times New Roman"/>
          <w:noProof/>
        </w:rPr>
        <w:t>[24]</w:t>
      </w:r>
      <w:r w:rsidRPr="00DE56FE">
        <w:rPr>
          <w:rFonts w:ascii="Times New Roman" w:hAnsi="Times New Roman"/>
        </w:rPr>
        <w:t xml:space="preserve"> The pump beam is focussed into the interaction region of a velocity map imaging (VMI) spectrometer with a 1 m focal length mirror</w:t>
      </w:r>
      <w:r>
        <w:rPr>
          <w:rFonts w:ascii="Times New Roman" w:hAnsi="Times New Roman"/>
        </w:rPr>
        <w:t>,</w:t>
      </w:r>
      <w:r w:rsidRPr="00DE56FE">
        <w:rPr>
          <w:rFonts w:ascii="Times New Roman" w:hAnsi="Times New Roman"/>
        </w:rPr>
        <w:t xml:space="preserve"> where it is crossed at a small angle (</w:t>
      </w:r>
      <w:r w:rsidRPr="00DE56FE">
        <w:rPr>
          <w:rFonts w:ascii="Times New Roman" w:hAnsi="Times New Roman"/>
          <w:vertAlign w:val="subscript"/>
        </w:rPr>
        <w:t>~</w:t>
      </w:r>
      <w:r w:rsidRPr="00DE56FE">
        <w:rPr>
          <w:rFonts w:ascii="Times New Roman" w:hAnsi="Times New Roman"/>
        </w:rPr>
        <w:t>3</w:t>
      </w:r>
      <w:r w:rsidRPr="00DE56FE">
        <w:rPr>
          <w:rFonts w:ascii="Times New Roman" w:hAnsi="Times New Roman"/>
          <w:vertAlign w:val="superscript"/>
        </w:rPr>
        <w:t>o</w:t>
      </w:r>
      <w:r w:rsidRPr="00DE56FE">
        <w:rPr>
          <w:rFonts w:ascii="Times New Roman" w:hAnsi="Times New Roman"/>
        </w:rPr>
        <w:t xml:space="preserve">) by the probe. The probe is reflection focussed to the same point with a 1 m focal length toroidal mirror with the relative delay between the pump and probe pulses controlled by a </w:t>
      </w:r>
      <w:r>
        <w:rPr>
          <w:rFonts w:ascii="Times New Roman" w:hAnsi="Times New Roman"/>
        </w:rPr>
        <w:t>optical delay line</w:t>
      </w:r>
      <w:r w:rsidRPr="00DE56FE">
        <w:rPr>
          <w:rFonts w:ascii="Times New Roman" w:hAnsi="Times New Roman"/>
        </w:rPr>
        <w:t xml:space="preserve">. </w:t>
      </w:r>
    </w:p>
    <w:p w:rsidR="00F530FA" w:rsidRPr="00DE56FE" w:rsidRDefault="00F530FA" w:rsidP="00C601D7">
      <w:pPr>
        <w:spacing w:line="480" w:lineRule="auto"/>
        <w:jc w:val="both"/>
        <w:rPr>
          <w:rFonts w:ascii="Times New Roman" w:hAnsi="Times New Roman"/>
        </w:rPr>
      </w:pPr>
      <w:r w:rsidRPr="00DE56FE">
        <w:rPr>
          <w:rFonts w:ascii="Times New Roman" w:hAnsi="Times New Roman"/>
        </w:rPr>
        <w:t>The VMI spectrometer follows the standard three plate design of Eppink and Parker</w:t>
      </w:r>
      <w:r>
        <w:rPr>
          <w:rFonts w:ascii="Times New Roman" w:hAnsi="Times New Roman"/>
          <w:noProof/>
        </w:rPr>
        <w:t>[30]</w:t>
      </w:r>
      <w:r w:rsidRPr="00DE56FE">
        <w:rPr>
          <w:rFonts w:ascii="Times New Roman" w:hAnsi="Times New Roman"/>
        </w:rPr>
        <w:t xml:space="preserve">. The molecular beam is produced by expanding 10% ammonia in helium through a 200 </w:t>
      </w:r>
      <w:r w:rsidRPr="00DE56FE">
        <w:rPr>
          <w:rFonts w:ascii="Times New Roman" w:eastAsia="CMMI12" w:hAnsi="Times New Roman" w:cs="CMMI12"/>
          <w:color w:val="000000"/>
        </w:rPr>
        <w:t>μ</w:t>
      </w:r>
      <w:r w:rsidRPr="00DE56FE">
        <w:rPr>
          <w:rFonts w:ascii="Times New Roman" w:hAnsi="Times New Roman"/>
        </w:rPr>
        <w:t xml:space="preserve">m pulsed nozzle (Amsterdamn </w:t>
      </w:r>
      <w:r w:rsidRPr="005245F6">
        <w:rPr>
          <w:rFonts w:ascii="Times New Roman" w:hAnsi="Times New Roman"/>
        </w:rPr>
        <w:t>cantilever</w:t>
      </w:r>
      <w:r>
        <w:rPr>
          <w:rFonts w:ascii="Times New Roman" w:hAnsi="Times New Roman"/>
          <w:noProof/>
        </w:rPr>
        <w:t>[31]</w:t>
      </w:r>
      <w:r w:rsidRPr="00DE56FE">
        <w:rPr>
          <w:rFonts w:ascii="Times New Roman" w:hAnsi="Times New Roman"/>
        </w:rPr>
        <w:t xml:space="preserve">) at 2 bar pressure. The centre of the resulting expansion passes through a 1 mm skimmer and through a small hole in the repeller plate of the VMI spectrometer. The pulsed nozzle is operated at 1 kHz to match the laser repetition rate and synchronised such that maximum gas </w:t>
      </w:r>
      <w:r>
        <w:rPr>
          <w:rFonts w:ascii="Times New Roman" w:hAnsi="Times New Roman"/>
        </w:rPr>
        <w:t>density</w:t>
      </w:r>
      <w:r w:rsidRPr="00DE56FE">
        <w:rPr>
          <w:rFonts w:ascii="Times New Roman" w:hAnsi="Times New Roman"/>
        </w:rPr>
        <w:t xml:space="preserve"> is obtained </w:t>
      </w:r>
      <w:r>
        <w:rPr>
          <w:rFonts w:ascii="Times New Roman" w:hAnsi="Times New Roman"/>
        </w:rPr>
        <w:t>within</w:t>
      </w:r>
      <w:r w:rsidRPr="00DE56FE">
        <w:rPr>
          <w:rFonts w:ascii="Times New Roman" w:hAnsi="Times New Roman"/>
        </w:rPr>
        <w:t xml:space="preserve"> the interaction region </w:t>
      </w:r>
      <w:r>
        <w:rPr>
          <w:rFonts w:ascii="Times New Roman" w:hAnsi="Times New Roman"/>
        </w:rPr>
        <w:t xml:space="preserve">when </w:t>
      </w:r>
      <w:r w:rsidRPr="00DE56FE">
        <w:rPr>
          <w:rFonts w:ascii="Times New Roman" w:hAnsi="Times New Roman"/>
        </w:rPr>
        <w:t>the pump and probe laser</w:t>
      </w:r>
      <w:r>
        <w:rPr>
          <w:rFonts w:ascii="Times New Roman" w:hAnsi="Times New Roman"/>
        </w:rPr>
        <w:t xml:space="preserve"> pulses</w:t>
      </w:r>
      <w:r w:rsidRPr="00DE56FE">
        <w:rPr>
          <w:rFonts w:ascii="Times New Roman" w:hAnsi="Times New Roman"/>
        </w:rPr>
        <w:t xml:space="preserve"> arrive. The laser pulses intersect the molecular beam at right angles with the polarisation perpendicular to the time of flight axis of the VMI spectrometer. The released electrons are accelerated towards a 70 mm position sensitive detector consisting of a </w:t>
      </w:r>
      <w:r>
        <w:rPr>
          <w:rFonts w:ascii="Times New Roman" w:hAnsi="Times New Roman"/>
        </w:rPr>
        <w:t>dual-</w:t>
      </w:r>
      <w:r w:rsidRPr="00DE56FE">
        <w:rPr>
          <w:rFonts w:ascii="Times New Roman" w:hAnsi="Times New Roman"/>
        </w:rPr>
        <w:t>MCP and phosphor screen (photonis), with the resulting phosphorescence imaged by a CCD camera</w:t>
      </w:r>
      <w:r>
        <w:rPr>
          <w:rFonts w:ascii="Times New Roman" w:hAnsi="Times New Roman"/>
        </w:rPr>
        <w:t xml:space="preserve"> (PCO Gold Edge 5.5)</w:t>
      </w:r>
      <w:r w:rsidRPr="00DE56FE">
        <w:rPr>
          <w:rFonts w:ascii="Times New Roman" w:hAnsi="Times New Roman"/>
        </w:rPr>
        <w:t>.</w:t>
      </w:r>
    </w:p>
    <w:p w:rsidR="00F530FA" w:rsidRPr="00DE56FE" w:rsidRDefault="00F530FA" w:rsidP="00C601D7">
      <w:pPr>
        <w:autoSpaceDE w:val="0"/>
        <w:autoSpaceDN w:val="0"/>
        <w:adjustRightInd w:val="0"/>
        <w:spacing w:after="120" w:line="480" w:lineRule="auto"/>
        <w:jc w:val="both"/>
        <w:rPr>
          <w:rFonts w:ascii="Times New Roman" w:hAnsi="Times New Roman"/>
        </w:rPr>
      </w:pPr>
      <w:r w:rsidRPr="00DE56FE">
        <w:rPr>
          <w:rFonts w:ascii="Times New Roman" w:hAnsi="Times New Roman"/>
        </w:rPr>
        <w:t>Each raw photoelectron image is collected for approximately 10</w:t>
      </w:r>
      <w:r w:rsidRPr="00DE56FE">
        <w:rPr>
          <w:rFonts w:ascii="Times New Roman" w:hAnsi="Times New Roman"/>
          <w:vertAlign w:val="superscript"/>
        </w:rPr>
        <w:t>6</w:t>
      </w:r>
      <w:r w:rsidRPr="00DE56FE">
        <w:rPr>
          <w:rFonts w:ascii="Times New Roman" w:hAnsi="Times New Roman"/>
        </w:rPr>
        <w:t xml:space="preserve"> laser shots</w:t>
      </w:r>
      <w:r>
        <w:rPr>
          <w:rFonts w:ascii="Times New Roman" w:hAnsi="Times New Roman"/>
        </w:rPr>
        <w:t>, and</w:t>
      </w:r>
      <w:r w:rsidRPr="00DE56FE">
        <w:rPr>
          <w:rFonts w:ascii="Times New Roman" w:hAnsi="Times New Roman"/>
        </w:rPr>
        <w:t xml:space="preserve"> the photoelectron spectrum and </w:t>
      </w:r>
      <w:r>
        <w:rPr>
          <w:rFonts w:ascii="Times New Roman" w:hAnsi="Times New Roman"/>
        </w:rPr>
        <w:t>photoelectron angular distributions (</w:t>
      </w:r>
      <w:r w:rsidRPr="00DE56FE">
        <w:rPr>
          <w:rFonts w:ascii="Times New Roman" w:hAnsi="Times New Roman"/>
        </w:rPr>
        <w:t>PAD</w:t>
      </w:r>
      <w:r>
        <w:rPr>
          <w:rFonts w:ascii="Times New Roman" w:hAnsi="Times New Roman"/>
        </w:rPr>
        <w:t>s)</w:t>
      </w:r>
      <w:r w:rsidRPr="00DE56FE">
        <w:rPr>
          <w:rFonts w:ascii="Times New Roman" w:hAnsi="Times New Roman"/>
        </w:rPr>
        <w:t xml:space="preserve"> extracted from the background subtracted images using the polar onion peeling method</w:t>
      </w:r>
      <w:r>
        <w:rPr>
          <w:rFonts w:ascii="Times New Roman" w:hAnsi="Times New Roman"/>
          <w:noProof/>
        </w:rPr>
        <w:t>[32]</w:t>
      </w:r>
      <w:r w:rsidRPr="00DE56FE">
        <w:rPr>
          <w:rFonts w:ascii="Times New Roman" w:hAnsi="Times New Roman"/>
        </w:rPr>
        <w:t xml:space="preserve">. </w:t>
      </w:r>
      <w:r>
        <w:rPr>
          <w:rFonts w:ascii="Times New Roman" w:hAnsi="Times New Roman"/>
        </w:rPr>
        <w:t xml:space="preserve">The background was taken as the average of four images from negative time delays (probe arriving before the pump) between -300 fs and -200 fs. </w:t>
      </w:r>
      <w:r w:rsidRPr="00DE56FE">
        <w:rPr>
          <w:rFonts w:ascii="Times New Roman" w:hAnsi="Times New Roman"/>
        </w:rPr>
        <w:t>The PADs are obtained through fits to the standard functional</w:t>
      </w:r>
      <w:r>
        <w:rPr>
          <w:rFonts w:ascii="Times New Roman" w:hAnsi="Times New Roman"/>
          <w:noProof/>
        </w:rPr>
        <w:t>[32,14]</w:t>
      </w:r>
      <w:r w:rsidRPr="00DE56FE">
        <w:rPr>
          <w:rFonts w:ascii="Times New Roman" w:hAnsi="Times New Roman"/>
        </w:rPr>
        <w:t>:</w:t>
      </w:r>
    </w:p>
    <w:p w:rsidR="00F530FA" w:rsidRPr="00DE56FE" w:rsidRDefault="00F530FA" w:rsidP="002364AD">
      <w:pPr>
        <w:autoSpaceDE w:val="0"/>
        <w:autoSpaceDN w:val="0"/>
        <w:adjustRightInd w:val="0"/>
        <w:spacing w:after="0" w:line="480" w:lineRule="auto"/>
        <w:rPr>
          <w:rFonts w:ascii="Times New Roman" w:hAnsi="Times New Roman"/>
        </w:rPr>
      </w:pPr>
      <m:oMathPara>
        <m:oMath>
          <m:f>
            <m:fPr>
              <m:ctrlPr>
                <w:rPr>
                  <w:rFonts w:ascii="Cambria Math" w:hAnsi="Cambria Math"/>
                  <w:i/>
                </w:rPr>
              </m:ctrlPr>
            </m:fPr>
            <m:num>
              <m:r>
                <w:rPr>
                  <w:rFonts w:ascii="Cambria Math" w:hAnsi="Cambria Math"/>
                </w:rPr>
                <m:t>dσ</m:t>
              </m:r>
            </m:num>
            <m:den>
              <m:r>
                <w:rPr>
                  <w:rFonts w:ascii="Cambria Math" w:hAnsi="Cambria Math"/>
                </w:rPr>
                <m:t>d</m:t>
              </m:r>
              <m:r>
                <m:rPr>
                  <m:sty m:val="p"/>
                </m:rPr>
                <w:rPr>
                  <w:rFonts w:ascii="Cambria Math" w:hAnsi="Cambria Math"/>
                </w:rPr>
                <m:t>Ω</m:t>
              </m:r>
            </m:den>
          </m:f>
          <m:r>
            <w:rPr>
              <w:rFonts w:ascii="Cambria Math" w:hAnsi="Cambria Math"/>
            </w:rPr>
            <m:t>=</m:t>
          </m:r>
          <m:f>
            <m:fPr>
              <m:ctrlPr>
                <w:rPr>
                  <w:rFonts w:ascii="Cambria Math" w:hAnsi="Cambria Math"/>
                  <w:i/>
                </w:rPr>
              </m:ctrlPr>
            </m:fPr>
            <m:num>
              <m:r>
                <w:rPr>
                  <w:rFonts w:ascii="Cambria Math" w:hAnsi="Cambria Math"/>
                </w:rPr>
                <m:t>σ</m:t>
              </m:r>
            </m:num>
            <m:den>
              <m:r>
                <w:rPr>
                  <w:rFonts w:ascii="Cambria Math" w:hAnsi="Cambria Math"/>
                </w:rPr>
                <m:t>4π</m:t>
              </m:r>
            </m:den>
          </m:f>
          <m:nary>
            <m:naryPr>
              <m:chr m:val="∑"/>
              <m:limLoc m:val="undOvr"/>
              <m:supHide m:val="1"/>
              <m:ctrlPr>
                <w:rPr>
                  <w:rFonts w:ascii="Cambria Math" w:hAnsi="Cambria Math"/>
                  <w:i/>
                </w:rPr>
              </m:ctrlPr>
            </m:naryPr>
            <m:sub>
              <m:r>
                <w:rPr>
                  <w:rFonts w:ascii="Cambria Math" w:hAnsi="Cambria Math"/>
                </w:rPr>
                <m:t>n</m:t>
              </m:r>
            </m:sub>
            <m:sup/>
            <m:e>
              <m:sSub>
                <m:sSubPr>
                  <m:ctrlPr>
                    <w:rPr>
                      <w:rFonts w:ascii="Cambria Math" w:hAnsi="Cambria Math"/>
                      <w:i/>
                    </w:rPr>
                  </m:ctrlPr>
                </m:sSubPr>
                <m:e>
                  <m:r>
                    <w:rPr>
                      <w:rFonts w:ascii="Cambria Math" w:hAnsi="Cambria Math"/>
                    </w:rPr>
                    <m:t>β</m:t>
                  </m:r>
                </m:e>
                <m:sub>
                  <m:r>
                    <w:rPr>
                      <w:rFonts w:ascii="Cambria Math" w:hAnsi="Cambria Math"/>
                    </w:rPr>
                    <m:t>n</m:t>
                  </m:r>
                </m:sub>
              </m:sSub>
              <m:sSub>
                <m:sSubPr>
                  <m:ctrlPr>
                    <w:rPr>
                      <w:rFonts w:ascii="Cambria Math" w:hAnsi="Cambria Math"/>
                      <w:i/>
                    </w:rPr>
                  </m:ctrlPr>
                </m:sSubPr>
                <m:e>
                  <m:r>
                    <w:rPr>
                      <w:rFonts w:ascii="Cambria Math" w:hAnsi="Cambria Math"/>
                    </w:rPr>
                    <m:t>P</m:t>
                  </m:r>
                </m:e>
                <m:sub>
                  <m:r>
                    <w:rPr>
                      <w:rFonts w:ascii="Cambria Math" w:hAnsi="Cambria Math"/>
                    </w:rPr>
                    <m:t>n</m:t>
                  </m:r>
                </m:sub>
              </m:sSub>
              <m:d>
                <m:dPr>
                  <m:ctrlPr>
                    <w:rPr>
                      <w:rFonts w:ascii="Cambria Math" w:hAnsi="Cambria Math"/>
                      <w:i/>
                    </w:rPr>
                  </m:ctrlPr>
                </m:dPr>
                <m:e>
                  <m:r>
                    <w:rPr>
                      <w:rFonts w:ascii="Cambria Math" w:hAnsi="Cambria Math"/>
                    </w:rPr>
                    <m:t>cos θ</m:t>
                  </m:r>
                </m:e>
              </m:d>
              <m:r>
                <w:rPr>
                  <w:rFonts w:ascii="Cambria Math" w:hAnsi="Cambria Math"/>
                </w:rPr>
                <m:t>,</m:t>
              </m:r>
            </m:e>
          </m:nary>
        </m:oMath>
      </m:oMathPara>
    </w:p>
    <w:p w:rsidR="00F530FA" w:rsidRPr="00DE56FE" w:rsidRDefault="00F530FA" w:rsidP="00DE56FE">
      <w:pPr>
        <w:pStyle w:val="TAMainText"/>
        <w:spacing w:after="240"/>
        <w:ind w:firstLine="0"/>
        <w:rPr>
          <w:rFonts w:ascii="Times New Roman" w:hAnsi="Times New Roman" w:cstheme="majorBidi"/>
          <w:sz w:val="22"/>
          <w:szCs w:val="22"/>
        </w:rPr>
      </w:pPr>
      <w:r w:rsidRPr="00DE56FE">
        <w:rPr>
          <w:rFonts w:ascii="Times New Roman" w:hAnsi="Times New Roman" w:cstheme="majorBidi"/>
          <w:sz w:val="22"/>
          <w:szCs w:val="22"/>
        </w:rPr>
        <w:t xml:space="preserve">where </w:t>
      </w:r>
      <m:oMath>
        <m:f>
          <m:fPr>
            <m:ctrlPr>
              <w:rPr>
                <w:rFonts w:ascii="Cambria Math" w:hAnsi="Cambria Math" w:cstheme="majorBidi"/>
                <w:i/>
                <w:sz w:val="22"/>
                <w:szCs w:val="22"/>
              </w:rPr>
            </m:ctrlPr>
          </m:fPr>
          <m:num>
            <m:r>
              <w:rPr>
                <w:rFonts w:ascii="Cambria Math" w:hAnsi="Cambria Math" w:cstheme="majorBidi"/>
                <w:sz w:val="22"/>
                <w:szCs w:val="22"/>
              </w:rPr>
              <m:t>dσ</m:t>
            </m:r>
          </m:num>
          <m:den>
            <m:r>
              <w:rPr>
                <w:rFonts w:ascii="Cambria Math" w:hAnsi="Cambria Math" w:cstheme="majorBidi"/>
                <w:sz w:val="22"/>
                <w:szCs w:val="22"/>
              </w:rPr>
              <m:t>d</m:t>
            </m:r>
            <m:r>
              <m:rPr>
                <m:sty m:val="p"/>
              </m:rPr>
              <w:rPr>
                <w:rFonts w:ascii="Cambria Math" w:hAnsi="Cambria Math" w:cstheme="majorBidi"/>
                <w:sz w:val="22"/>
                <w:szCs w:val="22"/>
              </w:rPr>
              <m:t>Ω</m:t>
            </m:r>
          </m:den>
        </m:f>
      </m:oMath>
      <w:r w:rsidRPr="00DE56FE">
        <w:rPr>
          <w:rFonts w:ascii="Times New Roman" w:hAnsi="Times New Roman" w:cstheme="majorBidi"/>
          <w:sz w:val="22"/>
          <w:szCs w:val="22"/>
        </w:rPr>
        <w:t xml:space="preserve"> defines the photodetachment cross section per unit solid angle, </w:t>
      </w:r>
      <m:oMath>
        <m:sSub>
          <m:sSubPr>
            <m:ctrlPr>
              <w:rPr>
                <w:rFonts w:ascii="Cambria Math" w:hAnsi="Cambria Math" w:cstheme="majorBidi"/>
                <w:i/>
                <w:sz w:val="22"/>
                <w:szCs w:val="22"/>
              </w:rPr>
            </m:ctrlPr>
          </m:sSubPr>
          <m:e>
            <m:r>
              <w:rPr>
                <w:rFonts w:ascii="Cambria Math" w:hAnsi="Cambria Math" w:cstheme="majorBidi"/>
                <w:sz w:val="22"/>
                <w:szCs w:val="22"/>
              </w:rPr>
              <m:t>β</m:t>
            </m:r>
          </m:e>
          <m:sub>
            <m:r>
              <w:rPr>
                <w:rFonts w:ascii="Cambria Math" w:hAnsi="Cambria Math" w:cstheme="majorBidi"/>
                <w:sz w:val="22"/>
                <w:szCs w:val="22"/>
              </w:rPr>
              <m:t>n</m:t>
            </m:r>
          </m:sub>
        </m:sSub>
      </m:oMath>
      <w:r w:rsidRPr="00DE56FE">
        <w:rPr>
          <w:rFonts w:ascii="Times New Roman" w:hAnsi="Times New Roman" w:cstheme="majorBidi"/>
          <w:sz w:val="22"/>
          <w:szCs w:val="22"/>
        </w:rPr>
        <w:t xml:space="preserve"> are the anisotropy parameters and </w:t>
      </w:r>
      <m:oMath>
        <m:sSub>
          <m:sSubPr>
            <m:ctrlPr>
              <w:rPr>
                <w:rFonts w:ascii="Cambria Math" w:hAnsi="Cambria Math" w:cstheme="majorBidi"/>
                <w:i/>
                <w:sz w:val="22"/>
                <w:szCs w:val="22"/>
              </w:rPr>
            </m:ctrlPr>
          </m:sSubPr>
          <m:e>
            <m:r>
              <w:rPr>
                <w:rFonts w:ascii="Cambria Math" w:hAnsi="Cambria Math" w:cstheme="majorBidi"/>
                <w:sz w:val="22"/>
                <w:szCs w:val="22"/>
              </w:rPr>
              <m:t>P</m:t>
            </m:r>
          </m:e>
          <m:sub>
            <m:r>
              <w:rPr>
                <w:rFonts w:ascii="Cambria Math" w:hAnsi="Cambria Math" w:cstheme="majorBidi"/>
                <w:sz w:val="22"/>
                <w:szCs w:val="22"/>
              </w:rPr>
              <m:t>n</m:t>
            </m:r>
          </m:sub>
        </m:sSub>
        <m:r>
          <w:rPr>
            <w:rFonts w:ascii="Cambria Math" w:hAnsi="Cambria Math" w:cstheme="majorBidi"/>
            <w:sz w:val="22"/>
            <w:szCs w:val="22"/>
          </w:rPr>
          <m:t>(cosθ)</m:t>
        </m:r>
      </m:oMath>
      <w:r w:rsidRPr="00DE56FE">
        <w:rPr>
          <w:rFonts w:ascii="Times New Roman" w:hAnsi="Times New Roman" w:cstheme="majorBidi"/>
          <w:sz w:val="22"/>
          <w:szCs w:val="22"/>
        </w:rPr>
        <w:t xml:space="preserve"> are the nth order Legendre polynomials. For linear parallel polarisations used in the present experiment</w:t>
      </w:r>
      <w:r>
        <w:rPr>
          <w:rFonts w:ascii="Times New Roman" w:hAnsi="Times New Roman" w:cstheme="majorBidi"/>
          <w:sz w:val="22"/>
          <w:szCs w:val="22"/>
        </w:rPr>
        <w:t>,</w:t>
      </w:r>
      <w:r w:rsidRPr="00DE56FE">
        <w:rPr>
          <w:rFonts w:ascii="Times New Roman" w:hAnsi="Times New Roman" w:cstheme="majorBidi"/>
          <w:sz w:val="22"/>
          <w:szCs w:val="22"/>
        </w:rPr>
        <w:t xml:space="preserve"> the sum runs over all even numbers up to twice the number of photons used in the excitation and ionisation process. The current experiment contains two photons such that the expansion can be cut at </w:t>
      </w:r>
      <m:oMath>
        <m:sSub>
          <m:sSubPr>
            <m:ctrlPr>
              <w:rPr>
                <w:rFonts w:ascii="Cambria Math" w:hAnsi="Cambria Math" w:cstheme="majorBidi"/>
                <w:i/>
                <w:sz w:val="22"/>
                <w:szCs w:val="22"/>
              </w:rPr>
            </m:ctrlPr>
          </m:sSubPr>
          <m:e>
            <m:r>
              <w:rPr>
                <w:rFonts w:ascii="Cambria Math" w:hAnsi="Cambria Math" w:cstheme="majorBidi"/>
                <w:sz w:val="22"/>
                <w:szCs w:val="22"/>
              </w:rPr>
              <m:t>β</m:t>
            </m:r>
          </m:e>
          <m:sub>
            <m:r>
              <w:rPr>
                <w:rFonts w:ascii="Cambria Math" w:hAnsi="Cambria Math" w:cstheme="majorBidi"/>
                <w:sz w:val="22"/>
                <w:szCs w:val="22"/>
              </w:rPr>
              <m:t>4</m:t>
            </m:r>
          </m:sub>
        </m:sSub>
      </m:oMath>
      <w:r w:rsidRPr="00DE56FE">
        <w:rPr>
          <w:rFonts w:ascii="Times New Roman" w:hAnsi="Times New Roman" w:cstheme="majorBidi"/>
          <w:sz w:val="22"/>
          <w:szCs w:val="22"/>
        </w:rPr>
        <w:t xml:space="preserve">. </w:t>
      </w:r>
    </w:p>
    <w:p w:rsidR="00F530FA" w:rsidRPr="00DE56FE" w:rsidRDefault="00F530FA" w:rsidP="00DE56FE">
      <w:pPr>
        <w:spacing w:after="0" w:line="480" w:lineRule="auto"/>
        <w:rPr>
          <w:rFonts w:ascii="Times New Roman" w:hAnsi="Times New Roman"/>
          <w:bCs/>
          <w:u w:val="single"/>
        </w:rPr>
      </w:pPr>
      <w:r w:rsidRPr="00DE56FE">
        <w:rPr>
          <w:rFonts w:ascii="Times New Roman" w:hAnsi="Times New Roman"/>
          <w:bCs/>
          <w:u w:val="single"/>
        </w:rPr>
        <w:lastRenderedPageBreak/>
        <w:t>Time dependent photoelectron intensity fits</w:t>
      </w:r>
    </w:p>
    <w:p w:rsidR="00F530FA" w:rsidRPr="00DE56FE" w:rsidRDefault="00F530FA" w:rsidP="00DE56FE">
      <w:pPr>
        <w:pStyle w:val="TAMainText"/>
        <w:spacing w:after="240"/>
        <w:ind w:firstLine="0"/>
        <w:rPr>
          <w:rFonts w:ascii="Times New Roman" w:hAnsi="Times New Roman"/>
          <w:sz w:val="22"/>
          <w:szCs w:val="22"/>
        </w:rPr>
      </w:pPr>
      <w:r w:rsidRPr="00DE56FE">
        <w:rPr>
          <w:rFonts w:ascii="Times New Roman" w:hAnsi="Times New Roman"/>
          <w:sz w:val="22"/>
          <w:szCs w:val="22"/>
        </w:rPr>
        <w:t>In the main paper fits to the time dependent photoelectron yield at energies above 0.1 eV are presented in figure 3. The fits are based on a biexponential decay convoluted with the Gaussian instrument response function defined by the pump and probe laser pulse durations,</w:t>
      </w:r>
    </w:p>
    <w:p w:rsidR="00F530FA" w:rsidRPr="00DE56FE" w:rsidRDefault="00F530FA" w:rsidP="002364AD">
      <w:pPr>
        <w:pStyle w:val="TAMainText"/>
        <w:spacing w:after="240"/>
        <w:ind w:firstLine="0"/>
        <w:jc w:val="left"/>
        <w:rPr>
          <w:rFonts w:ascii="Times New Roman" w:hAnsi="Times New Roman" w:cstheme="majorBidi"/>
          <w:sz w:val="22"/>
          <w:szCs w:val="22"/>
        </w:rPr>
      </w:pPr>
      <m:oMath>
        <m:r>
          <w:rPr>
            <w:rFonts w:ascii="Cambria Math" w:hAnsi="Cambria Math"/>
            <w:sz w:val="22"/>
            <w:szCs w:val="22"/>
          </w:rPr>
          <m:t>I</m:t>
        </m:r>
        <m:d>
          <m:dPr>
            <m:ctrlPr>
              <w:rPr>
                <w:rFonts w:ascii="Cambria Math" w:hAnsi="Cambria Math"/>
                <w:i/>
                <w:sz w:val="22"/>
                <w:szCs w:val="22"/>
              </w:rPr>
            </m:ctrlPr>
          </m:dPr>
          <m:e>
            <m:r>
              <w:rPr>
                <w:rFonts w:ascii="Cambria Math" w:hAnsi="Cambria Math"/>
                <w:sz w:val="22"/>
                <w:szCs w:val="22"/>
              </w:rPr>
              <m:t>t</m:t>
            </m:r>
          </m:e>
        </m:d>
        <m:r>
          <w:rPr>
            <w:rFonts w:ascii="Cambria Math" w:hAnsi="Cambria Math"/>
            <w:sz w:val="22"/>
            <w:szCs w:val="22"/>
          </w:rPr>
          <m:t>=</m:t>
        </m:r>
        <m:nary>
          <m:naryPr>
            <m:chr m:val="∑"/>
            <m:limLoc m:val="undOvr"/>
            <m:supHide m:val="1"/>
            <m:ctrlPr>
              <w:rPr>
                <w:rFonts w:ascii="Cambria Math" w:hAnsi="Cambria Math"/>
                <w:i/>
                <w:sz w:val="22"/>
                <w:szCs w:val="22"/>
              </w:rPr>
            </m:ctrlPr>
          </m:naryPr>
          <m:sub>
            <m:r>
              <w:rPr>
                <w:rFonts w:ascii="Cambria Math" w:hAnsi="Cambria Math"/>
                <w:sz w:val="22"/>
                <w:szCs w:val="22"/>
              </w:rPr>
              <m:t>n</m:t>
            </m:r>
          </m:sub>
          <m:sup/>
          <m:e>
            <m:r>
              <w:rPr>
                <w:rFonts w:ascii="Cambria Math" w:hAnsi="Cambria Math"/>
                <w:sz w:val="22"/>
                <w:szCs w:val="22"/>
              </w:rPr>
              <m:t>g(μ,σ)*</m:t>
            </m:r>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n</m:t>
                </m:r>
              </m:sub>
            </m:sSub>
            <m:r>
              <m:rPr>
                <m:sty m:val="p"/>
              </m:rPr>
              <w:rPr>
                <w:rFonts w:ascii="Cambria Math" w:hAnsi="Cambria Math"/>
                <w:sz w:val="22"/>
                <w:szCs w:val="22"/>
              </w:rPr>
              <m:t>exp⁡</m:t>
            </m:r>
            <m:r>
              <w:rPr>
                <w:rFonts w:ascii="Cambria Math" w:hAnsi="Cambria Math"/>
                <w:sz w:val="22"/>
                <w:szCs w:val="22"/>
              </w:rPr>
              <m:t>(-</m:t>
            </m:r>
            <m:sSub>
              <m:sSubPr>
                <m:ctrlPr>
                  <w:rPr>
                    <w:rFonts w:ascii="Cambria Math" w:hAnsi="Cambria Math"/>
                    <w:i/>
                    <w:sz w:val="22"/>
                    <w:szCs w:val="22"/>
                  </w:rPr>
                </m:ctrlPr>
              </m:sSubPr>
              <m:e>
                <m:r>
                  <w:rPr>
                    <w:rFonts w:ascii="Cambria Math" w:hAnsi="Cambria Math"/>
                    <w:sz w:val="22"/>
                    <w:szCs w:val="22"/>
                  </w:rPr>
                  <m:t>k</m:t>
                </m:r>
              </m:e>
              <m:sub>
                <m:r>
                  <w:rPr>
                    <w:rFonts w:ascii="Cambria Math" w:hAnsi="Cambria Math"/>
                    <w:sz w:val="22"/>
                    <w:szCs w:val="22"/>
                  </w:rPr>
                  <m:t>n</m:t>
                </m:r>
              </m:sub>
            </m:sSub>
            <m:r>
              <w:rPr>
                <w:rFonts w:ascii="Cambria Math" w:hAnsi="Cambria Math"/>
                <w:sz w:val="22"/>
                <w:szCs w:val="22"/>
              </w:rPr>
              <m:t>t)</m:t>
            </m:r>
          </m:e>
        </m:nary>
        <m:r>
          <w:rPr>
            <w:rFonts w:ascii="Cambria Math" w:hAnsi="Cambria Math"/>
            <w:sz w:val="22"/>
            <w:szCs w:val="22"/>
          </w:rPr>
          <m:t>.</m:t>
        </m:r>
      </m:oMath>
      <w:r>
        <w:rPr>
          <w:rFonts w:ascii="Times New Roman" w:hAnsi="Times New Roman" w:cstheme="majorBidi"/>
          <w:sz w:val="22"/>
          <w:szCs w:val="22"/>
        </w:rPr>
        <w:tab/>
      </w:r>
      <w:r>
        <w:rPr>
          <w:rFonts w:ascii="Times New Roman" w:hAnsi="Times New Roman" w:cstheme="majorBidi"/>
          <w:sz w:val="22"/>
          <w:szCs w:val="22"/>
        </w:rPr>
        <w:tab/>
      </w:r>
      <w:r>
        <w:rPr>
          <w:rFonts w:ascii="Times New Roman" w:hAnsi="Times New Roman" w:cstheme="majorBidi"/>
          <w:sz w:val="22"/>
          <w:szCs w:val="22"/>
        </w:rPr>
        <w:tab/>
      </w:r>
      <w:r>
        <w:rPr>
          <w:rFonts w:ascii="Times New Roman" w:hAnsi="Times New Roman" w:cstheme="majorBidi"/>
          <w:sz w:val="22"/>
          <w:szCs w:val="22"/>
        </w:rPr>
        <w:tab/>
      </w:r>
      <w:r>
        <w:rPr>
          <w:rFonts w:ascii="Times New Roman" w:hAnsi="Times New Roman" w:cstheme="majorBidi"/>
          <w:sz w:val="22"/>
          <w:szCs w:val="22"/>
        </w:rPr>
        <w:tab/>
      </w:r>
      <w:r>
        <w:rPr>
          <w:rFonts w:ascii="Times New Roman" w:hAnsi="Times New Roman" w:cstheme="majorBidi"/>
          <w:sz w:val="22"/>
          <w:szCs w:val="22"/>
        </w:rPr>
        <w:tab/>
        <w:t>(1)</w:t>
      </w:r>
    </w:p>
    <w:p w:rsidR="00F530FA" w:rsidRPr="00B4012B" w:rsidRDefault="00F530FA" w:rsidP="00DE56FE">
      <w:pPr>
        <w:spacing w:line="480" w:lineRule="auto"/>
        <w:jc w:val="both"/>
        <w:rPr>
          <w:rFonts w:ascii="Times New Roman" w:hAnsi="Times New Roman" w:cstheme="majorBidi"/>
          <w:bCs/>
        </w:rPr>
      </w:pPr>
      <w:r w:rsidRPr="00DE56FE">
        <w:rPr>
          <w:rFonts w:ascii="Times New Roman" w:hAnsi="Times New Roman" w:cstheme="majorBidi"/>
          <w:bCs/>
        </w:rPr>
        <w:t xml:space="preserve">For each 0.1 eV energy region the amplitudes, </w:t>
      </w:r>
      <m:oMath>
        <m:sSub>
          <m:sSubPr>
            <m:ctrlPr>
              <w:rPr>
                <w:rFonts w:ascii="Cambria Math" w:hAnsi="Cambria Math" w:cstheme="majorBidi"/>
                <w:i/>
              </w:rPr>
            </m:ctrlPr>
          </m:sSubPr>
          <m:e>
            <m:r>
              <w:rPr>
                <w:rFonts w:ascii="Cambria Math" w:hAnsi="Cambria Math" w:cstheme="majorBidi"/>
              </w:rPr>
              <m:t>a</m:t>
            </m:r>
          </m:e>
          <m:sub>
            <m:r>
              <w:rPr>
                <w:rFonts w:ascii="Cambria Math" w:hAnsi="Cambria Math" w:cstheme="majorBidi"/>
              </w:rPr>
              <m:t>n</m:t>
            </m:r>
          </m:sub>
        </m:sSub>
      </m:oMath>
      <w:r w:rsidRPr="00DE56FE">
        <w:rPr>
          <w:rFonts w:ascii="Times New Roman" w:hAnsi="Times New Roman" w:cstheme="majorBidi"/>
          <w:bCs/>
        </w:rPr>
        <w:t xml:space="preserve">, and decay constants, </w:t>
      </w:r>
      <m:oMath>
        <m:sSub>
          <m:sSubPr>
            <m:ctrlPr>
              <w:rPr>
                <w:rFonts w:ascii="Cambria Math" w:hAnsi="Cambria Math" w:cstheme="majorBidi"/>
                <w:i/>
              </w:rPr>
            </m:ctrlPr>
          </m:sSubPr>
          <m:e>
            <m:r>
              <w:rPr>
                <w:rFonts w:ascii="Cambria Math" w:hAnsi="Cambria Math" w:cstheme="majorBidi"/>
              </w:rPr>
              <m:t>k</m:t>
            </m:r>
          </m:e>
          <m:sub>
            <m:r>
              <w:rPr>
                <w:rFonts w:ascii="Cambria Math" w:hAnsi="Cambria Math" w:cstheme="majorBidi"/>
              </w:rPr>
              <m:t>n</m:t>
            </m:r>
          </m:sub>
        </m:sSub>
      </m:oMath>
      <w:r w:rsidRPr="00DE56FE">
        <w:rPr>
          <w:rFonts w:ascii="Times New Roman" w:hAnsi="Times New Roman" w:cstheme="majorBidi"/>
          <w:bCs/>
        </w:rPr>
        <w:t xml:space="preserve">, of the two exponential decays and the delay in appearance time, </w:t>
      </w:r>
      <m:oMath>
        <m:r>
          <w:rPr>
            <w:rFonts w:ascii="Cambria Math" w:hAnsi="Cambria Math" w:cstheme="majorBidi"/>
          </w:rPr>
          <m:t>μ</m:t>
        </m:r>
      </m:oMath>
      <w:r w:rsidRPr="00DE56FE">
        <w:rPr>
          <w:rFonts w:ascii="Times New Roman" w:hAnsi="Times New Roman" w:cstheme="majorBidi"/>
          <w:bCs/>
        </w:rPr>
        <w:t xml:space="preserve">, are least squares fit to the experimental measurements. The cross-correlation full width at half maximum, </w:t>
      </w:r>
      <m:oMath>
        <m:r>
          <w:rPr>
            <w:rFonts w:ascii="Cambria Math" w:hAnsi="Cambria Math" w:cstheme="majorBidi"/>
          </w:rPr>
          <m:t>σ</m:t>
        </m:r>
      </m:oMath>
      <w:r w:rsidRPr="00DE56FE">
        <w:rPr>
          <w:rFonts w:ascii="Times New Roman" w:hAnsi="Times New Roman" w:cstheme="majorBidi"/>
          <w:bCs/>
        </w:rPr>
        <w:t>, is fit simultaneously across all plots and has a value of approximately 50 fs. The results of these fits provide a timescale for the hydrogen process through the delay in appearance time (</w:t>
      </w:r>
      <m:oMath>
        <m:r>
          <w:rPr>
            <w:rFonts w:ascii="Cambria Math" w:hAnsi="Cambria Math" w:cstheme="majorBidi"/>
          </w:rPr>
          <m:t>μ)</m:t>
        </m:r>
      </m:oMath>
      <w:r w:rsidRPr="00DE56FE">
        <w:rPr>
          <w:rFonts w:ascii="Times New Roman" w:hAnsi="Times New Roman" w:cstheme="majorBidi"/>
          <w:bCs/>
        </w:rPr>
        <w:t xml:space="preserve"> and approximate values for the decay of the excited population into either the charge transfer state or through dissociation on the excited state surface</w:t>
      </w:r>
      <w:r w:rsidRPr="00B4012B">
        <w:rPr>
          <w:rFonts w:ascii="Times New Roman" w:hAnsi="Times New Roman" w:cstheme="majorBidi"/>
          <w:bCs/>
        </w:rPr>
        <w:t>. The values obtained from the fit are given in table S1 and plots of the components in figure S1. Details of the analysis of the fits are provided in the main paper.</w:t>
      </w:r>
    </w:p>
    <w:p w:rsidR="00F530FA" w:rsidRPr="00B4012B" w:rsidRDefault="00F530FA">
      <w:pPr>
        <w:rPr>
          <w:rFonts w:ascii="Times New Roman" w:hAnsi="Times New Roman" w:cstheme="majorBidi"/>
          <w:bCs/>
        </w:rPr>
      </w:pPr>
      <w:r w:rsidRPr="00B4012B">
        <w:rPr>
          <w:rFonts w:ascii="Times New Roman" w:hAnsi="Times New Roman" w:cstheme="majorBidi"/>
          <w:bCs/>
        </w:rPr>
        <w:br w:type="page"/>
      </w:r>
    </w:p>
    <w:p w:rsidR="00F530FA" w:rsidRPr="00B4012B" w:rsidRDefault="00F530FA" w:rsidP="001224AB">
      <w:pPr>
        <w:spacing w:line="480" w:lineRule="auto"/>
        <w:jc w:val="both"/>
        <w:rPr>
          <w:rFonts w:ascii="Times New Roman" w:hAnsi="Times New Roman" w:cstheme="majorBidi"/>
          <w:bCs/>
        </w:rPr>
      </w:pPr>
      <w:r w:rsidRPr="00B4012B">
        <w:rPr>
          <w:rFonts w:ascii="Times New Roman" w:hAnsi="Times New Roman" w:cstheme="majorBidi"/>
          <w:bCs/>
        </w:rPr>
        <w:lastRenderedPageBreak/>
        <w:t xml:space="preserve"> Table 1. Kinetic parameters obtained from fits of equation (1) to the measured photoelectron intensity at particular energies. </w:t>
      </w:r>
    </w:p>
    <w:tbl>
      <w:tblPr>
        <w:tblW w:w="0" w:type="auto"/>
        <w:jc w:val="center"/>
        <w:tblLook w:val="04A0" w:firstRow="1" w:lastRow="0" w:firstColumn="1" w:lastColumn="0" w:noHBand="0" w:noVBand="1"/>
      </w:tblPr>
      <w:tblGrid>
        <w:gridCol w:w="1393"/>
        <w:gridCol w:w="841"/>
        <w:gridCol w:w="841"/>
        <w:gridCol w:w="841"/>
        <w:gridCol w:w="841"/>
        <w:gridCol w:w="841"/>
      </w:tblGrid>
      <w:tr w:rsidR="00F530FA" w:rsidRPr="00B4012B" w:rsidTr="007A3D7A">
        <w:trPr>
          <w:trHeight w:val="300"/>
          <w:jc w:val="center"/>
        </w:trPr>
        <w:tc>
          <w:tcPr>
            <w:tcW w:w="0" w:type="auto"/>
            <w:tcBorders>
              <w:top w:val="nil"/>
              <w:left w:val="nil"/>
              <w:bottom w:val="nil"/>
              <w:right w:val="single" w:sz="4" w:space="0" w:color="auto"/>
            </w:tcBorders>
          </w:tcPr>
          <w:p w:rsidR="00F530FA" w:rsidRPr="00B4012B" w:rsidRDefault="00F530FA">
            <w:pPr>
              <w:spacing w:after="0" w:line="240" w:lineRule="auto"/>
              <w:jc w:val="right"/>
              <w:rPr>
                <w:rFonts w:ascii="Calibri" w:eastAsia="Times New Roman" w:hAnsi="Calibri" w:cs="Times New Roman"/>
              </w:rPr>
            </w:pPr>
          </w:p>
        </w:tc>
        <w:tc>
          <w:tcPr>
            <w:tcW w:w="0" w:type="auto"/>
            <w:gridSpan w:val="5"/>
            <w:tcBorders>
              <w:top w:val="single" w:sz="4" w:space="0" w:color="auto"/>
              <w:left w:val="single" w:sz="4" w:space="0" w:color="auto"/>
              <w:bottom w:val="nil"/>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Energy Region / eV</w:t>
            </w:r>
          </w:p>
        </w:tc>
      </w:tr>
      <w:tr w:rsidR="00F530FA" w:rsidRPr="00B4012B" w:rsidTr="007A3D7A">
        <w:trPr>
          <w:trHeight w:val="300"/>
          <w:jc w:val="center"/>
        </w:trPr>
        <w:tc>
          <w:tcPr>
            <w:tcW w:w="0" w:type="auto"/>
            <w:tcBorders>
              <w:top w:val="nil"/>
              <w:left w:val="nil"/>
              <w:bottom w:val="single" w:sz="4" w:space="0" w:color="auto"/>
              <w:right w:val="single" w:sz="4" w:space="0" w:color="auto"/>
            </w:tcBorders>
          </w:tcPr>
          <w:p w:rsidR="00F530FA" w:rsidRPr="00B4012B" w:rsidRDefault="00F530FA">
            <w:pPr>
              <w:spacing w:after="0" w:line="240" w:lineRule="auto"/>
              <w:jc w:val="right"/>
              <w:rPr>
                <w:rFonts w:ascii="Calibri" w:eastAsia="Times New Roman" w:hAnsi="Calibri" w:cs="Times New Roman"/>
              </w:rPr>
            </w:pPr>
          </w:p>
        </w:tc>
        <w:tc>
          <w:tcPr>
            <w:tcW w:w="0" w:type="auto"/>
            <w:tcBorders>
              <w:top w:val="nil"/>
              <w:left w:val="single" w:sz="4" w:space="0" w:color="auto"/>
              <w:bottom w:val="single" w:sz="4" w:space="0" w:color="auto"/>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0.1-0.2</w:t>
            </w:r>
          </w:p>
        </w:tc>
        <w:tc>
          <w:tcPr>
            <w:tcW w:w="0" w:type="auto"/>
            <w:tcBorders>
              <w:top w:val="nil"/>
              <w:left w:val="single" w:sz="4" w:space="0" w:color="auto"/>
              <w:bottom w:val="single" w:sz="4" w:space="0" w:color="auto"/>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0.2-0.3</w:t>
            </w:r>
          </w:p>
        </w:tc>
        <w:tc>
          <w:tcPr>
            <w:tcW w:w="0" w:type="auto"/>
            <w:tcBorders>
              <w:top w:val="nil"/>
              <w:left w:val="single" w:sz="4" w:space="0" w:color="auto"/>
              <w:bottom w:val="single" w:sz="4" w:space="0" w:color="auto"/>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0.3-0.4</w:t>
            </w:r>
          </w:p>
        </w:tc>
        <w:tc>
          <w:tcPr>
            <w:tcW w:w="0" w:type="auto"/>
            <w:tcBorders>
              <w:top w:val="nil"/>
              <w:left w:val="single" w:sz="4" w:space="0" w:color="auto"/>
              <w:bottom w:val="single" w:sz="4" w:space="0" w:color="auto"/>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0.4-0.5</w:t>
            </w:r>
          </w:p>
        </w:tc>
        <w:tc>
          <w:tcPr>
            <w:tcW w:w="0" w:type="auto"/>
            <w:tcBorders>
              <w:top w:val="nil"/>
              <w:left w:val="single" w:sz="4" w:space="0" w:color="auto"/>
              <w:bottom w:val="single" w:sz="4" w:space="0" w:color="auto"/>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0.5-0.6</w:t>
            </w:r>
          </w:p>
        </w:tc>
      </w:tr>
      <w:tr w:rsidR="00F530FA" w:rsidRPr="00B4012B" w:rsidTr="007A3D7A">
        <w:trPr>
          <w:trHeight w:val="300"/>
          <w:jc w:val="center"/>
        </w:trPr>
        <w:tc>
          <w:tcPr>
            <w:tcW w:w="0" w:type="auto"/>
            <w:tcBorders>
              <w:top w:val="single" w:sz="4" w:space="0" w:color="auto"/>
              <w:left w:val="single" w:sz="4" w:space="0" w:color="auto"/>
              <w:bottom w:val="single" w:sz="4" w:space="0" w:color="auto"/>
              <w:right w:val="single" w:sz="4" w:space="0" w:color="auto"/>
            </w:tcBorders>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Delay / fs</w:t>
            </w:r>
          </w:p>
        </w:tc>
        <w:tc>
          <w:tcPr>
            <w:tcW w:w="0" w:type="auto"/>
            <w:tcBorders>
              <w:top w:val="single" w:sz="4" w:space="0" w:color="auto"/>
              <w:left w:val="single" w:sz="4" w:space="0" w:color="auto"/>
              <w:bottom w:val="single" w:sz="4" w:space="0" w:color="auto"/>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88</w:t>
            </w:r>
          </w:p>
        </w:tc>
        <w:tc>
          <w:tcPr>
            <w:tcW w:w="0" w:type="auto"/>
            <w:tcBorders>
              <w:top w:val="single" w:sz="4" w:space="0" w:color="auto"/>
              <w:left w:val="single" w:sz="4" w:space="0" w:color="auto"/>
              <w:bottom w:val="single" w:sz="4" w:space="0" w:color="auto"/>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103</w:t>
            </w:r>
          </w:p>
        </w:tc>
        <w:tc>
          <w:tcPr>
            <w:tcW w:w="0" w:type="auto"/>
            <w:tcBorders>
              <w:top w:val="single" w:sz="4" w:space="0" w:color="auto"/>
              <w:left w:val="single" w:sz="4" w:space="0" w:color="auto"/>
              <w:bottom w:val="single" w:sz="4" w:space="0" w:color="auto"/>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118</w:t>
            </w:r>
          </w:p>
        </w:tc>
        <w:tc>
          <w:tcPr>
            <w:tcW w:w="0" w:type="auto"/>
            <w:tcBorders>
              <w:top w:val="single" w:sz="4" w:space="0" w:color="auto"/>
              <w:left w:val="single" w:sz="4" w:space="0" w:color="auto"/>
              <w:bottom w:val="single" w:sz="4" w:space="0" w:color="auto"/>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127</w:t>
            </w:r>
          </w:p>
        </w:tc>
        <w:tc>
          <w:tcPr>
            <w:tcW w:w="0" w:type="auto"/>
            <w:tcBorders>
              <w:top w:val="single" w:sz="4" w:space="0" w:color="auto"/>
              <w:left w:val="single" w:sz="4" w:space="0" w:color="auto"/>
              <w:bottom w:val="single" w:sz="4" w:space="0" w:color="auto"/>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130</w:t>
            </w:r>
          </w:p>
        </w:tc>
      </w:tr>
      <w:tr w:rsidR="00F530FA" w:rsidRPr="00B4012B" w:rsidTr="007A3D7A">
        <w:trPr>
          <w:trHeight w:val="300"/>
          <w:jc w:val="center"/>
        </w:trPr>
        <w:tc>
          <w:tcPr>
            <w:tcW w:w="0" w:type="auto"/>
            <w:tcBorders>
              <w:top w:val="single" w:sz="4" w:space="0" w:color="auto"/>
              <w:left w:val="single" w:sz="4" w:space="0" w:color="auto"/>
              <w:bottom w:val="single" w:sz="4" w:space="0" w:color="auto"/>
              <w:right w:val="single" w:sz="4" w:space="0" w:color="auto"/>
            </w:tcBorders>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Lifetime / fs</w:t>
            </w:r>
          </w:p>
        </w:tc>
        <w:tc>
          <w:tcPr>
            <w:tcW w:w="0" w:type="auto"/>
            <w:tcBorders>
              <w:top w:val="single" w:sz="4" w:space="0" w:color="auto"/>
              <w:left w:val="single" w:sz="4" w:space="0" w:color="auto"/>
              <w:bottom w:val="single" w:sz="4" w:space="0" w:color="auto"/>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2974</w:t>
            </w:r>
          </w:p>
        </w:tc>
        <w:tc>
          <w:tcPr>
            <w:tcW w:w="0" w:type="auto"/>
            <w:tcBorders>
              <w:top w:val="single" w:sz="4" w:space="0" w:color="auto"/>
              <w:left w:val="single" w:sz="4" w:space="0" w:color="auto"/>
              <w:bottom w:val="single" w:sz="4" w:space="0" w:color="auto"/>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1910</w:t>
            </w:r>
          </w:p>
        </w:tc>
        <w:tc>
          <w:tcPr>
            <w:tcW w:w="0" w:type="auto"/>
            <w:tcBorders>
              <w:top w:val="single" w:sz="4" w:space="0" w:color="auto"/>
              <w:left w:val="single" w:sz="4" w:space="0" w:color="auto"/>
              <w:bottom w:val="single" w:sz="4" w:space="0" w:color="auto"/>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1654</w:t>
            </w:r>
          </w:p>
        </w:tc>
        <w:tc>
          <w:tcPr>
            <w:tcW w:w="0" w:type="auto"/>
            <w:tcBorders>
              <w:top w:val="single" w:sz="4" w:space="0" w:color="auto"/>
              <w:left w:val="single" w:sz="4" w:space="0" w:color="auto"/>
              <w:bottom w:val="single" w:sz="4" w:space="0" w:color="auto"/>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1737</w:t>
            </w:r>
          </w:p>
        </w:tc>
        <w:tc>
          <w:tcPr>
            <w:tcW w:w="0" w:type="auto"/>
            <w:tcBorders>
              <w:top w:val="single" w:sz="4" w:space="0" w:color="auto"/>
              <w:left w:val="single" w:sz="4" w:space="0" w:color="auto"/>
              <w:bottom w:val="single" w:sz="4" w:space="0" w:color="auto"/>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1982</w:t>
            </w:r>
          </w:p>
        </w:tc>
      </w:tr>
      <w:tr w:rsidR="00F530FA" w:rsidRPr="00B4012B" w:rsidTr="007A3D7A">
        <w:trPr>
          <w:trHeight w:val="300"/>
          <w:jc w:val="center"/>
        </w:trPr>
        <w:tc>
          <w:tcPr>
            <w:tcW w:w="0" w:type="auto"/>
            <w:tcBorders>
              <w:top w:val="single" w:sz="4" w:space="0" w:color="auto"/>
              <w:left w:val="single" w:sz="4" w:space="0" w:color="auto"/>
              <w:bottom w:val="single" w:sz="4" w:space="0" w:color="auto"/>
              <w:right w:val="single" w:sz="4" w:space="0" w:color="auto"/>
            </w:tcBorders>
            <w:hideMark/>
          </w:tcPr>
          <w:p w:rsidR="00F530FA" w:rsidRPr="00B4012B" w:rsidRDefault="00F530FA">
            <w:pPr>
              <w:spacing w:after="0" w:line="240" w:lineRule="auto"/>
              <w:ind w:right="110"/>
              <w:jc w:val="center"/>
              <w:rPr>
                <w:rFonts w:ascii="Calibri" w:eastAsia="Times New Roman" w:hAnsi="Calibri" w:cs="Times New Roman"/>
              </w:rPr>
            </w:pPr>
            <w:r w:rsidRPr="00B4012B">
              <w:rPr>
                <w:rFonts w:ascii="Calibri" w:eastAsia="Times New Roman" w:hAnsi="Calibri" w:cs="Times New Roman"/>
              </w:rPr>
              <w:t>Lifetime / fs</w:t>
            </w:r>
          </w:p>
        </w:tc>
        <w:tc>
          <w:tcPr>
            <w:tcW w:w="0" w:type="auto"/>
            <w:tcBorders>
              <w:top w:val="single" w:sz="4" w:space="0" w:color="auto"/>
              <w:left w:val="single" w:sz="4" w:space="0" w:color="auto"/>
              <w:bottom w:val="single" w:sz="4" w:space="0" w:color="auto"/>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361</w:t>
            </w:r>
          </w:p>
        </w:tc>
        <w:tc>
          <w:tcPr>
            <w:tcW w:w="0" w:type="auto"/>
            <w:tcBorders>
              <w:top w:val="single" w:sz="4" w:space="0" w:color="auto"/>
              <w:left w:val="single" w:sz="4" w:space="0" w:color="auto"/>
              <w:bottom w:val="single" w:sz="4" w:space="0" w:color="auto"/>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239</w:t>
            </w:r>
          </w:p>
        </w:tc>
        <w:tc>
          <w:tcPr>
            <w:tcW w:w="0" w:type="auto"/>
            <w:tcBorders>
              <w:top w:val="single" w:sz="4" w:space="0" w:color="auto"/>
              <w:left w:val="single" w:sz="4" w:space="0" w:color="auto"/>
              <w:bottom w:val="single" w:sz="4" w:space="0" w:color="auto"/>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160</w:t>
            </w:r>
          </w:p>
        </w:tc>
        <w:tc>
          <w:tcPr>
            <w:tcW w:w="0" w:type="auto"/>
            <w:tcBorders>
              <w:top w:val="single" w:sz="4" w:space="0" w:color="auto"/>
              <w:left w:val="single" w:sz="4" w:space="0" w:color="auto"/>
              <w:bottom w:val="single" w:sz="4" w:space="0" w:color="auto"/>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128</w:t>
            </w:r>
          </w:p>
        </w:tc>
        <w:tc>
          <w:tcPr>
            <w:tcW w:w="0" w:type="auto"/>
            <w:tcBorders>
              <w:top w:val="single" w:sz="4" w:space="0" w:color="auto"/>
              <w:left w:val="single" w:sz="4" w:space="0" w:color="auto"/>
              <w:bottom w:val="single" w:sz="4" w:space="0" w:color="auto"/>
              <w:right w:val="single" w:sz="4" w:space="0" w:color="auto"/>
            </w:tcBorders>
            <w:noWrap/>
            <w:hideMark/>
          </w:tcPr>
          <w:p w:rsidR="00F530FA" w:rsidRPr="00B4012B" w:rsidRDefault="00F530FA">
            <w:pPr>
              <w:spacing w:after="0" w:line="240" w:lineRule="auto"/>
              <w:jc w:val="center"/>
              <w:rPr>
                <w:rFonts w:ascii="Calibri" w:eastAsia="Times New Roman" w:hAnsi="Calibri" w:cs="Times New Roman"/>
              </w:rPr>
            </w:pPr>
            <w:r w:rsidRPr="00B4012B">
              <w:rPr>
                <w:rFonts w:ascii="Calibri" w:eastAsia="Times New Roman" w:hAnsi="Calibri" w:cs="Times New Roman"/>
              </w:rPr>
              <w:t>118</w:t>
            </w:r>
          </w:p>
        </w:tc>
      </w:tr>
    </w:tbl>
    <w:p w:rsidR="00F530FA" w:rsidRPr="00B4012B" w:rsidRDefault="00F530FA" w:rsidP="00DE56FE">
      <w:pPr>
        <w:spacing w:line="480" w:lineRule="auto"/>
        <w:jc w:val="both"/>
        <w:rPr>
          <w:rFonts w:ascii="Times New Roman" w:hAnsi="Times New Roman" w:cstheme="majorBidi"/>
          <w:bCs/>
        </w:rPr>
      </w:pPr>
    </w:p>
    <w:p w:rsidR="00F530FA" w:rsidRPr="00B4012B" w:rsidRDefault="00F530FA" w:rsidP="00DE56FE">
      <w:pPr>
        <w:spacing w:line="480" w:lineRule="auto"/>
        <w:jc w:val="both"/>
        <w:rPr>
          <w:rFonts w:ascii="Times New Roman" w:hAnsi="Times New Roman" w:cstheme="majorBidi"/>
          <w:bCs/>
        </w:rPr>
      </w:pPr>
      <w:r w:rsidRPr="00B4012B">
        <w:rPr>
          <w:rFonts w:ascii="Times New Roman" w:hAnsi="Times New Roman" w:cstheme="majorBidi"/>
          <w:bCs/>
          <w:noProof/>
          <w:lang w:eastAsia="en-GB"/>
        </w:rPr>
        <w:drawing>
          <wp:inline distT="0" distB="0" distL="0" distR="0" wp14:anchorId="638AAF11" wp14:editId="1802B5C0">
            <wp:extent cx="5510463" cy="18165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12404" cy="1817153"/>
                    </a:xfrm>
                    <a:prstGeom prst="rect">
                      <a:avLst/>
                    </a:prstGeom>
                    <a:noFill/>
                  </pic:spPr>
                </pic:pic>
              </a:graphicData>
            </a:graphic>
          </wp:inline>
        </w:drawing>
      </w:r>
    </w:p>
    <w:p w:rsidR="00F530FA" w:rsidRPr="00B4012B" w:rsidRDefault="00F530FA" w:rsidP="00334EFA">
      <w:pPr>
        <w:rPr>
          <w:rFonts w:ascii="Times New Roman" w:hAnsi="Times New Roman" w:cstheme="majorBidi"/>
          <w:bCs/>
        </w:rPr>
      </w:pPr>
      <w:r w:rsidRPr="00B4012B">
        <w:rPr>
          <w:rFonts w:ascii="Times New Roman" w:hAnsi="Times New Roman" w:cstheme="majorBidi"/>
          <w:bCs/>
        </w:rPr>
        <w:t xml:space="preserve">Figure S1. </w:t>
      </w:r>
      <w:r w:rsidRPr="00B4012B">
        <w:rPr>
          <w:rFonts w:asciiTheme="majorBidi" w:hAnsiTheme="majorBidi" w:cstheme="majorBidi"/>
          <w:szCs w:val="18"/>
        </w:rPr>
        <w:t>Photoelectron intensity integrated over spectral slices (as indicated) as a function of pump-probe delay (blue circles). Shown in red and orange are the two components of the biexponential fits to the measured intensity distributions with the resultant sum plotted as a solid blue line through the data points.</w:t>
      </w:r>
    </w:p>
    <w:p w:rsidR="00F530FA" w:rsidRPr="00B4012B" w:rsidRDefault="00F530FA" w:rsidP="00DE56FE">
      <w:pPr>
        <w:spacing w:after="0" w:line="480" w:lineRule="auto"/>
        <w:rPr>
          <w:rFonts w:ascii="Times New Roman" w:hAnsi="Times New Roman"/>
          <w:bCs/>
          <w:u w:val="single"/>
        </w:rPr>
      </w:pPr>
    </w:p>
    <w:p w:rsidR="00F530FA" w:rsidRPr="00B4012B" w:rsidRDefault="00F530FA" w:rsidP="00DE56FE">
      <w:pPr>
        <w:spacing w:after="0" w:line="480" w:lineRule="auto"/>
        <w:rPr>
          <w:rFonts w:ascii="Times New Roman" w:hAnsi="Times New Roman"/>
          <w:bCs/>
          <w:u w:val="single"/>
        </w:rPr>
      </w:pPr>
      <w:r w:rsidRPr="00B4012B">
        <w:rPr>
          <w:rFonts w:ascii="Times New Roman" w:hAnsi="Times New Roman"/>
          <w:bCs/>
          <w:u w:val="single"/>
        </w:rPr>
        <w:t>XUV photoelectron spectroscopy</w:t>
      </w:r>
    </w:p>
    <w:p w:rsidR="00F530FA" w:rsidRPr="00B4012B" w:rsidRDefault="00F530FA" w:rsidP="00C601D7">
      <w:pPr>
        <w:spacing w:line="480" w:lineRule="auto"/>
        <w:jc w:val="both"/>
        <w:rPr>
          <w:rFonts w:ascii="Times New Roman" w:hAnsi="Times New Roman" w:cs="CMR12"/>
        </w:rPr>
      </w:pPr>
      <w:r w:rsidRPr="00B4012B">
        <w:rPr>
          <w:rFonts w:ascii="Times New Roman" w:hAnsi="Times New Roman"/>
        </w:rPr>
        <w:t xml:space="preserve">To calibrate the velocity map imaging spectrometer and to characterise the molecular beam we perform a series of single photon extreme ultraviolet (XUV) photoelectron spectroscopy experiments. The XUV data was collected at the same time and with the same laser and vacuum detection systems as the pump probe experiments described above and presented in the main paper. The XUV pulses were generated in a high harmonic generation source by focussing approximately 400 </w:t>
      </w:r>
      <w:r w:rsidRPr="00B4012B">
        <w:rPr>
          <w:rFonts w:ascii="Times New Roman" w:hAnsi="Times New Roman"/>
        </w:rPr>
        <w:sym w:font="Symbol" w:char="F06D"/>
      </w:r>
      <w:r w:rsidRPr="00B4012B">
        <w:rPr>
          <w:rFonts w:ascii="Times New Roman" w:hAnsi="Times New Roman"/>
        </w:rPr>
        <w:t xml:space="preserve">J of 395 nm light </w:t>
      </w:r>
      <w:r w:rsidRPr="00B4012B">
        <w:rPr>
          <w:rFonts w:ascii="Times New Roman" w:hAnsi="Times New Roman" w:cs="CMR12"/>
        </w:rPr>
        <w:t>into an Argon gas jet, generating a broad range of high harmonics. A single harmonic is isolated in a time preserving monochromator</w:t>
      </w:r>
      <w:r>
        <w:rPr>
          <w:rFonts w:ascii="Times New Roman" w:hAnsi="Times New Roman" w:cs="CMR12"/>
          <w:noProof/>
        </w:rPr>
        <w:t>[33]</w:t>
      </w:r>
      <w:r w:rsidRPr="00B4012B">
        <w:rPr>
          <w:rFonts w:ascii="Times New Roman" w:hAnsi="Times New Roman" w:cs="CMR12"/>
        </w:rPr>
        <w:t xml:space="preserve"> and focused into the interaction region of the VMI spectrometer with a 1 m focal length toroidal mirror. The isolated harmonic has a photon flux at the interaction region of </w:t>
      </w:r>
      <w:r w:rsidRPr="00B4012B">
        <w:rPr>
          <w:rFonts w:ascii="Times New Roman" w:hAnsi="Times New Roman" w:cs="CMR12"/>
        </w:rPr>
        <w:lastRenderedPageBreak/>
        <w:t>approximately 10</w:t>
      </w:r>
      <w:r w:rsidRPr="00B4012B">
        <w:rPr>
          <w:rFonts w:ascii="Times New Roman" w:hAnsi="Times New Roman" w:cs="CMR8"/>
          <w:vertAlign w:val="superscript"/>
        </w:rPr>
        <w:t>7</w:t>
      </w:r>
      <w:r w:rsidRPr="00B4012B">
        <w:rPr>
          <w:rFonts w:ascii="Times New Roman" w:hAnsi="Times New Roman" w:cs="CMR8"/>
        </w:rPr>
        <w:t xml:space="preserve"> </w:t>
      </w:r>
      <w:r w:rsidRPr="00B4012B">
        <w:rPr>
          <w:rFonts w:ascii="Times New Roman" w:hAnsi="Times New Roman" w:cs="CMR12"/>
        </w:rPr>
        <w:t xml:space="preserve">photons per pulse, as measured with a calibrated channel electron </w:t>
      </w:r>
      <w:r w:rsidRPr="00B4012B">
        <w:rPr>
          <w:rFonts w:ascii="Times New Roman" w:hAnsi="Times New Roman"/>
          <w:noProof/>
          <w:lang w:eastAsia="en-GB"/>
        </w:rPr>
        <mc:AlternateContent>
          <mc:Choice Requires="wps">
            <w:drawing>
              <wp:anchor distT="0" distB="0" distL="114300" distR="114300" simplePos="0" relativeHeight="251660288" behindDoc="0" locked="0" layoutInCell="1" allowOverlap="1" wp14:anchorId="370199A3" wp14:editId="49FE4891">
                <wp:simplePos x="0" y="0"/>
                <wp:positionH relativeFrom="column">
                  <wp:posOffset>12700</wp:posOffset>
                </wp:positionH>
                <wp:positionV relativeFrom="paragraph">
                  <wp:posOffset>2314575</wp:posOffset>
                </wp:positionV>
                <wp:extent cx="5656580" cy="578485"/>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5656580" cy="57848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rsidR="00F530FA" w:rsidRPr="00DE56FE" w:rsidRDefault="00F530FA" w:rsidP="00DE56FE">
                            <w:pPr>
                              <w:spacing w:line="240" w:lineRule="auto"/>
                              <w:rPr>
                                <w:rFonts w:ascii="Times New Roman" w:hAnsi="Times New Roman"/>
                                <w:iCs/>
                                <w:sz w:val="20"/>
                                <w:szCs w:val="20"/>
                              </w:rPr>
                            </w:pPr>
                            <w:r>
                              <w:rPr>
                                <w:rFonts w:ascii="Times New Roman" w:hAnsi="Times New Roman"/>
                                <w:iCs/>
                                <w:sz w:val="20"/>
                                <w:szCs w:val="20"/>
                              </w:rPr>
                              <w:t>Figure S2</w:t>
                            </w:r>
                            <w:r w:rsidRPr="00DE56FE">
                              <w:rPr>
                                <w:rFonts w:ascii="Times New Roman" w:hAnsi="Times New Roman"/>
                                <w:iCs/>
                                <w:sz w:val="20"/>
                                <w:szCs w:val="20"/>
                              </w:rPr>
                              <w:t xml:space="preserve">: XUV photoelectron spectra following single photon ionisation of the molecular beam at 1.5 bar and 5 bar stagnation pressures with a 15.5 eV pulse of 20 fs duration. </w:t>
                            </w:r>
                          </w:p>
                          <w:p w:rsidR="00F530FA" w:rsidRPr="00DE56FE" w:rsidRDefault="00F530FA" w:rsidP="00DE56FE">
                            <w:pPr>
                              <w:spacing w:line="240" w:lineRule="auto"/>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0199A3" id="_x0000_t202" coordsize="21600,21600" o:spt="202" path="m,l,21600r21600,l21600,xe">
                <v:stroke joinstyle="miter"/>
                <v:path gradientshapeok="t" o:connecttype="rect"/>
              </v:shapetype>
              <v:shape id="Text Box 1" o:spid="_x0000_s1026" type="#_x0000_t202" style="position:absolute;left:0;text-align:left;margin-left:1pt;margin-top:182.25pt;width:445.4pt;height:45.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" filled="f" stroked="f">
                <v:textbox>
                  <w:txbxContent>
                    <w:p w:rsidR="00F530FA" w:rsidRPr="00DE56FE" w:rsidRDefault="00F530FA" w:rsidP="00DE56FE">
                      <w:pPr>
                        <w:spacing w:line="240" w:lineRule="auto"/>
                        <w:rPr>
                          <w:rFonts w:ascii="Times New Roman" w:hAnsi="Times New Roman"/>
                          <w:iCs/>
                          <w:sz w:val="20"/>
                          <w:szCs w:val="20"/>
                        </w:rPr>
                      </w:pPr>
                      <w:r>
                        <w:rPr>
                          <w:rFonts w:ascii="Times New Roman" w:hAnsi="Times New Roman"/>
                          <w:iCs/>
                          <w:sz w:val="20"/>
                          <w:szCs w:val="20"/>
                        </w:rPr>
                        <w:t>Figure S2</w:t>
                      </w:r>
                      <w:r w:rsidRPr="00DE56FE">
                        <w:rPr>
                          <w:rFonts w:ascii="Times New Roman" w:hAnsi="Times New Roman"/>
                          <w:iCs/>
                          <w:sz w:val="20"/>
                          <w:szCs w:val="20"/>
                        </w:rPr>
                        <w:t xml:space="preserve">: XUV photoelectron spectra following single photon ionisation of the molecular beam at 1.5 bar and 5 bar stagnation pressures with a 15.5 eV pulse of 20 fs duration. </w:t>
                      </w:r>
                    </w:p>
                    <w:p w:rsidR="00F530FA" w:rsidRPr="00DE56FE" w:rsidRDefault="00F530FA" w:rsidP="00DE56FE">
                      <w:pPr>
                        <w:spacing w:line="240" w:lineRule="auto"/>
                        <w:rPr>
                          <w:sz w:val="20"/>
                          <w:szCs w:val="20"/>
                        </w:rPr>
                      </w:pPr>
                    </w:p>
                  </w:txbxContent>
                </v:textbox>
                <w10:wrap type="square"/>
              </v:shape>
            </w:pict>
          </mc:Fallback>
        </mc:AlternateContent>
      </w:r>
      <w:r w:rsidRPr="00B4012B">
        <w:rPr>
          <w:rFonts w:ascii="Times New Roman" w:hAnsi="Times New Roman" w:cs="CMR12"/>
        </w:rPr>
        <w:t xml:space="preserve">multiplier. To calibrate the VMI spectrometer we ionise Argon using a series of isolated harmonics from the generated frequency comb providing sharp photoelectron peaks. </w:t>
      </w:r>
    </w:p>
    <w:p w:rsidR="00F530FA" w:rsidRPr="00B4012B" w:rsidRDefault="00F530FA" w:rsidP="00DE56FE">
      <w:pPr>
        <w:spacing w:line="480" w:lineRule="auto"/>
        <w:jc w:val="both"/>
        <w:rPr>
          <w:rFonts w:ascii="Times New Roman" w:hAnsi="Times New Roman"/>
        </w:rPr>
      </w:pPr>
      <w:r w:rsidRPr="00B4012B">
        <w:rPr>
          <w:rFonts w:ascii="Times New Roman" w:hAnsi="Times New Roman"/>
          <w:noProof/>
          <w:lang w:eastAsia="en-GB"/>
        </w:rPr>
        <w:drawing>
          <wp:anchor distT="0" distB="0" distL="114300" distR="114300" simplePos="0" relativeHeight="251659264" behindDoc="0" locked="0" layoutInCell="1" allowOverlap="1" wp14:anchorId="00BBCA20" wp14:editId="46817585">
            <wp:simplePos x="0" y="0"/>
            <wp:positionH relativeFrom="column">
              <wp:align>center</wp:align>
            </wp:positionH>
            <wp:positionV relativeFrom="margin">
              <wp:align>top</wp:align>
            </wp:positionV>
            <wp:extent cx="1701165" cy="2237740"/>
            <wp:effectExtent l="0" t="0" r="635"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1165" cy="2237740"/>
                    </a:xfrm>
                    <a:prstGeom prst="rect">
                      <a:avLst/>
                    </a:prstGeom>
                    <a:noFill/>
                  </pic:spPr>
                </pic:pic>
              </a:graphicData>
            </a:graphic>
          </wp:anchor>
        </w:drawing>
      </w:r>
      <w:r w:rsidRPr="00B4012B">
        <w:rPr>
          <w:rFonts w:ascii="Times New Roman" w:hAnsi="Times New Roman" w:cs="CMR12"/>
        </w:rPr>
        <w:t>To characterise the molecular beam we isolate the 5</w:t>
      </w:r>
      <w:r w:rsidRPr="00B4012B">
        <w:rPr>
          <w:rFonts w:ascii="Times New Roman" w:hAnsi="Times New Roman" w:cs="CMMI8"/>
          <w:vertAlign w:val="superscript"/>
        </w:rPr>
        <w:t>th</w:t>
      </w:r>
      <w:r w:rsidRPr="00B4012B">
        <w:rPr>
          <w:rFonts w:ascii="Times New Roman" w:hAnsi="Times New Roman" w:cs="CMMI8"/>
        </w:rPr>
        <w:t xml:space="preserve"> </w:t>
      </w:r>
      <w:r w:rsidRPr="00B4012B">
        <w:rPr>
          <w:rFonts w:ascii="Times New Roman" w:hAnsi="Times New Roman" w:cs="CMR12"/>
        </w:rPr>
        <w:t>harmonic at 15.5 eV and collect images for approximately 10</w:t>
      </w:r>
      <w:r w:rsidRPr="00B4012B">
        <w:rPr>
          <w:rFonts w:ascii="Times New Roman" w:hAnsi="Times New Roman" w:cs="CMR12"/>
          <w:vertAlign w:val="superscript"/>
        </w:rPr>
        <w:t>8</w:t>
      </w:r>
      <w:r w:rsidRPr="00B4012B">
        <w:rPr>
          <w:rFonts w:ascii="Times New Roman" w:hAnsi="Times New Roman" w:cs="CMR12"/>
        </w:rPr>
        <w:t xml:space="preserve"> laser shots. In figure S2 we plot the photoelectron spectra obtained from the expansion of 10% ammonia in helium at 1.5 bar and 5 bar pressure</w:t>
      </w:r>
      <w:r w:rsidRPr="00B4012B">
        <w:rPr>
          <w:rFonts w:ascii="Times New Roman" w:hAnsi="Times New Roman"/>
        </w:rPr>
        <w:t>.</w:t>
      </w:r>
    </w:p>
    <w:p w:rsidR="00F530FA" w:rsidRPr="00B4012B" w:rsidRDefault="00F530FA" w:rsidP="00C601D7">
      <w:pPr>
        <w:spacing w:line="480" w:lineRule="auto"/>
        <w:jc w:val="both"/>
        <w:rPr>
          <w:rFonts w:ascii="Times New Roman" w:hAnsi="Times New Roman" w:cs="CMR12"/>
        </w:rPr>
      </w:pPr>
      <w:r w:rsidRPr="00B4012B">
        <w:rPr>
          <w:rFonts w:ascii="Times New Roman" w:hAnsi="Times New Roman" w:cs="CMR12"/>
        </w:rPr>
        <w:t>The photoelectron spectrum obtained at low pressure is dominated by signal from the ammonia monomer. The ionisation potential (10.07 eV) and ionisation maximum (11 eV) match that expected for ammonia but the spectrum also contains a small feature at lower binding energies (9.5 – 10 eV) due to a small contribution from ammonia clusters. As the pressure is increased to 5 bar, the low binding energy feature grows in intensity with a major component rising from around 9 eV and peaking at 10 eV as well as an increase in photoelectron signal between 8 and 9 eV. The features peaking at 10 eV match previous He I photoelectron spectroscopy measurements of the ammonia dimer, which show a vertical ionisation potential of 9.19 eV and an ionisation maximum at 10 eV</w:t>
      </w:r>
      <w:r>
        <w:rPr>
          <w:rFonts w:ascii="Times New Roman" w:hAnsi="Times New Roman" w:cs="CMR12"/>
          <w:noProof/>
        </w:rPr>
        <w:t>[24]</w:t>
      </w:r>
      <w:r w:rsidRPr="00B4012B">
        <w:rPr>
          <w:rFonts w:ascii="Times New Roman" w:hAnsi="Times New Roman" w:cs="CMR12"/>
        </w:rPr>
        <w:t xml:space="preserve">. Larger clusters have lower appearance potentials than the dimer and while there are some photoelectron at these lower binding energies in the XUV spectrum, between 8 and 9 eV, these are much weaker and make a very limited contribution to the overall photoelectron spectrum, even at a relatively high backing pressure (5 bar). Based on our photoelectron spectra and the photoelectron spectra of the dimer from Carnovale </w:t>
      </w:r>
      <w:r w:rsidRPr="00B4012B">
        <w:rPr>
          <w:rFonts w:ascii="Times New Roman" w:hAnsi="Times New Roman" w:cs="CMR12"/>
          <w:i/>
          <w:iCs/>
        </w:rPr>
        <w:t>et al</w:t>
      </w:r>
      <w:r>
        <w:rPr>
          <w:rFonts w:ascii="Times New Roman" w:hAnsi="Times New Roman" w:cs="CMR12"/>
          <w:noProof/>
        </w:rPr>
        <w:t>[24]</w:t>
      </w:r>
      <w:r w:rsidRPr="00B4012B">
        <w:rPr>
          <w:rFonts w:ascii="Times New Roman" w:hAnsi="Times New Roman" w:cs="CMR12"/>
        </w:rPr>
        <w:t xml:space="preserve"> we estimate that clusters larger than the dimer make up less than 20% of the cluster contribution in the high pressure (5 bar) photoelectron spectrum and provide zero contribution to the low pressure </w:t>
      </w:r>
      <w:r w:rsidRPr="00B4012B">
        <w:rPr>
          <w:rFonts w:ascii="Times New Roman" w:hAnsi="Times New Roman" w:cs="CMR12"/>
        </w:rPr>
        <w:lastRenderedPageBreak/>
        <w:t xml:space="preserve">(1.5 bar) photoelectron spectrum. As the experiment presented in the main paper was performed at a low stagnation pressure of 2 bar, this produced a molecular beam dominated by the ammonia monomer with an appreciable contribution from the dimer. </w:t>
      </w:r>
      <w:r w:rsidRPr="00B4012B">
        <w:rPr>
          <w:rFonts w:ascii="Times New Roman" w:hAnsi="Times New Roman"/>
        </w:rPr>
        <w:t>By careful control of the expansion conditions and with a choice of pump and probe energies that keep us below the ionisation potential of the monomer we are therefore able to generate time resolved signals that are dominated by contributions from the dimer.</w:t>
      </w:r>
    </w:p>
    <w:p w:rsidR="00F530FA" w:rsidRPr="00DE56FE" w:rsidRDefault="00F530FA" w:rsidP="00C601D7">
      <w:pPr>
        <w:spacing w:line="480" w:lineRule="auto"/>
        <w:jc w:val="both"/>
        <w:rPr>
          <w:rFonts w:ascii="Times New Roman" w:hAnsi="Times New Roman"/>
        </w:rPr>
      </w:pPr>
      <w:r w:rsidRPr="00DE56FE">
        <w:rPr>
          <w:rFonts w:ascii="Times New Roman" w:hAnsi="Times New Roman" w:cs="CMR12"/>
          <w:color w:val="000000"/>
        </w:rPr>
        <w:t xml:space="preserve">Further evidence for this can be seen in our early time spectra shown in the main paper. At early times (at the time of excitation) we would expect to see significant contributions from larger clusters due to being further above the ionisation potential. For example, the </w:t>
      </w:r>
      <w:r w:rsidRPr="00DE56FE">
        <w:rPr>
          <w:rFonts w:ascii="Times New Roman" w:hAnsi="Times New Roman"/>
        </w:rPr>
        <w:t>ammonia trimer has an appearance potential close to the PMD ionisation potential of the dimer</w:t>
      </w:r>
      <w:r>
        <w:rPr>
          <w:rFonts w:ascii="Times New Roman" w:hAnsi="Times New Roman"/>
          <w:noProof/>
        </w:rPr>
        <w:t>[20,22]</w:t>
      </w:r>
      <w:r w:rsidRPr="00DE56FE">
        <w:rPr>
          <w:rFonts w:ascii="Times New Roman" w:hAnsi="Times New Roman"/>
        </w:rPr>
        <w:t xml:space="preserve"> producing electron up to 0.8 eV. Compared with the poor overlap of the dimer and the weak photoelectron signal observed at early times, any significant population of the trimer would be </w:t>
      </w:r>
      <w:r>
        <w:rPr>
          <w:rFonts w:ascii="Times New Roman" w:hAnsi="Times New Roman"/>
        </w:rPr>
        <w:t>clearly visible</w:t>
      </w:r>
      <w:r w:rsidRPr="00DE56FE">
        <w:rPr>
          <w:rFonts w:ascii="Times New Roman" w:hAnsi="Times New Roman"/>
        </w:rPr>
        <w:t xml:space="preserve"> in our photoelectron spectra. Photoelectrons at such high energies are not observed until significant dimer population has undergone hydrogen transfer</w:t>
      </w:r>
      <w:r>
        <w:rPr>
          <w:rFonts w:ascii="Times New Roman" w:hAnsi="Times New Roman"/>
        </w:rPr>
        <w:t>,</w:t>
      </w:r>
      <w:r w:rsidRPr="00DE56FE">
        <w:rPr>
          <w:rFonts w:ascii="Times New Roman" w:hAnsi="Times New Roman"/>
        </w:rPr>
        <w:t xml:space="preserve"> further confirming that we do not have any appreciable trimer, or larger cluster, contributi</w:t>
      </w:r>
      <w:r>
        <w:rPr>
          <w:rFonts w:ascii="Times New Roman" w:hAnsi="Times New Roman"/>
        </w:rPr>
        <w:t>ng</w:t>
      </w:r>
      <w:r w:rsidRPr="00DE56FE">
        <w:rPr>
          <w:rFonts w:ascii="Times New Roman" w:hAnsi="Times New Roman"/>
        </w:rPr>
        <w:t xml:space="preserve"> in our molecular beam. Furthermore, the time dependent changes in angular distribution obtained in the photoelectron images are more evidence that a single cluster size dominates the signal. If significant contributions from larger cluster were present we would expect an isotropic photoelectron angular distribution (PAD) with less pronounced time dependent changes due to the different structures of the larger clusters. </w:t>
      </w:r>
    </w:p>
    <w:p w:rsidR="00B72159" w:rsidRDefault="00B72159"/>
    <w:sectPr w:rsidR="00B72159">
      <w:footerReference w:type="even" r:id="rId6"/>
      <w:footerReference w:type="default" r:id="rI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MR10">
    <w:panose1 w:val="00000000000000000000"/>
    <w:charset w:val="00"/>
    <w:family w:val="auto"/>
    <w:notTrueType/>
    <w:pitch w:val="default"/>
    <w:sig w:usb0="00000003" w:usb1="00000000" w:usb2="00000000" w:usb3="00000000" w:csb0="00000001" w:csb1="00000000"/>
  </w:font>
  <w:font w:name="CMR12">
    <w:panose1 w:val="00000000000000000000"/>
    <w:charset w:val="00"/>
    <w:family w:val="auto"/>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MMI12">
    <w:altName w:val="MS Mincho"/>
    <w:panose1 w:val="00000000000000000000"/>
    <w:charset w:val="80"/>
    <w:family w:val="auto"/>
    <w:notTrueType/>
    <w:pitch w:val="default"/>
    <w:sig w:usb0="00000000" w:usb1="08070000" w:usb2="00000010" w:usb3="00000000" w:csb0="00020000" w:csb1="00000000"/>
  </w:font>
  <w:font w:name="Cambria Math">
    <w:panose1 w:val="02040503050406030204"/>
    <w:charset w:val="00"/>
    <w:family w:val="roman"/>
    <w:pitch w:val="variable"/>
    <w:sig w:usb0="E00002FF" w:usb1="420024FF" w:usb2="00000000" w:usb3="00000000" w:csb0="0000019F" w:csb1="00000000"/>
  </w:font>
  <w:font w:name="CMR8">
    <w:panose1 w:val="00000000000000000000"/>
    <w:charset w:val="00"/>
    <w:family w:val="swiss"/>
    <w:notTrueType/>
    <w:pitch w:val="default"/>
    <w:sig w:usb0="00000003" w:usb1="00000000" w:usb2="00000000" w:usb3="00000000" w:csb0="00000001" w:csb1="00000000"/>
  </w:font>
  <w:font w:name="CMMI8">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EFA" w:rsidRDefault="00F530FA" w:rsidP="00334E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34EFA" w:rsidRDefault="00F530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4EFA" w:rsidRPr="00DE56FE" w:rsidRDefault="00F530FA" w:rsidP="00334EFA">
    <w:pPr>
      <w:pStyle w:val="Footer"/>
      <w:framePr w:wrap="around" w:vAnchor="text" w:hAnchor="margin" w:xAlign="center" w:y="1"/>
      <w:rPr>
        <w:rStyle w:val="PageNumber"/>
        <w:rFonts w:ascii="Times New Roman" w:hAnsi="Times New Roman"/>
      </w:rPr>
    </w:pPr>
    <w:r w:rsidRPr="00DE56FE">
      <w:rPr>
        <w:rStyle w:val="PageNumber"/>
        <w:rFonts w:ascii="Times New Roman" w:hAnsi="Times New Roman"/>
      </w:rPr>
      <w:fldChar w:fldCharType="begin"/>
    </w:r>
    <w:r w:rsidRPr="00DE56FE">
      <w:rPr>
        <w:rStyle w:val="PageNumber"/>
        <w:rFonts w:ascii="Times New Roman" w:hAnsi="Times New Roman"/>
      </w:rPr>
      <w:instrText xml:space="preserve">PAGE  </w:instrText>
    </w:r>
    <w:r w:rsidRPr="00DE56FE">
      <w:rPr>
        <w:rStyle w:val="PageNumber"/>
        <w:rFonts w:ascii="Times New Roman" w:hAnsi="Times New Roman"/>
      </w:rPr>
      <w:fldChar w:fldCharType="separate"/>
    </w:r>
    <w:r>
      <w:rPr>
        <w:rStyle w:val="PageNumber"/>
        <w:rFonts w:ascii="Times New Roman" w:hAnsi="Times New Roman"/>
        <w:noProof/>
      </w:rPr>
      <w:t>1</w:t>
    </w:r>
    <w:r w:rsidRPr="00DE56FE">
      <w:rPr>
        <w:rStyle w:val="PageNumber"/>
        <w:rFonts w:ascii="Times New Roman" w:hAnsi="Times New Roman"/>
      </w:rPr>
      <w:fldChar w:fldCharType="end"/>
    </w:r>
  </w:p>
  <w:p w:rsidR="00334EFA" w:rsidRDefault="00F530FA" w:rsidP="00DE56FE">
    <w:pPr>
      <w:pStyle w:val="Footer"/>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F530FA"/>
    <w:rsid w:val="00B72159"/>
    <w:rsid w:val="00F53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044EDB-97CB-48B8-9539-B51681EFC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30FA"/>
    <w:pPr>
      <w:spacing w:after="200" w:line="276" w:lineRule="auto"/>
    </w:pPr>
    <w:rPr>
      <w:rFonts w:eastAsiaTheme="minorEastAsia"/>
      <w:lang w:eastAsia="zh-CN"/>
    </w:rPr>
  </w:style>
  <w:style w:type="character" w:default="1" w:styleId="DefaultParagraphFont">
    <w:name w:val="Default Paragraph Font"/>
    <w:uiPriority w:val="1"/>
    <w:unhideWhenUsed/>
    <w:rsid w:val="00F530F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F530FA"/>
  </w:style>
  <w:style w:type="paragraph" w:styleId="BalloonText">
    <w:name w:val="Balloon Text"/>
    <w:basedOn w:val="Normal"/>
    <w:link w:val="BalloonTextChar"/>
    <w:uiPriority w:val="99"/>
    <w:semiHidden/>
    <w:unhideWhenUsed/>
    <w:rsid w:val="00F530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0FA"/>
    <w:rPr>
      <w:rFonts w:ascii="Tahoma" w:eastAsiaTheme="minorEastAsia" w:hAnsi="Tahoma" w:cs="Tahoma"/>
      <w:sz w:val="16"/>
      <w:szCs w:val="16"/>
      <w:lang w:eastAsia="zh-CN"/>
    </w:rPr>
  </w:style>
  <w:style w:type="paragraph" w:styleId="CommentText">
    <w:name w:val="annotation text"/>
    <w:basedOn w:val="Normal"/>
    <w:link w:val="CommentTextChar"/>
    <w:uiPriority w:val="99"/>
    <w:semiHidden/>
    <w:unhideWhenUsed/>
    <w:rsid w:val="00F530FA"/>
    <w:pPr>
      <w:spacing w:after="160" w:line="240" w:lineRule="auto"/>
    </w:pPr>
    <w:rPr>
      <w:sz w:val="24"/>
      <w:szCs w:val="24"/>
    </w:rPr>
  </w:style>
  <w:style w:type="character" w:customStyle="1" w:styleId="CommentTextChar">
    <w:name w:val="Comment Text Char"/>
    <w:basedOn w:val="DefaultParagraphFont"/>
    <w:link w:val="CommentText"/>
    <w:uiPriority w:val="99"/>
    <w:semiHidden/>
    <w:rsid w:val="00F530FA"/>
    <w:rPr>
      <w:rFonts w:eastAsiaTheme="minorEastAsia"/>
      <w:sz w:val="24"/>
      <w:szCs w:val="24"/>
      <w:lang w:eastAsia="zh-CN"/>
    </w:rPr>
  </w:style>
  <w:style w:type="character" w:styleId="CommentReference">
    <w:name w:val="annotation reference"/>
    <w:basedOn w:val="DefaultParagraphFont"/>
    <w:uiPriority w:val="99"/>
    <w:semiHidden/>
    <w:unhideWhenUsed/>
    <w:rsid w:val="00F530FA"/>
    <w:rPr>
      <w:sz w:val="18"/>
      <w:szCs w:val="18"/>
    </w:rPr>
  </w:style>
  <w:style w:type="paragraph" w:customStyle="1" w:styleId="TAMainText">
    <w:name w:val="TA_Main_Text"/>
    <w:basedOn w:val="Normal"/>
    <w:rsid w:val="00F530FA"/>
    <w:pPr>
      <w:spacing w:after="0" w:line="480" w:lineRule="auto"/>
      <w:ind w:firstLine="202"/>
      <w:jc w:val="both"/>
    </w:pPr>
    <w:rPr>
      <w:rFonts w:ascii="Times" w:eastAsia="Times New Roman" w:hAnsi="Times" w:cs="Times New Roman"/>
      <w:sz w:val="24"/>
      <w:szCs w:val="20"/>
      <w:lang w:val="en-US" w:eastAsia="en-US"/>
    </w:rPr>
  </w:style>
  <w:style w:type="character" w:styleId="Hyperlink">
    <w:name w:val="Hyperlink"/>
    <w:basedOn w:val="DefaultParagraphFont"/>
    <w:uiPriority w:val="99"/>
    <w:unhideWhenUsed/>
    <w:rsid w:val="00F530FA"/>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F530FA"/>
    <w:pPr>
      <w:spacing w:after="200"/>
    </w:pPr>
    <w:rPr>
      <w:b/>
      <w:bCs/>
      <w:sz w:val="20"/>
      <w:szCs w:val="20"/>
    </w:rPr>
  </w:style>
  <w:style w:type="character" w:customStyle="1" w:styleId="CommentSubjectChar">
    <w:name w:val="Comment Subject Char"/>
    <w:basedOn w:val="CommentTextChar"/>
    <w:link w:val="CommentSubject"/>
    <w:uiPriority w:val="99"/>
    <w:semiHidden/>
    <w:rsid w:val="00F530FA"/>
    <w:rPr>
      <w:rFonts w:eastAsiaTheme="minorEastAsia"/>
      <w:b/>
      <w:bCs/>
      <w:sz w:val="20"/>
      <w:szCs w:val="20"/>
      <w:lang w:eastAsia="zh-CN"/>
    </w:rPr>
  </w:style>
  <w:style w:type="paragraph" w:styleId="Header">
    <w:name w:val="header"/>
    <w:basedOn w:val="Normal"/>
    <w:link w:val="HeaderChar"/>
    <w:uiPriority w:val="99"/>
    <w:unhideWhenUsed/>
    <w:rsid w:val="00F530FA"/>
    <w:pPr>
      <w:tabs>
        <w:tab w:val="center" w:pos="4320"/>
        <w:tab w:val="right" w:pos="8640"/>
      </w:tabs>
      <w:spacing w:after="0" w:line="240" w:lineRule="auto"/>
    </w:pPr>
  </w:style>
  <w:style w:type="character" w:customStyle="1" w:styleId="HeaderChar">
    <w:name w:val="Header Char"/>
    <w:basedOn w:val="DefaultParagraphFont"/>
    <w:link w:val="Header"/>
    <w:uiPriority w:val="99"/>
    <w:rsid w:val="00F530FA"/>
    <w:rPr>
      <w:rFonts w:eastAsiaTheme="minorEastAsia"/>
      <w:lang w:eastAsia="zh-CN"/>
    </w:rPr>
  </w:style>
  <w:style w:type="paragraph" w:styleId="Footer">
    <w:name w:val="footer"/>
    <w:basedOn w:val="Normal"/>
    <w:link w:val="FooterChar"/>
    <w:uiPriority w:val="99"/>
    <w:unhideWhenUsed/>
    <w:rsid w:val="00F530FA"/>
    <w:pPr>
      <w:tabs>
        <w:tab w:val="center" w:pos="4320"/>
        <w:tab w:val="right" w:pos="8640"/>
      </w:tabs>
      <w:spacing w:after="0" w:line="240" w:lineRule="auto"/>
    </w:pPr>
  </w:style>
  <w:style w:type="character" w:customStyle="1" w:styleId="FooterChar">
    <w:name w:val="Footer Char"/>
    <w:basedOn w:val="DefaultParagraphFont"/>
    <w:link w:val="Footer"/>
    <w:uiPriority w:val="99"/>
    <w:rsid w:val="00F530FA"/>
    <w:rPr>
      <w:rFonts w:eastAsiaTheme="minorEastAsia"/>
      <w:lang w:eastAsia="zh-CN"/>
    </w:rPr>
  </w:style>
  <w:style w:type="character" w:styleId="PageNumber">
    <w:name w:val="page number"/>
    <w:basedOn w:val="DefaultParagraphFont"/>
    <w:uiPriority w:val="99"/>
    <w:semiHidden/>
    <w:unhideWhenUsed/>
    <w:rsid w:val="00F530FA"/>
  </w:style>
  <w:style w:type="paragraph" w:customStyle="1" w:styleId="EndNoteBibliographyTitle">
    <w:name w:val="EndNote Bibliography Title"/>
    <w:basedOn w:val="Normal"/>
    <w:link w:val="EndNoteBibliographyTitleChar"/>
    <w:rsid w:val="00F530FA"/>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F530FA"/>
    <w:rPr>
      <w:rFonts w:ascii="Calibri" w:eastAsiaTheme="minorEastAsia" w:hAnsi="Calibri"/>
      <w:noProof/>
      <w:lang w:eastAsia="zh-CN"/>
    </w:rPr>
  </w:style>
  <w:style w:type="paragraph" w:customStyle="1" w:styleId="EndNoteBibliography">
    <w:name w:val="EndNote Bibliography"/>
    <w:basedOn w:val="Normal"/>
    <w:link w:val="EndNoteBibliographyChar"/>
    <w:rsid w:val="00F530FA"/>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F530FA"/>
    <w:rPr>
      <w:rFonts w:ascii="Calibri" w:eastAsiaTheme="minorEastAsia" w:hAnsi="Calibri"/>
      <w:noProof/>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1564</Words>
  <Characters>8915</Characters>
  <Application>Microsoft Office Word</Application>
  <DocSecurity>0</DocSecurity>
  <Lines>74</Lines>
  <Paragraphs>20</Paragraphs>
  <ScaleCrop>false</ScaleCrop>
  <Company>none</Company>
  <LinksUpToDate>false</LinksUpToDate>
  <CharactersWithSpaces>10459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Minns R.S.</dc:creator>
  <cp:keywords/>
  <dc:description/>
  <cp:lastModifiedBy>Minns R.S.</cp:lastModifiedBy>
  <cp:revision>1</cp:revision>
  <dcterms:created xsi:type="dcterms:W3CDTF">2016-09-12T09:55:00Z</dcterms:created>
  <dcterms:modified xsi:type="dcterms:W3CDTF">2016-09-12T10:02:00Z</dcterms:modified>
</cp:coreProperties>
</file>