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98FD9" w14:textId="77777777" w:rsidR="000110E8" w:rsidRPr="0050752D" w:rsidRDefault="000110E8" w:rsidP="000110E8">
      <w:pPr>
        <w:spacing w:line="480" w:lineRule="auto"/>
        <w:rPr>
          <w:rFonts w:ascii="Verdana" w:eastAsia="Times New Roman" w:hAnsi="Verdana" w:cs="Times New Roman"/>
          <w:sz w:val="32"/>
          <w:szCs w:val="32"/>
        </w:rPr>
      </w:pPr>
      <w:bookmarkStart w:id="0" w:name="_GoBack"/>
      <w:bookmarkEnd w:id="0"/>
      <w:r w:rsidRPr="000110E8">
        <w:rPr>
          <w:rFonts w:ascii="Verdana" w:eastAsia="Times New Roman" w:hAnsi="Verdana" w:cs="Times New Roman"/>
          <w:sz w:val="32"/>
          <w:szCs w:val="32"/>
        </w:rPr>
        <w:t>Ageing, musculoskeletal health and work</w:t>
      </w:r>
    </w:p>
    <w:p w14:paraId="55002769" w14:textId="77777777" w:rsidR="000110E8" w:rsidRPr="0050752D" w:rsidRDefault="000110E8" w:rsidP="000110E8">
      <w:pPr>
        <w:spacing w:line="480" w:lineRule="auto"/>
        <w:rPr>
          <w:rFonts w:ascii="Arial" w:eastAsia="Times New Roman" w:hAnsi="Arial" w:cs="Times New Roman"/>
          <w:sz w:val="24"/>
          <w:szCs w:val="20"/>
        </w:rPr>
      </w:pPr>
    </w:p>
    <w:p w14:paraId="01F4CE1A" w14:textId="6232ED1F" w:rsidR="000110E8" w:rsidRPr="009A141E" w:rsidRDefault="000110E8" w:rsidP="000110E8">
      <w:pPr>
        <w:spacing w:line="480" w:lineRule="auto"/>
        <w:rPr>
          <w:rFonts w:ascii="Verdana" w:eastAsia="Times New Roman" w:hAnsi="Verdana" w:cs="Times New Roman"/>
          <w:sz w:val="24"/>
          <w:szCs w:val="20"/>
          <w:vertAlign w:val="superscript"/>
        </w:rPr>
      </w:pPr>
      <w:r w:rsidRPr="0050752D">
        <w:rPr>
          <w:rFonts w:ascii="Verdana" w:eastAsia="Times New Roman" w:hAnsi="Verdana" w:cs="Times New Roman"/>
          <w:sz w:val="24"/>
          <w:szCs w:val="20"/>
        </w:rPr>
        <w:t>Professor Keith Palmer</w:t>
      </w:r>
    </w:p>
    <w:p w14:paraId="27935E97" w14:textId="10E2F78B" w:rsidR="000110E8" w:rsidRPr="005C2330" w:rsidRDefault="000110E8" w:rsidP="005C2330">
      <w:pPr>
        <w:spacing w:line="480" w:lineRule="auto"/>
        <w:rPr>
          <w:rFonts w:ascii="Verdana" w:hAnsi="Verdana"/>
          <w:sz w:val="24"/>
          <w:szCs w:val="20"/>
        </w:rPr>
      </w:pPr>
      <w:r w:rsidRPr="005C2330">
        <w:rPr>
          <w:rFonts w:ascii="Verdana" w:hAnsi="Verdana"/>
          <w:sz w:val="24"/>
          <w:szCs w:val="20"/>
        </w:rPr>
        <w:t xml:space="preserve">Medical Research Council Lifecourse Epidemiology Unit, University of Southampton, Southampton General Hospital, Southampton SO16 6YD, UK </w:t>
      </w:r>
    </w:p>
    <w:p w14:paraId="2999368C" w14:textId="5EE3B8E8" w:rsidR="009A141E" w:rsidRPr="005C2330" w:rsidRDefault="009A141E" w:rsidP="005C2330">
      <w:pPr>
        <w:spacing w:line="480" w:lineRule="auto"/>
        <w:rPr>
          <w:rFonts w:ascii="Verdana" w:hAnsi="Verdana"/>
          <w:sz w:val="24"/>
          <w:szCs w:val="20"/>
        </w:rPr>
      </w:pPr>
      <w:r w:rsidRPr="005C2330">
        <w:rPr>
          <w:rFonts w:ascii="Verdana" w:hAnsi="Verdana"/>
          <w:sz w:val="24"/>
          <w:szCs w:val="20"/>
        </w:rPr>
        <w:t>ARUK-MRC Centre for Musculoskeletal Health and Work</w:t>
      </w:r>
    </w:p>
    <w:p w14:paraId="5BA0819A" w14:textId="77777777" w:rsidR="000110E8" w:rsidRPr="00902804" w:rsidRDefault="000110E8" w:rsidP="00902804">
      <w:pPr>
        <w:spacing w:line="480" w:lineRule="auto"/>
        <w:rPr>
          <w:rFonts w:ascii="Verdana" w:eastAsia="Times New Roman" w:hAnsi="Verdana" w:cs="Times New Roman"/>
          <w:sz w:val="24"/>
          <w:szCs w:val="20"/>
        </w:rPr>
      </w:pPr>
      <w:r w:rsidRPr="00902804">
        <w:rPr>
          <w:rFonts w:ascii="Verdana" w:eastAsia="Times New Roman" w:hAnsi="Verdana" w:cs="Times New Roman"/>
          <w:sz w:val="24"/>
          <w:szCs w:val="20"/>
        </w:rPr>
        <w:t xml:space="preserve">Tel: (023) 80777624, Fax no: (023) 80704021 </w:t>
      </w:r>
    </w:p>
    <w:p w14:paraId="3798CB03" w14:textId="77777777" w:rsidR="000110E8" w:rsidRPr="00902804" w:rsidRDefault="000110E8" w:rsidP="00902804">
      <w:pPr>
        <w:spacing w:line="480" w:lineRule="auto"/>
        <w:rPr>
          <w:rFonts w:ascii="Verdana" w:eastAsia="Times New Roman" w:hAnsi="Verdana" w:cs="Times New Roman"/>
          <w:sz w:val="24"/>
          <w:szCs w:val="20"/>
        </w:rPr>
      </w:pPr>
      <w:r w:rsidRPr="00902804">
        <w:rPr>
          <w:rFonts w:ascii="Verdana" w:eastAsia="Times New Roman" w:hAnsi="Verdana" w:cs="Times New Roman"/>
          <w:sz w:val="24"/>
          <w:szCs w:val="20"/>
        </w:rPr>
        <w:t>E-mail: ktp@mrc.soton.ac.uk</w:t>
      </w:r>
    </w:p>
    <w:p w14:paraId="7BB0F24D" w14:textId="77777777" w:rsidR="000110E8" w:rsidRPr="00902804" w:rsidRDefault="000110E8" w:rsidP="000110E8">
      <w:pPr>
        <w:spacing w:line="480" w:lineRule="auto"/>
        <w:rPr>
          <w:rFonts w:ascii="Verdana" w:eastAsia="Times New Roman" w:hAnsi="Verdana" w:cs="Times New Roman"/>
          <w:sz w:val="24"/>
          <w:szCs w:val="20"/>
        </w:rPr>
      </w:pPr>
    </w:p>
    <w:p w14:paraId="5F1AD899" w14:textId="77777777" w:rsidR="00AD04D3" w:rsidRDefault="00AD04D3" w:rsidP="00AD04D3">
      <w:pPr>
        <w:spacing w:line="480" w:lineRule="auto"/>
        <w:rPr>
          <w:rFonts w:ascii="Verdana" w:eastAsia="Times New Roman" w:hAnsi="Verdana" w:cs="Times New Roman"/>
          <w:sz w:val="24"/>
          <w:szCs w:val="20"/>
        </w:rPr>
      </w:pPr>
      <w:r>
        <w:rPr>
          <w:rFonts w:ascii="Verdana" w:eastAsia="Times New Roman" w:hAnsi="Verdana" w:cs="Times New Roman"/>
          <w:sz w:val="24"/>
          <w:szCs w:val="20"/>
        </w:rPr>
        <w:t>Dr Nicola Goodson</w:t>
      </w:r>
    </w:p>
    <w:p w14:paraId="23F44D49" w14:textId="77777777" w:rsidR="00AD04D3" w:rsidRPr="00902804" w:rsidRDefault="00AD04D3" w:rsidP="00AD04D3">
      <w:pPr>
        <w:spacing w:line="480" w:lineRule="auto"/>
        <w:rPr>
          <w:rFonts w:ascii="Verdana" w:eastAsia="Times New Roman" w:hAnsi="Verdana" w:cs="Times New Roman"/>
          <w:sz w:val="24"/>
          <w:szCs w:val="20"/>
        </w:rPr>
      </w:pPr>
      <w:r>
        <w:rPr>
          <w:rFonts w:ascii="Verdana" w:eastAsia="Times New Roman" w:hAnsi="Verdana" w:cs="Times New Roman"/>
          <w:sz w:val="24"/>
          <w:szCs w:val="20"/>
        </w:rPr>
        <w:t xml:space="preserve">Department of Musculoskeletal Biology 1, Institute of Aging and Chronic Diseases, University of Liverpool, University Hospital Aintree, Liverpool L9 7AL </w:t>
      </w:r>
    </w:p>
    <w:p w14:paraId="5D494CD7" w14:textId="77777777" w:rsidR="005C2330" w:rsidRPr="005C2330" w:rsidRDefault="005C2330" w:rsidP="005C2330">
      <w:pPr>
        <w:spacing w:line="480" w:lineRule="auto"/>
        <w:rPr>
          <w:rFonts w:ascii="Verdana" w:hAnsi="Verdana"/>
          <w:sz w:val="24"/>
          <w:szCs w:val="20"/>
        </w:rPr>
      </w:pPr>
      <w:r w:rsidRPr="005C2330">
        <w:rPr>
          <w:rFonts w:ascii="Verdana" w:hAnsi="Verdana"/>
          <w:sz w:val="24"/>
          <w:szCs w:val="20"/>
        </w:rPr>
        <w:t>ARUK-MRC Centre for Musculoskeletal Health and Work</w:t>
      </w:r>
    </w:p>
    <w:p w14:paraId="6E45ABFA" w14:textId="77777777" w:rsidR="00AD04D3" w:rsidRPr="0050752D" w:rsidRDefault="00AD04D3" w:rsidP="00AD04D3">
      <w:pPr>
        <w:spacing w:line="480" w:lineRule="auto"/>
        <w:rPr>
          <w:rFonts w:ascii="Verdana" w:eastAsia="Times New Roman" w:hAnsi="Verdana" w:cs="Times New Roman"/>
          <w:sz w:val="24"/>
          <w:szCs w:val="20"/>
        </w:rPr>
      </w:pPr>
      <w:r w:rsidRPr="0050752D">
        <w:rPr>
          <w:rFonts w:ascii="Verdana" w:eastAsia="Times New Roman" w:hAnsi="Verdana" w:cs="Times New Roman"/>
          <w:sz w:val="24"/>
          <w:szCs w:val="20"/>
        </w:rPr>
        <w:t xml:space="preserve">Tel: </w:t>
      </w:r>
      <w:r>
        <w:rPr>
          <w:rFonts w:ascii="Verdana" w:eastAsia="Times New Roman" w:hAnsi="Verdana" w:cs="Times New Roman"/>
          <w:sz w:val="24"/>
          <w:szCs w:val="20"/>
        </w:rPr>
        <w:t>(0151 529 5889), Fax no (0151) 5295888</w:t>
      </w:r>
    </w:p>
    <w:p w14:paraId="01E39A73" w14:textId="77777777" w:rsidR="00AD04D3" w:rsidRPr="00902804" w:rsidRDefault="00AD04D3" w:rsidP="00AD04D3">
      <w:pPr>
        <w:spacing w:line="480" w:lineRule="auto"/>
        <w:rPr>
          <w:rFonts w:ascii="Verdana" w:eastAsia="Times New Roman" w:hAnsi="Verdana" w:cs="Times New Roman"/>
          <w:sz w:val="24"/>
          <w:szCs w:val="20"/>
        </w:rPr>
      </w:pPr>
      <w:r w:rsidRPr="0050752D">
        <w:rPr>
          <w:rFonts w:ascii="Verdana" w:eastAsia="Times New Roman" w:hAnsi="Verdana" w:cs="Times New Roman"/>
          <w:sz w:val="24"/>
          <w:szCs w:val="20"/>
        </w:rPr>
        <w:t>E-mail</w:t>
      </w:r>
      <w:r>
        <w:rPr>
          <w:rFonts w:ascii="Verdana" w:eastAsia="Times New Roman" w:hAnsi="Verdana" w:cs="Times New Roman"/>
          <w:sz w:val="24"/>
          <w:szCs w:val="20"/>
        </w:rPr>
        <w:t>: ngoodson@liverpool.ac.uk</w:t>
      </w:r>
    </w:p>
    <w:p w14:paraId="272B41E8" w14:textId="5A77162C" w:rsidR="000110E8" w:rsidRDefault="000110E8" w:rsidP="000110E8">
      <w:pPr>
        <w:spacing w:line="480" w:lineRule="auto"/>
        <w:rPr>
          <w:rFonts w:ascii="Verdana" w:eastAsia="Times New Roman" w:hAnsi="Verdana" w:cs="Times New Roman"/>
          <w:sz w:val="24"/>
          <w:szCs w:val="20"/>
        </w:rPr>
      </w:pPr>
    </w:p>
    <w:p w14:paraId="51821881" w14:textId="2EEE200C" w:rsidR="00DB0E24" w:rsidRPr="00902804" w:rsidRDefault="00DB0E24" w:rsidP="000110E8">
      <w:pPr>
        <w:spacing w:line="480" w:lineRule="auto"/>
        <w:rPr>
          <w:rFonts w:ascii="Verdana" w:eastAsia="Times New Roman" w:hAnsi="Verdana" w:cs="Times New Roman"/>
          <w:sz w:val="24"/>
          <w:szCs w:val="20"/>
        </w:rPr>
      </w:pPr>
      <w:r>
        <w:rPr>
          <w:rFonts w:ascii="Verdana" w:eastAsia="Times New Roman" w:hAnsi="Verdana" w:cs="Times New Roman"/>
          <w:sz w:val="24"/>
          <w:szCs w:val="20"/>
        </w:rPr>
        <w:t>Word count 7,475 (all text, tables, figures and references)</w:t>
      </w:r>
    </w:p>
    <w:p w14:paraId="418C15CE" w14:textId="77777777" w:rsidR="000110E8" w:rsidRPr="00902804" w:rsidRDefault="000110E8" w:rsidP="000110E8">
      <w:pPr>
        <w:spacing w:line="480" w:lineRule="auto"/>
        <w:rPr>
          <w:rFonts w:ascii="Verdana" w:eastAsia="Times New Roman" w:hAnsi="Verdana" w:cs="Times New Roman"/>
          <w:sz w:val="24"/>
          <w:szCs w:val="20"/>
        </w:rPr>
      </w:pPr>
    </w:p>
    <w:p w14:paraId="362D6657" w14:textId="77777777" w:rsidR="000110E8" w:rsidRPr="00902804" w:rsidRDefault="000110E8" w:rsidP="000110E8">
      <w:pPr>
        <w:spacing w:line="480" w:lineRule="auto"/>
        <w:rPr>
          <w:rFonts w:ascii="Verdana" w:eastAsia="Times New Roman" w:hAnsi="Verdana" w:cs="Times New Roman"/>
          <w:sz w:val="24"/>
          <w:szCs w:val="20"/>
        </w:rPr>
      </w:pPr>
      <w:r w:rsidRPr="00902804">
        <w:rPr>
          <w:rFonts w:ascii="Verdana" w:eastAsia="Times New Roman" w:hAnsi="Verdana" w:cs="Times New Roman"/>
          <w:sz w:val="24"/>
          <w:szCs w:val="20"/>
        </w:rPr>
        <w:br w:type="page"/>
      </w:r>
    </w:p>
    <w:p w14:paraId="06BBDDAB" w14:textId="77777777" w:rsidR="000110E8" w:rsidRPr="00EF5E39" w:rsidRDefault="000110E8" w:rsidP="000110E8">
      <w:pPr>
        <w:spacing w:line="480" w:lineRule="auto"/>
        <w:rPr>
          <w:rFonts w:ascii="Verdana" w:hAnsi="Verdana" w:cs="Arial"/>
          <w:b/>
          <w:i/>
        </w:rPr>
      </w:pPr>
      <w:r w:rsidRPr="00EF5E39">
        <w:rPr>
          <w:rFonts w:ascii="Verdana" w:hAnsi="Verdana" w:cs="Arial"/>
          <w:b/>
          <w:i/>
        </w:rPr>
        <w:lastRenderedPageBreak/>
        <w:t>Abstract</w:t>
      </w:r>
    </w:p>
    <w:p w14:paraId="7033963A" w14:textId="77777777" w:rsidR="00C91A00" w:rsidRPr="00C91A00" w:rsidRDefault="00C91A00" w:rsidP="00C91A00">
      <w:pPr>
        <w:spacing w:line="480" w:lineRule="auto"/>
        <w:rPr>
          <w:rFonts w:ascii="Verdana" w:hAnsi="Verdana"/>
          <w:i/>
        </w:rPr>
      </w:pPr>
      <w:r w:rsidRPr="00C91A00">
        <w:rPr>
          <w:rFonts w:ascii="Verdana" w:hAnsi="Verdana"/>
          <w:i/>
        </w:rPr>
        <w:t xml:space="preserve">Changing demographics mean that many patients with soft tissue rheumatism, osteoarthritis, inflammatory arthritis, large joint prostheses, and age-related co-morbidities are seeking to work beyond the traditional retirement age. In this chapter we review the evidence on musculoskeletal health and work at older ages. We conclude that musculoskeletal problems are common in older workers and have a substantial impact on their work capacity. Factors that influence their job retention are described, together with approaches that may extend working life. Many gaps in evidence were found, notably on the health risks and benefits of continued work in affected patients and </w:t>
      </w:r>
      <w:r>
        <w:rPr>
          <w:rFonts w:ascii="Verdana" w:hAnsi="Verdana"/>
          <w:i/>
        </w:rPr>
        <w:t>on which</w:t>
      </w:r>
      <w:r w:rsidRPr="00C91A00">
        <w:rPr>
          <w:rFonts w:ascii="Verdana" w:hAnsi="Verdana"/>
          <w:i/>
        </w:rPr>
        <w:t xml:space="preserve"> interventions work best. The </w:t>
      </w:r>
      <w:r w:rsidR="00F176DE" w:rsidRPr="00C91A00">
        <w:rPr>
          <w:rFonts w:ascii="Verdana" w:hAnsi="Verdana"/>
          <w:i/>
        </w:rPr>
        <w:t>roles</w:t>
      </w:r>
      <w:r w:rsidR="00F176DE">
        <w:rPr>
          <w:rFonts w:ascii="Verdana" w:hAnsi="Verdana"/>
          <w:i/>
        </w:rPr>
        <w:t xml:space="preserve"> of</w:t>
      </w:r>
      <w:r w:rsidR="00F176DE" w:rsidRPr="00C91A00">
        <w:rPr>
          <w:rFonts w:ascii="Verdana" w:hAnsi="Verdana"/>
          <w:i/>
        </w:rPr>
        <w:t xml:space="preserve"> </w:t>
      </w:r>
      <w:r w:rsidR="00F176DE">
        <w:rPr>
          <w:rFonts w:ascii="Verdana" w:hAnsi="Verdana"/>
          <w:i/>
        </w:rPr>
        <w:t>physicians and manager</w:t>
      </w:r>
      <w:r w:rsidRPr="00C91A00">
        <w:rPr>
          <w:rFonts w:ascii="Verdana" w:hAnsi="Verdana"/>
          <w:i/>
        </w:rPr>
        <w:t xml:space="preserve">s are </w:t>
      </w:r>
      <w:r w:rsidR="00EB0B20">
        <w:rPr>
          <w:rFonts w:ascii="Verdana" w:hAnsi="Verdana"/>
          <w:i/>
        </w:rPr>
        <w:t xml:space="preserve">also </w:t>
      </w:r>
      <w:r w:rsidRPr="00C91A00">
        <w:rPr>
          <w:rFonts w:ascii="Verdana" w:hAnsi="Verdana"/>
          <w:i/>
        </w:rPr>
        <w:t>considered.</w:t>
      </w:r>
    </w:p>
    <w:p w14:paraId="06171640" w14:textId="77777777" w:rsidR="006C6397" w:rsidRDefault="006C6397" w:rsidP="006C6397">
      <w:pPr>
        <w:rPr>
          <w:rFonts w:ascii="Times New Roman" w:hAnsi="Times New Roman" w:cs="Times New Roman"/>
          <w:b/>
        </w:rPr>
      </w:pPr>
    </w:p>
    <w:p w14:paraId="3EBD4D5F" w14:textId="77777777" w:rsidR="00902804" w:rsidRPr="006A3FE7" w:rsidRDefault="00902804" w:rsidP="006C6397">
      <w:pPr>
        <w:rPr>
          <w:rFonts w:ascii="Times New Roman" w:hAnsi="Times New Roman" w:cs="Times New Roman"/>
          <w:b/>
        </w:rPr>
      </w:pPr>
      <w:r w:rsidRPr="00EF5E39">
        <w:rPr>
          <w:rFonts w:ascii="Verdana" w:hAnsi="Verdana" w:cs="Arial"/>
          <w:b/>
        </w:rPr>
        <w:t>Key Words</w:t>
      </w:r>
      <w:r>
        <w:rPr>
          <w:rFonts w:ascii="Verdana" w:hAnsi="Verdana" w:cs="Arial"/>
          <w:b/>
        </w:rPr>
        <w:t xml:space="preserve">: </w:t>
      </w:r>
      <w:r>
        <w:rPr>
          <w:rFonts w:ascii="Verdana" w:hAnsi="Verdana" w:cs="Arial"/>
        </w:rPr>
        <w:t xml:space="preserve">older worker, </w:t>
      </w:r>
      <w:r w:rsidR="00EB0B20">
        <w:rPr>
          <w:rFonts w:ascii="Verdana" w:hAnsi="Verdana" w:cs="Arial"/>
        </w:rPr>
        <w:t>musculoskeletal disorder, job loss, sickness absence</w:t>
      </w:r>
    </w:p>
    <w:p w14:paraId="7F4E1138" w14:textId="77777777" w:rsidR="00902804" w:rsidRDefault="00902804">
      <w:pPr>
        <w:rPr>
          <w:rFonts w:ascii="Times New Roman" w:hAnsi="Times New Roman" w:cs="Times New Roman"/>
          <w:b/>
        </w:rPr>
      </w:pPr>
      <w:r>
        <w:rPr>
          <w:rFonts w:ascii="Times New Roman" w:hAnsi="Times New Roman" w:cs="Times New Roman"/>
          <w:b/>
        </w:rPr>
        <w:br w:type="page"/>
      </w:r>
    </w:p>
    <w:p w14:paraId="70F79E22" w14:textId="77777777" w:rsidR="006C6397" w:rsidRPr="00106A79" w:rsidRDefault="006C6397" w:rsidP="00106A79">
      <w:pPr>
        <w:spacing w:line="480" w:lineRule="auto"/>
        <w:rPr>
          <w:rFonts w:ascii="Verdana" w:hAnsi="Verdana" w:cs="Times New Roman"/>
          <w:b/>
        </w:rPr>
      </w:pPr>
      <w:r w:rsidRPr="00106A79">
        <w:rPr>
          <w:rFonts w:ascii="Verdana" w:hAnsi="Verdana" w:cs="Times New Roman"/>
          <w:b/>
        </w:rPr>
        <w:lastRenderedPageBreak/>
        <w:t>Introduction</w:t>
      </w:r>
    </w:p>
    <w:p w14:paraId="667A63E1" w14:textId="6F08D795" w:rsidR="000808E9" w:rsidRPr="00106A79" w:rsidRDefault="00B037BB" w:rsidP="00106A79">
      <w:pPr>
        <w:spacing w:line="480" w:lineRule="auto"/>
        <w:rPr>
          <w:rFonts w:ascii="Verdana" w:hAnsi="Verdana" w:cs="Times New Roman"/>
        </w:rPr>
      </w:pPr>
      <w:r w:rsidRPr="00106A79">
        <w:rPr>
          <w:rFonts w:ascii="Verdana" w:hAnsi="Verdana" w:cs="Times New Roman"/>
        </w:rPr>
        <w:t>I</w:t>
      </w:r>
      <w:r w:rsidR="006C6397" w:rsidRPr="00106A79">
        <w:rPr>
          <w:rFonts w:ascii="Verdana" w:hAnsi="Verdana" w:cs="Times New Roman"/>
        </w:rPr>
        <w:t xml:space="preserve">n Europe, the proportion of people aged &gt;65 years is expected by 2050 to </w:t>
      </w:r>
      <w:r w:rsidRPr="00106A79">
        <w:rPr>
          <w:rFonts w:ascii="Verdana" w:hAnsi="Verdana" w:cs="Times New Roman"/>
        </w:rPr>
        <w:t>r</w:t>
      </w:r>
      <w:r w:rsidR="005F49DE" w:rsidRPr="00106A79">
        <w:rPr>
          <w:rFonts w:ascii="Verdana" w:hAnsi="Verdana" w:cs="Times New Roman"/>
        </w:rPr>
        <w:t>epresent 30% of the population; worldwide, the support</w:t>
      </w:r>
      <w:r w:rsidRPr="00106A79">
        <w:rPr>
          <w:rFonts w:ascii="Verdana" w:hAnsi="Verdana" w:cs="Times New Roman"/>
        </w:rPr>
        <w:t xml:space="preserve"> ratio (of </w:t>
      </w:r>
      <w:r w:rsidR="005F49DE" w:rsidRPr="00106A79">
        <w:rPr>
          <w:rFonts w:ascii="Verdana" w:hAnsi="Verdana" w:cs="Times New Roman"/>
        </w:rPr>
        <w:t xml:space="preserve">adults of working age to those aged </w:t>
      </w:r>
      <w:r w:rsidR="00232CE7" w:rsidRPr="00106A79">
        <w:rPr>
          <w:rFonts w:ascii="Verdana" w:hAnsi="Verdana" w:cs="Times New Roman"/>
        </w:rPr>
        <w:t>&gt;65 and &lt;15</w:t>
      </w:r>
      <w:r w:rsidRPr="00106A79">
        <w:rPr>
          <w:rFonts w:ascii="Verdana" w:hAnsi="Verdana" w:cs="Times New Roman"/>
        </w:rPr>
        <w:t xml:space="preserve">) is </w:t>
      </w:r>
      <w:r w:rsidR="005F49DE" w:rsidRPr="00106A79">
        <w:rPr>
          <w:rFonts w:ascii="Verdana" w:hAnsi="Verdana" w:cs="Times New Roman"/>
        </w:rPr>
        <w:t xml:space="preserve">projected to be only one-third of that in 1950 </w:t>
      </w:r>
      <w:r w:rsidR="000808E9" w:rsidRPr="00106A79">
        <w:rPr>
          <w:rFonts w:ascii="Verdana" w:hAnsi="Verdana" w:cs="Times New Roman"/>
        </w:rPr>
        <w:t>[</w:t>
      </w:r>
      <w:r w:rsidR="001C1761">
        <w:rPr>
          <w:rFonts w:ascii="Verdana" w:hAnsi="Verdana" w:cs="Times New Roman"/>
        </w:rPr>
        <w:t>1</w:t>
      </w:r>
      <w:r w:rsidR="000808E9" w:rsidRPr="00106A79">
        <w:rPr>
          <w:rFonts w:ascii="Verdana" w:hAnsi="Verdana" w:cs="Times New Roman"/>
        </w:rPr>
        <w:t>]</w:t>
      </w:r>
      <w:r w:rsidRPr="00106A79">
        <w:rPr>
          <w:rFonts w:ascii="Verdana" w:hAnsi="Verdana" w:cs="Times New Roman"/>
        </w:rPr>
        <w:t xml:space="preserve">. </w:t>
      </w:r>
      <w:r w:rsidR="006C6397" w:rsidRPr="00106A79">
        <w:rPr>
          <w:rFonts w:ascii="Verdana" w:hAnsi="Verdana" w:cs="Times New Roman"/>
        </w:rPr>
        <w:t>There</w:t>
      </w:r>
      <w:r w:rsidRPr="00106A79">
        <w:rPr>
          <w:rFonts w:ascii="Verdana" w:hAnsi="Verdana" w:cs="Times New Roman"/>
        </w:rPr>
        <w:t>fore, in most countries</w:t>
      </w:r>
      <w:r w:rsidR="00C55ADB">
        <w:rPr>
          <w:rFonts w:ascii="Verdana" w:hAnsi="Verdana" w:cs="Times New Roman"/>
        </w:rPr>
        <w:t>,</w:t>
      </w:r>
      <w:r w:rsidRPr="00106A79">
        <w:rPr>
          <w:rFonts w:ascii="Verdana" w:hAnsi="Verdana" w:cs="Times New Roman"/>
        </w:rPr>
        <w:t xml:space="preserve"> </w:t>
      </w:r>
      <w:r w:rsidR="006C6397" w:rsidRPr="00106A79">
        <w:rPr>
          <w:rFonts w:ascii="Verdana" w:hAnsi="Verdana" w:cs="Times New Roman"/>
        </w:rPr>
        <w:t>an economic imperative</w:t>
      </w:r>
      <w:r w:rsidR="000808E9" w:rsidRPr="00106A79">
        <w:rPr>
          <w:rFonts w:ascii="Verdana" w:hAnsi="Verdana" w:cs="Times New Roman"/>
        </w:rPr>
        <w:t xml:space="preserve"> exists</w:t>
      </w:r>
      <w:r w:rsidRPr="00106A79">
        <w:rPr>
          <w:rFonts w:ascii="Verdana" w:hAnsi="Verdana" w:cs="Times New Roman"/>
        </w:rPr>
        <w:t xml:space="preserve"> </w:t>
      </w:r>
      <w:r w:rsidR="006C6397" w:rsidRPr="00106A79">
        <w:rPr>
          <w:rFonts w:ascii="Verdana" w:hAnsi="Verdana" w:cs="Times New Roman"/>
        </w:rPr>
        <w:t xml:space="preserve">to </w:t>
      </w:r>
      <w:r w:rsidR="000808E9" w:rsidRPr="00106A79">
        <w:rPr>
          <w:rFonts w:ascii="Verdana" w:hAnsi="Verdana" w:cs="Times New Roman"/>
        </w:rPr>
        <w:t>encourage</w:t>
      </w:r>
      <w:r w:rsidR="006C6397" w:rsidRPr="00106A79">
        <w:rPr>
          <w:rFonts w:ascii="Verdana" w:hAnsi="Verdana" w:cs="Times New Roman"/>
        </w:rPr>
        <w:t xml:space="preserve"> people </w:t>
      </w:r>
      <w:r w:rsidR="000808E9" w:rsidRPr="00106A79">
        <w:rPr>
          <w:rFonts w:ascii="Verdana" w:hAnsi="Verdana" w:cs="Times New Roman"/>
        </w:rPr>
        <w:t>to remain in productive</w:t>
      </w:r>
      <w:r w:rsidR="006C6397" w:rsidRPr="00106A79">
        <w:rPr>
          <w:rFonts w:ascii="Verdana" w:hAnsi="Verdana" w:cs="Times New Roman"/>
        </w:rPr>
        <w:t xml:space="preserve"> work to older ages. </w:t>
      </w:r>
      <w:r w:rsidR="006F491F" w:rsidRPr="00106A79">
        <w:rPr>
          <w:rFonts w:ascii="Verdana" w:hAnsi="Verdana" w:cs="Times New Roman"/>
        </w:rPr>
        <w:t>G</w:t>
      </w:r>
      <w:r w:rsidR="000808E9" w:rsidRPr="00106A79">
        <w:rPr>
          <w:rFonts w:ascii="Verdana" w:hAnsi="Verdana" w:cs="Times New Roman"/>
        </w:rPr>
        <w:t>overnments have responded by developing</w:t>
      </w:r>
      <w:r w:rsidR="006C6397" w:rsidRPr="00106A79">
        <w:rPr>
          <w:rFonts w:ascii="Verdana" w:hAnsi="Verdana" w:cs="Times New Roman"/>
        </w:rPr>
        <w:t xml:space="preserve"> policies to </w:t>
      </w:r>
      <w:r w:rsidR="00A63A72" w:rsidRPr="00106A79">
        <w:rPr>
          <w:rFonts w:ascii="Verdana" w:hAnsi="Verdana" w:cs="Times New Roman"/>
        </w:rPr>
        <w:t>encourage</w:t>
      </w:r>
      <w:r w:rsidR="006C6397" w:rsidRPr="00106A79">
        <w:rPr>
          <w:rFonts w:ascii="Verdana" w:hAnsi="Verdana" w:cs="Times New Roman"/>
        </w:rPr>
        <w:t xml:space="preserve"> labour force participation </w:t>
      </w:r>
      <w:r w:rsidR="000808E9" w:rsidRPr="00106A79">
        <w:rPr>
          <w:rFonts w:ascii="Verdana" w:hAnsi="Verdana" w:cs="Times New Roman"/>
        </w:rPr>
        <w:t>in later life</w:t>
      </w:r>
      <w:r w:rsidRPr="00106A79">
        <w:rPr>
          <w:rFonts w:ascii="Verdana" w:hAnsi="Verdana" w:cs="Times New Roman"/>
        </w:rPr>
        <w:t xml:space="preserve"> </w:t>
      </w:r>
      <w:r w:rsidR="000808E9" w:rsidRPr="00106A79">
        <w:rPr>
          <w:rFonts w:ascii="Verdana" w:hAnsi="Verdana" w:cs="Times New Roman"/>
        </w:rPr>
        <w:t>by</w:t>
      </w:r>
      <w:r w:rsidRPr="00106A79">
        <w:rPr>
          <w:rFonts w:ascii="Verdana" w:hAnsi="Verdana" w:cs="Times New Roman"/>
        </w:rPr>
        <w:t>,</w:t>
      </w:r>
      <w:r w:rsidR="006C6397" w:rsidRPr="00106A79">
        <w:rPr>
          <w:rFonts w:ascii="Verdana" w:hAnsi="Verdana" w:cs="Times New Roman"/>
        </w:rPr>
        <w:t xml:space="preserve"> </w:t>
      </w:r>
      <w:r w:rsidRPr="00106A79">
        <w:rPr>
          <w:rFonts w:ascii="Verdana" w:hAnsi="Verdana" w:cs="Times New Roman"/>
        </w:rPr>
        <w:t>f</w:t>
      </w:r>
      <w:r w:rsidR="006C6397" w:rsidRPr="00106A79">
        <w:rPr>
          <w:rFonts w:ascii="Verdana" w:hAnsi="Verdana" w:cs="Times New Roman"/>
        </w:rPr>
        <w:t xml:space="preserve">or example, </w:t>
      </w:r>
      <w:r w:rsidR="000808E9" w:rsidRPr="00106A79">
        <w:rPr>
          <w:rFonts w:ascii="Verdana" w:hAnsi="Verdana" w:cs="Times New Roman"/>
        </w:rPr>
        <w:t>delaying the age at which people can draw</w:t>
      </w:r>
      <w:r w:rsidR="006C6397" w:rsidRPr="00106A79">
        <w:rPr>
          <w:rFonts w:ascii="Verdana" w:hAnsi="Verdana" w:cs="Times New Roman"/>
        </w:rPr>
        <w:t xml:space="preserve"> </w:t>
      </w:r>
      <w:r w:rsidR="00C55ADB">
        <w:rPr>
          <w:rFonts w:ascii="Verdana" w:hAnsi="Verdana" w:cs="Times New Roman"/>
        </w:rPr>
        <w:t>state</w:t>
      </w:r>
      <w:r w:rsidR="00C55ADB" w:rsidRPr="00106A79">
        <w:rPr>
          <w:rFonts w:ascii="Verdana" w:hAnsi="Verdana" w:cs="Times New Roman"/>
        </w:rPr>
        <w:t xml:space="preserve"> </w:t>
      </w:r>
      <w:r w:rsidRPr="00106A79">
        <w:rPr>
          <w:rFonts w:ascii="Verdana" w:hAnsi="Verdana" w:cs="Times New Roman"/>
        </w:rPr>
        <w:t xml:space="preserve">pension </w:t>
      </w:r>
      <w:r w:rsidR="000808E9" w:rsidRPr="00106A79">
        <w:rPr>
          <w:rFonts w:ascii="Verdana" w:hAnsi="Verdana" w:cs="Times New Roman"/>
        </w:rPr>
        <w:t>benefits, abolishing</w:t>
      </w:r>
      <w:r w:rsidRPr="00106A79">
        <w:rPr>
          <w:rFonts w:ascii="Verdana" w:hAnsi="Verdana" w:cs="Times New Roman"/>
        </w:rPr>
        <w:t xml:space="preserve"> </w:t>
      </w:r>
      <w:r w:rsidR="000808E9" w:rsidRPr="00106A79">
        <w:rPr>
          <w:rFonts w:ascii="Verdana" w:hAnsi="Verdana" w:cs="Times New Roman"/>
        </w:rPr>
        <w:t>the</w:t>
      </w:r>
      <w:r w:rsidRPr="00106A79">
        <w:rPr>
          <w:rFonts w:ascii="Verdana" w:hAnsi="Verdana" w:cs="Times New Roman"/>
        </w:rPr>
        <w:t xml:space="preserve"> </w:t>
      </w:r>
      <w:r w:rsidR="000808E9" w:rsidRPr="00106A79">
        <w:rPr>
          <w:rFonts w:ascii="Verdana" w:hAnsi="Verdana" w:cs="Times New Roman"/>
        </w:rPr>
        <w:t>‘</w:t>
      </w:r>
      <w:r w:rsidRPr="00106A79">
        <w:rPr>
          <w:rFonts w:ascii="Verdana" w:hAnsi="Verdana" w:cs="Times New Roman"/>
        </w:rPr>
        <w:t>default</w:t>
      </w:r>
      <w:r w:rsidR="000808E9" w:rsidRPr="00106A79">
        <w:rPr>
          <w:rFonts w:ascii="Verdana" w:hAnsi="Verdana" w:cs="Times New Roman"/>
        </w:rPr>
        <w:t>’</w:t>
      </w:r>
      <w:r w:rsidRPr="00106A79">
        <w:rPr>
          <w:rFonts w:ascii="Verdana" w:hAnsi="Verdana" w:cs="Times New Roman"/>
        </w:rPr>
        <w:t xml:space="preserve"> retirement age, and legislat</w:t>
      </w:r>
      <w:r w:rsidR="000808E9" w:rsidRPr="00106A79">
        <w:rPr>
          <w:rFonts w:ascii="Verdana" w:hAnsi="Verdana" w:cs="Times New Roman"/>
        </w:rPr>
        <w:t>ing</w:t>
      </w:r>
      <w:r w:rsidR="006C6397" w:rsidRPr="00106A79">
        <w:rPr>
          <w:rFonts w:ascii="Verdana" w:hAnsi="Verdana" w:cs="Times New Roman"/>
        </w:rPr>
        <w:t xml:space="preserve"> </w:t>
      </w:r>
      <w:r w:rsidR="00C55ADB">
        <w:rPr>
          <w:rFonts w:ascii="Verdana" w:hAnsi="Verdana" w:cs="Times New Roman"/>
        </w:rPr>
        <w:t>against</w:t>
      </w:r>
      <w:r w:rsidR="006C6397" w:rsidRPr="00106A79">
        <w:rPr>
          <w:rFonts w:ascii="Verdana" w:hAnsi="Verdana" w:cs="Times New Roman"/>
        </w:rPr>
        <w:t xml:space="preserve"> workplace age and disability discrimination.</w:t>
      </w:r>
      <w:r w:rsidR="000808E9" w:rsidRPr="00106A79">
        <w:rPr>
          <w:rFonts w:ascii="Verdana" w:hAnsi="Verdana" w:cs="Times New Roman"/>
        </w:rPr>
        <w:t xml:space="preserve"> </w:t>
      </w:r>
    </w:p>
    <w:p w14:paraId="00568D60" w14:textId="77777777" w:rsidR="000808E9" w:rsidRPr="00106A79" w:rsidRDefault="000808E9" w:rsidP="00106A79">
      <w:pPr>
        <w:spacing w:line="480" w:lineRule="auto"/>
        <w:rPr>
          <w:rFonts w:ascii="Verdana" w:hAnsi="Verdana" w:cs="Times New Roman"/>
        </w:rPr>
      </w:pPr>
    </w:p>
    <w:p w14:paraId="7AF4CFCE" w14:textId="36A8C01F" w:rsidR="005B1AC2" w:rsidRDefault="005B1AC2" w:rsidP="00173538">
      <w:pPr>
        <w:pStyle w:val="CommentText"/>
        <w:spacing w:line="480" w:lineRule="auto"/>
        <w:rPr>
          <w:rFonts w:ascii="Verdana" w:hAnsi="Verdana" w:cs="Times New Roman"/>
          <w:sz w:val="22"/>
          <w:szCs w:val="22"/>
        </w:rPr>
      </w:pPr>
      <w:r w:rsidRPr="00173538">
        <w:rPr>
          <w:rFonts w:ascii="Verdana" w:hAnsi="Verdana" w:cs="Times New Roman"/>
          <w:sz w:val="22"/>
          <w:szCs w:val="22"/>
        </w:rPr>
        <w:t>The delayed availability of pension benefits as well as improved population health has led to many older individuals recognising the financial need and opportunity to remain in the workforce longer.  A steady rise in those working beyond traditional retirement age has been observed [2, 3]</w:t>
      </w:r>
      <w:r w:rsidR="00D4680E">
        <w:rPr>
          <w:rFonts w:ascii="Verdana" w:hAnsi="Verdana" w:cs="Times New Roman"/>
          <w:sz w:val="22"/>
          <w:szCs w:val="22"/>
        </w:rPr>
        <w:t>.</w:t>
      </w:r>
    </w:p>
    <w:p w14:paraId="1D49E37C" w14:textId="77777777" w:rsidR="00D4680E" w:rsidRPr="00173538" w:rsidRDefault="00D4680E" w:rsidP="00173538">
      <w:pPr>
        <w:pStyle w:val="CommentText"/>
        <w:spacing w:line="480" w:lineRule="auto"/>
        <w:rPr>
          <w:rFonts w:ascii="Verdana" w:hAnsi="Verdana" w:cs="Times New Roman"/>
          <w:sz w:val="22"/>
          <w:szCs w:val="22"/>
        </w:rPr>
      </w:pPr>
    </w:p>
    <w:p w14:paraId="47A1A1D6" w14:textId="7F7DC0AE" w:rsidR="00991DB9" w:rsidRPr="00106A79" w:rsidRDefault="00A63A72" w:rsidP="00106A79">
      <w:pPr>
        <w:spacing w:line="480" w:lineRule="auto"/>
        <w:rPr>
          <w:rFonts w:ascii="Verdana" w:hAnsi="Verdana" w:cs="Times New Roman"/>
        </w:rPr>
      </w:pPr>
      <w:r w:rsidRPr="00106A79">
        <w:rPr>
          <w:rFonts w:ascii="Verdana" w:hAnsi="Verdana" w:cs="Times New Roman"/>
        </w:rPr>
        <w:t>This</w:t>
      </w:r>
      <w:r w:rsidR="00FB2415" w:rsidRPr="00106A79">
        <w:rPr>
          <w:rFonts w:ascii="Verdana" w:hAnsi="Verdana" w:cs="Times New Roman"/>
        </w:rPr>
        <w:t xml:space="preserve"> changing age profile in employment brings with it potential </w:t>
      </w:r>
      <w:r w:rsidR="00283862">
        <w:rPr>
          <w:rFonts w:ascii="Verdana" w:hAnsi="Verdana" w:cs="Times New Roman"/>
        </w:rPr>
        <w:t>pros and cons</w:t>
      </w:r>
      <w:r w:rsidR="00FB2415" w:rsidRPr="00106A79">
        <w:rPr>
          <w:rFonts w:ascii="Verdana" w:hAnsi="Verdana" w:cs="Times New Roman"/>
        </w:rPr>
        <w:t>. It is feasible</w:t>
      </w:r>
      <w:r w:rsidR="00283862">
        <w:rPr>
          <w:rFonts w:ascii="Verdana" w:hAnsi="Verdana" w:cs="Times New Roman"/>
        </w:rPr>
        <w:t xml:space="preserve"> </w:t>
      </w:r>
      <w:r w:rsidR="00FB2415" w:rsidRPr="00106A79">
        <w:rPr>
          <w:rFonts w:ascii="Verdana" w:hAnsi="Verdana" w:cs="Times New Roman"/>
        </w:rPr>
        <w:t>that work at older ages can benefit health</w:t>
      </w:r>
      <w:r w:rsidR="006F491F" w:rsidRPr="00106A79">
        <w:rPr>
          <w:rFonts w:ascii="Verdana" w:hAnsi="Verdana" w:cs="Times New Roman"/>
        </w:rPr>
        <w:t xml:space="preserve"> [</w:t>
      </w:r>
      <w:r w:rsidR="001C1761">
        <w:rPr>
          <w:rFonts w:ascii="Verdana" w:hAnsi="Verdana" w:cs="Times New Roman"/>
        </w:rPr>
        <w:t>4</w:t>
      </w:r>
      <w:r w:rsidR="006F491F" w:rsidRPr="00106A79">
        <w:rPr>
          <w:rFonts w:ascii="Verdana" w:hAnsi="Verdana" w:cs="Times New Roman"/>
        </w:rPr>
        <w:t>]</w:t>
      </w:r>
      <w:r w:rsidR="00FB2415" w:rsidRPr="00106A79">
        <w:rPr>
          <w:rFonts w:ascii="Verdana" w:hAnsi="Verdana" w:cs="Times New Roman"/>
        </w:rPr>
        <w:t xml:space="preserve">; on the other hand, it may be </w:t>
      </w:r>
      <w:r w:rsidR="00283862">
        <w:rPr>
          <w:rFonts w:ascii="Verdana" w:hAnsi="Verdana" w:cs="Times New Roman"/>
        </w:rPr>
        <w:t>challenging</w:t>
      </w:r>
      <w:r w:rsidR="00283862" w:rsidRPr="00106A79">
        <w:rPr>
          <w:rFonts w:ascii="Verdana" w:hAnsi="Verdana" w:cs="Times New Roman"/>
        </w:rPr>
        <w:t xml:space="preserve"> </w:t>
      </w:r>
      <w:r w:rsidR="00FB2415" w:rsidRPr="00106A79">
        <w:rPr>
          <w:rFonts w:ascii="Verdana" w:hAnsi="Verdana" w:cs="Times New Roman"/>
        </w:rPr>
        <w:t xml:space="preserve">for those with serious health limitations. In this </w:t>
      </w:r>
      <w:r w:rsidR="00C55ADB">
        <w:rPr>
          <w:rFonts w:ascii="Verdana" w:hAnsi="Verdana" w:cs="Times New Roman"/>
        </w:rPr>
        <w:t>chapter</w:t>
      </w:r>
      <w:r w:rsidR="00C55ADB" w:rsidRPr="00106A79">
        <w:rPr>
          <w:rFonts w:ascii="Verdana" w:hAnsi="Verdana" w:cs="Times New Roman"/>
        </w:rPr>
        <w:t xml:space="preserve"> </w:t>
      </w:r>
      <w:r w:rsidR="00FB2415" w:rsidRPr="00106A79">
        <w:rPr>
          <w:rFonts w:ascii="Verdana" w:hAnsi="Verdana" w:cs="Times New Roman"/>
        </w:rPr>
        <w:t xml:space="preserve">we consider the relation between </w:t>
      </w:r>
      <w:r w:rsidRPr="00106A79">
        <w:rPr>
          <w:rFonts w:ascii="Verdana" w:hAnsi="Verdana" w:cs="Times New Roman"/>
        </w:rPr>
        <w:t xml:space="preserve">work </w:t>
      </w:r>
      <w:r w:rsidR="00FB2415" w:rsidRPr="00106A79">
        <w:rPr>
          <w:rFonts w:ascii="Verdana" w:hAnsi="Verdana" w:cs="Times New Roman"/>
        </w:rPr>
        <w:t>and health at older ages</w:t>
      </w:r>
      <w:r w:rsidR="00C55ADB">
        <w:rPr>
          <w:rFonts w:ascii="Verdana" w:hAnsi="Verdana" w:cs="Times New Roman"/>
        </w:rPr>
        <w:t>,</w:t>
      </w:r>
      <w:r w:rsidR="00FB2415" w:rsidRPr="00106A79">
        <w:rPr>
          <w:rFonts w:ascii="Verdana" w:hAnsi="Verdana" w:cs="Times New Roman"/>
        </w:rPr>
        <w:t xml:space="preserve"> </w:t>
      </w:r>
      <w:r w:rsidR="00283862">
        <w:rPr>
          <w:rFonts w:ascii="Verdana" w:hAnsi="Verdana" w:cs="Times New Roman"/>
        </w:rPr>
        <w:t>focussing</w:t>
      </w:r>
      <w:r w:rsidR="00FB2415" w:rsidRPr="00106A79">
        <w:rPr>
          <w:rFonts w:ascii="Verdana" w:hAnsi="Verdana" w:cs="Times New Roman"/>
        </w:rPr>
        <w:t xml:space="preserve"> particularly on musculoskeletal health</w:t>
      </w:r>
      <w:r w:rsidR="00283862">
        <w:rPr>
          <w:rFonts w:ascii="Verdana" w:hAnsi="Verdana" w:cs="Times New Roman"/>
        </w:rPr>
        <w:t>, and</w:t>
      </w:r>
      <w:r w:rsidR="00682F37" w:rsidRPr="00106A79">
        <w:rPr>
          <w:rFonts w:ascii="Verdana" w:hAnsi="Verdana" w:cs="Times New Roman"/>
        </w:rPr>
        <w:t xml:space="preserve"> a number of </w:t>
      </w:r>
      <w:r w:rsidR="00283862">
        <w:rPr>
          <w:rFonts w:ascii="Verdana" w:hAnsi="Verdana" w:cs="Times New Roman"/>
        </w:rPr>
        <w:t xml:space="preserve">associated </w:t>
      </w:r>
      <w:r w:rsidR="00682F37" w:rsidRPr="00106A79">
        <w:rPr>
          <w:rFonts w:ascii="Verdana" w:hAnsi="Verdana" w:cs="Times New Roman"/>
        </w:rPr>
        <w:t>questions:</w:t>
      </w:r>
    </w:p>
    <w:p w14:paraId="1ECA625D" w14:textId="514A5926" w:rsidR="00682F37" w:rsidRPr="00106A79" w:rsidRDefault="007A58D7" w:rsidP="00106A79">
      <w:pPr>
        <w:pStyle w:val="ListParagraph"/>
        <w:numPr>
          <w:ilvl w:val="0"/>
          <w:numId w:val="3"/>
        </w:numPr>
        <w:spacing w:line="480" w:lineRule="auto"/>
        <w:rPr>
          <w:rFonts w:ascii="Verdana" w:hAnsi="Verdana"/>
        </w:rPr>
      </w:pPr>
      <w:r w:rsidRPr="00106A79">
        <w:rPr>
          <w:rFonts w:ascii="Verdana" w:hAnsi="Verdana"/>
        </w:rPr>
        <w:t>How feasible is work,</w:t>
      </w:r>
      <w:r w:rsidR="001E5376" w:rsidRPr="00106A79">
        <w:rPr>
          <w:rFonts w:ascii="Verdana" w:hAnsi="Verdana"/>
        </w:rPr>
        <w:t xml:space="preserve"> for those with chronic musculoskeletal </w:t>
      </w:r>
      <w:r w:rsidR="00E4588C">
        <w:rPr>
          <w:rFonts w:ascii="Verdana" w:hAnsi="Verdana"/>
        </w:rPr>
        <w:t>disorders</w:t>
      </w:r>
      <w:r w:rsidR="00E4588C" w:rsidRPr="00106A79">
        <w:rPr>
          <w:rFonts w:ascii="Verdana" w:hAnsi="Verdana"/>
        </w:rPr>
        <w:t xml:space="preserve"> </w:t>
      </w:r>
      <w:r w:rsidR="00AA6CCA" w:rsidRPr="00106A79">
        <w:rPr>
          <w:rFonts w:ascii="Verdana" w:hAnsi="Verdana"/>
        </w:rPr>
        <w:t>(MSD</w:t>
      </w:r>
      <w:r w:rsidR="00E4588C">
        <w:rPr>
          <w:rFonts w:ascii="Verdana" w:hAnsi="Verdana"/>
        </w:rPr>
        <w:t>s</w:t>
      </w:r>
      <w:r w:rsidR="00AA6CCA" w:rsidRPr="00106A79">
        <w:rPr>
          <w:rFonts w:ascii="Verdana" w:hAnsi="Verdana"/>
        </w:rPr>
        <w:t>)</w:t>
      </w:r>
      <w:r w:rsidRPr="00106A79">
        <w:rPr>
          <w:rFonts w:ascii="Verdana" w:hAnsi="Verdana"/>
        </w:rPr>
        <w:t>?</w:t>
      </w:r>
    </w:p>
    <w:p w14:paraId="552C5889" w14:textId="13689DF6" w:rsidR="00682F37" w:rsidRPr="00106A79" w:rsidRDefault="007A58D7" w:rsidP="00106A79">
      <w:pPr>
        <w:pStyle w:val="ListParagraph"/>
        <w:numPr>
          <w:ilvl w:val="0"/>
          <w:numId w:val="3"/>
        </w:numPr>
        <w:spacing w:line="480" w:lineRule="auto"/>
        <w:rPr>
          <w:rFonts w:ascii="Verdana" w:hAnsi="Verdana"/>
        </w:rPr>
      </w:pPr>
      <w:r w:rsidRPr="00106A79">
        <w:rPr>
          <w:rFonts w:ascii="Verdana" w:hAnsi="Verdana"/>
        </w:rPr>
        <w:t xml:space="preserve">Is work </w:t>
      </w:r>
      <w:r w:rsidR="001E5376" w:rsidRPr="00106A79">
        <w:rPr>
          <w:rFonts w:ascii="Verdana" w:hAnsi="Verdana"/>
        </w:rPr>
        <w:t>beneficial for people with chronic MSD</w:t>
      </w:r>
      <w:r w:rsidR="00E4588C">
        <w:rPr>
          <w:rFonts w:ascii="Verdana" w:hAnsi="Verdana"/>
        </w:rPr>
        <w:t>s</w:t>
      </w:r>
      <w:r w:rsidR="001E5376" w:rsidRPr="00106A79">
        <w:rPr>
          <w:rFonts w:ascii="Verdana" w:hAnsi="Verdana"/>
        </w:rPr>
        <w:t>?</w:t>
      </w:r>
      <w:r w:rsidRPr="00106A79">
        <w:rPr>
          <w:rFonts w:ascii="Verdana" w:hAnsi="Verdana"/>
        </w:rPr>
        <w:t xml:space="preserve"> </w:t>
      </w:r>
    </w:p>
    <w:p w14:paraId="214D55F0" w14:textId="77777777" w:rsidR="00283862" w:rsidRPr="00106A79" w:rsidRDefault="00283862" w:rsidP="00283862">
      <w:pPr>
        <w:pStyle w:val="ListParagraph"/>
        <w:numPr>
          <w:ilvl w:val="0"/>
          <w:numId w:val="3"/>
        </w:numPr>
        <w:spacing w:line="480" w:lineRule="auto"/>
        <w:rPr>
          <w:rFonts w:ascii="Verdana" w:hAnsi="Verdana"/>
        </w:rPr>
      </w:pPr>
      <w:r w:rsidRPr="00106A79">
        <w:rPr>
          <w:rFonts w:ascii="Verdana" w:hAnsi="Verdana"/>
        </w:rPr>
        <w:t>How limited in employment are affected patients</w:t>
      </w:r>
      <w:r w:rsidR="00C55ADB">
        <w:rPr>
          <w:rFonts w:ascii="Verdana" w:hAnsi="Verdana"/>
        </w:rPr>
        <w:t>?</w:t>
      </w:r>
      <w:r w:rsidRPr="00106A79">
        <w:rPr>
          <w:rFonts w:ascii="Verdana" w:hAnsi="Verdana"/>
        </w:rPr>
        <w:t xml:space="preserve"> </w:t>
      </w:r>
      <w:r w:rsidR="00C55ADB">
        <w:rPr>
          <w:rFonts w:ascii="Verdana" w:hAnsi="Verdana"/>
        </w:rPr>
        <w:t>H</w:t>
      </w:r>
      <w:r w:rsidRPr="00106A79">
        <w:rPr>
          <w:rFonts w:ascii="Verdana" w:hAnsi="Verdana"/>
        </w:rPr>
        <w:t xml:space="preserve">ow often does poor musculoskeletal health prevent their </w:t>
      </w:r>
      <w:r w:rsidR="00C55ADB">
        <w:rPr>
          <w:rFonts w:ascii="Verdana" w:hAnsi="Verdana"/>
        </w:rPr>
        <w:t>working</w:t>
      </w:r>
      <w:r w:rsidRPr="00106A79">
        <w:rPr>
          <w:rFonts w:ascii="Verdana" w:hAnsi="Verdana"/>
        </w:rPr>
        <w:t xml:space="preserve">?  </w:t>
      </w:r>
    </w:p>
    <w:p w14:paraId="62A1CFB7" w14:textId="2F80A7EE" w:rsidR="001E5376" w:rsidRPr="00106A79" w:rsidRDefault="001E5376" w:rsidP="00106A79">
      <w:pPr>
        <w:pStyle w:val="ListParagraph"/>
        <w:numPr>
          <w:ilvl w:val="0"/>
          <w:numId w:val="3"/>
        </w:numPr>
        <w:spacing w:line="480" w:lineRule="auto"/>
        <w:rPr>
          <w:rFonts w:ascii="Verdana" w:hAnsi="Verdana"/>
        </w:rPr>
      </w:pPr>
      <w:r w:rsidRPr="00106A79">
        <w:rPr>
          <w:rFonts w:ascii="Verdana" w:hAnsi="Verdana"/>
        </w:rPr>
        <w:lastRenderedPageBreak/>
        <w:t>What interventions</w:t>
      </w:r>
      <w:r w:rsidR="004962B0" w:rsidRPr="00106A79">
        <w:rPr>
          <w:rFonts w:ascii="Verdana" w:hAnsi="Verdana"/>
        </w:rPr>
        <w:t xml:space="preserve"> </w:t>
      </w:r>
      <w:r w:rsidR="00C55ADB">
        <w:rPr>
          <w:rFonts w:ascii="Verdana" w:hAnsi="Verdana"/>
        </w:rPr>
        <w:t>can</w:t>
      </w:r>
      <w:r w:rsidR="004962B0" w:rsidRPr="00106A79">
        <w:rPr>
          <w:rFonts w:ascii="Verdana" w:hAnsi="Verdana"/>
        </w:rPr>
        <w:t xml:space="preserve"> increase work productivity in people with chronic MSD</w:t>
      </w:r>
      <w:r w:rsidR="00E4588C">
        <w:rPr>
          <w:rFonts w:ascii="Verdana" w:hAnsi="Verdana"/>
        </w:rPr>
        <w:t>s</w:t>
      </w:r>
      <w:r w:rsidR="004962B0" w:rsidRPr="00106A79">
        <w:rPr>
          <w:rFonts w:ascii="Verdana" w:hAnsi="Verdana"/>
        </w:rPr>
        <w:t>?</w:t>
      </w:r>
      <w:r w:rsidRPr="00106A79">
        <w:rPr>
          <w:rFonts w:ascii="Verdana" w:hAnsi="Verdana"/>
        </w:rPr>
        <w:t xml:space="preserve"> </w:t>
      </w:r>
    </w:p>
    <w:p w14:paraId="4C3F01FA" w14:textId="75B72CD3" w:rsidR="00AA6CCA" w:rsidRPr="00106A79" w:rsidRDefault="00C55ADB" w:rsidP="00106A79">
      <w:pPr>
        <w:pStyle w:val="ListParagraph"/>
        <w:numPr>
          <w:ilvl w:val="0"/>
          <w:numId w:val="3"/>
        </w:numPr>
        <w:spacing w:line="480" w:lineRule="auto"/>
        <w:rPr>
          <w:rFonts w:ascii="Verdana" w:hAnsi="Verdana"/>
        </w:rPr>
      </w:pPr>
      <w:r>
        <w:rPr>
          <w:rFonts w:ascii="Verdana" w:hAnsi="Verdana"/>
        </w:rPr>
        <w:t>What are the</w:t>
      </w:r>
      <w:r w:rsidR="00026577" w:rsidRPr="00106A79">
        <w:rPr>
          <w:rFonts w:ascii="Verdana" w:hAnsi="Verdana"/>
        </w:rPr>
        <w:t xml:space="preserve"> predictors of work disability due to MSD</w:t>
      </w:r>
      <w:r w:rsidR="00E4588C">
        <w:rPr>
          <w:rFonts w:ascii="Verdana" w:hAnsi="Verdana"/>
        </w:rPr>
        <w:t>s</w:t>
      </w:r>
      <w:r w:rsidR="00026577" w:rsidRPr="00106A79">
        <w:rPr>
          <w:rFonts w:ascii="Verdana" w:hAnsi="Verdana"/>
        </w:rPr>
        <w:t xml:space="preserve">? </w:t>
      </w:r>
    </w:p>
    <w:p w14:paraId="283BAC2A" w14:textId="4066F089" w:rsidR="00AA6CCA" w:rsidRPr="00106A79" w:rsidRDefault="00A63A72" w:rsidP="00106A79">
      <w:pPr>
        <w:pStyle w:val="ListParagraph"/>
        <w:numPr>
          <w:ilvl w:val="0"/>
          <w:numId w:val="3"/>
        </w:numPr>
        <w:spacing w:line="480" w:lineRule="auto"/>
        <w:rPr>
          <w:rFonts w:ascii="Verdana" w:hAnsi="Verdana"/>
        </w:rPr>
      </w:pPr>
      <w:r w:rsidRPr="00106A79">
        <w:rPr>
          <w:rFonts w:ascii="Verdana" w:hAnsi="Verdana"/>
        </w:rPr>
        <w:t>Where</w:t>
      </w:r>
      <w:r w:rsidR="00FB2415" w:rsidRPr="00106A79">
        <w:rPr>
          <w:rFonts w:ascii="Verdana" w:hAnsi="Verdana"/>
        </w:rPr>
        <w:t xml:space="preserve"> affected </w:t>
      </w:r>
      <w:r w:rsidRPr="00106A79">
        <w:rPr>
          <w:rFonts w:ascii="Verdana" w:hAnsi="Verdana"/>
        </w:rPr>
        <w:t>individual</w:t>
      </w:r>
      <w:r w:rsidR="00FB2415" w:rsidRPr="00106A79">
        <w:rPr>
          <w:rFonts w:ascii="Verdana" w:hAnsi="Verdana"/>
        </w:rPr>
        <w:t xml:space="preserve">s wish to work for longer, or </w:t>
      </w:r>
      <w:r w:rsidRPr="00106A79">
        <w:rPr>
          <w:rFonts w:ascii="Verdana" w:hAnsi="Verdana"/>
        </w:rPr>
        <w:t xml:space="preserve">feel they </w:t>
      </w:r>
      <w:r w:rsidR="00FB2415" w:rsidRPr="00106A79">
        <w:rPr>
          <w:rFonts w:ascii="Verdana" w:hAnsi="Verdana"/>
        </w:rPr>
        <w:t>need to</w:t>
      </w:r>
      <w:r w:rsidRPr="00106A79">
        <w:rPr>
          <w:rFonts w:ascii="Verdana" w:hAnsi="Verdana"/>
        </w:rPr>
        <w:t>,</w:t>
      </w:r>
      <w:r w:rsidR="00FB2415" w:rsidRPr="00106A79">
        <w:rPr>
          <w:rFonts w:ascii="Verdana" w:hAnsi="Verdana"/>
        </w:rPr>
        <w:t xml:space="preserve"> what can be done to support them? </w:t>
      </w:r>
    </w:p>
    <w:p w14:paraId="144880A8" w14:textId="77777777" w:rsidR="00991DB9" w:rsidRPr="00106A79" w:rsidRDefault="00FB2415" w:rsidP="00106A79">
      <w:pPr>
        <w:pStyle w:val="ListParagraph"/>
        <w:numPr>
          <w:ilvl w:val="0"/>
          <w:numId w:val="3"/>
        </w:numPr>
        <w:spacing w:line="480" w:lineRule="auto"/>
        <w:rPr>
          <w:rFonts w:ascii="Verdana" w:hAnsi="Verdana"/>
        </w:rPr>
      </w:pPr>
      <w:r w:rsidRPr="00106A79">
        <w:rPr>
          <w:rFonts w:ascii="Verdana" w:hAnsi="Verdana"/>
        </w:rPr>
        <w:t>What role can health care professionals and managers play in extending gainful employment?</w:t>
      </w:r>
      <w:r w:rsidR="00751DAB" w:rsidRPr="00106A79">
        <w:rPr>
          <w:rFonts w:ascii="Verdana" w:hAnsi="Verdana"/>
        </w:rPr>
        <w:t xml:space="preserve"> </w:t>
      </w:r>
    </w:p>
    <w:p w14:paraId="3C7C65C1" w14:textId="77777777" w:rsidR="00991DB9" w:rsidRPr="00106A79" w:rsidRDefault="00991DB9" w:rsidP="00106A79">
      <w:pPr>
        <w:spacing w:line="480" w:lineRule="auto"/>
        <w:rPr>
          <w:rFonts w:ascii="Verdana" w:hAnsi="Verdana" w:cs="Times New Roman"/>
        </w:rPr>
      </w:pPr>
    </w:p>
    <w:p w14:paraId="0B5863D9" w14:textId="2C4AEF55" w:rsidR="007A58D7" w:rsidRPr="00106A79" w:rsidRDefault="00751DAB" w:rsidP="00106A79">
      <w:pPr>
        <w:spacing w:line="480" w:lineRule="auto"/>
        <w:rPr>
          <w:rFonts w:ascii="Verdana" w:hAnsi="Verdana" w:cs="Times New Roman"/>
        </w:rPr>
      </w:pPr>
      <w:r w:rsidRPr="00106A79">
        <w:rPr>
          <w:rFonts w:ascii="Verdana" w:hAnsi="Verdana" w:cs="Times New Roman"/>
        </w:rPr>
        <w:t>We first review</w:t>
      </w:r>
      <w:r w:rsidR="007A58D7" w:rsidRPr="00106A79">
        <w:rPr>
          <w:rFonts w:ascii="Verdana" w:hAnsi="Verdana" w:cs="Times New Roman"/>
        </w:rPr>
        <w:t xml:space="preserve"> the pattern of musculoskeletal complaints in later middle age; then consider what is known about </w:t>
      </w:r>
      <w:r w:rsidR="00A53234">
        <w:rPr>
          <w:rFonts w:ascii="Verdana" w:hAnsi="Verdana" w:cs="Times New Roman"/>
        </w:rPr>
        <w:t>their</w:t>
      </w:r>
      <w:r w:rsidR="00A53234" w:rsidRPr="00106A79">
        <w:rPr>
          <w:rFonts w:ascii="Verdana" w:hAnsi="Verdana" w:cs="Times New Roman"/>
        </w:rPr>
        <w:t xml:space="preserve"> </w:t>
      </w:r>
      <w:r w:rsidR="007A58D7" w:rsidRPr="00106A79">
        <w:rPr>
          <w:rFonts w:ascii="Verdana" w:hAnsi="Verdana" w:cs="Times New Roman"/>
        </w:rPr>
        <w:t xml:space="preserve">impact </w:t>
      </w:r>
      <w:r w:rsidR="00E4588C">
        <w:rPr>
          <w:rFonts w:ascii="Verdana" w:hAnsi="Verdana" w:cs="Times New Roman"/>
        </w:rPr>
        <w:t>on</w:t>
      </w:r>
      <w:r w:rsidR="00E4588C" w:rsidRPr="00106A79">
        <w:rPr>
          <w:rFonts w:ascii="Verdana" w:hAnsi="Verdana" w:cs="Times New Roman"/>
        </w:rPr>
        <w:t xml:space="preserve"> </w:t>
      </w:r>
      <w:r w:rsidR="007A58D7" w:rsidRPr="00106A79">
        <w:rPr>
          <w:rFonts w:ascii="Verdana" w:hAnsi="Verdana" w:cs="Times New Roman"/>
        </w:rPr>
        <w:t xml:space="preserve">employment; finally we review potential interventions, including what clinicians can do to support older workers with MSDs. </w:t>
      </w:r>
      <w:r w:rsidR="00A53234">
        <w:rPr>
          <w:rFonts w:ascii="Verdana" w:hAnsi="Verdana" w:cs="Times New Roman"/>
        </w:rPr>
        <w:t>G</w:t>
      </w:r>
      <w:r w:rsidR="007A58D7" w:rsidRPr="00106A79">
        <w:rPr>
          <w:rFonts w:ascii="Verdana" w:hAnsi="Verdana" w:cs="Times New Roman"/>
        </w:rPr>
        <w:t xml:space="preserve">aps in research are highlighted. </w:t>
      </w:r>
    </w:p>
    <w:p w14:paraId="58FB414A" w14:textId="77777777" w:rsidR="007A58D7" w:rsidRPr="00106A79" w:rsidRDefault="007A58D7" w:rsidP="00106A79">
      <w:pPr>
        <w:spacing w:line="480" w:lineRule="auto"/>
        <w:rPr>
          <w:rFonts w:ascii="Verdana" w:hAnsi="Verdana" w:cs="Times New Roman"/>
        </w:rPr>
      </w:pPr>
    </w:p>
    <w:p w14:paraId="05989FC2" w14:textId="55813184" w:rsidR="00183466" w:rsidRPr="00106A79" w:rsidRDefault="00183466" w:rsidP="00106A79">
      <w:pPr>
        <w:spacing w:line="480" w:lineRule="auto"/>
        <w:rPr>
          <w:rFonts w:ascii="Verdana" w:hAnsi="Verdana" w:cs="Times New Roman"/>
          <w:b/>
        </w:rPr>
      </w:pPr>
      <w:r w:rsidRPr="00106A79">
        <w:rPr>
          <w:rFonts w:ascii="Verdana" w:hAnsi="Verdana" w:cs="Times New Roman"/>
        </w:rPr>
        <w:t>To inform the review, searches were performed in Medline and Google Scholar, as well as</w:t>
      </w:r>
      <w:r w:rsidR="00BC4E7E" w:rsidRPr="00106A79">
        <w:rPr>
          <w:rFonts w:ascii="Verdana" w:hAnsi="Verdana" w:cs="Times New Roman"/>
        </w:rPr>
        <w:t xml:space="preserve"> a hand search</w:t>
      </w:r>
      <w:r w:rsidRPr="00106A79">
        <w:rPr>
          <w:rFonts w:ascii="Verdana" w:hAnsi="Verdana" w:cs="Times New Roman"/>
        </w:rPr>
        <w:t xml:space="preserve"> of recent volumes of </w:t>
      </w:r>
      <w:r w:rsidR="00BC4E7E" w:rsidRPr="00106A79">
        <w:rPr>
          <w:rFonts w:ascii="Verdana" w:hAnsi="Verdana" w:cs="Times New Roman"/>
        </w:rPr>
        <w:t xml:space="preserve">two </w:t>
      </w:r>
      <w:r w:rsidRPr="00106A79">
        <w:rPr>
          <w:rFonts w:ascii="Verdana" w:hAnsi="Verdana" w:cs="Times New Roman"/>
        </w:rPr>
        <w:t>journals of occupational medicine and</w:t>
      </w:r>
      <w:r w:rsidR="00BC4E7E" w:rsidRPr="00106A79">
        <w:rPr>
          <w:rFonts w:ascii="Verdana" w:hAnsi="Verdana" w:cs="Times New Roman"/>
        </w:rPr>
        <w:t xml:space="preserve"> three journals of rheumatology</w:t>
      </w:r>
      <w:r w:rsidR="00FC7061" w:rsidRPr="00106A79">
        <w:rPr>
          <w:rFonts w:ascii="Verdana" w:hAnsi="Verdana" w:cs="Times New Roman"/>
        </w:rPr>
        <w:t xml:space="preserve"> (details available on request)</w:t>
      </w:r>
      <w:r w:rsidR="00BC4E7E" w:rsidRPr="00106A79">
        <w:rPr>
          <w:rFonts w:ascii="Verdana" w:hAnsi="Verdana" w:cs="Times New Roman"/>
        </w:rPr>
        <w:t>.</w:t>
      </w:r>
    </w:p>
    <w:p w14:paraId="4B357EB0" w14:textId="77777777" w:rsidR="00183466" w:rsidRPr="00106A79" w:rsidRDefault="00183466" w:rsidP="00106A79">
      <w:pPr>
        <w:spacing w:line="480" w:lineRule="auto"/>
        <w:rPr>
          <w:rFonts w:ascii="Verdana" w:hAnsi="Verdana" w:cs="Times New Roman"/>
          <w:b/>
        </w:rPr>
      </w:pPr>
    </w:p>
    <w:p w14:paraId="5E49FC07" w14:textId="77777777" w:rsidR="00751DAB" w:rsidRPr="00106A79" w:rsidRDefault="00751DAB" w:rsidP="00106A79">
      <w:pPr>
        <w:spacing w:line="480" w:lineRule="auto"/>
        <w:rPr>
          <w:rFonts w:ascii="Verdana" w:hAnsi="Verdana" w:cs="Times New Roman"/>
          <w:b/>
        </w:rPr>
      </w:pPr>
      <w:r w:rsidRPr="00106A79">
        <w:rPr>
          <w:rFonts w:ascii="Verdana" w:hAnsi="Verdana" w:cs="Times New Roman"/>
          <w:b/>
        </w:rPr>
        <w:t xml:space="preserve">The </w:t>
      </w:r>
      <w:r w:rsidR="00E45E0F" w:rsidRPr="00106A79">
        <w:rPr>
          <w:rFonts w:ascii="Verdana" w:hAnsi="Verdana" w:cs="Times New Roman"/>
          <w:b/>
        </w:rPr>
        <w:t>relation</w:t>
      </w:r>
      <w:r w:rsidRPr="00106A79">
        <w:rPr>
          <w:rFonts w:ascii="Verdana" w:hAnsi="Verdana" w:cs="Times New Roman"/>
          <w:b/>
        </w:rPr>
        <w:t xml:space="preserve"> of musculoskeletal </w:t>
      </w:r>
      <w:r w:rsidR="00E45E0F" w:rsidRPr="00106A79">
        <w:rPr>
          <w:rFonts w:ascii="Verdana" w:hAnsi="Verdana" w:cs="Times New Roman"/>
          <w:b/>
        </w:rPr>
        <w:t>symptoms and pathology</w:t>
      </w:r>
      <w:r w:rsidRPr="00106A79">
        <w:rPr>
          <w:rFonts w:ascii="Verdana" w:hAnsi="Verdana" w:cs="Times New Roman"/>
          <w:b/>
        </w:rPr>
        <w:t xml:space="preserve"> </w:t>
      </w:r>
      <w:r w:rsidR="00E45E0F" w:rsidRPr="00106A79">
        <w:rPr>
          <w:rFonts w:ascii="Verdana" w:hAnsi="Verdana" w:cs="Times New Roman"/>
          <w:b/>
        </w:rPr>
        <w:t>to age</w:t>
      </w:r>
    </w:p>
    <w:p w14:paraId="57568D6E" w14:textId="77777777" w:rsidR="00C837D2" w:rsidRPr="00106A79" w:rsidRDefault="00C837D2" w:rsidP="00106A79">
      <w:pPr>
        <w:spacing w:line="480" w:lineRule="auto"/>
        <w:rPr>
          <w:rFonts w:ascii="Verdana" w:hAnsi="Verdana" w:cs="Times New Roman"/>
          <w:i/>
        </w:rPr>
      </w:pPr>
    </w:p>
    <w:p w14:paraId="7D900858" w14:textId="585568B9" w:rsidR="00102BB3" w:rsidRPr="00106A79" w:rsidRDefault="00AB5CC6" w:rsidP="00106A79">
      <w:pPr>
        <w:spacing w:line="480" w:lineRule="auto"/>
        <w:rPr>
          <w:rFonts w:ascii="Verdana" w:hAnsi="Verdana" w:cs="Times New Roman"/>
          <w:i/>
        </w:rPr>
      </w:pPr>
      <w:r w:rsidRPr="00106A79">
        <w:rPr>
          <w:rFonts w:ascii="Verdana" w:hAnsi="Verdana" w:cs="Times New Roman"/>
          <w:i/>
        </w:rPr>
        <w:t>Regional pain</w:t>
      </w:r>
    </w:p>
    <w:p w14:paraId="3BFCD2FD" w14:textId="1D90EE91" w:rsidR="00E45E0F" w:rsidRPr="00106A79" w:rsidRDefault="00941B0C" w:rsidP="00106A79">
      <w:pPr>
        <w:spacing w:line="480" w:lineRule="auto"/>
        <w:rPr>
          <w:rFonts w:ascii="Verdana" w:hAnsi="Verdana" w:cs="Times New Roman"/>
        </w:rPr>
      </w:pPr>
      <w:r w:rsidRPr="00106A79">
        <w:rPr>
          <w:rFonts w:ascii="Verdana" w:hAnsi="Verdana" w:cs="Times New Roman"/>
        </w:rPr>
        <w:t xml:space="preserve">Musculoskeletal symptoms are common in older middle </w:t>
      </w:r>
      <w:r w:rsidR="00E45E0F" w:rsidRPr="00106A79">
        <w:rPr>
          <w:rFonts w:ascii="Verdana" w:hAnsi="Verdana" w:cs="Times New Roman"/>
        </w:rPr>
        <w:t>life</w:t>
      </w:r>
      <w:r w:rsidRPr="00106A79">
        <w:rPr>
          <w:rFonts w:ascii="Verdana" w:hAnsi="Verdana" w:cs="Times New Roman"/>
        </w:rPr>
        <w:t xml:space="preserve">.  </w:t>
      </w:r>
      <w:r w:rsidR="00A53234">
        <w:rPr>
          <w:rFonts w:ascii="Verdana" w:hAnsi="Verdana" w:cs="Times New Roman"/>
        </w:rPr>
        <w:t>In a</w:t>
      </w:r>
      <w:r w:rsidRPr="00106A79">
        <w:rPr>
          <w:rFonts w:ascii="Verdana" w:hAnsi="Verdana" w:cs="Times New Roman"/>
        </w:rPr>
        <w:t xml:space="preserve"> survey of adults aged </w:t>
      </w:r>
      <w:r w:rsidRPr="00106A79">
        <w:rPr>
          <w:rFonts w:ascii="Verdana" w:hAnsi="Verdana" w:cs="Times New Roman"/>
          <w:u w:val="single"/>
        </w:rPr>
        <w:t>&gt;</w:t>
      </w:r>
      <w:r w:rsidRPr="00106A79">
        <w:rPr>
          <w:rFonts w:ascii="Verdana" w:hAnsi="Verdana" w:cs="Times New Roman"/>
        </w:rPr>
        <w:t>50 years from North Staffordshire</w:t>
      </w:r>
      <w:r w:rsidR="004B5CA6" w:rsidRPr="00106A79">
        <w:rPr>
          <w:rFonts w:ascii="Verdana" w:hAnsi="Verdana" w:cs="Times New Roman"/>
        </w:rPr>
        <w:t xml:space="preserve"> [</w:t>
      </w:r>
      <w:r w:rsidR="001C1761">
        <w:rPr>
          <w:rFonts w:ascii="Verdana" w:hAnsi="Verdana" w:cs="Times New Roman"/>
        </w:rPr>
        <w:t>5</w:t>
      </w:r>
      <w:r w:rsidR="004B5CA6" w:rsidRPr="00106A79">
        <w:rPr>
          <w:rFonts w:ascii="Verdana" w:hAnsi="Verdana" w:cs="Times New Roman"/>
        </w:rPr>
        <w:t>]</w:t>
      </w:r>
      <w:r w:rsidRPr="00106A79">
        <w:rPr>
          <w:rFonts w:ascii="Verdana" w:hAnsi="Verdana" w:cs="Times New Roman"/>
        </w:rPr>
        <w:t xml:space="preserve">, back pain in the previous four weeks affected about 1 in 3 </w:t>
      </w:r>
      <w:r w:rsidR="00E4588C">
        <w:rPr>
          <w:rFonts w:ascii="Verdana" w:hAnsi="Verdana" w:cs="Times New Roman"/>
        </w:rPr>
        <w:t>people</w:t>
      </w:r>
      <w:r w:rsidR="00E4588C" w:rsidRPr="00106A79">
        <w:rPr>
          <w:rFonts w:ascii="Verdana" w:hAnsi="Verdana" w:cs="Times New Roman"/>
        </w:rPr>
        <w:t xml:space="preserve"> </w:t>
      </w:r>
      <w:r w:rsidR="00A53234">
        <w:rPr>
          <w:rFonts w:ascii="Verdana" w:hAnsi="Verdana" w:cs="Times New Roman"/>
        </w:rPr>
        <w:t>aged</w:t>
      </w:r>
      <w:r w:rsidR="00447FCD" w:rsidRPr="00106A79">
        <w:rPr>
          <w:rFonts w:ascii="Verdana" w:hAnsi="Verdana" w:cs="Times New Roman"/>
        </w:rPr>
        <w:t xml:space="preserve"> </w:t>
      </w:r>
      <w:r w:rsidR="00E45E0F" w:rsidRPr="00106A79">
        <w:rPr>
          <w:rFonts w:ascii="Verdana" w:hAnsi="Verdana" w:cs="Times New Roman"/>
        </w:rPr>
        <w:t>50-59 year</w:t>
      </w:r>
      <w:r w:rsidR="00A53234">
        <w:rPr>
          <w:rFonts w:ascii="Verdana" w:hAnsi="Verdana" w:cs="Times New Roman"/>
        </w:rPr>
        <w:t>s</w:t>
      </w:r>
      <w:r w:rsidR="00F40FCB" w:rsidRPr="00106A79">
        <w:rPr>
          <w:rFonts w:ascii="Verdana" w:hAnsi="Verdana" w:cs="Times New Roman"/>
        </w:rPr>
        <w:t>. S</w:t>
      </w:r>
      <w:r w:rsidRPr="00106A79">
        <w:rPr>
          <w:rFonts w:ascii="Verdana" w:hAnsi="Verdana" w:cs="Times New Roman"/>
        </w:rPr>
        <w:t xml:space="preserve">imilar proportions reported knee </w:t>
      </w:r>
      <w:r w:rsidR="00447FCD" w:rsidRPr="00106A79">
        <w:rPr>
          <w:rFonts w:ascii="Verdana" w:hAnsi="Verdana" w:cs="Times New Roman"/>
        </w:rPr>
        <w:t>or</w:t>
      </w:r>
      <w:r w:rsidRPr="00106A79">
        <w:rPr>
          <w:rFonts w:ascii="Verdana" w:hAnsi="Verdana" w:cs="Times New Roman"/>
        </w:rPr>
        <w:t xml:space="preserve"> shoulder pain, </w:t>
      </w:r>
      <w:r w:rsidR="00A53234">
        <w:rPr>
          <w:rFonts w:ascii="Verdana" w:hAnsi="Verdana" w:cs="Times New Roman"/>
        </w:rPr>
        <w:t>while</w:t>
      </w:r>
      <w:r w:rsidR="00A53234" w:rsidRPr="00106A79">
        <w:rPr>
          <w:rFonts w:ascii="Verdana" w:hAnsi="Verdana" w:cs="Times New Roman"/>
        </w:rPr>
        <w:t xml:space="preserve"> </w:t>
      </w:r>
      <w:r w:rsidRPr="00106A79">
        <w:rPr>
          <w:rFonts w:ascii="Verdana" w:hAnsi="Verdana" w:cs="Times New Roman"/>
        </w:rPr>
        <w:t>a fifth to a quarter reported pain</w:t>
      </w:r>
      <w:r w:rsidR="00C55ADB">
        <w:rPr>
          <w:rFonts w:ascii="Verdana" w:hAnsi="Verdana" w:cs="Times New Roman"/>
        </w:rPr>
        <w:t>s</w:t>
      </w:r>
      <w:r w:rsidRPr="00106A79">
        <w:rPr>
          <w:rFonts w:ascii="Verdana" w:hAnsi="Verdana" w:cs="Times New Roman"/>
        </w:rPr>
        <w:t xml:space="preserve"> in the hip, neck, distal upper limbs </w:t>
      </w:r>
      <w:r w:rsidR="00447FCD" w:rsidRPr="00106A79">
        <w:rPr>
          <w:rFonts w:ascii="Verdana" w:hAnsi="Verdana" w:cs="Times New Roman"/>
        </w:rPr>
        <w:t>or</w:t>
      </w:r>
      <w:r w:rsidRPr="00106A79">
        <w:rPr>
          <w:rFonts w:ascii="Verdana" w:hAnsi="Verdana" w:cs="Times New Roman"/>
        </w:rPr>
        <w:t xml:space="preserve"> feet</w:t>
      </w:r>
      <w:r w:rsidR="00447FCD" w:rsidRPr="00106A79">
        <w:rPr>
          <w:rFonts w:ascii="Verdana" w:hAnsi="Verdana" w:cs="Times New Roman"/>
        </w:rPr>
        <w:t xml:space="preserve">. </w:t>
      </w:r>
      <w:r w:rsidR="00A53234">
        <w:rPr>
          <w:rFonts w:ascii="Verdana" w:hAnsi="Verdana" w:cs="Times New Roman"/>
        </w:rPr>
        <w:t>A</w:t>
      </w:r>
      <w:r w:rsidR="00E45E0F" w:rsidRPr="00106A79">
        <w:rPr>
          <w:rFonts w:ascii="Verdana" w:hAnsi="Verdana" w:cs="Times New Roman"/>
        </w:rPr>
        <w:t>lmost</w:t>
      </w:r>
      <w:r w:rsidRPr="00106A79">
        <w:rPr>
          <w:rFonts w:ascii="Verdana" w:hAnsi="Verdana" w:cs="Times New Roman"/>
        </w:rPr>
        <w:t xml:space="preserve"> two-</w:t>
      </w:r>
      <w:r w:rsidR="00E45E0F" w:rsidRPr="00106A79">
        <w:rPr>
          <w:rFonts w:ascii="Verdana" w:hAnsi="Verdana" w:cs="Times New Roman"/>
        </w:rPr>
        <w:t xml:space="preserve">thirds of </w:t>
      </w:r>
      <w:r w:rsidR="00E4588C">
        <w:rPr>
          <w:rFonts w:ascii="Verdana" w:hAnsi="Verdana" w:cs="Times New Roman"/>
        </w:rPr>
        <w:t>those affected</w:t>
      </w:r>
      <w:r w:rsidRPr="00106A79">
        <w:rPr>
          <w:rFonts w:ascii="Verdana" w:hAnsi="Verdana" w:cs="Times New Roman"/>
        </w:rPr>
        <w:t xml:space="preserve"> </w:t>
      </w:r>
      <w:r w:rsidR="00A53234">
        <w:rPr>
          <w:rFonts w:ascii="Verdana" w:hAnsi="Verdana" w:cs="Times New Roman"/>
        </w:rPr>
        <w:lastRenderedPageBreak/>
        <w:t>experienced</w:t>
      </w:r>
      <w:r w:rsidRPr="00106A79">
        <w:rPr>
          <w:rFonts w:ascii="Verdana" w:hAnsi="Verdana" w:cs="Times New Roman"/>
        </w:rPr>
        <w:t xml:space="preserve"> moderate to extreme interference with</w:t>
      </w:r>
      <w:r w:rsidR="00447FCD" w:rsidRPr="00106A79">
        <w:rPr>
          <w:rFonts w:ascii="Verdana" w:hAnsi="Verdana" w:cs="Times New Roman"/>
        </w:rPr>
        <w:t xml:space="preserve"> their</w:t>
      </w:r>
      <w:r w:rsidRPr="00106A79">
        <w:rPr>
          <w:rFonts w:ascii="Verdana" w:hAnsi="Verdana" w:cs="Times New Roman"/>
        </w:rPr>
        <w:t xml:space="preserve"> work and household duties. </w:t>
      </w:r>
    </w:p>
    <w:p w14:paraId="6D370AD3" w14:textId="77777777" w:rsidR="00C55ADB" w:rsidRDefault="00C55ADB" w:rsidP="00106A79">
      <w:pPr>
        <w:spacing w:line="480" w:lineRule="auto"/>
        <w:rPr>
          <w:rFonts w:ascii="Verdana" w:hAnsi="Verdana" w:cs="Times New Roman"/>
        </w:rPr>
      </w:pPr>
    </w:p>
    <w:p w14:paraId="70BAF6F6" w14:textId="5C1CFCBA" w:rsidR="00E812C2" w:rsidRPr="00106A79" w:rsidRDefault="00A53234" w:rsidP="00106A79">
      <w:pPr>
        <w:spacing w:line="480" w:lineRule="auto"/>
        <w:rPr>
          <w:rFonts w:ascii="Verdana" w:hAnsi="Verdana" w:cs="Times New Roman"/>
        </w:rPr>
      </w:pPr>
      <w:r>
        <w:rPr>
          <w:rFonts w:ascii="Verdana" w:hAnsi="Verdana" w:cs="Times New Roman"/>
        </w:rPr>
        <w:t>A</w:t>
      </w:r>
      <w:r w:rsidR="0072714E" w:rsidRPr="00106A79">
        <w:rPr>
          <w:rFonts w:ascii="Verdana" w:hAnsi="Verdana" w:cs="Times New Roman"/>
        </w:rPr>
        <w:t xml:space="preserve">ge is a major risk factor for </w:t>
      </w:r>
      <w:r w:rsidR="00FC7061" w:rsidRPr="00106A79">
        <w:rPr>
          <w:rFonts w:ascii="Verdana" w:hAnsi="Verdana" w:cs="Times New Roman"/>
        </w:rPr>
        <w:t>prevalent</w:t>
      </w:r>
      <w:r w:rsidR="0072714E" w:rsidRPr="00106A79">
        <w:rPr>
          <w:rFonts w:ascii="Verdana" w:hAnsi="Verdana" w:cs="Times New Roman"/>
        </w:rPr>
        <w:t xml:space="preserve"> regional pain. Thus, in a random sample of the Dutch population [</w:t>
      </w:r>
      <w:r w:rsidR="001C1761">
        <w:rPr>
          <w:rFonts w:ascii="Verdana" w:hAnsi="Verdana" w:cs="Times New Roman"/>
        </w:rPr>
        <w:t>6</w:t>
      </w:r>
      <w:r w:rsidR="0072714E" w:rsidRPr="00106A79">
        <w:rPr>
          <w:rFonts w:ascii="Verdana" w:hAnsi="Verdana" w:cs="Times New Roman"/>
        </w:rPr>
        <w:t xml:space="preserve">], pain affecting the elbow, hip, or foot, was about 1.5 times </w:t>
      </w:r>
      <w:r>
        <w:rPr>
          <w:rFonts w:ascii="Verdana" w:hAnsi="Verdana" w:cs="Times New Roman"/>
        </w:rPr>
        <w:t>more common</w:t>
      </w:r>
      <w:r w:rsidRPr="00106A79">
        <w:rPr>
          <w:rFonts w:ascii="Verdana" w:hAnsi="Verdana" w:cs="Times New Roman"/>
        </w:rPr>
        <w:t xml:space="preserve"> </w:t>
      </w:r>
      <w:r w:rsidR="0072714E" w:rsidRPr="00106A79">
        <w:rPr>
          <w:rFonts w:ascii="Verdana" w:hAnsi="Verdana" w:cs="Times New Roman"/>
        </w:rPr>
        <w:t xml:space="preserve">in people aged 45-64 years </w:t>
      </w:r>
      <w:r w:rsidR="00D4680E">
        <w:rPr>
          <w:rFonts w:ascii="Verdana" w:hAnsi="Verdana" w:cs="Times New Roman"/>
        </w:rPr>
        <w:t>than</w:t>
      </w:r>
      <w:r w:rsidR="00D4680E" w:rsidRPr="00106A79">
        <w:rPr>
          <w:rFonts w:ascii="Verdana" w:hAnsi="Verdana" w:cs="Times New Roman"/>
        </w:rPr>
        <w:t xml:space="preserve"> </w:t>
      </w:r>
      <w:r w:rsidR="0072714E" w:rsidRPr="00106A79">
        <w:rPr>
          <w:rFonts w:ascii="Verdana" w:hAnsi="Verdana" w:cs="Times New Roman"/>
        </w:rPr>
        <w:t>in those aged 25</w:t>
      </w:r>
      <w:r w:rsidR="00E812C2" w:rsidRPr="00106A79">
        <w:rPr>
          <w:rFonts w:ascii="Verdana" w:hAnsi="Verdana" w:cs="Times New Roman"/>
        </w:rPr>
        <w:t>-44; in the Quebec Health</w:t>
      </w:r>
      <w:r>
        <w:rPr>
          <w:rFonts w:ascii="Verdana" w:hAnsi="Verdana" w:cs="Times New Roman"/>
        </w:rPr>
        <w:t xml:space="preserve"> </w:t>
      </w:r>
      <w:r w:rsidR="0072714E" w:rsidRPr="00106A79">
        <w:rPr>
          <w:rFonts w:ascii="Verdana" w:hAnsi="Verdana" w:cs="Times New Roman"/>
        </w:rPr>
        <w:t>Survey [</w:t>
      </w:r>
      <w:r w:rsidR="001C1761">
        <w:rPr>
          <w:rFonts w:ascii="Verdana" w:hAnsi="Verdana" w:cs="Times New Roman"/>
        </w:rPr>
        <w:t>7</w:t>
      </w:r>
      <w:r w:rsidR="0072714E" w:rsidRPr="00106A79">
        <w:rPr>
          <w:rFonts w:ascii="Verdana" w:hAnsi="Verdana" w:cs="Times New Roman"/>
        </w:rPr>
        <w:t>], odds of upper extremity pain causing frequent disturbance in work activity were raised by 1.7</w:t>
      </w:r>
      <w:r w:rsidR="00164DA6">
        <w:rPr>
          <w:rFonts w:ascii="Verdana" w:hAnsi="Verdana" w:cs="Times New Roman"/>
        </w:rPr>
        <w:t>-</w:t>
      </w:r>
      <w:r w:rsidR="0072714E" w:rsidRPr="00106A79">
        <w:rPr>
          <w:rFonts w:ascii="Verdana" w:hAnsi="Verdana" w:cs="Times New Roman"/>
        </w:rPr>
        <w:t xml:space="preserve">3.4-fold in </w:t>
      </w:r>
      <w:r>
        <w:rPr>
          <w:rFonts w:ascii="Verdana" w:hAnsi="Verdana" w:cs="Times New Roman"/>
        </w:rPr>
        <w:t>those</w:t>
      </w:r>
      <w:r w:rsidR="0072714E" w:rsidRPr="00106A79">
        <w:rPr>
          <w:rFonts w:ascii="Verdana" w:hAnsi="Verdana" w:cs="Times New Roman"/>
        </w:rPr>
        <w:t xml:space="preserve"> aged </w:t>
      </w:r>
      <w:r w:rsidR="0072714E" w:rsidRPr="00106A79">
        <w:rPr>
          <w:rFonts w:ascii="Verdana" w:hAnsi="Verdana" w:cs="Times New Roman"/>
          <w:u w:val="single"/>
        </w:rPr>
        <w:t>&gt;</w:t>
      </w:r>
      <w:r w:rsidR="0072714E" w:rsidRPr="00106A79">
        <w:rPr>
          <w:rFonts w:ascii="Verdana" w:hAnsi="Verdana" w:cs="Times New Roman"/>
        </w:rPr>
        <w:t xml:space="preserve">50 vs. 18-24 years; in a survey of over 4,000 adults </w:t>
      </w:r>
      <w:r w:rsidR="00164DA6">
        <w:rPr>
          <w:rFonts w:ascii="Verdana" w:hAnsi="Verdana" w:cs="Times New Roman"/>
        </w:rPr>
        <w:t>from</w:t>
      </w:r>
      <w:r w:rsidR="0072714E" w:rsidRPr="00106A79">
        <w:rPr>
          <w:rFonts w:ascii="Verdana" w:hAnsi="Verdana" w:cs="Times New Roman"/>
        </w:rPr>
        <w:t xml:space="preserve"> 16 British general practices [</w:t>
      </w:r>
      <w:r w:rsidR="001C1761">
        <w:rPr>
          <w:rFonts w:ascii="Verdana" w:hAnsi="Verdana" w:cs="Times New Roman"/>
        </w:rPr>
        <w:t>8</w:t>
      </w:r>
      <w:r w:rsidR="0072714E" w:rsidRPr="00106A79">
        <w:rPr>
          <w:rFonts w:ascii="Verdana" w:hAnsi="Verdana" w:cs="Times New Roman"/>
        </w:rPr>
        <w:t xml:space="preserve">], pain lasting for </w:t>
      </w:r>
      <w:r w:rsidRPr="00E14159">
        <w:rPr>
          <w:rFonts w:ascii="Verdana" w:hAnsi="Verdana" w:cs="Times New Roman"/>
          <w:u w:val="single"/>
        </w:rPr>
        <w:t>&gt;</w:t>
      </w:r>
      <w:r w:rsidR="0072714E" w:rsidRPr="00106A79">
        <w:rPr>
          <w:rFonts w:ascii="Verdana" w:hAnsi="Verdana" w:cs="Times New Roman"/>
        </w:rPr>
        <w:t>3 months and ‘highly disabling or severely limiting’  affected 10% of 55-64 year</w:t>
      </w:r>
      <w:r w:rsidR="00164DA6">
        <w:rPr>
          <w:rFonts w:ascii="Verdana" w:hAnsi="Verdana" w:cs="Times New Roman"/>
        </w:rPr>
        <w:t>-old</w:t>
      </w:r>
      <w:r w:rsidR="0072714E" w:rsidRPr="00106A79">
        <w:rPr>
          <w:rFonts w:ascii="Verdana" w:hAnsi="Verdana" w:cs="Times New Roman"/>
        </w:rPr>
        <w:t xml:space="preserve"> but was rare in young adults</w:t>
      </w:r>
      <w:r w:rsidR="00C55ADB">
        <w:rPr>
          <w:rFonts w:ascii="Verdana" w:hAnsi="Verdana" w:cs="Times New Roman"/>
        </w:rPr>
        <w:t>;</w:t>
      </w:r>
      <w:r w:rsidR="00E812C2" w:rsidRPr="00106A79">
        <w:rPr>
          <w:rFonts w:ascii="Verdana" w:hAnsi="Verdana" w:cs="Times New Roman"/>
        </w:rPr>
        <w:t xml:space="preserve"> </w:t>
      </w:r>
      <w:r w:rsidR="00D4680E">
        <w:rPr>
          <w:rFonts w:ascii="Verdana" w:hAnsi="Verdana" w:cs="Times New Roman"/>
        </w:rPr>
        <w:t xml:space="preserve">and </w:t>
      </w:r>
      <w:r w:rsidR="00C55ADB">
        <w:rPr>
          <w:rFonts w:ascii="Verdana" w:hAnsi="Verdana" w:cs="Times New Roman"/>
        </w:rPr>
        <w:t>i</w:t>
      </w:r>
      <w:r w:rsidR="00E812C2" w:rsidRPr="00106A79">
        <w:rPr>
          <w:rFonts w:ascii="Verdana" w:hAnsi="Verdana" w:cs="Times New Roman"/>
        </w:rPr>
        <w:t xml:space="preserve">n a  sample drawn from 40 </w:t>
      </w:r>
      <w:r w:rsidRPr="00106A79">
        <w:rPr>
          <w:rFonts w:ascii="Verdana" w:hAnsi="Verdana" w:cs="Times New Roman"/>
        </w:rPr>
        <w:t xml:space="preserve">British </w:t>
      </w:r>
      <w:r w:rsidR="00E812C2" w:rsidRPr="00106A79">
        <w:rPr>
          <w:rFonts w:ascii="Verdana" w:hAnsi="Verdana" w:cs="Times New Roman"/>
        </w:rPr>
        <w:t>general practices, sciatica was 5-8 times more common in people age 55-65 than in those aged 16-24 [</w:t>
      </w:r>
      <w:r w:rsidR="00C27045">
        <w:rPr>
          <w:rFonts w:ascii="Verdana" w:hAnsi="Verdana" w:cs="Times New Roman"/>
        </w:rPr>
        <w:t>9</w:t>
      </w:r>
      <w:r w:rsidR="00E812C2" w:rsidRPr="00106A79">
        <w:rPr>
          <w:rFonts w:ascii="Verdana" w:hAnsi="Verdana" w:cs="Times New Roman"/>
        </w:rPr>
        <w:t>].</w:t>
      </w:r>
    </w:p>
    <w:p w14:paraId="4FA12863" w14:textId="77777777" w:rsidR="00E812C2" w:rsidRPr="00106A79" w:rsidRDefault="00E812C2" w:rsidP="00106A79">
      <w:pPr>
        <w:spacing w:line="480" w:lineRule="auto"/>
        <w:rPr>
          <w:rFonts w:ascii="Verdana" w:hAnsi="Verdana" w:cs="Times New Roman"/>
        </w:rPr>
      </w:pPr>
    </w:p>
    <w:p w14:paraId="749742E4" w14:textId="0777C7E9" w:rsidR="00E812C2" w:rsidRPr="00106A79" w:rsidRDefault="0072714E" w:rsidP="00106A79">
      <w:pPr>
        <w:spacing w:line="480" w:lineRule="auto"/>
        <w:rPr>
          <w:rFonts w:ascii="Verdana" w:hAnsi="Verdana" w:cs="Times New Roman"/>
        </w:rPr>
      </w:pPr>
      <w:r w:rsidRPr="00106A79">
        <w:rPr>
          <w:rFonts w:ascii="Verdana" w:hAnsi="Verdana" w:cs="Times New Roman"/>
        </w:rPr>
        <w:t>For</w:t>
      </w:r>
      <w:r w:rsidR="00E812C2" w:rsidRPr="00106A79">
        <w:rPr>
          <w:rFonts w:ascii="Verdana" w:hAnsi="Verdana" w:cs="Times New Roman"/>
        </w:rPr>
        <w:t xml:space="preserve"> uncomplicated</w:t>
      </w:r>
      <w:r w:rsidRPr="00106A79">
        <w:rPr>
          <w:rFonts w:ascii="Verdana" w:hAnsi="Verdana" w:cs="Times New Roman"/>
        </w:rPr>
        <w:t xml:space="preserve"> </w:t>
      </w:r>
      <w:r w:rsidR="00A76B67">
        <w:rPr>
          <w:rFonts w:ascii="Verdana" w:hAnsi="Verdana" w:cs="Times New Roman"/>
        </w:rPr>
        <w:t>LBP</w:t>
      </w:r>
      <w:r w:rsidRPr="00106A79">
        <w:rPr>
          <w:rFonts w:ascii="Verdana" w:hAnsi="Verdana" w:cs="Times New Roman"/>
        </w:rPr>
        <w:t xml:space="preserve"> the trend with age is somewhat flatter and less consistent. Many studies have found a moderate age-related rise, peaking and flattening off in the second half of working life; but some </w:t>
      </w:r>
      <w:r w:rsidR="007A58D7" w:rsidRPr="00106A79">
        <w:rPr>
          <w:rFonts w:ascii="Verdana" w:hAnsi="Verdana" w:cs="Times New Roman"/>
        </w:rPr>
        <w:t xml:space="preserve">have found </w:t>
      </w:r>
      <w:r w:rsidRPr="00106A79">
        <w:rPr>
          <w:rFonts w:ascii="Verdana" w:hAnsi="Verdana" w:cs="Times New Roman"/>
        </w:rPr>
        <w:t>little relation</w:t>
      </w:r>
      <w:r w:rsidR="00A76B67">
        <w:rPr>
          <w:rFonts w:ascii="Verdana" w:hAnsi="Verdana" w:cs="Times New Roman"/>
        </w:rPr>
        <w:t>.</w:t>
      </w:r>
      <w:r w:rsidRPr="00106A79">
        <w:rPr>
          <w:rFonts w:ascii="Verdana" w:hAnsi="Verdana" w:cs="Times New Roman"/>
        </w:rPr>
        <w:t xml:space="preserve"> </w:t>
      </w:r>
      <w:r w:rsidR="00A76B67">
        <w:rPr>
          <w:rFonts w:ascii="Verdana" w:hAnsi="Verdana" w:cs="Times New Roman"/>
        </w:rPr>
        <w:t>I</w:t>
      </w:r>
      <w:r w:rsidRPr="00106A79">
        <w:rPr>
          <w:rFonts w:ascii="Verdana" w:hAnsi="Verdana" w:cs="Times New Roman"/>
        </w:rPr>
        <w:t>n a review of 22 such investigations [</w:t>
      </w:r>
      <w:r w:rsidR="00C27045">
        <w:rPr>
          <w:rFonts w:ascii="Verdana" w:hAnsi="Verdana" w:cs="Times New Roman"/>
        </w:rPr>
        <w:t>10</w:t>
      </w:r>
      <w:r w:rsidRPr="00106A79">
        <w:rPr>
          <w:rFonts w:ascii="Verdana" w:hAnsi="Verdana" w:cs="Times New Roman"/>
        </w:rPr>
        <w:t xml:space="preserve">], </w:t>
      </w:r>
      <w:r w:rsidR="00A76B67">
        <w:rPr>
          <w:rFonts w:ascii="Verdana" w:hAnsi="Verdana" w:cs="Times New Roman"/>
        </w:rPr>
        <w:t>&lt;50%</w:t>
      </w:r>
      <w:r w:rsidRPr="00106A79">
        <w:rPr>
          <w:rFonts w:ascii="Verdana" w:hAnsi="Verdana" w:cs="Times New Roman"/>
        </w:rPr>
        <w:t xml:space="preserve"> had reported a positive association. </w:t>
      </w:r>
      <w:r w:rsidR="002253BA" w:rsidRPr="00106A79">
        <w:rPr>
          <w:rFonts w:ascii="Verdana" w:hAnsi="Verdana" w:cs="Times New Roman"/>
        </w:rPr>
        <w:t xml:space="preserve">However, even in </w:t>
      </w:r>
      <w:r w:rsidR="00A76B67">
        <w:rPr>
          <w:rFonts w:ascii="Verdana" w:hAnsi="Verdana" w:cs="Times New Roman"/>
        </w:rPr>
        <w:t>LBP</w:t>
      </w:r>
      <w:r w:rsidR="002253BA" w:rsidRPr="00106A79">
        <w:rPr>
          <w:rFonts w:ascii="Verdana" w:hAnsi="Verdana" w:cs="Times New Roman"/>
        </w:rPr>
        <w:t xml:space="preserve">, </w:t>
      </w:r>
      <w:r w:rsidRPr="00106A79">
        <w:rPr>
          <w:rFonts w:ascii="Verdana" w:hAnsi="Verdana" w:cs="Times New Roman"/>
        </w:rPr>
        <w:t>there is a general if moderate tendency for disabling effects to become common</w:t>
      </w:r>
      <w:r w:rsidR="00A76B67">
        <w:rPr>
          <w:rFonts w:ascii="Verdana" w:hAnsi="Verdana" w:cs="Times New Roman"/>
        </w:rPr>
        <w:t>er</w:t>
      </w:r>
      <w:r w:rsidRPr="00106A79">
        <w:rPr>
          <w:rFonts w:ascii="Verdana" w:hAnsi="Verdana" w:cs="Times New Roman"/>
        </w:rPr>
        <w:t xml:space="preserve"> at older ages. </w:t>
      </w:r>
      <w:r w:rsidR="00A76B67">
        <w:rPr>
          <w:rFonts w:ascii="Verdana" w:hAnsi="Verdana" w:cs="Times New Roman"/>
        </w:rPr>
        <w:t>I</w:t>
      </w:r>
      <w:r w:rsidRPr="00106A79">
        <w:rPr>
          <w:rFonts w:ascii="Verdana" w:hAnsi="Verdana" w:cs="Times New Roman"/>
        </w:rPr>
        <w:t>n the CUPID study</w:t>
      </w:r>
      <w:r w:rsidR="007A58D7" w:rsidRPr="00106A79">
        <w:rPr>
          <w:rFonts w:ascii="Verdana" w:hAnsi="Verdana" w:cs="Times New Roman"/>
        </w:rPr>
        <w:t xml:space="preserve"> [</w:t>
      </w:r>
      <w:r w:rsidR="00C27045">
        <w:rPr>
          <w:rFonts w:ascii="Verdana" w:hAnsi="Verdana" w:cs="Times New Roman"/>
        </w:rPr>
        <w:t>11</w:t>
      </w:r>
      <w:r w:rsidR="007A58D7" w:rsidRPr="00106A79">
        <w:rPr>
          <w:rFonts w:ascii="Verdana" w:hAnsi="Verdana" w:cs="Times New Roman"/>
        </w:rPr>
        <w:t>]</w:t>
      </w:r>
      <w:r w:rsidRPr="00106A79">
        <w:rPr>
          <w:rFonts w:ascii="Verdana" w:hAnsi="Verdana" w:cs="Times New Roman"/>
        </w:rPr>
        <w:t xml:space="preserve">, comprising </w:t>
      </w:r>
      <w:r w:rsidR="00A76B67">
        <w:rPr>
          <w:rFonts w:ascii="Verdana" w:hAnsi="Verdana" w:cs="Times New Roman"/>
        </w:rPr>
        <w:t>&gt;</w:t>
      </w:r>
      <w:r w:rsidRPr="00106A79">
        <w:rPr>
          <w:rFonts w:ascii="Verdana" w:hAnsi="Verdana" w:cs="Times New Roman"/>
        </w:rPr>
        <w:t xml:space="preserve">12,000 workers across 47 occupational groups from 18 countries, disabling </w:t>
      </w:r>
      <w:r w:rsidR="00A76B67">
        <w:rPr>
          <w:rFonts w:ascii="Verdana" w:hAnsi="Verdana" w:cs="Times New Roman"/>
        </w:rPr>
        <w:t>LBP</w:t>
      </w:r>
      <w:r w:rsidRPr="00106A79">
        <w:rPr>
          <w:rFonts w:ascii="Verdana" w:hAnsi="Verdana" w:cs="Times New Roman"/>
        </w:rPr>
        <w:t xml:space="preserve"> was 55% </w:t>
      </w:r>
      <w:r w:rsidR="00F176DE">
        <w:rPr>
          <w:rFonts w:ascii="Verdana" w:hAnsi="Verdana" w:cs="Times New Roman"/>
        </w:rPr>
        <w:t>more prevalent</w:t>
      </w:r>
      <w:r w:rsidR="00F176DE" w:rsidRPr="00106A79">
        <w:rPr>
          <w:rFonts w:ascii="Verdana" w:hAnsi="Verdana" w:cs="Times New Roman"/>
        </w:rPr>
        <w:t xml:space="preserve"> </w:t>
      </w:r>
      <w:r w:rsidR="00F176DE">
        <w:rPr>
          <w:rFonts w:ascii="Verdana" w:hAnsi="Verdana" w:cs="Times New Roman"/>
        </w:rPr>
        <w:t>at</w:t>
      </w:r>
      <w:r w:rsidR="00F176DE" w:rsidRPr="00106A79">
        <w:rPr>
          <w:rFonts w:ascii="Verdana" w:hAnsi="Verdana" w:cs="Times New Roman"/>
        </w:rPr>
        <w:t xml:space="preserve"> </w:t>
      </w:r>
      <w:r w:rsidRPr="00106A79">
        <w:rPr>
          <w:rFonts w:ascii="Verdana" w:hAnsi="Verdana" w:cs="Times New Roman"/>
        </w:rPr>
        <w:t xml:space="preserve">50-59 </w:t>
      </w:r>
      <w:r w:rsidR="00F176DE">
        <w:rPr>
          <w:rFonts w:ascii="Verdana" w:hAnsi="Verdana" w:cs="Times New Roman"/>
        </w:rPr>
        <w:t>than at</w:t>
      </w:r>
      <w:r w:rsidRPr="00106A79">
        <w:rPr>
          <w:rFonts w:ascii="Verdana" w:hAnsi="Verdana" w:cs="Times New Roman"/>
        </w:rPr>
        <w:t xml:space="preserve"> 20-29 years; and in a </w:t>
      </w:r>
      <w:r w:rsidR="00A76B67" w:rsidRPr="00106A79">
        <w:rPr>
          <w:rFonts w:ascii="Verdana" w:hAnsi="Verdana" w:cs="Times New Roman"/>
        </w:rPr>
        <w:t xml:space="preserve">British </w:t>
      </w:r>
      <w:r w:rsidRPr="00106A79">
        <w:rPr>
          <w:rFonts w:ascii="Verdana" w:hAnsi="Verdana" w:cs="Times New Roman"/>
        </w:rPr>
        <w:t>population survey [</w:t>
      </w:r>
      <w:r w:rsidR="00C27045">
        <w:rPr>
          <w:rFonts w:ascii="Verdana" w:hAnsi="Verdana" w:cs="Times New Roman"/>
        </w:rPr>
        <w:t>12</w:t>
      </w:r>
      <w:r w:rsidRPr="00106A79">
        <w:rPr>
          <w:rFonts w:ascii="Verdana" w:hAnsi="Verdana" w:cs="Times New Roman"/>
        </w:rPr>
        <w:t>], the 12-month prevalence of</w:t>
      </w:r>
      <w:r w:rsidR="00F176DE">
        <w:rPr>
          <w:rFonts w:ascii="Verdana" w:hAnsi="Verdana" w:cs="Times New Roman"/>
        </w:rPr>
        <w:t xml:space="preserve"> troublesome</w:t>
      </w:r>
      <w:r w:rsidRPr="00106A79">
        <w:rPr>
          <w:rFonts w:ascii="Verdana" w:hAnsi="Verdana" w:cs="Times New Roman"/>
        </w:rPr>
        <w:t xml:space="preserve"> </w:t>
      </w:r>
      <w:r w:rsidR="00A76B67">
        <w:rPr>
          <w:rFonts w:ascii="Verdana" w:hAnsi="Verdana" w:cs="Times New Roman"/>
        </w:rPr>
        <w:t>LBP</w:t>
      </w:r>
      <w:r w:rsidRPr="00106A79">
        <w:rPr>
          <w:rFonts w:ascii="Verdana" w:hAnsi="Verdana" w:cs="Times New Roman"/>
        </w:rPr>
        <w:t xml:space="preserve"> </w:t>
      </w:r>
      <w:r w:rsidR="00F176DE">
        <w:rPr>
          <w:rFonts w:ascii="Verdana" w:hAnsi="Verdana" w:cs="Times New Roman"/>
        </w:rPr>
        <w:t xml:space="preserve">was </w:t>
      </w:r>
      <w:r w:rsidR="00164DA6">
        <w:rPr>
          <w:rFonts w:ascii="Verdana" w:hAnsi="Verdana" w:cs="Times New Roman"/>
        </w:rPr>
        <w:t>roughly doubled</w:t>
      </w:r>
      <w:r w:rsidRPr="00106A79">
        <w:rPr>
          <w:rFonts w:ascii="Verdana" w:hAnsi="Verdana" w:cs="Times New Roman"/>
        </w:rPr>
        <w:t xml:space="preserve"> in a</w:t>
      </w:r>
      <w:r w:rsidR="00164DA6">
        <w:rPr>
          <w:rFonts w:ascii="Verdana" w:hAnsi="Verdana" w:cs="Times New Roman"/>
        </w:rPr>
        <w:t xml:space="preserve"> similar age</w:t>
      </w:r>
      <w:r w:rsidRPr="00106A79">
        <w:rPr>
          <w:rFonts w:ascii="Verdana" w:hAnsi="Verdana" w:cs="Times New Roman"/>
        </w:rPr>
        <w:t xml:space="preserve"> comparison.</w:t>
      </w:r>
    </w:p>
    <w:p w14:paraId="69EE185E" w14:textId="77777777" w:rsidR="004E5684" w:rsidRPr="00106A79" w:rsidRDefault="004E5684" w:rsidP="00106A79">
      <w:pPr>
        <w:spacing w:line="480" w:lineRule="auto"/>
        <w:rPr>
          <w:rFonts w:ascii="Verdana" w:hAnsi="Verdana" w:cs="Times New Roman"/>
        </w:rPr>
      </w:pPr>
    </w:p>
    <w:p w14:paraId="4FA86060" w14:textId="2359CDA4" w:rsidR="00966FC5" w:rsidRPr="00106A79" w:rsidRDefault="004E5684" w:rsidP="00106A79">
      <w:pPr>
        <w:spacing w:line="480" w:lineRule="auto"/>
        <w:rPr>
          <w:rFonts w:ascii="Verdana" w:hAnsi="Verdana" w:cs="Times New Roman"/>
        </w:rPr>
      </w:pPr>
      <w:r w:rsidRPr="00106A79">
        <w:rPr>
          <w:rFonts w:ascii="Verdana" w:hAnsi="Verdana" w:cs="Times New Roman"/>
        </w:rPr>
        <w:lastRenderedPageBreak/>
        <w:t xml:space="preserve">The prevalence of disabling pain varies markedly by country and setting, even among workers doing jobs </w:t>
      </w:r>
      <w:r w:rsidR="00164DA6">
        <w:rPr>
          <w:rFonts w:ascii="Verdana" w:hAnsi="Verdana" w:cs="Times New Roman"/>
        </w:rPr>
        <w:t>with</w:t>
      </w:r>
      <w:r w:rsidR="00164DA6" w:rsidRPr="00106A79">
        <w:rPr>
          <w:rFonts w:ascii="Verdana" w:hAnsi="Verdana" w:cs="Times New Roman"/>
        </w:rPr>
        <w:t xml:space="preserve"> </w:t>
      </w:r>
      <w:r w:rsidRPr="00106A79">
        <w:rPr>
          <w:rFonts w:ascii="Verdana" w:hAnsi="Verdana" w:cs="Times New Roman"/>
        </w:rPr>
        <w:t xml:space="preserve">similar physical </w:t>
      </w:r>
      <w:r w:rsidR="00164DA6">
        <w:rPr>
          <w:rFonts w:ascii="Verdana" w:hAnsi="Verdana" w:cs="Times New Roman"/>
        </w:rPr>
        <w:t>exposures</w:t>
      </w:r>
      <w:r w:rsidRPr="00106A79">
        <w:rPr>
          <w:rFonts w:ascii="Verdana" w:hAnsi="Verdana" w:cs="Times New Roman"/>
        </w:rPr>
        <w:t>. Figure 1 illustrates the variation, for example, in 1-month prevalence of disabling</w:t>
      </w:r>
      <w:r w:rsidR="00A76B67">
        <w:rPr>
          <w:rFonts w:ascii="Verdana" w:hAnsi="Verdana" w:cs="Times New Roman"/>
        </w:rPr>
        <w:t xml:space="preserve"> LBP and wrist</w:t>
      </w:r>
      <w:r w:rsidR="00D4680E">
        <w:rPr>
          <w:rFonts w:ascii="Verdana" w:hAnsi="Verdana" w:cs="Times New Roman"/>
        </w:rPr>
        <w:t>/hand</w:t>
      </w:r>
      <w:r w:rsidRPr="00106A79">
        <w:rPr>
          <w:rFonts w:ascii="Verdana" w:hAnsi="Verdana" w:cs="Times New Roman"/>
        </w:rPr>
        <w:t xml:space="preserve"> pain among 40-59 year</w:t>
      </w:r>
      <w:r w:rsidR="00A76B67">
        <w:rPr>
          <w:rFonts w:ascii="Verdana" w:hAnsi="Verdana" w:cs="Times New Roman"/>
        </w:rPr>
        <w:t>-olds</w:t>
      </w:r>
      <w:r w:rsidRPr="00106A79">
        <w:rPr>
          <w:rFonts w:ascii="Verdana" w:hAnsi="Verdana" w:cs="Times New Roman"/>
        </w:rPr>
        <w:t xml:space="preserve"> from the occupations and countries of the CUPID study</w:t>
      </w:r>
      <w:r w:rsidR="007A58D7" w:rsidRPr="00106A79">
        <w:rPr>
          <w:rFonts w:ascii="Verdana" w:hAnsi="Verdana" w:cs="Times New Roman"/>
        </w:rPr>
        <w:t xml:space="preserve"> [</w:t>
      </w:r>
      <w:r w:rsidR="00C27045">
        <w:rPr>
          <w:rFonts w:ascii="Verdana" w:hAnsi="Verdana" w:cs="Times New Roman"/>
        </w:rPr>
        <w:t>1</w:t>
      </w:r>
      <w:r w:rsidR="008B5144">
        <w:rPr>
          <w:rFonts w:ascii="Verdana" w:hAnsi="Verdana" w:cs="Times New Roman"/>
        </w:rPr>
        <w:t>1</w:t>
      </w:r>
      <w:r w:rsidR="007A58D7" w:rsidRPr="00106A79">
        <w:rPr>
          <w:rFonts w:ascii="Verdana" w:hAnsi="Verdana" w:cs="Times New Roman"/>
        </w:rPr>
        <w:t>]</w:t>
      </w:r>
      <w:r w:rsidRPr="00106A79">
        <w:rPr>
          <w:rFonts w:ascii="Verdana" w:hAnsi="Verdana" w:cs="Times New Roman"/>
        </w:rPr>
        <w:t>. Such variation indicates that report of disability depends importantly on factors other than th</w:t>
      </w:r>
      <w:r w:rsidR="007A58D7" w:rsidRPr="00106A79">
        <w:rPr>
          <w:rFonts w:ascii="Verdana" w:hAnsi="Verdana" w:cs="Times New Roman"/>
        </w:rPr>
        <w:t xml:space="preserve">e </w:t>
      </w:r>
      <w:r w:rsidR="00164DA6">
        <w:rPr>
          <w:rFonts w:ascii="Verdana" w:hAnsi="Verdana" w:cs="Times New Roman"/>
        </w:rPr>
        <w:t>work</w:t>
      </w:r>
      <w:r w:rsidR="007A58D7" w:rsidRPr="00106A79">
        <w:rPr>
          <w:rFonts w:ascii="Verdana" w:hAnsi="Verdana" w:cs="Times New Roman"/>
        </w:rPr>
        <w:t xml:space="preserve"> environment</w:t>
      </w:r>
      <w:r w:rsidR="00A42923">
        <w:rPr>
          <w:rFonts w:ascii="Verdana" w:hAnsi="Verdana" w:cs="Times New Roman"/>
        </w:rPr>
        <w:t xml:space="preserve"> (see also </w:t>
      </w:r>
      <w:r w:rsidRPr="00106A79">
        <w:rPr>
          <w:rFonts w:ascii="Verdana" w:hAnsi="Verdana" w:cs="Times New Roman"/>
        </w:rPr>
        <w:t xml:space="preserve">Chapter </w:t>
      </w:r>
      <w:r w:rsidR="006634BF" w:rsidRPr="00106A79">
        <w:rPr>
          <w:rFonts w:ascii="Verdana" w:hAnsi="Verdana" w:cs="Times New Roman"/>
        </w:rPr>
        <w:t>3</w:t>
      </w:r>
      <w:r w:rsidR="00A42923">
        <w:rPr>
          <w:rFonts w:ascii="Verdana" w:hAnsi="Verdana" w:cs="Times New Roman"/>
        </w:rPr>
        <w:t>).</w:t>
      </w:r>
      <w:r w:rsidR="00FC7061" w:rsidRPr="00106A79">
        <w:rPr>
          <w:rFonts w:ascii="Verdana" w:hAnsi="Verdana" w:cs="Times New Roman"/>
        </w:rPr>
        <w:t xml:space="preserve"> </w:t>
      </w:r>
    </w:p>
    <w:p w14:paraId="0986166C" w14:textId="77777777" w:rsidR="008F290F" w:rsidRDefault="008F290F" w:rsidP="00106A79">
      <w:pPr>
        <w:spacing w:line="480" w:lineRule="auto"/>
        <w:rPr>
          <w:rFonts w:ascii="Verdana" w:hAnsi="Verdana" w:cs="Times New Roman"/>
        </w:rPr>
      </w:pPr>
    </w:p>
    <w:p w14:paraId="7816F503" w14:textId="4EE7EADE" w:rsidR="00BF6A94" w:rsidRPr="00106A79" w:rsidRDefault="002A712D" w:rsidP="00106A79">
      <w:pPr>
        <w:spacing w:line="480" w:lineRule="auto"/>
        <w:rPr>
          <w:rFonts w:ascii="Verdana" w:hAnsi="Verdana" w:cs="Times New Roman"/>
        </w:rPr>
      </w:pPr>
      <w:r w:rsidRPr="00106A79">
        <w:rPr>
          <w:rFonts w:ascii="Verdana" w:hAnsi="Verdana" w:cs="Times New Roman"/>
        </w:rPr>
        <w:t>Women are more likely than men to report pain</w:t>
      </w:r>
      <w:r w:rsidR="002F0B9C">
        <w:rPr>
          <w:rFonts w:ascii="Verdana" w:hAnsi="Verdana" w:cs="Times New Roman"/>
        </w:rPr>
        <w:t xml:space="preserve"> which they attribute to work</w:t>
      </w:r>
      <w:r w:rsidR="00EA3B9F">
        <w:rPr>
          <w:rFonts w:ascii="Verdana" w:hAnsi="Verdana" w:cs="Times New Roman"/>
        </w:rPr>
        <w:t xml:space="preserve">, for reasons that have </w:t>
      </w:r>
      <w:r w:rsidR="00EA3B9F" w:rsidRPr="00106A79">
        <w:rPr>
          <w:rFonts w:ascii="Verdana" w:hAnsi="Verdana" w:cs="Times New Roman"/>
        </w:rPr>
        <w:t>been</w:t>
      </w:r>
      <w:r w:rsidR="00EA3B9F">
        <w:rPr>
          <w:rFonts w:ascii="Verdana" w:hAnsi="Verdana" w:cs="Times New Roman"/>
        </w:rPr>
        <w:t xml:space="preserve"> much</w:t>
      </w:r>
      <w:r w:rsidR="00EA3B9F" w:rsidRPr="00106A79">
        <w:rPr>
          <w:rFonts w:ascii="Verdana" w:hAnsi="Verdana" w:cs="Times New Roman"/>
        </w:rPr>
        <w:t xml:space="preserve"> debated </w:t>
      </w:r>
      <w:r w:rsidRPr="00106A79">
        <w:rPr>
          <w:rFonts w:ascii="Verdana" w:hAnsi="Verdana" w:cs="Times New Roman"/>
        </w:rPr>
        <w:t>[</w:t>
      </w:r>
      <w:r w:rsidR="00C27045">
        <w:rPr>
          <w:rFonts w:ascii="Verdana" w:hAnsi="Verdana" w:cs="Times New Roman"/>
        </w:rPr>
        <w:t>13</w:t>
      </w:r>
      <w:r w:rsidRPr="00106A79">
        <w:rPr>
          <w:rFonts w:ascii="Verdana" w:hAnsi="Verdana" w:cs="Times New Roman"/>
        </w:rPr>
        <w:t xml:space="preserve">]. </w:t>
      </w:r>
      <w:r w:rsidR="00EA3B9F">
        <w:rPr>
          <w:rFonts w:ascii="Verdana" w:hAnsi="Verdana" w:cs="Times New Roman"/>
        </w:rPr>
        <w:t>The</w:t>
      </w:r>
      <w:r w:rsidRPr="00106A79">
        <w:rPr>
          <w:rFonts w:ascii="Verdana" w:hAnsi="Verdana" w:cs="Times New Roman"/>
        </w:rPr>
        <w:t xml:space="preserve"> impact</w:t>
      </w:r>
      <w:r w:rsidR="00EA3B9F">
        <w:rPr>
          <w:rFonts w:ascii="Verdana" w:hAnsi="Verdana" w:cs="Times New Roman"/>
        </w:rPr>
        <w:t xml:space="preserve"> of this</w:t>
      </w:r>
      <w:r w:rsidR="006B09E2" w:rsidRPr="00106A79">
        <w:rPr>
          <w:rFonts w:ascii="Verdana" w:hAnsi="Verdana" w:cs="Times New Roman"/>
        </w:rPr>
        <w:t xml:space="preserve"> </w:t>
      </w:r>
      <w:r w:rsidRPr="00106A79">
        <w:rPr>
          <w:rFonts w:ascii="Verdana" w:hAnsi="Verdana" w:cs="Times New Roman"/>
        </w:rPr>
        <w:t>on work capacity may be grow</w:t>
      </w:r>
      <w:r w:rsidR="006B09E2" w:rsidRPr="00106A79">
        <w:rPr>
          <w:rFonts w:ascii="Verdana" w:hAnsi="Verdana" w:cs="Times New Roman"/>
        </w:rPr>
        <w:t>ing</w:t>
      </w:r>
      <w:r w:rsidR="00956C16" w:rsidRPr="00106A79">
        <w:rPr>
          <w:rFonts w:ascii="Verdana" w:hAnsi="Verdana" w:cs="Times New Roman"/>
        </w:rPr>
        <w:t>,</w:t>
      </w:r>
      <w:r w:rsidRPr="00106A79">
        <w:rPr>
          <w:rFonts w:ascii="Verdana" w:hAnsi="Verdana" w:cs="Times New Roman"/>
        </w:rPr>
        <w:t xml:space="preserve"> </w:t>
      </w:r>
      <w:r w:rsidR="00EA3B9F">
        <w:rPr>
          <w:rFonts w:ascii="Verdana" w:hAnsi="Verdana" w:cs="Times New Roman"/>
        </w:rPr>
        <w:t>since</w:t>
      </w:r>
      <w:r w:rsidRPr="00106A79">
        <w:rPr>
          <w:rFonts w:ascii="Verdana" w:hAnsi="Verdana" w:cs="Times New Roman"/>
        </w:rPr>
        <w:t xml:space="preserve"> </w:t>
      </w:r>
      <w:r w:rsidR="00A76B67">
        <w:rPr>
          <w:rFonts w:ascii="Verdana" w:hAnsi="Verdana" w:cs="Times New Roman"/>
        </w:rPr>
        <w:t>more women work nowadays and</w:t>
      </w:r>
      <w:r w:rsidR="00956C16" w:rsidRPr="00106A79">
        <w:rPr>
          <w:rFonts w:ascii="Verdana" w:hAnsi="Verdana" w:cs="Times New Roman"/>
        </w:rPr>
        <w:t xml:space="preserve"> most</w:t>
      </w:r>
      <w:r w:rsidR="00A76B67">
        <w:rPr>
          <w:rFonts w:ascii="Verdana" w:hAnsi="Verdana" w:cs="Times New Roman"/>
        </w:rPr>
        <w:t xml:space="preserve"> of this growth</w:t>
      </w:r>
      <w:r w:rsidRPr="00106A79">
        <w:rPr>
          <w:rFonts w:ascii="Verdana" w:hAnsi="Verdana" w:cs="Times New Roman"/>
        </w:rPr>
        <w:t xml:space="preserve"> </w:t>
      </w:r>
      <w:r w:rsidR="00EA3B9F">
        <w:rPr>
          <w:rFonts w:ascii="Verdana" w:hAnsi="Verdana" w:cs="Times New Roman"/>
        </w:rPr>
        <w:t>has been</w:t>
      </w:r>
      <w:r w:rsidRPr="00106A79">
        <w:rPr>
          <w:rFonts w:ascii="Verdana" w:hAnsi="Verdana" w:cs="Times New Roman"/>
        </w:rPr>
        <w:t xml:space="preserve"> </w:t>
      </w:r>
      <w:r w:rsidR="00956C16" w:rsidRPr="00106A79">
        <w:rPr>
          <w:rFonts w:ascii="Verdana" w:hAnsi="Verdana" w:cs="Times New Roman"/>
        </w:rPr>
        <w:t xml:space="preserve">seen </w:t>
      </w:r>
      <w:r w:rsidRPr="00106A79">
        <w:rPr>
          <w:rFonts w:ascii="Verdana" w:hAnsi="Verdana" w:cs="Times New Roman"/>
        </w:rPr>
        <w:t xml:space="preserve">in women </w:t>
      </w:r>
      <w:r w:rsidR="00EA3B9F">
        <w:rPr>
          <w:rFonts w:ascii="Verdana" w:hAnsi="Verdana" w:cs="Times New Roman"/>
        </w:rPr>
        <w:t>&gt;</w:t>
      </w:r>
      <w:r w:rsidRPr="00106A79">
        <w:rPr>
          <w:rFonts w:ascii="Verdana" w:hAnsi="Verdana" w:cs="Times New Roman"/>
        </w:rPr>
        <w:t xml:space="preserve">50 </w:t>
      </w:r>
      <w:r w:rsidR="00956C16" w:rsidRPr="00106A79">
        <w:rPr>
          <w:rFonts w:ascii="Verdana" w:hAnsi="Verdana" w:cs="Times New Roman"/>
        </w:rPr>
        <w:t>years of age</w:t>
      </w:r>
      <w:r w:rsidRPr="00106A79">
        <w:rPr>
          <w:rFonts w:ascii="Verdana" w:hAnsi="Verdana" w:cs="Times New Roman"/>
        </w:rPr>
        <w:t xml:space="preserve">. </w:t>
      </w:r>
    </w:p>
    <w:p w14:paraId="76057237" w14:textId="77777777" w:rsidR="00966FC5" w:rsidRPr="00106A79" w:rsidRDefault="00966FC5" w:rsidP="00106A79">
      <w:pPr>
        <w:spacing w:line="480" w:lineRule="auto"/>
        <w:rPr>
          <w:rFonts w:ascii="Verdana" w:hAnsi="Verdana" w:cs="Times New Roman"/>
        </w:rPr>
      </w:pPr>
    </w:p>
    <w:p w14:paraId="49FB95FA" w14:textId="77777777" w:rsidR="0072714E" w:rsidRPr="00106A79" w:rsidRDefault="00194E2A" w:rsidP="00106A79">
      <w:pPr>
        <w:spacing w:line="480" w:lineRule="auto"/>
        <w:rPr>
          <w:rFonts w:ascii="Verdana" w:hAnsi="Verdana" w:cs="Times New Roman"/>
          <w:b/>
        </w:rPr>
      </w:pPr>
      <w:r w:rsidRPr="00106A79">
        <w:rPr>
          <w:rFonts w:ascii="Verdana" w:hAnsi="Verdana" w:cs="Times New Roman"/>
          <w:b/>
        </w:rPr>
        <w:t>[Figure 1 near here]</w:t>
      </w:r>
    </w:p>
    <w:p w14:paraId="53B5642C" w14:textId="77777777" w:rsidR="00194E2A" w:rsidRPr="00106A79" w:rsidRDefault="00194E2A" w:rsidP="00106A79">
      <w:pPr>
        <w:spacing w:line="480" w:lineRule="auto"/>
        <w:rPr>
          <w:rFonts w:ascii="Verdana" w:hAnsi="Verdana" w:cs="Times New Roman"/>
        </w:rPr>
      </w:pPr>
    </w:p>
    <w:p w14:paraId="70D0C958" w14:textId="77777777" w:rsidR="00AB5CC6" w:rsidRPr="00106A79" w:rsidRDefault="008046D0" w:rsidP="00106A79">
      <w:pPr>
        <w:spacing w:line="480" w:lineRule="auto"/>
        <w:rPr>
          <w:rFonts w:ascii="Verdana" w:hAnsi="Verdana" w:cs="Times New Roman"/>
          <w:i/>
        </w:rPr>
      </w:pPr>
      <w:r w:rsidRPr="00106A79">
        <w:rPr>
          <w:rFonts w:ascii="Verdana" w:hAnsi="Verdana" w:cs="Times New Roman"/>
          <w:i/>
        </w:rPr>
        <w:t>Osteoa</w:t>
      </w:r>
      <w:r w:rsidR="00AB5CC6" w:rsidRPr="00106A79">
        <w:rPr>
          <w:rFonts w:ascii="Verdana" w:hAnsi="Verdana" w:cs="Times New Roman"/>
          <w:i/>
        </w:rPr>
        <w:t>rthritis</w:t>
      </w:r>
    </w:p>
    <w:p w14:paraId="14C91B40" w14:textId="322A3492" w:rsidR="00D10702" w:rsidRPr="00106A79" w:rsidRDefault="00666AF9" w:rsidP="00106A79">
      <w:pPr>
        <w:spacing w:line="480" w:lineRule="auto"/>
        <w:rPr>
          <w:rFonts w:ascii="Verdana" w:hAnsi="Verdana" w:cs="Times New Roman"/>
        </w:rPr>
      </w:pPr>
      <w:r w:rsidRPr="00106A79">
        <w:rPr>
          <w:rFonts w:ascii="Verdana" w:hAnsi="Verdana" w:cs="Times New Roman"/>
        </w:rPr>
        <w:t>S</w:t>
      </w:r>
      <w:r w:rsidR="002570E6" w:rsidRPr="00106A79">
        <w:rPr>
          <w:rFonts w:ascii="Verdana" w:hAnsi="Verdana" w:cs="Times New Roman"/>
        </w:rPr>
        <w:t>ymptomatic knee osteoarthritis</w:t>
      </w:r>
      <w:r w:rsidR="00F40617">
        <w:rPr>
          <w:rFonts w:ascii="Verdana" w:hAnsi="Verdana" w:cs="Times New Roman"/>
        </w:rPr>
        <w:t xml:space="preserve"> (OA)</w:t>
      </w:r>
      <w:r w:rsidR="002570E6" w:rsidRPr="00106A79">
        <w:rPr>
          <w:rFonts w:ascii="Verdana" w:hAnsi="Verdana" w:cs="Times New Roman"/>
        </w:rPr>
        <w:t xml:space="preserve"> affects </w:t>
      </w:r>
      <w:r w:rsidR="00F40617">
        <w:rPr>
          <w:rFonts w:ascii="Verdana" w:hAnsi="Verdana" w:cs="Times New Roman"/>
        </w:rPr>
        <w:t>~</w:t>
      </w:r>
      <w:r w:rsidR="002570E6" w:rsidRPr="00106A79">
        <w:rPr>
          <w:rFonts w:ascii="Verdana" w:hAnsi="Verdana" w:cs="Times New Roman"/>
        </w:rPr>
        <w:t xml:space="preserve">2.5-7% of adults aged 45-59 years and </w:t>
      </w:r>
      <w:r w:rsidR="00F40617">
        <w:rPr>
          <w:rFonts w:ascii="Verdana" w:hAnsi="Verdana" w:cs="Times New Roman"/>
        </w:rPr>
        <w:t>~</w:t>
      </w:r>
      <w:r w:rsidR="002570E6" w:rsidRPr="00106A79">
        <w:rPr>
          <w:rFonts w:ascii="Verdana" w:hAnsi="Verdana" w:cs="Times New Roman"/>
        </w:rPr>
        <w:t>7-15% of 60-69 year</w:t>
      </w:r>
      <w:r w:rsidR="004B726F">
        <w:rPr>
          <w:rFonts w:ascii="Verdana" w:hAnsi="Verdana" w:cs="Times New Roman"/>
        </w:rPr>
        <w:t>-olds</w:t>
      </w:r>
      <w:r w:rsidR="002570E6" w:rsidRPr="00106A79">
        <w:rPr>
          <w:rFonts w:ascii="Verdana" w:hAnsi="Verdana" w:cs="Times New Roman"/>
        </w:rPr>
        <w:t xml:space="preserve"> </w:t>
      </w:r>
      <w:r w:rsidR="00796BA4" w:rsidRPr="00106A79">
        <w:rPr>
          <w:rFonts w:ascii="Verdana" w:hAnsi="Verdana" w:cs="Times New Roman"/>
        </w:rPr>
        <w:t>world</w:t>
      </w:r>
      <w:r w:rsidR="002570E6" w:rsidRPr="00106A79">
        <w:rPr>
          <w:rFonts w:ascii="Verdana" w:hAnsi="Verdana" w:cs="Times New Roman"/>
        </w:rPr>
        <w:t>wide [</w:t>
      </w:r>
      <w:r w:rsidR="00C27045">
        <w:rPr>
          <w:rFonts w:ascii="Verdana" w:hAnsi="Verdana" w:cs="Times New Roman"/>
        </w:rPr>
        <w:t>14</w:t>
      </w:r>
      <w:r w:rsidR="002570E6" w:rsidRPr="00106A79">
        <w:rPr>
          <w:rFonts w:ascii="Verdana" w:hAnsi="Verdana" w:cs="Times New Roman"/>
        </w:rPr>
        <w:t>]</w:t>
      </w:r>
      <w:r w:rsidR="00796BA4" w:rsidRPr="00106A79">
        <w:rPr>
          <w:rFonts w:ascii="Verdana" w:hAnsi="Verdana" w:cs="Times New Roman"/>
        </w:rPr>
        <w:t xml:space="preserve">. </w:t>
      </w:r>
      <w:r w:rsidR="00F40617">
        <w:rPr>
          <w:rFonts w:ascii="Verdana" w:hAnsi="Verdana" w:cs="Times New Roman"/>
        </w:rPr>
        <w:t>I</w:t>
      </w:r>
      <w:r w:rsidR="00027C00" w:rsidRPr="00106A79">
        <w:rPr>
          <w:rFonts w:ascii="Verdana" w:hAnsi="Verdana" w:cs="Times New Roman"/>
        </w:rPr>
        <w:t xml:space="preserve">n the UK, the prevalence of knee pain in </w:t>
      </w:r>
      <w:r w:rsidR="00F176DE">
        <w:rPr>
          <w:rFonts w:ascii="Verdana" w:hAnsi="Verdana" w:cs="Times New Roman"/>
        </w:rPr>
        <w:t>the over-</w:t>
      </w:r>
      <w:r w:rsidR="004B726F">
        <w:rPr>
          <w:rFonts w:ascii="Verdana" w:hAnsi="Verdana" w:cs="Times New Roman"/>
        </w:rPr>
        <w:t>40s</w:t>
      </w:r>
      <w:r w:rsidR="00027C00" w:rsidRPr="00106A79">
        <w:rPr>
          <w:rFonts w:ascii="Verdana" w:hAnsi="Verdana" w:cs="Times New Roman"/>
        </w:rPr>
        <w:t xml:space="preserve"> is </w:t>
      </w:r>
      <w:r w:rsidR="00A42923">
        <w:rPr>
          <w:rFonts w:ascii="Verdana" w:hAnsi="Verdana" w:cs="Times New Roman"/>
        </w:rPr>
        <w:t>~</w:t>
      </w:r>
      <w:r w:rsidR="00027C00" w:rsidRPr="00106A79">
        <w:rPr>
          <w:rFonts w:ascii="Verdana" w:hAnsi="Verdana" w:cs="Times New Roman"/>
        </w:rPr>
        <w:t>20</w:t>
      </w:r>
      <w:r w:rsidR="00A42923">
        <w:rPr>
          <w:rFonts w:ascii="Verdana" w:hAnsi="Verdana" w:cs="Times New Roman"/>
        </w:rPr>
        <w:t>-</w:t>
      </w:r>
      <w:r w:rsidR="00027C00" w:rsidRPr="00106A79">
        <w:rPr>
          <w:rFonts w:ascii="Verdana" w:hAnsi="Verdana" w:cs="Times New Roman"/>
        </w:rPr>
        <w:t>28</w:t>
      </w:r>
      <w:r w:rsidR="007A58D7" w:rsidRPr="00106A79">
        <w:rPr>
          <w:rFonts w:ascii="Verdana" w:hAnsi="Verdana" w:cs="Times New Roman"/>
        </w:rPr>
        <w:t>% [</w:t>
      </w:r>
      <w:r w:rsidR="00C27045">
        <w:rPr>
          <w:rFonts w:ascii="Verdana" w:hAnsi="Verdana" w:cs="Times New Roman"/>
        </w:rPr>
        <w:t>15</w:t>
      </w:r>
      <w:r w:rsidR="00027C00" w:rsidRPr="00106A79">
        <w:rPr>
          <w:rFonts w:ascii="Verdana" w:hAnsi="Verdana" w:cs="Times New Roman"/>
        </w:rPr>
        <w:t xml:space="preserve">], </w:t>
      </w:r>
      <w:r w:rsidR="002F0B9C">
        <w:rPr>
          <w:rFonts w:ascii="Verdana" w:hAnsi="Verdana" w:cs="Times New Roman"/>
        </w:rPr>
        <w:t xml:space="preserve">and </w:t>
      </w:r>
      <w:r w:rsidR="004B726F">
        <w:rPr>
          <w:rFonts w:ascii="Verdana" w:hAnsi="Verdana" w:cs="Times New Roman"/>
        </w:rPr>
        <w:t>half</w:t>
      </w:r>
      <w:r w:rsidR="00027C00" w:rsidRPr="00106A79">
        <w:rPr>
          <w:rFonts w:ascii="Verdana" w:hAnsi="Verdana" w:cs="Times New Roman"/>
        </w:rPr>
        <w:t xml:space="preserve"> of </w:t>
      </w:r>
      <w:r w:rsidR="002F0B9C">
        <w:rPr>
          <w:rFonts w:ascii="Verdana" w:hAnsi="Verdana" w:cs="Times New Roman"/>
        </w:rPr>
        <w:t>cases</w:t>
      </w:r>
      <w:r w:rsidR="002F0B9C" w:rsidRPr="00106A79">
        <w:rPr>
          <w:rFonts w:ascii="Verdana" w:hAnsi="Verdana" w:cs="Times New Roman"/>
        </w:rPr>
        <w:t xml:space="preserve"> </w:t>
      </w:r>
      <w:r w:rsidR="00027C00" w:rsidRPr="00106A79">
        <w:rPr>
          <w:rFonts w:ascii="Verdana" w:hAnsi="Verdana" w:cs="Times New Roman"/>
        </w:rPr>
        <w:t>have radiographic OA.</w:t>
      </w:r>
      <w:r w:rsidR="00620F62" w:rsidRPr="00106A79">
        <w:rPr>
          <w:rFonts w:ascii="Verdana" w:hAnsi="Verdana" w:cs="Times New Roman"/>
        </w:rPr>
        <w:t xml:space="preserve"> </w:t>
      </w:r>
      <w:r w:rsidR="002570E6" w:rsidRPr="00106A79">
        <w:rPr>
          <w:rFonts w:ascii="Verdana" w:hAnsi="Verdana" w:cs="Times New Roman"/>
        </w:rPr>
        <w:t xml:space="preserve">Cartilage injury, a strong risk factor for knee OA, </w:t>
      </w:r>
      <w:r w:rsidR="00A42923">
        <w:rPr>
          <w:rFonts w:ascii="Verdana" w:hAnsi="Verdana" w:cs="Times New Roman"/>
        </w:rPr>
        <w:t>is</w:t>
      </w:r>
      <w:r w:rsidR="002570E6" w:rsidRPr="00106A79">
        <w:rPr>
          <w:rFonts w:ascii="Verdana" w:hAnsi="Verdana" w:cs="Times New Roman"/>
        </w:rPr>
        <w:t xml:space="preserve"> fairly common at a population level </w:t>
      </w:r>
      <w:r w:rsidR="007A58D7" w:rsidRPr="00106A79">
        <w:rPr>
          <w:rFonts w:ascii="Verdana" w:hAnsi="Verdana" w:cs="Times New Roman"/>
        </w:rPr>
        <w:t>[</w:t>
      </w:r>
      <w:r w:rsidR="00C27045">
        <w:rPr>
          <w:rFonts w:ascii="Verdana" w:hAnsi="Verdana" w:cs="Times New Roman"/>
        </w:rPr>
        <w:t>16</w:t>
      </w:r>
      <w:r w:rsidR="00D10702" w:rsidRPr="00106A79">
        <w:rPr>
          <w:rFonts w:ascii="Verdana" w:hAnsi="Verdana" w:cs="Times New Roman"/>
        </w:rPr>
        <w:t>]</w:t>
      </w:r>
      <w:r w:rsidR="002570E6" w:rsidRPr="00106A79">
        <w:rPr>
          <w:rFonts w:ascii="Verdana" w:hAnsi="Verdana" w:cs="Times New Roman"/>
        </w:rPr>
        <w:t>, while asymptomatic d</w:t>
      </w:r>
      <w:r w:rsidR="00D10702" w:rsidRPr="00106A79">
        <w:rPr>
          <w:rFonts w:ascii="Verdana" w:hAnsi="Verdana" w:cs="Times New Roman"/>
        </w:rPr>
        <w:t>efects in</w:t>
      </w:r>
      <w:r w:rsidR="00620F62" w:rsidRPr="00106A79">
        <w:rPr>
          <w:rFonts w:ascii="Verdana" w:hAnsi="Verdana" w:cs="Times New Roman"/>
        </w:rPr>
        <w:t xml:space="preserve"> knee cartilage</w:t>
      </w:r>
      <w:r w:rsidR="002570E6" w:rsidRPr="00106A79">
        <w:rPr>
          <w:rFonts w:ascii="Verdana" w:hAnsi="Verdana" w:cs="Times New Roman"/>
        </w:rPr>
        <w:t xml:space="preserve"> are highly prev</w:t>
      </w:r>
      <w:r w:rsidR="007A58D7" w:rsidRPr="00106A79">
        <w:rPr>
          <w:rFonts w:ascii="Verdana" w:hAnsi="Verdana" w:cs="Times New Roman"/>
        </w:rPr>
        <w:t xml:space="preserve">alent in </w:t>
      </w:r>
      <w:r w:rsidR="00A42923">
        <w:rPr>
          <w:rFonts w:ascii="Verdana" w:hAnsi="Verdana" w:cs="Times New Roman"/>
        </w:rPr>
        <w:t>middle age</w:t>
      </w:r>
      <w:r w:rsidR="007A58D7" w:rsidRPr="00106A79">
        <w:rPr>
          <w:rFonts w:ascii="Verdana" w:hAnsi="Verdana" w:cs="Times New Roman"/>
        </w:rPr>
        <w:t xml:space="preserve"> [</w:t>
      </w:r>
      <w:r w:rsidR="00C27045">
        <w:rPr>
          <w:rFonts w:ascii="Verdana" w:hAnsi="Verdana" w:cs="Times New Roman"/>
        </w:rPr>
        <w:t>17</w:t>
      </w:r>
      <w:r w:rsidR="002570E6" w:rsidRPr="00106A79">
        <w:rPr>
          <w:rFonts w:ascii="Verdana" w:hAnsi="Verdana" w:cs="Times New Roman"/>
        </w:rPr>
        <w:t xml:space="preserve">]. </w:t>
      </w:r>
    </w:p>
    <w:p w14:paraId="0227177B" w14:textId="77777777" w:rsidR="00027C00" w:rsidRPr="00106A79" w:rsidRDefault="00027C00" w:rsidP="00106A79">
      <w:pPr>
        <w:spacing w:line="480" w:lineRule="auto"/>
        <w:rPr>
          <w:rFonts w:ascii="Verdana" w:hAnsi="Verdana" w:cs="Times New Roman"/>
        </w:rPr>
      </w:pPr>
    </w:p>
    <w:p w14:paraId="30BC8A20" w14:textId="2844228B" w:rsidR="002570E6" w:rsidRPr="00106A79" w:rsidRDefault="00BA18C9" w:rsidP="00106A79">
      <w:pPr>
        <w:spacing w:line="480" w:lineRule="auto"/>
        <w:rPr>
          <w:rFonts w:ascii="Verdana" w:hAnsi="Verdana" w:cs="Times New Roman"/>
        </w:rPr>
      </w:pPr>
      <w:r w:rsidRPr="00106A79">
        <w:rPr>
          <w:rFonts w:ascii="Verdana" w:hAnsi="Verdana" w:cs="Times New Roman"/>
        </w:rPr>
        <w:t>I</w:t>
      </w:r>
      <w:r w:rsidR="00796BA4" w:rsidRPr="00106A79">
        <w:rPr>
          <w:rFonts w:ascii="Verdana" w:hAnsi="Verdana" w:cs="Times New Roman"/>
        </w:rPr>
        <w:t xml:space="preserve">n a probability sample of the US population, radiographic hip </w:t>
      </w:r>
      <w:r w:rsidR="00A42923">
        <w:rPr>
          <w:rFonts w:ascii="Verdana" w:hAnsi="Verdana" w:cs="Times New Roman"/>
        </w:rPr>
        <w:t>OA</w:t>
      </w:r>
      <w:r w:rsidR="00A42923" w:rsidRPr="00106A79">
        <w:rPr>
          <w:rFonts w:ascii="Verdana" w:hAnsi="Verdana" w:cs="Times New Roman"/>
        </w:rPr>
        <w:t xml:space="preserve"> </w:t>
      </w:r>
      <w:r w:rsidR="00796BA4" w:rsidRPr="00106A79">
        <w:rPr>
          <w:rFonts w:ascii="Verdana" w:hAnsi="Verdana" w:cs="Times New Roman"/>
        </w:rPr>
        <w:t>was confirmed in 2% of adults aged 55-59, 2.7% of those aged 60-64, and 3.4% of those aged 65-69 [</w:t>
      </w:r>
      <w:r w:rsidR="00C27045">
        <w:rPr>
          <w:rFonts w:ascii="Verdana" w:hAnsi="Verdana" w:cs="Times New Roman"/>
        </w:rPr>
        <w:t>18</w:t>
      </w:r>
      <w:r w:rsidR="00796BA4" w:rsidRPr="00106A79">
        <w:rPr>
          <w:rFonts w:ascii="Verdana" w:hAnsi="Verdana" w:cs="Times New Roman"/>
        </w:rPr>
        <w:t xml:space="preserve">]. </w:t>
      </w:r>
      <w:r w:rsidR="00F40617">
        <w:rPr>
          <w:rFonts w:ascii="Verdana" w:hAnsi="Verdana" w:cs="Times New Roman"/>
        </w:rPr>
        <w:t>D</w:t>
      </w:r>
      <w:r w:rsidR="00796BA4" w:rsidRPr="00106A79">
        <w:rPr>
          <w:rFonts w:ascii="Verdana" w:hAnsi="Verdana" w:cs="Times New Roman"/>
        </w:rPr>
        <w:t xml:space="preserve">octor-diagnosed </w:t>
      </w:r>
      <w:r w:rsidR="00F40617">
        <w:rPr>
          <w:rFonts w:ascii="Verdana" w:hAnsi="Verdana" w:cs="Times New Roman"/>
        </w:rPr>
        <w:t>OA</w:t>
      </w:r>
      <w:r w:rsidR="00F40617" w:rsidRPr="00106A79">
        <w:rPr>
          <w:rFonts w:ascii="Verdana" w:hAnsi="Verdana" w:cs="Times New Roman"/>
        </w:rPr>
        <w:t xml:space="preserve"> </w:t>
      </w:r>
      <w:r w:rsidR="00796BA4" w:rsidRPr="00106A79">
        <w:rPr>
          <w:rFonts w:ascii="Verdana" w:hAnsi="Verdana" w:cs="Times New Roman"/>
        </w:rPr>
        <w:t xml:space="preserve">was </w:t>
      </w:r>
      <w:r w:rsidR="00A42923">
        <w:rPr>
          <w:rFonts w:ascii="Verdana" w:hAnsi="Verdana" w:cs="Times New Roman"/>
        </w:rPr>
        <w:t>~</w:t>
      </w:r>
      <w:r w:rsidR="00796BA4" w:rsidRPr="00106A79">
        <w:rPr>
          <w:rFonts w:ascii="Verdana" w:hAnsi="Verdana" w:cs="Times New Roman"/>
        </w:rPr>
        <w:t>20 times higher in 55-64 year-olds than in those aged 25-34 [</w:t>
      </w:r>
      <w:r w:rsidR="00C27045">
        <w:rPr>
          <w:rFonts w:ascii="Verdana" w:hAnsi="Verdana" w:cs="Times New Roman"/>
        </w:rPr>
        <w:t>19</w:t>
      </w:r>
      <w:r w:rsidR="00796BA4" w:rsidRPr="00106A79">
        <w:rPr>
          <w:rFonts w:ascii="Verdana" w:hAnsi="Verdana" w:cs="Times New Roman"/>
        </w:rPr>
        <w:t xml:space="preserve">]. </w:t>
      </w:r>
    </w:p>
    <w:p w14:paraId="4C0BA932" w14:textId="77777777" w:rsidR="002570E6" w:rsidRPr="00106A79" w:rsidRDefault="002570E6" w:rsidP="00106A79">
      <w:pPr>
        <w:spacing w:line="480" w:lineRule="auto"/>
        <w:rPr>
          <w:rFonts w:ascii="Verdana" w:hAnsi="Verdana" w:cs="Times New Roman"/>
        </w:rPr>
      </w:pPr>
    </w:p>
    <w:p w14:paraId="7666BD26" w14:textId="18FD0BEA" w:rsidR="00A42923" w:rsidRDefault="00796BA4" w:rsidP="00106A79">
      <w:pPr>
        <w:spacing w:line="480" w:lineRule="auto"/>
        <w:rPr>
          <w:rFonts w:ascii="Verdana" w:hAnsi="Verdana" w:cs="Times New Roman"/>
        </w:rPr>
      </w:pPr>
      <w:r w:rsidRPr="00106A79">
        <w:rPr>
          <w:rFonts w:ascii="Verdana" w:hAnsi="Verdana" w:cs="Times New Roman"/>
        </w:rPr>
        <w:t xml:space="preserve">Large joint </w:t>
      </w:r>
      <w:r w:rsidR="00F40617">
        <w:rPr>
          <w:rFonts w:ascii="Verdana" w:hAnsi="Verdana" w:cs="Times New Roman"/>
        </w:rPr>
        <w:t>OA</w:t>
      </w:r>
      <w:r w:rsidR="00F40617" w:rsidRPr="00106A79">
        <w:rPr>
          <w:rFonts w:ascii="Verdana" w:hAnsi="Verdana" w:cs="Times New Roman"/>
        </w:rPr>
        <w:t xml:space="preserve"> </w:t>
      </w:r>
      <w:r w:rsidRPr="00106A79">
        <w:rPr>
          <w:rFonts w:ascii="Verdana" w:hAnsi="Verdana" w:cs="Times New Roman"/>
        </w:rPr>
        <w:t xml:space="preserve">is a </w:t>
      </w:r>
      <w:r w:rsidR="00BA18C9" w:rsidRPr="00106A79">
        <w:rPr>
          <w:rFonts w:ascii="Verdana" w:hAnsi="Verdana" w:cs="Times New Roman"/>
        </w:rPr>
        <w:t xml:space="preserve">major </w:t>
      </w:r>
      <w:r w:rsidRPr="00106A79">
        <w:rPr>
          <w:rFonts w:ascii="Verdana" w:hAnsi="Verdana" w:cs="Times New Roman"/>
        </w:rPr>
        <w:t xml:space="preserve">cause of disability, a growing proportion of </w:t>
      </w:r>
      <w:r w:rsidR="00BA18C9" w:rsidRPr="00106A79">
        <w:rPr>
          <w:rFonts w:ascii="Verdana" w:hAnsi="Verdana" w:cs="Times New Roman"/>
        </w:rPr>
        <w:t>which</w:t>
      </w:r>
      <w:r w:rsidRPr="00106A79">
        <w:rPr>
          <w:rFonts w:ascii="Verdana" w:hAnsi="Verdana" w:cs="Times New Roman"/>
        </w:rPr>
        <w:t xml:space="preserve"> is</w:t>
      </w:r>
      <w:r w:rsidR="00BA18C9" w:rsidRPr="00106A79">
        <w:rPr>
          <w:rFonts w:ascii="Verdana" w:hAnsi="Verdana" w:cs="Times New Roman"/>
        </w:rPr>
        <w:t xml:space="preserve"> </w:t>
      </w:r>
    </w:p>
    <w:p w14:paraId="5E7360C6" w14:textId="182F8A6D" w:rsidR="00796BA4" w:rsidRPr="00106A79" w:rsidRDefault="00796BA4" w:rsidP="00106A79">
      <w:pPr>
        <w:spacing w:line="480" w:lineRule="auto"/>
        <w:rPr>
          <w:rFonts w:ascii="Verdana" w:hAnsi="Verdana" w:cs="Times New Roman"/>
        </w:rPr>
      </w:pPr>
      <w:r w:rsidRPr="00106A79">
        <w:rPr>
          <w:rFonts w:ascii="Verdana" w:hAnsi="Verdana" w:cs="Times New Roman"/>
        </w:rPr>
        <w:t xml:space="preserve">borne by people who </w:t>
      </w:r>
      <w:r w:rsidR="002570E6" w:rsidRPr="00106A79">
        <w:rPr>
          <w:rFonts w:ascii="Verdana" w:hAnsi="Verdana" w:cs="Times New Roman"/>
        </w:rPr>
        <w:t>regard</w:t>
      </w:r>
      <w:r w:rsidRPr="00106A79">
        <w:rPr>
          <w:rFonts w:ascii="Verdana" w:hAnsi="Verdana" w:cs="Times New Roman"/>
        </w:rPr>
        <w:t xml:space="preserve"> themselves still of working age.  Thus, during 2010-2011</w:t>
      </w:r>
      <w:r w:rsidR="00BA18C9" w:rsidRPr="00106A79">
        <w:rPr>
          <w:rFonts w:ascii="Verdana" w:hAnsi="Verdana" w:cs="Times New Roman"/>
        </w:rPr>
        <w:t>,</w:t>
      </w:r>
      <w:r w:rsidRPr="00106A79">
        <w:rPr>
          <w:rFonts w:ascii="Verdana" w:hAnsi="Verdana" w:cs="Times New Roman"/>
        </w:rPr>
        <w:t xml:space="preserve"> 92,000 primary knee joint replacements and 5,800 revisions were performed </w:t>
      </w:r>
      <w:r w:rsidR="00BA18C9" w:rsidRPr="00106A79">
        <w:rPr>
          <w:rFonts w:ascii="Verdana" w:hAnsi="Verdana" w:cs="Times New Roman"/>
        </w:rPr>
        <w:t>in England and Wales (</w:t>
      </w:r>
      <w:r w:rsidRPr="00106A79">
        <w:rPr>
          <w:rFonts w:ascii="Verdana" w:hAnsi="Verdana" w:cs="Times New Roman"/>
        </w:rPr>
        <w:t>up over four years by 41% and 77%</w:t>
      </w:r>
      <w:r w:rsidR="00BA18C9" w:rsidRPr="00106A79">
        <w:rPr>
          <w:rFonts w:ascii="Verdana" w:hAnsi="Verdana" w:cs="Times New Roman"/>
        </w:rPr>
        <w:t>)</w:t>
      </w:r>
      <w:r w:rsidRPr="00106A79">
        <w:rPr>
          <w:rFonts w:ascii="Verdana" w:hAnsi="Verdana" w:cs="Times New Roman"/>
        </w:rPr>
        <w:t>: one-third of replacements occurred in patients aged &lt;65 years [</w:t>
      </w:r>
      <w:r w:rsidR="00C27045">
        <w:rPr>
          <w:rFonts w:ascii="Verdana" w:hAnsi="Verdana" w:cs="Times New Roman"/>
        </w:rPr>
        <w:t>20</w:t>
      </w:r>
      <w:r w:rsidRPr="00106A79">
        <w:rPr>
          <w:rFonts w:ascii="Verdana" w:hAnsi="Verdana" w:cs="Times New Roman"/>
        </w:rPr>
        <w:t>]</w:t>
      </w:r>
      <w:r w:rsidR="00BA18C9" w:rsidRPr="00106A79">
        <w:rPr>
          <w:rFonts w:ascii="Verdana" w:hAnsi="Verdana" w:cs="Times New Roman"/>
        </w:rPr>
        <w:t>; in Finland, 45% of implants are received</w:t>
      </w:r>
      <w:r w:rsidR="00A42923">
        <w:rPr>
          <w:rFonts w:ascii="Verdana" w:hAnsi="Verdana" w:cs="Times New Roman"/>
        </w:rPr>
        <w:t xml:space="preserve"> by</w:t>
      </w:r>
      <w:r w:rsidR="00BA18C9" w:rsidRPr="00106A79">
        <w:rPr>
          <w:rFonts w:ascii="Verdana" w:hAnsi="Verdana" w:cs="Times New Roman"/>
        </w:rPr>
        <w:t xml:space="preserve"> patients </w:t>
      </w:r>
      <w:r w:rsidR="00F40617">
        <w:rPr>
          <w:rFonts w:ascii="Verdana" w:hAnsi="Verdana" w:cs="Times New Roman"/>
        </w:rPr>
        <w:t>&lt;</w:t>
      </w:r>
      <w:r w:rsidR="00BA18C9" w:rsidRPr="00106A79">
        <w:rPr>
          <w:rFonts w:ascii="Verdana" w:hAnsi="Verdana" w:cs="Times New Roman"/>
        </w:rPr>
        <w:t>65</w:t>
      </w:r>
      <w:r w:rsidR="00F40617">
        <w:rPr>
          <w:rFonts w:ascii="Verdana" w:hAnsi="Verdana" w:cs="Times New Roman"/>
        </w:rPr>
        <w:t xml:space="preserve"> years</w:t>
      </w:r>
      <w:r w:rsidR="00BA18C9" w:rsidRPr="00106A79">
        <w:rPr>
          <w:rFonts w:ascii="Verdana" w:hAnsi="Verdana" w:cs="Times New Roman"/>
        </w:rPr>
        <w:t xml:space="preserve"> [</w:t>
      </w:r>
      <w:r w:rsidR="00C27045">
        <w:rPr>
          <w:rFonts w:ascii="Verdana" w:hAnsi="Verdana" w:cs="Times New Roman"/>
        </w:rPr>
        <w:t>21</w:t>
      </w:r>
      <w:r w:rsidR="00BA18C9" w:rsidRPr="00106A79">
        <w:rPr>
          <w:rFonts w:ascii="Verdana" w:hAnsi="Verdana" w:cs="Times New Roman"/>
        </w:rPr>
        <w:t>]</w:t>
      </w:r>
      <w:r w:rsidR="00EE2C68">
        <w:rPr>
          <w:rFonts w:ascii="Verdana" w:hAnsi="Verdana" w:cs="Times New Roman"/>
        </w:rPr>
        <w:t>;</w:t>
      </w:r>
      <w:r w:rsidR="00BA18C9" w:rsidRPr="00106A79">
        <w:rPr>
          <w:rFonts w:ascii="Verdana" w:hAnsi="Verdana" w:cs="Times New Roman"/>
        </w:rPr>
        <w:t xml:space="preserve"> and in Denmark, 51% of hip replacements</w:t>
      </w:r>
      <w:r w:rsidR="00A0691B" w:rsidRPr="00106A79">
        <w:rPr>
          <w:rFonts w:ascii="Verdana" w:hAnsi="Verdana" w:cs="Times New Roman"/>
        </w:rPr>
        <w:t xml:space="preserve"> in 2010</w:t>
      </w:r>
      <w:r w:rsidR="00BA18C9" w:rsidRPr="00106A79">
        <w:rPr>
          <w:rFonts w:ascii="Verdana" w:hAnsi="Verdana" w:cs="Times New Roman"/>
        </w:rPr>
        <w:t xml:space="preserve"> took place before age 70 [</w:t>
      </w:r>
      <w:r w:rsidR="00C27045">
        <w:rPr>
          <w:rFonts w:ascii="Verdana" w:hAnsi="Verdana" w:cs="Times New Roman"/>
        </w:rPr>
        <w:t>22</w:t>
      </w:r>
      <w:r w:rsidR="00BA18C9" w:rsidRPr="00106A79">
        <w:rPr>
          <w:rFonts w:ascii="Verdana" w:hAnsi="Verdana" w:cs="Times New Roman"/>
        </w:rPr>
        <w:t xml:space="preserve">]. </w:t>
      </w:r>
    </w:p>
    <w:p w14:paraId="0B548372" w14:textId="77777777" w:rsidR="00BA18C9" w:rsidRPr="00106A79" w:rsidRDefault="00BA18C9" w:rsidP="00106A79">
      <w:pPr>
        <w:spacing w:line="480" w:lineRule="auto"/>
        <w:rPr>
          <w:rFonts w:ascii="Verdana" w:hAnsi="Verdana" w:cs="Times New Roman"/>
        </w:rPr>
      </w:pPr>
    </w:p>
    <w:p w14:paraId="44435506" w14:textId="77777777" w:rsidR="008046D0" w:rsidRPr="00106A79" w:rsidRDefault="008046D0" w:rsidP="00106A79">
      <w:pPr>
        <w:spacing w:line="480" w:lineRule="auto"/>
        <w:rPr>
          <w:rFonts w:ascii="Verdana" w:hAnsi="Verdana" w:cs="Times New Roman"/>
          <w:i/>
        </w:rPr>
      </w:pPr>
      <w:r w:rsidRPr="00106A79">
        <w:rPr>
          <w:rFonts w:ascii="Verdana" w:hAnsi="Verdana" w:cs="Times New Roman"/>
          <w:i/>
        </w:rPr>
        <w:t>Rheumatoid arthritis</w:t>
      </w:r>
    </w:p>
    <w:p w14:paraId="6621B240" w14:textId="11A26B63" w:rsidR="007136BA" w:rsidRPr="00106A79" w:rsidRDefault="00A42923" w:rsidP="00106A79">
      <w:pPr>
        <w:spacing w:line="480" w:lineRule="auto"/>
        <w:rPr>
          <w:rFonts w:ascii="Verdana" w:hAnsi="Verdana" w:cs="Times New Roman"/>
        </w:rPr>
      </w:pPr>
      <w:r>
        <w:rPr>
          <w:rFonts w:ascii="Verdana" w:hAnsi="Verdana" w:cs="Times New Roman"/>
        </w:rPr>
        <w:t>R</w:t>
      </w:r>
      <w:r w:rsidRPr="00106A79">
        <w:rPr>
          <w:rFonts w:ascii="Verdana" w:hAnsi="Verdana" w:cs="Times New Roman"/>
        </w:rPr>
        <w:t>heumatoid arthritis</w:t>
      </w:r>
      <w:r>
        <w:rPr>
          <w:rFonts w:ascii="Verdana" w:hAnsi="Verdana" w:cs="Times New Roman"/>
        </w:rPr>
        <w:t xml:space="preserve"> (RA)</w:t>
      </w:r>
      <w:r w:rsidRPr="00106A79">
        <w:rPr>
          <w:rFonts w:ascii="Verdana" w:hAnsi="Verdana" w:cs="Times New Roman"/>
        </w:rPr>
        <w:t xml:space="preserve"> </w:t>
      </w:r>
      <w:r w:rsidR="00A549D2" w:rsidRPr="00106A79">
        <w:rPr>
          <w:rFonts w:ascii="Verdana" w:hAnsi="Verdana" w:cs="Times New Roman"/>
        </w:rPr>
        <w:t xml:space="preserve">is far less common than </w:t>
      </w:r>
      <w:r w:rsidR="00F40617">
        <w:rPr>
          <w:rFonts w:ascii="Verdana" w:hAnsi="Verdana" w:cs="Times New Roman"/>
        </w:rPr>
        <w:t>OA</w:t>
      </w:r>
      <w:r w:rsidR="00A549D2" w:rsidRPr="00106A79">
        <w:rPr>
          <w:rFonts w:ascii="Verdana" w:hAnsi="Verdana" w:cs="Times New Roman"/>
        </w:rPr>
        <w:t xml:space="preserve">, </w:t>
      </w:r>
      <w:r w:rsidR="002570E6" w:rsidRPr="00106A79">
        <w:rPr>
          <w:rFonts w:ascii="Verdana" w:hAnsi="Verdana" w:cs="Times New Roman"/>
        </w:rPr>
        <w:t xml:space="preserve">but </w:t>
      </w:r>
      <w:r>
        <w:rPr>
          <w:rFonts w:ascii="Verdana" w:hAnsi="Verdana" w:cs="Times New Roman"/>
        </w:rPr>
        <w:t>its</w:t>
      </w:r>
      <w:r w:rsidRPr="00106A79">
        <w:rPr>
          <w:rFonts w:ascii="Verdana" w:hAnsi="Verdana" w:cs="Times New Roman"/>
        </w:rPr>
        <w:t xml:space="preserve"> </w:t>
      </w:r>
      <w:r w:rsidR="00A549D2" w:rsidRPr="00106A79">
        <w:rPr>
          <w:rFonts w:ascii="Verdana" w:hAnsi="Verdana" w:cs="Times New Roman"/>
        </w:rPr>
        <w:t>prevalence</w:t>
      </w:r>
      <w:r w:rsidR="008046D0" w:rsidRPr="00106A79">
        <w:rPr>
          <w:rFonts w:ascii="Verdana" w:hAnsi="Verdana" w:cs="Times New Roman"/>
        </w:rPr>
        <w:t xml:space="preserve"> </w:t>
      </w:r>
      <w:r w:rsidR="002570E6" w:rsidRPr="00106A79">
        <w:rPr>
          <w:rFonts w:ascii="Verdana" w:hAnsi="Verdana" w:cs="Times New Roman"/>
        </w:rPr>
        <w:t>rises steeply with age</w:t>
      </w:r>
      <w:r w:rsidR="00F40617">
        <w:rPr>
          <w:rFonts w:ascii="Verdana" w:hAnsi="Verdana" w:cs="Times New Roman"/>
        </w:rPr>
        <w:t>.</w:t>
      </w:r>
      <w:r w:rsidR="002570E6" w:rsidRPr="00106A79">
        <w:rPr>
          <w:rFonts w:ascii="Verdana" w:hAnsi="Verdana" w:cs="Times New Roman"/>
        </w:rPr>
        <w:t xml:space="preserve"> </w:t>
      </w:r>
      <w:r w:rsidR="00F40617">
        <w:rPr>
          <w:rFonts w:ascii="Verdana" w:hAnsi="Verdana" w:cs="Times New Roman"/>
        </w:rPr>
        <w:t>I</w:t>
      </w:r>
      <w:r w:rsidR="00BA18C9" w:rsidRPr="00106A79">
        <w:rPr>
          <w:rFonts w:ascii="Verdana" w:hAnsi="Verdana" w:cs="Times New Roman"/>
        </w:rPr>
        <w:t>n HANES-I</w:t>
      </w:r>
      <w:r w:rsidR="00F40617">
        <w:rPr>
          <w:rFonts w:ascii="Verdana" w:hAnsi="Verdana" w:cs="Times New Roman"/>
        </w:rPr>
        <w:t>,</w:t>
      </w:r>
      <w:r w:rsidR="00BA18C9" w:rsidRPr="00106A79">
        <w:rPr>
          <w:rFonts w:ascii="Verdana" w:hAnsi="Verdana" w:cs="Times New Roman"/>
        </w:rPr>
        <w:t xml:space="preserve"> doctor-diagnosed disease was 11 times higher in 55-64 year</w:t>
      </w:r>
      <w:r w:rsidR="00F40617">
        <w:rPr>
          <w:rFonts w:ascii="Verdana" w:hAnsi="Verdana" w:cs="Times New Roman"/>
        </w:rPr>
        <w:t>-olds</w:t>
      </w:r>
      <w:r w:rsidR="00BA18C9" w:rsidRPr="00106A79">
        <w:rPr>
          <w:rFonts w:ascii="Verdana" w:hAnsi="Verdana" w:cs="Times New Roman"/>
        </w:rPr>
        <w:t xml:space="preserve"> than in </w:t>
      </w:r>
      <w:r w:rsidR="00A549D2" w:rsidRPr="00106A79">
        <w:rPr>
          <w:rFonts w:ascii="Verdana" w:hAnsi="Verdana" w:cs="Times New Roman"/>
        </w:rPr>
        <w:t>25-34 year</w:t>
      </w:r>
      <w:r w:rsidR="00F40617">
        <w:rPr>
          <w:rFonts w:ascii="Verdana" w:hAnsi="Verdana" w:cs="Times New Roman"/>
        </w:rPr>
        <w:t>-olds</w:t>
      </w:r>
      <w:r w:rsidR="00A549D2" w:rsidRPr="00106A79">
        <w:rPr>
          <w:rFonts w:ascii="Verdana" w:hAnsi="Verdana" w:cs="Times New Roman"/>
        </w:rPr>
        <w:t xml:space="preserve"> [</w:t>
      </w:r>
      <w:r w:rsidR="00C27045">
        <w:rPr>
          <w:rFonts w:ascii="Verdana" w:hAnsi="Verdana" w:cs="Times New Roman"/>
        </w:rPr>
        <w:t>1</w:t>
      </w:r>
      <w:r w:rsidR="008B5144">
        <w:rPr>
          <w:rFonts w:ascii="Verdana" w:hAnsi="Verdana" w:cs="Times New Roman"/>
        </w:rPr>
        <w:t>9</w:t>
      </w:r>
      <w:r w:rsidR="00A549D2" w:rsidRPr="00106A79">
        <w:rPr>
          <w:rFonts w:ascii="Verdana" w:hAnsi="Verdana" w:cs="Times New Roman"/>
        </w:rPr>
        <w:t>]</w:t>
      </w:r>
      <w:r w:rsidR="00956C16" w:rsidRPr="00106A79">
        <w:rPr>
          <w:rFonts w:ascii="Verdana" w:hAnsi="Verdana" w:cs="Times New Roman"/>
        </w:rPr>
        <w:t xml:space="preserve">, while the incidence in the British Norfolk Arthritis Register was six times higher in this age </w:t>
      </w:r>
      <w:r>
        <w:rPr>
          <w:rFonts w:ascii="Verdana" w:hAnsi="Verdana" w:cs="Times New Roman"/>
        </w:rPr>
        <w:t>group</w:t>
      </w:r>
      <w:r w:rsidR="00956C16" w:rsidRPr="00106A79">
        <w:rPr>
          <w:rFonts w:ascii="Verdana" w:hAnsi="Verdana" w:cs="Times New Roman"/>
        </w:rPr>
        <w:t xml:space="preserve"> than in 15-24 year-olds [</w:t>
      </w:r>
      <w:r w:rsidR="00C27045">
        <w:rPr>
          <w:rFonts w:ascii="Verdana" w:hAnsi="Verdana" w:cs="Times New Roman"/>
        </w:rPr>
        <w:t>23</w:t>
      </w:r>
      <w:r w:rsidR="00956C16" w:rsidRPr="00106A79">
        <w:rPr>
          <w:rFonts w:ascii="Verdana" w:hAnsi="Verdana" w:cs="Times New Roman"/>
        </w:rPr>
        <w:t>]</w:t>
      </w:r>
      <w:r w:rsidR="002570E6" w:rsidRPr="00106A79">
        <w:rPr>
          <w:rFonts w:ascii="Verdana" w:hAnsi="Verdana" w:cs="Times New Roman"/>
        </w:rPr>
        <w:t>)</w:t>
      </w:r>
      <w:r w:rsidR="00330B95" w:rsidRPr="00106A79">
        <w:rPr>
          <w:rFonts w:ascii="Verdana" w:hAnsi="Verdana" w:cs="Times New Roman"/>
        </w:rPr>
        <w:t>.</w:t>
      </w:r>
      <w:r w:rsidR="002570E6" w:rsidRPr="00106A79">
        <w:rPr>
          <w:rFonts w:ascii="Verdana" w:hAnsi="Verdana" w:cs="Times New Roman"/>
        </w:rPr>
        <w:t xml:space="preserve"> </w:t>
      </w:r>
    </w:p>
    <w:p w14:paraId="35C030BF" w14:textId="77777777" w:rsidR="0033266B" w:rsidRPr="00106A79" w:rsidRDefault="0033266B" w:rsidP="00106A79">
      <w:pPr>
        <w:spacing w:line="480" w:lineRule="auto"/>
        <w:rPr>
          <w:rFonts w:ascii="Verdana" w:hAnsi="Verdana" w:cs="Times New Roman"/>
        </w:rPr>
      </w:pPr>
    </w:p>
    <w:p w14:paraId="291ACDA7" w14:textId="77777777" w:rsidR="00330B95" w:rsidRPr="00A42923" w:rsidRDefault="00102BB3" w:rsidP="00106A79">
      <w:pPr>
        <w:spacing w:line="480" w:lineRule="auto"/>
        <w:rPr>
          <w:rFonts w:ascii="Verdana" w:hAnsi="Verdana" w:cs="Times New Roman"/>
          <w:i/>
        </w:rPr>
      </w:pPr>
      <w:r w:rsidRPr="00A42923">
        <w:rPr>
          <w:rFonts w:ascii="Verdana" w:hAnsi="Verdana" w:cs="Times New Roman"/>
          <w:i/>
        </w:rPr>
        <w:t>Ankylosing spondylitis</w:t>
      </w:r>
    </w:p>
    <w:p w14:paraId="193345A7" w14:textId="4BF466FD" w:rsidR="00310558" w:rsidRPr="00106A79" w:rsidRDefault="004B726F" w:rsidP="00106A79">
      <w:pPr>
        <w:spacing w:line="480" w:lineRule="auto"/>
        <w:rPr>
          <w:rFonts w:ascii="Verdana" w:hAnsi="Verdana" w:cs="Times New Roman"/>
          <w:i/>
        </w:rPr>
      </w:pPr>
      <w:r>
        <w:rPr>
          <w:rFonts w:ascii="Verdana" w:hAnsi="Verdana" w:cs="Times New Roman"/>
        </w:rPr>
        <w:t>A</w:t>
      </w:r>
      <w:r w:rsidR="00206D60" w:rsidRPr="00106A79">
        <w:rPr>
          <w:rFonts w:ascii="Verdana" w:hAnsi="Verdana" w:cs="Times New Roman"/>
        </w:rPr>
        <w:t xml:space="preserve">nkylosing spondylitis (AS) is usually thought of as a young person’s disease, </w:t>
      </w:r>
      <w:r>
        <w:rPr>
          <w:rFonts w:ascii="Verdana" w:hAnsi="Verdana" w:cs="Times New Roman"/>
        </w:rPr>
        <w:t xml:space="preserve">but </w:t>
      </w:r>
      <w:r w:rsidR="00206D60" w:rsidRPr="00106A79">
        <w:rPr>
          <w:rFonts w:ascii="Verdana" w:hAnsi="Verdana" w:cs="Times New Roman"/>
        </w:rPr>
        <w:t xml:space="preserve">diagnosis is often delayed </w:t>
      </w:r>
      <w:r w:rsidR="004C209D" w:rsidRPr="00106A79">
        <w:rPr>
          <w:rFonts w:ascii="Verdana" w:hAnsi="Verdana" w:cs="Times New Roman"/>
        </w:rPr>
        <w:t>and</w:t>
      </w:r>
      <w:r w:rsidR="00206D60" w:rsidRPr="00106A79">
        <w:rPr>
          <w:rFonts w:ascii="Verdana" w:hAnsi="Verdana" w:cs="Times New Roman"/>
        </w:rPr>
        <w:t xml:space="preserve"> symptoms tend to persist into</w:t>
      </w:r>
      <w:r w:rsidR="004C209D" w:rsidRPr="00106A79">
        <w:rPr>
          <w:rFonts w:ascii="Verdana" w:hAnsi="Verdana" w:cs="Times New Roman"/>
        </w:rPr>
        <w:t xml:space="preserve"> later life. Thus, with suboptimal disease control, </w:t>
      </w:r>
      <w:r w:rsidR="00206D60" w:rsidRPr="00106A79">
        <w:rPr>
          <w:rFonts w:ascii="Verdana" w:hAnsi="Verdana" w:cs="Times New Roman"/>
        </w:rPr>
        <w:t xml:space="preserve">vocational </w:t>
      </w:r>
      <w:r>
        <w:rPr>
          <w:rFonts w:ascii="Verdana" w:hAnsi="Verdana" w:cs="Times New Roman"/>
        </w:rPr>
        <w:t>handicap</w:t>
      </w:r>
      <w:r w:rsidR="004C209D" w:rsidRPr="00106A79">
        <w:rPr>
          <w:rFonts w:ascii="Verdana" w:hAnsi="Verdana" w:cs="Times New Roman"/>
        </w:rPr>
        <w:t xml:space="preserve"> become</w:t>
      </w:r>
      <w:r>
        <w:rPr>
          <w:rFonts w:ascii="Verdana" w:hAnsi="Verdana" w:cs="Times New Roman"/>
        </w:rPr>
        <w:t>s</w:t>
      </w:r>
      <w:r w:rsidR="004C209D" w:rsidRPr="00106A79">
        <w:rPr>
          <w:rFonts w:ascii="Verdana" w:hAnsi="Verdana" w:cs="Times New Roman"/>
        </w:rPr>
        <w:t xml:space="preserve"> </w:t>
      </w:r>
      <w:r>
        <w:rPr>
          <w:rFonts w:ascii="Verdana" w:hAnsi="Verdana" w:cs="Times New Roman"/>
        </w:rPr>
        <w:t>commoner with age</w:t>
      </w:r>
      <w:r w:rsidR="004C209D" w:rsidRPr="00106A79">
        <w:rPr>
          <w:rFonts w:ascii="Verdana" w:hAnsi="Verdana" w:cs="Times New Roman"/>
        </w:rPr>
        <w:t xml:space="preserve">. </w:t>
      </w:r>
      <w:r w:rsidR="00206D60" w:rsidRPr="00106A79">
        <w:rPr>
          <w:rFonts w:ascii="Verdana" w:hAnsi="Verdana" w:cs="Times New Roman"/>
        </w:rPr>
        <w:t xml:space="preserve"> </w:t>
      </w:r>
    </w:p>
    <w:p w14:paraId="5F03CF1D" w14:textId="77777777" w:rsidR="00A42923" w:rsidRDefault="00A42923" w:rsidP="00106A79">
      <w:pPr>
        <w:spacing w:line="480" w:lineRule="auto"/>
        <w:rPr>
          <w:rFonts w:ascii="Verdana" w:hAnsi="Verdana" w:cs="Times New Roman"/>
          <w:i/>
        </w:rPr>
      </w:pPr>
    </w:p>
    <w:p w14:paraId="302D7543" w14:textId="77777777" w:rsidR="007136BA" w:rsidRPr="00106A79" w:rsidRDefault="007136BA" w:rsidP="00106A79">
      <w:pPr>
        <w:spacing w:line="480" w:lineRule="auto"/>
        <w:rPr>
          <w:rFonts w:ascii="Verdana" w:hAnsi="Verdana" w:cs="Times New Roman"/>
          <w:i/>
        </w:rPr>
      </w:pPr>
      <w:r w:rsidRPr="00106A79">
        <w:rPr>
          <w:rFonts w:ascii="Verdana" w:hAnsi="Verdana" w:cs="Times New Roman"/>
          <w:i/>
        </w:rPr>
        <w:t>Osteoporosis</w:t>
      </w:r>
    </w:p>
    <w:p w14:paraId="5AF84A21" w14:textId="7E4C96A3" w:rsidR="007136BA" w:rsidRPr="00106A79" w:rsidRDefault="007136BA" w:rsidP="00106A79">
      <w:pPr>
        <w:spacing w:line="480" w:lineRule="auto"/>
        <w:rPr>
          <w:rFonts w:ascii="Verdana" w:hAnsi="Verdana" w:cs="Times New Roman"/>
        </w:rPr>
      </w:pPr>
      <w:r w:rsidRPr="00106A79">
        <w:rPr>
          <w:rFonts w:ascii="Verdana" w:hAnsi="Verdana" w:cs="Times New Roman"/>
        </w:rPr>
        <w:t>This disease has rarely been studied in</w:t>
      </w:r>
      <w:r w:rsidR="008046D0" w:rsidRPr="00106A79">
        <w:rPr>
          <w:rFonts w:ascii="Verdana" w:hAnsi="Verdana" w:cs="Times New Roman"/>
        </w:rPr>
        <w:t xml:space="preserve"> the</w:t>
      </w:r>
      <w:r w:rsidRPr="00106A79">
        <w:rPr>
          <w:rFonts w:ascii="Verdana" w:hAnsi="Verdana" w:cs="Times New Roman"/>
        </w:rPr>
        <w:t xml:space="preserve"> occupational </w:t>
      </w:r>
      <w:r w:rsidR="008046D0" w:rsidRPr="00106A79">
        <w:rPr>
          <w:rFonts w:ascii="Verdana" w:hAnsi="Verdana" w:cs="Times New Roman"/>
        </w:rPr>
        <w:t xml:space="preserve">setting, in token of which </w:t>
      </w:r>
      <w:r w:rsidR="00A42923">
        <w:rPr>
          <w:rFonts w:ascii="Verdana" w:hAnsi="Verdana" w:cs="Times New Roman"/>
        </w:rPr>
        <w:t>our</w:t>
      </w:r>
      <w:r w:rsidR="00A42923" w:rsidRPr="00106A79">
        <w:rPr>
          <w:rFonts w:ascii="Verdana" w:hAnsi="Verdana" w:cs="Times New Roman"/>
        </w:rPr>
        <w:t xml:space="preserve"> </w:t>
      </w:r>
      <w:r w:rsidRPr="00106A79">
        <w:rPr>
          <w:rFonts w:ascii="Verdana" w:hAnsi="Verdana" w:cs="Times New Roman"/>
        </w:rPr>
        <w:t>search for this review found no relevant hits</w:t>
      </w:r>
      <w:r w:rsidR="008046D0" w:rsidRPr="00106A79">
        <w:rPr>
          <w:rFonts w:ascii="Verdana" w:hAnsi="Verdana" w:cs="Times New Roman"/>
        </w:rPr>
        <w:t xml:space="preserve"> on risks of osteoporotic fracture in older workers from manual occupations. </w:t>
      </w:r>
      <w:r w:rsidRPr="00106A79">
        <w:rPr>
          <w:rFonts w:ascii="Verdana" w:hAnsi="Verdana" w:cs="Times New Roman"/>
        </w:rPr>
        <w:t xml:space="preserve"> </w:t>
      </w:r>
      <w:r w:rsidR="008046D0" w:rsidRPr="00106A79">
        <w:rPr>
          <w:rFonts w:ascii="Verdana" w:hAnsi="Verdana" w:cs="Times New Roman"/>
        </w:rPr>
        <w:t>Nonetheless, the overall 10-</w:t>
      </w:r>
      <w:r w:rsidR="008046D0" w:rsidRPr="00106A79">
        <w:rPr>
          <w:rFonts w:ascii="Verdana" w:hAnsi="Verdana" w:cs="Times New Roman"/>
        </w:rPr>
        <w:lastRenderedPageBreak/>
        <w:t>year risk of fracture</w:t>
      </w:r>
      <w:r w:rsidR="00E71251">
        <w:rPr>
          <w:rFonts w:ascii="Verdana" w:hAnsi="Verdana" w:cs="Times New Roman"/>
        </w:rPr>
        <w:t xml:space="preserve"> from age 50</w:t>
      </w:r>
      <w:r w:rsidR="008046D0" w:rsidRPr="00106A79">
        <w:rPr>
          <w:rFonts w:ascii="Verdana" w:hAnsi="Verdana" w:cs="Times New Roman"/>
        </w:rPr>
        <w:t xml:space="preserve"> is in the </w:t>
      </w:r>
      <w:r w:rsidR="004B726F">
        <w:rPr>
          <w:rFonts w:ascii="Verdana" w:hAnsi="Verdana" w:cs="Times New Roman"/>
        </w:rPr>
        <w:t>order</w:t>
      </w:r>
      <w:r w:rsidR="004B726F" w:rsidRPr="00106A79">
        <w:rPr>
          <w:rFonts w:ascii="Verdana" w:hAnsi="Verdana" w:cs="Times New Roman"/>
        </w:rPr>
        <w:t xml:space="preserve"> </w:t>
      </w:r>
      <w:r w:rsidR="008046D0" w:rsidRPr="00106A79">
        <w:rPr>
          <w:rFonts w:ascii="Verdana" w:hAnsi="Verdana" w:cs="Times New Roman"/>
        </w:rPr>
        <w:t>of 7-10%</w:t>
      </w:r>
      <w:r w:rsidR="00DA6819">
        <w:rPr>
          <w:rFonts w:ascii="Verdana" w:hAnsi="Verdana" w:cs="Times New Roman"/>
        </w:rPr>
        <w:t xml:space="preserve">, reflecting </w:t>
      </w:r>
      <w:r w:rsidR="00E71251">
        <w:rPr>
          <w:rFonts w:ascii="Verdana" w:hAnsi="Verdana" w:cs="Times New Roman"/>
        </w:rPr>
        <w:t>the</w:t>
      </w:r>
      <w:r w:rsidR="00DA6819">
        <w:rPr>
          <w:rFonts w:ascii="Verdana" w:hAnsi="Verdana" w:cs="Times New Roman"/>
        </w:rPr>
        <w:t xml:space="preserve"> growing propensity to low trauma osteoporotic fracture</w:t>
      </w:r>
      <w:r w:rsidR="00E71251">
        <w:rPr>
          <w:rFonts w:ascii="Verdana" w:hAnsi="Verdana" w:cs="Times New Roman"/>
        </w:rPr>
        <w:t>s</w:t>
      </w:r>
      <w:r w:rsidR="00DA6819">
        <w:rPr>
          <w:rFonts w:ascii="Verdana" w:hAnsi="Verdana" w:cs="Times New Roman"/>
        </w:rPr>
        <w:t xml:space="preserve"> at older ages</w:t>
      </w:r>
      <w:r w:rsidR="008046D0" w:rsidRPr="00106A79">
        <w:rPr>
          <w:rFonts w:ascii="Verdana" w:hAnsi="Verdana" w:cs="Times New Roman"/>
        </w:rPr>
        <w:t xml:space="preserve"> </w:t>
      </w:r>
      <w:r w:rsidR="003D7DFA" w:rsidRPr="00106A79">
        <w:rPr>
          <w:rFonts w:ascii="Verdana" w:hAnsi="Verdana" w:cs="Times New Roman"/>
        </w:rPr>
        <w:t>[</w:t>
      </w:r>
      <w:r w:rsidR="00C27045">
        <w:rPr>
          <w:rFonts w:ascii="Verdana" w:hAnsi="Verdana" w:cs="Times New Roman"/>
        </w:rPr>
        <w:t>24</w:t>
      </w:r>
      <w:r w:rsidR="008046D0" w:rsidRPr="00106A79">
        <w:rPr>
          <w:rFonts w:ascii="Verdana" w:hAnsi="Verdana" w:cs="Times New Roman"/>
        </w:rPr>
        <w:t>].</w:t>
      </w:r>
    </w:p>
    <w:p w14:paraId="0240B613" w14:textId="77777777" w:rsidR="00447FCD" w:rsidRPr="00106A79" w:rsidRDefault="00447FCD" w:rsidP="00106A79">
      <w:pPr>
        <w:spacing w:line="480" w:lineRule="auto"/>
        <w:rPr>
          <w:rFonts w:ascii="Verdana" w:hAnsi="Verdana" w:cs="Times New Roman"/>
        </w:rPr>
      </w:pPr>
    </w:p>
    <w:p w14:paraId="0795A177" w14:textId="77777777" w:rsidR="00C40E0D" w:rsidRPr="00106A79" w:rsidRDefault="00C40E0D" w:rsidP="00106A79">
      <w:pPr>
        <w:spacing w:line="480" w:lineRule="auto"/>
        <w:rPr>
          <w:rFonts w:ascii="Verdana" w:hAnsi="Verdana" w:cs="Times New Roman"/>
          <w:b/>
        </w:rPr>
      </w:pPr>
      <w:r w:rsidRPr="00106A79">
        <w:rPr>
          <w:rFonts w:ascii="Verdana" w:hAnsi="Verdana" w:cs="Times New Roman"/>
          <w:b/>
        </w:rPr>
        <w:t>The impact of musculoskeletal dis</w:t>
      </w:r>
      <w:r w:rsidR="00695BDB" w:rsidRPr="00106A79">
        <w:rPr>
          <w:rFonts w:ascii="Verdana" w:hAnsi="Verdana" w:cs="Times New Roman"/>
          <w:b/>
        </w:rPr>
        <w:t>orders</w:t>
      </w:r>
      <w:r w:rsidRPr="00106A79">
        <w:rPr>
          <w:rFonts w:ascii="Verdana" w:hAnsi="Verdana" w:cs="Times New Roman"/>
          <w:b/>
        </w:rPr>
        <w:t xml:space="preserve"> on work participation</w:t>
      </w:r>
      <w:r w:rsidR="00066191" w:rsidRPr="00106A79">
        <w:rPr>
          <w:rFonts w:ascii="Verdana" w:hAnsi="Verdana" w:cs="Times New Roman"/>
          <w:b/>
        </w:rPr>
        <w:t xml:space="preserve"> at older ages</w:t>
      </w:r>
    </w:p>
    <w:p w14:paraId="12600C4E" w14:textId="5AE5C3C6" w:rsidR="00C4496A" w:rsidRPr="00106A79" w:rsidRDefault="00ED7A52" w:rsidP="00106A79">
      <w:pPr>
        <w:spacing w:line="480" w:lineRule="auto"/>
        <w:rPr>
          <w:rFonts w:ascii="Verdana" w:hAnsi="Verdana" w:cs="Times New Roman"/>
        </w:rPr>
      </w:pPr>
      <w:r w:rsidRPr="00106A79">
        <w:rPr>
          <w:rFonts w:ascii="Verdana" w:hAnsi="Verdana" w:cs="Times New Roman"/>
        </w:rPr>
        <w:t xml:space="preserve">In this review, health-related ‘work participation’ encompasses various employment-related outcomes, ranging from usual paid work at one extreme to health-related job loss at the other. This last </w:t>
      </w:r>
      <w:r w:rsidR="00AD510F" w:rsidRPr="00106A79">
        <w:rPr>
          <w:rFonts w:ascii="Verdana" w:hAnsi="Verdana" w:cs="Times New Roman"/>
        </w:rPr>
        <w:t>event</w:t>
      </w:r>
      <w:r w:rsidRPr="00106A79">
        <w:rPr>
          <w:rFonts w:ascii="Verdana" w:hAnsi="Verdana" w:cs="Times New Roman"/>
        </w:rPr>
        <w:t xml:space="preserve"> may take the form of early retirement on health grounds or, in some countries, entitlement to a state-funded disability pension; in-between the extremes, patients may remain at work </w:t>
      </w:r>
      <w:r w:rsidR="00AD510F" w:rsidRPr="00106A79">
        <w:rPr>
          <w:rFonts w:ascii="Verdana" w:hAnsi="Verdana" w:cs="Times New Roman"/>
        </w:rPr>
        <w:t>with</w:t>
      </w:r>
      <w:r w:rsidRPr="00106A79">
        <w:rPr>
          <w:rFonts w:ascii="Verdana" w:hAnsi="Verdana" w:cs="Times New Roman"/>
        </w:rPr>
        <w:t xml:space="preserve"> amended or restricted duties, or diminished productivity (sometimes called ‘presenteeism’)</w:t>
      </w:r>
      <w:r w:rsidR="00AD510F" w:rsidRPr="00106A79">
        <w:rPr>
          <w:rFonts w:ascii="Verdana" w:hAnsi="Verdana" w:cs="Times New Roman"/>
        </w:rPr>
        <w:t>;</w:t>
      </w:r>
      <w:r w:rsidRPr="00106A79">
        <w:rPr>
          <w:rFonts w:ascii="Verdana" w:hAnsi="Verdana" w:cs="Times New Roman"/>
        </w:rPr>
        <w:t xml:space="preserve"> or </w:t>
      </w:r>
      <w:r w:rsidR="00AD510F" w:rsidRPr="00106A79">
        <w:rPr>
          <w:rFonts w:ascii="Verdana" w:hAnsi="Verdana" w:cs="Times New Roman"/>
        </w:rPr>
        <w:t xml:space="preserve">they </w:t>
      </w:r>
      <w:r w:rsidRPr="00106A79">
        <w:rPr>
          <w:rFonts w:ascii="Verdana" w:hAnsi="Verdana" w:cs="Times New Roman"/>
        </w:rPr>
        <w:t>may be employed but on</w:t>
      </w:r>
      <w:r w:rsidR="00AD510F" w:rsidRPr="00106A79">
        <w:rPr>
          <w:rFonts w:ascii="Verdana" w:hAnsi="Verdana" w:cs="Times New Roman"/>
        </w:rPr>
        <w:t xml:space="preserve"> sick leave;</w:t>
      </w:r>
      <w:r w:rsidRPr="00106A79">
        <w:rPr>
          <w:rFonts w:ascii="Verdana" w:hAnsi="Verdana" w:cs="Times New Roman"/>
        </w:rPr>
        <w:t xml:space="preserve"> or </w:t>
      </w:r>
      <w:r w:rsidR="00AD510F" w:rsidRPr="00106A79">
        <w:rPr>
          <w:rFonts w:ascii="Verdana" w:hAnsi="Verdana" w:cs="Times New Roman"/>
        </w:rPr>
        <w:t xml:space="preserve">they </w:t>
      </w:r>
      <w:r w:rsidRPr="00106A79">
        <w:rPr>
          <w:rFonts w:ascii="Verdana" w:hAnsi="Verdana" w:cs="Times New Roman"/>
        </w:rPr>
        <w:t>may</w:t>
      </w:r>
      <w:r w:rsidR="00AD510F" w:rsidRPr="00106A79">
        <w:rPr>
          <w:rFonts w:ascii="Verdana" w:hAnsi="Verdana" w:cs="Times New Roman"/>
        </w:rPr>
        <w:t xml:space="preserve"> have lost a job and</w:t>
      </w:r>
      <w:r w:rsidRPr="00106A79">
        <w:rPr>
          <w:rFonts w:ascii="Verdana" w:hAnsi="Verdana" w:cs="Times New Roman"/>
        </w:rPr>
        <w:t xml:space="preserve"> be </w:t>
      </w:r>
      <w:r w:rsidR="00AD510F" w:rsidRPr="00106A79">
        <w:rPr>
          <w:rFonts w:ascii="Verdana" w:hAnsi="Verdana" w:cs="Times New Roman"/>
        </w:rPr>
        <w:t xml:space="preserve">unemployed but not yet retired. </w:t>
      </w:r>
    </w:p>
    <w:p w14:paraId="09C4CE0B" w14:textId="77777777" w:rsidR="00C4496A" w:rsidRPr="00106A79" w:rsidRDefault="00C4496A" w:rsidP="00106A79">
      <w:pPr>
        <w:spacing w:line="480" w:lineRule="auto"/>
        <w:rPr>
          <w:rFonts w:ascii="Verdana" w:hAnsi="Verdana" w:cs="Times New Roman"/>
        </w:rPr>
      </w:pPr>
    </w:p>
    <w:p w14:paraId="5E212BB0" w14:textId="309D5F3D" w:rsidR="00CF7626" w:rsidRPr="00106A79" w:rsidRDefault="00590264" w:rsidP="00106A79">
      <w:pPr>
        <w:spacing w:line="480" w:lineRule="auto"/>
        <w:rPr>
          <w:rFonts w:ascii="Verdana" w:hAnsi="Verdana" w:cs="Times New Roman"/>
        </w:rPr>
      </w:pPr>
      <w:r w:rsidRPr="00106A79">
        <w:rPr>
          <w:rFonts w:ascii="Verdana" w:hAnsi="Verdana" w:cs="Times New Roman"/>
        </w:rPr>
        <w:t>Rates of these</w:t>
      </w:r>
      <w:r w:rsidR="00C4496A" w:rsidRPr="00106A79">
        <w:rPr>
          <w:rFonts w:ascii="Verdana" w:hAnsi="Verdana" w:cs="Times New Roman"/>
        </w:rPr>
        <w:t xml:space="preserve"> outcomes </w:t>
      </w:r>
      <w:r w:rsidRPr="00106A79">
        <w:rPr>
          <w:rFonts w:ascii="Verdana" w:hAnsi="Verdana" w:cs="Times New Roman"/>
        </w:rPr>
        <w:t>fluctuate</w:t>
      </w:r>
      <w:r w:rsidR="00343BBC" w:rsidRPr="00106A79">
        <w:rPr>
          <w:rFonts w:ascii="Verdana" w:hAnsi="Verdana" w:cs="Times New Roman"/>
        </w:rPr>
        <w:t xml:space="preserve"> considerably by time and place</w:t>
      </w:r>
      <w:r w:rsidRPr="00106A79">
        <w:rPr>
          <w:rFonts w:ascii="Verdana" w:hAnsi="Verdana" w:cs="Times New Roman"/>
        </w:rPr>
        <w:t xml:space="preserve">. </w:t>
      </w:r>
      <w:r w:rsidR="00F40617">
        <w:rPr>
          <w:rFonts w:ascii="Verdana" w:hAnsi="Verdana" w:cs="Times New Roman"/>
        </w:rPr>
        <w:t>Thus</w:t>
      </w:r>
      <w:r w:rsidRPr="00106A79">
        <w:rPr>
          <w:rFonts w:ascii="Verdana" w:hAnsi="Verdana" w:cs="Times New Roman"/>
        </w:rPr>
        <w:t xml:space="preserve">, </w:t>
      </w:r>
      <w:r w:rsidR="004B726F">
        <w:rPr>
          <w:rFonts w:ascii="Verdana" w:hAnsi="Verdana" w:cs="Times New Roman"/>
        </w:rPr>
        <w:t>during</w:t>
      </w:r>
      <w:r w:rsidR="004B726F" w:rsidRPr="00106A79">
        <w:rPr>
          <w:rFonts w:ascii="Verdana" w:hAnsi="Verdana" w:cs="Times New Roman"/>
        </w:rPr>
        <w:t xml:space="preserve"> </w:t>
      </w:r>
      <w:r w:rsidRPr="00106A79">
        <w:rPr>
          <w:rFonts w:ascii="Verdana" w:hAnsi="Verdana" w:cs="Times New Roman"/>
        </w:rPr>
        <w:t>1971</w:t>
      </w:r>
      <w:r w:rsidR="004B726F">
        <w:rPr>
          <w:rFonts w:ascii="Verdana" w:hAnsi="Verdana" w:cs="Times New Roman"/>
        </w:rPr>
        <w:t>-</w:t>
      </w:r>
      <w:r w:rsidRPr="00106A79">
        <w:rPr>
          <w:rFonts w:ascii="Verdana" w:hAnsi="Verdana" w:cs="Times New Roman"/>
        </w:rPr>
        <w:t>2005, rate</w:t>
      </w:r>
      <w:r w:rsidR="00F5477D">
        <w:rPr>
          <w:rFonts w:ascii="Verdana" w:hAnsi="Verdana" w:cs="Times New Roman"/>
        </w:rPr>
        <w:t>s</w:t>
      </w:r>
      <w:r w:rsidRPr="00106A79">
        <w:rPr>
          <w:rFonts w:ascii="Verdana" w:hAnsi="Verdana" w:cs="Times New Roman"/>
        </w:rPr>
        <w:t xml:space="preserve"> of </w:t>
      </w:r>
      <w:r w:rsidR="00EE2C68">
        <w:rPr>
          <w:rFonts w:ascii="Verdana" w:hAnsi="Verdana" w:cs="Times New Roman"/>
        </w:rPr>
        <w:t>new</w:t>
      </w:r>
      <w:r w:rsidR="00F40617" w:rsidRPr="00106A79">
        <w:rPr>
          <w:rFonts w:ascii="Verdana" w:hAnsi="Verdana" w:cs="Times New Roman"/>
        </w:rPr>
        <w:t xml:space="preserve"> </w:t>
      </w:r>
      <w:r w:rsidRPr="00106A79">
        <w:rPr>
          <w:rFonts w:ascii="Verdana" w:hAnsi="Verdana" w:cs="Times New Roman"/>
        </w:rPr>
        <w:t>disability pension</w:t>
      </w:r>
      <w:r w:rsidR="00EE2C68">
        <w:rPr>
          <w:rFonts w:ascii="Verdana" w:hAnsi="Verdana" w:cs="Times New Roman"/>
        </w:rPr>
        <w:t>ing</w:t>
      </w:r>
      <w:r w:rsidRPr="00106A79">
        <w:rPr>
          <w:rFonts w:ascii="Verdana" w:hAnsi="Verdana" w:cs="Times New Roman"/>
        </w:rPr>
        <w:t xml:space="preserve"> for MSDs increased </w:t>
      </w:r>
      <w:r w:rsidR="004B726F" w:rsidRPr="00106A79">
        <w:rPr>
          <w:rFonts w:ascii="Verdana" w:hAnsi="Verdana" w:cs="Times New Roman"/>
        </w:rPr>
        <w:t>&gt;12</w:t>
      </w:r>
      <w:r w:rsidR="004B726F">
        <w:rPr>
          <w:rFonts w:ascii="Verdana" w:hAnsi="Verdana" w:cs="Times New Roman"/>
        </w:rPr>
        <w:t>-fold</w:t>
      </w:r>
      <w:r w:rsidR="004B726F" w:rsidRPr="00106A79">
        <w:rPr>
          <w:rFonts w:ascii="Verdana" w:hAnsi="Verdana" w:cs="Times New Roman"/>
        </w:rPr>
        <w:t xml:space="preserve"> </w:t>
      </w:r>
      <w:r w:rsidRPr="00106A79">
        <w:rPr>
          <w:rFonts w:ascii="Verdana" w:hAnsi="Verdana" w:cs="Times New Roman"/>
        </w:rPr>
        <w:t>in similarly-aged Swedish women [</w:t>
      </w:r>
      <w:r w:rsidR="00C27045">
        <w:rPr>
          <w:rFonts w:ascii="Verdana" w:hAnsi="Verdana" w:cs="Times New Roman"/>
        </w:rPr>
        <w:t>25</w:t>
      </w:r>
      <w:r w:rsidRPr="00106A79">
        <w:rPr>
          <w:rFonts w:ascii="Verdana" w:hAnsi="Verdana" w:cs="Times New Roman"/>
        </w:rPr>
        <w:t xml:space="preserve">]. </w:t>
      </w:r>
      <w:r w:rsidR="00343BBC" w:rsidRPr="00106A79">
        <w:rPr>
          <w:rFonts w:ascii="Verdana" w:hAnsi="Verdana" w:cs="Times New Roman"/>
        </w:rPr>
        <w:t>A</w:t>
      </w:r>
      <w:r w:rsidR="009B1CE3" w:rsidRPr="00106A79">
        <w:rPr>
          <w:rFonts w:ascii="Verdana" w:hAnsi="Verdana" w:cs="Times New Roman"/>
        </w:rPr>
        <w:t xml:space="preserve">cross </w:t>
      </w:r>
      <w:r w:rsidR="000A4359">
        <w:rPr>
          <w:rFonts w:ascii="Verdana" w:hAnsi="Verdana" w:cs="Times New Roman"/>
        </w:rPr>
        <w:t>10</w:t>
      </w:r>
      <w:r w:rsidR="000A4359" w:rsidRPr="00106A79">
        <w:rPr>
          <w:rFonts w:ascii="Verdana" w:hAnsi="Verdana" w:cs="Times New Roman"/>
        </w:rPr>
        <w:t xml:space="preserve"> </w:t>
      </w:r>
      <w:r w:rsidR="009B1CE3" w:rsidRPr="00106A79">
        <w:rPr>
          <w:rFonts w:ascii="Verdana" w:hAnsi="Verdana" w:cs="Times New Roman"/>
        </w:rPr>
        <w:t>European countries a large variation</w:t>
      </w:r>
      <w:r w:rsidR="00343BBC" w:rsidRPr="00106A79">
        <w:rPr>
          <w:rFonts w:ascii="Verdana" w:hAnsi="Verdana" w:cs="Times New Roman"/>
        </w:rPr>
        <w:t xml:space="preserve"> </w:t>
      </w:r>
      <w:r w:rsidR="000A4359">
        <w:rPr>
          <w:rFonts w:ascii="Verdana" w:hAnsi="Verdana" w:cs="Times New Roman"/>
        </w:rPr>
        <w:t xml:space="preserve">exists </w:t>
      </w:r>
      <w:r w:rsidR="009B1CE3" w:rsidRPr="00106A79">
        <w:rPr>
          <w:rFonts w:ascii="Verdana" w:hAnsi="Verdana" w:cs="Times New Roman"/>
        </w:rPr>
        <w:t>in the proportion of 50-64 year</w:t>
      </w:r>
      <w:r w:rsidR="000A4359">
        <w:rPr>
          <w:rFonts w:ascii="Verdana" w:hAnsi="Verdana" w:cs="Times New Roman"/>
        </w:rPr>
        <w:t>-old</w:t>
      </w:r>
      <w:r w:rsidR="009B1CE3" w:rsidRPr="00106A79">
        <w:rPr>
          <w:rFonts w:ascii="Verdana" w:hAnsi="Verdana" w:cs="Times New Roman"/>
        </w:rPr>
        <w:t>s in paid employment</w:t>
      </w:r>
      <w:r w:rsidR="004B726F">
        <w:rPr>
          <w:rFonts w:ascii="Verdana" w:hAnsi="Verdana" w:cs="Times New Roman"/>
        </w:rPr>
        <w:t xml:space="preserve"> </w:t>
      </w:r>
      <w:r w:rsidR="00343BBC" w:rsidRPr="00106A79">
        <w:rPr>
          <w:rFonts w:ascii="Verdana" w:hAnsi="Verdana" w:cs="Times New Roman"/>
        </w:rPr>
        <w:t>[</w:t>
      </w:r>
      <w:r w:rsidR="00C27045">
        <w:rPr>
          <w:rFonts w:ascii="Verdana" w:hAnsi="Verdana" w:cs="Times New Roman"/>
        </w:rPr>
        <w:t>26</w:t>
      </w:r>
      <w:r w:rsidR="00343BBC" w:rsidRPr="00106A79">
        <w:rPr>
          <w:rFonts w:ascii="Verdana" w:hAnsi="Verdana" w:cs="Times New Roman"/>
        </w:rPr>
        <w:t>]</w:t>
      </w:r>
      <w:r w:rsidR="009B1CE3" w:rsidRPr="00106A79">
        <w:rPr>
          <w:rFonts w:ascii="Verdana" w:hAnsi="Verdana" w:cs="Times New Roman"/>
        </w:rPr>
        <w:t xml:space="preserve">; </w:t>
      </w:r>
      <w:r w:rsidR="00343BBC" w:rsidRPr="00106A79">
        <w:rPr>
          <w:rFonts w:ascii="Verdana" w:hAnsi="Verdana" w:cs="Times New Roman"/>
        </w:rPr>
        <w:t xml:space="preserve">among those with self-perceived poor health, </w:t>
      </w:r>
      <w:r w:rsidR="009B1CE3" w:rsidRPr="00106A79">
        <w:rPr>
          <w:rFonts w:ascii="Verdana" w:hAnsi="Verdana" w:cs="Times New Roman"/>
        </w:rPr>
        <w:t xml:space="preserve">odds of </w:t>
      </w:r>
      <w:r w:rsidR="000A4359">
        <w:rPr>
          <w:rFonts w:ascii="Verdana" w:hAnsi="Verdana" w:cs="Times New Roman"/>
        </w:rPr>
        <w:t>health-related</w:t>
      </w:r>
      <w:r w:rsidR="009B1CE3" w:rsidRPr="00106A79">
        <w:rPr>
          <w:rFonts w:ascii="Verdana" w:hAnsi="Verdana" w:cs="Times New Roman"/>
        </w:rPr>
        <w:t xml:space="preserve"> retirement were elevated </w:t>
      </w:r>
      <w:r w:rsidR="000A4359">
        <w:rPr>
          <w:rFonts w:ascii="Verdana" w:hAnsi="Verdana" w:cs="Times New Roman"/>
        </w:rPr>
        <w:t>everywhere</w:t>
      </w:r>
      <w:r w:rsidR="00343BBC" w:rsidRPr="00106A79">
        <w:rPr>
          <w:rFonts w:ascii="Verdana" w:hAnsi="Verdana" w:cs="Times New Roman"/>
        </w:rPr>
        <w:t>,</w:t>
      </w:r>
      <w:r w:rsidR="009B1CE3" w:rsidRPr="00106A79">
        <w:rPr>
          <w:rFonts w:ascii="Verdana" w:hAnsi="Verdana" w:cs="Times New Roman"/>
        </w:rPr>
        <w:t xml:space="preserve"> but by &gt;4</w:t>
      </w:r>
      <w:r w:rsidR="000A4359">
        <w:rPr>
          <w:rFonts w:ascii="Verdana" w:hAnsi="Verdana" w:cs="Times New Roman"/>
        </w:rPr>
        <w:t>-fold</w:t>
      </w:r>
      <w:r w:rsidR="009B1CE3" w:rsidRPr="00106A79">
        <w:rPr>
          <w:rFonts w:ascii="Verdana" w:hAnsi="Verdana" w:cs="Times New Roman"/>
        </w:rPr>
        <w:t xml:space="preserve"> in Sweden and Denmark </w:t>
      </w:r>
      <w:r w:rsidR="000A4359">
        <w:rPr>
          <w:rFonts w:ascii="Verdana" w:hAnsi="Verdana" w:cs="Times New Roman"/>
        </w:rPr>
        <w:t>and</w:t>
      </w:r>
      <w:r w:rsidR="000A4359" w:rsidRPr="00106A79">
        <w:rPr>
          <w:rFonts w:ascii="Verdana" w:hAnsi="Verdana" w:cs="Times New Roman"/>
        </w:rPr>
        <w:t xml:space="preserve"> </w:t>
      </w:r>
      <w:r w:rsidR="00EE2C68" w:rsidRPr="00E14159">
        <w:rPr>
          <w:rFonts w:ascii="Verdana" w:hAnsi="Verdana" w:cs="Times New Roman"/>
        </w:rPr>
        <w:t>far less</w:t>
      </w:r>
      <w:r w:rsidR="009B1CE3" w:rsidRPr="00106A79">
        <w:rPr>
          <w:rFonts w:ascii="Verdana" w:hAnsi="Verdana" w:cs="Times New Roman"/>
        </w:rPr>
        <w:t xml:space="preserve"> </w:t>
      </w:r>
      <w:r w:rsidR="00343BBC" w:rsidRPr="00106A79">
        <w:rPr>
          <w:rFonts w:ascii="Verdana" w:hAnsi="Verdana" w:cs="Times New Roman"/>
        </w:rPr>
        <w:t>in France and the Netherlands</w:t>
      </w:r>
      <w:r w:rsidR="009B1CE3" w:rsidRPr="00106A79">
        <w:rPr>
          <w:rFonts w:ascii="Verdana" w:hAnsi="Verdana" w:cs="Times New Roman"/>
        </w:rPr>
        <w:t xml:space="preserve">. </w:t>
      </w:r>
      <w:r w:rsidR="00343BBC" w:rsidRPr="00106A79">
        <w:rPr>
          <w:rFonts w:ascii="Verdana" w:hAnsi="Verdana" w:cs="Times New Roman"/>
        </w:rPr>
        <w:t xml:space="preserve"> </w:t>
      </w:r>
      <w:r w:rsidR="00C72AA1" w:rsidRPr="00106A79">
        <w:rPr>
          <w:rFonts w:ascii="Verdana" w:hAnsi="Verdana" w:cs="Times New Roman"/>
        </w:rPr>
        <w:t xml:space="preserve">In the National Health Service, rates of ill-health retirement have varied </w:t>
      </w:r>
      <w:r w:rsidR="000A4359">
        <w:rPr>
          <w:rFonts w:ascii="Verdana" w:hAnsi="Verdana" w:cs="Times New Roman"/>
        </w:rPr>
        <w:t>&gt;</w:t>
      </w:r>
      <w:r w:rsidR="00C72AA1" w:rsidRPr="00106A79">
        <w:rPr>
          <w:rFonts w:ascii="Verdana" w:hAnsi="Verdana" w:cs="Times New Roman"/>
        </w:rPr>
        <w:t>10-fold between employing organisations [</w:t>
      </w:r>
      <w:r w:rsidR="00C27045">
        <w:rPr>
          <w:rFonts w:ascii="Verdana" w:hAnsi="Verdana" w:cs="Times New Roman"/>
        </w:rPr>
        <w:t>27</w:t>
      </w:r>
      <w:r w:rsidR="00C72AA1" w:rsidRPr="00106A79">
        <w:rPr>
          <w:rFonts w:ascii="Verdana" w:hAnsi="Verdana" w:cs="Times New Roman"/>
        </w:rPr>
        <w:t xml:space="preserve">]. </w:t>
      </w:r>
    </w:p>
    <w:p w14:paraId="3995DD29" w14:textId="77777777" w:rsidR="00CF7626" w:rsidRPr="00106A79" w:rsidRDefault="00CF7626" w:rsidP="00106A79">
      <w:pPr>
        <w:spacing w:line="480" w:lineRule="auto"/>
        <w:rPr>
          <w:rFonts w:ascii="Verdana" w:hAnsi="Verdana" w:cs="Times New Roman"/>
        </w:rPr>
      </w:pPr>
    </w:p>
    <w:p w14:paraId="4552445D" w14:textId="6F67549D" w:rsidR="00343BBC" w:rsidRPr="00106A79" w:rsidRDefault="00EE2C68" w:rsidP="00106A79">
      <w:pPr>
        <w:spacing w:line="480" w:lineRule="auto"/>
        <w:rPr>
          <w:rFonts w:ascii="Verdana" w:hAnsi="Verdana" w:cs="Times New Roman"/>
        </w:rPr>
      </w:pPr>
      <w:r>
        <w:rPr>
          <w:rFonts w:ascii="Verdana" w:hAnsi="Verdana" w:cs="Times New Roman"/>
        </w:rPr>
        <w:t>Non-medical f</w:t>
      </w:r>
      <w:r w:rsidRPr="00106A79">
        <w:rPr>
          <w:rFonts w:ascii="Verdana" w:hAnsi="Verdana" w:cs="Times New Roman"/>
        </w:rPr>
        <w:t xml:space="preserve">actors </w:t>
      </w:r>
      <w:r>
        <w:rPr>
          <w:rFonts w:ascii="Verdana" w:hAnsi="Verdana" w:cs="Times New Roman"/>
        </w:rPr>
        <w:t>contribute</w:t>
      </w:r>
      <w:r w:rsidRPr="00106A79">
        <w:rPr>
          <w:rFonts w:ascii="Verdana" w:hAnsi="Verdana" w:cs="Times New Roman"/>
        </w:rPr>
        <w:t xml:space="preserve"> </w:t>
      </w:r>
      <w:r w:rsidR="00343BBC" w:rsidRPr="00106A79">
        <w:rPr>
          <w:rFonts w:ascii="Verdana" w:hAnsi="Verdana" w:cs="Times New Roman"/>
        </w:rPr>
        <w:t xml:space="preserve">to this variation.  Local employment conditions, rules of entitlement and </w:t>
      </w:r>
      <w:r w:rsidR="000A4359" w:rsidRPr="00106A79">
        <w:rPr>
          <w:rFonts w:ascii="Verdana" w:hAnsi="Verdana" w:cs="Times New Roman"/>
        </w:rPr>
        <w:t xml:space="preserve">support </w:t>
      </w:r>
      <w:r w:rsidR="00343BBC" w:rsidRPr="00106A79">
        <w:rPr>
          <w:rFonts w:ascii="Verdana" w:hAnsi="Verdana" w:cs="Times New Roman"/>
        </w:rPr>
        <w:t>systems, individuals’ behaviour</w:t>
      </w:r>
      <w:r w:rsidR="00111602" w:rsidRPr="00106A79">
        <w:rPr>
          <w:rFonts w:ascii="Verdana" w:hAnsi="Verdana" w:cs="Times New Roman"/>
        </w:rPr>
        <w:t xml:space="preserve"> and preferences </w:t>
      </w:r>
      <w:r>
        <w:rPr>
          <w:rFonts w:ascii="Verdana" w:hAnsi="Verdana" w:cs="Times New Roman"/>
        </w:rPr>
        <w:t>all</w:t>
      </w:r>
      <w:r w:rsidR="00343BBC" w:rsidRPr="00106A79">
        <w:rPr>
          <w:rFonts w:ascii="Verdana" w:hAnsi="Verdana" w:cs="Times New Roman"/>
        </w:rPr>
        <w:t xml:space="preserve"> play a role. Thus, </w:t>
      </w:r>
      <w:r w:rsidR="00590264" w:rsidRPr="00106A79">
        <w:rPr>
          <w:rFonts w:ascii="Verdana" w:hAnsi="Verdana" w:cs="Times New Roman"/>
        </w:rPr>
        <w:t>high</w:t>
      </w:r>
      <w:r w:rsidR="00343BBC" w:rsidRPr="00106A79">
        <w:rPr>
          <w:rFonts w:ascii="Verdana" w:hAnsi="Verdana" w:cs="Times New Roman"/>
        </w:rPr>
        <w:t>er</w:t>
      </w:r>
      <w:r w:rsidR="00590264" w:rsidRPr="00106A79">
        <w:rPr>
          <w:rFonts w:ascii="Verdana" w:hAnsi="Verdana" w:cs="Times New Roman"/>
        </w:rPr>
        <w:t xml:space="preserve"> rates</w:t>
      </w:r>
      <w:r w:rsidR="00343BBC" w:rsidRPr="00106A79">
        <w:rPr>
          <w:rFonts w:ascii="Verdana" w:hAnsi="Verdana" w:cs="Times New Roman"/>
        </w:rPr>
        <w:t xml:space="preserve"> of disability pensioning</w:t>
      </w:r>
      <w:r w:rsidR="00590264" w:rsidRPr="00106A79">
        <w:rPr>
          <w:rFonts w:ascii="Verdana" w:hAnsi="Verdana" w:cs="Times New Roman"/>
        </w:rPr>
        <w:t xml:space="preserve"> </w:t>
      </w:r>
      <w:r w:rsidR="000A4359">
        <w:rPr>
          <w:rFonts w:ascii="Verdana" w:hAnsi="Verdana" w:cs="Times New Roman"/>
        </w:rPr>
        <w:t>exist</w:t>
      </w:r>
      <w:r w:rsidR="00590264" w:rsidRPr="00106A79">
        <w:rPr>
          <w:rFonts w:ascii="Verdana" w:hAnsi="Verdana" w:cs="Times New Roman"/>
        </w:rPr>
        <w:t xml:space="preserve"> among </w:t>
      </w:r>
      <w:r w:rsidR="00111602" w:rsidRPr="00106A79">
        <w:rPr>
          <w:rFonts w:ascii="Verdana" w:hAnsi="Verdana" w:cs="Times New Roman"/>
        </w:rPr>
        <w:t xml:space="preserve">women </w:t>
      </w:r>
      <w:r w:rsidR="00111602" w:rsidRPr="00106A79">
        <w:rPr>
          <w:rFonts w:ascii="Verdana" w:hAnsi="Verdana" w:cs="Times New Roman"/>
        </w:rPr>
        <w:lastRenderedPageBreak/>
        <w:t>liv</w:t>
      </w:r>
      <w:r w:rsidR="000A4359">
        <w:rPr>
          <w:rFonts w:ascii="Verdana" w:hAnsi="Verdana" w:cs="Times New Roman"/>
        </w:rPr>
        <w:t>ing</w:t>
      </w:r>
      <w:r w:rsidR="00590264" w:rsidRPr="00106A79">
        <w:rPr>
          <w:rFonts w:ascii="Verdana" w:hAnsi="Verdana" w:cs="Times New Roman"/>
        </w:rPr>
        <w:t xml:space="preserve"> alone,</w:t>
      </w:r>
      <w:r w:rsidR="00343BBC" w:rsidRPr="00106A79">
        <w:rPr>
          <w:rFonts w:ascii="Verdana" w:hAnsi="Verdana" w:cs="Times New Roman"/>
        </w:rPr>
        <w:t xml:space="preserve"> or</w:t>
      </w:r>
      <w:r w:rsidR="00590264" w:rsidRPr="00106A79">
        <w:rPr>
          <w:rFonts w:ascii="Verdana" w:hAnsi="Verdana" w:cs="Times New Roman"/>
        </w:rPr>
        <w:t xml:space="preserve"> socially isolated, </w:t>
      </w:r>
      <w:r w:rsidR="00343BBC" w:rsidRPr="00106A79">
        <w:rPr>
          <w:rFonts w:ascii="Verdana" w:hAnsi="Verdana" w:cs="Times New Roman"/>
        </w:rPr>
        <w:t xml:space="preserve">or </w:t>
      </w:r>
      <w:r w:rsidR="000A4359">
        <w:rPr>
          <w:rFonts w:ascii="Verdana" w:hAnsi="Verdana" w:cs="Times New Roman"/>
        </w:rPr>
        <w:t>with</w:t>
      </w:r>
      <w:r w:rsidR="00590264" w:rsidRPr="00106A79">
        <w:rPr>
          <w:rFonts w:ascii="Verdana" w:hAnsi="Verdana" w:cs="Times New Roman"/>
        </w:rPr>
        <w:t xml:space="preserve"> limited savings</w:t>
      </w:r>
      <w:r w:rsidR="00343BBC" w:rsidRPr="00106A79">
        <w:rPr>
          <w:rFonts w:ascii="Verdana" w:hAnsi="Verdana" w:cs="Times New Roman"/>
        </w:rPr>
        <w:t xml:space="preserve"> [</w:t>
      </w:r>
      <w:r w:rsidR="008B5144">
        <w:rPr>
          <w:rFonts w:ascii="Verdana" w:hAnsi="Verdana" w:cs="Times New Roman"/>
        </w:rPr>
        <w:t>25</w:t>
      </w:r>
      <w:r w:rsidR="00343BBC" w:rsidRPr="00106A79">
        <w:rPr>
          <w:rFonts w:ascii="Verdana" w:hAnsi="Verdana" w:cs="Times New Roman"/>
        </w:rPr>
        <w:t>]</w:t>
      </w:r>
      <w:r w:rsidR="00111602" w:rsidRPr="00106A79">
        <w:rPr>
          <w:rFonts w:ascii="Verdana" w:hAnsi="Verdana" w:cs="Times New Roman"/>
        </w:rPr>
        <w:t>;</w:t>
      </w:r>
      <w:r w:rsidR="00590264" w:rsidRPr="00106A79">
        <w:rPr>
          <w:rFonts w:ascii="Verdana" w:hAnsi="Verdana" w:cs="Times New Roman"/>
        </w:rPr>
        <w:t xml:space="preserve"> </w:t>
      </w:r>
      <w:r w:rsidR="00CF7626" w:rsidRPr="00106A79">
        <w:rPr>
          <w:rFonts w:ascii="Verdana" w:hAnsi="Verdana" w:cs="Times New Roman"/>
        </w:rPr>
        <w:t xml:space="preserve">ill-health retirement </w:t>
      </w:r>
      <w:r w:rsidR="00C72AA1" w:rsidRPr="00106A79">
        <w:rPr>
          <w:rFonts w:ascii="Verdana" w:hAnsi="Verdana" w:cs="Times New Roman"/>
        </w:rPr>
        <w:t>rates</w:t>
      </w:r>
      <w:r w:rsidR="00111602" w:rsidRPr="00106A79">
        <w:rPr>
          <w:rFonts w:ascii="Verdana" w:hAnsi="Verdana" w:cs="Times New Roman"/>
        </w:rPr>
        <w:t xml:space="preserve"> peak</w:t>
      </w:r>
      <w:r w:rsidR="00C72AA1" w:rsidRPr="00106A79">
        <w:rPr>
          <w:rFonts w:ascii="Verdana" w:hAnsi="Verdana" w:cs="Times New Roman"/>
        </w:rPr>
        <w:t xml:space="preserve"> </w:t>
      </w:r>
      <w:r w:rsidR="00CF7626" w:rsidRPr="00106A79">
        <w:rPr>
          <w:rFonts w:ascii="Verdana" w:hAnsi="Verdana" w:cs="Times New Roman"/>
        </w:rPr>
        <w:t xml:space="preserve">at times that coincide with </w:t>
      </w:r>
      <w:r w:rsidR="00C72AA1" w:rsidRPr="00106A79">
        <w:rPr>
          <w:rFonts w:ascii="Verdana" w:hAnsi="Verdana" w:cs="Times New Roman"/>
        </w:rPr>
        <w:t>enhance</w:t>
      </w:r>
      <w:r w:rsidR="00F5477D">
        <w:rPr>
          <w:rFonts w:ascii="Verdana" w:hAnsi="Verdana" w:cs="Times New Roman"/>
        </w:rPr>
        <w:t>d</w:t>
      </w:r>
      <w:r w:rsidR="00C72AA1" w:rsidRPr="00106A79">
        <w:rPr>
          <w:rFonts w:ascii="Verdana" w:hAnsi="Verdana" w:cs="Times New Roman"/>
        </w:rPr>
        <w:t xml:space="preserve"> pension entitlements [</w:t>
      </w:r>
      <w:r w:rsidR="00A65A22">
        <w:rPr>
          <w:rFonts w:ascii="Verdana" w:hAnsi="Verdana" w:cs="Times New Roman"/>
        </w:rPr>
        <w:t>27,</w:t>
      </w:r>
      <w:r w:rsidR="00C27045">
        <w:rPr>
          <w:rFonts w:ascii="Verdana" w:hAnsi="Verdana" w:cs="Times New Roman"/>
        </w:rPr>
        <w:t>28</w:t>
      </w:r>
      <w:r w:rsidR="00C72AA1" w:rsidRPr="00106A79">
        <w:rPr>
          <w:rFonts w:ascii="Verdana" w:hAnsi="Verdana" w:cs="Times New Roman"/>
        </w:rPr>
        <w:t>].</w:t>
      </w:r>
    </w:p>
    <w:p w14:paraId="00156ECB" w14:textId="77777777" w:rsidR="00343BBC" w:rsidRPr="00106A79" w:rsidRDefault="00343BBC" w:rsidP="00106A79">
      <w:pPr>
        <w:spacing w:line="480" w:lineRule="auto"/>
        <w:rPr>
          <w:rFonts w:ascii="Verdana" w:hAnsi="Verdana" w:cs="Times New Roman"/>
        </w:rPr>
      </w:pPr>
    </w:p>
    <w:p w14:paraId="51480E67" w14:textId="4BE10A80" w:rsidR="00ED7A52" w:rsidRPr="00106A79" w:rsidRDefault="00343BBC" w:rsidP="00106A79">
      <w:pPr>
        <w:spacing w:line="480" w:lineRule="auto"/>
        <w:rPr>
          <w:rFonts w:ascii="Verdana" w:hAnsi="Verdana" w:cs="Times New Roman"/>
        </w:rPr>
      </w:pPr>
      <w:r w:rsidRPr="00106A79">
        <w:rPr>
          <w:rFonts w:ascii="Verdana" w:hAnsi="Verdana" w:cs="Times New Roman"/>
        </w:rPr>
        <w:t>Consistently</w:t>
      </w:r>
      <w:r w:rsidR="00111602" w:rsidRPr="00106A79">
        <w:rPr>
          <w:rFonts w:ascii="Verdana" w:hAnsi="Verdana" w:cs="Times New Roman"/>
        </w:rPr>
        <w:t xml:space="preserve"> across a large literature, however</w:t>
      </w:r>
      <w:r w:rsidRPr="00106A79">
        <w:rPr>
          <w:rFonts w:ascii="Verdana" w:hAnsi="Verdana" w:cs="Times New Roman"/>
        </w:rPr>
        <w:t>,</w:t>
      </w:r>
      <w:r w:rsidR="0015730C" w:rsidRPr="00106A79">
        <w:rPr>
          <w:rFonts w:ascii="Verdana" w:hAnsi="Verdana" w:cs="Times New Roman"/>
        </w:rPr>
        <w:t xml:space="preserve"> </w:t>
      </w:r>
      <w:r w:rsidR="00590264" w:rsidRPr="00106A79">
        <w:rPr>
          <w:rFonts w:ascii="Verdana" w:hAnsi="Verdana" w:cs="Times New Roman"/>
        </w:rPr>
        <w:t xml:space="preserve">age </w:t>
      </w:r>
      <w:r w:rsidR="00C4496A" w:rsidRPr="00106A79">
        <w:rPr>
          <w:rFonts w:ascii="Verdana" w:hAnsi="Verdana" w:cs="Times New Roman"/>
        </w:rPr>
        <w:t>and musculoskeletal health are</w:t>
      </w:r>
      <w:r w:rsidR="00590264" w:rsidRPr="00106A79">
        <w:rPr>
          <w:rFonts w:ascii="Verdana" w:hAnsi="Verdana" w:cs="Times New Roman"/>
        </w:rPr>
        <w:t xml:space="preserve"> </w:t>
      </w:r>
      <w:r w:rsidR="00C4496A" w:rsidRPr="00106A79">
        <w:rPr>
          <w:rFonts w:ascii="Verdana" w:hAnsi="Verdana" w:cs="Times New Roman"/>
        </w:rPr>
        <w:t xml:space="preserve">significant </w:t>
      </w:r>
      <w:r w:rsidR="000200A1" w:rsidRPr="00106A79">
        <w:rPr>
          <w:rFonts w:ascii="Verdana" w:hAnsi="Verdana" w:cs="Times New Roman"/>
        </w:rPr>
        <w:t>determinan</w:t>
      </w:r>
      <w:r w:rsidR="000200A1">
        <w:rPr>
          <w:rFonts w:ascii="Verdana" w:hAnsi="Verdana" w:cs="Times New Roman"/>
        </w:rPr>
        <w:t>ts</w:t>
      </w:r>
      <w:r w:rsidR="00C4496A" w:rsidRPr="00106A79">
        <w:rPr>
          <w:rFonts w:ascii="Verdana" w:hAnsi="Verdana" w:cs="Times New Roman"/>
        </w:rPr>
        <w:t>.</w:t>
      </w:r>
      <w:r w:rsidR="00590264" w:rsidRPr="00106A79">
        <w:rPr>
          <w:rFonts w:ascii="Verdana" w:hAnsi="Verdana" w:cs="Times New Roman"/>
        </w:rPr>
        <w:t xml:space="preserve"> </w:t>
      </w:r>
    </w:p>
    <w:p w14:paraId="545D6926" w14:textId="77777777" w:rsidR="00111602" w:rsidRPr="00106A79" w:rsidRDefault="00111602" w:rsidP="00106A79">
      <w:pPr>
        <w:spacing w:line="480" w:lineRule="auto"/>
        <w:rPr>
          <w:rFonts w:ascii="Verdana" w:hAnsi="Verdana" w:cs="Times New Roman"/>
        </w:rPr>
      </w:pPr>
    </w:p>
    <w:p w14:paraId="1E97B537" w14:textId="28FAF5D0" w:rsidR="00624F00" w:rsidRPr="00106A79" w:rsidRDefault="00111602" w:rsidP="00106A79">
      <w:pPr>
        <w:spacing w:line="480" w:lineRule="auto"/>
        <w:rPr>
          <w:rFonts w:ascii="Verdana" w:hAnsi="Verdana" w:cs="Times New Roman"/>
        </w:rPr>
      </w:pPr>
      <w:r w:rsidRPr="00106A79">
        <w:rPr>
          <w:rFonts w:ascii="Verdana" w:hAnsi="Verdana" w:cs="Times New Roman"/>
        </w:rPr>
        <w:t xml:space="preserve">As </w:t>
      </w:r>
      <w:r w:rsidR="002F0B9C">
        <w:rPr>
          <w:rFonts w:ascii="Verdana" w:hAnsi="Verdana" w:cs="Times New Roman"/>
        </w:rPr>
        <w:t xml:space="preserve">might be </w:t>
      </w:r>
      <w:r w:rsidRPr="00106A79">
        <w:rPr>
          <w:rFonts w:ascii="Verdana" w:hAnsi="Verdana" w:cs="Times New Roman"/>
        </w:rPr>
        <w:t>expected, l</w:t>
      </w:r>
      <w:r w:rsidR="00590264" w:rsidRPr="00106A79">
        <w:rPr>
          <w:rFonts w:ascii="Verdana" w:hAnsi="Verdana" w:cs="Times New Roman"/>
        </w:rPr>
        <w:t xml:space="preserve">ong-term work disability </w:t>
      </w:r>
      <w:r w:rsidR="000200A1">
        <w:rPr>
          <w:rFonts w:ascii="Verdana" w:hAnsi="Verdana" w:cs="Times New Roman"/>
        </w:rPr>
        <w:t>strongly relates to</w:t>
      </w:r>
      <w:r w:rsidR="000200A1" w:rsidRPr="00106A79">
        <w:rPr>
          <w:rFonts w:ascii="Verdana" w:hAnsi="Verdana" w:cs="Times New Roman"/>
        </w:rPr>
        <w:t xml:space="preserve"> </w:t>
      </w:r>
      <w:r w:rsidR="00590264" w:rsidRPr="00106A79">
        <w:rPr>
          <w:rFonts w:ascii="Verdana" w:hAnsi="Verdana" w:cs="Times New Roman"/>
        </w:rPr>
        <w:t>age</w:t>
      </w:r>
      <w:r w:rsidR="00691E6F" w:rsidRPr="00106A79">
        <w:rPr>
          <w:rFonts w:ascii="Verdana" w:hAnsi="Verdana" w:cs="Times New Roman"/>
        </w:rPr>
        <w:t xml:space="preserve">. </w:t>
      </w:r>
      <w:r w:rsidR="00F5477D">
        <w:rPr>
          <w:rFonts w:ascii="Verdana" w:hAnsi="Verdana" w:cs="Times New Roman"/>
        </w:rPr>
        <w:t xml:space="preserve">Thus, for example, </w:t>
      </w:r>
      <w:r w:rsidR="00691E6F" w:rsidRPr="00106A79">
        <w:rPr>
          <w:rFonts w:ascii="Verdana" w:hAnsi="Verdana" w:cs="Times New Roman"/>
        </w:rPr>
        <w:t>all-cause incidence</w:t>
      </w:r>
      <w:r w:rsidR="00624F00" w:rsidRPr="00106A79">
        <w:rPr>
          <w:rFonts w:ascii="Verdana" w:hAnsi="Verdana" w:cs="Times New Roman"/>
        </w:rPr>
        <w:t xml:space="preserve"> of </w:t>
      </w:r>
      <w:r w:rsidR="00590264" w:rsidRPr="00106A79">
        <w:rPr>
          <w:rFonts w:ascii="Verdana" w:hAnsi="Verdana" w:cs="Times New Roman"/>
        </w:rPr>
        <w:t>work disability</w:t>
      </w:r>
      <w:r w:rsidR="00691E6F" w:rsidRPr="00106A79">
        <w:rPr>
          <w:rFonts w:ascii="Verdana" w:hAnsi="Verdana" w:cs="Times New Roman"/>
        </w:rPr>
        <w:t xml:space="preserve"> </w:t>
      </w:r>
      <w:r w:rsidR="004B726F">
        <w:rPr>
          <w:rFonts w:ascii="Verdana" w:hAnsi="Verdana" w:cs="Times New Roman"/>
        </w:rPr>
        <w:t xml:space="preserve">in Norway </w:t>
      </w:r>
      <w:r w:rsidR="00F5477D">
        <w:rPr>
          <w:rFonts w:ascii="Verdana" w:hAnsi="Verdana" w:cs="Times New Roman"/>
        </w:rPr>
        <w:t xml:space="preserve">rose 4.6-fold </w:t>
      </w:r>
      <w:r w:rsidR="00691E6F" w:rsidRPr="00106A79">
        <w:rPr>
          <w:rFonts w:ascii="Verdana" w:hAnsi="Verdana" w:cs="Times New Roman"/>
        </w:rPr>
        <w:t xml:space="preserve">over </w:t>
      </w:r>
      <w:r w:rsidR="00F5477D">
        <w:rPr>
          <w:rFonts w:ascii="Verdana" w:hAnsi="Verdana" w:cs="Times New Roman"/>
        </w:rPr>
        <w:t xml:space="preserve">follow-up </w:t>
      </w:r>
      <w:r w:rsidR="00F5477D" w:rsidRPr="00106A79">
        <w:rPr>
          <w:rFonts w:ascii="Verdana" w:hAnsi="Verdana" w:cs="Times New Roman"/>
        </w:rPr>
        <w:t xml:space="preserve">in </w:t>
      </w:r>
      <w:r w:rsidR="00F5477D">
        <w:rPr>
          <w:rFonts w:ascii="Verdana" w:hAnsi="Verdana" w:cs="Times New Roman"/>
        </w:rPr>
        <w:t xml:space="preserve">those </w:t>
      </w:r>
      <w:r w:rsidR="00F5477D" w:rsidRPr="00106A79">
        <w:rPr>
          <w:rFonts w:ascii="Verdana" w:hAnsi="Verdana" w:cs="Times New Roman"/>
        </w:rPr>
        <w:t xml:space="preserve">aged 60-62 </w:t>
      </w:r>
      <w:r w:rsidR="00F5477D">
        <w:rPr>
          <w:rFonts w:ascii="Verdana" w:hAnsi="Verdana" w:cs="Times New Roman"/>
        </w:rPr>
        <w:t xml:space="preserve">versus </w:t>
      </w:r>
      <w:r w:rsidR="00F5477D" w:rsidRPr="00106A79">
        <w:rPr>
          <w:rFonts w:ascii="Verdana" w:hAnsi="Verdana" w:cs="Times New Roman"/>
        </w:rPr>
        <w:t>20-22 years</w:t>
      </w:r>
      <w:r w:rsidR="00F5477D" w:rsidRPr="00106A79" w:rsidDel="000200A1">
        <w:rPr>
          <w:rFonts w:ascii="Verdana" w:hAnsi="Verdana" w:cs="Times New Roman"/>
        </w:rPr>
        <w:t xml:space="preserve"> </w:t>
      </w:r>
      <w:r w:rsidR="00691E6F" w:rsidRPr="00106A79">
        <w:rPr>
          <w:rFonts w:ascii="Verdana" w:hAnsi="Verdana" w:cs="Times New Roman"/>
        </w:rPr>
        <w:t xml:space="preserve"> at baseline</w:t>
      </w:r>
      <w:r w:rsidR="007F7CA1" w:rsidRPr="00106A79">
        <w:rPr>
          <w:rFonts w:ascii="Verdana" w:hAnsi="Verdana" w:cs="Times New Roman"/>
        </w:rPr>
        <w:t xml:space="preserve"> </w:t>
      </w:r>
      <w:r w:rsidR="00995528" w:rsidRPr="00106A79">
        <w:rPr>
          <w:rFonts w:ascii="Verdana" w:hAnsi="Verdana" w:cs="Times New Roman"/>
        </w:rPr>
        <w:t>[</w:t>
      </w:r>
      <w:r w:rsidR="00C27045">
        <w:rPr>
          <w:rFonts w:ascii="Verdana" w:hAnsi="Verdana" w:cs="Times New Roman"/>
        </w:rPr>
        <w:t>29</w:t>
      </w:r>
      <w:r w:rsidR="00995528" w:rsidRPr="00106A79">
        <w:rPr>
          <w:rFonts w:ascii="Verdana" w:hAnsi="Verdana" w:cs="Times New Roman"/>
        </w:rPr>
        <w:t>]</w:t>
      </w:r>
      <w:r w:rsidR="00F5477D">
        <w:rPr>
          <w:rFonts w:ascii="Verdana" w:hAnsi="Verdana" w:cs="Times New Roman"/>
        </w:rPr>
        <w:t>;</w:t>
      </w:r>
      <w:r w:rsidR="00691E6F" w:rsidRPr="00106A79">
        <w:rPr>
          <w:rFonts w:ascii="Verdana" w:hAnsi="Verdana" w:cs="Times New Roman"/>
        </w:rPr>
        <w:t xml:space="preserve"> </w:t>
      </w:r>
      <w:r w:rsidR="00F5477D">
        <w:rPr>
          <w:rFonts w:ascii="Verdana" w:hAnsi="Verdana" w:cs="Times New Roman"/>
        </w:rPr>
        <w:t>i</w:t>
      </w:r>
      <w:r w:rsidR="001E78DA" w:rsidRPr="00106A79">
        <w:rPr>
          <w:rFonts w:ascii="Verdana" w:hAnsi="Verdana" w:cs="Times New Roman"/>
        </w:rPr>
        <w:t xml:space="preserve">n </w:t>
      </w:r>
      <w:r w:rsidR="000200A1">
        <w:rPr>
          <w:rFonts w:ascii="Verdana" w:hAnsi="Verdana" w:cs="Times New Roman"/>
        </w:rPr>
        <w:t>a</w:t>
      </w:r>
      <w:r w:rsidR="000200A1" w:rsidRPr="00106A79">
        <w:rPr>
          <w:rFonts w:ascii="Verdana" w:hAnsi="Verdana" w:cs="Times New Roman"/>
        </w:rPr>
        <w:t xml:space="preserve"> </w:t>
      </w:r>
      <w:r w:rsidR="00F365C3" w:rsidRPr="00106A79">
        <w:rPr>
          <w:rFonts w:ascii="Verdana" w:hAnsi="Verdana" w:cs="Times New Roman"/>
        </w:rPr>
        <w:t xml:space="preserve">Danish </w:t>
      </w:r>
      <w:r w:rsidR="000200A1" w:rsidRPr="00106A79">
        <w:rPr>
          <w:rFonts w:ascii="Verdana" w:hAnsi="Verdana" w:cs="Times New Roman"/>
        </w:rPr>
        <w:t>national registry</w:t>
      </w:r>
      <w:r w:rsidR="001E78DA" w:rsidRPr="00106A79">
        <w:rPr>
          <w:rFonts w:ascii="Verdana" w:hAnsi="Verdana" w:cs="Times New Roman"/>
        </w:rPr>
        <w:t xml:space="preserve">, </w:t>
      </w:r>
      <w:r w:rsidR="00F365C3" w:rsidRPr="00106A79">
        <w:rPr>
          <w:rFonts w:ascii="Verdana" w:hAnsi="Verdana" w:cs="Times New Roman"/>
        </w:rPr>
        <w:t>risk of transition from work to disability pension was 2.5 time</w:t>
      </w:r>
      <w:r w:rsidR="00F5477D">
        <w:rPr>
          <w:rFonts w:ascii="Verdana" w:hAnsi="Verdana" w:cs="Times New Roman"/>
        </w:rPr>
        <w:t>s</w:t>
      </w:r>
      <w:r w:rsidR="00F365C3" w:rsidRPr="00106A79">
        <w:rPr>
          <w:rFonts w:ascii="Verdana" w:hAnsi="Verdana" w:cs="Times New Roman"/>
        </w:rPr>
        <w:t xml:space="preserve"> higher at 50-59 than at 20-29 [</w:t>
      </w:r>
      <w:r w:rsidR="00C27045">
        <w:rPr>
          <w:rFonts w:ascii="Verdana" w:hAnsi="Verdana" w:cs="Times New Roman"/>
        </w:rPr>
        <w:t>30</w:t>
      </w:r>
      <w:r w:rsidR="00F365C3" w:rsidRPr="00106A79">
        <w:rPr>
          <w:rFonts w:ascii="Verdana" w:hAnsi="Verdana" w:cs="Times New Roman"/>
        </w:rPr>
        <w:t>]</w:t>
      </w:r>
      <w:r w:rsidR="00F5477D">
        <w:rPr>
          <w:rFonts w:ascii="Verdana" w:hAnsi="Verdana" w:cs="Times New Roman"/>
        </w:rPr>
        <w:t>;</w:t>
      </w:r>
      <w:r w:rsidR="005B6240" w:rsidRPr="00106A79">
        <w:rPr>
          <w:rFonts w:ascii="Verdana" w:hAnsi="Verdana" w:cs="Times New Roman"/>
        </w:rPr>
        <w:t xml:space="preserve"> </w:t>
      </w:r>
      <w:r w:rsidR="00F5477D">
        <w:rPr>
          <w:rFonts w:ascii="Verdana" w:hAnsi="Verdana" w:cs="Times New Roman"/>
        </w:rPr>
        <w:t>a</w:t>
      </w:r>
      <w:r w:rsidR="00F5477D" w:rsidRPr="00106A79">
        <w:rPr>
          <w:rFonts w:ascii="Verdana" w:hAnsi="Verdana" w:cs="Times New Roman"/>
        </w:rPr>
        <w:t xml:space="preserve">nd </w:t>
      </w:r>
      <w:r w:rsidR="005B6240" w:rsidRPr="00106A79">
        <w:rPr>
          <w:rFonts w:ascii="Verdana" w:hAnsi="Verdana" w:cs="Times New Roman"/>
        </w:rPr>
        <w:t xml:space="preserve">in a Dutch cohort, disability pensioning after </w:t>
      </w:r>
      <w:r w:rsidR="00F5477D">
        <w:rPr>
          <w:rFonts w:ascii="Verdana" w:hAnsi="Verdana" w:cs="Times New Roman"/>
        </w:rPr>
        <w:t>a decade</w:t>
      </w:r>
      <w:r w:rsidR="005B6240" w:rsidRPr="00106A79">
        <w:rPr>
          <w:rFonts w:ascii="Verdana" w:hAnsi="Verdana" w:cs="Times New Roman"/>
        </w:rPr>
        <w:t xml:space="preserve"> was </w:t>
      </w:r>
      <w:r w:rsidR="00F5477D">
        <w:rPr>
          <w:rFonts w:ascii="Verdana" w:hAnsi="Verdana" w:cs="Times New Roman"/>
        </w:rPr>
        <w:t>~</w:t>
      </w:r>
      <w:r w:rsidR="005B6240" w:rsidRPr="00106A79">
        <w:rPr>
          <w:rFonts w:ascii="Verdana" w:hAnsi="Verdana" w:cs="Times New Roman"/>
        </w:rPr>
        <w:t xml:space="preserve">8-fold higher in 55-64 year-olds </w:t>
      </w:r>
      <w:r w:rsidR="00F5477D">
        <w:rPr>
          <w:rFonts w:ascii="Verdana" w:hAnsi="Verdana" w:cs="Times New Roman"/>
        </w:rPr>
        <w:t xml:space="preserve"> than</w:t>
      </w:r>
      <w:r w:rsidR="00F5477D" w:rsidRPr="00106A79">
        <w:rPr>
          <w:rFonts w:ascii="Verdana" w:hAnsi="Verdana" w:cs="Times New Roman"/>
        </w:rPr>
        <w:t xml:space="preserve"> </w:t>
      </w:r>
      <w:r w:rsidR="005B6240" w:rsidRPr="00106A79">
        <w:rPr>
          <w:rFonts w:ascii="Verdana" w:hAnsi="Verdana" w:cs="Times New Roman"/>
        </w:rPr>
        <w:t>in those initially aged 18-34 [</w:t>
      </w:r>
      <w:r w:rsidR="00C27045">
        <w:rPr>
          <w:rFonts w:ascii="Verdana" w:hAnsi="Verdana" w:cs="Times New Roman"/>
        </w:rPr>
        <w:t>31</w:t>
      </w:r>
      <w:r w:rsidR="005B6240" w:rsidRPr="00106A79">
        <w:rPr>
          <w:rFonts w:ascii="Verdana" w:hAnsi="Verdana" w:cs="Times New Roman"/>
        </w:rPr>
        <w:t xml:space="preserve">]. </w:t>
      </w:r>
    </w:p>
    <w:p w14:paraId="233A4AC2" w14:textId="77777777" w:rsidR="00194E2A" w:rsidRPr="00106A79" w:rsidRDefault="00194E2A" w:rsidP="00106A79">
      <w:pPr>
        <w:spacing w:line="480" w:lineRule="auto"/>
        <w:rPr>
          <w:rFonts w:ascii="Verdana" w:hAnsi="Verdana" w:cs="Times New Roman"/>
          <w:highlight w:val="yellow"/>
        </w:rPr>
      </w:pPr>
    </w:p>
    <w:p w14:paraId="0E52B332" w14:textId="77777777" w:rsidR="007A58D7" w:rsidRPr="00106A79" w:rsidRDefault="007A58D7" w:rsidP="00106A79">
      <w:pPr>
        <w:spacing w:line="480" w:lineRule="auto"/>
        <w:rPr>
          <w:rFonts w:ascii="Verdana" w:hAnsi="Verdana" w:cs="Times New Roman"/>
          <w:i/>
        </w:rPr>
      </w:pPr>
      <w:r w:rsidRPr="00106A79">
        <w:rPr>
          <w:rFonts w:ascii="Verdana" w:hAnsi="Verdana" w:cs="Times New Roman"/>
          <w:i/>
        </w:rPr>
        <w:t>Soft tissue rheumatism and osteoarthritis</w:t>
      </w:r>
    </w:p>
    <w:p w14:paraId="15B139EB" w14:textId="7784F978" w:rsidR="007F7CA1" w:rsidRPr="00106A79" w:rsidRDefault="00624F00" w:rsidP="00106A79">
      <w:pPr>
        <w:spacing w:line="480" w:lineRule="auto"/>
        <w:rPr>
          <w:rFonts w:ascii="Verdana" w:hAnsi="Verdana" w:cs="Times New Roman"/>
        </w:rPr>
      </w:pPr>
      <w:r w:rsidRPr="00106A79">
        <w:rPr>
          <w:rFonts w:ascii="Verdana" w:hAnsi="Verdana" w:cs="Times New Roman"/>
        </w:rPr>
        <w:t xml:space="preserve">Musculoskeletal </w:t>
      </w:r>
      <w:r w:rsidR="007A58D7" w:rsidRPr="00106A79">
        <w:rPr>
          <w:rFonts w:ascii="Verdana" w:hAnsi="Verdana" w:cs="Times New Roman"/>
        </w:rPr>
        <w:t>complaint</w:t>
      </w:r>
      <w:r w:rsidRPr="00106A79">
        <w:rPr>
          <w:rFonts w:ascii="Verdana" w:hAnsi="Verdana" w:cs="Times New Roman"/>
        </w:rPr>
        <w:t xml:space="preserve">s commonly underlie </w:t>
      </w:r>
      <w:r w:rsidR="00111602" w:rsidRPr="00106A79">
        <w:rPr>
          <w:rFonts w:ascii="Verdana" w:hAnsi="Verdana" w:cs="Times New Roman"/>
        </w:rPr>
        <w:t>reduced</w:t>
      </w:r>
      <w:r w:rsidR="00653867" w:rsidRPr="00106A79">
        <w:rPr>
          <w:rFonts w:ascii="Verdana" w:hAnsi="Verdana" w:cs="Times New Roman"/>
        </w:rPr>
        <w:t xml:space="preserve"> work participation</w:t>
      </w:r>
      <w:r w:rsidRPr="00106A79">
        <w:rPr>
          <w:rFonts w:ascii="Verdana" w:hAnsi="Verdana" w:cs="Times New Roman"/>
        </w:rPr>
        <w:t>. In one systematic review [</w:t>
      </w:r>
      <w:r w:rsidR="00C27045">
        <w:rPr>
          <w:rFonts w:ascii="Verdana" w:hAnsi="Verdana" w:cs="Times New Roman"/>
        </w:rPr>
        <w:t>32</w:t>
      </w:r>
      <w:r w:rsidRPr="00106A79">
        <w:rPr>
          <w:rFonts w:ascii="Verdana" w:hAnsi="Verdana" w:cs="Times New Roman"/>
        </w:rPr>
        <w:t>], 25 studies were found on MSDs and disability pensioni</w:t>
      </w:r>
      <w:r w:rsidR="0036161B" w:rsidRPr="00106A79">
        <w:rPr>
          <w:rFonts w:ascii="Verdana" w:hAnsi="Verdana" w:cs="Times New Roman"/>
        </w:rPr>
        <w:t>ng, encompassing 58,000 workers.</w:t>
      </w:r>
      <w:r w:rsidRPr="00106A79">
        <w:rPr>
          <w:rFonts w:ascii="Verdana" w:hAnsi="Verdana" w:cs="Times New Roman"/>
        </w:rPr>
        <w:t xml:space="preserve"> </w:t>
      </w:r>
      <w:r w:rsidR="0036161B" w:rsidRPr="00106A79">
        <w:rPr>
          <w:rFonts w:ascii="Verdana" w:hAnsi="Verdana" w:cs="Times New Roman"/>
        </w:rPr>
        <w:t xml:space="preserve">The pooled </w:t>
      </w:r>
      <w:r w:rsidR="004B726F">
        <w:rPr>
          <w:rFonts w:ascii="Verdana" w:hAnsi="Verdana" w:cs="Times New Roman"/>
        </w:rPr>
        <w:t>relative risk (RR)</w:t>
      </w:r>
      <w:r w:rsidR="004B726F" w:rsidRPr="00106A79">
        <w:rPr>
          <w:rFonts w:ascii="Verdana" w:hAnsi="Verdana" w:cs="Times New Roman"/>
        </w:rPr>
        <w:t xml:space="preserve"> </w:t>
      </w:r>
      <w:r w:rsidR="0036161B" w:rsidRPr="00106A79">
        <w:rPr>
          <w:rFonts w:ascii="Verdana" w:hAnsi="Verdana" w:cs="Times New Roman"/>
        </w:rPr>
        <w:t xml:space="preserve">for </w:t>
      </w:r>
      <w:r w:rsidR="00903515">
        <w:rPr>
          <w:rFonts w:ascii="Verdana" w:hAnsi="Verdana" w:cs="Times New Roman"/>
        </w:rPr>
        <w:t xml:space="preserve">disability </w:t>
      </w:r>
      <w:r w:rsidR="0036161B" w:rsidRPr="00106A79">
        <w:rPr>
          <w:rFonts w:ascii="Verdana" w:hAnsi="Verdana" w:cs="Times New Roman"/>
        </w:rPr>
        <w:t>pensioning was elevated 2.23-fold</w:t>
      </w:r>
      <w:r w:rsidR="00903515">
        <w:rPr>
          <w:rFonts w:ascii="Verdana" w:hAnsi="Verdana" w:cs="Times New Roman"/>
        </w:rPr>
        <w:t xml:space="preserve"> in those with MSDs</w:t>
      </w:r>
      <w:r w:rsidR="0036161B" w:rsidRPr="00106A79">
        <w:rPr>
          <w:rFonts w:ascii="Verdana" w:hAnsi="Verdana" w:cs="Times New Roman"/>
        </w:rPr>
        <w:t>.</w:t>
      </w:r>
      <w:r w:rsidR="0036161B" w:rsidRPr="00106A79">
        <w:rPr>
          <w:rFonts w:ascii="Verdana" w:hAnsi="Verdana"/>
        </w:rPr>
        <w:t xml:space="preserve"> </w:t>
      </w:r>
      <w:r w:rsidR="000200A1">
        <w:rPr>
          <w:rFonts w:ascii="Verdana" w:hAnsi="Verdana" w:cs="Times New Roman"/>
        </w:rPr>
        <w:t>Among included studies</w:t>
      </w:r>
      <w:r w:rsidR="0036161B" w:rsidRPr="00106A79">
        <w:rPr>
          <w:rFonts w:ascii="Verdana" w:hAnsi="Verdana" w:cs="Times New Roman"/>
        </w:rPr>
        <w:t xml:space="preserve">, </w:t>
      </w:r>
      <w:r w:rsidR="007F7CA1" w:rsidRPr="00106A79">
        <w:rPr>
          <w:rFonts w:ascii="Verdana" w:hAnsi="Verdana" w:cs="Times New Roman"/>
        </w:rPr>
        <w:t xml:space="preserve">risks of pensioning were more than doubled in nursing aids with inflammatory disease or frequent </w:t>
      </w:r>
      <w:r w:rsidR="000200A1">
        <w:rPr>
          <w:rFonts w:ascii="Verdana" w:hAnsi="Verdana" w:cs="Times New Roman"/>
        </w:rPr>
        <w:t>LBP</w:t>
      </w:r>
      <w:r w:rsidR="003D7DFA" w:rsidRPr="00106A79">
        <w:rPr>
          <w:rFonts w:ascii="Verdana" w:hAnsi="Verdana" w:cs="Times New Roman"/>
        </w:rPr>
        <w:t xml:space="preserve"> </w:t>
      </w:r>
      <w:r w:rsidR="007F7CA1" w:rsidRPr="00106A79">
        <w:rPr>
          <w:rFonts w:ascii="Verdana" w:hAnsi="Verdana" w:cs="Times New Roman"/>
        </w:rPr>
        <w:t>[</w:t>
      </w:r>
      <w:r w:rsidR="00C27045">
        <w:rPr>
          <w:rFonts w:ascii="Verdana" w:hAnsi="Verdana" w:cs="Times New Roman"/>
        </w:rPr>
        <w:t>33</w:t>
      </w:r>
      <w:r w:rsidR="0036161B" w:rsidRPr="00106A79">
        <w:rPr>
          <w:rFonts w:ascii="Verdana" w:hAnsi="Verdana" w:cs="Times New Roman"/>
        </w:rPr>
        <w:t>]</w:t>
      </w:r>
      <w:r w:rsidR="0007682C">
        <w:rPr>
          <w:rFonts w:ascii="Verdana" w:hAnsi="Verdana" w:cs="Times New Roman"/>
        </w:rPr>
        <w:t>,</w:t>
      </w:r>
      <w:r w:rsidR="007F7CA1" w:rsidRPr="00106A79">
        <w:rPr>
          <w:rFonts w:ascii="Verdana" w:hAnsi="Verdana" w:cs="Times New Roman"/>
        </w:rPr>
        <w:t xml:space="preserve"> increased </w:t>
      </w:r>
      <w:r w:rsidR="000200A1">
        <w:rPr>
          <w:rFonts w:ascii="Verdana" w:hAnsi="Verdana" w:cs="Times New Roman"/>
        </w:rPr>
        <w:t>2-3</w:t>
      </w:r>
      <w:r w:rsidR="007F7CA1" w:rsidRPr="00106A79">
        <w:rPr>
          <w:rFonts w:ascii="Verdana" w:hAnsi="Verdana" w:cs="Times New Roman"/>
        </w:rPr>
        <w:t xml:space="preserve">-fold in Danish municipal workers affected by </w:t>
      </w:r>
      <w:r w:rsidR="000200A1">
        <w:rPr>
          <w:rFonts w:ascii="Verdana" w:hAnsi="Verdana" w:cs="Times New Roman"/>
        </w:rPr>
        <w:t>MSDs</w:t>
      </w:r>
      <w:r w:rsidR="007F7CA1" w:rsidRPr="00106A79">
        <w:rPr>
          <w:rFonts w:ascii="Verdana" w:hAnsi="Verdana" w:cs="Times New Roman"/>
        </w:rPr>
        <w:t xml:space="preserve"> of hips and knees [</w:t>
      </w:r>
      <w:r w:rsidR="00C27045" w:rsidRPr="007B46DA">
        <w:rPr>
          <w:rFonts w:ascii="Verdana" w:hAnsi="Verdana" w:cs="Times New Roman"/>
        </w:rPr>
        <w:t>3</w:t>
      </w:r>
      <w:r w:rsidR="007B46DA" w:rsidRPr="00E14159">
        <w:rPr>
          <w:rFonts w:ascii="Verdana" w:hAnsi="Verdana" w:cs="Times New Roman"/>
        </w:rPr>
        <w:t>4</w:t>
      </w:r>
      <w:r w:rsidR="007F7CA1" w:rsidRPr="00106A79">
        <w:rPr>
          <w:rFonts w:ascii="Verdana" w:hAnsi="Verdana" w:cs="Times New Roman"/>
        </w:rPr>
        <w:t>]</w:t>
      </w:r>
      <w:r w:rsidR="0007682C">
        <w:rPr>
          <w:rFonts w:ascii="Verdana" w:hAnsi="Verdana" w:cs="Times New Roman"/>
        </w:rPr>
        <w:t>,</w:t>
      </w:r>
      <w:r w:rsidR="007F7CA1" w:rsidRPr="00106A79">
        <w:rPr>
          <w:rFonts w:ascii="Verdana" w:hAnsi="Verdana" w:cs="Times New Roman"/>
        </w:rPr>
        <w:t xml:space="preserve"> and </w:t>
      </w:r>
      <w:r w:rsidR="000200A1">
        <w:rPr>
          <w:rFonts w:ascii="Verdana" w:hAnsi="Verdana" w:cs="Times New Roman"/>
        </w:rPr>
        <w:t>~3</w:t>
      </w:r>
      <w:r w:rsidR="007F7CA1" w:rsidRPr="00106A79">
        <w:rPr>
          <w:rFonts w:ascii="Verdana" w:hAnsi="Verdana" w:cs="Times New Roman"/>
        </w:rPr>
        <w:t xml:space="preserve"> times more likely </w:t>
      </w:r>
      <w:r w:rsidR="000200A1">
        <w:rPr>
          <w:rFonts w:ascii="Verdana" w:hAnsi="Verdana" w:cs="Times New Roman"/>
        </w:rPr>
        <w:t>in</w:t>
      </w:r>
      <w:r w:rsidR="007F7CA1" w:rsidRPr="00106A79">
        <w:rPr>
          <w:rFonts w:ascii="Verdana" w:hAnsi="Verdana" w:cs="Times New Roman"/>
        </w:rPr>
        <w:t xml:space="preserve"> </w:t>
      </w:r>
      <w:r w:rsidR="000200A1">
        <w:rPr>
          <w:rFonts w:ascii="Verdana" w:hAnsi="Verdana" w:cs="Times New Roman"/>
        </w:rPr>
        <w:t xml:space="preserve">Finnish </w:t>
      </w:r>
      <w:r w:rsidR="007F7CA1" w:rsidRPr="00106A79">
        <w:rPr>
          <w:rFonts w:ascii="Verdana" w:hAnsi="Verdana" w:cs="Times New Roman"/>
        </w:rPr>
        <w:t>civil servants [</w:t>
      </w:r>
      <w:r w:rsidR="00C27045">
        <w:rPr>
          <w:rFonts w:ascii="Verdana" w:hAnsi="Verdana" w:cs="Times New Roman"/>
        </w:rPr>
        <w:t>35</w:t>
      </w:r>
      <w:r w:rsidR="007F7CA1" w:rsidRPr="00106A79">
        <w:rPr>
          <w:rFonts w:ascii="Verdana" w:hAnsi="Verdana" w:cs="Times New Roman"/>
        </w:rPr>
        <w:t>]</w:t>
      </w:r>
      <w:r w:rsidR="00903515">
        <w:rPr>
          <w:rFonts w:ascii="Verdana" w:hAnsi="Verdana" w:cs="Times New Roman"/>
        </w:rPr>
        <w:t xml:space="preserve"> relative to other workers</w:t>
      </w:r>
      <w:r w:rsidR="007F7CA1" w:rsidRPr="00106A79">
        <w:rPr>
          <w:rFonts w:ascii="Verdana" w:hAnsi="Verdana" w:cs="Times New Roman"/>
        </w:rPr>
        <w:t>.</w:t>
      </w:r>
      <w:r w:rsidR="003443CF" w:rsidRPr="00106A79">
        <w:rPr>
          <w:rFonts w:ascii="Verdana" w:hAnsi="Verdana" w:cs="Times New Roman"/>
        </w:rPr>
        <w:t xml:space="preserve"> </w:t>
      </w:r>
      <w:r w:rsidR="000200A1">
        <w:rPr>
          <w:rFonts w:ascii="Verdana" w:hAnsi="Verdana" w:cs="Times New Roman"/>
        </w:rPr>
        <w:t>When</w:t>
      </w:r>
      <w:r w:rsidR="003443CF" w:rsidRPr="00106A79">
        <w:rPr>
          <w:rFonts w:ascii="Verdana" w:hAnsi="Verdana" w:cs="Times New Roman"/>
        </w:rPr>
        <w:t xml:space="preserve"> 24,000 twins from </w:t>
      </w:r>
      <w:r w:rsidR="00F365C3" w:rsidRPr="00106A79">
        <w:rPr>
          <w:rFonts w:ascii="Verdana" w:hAnsi="Verdana" w:cs="Times New Roman"/>
        </w:rPr>
        <w:t>Finland</w:t>
      </w:r>
      <w:r w:rsidR="00E14159">
        <w:rPr>
          <w:rFonts w:ascii="Verdana" w:hAnsi="Verdana" w:cs="Times New Roman"/>
        </w:rPr>
        <w:t xml:space="preserve"> were</w:t>
      </w:r>
      <w:r w:rsidR="003443CF" w:rsidRPr="00106A79">
        <w:rPr>
          <w:rFonts w:ascii="Verdana" w:hAnsi="Verdana"/>
        </w:rPr>
        <w:t xml:space="preserve"> </w:t>
      </w:r>
      <w:r w:rsidR="003443CF" w:rsidRPr="00106A79">
        <w:rPr>
          <w:rFonts w:ascii="Verdana" w:hAnsi="Verdana" w:cs="Times New Roman"/>
        </w:rPr>
        <w:t xml:space="preserve">followed over </w:t>
      </w:r>
      <w:r w:rsidR="003402F8">
        <w:rPr>
          <w:rFonts w:ascii="Verdana" w:hAnsi="Verdana" w:cs="Times New Roman"/>
        </w:rPr>
        <w:t>three decades</w:t>
      </w:r>
      <w:r w:rsidR="003443CF" w:rsidRPr="00106A79">
        <w:rPr>
          <w:rFonts w:ascii="Verdana" w:hAnsi="Verdana" w:cs="Times New Roman"/>
        </w:rPr>
        <w:t xml:space="preserve">, disability pensioning due to any MSD occurred in 7.6% of the sample, a third of </w:t>
      </w:r>
      <w:r w:rsidR="000200A1">
        <w:rPr>
          <w:rFonts w:ascii="Verdana" w:hAnsi="Verdana" w:cs="Times New Roman"/>
        </w:rPr>
        <w:t>this</w:t>
      </w:r>
      <w:r w:rsidR="003443CF" w:rsidRPr="00106A79">
        <w:rPr>
          <w:rFonts w:ascii="Verdana" w:hAnsi="Verdana" w:cs="Times New Roman"/>
        </w:rPr>
        <w:t xml:space="preserve"> ascribed to OA</w:t>
      </w:r>
      <w:r w:rsidR="003443CF" w:rsidRPr="00106A79">
        <w:rPr>
          <w:rFonts w:ascii="Verdana" w:hAnsi="Verdana"/>
        </w:rPr>
        <w:t xml:space="preserve"> [</w:t>
      </w:r>
      <w:r w:rsidR="00C27045">
        <w:rPr>
          <w:rFonts w:ascii="Verdana" w:hAnsi="Verdana"/>
        </w:rPr>
        <w:t>36</w:t>
      </w:r>
      <w:r w:rsidR="003443CF" w:rsidRPr="00106A79">
        <w:rPr>
          <w:rFonts w:ascii="Verdana" w:hAnsi="Verdana" w:cs="Times New Roman"/>
        </w:rPr>
        <w:t>].</w:t>
      </w:r>
      <w:r w:rsidR="00653867" w:rsidRPr="00106A79">
        <w:rPr>
          <w:rFonts w:ascii="Verdana" w:hAnsi="Verdana" w:cs="Times New Roman"/>
        </w:rPr>
        <w:t xml:space="preserve"> In </w:t>
      </w:r>
      <w:r w:rsidR="00653867" w:rsidRPr="00106A79">
        <w:rPr>
          <w:rFonts w:ascii="Verdana" w:hAnsi="Verdana" w:cs="Times New Roman"/>
        </w:rPr>
        <w:lastRenderedPageBreak/>
        <w:t xml:space="preserve">Greek nurses, absenteeism </w:t>
      </w:r>
      <w:r w:rsidR="0007682C">
        <w:rPr>
          <w:rFonts w:ascii="Verdana" w:hAnsi="Verdana" w:cs="Times New Roman"/>
        </w:rPr>
        <w:t>attributed</w:t>
      </w:r>
      <w:r w:rsidR="0007682C" w:rsidRPr="00106A79">
        <w:rPr>
          <w:rFonts w:ascii="Verdana" w:hAnsi="Verdana" w:cs="Times New Roman"/>
        </w:rPr>
        <w:t xml:space="preserve"> </w:t>
      </w:r>
      <w:r w:rsidR="00653867" w:rsidRPr="00106A79">
        <w:rPr>
          <w:rFonts w:ascii="Verdana" w:hAnsi="Verdana" w:cs="Times New Roman"/>
        </w:rPr>
        <w:t xml:space="preserve">to knee pain was </w:t>
      </w:r>
      <w:r w:rsidR="000200A1">
        <w:rPr>
          <w:rFonts w:ascii="Verdana" w:hAnsi="Verdana" w:cs="Times New Roman"/>
        </w:rPr>
        <w:t>~</w:t>
      </w:r>
      <w:r w:rsidR="00653867" w:rsidRPr="00106A79">
        <w:rPr>
          <w:rFonts w:ascii="Verdana" w:hAnsi="Verdana" w:cs="Times New Roman"/>
        </w:rPr>
        <w:t>12 times common</w:t>
      </w:r>
      <w:r w:rsidR="0007682C">
        <w:rPr>
          <w:rFonts w:ascii="Verdana" w:hAnsi="Verdana" w:cs="Times New Roman"/>
        </w:rPr>
        <w:t>er</w:t>
      </w:r>
      <w:r w:rsidR="00653867" w:rsidRPr="00106A79">
        <w:rPr>
          <w:rFonts w:ascii="Verdana" w:hAnsi="Verdana" w:cs="Times New Roman"/>
        </w:rPr>
        <w:t xml:space="preserve"> </w:t>
      </w:r>
      <w:r w:rsidR="00111602" w:rsidRPr="00106A79">
        <w:rPr>
          <w:rFonts w:ascii="Verdana" w:hAnsi="Verdana" w:cs="Times New Roman"/>
        </w:rPr>
        <w:t>after</w:t>
      </w:r>
      <w:r w:rsidR="00653867" w:rsidRPr="00106A79">
        <w:rPr>
          <w:rFonts w:ascii="Verdana" w:hAnsi="Verdana" w:cs="Times New Roman"/>
        </w:rPr>
        <w:t xml:space="preserve"> </w:t>
      </w:r>
      <w:r w:rsidR="00653867" w:rsidRPr="00106A79">
        <w:rPr>
          <w:rFonts w:ascii="Verdana" w:hAnsi="Verdana" w:cs="Times New Roman"/>
          <w:u w:val="single"/>
        </w:rPr>
        <w:t>&gt;</w:t>
      </w:r>
      <w:r w:rsidR="00653867" w:rsidRPr="00106A79">
        <w:rPr>
          <w:rFonts w:ascii="Verdana" w:hAnsi="Verdana" w:cs="Times New Roman"/>
        </w:rPr>
        <w:t xml:space="preserve">45 than </w:t>
      </w:r>
      <w:r w:rsidR="0007682C">
        <w:rPr>
          <w:rFonts w:ascii="Verdana" w:hAnsi="Verdana" w:cs="Times New Roman"/>
        </w:rPr>
        <w:t>at</w:t>
      </w:r>
      <w:r w:rsidR="00653867" w:rsidRPr="00106A79">
        <w:rPr>
          <w:rFonts w:ascii="Verdana" w:hAnsi="Verdana" w:cs="Times New Roman"/>
        </w:rPr>
        <w:t xml:space="preserve"> </w:t>
      </w:r>
      <w:r w:rsidR="00653867" w:rsidRPr="00106A79">
        <w:rPr>
          <w:rFonts w:ascii="Verdana" w:hAnsi="Verdana" w:cs="Times New Roman"/>
          <w:u w:val="single"/>
        </w:rPr>
        <w:t>&lt;</w:t>
      </w:r>
      <w:r w:rsidR="00653867" w:rsidRPr="00106A79">
        <w:rPr>
          <w:rFonts w:ascii="Verdana" w:hAnsi="Verdana" w:cs="Times New Roman"/>
        </w:rPr>
        <w:t>30 years [</w:t>
      </w:r>
      <w:r w:rsidR="00C27045">
        <w:rPr>
          <w:rFonts w:ascii="Verdana" w:hAnsi="Verdana" w:cs="Times New Roman"/>
        </w:rPr>
        <w:t>37</w:t>
      </w:r>
      <w:r w:rsidR="00653867" w:rsidRPr="00106A79">
        <w:rPr>
          <w:rFonts w:ascii="Verdana" w:hAnsi="Verdana" w:cs="Times New Roman"/>
        </w:rPr>
        <w:t>]</w:t>
      </w:r>
      <w:r w:rsidR="005F6362">
        <w:rPr>
          <w:rFonts w:ascii="Verdana" w:hAnsi="Verdana" w:cs="Times New Roman"/>
        </w:rPr>
        <w:t>.</w:t>
      </w:r>
    </w:p>
    <w:p w14:paraId="4B079B0D" w14:textId="77777777" w:rsidR="007F7CA1" w:rsidRPr="00106A79" w:rsidRDefault="007F7CA1" w:rsidP="00106A79">
      <w:pPr>
        <w:spacing w:line="480" w:lineRule="auto"/>
        <w:rPr>
          <w:rFonts w:ascii="Verdana" w:hAnsi="Verdana" w:cs="Times New Roman"/>
        </w:rPr>
      </w:pPr>
    </w:p>
    <w:p w14:paraId="7DD421C7" w14:textId="75A83CDA" w:rsidR="002C0F85" w:rsidRPr="00106A79" w:rsidRDefault="00C4496A" w:rsidP="00106A79">
      <w:pPr>
        <w:spacing w:line="480" w:lineRule="auto"/>
        <w:rPr>
          <w:rFonts w:ascii="Verdana" w:hAnsi="Verdana" w:cs="Times New Roman"/>
        </w:rPr>
      </w:pPr>
      <w:r w:rsidRPr="00106A79">
        <w:rPr>
          <w:rFonts w:ascii="Verdana" w:hAnsi="Verdana" w:cs="Times New Roman"/>
        </w:rPr>
        <w:t>A</w:t>
      </w:r>
      <w:r w:rsidR="007F7CA1" w:rsidRPr="00106A79">
        <w:rPr>
          <w:rFonts w:ascii="Verdana" w:hAnsi="Verdana" w:cs="Times New Roman"/>
        </w:rPr>
        <w:t>ssociation</w:t>
      </w:r>
      <w:r w:rsidRPr="00106A79">
        <w:rPr>
          <w:rFonts w:ascii="Verdana" w:hAnsi="Verdana" w:cs="Times New Roman"/>
        </w:rPr>
        <w:t>s</w:t>
      </w:r>
      <w:r w:rsidR="007F7CA1" w:rsidRPr="00106A79">
        <w:rPr>
          <w:rFonts w:ascii="Verdana" w:hAnsi="Verdana" w:cs="Times New Roman"/>
        </w:rPr>
        <w:t xml:space="preserve"> </w:t>
      </w:r>
      <w:r w:rsidR="00995528" w:rsidRPr="00106A79">
        <w:rPr>
          <w:rFonts w:ascii="Verdana" w:hAnsi="Verdana" w:cs="Times New Roman"/>
        </w:rPr>
        <w:t>with</w:t>
      </w:r>
      <w:r w:rsidR="007F7CA1" w:rsidRPr="00106A79">
        <w:rPr>
          <w:rFonts w:ascii="Verdana" w:hAnsi="Verdana" w:cs="Times New Roman"/>
        </w:rPr>
        <w:t xml:space="preserve"> job loss</w:t>
      </w:r>
      <w:r w:rsidRPr="00106A79">
        <w:rPr>
          <w:rFonts w:ascii="Verdana" w:hAnsi="Verdana" w:cs="Times New Roman"/>
        </w:rPr>
        <w:t xml:space="preserve"> appear</w:t>
      </w:r>
      <w:r w:rsidR="00995528" w:rsidRPr="00106A79">
        <w:rPr>
          <w:rFonts w:ascii="Verdana" w:hAnsi="Verdana" w:cs="Times New Roman"/>
        </w:rPr>
        <w:t xml:space="preserve"> to be general to</w:t>
      </w:r>
      <w:r w:rsidR="007F7CA1" w:rsidRPr="00106A79">
        <w:rPr>
          <w:rFonts w:ascii="Verdana" w:hAnsi="Verdana" w:cs="Times New Roman"/>
        </w:rPr>
        <w:t xml:space="preserve"> impaired musculoskeletal health</w:t>
      </w:r>
      <w:r w:rsidR="00995528" w:rsidRPr="00106A79">
        <w:rPr>
          <w:rFonts w:ascii="Verdana" w:hAnsi="Verdana" w:cs="Times New Roman"/>
        </w:rPr>
        <w:t>, rather than</w:t>
      </w:r>
      <w:r w:rsidR="007F7CA1" w:rsidRPr="00106A79">
        <w:rPr>
          <w:rFonts w:ascii="Verdana" w:hAnsi="Verdana" w:cs="Times New Roman"/>
        </w:rPr>
        <w:t xml:space="preserve"> </w:t>
      </w:r>
      <w:r w:rsidR="00995528" w:rsidRPr="00106A79">
        <w:rPr>
          <w:rFonts w:ascii="Verdana" w:hAnsi="Verdana" w:cs="Times New Roman"/>
        </w:rPr>
        <w:t xml:space="preserve">specific </w:t>
      </w:r>
      <w:r w:rsidR="007F7CA1" w:rsidRPr="00106A79">
        <w:rPr>
          <w:rFonts w:ascii="Verdana" w:hAnsi="Verdana" w:cs="Times New Roman"/>
        </w:rPr>
        <w:t xml:space="preserve">to </w:t>
      </w:r>
      <w:r w:rsidR="00995528" w:rsidRPr="00106A79">
        <w:rPr>
          <w:rFonts w:ascii="Verdana" w:hAnsi="Verdana" w:cs="Times New Roman"/>
        </w:rPr>
        <w:t>anatomical</w:t>
      </w:r>
      <w:r w:rsidR="007F7CA1" w:rsidRPr="00106A79">
        <w:rPr>
          <w:rFonts w:ascii="Verdana" w:hAnsi="Verdana" w:cs="Times New Roman"/>
        </w:rPr>
        <w:t xml:space="preserve"> site or pathology</w:t>
      </w:r>
      <w:r w:rsidRPr="00106A79">
        <w:rPr>
          <w:rFonts w:ascii="Verdana" w:hAnsi="Verdana" w:cs="Times New Roman"/>
        </w:rPr>
        <w:t>. Thus, disability pensioning</w:t>
      </w:r>
      <w:r w:rsidR="007F7CA1" w:rsidRPr="00106A79">
        <w:rPr>
          <w:rFonts w:ascii="Verdana" w:hAnsi="Verdana" w:cs="Times New Roman"/>
        </w:rPr>
        <w:t xml:space="preserve"> has been </w:t>
      </w:r>
      <w:r w:rsidR="003402F8">
        <w:rPr>
          <w:rFonts w:ascii="Verdana" w:hAnsi="Verdana" w:cs="Times New Roman"/>
        </w:rPr>
        <w:t>linked with</w:t>
      </w:r>
      <w:r w:rsidR="007F7CA1" w:rsidRPr="00106A79">
        <w:rPr>
          <w:rFonts w:ascii="Verdana" w:hAnsi="Verdana" w:cs="Times New Roman"/>
        </w:rPr>
        <w:t xml:space="preserve"> pain i</w:t>
      </w:r>
      <w:r w:rsidR="00995528" w:rsidRPr="00106A79">
        <w:rPr>
          <w:rFonts w:ascii="Verdana" w:hAnsi="Verdana" w:cs="Times New Roman"/>
        </w:rPr>
        <w:t>n the low-back, hips and knees</w:t>
      </w:r>
      <w:r w:rsidR="0007682C">
        <w:rPr>
          <w:rFonts w:ascii="Verdana" w:hAnsi="Verdana" w:cs="Times New Roman"/>
        </w:rPr>
        <w:t>,</w:t>
      </w:r>
      <w:r w:rsidR="00995528" w:rsidRPr="00106A79">
        <w:rPr>
          <w:rFonts w:ascii="Verdana" w:hAnsi="Verdana" w:cs="Times New Roman"/>
        </w:rPr>
        <w:t xml:space="preserve"> </w:t>
      </w:r>
      <w:r w:rsidR="007F7CA1" w:rsidRPr="00106A79">
        <w:rPr>
          <w:rFonts w:ascii="Verdana" w:hAnsi="Verdana" w:cs="Times New Roman"/>
        </w:rPr>
        <w:t>as</w:t>
      </w:r>
      <w:r w:rsidR="00995528" w:rsidRPr="00106A79">
        <w:rPr>
          <w:rFonts w:ascii="Verdana" w:hAnsi="Verdana" w:cs="Times New Roman"/>
        </w:rPr>
        <w:t xml:space="preserve"> described above</w:t>
      </w:r>
      <w:r w:rsidR="006B3CEF" w:rsidRPr="00106A79">
        <w:rPr>
          <w:rFonts w:ascii="Verdana" w:hAnsi="Verdana" w:cs="Times New Roman"/>
        </w:rPr>
        <w:t xml:space="preserve"> [</w:t>
      </w:r>
      <w:r w:rsidR="008B5144">
        <w:rPr>
          <w:rFonts w:ascii="Verdana" w:hAnsi="Verdana" w:cs="Times New Roman"/>
        </w:rPr>
        <w:t>3</w:t>
      </w:r>
      <w:r w:rsidR="007B46DA">
        <w:rPr>
          <w:rFonts w:ascii="Verdana" w:hAnsi="Verdana" w:cs="Times New Roman"/>
        </w:rPr>
        <w:t>3</w:t>
      </w:r>
      <w:r w:rsidR="0067212E" w:rsidRPr="00106A79">
        <w:rPr>
          <w:rFonts w:ascii="Verdana" w:hAnsi="Verdana" w:cs="Times New Roman"/>
        </w:rPr>
        <w:t>,</w:t>
      </w:r>
      <w:r w:rsidR="007B46DA">
        <w:rPr>
          <w:rFonts w:ascii="Verdana" w:hAnsi="Verdana" w:cs="Times New Roman"/>
        </w:rPr>
        <w:t xml:space="preserve"> 34</w:t>
      </w:r>
      <w:r w:rsidR="006B3CEF" w:rsidRPr="00106A79">
        <w:rPr>
          <w:rFonts w:ascii="Verdana" w:hAnsi="Verdana" w:cs="Times New Roman"/>
        </w:rPr>
        <w:t>]</w:t>
      </w:r>
      <w:r w:rsidR="007F7CA1" w:rsidRPr="00106A79">
        <w:rPr>
          <w:rFonts w:ascii="Verdana" w:hAnsi="Verdana" w:cs="Times New Roman"/>
        </w:rPr>
        <w:t xml:space="preserve">, but also </w:t>
      </w:r>
      <w:r w:rsidRPr="00106A79">
        <w:rPr>
          <w:rFonts w:ascii="Verdana" w:hAnsi="Verdana" w:cs="Times New Roman"/>
        </w:rPr>
        <w:t xml:space="preserve">after </w:t>
      </w:r>
      <w:r w:rsidR="007F7CA1" w:rsidRPr="00106A79">
        <w:rPr>
          <w:rFonts w:ascii="Verdana" w:hAnsi="Verdana" w:cs="Times New Roman"/>
        </w:rPr>
        <w:t>other patterns of regional</w:t>
      </w:r>
      <w:r w:rsidR="006B3CEF" w:rsidRPr="00106A79">
        <w:rPr>
          <w:rFonts w:ascii="Verdana" w:hAnsi="Verdana" w:cs="Times New Roman"/>
        </w:rPr>
        <w:t xml:space="preserve"> pain</w:t>
      </w:r>
      <w:r w:rsidR="00217F6C" w:rsidRPr="00106A79">
        <w:rPr>
          <w:rFonts w:ascii="Verdana" w:hAnsi="Verdana" w:cs="Times New Roman"/>
        </w:rPr>
        <w:t xml:space="preserve"> and with arthritis</w:t>
      </w:r>
      <w:r w:rsidR="006B3CEF" w:rsidRPr="00106A79">
        <w:rPr>
          <w:rFonts w:ascii="Verdana" w:hAnsi="Verdana" w:cs="Times New Roman"/>
        </w:rPr>
        <w:t xml:space="preserve">. </w:t>
      </w:r>
      <w:r w:rsidR="007F7CA1" w:rsidRPr="00106A79">
        <w:rPr>
          <w:rFonts w:ascii="Verdana" w:hAnsi="Verdana" w:cs="Times New Roman"/>
        </w:rPr>
        <w:t>In 3,318 Danish employees</w:t>
      </w:r>
      <w:r w:rsidR="00995528" w:rsidRPr="00106A79">
        <w:rPr>
          <w:rFonts w:ascii="Verdana" w:hAnsi="Verdana" w:cs="Times New Roman"/>
        </w:rPr>
        <w:t xml:space="preserve"> </w:t>
      </w:r>
      <w:r w:rsidR="000200A1">
        <w:rPr>
          <w:rFonts w:ascii="Verdana" w:hAnsi="Verdana" w:cs="Times New Roman"/>
        </w:rPr>
        <w:t xml:space="preserve">followed </w:t>
      </w:r>
      <w:r w:rsidR="00995528" w:rsidRPr="00106A79">
        <w:rPr>
          <w:rFonts w:ascii="Verdana" w:hAnsi="Verdana" w:cs="Times New Roman"/>
        </w:rPr>
        <w:t>over</w:t>
      </w:r>
      <w:r w:rsidR="007F7CA1" w:rsidRPr="00106A79">
        <w:rPr>
          <w:rFonts w:ascii="Verdana" w:hAnsi="Verdana" w:cs="Times New Roman"/>
        </w:rPr>
        <w:t xml:space="preserve"> two years</w:t>
      </w:r>
      <w:r w:rsidR="00995528" w:rsidRPr="00106A79">
        <w:rPr>
          <w:rFonts w:ascii="Verdana" w:hAnsi="Verdana" w:cs="Times New Roman"/>
        </w:rPr>
        <w:t xml:space="preserve">, long-term sick leave, disability retirement, </w:t>
      </w:r>
      <w:r w:rsidR="000200A1">
        <w:rPr>
          <w:rFonts w:ascii="Verdana" w:hAnsi="Verdana" w:cs="Times New Roman"/>
        </w:rPr>
        <w:t>and</w:t>
      </w:r>
      <w:r w:rsidR="000200A1" w:rsidRPr="00106A79">
        <w:rPr>
          <w:rFonts w:ascii="Verdana" w:hAnsi="Verdana" w:cs="Times New Roman"/>
        </w:rPr>
        <w:t xml:space="preserve"> </w:t>
      </w:r>
      <w:r w:rsidR="00995528" w:rsidRPr="00106A79">
        <w:rPr>
          <w:rFonts w:ascii="Verdana" w:hAnsi="Verdana" w:cs="Times New Roman"/>
        </w:rPr>
        <w:t>early retirement pension</w:t>
      </w:r>
      <w:r w:rsidR="000200A1">
        <w:rPr>
          <w:rFonts w:ascii="Verdana" w:hAnsi="Verdana" w:cs="Times New Roman"/>
        </w:rPr>
        <w:t>ing</w:t>
      </w:r>
      <w:r w:rsidR="00995528" w:rsidRPr="00106A79">
        <w:rPr>
          <w:rFonts w:ascii="Verdana" w:hAnsi="Verdana" w:cs="Times New Roman"/>
        </w:rPr>
        <w:t xml:space="preserve"> </w:t>
      </w:r>
      <w:r w:rsidR="000200A1">
        <w:rPr>
          <w:rFonts w:ascii="Verdana" w:hAnsi="Verdana" w:cs="Times New Roman"/>
        </w:rPr>
        <w:t>were</w:t>
      </w:r>
      <w:r w:rsidR="000200A1" w:rsidRPr="00106A79">
        <w:rPr>
          <w:rFonts w:ascii="Verdana" w:hAnsi="Verdana" w:cs="Times New Roman"/>
        </w:rPr>
        <w:t xml:space="preserve"> </w:t>
      </w:r>
      <w:r w:rsidR="00995528" w:rsidRPr="00106A79">
        <w:rPr>
          <w:rFonts w:ascii="Verdana" w:hAnsi="Verdana" w:cs="Times New Roman"/>
        </w:rPr>
        <w:t>related to neck or shoulder</w:t>
      </w:r>
      <w:r w:rsidR="0007682C">
        <w:rPr>
          <w:rFonts w:ascii="Verdana" w:hAnsi="Verdana" w:cs="Times New Roman"/>
        </w:rPr>
        <w:t xml:space="preserve"> pain</w:t>
      </w:r>
      <w:r w:rsidR="00995528" w:rsidRPr="00106A79">
        <w:rPr>
          <w:rFonts w:ascii="Verdana" w:hAnsi="Verdana" w:cs="Times New Roman"/>
        </w:rPr>
        <w:t xml:space="preserve"> at baseline (</w:t>
      </w:r>
      <w:r w:rsidR="003402F8">
        <w:rPr>
          <w:rFonts w:ascii="Verdana" w:hAnsi="Verdana" w:cs="Times New Roman"/>
        </w:rPr>
        <w:t>R</w:t>
      </w:r>
      <w:r w:rsidR="003402F8" w:rsidRPr="00106A79">
        <w:rPr>
          <w:rFonts w:ascii="Verdana" w:hAnsi="Verdana" w:cs="Times New Roman"/>
        </w:rPr>
        <w:t xml:space="preserve">Rs </w:t>
      </w:r>
      <w:r w:rsidR="00B804A6">
        <w:rPr>
          <w:rFonts w:ascii="Verdana" w:hAnsi="Verdana" w:cs="Times New Roman"/>
        </w:rPr>
        <w:t>~</w:t>
      </w:r>
      <w:r w:rsidR="00995528" w:rsidRPr="00106A79">
        <w:rPr>
          <w:rFonts w:ascii="Verdana" w:hAnsi="Verdana" w:cs="Times New Roman"/>
        </w:rPr>
        <w:t>1.6</w:t>
      </w:r>
      <w:r w:rsidR="00B804A6">
        <w:rPr>
          <w:rFonts w:ascii="Verdana" w:hAnsi="Verdana" w:cs="Times New Roman"/>
        </w:rPr>
        <w:t>-</w:t>
      </w:r>
      <w:r w:rsidR="00995528" w:rsidRPr="00106A79">
        <w:rPr>
          <w:rFonts w:ascii="Verdana" w:hAnsi="Verdana" w:cs="Times New Roman"/>
        </w:rPr>
        <w:t>1.9) [</w:t>
      </w:r>
      <w:r w:rsidR="007B46DA">
        <w:rPr>
          <w:rFonts w:ascii="Verdana" w:hAnsi="Verdana" w:cs="Times New Roman"/>
        </w:rPr>
        <w:t>38</w:t>
      </w:r>
      <w:r w:rsidR="00995528" w:rsidRPr="00106A79">
        <w:rPr>
          <w:rFonts w:ascii="Verdana" w:hAnsi="Verdana" w:cs="Times New Roman"/>
        </w:rPr>
        <w:t>]; in the Kuopio Ischemic Heart Disease Risk Factor Study, odds of disability retirement</w:t>
      </w:r>
      <w:r w:rsidR="00995528" w:rsidRPr="00106A79">
        <w:rPr>
          <w:rFonts w:ascii="Verdana" w:hAnsi="Verdana"/>
        </w:rPr>
        <w:t xml:space="preserve"> </w:t>
      </w:r>
      <w:r w:rsidR="00995528" w:rsidRPr="00106A79">
        <w:rPr>
          <w:rFonts w:ascii="Verdana" w:hAnsi="Verdana" w:cs="Times New Roman"/>
        </w:rPr>
        <w:t xml:space="preserve">were increased </w:t>
      </w:r>
      <w:r w:rsidR="00B804A6">
        <w:rPr>
          <w:rFonts w:ascii="Verdana" w:hAnsi="Verdana" w:cs="Times New Roman"/>
        </w:rPr>
        <w:t>for those at</w:t>
      </w:r>
      <w:r w:rsidR="00995528" w:rsidRPr="00106A79">
        <w:rPr>
          <w:rFonts w:ascii="Verdana" w:hAnsi="Verdana" w:cs="Times New Roman"/>
        </w:rPr>
        <w:t xml:space="preserve"> baseline </w:t>
      </w:r>
      <w:r w:rsidR="00B804A6">
        <w:rPr>
          <w:rFonts w:ascii="Verdana" w:hAnsi="Verdana" w:cs="Times New Roman"/>
        </w:rPr>
        <w:t>with</w:t>
      </w:r>
      <w:r w:rsidR="00B804A6" w:rsidRPr="00106A79">
        <w:rPr>
          <w:rFonts w:ascii="Verdana" w:hAnsi="Verdana" w:cs="Times New Roman"/>
        </w:rPr>
        <w:t xml:space="preserve"> </w:t>
      </w:r>
      <w:r w:rsidR="00995528" w:rsidRPr="00106A79">
        <w:rPr>
          <w:rFonts w:ascii="Verdana" w:hAnsi="Verdana" w:cs="Times New Roman"/>
        </w:rPr>
        <w:t xml:space="preserve">a back problem, </w:t>
      </w:r>
      <w:r w:rsidR="00B804A6">
        <w:rPr>
          <w:rFonts w:ascii="Verdana" w:hAnsi="Verdana" w:cs="Times New Roman"/>
        </w:rPr>
        <w:t>OA</w:t>
      </w:r>
      <w:r w:rsidR="00995528" w:rsidRPr="00106A79">
        <w:rPr>
          <w:rFonts w:ascii="Verdana" w:hAnsi="Verdana" w:cs="Times New Roman"/>
        </w:rPr>
        <w:t xml:space="preserve">, </w:t>
      </w:r>
      <w:r w:rsidR="0007682C">
        <w:rPr>
          <w:rFonts w:ascii="Verdana" w:hAnsi="Verdana" w:cs="Times New Roman"/>
        </w:rPr>
        <w:t>RA</w:t>
      </w:r>
      <w:r w:rsidR="00995528" w:rsidRPr="00106A79">
        <w:rPr>
          <w:rFonts w:ascii="Verdana" w:hAnsi="Verdana" w:cs="Times New Roman"/>
        </w:rPr>
        <w:t xml:space="preserve">, or a history of serious previous injury </w:t>
      </w:r>
      <w:r w:rsidR="0067212E" w:rsidRPr="00106A79">
        <w:rPr>
          <w:rFonts w:ascii="Verdana" w:hAnsi="Verdana" w:cs="Times New Roman"/>
        </w:rPr>
        <w:t>[</w:t>
      </w:r>
      <w:r w:rsidR="007B46DA">
        <w:rPr>
          <w:rFonts w:ascii="Verdana" w:hAnsi="Verdana" w:cs="Times New Roman"/>
        </w:rPr>
        <w:t>39</w:t>
      </w:r>
      <w:r w:rsidR="0067212E" w:rsidRPr="00106A79">
        <w:rPr>
          <w:rFonts w:ascii="Verdana" w:hAnsi="Verdana" w:cs="Times New Roman"/>
        </w:rPr>
        <w:t xml:space="preserve">] </w:t>
      </w:r>
      <w:r w:rsidR="00995528" w:rsidRPr="00106A79">
        <w:rPr>
          <w:rFonts w:ascii="Verdana" w:hAnsi="Verdana" w:cs="Times New Roman"/>
        </w:rPr>
        <w:t xml:space="preserve">(Table 1). </w:t>
      </w:r>
      <w:r w:rsidR="002C0F85" w:rsidRPr="00106A79">
        <w:rPr>
          <w:rFonts w:ascii="Verdana" w:hAnsi="Verdana" w:cs="Times New Roman"/>
        </w:rPr>
        <w:t xml:space="preserve">In the British NorStOP study, </w:t>
      </w:r>
      <w:r w:rsidR="00B804A6">
        <w:rPr>
          <w:rFonts w:ascii="Verdana" w:hAnsi="Verdana" w:cs="Times New Roman"/>
        </w:rPr>
        <w:t>25% of</w:t>
      </w:r>
      <w:r w:rsidR="002C0F85" w:rsidRPr="00106A79">
        <w:rPr>
          <w:rFonts w:ascii="Verdana" w:hAnsi="Verdana" w:cs="Times New Roman"/>
        </w:rPr>
        <w:t xml:space="preserve"> employed patients consult</w:t>
      </w:r>
      <w:r w:rsidR="003402F8">
        <w:rPr>
          <w:rFonts w:ascii="Verdana" w:hAnsi="Verdana" w:cs="Times New Roman"/>
        </w:rPr>
        <w:t>ing</w:t>
      </w:r>
      <w:r w:rsidR="002C0F85" w:rsidRPr="00106A79">
        <w:rPr>
          <w:rFonts w:ascii="Verdana" w:hAnsi="Verdana" w:cs="Times New Roman"/>
        </w:rPr>
        <w:t xml:space="preserve"> </w:t>
      </w:r>
      <w:r w:rsidR="003402F8">
        <w:rPr>
          <w:rFonts w:ascii="Verdana" w:hAnsi="Verdana" w:cs="Times New Roman"/>
        </w:rPr>
        <w:t>a</w:t>
      </w:r>
      <w:r w:rsidR="003402F8" w:rsidRPr="00106A79">
        <w:rPr>
          <w:rFonts w:ascii="Verdana" w:hAnsi="Verdana" w:cs="Times New Roman"/>
        </w:rPr>
        <w:t xml:space="preserve"> </w:t>
      </w:r>
      <w:r w:rsidR="002C0F85" w:rsidRPr="00106A79">
        <w:rPr>
          <w:rFonts w:ascii="Verdana" w:hAnsi="Verdana" w:cs="Times New Roman"/>
        </w:rPr>
        <w:t>family doctor with OA had left the workplace six years later [</w:t>
      </w:r>
      <w:r w:rsidR="007B46DA">
        <w:rPr>
          <w:rFonts w:ascii="Verdana" w:hAnsi="Verdana" w:cs="Times New Roman"/>
        </w:rPr>
        <w:t>40</w:t>
      </w:r>
      <w:r w:rsidR="002C0F85" w:rsidRPr="00106A79">
        <w:rPr>
          <w:rFonts w:ascii="Verdana" w:hAnsi="Verdana" w:cs="Times New Roman"/>
        </w:rPr>
        <w:t>]</w:t>
      </w:r>
      <w:r w:rsidR="000E0EC0" w:rsidRPr="00106A79">
        <w:rPr>
          <w:rFonts w:ascii="Verdana" w:hAnsi="Verdana" w:cs="Times New Roman"/>
        </w:rPr>
        <w:t xml:space="preserve">; </w:t>
      </w:r>
      <w:r w:rsidR="00217F6C" w:rsidRPr="00106A79">
        <w:rPr>
          <w:rFonts w:ascii="Verdana" w:hAnsi="Verdana" w:cs="Times New Roman"/>
        </w:rPr>
        <w:t xml:space="preserve">in the five European countries National Health and Wellness Survey, </w:t>
      </w:r>
      <w:r w:rsidR="003402F8" w:rsidRPr="00106A79">
        <w:rPr>
          <w:rFonts w:ascii="Verdana" w:hAnsi="Verdana" w:cs="Times New Roman"/>
        </w:rPr>
        <w:t>among a sample</w:t>
      </w:r>
      <w:r w:rsidR="003402F8">
        <w:rPr>
          <w:rFonts w:ascii="Verdana" w:hAnsi="Verdana" w:cs="Times New Roman"/>
        </w:rPr>
        <w:t xml:space="preserve"> of mainly</w:t>
      </w:r>
      <w:r w:rsidR="003402F8" w:rsidRPr="00106A79">
        <w:rPr>
          <w:rFonts w:ascii="Verdana" w:hAnsi="Verdana" w:cs="Times New Roman"/>
        </w:rPr>
        <w:t xml:space="preserve"> middle-aged interview</w:t>
      </w:r>
      <w:r w:rsidR="003402F8">
        <w:rPr>
          <w:rFonts w:ascii="Verdana" w:hAnsi="Verdana" w:cs="Times New Roman"/>
        </w:rPr>
        <w:t>ees,</w:t>
      </w:r>
      <w:r w:rsidR="003402F8" w:rsidRPr="00106A79">
        <w:rPr>
          <w:rFonts w:ascii="Verdana" w:hAnsi="Verdana" w:cs="Times New Roman"/>
        </w:rPr>
        <w:t xml:space="preserve"> </w:t>
      </w:r>
      <w:r w:rsidR="00217F6C" w:rsidRPr="00106A79">
        <w:rPr>
          <w:rFonts w:ascii="Verdana" w:hAnsi="Verdana" w:cs="Times New Roman"/>
        </w:rPr>
        <w:t>OA was frequently linked with unemployment, absenteeism and presenteeism [</w:t>
      </w:r>
      <w:r w:rsidR="007B46DA">
        <w:rPr>
          <w:rFonts w:ascii="Verdana" w:hAnsi="Verdana" w:cs="Times New Roman"/>
        </w:rPr>
        <w:t>41</w:t>
      </w:r>
      <w:r w:rsidR="00217F6C" w:rsidRPr="00106A79">
        <w:rPr>
          <w:rFonts w:ascii="Verdana" w:hAnsi="Verdana" w:cs="Times New Roman"/>
        </w:rPr>
        <w:t>]</w:t>
      </w:r>
      <w:r w:rsidR="000E0EC0" w:rsidRPr="00106A79">
        <w:rPr>
          <w:rFonts w:ascii="Verdana" w:hAnsi="Verdana" w:cs="Times New Roman"/>
        </w:rPr>
        <w:t xml:space="preserve">; </w:t>
      </w:r>
      <w:r w:rsidR="003402F8">
        <w:rPr>
          <w:rFonts w:ascii="Verdana" w:hAnsi="Verdana" w:cs="Times New Roman"/>
        </w:rPr>
        <w:t>while</w:t>
      </w:r>
      <w:r w:rsidR="003402F8" w:rsidRPr="00106A79">
        <w:rPr>
          <w:rFonts w:ascii="Verdana" w:hAnsi="Verdana" w:cs="Times New Roman"/>
        </w:rPr>
        <w:t xml:space="preserve"> </w:t>
      </w:r>
      <w:r w:rsidR="000E0EC0" w:rsidRPr="00106A79">
        <w:rPr>
          <w:rFonts w:ascii="Verdana" w:hAnsi="Verdana" w:cs="Times New Roman"/>
        </w:rPr>
        <w:t xml:space="preserve">in the Australian ‘45 and Up’ study, treatment </w:t>
      </w:r>
      <w:r w:rsidR="003402F8" w:rsidRPr="00106A79">
        <w:rPr>
          <w:rFonts w:ascii="Verdana" w:hAnsi="Verdana" w:cs="Times New Roman"/>
        </w:rPr>
        <w:t xml:space="preserve">for OA </w:t>
      </w:r>
      <w:r w:rsidR="000E0EC0" w:rsidRPr="00106A79">
        <w:rPr>
          <w:rFonts w:ascii="Verdana" w:hAnsi="Verdana" w:cs="Times New Roman"/>
        </w:rPr>
        <w:t xml:space="preserve">in the previous month </w:t>
      </w:r>
      <w:r w:rsidR="003402F8">
        <w:rPr>
          <w:rFonts w:ascii="Verdana" w:hAnsi="Verdana" w:cs="Times New Roman"/>
        </w:rPr>
        <w:t>carried</w:t>
      </w:r>
      <w:r w:rsidR="000E0EC0" w:rsidRPr="00106A79">
        <w:rPr>
          <w:rFonts w:ascii="Verdana" w:hAnsi="Verdana" w:cs="Times New Roman"/>
        </w:rPr>
        <w:t xml:space="preserve"> a two-fold higher risk of ill-health retirement [</w:t>
      </w:r>
      <w:r w:rsidR="007B46DA">
        <w:rPr>
          <w:rFonts w:ascii="Verdana" w:hAnsi="Verdana" w:cs="Times New Roman"/>
        </w:rPr>
        <w:t>42</w:t>
      </w:r>
      <w:r w:rsidR="000E0EC0" w:rsidRPr="00106A79">
        <w:rPr>
          <w:rFonts w:ascii="Verdana" w:hAnsi="Verdana" w:cs="Times New Roman"/>
        </w:rPr>
        <w:t>]</w:t>
      </w:r>
      <w:r w:rsidR="002C0F85" w:rsidRPr="00106A79">
        <w:rPr>
          <w:rFonts w:ascii="Verdana" w:hAnsi="Verdana" w:cs="Times New Roman"/>
        </w:rPr>
        <w:t>.</w:t>
      </w:r>
    </w:p>
    <w:p w14:paraId="4E20CA40" w14:textId="77777777" w:rsidR="0070640A" w:rsidRPr="00106A79" w:rsidRDefault="00194E2A" w:rsidP="00106A79">
      <w:pPr>
        <w:spacing w:line="480" w:lineRule="auto"/>
        <w:rPr>
          <w:rFonts w:ascii="Verdana" w:hAnsi="Verdana" w:cs="Times New Roman"/>
          <w:b/>
        </w:rPr>
      </w:pPr>
      <w:r w:rsidRPr="00106A79">
        <w:rPr>
          <w:rFonts w:ascii="Verdana" w:hAnsi="Verdana" w:cs="Times New Roman"/>
          <w:b/>
        </w:rPr>
        <w:t>[Table 1 near here]</w:t>
      </w:r>
    </w:p>
    <w:p w14:paraId="5AFBD5EF" w14:textId="77777777" w:rsidR="00E44F20" w:rsidRDefault="00E44F20" w:rsidP="00106A79">
      <w:pPr>
        <w:spacing w:line="480" w:lineRule="auto"/>
        <w:rPr>
          <w:rFonts w:ascii="Verdana" w:hAnsi="Verdana" w:cs="Times New Roman"/>
        </w:rPr>
      </w:pPr>
    </w:p>
    <w:p w14:paraId="0A4B261E" w14:textId="6E8CFC71" w:rsidR="002C0F85" w:rsidRPr="00106A79" w:rsidRDefault="00C4496A" w:rsidP="00106A79">
      <w:pPr>
        <w:spacing w:line="480" w:lineRule="auto"/>
        <w:rPr>
          <w:rFonts w:ascii="Verdana" w:hAnsi="Verdana" w:cs="Times New Roman"/>
        </w:rPr>
      </w:pPr>
      <w:r w:rsidRPr="00106A79">
        <w:rPr>
          <w:rFonts w:ascii="Verdana" w:hAnsi="Verdana" w:cs="Times New Roman"/>
        </w:rPr>
        <w:t xml:space="preserve">Associations have also been found </w:t>
      </w:r>
      <w:r w:rsidR="0007682C">
        <w:rPr>
          <w:rFonts w:ascii="Verdana" w:hAnsi="Verdana" w:cs="Times New Roman"/>
        </w:rPr>
        <w:t>with</w:t>
      </w:r>
      <w:r w:rsidRPr="00106A79">
        <w:rPr>
          <w:rFonts w:ascii="Verdana" w:hAnsi="Verdana" w:cs="Times New Roman"/>
        </w:rPr>
        <w:t xml:space="preserve"> </w:t>
      </w:r>
      <w:r w:rsidR="006B3CEF" w:rsidRPr="00106A79">
        <w:rPr>
          <w:rFonts w:ascii="Verdana" w:hAnsi="Verdana" w:cs="Times New Roman"/>
        </w:rPr>
        <w:t xml:space="preserve">a physician’s diagnosis of </w:t>
      </w:r>
      <w:r w:rsidR="00EB0C67" w:rsidRPr="00106A79">
        <w:rPr>
          <w:rFonts w:ascii="Verdana" w:hAnsi="Verdana" w:cs="Times New Roman"/>
        </w:rPr>
        <w:t>MSD [</w:t>
      </w:r>
      <w:r w:rsidR="007B46DA">
        <w:rPr>
          <w:rFonts w:ascii="Verdana" w:hAnsi="Verdana" w:cs="Times New Roman"/>
        </w:rPr>
        <w:t>43</w:t>
      </w:r>
      <w:r w:rsidR="006B3CEF" w:rsidRPr="00106A79">
        <w:rPr>
          <w:rFonts w:ascii="Verdana" w:hAnsi="Verdana" w:cs="Times New Roman"/>
        </w:rPr>
        <w:t>]</w:t>
      </w:r>
      <w:r w:rsidR="000527D2" w:rsidRPr="00106A79">
        <w:rPr>
          <w:rFonts w:ascii="Verdana" w:hAnsi="Verdana" w:cs="Times New Roman"/>
        </w:rPr>
        <w:t xml:space="preserve"> </w:t>
      </w:r>
      <w:r w:rsidR="002C0F85" w:rsidRPr="00106A79">
        <w:rPr>
          <w:rFonts w:ascii="Verdana" w:hAnsi="Verdana" w:cs="Times New Roman"/>
        </w:rPr>
        <w:t xml:space="preserve">and </w:t>
      </w:r>
      <w:r w:rsidR="0070640A" w:rsidRPr="00106A79">
        <w:rPr>
          <w:rFonts w:ascii="Verdana" w:hAnsi="Verdana" w:cs="Times New Roman"/>
        </w:rPr>
        <w:t xml:space="preserve">with </w:t>
      </w:r>
      <w:r w:rsidRPr="00106A79">
        <w:rPr>
          <w:rFonts w:ascii="Verdana" w:hAnsi="Verdana" w:cs="Times New Roman"/>
        </w:rPr>
        <w:t>frequently taken analgesia</w:t>
      </w:r>
      <w:r w:rsidR="006B3CEF" w:rsidRPr="00106A79">
        <w:rPr>
          <w:rFonts w:ascii="Verdana" w:hAnsi="Verdana" w:cs="Times New Roman"/>
        </w:rPr>
        <w:t xml:space="preserve">. </w:t>
      </w:r>
      <w:r w:rsidR="00E44F20">
        <w:rPr>
          <w:rFonts w:ascii="Verdana" w:hAnsi="Verdana" w:cs="Times New Roman"/>
        </w:rPr>
        <w:t>Thus</w:t>
      </w:r>
      <w:r w:rsidR="0070640A" w:rsidRPr="00106A79">
        <w:rPr>
          <w:rFonts w:ascii="Verdana" w:hAnsi="Verdana" w:cs="Times New Roman"/>
        </w:rPr>
        <w:t xml:space="preserve">, in </w:t>
      </w:r>
      <w:r w:rsidR="003443CF" w:rsidRPr="00106A79">
        <w:rPr>
          <w:rFonts w:ascii="Verdana" w:hAnsi="Verdana" w:cs="Times New Roman"/>
        </w:rPr>
        <w:t>the</w:t>
      </w:r>
      <w:r w:rsidR="0070640A" w:rsidRPr="00106A79">
        <w:rPr>
          <w:rFonts w:ascii="Verdana" w:hAnsi="Verdana" w:cs="Times New Roman"/>
        </w:rPr>
        <w:t xml:space="preserve"> </w:t>
      </w:r>
      <w:r w:rsidR="00F365C3" w:rsidRPr="00106A79">
        <w:rPr>
          <w:rFonts w:ascii="Verdana" w:hAnsi="Verdana" w:cs="Times New Roman"/>
        </w:rPr>
        <w:t>Finnish</w:t>
      </w:r>
      <w:r w:rsidR="0070640A" w:rsidRPr="00106A79">
        <w:rPr>
          <w:rFonts w:ascii="Verdana" w:hAnsi="Verdana" w:cs="Times New Roman"/>
        </w:rPr>
        <w:t xml:space="preserve"> twins</w:t>
      </w:r>
      <w:r w:rsidR="003443CF" w:rsidRPr="00106A79">
        <w:rPr>
          <w:rFonts w:ascii="Verdana" w:hAnsi="Verdana" w:cs="Times New Roman"/>
        </w:rPr>
        <w:t xml:space="preserve"> study</w:t>
      </w:r>
      <w:r w:rsidR="0070640A" w:rsidRPr="00106A79">
        <w:rPr>
          <w:rFonts w:ascii="Verdana" w:hAnsi="Verdana" w:cs="Times New Roman"/>
        </w:rPr>
        <w:t xml:space="preserve">, </w:t>
      </w:r>
      <w:r w:rsidR="0007682C">
        <w:rPr>
          <w:rFonts w:ascii="Verdana" w:hAnsi="Verdana" w:cs="Times New Roman"/>
        </w:rPr>
        <w:t>those</w:t>
      </w:r>
      <w:r w:rsidR="0007682C" w:rsidRPr="00106A79">
        <w:rPr>
          <w:rFonts w:ascii="Verdana" w:hAnsi="Verdana" w:cs="Times New Roman"/>
        </w:rPr>
        <w:t xml:space="preserve"> </w:t>
      </w:r>
      <w:r w:rsidR="0070640A" w:rsidRPr="00106A79">
        <w:rPr>
          <w:rFonts w:ascii="Verdana" w:hAnsi="Verdana" w:cs="Times New Roman"/>
        </w:rPr>
        <w:t>taking analgesic drugs on &gt;10 days</w:t>
      </w:r>
      <w:r w:rsidR="00E44F20">
        <w:rPr>
          <w:rFonts w:ascii="Verdana" w:hAnsi="Verdana" w:cs="Times New Roman"/>
        </w:rPr>
        <w:t>/</w:t>
      </w:r>
      <w:r w:rsidR="0070640A" w:rsidRPr="00106A79">
        <w:rPr>
          <w:rFonts w:ascii="Verdana" w:hAnsi="Verdana" w:cs="Times New Roman"/>
        </w:rPr>
        <w:t xml:space="preserve">year </w:t>
      </w:r>
      <w:r w:rsidR="0007682C">
        <w:rPr>
          <w:rFonts w:ascii="Verdana" w:hAnsi="Verdana" w:cs="Times New Roman"/>
        </w:rPr>
        <w:t>were twice as like to receive a</w:t>
      </w:r>
      <w:r w:rsidRPr="00106A79">
        <w:rPr>
          <w:rFonts w:ascii="Verdana" w:hAnsi="Verdana" w:cs="Times New Roman"/>
        </w:rPr>
        <w:t xml:space="preserve"> MSD-ascribed disability pension </w:t>
      </w:r>
      <w:r w:rsidR="003402F8">
        <w:rPr>
          <w:rFonts w:ascii="Verdana" w:hAnsi="Verdana" w:cs="Times New Roman"/>
        </w:rPr>
        <w:t>during</w:t>
      </w:r>
      <w:r w:rsidRPr="00106A79">
        <w:rPr>
          <w:rFonts w:ascii="Verdana" w:hAnsi="Verdana" w:cs="Times New Roman"/>
        </w:rPr>
        <w:t xml:space="preserve"> </w:t>
      </w:r>
      <w:r w:rsidR="0070640A" w:rsidRPr="00106A79">
        <w:rPr>
          <w:rFonts w:ascii="Verdana" w:hAnsi="Verdana" w:cs="Times New Roman"/>
        </w:rPr>
        <w:t xml:space="preserve">the </w:t>
      </w:r>
      <w:r w:rsidR="003402F8">
        <w:rPr>
          <w:rFonts w:ascii="Verdana" w:hAnsi="Verdana" w:cs="Times New Roman"/>
        </w:rPr>
        <w:t>subsequent</w:t>
      </w:r>
      <w:r w:rsidR="003402F8" w:rsidRPr="00106A79">
        <w:rPr>
          <w:rFonts w:ascii="Verdana" w:hAnsi="Verdana" w:cs="Times New Roman"/>
        </w:rPr>
        <w:t xml:space="preserve"> </w:t>
      </w:r>
      <w:r w:rsidR="003443CF" w:rsidRPr="00106A79">
        <w:rPr>
          <w:rFonts w:ascii="Verdana" w:hAnsi="Verdana" w:cs="Times New Roman"/>
        </w:rPr>
        <w:t>three decades</w:t>
      </w:r>
      <w:r w:rsidR="0070640A" w:rsidRPr="00106A79">
        <w:rPr>
          <w:rFonts w:ascii="Verdana" w:hAnsi="Verdana" w:cs="Times New Roman"/>
        </w:rPr>
        <w:t xml:space="preserve"> [</w:t>
      </w:r>
      <w:r w:rsidR="007B46DA">
        <w:rPr>
          <w:rFonts w:ascii="Verdana" w:hAnsi="Verdana" w:cs="Times New Roman"/>
        </w:rPr>
        <w:t>36</w:t>
      </w:r>
      <w:r w:rsidR="0070640A" w:rsidRPr="00106A79">
        <w:rPr>
          <w:rFonts w:ascii="Verdana" w:hAnsi="Verdana" w:cs="Times New Roman"/>
        </w:rPr>
        <w:t xml:space="preserve">]. </w:t>
      </w:r>
    </w:p>
    <w:p w14:paraId="0001FCC8" w14:textId="77777777" w:rsidR="002C0F85" w:rsidRPr="00106A79" w:rsidRDefault="002C0F85" w:rsidP="00106A79">
      <w:pPr>
        <w:spacing w:line="480" w:lineRule="auto"/>
        <w:rPr>
          <w:rFonts w:ascii="Verdana" w:hAnsi="Verdana" w:cs="Times New Roman"/>
        </w:rPr>
      </w:pPr>
    </w:p>
    <w:p w14:paraId="674B3AC1" w14:textId="74CF7EC8" w:rsidR="0070640A" w:rsidRPr="00106A79" w:rsidRDefault="002C0F85" w:rsidP="00106A79">
      <w:pPr>
        <w:spacing w:line="480" w:lineRule="auto"/>
        <w:rPr>
          <w:rFonts w:ascii="Verdana" w:hAnsi="Verdana" w:cs="Times New Roman"/>
        </w:rPr>
      </w:pPr>
      <w:r w:rsidRPr="00106A79">
        <w:rPr>
          <w:rFonts w:ascii="Verdana" w:hAnsi="Verdana" w:cs="Times New Roman"/>
        </w:rPr>
        <w:lastRenderedPageBreak/>
        <w:t>S</w:t>
      </w:r>
      <w:r w:rsidR="0070640A" w:rsidRPr="00106A79">
        <w:rPr>
          <w:rFonts w:ascii="Verdana" w:hAnsi="Verdana" w:cs="Times New Roman"/>
        </w:rPr>
        <w:t xml:space="preserve">ick leave is a strong predictor of </w:t>
      </w:r>
      <w:r w:rsidR="00E44F20">
        <w:rPr>
          <w:rFonts w:ascii="Verdana" w:hAnsi="Verdana" w:cs="Times New Roman"/>
        </w:rPr>
        <w:t xml:space="preserve">future </w:t>
      </w:r>
      <w:r w:rsidR="0070640A" w:rsidRPr="00106A79">
        <w:rPr>
          <w:rFonts w:ascii="Verdana" w:hAnsi="Verdana" w:cs="Times New Roman"/>
        </w:rPr>
        <w:t xml:space="preserve">disability pensioning. In a </w:t>
      </w:r>
      <w:r w:rsidR="0007682C" w:rsidRPr="00106A79">
        <w:rPr>
          <w:rFonts w:ascii="Verdana" w:hAnsi="Verdana" w:cs="Times New Roman"/>
        </w:rPr>
        <w:t xml:space="preserve">French </w:t>
      </w:r>
      <w:r w:rsidR="0070640A" w:rsidRPr="00106A79">
        <w:rPr>
          <w:rFonts w:ascii="Verdana" w:hAnsi="Verdana" w:cs="Times New Roman"/>
        </w:rPr>
        <w:t xml:space="preserve">cohort of 20,434 </w:t>
      </w:r>
      <w:r w:rsidR="003402F8">
        <w:rPr>
          <w:rFonts w:ascii="Verdana" w:hAnsi="Verdana" w:cs="Times New Roman"/>
        </w:rPr>
        <w:t>utility</w:t>
      </w:r>
      <w:r w:rsidR="0007682C">
        <w:rPr>
          <w:rFonts w:ascii="Verdana" w:hAnsi="Verdana" w:cs="Times New Roman"/>
        </w:rPr>
        <w:t xml:space="preserve"> workers</w:t>
      </w:r>
      <w:r w:rsidR="0070640A" w:rsidRPr="00106A79">
        <w:rPr>
          <w:rFonts w:ascii="Verdana" w:hAnsi="Verdana" w:cs="Times New Roman"/>
        </w:rPr>
        <w:t xml:space="preserve">, sick leave of &gt;7 days for a </w:t>
      </w:r>
      <w:r w:rsidR="00E44F20">
        <w:rPr>
          <w:rFonts w:ascii="Verdana" w:hAnsi="Verdana" w:cs="Times New Roman"/>
        </w:rPr>
        <w:t>MSD</w:t>
      </w:r>
      <w:r w:rsidR="0070640A" w:rsidRPr="00106A79">
        <w:rPr>
          <w:rFonts w:ascii="Verdana" w:hAnsi="Verdana" w:cs="Times New Roman"/>
        </w:rPr>
        <w:t xml:space="preserve"> in 1990-2 </w:t>
      </w:r>
      <w:r w:rsidR="00E44F20">
        <w:rPr>
          <w:rFonts w:ascii="Verdana" w:hAnsi="Verdana" w:cs="Times New Roman"/>
        </w:rPr>
        <w:t>carried</w:t>
      </w:r>
      <w:r w:rsidR="0070640A" w:rsidRPr="00106A79">
        <w:rPr>
          <w:rFonts w:ascii="Verdana" w:hAnsi="Verdana" w:cs="Times New Roman"/>
        </w:rPr>
        <w:t xml:space="preserve"> a </w:t>
      </w:r>
      <w:r w:rsidR="00E44F20">
        <w:rPr>
          <w:rFonts w:ascii="Verdana" w:hAnsi="Verdana" w:cs="Times New Roman"/>
        </w:rPr>
        <w:t>&gt;</w:t>
      </w:r>
      <w:r w:rsidR="0070640A" w:rsidRPr="00106A79">
        <w:rPr>
          <w:rFonts w:ascii="Verdana" w:hAnsi="Verdana" w:cs="Times New Roman"/>
        </w:rPr>
        <w:t>3</w:t>
      </w:r>
      <w:r w:rsidR="0007682C">
        <w:rPr>
          <w:rFonts w:ascii="Verdana" w:hAnsi="Verdana" w:cs="Times New Roman"/>
        </w:rPr>
        <w:t>-4.6</w:t>
      </w:r>
      <w:r w:rsidR="0070640A" w:rsidRPr="00106A79">
        <w:rPr>
          <w:rFonts w:ascii="Verdana" w:hAnsi="Verdana" w:cs="Times New Roman"/>
        </w:rPr>
        <w:t xml:space="preserve">-fold higher risk of disability pensioning </w:t>
      </w:r>
      <w:r w:rsidR="007610B8">
        <w:rPr>
          <w:rFonts w:ascii="Verdana" w:hAnsi="Verdana" w:cs="Times New Roman"/>
        </w:rPr>
        <w:t>over a</w:t>
      </w:r>
      <w:r w:rsidR="0070640A" w:rsidRPr="00106A79">
        <w:rPr>
          <w:rFonts w:ascii="Verdana" w:hAnsi="Verdana" w:cs="Times New Roman"/>
        </w:rPr>
        <w:t xml:space="preserve"> 13</w:t>
      </w:r>
      <w:r w:rsidR="007610B8">
        <w:rPr>
          <w:rFonts w:ascii="Verdana" w:hAnsi="Verdana" w:cs="Times New Roman"/>
        </w:rPr>
        <w:t>-</w:t>
      </w:r>
      <w:r w:rsidR="0070640A" w:rsidRPr="00106A79">
        <w:rPr>
          <w:rFonts w:ascii="Verdana" w:hAnsi="Verdana" w:cs="Times New Roman"/>
        </w:rPr>
        <w:t>year</w:t>
      </w:r>
      <w:r w:rsidR="007610B8">
        <w:rPr>
          <w:rFonts w:ascii="Verdana" w:hAnsi="Verdana" w:cs="Times New Roman"/>
        </w:rPr>
        <w:t xml:space="preserve"> follow-up</w:t>
      </w:r>
      <w:r w:rsidR="0070640A" w:rsidRPr="00106A79">
        <w:rPr>
          <w:rFonts w:ascii="Verdana" w:hAnsi="Verdana" w:cs="Times New Roman"/>
        </w:rPr>
        <w:t xml:space="preserve"> [</w:t>
      </w:r>
      <w:r w:rsidR="007B46DA">
        <w:rPr>
          <w:rFonts w:ascii="Verdana" w:hAnsi="Verdana" w:cs="Times New Roman"/>
        </w:rPr>
        <w:t>44</w:t>
      </w:r>
      <w:r w:rsidR="0070640A" w:rsidRPr="00106A79">
        <w:rPr>
          <w:rFonts w:ascii="Verdana" w:hAnsi="Verdana" w:cs="Times New Roman"/>
        </w:rPr>
        <w:t xml:space="preserve">]; in a population sample of 176,600 Swedes, those with sick leave of &gt;7 days for a </w:t>
      </w:r>
      <w:r w:rsidR="00E44F20">
        <w:rPr>
          <w:rFonts w:ascii="Verdana" w:hAnsi="Verdana" w:cs="Times New Roman"/>
        </w:rPr>
        <w:t>MSD</w:t>
      </w:r>
      <w:r w:rsidR="007610B8">
        <w:rPr>
          <w:rFonts w:ascii="Verdana" w:hAnsi="Verdana" w:cs="Times New Roman"/>
        </w:rPr>
        <w:t xml:space="preserve"> </w:t>
      </w:r>
      <w:r w:rsidR="0070640A" w:rsidRPr="00106A79">
        <w:rPr>
          <w:rFonts w:ascii="Verdana" w:hAnsi="Verdana" w:cs="Times New Roman"/>
        </w:rPr>
        <w:t>in 1985 were 5.7 times more likely</w:t>
      </w:r>
      <w:r w:rsidR="007610B8">
        <w:rPr>
          <w:rFonts w:ascii="Verdana" w:hAnsi="Verdana" w:cs="Times New Roman"/>
        </w:rPr>
        <w:t xml:space="preserve"> than those without</w:t>
      </w:r>
      <w:r w:rsidR="0070640A" w:rsidRPr="00106A79">
        <w:rPr>
          <w:rFonts w:ascii="Verdana" w:hAnsi="Verdana" w:cs="Times New Roman"/>
        </w:rPr>
        <w:t xml:space="preserve"> to take a MSD-related disability pension in 1991-6 </w:t>
      </w:r>
      <w:r w:rsidR="00EB0C67" w:rsidRPr="00106A79">
        <w:rPr>
          <w:rFonts w:ascii="Verdana" w:hAnsi="Verdana" w:cs="Times New Roman"/>
        </w:rPr>
        <w:t>[</w:t>
      </w:r>
      <w:r w:rsidR="007B46DA">
        <w:rPr>
          <w:rFonts w:ascii="Verdana" w:hAnsi="Verdana" w:cs="Times New Roman"/>
        </w:rPr>
        <w:t>45</w:t>
      </w:r>
      <w:r w:rsidR="0070640A" w:rsidRPr="00106A79">
        <w:rPr>
          <w:rFonts w:ascii="Verdana" w:hAnsi="Verdana" w:cs="Times New Roman"/>
        </w:rPr>
        <w:t>]</w:t>
      </w:r>
      <w:r w:rsidR="00F24B02" w:rsidRPr="00106A79">
        <w:rPr>
          <w:rFonts w:ascii="Verdana" w:hAnsi="Verdana" w:cs="Times New Roman"/>
        </w:rPr>
        <w:t>.</w:t>
      </w:r>
    </w:p>
    <w:p w14:paraId="4C19DD7F" w14:textId="77777777" w:rsidR="00F24B02" w:rsidRPr="00106A79" w:rsidRDefault="00F24B02" w:rsidP="00106A79">
      <w:pPr>
        <w:spacing w:line="480" w:lineRule="auto"/>
        <w:rPr>
          <w:rFonts w:ascii="Verdana" w:hAnsi="Verdana" w:cs="Times New Roman"/>
        </w:rPr>
      </w:pPr>
    </w:p>
    <w:p w14:paraId="1753419B" w14:textId="68288E43" w:rsidR="00330B95" w:rsidRPr="00106A79" w:rsidRDefault="00F24B02" w:rsidP="00106A79">
      <w:pPr>
        <w:spacing w:line="480" w:lineRule="auto"/>
        <w:rPr>
          <w:rFonts w:ascii="Verdana" w:hAnsi="Verdana" w:cs="Times New Roman"/>
        </w:rPr>
      </w:pPr>
      <w:r w:rsidRPr="00106A79">
        <w:rPr>
          <w:rFonts w:ascii="Verdana" w:hAnsi="Verdana" w:cs="Times New Roman"/>
        </w:rPr>
        <w:t xml:space="preserve">Whilst the association between musculoskeletal ill-health and job loss </w:t>
      </w:r>
      <w:r w:rsidR="001019DB" w:rsidRPr="00106A79">
        <w:rPr>
          <w:rFonts w:ascii="Verdana" w:hAnsi="Verdana" w:cs="Times New Roman"/>
        </w:rPr>
        <w:t>is</w:t>
      </w:r>
      <w:r w:rsidRPr="00106A79">
        <w:rPr>
          <w:rFonts w:ascii="Verdana" w:hAnsi="Verdana" w:cs="Times New Roman"/>
        </w:rPr>
        <w:t xml:space="preserve"> rather non-specific, more severe or extensive symptoms </w:t>
      </w:r>
      <w:r w:rsidR="007F5D9B" w:rsidRPr="00106A79">
        <w:rPr>
          <w:rFonts w:ascii="Verdana" w:hAnsi="Verdana" w:cs="Times New Roman"/>
        </w:rPr>
        <w:t>appear</w:t>
      </w:r>
      <w:r w:rsidRPr="00106A79">
        <w:rPr>
          <w:rFonts w:ascii="Verdana" w:hAnsi="Verdana" w:cs="Times New Roman"/>
        </w:rPr>
        <w:t xml:space="preserve"> consistently to carry a higher risk of poor employment outcome. </w:t>
      </w:r>
      <w:r w:rsidR="00E44F20">
        <w:rPr>
          <w:rFonts w:ascii="Verdana" w:hAnsi="Verdana" w:cs="Times New Roman"/>
        </w:rPr>
        <w:t>For</w:t>
      </w:r>
      <w:r w:rsidRPr="00106A79">
        <w:rPr>
          <w:rFonts w:ascii="Verdana" w:hAnsi="Verdana" w:cs="Times New Roman"/>
        </w:rPr>
        <w:t xml:space="preserve"> example, in </w:t>
      </w:r>
      <w:r w:rsidR="003402F8">
        <w:rPr>
          <w:rFonts w:ascii="Verdana" w:hAnsi="Verdana" w:cs="Times New Roman"/>
        </w:rPr>
        <w:t>a</w:t>
      </w:r>
      <w:r w:rsidRPr="00106A79">
        <w:rPr>
          <w:rFonts w:ascii="Verdana" w:hAnsi="Verdana" w:cs="Times New Roman"/>
        </w:rPr>
        <w:t xml:space="preserve"> Norw</w:t>
      </w:r>
      <w:r w:rsidR="003402F8">
        <w:rPr>
          <w:rFonts w:ascii="Verdana" w:hAnsi="Verdana" w:cs="Times New Roman"/>
        </w:rPr>
        <w:t>egian study</w:t>
      </w:r>
      <w:r w:rsidRPr="00106A79">
        <w:rPr>
          <w:rFonts w:ascii="Verdana" w:hAnsi="Verdana" w:cs="Times New Roman"/>
        </w:rPr>
        <w:t xml:space="preserve">, </w:t>
      </w:r>
      <w:r w:rsidR="00421D93" w:rsidRPr="00106A79">
        <w:rPr>
          <w:rFonts w:ascii="Verdana" w:hAnsi="Verdana" w:cs="Times New Roman"/>
        </w:rPr>
        <w:t>the odds of disability pensioning over 14 year</w:t>
      </w:r>
      <w:r w:rsidR="007610B8">
        <w:rPr>
          <w:rFonts w:ascii="Verdana" w:hAnsi="Verdana" w:cs="Times New Roman"/>
        </w:rPr>
        <w:t>s</w:t>
      </w:r>
      <w:r w:rsidR="00421D93" w:rsidRPr="00106A79">
        <w:rPr>
          <w:rFonts w:ascii="Verdana" w:hAnsi="Verdana" w:cs="Times New Roman"/>
        </w:rPr>
        <w:t xml:space="preserve"> rose </w:t>
      </w:r>
      <w:r w:rsidRPr="00106A79">
        <w:rPr>
          <w:rFonts w:ascii="Verdana" w:hAnsi="Verdana" w:cs="Times New Roman"/>
        </w:rPr>
        <w:t>monotonic</w:t>
      </w:r>
      <w:r w:rsidR="00421D93" w:rsidRPr="00106A79">
        <w:rPr>
          <w:rFonts w:ascii="Verdana" w:hAnsi="Verdana" w:cs="Times New Roman"/>
        </w:rPr>
        <w:t>ally</w:t>
      </w:r>
      <w:r w:rsidRPr="00106A79">
        <w:rPr>
          <w:rFonts w:ascii="Verdana" w:hAnsi="Verdana" w:cs="Times New Roman"/>
        </w:rPr>
        <w:t xml:space="preserve"> with number of </w:t>
      </w:r>
      <w:r w:rsidR="007610B8">
        <w:rPr>
          <w:rFonts w:ascii="Verdana" w:hAnsi="Verdana" w:cs="Times New Roman"/>
        </w:rPr>
        <w:t xml:space="preserve">painful </w:t>
      </w:r>
      <w:r w:rsidR="001019DB" w:rsidRPr="00106A79">
        <w:rPr>
          <w:rFonts w:ascii="Verdana" w:hAnsi="Verdana" w:cs="Times New Roman"/>
        </w:rPr>
        <w:t xml:space="preserve">anatomical </w:t>
      </w:r>
      <w:r w:rsidRPr="00106A79">
        <w:rPr>
          <w:rFonts w:ascii="Verdana" w:hAnsi="Verdana" w:cs="Times New Roman"/>
        </w:rPr>
        <w:t xml:space="preserve">sites </w:t>
      </w:r>
      <w:r w:rsidR="003402F8">
        <w:rPr>
          <w:rFonts w:ascii="Verdana" w:hAnsi="Verdana" w:cs="Times New Roman"/>
        </w:rPr>
        <w:t>in the</w:t>
      </w:r>
      <w:r w:rsidRPr="00106A79">
        <w:rPr>
          <w:rFonts w:ascii="Verdana" w:hAnsi="Verdana" w:cs="Times New Roman"/>
        </w:rPr>
        <w:t xml:space="preserve"> </w:t>
      </w:r>
      <w:r w:rsidR="001019DB" w:rsidRPr="00106A79">
        <w:rPr>
          <w:rFonts w:ascii="Verdana" w:hAnsi="Verdana" w:cs="Times New Roman"/>
        </w:rPr>
        <w:t>year</w:t>
      </w:r>
      <w:r w:rsidRPr="00106A79">
        <w:rPr>
          <w:rFonts w:ascii="Verdana" w:hAnsi="Verdana" w:cs="Times New Roman"/>
        </w:rPr>
        <w:t xml:space="preserve"> before baseline, </w:t>
      </w:r>
      <w:r w:rsidR="003402F8">
        <w:rPr>
          <w:rFonts w:ascii="Verdana" w:hAnsi="Verdana" w:cs="Times New Roman"/>
        </w:rPr>
        <w:t>being</w:t>
      </w:r>
      <w:r w:rsidR="003402F8" w:rsidRPr="00106A79">
        <w:rPr>
          <w:rFonts w:ascii="Verdana" w:hAnsi="Verdana" w:cs="Times New Roman"/>
        </w:rPr>
        <w:t xml:space="preserve"> </w:t>
      </w:r>
      <w:r w:rsidR="003402F8">
        <w:rPr>
          <w:rFonts w:ascii="Verdana" w:hAnsi="Verdana" w:cs="Times New Roman"/>
        </w:rPr>
        <w:t>~</w:t>
      </w:r>
      <w:r w:rsidR="007610B8">
        <w:rPr>
          <w:rFonts w:ascii="Verdana" w:hAnsi="Verdana" w:cs="Times New Roman"/>
        </w:rPr>
        <w:t>4-fold</w:t>
      </w:r>
      <w:r w:rsidR="003402F8">
        <w:rPr>
          <w:rFonts w:ascii="Verdana" w:hAnsi="Verdana" w:cs="Times New Roman"/>
        </w:rPr>
        <w:t xml:space="preserve"> higher</w:t>
      </w:r>
      <w:r w:rsidRPr="00106A79">
        <w:rPr>
          <w:rFonts w:ascii="Verdana" w:hAnsi="Verdana" w:cs="Times New Roman"/>
        </w:rPr>
        <w:t xml:space="preserve"> in those with 9 or 10 painful sites [</w:t>
      </w:r>
      <w:r w:rsidR="007B46DA">
        <w:rPr>
          <w:rFonts w:ascii="Verdana" w:hAnsi="Verdana" w:cs="Times New Roman"/>
        </w:rPr>
        <w:t>46</w:t>
      </w:r>
      <w:r w:rsidRPr="00106A79">
        <w:rPr>
          <w:rFonts w:ascii="Verdana" w:hAnsi="Verdana" w:cs="Times New Roman"/>
        </w:rPr>
        <w:t xml:space="preserve">]; in </w:t>
      </w:r>
      <w:r w:rsidR="00111602" w:rsidRPr="00106A79">
        <w:rPr>
          <w:rFonts w:ascii="Verdana" w:hAnsi="Verdana" w:cs="Times New Roman"/>
        </w:rPr>
        <w:t>a</w:t>
      </w:r>
      <w:r w:rsidR="003402F8">
        <w:rPr>
          <w:rFonts w:ascii="Verdana" w:hAnsi="Verdana" w:cs="Times New Roman"/>
        </w:rPr>
        <w:t>nother</w:t>
      </w:r>
      <w:r w:rsidRPr="00106A79">
        <w:rPr>
          <w:rFonts w:ascii="Verdana" w:hAnsi="Verdana" w:cs="Times New Roman"/>
        </w:rPr>
        <w:t xml:space="preserve"> population survey from Norway, </w:t>
      </w:r>
      <w:r w:rsidR="001019DB" w:rsidRPr="00106A79">
        <w:rPr>
          <w:rFonts w:ascii="Verdana" w:hAnsi="Verdana" w:cs="Times New Roman"/>
        </w:rPr>
        <w:t xml:space="preserve">long-term disability was  3.5 times more likely in those with generalised pain in the week before baseline </w:t>
      </w:r>
      <w:r w:rsidR="00421D93" w:rsidRPr="00106A79">
        <w:rPr>
          <w:rFonts w:ascii="Verdana" w:hAnsi="Verdana" w:cs="Times New Roman"/>
        </w:rPr>
        <w:t>than in</w:t>
      </w:r>
      <w:r w:rsidR="001019DB" w:rsidRPr="00106A79">
        <w:rPr>
          <w:rFonts w:ascii="Verdana" w:hAnsi="Verdana" w:cs="Times New Roman"/>
        </w:rPr>
        <w:t xml:space="preserve"> those with localised </w:t>
      </w:r>
      <w:r w:rsidR="007610B8">
        <w:rPr>
          <w:rFonts w:ascii="Verdana" w:hAnsi="Verdana" w:cs="Times New Roman"/>
        </w:rPr>
        <w:t>LBP</w:t>
      </w:r>
      <w:r w:rsidR="001019DB" w:rsidRPr="00106A79">
        <w:rPr>
          <w:rFonts w:ascii="Verdana" w:hAnsi="Verdana" w:cs="Times New Roman"/>
        </w:rPr>
        <w:t xml:space="preserve"> </w:t>
      </w:r>
      <w:r w:rsidR="00111602" w:rsidRPr="00106A79">
        <w:rPr>
          <w:rFonts w:ascii="Verdana" w:hAnsi="Verdana" w:cs="Times New Roman"/>
        </w:rPr>
        <w:t>[</w:t>
      </w:r>
      <w:r w:rsidR="007B46DA">
        <w:rPr>
          <w:rFonts w:ascii="Verdana" w:hAnsi="Verdana" w:cs="Times New Roman"/>
        </w:rPr>
        <w:t>47</w:t>
      </w:r>
      <w:r w:rsidR="00111602" w:rsidRPr="00106A79">
        <w:rPr>
          <w:rFonts w:ascii="Verdana" w:hAnsi="Verdana" w:cs="Times New Roman"/>
        </w:rPr>
        <w:t xml:space="preserve">]; and </w:t>
      </w:r>
      <w:r w:rsidR="00330B95" w:rsidRPr="00106A79">
        <w:rPr>
          <w:rFonts w:ascii="Verdana" w:hAnsi="Verdana" w:cs="Times New Roman"/>
        </w:rPr>
        <w:t xml:space="preserve">among Finnish workers attending occupational health services with upper limb pain, </w:t>
      </w:r>
      <w:r w:rsidR="00E44F20">
        <w:rPr>
          <w:rFonts w:ascii="Verdana" w:hAnsi="Verdana" w:cs="Times New Roman"/>
        </w:rPr>
        <w:t>&gt;50%</w:t>
      </w:r>
      <w:r w:rsidR="00330B95" w:rsidRPr="00106A79">
        <w:rPr>
          <w:rFonts w:ascii="Verdana" w:hAnsi="Verdana" w:cs="Times New Roman"/>
        </w:rPr>
        <w:t xml:space="preserve"> reported </w:t>
      </w:r>
      <w:r w:rsidR="00615B61" w:rsidRPr="00106A79">
        <w:rPr>
          <w:rFonts w:ascii="Verdana" w:hAnsi="Verdana" w:cs="Times New Roman"/>
        </w:rPr>
        <w:t>reduced</w:t>
      </w:r>
      <w:r w:rsidR="00330B95" w:rsidRPr="00106A79">
        <w:rPr>
          <w:rFonts w:ascii="Verdana" w:hAnsi="Verdana" w:cs="Times New Roman"/>
        </w:rPr>
        <w:t xml:space="preserve"> </w:t>
      </w:r>
      <w:r w:rsidR="00615B61" w:rsidRPr="00106A79">
        <w:rPr>
          <w:rFonts w:ascii="Verdana" w:hAnsi="Verdana" w:cs="Times New Roman"/>
        </w:rPr>
        <w:t xml:space="preserve">productivity at </w:t>
      </w:r>
      <w:r w:rsidR="00330B95" w:rsidRPr="00106A79">
        <w:rPr>
          <w:rFonts w:ascii="Verdana" w:hAnsi="Verdana" w:cs="Times New Roman"/>
        </w:rPr>
        <w:t>work [</w:t>
      </w:r>
      <w:r w:rsidR="007B46DA">
        <w:rPr>
          <w:rFonts w:ascii="Verdana" w:hAnsi="Verdana" w:cs="Times New Roman"/>
        </w:rPr>
        <w:t>48</w:t>
      </w:r>
      <w:r w:rsidR="00330B95" w:rsidRPr="00106A79">
        <w:rPr>
          <w:rFonts w:ascii="Verdana" w:hAnsi="Verdana" w:cs="Times New Roman"/>
        </w:rPr>
        <w:t xml:space="preserve">], the main risk factors among older employees </w:t>
      </w:r>
      <w:r w:rsidR="00E44F20">
        <w:rPr>
          <w:rFonts w:ascii="Verdana" w:hAnsi="Verdana" w:cs="Times New Roman"/>
        </w:rPr>
        <w:t>being</w:t>
      </w:r>
      <w:r w:rsidR="00615B61" w:rsidRPr="00106A79">
        <w:rPr>
          <w:rFonts w:ascii="Verdana" w:hAnsi="Verdana" w:cs="Times New Roman"/>
        </w:rPr>
        <w:t xml:space="preserve"> high pain intensity and pain-related sleep disturbance (OR 6.0 in the top tertile)</w:t>
      </w:r>
      <w:r w:rsidR="00111602" w:rsidRPr="00106A79">
        <w:rPr>
          <w:rFonts w:ascii="Verdana" w:hAnsi="Verdana" w:cs="Times New Roman"/>
        </w:rPr>
        <w:t>,</w:t>
      </w:r>
      <w:r w:rsidR="00615B61" w:rsidRPr="00106A79">
        <w:rPr>
          <w:rFonts w:ascii="Verdana" w:hAnsi="Verdana" w:cs="Times New Roman"/>
        </w:rPr>
        <w:t xml:space="preserve"> rather than </w:t>
      </w:r>
      <w:r w:rsidR="00330B95" w:rsidRPr="00106A79">
        <w:rPr>
          <w:rFonts w:ascii="Verdana" w:hAnsi="Verdana" w:cs="Times New Roman"/>
        </w:rPr>
        <w:t>diagnosis.</w:t>
      </w:r>
    </w:p>
    <w:p w14:paraId="7008A36F" w14:textId="77777777" w:rsidR="001019DB" w:rsidRPr="00106A79" w:rsidRDefault="001019DB" w:rsidP="00106A79">
      <w:pPr>
        <w:spacing w:line="480" w:lineRule="auto"/>
        <w:rPr>
          <w:rFonts w:ascii="Verdana" w:hAnsi="Verdana" w:cs="Times New Roman"/>
        </w:rPr>
      </w:pPr>
    </w:p>
    <w:p w14:paraId="1672C825" w14:textId="77777777" w:rsidR="00330B95" w:rsidRPr="00106A79" w:rsidRDefault="00330B95" w:rsidP="00106A79">
      <w:pPr>
        <w:spacing w:line="480" w:lineRule="auto"/>
        <w:rPr>
          <w:rFonts w:ascii="Verdana" w:hAnsi="Verdana" w:cs="Times New Roman"/>
          <w:i/>
        </w:rPr>
      </w:pPr>
      <w:r w:rsidRPr="00106A79">
        <w:rPr>
          <w:rFonts w:ascii="Verdana" w:hAnsi="Verdana" w:cs="Times New Roman"/>
          <w:i/>
        </w:rPr>
        <w:t>Inflammatory arthritis</w:t>
      </w:r>
    </w:p>
    <w:p w14:paraId="4C74FFCB" w14:textId="5233791F" w:rsidR="005F2F83" w:rsidRPr="00106A79" w:rsidRDefault="00330B95" w:rsidP="00106A79">
      <w:pPr>
        <w:shd w:val="clear" w:color="auto" w:fill="FFFFFF"/>
        <w:spacing w:line="480" w:lineRule="auto"/>
        <w:rPr>
          <w:rFonts w:ascii="Verdana" w:eastAsia="Times New Roman" w:hAnsi="Verdana" w:cs="Times New Roman"/>
          <w:lang w:eastAsia="en-GB"/>
        </w:rPr>
      </w:pPr>
      <w:r w:rsidRPr="00106A79">
        <w:rPr>
          <w:rFonts w:ascii="Verdana" w:hAnsi="Verdana" w:cs="Times New Roman"/>
        </w:rPr>
        <w:t xml:space="preserve">In general, </w:t>
      </w:r>
      <w:r w:rsidR="00DE1253" w:rsidRPr="00106A79">
        <w:rPr>
          <w:rFonts w:ascii="Verdana" w:hAnsi="Verdana" w:cs="Times New Roman"/>
        </w:rPr>
        <w:t>RA</w:t>
      </w:r>
      <w:r w:rsidRPr="00106A79">
        <w:rPr>
          <w:rFonts w:ascii="Verdana" w:hAnsi="Verdana" w:cs="Times New Roman"/>
        </w:rPr>
        <w:t xml:space="preserve"> </w:t>
      </w:r>
      <w:r w:rsidR="007942A2" w:rsidRPr="00106A79">
        <w:rPr>
          <w:rFonts w:ascii="Verdana" w:hAnsi="Verdana" w:cs="Times New Roman"/>
        </w:rPr>
        <w:t xml:space="preserve">is </w:t>
      </w:r>
      <w:r w:rsidRPr="00106A79">
        <w:rPr>
          <w:rFonts w:ascii="Verdana" w:hAnsi="Verdana" w:cs="Times New Roman"/>
        </w:rPr>
        <w:t xml:space="preserve">a more disabling condition than OA or soft tissue rheumatism, and has a more </w:t>
      </w:r>
      <w:r w:rsidR="00542B2D" w:rsidRPr="00106A79">
        <w:rPr>
          <w:rFonts w:ascii="Verdana" w:hAnsi="Verdana" w:cs="Times New Roman"/>
        </w:rPr>
        <w:t>profound</w:t>
      </w:r>
      <w:r w:rsidRPr="00106A79">
        <w:rPr>
          <w:rFonts w:ascii="Verdana" w:hAnsi="Verdana" w:cs="Times New Roman"/>
        </w:rPr>
        <w:t xml:space="preserve"> impact on employment. </w:t>
      </w:r>
      <w:r w:rsidR="007942A2" w:rsidRPr="00106A79">
        <w:rPr>
          <w:rFonts w:ascii="Verdana" w:hAnsi="Verdana" w:cs="Times New Roman"/>
        </w:rPr>
        <w:t xml:space="preserve">  </w:t>
      </w:r>
      <w:r w:rsidR="00542B2D" w:rsidRPr="00106A79">
        <w:rPr>
          <w:rFonts w:ascii="Verdana" w:hAnsi="Verdana" w:cs="Times New Roman"/>
        </w:rPr>
        <w:t>Disability begins early, rises linear</w:t>
      </w:r>
      <w:r w:rsidR="00E44F20">
        <w:rPr>
          <w:rFonts w:ascii="Verdana" w:hAnsi="Verdana" w:cs="Times New Roman"/>
        </w:rPr>
        <w:t>ly</w:t>
      </w:r>
      <w:r w:rsidR="00542B2D" w:rsidRPr="00106A79">
        <w:rPr>
          <w:rFonts w:ascii="Verdana" w:hAnsi="Verdana" w:cs="Times New Roman"/>
        </w:rPr>
        <w:t xml:space="preserve"> with time and</w:t>
      </w:r>
      <w:r w:rsidR="006C463D">
        <w:rPr>
          <w:rFonts w:ascii="Verdana" w:hAnsi="Verdana" w:cs="Times New Roman"/>
        </w:rPr>
        <w:t>,</w:t>
      </w:r>
      <w:r w:rsidR="00542B2D" w:rsidRPr="00106A79">
        <w:rPr>
          <w:rFonts w:ascii="Verdana" w:hAnsi="Verdana" w:cs="Times New Roman"/>
        </w:rPr>
        <w:t xml:space="preserve"> within 10 years of disease onset</w:t>
      </w:r>
      <w:r w:rsidR="006C463D">
        <w:rPr>
          <w:rFonts w:ascii="Verdana" w:hAnsi="Verdana" w:cs="Times New Roman"/>
        </w:rPr>
        <w:t>,</w:t>
      </w:r>
      <w:r w:rsidR="007610B8">
        <w:rPr>
          <w:rFonts w:ascii="Verdana" w:hAnsi="Verdana" w:cs="Times New Roman"/>
        </w:rPr>
        <w:t xml:space="preserve"> </w:t>
      </w:r>
      <w:r w:rsidR="00E44F20">
        <w:rPr>
          <w:rFonts w:ascii="Verdana" w:hAnsi="Verdana" w:cs="Times New Roman"/>
        </w:rPr>
        <w:t>&gt;50%</w:t>
      </w:r>
      <w:r w:rsidR="00542B2D" w:rsidRPr="00106A79">
        <w:rPr>
          <w:rFonts w:ascii="Verdana" w:hAnsi="Verdana" w:cs="Times New Roman"/>
        </w:rPr>
        <w:t xml:space="preserve"> of patients fail to maintain a full-time job [</w:t>
      </w:r>
      <w:r w:rsidR="007B46DA">
        <w:rPr>
          <w:rFonts w:ascii="Verdana" w:hAnsi="Verdana" w:cs="Times New Roman"/>
        </w:rPr>
        <w:t>14</w:t>
      </w:r>
      <w:r w:rsidR="00542B2D" w:rsidRPr="00106A79">
        <w:rPr>
          <w:rFonts w:ascii="Verdana" w:hAnsi="Verdana" w:cs="Times New Roman"/>
        </w:rPr>
        <w:t>].</w:t>
      </w:r>
      <w:r w:rsidR="00507695" w:rsidRPr="00106A79">
        <w:rPr>
          <w:rFonts w:ascii="Verdana" w:hAnsi="Verdana" w:cs="Times New Roman"/>
        </w:rPr>
        <w:t xml:space="preserve"> </w:t>
      </w:r>
      <w:r w:rsidR="007610B8">
        <w:rPr>
          <w:rFonts w:ascii="Verdana" w:hAnsi="Verdana" w:cs="Times New Roman"/>
        </w:rPr>
        <w:t>In</w:t>
      </w:r>
      <w:r w:rsidR="00507695" w:rsidRPr="00106A79">
        <w:rPr>
          <w:rFonts w:ascii="Verdana" w:hAnsi="Verdana" w:cs="Times New Roman"/>
        </w:rPr>
        <w:t xml:space="preserve"> a large </w:t>
      </w:r>
      <w:r w:rsidR="00AA6CCA" w:rsidRPr="00106A79">
        <w:rPr>
          <w:rFonts w:ascii="Verdana" w:hAnsi="Verdana" w:cs="Times New Roman"/>
        </w:rPr>
        <w:t xml:space="preserve">cohort with </w:t>
      </w:r>
      <w:r w:rsidR="00507695" w:rsidRPr="00106A79">
        <w:rPr>
          <w:rFonts w:ascii="Verdana" w:hAnsi="Verdana" w:cs="Times New Roman"/>
        </w:rPr>
        <w:t>RA</w:t>
      </w:r>
      <w:r w:rsidR="007610B8">
        <w:rPr>
          <w:rFonts w:ascii="Verdana" w:hAnsi="Verdana" w:cs="Times New Roman"/>
        </w:rPr>
        <w:t>,</w:t>
      </w:r>
      <w:r w:rsidR="00507695" w:rsidRPr="00106A79">
        <w:rPr>
          <w:rFonts w:ascii="Verdana" w:hAnsi="Verdana" w:cs="Times New Roman"/>
        </w:rPr>
        <w:t xml:space="preserve"> </w:t>
      </w:r>
      <w:r w:rsidR="007610B8" w:rsidRPr="00106A79">
        <w:rPr>
          <w:rFonts w:ascii="Verdana" w:eastAsia="Times New Roman" w:hAnsi="Verdana" w:cs="Times New Roman"/>
          <w:lang w:eastAsia="en-GB"/>
        </w:rPr>
        <w:t>only 10% remained in employment</w:t>
      </w:r>
      <w:r w:rsidR="007610B8">
        <w:rPr>
          <w:rFonts w:ascii="Verdana" w:eastAsia="Times New Roman" w:hAnsi="Verdana" w:cs="Times New Roman"/>
          <w:lang w:eastAsia="en-GB"/>
        </w:rPr>
        <w:t xml:space="preserve"> </w:t>
      </w:r>
      <w:r w:rsidR="00507695" w:rsidRPr="00106A79">
        <w:rPr>
          <w:rFonts w:ascii="Verdana" w:hAnsi="Verdana" w:cs="Times New Roman"/>
        </w:rPr>
        <w:t xml:space="preserve">30 years </w:t>
      </w:r>
      <w:r w:rsidR="00E44F20">
        <w:rPr>
          <w:rFonts w:ascii="Verdana" w:hAnsi="Verdana" w:cs="Times New Roman"/>
        </w:rPr>
        <w:t>after</w:t>
      </w:r>
      <w:r w:rsidR="00507695" w:rsidRPr="00106A79">
        <w:rPr>
          <w:rFonts w:ascii="Verdana" w:hAnsi="Verdana" w:cs="Times New Roman"/>
        </w:rPr>
        <w:t xml:space="preserve"> </w:t>
      </w:r>
      <w:r w:rsidR="00AA6CCA" w:rsidRPr="00106A79">
        <w:rPr>
          <w:rFonts w:ascii="Verdana" w:hAnsi="Verdana" w:cs="Times New Roman"/>
        </w:rPr>
        <w:t>disease</w:t>
      </w:r>
      <w:r w:rsidR="00507695" w:rsidRPr="00106A79">
        <w:rPr>
          <w:rFonts w:ascii="Verdana" w:hAnsi="Verdana" w:cs="Times New Roman"/>
        </w:rPr>
        <w:t xml:space="preserve"> onset</w:t>
      </w:r>
      <w:r w:rsidR="007610B8">
        <w:rPr>
          <w:rFonts w:ascii="Verdana" w:hAnsi="Verdana" w:cs="Times New Roman"/>
        </w:rPr>
        <w:t xml:space="preserve"> </w:t>
      </w:r>
      <w:r w:rsidR="00A47B57">
        <w:rPr>
          <w:rFonts w:ascii="Verdana" w:eastAsia="Times New Roman" w:hAnsi="Verdana" w:cs="Times New Roman"/>
          <w:lang w:eastAsia="en-GB"/>
        </w:rPr>
        <w:t>[</w:t>
      </w:r>
      <w:r w:rsidR="007B46DA">
        <w:rPr>
          <w:rFonts w:ascii="Verdana" w:eastAsia="Times New Roman" w:hAnsi="Verdana" w:cs="Times New Roman"/>
          <w:lang w:eastAsia="en-GB"/>
        </w:rPr>
        <w:t>49</w:t>
      </w:r>
      <w:r w:rsidR="00A47B57">
        <w:rPr>
          <w:rFonts w:ascii="Verdana" w:eastAsia="Times New Roman" w:hAnsi="Verdana" w:cs="Times New Roman"/>
          <w:lang w:eastAsia="en-GB"/>
        </w:rPr>
        <w:t>]</w:t>
      </w:r>
      <w:r w:rsidR="00507695" w:rsidRPr="00106A79">
        <w:rPr>
          <w:rFonts w:ascii="Verdana" w:eastAsia="Times New Roman" w:hAnsi="Verdana" w:cs="Times New Roman"/>
          <w:lang w:eastAsia="en-GB"/>
        </w:rPr>
        <w:t xml:space="preserve">. </w:t>
      </w:r>
      <w:r w:rsidR="00E44F20">
        <w:rPr>
          <w:rFonts w:ascii="Verdana" w:eastAsia="Times New Roman" w:hAnsi="Verdana" w:cs="Times New Roman"/>
          <w:lang w:eastAsia="en-GB"/>
        </w:rPr>
        <w:t>J</w:t>
      </w:r>
      <w:r w:rsidR="00047CB3" w:rsidRPr="00106A79">
        <w:rPr>
          <w:rFonts w:ascii="Verdana" w:eastAsia="Times New Roman" w:hAnsi="Verdana" w:cs="Times New Roman"/>
          <w:lang w:eastAsia="en-GB"/>
        </w:rPr>
        <w:t xml:space="preserve">ob retention </w:t>
      </w:r>
      <w:r w:rsidR="00E44F20">
        <w:rPr>
          <w:rFonts w:ascii="Verdana" w:eastAsia="Times New Roman" w:hAnsi="Verdana" w:cs="Times New Roman"/>
          <w:lang w:eastAsia="en-GB"/>
        </w:rPr>
        <w:t>rates were</w:t>
      </w:r>
      <w:r w:rsidR="00047CB3" w:rsidRPr="00106A79">
        <w:rPr>
          <w:rFonts w:ascii="Verdana" w:eastAsia="Times New Roman" w:hAnsi="Verdana" w:cs="Times New Roman"/>
          <w:lang w:eastAsia="en-GB"/>
        </w:rPr>
        <w:t xml:space="preserve"> lower in</w:t>
      </w:r>
      <w:r w:rsidR="00507695" w:rsidRPr="00106A79">
        <w:rPr>
          <w:rFonts w:ascii="Verdana" w:eastAsia="Times New Roman" w:hAnsi="Verdana" w:cs="Times New Roman"/>
          <w:lang w:eastAsia="en-GB"/>
        </w:rPr>
        <w:t xml:space="preserve"> </w:t>
      </w:r>
      <w:r w:rsidR="00507695" w:rsidRPr="00106A79">
        <w:rPr>
          <w:rFonts w:ascii="Verdana" w:eastAsia="Times New Roman" w:hAnsi="Verdana" w:cs="Times New Roman"/>
          <w:lang w:eastAsia="en-GB"/>
        </w:rPr>
        <w:lastRenderedPageBreak/>
        <w:t xml:space="preserve">occupations </w:t>
      </w:r>
      <w:r w:rsidR="00047CB3" w:rsidRPr="00106A79">
        <w:rPr>
          <w:rFonts w:ascii="Verdana" w:eastAsia="Times New Roman" w:hAnsi="Verdana" w:cs="Times New Roman"/>
          <w:lang w:eastAsia="en-GB"/>
        </w:rPr>
        <w:t>with high</w:t>
      </w:r>
      <w:r w:rsidR="00507695" w:rsidRPr="00106A79">
        <w:rPr>
          <w:rFonts w:ascii="Verdana" w:eastAsia="Times New Roman" w:hAnsi="Verdana" w:cs="Times New Roman"/>
          <w:lang w:eastAsia="en-GB"/>
        </w:rPr>
        <w:t xml:space="preserve"> physical </w:t>
      </w:r>
      <w:r w:rsidR="00047CB3" w:rsidRPr="00106A79">
        <w:rPr>
          <w:rFonts w:ascii="Verdana" w:eastAsia="Times New Roman" w:hAnsi="Verdana" w:cs="Times New Roman"/>
          <w:lang w:eastAsia="en-GB"/>
        </w:rPr>
        <w:t>demands</w:t>
      </w:r>
      <w:r w:rsidR="006C463D">
        <w:rPr>
          <w:rFonts w:ascii="Verdana" w:eastAsia="Times New Roman" w:hAnsi="Verdana" w:cs="Times New Roman"/>
          <w:lang w:eastAsia="en-GB"/>
        </w:rPr>
        <w:t xml:space="preserve"> than when work was</w:t>
      </w:r>
      <w:r w:rsidR="007610B8">
        <w:rPr>
          <w:rFonts w:ascii="Verdana" w:eastAsia="Times New Roman" w:hAnsi="Verdana" w:cs="Times New Roman"/>
          <w:lang w:eastAsia="en-GB"/>
        </w:rPr>
        <w:t xml:space="preserve"> </w:t>
      </w:r>
      <w:r w:rsidR="007610B8" w:rsidRPr="00106A79">
        <w:rPr>
          <w:rFonts w:ascii="Verdana" w:eastAsia="Times New Roman" w:hAnsi="Verdana" w:cs="Times New Roman"/>
          <w:lang w:eastAsia="en-GB"/>
        </w:rPr>
        <w:t xml:space="preserve">flexible </w:t>
      </w:r>
      <w:r w:rsidR="006C463D">
        <w:rPr>
          <w:rFonts w:ascii="Verdana" w:eastAsia="Times New Roman" w:hAnsi="Verdana" w:cs="Times New Roman"/>
          <w:lang w:eastAsia="en-GB"/>
        </w:rPr>
        <w:t xml:space="preserve">and </w:t>
      </w:r>
      <w:r w:rsidR="007610B8">
        <w:rPr>
          <w:rFonts w:ascii="Verdana" w:eastAsia="Times New Roman" w:hAnsi="Verdana" w:cs="Times New Roman"/>
          <w:lang w:eastAsia="en-GB"/>
        </w:rPr>
        <w:t>self-</w:t>
      </w:r>
      <w:r w:rsidR="007610B8" w:rsidRPr="00106A79">
        <w:rPr>
          <w:rFonts w:ascii="Verdana" w:eastAsia="Times New Roman" w:hAnsi="Verdana" w:cs="Times New Roman"/>
          <w:lang w:eastAsia="en-GB"/>
        </w:rPr>
        <w:t>pac</w:t>
      </w:r>
      <w:r w:rsidR="006C463D">
        <w:rPr>
          <w:rFonts w:ascii="Verdana" w:eastAsia="Times New Roman" w:hAnsi="Verdana" w:cs="Times New Roman"/>
          <w:lang w:eastAsia="en-GB"/>
        </w:rPr>
        <w:t>ed</w:t>
      </w:r>
      <w:r w:rsidR="00507695" w:rsidRPr="00106A79">
        <w:rPr>
          <w:rFonts w:ascii="Verdana" w:eastAsia="Times New Roman" w:hAnsi="Verdana" w:cs="Times New Roman"/>
          <w:lang w:eastAsia="en-GB"/>
        </w:rPr>
        <w:t xml:space="preserve">. </w:t>
      </w:r>
      <w:r w:rsidR="00542B2D" w:rsidRPr="00106A79">
        <w:rPr>
          <w:rFonts w:ascii="Verdana" w:hAnsi="Verdana" w:cs="Times New Roman"/>
        </w:rPr>
        <w:t xml:space="preserve"> </w:t>
      </w:r>
      <w:r w:rsidR="00047CB3" w:rsidRPr="00106A79">
        <w:rPr>
          <w:rFonts w:ascii="Verdana" w:hAnsi="Verdana" w:cs="Times New Roman"/>
        </w:rPr>
        <w:t xml:space="preserve">Similarly, </w:t>
      </w:r>
      <w:r w:rsidR="00EA3B9F">
        <w:rPr>
          <w:rFonts w:ascii="Verdana" w:hAnsi="Verdana" w:cs="Times New Roman"/>
        </w:rPr>
        <w:t>when</w:t>
      </w:r>
      <w:r w:rsidR="00DE1253" w:rsidRPr="00106A79">
        <w:rPr>
          <w:rFonts w:ascii="Verdana" w:hAnsi="Verdana" w:cs="Times New Roman"/>
        </w:rPr>
        <w:t xml:space="preserve"> economically active patients</w:t>
      </w:r>
      <w:r w:rsidR="007610B8">
        <w:rPr>
          <w:rFonts w:ascii="Verdana" w:hAnsi="Verdana" w:cs="Times New Roman"/>
        </w:rPr>
        <w:t xml:space="preserve"> with RA</w:t>
      </w:r>
      <w:r w:rsidR="00DE1253" w:rsidRPr="00106A79">
        <w:rPr>
          <w:rFonts w:ascii="Verdana" w:hAnsi="Verdana" w:cs="Times New Roman"/>
        </w:rPr>
        <w:t xml:space="preserve"> </w:t>
      </w:r>
      <w:r w:rsidR="00EA3B9F">
        <w:rPr>
          <w:rFonts w:ascii="Verdana" w:hAnsi="Verdana" w:cs="Times New Roman"/>
        </w:rPr>
        <w:t xml:space="preserve">from </w:t>
      </w:r>
      <w:r w:rsidR="00EA3B9F" w:rsidRPr="00106A79">
        <w:rPr>
          <w:rFonts w:ascii="Verdana" w:hAnsi="Verdana" w:cs="Times New Roman"/>
        </w:rPr>
        <w:t xml:space="preserve">the Norfolk Arthritis Register </w:t>
      </w:r>
      <w:r w:rsidR="00DE1253" w:rsidRPr="00106A79">
        <w:rPr>
          <w:rFonts w:ascii="Verdana" w:hAnsi="Verdana" w:cs="Times New Roman"/>
        </w:rPr>
        <w:t xml:space="preserve">were followed for </w:t>
      </w:r>
      <w:r w:rsidR="007610B8">
        <w:rPr>
          <w:rFonts w:ascii="Verdana" w:hAnsi="Verdana" w:cs="Times New Roman"/>
        </w:rPr>
        <w:t>~</w:t>
      </w:r>
      <w:r w:rsidR="00DE1253" w:rsidRPr="00106A79">
        <w:rPr>
          <w:rFonts w:ascii="Verdana" w:hAnsi="Verdana" w:cs="Times New Roman"/>
        </w:rPr>
        <w:t>8.6 years</w:t>
      </w:r>
      <w:r w:rsidR="00EA3B9F">
        <w:rPr>
          <w:rFonts w:ascii="Verdana" w:hAnsi="Verdana" w:cs="Times New Roman"/>
        </w:rPr>
        <w:t>,</w:t>
      </w:r>
      <w:r w:rsidR="00DE1253" w:rsidRPr="00106A79">
        <w:rPr>
          <w:rFonts w:ascii="Verdana" w:hAnsi="Verdana" w:cs="Times New Roman"/>
        </w:rPr>
        <w:t xml:space="preserve"> one-third </w:t>
      </w:r>
      <w:r w:rsidR="00EA3B9F">
        <w:rPr>
          <w:rFonts w:ascii="Verdana" w:hAnsi="Verdana" w:cs="Times New Roman"/>
        </w:rPr>
        <w:t xml:space="preserve">had </w:t>
      </w:r>
      <w:r w:rsidR="00DE1253" w:rsidRPr="00106A79">
        <w:rPr>
          <w:rFonts w:ascii="Verdana" w:hAnsi="Verdana" w:cs="Times New Roman"/>
        </w:rPr>
        <w:t xml:space="preserve">stopped work </w:t>
      </w:r>
      <w:r w:rsidR="00EA3B9F">
        <w:rPr>
          <w:rFonts w:ascii="Verdana" w:hAnsi="Verdana" w:cs="Times New Roman"/>
        </w:rPr>
        <w:t>for health reasons</w:t>
      </w:r>
      <w:r w:rsidR="00DE1253" w:rsidRPr="00106A79">
        <w:rPr>
          <w:rFonts w:ascii="Verdana" w:hAnsi="Verdana" w:cs="Times New Roman"/>
        </w:rPr>
        <w:t xml:space="preserve"> at a rate 32 times greater than a </w:t>
      </w:r>
      <w:r w:rsidR="00EA3B9F" w:rsidRPr="00106A79">
        <w:rPr>
          <w:rFonts w:ascii="Verdana" w:hAnsi="Verdana" w:cs="Times New Roman"/>
        </w:rPr>
        <w:t xml:space="preserve">matched </w:t>
      </w:r>
      <w:r w:rsidR="00DE1253" w:rsidRPr="00106A79">
        <w:rPr>
          <w:rFonts w:ascii="Verdana" w:hAnsi="Verdana" w:cs="Times New Roman"/>
        </w:rPr>
        <w:t>control group</w:t>
      </w:r>
      <w:r w:rsidR="00EA3B9F">
        <w:rPr>
          <w:rFonts w:ascii="Verdana" w:hAnsi="Verdana" w:cs="Times New Roman"/>
        </w:rPr>
        <w:t xml:space="preserve"> </w:t>
      </w:r>
      <w:r w:rsidR="00DE1253" w:rsidRPr="00106A79">
        <w:rPr>
          <w:rFonts w:ascii="Verdana" w:hAnsi="Verdana" w:cs="Times New Roman"/>
        </w:rPr>
        <w:t>[</w:t>
      </w:r>
      <w:r w:rsidR="00235814">
        <w:rPr>
          <w:rFonts w:ascii="Verdana" w:hAnsi="Verdana" w:cs="Times New Roman"/>
        </w:rPr>
        <w:t>50</w:t>
      </w:r>
      <w:r w:rsidR="00DE1253" w:rsidRPr="00106A79">
        <w:rPr>
          <w:rFonts w:ascii="Verdana" w:hAnsi="Verdana" w:cs="Times New Roman"/>
        </w:rPr>
        <w:t xml:space="preserve">]. </w:t>
      </w:r>
    </w:p>
    <w:p w14:paraId="3F85EC1B" w14:textId="77777777" w:rsidR="00965DD6" w:rsidRPr="00106A79" w:rsidRDefault="00965DD6" w:rsidP="00106A79">
      <w:pPr>
        <w:spacing w:line="480" w:lineRule="auto"/>
        <w:rPr>
          <w:rFonts w:ascii="Verdana" w:hAnsi="Verdana" w:cs="Times New Roman"/>
        </w:rPr>
      </w:pPr>
    </w:p>
    <w:p w14:paraId="0FBFAE17" w14:textId="0CBD3EA9" w:rsidR="007A58D7" w:rsidRPr="00106A79" w:rsidRDefault="00965DD6" w:rsidP="00106A79">
      <w:pPr>
        <w:spacing w:line="480" w:lineRule="auto"/>
        <w:rPr>
          <w:rFonts w:ascii="Verdana" w:hAnsi="Verdana" w:cs="Times New Roman"/>
        </w:rPr>
      </w:pPr>
      <w:r w:rsidRPr="00106A79">
        <w:rPr>
          <w:rFonts w:ascii="Verdana" w:hAnsi="Verdana" w:cs="Times New Roman"/>
        </w:rPr>
        <w:t xml:space="preserve">In </w:t>
      </w:r>
      <w:r w:rsidR="0013157B" w:rsidRPr="00106A79">
        <w:rPr>
          <w:rFonts w:ascii="Verdana" w:hAnsi="Verdana" w:cs="Times New Roman"/>
        </w:rPr>
        <w:t>out</w:t>
      </w:r>
      <w:r w:rsidRPr="00106A79">
        <w:rPr>
          <w:rFonts w:ascii="Verdana" w:hAnsi="Verdana" w:cs="Times New Roman"/>
        </w:rPr>
        <w:t xml:space="preserve">patients </w:t>
      </w:r>
      <w:r w:rsidR="0013157B" w:rsidRPr="00106A79">
        <w:rPr>
          <w:rFonts w:ascii="Verdana" w:hAnsi="Verdana" w:cs="Times New Roman"/>
        </w:rPr>
        <w:t xml:space="preserve">with </w:t>
      </w:r>
      <w:r w:rsidR="00FF46BB">
        <w:rPr>
          <w:rFonts w:ascii="Verdana" w:hAnsi="Verdana" w:cs="Times New Roman"/>
        </w:rPr>
        <w:t>AS</w:t>
      </w:r>
      <w:r w:rsidR="0013157B" w:rsidRPr="00106A79">
        <w:rPr>
          <w:rFonts w:ascii="Verdana" w:hAnsi="Verdana" w:cs="Times New Roman"/>
        </w:rPr>
        <w:t>, psoriatic arthropathy</w:t>
      </w:r>
      <w:r w:rsidR="007610B8">
        <w:rPr>
          <w:rFonts w:ascii="Verdana" w:hAnsi="Verdana" w:cs="Times New Roman"/>
        </w:rPr>
        <w:t>,</w:t>
      </w:r>
      <w:r w:rsidR="0013157B" w:rsidRPr="00106A79">
        <w:rPr>
          <w:rFonts w:ascii="Verdana" w:hAnsi="Verdana" w:cs="Times New Roman"/>
        </w:rPr>
        <w:t xml:space="preserve"> and SLE, </w:t>
      </w:r>
      <w:r w:rsidRPr="00106A79">
        <w:rPr>
          <w:rFonts w:ascii="Verdana" w:hAnsi="Verdana" w:cs="Times New Roman"/>
        </w:rPr>
        <w:t xml:space="preserve">enrolled into a national </w:t>
      </w:r>
      <w:r w:rsidR="00FF46BB" w:rsidRPr="00106A79">
        <w:rPr>
          <w:rFonts w:ascii="Verdana" w:hAnsi="Verdana" w:cs="Times New Roman"/>
        </w:rPr>
        <w:t xml:space="preserve">German </w:t>
      </w:r>
      <w:r w:rsidRPr="00106A79">
        <w:rPr>
          <w:rFonts w:ascii="Verdana" w:hAnsi="Verdana" w:cs="Times New Roman"/>
        </w:rPr>
        <w:t xml:space="preserve">database, </w:t>
      </w:r>
      <w:r w:rsidR="0013157B" w:rsidRPr="00106A79">
        <w:rPr>
          <w:rFonts w:ascii="Verdana" w:hAnsi="Verdana" w:cs="Times New Roman"/>
        </w:rPr>
        <w:t xml:space="preserve">those aged 50-70 years had disability pension rates of 28%, 32% and 61% respectively, </w:t>
      </w:r>
      <w:r w:rsidR="00FF46BB">
        <w:rPr>
          <w:rFonts w:ascii="Verdana" w:hAnsi="Verdana" w:cs="Times New Roman"/>
        </w:rPr>
        <w:t>versus 37%</w:t>
      </w:r>
      <w:r w:rsidR="0013157B" w:rsidRPr="00106A79">
        <w:rPr>
          <w:rFonts w:ascii="Verdana" w:hAnsi="Verdana" w:cs="Times New Roman"/>
        </w:rPr>
        <w:t xml:space="preserve"> for patients</w:t>
      </w:r>
      <w:r w:rsidR="007610B8">
        <w:rPr>
          <w:rFonts w:ascii="Verdana" w:hAnsi="Verdana" w:cs="Times New Roman"/>
        </w:rPr>
        <w:t xml:space="preserve"> with RA</w:t>
      </w:r>
      <w:r w:rsidR="0013157B" w:rsidRPr="00106A79">
        <w:rPr>
          <w:rFonts w:ascii="Verdana" w:hAnsi="Verdana" w:cs="Times New Roman"/>
        </w:rPr>
        <w:t xml:space="preserve"> [</w:t>
      </w:r>
      <w:r w:rsidR="00235814">
        <w:rPr>
          <w:rFonts w:ascii="Verdana" w:hAnsi="Verdana" w:cs="Times New Roman"/>
        </w:rPr>
        <w:t>51</w:t>
      </w:r>
      <w:r w:rsidR="0013157B" w:rsidRPr="00106A79">
        <w:rPr>
          <w:rFonts w:ascii="Verdana" w:hAnsi="Verdana" w:cs="Times New Roman"/>
        </w:rPr>
        <w:t xml:space="preserve">]. </w:t>
      </w:r>
      <w:r w:rsidR="004B0A4A" w:rsidRPr="00106A79">
        <w:rPr>
          <w:rFonts w:ascii="Verdana" w:hAnsi="Verdana" w:cs="Times New Roman"/>
        </w:rPr>
        <w:t xml:space="preserve">The </w:t>
      </w:r>
      <w:r w:rsidRPr="00106A79">
        <w:rPr>
          <w:rFonts w:ascii="Verdana" w:hAnsi="Verdana" w:cs="Times New Roman"/>
        </w:rPr>
        <w:t xml:space="preserve">costs ascribed </w:t>
      </w:r>
      <w:r w:rsidR="004B0A4A" w:rsidRPr="00106A79">
        <w:rPr>
          <w:rFonts w:ascii="Verdana" w:hAnsi="Verdana" w:cs="Times New Roman"/>
        </w:rPr>
        <w:t xml:space="preserve">by the human capital approach </w:t>
      </w:r>
      <w:r w:rsidRPr="00106A79">
        <w:rPr>
          <w:rFonts w:ascii="Verdana" w:hAnsi="Verdana" w:cs="Times New Roman"/>
        </w:rPr>
        <w:t xml:space="preserve">to lost work productivity were </w:t>
      </w:r>
      <w:r w:rsidR="004B0A4A" w:rsidRPr="00106A79">
        <w:rPr>
          <w:rFonts w:ascii="Verdana" w:hAnsi="Verdana" w:cs="Times New Roman"/>
        </w:rPr>
        <w:t>estimated at</w:t>
      </w:r>
      <w:r w:rsidRPr="00106A79">
        <w:rPr>
          <w:rFonts w:ascii="Verdana" w:hAnsi="Verdana" w:cs="Times New Roman"/>
        </w:rPr>
        <w:t xml:space="preserve"> </w:t>
      </w:r>
      <w:r w:rsidR="004B0A4A" w:rsidRPr="00106A79">
        <w:rPr>
          <w:rFonts w:ascii="Verdana" w:hAnsi="Verdana" w:cs="Times New Roman"/>
        </w:rPr>
        <w:t xml:space="preserve">82%, 87% and 145% </w:t>
      </w:r>
      <w:r w:rsidRPr="00106A79">
        <w:rPr>
          <w:rFonts w:ascii="Verdana" w:hAnsi="Verdana" w:cs="Times New Roman"/>
        </w:rPr>
        <w:t>of th</w:t>
      </w:r>
      <w:r w:rsidR="004B0A4A" w:rsidRPr="00106A79">
        <w:rPr>
          <w:rFonts w:ascii="Verdana" w:hAnsi="Verdana" w:cs="Times New Roman"/>
        </w:rPr>
        <w:t>ose</w:t>
      </w:r>
      <w:r w:rsidRPr="00106A79">
        <w:rPr>
          <w:rFonts w:ascii="Verdana" w:hAnsi="Verdana" w:cs="Times New Roman"/>
        </w:rPr>
        <w:t xml:space="preserve"> for </w:t>
      </w:r>
      <w:r w:rsidR="004B0A4A" w:rsidRPr="00106A79">
        <w:rPr>
          <w:rFonts w:ascii="Verdana" w:hAnsi="Verdana" w:cs="Times New Roman"/>
        </w:rPr>
        <w:t>similarly aged out</w:t>
      </w:r>
      <w:r w:rsidRPr="00106A79">
        <w:rPr>
          <w:rFonts w:ascii="Verdana" w:hAnsi="Verdana" w:cs="Times New Roman"/>
        </w:rPr>
        <w:t>patients with RA.</w:t>
      </w:r>
      <w:r w:rsidR="000527D2" w:rsidRPr="00106A79">
        <w:rPr>
          <w:rFonts w:ascii="Verdana" w:hAnsi="Verdana" w:cs="Times New Roman"/>
        </w:rPr>
        <w:t xml:space="preserve"> </w:t>
      </w:r>
      <w:r w:rsidR="00047CB3" w:rsidRPr="00106A79">
        <w:rPr>
          <w:rFonts w:ascii="Verdana" w:hAnsi="Verdana" w:cs="Times New Roman"/>
        </w:rPr>
        <w:t xml:space="preserve">Although comparison between diseases </w:t>
      </w:r>
      <w:r w:rsidR="00FF46BB">
        <w:rPr>
          <w:rFonts w:ascii="Verdana" w:hAnsi="Verdana" w:cs="Times New Roman"/>
        </w:rPr>
        <w:t xml:space="preserve">of </w:t>
      </w:r>
      <w:r w:rsidR="007610B8">
        <w:rPr>
          <w:rFonts w:ascii="Verdana" w:hAnsi="Verdana" w:cs="Times New Roman"/>
        </w:rPr>
        <w:t>differing</w:t>
      </w:r>
      <w:r w:rsidR="00047CB3" w:rsidRPr="00106A79">
        <w:rPr>
          <w:rFonts w:ascii="Verdana" w:hAnsi="Verdana" w:cs="Times New Roman"/>
        </w:rPr>
        <w:t xml:space="preserve"> age </w:t>
      </w:r>
      <w:r w:rsidR="00FF46BB">
        <w:rPr>
          <w:rFonts w:ascii="Verdana" w:hAnsi="Verdana" w:cs="Times New Roman"/>
        </w:rPr>
        <w:t>at</w:t>
      </w:r>
      <w:r w:rsidR="00047CB3" w:rsidRPr="00106A79">
        <w:rPr>
          <w:rFonts w:ascii="Verdana" w:hAnsi="Verdana" w:cs="Times New Roman"/>
        </w:rPr>
        <w:t xml:space="preserve"> onset</w:t>
      </w:r>
      <w:r w:rsidR="00FF46BB">
        <w:rPr>
          <w:rFonts w:ascii="Verdana" w:hAnsi="Verdana" w:cs="Times New Roman"/>
        </w:rPr>
        <w:t xml:space="preserve"> is not straight-</w:t>
      </w:r>
      <w:r w:rsidR="00047CB3" w:rsidRPr="00106A79">
        <w:rPr>
          <w:rFonts w:ascii="Verdana" w:hAnsi="Verdana" w:cs="Times New Roman"/>
        </w:rPr>
        <w:t xml:space="preserve">forward, these findings suggest that inflammatory arthropathies of various kinds can have a substantial career-limiting impact on patients’ ability to work. </w:t>
      </w:r>
      <w:r w:rsidR="000A7F13" w:rsidRPr="00106A79">
        <w:rPr>
          <w:rFonts w:ascii="Verdana" w:hAnsi="Verdana" w:cs="Times New Roman"/>
        </w:rPr>
        <w:t xml:space="preserve">Further evidence on this comes from </w:t>
      </w:r>
      <w:r w:rsidR="00BD692F" w:rsidRPr="00106A79">
        <w:rPr>
          <w:rFonts w:ascii="Verdana" w:hAnsi="Verdana" w:cs="Times New Roman"/>
        </w:rPr>
        <w:t xml:space="preserve">Dutch </w:t>
      </w:r>
      <w:r w:rsidR="008F290F" w:rsidRPr="00106A79">
        <w:rPr>
          <w:rFonts w:ascii="Verdana" w:hAnsi="Verdana" w:cs="Times New Roman"/>
        </w:rPr>
        <w:t xml:space="preserve">employment </w:t>
      </w:r>
      <w:r w:rsidR="00BD692F" w:rsidRPr="00106A79">
        <w:rPr>
          <w:rFonts w:ascii="Verdana" w:hAnsi="Verdana" w:cs="Times New Roman"/>
        </w:rPr>
        <w:t>data</w:t>
      </w:r>
      <w:r w:rsidR="000A7F13" w:rsidRPr="00106A79">
        <w:rPr>
          <w:rFonts w:ascii="Verdana" w:hAnsi="Verdana" w:cs="Times New Roman"/>
        </w:rPr>
        <w:t xml:space="preserve"> </w:t>
      </w:r>
      <w:r w:rsidR="00BD692F" w:rsidRPr="00106A79">
        <w:rPr>
          <w:rFonts w:ascii="Verdana" w:hAnsi="Verdana" w:cs="Times New Roman"/>
        </w:rPr>
        <w:t>on patients with</w:t>
      </w:r>
      <w:r w:rsidR="000A7F13" w:rsidRPr="00106A79">
        <w:rPr>
          <w:rFonts w:ascii="Verdana" w:hAnsi="Verdana" w:cs="Times New Roman"/>
        </w:rPr>
        <w:t xml:space="preserve"> AS</w:t>
      </w:r>
      <w:r w:rsidR="00BD692F" w:rsidRPr="00106A79">
        <w:rPr>
          <w:rFonts w:ascii="Verdana" w:hAnsi="Verdana" w:cs="Times New Roman"/>
        </w:rPr>
        <w:t xml:space="preserve"> (Figure </w:t>
      </w:r>
      <w:r w:rsidR="008F290F">
        <w:rPr>
          <w:rFonts w:ascii="Verdana" w:hAnsi="Verdana" w:cs="Times New Roman"/>
        </w:rPr>
        <w:t>2</w:t>
      </w:r>
      <w:r w:rsidR="00BD692F" w:rsidRPr="00106A79">
        <w:rPr>
          <w:rFonts w:ascii="Verdana" w:hAnsi="Verdana" w:cs="Times New Roman"/>
        </w:rPr>
        <w:t>)</w:t>
      </w:r>
      <w:r w:rsidR="00A97B10" w:rsidRPr="00106A79">
        <w:rPr>
          <w:rFonts w:ascii="Verdana" w:hAnsi="Verdana" w:cs="Times New Roman"/>
        </w:rPr>
        <w:t xml:space="preserve"> </w:t>
      </w:r>
      <w:r w:rsidR="00235814">
        <w:rPr>
          <w:rFonts w:ascii="Verdana" w:hAnsi="Verdana" w:cs="Times New Roman"/>
        </w:rPr>
        <w:t>[52]</w:t>
      </w:r>
      <w:r w:rsidR="00A97B10" w:rsidRPr="00106A79">
        <w:rPr>
          <w:rFonts w:ascii="Verdana" w:hAnsi="Verdana" w:cs="Times New Roman"/>
        </w:rPr>
        <w:t xml:space="preserve">. Among those initially in work, the </w:t>
      </w:r>
      <w:r w:rsidR="00BD692F" w:rsidRPr="00106A79">
        <w:rPr>
          <w:rFonts w:ascii="Verdana" w:hAnsi="Verdana" w:cs="Times New Roman"/>
        </w:rPr>
        <w:t>age</w:t>
      </w:r>
      <w:r w:rsidR="00FF46BB">
        <w:rPr>
          <w:rFonts w:ascii="Verdana" w:hAnsi="Verdana" w:cs="Times New Roman"/>
        </w:rPr>
        <w:t>-</w:t>
      </w:r>
      <w:r w:rsidR="00A97B10" w:rsidRPr="00106A79">
        <w:rPr>
          <w:rFonts w:ascii="Verdana" w:hAnsi="Verdana" w:cs="Times New Roman"/>
        </w:rPr>
        <w:t xml:space="preserve"> </w:t>
      </w:r>
      <w:r w:rsidR="00FF46BB">
        <w:rPr>
          <w:rFonts w:ascii="Verdana" w:hAnsi="Verdana" w:cs="Times New Roman"/>
        </w:rPr>
        <w:t>sex-</w:t>
      </w:r>
      <w:r w:rsidR="00BD692F" w:rsidRPr="00106A79">
        <w:rPr>
          <w:rFonts w:ascii="Verdana" w:hAnsi="Verdana" w:cs="Times New Roman"/>
        </w:rPr>
        <w:t>adjusted withdrawal rate</w:t>
      </w:r>
      <w:r w:rsidR="00A97B10" w:rsidRPr="00106A79">
        <w:rPr>
          <w:rFonts w:ascii="Verdana" w:hAnsi="Verdana" w:cs="Times New Roman"/>
        </w:rPr>
        <w:t xml:space="preserve"> over follow-up</w:t>
      </w:r>
      <w:r w:rsidR="00BD692F" w:rsidRPr="00106A79">
        <w:rPr>
          <w:rFonts w:ascii="Verdana" w:hAnsi="Verdana" w:cs="Times New Roman"/>
        </w:rPr>
        <w:t xml:space="preserve"> was </w:t>
      </w:r>
      <w:r w:rsidR="00A97B10" w:rsidRPr="00106A79">
        <w:rPr>
          <w:rFonts w:ascii="Verdana" w:hAnsi="Verdana" w:cs="Times New Roman"/>
        </w:rPr>
        <w:t xml:space="preserve">three times </w:t>
      </w:r>
      <w:r w:rsidR="008F290F">
        <w:rPr>
          <w:rFonts w:ascii="Verdana" w:hAnsi="Verdana" w:cs="Times New Roman"/>
        </w:rPr>
        <w:t>that in</w:t>
      </w:r>
      <w:r w:rsidR="00BD692F" w:rsidRPr="00106A79">
        <w:rPr>
          <w:rFonts w:ascii="Verdana" w:hAnsi="Verdana" w:cs="Times New Roman"/>
        </w:rPr>
        <w:t xml:space="preserve"> the general population</w:t>
      </w:r>
      <w:r w:rsidR="00A97B10" w:rsidRPr="00106A79">
        <w:rPr>
          <w:rFonts w:ascii="Verdana" w:hAnsi="Verdana" w:cs="Times New Roman"/>
        </w:rPr>
        <w:t xml:space="preserve">, </w:t>
      </w:r>
      <w:r w:rsidR="00FF46BB">
        <w:rPr>
          <w:rFonts w:ascii="Verdana" w:hAnsi="Verdana" w:cs="Times New Roman"/>
        </w:rPr>
        <w:t>notably</w:t>
      </w:r>
      <w:r w:rsidR="00A97B10" w:rsidRPr="00106A79">
        <w:rPr>
          <w:rFonts w:ascii="Verdana" w:hAnsi="Verdana" w:cs="Times New Roman"/>
        </w:rPr>
        <w:t xml:space="preserve"> in men with a manual job (elevated 5.2-fold)</w:t>
      </w:r>
      <w:r w:rsidR="00FF46BB">
        <w:rPr>
          <w:rFonts w:ascii="Verdana" w:hAnsi="Verdana" w:cs="Times New Roman"/>
        </w:rPr>
        <w:t xml:space="preserve">, although still doubled in </w:t>
      </w:r>
      <w:r w:rsidR="00A97B10" w:rsidRPr="00106A79">
        <w:rPr>
          <w:rFonts w:ascii="Verdana" w:hAnsi="Verdana" w:cs="Times New Roman"/>
        </w:rPr>
        <w:t xml:space="preserve">white-collar occupations </w:t>
      </w:r>
      <w:r w:rsidR="00235814">
        <w:rPr>
          <w:rFonts w:ascii="Verdana" w:hAnsi="Verdana" w:cs="Times New Roman"/>
        </w:rPr>
        <w:t>[53]</w:t>
      </w:r>
      <w:r w:rsidR="00A97B10" w:rsidRPr="00106A79">
        <w:rPr>
          <w:rFonts w:ascii="Verdana" w:hAnsi="Verdana" w:cs="Times New Roman"/>
        </w:rPr>
        <w:t xml:space="preserve">. </w:t>
      </w:r>
      <w:r w:rsidR="00BD692F" w:rsidRPr="00106A79">
        <w:rPr>
          <w:rFonts w:ascii="Verdana" w:hAnsi="Verdana" w:cs="Times New Roman"/>
        </w:rPr>
        <w:t xml:space="preserve"> </w:t>
      </w:r>
    </w:p>
    <w:p w14:paraId="47865982" w14:textId="77777777" w:rsidR="00BD692F" w:rsidRPr="00106A79" w:rsidRDefault="00BD692F" w:rsidP="00106A79">
      <w:pPr>
        <w:spacing w:line="480" w:lineRule="auto"/>
        <w:rPr>
          <w:rFonts w:ascii="Verdana" w:hAnsi="Verdana" w:cs="Times New Roman"/>
          <w:b/>
        </w:rPr>
      </w:pPr>
      <w:r w:rsidRPr="00106A79">
        <w:rPr>
          <w:rFonts w:ascii="Verdana" w:hAnsi="Verdana" w:cs="Times New Roman"/>
        </w:rPr>
        <w:t>[</w:t>
      </w:r>
      <w:r w:rsidRPr="00106A79">
        <w:rPr>
          <w:rFonts w:ascii="Verdana" w:hAnsi="Verdana" w:cs="Times New Roman"/>
          <w:b/>
        </w:rPr>
        <w:t xml:space="preserve">Figure </w:t>
      </w:r>
      <w:r w:rsidR="008F290F">
        <w:rPr>
          <w:rFonts w:ascii="Verdana" w:hAnsi="Verdana" w:cs="Times New Roman"/>
          <w:b/>
        </w:rPr>
        <w:t>2</w:t>
      </w:r>
      <w:r w:rsidRPr="00106A79">
        <w:rPr>
          <w:rFonts w:ascii="Verdana" w:hAnsi="Verdana" w:cs="Times New Roman"/>
          <w:b/>
        </w:rPr>
        <w:t xml:space="preserve"> near here</w:t>
      </w:r>
      <w:r w:rsidRPr="00106A79">
        <w:rPr>
          <w:rFonts w:ascii="Verdana" w:hAnsi="Verdana" w:cs="Times New Roman"/>
        </w:rPr>
        <w:t>]</w:t>
      </w:r>
    </w:p>
    <w:p w14:paraId="0824B010" w14:textId="77777777" w:rsidR="00B11495" w:rsidRPr="00106A79" w:rsidRDefault="00B11495" w:rsidP="00106A79">
      <w:pPr>
        <w:spacing w:line="480" w:lineRule="auto"/>
        <w:rPr>
          <w:rFonts w:ascii="Verdana" w:hAnsi="Verdana" w:cs="Times New Roman"/>
        </w:rPr>
      </w:pPr>
    </w:p>
    <w:p w14:paraId="02831581" w14:textId="77777777" w:rsidR="00B11495" w:rsidRPr="00106A79" w:rsidRDefault="009C4C9E" w:rsidP="00106A79">
      <w:pPr>
        <w:spacing w:line="480" w:lineRule="auto"/>
        <w:rPr>
          <w:rFonts w:ascii="Verdana" w:hAnsi="Verdana" w:cs="Times New Roman"/>
          <w:i/>
        </w:rPr>
      </w:pPr>
      <w:r w:rsidRPr="00106A79">
        <w:rPr>
          <w:rFonts w:ascii="Verdana" w:hAnsi="Verdana" w:cs="Times New Roman"/>
          <w:i/>
        </w:rPr>
        <w:t>Comorbidities</w:t>
      </w:r>
    </w:p>
    <w:p w14:paraId="79DCB879" w14:textId="4EA5242F" w:rsidR="00B11495" w:rsidRPr="00106A79" w:rsidRDefault="00B11495" w:rsidP="00106A79">
      <w:pPr>
        <w:spacing w:line="480" w:lineRule="auto"/>
        <w:rPr>
          <w:rFonts w:ascii="Verdana" w:hAnsi="Verdana" w:cs="Times New Roman"/>
        </w:rPr>
      </w:pPr>
      <w:r w:rsidRPr="00106A79">
        <w:rPr>
          <w:rFonts w:ascii="Verdana" w:hAnsi="Verdana" w:cs="Times New Roman"/>
        </w:rPr>
        <w:t xml:space="preserve">Workers with MSDs may cope less well if they have </w:t>
      </w:r>
      <w:r w:rsidR="0058788B" w:rsidRPr="00106A79">
        <w:rPr>
          <w:rFonts w:ascii="Verdana" w:hAnsi="Verdana" w:cs="Times New Roman"/>
        </w:rPr>
        <w:t>concurrent medical problems</w:t>
      </w:r>
      <w:r w:rsidRPr="00106A79">
        <w:rPr>
          <w:rFonts w:ascii="Verdana" w:hAnsi="Verdana" w:cs="Times New Roman"/>
        </w:rPr>
        <w:t xml:space="preserve"> which otherwise might be compatible with working. In evidence of this</w:t>
      </w:r>
      <w:r w:rsidR="004873F8" w:rsidRPr="00106A79">
        <w:rPr>
          <w:rFonts w:ascii="Verdana" w:hAnsi="Verdana" w:cs="Times New Roman"/>
        </w:rPr>
        <w:t>,</w:t>
      </w:r>
      <w:r w:rsidRPr="00106A79">
        <w:rPr>
          <w:rFonts w:ascii="Verdana" w:hAnsi="Verdana" w:cs="Times New Roman"/>
        </w:rPr>
        <w:t xml:space="preserve"> one report found that among patients with arthritis, those who were also clinically depressed </w:t>
      </w:r>
      <w:r w:rsidR="00FF46BB">
        <w:rPr>
          <w:rFonts w:ascii="Verdana" w:hAnsi="Verdana" w:cs="Times New Roman"/>
        </w:rPr>
        <w:t>were</w:t>
      </w:r>
      <w:r w:rsidRPr="00106A79">
        <w:rPr>
          <w:rFonts w:ascii="Verdana" w:hAnsi="Verdana" w:cs="Times New Roman"/>
        </w:rPr>
        <w:t xml:space="preserve"> significantly </w:t>
      </w:r>
      <w:r w:rsidR="00FF46BB">
        <w:rPr>
          <w:rFonts w:ascii="Verdana" w:hAnsi="Verdana" w:cs="Times New Roman"/>
        </w:rPr>
        <w:t>more likely to</w:t>
      </w:r>
      <w:r w:rsidRPr="00106A79">
        <w:rPr>
          <w:rFonts w:ascii="Verdana" w:hAnsi="Verdana" w:cs="Times New Roman"/>
        </w:rPr>
        <w:t xml:space="preserve"> becom</w:t>
      </w:r>
      <w:r w:rsidR="00FF46BB">
        <w:rPr>
          <w:rFonts w:ascii="Verdana" w:hAnsi="Verdana" w:cs="Times New Roman"/>
        </w:rPr>
        <w:t>e</w:t>
      </w:r>
      <w:r w:rsidRPr="00106A79">
        <w:rPr>
          <w:rFonts w:ascii="Verdana" w:hAnsi="Verdana" w:cs="Times New Roman"/>
        </w:rPr>
        <w:t xml:space="preserve"> work-disabled [</w:t>
      </w:r>
      <w:r w:rsidR="00235814">
        <w:rPr>
          <w:rFonts w:ascii="Verdana" w:hAnsi="Verdana" w:cs="Times New Roman"/>
        </w:rPr>
        <w:t>54</w:t>
      </w:r>
      <w:r w:rsidRPr="00106A79">
        <w:rPr>
          <w:rFonts w:ascii="Verdana" w:hAnsi="Verdana" w:cs="Times New Roman"/>
        </w:rPr>
        <w:t xml:space="preserve">]. </w:t>
      </w:r>
      <w:r w:rsidR="009C4C9E" w:rsidRPr="00106A79">
        <w:rPr>
          <w:rFonts w:ascii="Verdana" w:hAnsi="Verdana" w:cs="Times New Roman"/>
        </w:rPr>
        <w:t>Treatment of depression in people with OA lessen</w:t>
      </w:r>
      <w:r w:rsidR="00FF46BB">
        <w:rPr>
          <w:rFonts w:ascii="Verdana" w:hAnsi="Verdana" w:cs="Times New Roman"/>
        </w:rPr>
        <w:t>s</w:t>
      </w:r>
      <w:r w:rsidR="009C4C9E" w:rsidRPr="00106A79">
        <w:rPr>
          <w:rFonts w:ascii="Verdana" w:hAnsi="Verdana" w:cs="Times New Roman"/>
        </w:rPr>
        <w:t xml:space="preserve"> their pain intensity and the </w:t>
      </w:r>
      <w:r w:rsidR="009C4C9E" w:rsidRPr="00106A79">
        <w:rPr>
          <w:rFonts w:ascii="Verdana" w:hAnsi="Verdana" w:cs="Times New Roman"/>
        </w:rPr>
        <w:lastRenderedPageBreak/>
        <w:t>interference with daily activities of their arthritis [</w:t>
      </w:r>
      <w:r w:rsidR="00235814">
        <w:rPr>
          <w:rFonts w:ascii="Verdana" w:hAnsi="Verdana" w:cs="Times New Roman"/>
        </w:rPr>
        <w:t>55</w:t>
      </w:r>
      <w:r w:rsidR="009C4C9E" w:rsidRPr="00106A79">
        <w:rPr>
          <w:rFonts w:ascii="Verdana" w:hAnsi="Verdana" w:cs="Times New Roman"/>
        </w:rPr>
        <w:t xml:space="preserve">], </w:t>
      </w:r>
      <w:r w:rsidR="00FF46BB">
        <w:rPr>
          <w:rFonts w:ascii="Verdana" w:hAnsi="Verdana" w:cs="Times New Roman"/>
        </w:rPr>
        <w:t>and so perhaps</w:t>
      </w:r>
      <w:r w:rsidR="009C4C9E" w:rsidRPr="00106A79">
        <w:rPr>
          <w:rFonts w:ascii="Verdana" w:hAnsi="Verdana" w:cs="Times New Roman"/>
        </w:rPr>
        <w:t xml:space="preserve"> benefits</w:t>
      </w:r>
      <w:r w:rsidR="00FF46BB">
        <w:rPr>
          <w:rFonts w:ascii="Verdana" w:hAnsi="Verdana" w:cs="Times New Roman"/>
        </w:rPr>
        <w:t xml:space="preserve"> their</w:t>
      </w:r>
      <w:r w:rsidR="009C4C9E" w:rsidRPr="00106A79">
        <w:rPr>
          <w:rFonts w:ascii="Verdana" w:hAnsi="Verdana" w:cs="Times New Roman"/>
        </w:rPr>
        <w:t xml:space="preserve"> work participation. </w:t>
      </w:r>
    </w:p>
    <w:p w14:paraId="239DE628" w14:textId="77777777" w:rsidR="00330B95" w:rsidRPr="00106A79" w:rsidRDefault="00330B95" w:rsidP="00106A79">
      <w:pPr>
        <w:spacing w:line="480" w:lineRule="auto"/>
        <w:rPr>
          <w:rFonts w:ascii="Verdana" w:hAnsi="Verdana" w:cs="Times New Roman"/>
        </w:rPr>
      </w:pPr>
    </w:p>
    <w:p w14:paraId="7B93622C" w14:textId="77777777" w:rsidR="0070640A" w:rsidRPr="00106A79" w:rsidRDefault="000E7F56" w:rsidP="00106A79">
      <w:pPr>
        <w:spacing w:line="480" w:lineRule="auto"/>
        <w:rPr>
          <w:rFonts w:ascii="Verdana" w:hAnsi="Verdana" w:cs="Times New Roman"/>
          <w:b/>
        </w:rPr>
      </w:pPr>
      <w:r w:rsidRPr="00106A79">
        <w:rPr>
          <w:rFonts w:ascii="Verdana" w:hAnsi="Verdana" w:cs="Times New Roman"/>
          <w:b/>
        </w:rPr>
        <w:t xml:space="preserve">The modifying effect of </w:t>
      </w:r>
      <w:r w:rsidR="00A56C62" w:rsidRPr="00106A79">
        <w:rPr>
          <w:rFonts w:ascii="Verdana" w:hAnsi="Verdana" w:cs="Times New Roman"/>
          <w:b/>
        </w:rPr>
        <w:t>work activity</w:t>
      </w:r>
    </w:p>
    <w:p w14:paraId="602A236D" w14:textId="19667A9D" w:rsidR="00AE7A85" w:rsidRPr="00106A79" w:rsidRDefault="000E7F56" w:rsidP="00106A79">
      <w:pPr>
        <w:spacing w:line="480" w:lineRule="auto"/>
        <w:rPr>
          <w:rFonts w:ascii="Verdana" w:hAnsi="Verdana" w:cs="Times New Roman"/>
        </w:rPr>
      </w:pPr>
      <w:r w:rsidRPr="00106A79">
        <w:rPr>
          <w:rFonts w:ascii="Verdana" w:hAnsi="Verdana" w:cs="Times New Roman"/>
        </w:rPr>
        <w:t xml:space="preserve">Manual employment </w:t>
      </w:r>
      <w:r w:rsidR="00FF46BB">
        <w:rPr>
          <w:rFonts w:ascii="Verdana" w:hAnsi="Verdana" w:cs="Times New Roman"/>
        </w:rPr>
        <w:t>is</w:t>
      </w:r>
      <w:r w:rsidR="00FF46BB" w:rsidRPr="00106A79">
        <w:rPr>
          <w:rFonts w:ascii="Verdana" w:hAnsi="Verdana" w:cs="Times New Roman"/>
        </w:rPr>
        <w:t xml:space="preserve"> </w:t>
      </w:r>
      <w:r w:rsidRPr="00106A79">
        <w:rPr>
          <w:rFonts w:ascii="Verdana" w:hAnsi="Verdana" w:cs="Times New Roman"/>
        </w:rPr>
        <w:t xml:space="preserve">clearly associated with risk of disability pension from a </w:t>
      </w:r>
      <w:r w:rsidR="00FF46BB">
        <w:rPr>
          <w:rFonts w:ascii="Verdana" w:hAnsi="Verdana" w:cs="Times New Roman"/>
        </w:rPr>
        <w:t>MSD</w:t>
      </w:r>
      <w:r w:rsidRPr="00106A79">
        <w:rPr>
          <w:rFonts w:ascii="Verdana" w:hAnsi="Verdana" w:cs="Times New Roman"/>
        </w:rPr>
        <w:t xml:space="preserve">. Thus, among 3,674 people in the nationally representative  Health Survey 2000 in Finland, disability retirement attributed to </w:t>
      </w:r>
      <w:r w:rsidR="00FF46BB">
        <w:rPr>
          <w:rFonts w:ascii="Verdana" w:hAnsi="Verdana" w:cs="Times New Roman"/>
        </w:rPr>
        <w:t>MSDs</w:t>
      </w:r>
      <w:r w:rsidRPr="00106A79">
        <w:rPr>
          <w:rFonts w:ascii="Verdana" w:hAnsi="Verdana" w:cs="Times New Roman"/>
        </w:rPr>
        <w:t xml:space="preserve"> was </w:t>
      </w:r>
      <w:r w:rsidR="007B2977">
        <w:rPr>
          <w:rFonts w:ascii="Verdana" w:hAnsi="Verdana" w:cs="Times New Roman"/>
        </w:rPr>
        <w:t>~</w:t>
      </w:r>
      <w:r w:rsidR="008F290F">
        <w:rPr>
          <w:rFonts w:ascii="Verdana" w:hAnsi="Verdana" w:cs="Times New Roman"/>
        </w:rPr>
        <w:t>3-6 times</w:t>
      </w:r>
      <w:r w:rsidR="002F0B9C">
        <w:rPr>
          <w:rFonts w:ascii="Verdana" w:hAnsi="Verdana" w:cs="Times New Roman"/>
        </w:rPr>
        <w:t xml:space="preserve"> higher</w:t>
      </w:r>
      <w:r w:rsidR="00FF46BB">
        <w:rPr>
          <w:rFonts w:ascii="Verdana" w:hAnsi="Verdana" w:cs="Times New Roman"/>
        </w:rPr>
        <w:t xml:space="preserve"> </w:t>
      </w:r>
      <w:r w:rsidR="00FF46BB" w:rsidRPr="00106A79">
        <w:rPr>
          <w:rFonts w:ascii="Verdana" w:hAnsi="Verdana" w:cs="Times New Roman"/>
        </w:rPr>
        <w:t xml:space="preserve">in </w:t>
      </w:r>
      <w:r w:rsidR="00FF46BB">
        <w:rPr>
          <w:rFonts w:ascii="Verdana" w:hAnsi="Verdana" w:cs="Times New Roman"/>
        </w:rPr>
        <w:t>manual as compared with non-manual occupations</w:t>
      </w:r>
      <w:r w:rsidRPr="00106A79">
        <w:rPr>
          <w:rFonts w:ascii="Verdana" w:hAnsi="Verdana" w:cs="Times New Roman"/>
        </w:rPr>
        <w:t xml:space="preserve"> </w:t>
      </w:r>
      <w:r w:rsidR="00FF46BB" w:rsidRPr="00106A79">
        <w:rPr>
          <w:rFonts w:ascii="Verdana" w:hAnsi="Verdana" w:cs="Times New Roman"/>
        </w:rPr>
        <w:t>[</w:t>
      </w:r>
      <w:r w:rsidR="00235814">
        <w:rPr>
          <w:rFonts w:ascii="Verdana" w:hAnsi="Verdana" w:cs="Times New Roman"/>
        </w:rPr>
        <w:t>56</w:t>
      </w:r>
      <w:r w:rsidR="00FF46BB" w:rsidRPr="00106A79">
        <w:rPr>
          <w:rFonts w:ascii="Verdana" w:hAnsi="Verdana" w:cs="Times New Roman"/>
        </w:rPr>
        <w:t>]</w:t>
      </w:r>
      <w:r w:rsidRPr="00106A79">
        <w:rPr>
          <w:rFonts w:ascii="Verdana" w:hAnsi="Verdana" w:cs="Times New Roman"/>
        </w:rPr>
        <w:t>. Adjustment for physical working conditions attenuated the socioeconomic gradient by almost two-thirds</w:t>
      </w:r>
      <w:r w:rsidR="005F2B4C" w:rsidRPr="00106A79">
        <w:rPr>
          <w:rFonts w:ascii="Verdana" w:hAnsi="Verdana" w:cs="Times New Roman"/>
        </w:rPr>
        <w:t xml:space="preserve">, </w:t>
      </w:r>
      <w:r w:rsidR="009A4DA3">
        <w:rPr>
          <w:rFonts w:ascii="Verdana" w:hAnsi="Verdana" w:cs="Times New Roman"/>
        </w:rPr>
        <w:t xml:space="preserve">indicating that </w:t>
      </w:r>
      <w:r w:rsidR="008F290F">
        <w:rPr>
          <w:rFonts w:ascii="Verdana" w:hAnsi="Verdana" w:cs="Times New Roman"/>
        </w:rPr>
        <w:t>these</w:t>
      </w:r>
      <w:r w:rsidR="009A4DA3">
        <w:rPr>
          <w:rFonts w:ascii="Verdana" w:hAnsi="Verdana" w:cs="Times New Roman"/>
        </w:rPr>
        <w:t xml:space="preserve"> drive much of the relationship</w:t>
      </w:r>
      <w:r w:rsidRPr="00106A79">
        <w:rPr>
          <w:rFonts w:ascii="Verdana" w:hAnsi="Verdana" w:cs="Times New Roman"/>
        </w:rPr>
        <w:t>.</w:t>
      </w:r>
      <w:r w:rsidR="00576124" w:rsidRPr="00106A79">
        <w:rPr>
          <w:rFonts w:ascii="Verdana" w:hAnsi="Verdana" w:cs="Times New Roman"/>
        </w:rPr>
        <w:t xml:space="preserve"> </w:t>
      </w:r>
    </w:p>
    <w:p w14:paraId="4B9DE6BC" w14:textId="77777777" w:rsidR="00AE7A85" w:rsidRPr="00106A79" w:rsidRDefault="00AE7A85" w:rsidP="00106A79">
      <w:pPr>
        <w:spacing w:line="480" w:lineRule="auto"/>
        <w:rPr>
          <w:rFonts w:ascii="Verdana" w:hAnsi="Verdana" w:cs="Times New Roman"/>
        </w:rPr>
      </w:pPr>
    </w:p>
    <w:p w14:paraId="03A9A7D9" w14:textId="1BBA72C1" w:rsidR="00576124" w:rsidRPr="00106A79" w:rsidRDefault="00576124" w:rsidP="00106A79">
      <w:pPr>
        <w:spacing w:line="480" w:lineRule="auto"/>
        <w:rPr>
          <w:rFonts w:ascii="Verdana" w:hAnsi="Verdana" w:cs="Times New Roman"/>
        </w:rPr>
      </w:pPr>
      <w:r w:rsidRPr="00106A79">
        <w:rPr>
          <w:rFonts w:ascii="Verdana" w:hAnsi="Verdana" w:cs="Times New Roman"/>
        </w:rPr>
        <w:t xml:space="preserve">The authors </w:t>
      </w:r>
      <w:r w:rsidR="008F290F">
        <w:rPr>
          <w:rFonts w:ascii="Verdana" w:hAnsi="Verdana" w:cs="Times New Roman"/>
        </w:rPr>
        <w:t>further</w:t>
      </w:r>
      <w:r w:rsidR="009A4DA3" w:rsidRPr="00106A79">
        <w:rPr>
          <w:rFonts w:ascii="Verdana" w:hAnsi="Verdana" w:cs="Times New Roman"/>
        </w:rPr>
        <w:t xml:space="preserve"> </w:t>
      </w:r>
      <w:r w:rsidRPr="00106A79">
        <w:rPr>
          <w:rFonts w:ascii="Verdana" w:hAnsi="Verdana" w:cs="Times New Roman"/>
        </w:rPr>
        <w:t xml:space="preserve">explored social differences using longitudinal data on a 10% sample of the Finnish </w:t>
      </w:r>
      <w:r w:rsidR="00D80085">
        <w:rPr>
          <w:rFonts w:ascii="Verdana" w:hAnsi="Verdana" w:cs="Times New Roman"/>
        </w:rPr>
        <w:t>work</w:t>
      </w:r>
      <w:r w:rsidRPr="00106A79">
        <w:rPr>
          <w:rFonts w:ascii="Verdana" w:hAnsi="Verdana" w:cs="Times New Roman"/>
        </w:rPr>
        <w:t xml:space="preserve">force, followed </w:t>
      </w:r>
      <w:r w:rsidR="009A4DA3">
        <w:rPr>
          <w:rFonts w:ascii="Verdana" w:hAnsi="Verdana" w:cs="Times New Roman"/>
        </w:rPr>
        <w:t>during</w:t>
      </w:r>
      <w:r w:rsidR="009A4DA3" w:rsidRPr="00106A79">
        <w:rPr>
          <w:rFonts w:ascii="Verdana" w:hAnsi="Verdana" w:cs="Times New Roman"/>
        </w:rPr>
        <w:t xml:space="preserve"> </w:t>
      </w:r>
      <w:r w:rsidRPr="00106A79">
        <w:rPr>
          <w:rFonts w:ascii="Verdana" w:hAnsi="Verdana" w:cs="Times New Roman"/>
        </w:rPr>
        <w:t>1997</w:t>
      </w:r>
      <w:r w:rsidR="009A4DA3">
        <w:rPr>
          <w:rFonts w:ascii="Verdana" w:hAnsi="Verdana" w:cs="Times New Roman"/>
        </w:rPr>
        <w:t>-</w:t>
      </w:r>
      <w:r w:rsidRPr="00106A79">
        <w:rPr>
          <w:rFonts w:ascii="Verdana" w:hAnsi="Verdana" w:cs="Times New Roman"/>
        </w:rPr>
        <w:t xml:space="preserve">2010. Among 55-64 year-olds, disability retirement rates for </w:t>
      </w:r>
      <w:r w:rsidR="008F290F" w:rsidRPr="00106A79">
        <w:rPr>
          <w:rFonts w:ascii="Verdana" w:hAnsi="Verdana" w:cs="Times New Roman"/>
        </w:rPr>
        <w:t xml:space="preserve">back </w:t>
      </w:r>
      <w:r w:rsidRPr="00106A79">
        <w:rPr>
          <w:rFonts w:ascii="Verdana" w:hAnsi="Verdana" w:cs="Times New Roman"/>
        </w:rPr>
        <w:t>disorders were elevated 4.4</w:t>
      </w:r>
      <w:r w:rsidR="008F290F">
        <w:rPr>
          <w:rFonts w:ascii="Verdana" w:hAnsi="Verdana" w:cs="Times New Roman"/>
        </w:rPr>
        <w:t>-</w:t>
      </w:r>
      <w:r w:rsidRPr="00106A79">
        <w:rPr>
          <w:rFonts w:ascii="Verdana" w:hAnsi="Verdana" w:cs="Times New Roman"/>
        </w:rPr>
        <w:t xml:space="preserve">6.5-fold in manual </w:t>
      </w:r>
      <w:r w:rsidR="009A4DA3" w:rsidRPr="00106A79">
        <w:rPr>
          <w:rFonts w:ascii="Verdana" w:hAnsi="Verdana" w:cs="Times New Roman"/>
        </w:rPr>
        <w:t>v</w:t>
      </w:r>
      <w:r w:rsidR="009A4DA3">
        <w:rPr>
          <w:rFonts w:ascii="Verdana" w:hAnsi="Verdana" w:cs="Times New Roman"/>
        </w:rPr>
        <w:t>s.</w:t>
      </w:r>
      <w:r w:rsidR="009A4DA3" w:rsidRPr="00106A79">
        <w:rPr>
          <w:rFonts w:ascii="Verdana" w:hAnsi="Verdana" w:cs="Times New Roman"/>
        </w:rPr>
        <w:t xml:space="preserve"> </w:t>
      </w:r>
      <w:r w:rsidRPr="00106A79">
        <w:rPr>
          <w:rFonts w:ascii="Verdana" w:hAnsi="Verdana" w:cs="Times New Roman"/>
        </w:rPr>
        <w:t>upper class non-manual workers, 5</w:t>
      </w:r>
      <w:r w:rsidR="00D80085">
        <w:rPr>
          <w:rFonts w:ascii="Verdana" w:hAnsi="Verdana" w:cs="Times New Roman"/>
        </w:rPr>
        <w:t>.0</w:t>
      </w:r>
      <w:r w:rsidR="008F290F">
        <w:rPr>
          <w:rFonts w:ascii="Verdana" w:hAnsi="Verdana" w:cs="Times New Roman"/>
        </w:rPr>
        <w:t>-</w:t>
      </w:r>
      <w:r w:rsidRPr="00106A79">
        <w:rPr>
          <w:rFonts w:ascii="Verdana" w:hAnsi="Verdana" w:cs="Times New Roman"/>
        </w:rPr>
        <w:t>6.</w:t>
      </w:r>
      <w:r w:rsidR="00B50DDE" w:rsidRPr="00106A79">
        <w:rPr>
          <w:rFonts w:ascii="Verdana" w:hAnsi="Verdana" w:cs="Times New Roman"/>
        </w:rPr>
        <w:t>6</w:t>
      </w:r>
      <w:r w:rsidR="00B50DDE">
        <w:rPr>
          <w:rFonts w:ascii="Verdana" w:hAnsi="Verdana" w:cs="Times New Roman"/>
        </w:rPr>
        <w:t>-</w:t>
      </w:r>
      <w:r w:rsidRPr="00106A79">
        <w:rPr>
          <w:rFonts w:ascii="Verdana" w:hAnsi="Verdana" w:cs="Times New Roman"/>
        </w:rPr>
        <w:t>fold for arthrosis, and 4.8</w:t>
      </w:r>
      <w:r w:rsidR="008F290F">
        <w:rPr>
          <w:rFonts w:ascii="Verdana" w:hAnsi="Verdana" w:cs="Times New Roman"/>
        </w:rPr>
        <w:t>-</w:t>
      </w:r>
      <w:r w:rsidRPr="00106A79">
        <w:rPr>
          <w:rFonts w:ascii="Verdana" w:hAnsi="Verdana" w:cs="Times New Roman"/>
        </w:rPr>
        <w:t>6.7-fold for all MSDs combined. MSDs account</w:t>
      </w:r>
      <w:r w:rsidR="002F0B9C">
        <w:rPr>
          <w:rFonts w:ascii="Verdana" w:hAnsi="Verdana" w:cs="Times New Roman"/>
        </w:rPr>
        <w:t>ed</w:t>
      </w:r>
      <w:r w:rsidRPr="00106A79">
        <w:rPr>
          <w:rFonts w:ascii="Verdana" w:hAnsi="Verdana" w:cs="Times New Roman"/>
        </w:rPr>
        <w:t xml:space="preserve"> for 54</w:t>
      </w:r>
      <w:r w:rsidR="009A4DA3">
        <w:rPr>
          <w:rFonts w:ascii="Verdana" w:hAnsi="Verdana" w:cs="Times New Roman"/>
        </w:rPr>
        <w:t>-</w:t>
      </w:r>
      <w:r w:rsidRPr="00106A79">
        <w:rPr>
          <w:rFonts w:ascii="Verdana" w:hAnsi="Verdana" w:cs="Times New Roman"/>
        </w:rPr>
        <w:t>76% of the excess in disability retirement by work status [</w:t>
      </w:r>
      <w:r w:rsidR="00235814">
        <w:rPr>
          <w:rFonts w:ascii="Verdana" w:hAnsi="Verdana" w:cs="Times New Roman"/>
        </w:rPr>
        <w:t>57</w:t>
      </w:r>
      <w:r w:rsidRPr="00106A79">
        <w:rPr>
          <w:rFonts w:ascii="Verdana" w:hAnsi="Verdana" w:cs="Times New Roman"/>
        </w:rPr>
        <w:t>]</w:t>
      </w:r>
      <w:r w:rsidR="00AE7A85" w:rsidRPr="00106A79">
        <w:rPr>
          <w:rFonts w:ascii="Verdana" w:hAnsi="Verdana" w:cs="Times New Roman"/>
        </w:rPr>
        <w:t>.</w:t>
      </w:r>
    </w:p>
    <w:p w14:paraId="1E98D260" w14:textId="77777777" w:rsidR="00576124" w:rsidRPr="00106A79" w:rsidRDefault="00576124" w:rsidP="00106A79">
      <w:pPr>
        <w:spacing w:line="480" w:lineRule="auto"/>
        <w:rPr>
          <w:rFonts w:ascii="Verdana" w:hAnsi="Verdana" w:cs="Times New Roman"/>
        </w:rPr>
      </w:pPr>
    </w:p>
    <w:p w14:paraId="67CB7C99" w14:textId="40FEFC9E" w:rsidR="007F7CA1" w:rsidRPr="00106A79" w:rsidRDefault="00576124" w:rsidP="00106A79">
      <w:pPr>
        <w:spacing w:line="480" w:lineRule="auto"/>
        <w:rPr>
          <w:rFonts w:ascii="Verdana" w:hAnsi="Verdana" w:cs="Times New Roman"/>
        </w:rPr>
      </w:pPr>
      <w:r w:rsidRPr="00106A79">
        <w:rPr>
          <w:rFonts w:ascii="Verdana" w:hAnsi="Verdana" w:cs="Times New Roman"/>
        </w:rPr>
        <w:t>Other studies have reached similar conclusions. In one investigation</w:t>
      </w:r>
      <w:r w:rsidR="00A56C62" w:rsidRPr="00106A79">
        <w:rPr>
          <w:rFonts w:ascii="Verdana" w:hAnsi="Verdana" w:cs="Times New Roman"/>
        </w:rPr>
        <w:t xml:space="preserve"> of socioeconomic inequalities in middle-aged men from Malmo, incidence of disability pensioning</w:t>
      </w:r>
      <w:r w:rsidR="00653867" w:rsidRPr="00106A79">
        <w:rPr>
          <w:rFonts w:ascii="Verdana" w:hAnsi="Verdana" w:cs="Times New Roman"/>
        </w:rPr>
        <w:t xml:space="preserve"> from MSDs</w:t>
      </w:r>
      <w:r w:rsidR="00AE7A85" w:rsidRPr="00106A79">
        <w:rPr>
          <w:rFonts w:ascii="Verdana" w:hAnsi="Verdana" w:cs="Times New Roman"/>
        </w:rPr>
        <w:t xml:space="preserve"> was 3.5-fold higher in blue-</w:t>
      </w:r>
      <w:r w:rsidR="00A56C62" w:rsidRPr="00106A79">
        <w:rPr>
          <w:rFonts w:ascii="Verdana" w:hAnsi="Verdana" w:cs="Times New Roman"/>
        </w:rPr>
        <w:t xml:space="preserve">collar </w:t>
      </w:r>
      <w:r w:rsidR="00AE7A85" w:rsidRPr="00106A79">
        <w:rPr>
          <w:rFonts w:ascii="Verdana" w:hAnsi="Verdana" w:cs="Times New Roman"/>
        </w:rPr>
        <w:t>than in ‘higher level’ white-</w:t>
      </w:r>
      <w:r w:rsidR="00A56C62" w:rsidRPr="00106A79">
        <w:rPr>
          <w:rFonts w:ascii="Verdana" w:hAnsi="Verdana" w:cs="Times New Roman"/>
        </w:rPr>
        <w:t>collar workers [</w:t>
      </w:r>
      <w:r w:rsidR="00235814">
        <w:rPr>
          <w:rFonts w:ascii="Verdana" w:hAnsi="Verdana" w:cs="Times New Roman"/>
        </w:rPr>
        <w:t>58</w:t>
      </w:r>
      <w:r w:rsidR="00A56C62" w:rsidRPr="00106A79">
        <w:rPr>
          <w:rFonts w:ascii="Verdana" w:hAnsi="Verdana" w:cs="Times New Roman"/>
        </w:rPr>
        <w:t xml:space="preserve">]. In a study </w:t>
      </w:r>
      <w:r w:rsidRPr="00106A79">
        <w:rPr>
          <w:rFonts w:ascii="Verdana" w:hAnsi="Verdana" w:cs="Times New Roman"/>
        </w:rPr>
        <w:t>of 16,000 Finnish twins, work mainly involving lifting and carrying</w:t>
      </w:r>
      <w:r w:rsidR="00AE7A85" w:rsidRPr="00106A79">
        <w:rPr>
          <w:rFonts w:ascii="Verdana" w:hAnsi="Verdana" w:cs="Times New Roman"/>
        </w:rPr>
        <w:t>,</w:t>
      </w:r>
      <w:r w:rsidRPr="00106A79">
        <w:rPr>
          <w:rFonts w:ascii="Verdana" w:hAnsi="Verdana" w:cs="Times New Roman"/>
        </w:rPr>
        <w:t xml:space="preserve"> or described as physically heavy</w:t>
      </w:r>
      <w:r w:rsidR="00AE7A85" w:rsidRPr="00106A79">
        <w:rPr>
          <w:rFonts w:ascii="Verdana" w:hAnsi="Verdana" w:cs="Times New Roman"/>
        </w:rPr>
        <w:t>,</w:t>
      </w:r>
      <w:r w:rsidRPr="00106A79">
        <w:rPr>
          <w:rFonts w:ascii="Verdana" w:hAnsi="Verdana" w:cs="Times New Roman"/>
        </w:rPr>
        <w:t xml:space="preserve"> doubled the </w:t>
      </w:r>
      <w:r w:rsidR="00BC0E6C">
        <w:rPr>
          <w:rFonts w:ascii="Verdana" w:hAnsi="Verdana" w:cs="Times New Roman"/>
        </w:rPr>
        <w:t xml:space="preserve">long-term </w:t>
      </w:r>
      <w:r w:rsidRPr="00106A79">
        <w:rPr>
          <w:rFonts w:ascii="Verdana" w:hAnsi="Verdana" w:cs="Times New Roman"/>
        </w:rPr>
        <w:t>risk of a MSD-related disability pension [</w:t>
      </w:r>
      <w:r w:rsidR="008D7ED9" w:rsidRPr="0075196F">
        <w:rPr>
          <w:rFonts w:ascii="Verdana" w:hAnsi="Verdana" w:cs="Times New Roman"/>
        </w:rPr>
        <w:t>59</w:t>
      </w:r>
      <w:r w:rsidRPr="00106A79">
        <w:rPr>
          <w:rFonts w:ascii="Verdana" w:hAnsi="Verdana" w:cs="Times New Roman"/>
        </w:rPr>
        <w:t>]; in the Kuopio Ischemic Heart Disease Risk Factor Study, odds of</w:t>
      </w:r>
      <w:r w:rsidRPr="00106A79">
        <w:rPr>
          <w:rFonts w:ascii="Verdana" w:hAnsi="Verdana"/>
        </w:rPr>
        <w:t xml:space="preserve"> </w:t>
      </w:r>
      <w:r w:rsidRPr="00106A79">
        <w:rPr>
          <w:rFonts w:ascii="Verdana" w:hAnsi="Verdana" w:cs="Times New Roman"/>
        </w:rPr>
        <w:t xml:space="preserve">disability retirement were elevated by a high level of back, neck, or overall musculoskeletal strain in employment at baseline, </w:t>
      </w:r>
      <w:r w:rsidRPr="00106A79">
        <w:rPr>
          <w:rFonts w:ascii="Verdana" w:hAnsi="Verdana" w:cs="Times New Roman"/>
        </w:rPr>
        <w:lastRenderedPageBreak/>
        <w:t xml:space="preserve">and with very heavy </w:t>
      </w:r>
      <w:r w:rsidR="009A4DA3">
        <w:rPr>
          <w:rFonts w:ascii="Verdana" w:hAnsi="Verdana" w:cs="Times New Roman"/>
        </w:rPr>
        <w:t>or</w:t>
      </w:r>
      <w:r w:rsidRPr="00106A79">
        <w:rPr>
          <w:rFonts w:ascii="Verdana" w:hAnsi="Verdana" w:cs="Times New Roman"/>
        </w:rPr>
        <w:t xml:space="preserve"> repetitive work, and work involving a lot of crouching</w:t>
      </w:r>
      <w:r w:rsidR="009A4DA3">
        <w:rPr>
          <w:rFonts w:ascii="Verdana" w:hAnsi="Verdana" w:cs="Times New Roman"/>
        </w:rPr>
        <w:t xml:space="preserve"> or postural discomfort</w:t>
      </w:r>
      <w:r w:rsidRPr="00106A79">
        <w:rPr>
          <w:rFonts w:ascii="Verdana" w:hAnsi="Verdana" w:cs="Times New Roman"/>
        </w:rPr>
        <w:t xml:space="preserve"> (Table </w:t>
      </w:r>
      <w:r w:rsidR="00194E2A" w:rsidRPr="00106A79">
        <w:rPr>
          <w:rFonts w:ascii="Verdana" w:hAnsi="Verdana" w:cs="Times New Roman"/>
        </w:rPr>
        <w:t>2</w:t>
      </w:r>
      <w:r w:rsidRPr="00106A79">
        <w:rPr>
          <w:rFonts w:ascii="Verdana" w:hAnsi="Verdana" w:cs="Times New Roman"/>
        </w:rPr>
        <w:t>)</w:t>
      </w:r>
      <w:r w:rsidR="0075196F">
        <w:rPr>
          <w:rFonts w:ascii="Verdana" w:hAnsi="Verdana" w:cs="Times New Roman"/>
        </w:rPr>
        <w:t xml:space="preserve"> [</w:t>
      </w:r>
      <w:r w:rsidR="0082121C">
        <w:rPr>
          <w:rFonts w:ascii="Verdana" w:hAnsi="Verdana" w:cs="Times New Roman"/>
        </w:rPr>
        <w:t>39</w:t>
      </w:r>
      <w:r w:rsidR="0075196F">
        <w:rPr>
          <w:rFonts w:ascii="Verdana" w:hAnsi="Verdana" w:cs="Times New Roman"/>
        </w:rPr>
        <w:t>]</w:t>
      </w:r>
      <w:r w:rsidRPr="00106A79">
        <w:rPr>
          <w:rFonts w:ascii="Verdana" w:hAnsi="Verdana" w:cs="Times New Roman"/>
        </w:rPr>
        <w:t>; MSD-related disability pensioning was</w:t>
      </w:r>
      <w:r w:rsidR="009A4DA3">
        <w:rPr>
          <w:rFonts w:ascii="Verdana" w:hAnsi="Verdana" w:cs="Times New Roman"/>
        </w:rPr>
        <w:t xml:space="preserve"> </w:t>
      </w:r>
      <w:r w:rsidR="008F290F">
        <w:rPr>
          <w:rFonts w:ascii="Verdana" w:hAnsi="Verdana" w:cs="Times New Roman"/>
        </w:rPr>
        <w:t>~</w:t>
      </w:r>
      <w:r w:rsidR="009A4DA3">
        <w:rPr>
          <w:rFonts w:ascii="Verdana" w:hAnsi="Verdana" w:cs="Times New Roman"/>
        </w:rPr>
        <w:t>3-4 times commoner where work involved</w:t>
      </w:r>
      <w:r w:rsidRPr="00106A79">
        <w:rPr>
          <w:rFonts w:ascii="Verdana" w:hAnsi="Verdana" w:cs="Times New Roman"/>
        </w:rPr>
        <w:t xml:space="preserve"> frequent lifting, regular loading of muscles,  working in an uncomfortable position, </w:t>
      </w:r>
      <w:r w:rsidR="009A4DA3">
        <w:rPr>
          <w:rFonts w:ascii="Verdana" w:hAnsi="Verdana" w:cs="Times New Roman"/>
        </w:rPr>
        <w:t xml:space="preserve">or </w:t>
      </w:r>
      <w:r w:rsidRPr="00106A79">
        <w:rPr>
          <w:rFonts w:ascii="Verdana" w:hAnsi="Verdana" w:cs="Times New Roman"/>
        </w:rPr>
        <w:t>a heavy physical workload</w:t>
      </w:r>
      <w:r w:rsidR="00AE7A85" w:rsidRPr="00106A79">
        <w:rPr>
          <w:rFonts w:ascii="Verdana" w:hAnsi="Verdana" w:cs="Times New Roman"/>
        </w:rPr>
        <w:t>.</w:t>
      </w:r>
    </w:p>
    <w:p w14:paraId="0477DD9E" w14:textId="77777777" w:rsidR="00194E2A" w:rsidRPr="00106A79" w:rsidRDefault="00194E2A" w:rsidP="00106A79">
      <w:pPr>
        <w:spacing w:line="480" w:lineRule="auto"/>
        <w:rPr>
          <w:rFonts w:ascii="Verdana" w:hAnsi="Verdana" w:cs="Times New Roman"/>
          <w:b/>
        </w:rPr>
      </w:pPr>
      <w:r w:rsidRPr="00106A79">
        <w:rPr>
          <w:rFonts w:ascii="Verdana" w:hAnsi="Verdana" w:cs="Times New Roman"/>
          <w:b/>
        </w:rPr>
        <w:t>[Table 2 near here]</w:t>
      </w:r>
    </w:p>
    <w:p w14:paraId="057D9652" w14:textId="77777777" w:rsidR="007F7CA1" w:rsidRPr="00106A79" w:rsidRDefault="007F7CA1" w:rsidP="00106A79">
      <w:pPr>
        <w:spacing w:line="480" w:lineRule="auto"/>
        <w:rPr>
          <w:rFonts w:ascii="Verdana" w:hAnsi="Verdana" w:cs="Times New Roman"/>
          <w:highlight w:val="yellow"/>
        </w:rPr>
      </w:pPr>
    </w:p>
    <w:p w14:paraId="3DFC89CD" w14:textId="5AD11D72" w:rsidR="00B8097B" w:rsidRPr="00106A79" w:rsidRDefault="00576124" w:rsidP="00106A79">
      <w:pPr>
        <w:spacing w:line="480" w:lineRule="auto"/>
        <w:rPr>
          <w:rFonts w:ascii="Verdana" w:hAnsi="Verdana" w:cs="Times New Roman"/>
        </w:rPr>
      </w:pPr>
      <w:r w:rsidRPr="00106A79">
        <w:rPr>
          <w:rFonts w:ascii="Verdana" w:hAnsi="Verdana" w:cs="Times New Roman"/>
        </w:rPr>
        <w:t xml:space="preserve">Long-term studies in blue-collar industries have characterised the scale of the problem. </w:t>
      </w:r>
      <w:r w:rsidR="009A4DA3">
        <w:rPr>
          <w:rFonts w:ascii="Verdana" w:hAnsi="Verdana" w:cs="Times New Roman"/>
        </w:rPr>
        <w:t>F</w:t>
      </w:r>
      <w:r w:rsidRPr="00106A79">
        <w:rPr>
          <w:rFonts w:ascii="Verdana" w:hAnsi="Verdana" w:cs="Times New Roman"/>
        </w:rPr>
        <w:t xml:space="preserve">or example, Jarvholm </w:t>
      </w:r>
      <w:r w:rsidRPr="00106A79">
        <w:rPr>
          <w:rFonts w:ascii="Verdana" w:hAnsi="Verdana" w:cs="Times New Roman"/>
          <w:i/>
        </w:rPr>
        <w:t>et al</w:t>
      </w:r>
      <w:r w:rsidRPr="00106A79">
        <w:rPr>
          <w:rFonts w:ascii="Verdana" w:hAnsi="Verdana" w:cs="Times New Roman"/>
        </w:rPr>
        <w:t xml:space="preserve"> </w:t>
      </w:r>
      <w:r w:rsidR="00A250CF">
        <w:rPr>
          <w:rFonts w:ascii="Verdana" w:hAnsi="Verdana" w:cs="Times New Roman"/>
        </w:rPr>
        <w:t>[60]</w:t>
      </w:r>
      <w:r w:rsidRPr="00106A79">
        <w:rPr>
          <w:rFonts w:ascii="Verdana" w:hAnsi="Verdana" w:cs="Times New Roman"/>
        </w:rPr>
        <w:t xml:space="preserve"> studied disability pension rates among </w:t>
      </w:r>
      <w:r w:rsidR="008F290F">
        <w:rPr>
          <w:rFonts w:ascii="Verdana" w:hAnsi="Verdana" w:cs="Times New Roman"/>
        </w:rPr>
        <w:t>~</w:t>
      </w:r>
      <w:r w:rsidRPr="00106A79">
        <w:rPr>
          <w:rFonts w:ascii="Verdana" w:hAnsi="Verdana" w:cs="Times New Roman"/>
        </w:rPr>
        <w:t xml:space="preserve">325,000 Swedish construction workers followed </w:t>
      </w:r>
      <w:r w:rsidR="009A4DA3">
        <w:rPr>
          <w:rFonts w:ascii="Verdana" w:hAnsi="Verdana" w:cs="Times New Roman"/>
        </w:rPr>
        <w:t>for 28 years</w:t>
      </w:r>
      <w:r w:rsidRPr="00106A79">
        <w:rPr>
          <w:rFonts w:ascii="Verdana" w:hAnsi="Verdana" w:cs="Times New Roman"/>
        </w:rPr>
        <w:t xml:space="preserve">. </w:t>
      </w:r>
      <w:r w:rsidR="009A4DA3">
        <w:rPr>
          <w:rFonts w:ascii="Verdana" w:hAnsi="Verdana" w:cs="Times New Roman"/>
        </w:rPr>
        <w:t>One</w:t>
      </w:r>
      <w:r w:rsidRPr="00106A79">
        <w:rPr>
          <w:rFonts w:ascii="Verdana" w:hAnsi="Verdana" w:cs="Times New Roman"/>
        </w:rPr>
        <w:t xml:space="preserve"> in 5 of the workforce received a disability pension</w:t>
      </w:r>
      <w:r w:rsidR="00E65C64" w:rsidRPr="00106A79">
        <w:rPr>
          <w:rFonts w:ascii="Verdana" w:hAnsi="Verdana" w:cs="Times New Roman"/>
        </w:rPr>
        <w:t xml:space="preserve"> (Table </w:t>
      </w:r>
      <w:r w:rsidR="00194E2A" w:rsidRPr="00106A79">
        <w:rPr>
          <w:rFonts w:ascii="Verdana" w:hAnsi="Verdana" w:cs="Times New Roman"/>
        </w:rPr>
        <w:t>3</w:t>
      </w:r>
      <w:r w:rsidR="00E65C64" w:rsidRPr="00106A79">
        <w:rPr>
          <w:rFonts w:ascii="Verdana" w:hAnsi="Verdana" w:cs="Times New Roman"/>
        </w:rPr>
        <w:t>)</w:t>
      </w:r>
      <w:r w:rsidRPr="00106A79">
        <w:rPr>
          <w:rFonts w:ascii="Verdana" w:hAnsi="Verdana" w:cs="Times New Roman"/>
        </w:rPr>
        <w:t xml:space="preserve">. Rock workers fared worse, with rates </w:t>
      </w:r>
      <w:r w:rsidR="008F290F">
        <w:rPr>
          <w:rFonts w:ascii="Verdana" w:hAnsi="Verdana" w:cs="Times New Roman"/>
        </w:rPr>
        <w:t>~4-</w:t>
      </w:r>
      <w:r w:rsidRPr="00106A79">
        <w:rPr>
          <w:rFonts w:ascii="Verdana" w:hAnsi="Verdana" w:cs="Times New Roman"/>
        </w:rPr>
        <w:t xml:space="preserve">times greater than non-manual employees and twice that of electricians. Other occupations </w:t>
      </w:r>
      <w:r w:rsidR="009A4DA3">
        <w:rPr>
          <w:rFonts w:ascii="Verdana" w:hAnsi="Verdana" w:cs="Times New Roman"/>
        </w:rPr>
        <w:t>at high risk</w:t>
      </w:r>
      <w:r w:rsidRPr="00106A79">
        <w:rPr>
          <w:rFonts w:ascii="Verdana" w:hAnsi="Verdana" w:cs="Times New Roman"/>
        </w:rPr>
        <w:t xml:space="preserve"> of pensioning included concrete workers, insulators, brick layers, roofers, painters and floor layers. It was estimated that blue-collar workers lost 2.25 years of working life</w:t>
      </w:r>
      <w:r w:rsidR="009A4DA3">
        <w:rPr>
          <w:rFonts w:ascii="Verdana" w:hAnsi="Verdana" w:cs="Times New Roman"/>
        </w:rPr>
        <w:t xml:space="preserve"> on average</w:t>
      </w:r>
      <w:r w:rsidRPr="00106A79">
        <w:rPr>
          <w:rFonts w:ascii="Verdana" w:hAnsi="Verdana" w:cs="Times New Roman"/>
        </w:rPr>
        <w:t xml:space="preserve">; </w:t>
      </w:r>
      <w:r w:rsidR="00633F23">
        <w:rPr>
          <w:rFonts w:ascii="Verdana" w:hAnsi="Verdana" w:cs="Times New Roman"/>
        </w:rPr>
        <w:t>~</w:t>
      </w:r>
      <w:r w:rsidRPr="00106A79">
        <w:rPr>
          <w:rFonts w:ascii="Verdana" w:hAnsi="Verdana" w:cs="Times New Roman"/>
        </w:rPr>
        <w:t>70</w:t>
      </w:r>
      <w:r w:rsidR="00633F23">
        <w:rPr>
          <w:rFonts w:ascii="Verdana" w:hAnsi="Verdana" w:cs="Times New Roman"/>
        </w:rPr>
        <w:t>-</w:t>
      </w:r>
      <w:r w:rsidRPr="00106A79">
        <w:rPr>
          <w:rFonts w:ascii="Verdana" w:hAnsi="Verdana" w:cs="Times New Roman"/>
        </w:rPr>
        <w:t xml:space="preserve">80% of </w:t>
      </w:r>
      <w:r w:rsidR="00633F23">
        <w:rPr>
          <w:rFonts w:ascii="Verdana" w:hAnsi="Verdana" w:cs="Times New Roman"/>
        </w:rPr>
        <w:t>th</w:t>
      </w:r>
      <w:r w:rsidR="008F290F">
        <w:rPr>
          <w:rFonts w:ascii="Verdana" w:hAnsi="Verdana" w:cs="Times New Roman"/>
        </w:rPr>
        <w:t>e loss</w:t>
      </w:r>
      <w:r w:rsidRPr="00106A79">
        <w:rPr>
          <w:rFonts w:ascii="Verdana" w:hAnsi="Verdana" w:cs="Times New Roman"/>
        </w:rPr>
        <w:t xml:space="preserve"> </w:t>
      </w:r>
      <w:r w:rsidR="008F290F">
        <w:rPr>
          <w:rFonts w:ascii="Verdana" w:hAnsi="Verdana" w:cs="Times New Roman"/>
        </w:rPr>
        <w:t>was</w:t>
      </w:r>
      <w:r w:rsidR="008F290F" w:rsidRPr="00106A79">
        <w:rPr>
          <w:rFonts w:ascii="Verdana" w:hAnsi="Verdana" w:cs="Times New Roman"/>
        </w:rPr>
        <w:t xml:space="preserve"> </w:t>
      </w:r>
      <w:r w:rsidRPr="00106A79">
        <w:rPr>
          <w:rFonts w:ascii="Verdana" w:hAnsi="Verdana" w:cs="Times New Roman"/>
        </w:rPr>
        <w:t xml:space="preserve">in workers aged </w:t>
      </w:r>
      <w:r w:rsidR="00633F23" w:rsidRPr="00E14159">
        <w:rPr>
          <w:rFonts w:ascii="Verdana" w:hAnsi="Verdana" w:cs="Times New Roman"/>
          <w:u w:val="single"/>
        </w:rPr>
        <w:t>&gt;</w:t>
      </w:r>
      <w:r w:rsidRPr="00106A79">
        <w:rPr>
          <w:rFonts w:ascii="Verdana" w:hAnsi="Verdana" w:cs="Times New Roman"/>
        </w:rPr>
        <w:t xml:space="preserve">50 </w:t>
      </w:r>
      <w:r w:rsidR="008F290F">
        <w:rPr>
          <w:rFonts w:ascii="Verdana" w:hAnsi="Verdana" w:cs="Times New Roman"/>
        </w:rPr>
        <w:t>at</w:t>
      </w:r>
      <w:r w:rsidRPr="00106A79">
        <w:rPr>
          <w:rFonts w:ascii="Verdana" w:hAnsi="Verdana" w:cs="Times New Roman"/>
        </w:rPr>
        <w:t xml:space="preserve"> pension</w:t>
      </w:r>
      <w:r w:rsidR="008F290F">
        <w:rPr>
          <w:rFonts w:ascii="Verdana" w:hAnsi="Verdana" w:cs="Times New Roman"/>
        </w:rPr>
        <w:t>ing</w:t>
      </w:r>
      <w:r w:rsidRPr="00106A79">
        <w:rPr>
          <w:rFonts w:ascii="Verdana" w:hAnsi="Verdana" w:cs="Times New Roman"/>
        </w:rPr>
        <w:t xml:space="preserve"> 45</w:t>
      </w:r>
      <w:r w:rsidR="00633F23">
        <w:rPr>
          <w:rFonts w:ascii="Verdana" w:hAnsi="Verdana" w:cs="Times New Roman"/>
        </w:rPr>
        <w:t>-</w:t>
      </w:r>
      <w:r w:rsidRPr="00106A79">
        <w:rPr>
          <w:rFonts w:ascii="Verdana" w:hAnsi="Verdana" w:cs="Times New Roman"/>
        </w:rPr>
        <w:t xml:space="preserve">60% of all disability pensions </w:t>
      </w:r>
      <w:r w:rsidR="008F290F">
        <w:rPr>
          <w:rFonts w:ascii="Verdana" w:hAnsi="Verdana" w:cs="Times New Roman"/>
        </w:rPr>
        <w:t>at</w:t>
      </w:r>
      <w:r w:rsidR="008F290F" w:rsidRPr="00106A79">
        <w:rPr>
          <w:rFonts w:ascii="Verdana" w:hAnsi="Verdana" w:cs="Times New Roman"/>
        </w:rPr>
        <w:t xml:space="preserve"> </w:t>
      </w:r>
      <w:r w:rsidRPr="00106A79">
        <w:rPr>
          <w:rFonts w:ascii="Verdana" w:hAnsi="Verdana" w:cs="Times New Roman"/>
        </w:rPr>
        <w:t xml:space="preserve">this age were </w:t>
      </w:r>
      <w:r w:rsidR="008F290F" w:rsidRPr="00106A79">
        <w:rPr>
          <w:rFonts w:ascii="Verdana" w:hAnsi="Verdana" w:cs="Times New Roman"/>
        </w:rPr>
        <w:t>MSD</w:t>
      </w:r>
      <w:r w:rsidR="008F290F">
        <w:rPr>
          <w:rFonts w:ascii="Verdana" w:hAnsi="Verdana" w:cs="Times New Roman"/>
        </w:rPr>
        <w:t>-</w:t>
      </w:r>
      <w:r w:rsidR="003D3414" w:rsidRPr="00106A79">
        <w:rPr>
          <w:rFonts w:ascii="Verdana" w:hAnsi="Verdana" w:cs="Times New Roman"/>
        </w:rPr>
        <w:t>related</w:t>
      </w:r>
      <w:r w:rsidRPr="00106A79">
        <w:rPr>
          <w:rFonts w:ascii="Verdana" w:hAnsi="Verdana" w:cs="Times New Roman"/>
        </w:rPr>
        <w:t>.</w:t>
      </w:r>
    </w:p>
    <w:p w14:paraId="1C3F584A" w14:textId="77777777" w:rsidR="00194E2A" w:rsidRPr="00106A79" w:rsidRDefault="00194E2A" w:rsidP="00106A79">
      <w:pPr>
        <w:spacing w:line="480" w:lineRule="auto"/>
        <w:rPr>
          <w:rFonts w:ascii="Verdana" w:hAnsi="Verdana" w:cs="Times New Roman"/>
          <w:b/>
        </w:rPr>
      </w:pPr>
      <w:r w:rsidRPr="00106A79">
        <w:rPr>
          <w:rFonts w:ascii="Verdana" w:hAnsi="Verdana" w:cs="Times New Roman"/>
          <w:b/>
        </w:rPr>
        <w:t>[Table 3 near here]</w:t>
      </w:r>
    </w:p>
    <w:p w14:paraId="417082CD" w14:textId="77777777" w:rsidR="00EC50DA" w:rsidRPr="00106A79" w:rsidRDefault="00EC50DA" w:rsidP="00106A79">
      <w:pPr>
        <w:spacing w:line="480" w:lineRule="auto"/>
        <w:rPr>
          <w:rFonts w:ascii="Verdana" w:hAnsi="Verdana" w:cs="Times New Roman"/>
        </w:rPr>
      </w:pPr>
    </w:p>
    <w:p w14:paraId="1456B6CF" w14:textId="77777777" w:rsidR="00EC50DA" w:rsidRPr="00106A79" w:rsidRDefault="00EC50DA" w:rsidP="00106A79">
      <w:pPr>
        <w:spacing w:line="480" w:lineRule="auto"/>
        <w:rPr>
          <w:rFonts w:ascii="Verdana" w:hAnsi="Verdana" w:cs="Times New Roman"/>
          <w:b/>
        </w:rPr>
      </w:pPr>
      <w:r w:rsidRPr="00106A79">
        <w:rPr>
          <w:rFonts w:ascii="Verdana" w:hAnsi="Verdana" w:cs="Times New Roman"/>
          <w:b/>
        </w:rPr>
        <w:t>Is work at older ages good for musculoskeletal health?</w:t>
      </w:r>
    </w:p>
    <w:p w14:paraId="5DAFEFD9" w14:textId="78787BFA" w:rsidR="00020B98" w:rsidRPr="00106A79" w:rsidRDefault="00194E2A" w:rsidP="00106A79">
      <w:pPr>
        <w:spacing w:line="480" w:lineRule="auto"/>
        <w:rPr>
          <w:rFonts w:ascii="Verdana" w:hAnsi="Verdana" w:cs="Times New Roman"/>
        </w:rPr>
      </w:pPr>
      <w:r w:rsidRPr="00106A79">
        <w:rPr>
          <w:rFonts w:ascii="Verdana" w:hAnsi="Verdana" w:cs="Times New Roman"/>
        </w:rPr>
        <w:t>Work at older ages may</w:t>
      </w:r>
      <w:r w:rsidR="00A40C15" w:rsidRPr="00106A79">
        <w:rPr>
          <w:rFonts w:ascii="Verdana" w:hAnsi="Verdana" w:cs="Times New Roman"/>
        </w:rPr>
        <w:t xml:space="preserve"> carry physical benefits, such as maintained muscle strength and mobility; and psychological benefits, such as sustained motivation and sense of purpose, social engagement and mental activity</w:t>
      </w:r>
      <w:r w:rsidR="00F92B4A" w:rsidRPr="00106A79">
        <w:rPr>
          <w:rFonts w:ascii="Verdana" w:hAnsi="Verdana" w:cs="Times New Roman"/>
        </w:rPr>
        <w:t xml:space="preserve"> [</w:t>
      </w:r>
      <w:r w:rsidR="008D7ED9">
        <w:rPr>
          <w:rFonts w:ascii="Verdana" w:hAnsi="Verdana" w:cs="Times New Roman"/>
        </w:rPr>
        <w:t>4</w:t>
      </w:r>
      <w:r w:rsidR="00F92B4A" w:rsidRPr="00106A79">
        <w:rPr>
          <w:rFonts w:ascii="Verdana" w:hAnsi="Verdana" w:cs="Times New Roman"/>
        </w:rPr>
        <w:t>]</w:t>
      </w:r>
      <w:r w:rsidR="00A40C15" w:rsidRPr="00106A79">
        <w:rPr>
          <w:rFonts w:ascii="Verdana" w:hAnsi="Verdana" w:cs="Times New Roman"/>
        </w:rPr>
        <w:t xml:space="preserve">. </w:t>
      </w:r>
      <w:r w:rsidR="00F92B4A" w:rsidRPr="00106A79">
        <w:rPr>
          <w:rFonts w:ascii="Verdana" w:hAnsi="Verdana" w:cs="Times New Roman"/>
        </w:rPr>
        <w:t>On the other hand, older workers</w:t>
      </w:r>
      <w:r w:rsidR="00F92B4A" w:rsidRPr="00106A79">
        <w:rPr>
          <w:rFonts w:ascii="Verdana" w:hAnsi="Verdana"/>
        </w:rPr>
        <w:t xml:space="preserve"> </w:t>
      </w:r>
      <w:r w:rsidRPr="00106A79">
        <w:rPr>
          <w:rFonts w:ascii="Verdana" w:hAnsi="Verdana" w:cs="Times New Roman"/>
        </w:rPr>
        <w:t>may</w:t>
      </w:r>
      <w:r w:rsidR="00F92B4A" w:rsidRPr="00106A79">
        <w:rPr>
          <w:rFonts w:ascii="Verdana" w:hAnsi="Verdana" w:cs="Times New Roman"/>
        </w:rPr>
        <w:t xml:space="preserve"> </w:t>
      </w:r>
      <w:r w:rsidR="00633F23">
        <w:rPr>
          <w:rFonts w:ascii="Verdana" w:hAnsi="Verdana" w:cs="Times New Roman"/>
        </w:rPr>
        <w:t>struggle with</w:t>
      </w:r>
      <w:r w:rsidR="00F92B4A" w:rsidRPr="00106A79">
        <w:rPr>
          <w:rFonts w:ascii="Verdana" w:hAnsi="Verdana" w:cs="Times New Roman"/>
        </w:rPr>
        <w:t xml:space="preserve"> the demands of work [</w:t>
      </w:r>
      <w:r w:rsidR="008D7ED9">
        <w:rPr>
          <w:rFonts w:ascii="Verdana" w:hAnsi="Verdana" w:cs="Times New Roman"/>
        </w:rPr>
        <w:t>4</w:t>
      </w:r>
      <w:r w:rsidR="00F92B4A" w:rsidRPr="00106A79">
        <w:rPr>
          <w:rFonts w:ascii="Verdana" w:hAnsi="Verdana" w:cs="Times New Roman"/>
        </w:rPr>
        <w:t xml:space="preserve">], while planned normal retirement </w:t>
      </w:r>
      <w:r w:rsidRPr="00106A79">
        <w:rPr>
          <w:rFonts w:ascii="Verdana" w:hAnsi="Verdana" w:cs="Times New Roman"/>
        </w:rPr>
        <w:t>can</w:t>
      </w:r>
      <w:r w:rsidR="00F92B4A" w:rsidRPr="00106A79">
        <w:rPr>
          <w:rFonts w:ascii="Verdana" w:hAnsi="Verdana" w:cs="Times New Roman"/>
        </w:rPr>
        <w:t xml:space="preserve"> carry benefits of its own [</w:t>
      </w:r>
      <w:r w:rsidR="008D7ED9">
        <w:rPr>
          <w:rFonts w:ascii="Verdana" w:hAnsi="Verdana" w:cs="Times New Roman"/>
        </w:rPr>
        <w:t>61, 62</w:t>
      </w:r>
      <w:r w:rsidR="00F92B4A" w:rsidRPr="00106A79">
        <w:rPr>
          <w:rFonts w:ascii="Verdana" w:hAnsi="Verdana" w:cs="Times New Roman"/>
        </w:rPr>
        <w:t xml:space="preserve">]. </w:t>
      </w:r>
      <w:r w:rsidR="00F07B86" w:rsidRPr="00106A79">
        <w:rPr>
          <w:rFonts w:ascii="Verdana" w:hAnsi="Verdana" w:cs="Times New Roman"/>
        </w:rPr>
        <w:t>A trade-off exists</w:t>
      </w:r>
      <w:r w:rsidR="00020B98" w:rsidRPr="00106A79">
        <w:rPr>
          <w:rFonts w:ascii="Verdana" w:hAnsi="Verdana" w:cs="Times New Roman"/>
        </w:rPr>
        <w:t xml:space="preserve"> therefore between opposing influences on health. Where does the balance lie?</w:t>
      </w:r>
    </w:p>
    <w:p w14:paraId="41915111" w14:textId="77777777" w:rsidR="00020B98" w:rsidRPr="00106A79" w:rsidRDefault="00020B98" w:rsidP="00106A79">
      <w:pPr>
        <w:spacing w:line="480" w:lineRule="auto"/>
        <w:rPr>
          <w:rFonts w:ascii="Verdana" w:hAnsi="Verdana" w:cs="Times New Roman"/>
        </w:rPr>
      </w:pPr>
    </w:p>
    <w:p w14:paraId="7EDFCEF7" w14:textId="5734E5E6" w:rsidR="00F8054A" w:rsidRPr="00106A79" w:rsidRDefault="00F92B4A" w:rsidP="00106A79">
      <w:pPr>
        <w:spacing w:line="480" w:lineRule="auto"/>
        <w:rPr>
          <w:rFonts w:ascii="Verdana" w:hAnsi="Verdana"/>
        </w:rPr>
      </w:pPr>
      <w:r w:rsidRPr="00106A79">
        <w:rPr>
          <w:rFonts w:ascii="Verdana" w:hAnsi="Verdana" w:cs="Times New Roman"/>
        </w:rPr>
        <w:lastRenderedPageBreak/>
        <w:t xml:space="preserve">An influential </w:t>
      </w:r>
      <w:r w:rsidR="00670F9A" w:rsidRPr="00106A79">
        <w:rPr>
          <w:rFonts w:ascii="Verdana" w:hAnsi="Verdana" w:cs="Times New Roman"/>
        </w:rPr>
        <w:t xml:space="preserve">best evidence synthesis </w:t>
      </w:r>
      <w:r w:rsidRPr="00106A79">
        <w:rPr>
          <w:rFonts w:ascii="Verdana" w:hAnsi="Verdana" w:cs="Times New Roman"/>
        </w:rPr>
        <w:t>[</w:t>
      </w:r>
      <w:r w:rsidR="008D7ED9">
        <w:rPr>
          <w:rFonts w:ascii="Verdana" w:hAnsi="Verdana" w:cs="Times New Roman"/>
        </w:rPr>
        <w:t>63</w:t>
      </w:r>
      <w:r w:rsidR="00CB6DC4" w:rsidRPr="00106A79">
        <w:rPr>
          <w:rFonts w:ascii="Verdana" w:hAnsi="Verdana" w:cs="Times New Roman"/>
        </w:rPr>
        <w:t>] for</w:t>
      </w:r>
      <w:r w:rsidRPr="00106A79">
        <w:rPr>
          <w:rFonts w:ascii="Verdana" w:hAnsi="Verdana" w:cs="Times New Roman"/>
        </w:rPr>
        <w:t xml:space="preserve"> the </w:t>
      </w:r>
      <w:r w:rsidR="00CB6DC4" w:rsidRPr="00106A79">
        <w:rPr>
          <w:rFonts w:ascii="Verdana" w:hAnsi="Verdana" w:cs="Times New Roman"/>
        </w:rPr>
        <w:t xml:space="preserve">British </w:t>
      </w:r>
      <w:r w:rsidRPr="00106A79">
        <w:rPr>
          <w:rFonts w:ascii="Verdana" w:hAnsi="Verdana" w:cs="Times New Roman"/>
        </w:rPr>
        <w:t xml:space="preserve">Department for Work and Pensions has concluded that </w:t>
      </w:r>
      <w:r w:rsidR="00020B98" w:rsidRPr="00106A79">
        <w:rPr>
          <w:rFonts w:ascii="Verdana" w:hAnsi="Verdana" w:cs="Times New Roman"/>
        </w:rPr>
        <w:t xml:space="preserve">work </w:t>
      </w:r>
      <w:r w:rsidRPr="00106A79">
        <w:rPr>
          <w:rFonts w:ascii="Verdana" w:hAnsi="Verdana" w:cs="Times New Roman"/>
        </w:rPr>
        <w:t xml:space="preserve">is ‘generally good’ for </w:t>
      </w:r>
      <w:r w:rsidR="00633F23">
        <w:rPr>
          <w:rFonts w:ascii="Verdana" w:hAnsi="Verdana" w:cs="Times New Roman"/>
        </w:rPr>
        <w:t>health</w:t>
      </w:r>
      <w:r w:rsidR="00020B98" w:rsidRPr="00106A79">
        <w:rPr>
          <w:rFonts w:ascii="Verdana" w:hAnsi="Verdana" w:cs="Times New Roman"/>
        </w:rPr>
        <w:t xml:space="preserve">. </w:t>
      </w:r>
      <w:r w:rsidR="00F8054A" w:rsidRPr="00106A79">
        <w:rPr>
          <w:rFonts w:ascii="Verdana" w:hAnsi="Verdana" w:cs="Times New Roman"/>
        </w:rPr>
        <w:t>Using</w:t>
      </w:r>
      <w:r w:rsidR="006C2CD3" w:rsidRPr="00106A79">
        <w:rPr>
          <w:rFonts w:ascii="Verdana" w:hAnsi="Verdana" w:cs="Times New Roman"/>
        </w:rPr>
        <w:t xml:space="preserve"> a ‘review of reviews’ methodology, </w:t>
      </w:r>
      <w:r w:rsidR="00B719ED">
        <w:rPr>
          <w:rFonts w:ascii="Verdana" w:hAnsi="Verdana" w:cs="Times New Roman"/>
        </w:rPr>
        <w:t>the authors</w:t>
      </w:r>
      <w:r w:rsidR="00670F9A" w:rsidRPr="00106A79">
        <w:rPr>
          <w:rFonts w:ascii="Verdana" w:hAnsi="Verdana" w:cs="Times New Roman"/>
        </w:rPr>
        <w:t xml:space="preserve"> interrogated </w:t>
      </w:r>
      <w:r w:rsidR="00B719ED">
        <w:rPr>
          <w:rFonts w:ascii="Verdana" w:hAnsi="Verdana" w:cs="Times New Roman"/>
        </w:rPr>
        <w:t>&gt;</w:t>
      </w:r>
      <w:r w:rsidR="00670F9A" w:rsidRPr="00106A79">
        <w:rPr>
          <w:rFonts w:ascii="Verdana" w:hAnsi="Verdana" w:cs="Times New Roman"/>
        </w:rPr>
        <w:t>10</w:t>
      </w:r>
      <w:r w:rsidR="00670F9A" w:rsidRPr="00106A79">
        <w:rPr>
          <w:rFonts w:ascii="Verdana" w:hAnsi="Verdana"/>
        </w:rPr>
        <w:t xml:space="preserve"> </w:t>
      </w:r>
      <w:r w:rsidR="00670F9A" w:rsidRPr="00106A79">
        <w:rPr>
          <w:rFonts w:ascii="Verdana" w:hAnsi="Verdana" w:cs="Times New Roman"/>
        </w:rPr>
        <w:t xml:space="preserve">electronic databases and search engines, abstracting materials from </w:t>
      </w:r>
      <w:r w:rsidR="006C2CD3" w:rsidRPr="00106A79">
        <w:rPr>
          <w:rFonts w:ascii="Verdana" w:hAnsi="Verdana" w:cs="Times New Roman"/>
        </w:rPr>
        <w:t>many</w:t>
      </w:r>
      <w:r w:rsidR="00670F9A" w:rsidRPr="00106A79">
        <w:rPr>
          <w:rFonts w:ascii="Verdana" w:hAnsi="Verdana" w:cs="Times New Roman"/>
        </w:rPr>
        <w:t xml:space="preserve"> </w:t>
      </w:r>
      <w:r w:rsidR="006C2CD3" w:rsidRPr="00106A79">
        <w:rPr>
          <w:rFonts w:ascii="Verdana" w:hAnsi="Verdana" w:cs="Times New Roman"/>
        </w:rPr>
        <w:t xml:space="preserve">peer-reviewed and grey literature reports. Findings leant heavily on </w:t>
      </w:r>
      <w:r w:rsidR="00194E2A" w:rsidRPr="00106A79">
        <w:rPr>
          <w:rFonts w:ascii="Verdana" w:hAnsi="Verdana" w:cs="Times New Roman"/>
        </w:rPr>
        <w:t>‘well referenced and structured’</w:t>
      </w:r>
      <w:r w:rsidR="006C2CD3" w:rsidRPr="00106A79">
        <w:rPr>
          <w:rFonts w:ascii="Verdana" w:hAnsi="Verdana" w:cs="Times New Roman"/>
        </w:rPr>
        <w:t xml:space="preserve"> narrative reviews in lieu of the </w:t>
      </w:r>
      <w:r w:rsidR="00F8054A" w:rsidRPr="00106A79">
        <w:rPr>
          <w:rFonts w:ascii="Verdana" w:hAnsi="Verdana" w:cs="Times New Roman"/>
        </w:rPr>
        <w:t>few</w:t>
      </w:r>
      <w:r w:rsidR="006C2CD3" w:rsidRPr="00106A79">
        <w:rPr>
          <w:rFonts w:ascii="Verdana" w:hAnsi="Verdana" w:cs="Times New Roman"/>
        </w:rPr>
        <w:t xml:space="preserve"> available </w:t>
      </w:r>
      <w:r w:rsidR="00670F9A" w:rsidRPr="00106A79">
        <w:rPr>
          <w:rFonts w:ascii="Verdana" w:hAnsi="Verdana" w:cs="Times New Roman"/>
        </w:rPr>
        <w:t>s</w:t>
      </w:r>
      <w:r w:rsidR="006C2CD3" w:rsidRPr="00106A79">
        <w:rPr>
          <w:rFonts w:ascii="Verdana" w:hAnsi="Verdana" w:cs="Times New Roman"/>
        </w:rPr>
        <w:t>ystematic reviews and</w:t>
      </w:r>
      <w:r w:rsidR="00670F9A" w:rsidRPr="00106A79">
        <w:rPr>
          <w:rFonts w:ascii="Verdana" w:hAnsi="Verdana" w:cs="Times New Roman"/>
        </w:rPr>
        <w:t xml:space="preserve"> meta-analyses</w:t>
      </w:r>
      <w:r w:rsidR="006C2CD3" w:rsidRPr="00106A79">
        <w:rPr>
          <w:rFonts w:ascii="Verdana" w:hAnsi="Verdana" w:cs="Times New Roman"/>
        </w:rPr>
        <w:t>; quality criteria were loosely specified and findings</w:t>
      </w:r>
      <w:r w:rsidR="004632F7" w:rsidRPr="00106A79">
        <w:rPr>
          <w:rFonts w:ascii="Verdana" w:hAnsi="Verdana" w:cs="Times New Roman"/>
        </w:rPr>
        <w:t xml:space="preserve"> were</w:t>
      </w:r>
      <w:r w:rsidR="006C2CD3" w:rsidRPr="00106A79">
        <w:rPr>
          <w:rFonts w:ascii="Verdana" w:hAnsi="Verdana" w:cs="Times New Roman"/>
        </w:rPr>
        <w:t xml:space="preserve"> </w:t>
      </w:r>
      <w:r w:rsidR="0089240C" w:rsidRPr="00106A79">
        <w:rPr>
          <w:rFonts w:ascii="Verdana" w:hAnsi="Verdana" w:cs="Times New Roman"/>
        </w:rPr>
        <w:t>assessed</w:t>
      </w:r>
      <w:r w:rsidR="006C2CD3" w:rsidRPr="00106A79">
        <w:rPr>
          <w:rFonts w:ascii="Verdana" w:hAnsi="Verdana" w:cs="Times New Roman"/>
        </w:rPr>
        <w:t xml:space="preserve"> qualitatively </w:t>
      </w:r>
      <w:r w:rsidR="00B719ED">
        <w:rPr>
          <w:rFonts w:ascii="Verdana" w:hAnsi="Verdana" w:cs="Times New Roman"/>
        </w:rPr>
        <w:t>and were not</w:t>
      </w:r>
      <w:r w:rsidR="006C2CD3" w:rsidRPr="00106A79">
        <w:rPr>
          <w:rFonts w:ascii="Verdana" w:hAnsi="Verdana" w:cs="Times New Roman"/>
        </w:rPr>
        <w:t xml:space="preserve"> combined to compute </w:t>
      </w:r>
      <w:r w:rsidR="004632F7" w:rsidRPr="00106A79">
        <w:rPr>
          <w:rFonts w:ascii="Verdana" w:hAnsi="Verdana" w:cs="Times New Roman"/>
        </w:rPr>
        <w:t>meta-</w:t>
      </w:r>
      <w:r w:rsidR="006C2CD3" w:rsidRPr="00106A79">
        <w:rPr>
          <w:rFonts w:ascii="Verdana" w:hAnsi="Verdana" w:cs="Times New Roman"/>
        </w:rPr>
        <w:t>estimates of effect</w:t>
      </w:r>
      <w:r w:rsidR="00670F9A" w:rsidRPr="00106A79">
        <w:rPr>
          <w:rFonts w:ascii="Verdana" w:hAnsi="Verdana" w:cs="Times New Roman"/>
        </w:rPr>
        <w:t>.</w:t>
      </w:r>
      <w:r w:rsidR="00670F9A" w:rsidRPr="00106A79">
        <w:rPr>
          <w:rFonts w:ascii="Verdana" w:hAnsi="Verdana"/>
        </w:rPr>
        <w:t xml:space="preserve"> </w:t>
      </w:r>
    </w:p>
    <w:p w14:paraId="6B13D91B" w14:textId="77777777" w:rsidR="00F8054A" w:rsidRPr="00106A79" w:rsidRDefault="00F8054A" w:rsidP="00106A79">
      <w:pPr>
        <w:spacing w:line="480" w:lineRule="auto"/>
        <w:rPr>
          <w:rFonts w:ascii="Verdana" w:hAnsi="Verdana"/>
        </w:rPr>
      </w:pPr>
    </w:p>
    <w:p w14:paraId="179A8FCE" w14:textId="1E088687" w:rsidR="005761A7" w:rsidRDefault="00F92B4A" w:rsidP="00106A79">
      <w:pPr>
        <w:spacing w:line="480" w:lineRule="auto"/>
        <w:rPr>
          <w:rFonts w:ascii="Verdana" w:hAnsi="Verdana" w:cs="Times New Roman"/>
        </w:rPr>
      </w:pPr>
      <w:r w:rsidRPr="00106A79">
        <w:rPr>
          <w:rFonts w:ascii="Verdana" w:hAnsi="Verdana" w:cs="Times New Roman"/>
        </w:rPr>
        <w:t xml:space="preserve">Much of the evidence </w:t>
      </w:r>
      <w:r w:rsidR="00B719ED">
        <w:rPr>
          <w:rFonts w:ascii="Verdana" w:hAnsi="Verdana" w:cs="Times New Roman"/>
        </w:rPr>
        <w:t>came</w:t>
      </w:r>
      <w:r w:rsidRPr="00106A79">
        <w:rPr>
          <w:rFonts w:ascii="Verdana" w:hAnsi="Verdana" w:cs="Times New Roman"/>
        </w:rPr>
        <w:t xml:space="preserve"> from studies</w:t>
      </w:r>
      <w:r w:rsidR="00020B98" w:rsidRPr="00106A79">
        <w:rPr>
          <w:rFonts w:ascii="Verdana" w:hAnsi="Verdana" w:cs="Times New Roman"/>
        </w:rPr>
        <w:t xml:space="preserve"> of workers with </w:t>
      </w:r>
      <w:r w:rsidR="00F8054A" w:rsidRPr="00106A79">
        <w:rPr>
          <w:rFonts w:ascii="Verdana" w:hAnsi="Verdana" w:cs="Times New Roman"/>
        </w:rPr>
        <w:t xml:space="preserve">common </w:t>
      </w:r>
      <w:r w:rsidR="00020B98" w:rsidRPr="00106A79">
        <w:rPr>
          <w:rFonts w:ascii="Verdana" w:hAnsi="Verdana" w:cs="Times New Roman"/>
        </w:rPr>
        <w:t xml:space="preserve">musculoskeletal </w:t>
      </w:r>
      <w:r w:rsidR="00F8054A" w:rsidRPr="00106A79">
        <w:rPr>
          <w:rFonts w:ascii="Verdana" w:hAnsi="Verdana" w:cs="Times New Roman"/>
        </w:rPr>
        <w:t>complaints.</w:t>
      </w:r>
      <w:r w:rsidR="00020B98" w:rsidRPr="00106A79">
        <w:rPr>
          <w:rFonts w:ascii="Verdana" w:hAnsi="Verdana" w:cs="Times New Roman"/>
        </w:rPr>
        <w:t xml:space="preserve"> </w:t>
      </w:r>
      <w:r w:rsidR="00F8054A" w:rsidRPr="00106A79">
        <w:rPr>
          <w:rFonts w:ascii="Verdana" w:hAnsi="Verdana" w:cs="Times New Roman"/>
        </w:rPr>
        <w:t>As such,</w:t>
      </w:r>
      <w:r w:rsidR="00CB6DC4" w:rsidRPr="00106A79">
        <w:rPr>
          <w:rFonts w:ascii="Verdana" w:hAnsi="Verdana" w:cs="Times New Roman"/>
        </w:rPr>
        <w:t xml:space="preserve"> its</w:t>
      </w:r>
      <w:r w:rsidR="00F8054A" w:rsidRPr="00106A79">
        <w:rPr>
          <w:rFonts w:ascii="Verdana" w:hAnsi="Verdana" w:cs="Times New Roman"/>
        </w:rPr>
        <w:t xml:space="preserve"> </w:t>
      </w:r>
      <w:r w:rsidR="00194E2A" w:rsidRPr="00106A79">
        <w:rPr>
          <w:rFonts w:ascii="Verdana" w:hAnsi="Verdana" w:cs="Times New Roman"/>
        </w:rPr>
        <w:t>conclusion</w:t>
      </w:r>
      <w:r w:rsidR="00F8054A" w:rsidRPr="00106A79">
        <w:rPr>
          <w:rFonts w:ascii="Verdana" w:hAnsi="Verdana" w:cs="Times New Roman"/>
        </w:rPr>
        <w:t xml:space="preserve"> might appear</w:t>
      </w:r>
      <w:r w:rsidR="004632F7" w:rsidRPr="00106A79">
        <w:rPr>
          <w:rFonts w:ascii="Verdana" w:hAnsi="Verdana" w:cs="Times New Roman"/>
        </w:rPr>
        <w:t xml:space="preserve"> </w:t>
      </w:r>
      <w:r w:rsidR="00F8054A" w:rsidRPr="00106A79">
        <w:rPr>
          <w:rFonts w:ascii="Verdana" w:hAnsi="Verdana" w:cs="Times New Roman"/>
        </w:rPr>
        <w:t xml:space="preserve">to </w:t>
      </w:r>
      <w:r w:rsidR="0089240C" w:rsidRPr="00106A79">
        <w:rPr>
          <w:rFonts w:ascii="Verdana" w:hAnsi="Verdana" w:cs="Times New Roman"/>
        </w:rPr>
        <w:t>be at odds</w:t>
      </w:r>
      <w:r w:rsidR="00020B98" w:rsidRPr="00106A79">
        <w:rPr>
          <w:rFonts w:ascii="Verdana" w:hAnsi="Verdana" w:cs="Times New Roman"/>
        </w:rPr>
        <w:t xml:space="preserve"> with </w:t>
      </w:r>
      <w:r w:rsidRPr="00106A79">
        <w:rPr>
          <w:rFonts w:ascii="Verdana" w:hAnsi="Verdana" w:cs="Times New Roman"/>
        </w:rPr>
        <w:t>the evidence</w:t>
      </w:r>
      <w:r w:rsidR="00020B98" w:rsidRPr="00106A79">
        <w:rPr>
          <w:rFonts w:ascii="Verdana" w:hAnsi="Verdana" w:cs="Times New Roman"/>
        </w:rPr>
        <w:t xml:space="preserve"> </w:t>
      </w:r>
      <w:r w:rsidR="00F8054A" w:rsidRPr="00106A79">
        <w:rPr>
          <w:rFonts w:ascii="Verdana" w:hAnsi="Verdana" w:cs="Times New Roman"/>
        </w:rPr>
        <w:t>presented</w:t>
      </w:r>
      <w:r w:rsidR="00020B98" w:rsidRPr="00106A79">
        <w:rPr>
          <w:rFonts w:ascii="Verdana" w:hAnsi="Verdana" w:cs="Times New Roman"/>
        </w:rPr>
        <w:t xml:space="preserve"> </w:t>
      </w:r>
      <w:r w:rsidR="005761A7">
        <w:rPr>
          <w:rFonts w:ascii="Verdana" w:hAnsi="Verdana" w:cs="Times New Roman"/>
        </w:rPr>
        <w:t xml:space="preserve">above </w:t>
      </w:r>
      <w:r w:rsidRPr="00106A79">
        <w:rPr>
          <w:rFonts w:ascii="Verdana" w:hAnsi="Verdana" w:cs="Times New Roman"/>
        </w:rPr>
        <w:t>on MSDs as a cause of early retirement</w:t>
      </w:r>
      <w:r w:rsidR="00020B98" w:rsidRPr="00106A79">
        <w:rPr>
          <w:rFonts w:ascii="Verdana" w:hAnsi="Verdana" w:cs="Times New Roman"/>
        </w:rPr>
        <w:t>.</w:t>
      </w:r>
      <w:r w:rsidR="008F102D" w:rsidRPr="00106A79">
        <w:rPr>
          <w:rFonts w:ascii="Verdana" w:hAnsi="Verdana" w:cs="Times New Roman"/>
        </w:rPr>
        <w:t xml:space="preserve"> However, the evidence base</w:t>
      </w:r>
      <w:r w:rsidR="000E0EC0" w:rsidRPr="00106A79">
        <w:rPr>
          <w:rFonts w:ascii="Verdana" w:hAnsi="Verdana" w:cs="Times New Roman"/>
        </w:rPr>
        <w:t xml:space="preserve"> </w:t>
      </w:r>
      <w:r w:rsidR="008F102D" w:rsidRPr="00106A79">
        <w:rPr>
          <w:rFonts w:ascii="Verdana" w:hAnsi="Verdana" w:cs="Times New Roman"/>
        </w:rPr>
        <w:t xml:space="preserve">was considerably slimmer </w:t>
      </w:r>
      <w:r w:rsidR="000E0EC0" w:rsidRPr="00106A79">
        <w:rPr>
          <w:rFonts w:ascii="Verdana" w:hAnsi="Verdana" w:cs="Times New Roman"/>
        </w:rPr>
        <w:t xml:space="preserve">at older ages </w:t>
      </w:r>
      <w:r w:rsidR="008F102D" w:rsidRPr="00106A79">
        <w:rPr>
          <w:rFonts w:ascii="Verdana" w:hAnsi="Verdana" w:cs="Times New Roman"/>
        </w:rPr>
        <w:t xml:space="preserve">(eight narrative reviews, one research summary, one official inquiry on health inequalities, and 13 original studies), and none of </w:t>
      </w:r>
      <w:r w:rsidR="003E25F1" w:rsidRPr="00106A79">
        <w:rPr>
          <w:rFonts w:ascii="Verdana" w:hAnsi="Verdana" w:cs="Times New Roman"/>
        </w:rPr>
        <w:t>it</w:t>
      </w:r>
      <w:r w:rsidR="008F102D" w:rsidRPr="00106A79">
        <w:rPr>
          <w:rFonts w:ascii="Verdana" w:hAnsi="Verdana" w:cs="Times New Roman"/>
        </w:rPr>
        <w:t xml:space="preserve"> had musculoskeletal health as an expos</w:t>
      </w:r>
      <w:r w:rsidR="003E25F1" w:rsidRPr="00106A79">
        <w:rPr>
          <w:rFonts w:ascii="Verdana" w:hAnsi="Verdana" w:cs="Times New Roman"/>
        </w:rPr>
        <w:t>ure or outcome of interest. More generally</w:t>
      </w:r>
      <w:r w:rsidR="005761A7">
        <w:rPr>
          <w:rFonts w:ascii="Verdana" w:hAnsi="Verdana" w:cs="Times New Roman"/>
        </w:rPr>
        <w:t>,</w:t>
      </w:r>
      <w:r w:rsidR="003E25F1" w:rsidRPr="00106A79">
        <w:rPr>
          <w:rFonts w:ascii="Verdana" w:hAnsi="Verdana" w:cs="Times New Roman"/>
        </w:rPr>
        <w:t xml:space="preserve"> it was concluded that older workers vary in their </w:t>
      </w:r>
      <w:r w:rsidR="00B719ED">
        <w:rPr>
          <w:rFonts w:ascii="Verdana" w:hAnsi="Verdana" w:cs="Times New Roman"/>
        </w:rPr>
        <w:t xml:space="preserve">work </w:t>
      </w:r>
      <w:r w:rsidR="003E25F1" w:rsidRPr="00106A79">
        <w:rPr>
          <w:rFonts w:ascii="Verdana" w:hAnsi="Verdana" w:cs="Times New Roman"/>
        </w:rPr>
        <w:t>capability</w:t>
      </w:r>
      <w:r w:rsidR="00194E2A" w:rsidRPr="00106A79">
        <w:rPr>
          <w:rFonts w:ascii="Verdana" w:hAnsi="Verdana" w:cs="Times New Roman"/>
        </w:rPr>
        <w:t>, that they</w:t>
      </w:r>
      <w:r w:rsidR="00086557" w:rsidRPr="00106A79">
        <w:rPr>
          <w:rFonts w:ascii="Verdana" w:hAnsi="Verdana" w:cs="Times New Roman"/>
        </w:rPr>
        <w:t xml:space="preserve"> </w:t>
      </w:r>
      <w:r w:rsidR="004632F7" w:rsidRPr="00106A79">
        <w:rPr>
          <w:rFonts w:ascii="Verdana" w:hAnsi="Verdana" w:cs="Times New Roman"/>
        </w:rPr>
        <w:t xml:space="preserve">do not necessarily take more </w:t>
      </w:r>
      <w:r w:rsidR="00194E2A" w:rsidRPr="00106A79">
        <w:rPr>
          <w:rFonts w:ascii="Verdana" w:hAnsi="Verdana" w:cs="Times New Roman"/>
        </w:rPr>
        <w:t>sick leave than younger workers,</w:t>
      </w:r>
      <w:r w:rsidR="00086557" w:rsidRPr="00106A79">
        <w:rPr>
          <w:rFonts w:ascii="Verdana" w:hAnsi="Verdana" w:cs="Times New Roman"/>
        </w:rPr>
        <w:t xml:space="preserve"> </w:t>
      </w:r>
      <w:r w:rsidR="00194E2A" w:rsidRPr="00106A79">
        <w:rPr>
          <w:rFonts w:ascii="Verdana" w:hAnsi="Verdana" w:cs="Times New Roman"/>
        </w:rPr>
        <w:t>and</w:t>
      </w:r>
      <w:r w:rsidR="004632F7" w:rsidRPr="00106A79">
        <w:rPr>
          <w:rFonts w:ascii="Verdana" w:hAnsi="Verdana" w:cs="Times New Roman"/>
        </w:rPr>
        <w:t xml:space="preserve"> </w:t>
      </w:r>
      <w:r w:rsidR="003E25F1" w:rsidRPr="00106A79">
        <w:rPr>
          <w:rFonts w:ascii="Verdana" w:hAnsi="Verdana" w:cs="Times New Roman"/>
        </w:rPr>
        <w:t xml:space="preserve">that early retirement </w:t>
      </w:r>
      <w:r w:rsidR="00086557" w:rsidRPr="00106A79">
        <w:rPr>
          <w:rFonts w:ascii="Verdana" w:hAnsi="Verdana" w:cs="Times New Roman"/>
        </w:rPr>
        <w:t>can</w:t>
      </w:r>
      <w:r w:rsidR="003E25F1" w:rsidRPr="00106A79">
        <w:rPr>
          <w:rFonts w:ascii="Verdana" w:hAnsi="Verdana" w:cs="Times New Roman"/>
        </w:rPr>
        <w:t xml:space="preserve"> have positive or negative effects on health depending on context</w:t>
      </w:r>
      <w:r w:rsidR="004632F7" w:rsidRPr="00106A79">
        <w:rPr>
          <w:rFonts w:ascii="Verdana" w:hAnsi="Verdana" w:cs="Times New Roman"/>
        </w:rPr>
        <w:t xml:space="preserve">; </w:t>
      </w:r>
      <w:r w:rsidR="00086557" w:rsidRPr="00106A79">
        <w:rPr>
          <w:rFonts w:ascii="Verdana" w:hAnsi="Verdana" w:cs="Times New Roman"/>
        </w:rPr>
        <w:t>however,</w:t>
      </w:r>
      <w:r w:rsidR="004632F7" w:rsidRPr="00106A79">
        <w:rPr>
          <w:rFonts w:ascii="Verdana" w:hAnsi="Verdana" w:cs="Times New Roman"/>
        </w:rPr>
        <w:t xml:space="preserve"> </w:t>
      </w:r>
      <w:r w:rsidR="00B719ED">
        <w:rPr>
          <w:rFonts w:ascii="Verdana" w:hAnsi="Verdana" w:cs="Times New Roman"/>
        </w:rPr>
        <w:t xml:space="preserve">no </w:t>
      </w:r>
      <w:r w:rsidR="00194E2A" w:rsidRPr="00106A79">
        <w:rPr>
          <w:rFonts w:ascii="Verdana" w:hAnsi="Verdana" w:cs="Times New Roman"/>
        </w:rPr>
        <w:t xml:space="preserve">evidence was adduced </w:t>
      </w:r>
      <w:r w:rsidR="00B719ED">
        <w:rPr>
          <w:rFonts w:ascii="Verdana" w:hAnsi="Verdana" w:cs="Times New Roman"/>
        </w:rPr>
        <w:t>regarding</w:t>
      </w:r>
      <w:r w:rsidR="00194E2A" w:rsidRPr="00106A79">
        <w:rPr>
          <w:rFonts w:ascii="Verdana" w:hAnsi="Verdana" w:cs="Times New Roman"/>
        </w:rPr>
        <w:t xml:space="preserve"> </w:t>
      </w:r>
      <w:r w:rsidR="004632F7" w:rsidRPr="00106A79">
        <w:rPr>
          <w:rFonts w:ascii="Verdana" w:hAnsi="Verdana" w:cs="Times New Roman"/>
        </w:rPr>
        <w:t>patients with large joint disease</w:t>
      </w:r>
      <w:r w:rsidR="00CB6DC4" w:rsidRPr="00106A79">
        <w:rPr>
          <w:rFonts w:ascii="Verdana" w:hAnsi="Verdana" w:cs="Times New Roman"/>
        </w:rPr>
        <w:t>,</w:t>
      </w:r>
      <w:r w:rsidR="00194E2A" w:rsidRPr="00106A79">
        <w:rPr>
          <w:rFonts w:ascii="Verdana" w:hAnsi="Verdana" w:cs="Times New Roman"/>
        </w:rPr>
        <w:t xml:space="preserve"> or inflammatory arthropathy, or in those </w:t>
      </w:r>
      <w:r w:rsidR="00B719ED">
        <w:rPr>
          <w:rFonts w:ascii="Verdana" w:hAnsi="Verdana" w:cs="Times New Roman"/>
        </w:rPr>
        <w:t>whose</w:t>
      </w:r>
      <w:r w:rsidR="004632F7" w:rsidRPr="00106A79">
        <w:rPr>
          <w:rFonts w:ascii="Verdana" w:hAnsi="Verdana" w:cs="Times New Roman"/>
        </w:rPr>
        <w:t xml:space="preserve"> </w:t>
      </w:r>
      <w:r w:rsidR="00194E2A" w:rsidRPr="00106A79">
        <w:rPr>
          <w:rFonts w:ascii="Verdana" w:hAnsi="Verdana" w:cs="Times New Roman"/>
        </w:rPr>
        <w:t>jobs</w:t>
      </w:r>
      <w:r w:rsidR="00B719ED" w:rsidRPr="00B719ED">
        <w:rPr>
          <w:rFonts w:ascii="Verdana" w:hAnsi="Verdana" w:cs="Times New Roman"/>
        </w:rPr>
        <w:t xml:space="preserve"> </w:t>
      </w:r>
      <w:r w:rsidR="00B719ED">
        <w:rPr>
          <w:rFonts w:ascii="Verdana" w:hAnsi="Verdana" w:cs="Times New Roman"/>
        </w:rPr>
        <w:t xml:space="preserve">were </w:t>
      </w:r>
      <w:r w:rsidR="00B719ED" w:rsidRPr="00106A79">
        <w:rPr>
          <w:rFonts w:ascii="Verdana" w:hAnsi="Verdana" w:cs="Times New Roman"/>
        </w:rPr>
        <w:t>physically demanding</w:t>
      </w:r>
      <w:r w:rsidR="004632F7" w:rsidRPr="00106A79">
        <w:rPr>
          <w:rFonts w:ascii="Verdana" w:hAnsi="Verdana" w:cs="Times New Roman"/>
        </w:rPr>
        <w:t>.</w:t>
      </w:r>
      <w:r w:rsidR="003E438A" w:rsidRPr="00106A79">
        <w:rPr>
          <w:rFonts w:ascii="Verdana" w:hAnsi="Verdana" w:cs="Times New Roman"/>
        </w:rPr>
        <w:t xml:space="preserve"> </w:t>
      </w:r>
    </w:p>
    <w:p w14:paraId="1F8BA2FC" w14:textId="77777777" w:rsidR="005761A7" w:rsidRPr="00106A79" w:rsidRDefault="005761A7" w:rsidP="00106A79">
      <w:pPr>
        <w:spacing w:line="480" w:lineRule="auto"/>
        <w:rPr>
          <w:rFonts w:ascii="Verdana" w:hAnsi="Verdana" w:cs="Times New Roman"/>
        </w:rPr>
      </w:pPr>
    </w:p>
    <w:p w14:paraId="37681564" w14:textId="0748384A" w:rsidR="0089240C" w:rsidRPr="00106A79" w:rsidRDefault="0089240C" w:rsidP="00106A79">
      <w:pPr>
        <w:spacing w:line="480" w:lineRule="auto"/>
        <w:rPr>
          <w:rFonts w:ascii="Verdana" w:hAnsi="Verdana" w:cs="Times New Roman"/>
        </w:rPr>
      </w:pPr>
      <w:r w:rsidRPr="00106A79">
        <w:rPr>
          <w:rFonts w:ascii="Verdana" w:hAnsi="Verdana" w:cs="Times New Roman"/>
        </w:rPr>
        <w:t xml:space="preserve">It should be stressed that, while </w:t>
      </w:r>
      <w:r w:rsidR="00CB6DC4" w:rsidRPr="00106A79">
        <w:rPr>
          <w:rFonts w:ascii="Verdana" w:hAnsi="Verdana" w:cs="Times New Roman"/>
        </w:rPr>
        <w:t>MSDs</w:t>
      </w:r>
      <w:r w:rsidRPr="00106A79">
        <w:rPr>
          <w:rFonts w:ascii="Verdana" w:hAnsi="Verdana" w:cs="Times New Roman"/>
        </w:rPr>
        <w:t xml:space="preserve"> are consistent risk factors for impaired work participation, most affected individuals can and still do work successfully.  A review of patients with OA, </w:t>
      </w:r>
      <w:r w:rsidR="0012360E">
        <w:rPr>
          <w:rFonts w:ascii="Verdana" w:hAnsi="Verdana" w:cs="Times New Roman"/>
        </w:rPr>
        <w:t>although</w:t>
      </w:r>
      <w:r w:rsidRPr="00106A79">
        <w:rPr>
          <w:rFonts w:ascii="Verdana" w:hAnsi="Verdana" w:cs="Times New Roman"/>
        </w:rPr>
        <w:t xml:space="preserve"> finding “a mild negative effect” on work participation, concluded that </w:t>
      </w:r>
      <w:r w:rsidR="0012360E">
        <w:rPr>
          <w:rFonts w:ascii="Verdana" w:hAnsi="Verdana" w:cs="Times New Roman"/>
        </w:rPr>
        <w:t>“</w:t>
      </w:r>
      <w:r w:rsidRPr="00106A79">
        <w:rPr>
          <w:rFonts w:ascii="Verdana" w:hAnsi="Verdana" w:cs="Times New Roman"/>
        </w:rPr>
        <w:t xml:space="preserve">many patients </w:t>
      </w:r>
      <w:r w:rsidR="0012360E">
        <w:rPr>
          <w:rFonts w:ascii="Verdana" w:hAnsi="Verdana" w:cs="Times New Roman"/>
        </w:rPr>
        <w:t>…</w:t>
      </w:r>
      <w:r w:rsidRPr="00106A79">
        <w:rPr>
          <w:rFonts w:ascii="Verdana" w:hAnsi="Verdana" w:cs="Times New Roman"/>
        </w:rPr>
        <w:t xml:space="preserve">managed to stay in work despite </w:t>
      </w:r>
      <w:r w:rsidRPr="00106A79">
        <w:rPr>
          <w:rFonts w:ascii="Verdana" w:hAnsi="Verdana" w:cs="Times New Roman"/>
        </w:rPr>
        <w:lastRenderedPageBreak/>
        <w:t>limitations” [</w:t>
      </w:r>
      <w:r w:rsidR="008D7ED9">
        <w:rPr>
          <w:rFonts w:ascii="Verdana" w:hAnsi="Verdana" w:cs="Times New Roman"/>
        </w:rPr>
        <w:t>64</w:t>
      </w:r>
      <w:r w:rsidRPr="00106A79">
        <w:rPr>
          <w:rFonts w:ascii="Verdana" w:hAnsi="Verdana" w:cs="Times New Roman"/>
        </w:rPr>
        <w:t>];</w:t>
      </w:r>
      <w:r w:rsidR="00CB6DC4" w:rsidRPr="00106A79">
        <w:rPr>
          <w:rFonts w:ascii="Verdana" w:hAnsi="Verdana" w:cs="Times New Roman"/>
        </w:rPr>
        <w:t xml:space="preserve"> among</w:t>
      </w:r>
      <w:r w:rsidRPr="00106A79">
        <w:rPr>
          <w:rFonts w:ascii="Verdana" w:hAnsi="Verdana" w:cs="Times New Roman"/>
        </w:rPr>
        <w:t xml:space="preserve"> 8,781 51</w:t>
      </w:r>
      <w:r w:rsidR="0012360E">
        <w:rPr>
          <w:rFonts w:ascii="Verdana" w:hAnsi="Verdana" w:cs="Times New Roman"/>
        </w:rPr>
        <w:t>-</w:t>
      </w:r>
      <w:r w:rsidRPr="00106A79">
        <w:rPr>
          <w:rFonts w:ascii="Verdana" w:hAnsi="Verdana" w:cs="Times New Roman"/>
        </w:rPr>
        <w:t>61</w:t>
      </w:r>
      <w:r w:rsidR="0012360E">
        <w:rPr>
          <w:rFonts w:ascii="Verdana" w:hAnsi="Verdana" w:cs="Times New Roman"/>
        </w:rPr>
        <w:t xml:space="preserve"> year-olds</w:t>
      </w:r>
      <w:r w:rsidRPr="00106A79">
        <w:rPr>
          <w:rFonts w:ascii="Verdana" w:hAnsi="Verdana" w:cs="Times New Roman"/>
        </w:rPr>
        <w:t xml:space="preserve"> </w:t>
      </w:r>
      <w:r w:rsidR="00CB6DC4" w:rsidRPr="00106A79">
        <w:rPr>
          <w:rFonts w:ascii="Verdana" w:hAnsi="Verdana" w:cs="Times New Roman"/>
        </w:rPr>
        <w:t xml:space="preserve">from the </w:t>
      </w:r>
      <w:r w:rsidR="0012360E">
        <w:rPr>
          <w:rFonts w:ascii="Verdana" w:hAnsi="Verdana" w:cs="Times New Roman"/>
        </w:rPr>
        <w:t>US</w:t>
      </w:r>
      <w:r w:rsidR="0012360E" w:rsidRPr="00106A79">
        <w:rPr>
          <w:rFonts w:ascii="Verdana" w:hAnsi="Verdana" w:cs="Times New Roman"/>
        </w:rPr>
        <w:t xml:space="preserve"> </w:t>
      </w:r>
      <w:r w:rsidR="00CB6DC4" w:rsidRPr="00106A79">
        <w:rPr>
          <w:rFonts w:ascii="Verdana" w:hAnsi="Verdana" w:cs="Times New Roman"/>
        </w:rPr>
        <w:t>Health and Retirement Survey, 63%</w:t>
      </w:r>
      <w:r w:rsidRPr="00106A79">
        <w:rPr>
          <w:rFonts w:ascii="Verdana" w:hAnsi="Verdana" w:cs="Times New Roman"/>
        </w:rPr>
        <w:t xml:space="preserve"> reported </w:t>
      </w:r>
      <w:r w:rsidR="0012360E" w:rsidRPr="0012360E">
        <w:rPr>
          <w:rFonts w:ascii="Verdana" w:hAnsi="Verdana" w:cs="Times New Roman"/>
          <w:u w:val="single"/>
        </w:rPr>
        <w:t>&gt;</w:t>
      </w:r>
      <w:r w:rsidR="0012360E">
        <w:rPr>
          <w:rFonts w:ascii="Verdana" w:hAnsi="Verdana" w:cs="Times New Roman"/>
        </w:rPr>
        <w:t>1</w:t>
      </w:r>
      <w:r w:rsidRPr="00106A79">
        <w:rPr>
          <w:rFonts w:ascii="Verdana" w:hAnsi="Verdana" w:cs="Times New Roman"/>
        </w:rPr>
        <w:t xml:space="preserve"> musculoskeletal conditions:</w:t>
      </w:r>
      <w:r w:rsidR="00CB6DC4" w:rsidRPr="00106A79">
        <w:rPr>
          <w:rFonts w:ascii="Verdana" w:hAnsi="Verdana" w:cs="Times New Roman"/>
        </w:rPr>
        <w:t xml:space="preserve">  </w:t>
      </w:r>
      <w:r w:rsidR="0012360E">
        <w:rPr>
          <w:rFonts w:ascii="Verdana" w:hAnsi="Verdana" w:cs="Times New Roman"/>
        </w:rPr>
        <w:t>most</w:t>
      </w:r>
      <w:r w:rsidR="00CB6DC4" w:rsidRPr="00106A79">
        <w:rPr>
          <w:rFonts w:ascii="Verdana" w:hAnsi="Verdana" w:cs="Times New Roman"/>
        </w:rPr>
        <w:t xml:space="preserve"> were still at work, 1 in 7 of whom (a national estimate of 1.32 million citizens) </w:t>
      </w:r>
      <w:r w:rsidR="005761A7">
        <w:rPr>
          <w:rFonts w:ascii="Verdana" w:hAnsi="Verdana" w:cs="Times New Roman"/>
        </w:rPr>
        <w:t>worked</w:t>
      </w:r>
      <w:r w:rsidR="00CB6DC4" w:rsidRPr="00106A79">
        <w:rPr>
          <w:rFonts w:ascii="Verdana" w:hAnsi="Verdana" w:cs="Times New Roman"/>
        </w:rPr>
        <w:t xml:space="preserve"> </w:t>
      </w:r>
      <w:r w:rsidR="005761A7">
        <w:rPr>
          <w:rFonts w:ascii="Verdana" w:hAnsi="Verdana" w:cs="Times New Roman"/>
        </w:rPr>
        <w:t>despite</w:t>
      </w:r>
      <w:r w:rsidR="005761A7" w:rsidRPr="00106A79">
        <w:rPr>
          <w:rFonts w:ascii="Verdana" w:hAnsi="Verdana" w:cs="Times New Roman"/>
        </w:rPr>
        <w:t xml:space="preserve"> </w:t>
      </w:r>
      <w:r w:rsidR="00CB6DC4" w:rsidRPr="00106A79">
        <w:rPr>
          <w:rFonts w:ascii="Verdana" w:hAnsi="Verdana" w:cs="Times New Roman"/>
        </w:rPr>
        <w:t>a disability [</w:t>
      </w:r>
      <w:r w:rsidR="008D7ED9">
        <w:rPr>
          <w:rFonts w:ascii="Verdana" w:hAnsi="Verdana" w:cs="Times New Roman"/>
        </w:rPr>
        <w:t>65</w:t>
      </w:r>
      <w:r w:rsidR="00CB6DC4" w:rsidRPr="00106A79">
        <w:rPr>
          <w:rFonts w:ascii="Verdana" w:hAnsi="Verdana" w:cs="Times New Roman"/>
        </w:rPr>
        <w:t>].</w:t>
      </w:r>
    </w:p>
    <w:p w14:paraId="2F096676" w14:textId="77777777" w:rsidR="0089240C" w:rsidRPr="00106A79" w:rsidRDefault="0089240C" w:rsidP="00106A79">
      <w:pPr>
        <w:spacing w:line="480" w:lineRule="auto"/>
        <w:rPr>
          <w:rFonts w:ascii="Verdana" w:hAnsi="Verdana" w:cs="Times New Roman"/>
        </w:rPr>
      </w:pPr>
    </w:p>
    <w:p w14:paraId="16AC7B23" w14:textId="51346948" w:rsidR="00AE4B3E" w:rsidRPr="00106A79" w:rsidRDefault="00CB6DC4" w:rsidP="00106A79">
      <w:pPr>
        <w:spacing w:line="480" w:lineRule="auto"/>
        <w:rPr>
          <w:rFonts w:ascii="Verdana" w:hAnsi="Verdana" w:cs="Times New Roman"/>
        </w:rPr>
      </w:pPr>
      <w:r w:rsidRPr="00106A79">
        <w:rPr>
          <w:rFonts w:ascii="Verdana" w:hAnsi="Verdana" w:cs="Times New Roman"/>
        </w:rPr>
        <w:t xml:space="preserve">However, participation in work may not mean that work is ‘good’ for </w:t>
      </w:r>
      <w:r w:rsidR="0012360E">
        <w:rPr>
          <w:rFonts w:ascii="Verdana" w:hAnsi="Verdana" w:cs="Times New Roman"/>
        </w:rPr>
        <w:t>those</w:t>
      </w:r>
      <w:r w:rsidRPr="00106A79">
        <w:rPr>
          <w:rFonts w:ascii="Verdana" w:hAnsi="Verdana" w:cs="Times New Roman"/>
        </w:rPr>
        <w:t xml:space="preserve"> with MSDs. </w:t>
      </w:r>
      <w:r w:rsidR="00CF77EC" w:rsidRPr="00106A79">
        <w:rPr>
          <w:rFonts w:ascii="Verdana" w:hAnsi="Verdana" w:cs="Times New Roman"/>
        </w:rPr>
        <w:t xml:space="preserve">One reason to draw </w:t>
      </w:r>
      <w:r w:rsidRPr="00106A79">
        <w:rPr>
          <w:rFonts w:ascii="Verdana" w:hAnsi="Verdana" w:cs="Times New Roman"/>
        </w:rPr>
        <w:t>a more guarded conclusion</w:t>
      </w:r>
      <w:r w:rsidR="00CF77EC" w:rsidRPr="00106A79">
        <w:rPr>
          <w:rFonts w:ascii="Verdana" w:hAnsi="Verdana" w:cs="Times New Roman"/>
        </w:rPr>
        <w:t xml:space="preserve"> is that</w:t>
      </w:r>
      <w:r w:rsidR="00194E2A" w:rsidRPr="00106A79">
        <w:rPr>
          <w:rFonts w:ascii="Verdana" w:hAnsi="Verdana" w:cs="Times New Roman"/>
        </w:rPr>
        <w:t xml:space="preserve"> </w:t>
      </w:r>
      <w:r w:rsidRPr="00106A79">
        <w:rPr>
          <w:rFonts w:ascii="Verdana" w:hAnsi="Verdana" w:cs="Times New Roman"/>
        </w:rPr>
        <w:t xml:space="preserve">many </w:t>
      </w:r>
      <w:r w:rsidR="0007475E" w:rsidRPr="00106A79">
        <w:rPr>
          <w:rFonts w:ascii="Verdana" w:hAnsi="Verdana" w:cs="Times New Roman"/>
        </w:rPr>
        <w:t>occupational activities are</w:t>
      </w:r>
      <w:r w:rsidR="00CF77EC" w:rsidRPr="00106A79">
        <w:rPr>
          <w:rFonts w:ascii="Verdana" w:hAnsi="Verdana" w:cs="Times New Roman"/>
        </w:rPr>
        <w:t xml:space="preserve"> recognised </w:t>
      </w:r>
      <w:r w:rsidR="0007475E" w:rsidRPr="00106A79">
        <w:rPr>
          <w:rFonts w:ascii="Verdana" w:hAnsi="Verdana" w:cs="Times New Roman"/>
        </w:rPr>
        <w:t xml:space="preserve">to </w:t>
      </w:r>
      <w:r w:rsidR="00CF77EC" w:rsidRPr="00106A79">
        <w:rPr>
          <w:rFonts w:ascii="Verdana" w:hAnsi="Verdana" w:cs="Times New Roman"/>
        </w:rPr>
        <w:t>cause development and progression</w:t>
      </w:r>
      <w:r w:rsidR="000757AD" w:rsidRPr="00106A79">
        <w:rPr>
          <w:rFonts w:ascii="Verdana" w:hAnsi="Verdana" w:cs="Times New Roman"/>
        </w:rPr>
        <w:t xml:space="preserve"> of </w:t>
      </w:r>
      <w:r w:rsidRPr="00106A79">
        <w:rPr>
          <w:rFonts w:ascii="Verdana" w:hAnsi="Verdana" w:cs="Times New Roman"/>
        </w:rPr>
        <w:t xml:space="preserve">musculoskeletal </w:t>
      </w:r>
      <w:r w:rsidR="000757AD" w:rsidRPr="00106A79">
        <w:rPr>
          <w:rFonts w:ascii="Verdana" w:hAnsi="Verdana" w:cs="Times New Roman"/>
        </w:rPr>
        <w:t>disease</w:t>
      </w:r>
      <w:r w:rsidR="0012360E">
        <w:rPr>
          <w:rFonts w:ascii="Verdana" w:hAnsi="Verdana" w:cs="Times New Roman"/>
        </w:rPr>
        <w:t xml:space="preserve"> – e.g.</w:t>
      </w:r>
      <w:r w:rsidR="0012360E" w:rsidRPr="00106A79">
        <w:rPr>
          <w:rFonts w:ascii="Verdana" w:hAnsi="Verdana" w:cs="Times New Roman"/>
        </w:rPr>
        <w:t xml:space="preserve"> </w:t>
      </w:r>
      <w:r w:rsidR="005761A7">
        <w:rPr>
          <w:rFonts w:ascii="Verdana" w:hAnsi="Verdana" w:cs="Times New Roman"/>
        </w:rPr>
        <w:t>f</w:t>
      </w:r>
      <w:r w:rsidR="00CF77EC" w:rsidRPr="00106A79">
        <w:rPr>
          <w:rFonts w:ascii="Verdana" w:hAnsi="Verdana" w:cs="Times New Roman"/>
        </w:rPr>
        <w:t xml:space="preserve">requent kneeling, squatting, climbing, and heavy lifting </w:t>
      </w:r>
      <w:r w:rsidR="0012360E">
        <w:rPr>
          <w:rFonts w:ascii="Verdana" w:hAnsi="Verdana" w:cs="Times New Roman"/>
        </w:rPr>
        <w:t>probably</w:t>
      </w:r>
      <w:r w:rsidR="00CF77EC" w:rsidRPr="00106A79">
        <w:rPr>
          <w:rFonts w:ascii="Verdana" w:hAnsi="Verdana" w:cs="Times New Roman"/>
        </w:rPr>
        <w:t xml:space="preserve"> play a role in OA knee</w:t>
      </w:r>
      <w:r w:rsidRPr="00106A79">
        <w:rPr>
          <w:rFonts w:ascii="Verdana" w:hAnsi="Verdana" w:cs="Times New Roman"/>
        </w:rPr>
        <w:t xml:space="preserve"> [</w:t>
      </w:r>
      <w:r w:rsidR="008D7ED9">
        <w:rPr>
          <w:rFonts w:ascii="Verdana" w:hAnsi="Verdana" w:cs="Times New Roman"/>
        </w:rPr>
        <w:t>66</w:t>
      </w:r>
      <w:r w:rsidRPr="00106A79">
        <w:rPr>
          <w:rFonts w:ascii="Verdana" w:hAnsi="Verdana" w:cs="Times New Roman"/>
        </w:rPr>
        <w:t xml:space="preserve">]; </w:t>
      </w:r>
      <w:r w:rsidR="0007475E" w:rsidRPr="00106A79">
        <w:rPr>
          <w:rFonts w:ascii="Verdana" w:hAnsi="Verdana" w:cs="Times New Roman"/>
        </w:rPr>
        <w:t xml:space="preserve">occupational kneeling and squatting </w:t>
      </w:r>
      <w:r w:rsidR="0012360E">
        <w:rPr>
          <w:rFonts w:ascii="Verdana" w:hAnsi="Verdana" w:cs="Times New Roman"/>
        </w:rPr>
        <w:t>carry</w:t>
      </w:r>
      <w:r w:rsidR="0007475E" w:rsidRPr="00106A79">
        <w:rPr>
          <w:rFonts w:ascii="Verdana" w:hAnsi="Verdana" w:cs="Times New Roman"/>
        </w:rPr>
        <w:t xml:space="preserve"> a higher </w:t>
      </w:r>
      <w:r w:rsidRPr="00106A79">
        <w:rPr>
          <w:rFonts w:ascii="Verdana" w:hAnsi="Verdana" w:cs="Times New Roman"/>
        </w:rPr>
        <w:t>risk of meniscal injury [</w:t>
      </w:r>
      <w:r w:rsidR="008D7ED9">
        <w:rPr>
          <w:rFonts w:ascii="Verdana" w:hAnsi="Verdana" w:cs="Times New Roman"/>
        </w:rPr>
        <w:t>16</w:t>
      </w:r>
      <w:r w:rsidRPr="00106A79">
        <w:rPr>
          <w:rFonts w:ascii="Verdana" w:hAnsi="Verdana" w:cs="Times New Roman"/>
        </w:rPr>
        <w:t>];</w:t>
      </w:r>
      <w:r w:rsidR="0007475E" w:rsidRPr="00106A79">
        <w:rPr>
          <w:rFonts w:ascii="Verdana" w:hAnsi="Verdana" w:cs="Times New Roman"/>
        </w:rPr>
        <w:t xml:space="preserve"> </w:t>
      </w:r>
      <w:r w:rsidR="00CF77EC" w:rsidRPr="00106A79">
        <w:rPr>
          <w:rFonts w:ascii="Verdana" w:hAnsi="Verdana" w:cs="Times New Roman"/>
        </w:rPr>
        <w:t xml:space="preserve">heavy lifting is a risk factor for </w:t>
      </w:r>
      <w:r w:rsidR="0012360E" w:rsidRPr="00106A79">
        <w:rPr>
          <w:rFonts w:ascii="Verdana" w:hAnsi="Verdana" w:cs="Times New Roman"/>
        </w:rPr>
        <w:t xml:space="preserve">hip </w:t>
      </w:r>
      <w:r w:rsidR="00CF77EC" w:rsidRPr="00106A79">
        <w:rPr>
          <w:rFonts w:ascii="Verdana" w:hAnsi="Verdana" w:cs="Times New Roman"/>
        </w:rPr>
        <w:t xml:space="preserve">OA </w:t>
      </w:r>
      <w:r w:rsidR="007F5D9B" w:rsidRPr="00106A79">
        <w:rPr>
          <w:rFonts w:ascii="Verdana" w:hAnsi="Verdana" w:cs="Times New Roman"/>
        </w:rPr>
        <w:t xml:space="preserve">(see Chapter </w:t>
      </w:r>
      <w:r w:rsidR="006634BF" w:rsidRPr="00106A79">
        <w:rPr>
          <w:rFonts w:ascii="Verdana" w:hAnsi="Verdana" w:cs="Times New Roman"/>
        </w:rPr>
        <w:t>8</w:t>
      </w:r>
      <w:r w:rsidR="007F5D9B" w:rsidRPr="00106A79">
        <w:rPr>
          <w:rFonts w:ascii="Verdana" w:hAnsi="Verdana" w:cs="Times New Roman"/>
        </w:rPr>
        <w:t>)</w:t>
      </w:r>
      <w:r w:rsidRPr="00106A79">
        <w:rPr>
          <w:rFonts w:ascii="Verdana" w:hAnsi="Verdana" w:cs="Times New Roman"/>
        </w:rPr>
        <w:t>;</w:t>
      </w:r>
      <w:r w:rsidR="00CF77EC" w:rsidRPr="00106A79">
        <w:rPr>
          <w:rFonts w:ascii="Verdana" w:hAnsi="Verdana" w:cs="Times New Roman"/>
        </w:rPr>
        <w:t xml:space="preserve"> </w:t>
      </w:r>
      <w:r w:rsidR="0007475E" w:rsidRPr="00106A79">
        <w:rPr>
          <w:rFonts w:ascii="Verdana" w:hAnsi="Verdana" w:cs="Times New Roman"/>
        </w:rPr>
        <w:t>and</w:t>
      </w:r>
      <w:r w:rsidR="0007475E" w:rsidRPr="00106A79">
        <w:rPr>
          <w:rFonts w:ascii="Verdana" w:hAnsi="Verdana"/>
        </w:rPr>
        <w:t xml:space="preserve"> </w:t>
      </w:r>
      <w:r w:rsidR="0007475E" w:rsidRPr="00106A79">
        <w:rPr>
          <w:rFonts w:ascii="Verdana" w:hAnsi="Verdana" w:cs="Times New Roman"/>
        </w:rPr>
        <w:t xml:space="preserve">lifting and frequent bending or twisting have consistently been associated with </w:t>
      </w:r>
      <w:r w:rsidR="0012360E">
        <w:rPr>
          <w:rFonts w:ascii="Verdana" w:hAnsi="Verdana" w:cs="Times New Roman"/>
        </w:rPr>
        <w:t>LBP</w:t>
      </w:r>
      <w:r w:rsidR="0007475E" w:rsidRPr="00106A79">
        <w:rPr>
          <w:rFonts w:ascii="Verdana" w:hAnsi="Verdana" w:cs="Times New Roman"/>
        </w:rPr>
        <w:t xml:space="preserve"> [</w:t>
      </w:r>
      <w:r w:rsidR="008D7ED9">
        <w:rPr>
          <w:rFonts w:ascii="Verdana" w:hAnsi="Verdana" w:cs="Times New Roman"/>
        </w:rPr>
        <w:t>10</w:t>
      </w:r>
      <w:r w:rsidR="0007475E" w:rsidRPr="00106A79">
        <w:rPr>
          <w:rFonts w:ascii="Verdana" w:hAnsi="Verdana" w:cs="Times New Roman"/>
        </w:rPr>
        <w:t xml:space="preserve">]. </w:t>
      </w:r>
      <w:r w:rsidR="00745A1E">
        <w:rPr>
          <w:rFonts w:ascii="Verdana" w:hAnsi="Verdana" w:cs="Times New Roman"/>
        </w:rPr>
        <w:t>A</w:t>
      </w:r>
      <w:r w:rsidR="000757AD" w:rsidRPr="00106A79">
        <w:rPr>
          <w:rFonts w:ascii="Verdana" w:hAnsi="Verdana" w:cs="Times New Roman"/>
        </w:rPr>
        <w:t xml:space="preserve"> further</w:t>
      </w:r>
      <w:r w:rsidR="00AE4B3E" w:rsidRPr="00106A79">
        <w:rPr>
          <w:rFonts w:ascii="Verdana" w:hAnsi="Verdana" w:cs="Times New Roman"/>
        </w:rPr>
        <w:t xml:space="preserve"> concern</w:t>
      </w:r>
      <w:r w:rsidR="00745A1E">
        <w:rPr>
          <w:rFonts w:ascii="Verdana" w:hAnsi="Verdana" w:cs="Times New Roman"/>
        </w:rPr>
        <w:t xml:space="preserve"> for </w:t>
      </w:r>
      <w:r w:rsidR="00745A1E" w:rsidRPr="00106A79">
        <w:rPr>
          <w:rFonts w:ascii="Verdana" w:hAnsi="Verdana" w:cs="Times New Roman"/>
        </w:rPr>
        <w:t>patients who receive a large joint arthroplasty</w:t>
      </w:r>
      <w:r w:rsidR="00745A1E">
        <w:rPr>
          <w:rFonts w:ascii="Verdana" w:hAnsi="Verdana" w:cs="Times New Roman"/>
        </w:rPr>
        <w:t xml:space="preserve"> and remain in physically demanding occupations</w:t>
      </w:r>
      <w:r w:rsidR="000757AD" w:rsidRPr="00106A79">
        <w:rPr>
          <w:rFonts w:ascii="Verdana" w:hAnsi="Verdana" w:cs="Times New Roman"/>
        </w:rPr>
        <w:t xml:space="preserve"> is</w:t>
      </w:r>
      <w:r w:rsidR="00AE4B3E" w:rsidRPr="00106A79">
        <w:rPr>
          <w:rFonts w:ascii="Verdana" w:hAnsi="Verdana" w:cs="Times New Roman"/>
        </w:rPr>
        <w:t xml:space="preserve"> that joint loading </w:t>
      </w:r>
      <w:r w:rsidR="000757AD" w:rsidRPr="00106A79">
        <w:rPr>
          <w:rFonts w:ascii="Verdana" w:hAnsi="Verdana" w:cs="Times New Roman"/>
        </w:rPr>
        <w:t>could</w:t>
      </w:r>
      <w:r w:rsidR="00AE4B3E" w:rsidRPr="00106A79">
        <w:rPr>
          <w:rFonts w:ascii="Verdana" w:hAnsi="Verdana" w:cs="Times New Roman"/>
        </w:rPr>
        <w:t xml:space="preserve"> contribute to a greater risk of </w:t>
      </w:r>
      <w:r w:rsidR="005761A7">
        <w:rPr>
          <w:rFonts w:ascii="Verdana" w:hAnsi="Verdana" w:cs="Times New Roman"/>
        </w:rPr>
        <w:t xml:space="preserve">joint </w:t>
      </w:r>
      <w:r w:rsidR="00AE4B3E" w:rsidRPr="00106A79">
        <w:rPr>
          <w:rFonts w:ascii="Verdana" w:hAnsi="Verdana" w:cs="Times New Roman"/>
        </w:rPr>
        <w:t xml:space="preserve">failure, through wear and tear </w:t>
      </w:r>
      <w:r w:rsidR="005761A7">
        <w:rPr>
          <w:rFonts w:ascii="Verdana" w:hAnsi="Verdana" w:cs="Times New Roman"/>
        </w:rPr>
        <w:t>and</w:t>
      </w:r>
      <w:r w:rsidR="005761A7" w:rsidRPr="00106A79">
        <w:rPr>
          <w:rFonts w:ascii="Verdana" w:hAnsi="Verdana" w:cs="Times New Roman"/>
        </w:rPr>
        <w:t xml:space="preserve"> </w:t>
      </w:r>
      <w:r w:rsidR="00AE4B3E" w:rsidRPr="00106A79">
        <w:rPr>
          <w:rFonts w:ascii="Verdana" w:hAnsi="Verdana" w:cs="Times New Roman"/>
        </w:rPr>
        <w:t>aseptic loosening.</w:t>
      </w:r>
      <w:r w:rsidR="000757AD" w:rsidRPr="00106A79">
        <w:rPr>
          <w:rFonts w:ascii="Verdana" w:hAnsi="Verdana" w:cs="Times New Roman"/>
        </w:rPr>
        <w:t xml:space="preserve"> A third </w:t>
      </w:r>
      <w:r w:rsidRPr="00106A79">
        <w:rPr>
          <w:rFonts w:ascii="Verdana" w:hAnsi="Verdana" w:cs="Times New Roman"/>
        </w:rPr>
        <w:t>consideration</w:t>
      </w:r>
      <w:r w:rsidR="000757AD" w:rsidRPr="00106A79">
        <w:rPr>
          <w:rFonts w:ascii="Verdana" w:hAnsi="Verdana" w:cs="Times New Roman"/>
        </w:rPr>
        <w:t xml:space="preserve"> is that physical work may be more</w:t>
      </w:r>
      <w:r w:rsidRPr="00106A79">
        <w:rPr>
          <w:rFonts w:ascii="Verdana" w:hAnsi="Verdana" w:cs="Times New Roman"/>
        </w:rPr>
        <w:t xml:space="preserve"> painful</w:t>
      </w:r>
      <w:r w:rsidR="000757AD" w:rsidRPr="00106A79">
        <w:rPr>
          <w:rFonts w:ascii="Verdana" w:hAnsi="Verdana" w:cs="Times New Roman"/>
        </w:rPr>
        <w:t xml:space="preserve"> to perform </w:t>
      </w:r>
      <w:r w:rsidRPr="00106A79">
        <w:rPr>
          <w:rFonts w:ascii="Verdana" w:hAnsi="Verdana" w:cs="Times New Roman"/>
        </w:rPr>
        <w:t>and</w:t>
      </w:r>
      <w:r w:rsidR="000757AD" w:rsidRPr="00106A79">
        <w:rPr>
          <w:rFonts w:ascii="Verdana" w:hAnsi="Verdana" w:cs="Times New Roman"/>
        </w:rPr>
        <w:t xml:space="preserve"> may aggravate </w:t>
      </w:r>
      <w:r w:rsidR="005761A7">
        <w:rPr>
          <w:rFonts w:ascii="Verdana" w:hAnsi="Verdana" w:cs="Times New Roman"/>
        </w:rPr>
        <w:t xml:space="preserve">affected </w:t>
      </w:r>
      <w:r w:rsidR="005761A7" w:rsidRPr="00106A79">
        <w:rPr>
          <w:rFonts w:ascii="Verdana" w:hAnsi="Verdana" w:cs="Times New Roman"/>
        </w:rPr>
        <w:t>workers</w:t>
      </w:r>
      <w:r w:rsidR="005761A7">
        <w:rPr>
          <w:rFonts w:ascii="Verdana" w:hAnsi="Verdana" w:cs="Times New Roman"/>
        </w:rPr>
        <w:t>’</w:t>
      </w:r>
      <w:r w:rsidR="005761A7" w:rsidRPr="00106A79">
        <w:rPr>
          <w:rFonts w:ascii="Verdana" w:hAnsi="Verdana" w:cs="Times New Roman"/>
        </w:rPr>
        <w:t xml:space="preserve"> </w:t>
      </w:r>
      <w:r w:rsidR="000757AD" w:rsidRPr="00106A79">
        <w:rPr>
          <w:rFonts w:ascii="Verdana" w:hAnsi="Verdana" w:cs="Times New Roman"/>
        </w:rPr>
        <w:t xml:space="preserve">symptoms. </w:t>
      </w:r>
    </w:p>
    <w:p w14:paraId="71FC9F04" w14:textId="77777777" w:rsidR="000757AD" w:rsidRPr="00106A79" w:rsidRDefault="000757AD" w:rsidP="00106A79">
      <w:pPr>
        <w:spacing w:line="480" w:lineRule="auto"/>
        <w:rPr>
          <w:rFonts w:ascii="Verdana" w:hAnsi="Verdana" w:cs="Times New Roman"/>
        </w:rPr>
      </w:pPr>
    </w:p>
    <w:p w14:paraId="036D4A3A" w14:textId="621F5F9A" w:rsidR="004B561B" w:rsidRPr="00106A79" w:rsidRDefault="000757AD" w:rsidP="00106A79">
      <w:pPr>
        <w:spacing w:line="480" w:lineRule="auto"/>
        <w:rPr>
          <w:rFonts w:ascii="Verdana" w:hAnsi="Verdana" w:cs="Times New Roman"/>
        </w:rPr>
      </w:pPr>
      <w:r w:rsidRPr="00106A79">
        <w:rPr>
          <w:rFonts w:ascii="Verdana" w:hAnsi="Verdana" w:cs="Times New Roman"/>
        </w:rPr>
        <w:t xml:space="preserve">Evidence of harm </w:t>
      </w:r>
      <w:r w:rsidR="008D6315" w:rsidRPr="00106A79">
        <w:rPr>
          <w:rFonts w:ascii="Verdana" w:hAnsi="Verdana" w:cs="Times New Roman"/>
        </w:rPr>
        <w:t>(</w:t>
      </w:r>
      <w:r w:rsidR="00AE7A85" w:rsidRPr="00106A79">
        <w:rPr>
          <w:rFonts w:ascii="Verdana" w:hAnsi="Verdana" w:cs="Times New Roman"/>
        </w:rPr>
        <w:t>or</w:t>
      </w:r>
      <w:r w:rsidRPr="00106A79">
        <w:rPr>
          <w:rFonts w:ascii="Verdana" w:hAnsi="Verdana" w:cs="Times New Roman"/>
        </w:rPr>
        <w:t xml:space="preserve"> benefit</w:t>
      </w:r>
      <w:r w:rsidR="008D6315" w:rsidRPr="00106A79">
        <w:rPr>
          <w:rFonts w:ascii="Verdana" w:hAnsi="Verdana" w:cs="Times New Roman"/>
        </w:rPr>
        <w:t>)</w:t>
      </w:r>
      <w:r w:rsidRPr="00106A79">
        <w:rPr>
          <w:rFonts w:ascii="Verdana" w:hAnsi="Verdana" w:cs="Times New Roman"/>
        </w:rPr>
        <w:t xml:space="preserve"> in these circumstances is</w:t>
      </w:r>
      <w:r w:rsidR="00AD0327" w:rsidRPr="00106A79">
        <w:rPr>
          <w:rFonts w:ascii="Verdana" w:hAnsi="Verdana" w:cs="Times New Roman"/>
        </w:rPr>
        <w:t xml:space="preserve"> wanting</w:t>
      </w:r>
      <w:r w:rsidRPr="00106A79">
        <w:rPr>
          <w:rFonts w:ascii="Verdana" w:hAnsi="Verdana" w:cs="Times New Roman"/>
        </w:rPr>
        <w:t xml:space="preserve">. </w:t>
      </w:r>
      <w:r w:rsidR="0012360E">
        <w:rPr>
          <w:rFonts w:ascii="Verdana" w:hAnsi="Verdana" w:cs="Times New Roman"/>
        </w:rPr>
        <w:t>Thus</w:t>
      </w:r>
      <w:r w:rsidR="00AD0327" w:rsidRPr="00106A79">
        <w:rPr>
          <w:rFonts w:ascii="Verdana" w:hAnsi="Verdana" w:cs="Times New Roman"/>
        </w:rPr>
        <w:t>, a systematic</w:t>
      </w:r>
      <w:r w:rsidRPr="00106A79">
        <w:rPr>
          <w:rFonts w:ascii="Verdana" w:hAnsi="Verdana" w:cs="Times New Roman"/>
        </w:rPr>
        <w:t xml:space="preserve"> review [</w:t>
      </w:r>
      <w:r w:rsidR="008D7ED9">
        <w:rPr>
          <w:rFonts w:ascii="Verdana" w:hAnsi="Verdana" w:cs="Times New Roman"/>
        </w:rPr>
        <w:t>67</w:t>
      </w:r>
      <w:r w:rsidRPr="00106A79">
        <w:rPr>
          <w:rFonts w:ascii="Verdana" w:hAnsi="Verdana" w:cs="Times New Roman"/>
        </w:rPr>
        <w:t xml:space="preserve">] found plentiful </w:t>
      </w:r>
      <w:r w:rsidR="00AD0327" w:rsidRPr="00106A79">
        <w:rPr>
          <w:rFonts w:ascii="Verdana" w:hAnsi="Verdana" w:cs="Times New Roman"/>
        </w:rPr>
        <w:t>data</w:t>
      </w:r>
      <w:r w:rsidRPr="00106A79">
        <w:rPr>
          <w:rFonts w:ascii="Verdana" w:hAnsi="Verdana" w:cs="Times New Roman"/>
        </w:rPr>
        <w:t xml:space="preserve"> on </w:t>
      </w:r>
      <w:r w:rsidR="00AD0327" w:rsidRPr="00106A79">
        <w:rPr>
          <w:rFonts w:ascii="Verdana" w:hAnsi="Verdana" w:cs="Times New Roman"/>
        </w:rPr>
        <w:t>return</w:t>
      </w:r>
      <w:r w:rsidR="005761A7">
        <w:rPr>
          <w:rFonts w:ascii="Verdana" w:hAnsi="Verdana" w:cs="Times New Roman"/>
        </w:rPr>
        <w:t>-</w:t>
      </w:r>
      <w:r w:rsidR="00AD0327" w:rsidRPr="00106A79">
        <w:rPr>
          <w:rFonts w:ascii="Verdana" w:hAnsi="Verdana" w:cs="Times New Roman"/>
        </w:rPr>
        <w:t>to</w:t>
      </w:r>
      <w:r w:rsidR="005761A7">
        <w:rPr>
          <w:rFonts w:ascii="Verdana" w:hAnsi="Verdana" w:cs="Times New Roman"/>
        </w:rPr>
        <w:t>-</w:t>
      </w:r>
      <w:r w:rsidR="00AD0327" w:rsidRPr="00106A79">
        <w:rPr>
          <w:rFonts w:ascii="Verdana" w:hAnsi="Verdana" w:cs="Times New Roman"/>
        </w:rPr>
        <w:t>work times following</w:t>
      </w:r>
      <w:r w:rsidRPr="00106A79">
        <w:rPr>
          <w:rFonts w:ascii="Verdana" w:hAnsi="Verdana" w:cs="Times New Roman"/>
        </w:rPr>
        <w:t xml:space="preserve"> </w:t>
      </w:r>
      <w:r w:rsidR="008D6315" w:rsidRPr="00106A79">
        <w:rPr>
          <w:rFonts w:ascii="Verdana" w:hAnsi="Verdana" w:cs="Times New Roman"/>
        </w:rPr>
        <w:t>knee surgery</w:t>
      </w:r>
      <w:r w:rsidRPr="00106A79">
        <w:rPr>
          <w:rFonts w:ascii="Verdana" w:hAnsi="Verdana" w:cs="Times New Roman"/>
        </w:rPr>
        <w:t xml:space="preserve">, but </w:t>
      </w:r>
      <w:r w:rsidR="00AD0327" w:rsidRPr="00106A79">
        <w:rPr>
          <w:rFonts w:ascii="Verdana" w:hAnsi="Verdana" w:cs="Times New Roman"/>
        </w:rPr>
        <w:t xml:space="preserve">almost </w:t>
      </w:r>
      <w:r w:rsidRPr="00106A79">
        <w:rPr>
          <w:rFonts w:ascii="Verdana" w:hAnsi="Verdana" w:cs="Times New Roman"/>
        </w:rPr>
        <w:t xml:space="preserve">nothing on </w:t>
      </w:r>
      <w:r w:rsidR="00AD0327" w:rsidRPr="00106A79">
        <w:rPr>
          <w:rFonts w:ascii="Verdana" w:hAnsi="Verdana" w:cs="Times New Roman"/>
        </w:rPr>
        <w:t xml:space="preserve">how the nature of work affects long-term clinical outcomes such as </w:t>
      </w:r>
      <w:r w:rsidR="008D6315" w:rsidRPr="00106A79">
        <w:rPr>
          <w:rFonts w:ascii="Verdana" w:hAnsi="Verdana" w:cs="Times New Roman"/>
        </w:rPr>
        <w:t xml:space="preserve">knee </w:t>
      </w:r>
      <w:r w:rsidR="00AD0327" w:rsidRPr="00106A79">
        <w:rPr>
          <w:rFonts w:ascii="Verdana" w:hAnsi="Verdana" w:cs="Times New Roman"/>
        </w:rPr>
        <w:t xml:space="preserve">pain, quality of life, </w:t>
      </w:r>
      <w:r w:rsidR="008D6315" w:rsidRPr="00106A79">
        <w:rPr>
          <w:rFonts w:ascii="Verdana" w:hAnsi="Verdana" w:cs="Times New Roman"/>
        </w:rPr>
        <w:t xml:space="preserve">knee </w:t>
      </w:r>
      <w:r w:rsidR="00AD0327" w:rsidRPr="00106A79">
        <w:rPr>
          <w:rFonts w:ascii="Verdana" w:hAnsi="Verdana" w:cs="Times New Roman"/>
        </w:rPr>
        <w:t xml:space="preserve">function, and </w:t>
      </w:r>
      <w:r w:rsidR="0012360E">
        <w:rPr>
          <w:rFonts w:ascii="Verdana" w:hAnsi="Verdana" w:cs="Times New Roman"/>
        </w:rPr>
        <w:t>need</w:t>
      </w:r>
      <w:r w:rsidR="00AD0327" w:rsidRPr="00106A79">
        <w:rPr>
          <w:rFonts w:ascii="Verdana" w:hAnsi="Verdana" w:cs="Times New Roman"/>
        </w:rPr>
        <w:t xml:space="preserve"> for joint revision</w:t>
      </w:r>
      <w:r w:rsidRPr="00106A79">
        <w:rPr>
          <w:rFonts w:ascii="Verdana" w:hAnsi="Verdana" w:cs="Times New Roman"/>
        </w:rPr>
        <w:t>.</w:t>
      </w:r>
      <w:r w:rsidR="00AD0327" w:rsidRPr="00106A79">
        <w:rPr>
          <w:rFonts w:ascii="Verdana" w:hAnsi="Verdana"/>
        </w:rPr>
        <w:t xml:space="preserve"> </w:t>
      </w:r>
      <w:r w:rsidR="00AD0327" w:rsidRPr="00106A79">
        <w:rPr>
          <w:rFonts w:ascii="Verdana" w:hAnsi="Verdana" w:cs="Times New Roman"/>
        </w:rPr>
        <w:t xml:space="preserve">Instead, a few reports </w:t>
      </w:r>
      <w:r w:rsidR="0012360E">
        <w:rPr>
          <w:rFonts w:ascii="Verdana" w:hAnsi="Verdana" w:cs="Times New Roman"/>
        </w:rPr>
        <w:t>described</w:t>
      </w:r>
      <w:r w:rsidR="00AD0327" w:rsidRPr="00106A79">
        <w:rPr>
          <w:rFonts w:ascii="Verdana" w:hAnsi="Verdana" w:cs="Times New Roman"/>
        </w:rPr>
        <w:t xml:space="preserve"> the general advice that surgeons </w:t>
      </w:r>
      <w:r w:rsidR="0012360E">
        <w:rPr>
          <w:rFonts w:ascii="Verdana" w:hAnsi="Verdana" w:cs="Times New Roman"/>
        </w:rPr>
        <w:t>offer</w:t>
      </w:r>
      <w:r w:rsidR="00AD0327" w:rsidRPr="00106A79">
        <w:rPr>
          <w:rFonts w:ascii="Verdana" w:hAnsi="Verdana" w:cs="Times New Roman"/>
        </w:rPr>
        <w:t xml:space="preserve"> patients: most recommended avoiding intense or high-impact activities </w:t>
      </w:r>
      <w:r w:rsidR="008D6315" w:rsidRPr="00106A79">
        <w:rPr>
          <w:rFonts w:ascii="Verdana" w:hAnsi="Verdana" w:cs="Times New Roman"/>
        </w:rPr>
        <w:t>post-surgery</w:t>
      </w:r>
      <w:r w:rsidR="00AD0327" w:rsidRPr="00106A79">
        <w:rPr>
          <w:rFonts w:ascii="Verdana" w:hAnsi="Verdana" w:cs="Times New Roman"/>
        </w:rPr>
        <w:t xml:space="preserve">. </w:t>
      </w:r>
      <w:r w:rsidR="008D6315" w:rsidRPr="00106A79">
        <w:rPr>
          <w:rFonts w:ascii="Verdana" w:hAnsi="Verdana" w:cs="Times New Roman"/>
        </w:rPr>
        <w:t>I</w:t>
      </w:r>
      <w:r w:rsidR="00AD0327" w:rsidRPr="00106A79">
        <w:rPr>
          <w:rFonts w:ascii="Verdana" w:hAnsi="Verdana" w:cs="Times New Roman"/>
        </w:rPr>
        <w:t xml:space="preserve">n one small case series a greater risk of polyethylene failure was reported in individuals who were more active, based on their occupation or </w:t>
      </w:r>
      <w:r w:rsidR="00AD0327" w:rsidRPr="00106A79">
        <w:rPr>
          <w:rFonts w:ascii="Verdana" w:hAnsi="Verdana" w:cs="Times New Roman"/>
        </w:rPr>
        <w:lastRenderedPageBreak/>
        <w:t>retirement status [</w:t>
      </w:r>
      <w:r w:rsidR="008D7ED9">
        <w:rPr>
          <w:rFonts w:ascii="Verdana" w:hAnsi="Verdana" w:cs="Times New Roman"/>
        </w:rPr>
        <w:t>68</w:t>
      </w:r>
      <w:r w:rsidR="00AD0327" w:rsidRPr="00106A79">
        <w:rPr>
          <w:rFonts w:ascii="Verdana" w:hAnsi="Verdana" w:cs="Times New Roman"/>
        </w:rPr>
        <w:t xml:space="preserve">], but in another small study of knee revisions, no relation was found to physical activity at work and leisure </w:t>
      </w:r>
      <w:r w:rsidR="008D6315" w:rsidRPr="00106A79">
        <w:rPr>
          <w:rFonts w:ascii="Verdana" w:hAnsi="Verdana" w:cs="Times New Roman"/>
        </w:rPr>
        <w:t xml:space="preserve">following </w:t>
      </w:r>
      <w:r w:rsidR="00A103AE" w:rsidRPr="00106A79">
        <w:rPr>
          <w:rFonts w:ascii="Verdana" w:hAnsi="Verdana" w:cs="Times New Roman"/>
        </w:rPr>
        <w:t>surgery</w:t>
      </w:r>
      <w:r w:rsidR="008D6315" w:rsidRPr="00106A79">
        <w:rPr>
          <w:rFonts w:ascii="Verdana" w:hAnsi="Verdana" w:cs="Times New Roman"/>
        </w:rPr>
        <w:t xml:space="preserve"> </w:t>
      </w:r>
      <w:r w:rsidR="00AC3A92" w:rsidRPr="00106A79">
        <w:rPr>
          <w:rFonts w:ascii="Verdana" w:hAnsi="Verdana" w:cs="Times New Roman"/>
        </w:rPr>
        <w:t>[</w:t>
      </w:r>
      <w:r w:rsidR="008D7ED9">
        <w:rPr>
          <w:rFonts w:ascii="Verdana" w:hAnsi="Verdana" w:cs="Times New Roman"/>
        </w:rPr>
        <w:t>69</w:t>
      </w:r>
      <w:r w:rsidR="00AD0327" w:rsidRPr="00106A79">
        <w:rPr>
          <w:rFonts w:ascii="Verdana" w:hAnsi="Verdana" w:cs="Times New Roman"/>
        </w:rPr>
        <w:t>].</w:t>
      </w:r>
      <w:r w:rsidR="00A103AE" w:rsidRPr="00106A79">
        <w:rPr>
          <w:rFonts w:ascii="Verdana" w:hAnsi="Verdana"/>
        </w:rPr>
        <w:t xml:space="preserve"> </w:t>
      </w:r>
      <w:r w:rsidR="00A103AE" w:rsidRPr="00106A79">
        <w:rPr>
          <w:rFonts w:ascii="Verdana" w:hAnsi="Verdana" w:cs="Times New Roman"/>
        </w:rPr>
        <w:t xml:space="preserve">The optimum long-term advice </w:t>
      </w:r>
      <w:r w:rsidR="008D6315" w:rsidRPr="00106A79">
        <w:rPr>
          <w:rFonts w:ascii="Verdana" w:hAnsi="Verdana" w:cs="Times New Roman"/>
        </w:rPr>
        <w:t>for</w:t>
      </w:r>
      <w:r w:rsidR="00A103AE" w:rsidRPr="00106A79">
        <w:rPr>
          <w:rFonts w:ascii="Verdana" w:hAnsi="Verdana" w:cs="Times New Roman"/>
        </w:rPr>
        <w:t xml:space="preserve"> patients with knee surgery wishing to resume their </w:t>
      </w:r>
      <w:r w:rsidR="005761A7">
        <w:rPr>
          <w:rFonts w:ascii="Verdana" w:hAnsi="Verdana" w:cs="Times New Roman"/>
        </w:rPr>
        <w:t>previous</w:t>
      </w:r>
      <w:r w:rsidR="005761A7" w:rsidRPr="00106A79">
        <w:rPr>
          <w:rFonts w:ascii="Verdana" w:hAnsi="Verdana" w:cs="Times New Roman"/>
        </w:rPr>
        <w:t xml:space="preserve"> </w:t>
      </w:r>
      <w:r w:rsidR="00A103AE" w:rsidRPr="00106A79">
        <w:rPr>
          <w:rFonts w:ascii="Verdana" w:hAnsi="Verdana" w:cs="Times New Roman"/>
        </w:rPr>
        <w:t>work is therefore moot</w:t>
      </w:r>
      <w:r w:rsidR="005761A7">
        <w:rPr>
          <w:rFonts w:ascii="Verdana" w:hAnsi="Verdana" w:cs="Times New Roman"/>
        </w:rPr>
        <w:t>. The</w:t>
      </w:r>
      <w:r w:rsidR="00A103AE" w:rsidRPr="00106A79">
        <w:rPr>
          <w:rFonts w:ascii="Verdana" w:hAnsi="Verdana" w:cs="Times New Roman"/>
        </w:rPr>
        <w:t xml:space="preserve"> knowledge gap</w:t>
      </w:r>
      <w:r w:rsidR="008D6315" w:rsidRPr="00106A79">
        <w:rPr>
          <w:rFonts w:ascii="Verdana" w:hAnsi="Verdana" w:cs="Times New Roman"/>
        </w:rPr>
        <w:t xml:space="preserve"> is timely</w:t>
      </w:r>
      <w:r w:rsidR="00A103AE" w:rsidRPr="00106A79">
        <w:rPr>
          <w:rFonts w:ascii="Verdana" w:hAnsi="Verdana" w:cs="Times New Roman"/>
        </w:rPr>
        <w:t xml:space="preserve"> to fill</w:t>
      </w:r>
      <w:r w:rsidR="008D6315" w:rsidRPr="00106A79">
        <w:rPr>
          <w:rFonts w:ascii="Verdana" w:hAnsi="Verdana" w:cs="Times New Roman"/>
        </w:rPr>
        <w:t>,</w:t>
      </w:r>
      <w:r w:rsidR="00A103AE" w:rsidRPr="00106A79">
        <w:rPr>
          <w:rFonts w:ascii="Verdana" w:hAnsi="Verdana"/>
        </w:rPr>
        <w:t xml:space="preserve"> </w:t>
      </w:r>
      <w:r w:rsidR="00A103AE" w:rsidRPr="00106A79">
        <w:rPr>
          <w:rFonts w:ascii="Verdana" w:hAnsi="Verdana" w:cs="Times New Roman"/>
        </w:rPr>
        <w:t xml:space="preserve">given the growing number of patients with </w:t>
      </w:r>
      <w:r w:rsidR="00AE7A85" w:rsidRPr="00106A79">
        <w:rPr>
          <w:rFonts w:ascii="Verdana" w:hAnsi="Verdana" w:cs="Times New Roman"/>
        </w:rPr>
        <w:t>large joint</w:t>
      </w:r>
      <w:r w:rsidR="00A103AE" w:rsidRPr="00106A79">
        <w:rPr>
          <w:rFonts w:ascii="Verdana" w:hAnsi="Verdana" w:cs="Times New Roman"/>
        </w:rPr>
        <w:t xml:space="preserve"> replacement</w:t>
      </w:r>
      <w:r w:rsidR="00AE7A85" w:rsidRPr="00106A79">
        <w:rPr>
          <w:rFonts w:ascii="Verdana" w:hAnsi="Verdana" w:cs="Times New Roman"/>
        </w:rPr>
        <w:t xml:space="preserve">s </w:t>
      </w:r>
      <w:r w:rsidR="00A103AE" w:rsidRPr="00106A79">
        <w:rPr>
          <w:rFonts w:ascii="Verdana" w:hAnsi="Verdana" w:cs="Times New Roman"/>
        </w:rPr>
        <w:t>who are still working</w:t>
      </w:r>
      <w:r w:rsidR="00AE7A85" w:rsidRPr="00106A79">
        <w:rPr>
          <w:rFonts w:ascii="Verdana" w:hAnsi="Verdana" w:cs="Times New Roman"/>
        </w:rPr>
        <w:t>,</w:t>
      </w:r>
      <w:r w:rsidR="00A103AE" w:rsidRPr="00106A79">
        <w:rPr>
          <w:rFonts w:ascii="Verdana" w:hAnsi="Verdana" w:cs="Times New Roman"/>
        </w:rPr>
        <w:t xml:space="preserve"> or seeking work.</w:t>
      </w:r>
      <w:r w:rsidR="003B1FBF" w:rsidRPr="00106A79">
        <w:rPr>
          <w:rFonts w:ascii="Verdana" w:hAnsi="Verdana" w:cs="Times New Roman"/>
        </w:rPr>
        <w:t xml:space="preserve"> </w:t>
      </w:r>
    </w:p>
    <w:p w14:paraId="12C54A98" w14:textId="77777777" w:rsidR="004B561B" w:rsidRPr="00106A79" w:rsidRDefault="004B561B" w:rsidP="00106A79">
      <w:pPr>
        <w:spacing w:line="480" w:lineRule="auto"/>
        <w:rPr>
          <w:rFonts w:ascii="Verdana" w:hAnsi="Verdana" w:cs="Times New Roman"/>
        </w:rPr>
      </w:pPr>
    </w:p>
    <w:p w14:paraId="35CB738C" w14:textId="77777777" w:rsidR="000757AD" w:rsidRPr="00106A79" w:rsidRDefault="003B1FBF" w:rsidP="00106A79">
      <w:pPr>
        <w:spacing w:line="480" w:lineRule="auto"/>
        <w:rPr>
          <w:rFonts w:ascii="Verdana" w:hAnsi="Verdana" w:cs="Times New Roman"/>
        </w:rPr>
      </w:pPr>
      <w:r w:rsidRPr="00106A79">
        <w:rPr>
          <w:rFonts w:ascii="Verdana" w:hAnsi="Verdana" w:cs="Times New Roman"/>
        </w:rPr>
        <w:t>More generally, further research is needed on the health risks and benefits of continued employment in older patients with MSDs and their determinants, to ensure personal advice is evidence-based and that measures to support and protect them are optim</w:t>
      </w:r>
      <w:r w:rsidR="004B561B" w:rsidRPr="00106A79">
        <w:rPr>
          <w:rFonts w:ascii="Verdana" w:hAnsi="Verdana" w:cs="Times New Roman"/>
        </w:rPr>
        <w:t>ised</w:t>
      </w:r>
      <w:r w:rsidRPr="00106A79">
        <w:rPr>
          <w:rFonts w:ascii="Verdana" w:hAnsi="Verdana" w:cs="Times New Roman"/>
        </w:rPr>
        <w:t xml:space="preserve">. </w:t>
      </w:r>
    </w:p>
    <w:p w14:paraId="591CA2E4" w14:textId="77777777" w:rsidR="00183466" w:rsidRPr="00106A79" w:rsidRDefault="00183466" w:rsidP="00106A79">
      <w:pPr>
        <w:spacing w:line="480" w:lineRule="auto"/>
        <w:rPr>
          <w:rFonts w:ascii="Verdana" w:hAnsi="Verdana" w:cs="Times New Roman"/>
          <w:b/>
        </w:rPr>
      </w:pPr>
    </w:p>
    <w:p w14:paraId="3AA1E749" w14:textId="77777777" w:rsidR="00AE4B3E" w:rsidRPr="00106A79" w:rsidRDefault="003B1FBF" w:rsidP="00106A79">
      <w:pPr>
        <w:spacing w:line="480" w:lineRule="auto"/>
        <w:rPr>
          <w:rFonts w:ascii="Verdana" w:hAnsi="Verdana" w:cs="Times New Roman"/>
          <w:b/>
        </w:rPr>
      </w:pPr>
      <w:r w:rsidRPr="00106A79">
        <w:rPr>
          <w:rFonts w:ascii="Verdana" w:hAnsi="Verdana" w:cs="Times New Roman"/>
          <w:b/>
        </w:rPr>
        <w:t xml:space="preserve">Promoting </w:t>
      </w:r>
      <w:r w:rsidR="004B561B" w:rsidRPr="00106A79">
        <w:rPr>
          <w:rFonts w:ascii="Verdana" w:hAnsi="Verdana" w:cs="Times New Roman"/>
          <w:b/>
        </w:rPr>
        <w:t>work participation in older people with musculoskeletal disorders</w:t>
      </w:r>
    </w:p>
    <w:p w14:paraId="7032A8EB" w14:textId="5DCCD5E9" w:rsidR="00AE7A85" w:rsidRPr="00106A79" w:rsidRDefault="0031339F" w:rsidP="00106A79">
      <w:pPr>
        <w:spacing w:line="480" w:lineRule="auto"/>
        <w:rPr>
          <w:rFonts w:ascii="Verdana" w:hAnsi="Verdana" w:cs="Times New Roman"/>
        </w:rPr>
      </w:pPr>
      <w:r w:rsidRPr="00106A79">
        <w:rPr>
          <w:rFonts w:ascii="Verdana" w:hAnsi="Verdana" w:cs="Times New Roman"/>
        </w:rPr>
        <w:t>In reporting higher rates of work disability and job loss in manual workers with MSDs, s</w:t>
      </w:r>
      <w:r w:rsidR="00463E58" w:rsidRPr="00106A79">
        <w:rPr>
          <w:rFonts w:ascii="Verdana" w:hAnsi="Verdana" w:cs="Times New Roman"/>
        </w:rPr>
        <w:t>ome</w:t>
      </w:r>
      <w:r w:rsidRPr="00106A79">
        <w:rPr>
          <w:rFonts w:ascii="Verdana" w:hAnsi="Verdana" w:cs="Times New Roman"/>
        </w:rPr>
        <w:t xml:space="preserve"> authors</w:t>
      </w:r>
      <w:r w:rsidR="00463E58" w:rsidRPr="00106A79">
        <w:rPr>
          <w:rFonts w:ascii="Verdana" w:hAnsi="Verdana" w:cs="Times New Roman"/>
        </w:rPr>
        <w:t xml:space="preserve"> have called for improved working conditions, to combat socioeconomic differen</w:t>
      </w:r>
      <w:r w:rsidR="007403E9">
        <w:rPr>
          <w:rFonts w:ascii="Verdana" w:hAnsi="Verdana" w:cs="Times New Roman"/>
        </w:rPr>
        <w:t>tials</w:t>
      </w:r>
      <w:r w:rsidR="00463E58" w:rsidRPr="00106A79">
        <w:rPr>
          <w:rFonts w:ascii="Verdana" w:hAnsi="Verdana" w:cs="Times New Roman"/>
        </w:rPr>
        <w:t xml:space="preserve"> [</w:t>
      </w:r>
      <w:r w:rsidR="00380B5E">
        <w:rPr>
          <w:rFonts w:ascii="Verdana" w:hAnsi="Verdana" w:cs="Times New Roman"/>
        </w:rPr>
        <w:t>56</w:t>
      </w:r>
      <w:r w:rsidR="00463E58" w:rsidRPr="00106A79">
        <w:rPr>
          <w:rFonts w:ascii="Verdana" w:hAnsi="Verdana" w:cs="Times New Roman"/>
        </w:rPr>
        <w:t xml:space="preserve">]. </w:t>
      </w:r>
      <w:r w:rsidR="001136AB" w:rsidRPr="00106A79">
        <w:rPr>
          <w:rFonts w:ascii="Verdana" w:hAnsi="Verdana" w:cs="Times New Roman"/>
        </w:rPr>
        <w:t xml:space="preserve">Others have </w:t>
      </w:r>
      <w:r w:rsidRPr="00106A79">
        <w:rPr>
          <w:rFonts w:ascii="Verdana" w:hAnsi="Verdana" w:cs="Times New Roman"/>
        </w:rPr>
        <w:t xml:space="preserve">exhorted </w:t>
      </w:r>
      <w:r w:rsidR="00842FFF">
        <w:rPr>
          <w:rFonts w:ascii="Verdana" w:hAnsi="Verdana" w:cs="Times New Roman"/>
        </w:rPr>
        <w:t>doctors</w:t>
      </w:r>
      <w:r w:rsidRPr="00106A79">
        <w:rPr>
          <w:rFonts w:ascii="Verdana" w:hAnsi="Verdana" w:cs="Times New Roman"/>
        </w:rPr>
        <w:t xml:space="preserve"> to </w:t>
      </w:r>
      <w:r w:rsidR="009B1CE3" w:rsidRPr="00106A79">
        <w:rPr>
          <w:rFonts w:ascii="Verdana" w:hAnsi="Verdana" w:cs="Times New Roman"/>
        </w:rPr>
        <w:t xml:space="preserve">increase their efforts to treat or prevent </w:t>
      </w:r>
      <w:r w:rsidRPr="00106A79">
        <w:rPr>
          <w:rFonts w:ascii="Verdana" w:hAnsi="Verdana" w:cs="Times New Roman"/>
        </w:rPr>
        <w:t xml:space="preserve">underlying </w:t>
      </w:r>
      <w:r w:rsidR="001136AB" w:rsidRPr="00106A79">
        <w:rPr>
          <w:rFonts w:ascii="Verdana" w:hAnsi="Verdana" w:cs="Times New Roman"/>
        </w:rPr>
        <w:t>health problems [</w:t>
      </w:r>
      <w:r w:rsidR="00380B5E">
        <w:rPr>
          <w:rFonts w:ascii="Verdana" w:hAnsi="Verdana" w:cs="Times New Roman"/>
        </w:rPr>
        <w:t>70</w:t>
      </w:r>
      <w:r w:rsidR="001136AB" w:rsidRPr="00106A79">
        <w:rPr>
          <w:rFonts w:ascii="Verdana" w:hAnsi="Verdana" w:cs="Times New Roman"/>
        </w:rPr>
        <w:t xml:space="preserve">]. </w:t>
      </w:r>
      <w:r w:rsidR="00FC7061" w:rsidRPr="00106A79">
        <w:rPr>
          <w:rFonts w:ascii="Verdana" w:hAnsi="Verdana" w:cs="Times New Roman"/>
        </w:rPr>
        <w:t xml:space="preserve">Such calls assume a predominantly biomedical relationship between working with a MSD and employment: </w:t>
      </w:r>
      <w:r w:rsidR="00283A04" w:rsidRPr="00106A79">
        <w:rPr>
          <w:rFonts w:ascii="Verdana" w:hAnsi="Verdana" w:cs="Times New Roman"/>
        </w:rPr>
        <w:t xml:space="preserve">physical </w:t>
      </w:r>
      <w:r w:rsidR="00FC7061" w:rsidRPr="00106A79">
        <w:rPr>
          <w:rFonts w:ascii="Verdana" w:hAnsi="Verdana" w:cs="Times New Roman"/>
        </w:rPr>
        <w:t>stress</w:t>
      </w:r>
      <w:r w:rsidR="00283A04" w:rsidRPr="00106A79">
        <w:rPr>
          <w:rFonts w:ascii="Verdana" w:hAnsi="Verdana" w:cs="Times New Roman"/>
        </w:rPr>
        <w:t xml:space="preserve">ors </w:t>
      </w:r>
      <w:r w:rsidR="00AE7A85" w:rsidRPr="00106A79">
        <w:rPr>
          <w:rFonts w:ascii="Verdana" w:hAnsi="Verdana" w:cs="Times New Roman"/>
        </w:rPr>
        <w:t>aggravate</w:t>
      </w:r>
      <w:r w:rsidR="005761A7">
        <w:rPr>
          <w:rFonts w:ascii="Verdana" w:hAnsi="Verdana" w:cs="Times New Roman"/>
        </w:rPr>
        <w:t xml:space="preserve"> </w:t>
      </w:r>
      <w:r w:rsidR="00283A04" w:rsidRPr="00106A79">
        <w:rPr>
          <w:rFonts w:ascii="Verdana" w:hAnsi="Verdana" w:cs="Times New Roman"/>
        </w:rPr>
        <w:t xml:space="preserve">or </w:t>
      </w:r>
      <w:r w:rsidR="00AE7A85" w:rsidRPr="00106A79">
        <w:rPr>
          <w:rFonts w:ascii="Verdana" w:hAnsi="Verdana" w:cs="Times New Roman"/>
        </w:rPr>
        <w:t>cause</w:t>
      </w:r>
      <w:r w:rsidR="00283A04" w:rsidRPr="00106A79">
        <w:rPr>
          <w:rFonts w:ascii="Verdana" w:hAnsi="Verdana" w:cs="Times New Roman"/>
        </w:rPr>
        <w:t xml:space="preserve"> injured and diseased tissues, which in turn render work uncomfortable and ultimately untenable</w:t>
      </w:r>
      <w:r w:rsidR="00FC7061" w:rsidRPr="00106A79">
        <w:rPr>
          <w:rFonts w:ascii="Verdana" w:hAnsi="Verdana" w:cs="Times New Roman"/>
        </w:rPr>
        <w:t>.</w:t>
      </w:r>
      <w:r w:rsidR="00283A04" w:rsidRPr="00106A79">
        <w:rPr>
          <w:rFonts w:ascii="Verdana" w:hAnsi="Verdana" w:cs="Times New Roman"/>
        </w:rPr>
        <w:t xml:space="preserve"> </w:t>
      </w:r>
      <w:r w:rsidR="00AE7A85" w:rsidRPr="00106A79">
        <w:rPr>
          <w:rFonts w:ascii="Verdana" w:hAnsi="Verdana" w:cs="Times New Roman"/>
        </w:rPr>
        <w:t xml:space="preserve">However, </w:t>
      </w:r>
      <w:r w:rsidR="00842FFF">
        <w:rPr>
          <w:rFonts w:ascii="Verdana" w:hAnsi="Verdana" w:cs="Times New Roman"/>
        </w:rPr>
        <w:t>much</w:t>
      </w:r>
      <w:r w:rsidR="00283A04" w:rsidRPr="00106A79">
        <w:rPr>
          <w:rFonts w:ascii="Verdana" w:hAnsi="Verdana" w:cs="Times New Roman"/>
        </w:rPr>
        <w:t xml:space="preserve"> evid</w:t>
      </w:r>
      <w:r w:rsidR="00AE7A85" w:rsidRPr="00106A79">
        <w:rPr>
          <w:rFonts w:ascii="Verdana" w:hAnsi="Verdana" w:cs="Times New Roman"/>
        </w:rPr>
        <w:t>ence indicate</w:t>
      </w:r>
      <w:r w:rsidR="00842FFF">
        <w:rPr>
          <w:rFonts w:ascii="Verdana" w:hAnsi="Verdana" w:cs="Times New Roman"/>
        </w:rPr>
        <w:t>s</w:t>
      </w:r>
      <w:r w:rsidR="00283A04" w:rsidRPr="00106A79">
        <w:rPr>
          <w:rFonts w:ascii="Verdana" w:hAnsi="Verdana" w:cs="Times New Roman"/>
        </w:rPr>
        <w:t xml:space="preserve"> that non-medical factors </w:t>
      </w:r>
      <w:r w:rsidR="00842FFF">
        <w:rPr>
          <w:rFonts w:ascii="Verdana" w:hAnsi="Verdana" w:cs="Times New Roman"/>
        </w:rPr>
        <w:t>matter greatly</w:t>
      </w:r>
      <w:r w:rsidR="00283A04" w:rsidRPr="00106A79">
        <w:rPr>
          <w:rFonts w:ascii="Verdana" w:hAnsi="Verdana" w:cs="Times New Roman"/>
        </w:rPr>
        <w:t xml:space="preserve"> too. </w:t>
      </w:r>
    </w:p>
    <w:p w14:paraId="6287318F" w14:textId="77777777" w:rsidR="00AE7A85" w:rsidRPr="00106A79" w:rsidRDefault="00AE7A85" w:rsidP="00106A79">
      <w:pPr>
        <w:spacing w:line="480" w:lineRule="auto"/>
        <w:rPr>
          <w:rFonts w:ascii="Verdana" w:hAnsi="Verdana" w:cs="Times New Roman"/>
        </w:rPr>
      </w:pPr>
    </w:p>
    <w:p w14:paraId="77853441" w14:textId="7BA8BAAA" w:rsidR="00A85D46" w:rsidRPr="00106A79" w:rsidRDefault="00283A04" w:rsidP="00106A79">
      <w:pPr>
        <w:spacing w:line="480" w:lineRule="auto"/>
        <w:rPr>
          <w:rFonts w:ascii="Verdana" w:hAnsi="Verdana" w:cs="Times New Roman"/>
        </w:rPr>
      </w:pPr>
      <w:r w:rsidRPr="00106A79">
        <w:rPr>
          <w:rFonts w:ascii="Verdana" w:hAnsi="Verdana" w:cs="Times New Roman"/>
        </w:rPr>
        <w:t xml:space="preserve">Reference has been made to </w:t>
      </w:r>
      <w:r w:rsidR="005761A7">
        <w:rPr>
          <w:rFonts w:ascii="Verdana" w:hAnsi="Verdana" w:cs="Times New Roman"/>
        </w:rPr>
        <w:t>large</w:t>
      </w:r>
      <w:r w:rsidRPr="00106A79">
        <w:rPr>
          <w:rFonts w:ascii="Verdana" w:hAnsi="Verdana" w:cs="Times New Roman"/>
        </w:rPr>
        <w:t xml:space="preserve"> variations in rates of </w:t>
      </w:r>
      <w:r w:rsidR="00AE7A85" w:rsidRPr="00106A79">
        <w:rPr>
          <w:rFonts w:ascii="Verdana" w:hAnsi="Verdana" w:cs="Times New Roman"/>
        </w:rPr>
        <w:t>MSD-attributed disability, sickness absence</w:t>
      </w:r>
      <w:r w:rsidRPr="00106A79">
        <w:rPr>
          <w:rFonts w:ascii="Verdana" w:hAnsi="Verdana" w:cs="Times New Roman"/>
        </w:rPr>
        <w:t xml:space="preserve"> and ill-health retirement that are not simply explained by work</w:t>
      </w:r>
      <w:r w:rsidR="007403E9">
        <w:rPr>
          <w:rFonts w:ascii="Verdana" w:hAnsi="Verdana" w:cs="Times New Roman"/>
        </w:rPr>
        <w:t xml:space="preserve"> demands</w:t>
      </w:r>
      <w:r w:rsidRPr="00106A79">
        <w:rPr>
          <w:rFonts w:ascii="Verdana" w:hAnsi="Verdana" w:cs="Times New Roman"/>
        </w:rPr>
        <w:t xml:space="preserve"> [</w:t>
      </w:r>
      <w:r w:rsidR="00A250CF" w:rsidRPr="005B3B2B">
        <w:rPr>
          <w:rFonts w:ascii="Verdana" w:hAnsi="Verdana" w:cs="Times New Roman"/>
        </w:rPr>
        <w:t xml:space="preserve">11, </w:t>
      </w:r>
      <w:r w:rsidR="0082121C" w:rsidRPr="00E14159">
        <w:rPr>
          <w:rFonts w:ascii="Verdana" w:hAnsi="Verdana" w:cs="Times New Roman"/>
        </w:rPr>
        <w:t>26, 27,</w:t>
      </w:r>
      <w:r w:rsidR="00A250CF" w:rsidRPr="005B3B2B">
        <w:rPr>
          <w:rFonts w:ascii="Verdana" w:hAnsi="Verdana" w:cs="Times New Roman"/>
        </w:rPr>
        <w:t>71</w:t>
      </w:r>
      <w:r w:rsidRPr="00106A79">
        <w:rPr>
          <w:rFonts w:ascii="Verdana" w:hAnsi="Verdana" w:cs="Times New Roman"/>
        </w:rPr>
        <w:t xml:space="preserve">]; </w:t>
      </w:r>
      <w:r w:rsidR="00AE7A85" w:rsidRPr="00106A79">
        <w:rPr>
          <w:rFonts w:ascii="Verdana" w:hAnsi="Verdana" w:cs="Times New Roman"/>
        </w:rPr>
        <w:t>also,</w:t>
      </w:r>
      <w:r w:rsidRPr="00106A79">
        <w:rPr>
          <w:rFonts w:ascii="Verdana" w:hAnsi="Verdana" w:cs="Times New Roman"/>
        </w:rPr>
        <w:t xml:space="preserve"> to associations with non-</w:t>
      </w:r>
      <w:r w:rsidRPr="00106A79">
        <w:rPr>
          <w:rFonts w:ascii="Verdana" w:hAnsi="Verdana" w:cs="Times New Roman"/>
        </w:rPr>
        <w:lastRenderedPageBreak/>
        <w:t>biomedical risk factors [</w:t>
      </w:r>
      <w:r w:rsidR="00380B5E" w:rsidRPr="005B3B2B">
        <w:rPr>
          <w:rFonts w:ascii="Verdana" w:hAnsi="Verdana" w:cs="Times New Roman"/>
        </w:rPr>
        <w:t>25</w:t>
      </w:r>
      <w:r w:rsidR="00B5244E" w:rsidRPr="005B3B2B">
        <w:rPr>
          <w:rFonts w:ascii="Verdana" w:hAnsi="Verdana" w:cs="Times New Roman"/>
        </w:rPr>
        <w:t xml:space="preserve">, </w:t>
      </w:r>
      <w:r w:rsidR="0082121C" w:rsidRPr="00E14159">
        <w:rPr>
          <w:rFonts w:ascii="Verdana" w:hAnsi="Verdana" w:cs="Times New Roman"/>
        </w:rPr>
        <w:t>27,</w:t>
      </w:r>
      <w:r w:rsidR="00380B5E" w:rsidRPr="005B3B2B">
        <w:rPr>
          <w:rFonts w:ascii="Verdana" w:hAnsi="Verdana" w:cs="Times New Roman"/>
        </w:rPr>
        <w:t>28</w:t>
      </w:r>
      <w:r w:rsidRPr="0082121C">
        <w:rPr>
          <w:rFonts w:ascii="Verdana" w:hAnsi="Verdana" w:cs="Times New Roman"/>
        </w:rPr>
        <w:t>]</w:t>
      </w:r>
      <w:r w:rsidR="00B5244E" w:rsidRPr="00106A79">
        <w:rPr>
          <w:rFonts w:ascii="Verdana" w:hAnsi="Verdana" w:cs="Times New Roman"/>
        </w:rPr>
        <w:t xml:space="preserve"> and </w:t>
      </w:r>
      <w:r w:rsidR="005761A7">
        <w:rPr>
          <w:rFonts w:ascii="Verdana" w:hAnsi="Verdana" w:cs="Times New Roman"/>
        </w:rPr>
        <w:t>substantial</w:t>
      </w:r>
      <w:r w:rsidR="005761A7" w:rsidRPr="00106A79">
        <w:rPr>
          <w:rFonts w:ascii="Verdana" w:hAnsi="Verdana" w:cs="Times New Roman"/>
        </w:rPr>
        <w:t xml:space="preserve"> </w:t>
      </w:r>
      <w:r w:rsidR="00B5244E" w:rsidRPr="00106A79">
        <w:rPr>
          <w:rFonts w:ascii="Verdana" w:hAnsi="Verdana" w:cs="Times New Roman"/>
        </w:rPr>
        <w:t>variations over time [</w:t>
      </w:r>
      <w:r w:rsidR="00380B5E">
        <w:rPr>
          <w:rFonts w:ascii="Verdana" w:hAnsi="Verdana" w:cs="Times New Roman"/>
        </w:rPr>
        <w:t>25</w:t>
      </w:r>
      <w:r w:rsidR="00B5244E" w:rsidRPr="00106A79">
        <w:rPr>
          <w:rFonts w:ascii="Verdana" w:hAnsi="Verdana" w:cs="Times New Roman"/>
        </w:rPr>
        <w:t>]</w:t>
      </w:r>
      <w:r w:rsidRPr="00106A79">
        <w:rPr>
          <w:rFonts w:ascii="Verdana" w:hAnsi="Verdana" w:cs="Times New Roman"/>
        </w:rPr>
        <w:t>.</w:t>
      </w:r>
      <w:r w:rsidR="00AE7A85" w:rsidRPr="00106A79">
        <w:rPr>
          <w:rFonts w:ascii="Verdana" w:hAnsi="Verdana" w:cs="Times New Roman"/>
        </w:rPr>
        <w:t xml:space="preserve"> It follows that ergonomic improvements and better medical care</w:t>
      </w:r>
      <w:r w:rsidR="007403E9">
        <w:rPr>
          <w:rFonts w:ascii="Verdana" w:hAnsi="Verdana" w:cs="Times New Roman"/>
        </w:rPr>
        <w:t>, although relevant,</w:t>
      </w:r>
      <w:r w:rsidR="00AE7A85" w:rsidRPr="00106A79">
        <w:rPr>
          <w:rFonts w:ascii="Verdana" w:hAnsi="Verdana" w:cs="Times New Roman"/>
        </w:rPr>
        <w:t xml:space="preserve"> are elements of a bigger picture. It may even be that leaving work is the best outcome for a particular patient. Below we consider the current evidence on interventions to improve work participation.</w:t>
      </w:r>
    </w:p>
    <w:p w14:paraId="4C32A4BD" w14:textId="77777777" w:rsidR="00463E58" w:rsidRPr="00106A79" w:rsidRDefault="00463E58" w:rsidP="00106A79">
      <w:pPr>
        <w:spacing w:line="480" w:lineRule="auto"/>
        <w:rPr>
          <w:rFonts w:ascii="Verdana" w:hAnsi="Verdana" w:cs="Times New Roman"/>
        </w:rPr>
      </w:pPr>
    </w:p>
    <w:p w14:paraId="4DE6BBB4" w14:textId="77777777" w:rsidR="00A85D46" w:rsidRPr="00106A79" w:rsidRDefault="00A85D46" w:rsidP="00106A79">
      <w:pPr>
        <w:spacing w:line="480" w:lineRule="auto"/>
        <w:rPr>
          <w:rFonts w:ascii="Verdana" w:hAnsi="Verdana" w:cs="Times New Roman"/>
          <w:i/>
        </w:rPr>
      </w:pPr>
      <w:r w:rsidRPr="00106A79">
        <w:rPr>
          <w:rFonts w:ascii="Verdana" w:hAnsi="Verdana" w:cs="Times New Roman"/>
          <w:i/>
        </w:rPr>
        <w:t>Soft tissue rheumatism</w:t>
      </w:r>
    </w:p>
    <w:p w14:paraId="27BBC873" w14:textId="1BF0B97F" w:rsidR="00183466" w:rsidRPr="00106A79" w:rsidRDefault="00A85D46" w:rsidP="00106A79">
      <w:pPr>
        <w:spacing w:line="480" w:lineRule="auto"/>
        <w:rPr>
          <w:rFonts w:ascii="Verdana" w:hAnsi="Verdana" w:cs="Times New Roman"/>
        </w:rPr>
      </w:pPr>
      <w:r w:rsidRPr="00106A79">
        <w:rPr>
          <w:rFonts w:ascii="Verdana" w:hAnsi="Verdana" w:cs="Times New Roman"/>
        </w:rPr>
        <w:t>Interventions to reduce sickness absence and job loss from musculoskeletal causes</w:t>
      </w:r>
      <w:r w:rsidR="00183466" w:rsidRPr="00106A79">
        <w:rPr>
          <w:rFonts w:ascii="Verdana" w:hAnsi="Verdana" w:cs="Times New Roman"/>
        </w:rPr>
        <w:t xml:space="preserve"> can take many forms, and may be</w:t>
      </w:r>
      <w:r w:rsidRPr="00106A79">
        <w:rPr>
          <w:rFonts w:ascii="Verdana" w:hAnsi="Verdana" w:cs="Times New Roman"/>
        </w:rPr>
        <w:t xml:space="preserve"> directed at the individual, or</w:t>
      </w:r>
      <w:r w:rsidR="00183466" w:rsidRPr="00106A79">
        <w:rPr>
          <w:rFonts w:ascii="Verdana" w:hAnsi="Verdana" w:cs="Times New Roman"/>
        </w:rPr>
        <w:t xml:space="preserve"> at</w:t>
      </w:r>
      <w:r w:rsidRPr="00106A79">
        <w:rPr>
          <w:rFonts w:ascii="Verdana" w:hAnsi="Verdana" w:cs="Times New Roman"/>
        </w:rPr>
        <w:t xml:space="preserve"> their workplace</w:t>
      </w:r>
      <w:r w:rsidR="00183466" w:rsidRPr="00106A79">
        <w:rPr>
          <w:rFonts w:ascii="Verdana" w:hAnsi="Verdana" w:cs="Times New Roman"/>
        </w:rPr>
        <w:t xml:space="preserve"> and employer, their access to </w:t>
      </w:r>
      <w:r w:rsidRPr="00106A79">
        <w:rPr>
          <w:rFonts w:ascii="Verdana" w:hAnsi="Verdana" w:cs="Times New Roman"/>
        </w:rPr>
        <w:t>services</w:t>
      </w:r>
      <w:r w:rsidR="00183466" w:rsidRPr="00106A79">
        <w:rPr>
          <w:rFonts w:ascii="Verdana" w:hAnsi="Verdana" w:cs="Times New Roman"/>
        </w:rPr>
        <w:t>, or at the medical teams sharing their care</w:t>
      </w:r>
      <w:r w:rsidRPr="00106A79">
        <w:rPr>
          <w:rFonts w:ascii="Verdana" w:hAnsi="Verdana" w:cs="Times New Roman"/>
        </w:rPr>
        <w:t xml:space="preserve">.  </w:t>
      </w:r>
    </w:p>
    <w:p w14:paraId="6A05B85F" w14:textId="77777777" w:rsidR="00183466" w:rsidRPr="00106A79" w:rsidRDefault="00183466" w:rsidP="00106A79">
      <w:pPr>
        <w:spacing w:line="480" w:lineRule="auto"/>
        <w:rPr>
          <w:rFonts w:ascii="Verdana" w:hAnsi="Verdana" w:cs="Times New Roman"/>
        </w:rPr>
      </w:pPr>
    </w:p>
    <w:p w14:paraId="787EF11F" w14:textId="62B7D4C2" w:rsidR="004B561B" w:rsidRPr="00106A79" w:rsidRDefault="008A6F85" w:rsidP="00106A79">
      <w:pPr>
        <w:spacing w:line="480" w:lineRule="auto"/>
        <w:rPr>
          <w:rFonts w:ascii="Verdana" w:hAnsi="Verdana" w:cs="Times New Roman"/>
        </w:rPr>
      </w:pPr>
      <w:r w:rsidRPr="00106A79">
        <w:rPr>
          <w:rFonts w:ascii="Verdana" w:hAnsi="Verdana" w:cs="Times New Roman"/>
        </w:rPr>
        <w:t>In 2012</w:t>
      </w:r>
      <w:r w:rsidR="00AC3A92" w:rsidRPr="00106A79">
        <w:rPr>
          <w:rFonts w:ascii="Verdana" w:hAnsi="Verdana" w:cs="Times New Roman"/>
        </w:rPr>
        <w:t xml:space="preserve">, one of </w:t>
      </w:r>
      <w:r w:rsidR="005761A7">
        <w:rPr>
          <w:rFonts w:ascii="Verdana" w:hAnsi="Verdana" w:cs="Times New Roman"/>
        </w:rPr>
        <w:t>us</w:t>
      </w:r>
      <w:r w:rsidR="00AC3A92" w:rsidRPr="00106A79">
        <w:rPr>
          <w:rFonts w:ascii="Verdana" w:hAnsi="Verdana" w:cs="Times New Roman"/>
        </w:rPr>
        <w:t xml:space="preserve"> undertook a systematic review of interventions</w:t>
      </w:r>
      <w:r w:rsidR="00183466" w:rsidRPr="00106A79">
        <w:rPr>
          <w:rFonts w:ascii="Verdana" w:hAnsi="Verdana" w:cs="Times New Roman"/>
        </w:rPr>
        <w:t xml:space="preserve"> to improve work participation in </w:t>
      </w:r>
      <w:r w:rsidR="007403E9">
        <w:rPr>
          <w:rFonts w:ascii="Verdana" w:hAnsi="Verdana" w:cs="Times New Roman"/>
        </w:rPr>
        <w:t>those</w:t>
      </w:r>
      <w:r w:rsidR="007403E9" w:rsidRPr="00106A79">
        <w:rPr>
          <w:rFonts w:ascii="Verdana" w:hAnsi="Verdana" w:cs="Times New Roman"/>
        </w:rPr>
        <w:t xml:space="preserve"> </w:t>
      </w:r>
      <w:r w:rsidR="00183466" w:rsidRPr="00106A79">
        <w:rPr>
          <w:rFonts w:ascii="Verdana" w:hAnsi="Verdana" w:cs="Times New Roman"/>
        </w:rPr>
        <w:t>with MSDs</w:t>
      </w:r>
      <w:r w:rsidR="00AC3A92" w:rsidRPr="00106A79">
        <w:rPr>
          <w:rFonts w:ascii="Verdana" w:hAnsi="Verdana" w:cs="Times New Roman"/>
        </w:rPr>
        <w:t xml:space="preserve"> </w:t>
      </w:r>
      <w:r w:rsidR="000B2FAD" w:rsidRPr="00106A79">
        <w:rPr>
          <w:rFonts w:ascii="Verdana" w:hAnsi="Verdana" w:cs="Times New Roman"/>
        </w:rPr>
        <w:t>[</w:t>
      </w:r>
      <w:r w:rsidR="00864254">
        <w:rPr>
          <w:rFonts w:ascii="Verdana" w:hAnsi="Verdana" w:cs="Times New Roman"/>
        </w:rPr>
        <w:t>67</w:t>
      </w:r>
      <w:r w:rsidR="000B2FAD" w:rsidRPr="00106A79">
        <w:rPr>
          <w:rFonts w:ascii="Verdana" w:hAnsi="Verdana" w:cs="Times New Roman"/>
        </w:rPr>
        <w:t xml:space="preserve">]. No trial was specific to older workers. In all, </w:t>
      </w:r>
      <w:r w:rsidR="00183466" w:rsidRPr="00106A79">
        <w:rPr>
          <w:rFonts w:ascii="Verdana" w:hAnsi="Verdana" w:cs="Times New Roman"/>
        </w:rPr>
        <w:t xml:space="preserve">42 </w:t>
      </w:r>
      <w:r w:rsidR="00AC3A92" w:rsidRPr="00106A79">
        <w:rPr>
          <w:rFonts w:ascii="Verdana" w:hAnsi="Verdana" w:cs="Times New Roman"/>
        </w:rPr>
        <w:t>studies</w:t>
      </w:r>
      <w:r w:rsidR="00183466" w:rsidRPr="00106A79">
        <w:rPr>
          <w:rFonts w:ascii="Verdana" w:hAnsi="Verdana" w:cs="Times New Roman"/>
        </w:rPr>
        <w:t xml:space="preserve"> </w:t>
      </w:r>
      <w:r w:rsidR="00AC3A92" w:rsidRPr="00106A79">
        <w:rPr>
          <w:rFonts w:ascii="Verdana" w:hAnsi="Verdana" w:cs="Times New Roman"/>
        </w:rPr>
        <w:t>were identified, including 34 rand</w:t>
      </w:r>
      <w:r w:rsidR="000B2FAD" w:rsidRPr="00106A79">
        <w:rPr>
          <w:rFonts w:ascii="Verdana" w:hAnsi="Verdana" w:cs="Times New Roman"/>
        </w:rPr>
        <w:t>omised controlled trials (RCTs)</w:t>
      </w:r>
      <w:r w:rsidR="007403E9">
        <w:rPr>
          <w:rFonts w:ascii="Verdana" w:hAnsi="Verdana" w:cs="Times New Roman"/>
        </w:rPr>
        <w:t>,</w:t>
      </w:r>
      <w:r w:rsidR="000B2FAD" w:rsidRPr="00106A79">
        <w:rPr>
          <w:rFonts w:ascii="Verdana" w:hAnsi="Verdana" w:cs="Times New Roman"/>
        </w:rPr>
        <w:t xml:space="preserve"> </w:t>
      </w:r>
      <w:r w:rsidR="007403E9">
        <w:rPr>
          <w:rFonts w:ascii="Verdana" w:hAnsi="Verdana" w:cs="Times New Roman"/>
        </w:rPr>
        <w:t>embracing, for example</w:t>
      </w:r>
      <w:r w:rsidR="000B2FAD" w:rsidRPr="00106A79">
        <w:rPr>
          <w:rFonts w:ascii="Verdana" w:hAnsi="Verdana" w:cs="Times New Roman"/>
        </w:rPr>
        <w:t>, exercise therapy, work hardening, physical therapy,</w:t>
      </w:r>
      <w:r w:rsidR="000B2FAD" w:rsidRPr="00106A79">
        <w:rPr>
          <w:rFonts w:ascii="Verdana" w:hAnsi="Verdana"/>
        </w:rPr>
        <w:t xml:space="preserve"> </w:t>
      </w:r>
      <w:r w:rsidR="000B2FAD" w:rsidRPr="00106A79">
        <w:rPr>
          <w:rFonts w:ascii="Verdana" w:hAnsi="Verdana" w:cs="Times New Roman"/>
        </w:rPr>
        <w:t>psychological therapy, behavioural therapy</w:t>
      </w:r>
      <w:r w:rsidR="007403E9">
        <w:rPr>
          <w:rFonts w:ascii="Verdana" w:hAnsi="Verdana" w:cs="Times New Roman"/>
        </w:rPr>
        <w:t>,</w:t>
      </w:r>
      <w:r w:rsidR="000B2FAD" w:rsidRPr="00106A79">
        <w:rPr>
          <w:rFonts w:ascii="Verdana" w:hAnsi="Verdana" w:cs="Times New Roman"/>
        </w:rPr>
        <w:t xml:space="preserve"> improved education, rehearsal of work techniques, use of lumbar supports, </w:t>
      </w:r>
      <w:r w:rsidR="00770A03" w:rsidRPr="00106A79">
        <w:rPr>
          <w:rFonts w:ascii="Verdana" w:hAnsi="Verdana" w:cs="Times New Roman"/>
        </w:rPr>
        <w:t>‘</w:t>
      </w:r>
      <w:r w:rsidR="000B2FAD" w:rsidRPr="00106A79">
        <w:rPr>
          <w:rFonts w:ascii="Verdana" w:hAnsi="Verdana" w:cs="Times New Roman"/>
        </w:rPr>
        <w:t>participatory’ ergonomic</w:t>
      </w:r>
      <w:r w:rsidR="00367263">
        <w:rPr>
          <w:rFonts w:ascii="Verdana" w:hAnsi="Verdana" w:cs="Times New Roman"/>
        </w:rPr>
        <w:t>s</w:t>
      </w:r>
      <w:r w:rsidR="000B2FAD" w:rsidRPr="00106A79">
        <w:rPr>
          <w:rFonts w:ascii="Verdana" w:hAnsi="Verdana" w:cs="Times New Roman"/>
        </w:rPr>
        <w:t xml:space="preserve"> </w:t>
      </w:r>
      <w:r w:rsidR="00367263">
        <w:rPr>
          <w:rFonts w:ascii="Verdana" w:hAnsi="Verdana" w:cs="Times New Roman"/>
        </w:rPr>
        <w:t>(</w:t>
      </w:r>
      <w:r w:rsidR="000B2FAD" w:rsidRPr="00106A79">
        <w:rPr>
          <w:rFonts w:ascii="Verdana" w:hAnsi="Verdana" w:cs="Times New Roman"/>
        </w:rPr>
        <w:t xml:space="preserve">to control workplace risks and </w:t>
      </w:r>
      <w:r w:rsidR="007403E9">
        <w:rPr>
          <w:rFonts w:ascii="Verdana" w:hAnsi="Verdana" w:cs="Times New Roman"/>
        </w:rPr>
        <w:t>adapt</w:t>
      </w:r>
      <w:r w:rsidR="007403E9" w:rsidRPr="00106A79">
        <w:rPr>
          <w:rFonts w:ascii="Verdana" w:hAnsi="Verdana" w:cs="Times New Roman"/>
        </w:rPr>
        <w:t xml:space="preserve"> </w:t>
      </w:r>
      <w:r w:rsidR="000B2FAD" w:rsidRPr="00106A79">
        <w:rPr>
          <w:rFonts w:ascii="Verdana" w:hAnsi="Verdana" w:cs="Times New Roman"/>
        </w:rPr>
        <w:t>the physical environment</w:t>
      </w:r>
      <w:r w:rsidR="00770A03" w:rsidRPr="00106A79">
        <w:rPr>
          <w:rFonts w:ascii="Verdana" w:hAnsi="Verdana" w:cs="Times New Roman"/>
        </w:rPr>
        <w:t>)</w:t>
      </w:r>
      <w:r w:rsidR="000B2FAD" w:rsidRPr="00106A79">
        <w:rPr>
          <w:rFonts w:ascii="Verdana" w:hAnsi="Verdana" w:cs="Times New Roman"/>
        </w:rPr>
        <w:t>, lighter duties, reduced hours, training of managers</w:t>
      </w:r>
      <w:r w:rsidR="007403E9">
        <w:rPr>
          <w:rFonts w:ascii="Verdana" w:hAnsi="Verdana" w:cs="Times New Roman"/>
        </w:rPr>
        <w:t xml:space="preserve"> and</w:t>
      </w:r>
      <w:r w:rsidR="000B2FAD" w:rsidRPr="00106A79">
        <w:rPr>
          <w:rFonts w:ascii="Verdana" w:hAnsi="Verdana" w:cs="Times New Roman"/>
        </w:rPr>
        <w:t xml:space="preserve"> doctors, </w:t>
      </w:r>
      <w:r w:rsidR="007403E9">
        <w:rPr>
          <w:rFonts w:ascii="Verdana" w:hAnsi="Verdana" w:cs="Times New Roman"/>
        </w:rPr>
        <w:t>extra</w:t>
      </w:r>
      <w:r w:rsidR="007403E9" w:rsidRPr="00106A79">
        <w:rPr>
          <w:rFonts w:ascii="Verdana" w:hAnsi="Verdana" w:cs="Times New Roman"/>
        </w:rPr>
        <w:t xml:space="preserve"> </w:t>
      </w:r>
      <w:r w:rsidR="000B2FAD" w:rsidRPr="00106A79">
        <w:rPr>
          <w:rFonts w:ascii="Verdana" w:hAnsi="Verdana" w:cs="Times New Roman"/>
        </w:rPr>
        <w:t>support services and case manage</w:t>
      </w:r>
      <w:r w:rsidR="007403E9">
        <w:rPr>
          <w:rFonts w:ascii="Verdana" w:hAnsi="Verdana" w:cs="Times New Roman"/>
        </w:rPr>
        <w:t>rs</w:t>
      </w:r>
      <w:r w:rsidR="000B2FAD" w:rsidRPr="00106A79">
        <w:rPr>
          <w:rFonts w:ascii="Verdana" w:hAnsi="Verdana" w:cs="Times New Roman"/>
        </w:rPr>
        <w:t>.</w:t>
      </w:r>
      <w:r w:rsidR="00770A03" w:rsidRPr="00106A79">
        <w:rPr>
          <w:rFonts w:ascii="Verdana" w:hAnsi="Verdana" w:cs="Times New Roman"/>
        </w:rPr>
        <w:t xml:space="preserve"> </w:t>
      </w:r>
      <w:r w:rsidRPr="00106A79">
        <w:rPr>
          <w:rFonts w:ascii="Verdana" w:hAnsi="Verdana" w:cs="Times New Roman"/>
        </w:rPr>
        <w:t xml:space="preserve">Studies were typically small and of limited quality. </w:t>
      </w:r>
      <w:r w:rsidR="00770A03" w:rsidRPr="00106A79">
        <w:rPr>
          <w:rFonts w:ascii="Verdana" w:hAnsi="Verdana" w:cs="Times New Roman"/>
        </w:rPr>
        <w:t xml:space="preserve">No intervention was clearly superior to alternatives. </w:t>
      </w:r>
      <w:r w:rsidR="00AC3A92" w:rsidRPr="00106A79">
        <w:rPr>
          <w:rFonts w:ascii="Verdana" w:hAnsi="Verdana" w:cs="Times New Roman"/>
        </w:rPr>
        <w:t xml:space="preserve">Most interventions appeared beneficial although </w:t>
      </w:r>
      <w:r w:rsidR="00770A03" w:rsidRPr="00106A79">
        <w:rPr>
          <w:rFonts w:ascii="Verdana" w:hAnsi="Verdana" w:cs="Times New Roman"/>
        </w:rPr>
        <w:t>effect sizes were generally small, and t</w:t>
      </w:r>
      <w:r w:rsidR="00AC3A92" w:rsidRPr="00106A79">
        <w:rPr>
          <w:rFonts w:ascii="Verdana" w:hAnsi="Verdana" w:cs="Times New Roman"/>
        </w:rPr>
        <w:t>here was evidence of publication bias, suggesting that</w:t>
      </w:r>
      <w:r w:rsidR="00770A03" w:rsidRPr="00106A79">
        <w:rPr>
          <w:rFonts w:ascii="Verdana" w:hAnsi="Verdana" w:cs="Times New Roman"/>
        </w:rPr>
        <w:t xml:space="preserve"> benefits</w:t>
      </w:r>
      <w:r w:rsidRPr="00106A79">
        <w:rPr>
          <w:rFonts w:ascii="Verdana" w:hAnsi="Verdana" w:cs="Times New Roman"/>
        </w:rPr>
        <w:t xml:space="preserve"> may have been over-</w:t>
      </w:r>
      <w:r w:rsidR="00770A03" w:rsidRPr="00106A79">
        <w:rPr>
          <w:rFonts w:ascii="Verdana" w:hAnsi="Verdana" w:cs="Times New Roman"/>
        </w:rPr>
        <w:t>stated</w:t>
      </w:r>
      <w:r w:rsidRPr="00106A79">
        <w:rPr>
          <w:rFonts w:ascii="Verdana" w:hAnsi="Verdana" w:cs="Times New Roman"/>
        </w:rPr>
        <w:t xml:space="preserve">. </w:t>
      </w:r>
      <w:r w:rsidR="00AC3A92" w:rsidRPr="00106A79">
        <w:rPr>
          <w:rFonts w:ascii="Verdana" w:hAnsi="Verdana" w:cs="Times New Roman"/>
        </w:rPr>
        <w:t xml:space="preserve"> </w:t>
      </w:r>
      <w:r w:rsidR="00770A03" w:rsidRPr="00106A79">
        <w:rPr>
          <w:rFonts w:ascii="Verdana" w:hAnsi="Verdana" w:cs="Times New Roman"/>
        </w:rPr>
        <w:t>The</w:t>
      </w:r>
      <w:r w:rsidRPr="00106A79">
        <w:rPr>
          <w:rFonts w:ascii="Verdana" w:hAnsi="Verdana" w:cs="Times New Roman"/>
        </w:rPr>
        <w:t xml:space="preserve"> cost-effectiveness of interventions was not established.</w:t>
      </w:r>
    </w:p>
    <w:p w14:paraId="38F51F95" w14:textId="77777777" w:rsidR="008A6F85" w:rsidRPr="00106A79" w:rsidRDefault="008A6F85" w:rsidP="00106A79">
      <w:pPr>
        <w:spacing w:line="480" w:lineRule="auto"/>
        <w:rPr>
          <w:rFonts w:ascii="Verdana" w:hAnsi="Verdana" w:cs="Times New Roman"/>
        </w:rPr>
      </w:pPr>
    </w:p>
    <w:p w14:paraId="2EC97192" w14:textId="424214D0" w:rsidR="008A6F85" w:rsidRPr="00106A79" w:rsidRDefault="008A6F85" w:rsidP="00106A79">
      <w:pPr>
        <w:spacing w:line="480" w:lineRule="auto"/>
        <w:rPr>
          <w:rFonts w:ascii="Verdana" w:hAnsi="Verdana" w:cs="Times New Roman"/>
        </w:rPr>
      </w:pPr>
      <w:r w:rsidRPr="00106A79">
        <w:rPr>
          <w:rFonts w:ascii="Verdana" w:hAnsi="Verdana" w:cs="Times New Roman"/>
        </w:rPr>
        <w:lastRenderedPageBreak/>
        <w:t>If this appraisal of the evidence appears disheartening, it may be added that</w:t>
      </w:r>
      <w:r w:rsidR="00770A03" w:rsidRPr="00106A79">
        <w:rPr>
          <w:rFonts w:ascii="Verdana" w:hAnsi="Verdana" w:cs="Times New Roman"/>
        </w:rPr>
        <w:t xml:space="preserve"> the</w:t>
      </w:r>
      <w:r w:rsidRPr="00106A79">
        <w:rPr>
          <w:rFonts w:ascii="Verdana" w:hAnsi="Verdana" w:cs="Times New Roman"/>
        </w:rPr>
        <w:t xml:space="preserve"> trials mostly involved patients with soft tissue rheumatism, perhaps at the milder end of the disease spectrum. Sickness absence in these circumstances may be socially</w:t>
      </w:r>
      <w:r w:rsidR="007403E9">
        <w:rPr>
          <w:rFonts w:ascii="Verdana" w:hAnsi="Verdana" w:cs="Times New Roman"/>
        </w:rPr>
        <w:t xml:space="preserve"> and </w:t>
      </w:r>
      <w:r w:rsidR="00367263">
        <w:rPr>
          <w:rFonts w:ascii="Verdana" w:hAnsi="Verdana" w:cs="Times New Roman"/>
        </w:rPr>
        <w:t>behaviourally</w:t>
      </w:r>
      <w:r w:rsidRPr="00106A79">
        <w:rPr>
          <w:rFonts w:ascii="Verdana" w:hAnsi="Verdana" w:cs="Times New Roman"/>
        </w:rPr>
        <w:t xml:space="preserve"> patterned</w:t>
      </w:r>
      <w:r w:rsidR="004961B6" w:rsidRPr="00106A79">
        <w:rPr>
          <w:rFonts w:ascii="Verdana" w:hAnsi="Verdana" w:cs="Times New Roman"/>
        </w:rPr>
        <w:t xml:space="preserve"> – it has been shown, for example, that rates of </w:t>
      </w:r>
      <w:r w:rsidR="007403E9">
        <w:rPr>
          <w:rFonts w:ascii="Verdana" w:hAnsi="Verdana" w:cs="Times New Roman"/>
        </w:rPr>
        <w:t xml:space="preserve">MSD-related </w:t>
      </w:r>
      <w:r w:rsidR="004961B6" w:rsidRPr="00106A79">
        <w:rPr>
          <w:rFonts w:ascii="Verdana" w:hAnsi="Verdana" w:cs="Times New Roman"/>
        </w:rPr>
        <w:t xml:space="preserve">sickness absence vary </w:t>
      </w:r>
      <w:r w:rsidR="007403E9">
        <w:rPr>
          <w:rFonts w:ascii="Verdana" w:hAnsi="Verdana" w:cs="Times New Roman"/>
        </w:rPr>
        <w:t>~</w:t>
      </w:r>
      <w:r w:rsidR="004961B6" w:rsidRPr="00106A79">
        <w:rPr>
          <w:rFonts w:ascii="Verdana" w:hAnsi="Verdana" w:cs="Times New Roman"/>
        </w:rPr>
        <w:t xml:space="preserve"> 30-fold internationally between workers doing essentially the same jobs [</w:t>
      </w:r>
      <w:r w:rsidR="00A250CF">
        <w:rPr>
          <w:rFonts w:ascii="Verdana" w:hAnsi="Verdana" w:cs="Times New Roman"/>
        </w:rPr>
        <w:t>71</w:t>
      </w:r>
      <w:r w:rsidR="004961B6" w:rsidRPr="00106A79">
        <w:rPr>
          <w:rFonts w:ascii="Verdana" w:hAnsi="Verdana" w:cs="Times New Roman"/>
        </w:rPr>
        <w:t xml:space="preserve">] (see also Chapter </w:t>
      </w:r>
      <w:r w:rsidR="006634BF" w:rsidRPr="00106A79">
        <w:rPr>
          <w:rFonts w:ascii="Verdana" w:hAnsi="Verdana" w:cs="Times New Roman"/>
        </w:rPr>
        <w:t>3</w:t>
      </w:r>
      <w:r w:rsidR="004961B6" w:rsidRPr="00106A79">
        <w:rPr>
          <w:rFonts w:ascii="Verdana" w:hAnsi="Verdana" w:cs="Times New Roman"/>
        </w:rPr>
        <w:t>)</w:t>
      </w:r>
      <w:r w:rsidRPr="00106A79">
        <w:rPr>
          <w:rFonts w:ascii="Verdana" w:hAnsi="Verdana" w:cs="Times New Roman"/>
        </w:rPr>
        <w:t xml:space="preserve">. </w:t>
      </w:r>
      <w:r w:rsidR="004961B6" w:rsidRPr="00106A79">
        <w:rPr>
          <w:rFonts w:ascii="Verdana" w:hAnsi="Verdana" w:cs="Times New Roman"/>
        </w:rPr>
        <w:t xml:space="preserve">Also, </w:t>
      </w:r>
      <w:r w:rsidR="00770A03" w:rsidRPr="00106A79">
        <w:rPr>
          <w:rFonts w:ascii="Verdana" w:hAnsi="Verdana" w:cs="Times New Roman"/>
        </w:rPr>
        <w:t xml:space="preserve">since this review, </w:t>
      </w:r>
      <w:r w:rsidR="00D25B70">
        <w:rPr>
          <w:rFonts w:ascii="Verdana" w:hAnsi="Verdana" w:cs="Times New Roman"/>
        </w:rPr>
        <w:t xml:space="preserve">an approach based on </w:t>
      </w:r>
      <w:r w:rsidR="004961B6" w:rsidRPr="00106A79">
        <w:rPr>
          <w:rFonts w:ascii="Verdana" w:hAnsi="Verdana" w:cs="Times New Roman"/>
        </w:rPr>
        <w:t>risk stratification</w:t>
      </w:r>
      <w:r w:rsidR="00D25B70">
        <w:rPr>
          <w:rFonts w:ascii="Verdana" w:hAnsi="Verdana" w:cs="Times New Roman"/>
        </w:rPr>
        <w:t xml:space="preserve"> </w:t>
      </w:r>
      <w:r w:rsidR="00367263">
        <w:rPr>
          <w:rFonts w:ascii="Verdana" w:hAnsi="Verdana" w:cs="Times New Roman"/>
        </w:rPr>
        <w:t>(</w:t>
      </w:r>
      <w:r w:rsidR="00D25B70">
        <w:rPr>
          <w:rFonts w:ascii="Verdana" w:hAnsi="Verdana" w:cs="Times New Roman"/>
        </w:rPr>
        <w:t xml:space="preserve">targeting </w:t>
      </w:r>
      <w:r w:rsidR="00D25B70" w:rsidRPr="00106A79">
        <w:rPr>
          <w:rFonts w:ascii="Verdana" w:hAnsi="Verdana" w:cs="Times New Roman"/>
        </w:rPr>
        <w:t xml:space="preserve">interventions </w:t>
      </w:r>
      <w:r w:rsidR="00D25B70">
        <w:rPr>
          <w:rFonts w:ascii="Verdana" w:hAnsi="Verdana" w:cs="Times New Roman"/>
        </w:rPr>
        <w:t xml:space="preserve">at those who </w:t>
      </w:r>
      <w:r w:rsidR="00770A03" w:rsidRPr="00106A79">
        <w:rPr>
          <w:rFonts w:ascii="Verdana" w:hAnsi="Verdana" w:cs="Times New Roman"/>
        </w:rPr>
        <w:t xml:space="preserve">may </w:t>
      </w:r>
      <w:r w:rsidR="00D25B70">
        <w:rPr>
          <w:rFonts w:ascii="Verdana" w:hAnsi="Verdana" w:cs="Times New Roman"/>
        </w:rPr>
        <w:t>most benefit</w:t>
      </w:r>
      <w:r w:rsidR="00367263">
        <w:rPr>
          <w:rFonts w:ascii="Verdana" w:hAnsi="Verdana" w:cs="Times New Roman"/>
        </w:rPr>
        <w:t>)</w:t>
      </w:r>
      <w:r w:rsidR="00D25B70">
        <w:rPr>
          <w:rFonts w:ascii="Verdana" w:hAnsi="Verdana" w:cs="Times New Roman"/>
        </w:rPr>
        <w:t xml:space="preserve"> has </w:t>
      </w:r>
      <w:r w:rsidR="00367263">
        <w:rPr>
          <w:rFonts w:ascii="Verdana" w:hAnsi="Verdana" w:cs="Times New Roman"/>
        </w:rPr>
        <w:t>s</w:t>
      </w:r>
      <w:r w:rsidR="00B046F6">
        <w:rPr>
          <w:rFonts w:ascii="Verdana" w:hAnsi="Verdana" w:cs="Times New Roman"/>
        </w:rPr>
        <w:t>h</w:t>
      </w:r>
      <w:r w:rsidR="00367263">
        <w:rPr>
          <w:rFonts w:ascii="Verdana" w:hAnsi="Verdana" w:cs="Times New Roman"/>
        </w:rPr>
        <w:t>own some promise</w:t>
      </w:r>
      <w:r w:rsidR="00D25B70" w:rsidRPr="00106A79">
        <w:rPr>
          <w:rFonts w:ascii="Verdana" w:hAnsi="Verdana" w:cs="Times New Roman"/>
        </w:rPr>
        <w:t xml:space="preserve"> </w:t>
      </w:r>
      <w:r w:rsidR="004961B6" w:rsidRPr="00106A79">
        <w:rPr>
          <w:rFonts w:ascii="Verdana" w:hAnsi="Verdana" w:cs="Times New Roman"/>
        </w:rPr>
        <w:t>[</w:t>
      </w:r>
      <w:r w:rsidR="00864254">
        <w:rPr>
          <w:rFonts w:ascii="Verdana" w:hAnsi="Verdana" w:cs="Times New Roman"/>
        </w:rPr>
        <w:t>72</w:t>
      </w:r>
      <w:r w:rsidR="004961B6" w:rsidRPr="00106A79">
        <w:rPr>
          <w:rFonts w:ascii="Verdana" w:hAnsi="Verdana" w:cs="Times New Roman"/>
        </w:rPr>
        <w:t>]</w:t>
      </w:r>
      <w:r w:rsidR="00B5244E" w:rsidRPr="00106A79">
        <w:rPr>
          <w:rFonts w:ascii="Verdana" w:hAnsi="Verdana" w:cs="Times New Roman"/>
        </w:rPr>
        <w:t>.</w:t>
      </w:r>
    </w:p>
    <w:p w14:paraId="0116AABC" w14:textId="77777777" w:rsidR="00880578" w:rsidRPr="00106A79" w:rsidRDefault="00880578" w:rsidP="00106A79">
      <w:pPr>
        <w:spacing w:line="480" w:lineRule="auto"/>
        <w:rPr>
          <w:rFonts w:ascii="Verdana" w:hAnsi="Verdana" w:cs="Times New Roman"/>
        </w:rPr>
      </w:pPr>
    </w:p>
    <w:p w14:paraId="5DA0A6B7" w14:textId="5FCCAAA4" w:rsidR="00A12F24" w:rsidRPr="00106A79" w:rsidRDefault="00A12F24" w:rsidP="00106A79">
      <w:pPr>
        <w:spacing w:line="480" w:lineRule="auto"/>
        <w:rPr>
          <w:rFonts w:ascii="Verdana" w:hAnsi="Verdana" w:cs="Times New Roman"/>
        </w:rPr>
      </w:pPr>
      <w:r w:rsidRPr="00106A79">
        <w:rPr>
          <w:rFonts w:ascii="Verdana" w:hAnsi="Verdana" w:cs="Times New Roman"/>
        </w:rPr>
        <w:t xml:space="preserve">A few observational studies also suggest that health-related job loss is not inevitable, even in industries with </w:t>
      </w:r>
      <w:r w:rsidR="00D25B70">
        <w:rPr>
          <w:rFonts w:ascii="Verdana" w:hAnsi="Verdana" w:cs="Times New Roman"/>
        </w:rPr>
        <w:t>high</w:t>
      </w:r>
      <w:r w:rsidRPr="00106A79">
        <w:rPr>
          <w:rFonts w:ascii="Verdana" w:hAnsi="Verdana" w:cs="Times New Roman"/>
        </w:rPr>
        <w:t xml:space="preserve"> demands. </w:t>
      </w:r>
      <w:r w:rsidR="00367263">
        <w:rPr>
          <w:rFonts w:ascii="Verdana" w:hAnsi="Verdana" w:cs="Times New Roman"/>
        </w:rPr>
        <w:t>In</w:t>
      </w:r>
      <w:r w:rsidR="00367263" w:rsidRPr="00367263">
        <w:rPr>
          <w:rFonts w:ascii="Verdana" w:hAnsi="Verdana" w:cs="Times New Roman"/>
        </w:rPr>
        <w:t xml:space="preserve"> </w:t>
      </w:r>
      <w:r w:rsidR="00367263">
        <w:rPr>
          <w:rFonts w:ascii="Verdana" w:hAnsi="Verdana" w:cs="Times New Roman"/>
        </w:rPr>
        <w:t>a cohort of</w:t>
      </w:r>
      <w:r w:rsidR="00367263" w:rsidRPr="00106A79">
        <w:rPr>
          <w:rFonts w:ascii="Verdana" w:hAnsi="Verdana" w:cs="Times New Roman"/>
        </w:rPr>
        <w:t xml:space="preserve"> roofers aged 40-59 years</w:t>
      </w:r>
      <w:r w:rsidR="00367263">
        <w:rPr>
          <w:rFonts w:ascii="Verdana" w:hAnsi="Verdana" w:cs="Times New Roman"/>
        </w:rPr>
        <w:t>, ~</w:t>
      </w:r>
      <w:r w:rsidR="00367263" w:rsidRPr="00106A79">
        <w:rPr>
          <w:rFonts w:ascii="Verdana" w:hAnsi="Verdana" w:cs="Times New Roman"/>
        </w:rPr>
        <w:t>8% of those wit</w:t>
      </w:r>
      <w:r w:rsidR="00367263">
        <w:rPr>
          <w:rFonts w:ascii="Verdana" w:hAnsi="Verdana" w:cs="Times New Roman"/>
        </w:rPr>
        <w:t>h musculoskeletal problems left work</w:t>
      </w:r>
      <w:r w:rsidR="00367263" w:rsidRPr="00106A79">
        <w:rPr>
          <w:rFonts w:ascii="Verdana" w:hAnsi="Verdana" w:cs="Times New Roman"/>
        </w:rPr>
        <w:t xml:space="preserve"> on health grounds over</w:t>
      </w:r>
      <w:r w:rsidR="00367263">
        <w:rPr>
          <w:rFonts w:ascii="Verdana" w:hAnsi="Verdana" w:cs="Times New Roman"/>
        </w:rPr>
        <w:t xml:space="preserve"> the following year</w:t>
      </w:r>
      <w:r w:rsidR="00367263" w:rsidRPr="00106A79">
        <w:rPr>
          <w:rFonts w:ascii="Verdana" w:hAnsi="Verdana" w:cs="Times New Roman"/>
        </w:rPr>
        <w:t xml:space="preserve"> </w:t>
      </w:r>
      <w:r w:rsidR="00221D57" w:rsidRPr="00106A79">
        <w:rPr>
          <w:rFonts w:ascii="Verdana" w:hAnsi="Verdana" w:cs="Times New Roman"/>
        </w:rPr>
        <w:t>[</w:t>
      </w:r>
      <w:r w:rsidR="00864254">
        <w:rPr>
          <w:rFonts w:ascii="Verdana" w:hAnsi="Verdana" w:cs="Times New Roman"/>
        </w:rPr>
        <w:t>73</w:t>
      </w:r>
      <w:r w:rsidR="00221D57" w:rsidRPr="00106A79">
        <w:rPr>
          <w:rFonts w:ascii="Verdana" w:hAnsi="Verdana" w:cs="Times New Roman"/>
        </w:rPr>
        <w:t>]</w:t>
      </w:r>
      <w:r w:rsidR="00367263">
        <w:rPr>
          <w:rFonts w:ascii="Verdana" w:hAnsi="Verdana" w:cs="Times New Roman"/>
        </w:rPr>
        <w:t>.</w:t>
      </w:r>
      <w:r w:rsidR="00221D57" w:rsidRPr="00106A79">
        <w:rPr>
          <w:rFonts w:ascii="Verdana" w:hAnsi="Verdana" w:cs="Times New Roman"/>
        </w:rPr>
        <w:t xml:space="preserve"> </w:t>
      </w:r>
      <w:r w:rsidRPr="00106A79">
        <w:rPr>
          <w:rFonts w:ascii="Verdana" w:hAnsi="Verdana" w:cs="Times New Roman"/>
        </w:rPr>
        <w:t xml:space="preserve"> However, </w:t>
      </w:r>
      <w:r w:rsidR="00367263">
        <w:rPr>
          <w:rFonts w:ascii="Verdana" w:hAnsi="Verdana" w:cs="Times New Roman"/>
        </w:rPr>
        <w:t>individuals</w:t>
      </w:r>
      <w:r w:rsidR="00367263" w:rsidRPr="00106A79">
        <w:rPr>
          <w:rFonts w:ascii="Verdana" w:hAnsi="Verdana" w:cs="Times New Roman"/>
        </w:rPr>
        <w:t xml:space="preserve"> </w:t>
      </w:r>
      <w:r w:rsidRPr="00106A79">
        <w:rPr>
          <w:rFonts w:ascii="Verdana" w:hAnsi="Verdana" w:cs="Times New Roman"/>
        </w:rPr>
        <w:t>fell into three camps: men who had requested and received a job accommodation (</w:t>
      </w:r>
      <w:r w:rsidR="00CA4399" w:rsidRPr="00106A79">
        <w:rPr>
          <w:rFonts w:ascii="Verdana" w:hAnsi="Verdana" w:cs="Times New Roman"/>
        </w:rPr>
        <w:t>e.g.</w:t>
      </w:r>
      <w:r w:rsidRPr="00106A79">
        <w:rPr>
          <w:rFonts w:ascii="Verdana" w:hAnsi="Verdana" w:cs="Times New Roman"/>
        </w:rPr>
        <w:t xml:space="preserve"> </w:t>
      </w:r>
      <w:r w:rsidR="00CA4399" w:rsidRPr="00106A79">
        <w:rPr>
          <w:rFonts w:ascii="Verdana" w:hAnsi="Verdana" w:cs="Times New Roman"/>
        </w:rPr>
        <w:t>altered work schedule, modified job tasks, lighter duties, changed equipment</w:t>
      </w:r>
      <w:r w:rsidRPr="00106A79">
        <w:rPr>
          <w:rFonts w:ascii="Verdana" w:hAnsi="Verdana" w:cs="Times New Roman"/>
        </w:rPr>
        <w:t xml:space="preserve">), men who had asked for an accommodation but </w:t>
      </w:r>
      <w:r w:rsidR="00CA4399" w:rsidRPr="00106A79">
        <w:rPr>
          <w:rFonts w:ascii="Verdana" w:hAnsi="Verdana" w:cs="Times New Roman"/>
        </w:rPr>
        <w:t>had</w:t>
      </w:r>
      <w:r w:rsidRPr="00106A79">
        <w:rPr>
          <w:rFonts w:ascii="Verdana" w:hAnsi="Verdana" w:cs="Times New Roman"/>
        </w:rPr>
        <w:t xml:space="preserve"> not receive</w:t>
      </w:r>
      <w:r w:rsidR="00CA4399" w:rsidRPr="00106A79">
        <w:rPr>
          <w:rFonts w:ascii="Verdana" w:hAnsi="Verdana" w:cs="Times New Roman"/>
        </w:rPr>
        <w:t>d</w:t>
      </w:r>
      <w:r w:rsidRPr="00106A79">
        <w:rPr>
          <w:rFonts w:ascii="Verdana" w:hAnsi="Verdana" w:cs="Times New Roman"/>
        </w:rPr>
        <w:t xml:space="preserve"> it, and a group who neither requested nor received it. In comparison with this last group, the odds of health-related job loss in men from the first were reduced 76%, but in those who asked and went without, they were raised </w:t>
      </w:r>
      <w:r w:rsidR="00367263">
        <w:rPr>
          <w:rFonts w:ascii="Verdana" w:hAnsi="Verdana" w:cs="Times New Roman"/>
        </w:rPr>
        <w:t>&gt;2</w:t>
      </w:r>
      <w:r w:rsidRPr="00106A79">
        <w:rPr>
          <w:rFonts w:ascii="Verdana" w:hAnsi="Verdana" w:cs="Times New Roman"/>
        </w:rPr>
        <w:t>-fold.</w:t>
      </w:r>
      <w:r w:rsidR="00F40FCB" w:rsidRPr="00106A79">
        <w:rPr>
          <w:rFonts w:ascii="Verdana" w:hAnsi="Verdana" w:cs="Times New Roman"/>
        </w:rPr>
        <w:t xml:space="preserve"> </w:t>
      </w:r>
    </w:p>
    <w:p w14:paraId="7728B210" w14:textId="77777777" w:rsidR="00A12F24" w:rsidRPr="00106A79" w:rsidRDefault="00A12F24" w:rsidP="00106A79">
      <w:pPr>
        <w:spacing w:line="480" w:lineRule="auto"/>
        <w:rPr>
          <w:rFonts w:ascii="Verdana" w:hAnsi="Verdana" w:cs="Times New Roman"/>
        </w:rPr>
      </w:pPr>
    </w:p>
    <w:p w14:paraId="6F441794" w14:textId="6D1460BE" w:rsidR="00A12F24" w:rsidRPr="00106A79" w:rsidRDefault="00A12F24" w:rsidP="00106A79">
      <w:pPr>
        <w:spacing w:line="480" w:lineRule="auto"/>
        <w:rPr>
          <w:rFonts w:ascii="Verdana" w:hAnsi="Verdana"/>
        </w:rPr>
      </w:pPr>
      <w:r w:rsidRPr="00106A79">
        <w:rPr>
          <w:rFonts w:ascii="Verdana" w:hAnsi="Verdana" w:cs="Times New Roman"/>
        </w:rPr>
        <w:t>In a survey of Danish employees</w:t>
      </w:r>
      <w:r w:rsidR="00221D57" w:rsidRPr="00106A79">
        <w:rPr>
          <w:rFonts w:ascii="Verdana" w:hAnsi="Verdana" w:cs="Times New Roman"/>
        </w:rPr>
        <w:t xml:space="preserve"> [</w:t>
      </w:r>
      <w:r w:rsidR="00A250CF" w:rsidRPr="0082121C">
        <w:rPr>
          <w:rFonts w:ascii="Verdana" w:hAnsi="Verdana" w:cs="Times New Roman"/>
        </w:rPr>
        <w:t>3</w:t>
      </w:r>
      <w:r w:rsidR="00864254" w:rsidRPr="0082121C">
        <w:rPr>
          <w:rFonts w:ascii="Verdana" w:hAnsi="Verdana" w:cs="Times New Roman"/>
        </w:rPr>
        <w:t>8</w:t>
      </w:r>
      <w:r w:rsidR="00367263">
        <w:rPr>
          <w:rFonts w:ascii="Verdana" w:hAnsi="Verdana" w:cs="Times New Roman"/>
        </w:rPr>
        <w:t>]</w:t>
      </w:r>
      <w:r w:rsidRPr="00106A79">
        <w:rPr>
          <w:rFonts w:ascii="Verdana" w:hAnsi="Verdana" w:cs="Times New Roman"/>
        </w:rPr>
        <w:t>, firms with flexible employment practices had only half the two-year incidence of work disability from MSDs relative to traditionally organised firms.</w:t>
      </w:r>
      <w:r w:rsidRPr="00106A79">
        <w:rPr>
          <w:rFonts w:ascii="Verdana" w:hAnsi="Verdana"/>
        </w:rPr>
        <w:t xml:space="preserve"> </w:t>
      </w:r>
    </w:p>
    <w:p w14:paraId="22498E11" w14:textId="77777777" w:rsidR="00A12F24" w:rsidRPr="00106A79" w:rsidRDefault="00A12F24" w:rsidP="00106A79">
      <w:pPr>
        <w:spacing w:line="480" w:lineRule="auto"/>
        <w:rPr>
          <w:rFonts w:ascii="Verdana" w:hAnsi="Verdana" w:cs="Times New Roman"/>
        </w:rPr>
      </w:pPr>
    </w:p>
    <w:p w14:paraId="7ADBDB0B" w14:textId="41DFFED0" w:rsidR="00C33DE9" w:rsidRPr="00106A79" w:rsidRDefault="00C33DE9" w:rsidP="00106A79">
      <w:pPr>
        <w:spacing w:line="480" w:lineRule="auto"/>
        <w:rPr>
          <w:rFonts w:ascii="Verdana" w:hAnsi="Verdana" w:cs="Times New Roman"/>
        </w:rPr>
      </w:pPr>
      <w:r w:rsidRPr="00106A79">
        <w:rPr>
          <w:rFonts w:ascii="Verdana" w:hAnsi="Verdana" w:cs="Times New Roman"/>
        </w:rPr>
        <w:t>In the Health and Retirement Survey</w:t>
      </w:r>
      <w:r w:rsidR="00BF7D08" w:rsidRPr="00106A79">
        <w:rPr>
          <w:rFonts w:ascii="Verdana" w:hAnsi="Verdana" w:cs="Times New Roman"/>
        </w:rPr>
        <w:t xml:space="preserve"> [</w:t>
      </w:r>
      <w:r w:rsidR="00864254">
        <w:rPr>
          <w:rFonts w:ascii="Verdana" w:hAnsi="Verdana" w:cs="Times New Roman"/>
        </w:rPr>
        <w:t>74</w:t>
      </w:r>
      <w:r w:rsidR="00BF7D08" w:rsidRPr="00106A79">
        <w:rPr>
          <w:rFonts w:ascii="Verdana" w:hAnsi="Verdana" w:cs="Times New Roman"/>
        </w:rPr>
        <w:t>]</w:t>
      </w:r>
      <w:r w:rsidRPr="00106A79">
        <w:rPr>
          <w:rFonts w:ascii="Verdana" w:hAnsi="Verdana" w:cs="Times New Roman"/>
        </w:rPr>
        <w:t xml:space="preserve">, </w:t>
      </w:r>
      <w:r w:rsidR="00D25B70">
        <w:rPr>
          <w:rFonts w:ascii="Verdana" w:hAnsi="Verdana" w:cs="Times New Roman"/>
        </w:rPr>
        <w:t>&lt;20% of</w:t>
      </w:r>
      <w:r w:rsidRPr="00106A79">
        <w:rPr>
          <w:rFonts w:ascii="Verdana" w:hAnsi="Verdana" w:cs="Times New Roman"/>
        </w:rPr>
        <w:t xml:space="preserve"> adults aged 51</w:t>
      </w:r>
      <w:r w:rsidR="00D25B70">
        <w:rPr>
          <w:rFonts w:ascii="Verdana" w:hAnsi="Verdana" w:cs="Times New Roman"/>
        </w:rPr>
        <w:t>-</w:t>
      </w:r>
      <w:r w:rsidRPr="00106A79">
        <w:rPr>
          <w:rFonts w:ascii="Verdana" w:hAnsi="Verdana" w:cs="Times New Roman"/>
        </w:rPr>
        <w:t xml:space="preserve">61 years who reported </w:t>
      </w:r>
      <w:r w:rsidR="00BF7D08" w:rsidRPr="00106A79">
        <w:rPr>
          <w:rFonts w:ascii="Verdana" w:hAnsi="Verdana" w:cs="Times New Roman"/>
        </w:rPr>
        <w:t xml:space="preserve">working with a musculoskeletal disability </w:t>
      </w:r>
      <w:r w:rsidR="00D25B70">
        <w:rPr>
          <w:rFonts w:ascii="Verdana" w:hAnsi="Verdana" w:cs="Times New Roman"/>
        </w:rPr>
        <w:t>had received</w:t>
      </w:r>
      <w:r w:rsidR="00BF7D08" w:rsidRPr="00106A79">
        <w:rPr>
          <w:rFonts w:ascii="Verdana" w:hAnsi="Verdana" w:cs="Times New Roman"/>
        </w:rPr>
        <w:t xml:space="preserve"> an </w:t>
      </w:r>
      <w:r w:rsidR="00BF7D08" w:rsidRPr="00106A79">
        <w:rPr>
          <w:rFonts w:ascii="Verdana" w:hAnsi="Verdana" w:cs="Times New Roman"/>
        </w:rPr>
        <w:lastRenderedPageBreak/>
        <w:t>accommodation at work (e.g. someone to help them out, reduced working hours, rest periods, an altered job</w:t>
      </w:r>
      <w:r w:rsidR="00367263">
        <w:rPr>
          <w:rFonts w:ascii="Verdana" w:hAnsi="Verdana" w:cs="Times New Roman"/>
        </w:rPr>
        <w:t>,</w:t>
      </w:r>
      <w:r w:rsidR="00BF7D08" w:rsidRPr="00106A79">
        <w:rPr>
          <w:rFonts w:ascii="Verdana" w:hAnsi="Verdana" w:cs="Times New Roman"/>
        </w:rPr>
        <w:t xml:space="preserve"> special equipment). Over the following two years, 25% of this group discontinued work. Rates of job loss, were lower, however, only in individuals fortunate enough to enjoy the help of colleagues.</w:t>
      </w:r>
    </w:p>
    <w:p w14:paraId="5F6F3007" w14:textId="77777777" w:rsidR="00F40FCB" w:rsidRPr="00106A79" w:rsidRDefault="00F40FCB" w:rsidP="00106A79">
      <w:pPr>
        <w:spacing w:line="480" w:lineRule="auto"/>
        <w:rPr>
          <w:rFonts w:ascii="Verdana" w:hAnsi="Verdana" w:cs="Times New Roman"/>
        </w:rPr>
      </w:pPr>
    </w:p>
    <w:p w14:paraId="47926046" w14:textId="5CAAEFB8" w:rsidR="00C33DE9" w:rsidRPr="00106A79" w:rsidRDefault="00F40FCB" w:rsidP="00106A79">
      <w:pPr>
        <w:spacing w:line="480" w:lineRule="auto"/>
        <w:rPr>
          <w:rFonts w:ascii="Verdana" w:hAnsi="Verdana" w:cs="Times New Roman"/>
        </w:rPr>
      </w:pPr>
      <w:r w:rsidRPr="00106A79">
        <w:rPr>
          <w:rFonts w:ascii="Verdana" w:hAnsi="Verdana" w:cs="Times New Roman"/>
        </w:rPr>
        <w:t>These data suggest that employers may be able to increase work retention</w:t>
      </w:r>
      <w:r w:rsidR="007A7C13" w:rsidRPr="00106A79">
        <w:rPr>
          <w:rFonts w:ascii="Verdana" w:hAnsi="Verdana" w:cs="Times New Roman"/>
        </w:rPr>
        <w:t xml:space="preserve"> in </w:t>
      </w:r>
      <w:r w:rsidR="00D23A06" w:rsidRPr="00106A79">
        <w:rPr>
          <w:rFonts w:ascii="Verdana" w:hAnsi="Verdana" w:cs="Times New Roman"/>
        </w:rPr>
        <w:t xml:space="preserve">older </w:t>
      </w:r>
      <w:r w:rsidR="007A7C13" w:rsidRPr="00106A79">
        <w:rPr>
          <w:rFonts w:ascii="Verdana" w:hAnsi="Verdana" w:cs="Times New Roman"/>
        </w:rPr>
        <w:t>people with MSD</w:t>
      </w:r>
      <w:r w:rsidR="00027201" w:rsidRPr="00106A79">
        <w:rPr>
          <w:rFonts w:ascii="Verdana" w:hAnsi="Verdana" w:cs="Times New Roman"/>
        </w:rPr>
        <w:t>s</w:t>
      </w:r>
      <w:r w:rsidR="007A7C13" w:rsidRPr="00106A79">
        <w:rPr>
          <w:rFonts w:ascii="Verdana" w:hAnsi="Verdana" w:cs="Times New Roman"/>
        </w:rPr>
        <w:t xml:space="preserve"> </w:t>
      </w:r>
      <w:r w:rsidRPr="00106A79">
        <w:rPr>
          <w:rFonts w:ascii="Verdana" w:hAnsi="Verdana" w:cs="Times New Roman"/>
        </w:rPr>
        <w:t xml:space="preserve">if more adaptive and flexible work patterns can be offered. </w:t>
      </w:r>
    </w:p>
    <w:p w14:paraId="55842E34" w14:textId="77777777" w:rsidR="007A7C13" w:rsidRPr="00106A79" w:rsidRDefault="007A7C13" w:rsidP="00106A79">
      <w:pPr>
        <w:spacing w:line="480" w:lineRule="auto"/>
        <w:rPr>
          <w:rFonts w:ascii="Verdana" w:hAnsi="Verdana" w:cs="Times New Roman"/>
        </w:rPr>
      </w:pPr>
    </w:p>
    <w:p w14:paraId="4AED5363" w14:textId="77777777" w:rsidR="00A12F24" w:rsidRPr="00106A79" w:rsidRDefault="00A12F24" w:rsidP="00106A79">
      <w:pPr>
        <w:spacing w:line="480" w:lineRule="auto"/>
        <w:rPr>
          <w:rFonts w:ascii="Verdana" w:hAnsi="Verdana" w:cs="Times New Roman"/>
          <w:i/>
        </w:rPr>
      </w:pPr>
      <w:r w:rsidRPr="00106A79">
        <w:rPr>
          <w:rFonts w:ascii="Verdana" w:hAnsi="Verdana" w:cs="Times New Roman"/>
          <w:i/>
        </w:rPr>
        <w:t>Osteoarthritis</w:t>
      </w:r>
    </w:p>
    <w:p w14:paraId="0DA4D648" w14:textId="7C255563" w:rsidR="00A12F24" w:rsidRPr="00106A79" w:rsidRDefault="00A12F24" w:rsidP="00106A79">
      <w:pPr>
        <w:spacing w:line="480" w:lineRule="auto"/>
        <w:rPr>
          <w:rFonts w:ascii="Verdana" w:hAnsi="Verdana" w:cs="Times New Roman"/>
        </w:rPr>
      </w:pPr>
      <w:r w:rsidRPr="00106A79">
        <w:rPr>
          <w:rFonts w:ascii="Verdana" w:hAnsi="Verdana" w:cs="Times New Roman"/>
        </w:rPr>
        <w:t xml:space="preserve">The review </w:t>
      </w:r>
      <w:r w:rsidR="00526991" w:rsidRPr="00106A79">
        <w:rPr>
          <w:rFonts w:ascii="Verdana" w:hAnsi="Verdana" w:cs="Times New Roman"/>
        </w:rPr>
        <w:t xml:space="preserve">by Palmer </w:t>
      </w:r>
      <w:r w:rsidR="00526991" w:rsidRPr="00106A79">
        <w:rPr>
          <w:rFonts w:ascii="Verdana" w:hAnsi="Verdana" w:cs="Times New Roman"/>
          <w:i/>
        </w:rPr>
        <w:t>et al</w:t>
      </w:r>
      <w:r w:rsidR="00526991" w:rsidRPr="00106A79">
        <w:rPr>
          <w:rFonts w:ascii="Verdana" w:hAnsi="Verdana" w:cs="Times New Roman"/>
        </w:rPr>
        <w:t xml:space="preserve"> [</w:t>
      </w:r>
      <w:r w:rsidR="00864254">
        <w:rPr>
          <w:rFonts w:ascii="Verdana" w:hAnsi="Verdana" w:cs="Times New Roman"/>
        </w:rPr>
        <w:t>67</w:t>
      </w:r>
      <w:r w:rsidR="00526991" w:rsidRPr="00106A79">
        <w:rPr>
          <w:rFonts w:ascii="Verdana" w:hAnsi="Verdana" w:cs="Times New Roman"/>
        </w:rPr>
        <w:t>]</w:t>
      </w:r>
      <w:r w:rsidRPr="00106A79">
        <w:rPr>
          <w:rFonts w:ascii="Verdana" w:hAnsi="Verdana" w:cs="Times New Roman"/>
        </w:rPr>
        <w:t xml:space="preserve"> found no trials on interventions to promote work pa</w:t>
      </w:r>
      <w:r w:rsidR="00526991" w:rsidRPr="00106A79">
        <w:rPr>
          <w:rFonts w:ascii="Verdana" w:hAnsi="Verdana" w:cs="Times New Roman"/>
        </w:rPr>
        <w:t>rticipation in patients with OA, while</w:t>
      </w:r>
      <w:r w:rsidRPr="00106A79">
        <w:rPr>
          <w:rFonts w:ascii="Verdana" w:hAnsi="Verdana" w:cs="Times New Roman"/>
        </w:rPr>
        <w:t xml:space="preserve"> </w:t>
      </w:r>
      <w:r w:rsidR="00526991" w:rsidRPr="00106A79">
        <w:rPr>
          <w:rFonts w:ascii="Verdana" w:hAnsi="Verdana" w:cs="Times New Roman"/>
        </w:rPr>
        <w:t>a</w:t>
      </w:r>
      <w:r w:rsidR="00120486" w:rsidRPr="00106A79">
        <w:rPr>
          <w:rFonts w:ascii="Verdana" w:hAnsi="Verdana" w:cs="Times New Roman"/>
        </w:rPr>
        <w:t>nother review</w:t>
      </w:r>
      <w:r w:rsidR="00526991" w:rsidRPr="00106A79">
        <w:rPr>
          <w:rFonts w:ascii="Verdana" w:hAnsi="Verdana" w:cs="Times New Roman"/>
        </w:rPr>
        <w:t xml:space="preserve"> [</w:t>
      </w:r>
      <w:r w:rsidR="00864254">
        <w:rPr>
          <w:rFonts w:ascii="Verdana" w:hAnsi="Verdana" w:cs="Times New Roman"/>
        </w:rPr>
        <w:t>75</w:t>
      </w:r>
      <w:r w:rsidR="00526991" w:rsidRPr="00106A79">
        <w:rPr>
          <w:rFonts w:ascii="Verdana" w:hAnsi="Verdana" w:cs="Times New Roman"/>
        </w:rPr>
        <w:t>]</w:t>
      </w:r>
      <w:r w:rsidR="00120486" w:rsidRPr="00106A79">
        <w:rPr>
          <w:rFonts w:ascii="Verdana" w:hAnsi="Verdana" w:cs="Times New Roman"/>
        </w:rPr>
        <w:t xml:space="preserve">, on vocational rehabilitation </w:t>
      </w:r>
      <w:r w:rsidR="00367263">
        <w:rPr>
          <w:rFonts w:ascii="Verdana" w:hAnsi="Verdana" w:cs="Times New Roman"/>
        </w:rPr>
        <w:t>and</w:t>
      </w:r>
      <w:r w:rsidR="00120486" w:rsidRPr="00106A79">
        <w:rPr>
          <w:rFonts w:ascii="Verdana" w:hAnsi="Verdana" w:cs="Times New Roman"/>
        </w:rPr>
        <w:t xml:space="preserve"> chronic arthritis</w:t>
      </w:r>
      <w:r w:rsidR="00526991" w:rsidRPr="00106A79">
        <w:rPr>
          <w:rFonts w:ascii="Verdana" w:hAnsi="Verdana" w:cs="Times New Roman"/>
        </w:rPr>
        <w:t xml:space="preserve">, found </w:t>
      </w:r>
      <w:r w:rsidR="00D25B70">
        <w:rPr>
          <w:rFonts w:ascii="Verdana" w:hAnsi="Verdana" w:cs="Times New Roman"/>
        </w:rPr>
        <w:t xml:space="preserve">the evidence </w:t>
      </w:r>
      <w:r w:rsidR="00526991" w:rsidRPr="00106A79">
        <w:rPr>
          <w:rFonts w:ascii="Verdana" w:hAnsi="Verdana" w:cs="Times New Roman"/>
        </w:rPr>
        <w:t>to be “scanty”.</w:t>
      </w:r>
      <w:r w:rsidR="000115CA" w:rsidRPr="00106A79">
        <w:rPr>
          <w:rFonts w:ascii="Verdana" w:hAnsi="Verdana" w:cs="Times New Roman"/>
        </w:rPr>
        <w:t xml:space="preserve"> </w:t>
      </w:r>
      <w:r w:rsidR="00B046F6">
        <w:rPr>
          <w:rFonts w:ascii="Verdana" w:hAnsi="Verdana" w:cs="Times New Roman"/>
        </w:rPr>
        <w:t>H</w:t>
      </w:r>
      <w:r w:rsidRPr="00106A79">
        <w:rPr>
          <w:rFonts w:ascii="Verdana" w:hAnsi="Verdana" w:cs="Times New Roman"/>
        </w:rPr>
        <w:t xml:space="preserve">owever, a cross-sectional study from </w:t>
      </w:r>
      <w:r w:rsidR="00AA6636" w:rsidRPr="00106A79">
        <w:rPr>
          <w:rFonts w:ascii="Verdana" w:hAnsi="Verdana" w:cs="Times New Roman"/>
        </w:rPr>
        <w:t>Johnston County</w:t>
      </w:r>
      <w:r w:rsidRPr="00106A79">
        <w:rPr>
          <w:rFonts w:ascii="Verdana" w:hAnsi="Verdana" w:cs="Times New Roman"/>
        </w:rPr>
        <w:t xml:space="preserve"> [</w:t>
      </w:r>
      <w:r w:rsidR="00864254">
        <w:rPr>
          <w:rFonts w:ascii="Verdana" w:hAnsi="Verdana" w:cs="Times New Roman"/>
        </w:rPr>
        <w:t>76</w:t>
      </w:r>
      <w:r w:rsidRPr="00106A79">
        <w:rPr>
          <w:rFonts w:ascii="Verdana" w:hAnsi="Verdana" w:cs="Times New Roman"/>
        </w:rPr>
        <w:t xml:space="preserve">] reported that symptomatic knee OA was significantly less common in workplaces </w:t>
      </w:r>
      <w:r w:rsidR="00367263">
        <w:rPr>
          <w:rFonts w:ascii="Verdana" w:hAnsi="Verdana" w:cs="Times New Roman"/>
        </w:rPr>
        <w:t>with</w:t>
      </w:r>
      <w:r w:rsidRPr="00106A79">
        <w:rPr>
          <w:rFonts w:ascii="Verdana" w:hAnsi="Verdana" w:cs="Times New Roman"/>
        </w:rPr>
        <w:t xml:space="preserve"> supportive employment policies (those allowing job switching and paid sic</w:t>
      </w:r>
      <w:r w:rsidR="00DE3E1D" w:rsidRPr="00106A79">
        <w:rPr>
          <w:rFonts w:ascii="Verdana" w:hAnsi="Verdana" w:cs="Times New Roman"/>
        </w:rPr>
        <w:t>k leave or disability benefits).</w:t>
      </w:r>
      <w:r w:rsidRPr="00106A79">
        <w:rPr>
          <w:rFonts w:ascii="Verdana" w:hAnsi="Verdana" w:cs="Times New Roman"/>
        </w:rPr>
        <w:t xml:space="preserve"> </w:t>
      </w:r>
      <w:r w:rsidR="00DE3E1D" w:rsidRPr="00106A79">
        <w:rPr>
          <w:rFonts w:ascii="Verdana" w:hAnsi="Verdana" w:cs="Times New Roman"/>
        </w:rPr>
        <w:t>T</w:t>
      </w:r>
      <w:r w:rsidRPr="00106A79">
        <w:rPr>
          <w:rFonts w:ascii="Verdana" w:hAnsi="Verdana" w:cs="Times New Roman"/>
        </w:rPr>
        <w:t>his apparent benefit could arise from selection out of work of affected cases</w:t>
      </w:r>
      <w:r w:rsidR="00DE3E1D" w:rsidRPr="00106A79">
        <w:rPr>
          <w:rFonts w:ascii="Verdana" w:hAnsi="Verdana" w:cs="Times New Roman"/>
        </w:rPr>
        <w:t>, so</w:t>
      </w:r>
      <w:r w:rsidRPr="00106A79">
        <w:rPr>
          <w:rFonts w:ascii="Verdana" w:hAnsi="Verdana" w:cs="Times New Roman"/>
        </w:rPr>
        <w:t xml:space="preserve"> longitudinal research is needed to clarify interpretation. </w:t>
      </w:r>
    </w:p>
    <w:p w14:paraId="07BD4F6B" w14:textId="77777777" w:rsidR="00DE3E1D" w:rsidRPr="00106A79" w:rsidRDefault="00DE3E1D" w:rsidP="00106A79">
      <w:pPr>
        <w:spacing w:line="480" w:lineRule="auto"/>
        <w:rPr>
          <w:rFonts w:ascii="Verdana" w:hAnsi="Verdana" w:cs="Times New Roman"/>
        </w:rPr>
      </w:pPr>
    </w:p>
    <w:p w14:paraId="049C6563" w14:textId="58653B0D" w:rsidR="00DE3E1D" w:rsidRPr="00106A79" w:rsidRDefault="00DE3E1D" w:rsidP="00106A79">
      <w:pPr>
        <w:spacing w:line="480" w:lineRule="auto"/>
        <w:rPr>
          <w:rFonts w:ascii="Verdana" w:hAnsi="Verdana" w:cs="Times New Roman"/>
        </w:rPr>
      </w:pPr>
      <w:r w:rsidRPr="00106A79">
        <w:rPr>
          <w:rFonts w:ascii="Verdana" w:hAnsi="Verdana" w:cs="Times New Roman"/>
        </w:rPr>
        <w:t>A second study</w:t>
      </w:r>
      <w:r w:rsidR="00AA6636" w:rsidRPr="00106A79">
        <w:rPr>
          <w:rFonts w:ascii="Verdana" w:hAnsi="Verdana" w:cs="Times New Roman"/>
        </w:rPr>
        <w:t xml:space="preserve"> [</w:t>
      </w:r>
      <w:r w:rsidR="00864254">
        <w:rPr>
          <w:rFonts w:ascii="Verdana" w:hAnsi="Verdana" w:cs="Times New Roman"/>
        </w:rPr>
        <w:t>77</w:t>
      </w:r>
      <w:r w:rsidR="00AA6636" w:rsidRPr="00106A79">
        <w:rPr>
          <w:rFonts w:ascii="Verdana" w:hAnsi="Verdana" w:cs="Times New Roman"/>
        </w:rPr>
        <w:t>]</w:t>
      </w:r>
      <w:r w:rsidRPr="00106A79">
        <w:rPr>
          <w:rFonts w:ascii="Verdana" w:hAnsi="Verdana" w:cs="Times New Roman"/>
        </w:rPr>
        <w:t xml:space="preserve"> found a high rate of unemployment in patients </w:t>
      </w:r>
      <w:r w:rsidR="00D25B70">
        <w:rPr>
          <w:rFonts w:ascii="Verdana" w:hAnsi="Verdana" w:cs="Times New Roman"/>
        </w:rPr>
        <w:t>awaiting</w:t>
      </w:r>
      <w:r w:rsidRPr="00106A79">
        <w:rPr>
          <w:rFonts w:ascii="Verdana" w:hAnsi="Verdana" w:cs="Times New Roman"/>
        </w:rPr>
        <w:t xml:space="preserve"> </w:t>
      </w:r>
      <w:r w:rsidR="00D25B70">
        <w:rPr>
          <w:rFonts w:ascii="Verdana" w:hAnsi="Verdana" w:cs="Times New Roman"/>
        </w:rPr>
        <w:t>joint</w:t>
      </w:r>
      <w:r w:rsidRPr="00106A79">
        <w:rPr>
          <w:rFonts w:ascii="Verdana" w:hAnsi="Verdana" w:cs="Times New Roman"/>
        </w:rPr>
        <w:t xml:space="preserve"> replacement, arthroscopy </w:t>
      </w:r>
      <w:r w:rsidR="00367263">
        <w:rPr>
          <w:rFonts w:ascii="Verdana" w:hAnsi="Verdana" w:cs="Times New Roman"/>
        </w:rPr>
        <w:t>or</w:t>
      </w:r>
      <w:r w:rsidR="00367263" w:rsidRPr="00106A79">
        <w:rPr>
          <w:rFonts w:ascii="Verdana" w:hAnsi="Verdana" w:cs="Times New Roman"/>
        </w:rPr>
        <w:t xml:space="preserve"> </w:t>
      </w:r>
      <w:r w:rsidRPr="00106A79">
        <w:rPr>
          <w:rFonts w:ascii="Verdana" w:hAnsi="Verdana" w:cs="Times New Roman"/>
        </w:rPr>
        <w:t xml:space="preserve">hip resurfacing: 30% of those in work when symptoms began had quit their job because of their joint problem. Almost three-quarters had not been offered modifications to help them cope at work. </w:t>
      </w:r>
      <w:r w:rsidR="00367263">
        <w:rPr>
          <w:rFonts w:ascii="Verdana" w:hAnsi="Verdana" w:cs="Times New Roman"/>
        </w:rPr>
        <w:t>N</w:t>
      </w:r>
      <w:r w:rsidRPr="00106A79">
        <w:rPr>
          <w:rFonts w:ascii="Verdana" w:hAnsi="Verdana" w:cs="Times New Roman"/>
        </w:rPr>
        <w:t>on-sedentary employment carried a greater risk of health-related job loss than work mainly involving sitting (Hazard ratio</w:t>
      </w:r>
      <w:r w:rsidR="00D25B70">
        <w:rPr>
          <w:rFonts w:ascii="Verdana" w:hAnsi="Verdana" w:cs="Times New Roman"/>
        </w:rPr>
        <w:t xml:space="preserve"> (HR)</w:t>
      </w:r>
      <w:r w:rsidRPr="00106A79">
        <w:rPr>
          <w:rFonts w:ascii="Verdana" w:hAnsi="Verdana" w:cs="Times New Roman"/>
        </w:rPr>
        <w:t xml:space="preserve"> 2.7</w:t>
      </w:r>
      <w:r w:rsidR="00367263">
        <w:rPr>
          <w:rFonts w:ascii="Verdana" w:hAnsi="Verdana" w:cs="Times New Roman"/>
        </w:rPr>
        <w:t>)</w:t>
      </w:r>
      <w:r w:rsidR="007A7C13" w:rsidRPr="00106A79">
        <w:rPr>
          <w:rFonts w:ascii="Verdana" w:hAnsi="Verdana" w:cs="Times New Roman"/>
        </w:rPr>
        <w:t>. In addition</w:t>
      </w:r>
      <w:r w:rsidR="00027201" w:rsidRPr="00106A79">
        <w:rPr>
          <w:rFonts w:ascii="Verdana" w:hAnsi="Verdana" w:cs="Times New Roman"/>
        </w:rPr>
        <w:t>,</w:t>
      </w:r>
      <w:r w:rsidR="007A7C13" w:rsidRPr="00106A79">
        <w:rPr>
          <w:rFonts w:ascii="Verdana" w:hAnsi="Verdana" w:cs="Times New Roman"/>
        </w:rPr>
        <w:t xml:space="preserve"> </w:t>
      </w:r>
      <w:r w:rsidR="00367263" w:rsidRPr="00106A79">
        <w:rPr>
          <w:rFonts w:ascii="Verdana" w:hAnsi="Verdana" w:cs="Times New Roman"/>
        </w:rPr>
        <w:t>health</w:t>
      </w:r>
      <w:r w:rsidR="00367263">
        <w:rPr>
          <w:rFonts w:ascii="Verdana" w:hAnsi="Verdana" w:cs="Times New Roman"/>
        </w:rPr>
        <w:t>-</w:t>
      </w:r>
      <w:r w:rsidR="00367263" w:rsidRPr="00106A79">
        <w:rPr>
          <w:rFonts w:ascii="Verdana" w:hAnsi="Verdana" w:cs="Times New Roman"/>
        </w:rPr>
        <w:t>related job loss</w:t>
      </w:r>
      <w:r w:rsidR="00367263">
        <w:rPr>
          <w:rFonts w:ascii="Verdana" w:hAnsi="Verdana" w:cs="Times New Roman"/>
        </w:rPr>
        <w:t xml:space="preserve"> was greater in those</w:t>
      </w:r>
      <w:r w:rsidR="00367263" w:rsidRPr="00106A79">
        <w:rPr>
          <w:rFonts w:ascii="Verdana" w:hAnsi="Verdana" w:cs="Times New Roman"/>
        </w:rPr>
        <w:t xml:space="preserve"> employ</w:t>
      </w:r>
      <w:r w:rsidR="00367263">
        <w:rPr>
          <w:rFonts w:ascii="Verdana" w:hAnsi="Verdana" w:cs="Times New Roman"/>
        </w:rPr>
        <w:t>ed</w:t>
      </w:r>
      <w:r w:rsidR="00367263" w:rsidRPr="00106A79">
        <w:rPr>
          <w:rFonts w:ascii="Verdana" w:hAnsi="Verdana" w:cs="Times New Roman"/>
        </w:rPr>
        <w:t xml:space="preserve"> </w:t>
      </w:r>
      <w:r w:rsidRPr="00106A79">
        <w:rPr>
          <w:rFonts w:ascii="Verdana" w:hAnsi="Verdana" w:cs="Times New Roman"/>
        </w:rPr>
        <w:t xml:space="preserve">by a ‘micro’-firm </w:t>
      </w:r>
      <w:r w:rsidR="00367263">
        <w:rPr>
          <w:rFonts w:ascii="Verdana" w:hAnsi="Verdana" w:cs="Times New Roman"/>
        </w:rPr>
        <w:t>(</w:t>
      </w:r>
      <w:r w:rsidRPr="00106A79">
        <w:rPr>
          <w:rFonts w:ascii="Verdana" w:hAnsi="Verdana" w:cs="Times New Roman"/>
        </w:rPr>
        <w:t>&lt;10 employees</w:t>
      </w:r>
      <w:r w:rsidR="00367263">
        <w:rPr>
          <w:rFonts w:ascii="Verdana" w:hAnsi="Verdana" w:cs="Times New Roman"/>
        </w:rPr>
        <w:t>,</w:t>
      </w:r>
      <w:r w:rsidR="007A7C13" w:rsidRPr="00106A79">
        <w:rPr>
          <w:rFonts w:ascii="Verdana" w:hAnsi="Verdana" w:cs="Times New Roman"/>
        </w:rPr>
        <w:t xml:space="preserve"> </w:t>
      </w:r>
      <w:r w:rsidRPr="00106A79">
        <w:rPr>
          <w:rFonts w:ascii="Verdana" w:hAnsi="Verdana" w:cs="Times New Roman"/>
        </w:rPr>
        <w:t>HR 1.9)</w:t>
      </w:r>
      <w:r w:rsidR="00F0160F">
        <w:rPr>
          <w:rFonts w:ascii="Verdana" w:hAnsi="Verdana" w:cs="Times New Roman"/>
        </w:rPr>
        <w:t>,</w:t>
      </w:r>
      <w:r w:rsidRPr="00106A79">
        <w:rPr>
          <w:rFonts w:ascii="Verdana" w:hAnsi="Verdana" w:cs="Times New Roman"/>
        </w:rPr>
        <w:t xml:space="preserve"> </w:t>
      </w:r>
      <w:r w:rsidRPr="00106A79">
        <w:rPr>
          <w:rFonts w:ascii="Verdana" w:hAnsi="Verdana" w:cs="Times New Roman"/>
        </w:rPr>
        <w:lastRenderedPageBreak/>
        <w:t>presumably reflect</w:t>
      </w:r>
      <w:r w:rsidR="00F0160F">
        <w:rPr>
          <w:rFonts w:ascii="Verdana" w:hAnsi="Verdana" w:cs="Times New Roman"/>
        </w:rPr>
        <w:t>ing</w:t>
      </w:r>
      <w:r w:rsidRPr="00106A79">
        <w:rPr>
          <w:rFonts w:ascii="Verdana" w:hAnsi="Verdana" w:cs="Times New Roman"/>
        </w:rPr>
        <w:t xml:space="preserve"> </w:t>
      </w:r>
      <w:r w:rsidR="00F0160F">
        <w:rPr>
          <w:rFonts w:ascii="Verdana" w:hAnsi="Verdana" w:cs="Times New Roman"/>
        </w:rPr>
        <w:t>the</w:t>
      </w:r>
      <w:r w:rsidR="00F0160F" w:rsidRPr="00106A79">
        <w:rPr>
          <w:rFonts w:ascii="Verdana" w:hAnsi="Verdana" w:cs="Times New Roman"/>
        </w:rPr>
        <w:t xml:space="preserve"> </w:t>
      </w:r>
      <w:r w:rsidRPr="00106A79">
        <w:rPr>
          <w:rFonts w:ascii="Verdana" w:hAnsi="Verdana" w:cs="Times New Roman"/>
        </w:rPr>
        <w:t>limited flexibility of small employers to accommodate work sharing and alternative duties</w:t>
      </w:r>
      <w:r w:rsidR="00D94B8B">
        <w:rPr>
          <w:rFonts w:ascii="Verdana" w:hAnsi="Verdana" w:cs="Times New Roman"/>
        </w:rPr>
        <w:t xml:space="preserve">. However, the study </w:t>
      </w:r>
      <w:r w:rsidRPr="00106A79">
        <w:rPr>
          <w:rFonts w:ascii="Verdana" w:hAnsi="Verdana" w:cs="Times New Roman"/>
        </w:rPr>
        <w:t xml:space="preserve">highlights measures that in some circumstances may be job protective. </w:t>
      </w:r>
    </w:p>
    <w:p w14:paraId="7EEA2C33" w14:textId="77777777" w:rsidR="00F147F1" w:rsidRPr="00106A79" w:rsidRDefault="00F147F1" w:rsidP="00106A79">
      <w:pPr>
        <w:spacing w:line="480" w:lineRule="auto"/>
        <w:rPr>
          <w:rFonts w:ascii="Verdana" w:hAnsi="Verdana" w:cs="Times New Roman"/>
        </w:rPr>
      </w:pPr>
    </w:p>
    <w:p w14:paraId="78AEAB4B" w14:textId="77777777" w:rsidR="00F147F1" w:rsidRPr="00106A79" w:rsidRDefault="00F147F1" w:rsidP="00106A79">
      <w:pPr>
        <w:spacing w:line="480" w:lineRule="auto"/>
        <w:rPr>
          <w:rFonts w:ascii="Verdana" w:hAnsi="Verdana" w:cs="Times New Roman"/>
          <w:i/>
        </w:rPr>
      </w:pPr>
      <w:r w:rsidRPr="00106A79">
        <w:rPr>
          <w:rFonts w:ascii="Verdana" w:hAnsi="Verdana" w:cs="Times New Roman"/>
          <w:i/>
        </w:rPr>
        <w:t>Inflammatory arthritis</w:t>
      </w:r>
    </w:p>
    <w:p w14:paraId="5FEE455E" w14:textId="4A5EFA49" w:rsidR="0068559F" w:rsidRPr="00106A79" w:rsidRDefault="00DE3E1D" w:rsidP="00106A79">
      <w:pPr>
        <w:spacing w:line="480" w:lineRule="auto"/>
        <w:rPr>
          <w:rFonts w:ascii="Verdana" w:hAnsi="Verdana" w:cs="Times New Roman"/>
        </w:rPr>
      </w:pPr>
      <w:r w:rsidRPr="00106A79">
        <w:rPr>
          <w:rFonts w:ascii="Verdana" w:hAnsi="Verdana" w:cs="Times New Roman"/>
        </w:rPr>
        <w:t xml:space="preserve">A question </w:t>
      </w:r>
      <w:r w:rsidR="00F147F1" w:rsidRPr="00106A79">
        <w:rPr>
          <w:rFonts w:ascii="Verdana" w:hAnsi="Verdana" w:cs="Times New Roman"/>
        </w:rPr>
        <w:t>of particular interest</w:t>
      </w:r>
      <w:r w:rsidR="00CB6C61" w:rsidRPr="00106A79">
        <w:rPr>
          <w:rFonts w:ascii="Verdana" w:hAnsi="Verdana" w:cs="Times New Roman"/>
        </w:rPr>
        <w:t xml:space="preserve"> to</w:t>
      </w:r>
      <w:r w:rsidRPr="00106A79">
        <w:rPr>
          <w:rFonts w:ascii="Verdana" w:hAnsi="Verdana" w:cs="Times New Roman"/>
        </w:rPr>
        <w:t xml:space="preserve"> physician</w:t>
      </w:r>
      <w:r w:rsidR="0068559F" w:rsidRPr="00106A79">
        <w:rPr>
          <w:rFonts w:ascii="Verdana" w:hAnsi="Verdana" w:cs="Times New Roman"/>
        </w:rPr>
        <w:t>s</w:t>
      </w:r>
      <w:r w:rsidRPr="00106A79">
        <w:rPr>
          <w:rFonts w:ascii="Verdana" w:hAnsi="Verdana" w:cs="Times New Roman"/>
        </w:rPr>
        <w:t xml:space="preserve"> is whether better control of symptoms</w:t>
      </w:r>
      <w:r w:rsidR="00B046F6">
        <w:rPr>
          <w:rFonts w:ascii="Verdana" w:hAnsi="Verdana" w:cs="Times New Roman"/>
        </w:rPr>
        <w:t xml:space="preserve"> </w:t>
      </w:r>
      <w:r w:rsidRPr="00106A79">
        <w:rPr>
          <w:rFonts w:ascii="Verdana" w:hAnsi="Verdana" w:cs="Times New Roman"/>
        </w:rPr>
        <w:t xml:space="preserve">improves work participation. </w:t>
      </w:r>
      <w:r w:rsidR="00CB6C61" w:rsidRPr="00106A79">
        <w:rPr>
          <w:rFonts w:ascii="Verdana" w:hAnsi="Verdana" w:cs="Times New Roman"/>
        </w:rPr>
        <w:t>Intuitively, this should follow</w:t>
      </w:r>
      <w:r w:rsidR="002A7757" w:rsidRPr="00106A79">
        <w:rPr>
          <w:rFonts w:ascii="Verdana" w:hAnsi="Verdana" w:cs="Times New Roman"/>
        </w:rPr>
        <w:t>,</w:t>
      </w:r>
      <w:r w:rsidR="00CB6C61" w:rsidRPr="00106A79">
        <w:rPr>
          <w:rFonts w:ascii="Verdana" w:hAnsi="Verdana" w:cs="Times New Roman"/>
        </w:rPr>
        <w:t xml:space="preserve"> but</w:t>
      </w:r>
      <w:r w:rsidR="00F147F1" w:rsidRPr="00106A79">
        <w:rPr>
          <w:rFonts w:ascii="Verdana" w:hAnsi="Verdana" w:cs="Times New Roman"/>
        </w:rPr>
        <w:t xml:space="preserve"> </w:t>
      </w:r>
      <w:r w:rsidR="00CB6C61" w:rsidRPr="00106A79">
        <w:rPr>
          <w:rFonts w:ascii="Verdana" w:hAnsi="Verdana" w:cs="Times New Roman"/>
        </w:rPr>
        <w:t xml:space="preserve">little </w:t>
      </w:r>
      <w:r w:rsidR="00F147F1" w:rsidRPr="00106A79">
        <w:rPr>
          <w:rFonts w:ascii="Verdana" w:hAnsi="Verdana" w:cs="Times New Roman"/>
        </w:rPr>
        <w:t>has been</w:t>
      </w:r>
      <w:r w:rsidR="00CB6C61" w:rsidRPr="00106A79">
        <w:rPr>
          <w:rFonts w:ascii="Verdana" w:hAnsi="Verdana" w:cs="Times New Roman"/>
        </w:rPr>
        <w:t xml:space="preserve"> published </w:t>
      </w:r>
      <w:r w:rsidR="002A7757" w:rsidRPr="00106A79">
        <w:rPr>
          <w:rFonts w:ascii="Verdana" w:hAnsi="Verdana" w:cs="Times New Roman"/>
        </w:rPr>
        <w:t>for example on drug treatments for OA or soft tissue rheumatism and work participation.</w:t>
      </w:r>
      <w:r w:rsidR="00F147F1" w:rsidRPr="00106A79">
        <w:rPr>
          <w:rFonts w:ascii="Verdana" w:hAnsi="Verdana" w:cs="Times New Roman"/>
        </w:rPr>
        <w:t xml:space="preserve"> </w:t>
      </w:r>
      <w:r w:rsidR="0068559F" w:rsidRPr="00106A79">
        <w:rPr>
          <w:rFonts w:ascii="Verdana" w:hAnsi="Verdana" w:cs="Times New Roman"/>
        </w:rPr>
        <w:t xml:space="preserve"> </w:t>
      </w:r>
      <w:r w:rsidR="00F147F1" w:rsidRPr="00106A79">
        <w:rPr>
          <w:rFonts w:ascii="Verdana" w:hAnsi="Verdana" w:cs="Times New Roman"/>
        </w:rPr>
        <w:t>By contrast, there is interest</w:t>
      </w:r>
      <w:r w:rsidR="0068559F" w:rsidRPr="00106A79">
        <w:rPr>
          <w:rFonts w:ascii="Verdana" w:hAnsi="Verdana" w:cs="Times New Roman"/>
        </w:rPr>
        <w:t xml:space="preserve"> in, and a growing evidence base o</w:t>
      </w:r>
      <w:r w:rsidR="00F147F1" w:rsidRPr="00106A79">
        <w:rPr>
          <w:rFonts w:ascii="Verdana" w:hAnsi="Verdana" w:cs="Times New Roman"/>
        </w:rPr>
        <w:t xml:space="preserve">n the impact on work of disease-modifying and biologic drug treatments for inflammatory arthritis and spondylopathies.  </w:t>
      </w:r>
    </w:p>
    <w:p w14:paraId="52E8215B" w14:textId="77777777" w:rsidR="0068559F" w:rsidRPr="00106A79" w:rsidRDefault="0068559F" w:rsidP="00106A79">
      <w:pPr>
        <w:spacing w:line="480" w:lineRule="auto"/>
        <w:rPr>
          <w:rFonts w:ascii="Verdana" w:hAnsi="Verdana" w:cs="Times New Roman"/>
        </w:rPr>
      </w:pPr>
    </w:p>
    <w:p w14:paraId="2E5483B7" w14:textId="56B98139" w:rsidR="00B8097B" w:rsidRPr="00106A79" w:rsidRDefault="00F147F1" w:rsidP="00106A79">
      <w:pPr>
        <w:spacing w:line="480" w:lineRule="auto"/>
        <w:rPr>
          <w:rFonts w:ascii="Verdana" w:hAnsi="Verdana" w:cs="Times New Roman"/>
        </w:rPr>
      </w:pPr>
      <w:r w:rsidRPr="00106A79">
        <w:rPr>
          <w:rFonts w:ascii="Verdana" w:hAnsi="Verdana" w:cs="Times New Roman"/>
        </w:rPr>
        <w:t xml:space="preserve">This question is considered </w:t>
      </w:r>
      <w:r w:rsidR="00F0160F">
        <w:rPr>
          <w:rFonts w:ascii="Verdana" w:hAnsi="Verdana" w:cs="Times New Roman"/>
        </w:rPr>
        <w:t>f</w:t>
      </w:r>
      <w:r w:rsidRPr="00106A79">
        <w:rPr>
          <w:rFonts w:ascii="Verdana" w:hAnsi="Verdana" w:cs="Times New Roman"/>
        </w:rPr>
        <w:t xml:space="preserve">ully in </w:t>
      </w:r>
      <w:r w:rsidR="00315D3C" w:rsidRPr="00106A79">
        <w:rPr>
          <w:rFonts w:ascii="Verdana" w:hAnsi="Verdana" w:cs="Times New Roman"/>
        </w:rPr>
        <w:t xml:space="preserve">Chapters </w:t>
      </w:r>
      <w:r w:rsidR="00B5244E" w:rsidRPr="00106A79">
        <w:rPr>
          <w:rFonts w:ascii="Verdana" w:hAnsi="Verdana" w:cs="Times New Roman"/>
        </w:rPr>
        <w:t>11</w:t>
      </w:r>
      <w:r w:rsidR="008D3194" w:rsidRPr="00106A79">
        <w:rPr>
          <w:rFonts w:ascii="Verdana" w:hAnsi="Verdana" w:cs="Times New Roman"/>
        </w:rPr>
        <w:t xml:space="preserve"> and </w:t>
      </w:r>
      <w:r w:rsidR="00B5244E" w:rsidRPr="00106A79">
        <w:rPr>
          <w:rFonts w:ascii="Verdana" w:hAnsi="Verdana" w:cs="Times New Roman"/>
        </w:rPr>
        <w:t>12</w:t>
      </w:r>
      <w:r w:rsidR="008D3194" w:rsidRPr="00106A79">
        <w:rPr>
          <w:rFonts w:ascii="Verdana" w:hAnsi="Verdana" w:cs="Times New Roman"/>
        </w:rPr>
        <w:t xml:space="preserve">. Suffice it to say that for </w:t>
      </w:r>
      <w:r w:rsidR="00D94B8B">
        <w:rPr>
          <w:rFonts w:ascii="Verdana" w:hAnsi="Verdana" w:cs="Times New Roman"/>
        </w:rPr>
        <w:t>AS</w:t>
      </w:r>
      <w:r w:rsidR="008D3194" w:rsidRPr="00106A79">
        <w:rPr>
          <w:rFonts w:ascii="Verdana" w:hAnsi="Verdana" w:cs="Times New Roman"/>
        </w:rPr>
        <w:t>, a systematic review</w:t>
      </w:r>
      <w:r w:rsidR="00CD5610" w:rsidRPr="00106A79">
        <w:rPr>
          <w:rFonts w:ascii="Verdana" w:hAnsi="Verdana" w:cs="Times New Roman"/>
        </w:rPr>
        <w:t xml:space="preserve"> by van der Burg </w:t>
      </w:r>
      <w:r w:rsidR="00CD5610" w:rsidRPr="00106A79">
        <w:rPr>
          <w:rFonts w:ascii="Verdana" w:hAnsi="Verdana" w:cs="Times New Roman"/>
          <w:i/>
        </w:rPr>
        <w:t>et al</w:t>
      </w:r>
      <w:r w:rsidR="00CD5610" w:rsidRPr="00106A79">
        <w:rPr>
          <w:rFonts w:ascii="Verdana" w:hAnsi="Verdana" w:cs="Times New Roman"/>
        </w:rPr>
        <w:t xml:space="preserve"> [</w:t>
      </w:r>
      <w:r w:rsidR="00864254">
        <w:rPr>
          <w:rFonts w:ascii="Verdana" w:hAnsi="Verdana" w:cs="Times New Roman"/>
        </w:rPr>
        <w:t>78</w:t>
      </w:r>
      <w:r w:rsidR="00CD5610" w:rsidRPr="00106A79">
        <w:rPr>
          <w:rFonts w:ascii="Verdana" w:hAnsi="Verdana" w:cs="Times New Roman"/>
        </w:rPr>
        <w:t>]</w:t>
      </w:r>
      <w:r w:rsidR="008D3194" w:rsidRPr="00106A79">
        <w:rPr>
          <w:rFonts w:ascii="Verdana" w:hAnsi="Verdana" w:cs="Times New Roman"/>
        </w:rPr>
        <w:t xml:space="preserve"> drew guarded</w:t>
      </w:r>
      <w:r w:rsidR="0018342C" w:rsidRPr="00106A79">
        <w:rPr>
          <w:rFonts w:ascii="Verdana" w:hAnsi="Verdana" w:cs="Times New Roman"/>
        </w:rPr>
        <w:t>ly positive</w:t>
      </w:r>
      <w:r w:rsidR="008D3194" w:rsidRPr="00106A79">
        <w:rPr>
          <w:rFonts w:ascii="Verdana" w:hAnsi="Verdana" w:cs="Times New Roman"/>
        </w:rPr>
        <w:t xml:space="preserve"> conclusions: evidence </w:t>
      </w:r>
      <w:r w:rsidR="00D94B8B">
        <w:rPr>
          <w:rFonts w:ascii="Verdana" w:hAnsi="Verdana" w:cs="Times New Roman"/>
        </w:rPr>
        <w:t>was</w:t>
      </w:r>
      <w:r w:rsidR="00D94B8B" w:rsidRPr="00106A79">
        <w:rPr>
          <w:rFonts w:ascii="Verdana" w:hAnsi="Verdana" w:cs="Times New Roman"/>
        </w:rPr>
        <w:t xml:space="preserve"> </w:t>
      </w:r>
      <w:r w:rsidR="008D3194" w:rsidRPr="00106A79">
        <w:rPr>
          <w:rFonts w:ascii="Verdana" w:hAnsi="Verdana" w:cs="Times New Roman"/>
        </w:rPr>
        <w:t>foun</w:t>
      </w:r>
      <w:r w:rsidR="00CD5610" w:rsidRPr="00106A79">
        <w:rPr>
          <w:rFonts w:ascii="Verdana" w:hAnsi="Verdana" w:cs="Times New Roman"/>
        </w:rPr>
        <w:t>d that biologic therapy reduced</w:t>
      </w:r>
      <w:r w:rsidR="008D3194" w:rsidRPr="00106A79">
        <w:rPr>
          <w:rFonts w:ascii="Verdana" w:hAnsi="Verdana" w:cs="Times New Roman"/>
        </w:rPr>
        <w:t xml:space="preserve"> abs</w:t>
      </w:r>
      <w:r w:rsidR="00CD5610" w:rsidRPr="00106A79">
        <w:rPr>
          <w:rFonts w:ascii="Verdana" w:hAnsi="Verdana" w:cs="Times New Roman"/>
        </w:rPr>
        <w:t>en</w:t>
      </w:r>
      <w:r w:rsidR="0018342C" w:rsidRPr="00106A79">
        <w:rPr>
          <w:rFonts w:ascii="Verdana" w:hAnsi="Verdana" w:cs="Times New Roman"/>
        </w:rPr>
        <w:t>teeism,</w:t>
      </w:r>
      <w:r w:rsidR="00CD5610" w:rsidRPr="00106A79">
        <w:rPr>
          <w:rFonts w:ascii="Verdana" w:hAnsi="Verdana" w:cs="Times New Roman"/>
        </w:rPr>
        <w:t xml:space="preserve"> presenteeism, </w:t>
      </w:r>
      <w:r w:rsidR="008D3194" w:rsidRPr="00106A79">
        <w:rPr>
          <w:rFonts w:ascii="Verdana" w:hAnsi="Verdana" w:cs="Times New Roman"/>
        </w:rPr>
        <w:t xml:space="preserve">and </w:t>
      </w:r>
      <w:r w:rsidR="00CD5610" w:rsidRPr="00106A79">
        <w:rPr>
          <w:rFonts w:ascii="Verdana" w:hAnsi="Verdana" w:cs="Times New Roman"/>
        </w:rPr>
        <w:t>to a lesser extent</w:t>
      </w:r>
      <w:r w:rsidR="008D3194" w:rsidRPr="00106A79">
        <w:rPr>
          <w:rFonts w:ascii="Verdana" w:hAnsi="Verdana" w:cs="Times New Roman"/>
        </w:rPr>
        <w:t xml:space="preserve"> job loss, but studies were small </w:t>
      </w:r>
      <w:r w:rsidR="00CD5610" w:rsidRPr="00106A79">
        <w:rPr>
          <w:rFonts w:ascii="Verdana" w:hAnsi="Verdana" w:cs="Times New Roman"/>
        </w:rPr>
        <w:t>and with methodological limitations.</w:t>
      </w:r>
      <w:r w:rsidR="00E21446" w:rsidRPr="00106A79">
        <w:rPr>
          <w:rFonts w:ascii="Verdana" w:hAnsi="Verdana" w:cs="Times New Roman"/>
        </w:rPr>
        <w:t xml:space="preserve"> </w:t>
      </w:r>
      <w:r w:rsidR="00CD5610" w:rsidRPr="00106A79">
        <w:rPr>
          <w:rFonts w:ascii="Verdana" w:hAnsi="Verdana" w:cs="Times New Roman"/>
        </w:rPr>
        <w:t>For RA, a</w:t>
      </w:r>
      <w:r w:rsidR="00F0160F">
        <w:rPr>
          <w:rFonts w:ascii="Verdana" w:hAnsi="Verdana" w:cs="Times New Roman"/>
        </w:rPr>
        <w:t xml:space="preserve"> second</w:t>
      </w:r>
      <w:r w:rsidR="00CD5610" w:rsidRPr="00106A79">
        <w:rPr>
          <w:rFonts w:ascii="Verdana" w:hAnsi="Verdana" w:cs="Times New Roman"/>
        </w:rPr>
        <w:t xml:space="preserve"> review drew similar conclusions [</w:t>
      </w:r>
      <w:r w:rsidR="00864254">
        <w:rPr>
          <w:rFonts w:ascii="Verdana" w:hAnsi="Verdana" w:cs="Times New Roman"/>
        </w:rPr>
        <w:t>79</w:t>
      </w:r>
      <w:r w:rsidR="00CD5610" w:rsidRPr="00106A79">
        <w:rPr>
          <w:rFonts w:ascii="Verdana" w:hAnsi="Verdana" w:cs="Times New Roman"/>
        </w:rPr>
        <w:t>].</w:t>
      </w:r>
      <w:r w:rsidR="0018342C" w:rsidRPr="00106A79">
        <w:rPr>
          <w:rFonts w:ascii="Verdana" w:hAnsi="Verdana" w:cs="Times New Roman"/>
        </w:rPr>
        <w:t xml:space="preserve"> Employment status improved in four of 13 studies, absence from work in all 10 studies, and presenteeism in seven of nine studies</w:t>
      </w:r>
      <w:r w:rsidR="0068559F" w:rsidRPr="00106A79">
        <w:rPr>
          <w:rFonts w:ascii="Verdana" w:hAnsi="Verdana" w:cs="Times New Roman"/>
        </w:rPr>
        <w:t xml:space="preserve"> assess</w:t>
      </w:r>
      <w:r w:rsidR="00F0160F">
        <w:rPr>
          <w:rFonts w:ascii="Verdana" w:hAnsi="Verdana" w:cs="Times New Roman"/>
        </w:rPr>
        <w:t>ing</w:t>
      </w:r>
      <w:r w:rsidR="0068559F" w:rsidRPr="00106A79">
        <w:rPr>
          <w:rFonts w:ascii="Verdana" w:hAnsi="Verdana" w:cs="Times New Roman"/>
        </w:rPr>
        <w:t xml:space="preserve"> these outcomes.</w:t>
      </w:r>
      <w:r w:rsidR="000E7CF5" w:rsidRPr="00106A79">
        <w:rPr>
          <w:rFonts w:ascii="Verdana" w:hAnsi="Verdana" w:cs="Times New Roman"/>
        </w:rPr>
        <w:t xml:space="preserve">  </w:t>
      </w:r>
      <w:r w:rsidR="00F0160F">
        <w:rPr>
          <w:rFonts w:ascii="Verdana" w:hAnsi="Verdana" w:cs="Times New Roman"/>
        </w:rPr>
        <w:t>A</w:t>
      </w:r>
      <w:r w:rsidR="0018342C" w:rsidRPr="00106A79">
        <w:rPr>
          <w:rFonts w:ascii="Verdana" w:hAnsi="Verdana" w:cs="Times New Roman"/>
        </w:rPr>
        <w:t xml:space="preserve"> decline has been charte</w:t>
      </w:r>
      <w:r w:rsidR="0068559F" w:rsidRPr="00106A79">
        <w:rPr>
          <w:rFonts w:ascii="Verdana" w:hAnsi="Verdana" w:cs="Times New Roman"/>
        </w:rPr>
        <w:t>d in RA-related work disability</w:t>
      </w:r>
      <w:r w:rsidR="0018342C" w:rsidRPr="00106A79">
        <w:rPr>
          <w:rFonts w:ascii="Verdana" w:hAnsi="Verdana" w:cs="Times New Roman"/>
        </w:rPr>
        <w:t xml:space="preserve"> in Finland over the </w:t>
      </w:r>
      <w:r w:rsidR="00FC4011">
        <w:rPr>
          <w:rFonts w:ascii="Verdana" w:hAnsi="Verdana" w:cs="Times New Roman"/>
        </w:rPr>
        <w:t>time</w:t>
      </w:r>
      <w:r w:rsidR="00FC4011" w:rsidRPr="00106A79">
        <w:rPr>
          <w:rFonts w:ascii="Verdana" w:hAnsi="Verdana" w:cs="Times New Roman"/>
        </w:rPr>
        <w:t xml:space="preserve"> </w:t>
      </w:r>
      <w:r w:rsidR="0018342C" w:rsidRPr="00106A79">
        <w:rPr>
          <w:rFonts w:ascii="Verdana" w:hAnsi="Verdana" w:cs="Times New Roman"/>
        </w:rPr>
        <w:t xml:space="preserve">since methotrexate and disease-modifying anti-rheumatic drugs have been widely </w:t>
      </w:r>
      <w:r w:rsidR="0068559F" w:rsidRPr="00106A79">
        <w:rPr>
          <w:rFonts w:ascii="Verdana" w:hAnsi="Verdana" w:cs="Times New Roman"/>
        </w:rPr>
        <w:t>prescribed [</w:t>
      </w:r>
      <w:r w:rsidR="00720514">
        <w:rPr>
          <w:rFonts w:ascii="Verdana" w:hAnsi="Verdana" w:cs="Times New Roman"/>
        </w:rPr>
        <w:t>80</w:t>
      </w:r>
      <w:r w:rsidR="0068559F" w:rsidRPr="00106A79">
        <w:rPr>
          <w:rFonts w:ascii="Verdana" w:hAnsi="Verdana" w:cs="Times New Roman"/>
        </w:rPr>
        <w:t xml:space="preserve">].  </w:t>
      </w:r>
      <w:r w:rsidR="000E7CF5" w:rsidRPr="00106A79">
        <w:rPr>
          <w:rFonts w:ascii="Verdana" w:hAnsi="Verdana" w:cs="Times New Roman"/>
        </w:rPr>
        <w:t xml:space="preserve">These observations suggest that </w:t>
      </w:r>
      <w:r w:rsidR="00F0160F" w:rsidRPr="00106A79">
        <w:rPr>
          <w:rFonts w:ascii="Verdana" w:hAnsi="Verdana" w:cs="Times New Roman"/>
        </w:rPr>
        <w:t>work outcomes in RA and AS</w:t>
      </w:r>
      <w:r w:rsidR="00F0160F" w:rsidRPr="00106A79" w:rsidDel="000E7CF5">
        <w:rPr>
          <w:rFonts w:ascii="Verdana" w:hAnsi="Verdana" w:cs="Times New Roman"/>
        </w:rPr>
        <w:t xml:space="preserve"> </w:t>
      </w:r>
      <w:r w:rsidR="00F0160F">
        <w:rPr>
          <w:rFonts w:ascii="Verdana" w:hAnsi="Verdana" w:cs="Times New Roman"/>
        </w:rPr>
        <w:t>may</w:t>
      </w:r>
      <w:r w:rsidR="00EA1C3B" w:rsidRPr="00106A79">
        <w:rPr>
          <w:rFonts w:ascii="Verdana" w:hAnsi="Verdana" w:cs="Times New Roman"/>
        </w:rPr>
        <w:t xml:space="preserve"> </w:t>
      </w:r>
      <w:r w:rsidR="00F0160F" w:rsidRPr="00106A79">
        <w:rPr>
          <w:rFonts w:ascii="Verdana" w:hAnsi="Verdana" w:cs="Times New Roman"/>
        </w:rPr>
        <w:t>benefit</w:t>
      </w:r>
      <w:r w:rsidR="00F0160F">
        <w:rPr>
          <w:rFonts w:ascii="Verdana" w:hAnsi="Verdana" w:cs="Times New Roman"/>
        </w:rPr>
        <w:t xml:space="preserve"> from better </w:t>
      </w:r>
      <w:r w:rsidR="00EA1C3B" w:rsidRPr="00106A79">
        <w:rPr>
          <w:rFonts w:ascii="Verdana" w:hAnsi="Verdana" w:cs="Times New Roman"/>
        </w:rPr>
        <w:t>disease control</w:t>
      </w:r>
      <w:r w:rsidR="000E7CF5" w:rsidRPr="00106A79">
        <w:rPr>
          <w:rFonts w:ascii="Verdana" w:hAnsi="Verdana" w:cs="Times New Roman"/>
        </w:rPr>
        <w:t>. Therefore</w:t>
      </w:r>
      <w:r w:rsidR="0018342C" w:rsidRPr="00106A79">
        <w:rPr>
          <w:rFonts w:ascii="Verdana" w:hAnsi="Verdana" w:cs="Times New Roman"/>
        </w:rPr>
        <w:t xml:space="preserve"> </w:t>
      </w:r>
      <w:r w:rsidR="0068559F" w:rsidRPr="00106A79">
        <w:rPr>
          <w:rFonts w:ascii="Verdana" w:hAnsi="Verdana" w:cs="Times New Roman"/>
        </w:rPr>
        <w:t xml:space="preserve">clinicians can </w:t>
      </w:r>
      <w:r w:rsidR="00F0160F">
        <w:rPr>
          <w:rFonts w:ascii="Verdana" w:hAnsi="Verdana" w:cs="Times New Roman"/>
        </w:rPr>
        <w:t>play</w:t>
      </w:r>
      <w:r w:rsidR="00F0160F" w:rsidRPr="00106A79">
        <w:rPr>
          <w:rFonts w:ascii="Verdana" w:hAnsi="Verdana" w:cs="Times New Roman"/>
        </w:rPr>
        <w:t xml:space="preserve"> </w:t>
      </w:r>
      <w:r w:rsidR="0068559F" w:rsidRPr="00106A79">
        <w:rPr>
          <w:rFonts w:ascii="Verdana" w:hAnsi="Verdana" w:cs="Times New Roman"/>
        </w:rPr>
        <w:t>a role, at least in some circumstances,</w:t>
      </w:r>
      <w:r w:rsidR="0018342C" w:rsidRPr="00106A79">
        <w:rPr>
          <w:rFonts w:ascii="Verdana" w:hAnsi="Verdana" w:cs="Times New Roman"/>
        </w:rPr>
        <w:t xml:space="preserve"> in improving the work prospects of </w:t>
      </w:r>
      <w:r w:rsidR="005C5AD9">
        <w:rPr>
          <w:rFonts w:ascii="Verdana" w:hAnsi="Verdana" w:cs="Times New Roman"/>
        </w:rPr>
        <w:t xml:space="preserve">their </w:t>
      </w:r>
      <w:r w:rsidR="0018342C" w:rsidRPr="00106A79">
        <w:rPr>
          <w:rFonts w:ascii="Verdana" w:hAnsi="Verdana" w:cs="Times New Roman"/>
        </w:rPr>
        <w:t>patients.</w:t>
      </w:r>
    </w:p>
    <w:p w14:paraId="7B4DCD48" w14:textId="77777777" w:rsidR="00EA1C3B" w:rsidRPr="00106A79" w:rsidRDefault="00EA1C3B" w:rsidP="00106A79">
      <w:pPr>
        <w:spacing w:line="480" w:lineRule="auto"/>
        <w:rPr>
          <w:rFonts w:ascii="Verdana" w:hAnsi="Verdana" w:cs="Times New Roman"/>
        </w:rPr>
      </w:pPr>
    </w:p>
    <w:p w14:paraId="72C94022" w14:textId="77777777" w:rsidR="00FE1368" w:rsidRPr="00106A79" w:rsidRDefault="00FE1368" w:rsidP="00106A79">
      <w:pPr>
        <w:spacing w:line="480" w:lineRule="auto"/>
        <w:rPr>
          <w:rFonts w:ascii="Verdana" w:hAnsi="Verdana" w:cs="Times New Roman"/>
        </w:rPr>
      </w:pPr>
    </w:p>
    <w:p w14:paraId="146592E3" w14:textId="3F49B166" w:rsidR="00FE1368" w:rsidRPr="00106A79" w:rsidRDefault="00B046F6" w:rsidP="00106A79">
      <w:pPr>
        <w:spacing w:line="480" w:lineRule="auto"/>
        <w:rPr>
          <w:rFonts w:ascii="Verdana" w:hAnsi="Verdana" w:cs="Times New Roman"/>
          <w:b/>
        </w:rPr>
      </w:pPr>
      <w:r>
        <w:rPr>
          <w:rFonts w:ascii="Verdana" w:hAnsi="Verdana" w:cs="Times New Roman"/>
          <w:b/>
        </w:rPr>
        <w:t>Summary and p</w:t>
      </w:r>
      <w:r w:rsidRPr="00106A79">
        <w:rPr>
          <w:rFonts w:ascii="Verdana" w:hAnsi="Verdana" w:cs="Times New Roman"/>
          <w:b/>
        </w:rPr>
        <w:t xml:space="preserve">ointers </w:t>
      </w:r>
      <w:r w:rsidR="00FE1368" w:rsidRPr="00106A79">
        <w:rPr>
          <w:rFonts w:ascii="Verdana" w:hAnsi="Verdana" w:cs="Times New Roman"/>
          <w:b/>
        </w:rPr>
        <w:t>for practice</w:t>
      </w:r>
    </w:p>
    <w:p w14:paraId="17C0D38D" w14:textId="77777777" w:rsidR="00FE1368" w:rsidRPr="00106A79" w:rsidRDefault="00FE1368" w:rsidP="00106A79">
      <w:pPr>
        <w:pStyle w:val="ListParagraph"/>
        <w:numPr>
          <w:ilvl w:val="0"/>
          <w:numId w:val="4"/>
        </w:numPr>
        <w:spacing w:line="480" w:lineRule="auto"/>
        <w:rPr>
          <w:rFonts w:ascii="Verdana" w:hAnsi="Verdana"/>
        </w:rPr>
      </w:pPr>
      <w:r w:rsidRPr="00106A79">
        <w:rPr>
          <w:rFonts w:ascii="Verdana" w:hAnsi="Verdana"/>
        </w:rPr>
        <w:t>MSDs are very common; their prevalence generally rises in older people</w:t>
      </w:r>
    </w:p>
    <w:p w14:paraId="5B808DD4" w14:textId="77777777" w:rsidR="00FE1368" w:rsidRPr="00106A79" w:rsidRDefault="00FE1368" w:rsidP="00106A79">
      <w:pPr>
        <w:pStyle w:val="ListParagraph"/>
        <w:numPr>
          <w:ilvl w:val="0"/>
          <w:numId w:val="4"/>
        </w:numPr>
        <w:spacing w:line="480" w:lineRule="auto"/>
        <w:rPr>
          <w:rFonts w:ascii="Verdana" w:hAnsi="Verdana"/>
        </w:rPr>
      </w:pPr>
      <w:r w:rsidRPr="00106A79">
        <w:rPr>
          <w:rFonts w:ascii="Verdana" w:hAnsi="Verdana"/>
        </w:rPr>
        <w:t>At older ages they have a considerable impact on</w:t>
      </w:r>
      <w:r w:rsidR="005C5AD9">
        <w:rPr>
          <w:rFonts w:ascii="Verdana" w:hAnsi="Verdana"/>
        </w:rPr>
        <w:t xml:space="preserve"> patients’ employment prospects</w:t>
      </w:r>
    </w:p>
    <w:p w14:paraId="6DCDF466" w14:textId="77777777" w:rsidR="00FE1368" w:rsidRPr="00106A79" w:rsidRDefault="00FE1368" w:rsidP="00106A79">
      <w:pPr>
        <w:pStyle w:val="ListParagraph"/>
        <w:numPr>
          <w:ilvl w:val="0"/>
          <w:numId w:val="4"/>
        </w:numPr>
        <w:spacing w:line="480" w:lineRule="auto"/>
        <w:rPr>
          <w:rFonts w:ascii="Verdana" w:hAnsi="Verdana"/>
        </w:rPr>
      </w:pPr>
      <w:r w:rsidRPr="00106A79">
        <w:rPr>
          <w:rFonts w:ascii="Verdana" w:hAnsi="Verdana"/>
        </w:rPr>
        <w:t>Factors that influence job retention at this stage include the type of MSD, its severity and treatment, the presence of comorbid illness, people’s attitudes to work and retirement, and the work environment</w:t>
      </w:r>
      <w:r w:rsidR="00170DB2">
        <w:rPr>
          <w:rFonts w:ascii="Verdana" w:hAnsi="Verdana"/>
        </w:rPr>
        <w:t>’s</w:t>
      </w:r>
      <w:r w:rsidRPr="00106A79">
        <w:rPr>
          <w:rFonts w:ascii="Verdana" w:hAnsi="Verdana"/>
        </w:rPr>
        <w:t xml:space="preserve"> </w:t>
      </w:r>
      <w:r w:rsidR="00B94C06" w:rsidRPr="00106A79">
        <w:rPr>
          <w:rFonts w:ascii="Verdana" w:hAnsi="Verdana"/>
        </w:rPr>
        <w:t>demands</w:t>
      </w:r>
    </w:p>
    <w:p w14:paraId="1125ECF6" w14:textId="7509DA11" w:rsidR="00FE1368" w:rsidRPr="00106A79" w:rsidRDefault="00FE1368" w:rsidP="00106A79">
      <w:pPr>
        <w:pStyle w:val="ListParagraph"/>
        <w:numPr>
          <w:ilvl w:val="0"/>
          <w:numId w:val="4"/>
        </w:numPr>
        <w:spacing w:line="480" w:lineRule="auto"/>
        <w:rPr>
          <w:rFonts w:ascii="Verdana" w:hAnsi="Verdana"/>
        </w:rPr>
      </w:pPr>
      <w:r w:rsidRPr="00106A79">
        <w:rPr>
          <w:rFonts w:ascii="Verdana" w:hAnsi="Verdana"/>
        </w:rPr>
        <w:t xml:space="preserve">Interventions to optimise symptom control and provide a more flexible adaptive work environment can substantially improve </w:t>
      </w:r>
      <w:r w:rsidR="00170DB2">
        <w:rPr>
          <w:rFonts w:ascii="Verdana" w:hAnsi="Verdana"/>
        </w:rPr>
        <w:t>older people’s</w:t>
      </w:r>
      <w:r w:rsidRPr="00106A79">
        <w:rPr>
          <w:rFonts w:ascii="Verdana" w:hAnsi="Verdana"/>
        </w:rPr>
        <w:t xml:space="preserve"> prospects of work</w:t>
      </w:r>
      <w:r w:rsidR="00170DB2">
        <w:rPr>
          <w:rFonts w:ascii="Verdana" w:hAnsi="Verdana"/>
        </w:rPr>
        <w:t>ing</w:t>
      </w:r>
    </w:p>
    <w:p w14:paraId="77004F3D" w14:textId="77777777" w:rsidR="00FE1368" w:rsidRPr="00106A79" w:rsidRDefault="00FE1368" w:rsidP="00106A79">
      <w:pPr>
        <w:pStyle w:val="ListParagraph"/>
        <w:numPr>
          <w:ilvl w:val="0"/>
          <w:numId w:val="4"/>
        </w:numPr>
        <w:spacing w:line="480" w:lineRule="auto"/>
        <w:rPr>
          <w:rFonts w:ascii="Verdana" w:hAnsi="Verdana"/>
        </w:rPr>
      </w:pPr>
      <w:r w:rsidRPr="00106A79">
        <w:rPr>
          <w:rFonts w:ascii="Verdana" w:hAnsi="Verdana"/>
        </w:rPr>
        <w:t xml:space="preserve">On present evidence, </w:t>
      </w:r>
      <w:r w:rsidR="00B94C06" w:rsidRPr="00106A79">
        <w:rPr>
          <w:rFonts w:ascii="Verdana" w:hAnsi="Verdana"/>
        </w:rPr>
        <w:t xml:space="preserve">far </w:t>
      </w:r>
      <w:r w:rsidRPr="00106A79">
        <w:rPr>
          <w:rFonts w:ascii="Verdana" w:hAnsi="Verdana"/>
        </w:rPr>
        <w:t xml:space="preserve">more needs to done in these areas if patients are to </w:t>
      </w:r>
      <w:r w:rsidR="00170DB2">
        <w:rPr>
          <w:rFonts w:ascii="Verdana" w:hAnsi="Verdana"/>
        </w:rPr>
        <w:t>realise this</w:t>
      </w:r>
      <w:r w:rsidRPr="00106A79">
        <w:rPr>
          <w:rFonts w:ascii="Verdana" w:hAnsi="Verdana"/>
        </w:rPr>
        <w:t xml:space="preserve"> possibilit</w:t>
      </w:r>
      <w:r w:rsidR="00EA7B5E" w:rsidRPr="00106A79">
        <w:rPr>
          <w:rFonts w:ascii="Verdana" w:hAnsi="Verdana"/>
        </w:rPr>
        <w:t>y</w:t>
      </w:r>
    </w:p>
    <w:p w14:paraId="61ECC800" w14:textId="77777777" w:rsidR="00FE1368" w:rsidRPr="00106A79" w:rsidRDefault="00FE1368" w:rsidP="00106A79">
      <w:pPr>
        <w:spacing w:line="480" w:lineRule="auto"/>
        <w:rPr>
          <w:rFonts w:ascii="Verdana" w:hAnsi="Verdana" w:cs="Times New Roman"/>
          <w:b/>
        </w:rPr>
      </w:pPr>
    </w:p>
    <w:p w14:paraId="53C1971E" w14:textId="77777777" w:rsidR="00FE1368" w:rsidRPr="00106A79" w:rsidRDefault="00EA7B5E" w:rsidP="00106A79">
      <w:pPr>
        <w:spacing w:line="480" w:lineRule="auto"/>
        <w:rPr>
          <w:rFonts w:ascii="Verdana" w:hAnsi="Verdana" w:cs="Times New Roman"/>
          <w:b/>
        </w:rPr>
      </w:pPr>
      <w:r w:rsidRPr="00106A79">
        <w:rPr>
          <w:rFonts w:ascii="Verdana" w:hAnsi="Verdana" w:cs="Times New Roman"/>
          <w:b/>
        </w:rPr>
        <w:t>Gaps in</w:t>
      </w:r>
      <w:r w:rsidR="00FE1368" w:rsidRPr="00106A79">
        <w:rPr>
          <w:rFonts w:ascii="Verdana" w:hAnsi="Verdana" w:cs="Times New Roman"/>
          <w:b/>
        </w:rPr>
        <w:t xml:space="preserve"> research</w:t>
      </w:r>
    </w:p>
    <w:p w14:paraId="44CF420C" w14:textId="77777777" w:rsidR="00FE1368" w:rsidRPr="00106A79" w:rsidRDefault="00FE1368" w:rsidP="00106A79">
      <w:pPr>
        <w:pStyle w:val="ListParagraph"/>
        <w:numPr>
          <w:ilvl w:val="0"/>
          <w:numId w:val="5"/>
        </w:numPr>
        <w:spacing w:line="480" w:lineRule="auto"/>
        <w:rPr>
          <w:rFonts w:ascii="Verdana" w:hAnsi="Verdana"/>
        </w:rPr>
      </w:pPr>
      <w:r w:rsidRPr="00106A79">
        <w:rPr>
          <w:rFonts w:ascii="Verdana" w:hAnsi="Verdana"/>
        </w:rPr>
        <w:t>The health risks and benefits of work at older ages require further elaboration, especially in workers with major joint disease</w:t>
      </w:r>
    </w:p>
    <w:p w14:paraId="5E25B2A1" w14:textId="15FFAECC" w:rsidR="00FE1368" w:rsidRPr="00106A79" w:rsidRDefault="00FE1368" w:rsidP="00106A79">
      <w:pPr>
        <w:pStyle w:val="ListParagraph"/>
        <w:numPr>
          <w:ilvl w:val="0"/>
          <w:numId w:val="5"/>
        </w:numPr>
        <w:spacing w:line="480" w:lineRule="auto"/>
        <w:rPr>
          <w:rFonts w:ascii="Verdana" w:hAnsi="Verdana"/>
        </w:rPr>
      </w:pPr>
      <w:r w:rsidRPr="00106A79">
        <w:rPr>
          <w:rFonts w:ascii="Verdana" w:hAnsi="Verdana"/>
        </w:rPr>
        <w:t xml:space="preserve">Interventions to extend working life are under-developed and under-tested. Because the population is ageing and patients </w:t>
      </w:r>
      <w:r w:rsidR="00170DB2">
        <w:rPr>
          <w:rFonts w:ascii="Verdana" w:hAnsi="Verdana"/>
        </w:rPr>
        <w:t>are likely</w:t>
      </w:r>
      <w:r w:rsidRPr="00106A79">
        <w:rPr>
          <w:rFonts w:ascii="Verdana" w:hAnsi="Verdana"/>
        </w:rPr>
        <w:t xml:space="preserve"> to work for longer, this gap in knowledge is urgent to fill</w:t>
      </w:r>
      <w:r w:rsidR="00EA7B5E" w:rsidRPr="00106A79">
        <w:rPr>
          <w:rFonts w:ascii="Verdana" w:hAnsi="Verdana"/>
        </w:rPr>
        <w:t>,</w:t>
      </w:r>
      <w:r w:rsidRPr="00106A79">
        <w:rPr>
          <w:rFonts w:ascii="Verdana" w:hAnsi="Verdana"/>
        </w:rPr>
        <w:t xml:space="preserve"> in relation to MSDs and many other chronic </w:t>
      </w:r>
      <w:r w:rsidR="00B94C06" w:rsidRPr="00106A79">
        <w:rPr>
          <w:rFonts w:ascii="Verdana" w:hAnsi="Verdana"/>
        </w:rPr>
        <w:t xml:space="preserve">diseases </w:t>
      </w:r>
      <w:r w:rsidR="00170DB2">
        <w:rPr>
          <w:rFonts w:ascii="Verdana" w:hAnsi="Verdana"/>
        </w:rPr>
        <w:t xml:space="preserve">of </w:t>
      </w:r>
      <w:r w:rsidR="00B94C06" w:rsidRPr="00106A79">
        <w:rPr>
          <w:rFonts w:ascii="Verdana" w:hAnsi="Verdana"/>
        </w:rPr>
        <w:t>age</w:t>
      </w:r>
      <w:r w:rsidR="00170DB2">
        <w:rPr>
          <w:rFonts w:ascii="Verdana" w:hAnsi="Verdana"/>
        </w:rPr>
        <w:t>ing</w:t>
      </w:r>
    </w:p>
    <w:p w14:paraId="6742B662" w14:textId="77777777" w:rsidR="00757CA2" w:rsidRPr="00106A79" w:rsidRDefault="00330B95" w:rsidP="00106A79">
      <w:pPr>
        <w:spacing w:line="480" w:lineRule="auto"/>
        <w:rPr>
          <w:rFonts w:ascii="Verdana" w:hAnsi="Verdana" w:cs="Times New Roman"/>
        </w:rPr>
      </w:pPr>
      <w:r w:rsidRPr="00106A79">
        <w:rPr>
          <w:rFonts w:ascii="Verdana" w:hAnsi="Verdana" w:cs="Times New Roman"/>
        </w:rPr>
        <w:br w:type="page"/>
      </w:r>
    </w:p>
    <w:p w14:paraId="055BBD06" w14:textId="77777777" w:rsidR="00EA1C3B" w:rsidRDefault="00EA1C3B">
      <w:pPr>
        <w:rPr>
          <w:rFonts w:ascii="Times New Roman" w:hAnsi="Times New Roman" w:cs="Times New Roman"/>
        </w:rPr>
      </w:pPr>
    </w:p>
    <w:p w14:paraId="66EF921B" w14:textId="471FFB36" w:rsidR="002A1CE9" w:rsidRPr="00F85A48" w:rsidRDefault="002A1CE9" w:rsidP="002A1CE9">
      <w:pPr>
        <w:rPr>
          <w:rFonts w:ascii="Verdana" w:eastAsia="Times New Roman" w:hAnsi="Verdana" w:cs="Times New Roman"/>
          <w:b/>
        </w:rPr>
      </w:pPr>
      <w:r w:rsidRPr="00F85A48">
        <w:rPr>
          <w:rFonts w:ascii="Verdana" w:eastAsia="Times New Roman" w:hAnsi="Verdana" w:cs="Times New Roman"/>
          <w:b/>
        </w:rPr>
        <w:t>Figure 1: The one-month prevalence of disabling low back and wrist/hand pain by occupational group and country in workers aged 40-59 years from the CUPD study (</w:t>
      </w:r>
      <w:r w:rsidRPr="00E14159">
        <w:rPr>
          <w:rFonts w:ascii="Verdana" w:eastAsia="Times New Roman" w:hAnsi="Verdana" w:cs="Times New Roman"/>
          <w:b/>
        </w:rPr>
        <w:t xml:space="preserve">adapted from ref </w:t>
      </w:r>
      <w:r w:rsidR="0082121C" w:rsidRPr="00F85A48">
        <w:rPr>
          <w:rFonts w:ascii="Verdana" w:eastAsia="Times New Roman" w:hAnsi="Verdana" w:cs="Times New Roman"/>
          <w:b/>
        </w:rPr>
        <w:t>11</w:t>
      </w:r>
      <w:r w:rsidRPr="00F85A48">
        <w:rPr>
          <w:rFonts w:ascii="Verdana" w:eastAsia="Times New Roman" w:hAnsi="Verdana" w:cs="Times New Roman"/>
          <w:b/>
        </w:rPr>
        <w:t>)</w:t>
      </w:r>
    </w:p>
    <w:p w14:paraId="0FC50335" w14:textId="77777777" w:rsidR="002A1CE9" w:rsidRDefault="002A1CE9" w:rsidP="002A1CE9">
      <w:pPr>
        <w:rPr>
          <w:rFonts w:ascii="Times New Roman" w:hAnsi="Times New Roman" w:cs="Times New Roman"/>
        </w:rPr>
      </w:pPr>
    </w:p>
    <w:p w14:paraId="1418C33A" w14:textId="77777777" w:rsidR="002A1CE9" w:rsidRDefault="002A1CE9" w:rsidP="002A1CE9">
      <w:pPr>
        <w:rPr>
          <w:rFonts w:ascii="Times New Roman" w:hAnsi="Times New Roman" w:cs="Times New Roman"/>
        </w:rPr>
      </w:pPr>
      <w:r>
        <w:rPr>
          <w:noProof/>
          <w:lang w:eastAsia="en-GB"/>
        </w:rPr>
        <w:drawing>
          <wp:inline distT="0" distB="0" distL="0" distR="0" wp14:anchorId="10A7DD19" wp14:editId="12D9C1A1">
            <wp:extent cx="4794250" cy="4794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2126" cy="4792126"/>
                    </a:xfrm>
                    <a:prstGeom prst="rect">
                      <a:avLst/>
                    </a:prstGeom>
                    <a:noFill/>
                    <a:ln>
                      <a:noFill/>
                    </a:ln>
                  </pic:spPr>
                </pic:pic>
              </a:graphicData>
            </a:graphic>
          </wp:inline>
        </w:drawing>
      </w:r>
    </w:p>
    <w:p w14:paraId="2589B038" w14:textId="7888EDFE" w:rsidR="00170E0B" w:rsidRPr="00031873" w:rsidRDefault="00170E0B" w:rsidP="00170E0B">
      <w:pPr>
        <w:tabs>
          <w:tab w:val="left" w:pos="2287"/>
        </w:tabs>
        <w:ind w:left="727"/>
        <w:rPr>
          <w:rFonts w:cs="Times New Roman"/>
          <w:sz w:val="24"/>
          <w:szCs w:val="24"/>
        </w:rPr>
      </w:pPr>
      <w:r w:rsidRPr="00031873">
        <w:rPr>
          <w:sz w:val="24"/>
          <w:szCs w:val="24"/>
        </w:rPr>
        <w:t xml:space="preserve">Brazil = BR, Ecuador = EC, Colombia = CO, Costa Rica = CR, Nicaragua = NI, </w:t>
      </w:r>
      <w:r w:rsidR="00031873" w:rsidRPr="00031873">
        <w:rPr>
          <w:sz w:val="24"/>
          <w:szCs w:val="24"/>
        </w:rPr>
        <w:t xml:space="preserve">United Kingdom </w:t>
      </w:r>
      <w:r w:rsidRPr="00031873">
        <w:rPr>
          <w:sz w:val="24"/>
          <w:szCs w:val="24"/>
        </w:rPr>
        <w:t>=</w:t>
      </w:r>
      <w:r w:rsidR="00031873" w:rsidRPr="00031873">
        <w:rPr>
          <w:sz w:val="24"/>
          <w:szCs w:val="24"/>
        </w:rPr>
        <w:t xml:space="preserve"> UK</w:t>
      </w:r>
      <w:r w:rsidRPr="00031873">
        <w:rPr>
          <w:sz w:val="24"/>
          <w:szCs w:val="24"/>
        </w:rPr>
        <w:t>, Spain = SP, Italy = IT, Greece = GR, Estonia = EE, Lebanon = LB, Iran = IR, Pakistan = PK, Sri Lanka = LK, Japan = JP, South Africa = SA, A</w:t>
      </w:r>
      <w:r w:rsidR="00031873" w:rsidRPr="00031873">
        <w:rPr>
          <w:sz w:val="24"/>
          <w:szCs w:val="24"/>
        </w:rPr>
        <w:t>ustralia = AU, New Zealand = NZ</w:t>
      </w:r>
    </w:p>
    <w:p w14:paraId="150639AD" w14:textId="77777777" w:rsidR="002A1CE9" w:rsidRDefault="002A1CE9" w:rsidP="002A1CE9">
      <w:pPr>
        <w:rPr>
          <w:rFonts w:ascii="Times New Roman" w:hAnsi="Times New Roman" w:cs="Times New Roman"/>
        </w:rPr>
      </w:pPr>
    </w:p>
    <w:p w14:paraId="5B075D1A" w14:textId="30F51658" w:rsidR="002A1CE9" w:rsidRDefault="002A1CE9" w:rsidP="006C6397">
      <w:pPr>
        <w:rPr>
          <w:rFonts w:ascii="Times New Roman" w:eastAsia="Times New Roman" w:hAnsi="Times New Roman" w:cs="Times New Roman"/>
        </w:rPr>
      </w:pPr>
      <w:r>
        <w:rPr>
          <w:rFonts w:ascii="Times New Roman" w:eastAsia="Times New Roman" w:hAnsi="Times New Roman" w:cs="Times New Roman"/>
        </w:rPr>
        <w:br w:type="page"/>
      </w:r>
    </w:p>
    <w:p w14:paraId="448B94DF" w14:textId="4566EBA2" w:rsidR="00E238C6" w:rsidRPr="00F85A48" w:rsidRDefault="00E238C6">
      <w:pPr>
        <w:rPr>
          <w:rFonts w:ascii="Verdana" w:eastAsia="Times New Roman" w:hAnsi="Verdana" w:cs="Times New Roman"/>
          <w:b/>
        </w:rPr>
      </w:pPr>
      <w:r w:rsidRPr="00F85A48">
        <w:rPr>
          <w:rFonts w:ascii="Verdana" w:eastAsia="Times New Roman" w:hAnsi="Verdana" w:cs="Times New Roman"/>
          <w:b/>
        </w:rPr>
        <w:lastRenderedPageBreak/>
        <w:t xml:space="preserve">Figure </w:t>
      </w:r>
      <w:r w:rsidR="008F290F" w:rsidRPr="00F85A48">
        <w:rPr>
          <w:rFonts w:ascii="Verdana" w:eastAsia="Times New Roman" w:hAnsi="Verdana" w:cs="Times New Roman"/>
          <w:b/>
        </w:rPr>
        <w:t>2</w:t>
      </w:r>
      <w:r w:rsidR="0030451C" w:rsidRPr="00F85A48">
        <w:rPr>
          <w:rFonts w:ascii="Verdana" w:eastAsia="Times New Roman" w:hAnsi="Verdana" w:cs="Times New Roman"/>
          <w:b/>
        </w:rPr>
        <w:t xml:space="preserve">: Proportion (%) of men in the Dutch population in full-time employment, by age and health status: men with ankylosing spondylitis vs. all men (adapted from </w:t>
      </w:r>
      <w:r w:rsidR="0030451C" w:rsidRPr="00E14159">
        <w:rPr>
          <w:rFonts w:ascii="Verdana" w:eastAsia="Times New Roman" w:hAnsi="Verdana" w:cs="Times New Roman"/>
          <w:b/>
        </w:rPr>
        <w:t xml:space="preserve">Boonen </w:t>
      </w:r>
      <w:r w:rsidR="0030451C" w:rsidRPr="00E14159">
        <w:rPr>
          <w:rFonts w:ascii="Verdana" w:eastAsia="Times New Roman" w:hAnsi="Verdana" w:cs="Times New Roman"/>
          <w:b/>
          <w:i/>
        </w:rPr>
        <w:t>et al</w:t>
      </w:r>
      <w:r w:rsidR="0082121C" w:rsidRPr="00F85A48">
        <w:rPr>
          <w:rFonts w:ascii="Verdana" w:eastAsia="Times New Roman" w:hAnsi="Verdana" w:cs="Times New Roman"/>
          <w:b/>
        </w:rPr>
        <w:t xml:space="preserve"> [53]</w:t>
      </w:r>
      <w:r w:rsidR="0030451C" w:rsidRPr="00F85A48">
        <w:rPr>
          <w:rFonts w:ascii="Verdana" w:eastAsia="Times New Roman" w:hAnsi="Verdana" w:cs="Times New Roman"/>
          <w:b/>
        </w:rPr>
        <w:t>)</w:t>
      </w:r>
    </w:p>
    <w:p w14:paraId="39DB1477" w14:textId="77777777" w:rsidR="0030451C" w:rsidRDefault="0030451C">
      <w:pPr>
        <w:rPr>
          <w:rFonts w:ascii="Times New Roman" w:eastAsia="Times New Roman" w:hAnsi="Times New Roman" w:cs="Times New Roman"/>
        </w:rPr>
      </w:pPr>
    </w:p>
    <w:p w14:paraId="24ACF0D3" w14:textId="77777777" w:rsidR="002A1CE9" w:rsidRDefault="0030451C">
      <w:pPr>
        <w:rPr>
          <w:rFonts w:ascii="Times New Roman" w:eastAsia="Times New Roman" w:hAnsi="Times New Roman" w:cs="Times New Roman"/>
        </w:rPr>
      </w:pPr>
      <w:r>
        <w:rPr>
          <w:noProof/>
          <w:lang w:eastAsia="en-GB"/>
        </w:rPr>
        <w:drawing>
          <wp:inline distT="0" distB="0" distL="0" distR="0" wp14:anchorId="24F7FDD2" wp14:editId="58D11C55">
            <wp:extent cx="4862945" cy="3158836"/>
            <wp:effectExtent l="0" t="0" r="0" b="0"/>
            <wp:docPr id="5" name="Chart 5" titl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A1CE9">
        <w:rPr>
          <w:rFonts w:ascii="Times New Roman" w:eastAsia="Times New Roman" w:hAnsi="Times New Roman" w:cs="Times New Roman"/>
        </w:rPr>
        <w:br w:type="page"/>
      </w:r>
    </w:p>
    <w:p w14:paraId="199F8F18" w14:textId="3B7A9C8D" w:rsidR="00F51824" w:rsidRPr="00F85A48" w:rsidRDefault="002A1CE9" w:rsidP="00F51824">
      <w:pPr>
        <w:rPr>
          <w:rFonts w:ascii="Verdana" w:eastAsia="Times New Roman" w:hAnsi="Verdana" w:cs="Times New Roman"/>
          <w:b/>
        </w:rPr>
      </w:pPr>
      <w:r w:rsidRPr="00F85A48">
        <w:rPr>
          <w:rFonts w:ascii="Verdana" w:eastAsia="Times New Roman" w:hAnsi="Verdana" w:cs="Times New Roman"/>
          <w:b/>
        </w:rPr>
        <w:lastRenderedPageBreak/>
        <w:t>Table 1:</w:t>
      </w:r>
      <w:r w:rsidR="00F51824" w:rsidRPr="00F85A48">
        <w:rPr>
          <w:rFonts w:ascii="Verdana" w:eastAsia="Times New Roman" w:hAnsi="Verdana" w:cs="Times New Roman"/>
          <w:b/>
        </w:rPr>
        <w:t xml:space="preserve"> Age-adjusted associations of prevalen</w:t>
      </w:r>
      <w:r w:rsidR="00B515F4" w:rsidRPr="00F85A48">
        <w:rPr>
          <w:rFonts w:ascii="Verdana" w:eastAsia="Times New Roman" w:hAnsi="Verdana" w:cs="Times New Roman"/>
          <w:b/>
        </w:rPr>
        <w:t>t</w:t>
      </w:r>
      <w:r w:rsidR="00F51824" w:rsidRPr="00F85A48">
        <w:rPr>
          <w:rFonts w:ascii="Verdana" w:eastAsia="Times New Roman" w:hAnsi="Verdana" w:cs="Times New Roman"/>
          <w:b/>
        </w:rPr>
        <w:t xml:space="preserve"> disease with incidence of disability retirement in the </w:t>
      </w:r>
      <w:r w:rsidR="00B515F4" w:rsidRPr="00F85A48">
        <w:rPr>
          <w:rFonts w:ascii="Verdana" w:eastAsia="Times New Roman" w:hAnsi="Verdana" w:cs="Times New Roman"/>
          <w:b/>
        </w:rPr>
        <w:t xml:space="preserve">Kuopio Ischemic Heart Disease Risk Factor Study </w:t>
      </w:r>
      <w:r w:rsidR="00F51824" w:rsidRPr="00F85A48">
        <w:rPr>
          <w:rFonts w:ascii="Verdana" w:eastAsia="Times New Roman" w:hAnsi="Verdana" w:cs="Times New Roman"/>
          <w:b/>
        </w:rPr>
        <w:t xml:space="preserve">(adapted from Krause </w:t>
      </w:r>
      <w:r w:rsidR="00F51824" w:rsidRPr="00F85A48">
        <w:rPr>
          <w:rFonts w:ascii="Verdana" w:eastAsia="Times New Roman" w:hAnsi="Verdana" w:cs="Times New Roman"/>
          <w:b/>
          <w:i/>
        </w:rPr>
        <w:t>et al</w:t>
      </w:r>
      <w:r w:rsidR="00F51824" w:rsidRPr="00F85A48">
        <w:rPr>
          <w:rFonts w:ascii="Verdana" w:eastAsia="Times New Roman" w:hAnsi="Verdana" w:cs="Times New Roman"/>
          <w:b/>
        </w:rPr>
        <w:t xml:space="preserve"> [</w:t>
      </w:r>
      <w:r w:rsidR="0082121C" w:rsidRPr="00F85A48">
        <w:rPr>
          <w:rFonts w:ascii="Verdana" w:eastAsia="Times New Roman" w:hAnsi="Verdana" w:cs="Times New Roman"/>
          <w:b/>
        </w:rPr>
        <w:t>39</w:t>
      </w:r>
      <w:r w:rsidR="00031873">
        <w:rPr>
          <w:rFonts w:ascii="Verdana" w:eastAsia="Times New Roman" w:hAnsi="Verdana" w:cs="Times New Roman"/>
          <w:b/>
        </w:rPr>
        <w:t>]</w:t>
      </w:r>
      <w:r w:rsidR="00F51824" w:rsidRPr="00F85A48">
        <w:rPr>
          <w:rFonts w:ascii="Verdana" w:eastAsia="Times New Roman" w:hAnsi="Verdana" w:cs="Times New Roman"/>
          <w:b/>
        </w:rPr>
        <w:t>)</w:t>
      </w:r>
    </w:p>
    <w:p w14:paraId="1941474A" w14:textId="77777777" w:rsidR="00F51824" w:rsidRPr="00F85A48" w:rsidRDefault="00F51824" w:rsidP="00F51824">
      <w:pPr>
        <w:ind w:left="720" w:hanging="720"/>
        <w:rPr>
          <w:rFonts w:ascii="Verdana" w:hAnsi="Verdana" w:cs="Times New Roman"/>
          <w:b/>
        </w:rPr>
      </w:pPr>
    </w:p>
    <w:tbl>
      <w:tblPr>
        <w:tblStyle w:val="TableGrid"/>
        <w:tblW w:w="8187" w:type="dxa"/>
        <w:tblLook w:val="04A0" w:firstRow="1" w:lastRow="0" w:firstColumn="1" w:lastColumn="0" w:noHBand="0" w:noVBand="1"/>
      </w:tblPr>
      <w:tblGrid>
        <w:gridCol w:w="3226"/>
        <w:gridCol w:w="283"/>
        <w:gridCol w:w="1701"/>
        <w:gridCol w:w="284"/>
        <w:gridCol w:w="2693"/>
      </w:tblGrid>
      <w:tr w:rsidR="00F51824" w:rsidRPr="00F85A48" w14:paraId="31D89EE8" w14:textId="77777777" w:rsidTr="00031873">
        <w:tc>
          <w:tcPr>
            <w:tcW w:w="3226" w:type="dxa"/>
            <w:tcBorders>
              <w:top w:val="single" w:sz="4" w:space="0" w:color="auto"/>
              <w:left w:val="nil"/>
              <w:bottom w:val="single" w:sz="4" w:space="0" w:color="auto"/>
              <w:right w:val="nil"/>
            </w:tcBorders>
            <w:vAlign w:val="center"/>
          </w:tcPr>
          <w:p w14:paraId="7858A4DE" w14:textId="77777777" w:rsidR="00F51824" w:rsidRPr="00F85A48" w:rsidRDefault="00F51824" w:rsidP="00F51824">
            <w:pPr>
              <w:rPr>
                <w:rFonts w:ascii="Verdana" w:hAnsi="Verdana"/>
                <w:b/>
                <w:sz w:val="22"/>
                <w:szCs w:val="22"/>
              </w:rPr>
            </w:pPr>
            <w:r w:rsidRPr="00F85A48">
              <w:rPr>
                <w:rFonts w:ascii="Verdana" w:hAnsi="Verdana"/>
                <w:b/>
                <w:sz w:val="22"/>
                <w:szCs w:val="22"/>
              </w:rPr>
              <w:t>Variable</w:t>
            </w:r>
          </w:p>
        </w:tc>
        <w:tc>
          <w:tcPr>
            <w:tcW w:w="283" w:type="dxa"/>
            <w:tcBorders>
              <w:top w:val="single" w:sz="4" w:space="0" w:color="auto"/>
              <w:left w:val="nil"/>
              <w:bottom w:val="single" w:sz="4" w:space="0" w:color="auto"/>
              <w:right w:val="nil"/>
            </w:tcBorders>
            <w:vAlign w:val="center"/>
          </w:tcPr>
          <w:p w14:paraId="7BB9C152" w14:textId="77777777" w:rsidR="00F51824" w:rsidRPr="00F85A48" w:rsidRDefault="00F51824" w:rsidP="00F365C3">
            <w:pPr>
              <w:jc w:val="center"/>
              <w:rPr>
                <w:rFonts w:ascii="Verdana" w:hAnsi="Verdana"/>
                <w:b/>
                <w:sz w:val="22"/>
                <w:szCs w:val="22"/>
              </w:rPr>
            </w:pPr>
          </w:p>
        </w:tc>
        <w:tc>
          <w:tcPr>
            <w:tcW w:w="1701" w:type="dxa"/>
            <w:tcBorders>
              <w:top w:val="single" w:sz="4" w:space="0" w:color="auto"/>
              <w:left w:val="nil"/>
              <w:bottom w:val="single" w:sz="4" w:space="0" w:color="auto"/>
              <w:right w:val="nil"/>
            </w:tcBorders>
            <w:vAlign w:val="center"/>
          </w:tcPr>
          <w:p w14:paraId="203A5D8D" w14:textId="77777777" w:rsidR="00F51824" w:rsidRPr="00F85A48" w:rsidRDefault="00F51824" w:rsidP="00F365C3">
            <w:pPr>
              <w:jc w:val="center"/>
              <w:rPr>
                <w:rFonts w:ascii="Verdana" w:hAnsi="Verdana"/>
                <w:b/>
                <w:sz w:val="22"/>
                <w:szCs w:val="22"/>
              </w:rPr>
            </w:pPr>
            <w:r w:rsidRPr="00F85A48">
              <w:rPr>
                <w:rFonts w:ascii="Verdana" w:hAnsi="Verdana"/>
                <w:b/>
                <w:sz w:val="22"/>
                <w:szCs w:val="22"/>
              </w:rPr>
              <w:t>Odds Ratio</w:t>
            </w:r>
          </w:p>
        </w:tc>
        <w:tc>
          <w:tcPr>
            <w:tcW w:w="284" w:type="dxa"/>
            <w:tcBorders>
              <w:top w:val="single" w:sz="4" w:space="0" w:color="auto"/>
              <w:left w:val="nil"/>
              <w:bottom w:val="single" w:sz="4" w:space="0" w:color="auto"/>
              <w:right w:val="nil"/>
            </w:tcBorders>
            <w:vAlign w:val="center"/>
          </w:tcPr>
          <w:p w14:paraId="7A23C050" w14:textId="77777777" w:rsidR="00F51824" w:rsidRPr="00F85A48" w:rsidRDefault="00F51824" w:rsidP="00F365C3">
            <w:pPr>
              <w:jc w:val="center"/>
              <w:rPr>
                <w:rFonts w:ascii="Verdana" w:hAnsi="Verdana"/>
                <w:b/>
                <w:sz w:val="22"/>
                <w:szCs w:val="22"/>
              </w:rPr>
            </w:pPr>
          </w:p>
        </w:tc>
        <w:tc>
          <w:tcPr>
            <w:tcW w:w="2693" w:type="dxa"/>
            <w:tcBorders>
              <w:top w:val="single" w:sz="4" w:space="0" w:color="auto"/>
              <w:left w:val="nil"/>
              <w:bottom w:val="single" w:sz="4" w:space="0" w:color="auto"/>
              <w:right w:val="nil"/>
            </w:tcBorders>
            <w:vAlign w:val="center"/>
          </w:tcPr>
          <w:p w14:paraId="4895B1F3" w14:textId="77777777" w:rsidR="00F51824" w:rsidRPr="00F85A48" w:rsidRDefault="00F51824" w:rsidP="00F51824">
            <w:pPr>
              <w:jc w:val="center"/>
              <w:rPr>
                <w:rFonts w:ascii="Verdana" w:hAnsi="Verdana"/>
                <w:b/>
                <w:sz w:val="22"/>
                <w:szCs w:val="22"/>
              </w:rPr>
            </w:pPr>
            <w:r w:rsidRPr="00F85A48">
              <w:rPr>
                <w:rFonts w:ascii="Verdana" w:hAnsi="Verdana"/>
                <w:b/>
                <w:sz w:val="22"/>
                <w:szCs w:val="22"/>
              </w:rPr>
              <w:t>95% CI</w:t>
            </w:r>
          </w:p>
        </w:tc>
      </w:tr>
      <w:tr w:rsidR="00F51824" w:rsidRPr="00F85A48" w14:paraId="4361B098" w14:textId="77777777" w:rsidTr="00031873">
        <w:tc>
          <w:tcPr>
            <w:tcW w:w="3226" w:type="dxa"/>
            <w:tcBorders>
              <w:top w:val="single" w:sz="4" w:space="0" w:color="auto"/>
              <w:left w:val="nil"/>
              <w:bottom w:val="nil"/>
              <w:right w:val="nil"/>
            </w:tcBorders>
          </w:tcPr>
          <w:p w14:paraId="5E54E5C6" w14:textId="77777777" w:rsidR="00F51824" w:rsidRPr="00F85A48" w:rsidRDefault="00F51824" w:rsidP="00F51824">
            <w:pPr>
              <w:rPr>
                <w:rFonts w:ascii="Verdana" w:hAnsi="Verdana"/>
                <w:sz w:val="22"/>
                <w:szCs w:val="22"/>
              </w:rPr>
            </w:pPr>
            <w:r w:rsidRPr="00F85A48">
              <w:rPr>
                <w:rFonts w:ascii="Verdana" w:hAnsi="Verdana"/>
                <w:sz w:val="22"/>
                <w:szCs w:val="22"/>
              </w:rPr>
              <w:t>Serious injury in the past</w:t>
            </w:r>
          </w:p>
        </w:tc>
        <w:tc>
          <w:tcPr>
            <w:tcW w:w="283" w:type="dxa"/>
            <w:tcBorders>
              <w:top w:val="single" w:sz="4" w:space="0" w:color="auto"/>
              <w:left w:val="nil"/>
              <w:bottom w:val="nil"/>
              <w:right w:val="nil"/>
            </w:tcBorders>
          </w:tcPr>
          <w:p w14:paraId="79FFBF4F" w14:textId="77777777" w:rsidR="00F51824" w:rsidRPr="00F85A48" w:rsidRDefault="00F51824" w:rsidP="00F365C3">
            <w:pPr>
              <w:rPr>
                <w:rFonts w:ascii="Verdana" w:hAnsi="Verdana"/>
                <w:sz w:val="22"/>
                <w:szCs w:val="22"/>
              </w:rPr>
            </w:pPr>
          </w:p>
        </w:tc>
        <w:tc>
          <w:tcPr>
            <w:tcW w:w="1701" w:type="dxa"/>
            <w:tcBorders>
              <w:top w:val="single" w:sz="4" w:space="0" w:color="auto"/>
              <w:left w:val="nil"/>
              <w:bottom w:val="nil"/>
              <w:right w:val="nil"/>
            </w:tcBorders>
          </w:tcPr>
          <w:p w14:paraId="635B267E" w14:textId="77777777" w:rsidR="00F51824" w:rsidRPr="00F85A48" w:rsidRDefault="00F51824" w:rsidP="00F365C3">
            <w:pPr>
              <w:jc w:val="center"/>
              <w:rPr>
                <w:rFonts w:ascii="Verdana" w:hAnsi="Verdana"/>
                <w:sz w:val="22"/>
                <w:szCs w:val="22"/>
              </w:rPr>
            </w:pPr>
            <w:r w:rsidRPr="00F85A48">
              <w:rPr>
                <w:rFonts w:ascii="Verdana" w:hAnsi="Verdana"/>
                <w:sz w:val="22"/>
                <w:szCs w:val="22"/>
              </w:rPr>
              <w:t>2.73</w:t>
            </w:r>
          </w:p>
        </w:tc>
        <w:tc>
          <w:tcPr>
            <w:tcW w:w="284" w:type="dxa"/>
            <w:tcBorders>
              <w:top w:val="single" w:sz="4" w:space="0" w:color="auto"/>
              <w:left w:val="nil"/>
              <w:bottom w:val="nil"/>
              <w:right w:val="nil"/>
            </w:tcBorders>
          </w:tcPr>
          <w:p w14:paraId="3AE0A616" w14:textId="77777777" w:rsidR="00F51824" w:rsidRPr="00F85A48" w:rsidRDefault="00F51824" w:rsidP="00F365C3">
            <w:pPr>
              <w:jc w:val="center"/>
              <w:rPr>
                <w:rFonts w:ascii="Verdana" w:hAnsi="Verdana"/>
                <w:sz w:val="22"/>
                <w:szCs w:val="22"/>
              </w:rPr>
            </w:pPr>
          </w:p>
        </w:tc>
        <w:tc>
          <w:tcPr>
            <w:tcW w:w="2693" w:type="dxa"/>
            <w:tcBorders>
              <w:top w:val="single" w:sz="4" w:space="0" w:color="auto"/>
              <w:left w:val="nil"/>
              <w:bottom w:val="nil"/>
              <w:right w:val="nil"/>
            </w:tcBorders>
          </w:tcPr>
          <w:p w14:paraId="57506C90" w14:textId="77777777" w:rsidR="00F51824" w:rsidRPr="00F85A48" w:rsidRDefault="00F51824" w:rsidP="00F365C3">
            <w:pPr>
              <w:jc w:val="center"/>
              <w:rPr>
                <w:rFonts w:ascii="Verdana" w:hAnsi="Verdana"/>
                <w:sz w:val="22"/>
                <w:szCs w:val="22"/>
              </w:rPr>
            </w:pPr>
            <w:r w:rsidRPr="00F85A48">
              <w:rPr>
                <w:rFonts w:ascii="Verdana" w:hAnsi="Verdana"/>
                <w:sz w:val="22"/>
                <w:szCs w:val="22"/>
              </w:rPr>
              <w:t>1.45-5.15</w:t>
            </w:r>
          </w:p>
        </w:tc>
      </w:tr>
      <w:tr w:rsidR="00F51824" w:rsidRPr="00F85A48" w14:paraId="6DD7E356" w14:textId="77777777" w:rsidTr="00031873">
        <w:tc>
          <w:tcPr>
            <w:tcW w:w="3226" w:type="dxa"/>
            <w:tcBorders>
              <w:top w:val="nil"/>
              <w:left w:val="nil"/>
              <w:bottom w:val="nil"/>
              <w:right w:val="nil"/>
            </w:tcBorders>
          </w:tcPr>
          <w:p w14:paraId="15C0A0B8" w14:textId="77777777" w:rsidR="00F51824" w:rsidRPr="00F85A48" w:rsidRDefault="00F51824" w:rsidP="00F51824">
            <w:pPr>
              <w:rPr>
                <w:rFonts w:ascii="Verdana" w:hAnsi="Verdana"/>
                <w:sz w:val="22"/>
                <w:szCs w:val="22"/>
              </w:rPr>
            </w:pPr>
            <w:r w:rsidRPr="00F85A48">
              <w:rPr>
                <w:rFonts w:ascii="Verdana" w:hAnsi="Verdana"/>
                <w:sz w:val="22"/>
                <w:szCs w:val="22"/>
              </w:rPr>
              <w:t>Osteoarthritis</w:t>
            </w:r>
          </w:p>
        </w:tc>
        <w:tc>
          <w:tcPr>
            <w:tcW w:w="283" w:type="dxa"/>
            <w:tcBorders>
              <w:top w:val="nil"/>
              <w:left w:val="nil"/>
              <w:bottom w:val="nil"/>
              <w:right w:val="nil"/>
            </w:tcBorders>
          </w:tcPr>
          <w:p w14:paraId="19E28318" w14:textId="77777777" w:rsidR="00F51824" w:rsidRPr="00F85A48" w:rsidRDefault="00F51824" w:rsidP="00F365C3">
            <w:pPr>
              <w:rPr>
                <w:rFonts w:ascii="Verdana" w:hAnsi="Verdana"/>
                <w:sz w:val="22"/>
                <w:szCs w:val="22"/>
              </w:rPr>
            </w:pPr>
          </w:p>
        </w:tc>
        <w:tc>
          <w:tcPr>
            <w:tcW w:w="1701" w:type="dxa"/>
            <w:tcBorders>
              <w:top w:val="nil"/>
              <w:left w:val="nil"/>
              <w:bottom w:val="nil"/>
              <w:right w:val="nil"/>
            </w:tcBorders>
          </w:tcPr>
          <w:p w14:paraId="21CBF7CD" w14:textId="77777777" w:rsidR="00F51824" w:rsidRPr="00F85A48" w:rsidRDefault="00F51824" w:rsidP="00F365C3">
            <w:pPr>
              <w:jc w:val="center"/>
              <w:rPr>
                <w:rFonts w:ascii="Verdana" w:hAnsi="Verdana"/>
                <w:sz w:val="22"/>
                <w:szCs w:val="22"/>
              </w:rPr>
            </w:pPr>
            <w:r w:rsidRPr="00F85A48">
              <w:rPr>
                <w:rFonts w:ascii="Verdana" w:hAnsi="Verdana"/>
                <w:sz w:val="22"/>
                <w:szCs w:val="22"/>
              </w:rPr>
              <w:t>2.19</w:t>
            </w:r>
          </w:p>
        </w:tc>
        <w:tc>
          <w:tcPr>
            <w:tcW w:w="284" w:type="dxa"/>
            <w:tcBorders>
              <w:top w:val="nil"/>
              <w:left w:val="nil"/>
              <w:bottom w:val="nil"/>
              <w:right w:val="nil"/>
            </w:tcBorders>
          </w:tcPr>
          <w:p w14:paraId="28EE4346" w14:textId="77777777" w:rsidR="00F51824" w:rsidRPr="00F85A48" w:rsidRDefault="00F51824" w:rsidP="00F365C3">
            <w:pPr>
              <w:jc w:val="center"/>
              <w:rPr>
                <w:rFonts w:ascii="Verdana" w:hAnsi="Verdana"/>
                <w:sz w:val="22"/>
                <w:szCs w:val="22"/>
              </w:rPr>
            </w:pPr>
          </w:p>
        </w:tc>
        <w:tc>
          <w:tcPr>
            <w:tcW w:w="2693" w:type="dxa"/>
            <w:tcBorders>
              <w:top w:val="nil"/>
              <w:left w:val="nil"/>
              <w:bottom w:val="nil"/>
              <w:right w:val="nil"/>
            </w:tcBorders>
          </w:tcPr>
          <w:p w14:paraId="57979910" w14:textId="77777777" w:rsidR="00F51824" w:rsidRPr="00F85A48" w:rsidRDefault="00F51824" w:rsidP="00F365C3">
            <w:pPr>
              <w:jc w:val="center"/>
              <w:rPr>
                <w:rFonts w:ascii="Verdana" w:hAnsi="Verdana"/>
                <w:sz w:val="22"/>
                <w:szCs w:val="22"/>
              </w:rPr>
            </w:pPr>
            <w:r w:rsidRPr="00F85A48">
              <w:rPr>
                <w:rFonts w:ascii="Verdana" w:hAnsi="Verdana"/>
                <w:sz w:val="22"/>
                <w:szCs w:val="22"/>
              </w:rPr>
              <w:t>1.24-3.86</w:t>
            </w:r>
          </w:p>
        </w:tc>
      </w:tr>
      <w:tr w:rsidR="00F51824" w:rsidRPr="00F85A48" w14:paraId="1A964991" w14:textId="77777777" w:rsidTr="00031873">
        <w:tc>
          <w:tcPr>
            <w:tcW w:w="3226" w:type="dxa"/>
            <w:tcBorders>
              <w:top w:val="nil"/>
              <w:left w:val="nil"/>
              <w:bottom w:val="nil"/>
              <w:right w:val="nil"/>
            </w:tcBorders>
          </w:tcPr>
          <w:p w14:paraId="0E3942FF" w14:textId="77777777" w:rsidR="00F51824" w:rsidRPr="00F85A48" w:rsidRDefault="00F51824" w:rsidP="00F51824">
            <w:pPr>
              <w:rPr>
                <w:rFonts w:ascii="Verdana" w:hAnsi="Verdana"/>
                <w:sz w:val="22"/>
                <w:szCs w:val="22"/>
              </w:rPr>
            </w:pPr>
            <w:r w:rsidRPr="00F85A48">
              <w:rPr>
                <w:rFonts w:ascii="Verdana" w:hAnsi="Verdana"/>
                <w:sz w:val="22"/>
                <w:szCs w:val="22"/>
              </w:rPr>
              <w:t>Rheumatoid arthritis</w:t>
            </w:r>
          </w:p>
        </w:tc>
        <w:tc>
          <w:tcPr>
            <w:tcW w:w="283" w:type="dxa"/>
            <w:tcBorders>
              <w:top w:val="nil"/>
              <w:left w:val="nil"/>
              <w:bottom w:val="nil"/>
              <w:right w:val="nil"/>
            </w:tcBorders>
          </w:tcPr>
          <w:p w14:paraId="45CBE1B7" w14:textId="77777777" w:rsidR="00F51824" w:rsidRPr="00F85A48" w:rsidRDefault="00F51824" w:rsidP="00F365C3">
            <w:pPr>
              <w:rPr>
                <w:rFonts w:ascii="Verdana" w:hAnsi="Verdana"/>
                <w:sz w:val="22"/>
                <w:szCs w:val="22"/>
              </w:rPr>
            </w:pPr>
          </w:p>
        </w:tc>
        <w:tc>
          <w:tcPr>
            <w:tcW w:w="1701" w:type="dxa"/>
            <w:tcBorders>
              <w:top w:val="nil"/>
              <w:left w:val="nil"/>
              <w:bottom w:val="nil"/>
              <w:right w:val="nil"/>
            </w:tcBorders>
          </w:tcPr>
          <w:p w14:paraId="399F0259" w14:textId="77777777" w:rsidR="00F51824" w:rsidRPr="00F85A48" w:rsidRDefault="00F51824" w:rsidP="00F365C3">
            <w:pPr>
              <w:jc w:val="center"/>
              <w:rPr>
                <w:rFonts w:ascii="Verdana" w:hAnsi="Verdana"/>
                <w:sz w:val="22"/>
                <w:szCs w:val="22"/>
              </w:rPr>
            </w:pPr>
            <w:r w:rsidRPr="00F85A48">
              <w:rPr>
                <w:rFonts w:ascii="Verdana" w:hAnsi="Verdana"/>
                <w:sz w:val="22"/>
                <w:szCs w:val="22"/>
              </w:rPr>
              <w:t>1.51</w:t>
            </w:r>
          </w:p>
        </w:tc>
        <w:tc>
          <w:tcPr>
            <w:tcW w:w="284" w:type="dxa"/>
            <w:tcBorders>
              <w:top w:val="nil"/>
              <w:left w:val="nil"/>
              <w:bottom w:val="nil"/>
              <w:right w:val="nil"/>
            </w:tcBorders>
          </w:tcPr>
          <w:p w14:paraId="2429D425" w14:textId="77777777" w:rsidR="00F51824" w:rsidRPr="00F85A48" w:rsidRDefault="00F51824" w:rsidP="00F365C3">
            <w:pPr>
              <w:jc w:val="center"/>
              <w:rPr>
                <w:rFonts w:ascii="Verdana" w:hAnsi="Verdana"/>
                <w:sz w:val="22"/>
                <w:szCs w:val="22"/>
              </w:rPr>
            </w:pPr>
          </w:p>
        </w:tc>
        <w:tc>
          <w:tcPr>
            <w:tcW w:w="2693" w:type="dxa"/>
            <w:tcBorders>
              <w:top w:val="nil"/>
              <w:left w:val="nil"/>
              <w:bottom w:val="nil"/>
              <w:right w:val="nil"/>
            </w:tcBorders>
          </w:tcPr>
          <w:p w14:paraId="73BC51AD" w14:textId="77777777" w:rsidR="00F51824" w:rsidRPr="00F85A48" w:rsidRDefault="00F51824" w:rsidP="00F365C3">
            <w:pPr>
              <w:jc w:val="center"/>
              <w:rPr>
                <w:rFonts w:ascii="Verdana" w:hAnsi="Verdana"/>
                <w:sz w:val="22"/>
                <w:szCs w:val="22"/>
              </w:rPr>
            </w:pPr>
            <w:r w:rsidRPr="00F85A48">
              <w:rPr>
                <w:rFonts w:ascii="Verdana" w:hAnsi="Verdana"/>
                <w:sz w:val="22"/>
                <w:szCs w:val="22"/>
              </w:rPr>
              <w:t>0.56-4.03</w:t>
            </w:r>
          </w:p>
        </w:tc>
      </w:tr>
      <w:tr w:rsidR="00F51824" w:rsidRPr="00F85A48" w14:paraId="14FE8472" w14:textId="77777777" w:rsidTr="00031873">
        <w:tc>
          <w:tcPr>
            <w:tcW w:w="3226" w:type="dxa"/>
            <w:tcBorders>
              <w:top w:val="nil"/>
              <w:left w:val="nil"/>
              <w:bottom w:val="single" w:sz="4" w:space="0" w:color="auto"/>
              <w:right w:val="nil"/>
            </w:tcBorders>
          </w:tcPr>
          <w:p w14:paraId="129112ED" w14:textId="77777777" w:rsidR="00F51824" w:rsidRPr="00F85A48" w:rsidRDefault="00F51824" w:rsidP="00F51824">
            <w:pPr>
              <w:rPr>
                <w:rFonts w:ascii="Verdana" w:hAnsi="Verdana"/>
                <w:sz w:val="22"/>
                <w:szCs w:val="22"/>
              </w:rPr>
            </w:pPr>
            <w:r w:rsidRPr="00F85A48">
              <w:rPr>
                <w:rFonts w:ascii="Verdana" w:hAnsi="Verdana"/>
                <w:sz w:val="22"/>
                <w:szCs w:val="22"/>
              </w:rPr>
              <w:t>Back problems</w:t>
            </w:r>
          </w:p>
        </w:tc>
        <w:tc>
          <w:tcPr>
            <w:tcW w:w="283" w:type="dxa"/>
            <w:tcBorders>
              <w:top w:val="nil"/>
              <w:left w:val="nil"/>
              <w:bottom w:val="single" w:sz="4" w:space="0" w:color="auto"/>
              <w:right w:val="nil"/>
            </w:tcBorders>
          </w:tcPr>
          <w:p w14:paraId="628FBA01" w14:textId="77777777" w:rsidR="00F51824" w:rsidRPr="00F85A48" w:rsidRDefault="00F51824" w:rsidP="00F365C3">
            <w:pPr>
              <w:rPr>
                <w:rFonts w:ascii="Verdana" w:hAnsi="Verdana"/>
                <w:sz w:val="22"/>
                <w:szCs w:val="22"/>
              </w:rPr>
            </w:pPr>
          </w:p>
        </w:tc>
        <w:tc>
          <w:tcPr>
            <w:tcW w:w="1701" w:type="dxa"/>
            <w:tcBorders>
              <w:top w:val="nil"/>
              <w:left w:val="nil"/>
              <w:bottom w:val="single" w:sz="4" w:space="0" w:color="auto"/>
              <w:right w:val="nil"/>
            </w:tcBorders>
          </w:tcPr>
          <w:p w14:paraId="3EDFA323" w14:textId="77777777" w:rsidR="00F51824" w:rsidRPr="00F85A48" w:rsidRDefault="00F51824" w:rsidP="00F365C3">
            <w:pPr>
              <w:jc w:val="center"/>
              <w:rPr>
                <w:rFonts w:ascii="Verdana" w:hAnsi="Verdana"/>
                <w:sz w:val="22"/>
                <w:szCs w:val="22"/>
              </w:rPr>
            </w:pPr>
            <w:r w:rsidRPr="00F85A48">
              <w:rPr>
                <w:rFonts w:ascii="Verdana" w:hAnsi="Verdana"/>
                <w:sz w:val="22"/>
                <w:szCs w:val="22"/>
              </w:rPr>
              <w:t>1.60</w:t>
            </w:r>
          </w:p>
        </w:tc>
        <w:tc>
          <w:tcPr>
            <w:tcW w:w="284" w:type="dxa"/>
            <w:tcBorders>
              <w:top w:val="nil"/>
              <w:left w:val="nil"/>
              <w:bottom w:val="single" w:sz="4" w:space="0" w:color="auto"/>
              <w:right w:val="nil"/>
            </w:tcBorders>
          </w:tcPr>
          <w:p w14:paraId="24824956" w14:textId="77777777" w:rsidR="00F51824" w:rsidRPr="00F85A48" w:rsidRDefault="00F51824" w:rsidP="00F365C3">
            <w:pPr>
              <w:jc w:val="center"/>
              <w:rPr>
                <w:rFonts w:ascii="Verdana" w:hAnsi="Verdana"/>
                <w:sz w:val="22"/>
                <w:szCs w:val="22"/>
              </w:rPr>
            </w:pPr>
          </w:p>
        </w:tc>
        <w:tc>
          <w:tcPr>
            <w:tcW w:w="2693" w:type="dxa"/>
            <w:tcBorders>
              <w:top w:val="nil"/>
              <w:left w:val="nil"/>
              <w:bottom w:val="single" w:sz="4" w:space="0" w:color="auto"/>
              <w:right w:val="nil"/>
            </w:tcBorders>
          </w:tcPr>
          <w:p w14:paraId="354436FE" w14:textId="77777777" w:rsidR="00F51824" w:rsidRPr="00F85A48" w:rsidRDefault="00F51824" w:rsidP="00F365C3">
            <w:pPr>
              <w:jc w:val="center"/>
              <w:rPr>
                <w:rFonts w:ascii="Verdana" w:hAnsi="Verdana"/>
                <w:sz w:val="22"/>
                <w:szCs w:val="22"/>
              </w:rPr>
            </w:pPr>
            <w:r w:rsidRPr="00F85A48">
              <w:rPr>
                <w:rFonts w:ascii="Verdana" w:hAnsi="Verdana"/>
                <w:sz w:val="22"/>
                <w:szCs w:val="22"/>
              </w:rPr>
              <w:t>0.97-2.67</w:t>
            </w:r>
          </w:p>
        </w:tc>
      </w:tr>
    </w:tbl>
    <w:p w14:paraId="032BB88C" w14:textId="77777777" w:rsidR="00F51824" w:rsidRPr="00F51824" w:rsidRDefault="00F51824" w:rsidP="00F51824">
      <w:pPr>
        <w:ind w:left="720" w:hanging="720"/>
        <w:rPr>
          <w:rFonts w:ascii="Times New Roman" w:hAnsi="Times New Roman" w:cs="Times New Roman"/>
          <w:b/>
        </w:rPr>
      </w:pPr>
    </w:p>
    <w:p w14:paraId="3F539000" w14:textId="77777777" w:rsidR="00F51824" w:rsidRPr="00F51824" w:rsidRDefault="00F51824" w:rsidP="00F51824">
      <w:pPr>
        <w:ind w:left="720" w:hanging="720"/>
        <w:rPr>
          <w:rFonts w:ascii="Times New Roman" w:hAnsi="Times New Roman" w:cs="Times New Roman"/>
          <w:b/>
        </w:rPr>
      </w:pPr>
    </w:p>
    <w:p w14:paraId="03C8323D" w14:textId="77777777" w:rsidR="00F51824" w:rsidRPr="00F51824" w:rsidRDefault="00F51824" w:rsidP="00F51824">
      <w:pPr>
        <w:ind w:left="720" w:hanging="720"/>
        <w:rPr>
          <w:rFonts w:ascii="Times New Roman" w:hAnsi="Times New Roman" w:cs="Times New Roman"/>
          <w:b/>
        </w:rPr>
      </w:pPr>
    </w:p>
    <w:p w14:paraId="323BF74C" w14:textId="77777777" w:rsidR="00F51824" w:rsidRPr="00F51824" w:rsidRDefault="00F51824" w:rsidP="00F51824">
      <w:pPr>
        <w:rPr>
          <w:rFonts w:ascii="Times New Roman" w:hAnsi="Times New Roman" w:cs="Times New Roman"/>
          <w:b/>
        </w:rPr>
      </w:pPr>
      <w:r w:rsidRPr="00F51824">
        <w:rPr>
          <w:rFonts w:ascii="Times New Roman" w:hAnsi="Times New Roman" w:cs="Times New Roman"/>
          <w:b/>
        </w:rPr>
        <w:br w:type="page"/>
      </w:r>
    </w:p>
    <w:p w14:paraId="418AEDBC" w14:textId="09276841" w:rsidR="00F51824" w:rsidRPr="00F85A48" w:rsidRDefault="00F51824" w:rsidP="00F51824">
      <w:pPr>
        <w:ind w:left="720" w:hanging="720"/>
        <w:rPr>
          <w:rFonts w:ascii="Verdana" w:eastAsia="Times New Roman" w:hAnsi="Verdana" w:cs="Times New Roman"/>
          <w:b/>
        </w:rPr>
      </w:pPr>
      <w:r w:rsidRPr="00F85A48">
        <w:rPr>
          <w:rFonts w:ascii="Verdana" w:eastAsia="Times New Roman" w:hAnsi="Verdana" w:cs="Times New Roman"/>
          <w:b/>
        </w:rPr>
        <w:lastRenderedPageBreak/>
        <w:t xml:space="preserve">Table 2: </w:t>
      </w:r>
      <w:r w:rsidR="00903515">
        <w:rPr>
          <w:rFonts w:ascii="Verdana" w:eastAsia="Times New Roman" w:hAnsi="Verdana" w:cs="Times New Roman"/>
          <w:b/>
        </w:rPr>
        <w:t>A</w:t>
      </w:r>
      <w:r w:rsidRPr="00F85A48">
        <w:rPr>
          <w:rFonts w:ascii="Verdana" w:eastAsia="Times New Roman" w:hAnsi="Verdana" w:cs="Times New Roman"/>
          <w:b/>
        </w:rPr>
        <w:t>ssociations of physical work</w:t>
      </w:r>
      <w:r w:rsidR="00B515F4" w:rsidRPr="00F85A48">
        <w:rPr>
          <w:rFonts w:ascii="Verdana" w:eastAsia="Times New Roman" w:hAnsi="Verdana" w:cs="Times New Roman"/>
          <w:b/>
        </w:rPr>
        <w:t>ing</w:t>
      </w:r>
      <w:r w:rsidRPr="00F85A48">
        <w:rPr>
          <w:rFonts w:ascii="Verdana" w:eastAsia="Times New Roman" w:hAnsi="Verdana" w:cs="Times New Roman"/>
          <w:b/>
        </w:rPr>
        <w:t xml:space="preserve"> conditions with incidence of disability retirement </w:t>
      </w:r>
      <w:r w:rsidR="00B515F4" w:rsidRPr="00F85A48">
        <w:rPr>
          <w:rFonts w:ascii="Verdana" w:eastAsia="Times New Roman" w:hAnsi="Verdana" w:cs="Times New Roman"/>
          <w:b/>
        </w:rPr>
        <w:t>in</w:t>
      </w:r>
      <w:r w:rsidR="00903515">
        <w:rPr>
          <w:rFonts w:ascii="Verdana" w:eastAsia="Times New Roman" w:hAnsi="Verdana" w:cs="Times New Roman"/>
          <w:b/>
        </w:rPr>
        <w:t xml:space="preserve"> men from</w:t>
      </w:r>
      <w:r w:rsidR="00B515F4" w:rsidRPr="00F85A48">
        <w:rPr>
          <w:rFonts w:ascii="Verdana" w:eastAsia="Times New Roman" w:hAnsi="Verdana" w:cs="Times New Roman"/>
          <w:b/>
        </w:rPr>
        <w:t xml:space="preserve"> the </w:t>
      </w:r>
      <w:r w:rsidR="00B515F4" w:rsidRPr="00F85A48">
        <w:rPr>
          <w:rFonts w:ascii="Verdana" w:hAnsi="Verdana" w:cs="Times New Roman"/>
          <w:b/>
        </w:rPr>
        <w:t>Kuopio Ischemic Heart Disease Risk Factor Study</w:t>
      </w:r>
      <w:r w:rsidR="00B515F4" w:rsidRPr="00F85A48">
        <w:rPr>
          <w:rFonts w:ascii="Verdana" w:eastAsia="Times New Roman" w:hAnsi="Verdana" w:cs="Times New Roman"/>
          <w:b/>
        </w:rPr>
        <w:t xml:space="preserve"> </w:t>
      </w:r>
      <w:r w:rsidRPr="00F85A48">
        <w:rPr>
          <w:rFonts w:ascii="Verdana" w:eastAsia="Times New Roman" w:hAnsi="Verdana" w:cs="Times New Roman"/>
          <w:b/>
        </w:rPr>
        <w:t xml:space="preserve">(adapted from Krause </w:t>
      </w:r>
      <w:r w:rsidRPr="00F85A48">
        <w:rPr>
          <w:rFonts w:ascii="Verdana" w:eastAsia="Times New Roman" w:hAnsi="Verdana" w:cs="Times New Roman"/>
          <w:b/>
          <w:i/>
        </w:rPr>
        <w:t>et al</w:t>
      </w:r>
      <w:r w:rsidRPr="00F85A48">
        <w:rPr>
          <w:rFonts w:ascii="Verdana" w:eastAsia="Times New Roman" w:hAnsi="Verdana" w:cs="Times New Roman"/>
          <w:b/>
        </w:rPr>
        <w:t xml:space="preserve"> [</w:t>
      </w:r>
      <w:r w:rsidR="0082121C" w:rsidRPr="00F85A48">
        <w:rPr>
          <w:rFonts w:ascii="Verdana" w:eastAsia="Times New Roman" w:hAnsi="Verdana" w:cs="Times New Roman"/>
          <w:b/>
        </w:rPr>
        <w:t>39</w:t>
      </w:r>
      <w:r w:rsidRPr="00F85A48">
        <w:rPr>
          <w:rFonts w:ascii="Verdana" w:eastAsia="Times New Roman" w:hAnsi="Verdana" w:cs="Times New Roman"/>
          <w:b/>
        </w:rPr>
        <w:t>])</w:t>
      </w:r>
    </w:p>
    <w:p w14:paraId="09CF17F2" w14:textId="77777777" w:rsidR="00F51824" w:rsidRPr="00F85A48" w:rsidRDefault="00F51824" w:rsidP="00F51824">
      <w:pPr>
        <w:rPr>
          <w:rFonts w:ascii="Verdana" w:hAnsi="Verdana" w:cs="Times New Roman"/>
        </w:rPr>
      </w:pPr>
    </w:p>
    <w:tbl>
      <w:tblPr>
        <w:tblStyle w:val="TableGrid"/>
        <w:tblW w:w="801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909"/>
        <w:gridCol w:w="270"/>
        <w:gridCol w:w="1147"/>
        <w:gridCol w:w="270"/>
        <w:gridCol w:w="2423"/>
      </w:tblGrid>
      <w:tr w:rsidR="00F51824" w:rsidRPr="00F85A48" w14:paraId="5732EC22" w14:textId="77777777" w:rsidTr="00F85A48">
        <w:tc>
          <w:tcPr>
            <w:tcW w:w="3909" w:type="dxa"/>
            <w:tcBorders>
              <w:top w:val="single" w:sz="12" w:space="0" w:color="auto"/>
              <w:bottom w:val="single" w:sz="12" w:space="0" w:color="auto"/>
            </w:tcBorders>
            <w:vAlign w:val="center"/>
          </w:tcPr>
          <w:p w14:paraId="68D65FCD" w14:textId="77777777" w:rsidR="00F51824" w:rsidRPr="00F85A48" w:rsidRDefault="00F51824" w:rsidP="00F51824">
            <w:pPr>
              <w:rPr>
                <w:rFonts w:ascii="Verdana" w:hAnsi="Verdana"/>
                <w:b/>
                <w:sz w:val="22"/>
                <w:szCs w:val="22"/>
              </w:rPr>
            </w:pPr>
            <w:r w:rsidRPr="00F85A48">
              <w:rPr>
                <w:rFonts w:ascii="Verdana" w:hAnsi="Verdana"/>
                <w:b/>
                <w:sz w:val="22"/>
                <w:szCs w:val="22"/>
              </w:rPr>
              <w:t>Variable</w:t>
            </w:r>
          </w:p>
        </w:tc>
        <w:tc>
          <w:tcPr>
            <w:tcW w:w="270" w:type="dxa"/>
            <w:tcBorders>
              <w:top w:val="single" w:sz="12" w:space="0" w:color="auto"/>
              <w:bottom w:val="single" w:sz="12" w:space="0" w:color="auto"/>
            </w:tcBorders>
            <w:vAlign w:val="center"/>
          </w:tcPr>
          <w:p w14:paraId="032620DB" w14:textId="77777777" w:rsidR="00F51824" w:rsidRPr="00F85A48" w:rsidRDefault="00F51824" w:rsidP="00F365C3">
            <w:pPr>
              <w:jc w:val="center"/>
              <w:rPr>
                <w:rFonts w:ascii="Verdana" w:hAnsi="Verdana"/>
                <w:b/>
                <w:sz w:val="22"/>
                <w:szCs w:val="22"/>
              </w:rPr>
            </w:pPr>
          </w:p>
        </w:tc>
        <w:tc>
          <w:tcPr>
            <w:tcW w:w="1147" w:type="dxa"/>
            <w:tcBorders>
              <w:top w:val="single" w:sz="12" w:space="0" w:color="auto"/>
              <w:bottom w:val="single" w:sz="12" w:space="0" w:color="auto"/>
            </w:tcBorders>
            <w:vAlign w:val="center"/>
          </w:tcPr>
          <w:p w14:paraId="68C71BD1" w14:textId="77777777" w:rsidR="00F51824" w:rsidRPr="00F85A48" w:rsidRDefault="00F51824" w:rsidP="00F365C3">
            <w:pPr>
              <w:jc w:val="center"/>
              <w:rPr>
                <w:rFonts w:ascii="Verdana" w:hAnsi="Verdana"/>
                <w:b/>
                <w:sz w:val="22"/>
                <w:szCs w:val="22"/>
              </w:rPr>
            </w:pPr>
            <w:r w:rsidRPr="00F85A48">
              <w:rPr>
                <w:rFonts w:ascii="Verdana" w:hAnsi="Verdana"/>
                <w:b/>
                <w:sz w:val="22"/>
                <w:szCs w:val="22"/>
              </w:rPr>
              <w:t>Odds Ratio</w:t>
            </w:r>
          </w:p>
        </w:tc>
        <w:tc>
          <w:tcPr>
            <w:tcW w:w="270" w:type="dxa"/>
            <w:tcBorders>
              <w:top w:val="single" w:sz="12" w:space="0" w:color="auto"/>
              <w:bottom w:val="single" w:sz="12" w:space="0" w:color="auto"/>
            </w:tcBorders>
            <w:vAlign w:val="center"/>
          </w:tcPr>
          <w:p w14:paraId="39830BDA" w14:textId="77777777" w:rsidR="00F51824" w:rsidRPr="00F85A48" w:rsidRDefault="00F51824" w:rsidP="00F365C3">
            <w:pPr>
              <w:jc w:val="center"/>
              <w:rPr>
                <w:rFonts w:ascii="Verdana" w:hAnsi="Verdana"/>
                <w:b/>
                <w:sz w:val="22"/>
                <w:szCs w:val="22"/>
              </w:rPr>
            </w:pPr>
          </w:p>
        </w:tc>
        <w:tc>
          <w:tcPr>
            <w:tcW w:w="2423" w:type="dxa"/>
            <w:tcBorders>
              <w:top w:val="single" w:sz="12" w:space="0" w:color="auto"/>
              <w:bottom w:val="single" w:sz="12" w:space="0" w:color="auto"/>
            </w:tcBorders>
            <w:vAlign w:val="center"/>
          </w:tcPr>
          <w:p w14:paraId="736A7C64" w14:textId="77777777" w:rsidR="00F51824" w:rsidRPr="00F85A48" w:rsidRDefault="00F51824" w:rsidP="00F51824">
            <w:pPr>
              <w:jc w:val="center"/>
              <w:rPr>
                <w:rFonts w:ascii="Verdana" w:hAnsi="Verdana"/>
                <w:b/>
                <w:sz w:val="22"/>
                <w:szCs w:val="22"/>
              </w:rPr>
            </w:pPr>
            <w:r w:rsidRPr="00F85A48">
              <w:rPr>
                <w:rFonts w:ascii="Verdana" w:hAnsi="Verdana"/>
                <w:b/>
                <w:sz w:val="22"/>
                <w:szCs w:val="22"/>
              </w:rPr>
              <w:t>95% CI</w:t>
            </w:r>
          </w:p>
        </w:tc>
      </w:tr>
      <w:tr w:rsidR="00F51824" w:rsidRPr="00F85A48" w14:paraId="3DACE2FD" w14:textId="77777777" w:rsidTr="00F85A48">
        <w:tc>
          <w:tcPr>
            <w:tcW w:w="3909" w:type="dxa"/>
            <w:tcBorders>
              <w:top w:val="single" w:sz="12" w:space="0" w:color="auto"/>
            </w:tcBorders>
          </w:tcPr>
          <w:p w14:paraId="5799AC17" w14:textId="77777777" w:rsidR="00F51824" w:rsidRPr="00F85A48" w:rsidRDefault="00F51824" w:rsidP="000C5B9A">
            <w:pPr>
              <w:rPr>
                <w:rFonts w:ascii="Verdana" w:hAnsi="Verdana"/>
                <w:b/>
                <w:sz w:val="22"/>
                <w:szCs w:val="22"/>
              </w:rPr>
            </w:pPr>
            <w:r w:rsidRPr="00F85A48">
              <w:rPr>
                <w:rFonts w:ascii="Verdana" w:hAnsi="Verdana"/>
                <w:b/>
                <w:sz w:val="22"/>
                <w:szCs w:val="22"/>
              </w:rPr>
              <w:t>Physical Work</w:t>
            </w:r>
          </w:p>
        </w:tc>
        <w:tc>
          <w:tcPr>
            <w:tcW w:w="270" w:type="dxa"/>
            <w:tcBorders>
              <w:top w:val="single" w:sz="12" w:space="0" w:color="auto"/>
            </w:tcBorders>
          </w:tcPr>
          <w:p w14:paraId="3D6BE318" w14:textId="77777777" w:rsidR="00F51824" w:rsidRPr="00F85A48" w:rsidRDefault="00F51824" w:rsidP="000C5B9A">
            <w:pPr>
              <w:rPr>
                <w:rFonts w:ascii="Verdana" w:hAnsi="Verdana"/>
                <w:sz w:val="22"/>
                <w:szCs w:val="22"/>
              </w:rPr>
            </w:pPr>
          </w:p>
        </w:tc>
        <w:tc>
          <w:tcPr>
            <w:tcW w:w="1147" w:type="dxa"/>
            <w:tcBorders>
              <w:top w:val="single" w:sz="12" w:space="0" w:color="auto"/>
            </w:tcBorders>
          </w:tcPr>
          <w:p w14:paraId="6EF3E968" w14:textId="77777777" w:rsidR="00F51824" w:rsidRPr="00F85A48" w:rsidRDefault="00F51824" w:rsidP="000C5B9A">
            <w:pPr>
              <w:jc w:val="center"/>
              <w:rPr>
                <w:rFonts w:ascii="Verdana" w:hAnsi="Verdana"/>
                <w:sz w:val="22"/>
                <w:szCs w:val="22"/>
              </w:rPr>
            </w:pPr>
          </w:p>
        </w:tc>
        <w:tc>
          <w:tcPr>
            <w:tcW w:w="270" w:type="dxa"/>
            <w:tcBorders>
              <w:top w:val="single" w:sz="12" w:space="0" w:color="auto"/>
            </w:tcBorders>
          </w:tcPr>
          <w:p w14:paraId="1E4E24E2" w14:textId="77777777" w:rsidR="00F51824" w:rsidRPr="00F85A48" w:rsidRDefault="00F51824" w:rsidP="000C5B9A">
            <w:pPr>
              <w:jc w:val="center"/>
              <w:rPr>
                <w:rFonts w:ascii="Verdana" w:hAnsi="Verdana"/>
                <w:sz w:val="22"/>
                <w:szCs w:val="22"/>
              </w:rPr>
            </w:pPr>
          </w:p>
        </w:tc>
        <w:tc>
          <w:tcPr>
            <w:tcW w:w="2423" w:type="dxa"/>
            <w:tcBorders>
              <w:top w:val="single" w:sz="12" w:space="0" w:color="auto"/>
            </w:tcBorders>
          </w:tcPr>
          <w:p w14:paraId="36E9AD5F" w14:textId="77777777" w:rsidR="00F51824" w:rsidRPr="00F85A48" w:rsidRDefault="00F51824" w:rsidP="000C5B9A">
            <w:pPr>
              <w:jc w:val="center"/>
              <w:rPr>
                <w:rFonts w:ascii="Verdana" w:hAnsi="Verdana"/>
                <w:sz w:val="22"/>
                <w:szCs w:val="22"/>
              </w:rPr>
            </w:pPr>
          </w:p>
        </w:tc>
      </w:tr>
      <w:tr w:rsidR="00F51824" w:rsidRPr="00F85A48" w14:paraId="7191AE8C" w14:textId="77777777" w:rsidTr="00F85A48">
        <w:tc>
          <w:tcPr>
            <w:tcW w:w="3909" w:type="dxa"/>
          </w:tcPr>
          <w:p w14:paraId="2C8CD6B5" w14:textId="77777777" w:rsidR="00F51824" w:rsidRPr="00F85A48" w:rsidRDefault="00F51824" w:rsidP="000C5B9A">
            <w:pPr>
              <w:ind w:left="517"/>
              <w:rPr>
                <w:rFonts w:ascii="Verdana" w:hAnsi="Verdana"/>
                <w:sz w:val="22"/>
                <w:szCs w:val="22"/>
              </w:rPr>
            </w:pPr>
            <w:r w:rsidRPr="00F85A48">
              <w:rPr>
                <w:rFonts w:ascii="Verdana" w:hAnsi="Verdana"/>
                <w:sz w:val="22"/>
                <w:szCs w:val="22"/>
              </w:rPr>
              <w:t xml:space="preserve">Light </w:t>
            </w:r>
          </w:p>
        </w:tc>
        <w:tc>
          <w:tcPr>
            <w:tcW w:w="270" w:type="dxa"/>
          </w:tcPr>
          <w:p w14:paraId="3215AC94" w14:textId="77777777" w:rsidR="00F51824" w:rsidRPr="00F85A48" w:rsidRDefault="00F51824" w:rsidP="000C5B9A">
            <w:pPr>
              <w:rPr>
                <w:rFonts w:ascii="Verdana" w:hAnsi="Verdana"/>
                <w:sz w:val="22"/>
                <w:szCs w:val="22"/>
              </w:rPr>
            </w:pPr>
          </w:p>
        </w:tc>
        <w:tc>
          <w:tcPr>
            <w:tcW w:w="1147" w:type="dxa"/>
          </w:tcPr>
          <w:p w14:paraId="048A86E8" w14:textId="77777777" w:rsidR="00F51824" w:rsidRPr="00F85A48" w:rsidRDefault="00F51824" w:rsidP="000C5B9A">
            <w:pPr>
              <w:jc w:val="center"/>
              <w:rPr>
                <w:rFonts w:ascii="Verdana" w:hAnsi="Verdana"/>
                <w:sz w:val="22"/>
                <w:szCs w:val="22"/>
              </w:rPr>
            </w:pPr>
            <w:r w:rsidRPr="00F85A48">
              <w:rPr>
                <w:rFonts w:ascii="Verdana" w:hAnsi="Verdana"/>
                <w:sz w:val="22"/>
                <w:szCs w:val="22"/>
              </w:rPr>
              <w:t>1.00</w:t>
            </w:r>
          </w:p>
        </w:tc>
        <w:tc>
          <w:tcPr>
            <w:tcW w:w="270" w:type="dxa"/>
          </w:tcPr>
          <w:p w14:paraId="51661D4A" w14:textId="77777777" w:rsidR="00F51824" w:rsidRPr="00F85A48" w:rsidRDefault="00F51824" w:rsidP="000C5B9A">
            <w:pPr>
              <w:jc w:val="center"/>
              <w:rPr>
                <w:rFonts w:ascii="Verdana" w:hAnsi="Verdana"/>
                <w:sz w:val="22"/>
                <w:szCs w:val="22"/>
              </w:rPr>
            </w:pPr>
          </w:p>
        </w:tc>
        <w:tc>
          <w:tcPr>
            <w:tcW w:w="2423" w:type="dxa"/>
          </w:tcPr>
          <w:p w14:paraId="557E83C3" w14:textId="77777777" w:rsidR="00F51824" w:rsidRPr="00F85A48" w:rsidRDefault="00F51824" w:rsidP="000C5B9A">
            <w:pPr>
              <w:jc w:val="center"/>
              <w:rPr>
                <w:rFonts w:ascii="Verdana" w:hAnsi="Verdana"/>
                <w:sz w:val="22"/>
                <w:szCs w:val="22"/>
              </w:rPr>
            </w:pPr>
            <w:r w:rsidRPr="00F85A48">
              <w:rPr>
                <w:rFonts w:ascii="Verdana" w:hAnsi="Verdana"/>
                <w:sz w:val="22"/>
                <w:szCs w:val="22"/>
              </w:rPr>
              <w:t>-</w:t>
            </w:r>
          </w:p>
        </w:tc>
      </w:tr>
      <w:tr w:rsidR="00F51824" w:rsidRPr="00F85A48" w14:paraId="3681EBED" w14:textId="77777777" w:rsidTr="00F85A48">
        <w:tc>
          <w:tcPr>
            <w:tcW w:w="3909" w:type="dxa"/>
          </w:tcPr>
          <w:p w14:paraId="7CE22179" w14:textId="77777777" w:rsidR="00F51824" w:rsidRPr="00F85A48" w:rsidRDefault="00F51824" w:rsidP="000C5B9A">
            <w:pPr>
              <w:ind w:left="517"/>
              <w:rPr>
                <w:rFonts w:ascii="Verdana" w:hAnsi="Verdana"/>
                <w:sz w:val="22"/>
                <w:szCs w:val="22"/>
              </w:rPr>
            </w:pPr>
            <w:r w:rsidRPr="00F85A48">
              <w:rPr>
                <w:rFonts w:ascii="Verdana" w:hAnsi="Verdana"/>
                <w:sz w:val="22"/>
                <w:szCs w:val="22"/>
              </w:rPr>
              <w:t>Moderately active</w:t>
            </w:r>
          </w:p>
        </w:tc>
        <w:tc>
          <w:tcPr>
            <w:tcW w:w="270" w:type="dxa"/>
          </w:tcPr>
          <w:p w14:paraId="0A2B1F76" w14:textId="77777777" w:rsidR="00F51824" w:rsidRPr="00F85A48" w:rsidRDefault="00F51824" w:rsidP="000C5B9A">
            <w:pPr>
              <w:rPr>
                <w:rFonts w:ascii="Verdana" w:hAnsi="Verdana"/>
                <w:sz w:val="22"/>
                <w:szCs w:val="22"/>
              </w:rPr>
            </w:pPr>
          </w:p>
        </w:tc>
        <w:tc>
          <w:tcPr>
            <w:tcW w:w="1147" w:type="dxa"/>
          </w:tcPr>
          <w:p w14:paraId="3362B920" w14:textId="77777777" w:rsidR="00F51824" w:rsidRPr="00F85A48" w:rsidRDefault="00F51824" w:rsidP="000C5B9A">
            <w:pPr>
              <w:jc w:val="center"/>
              <w:rPr>
                <w:rFonts w:ascii="Verdana" w:hAnsi="Verdana"/>
                <w:sz w:val="22"/>
                <w:szCs w:val="22"/>
              </w:rPr>
            </w:pPr>
            <w:r w:rsidRPr="00F85A48">
              <w:rPr>
                <w:rFonts w:ascii="Verdana" w:hAnsi="Verdana"/>
                <w:sz w:val="22"/>
                <w:szCs w:val="22"/>
              </w:rPr>
              <w:t>2.14</w:t>
            </w:r>
          </w:p>
        </w:tc>
        <w:tc>
          <w:tcPr>
            <w:tcW w:w="270" w:type="dxa"/>
          </w:tcPr>
          <w:p w14:paraId="6D64D07F" w14:textId="77777777" w:rsidR="00F51824" w:rsidRPr="00F85A48" w:rsidRDefault="00F51824" w:rsidP="000C5B9A">
            <w:pPr>
              <w:jc w:val="center"/>
              <w:rPr>
                <w:rFonts w:ascii="Verdana" w:hAnsi="Verdana"/>
                <w:sz w:val="22"/>
                <w:szCs w:val="22"/>
              </w:rPr>
            </w:pPr>
          </w:p>
        </w:tc>
        <w:tc>
          <w:tcPr>
            <w:tcW w:w="2423" w:type="dxa"/>
          </w:tcPr>
          <w:p w14:paraId="4F9F8A1A" w14:textId="77777777" w:rsidR="00F51824" w:rsidRPr="00F85A48" w:rsidRDefault="00F51824" w:rsidP="000C5B9A">
            <w:pPr>
              <w:jc w:val="center"/>
              <w:rPr>
                <w:rFonts w:ascii="Verdana" w:hAnsi="Verdana"/>
                <w:sz w:val="22"/>
                <w:szCs w:val="22"/>
              </w:rPr>
            </w:pPr>
            <w:r w:rsidRPr="00F85A48">
              <w:rPr>
                <w:rFonts w:ascii="Verdana" w:hAnsi="Verdana"/>
                <w:sz w:val="22"/>
                <w:szCs w:val="22"/>
              </w:rPr>
              <w:t>1.09-4.20</w:t>
            </w:r>
          </w:p>
        </w:tc>
      </w:tr>
      <w:tr w:rsidR="00F51824" w:rsidRPr="00F85A48" w14:paraId="01FCEE50" w14:textId="77777777" w:rsidTr="00F85A48">
        <w:tc>
          <w:tcPr>
            <w:tcW w:w="3909" w:type="dxa"/>
          </w:tcPr>
          <w:p w14:paraId="3144ACD4" w14:textId="77777777" w:rsidR="00F51824" w:rsidRPr="00F85A48" w:rsidRDefault="00F51824" w:rsidP="000C5B9A">
            <w:pPr>
              <w:ind w:left="517"/>
              <w:rPr>
                <w:rFonts w:ascii="Verdana" w:hAnsi="Verdana"/>
                <w:sz w:val="22"/>
                <w:szCs w:val="22"/>
              </w:rPr>
            </w:pPr>
            <w:r w:rsidRPr="00F85A48">
              <w:rPr>
                <w:rFonts w:ascii="Verdana" w:hAnsi="Verdana"/>
                <w:sz w:val="22"/>
                <w:szCs w:val="22"/>
              </w:rPr>
              <w:t>Heavy or very heavy</w:t>
            </w:r>
          </w:p>
        </w:tc>
        <w:tc>
          <w:tcPr>
            <w:tcW w:w="270" w:type="dxa"/>
          </w:tcPr>
          <w:p w14:paraId="32A710AA" w14:textId="77777777" w:rsidR="00F51824" w:rsidRPr="00F85A48" w:rsidRDefault="00F51824" w:rsidP="000C5B9A">
            <w:pPr>
              <w:rPr>
                <w:rFonts w:ascii="Verdana" w:hAnsi="Verdana"/>
                <w:sz w:val="22"/>
                <w:szCs w:val="22"/>
              </w:rPr>
            </w:pPr>
          </w:p>
        </w:tc>
        <w:tc>
          <w:tcPr>
            <w:tcW w:w="1147" w:type="dxa"/>
          </w:tcPr>
          <w:p w14:paraId="4E3726D1" w14:textId="77777777" w:rsidR="00F51824" w:rsidRPr="00F85A48" w:rsidRDefault="00F51824" w:rsidP="000C5B9A">
            <w:pPr>
              <w:jc w:val="center"/>
              <w:rPr>
                <w:rFonts w:ascii="Verdana" w:hAnsi="Verdana"/>
                <w:sz w:val="22"/>
                <w:szCs w:val="22"/>
              </w:rPr>
            </w:pPr>
            <w:r w:rsidRPr="00F85A48">
              <w:rPr>
                <w:rFonts w:ascii="Verdana" w:hAnsi="Verdana"/>
                <w:sz w:val="22"/>
                <w:szCs w:val="22"/>
              </w:rPr>
              <w:t>3.27</w:t>
            </w:r>
          </w:p>
        </w:tc>
        <w:tc>
          <w:tcPr>
            <w:tcW w:w="270" w:type="dxa"/>
          </w:tcPr>
          <w:p w14:paraId="34D910B2" w14:textId="77777777" w:rsidR="00F51824" w:rsidRPr="00F85A48" w:rsidRDefault="00F51824" w:rsidP="000C5B9A">
            <w:pPr>
              <w:jc w:val="center"/>
              <w:rPr>
                <w:rFonts w:ascii="Verdana" w:hAnsi="Verdana"/>
                <w:sz w:val="22"/>
                <w:szCs w:val="22"/>
              </w:rPr>
            </w:pPr>
          </w:p>
        </w:tc>
        <w:tc>
          <w:tcPr>
            <w:tcW w:w="2423" w:type="dxa"/>
          </w:tcPr>
          <w:p w14:paraId="06623E4E" w14:textId="77777777" w:rsidR="00F51824" w:rsidRPr="00F85A48" w:rsidRDefault="00F51824" w:rsidP="000C5B9A">
            <w:pPr>
              <w:jc w:val="center"/>
              <w:rPr>
                <w:rFonts w:ascii="Verdana" w:hAnsi="Verdana"/>
                <w:sz w:val="22"/>
                <w:szCs w:val="22"/>
              </w:rPr>
            </w:pPr>
            <w:r w:rsidRPr="00F85A48">
              <w:rPr>
                <w:rFonts w:ascii="Verdana" w:hAnsi="Verdana"/>
                <w:sz w:val="22"/>
                <w:szCs w:val="22"/>
              </w:rPr>
              <w:t>1.61-6.63</w:t>
            </w:r>
          </w:p>
        </w:tc>
      </w:tr>
      <w:tr w:rsidR="00F51824" w:rsidRPr="00F85A48" w14:paraId="55B1A957" w14:textId="77777777" w:rsidTr="00F85A48">
        <w:tc>
          <w:tcPr>
            <w:tcW w:w="3909" w:type="dxa"/>
          </w:tcPr>
          <w:p w14:paraId="5F4F1A79" w14:textId="77777777" w:rsidR="00F51824" w:rsidRPr="00F85A48" w:rsidRDefault="00F51824" w:rsidP="000C5B9A">
            <w:pPr>
              <w:rPr>
                <w:rFonts w:ascii="Verdana" w:hAnsi="Verdana"/>
                <w:sz w:val="22"/>
                <w:szCs w:val="22"/>
              </w:rPr>
            </w:pPr>
          </w:p>
          <w:p w14:paraId="78B782A0" w14:textId="77777777" w:rsidR="00F51824" w:rsidRPr="00F85A48" w:rsidRDefault="00F51824" w:rsidP="000C5B9A">
            <w:pPr>
              <w:rPr>
                <w:rFonts w:ascii="Verdana" w:hAnsi="Verdana"/>
                <w:b/>
                <w:sz w:val="22"/>
                <w:szCs w:val="22"/>
              </w:rPr>
            </w:pPr>
            <w:r w:rsidRPr="00F85A48">
              <w:rPr>
                <w:rFonts w:ascii="Verdana" w:hAnsi="Verdana"/>
                <w:b/>
                <w:sz w:val="22"/>
                <w:szCs w:val="22"/>
              </w:rPr>
              <w:t>Work in uncomfortable position</w:t>
            </w:r>
          </w:p>
        </w:tc>
        <w:tc>
          <w:tcPr>
            <w:tcW w:w="270" w:type="dxa"/>
          </w:tcPr>
          <w:p w14:paraId="331B2FD5" w14:textId="77777777" w:rsidR="00F51824" w:rsidRPr="00F85A48" w:rsidRDefault="00F51824" w:rsidP="000C5B9A">
            <w:pPr>
              <w:rPr>
                <w:rFonts w:ascii="Verdana" w:hAnsi="Verdana"/>
                <w:sz w:val="22"/>
                <w:szCs w:val="22"/>
              </w:rPr>
            </w:pPr>
          </w:p>
        </w:tc>
        <w:tc>
          <w:tcPr>
            <w:tcW w:w="1147" w:type="dxa"/>
          </w:tcPr>
          <w:p w14:paraId="3506D406" w14:textId="77777777" w:rsidR="00F51824" w:rsidRPr="00F85A48" w:rsidRDefault="00F51824" w:rsidP="000C5B9A">
            <w:pPr>
              <w:jc w:val="center"/>
              <w:rPr>
                <w:rFonts w:ascii="Verdana" w:hAnsi="Verdana"/>
                <w:sz w:val="22"/>
                <w:szCs w:val="22"/>
              </w:rPr>
            </w:pPr>
          </w:p>
        </w:tc>
        <w:tc>
          <w:tcPr>
            <w:tcW w:w="270" w:type="dxa"/>
          </w:tcPr>
          <w:p w14:paraId="6200B542" w14:textId="77777777" w:rsidR="00F51824" w:rsidRPr="00F85A48" w:rsidRDefault="00F51824" w:rsidP="000C5B9A">
            <w:pPr>
              <w:jc w:val="center"/>
              <w:rPr>
                <w:rFonts w:ascii="Verdana" w:hAnsi="Verdana"/>
                <w:sz w:val="22"/>
                <w:szCs w:val="22"/>
              </w:rPr>
            </w:pPr>
          </w:p>
        </w:tc>
        <w:tc>
          <w:tcPr>
            <w:tcW w:w="2423" w:type="dxa"/>
          </w:tcPr>
          <w:p w14:paraId="50367EF7" w14:textId="77777777" w:rsidR="00F51824" w:rsidRPr="00F85A48" w:rsidRDefault="00F51824" w:rsidP="000C5B9A">
            <w:pPr>
              <w:jc w:val="center"/>
              <w:rPr>
                <w:rFonts w:ascii="Verdana" w:hAnsi="Verdana"/>
                <w:sz w:val="22"/>
                <w:szCs w:val="22"/>
              </w:rPr>
            </w:pPr>
          </w:p>
        </w:tc>
      </w:tr>
      <w:tr w:rsidR="00F51824" w:rsidRPr="00F85A48" w14:paraId="372A6D79" w14:textId="77777777" w:rsidTr="00F85A48">
        <w:tc>
          <w:tcPr>
            <w:tcW w:w="3909" w:type="dxa"/>
          </w:tcPr>
          <w:p w14:paraId="1BBA3FC1" w14:textId="77777777" w:rsidR="00F51824" w:rsidRPr="00F85A48" w:rsidRDefault="00F51824" w:rsidP="000C5B9A">
            <w:pPr>
              <w:ind w:left="517"/>
              <w:rPr>
                <w:rFonts w:ascii="Verdana" w:hAnsi="Verdana"/>
                <w:sz w:val="22"/>
                <w:szCs w:val="22"/>
              </w:rPr>
            </w:pPr>
            <w:r w:rsidRPr="00F85A48">
              <w:rPr>
                <w:rFonts w:ascii="Verdana" w:hAnsi="Verdana"/>
                <w:sz w:val="22"/>
                <w:szCs w:val="22"/>
              </w:rPr>
              <w:t>Very little</w:t>
            </w:r>
          </w:p>
        </w:tc>
        <w:tc>
          <w:tcPr>
            <w:tcW w:w="270" w:type="dxa"/>
          </w:tcPr>
          <w:p w14:paraId="532C9E16" w14:textId="77777777" w:rsidR="00F51824" w:rsidRPr="00F85A48" w:rsidRDefault="00F51824" w:rsidP="000C5B9A">
            <w:pPr>
              <w:rPr>
                <w:rFonts w:ascii="Verdana" w:hAnsi="Verdana"/>
                <w:sz w:val="22"/>
                <w:szCs w:val="22"/>
              </w:rPr>
            </w:pPr>
          </w:p>
        </w:tc>
        <w:tc>
          <w:tcPr>
            <w:tcW w:w="1147" w:type="dxa"/>
          </w:tcPr>
          <w:p w14:paraId="71B99D10" w14:textId="77777777" w:rsidR="00F51824" w:rsidRPr="00F85A48" w:rsidRDefault="00F51824" w:rsidP="000C5B9A">
            <w:pPr>
              <w:jc w:val="center"/>
              <w:rPr>
                <w:rFonts w:ascii="Verdana" w:hAnsi="Verdana"/>
                <w:sz w:val="22"/>
                <w:szCs w:val="22"/>
              </w:rPr>
            </w:pPr>
            <w:r w:rsidRPr="00F85A48">
              <w:rPr>
                <w:rFonts w:ascii="Verdana" w:hAnsi="Verdana"/>
                <w:sz w:val="22"/>
                <w:szCs w:val="22"/>
              </w:rPr>
              <w:t>1.00</w:t>
            </w:r>
          </w:p>
        </w:tc>
        <w:tc>
          <w:tcPr>
            <w:tcW w:w="270" w:type="dxa"/>
          </w:tcPr>
          <w:p w14:paraId="78CB5E4D" w14:textId="77777777" w:rsidR="00F51824" w:rsidRPr="00F85A48" w:rsidRDefault="00F51824" w:rsidP="000C5B9A">
            <w:pPr>
              <w:jc w:val="center"/>
              <w:rPr>
                <w:rFonts w:ascii="Verdana" w:hAnsi="Verdana"/>
                <w:sz w:val="22"/>
                <w:szCs w:val="22"/>
              </w:rPr>
            </w:pPr>
          </w:p>
        </w:tc>
        <w:tc>
          <w:tcPr>
            <w:tcW w:w="2423" w:type="dxa"/>
          </w:tcPr>
          <w:p w14:paraId="2CEDBAF7" w14:textId="77777777" w:rsidR="00F51824" w:rsidRPr="00F85A48" w:rsidRDefault="00F51824" w:rsidP="000C5B9A">
            <w:pPr>
              <w:jc w:val="center"/>
              <w:rPr>
                <w:rFonts w:ascii="Verdana" w:hAnsi="Verdana"/>
                <w:sz w:val="22"/>
                <w:szCs w:val="22"/>
              </w:rPr>
            </w:pPr>
            <w:r w:rsidRPr="00F85A48">
              <w:rPr>
                <w:rFonts w:ascii="Verdana" w:hAnsi="Verdana"/>
                <w:sz w:val="22"/>
                <w:szCs w:val="22"/>
              </w:rPr>
              <w:t>-</w:t>
            </w:r>
          </w:p>
        </w:tc>
      </w:tr>
      <w:tr w:rsidR="00F51824" w:rsidRPr="00F85A48" w14:paraId="68F223D2" w14:textId="77777777" w:rsidTr="00F85A48">
        <w:tc>
          <w:tcPr>
            <w:tcW w:w="3909" w:type="dxa"/>
          </w:tcPr>
          <w:p w14:paraId="71B68954" w14:textId="77777777" w:rsidR="00F51824" w:rsidRPr="00F85A48" w:rsidRDefault="00F51824" w:rsidP="000C5B9A">
            <w:pPr>
              <w:ind w:left="517"/>
              <w:rPr>
                <w:rFonts w:ascii="Verdana" w:hAnsi="Verdana"/>
                <w:sz w:val="22"/>
                <w:szCs w:val="22"/>
              </w:rPr>
            </w:pPr>
            <w:r w:rsidRPr="00F85A48">
              <w:rPr>
                <w:rFonts w:ascii="Verdana" w:hAnsi="Verdana"/>
                <w:sz w:val="22"/>
                <w:szCs w:val="22"/>
              </w:rPr>
              <w:t>Some</w:t>
            </w:r>
          </w:p>
        </w:tc>
        <w:tc>
          <w:tcPr>
            <w:tcW w:w="270" w:type="dxa"/>
          </w:tcPr>
          <w:p w14:paraId="02BF5B92" w14:textId="77777777" w:rsidR="00F51824" w:rsidRPr="00F85A48" w:rsidRDefault="00F51824" w:rsidP="000C5B9A">
            <w:pPr>
              <w:rPr>
                <w:rFonts w:ascii="Verdana" w:hAnsi="Verdana"/>
                <w:sz w:val="22"/>
                <w:szCs w:val="22"/>
              </w:rPr>
            </w:pPr>
          </w:p>
        </w:tc>
        <w:tc>
          <w:tcPr>
            <w:tcW w:w="1147" w:type="dxa"/>
          </w:tcPr>
          <w:p w14:paraId="0228B3DA" w14:textId="77777777" w:rsidR="00F51824" w:rsidRPr="00F85A48" w:rsidRDefault="00F51824" w:rsidP="000C5B9A">
            <w:pPr>
              <w:jc w:val="center"/>
              <w:rPr>
                <w:rFonts w:ascii="Verdana" w:hAnsi="Verdana"/>
                <w:sz w:val="22"/>
                <w:szCs w:val="22"/>
              </w:rPr>
            </w:pPr>
            <w:r w:rsidRPr="00F85A48">
              <w:rPr>
                <w:rFonts w:ascii="Verdana" w:hAnsi="Verdana"/>
                <w:sz w:val="22"/>
                <w:szCs w:val="22"/>
              </w:rPr>
              <w:t>2.12</w:t>
            </w:r>
          </w:p>
        </w:tc>
        <w:tc>
          <w:tcPr>
            <w:tcW w:w="270" w:type="dxa"/>
          </w:tcPr>
          <w:p w14:paraId="6E88746F" w14:textId="77777777" w:rsidR="00F51824" w:rsidRPr="00F85A48" w:rsidRDefault="00F51824" w:rsidP="000C5B9A">
            <w:pPr>
              <w:jc w:val="center"/>
              <w:rPr>
                <w:rFonts w:ascii="Verdana" w:hAnsi="Verdana"/>
                <w:sz w:val="22"/>
                <w:szCs w:val="22"/>
              </w:rPr>
            </w:pPr>
          </w:p>
        </w:tc>
        <w:tc>
          <w:tcPr>
            <w:tcW w:w="2423" w:type="dxa"/>
          </w:tcPr>
          <w:p w14:paraId="03E7A6AE" w14:textId="77777777" w:rsidR="00F51824" w:rsidRPr="00F85A48" w:rsidRDefault="00F51824" w:rsidP="000C5B9A">
            <w:pPr>
              <w:jc w:val="center"/>
              <w:rPr>
                <w:rFonts w:ascii="Verdana" w:hAnsi="Verdana"/>
                <w:sz w:val="22"/>
                <w:szCs w:val="22"/>
              </w:rPr>
            </w:pPr>
            <w:r w:rsidRPr="00F85A48">
              <w:rPr>
                <w:rFonts w:ascii="Verdana" w:hAnsi="Verdana"/>
                <w:sz w:val="22"/>
                <w:szCs w:val="22"/>
              </w:rPr>
              <w:t>1.03-4.34</w:t>
            </w:r>
          </w:p>
        </w:tc>
      </w:tr>
      <w:tr w:rsidR="00F51824" w:rsidRPr="00F85A48" w14:paraId="3A15ACA2" w14:textId="77777777" w:rsidTr="00F85A48">
        <w:tc>
          <w:tcPr>
            <w:tcW w:w="3909" w:type="dxa"/>
          </w:tcPr>
          <w:p w14:paraId="2C551B7D" w14:textId="77777777" w:rsidR="00F51824" w:rsidRPr="00F85A48" w:rsidRDefault="00F51824" w:rsidP="000C5B9A">
            <w:pPr>
              <w:ind w:left="517"/>
              <w:rPr>
                <w:rFonts w:ascii="Verdana" w:hAnsi="Verdana"/>
                <w:sz w:val="22"/>
                <w:szCs w:val="22"/>
              </w:rPr>
            </w:pPr>
            <w:r w:rsidRPr="00F85A48">
              <w:rPr>
                <w:rFonts w:ascii="Verdana" w:hAnsi="Verdana"/>
                <w:sz w:val="22"/>
                <w:szCs w:val="22"/>
              </w:rPr>
              <w:t>Much</w:t>
            </w:r>
          </w:p>
        </w:tc>
        <w:tc>
          <w:tcPr>
            <w:tcW w:w="270" w:type="dxa"/>
          </w:tcPr>
          <w:p w14:paraId="580C48F9" w14:textId="77777777" w:rsidR="00F51824" w:rsidRPr="00F85A48" w:rsidRDefault="00F51824" w:rsidP="000C5B9A">
            <w:pPr>
              <w:rPr>
                <w:rFonts w:ascii="Verdana" w:hAnsi="Verdana"/>
                <w:sz w:val="22"/>
                <w:szCs w:val="22"/>
              </w:rPr>
            </w:pPr>
          </w:p>
        </w:tc>
        <w:tc>
          <w:tcPr>
            <w:tcW w:w="1147" w:type="dxa"/>
          </w:tcPr>
          <w:p w14:paraId="6A586BFF" w14:textId="77777777" w:rsidR="00F51824" w:rsidRPr="00F85A48" w:rsidRDefault="00F51824" w:rsidP="000C5B9A">
            <w:pPr>
              <w:jc w:val="center"/>
              <w:rPr>
                <w:rFonts w:ascii="Verdana" w:hAnsi="Verdana"/>
                <w:sz w:val="22"/>
                <w:szCs w:val="22"/>
              </w:rPr>
            </w:pPr>
            <w:r w:rsidRPr="00F85A48">
              <w:rPr>
                <w:rFonts w:ascii="Verdana" w:hAnsi="Verdana"/>
                <w:sz w:val="22"/>
                <w:szCs w:val="22"/>
              </w:rPr>
              <w:t>2.64</w:t>
            </w:r>
          </w:p>
        </w:tc>
        <w:tc>
          <w:tcPr>
            <w:tcW w:w="270" w:type="dxa"/>
          </w:tcPr>
          <w:p w14:paraId="5D33F2EC" w14:textId="77777777" w:rsidR="00F51824" w:rsidRPr="00F85A48" w:rsidRDefault="00F51824" w:rsidP="000C5B9A">
            <w:pPr>
              <w:jc w:val="center"/>
              <w:rPr>
                <w:rFonts w:ascii="Verdana" w:hAnsi="Verdana"/>
                <w:sz w:val="22"/>
                <w:szCs w:val="22"/>
              </w:rPr>
            </w:pPr>
          </w:p>
        </w:tc>
        <w:tc>
          <w:tcPr>
            <w:tcW w:w="2423" w:type="dxa"/>
          </w:tcPr>
          <w:p w14:paraId="2CFB270B" w14:textId="77777777" w:rsidR="00F51824" w:rsidRPr="00F85A48" w:rsidRDefault="00F51824" w:rsidP="000C5B9A">
            <w:pPr>
              <w:jc w:val="center"/>
              <w:rPr>
                <w:rFonts w:ascii="Verdana" w:hAnsi="Verdana"/>
                <w:sz w:val="22"/>
                <w:szCs w:val="22"/>
              </w:rPr>
            </w:pPr>
            <w:r w:rsidRPr="00F85A48">
              <w:rPr>
                <w:rFonts w:ascii="Verdana" w:hAnsi="Verdana"/>
                <w:sz w:val="22"/>
                <w:szCs w:val="22"/>
              </w:rPr>
              <w:t>1.38-5.06</w:t>
            </w:r>
          </w:p>
        </w:tc>
      </w:tr>
      <w:tr w:rsidR="00F51824" w:rsidRPr="00F85A48" w14:paraId="0E88487D" w14:textId="77777777" w:rsidTr="00F85A48">
        <w:tc>
          <w:tcPr>
            <w:tcW w:w="3909" w:type="dxa"/>
          </w:tcPr>
          <w:p w14:paraId="6C8CA24F" w14:textId="77777777" w:rsidR="00F51824" w:rsidRPr="00F85A48" w:rsidRDefault="00F51824" w:rsidP="000C5B9A">
            <w:pPr>
              <w:rPr>
                <w:rFonts w:ascii="Verdana" w:hAnsi="Verdana"/>
                <w:sz w:val="22"/>
                <w:szCs w:val="22"/>
              </w:rPr>
            </w:pPr>
          </w:p>
          <w:p w14:paraId="6A3B9A45" w14:textId="77777777" w:rsidR="00F51824" w:rsidRPr="00F85A48" w:rsidRDefault="00F51824" w:rsidP="000C5B9A">
            <w:pPr>
              <w:rPr>
                <w:rFonts w:ascii="Verdana" w:hAnsi="Verdana"/>
                <w:b/>
                <w:sz w:val="22"/>
                <w:szCs w:val="22"/>
              </w:rPr>
            </w:pPr>
            <w:r w:rsidRPr="00F85A48">
              <w:rPr>
                <w:rFonts w:ascii="Verdana" w:hAnsi="Verdana"/>
                <w:b/>
                <w:sz w:val="22"/>
                <w:szCs w:val="22"/>
              </w:rPr>
              <w:t>Crouching</w:t>
            </w:r>
          </w:p>
        </w:tc>
        <w:tc>
          <w:tcPr>
            <w:tcW w:w="270" w:type="dxa"/>
          </w:tcPr>
          <w:p w14:paraId="0B9A46BA" w14:textId="77777777" w:rsidR="00F51824" w:rsidRPr="00F85A48" w:rsidRDefault="00F51824" w:rsidP="000C5B9A">
            <w:pPr>
              <w:rPr>
                <w:rFonts w:ascii="Verdana" w:hAnsi="Verdana"/>
                <w:sz w:val="22"/>
                <w:szCs w:val="22"/>
              </w:rPr>
            </w:pPr>
          </w:p>
        </w:tc>
        <w:tc>
          <w:tcPr>
            <w:tcW w:w="1147" w:type="dxa"/>
          </w:tcPr>
          <w:p w14:paraId="3897F223" w14:textId="77777777" w:rsidR="00F51824" w:rsidRPr="00F85A48" w:rsidRDefault="00F51824" w:rsidP="000C5B9A">
            <w:pPr>
              <w:jc w:val="center"/>
              <w:rPr>
                <w:rFonts w:ascii="Verdana" w:hAnsi="Verdana"/>
                <w:sz w:val="22"/>
                <w:szCs w:val="22"/>
              </w:rPr>
            </w:pPr>
          </w:p>
        </w:tc>
        <w:tc>
          <w:tcPr>
            <w:tcW w:w="270" w:type="dxa"/>
          </w:tcPr>
          <w:p w14:paraId="3830F4C5" w14:textId="77777777" w:rsidR="00F51824" w:rsidRPr="00F85A48" w:rsidRDefault="00F51824" w:rsidP="000C5B9A">
            <w:pPr>
              <w:jc w:val="center"/>
              <w:rPr>
                <w:rFonts w:ascii="Verdana" w:hAnsi="Verdana"/>
                <w:sz w:val="22"/>
                <w:szCs w:val="22"/>
              </w:rPr>
            </w:pPr>
          </w:p>
        </w:tc>
        <w:tc>
          <w:tcPr>
            <w:tcW w:w="2423" w:type="dxa"/>
          </w:tcPr>
          <w:p w14:paraId="492AEB0E" w14:textId="77777777" w:rsidR="00F51824" w:rsidRPr="00F85A48" w:rsidRDefault="00F51824" w:rsidP="000C5B9A">
            <w:pPr>
              <w:jc w:val="center"/>
              <w:rPr>
                <w:rFonts w:ascii="Verdana" w:hAnsi="Verdana"/>
                <w:sz w:val="22"/>
                <w:szCs w:val="22"/>
              </w:rPr>
            </w:pPr>
          </w:p>
        </w:tc>
      </w:tr>
      <w:tr w:rsidR="00F51824" w:rsidRPr="00F85A48" w14:paraId="319E04EE" w14:textId="77777777" w:rsidTr="00F85A48">
        <w:tc>
          <w:tcPr>
            <w:tcW w:w="3909" w:type="dxa"/>
          </w:tcPr>
          <w:p w14:paraId="1D519311" w14:textId="77777777" w:rsidR="00F51824" w:rsidRPr="00F85A48" w:rsidRDefault="00F51824" w:rsidP="000C5B9A">
            <w:pPr>
              <w:ind w:left="607"/>
              <w:rPr>
                <w:rFonts w:ascii="Verdana" w:hAnsi="Verdana"/>
                <w:sz w:val="22"/>
                <w:szCs w:val="22"/>
              </w:rPr>
            </w:pPr>
            <w:r w:rsidRPr="00F85A48">
              <w:rPr>
                <w:rFonts w:ascii="Verdana" w:hAnsi="Verdana"/>
                <w:sz w:val="22"/>
                <w:szCs w:val="22"/>
              </w:rPr>
              <w:t>None</w:t>
            </w:r>
          </w:p>
        </w:tc>
        <w:tc>
          <w:tcPr>
            <w:tcW w:w="270" w:type="dxa"/>
          </w:tcPr>
          <w:p w14:paraId="5D83BABB" w14:textId="77777777" w:rsidR="00F51824" w:rsidRPr="00F85A48" w:rsidRDefault="00F51824" w:rsidP="000C5B9A">
            <w:pPr>
              <w:rPr>
                <w:rFonts w:ascii="Verdana" w:hAnsi="Verdana"/>
                <w:sz w:val="22"/>
                <w:szCs w:val="22"/>
              </w:rPr>
            </w:pPr>
          </w:p>
        </w:tc>
        <w:tc>
          <w:tcPr>
            <w:tcW w:w="1147" w:type="dxa"/>
          </w:tcPr>
          <w:p w14:paraId="219F83AF" w14:textId="77777777" w:rsidR="00F51824" w:rsidRPr="00F85A48" w:rsidRDefault="00F51824" w:rsidP="000C5B9A">
            <w:pPr>
              <w:jc w:val="center"/>
              <w:rPr>
                <w:rFonts w:ascii="Verdana" w:hAnsi="Verdana"/>
                <w:sz w:val="22"/>
                <w:szCs w:val="22"/>
              </w:rPr>
            </w:pPr>
            <w:r w:rsidRPr="00F85A48">
              <w:rPr>
                <w:rFonts w:ascii="Verdana" w:hAnsi="Verdana"/>
                <w:sz w:val="22"/>
                <w:szCs w:val="22"/>
              </w:rPr>
              <w:t>1.00</w:t>
            </w:r>
          </w:p>
        </w:tc>
        <w:tc>
          <w:tcPr>
            <w:tcW w:w="270" w:type="dxa"/>
          </w:tcPr>
          <w:p w14:paraId="7F8B8BB0" w14:textId="77777777" w:rsidR="00F51824" w:rsidRPr="00F85A48" w:rsidRDefault="00F51824" w:rsidP="000C5B9A">
            <w:pPr>
              <w:jc w:val="center"/>
              <w:rPr>
                <w:rFonts w:ascii="Verdana" w:hAnsi="Verdana"/>
                <w:sz w:val="22"/>
                <w:szCs w:val="22"/>
              </w:rPr>
            </w:pPr>
          </w:p>
        </w:tc>
        <w:tc>
          <w:tcPr>
            <w:tcW w:w="2423" w:type="dxa"/>
          </w:tcPr>
          <w:p w14:paraId="277AEB35" w14:textId="77777777" w:rsidR="00F51824" w:rsidRPr="00F85A48" w:rsidRDefault="00F51824" w:rsidP="000C5B9A">
            <w:pPr>
              <w:jc w:val="center"/>
              <w:rPr>
                <w:rFonts w:ascii="Verdana" w:hAnsi="Verdana"/>
                <w:sz w:val="22"/>
                <w:szCs w:val="22"/>
              </w:rPr>
            </w:pPr>
            <w:r w:rsidRPr="00F85A48">
              <w:rPr>
                <w:rFonts w:ascii="Verdana" w:hAnsi="Verdana"/>
                <w:sz w:val="22"/>
                <w:szCs w:val="22"/>
              </w:rPr>
              <w:t>-</w:t>
            </w:r>
          </w:p>
        </w:tc>
      </w:tr>
      <w:tr w:rsidR="00F51824" w:rsidRPr="00F85A48" w14:paraId="0CBC5822" w14:textId="77777777" w:rsidTr="00F85A48">
        <w:tc>
          <w:tcPr>
            <w:tcW w:w="3909" w:type="dxa"/>
          </w:tcPr>
          <w:p w14:paraId="162FEC8A" w14:textId="77777777" w:rsidR="00F51824" w:rsidRPr="00F85A48" w:rsidRDefault="00F51824" w:rsidP="000C5B9A">
            <w:pPr>
              <w:ind w:left="607"/>
              <w:rPr>
                <w:rFonts w:ascii="Verdana" w:hAnsi="Verdana"/>
                <w:sz w:val="22"/>
                <w:szCs w:val="22"/>
              </w:rPr>
            </w:pPr>
            <w:r w:rsidRPr="00F85A48">
              <w:rPr>
                <w:rFonts w:ascii="Verdana" w:hAnsi="Verdana"/>
                <w:sz w:val="22"/>
                <w:szCs w:val="22"/>
              </w:rPr>
              <w:t>Some</w:t>
            </w:r>
          </w:p>
        </w:tc>
        <w:tc>
          <w:tcPr>
            <w:tcW w:w="270" w:type="dxa"/>
          </w:tcPr>
          <w:p w14:paraId="479227F3" w14:textId="77777777" w:rsidR="00F51824" w:rsidRPr="00F85A48" w:rsidRDefault="00F51824" w:rsidP="000C5B9A">
            <w:pPr>
              <w:rPr>
                <w:rFonts w:ascii="Verdana" w:hAnsi="Verdana"/>
                <w:sz w:val="22"/>
                <w:szCs w:val="22"/>
              </w:rPr>
            </w:pPr>
          </w:p>
        </w:tc>
        <w:tc>
          <w:tcPr>
            <w:tcW w:w="1147" w:type="dxa"/>
          </w:tcPr>
          <w:p w14:paraId="4D13697F" w14:textId="77777777" w:rsidR="00F51824" w:rsidRPr="00F85A48" w:rsidRDefault="00F51824" w:rsidP="000C5B9A">
            <w:pPr>
              <w:jc w:val="center"/>
              <w:rPr>
                <w:rFonts w:ascii="Verdana" w:hAnsi="Verdana"/>
                <w:sz w:val="22"/>
                <w:szCs w:val="22"/>
              </w:rPr>
            </w:pPr>
            <w:r w:rsidRPr="00F85A48">
              <w:rPr>
                <w:rFonts w:ascii="Verdana" w:hAnsi="Verdana"/>
                <w:sz w:val="22"/>
                <w:szCs w:val="22"/>
              </w:rPr>
              <w:t>1.78</w:t>
            </w:r>
          </w:p>
        </w:tc>
        <w:tc>
          <w:tcPr>
            <w:tcW w:w="270" w:type="dxa"/>
          </w:tcPr>
          <w:p w14:paraId="7CC30D44" w14:textId="77777777" w:rsidR="00F51824" w:rsidRPr="00F85A48" w:rsidRDefault="00F51824" w:rsidP="000C5B9A">
            <w:pPr>
              <w:jc w:val="center"/>
              <w:rPr>
                <w:rFonts w:ascii="Verdana" w:hAnsi="Verdana"/>
                <w:sz w:val="22"/>
                <w:szCs w:val="22"/>
              </w:rPr>
            </w:pPr>
          </w:p>
        </w:tc>
        <w:tc>
          <w:tcPr>
            <w:tcW w:w="2423" w:type="dxa"/>
          </w:tcPr>
          <w:p w14:paraId="61E0EBA1" w14:textId="77777777" w:rsidR="00F51824" w:rsidRPr="00F85A48" w:rsidRDefault="00F51824" w:rsidP="000C5B9A">
            <w:pPr>
              <w:jc w:val="center"/>
              <w:rPr>
                <w:rFonts w:ascii="Verdana" w:hAnsi="Verdana"/>
                <w:sz w:val="22"/>
                <w:szCs w:val="22"/>
              </w:rPr>
            </w:pPr>
            <w:r w:rsidRPr="00F85A48">
              <w:rPr>
                <w:rFonts w:ascii="Verdana" w:hAnsi="Verdana"/>
                <w:sz w:val="22"/>
                <w:szCs w:val="22"/>
              </w:rPr>
              <w:t>0.94-3.34</w:t>
            </w:r>
          </w:p>
        </w:tc>
      </w:tr>
      <w:tr w:rsidR="00F51824" w:rsidRPr="00F85A48" w14:paraId="1A23FEFB" w14:textId="77777777" w:rsidTr="00F85A48">
        <w:tc>
          <w:tcPr>
            <w:tcW w:w="3909" w:type="dxa"/>
          </w:tcPr>
          <w:p w14:paraId="308DBF42" w14:textId="77777777" w:rsidR="00F51824" w:rsidRPr="00F85A48" w:rsidRDefault="00F51824" w:rsidP="000C5B9A">
            <w:pPr>
              <w:ind w:left="607"/>
              <w:rPr>
                <w:rFonts w:ascii="Verdana" w:hAnsi="Verdana"/>
                <w:sz w:val="22"/>
                <w:szCs w:val="22"/>
              </w:rPr>
            </w:pPr>
            <w:r w:rsidRPr="00F85A48">
              <w:rPr>
                <w:rFonts w:ascii="Verdana" w:hAnsi="Verdana"/>
                <w:sz w:val="22"/>
                <w:szCs w:val="22"/>
              </w:rPr>
              <w:t>Much</w:t>
            </w:r>
          </w:p>
        </w:tc>
        <w:tc>
          <w:tcPr>
            <w:tcW w:w="270" w:type="dxa"/>
          </w:tcPr>
          <w:p w14:paraId="48EF1593" w14:textId="77777777" w:rsidR="00F51824" w:rsidRPr="00F85A48" w:rsidRDefault="00F51824" w:rsidP="000C5B9A">
            <w:pPr>
              <w:rPr>
                <w:rFonts w:ascii="Verdana" w:hAnsi="Verdana"/>
                <w:sz w:val="22"/>
                <w:szCs w:val="22"/>
              </w:rPr>
            </w:pPr>
          </w:p>
        </w:tc>
        <w:tc>
          <w:tcPr>
            <w:tcW w:w="1147" w:type="dxa"/>
          </w:tcPr>
          <w:p w14:paraId="171B9700" w14:textId="77777777" w:rsidR="00F51824" w:rsidRPr="00F85A48" w:rsidRDefault="00F51824" w:rsidP="000C5B9A">
            <w:pPr>
              <w:jc w:val="center"/>
              <w:rPr>
                <w:rFonts w:ascii="Verdana" w:hAnsi="Verdana"/>
                <w:sz w:val="22"/>
                <w:szCs w:val="22"/>
              </w:rPr>
            </w:pPr>
            <w:r w:rsidRPr="00F85A48">
              <w:rPr>
                <w:rFonts w:ascii="Verdana" w:hAnsi="Verdana"/>
                <w:sz w:val="22"/>
                <w:szCs w:val="22"/>
              </w:rPr>
              <w:t>2.45</w:t>
            </w:r>
          </w:p>
        </w:tc>
        <w:tc>
          <w:tcPr>
            <w:tcW w:w="270" w:type="dxa"/>
          </w:tcPr>
          <w:p w14:paraId="187C9260" w14:textId="77777777" w:rsidR="00F51824" w:rsidRPr="00F85A48" w:rsidRDefault="00F51824" w:rsidP="000C5B9A">
            <w:pPr>
              <w:jc w:val="center"/>
              <w:rPr>
                <w:rFonts w:ascii="Verdana" w:hAnsi="Verdana"/>
                <w:sz w:val="22"/>
                <w:szCs w:val="22"/>
              </w:rPr>
            </w:pPr>
          </w:p>
        </w:tc>
        <w:tc>
          <w:tcPr>
            <w:tcW w:w="2423" w:type="dxa"/>
          </w:tcPr>
          <w:p w14:paraId="7E082944" w14:textId="77777777" w:rsidR="00F51824" w:rsidRPr="00F85A48" w:rsidRDefault="00F51824" w:rsidP="000C5B9A">
            <w:pPr>
              <w:jc w:val="center"/>
              <w:rPr>
                <w:rFonts w:ascii="Verdana" w:hAnsi="Verdana"/>
                <w:sz w:val="22"/>
                <w:szCs w:val="22"/>
              </w:rPr>
            </w:pPr>
            <w:r w:rsidRPr="00F85A48">
              <w:rPr>
                <w:rFonts w:ascii="Verdana" w:hAnsi="Verdana"/>
                <w:sz w:val="22"/>
                <w:szCs w:val="22"/>
              </w:rPr>
              <w:t>1.08-5.52</w:t>
            </w:r>
          </w:p>
        </w:tc>
      </w:tr>
      <w:tr w:rsidR="00F51824" w:rsidRPr="00F85A48" w14:paraId="5C8D72E7" w14:textId="77777777" w:rsidTr="00F85A48">
        <w:tc>
          <w:tcPr>
            <w:tcW w:w="3909" w:type="dxa"/>
          </w:tcPr>
          <w:p w14:paraId="71F99E99" w14:textId="77777777" w:rsidR="00F51824" w:rsidRPr="00F85A48" w:rsidRDefault="00F51824" w:rsidP="000C5B9A">
            <w:pPr>
              <w:rPr>
                <w:rFonts w:ascii="Verdana" w:hAnsi="Verdana"/>
                <w:sz w:val="22"/>
                <w:szCs w:val="22"/>
              </w:rPr>
            </w:pPr>
          </w:p>
          <w:p w14:paraId="1046555C" w14:textId="77777777" w:rsidR="00F51824" w:rsidRPr="00F85A48" w:rsidRDefault="00B515F4" w:rsidP="000C5B9A">
            <w:pPr>
              <w:rPr>
                <w:rFonts w:ascii="Verdana" w:hAnsi="Verdana"/>
                <w:b/>
                <w:sz w:val="22"/>
                <w:szCs w:val="22"/>
              </w:rPr>
            </w:pPr>
            <w:r w:rsidRPr="00F85A48">
              <w:rPr>
                <w:rFonts w:ascii="Verdana" w:hAnsi="Verdana"/>
                <w:b/>
                <w:sz w:val="22"/>
                <w:szCs w:val="22"/>
              </w:rPr>
              <w:t>Musculoskeletal strain index</w:t>
            </w:r>
          </w:p>
        </w:tc>
        <w:tc>
          <w:tcPr>
            <w:tcW w:w="270" w:type="dxa"/>
          </w:tcPr>
          <w:p w14:paraId="754574F9" w14:textId="77777777" w:rsidR="00F51824" w:rsidRPr="00F85A48" w:rsidRDefault="00F51824" w:rsidP="000C5B9A">
            <w:pPr>
              <w:rPr>
                <w:rFonts w:ascii="Verdana" w:hAnsi="Verdana"/>
                <w:sz w:val="22"/>
                <w:szCs w:val="22"/>
              </w:rPr>
            </w:pPr>
          </w:p>
        </w:tc>
        <w:tc>
          <w:tcPr>
            <w:tcW w:w="1147" w:type="dxa"/>
          </w:tcPr>
          <w:p w14:paraId="04A56A66" w14:textId="77777777" w:rsidR="00F51824" w:rsidRPr="00F85A48" w:rsidRDefault="00F51824" w:rsidP="000C5B9A">
            <w:pPr>
              <w:jc w:val="center"/>
              <w:rPr>
                <w:rFonts w:ascii="Verdana" w:hAnsi="Verdana"/>
                <w:sz w:val="22"/>
                <w:szCs w:val="22"/>
              </w:rPr>
            </w:pPr>
          </w:p>
        </w:tc>
        <w:tc>
          <w:tcPr>
            <w:tcW w:w="270" w:type="dxa"/>
          </w:tcPr>
          <w:p w14:paraId="58EF7AEF" w14:textId="77777777" w:rsidR="00F51824" w:rsidRPr="00F85A48" w:rsidRDefault="00F51824" w:rsidP="000C5B9A">
            <w:pPr>
              <w:jc w:val="center"/>
              <w:rPr>
                <w:rFonts w:ascii="Verdana" w:hAnsi="Verdana"/>
                <w:sz w:val="22"/>
                <w:szCs w:val="22"/>
              </w:rPr>
            </w:pPr>
          </w:p>
        </w:tc>
        <w:tc>
          <w:tcPr>
            <w:tcW w:w="2423" w:type="dxa"/>
          </w:tcPr>
          <w:p w14:paraId="764BFF48" w14:textId="77777777" w:rsidR="00F51824" w:rsidRPr="00F85A48" w:rsidRDefault="00F51824" w:rsidP="000C5B9A">
            <w:pPr>
              <w:jc w:val="center"/>
              <w:rPr>
                <w:rFonts w:ascii="Verdana" w:hAnsi="Verdana"/>
                <w:sz w:val="22"/>
                <w:szCs w:val="22"/>
              </w:rPr>
            </w:pPr>
          </w:p>
        </w:tc>
      </w:tr>
      <w:tr w:rsidR="00B515F4" w:rsidRPr="00F85A48" w14:paraId="1BB50463" w14:textId="77777777" w:rsidTr="00F85A48">
        <w:tc>
          <w:tcPr>
            <w:tcW w:w="3909" w:type="dxa"/>
          </w:tcPr>
          <w:p w14:paraId="397DEA99" w14:textId="77777777" w:rsidR="00B515F4" w:rsidRPr="00F85A48" w:rsidRDefault="00B515F4" w:rsidP="000C5B9A">
            <w:pPr>
              <w:ind w:left="607"/>
              <w:rPr>
                <w:rFonts w:ascii="Verdana" w:hAnsi="Verdana"/>
                <w:sz w:val="22"/>
                <w:szCs w:val="22"/>
              </w:rPr>
            </w:pPr>
            <w:r w:rsidRPr="00F85A48">
              <w:rPr>
                <w:rFonts w:ascii="Verdana" w:hAnsi="Verdana"/>
                <w:sz w:val="22"/>
                <w:szCs w:val="22"/>
              </w:rPr>
              <w:t>First quartile</w:t>
            </w:r>
          </w:p>
        </w:tc>
        <w:tc>
          <w:tcPr>
            <w:tcW w:w="270" w:type="dxa"/>
          </w:tcPr>
          <w:p w14:paraId="2E9DD1E4" w14:textId="77777777" w:rsidR="00B515F4" w:rsidRPr="00F85A48" w:rsidRDefault="00B515F4" w:rsidP="000C5B9A">
            <w:pPr>
              <w:rPr>
                <w:rFonts w:ascii="Verdana" w:hAnsi="Verdana"/>
                <w:sz w:val="22"/>
                <w:szCs w:val="22"/>
              </w:rPr>
            </w:pPr>
          </w:p>
        </w:tc>
        <w:tc>
          <w:tcPr>
            <w:tcW w:w="1147" w:type="dxa"/>
          </w:tcPr>
          <w:p w14:paraId="7789D74A" w14:textId="77777777" w:rsidR="00B515F4" w:rsidRPr="00F85A48" w:rsidRDefault="00B515F4" w:rsidP="000C5B9A">
            <w:pPr>
              <w:jc w:val="center"/>
              <w:rPr>
                <w:rFonts w:ascii="Verdana" w:hAnsi="Verdana"/>
                <w:sz w:val="22"/>
                <w:szCs w:val="22"/>
              </w:rPr>
            </w:pPr>
            <w:r w:rsidRPr="00F85A48">
              <w:rPr>
                <w:rFonts w:ascii="Verdana" w:hAnsi="Verdana"/>
                <w:sz w:val="22"/>
                <w:szCs w:val="22"/>
              </w:rPr>
              <w:t>1.00</w:t>
            </w:r>
          </w:p>
        </w:tc>
        <w:tc>
          <w:tcPr>
            <w:tcW w:w="270" w:type="dxa"/>
          </w:tcPr>
          <w:p w14:paraId="7E152C50" w14:textId="77777777" w:rsidR="00B515F4" w:rsidRPr="00F85A48" w:rsidRDefault="00B515F4" w:rsidP="000C5B9A">
            <w:pPr>
              <w:jc w:val="center"/>
              <w:rPr>
                <w:rFonts w:ascii="Verdana" w:hAnsi="Verdana"/>
                <w:sz w:val="22"/>
                <w:szCs w:val="22"/>
              </w:rPr>
            </w:pPr>
          </w:p>
        </w:tc>
        <w:tc>
          <w:tcPr>
            <w:tcW w:w="2423" w:type="dxa"/>
          </w:tcPr>
          <w:p w14:paraId="0D51F1C7" w14:textId="77777777" w:rsidR="00B515F4" w:rsidRPr="00F85A48" w:rsidRDefault="00B515F4" w:rsidP="000C5B9A">
            <w:pPr>
              <w:jc w:val="center"/>
              <w:rPr>
                <w:rFonts w:ascii="Verdana" w:hAnsi="Verdana"/>
                <w:sz w:val="22"/>
                <w:szCs w:val="22"/>
              </w:rPr>
            </w:pPr>
            <w:r w:rsidRPr="00F85A48">
              <w:rPr>
                <w:rFonts w:ascii="Verdana" w:hAnsi="Verdana"/>
                <w:sz w:val="22"/>
                <w:szCs w:val="22"/>
              </w:rPr>
              <w:t>-</w:t>
            </w:r>
          </w:p>
        </w:tc>
      </w:tr>
      <w:tr w:rsidR="00B515F4" w:rsidRPr="00F85A48" w14:paraId="6C8ACFD3" w14:textId="77777777" w:rsidTr="00F85A48">
        <w:tc>
          <w:tcPr>
            <w:tcW w:w="3909" w:type="dxa"/>
          </w:tcPr>
          <w:p w14:paraId="0A75FA13" w14:textId="77777777" w:rsidR="00B515F4" w:rsidRPr="00F85A48" w:rsidRDefault="00B515F4" w:rsidP="000C5B9A">
            <w:pPr>
              <w:ind w:left="607"/>
              <w:rPr>
                <w:rFonts w:ascii="Verdana" w:hAnsi="Verdana"/>
                <w:sz w:val="22"/>
                <w:szCs w:val="22"/>
              </w:rPr>
            </w:pPr>
            <w:r w:rsidRPr="00F85A48">
              <w:rPr>
                <w:rFonts w:ascii="Verdana" w:hAnsi="Verdana"/>
                <w:sz w:val="22"/>
                <w:szCs w:val="22"/>
              </w:rPr>
              <w:t>Second quartile</w:t>
            </w:r>
          </w:p>
        </w:tc>
        <w:tc>
          <w:tcPr>
            <w:tcW w:w="270" w:type="dxa"/>
          </w:tcPr>
          <w:p w14:paraId="6B074F8A" w14:textId="77777777" w:rsidR="00B515F4" w:rsidRPr="00F85A48" w:rsidRDefault="00B515F4" w:rsidP="000C5B9A">
            <w:pPr>
              <w:rPr>
                <w:rFonts w:ascii="Verdana" w:hAnsi="Verdana"/>
                <w:sz w:val="22"/>
                <w:szCs w:val="22"/>
              </w:rPr>
            </w:pPr>
          </w:p>
        </w:tc>
        <w:tc>
          <w:tcPr>
            <w:tcW w:w="1147" w:type="dxa"/>
          </w:tcPr>
          <w:p w14:paraId="12835A85" w14:textId="77777777" w:rsidR="00B515F4" w:rsidRPr="00F85A48" w:rsidRDefault="00B515F4" w:rsidP="000C5B9A">
            <w:pPr>
              <w:jc w:val="center"/>
              <w:rPr>
                <w:rFonts w:ascii="Verdana" w:hAnsi="Verdana"/>
                <w:sz w:val="22"/>
                <w:szCs w:val="22"/>
              </w:rPr>
            </w:pPr>
            <w:r w:rsidRPr="00F85A48">
              <w:rPr>
                <w:rFonts w:ascii="Verdana" w:hAnsi="Verdana"/>
                <w:sz w:val="22"/>
                <w:szCs w:val="22"/>
              </w:rPr>
              <w:t>1.81</w:t>
            </w:r>
          </w:p>
        </w:tc>
        <w:tc>
          <w:tcPr>
            <w:tcW w:w="270" w:type="dxa"/>
          </w:tcPr>
          <w:p w14:paraId="54345DAF" w14:textId="77777777" w:rsidR="00B515F4" w:rsidRPr="00F85A48" w:rsidRDefault="00B515F4" w:rsidP="000C5B9A">
            <w:pPr>
              <w:jc w:val="center"/>
              <w:rPr>
                <w:rFonts w:ascii="Verdana" w:hAnsi="Verdana"/>
                <w:sz w:val="22"/>
                <w:szCs w:val="22"/>
              </w:rPr>
            </w:pPr>
          </w:p>
        </w:tc>
        <w:tc>
          <w:tcPr>
            <w:tcW w:w="2423" w:type="dxa"/>
          </w:tcPr>
          <w:p w14:paraId="77FAD358" w14:textId="77777777" w:rsidR="00B515F4" w:rsidRPr="00F85A48" w:rsidRDefault="00B515F4" w:rsidP="000C5B9A">
            <w:pPr>
              <w:jc w:val="center"/>
              <w:rPr>
                <w:rFonts w:ascii="Verdana" w:hAnsi="Verdana"/>
                <w:sz w:val="22"/>
                <w:szCs w:val="22"/>
              </w:rPr>
            </w:pPr>
            <w:r w:rsidRPr="00F85A48">
              <w:rPr>
                <w:rFonts w:ascii="Verdana" w:hAnsi="Verdana"/>
                <w:sz w:val="22"/>
                <w:szCs w:val="22"/>
              </w:rPr>
              <w:t>0.77-4.27</w:t>
            </w:r>
          </w:p>
        </w:tc>
      </w:tr>
      <w:tr w:rsidR="00B515F4" w:rsidRPr="00F85A48" w14:paraId="1F27622F" w14:textId="77777777" w:rsidTr="00F85A48">
        <w:tc>
          <w:tcPr>
            <w:tcW w:w="3909" w:type="dxa"/>
          </w:tcPr>
          <w:p w14:paraId="2453D168" w14:textId="77777777" w:rsidR="00B515F4" w:rsidRPr="00F85A48" w:rsidRDefault="00B515F4" w:rsidP="000C5B9A">
            <w:pPr>
              <w:ind w:left="607"/>
              <w:rPr>
                <w:rFonts w:ascii="Verdana" w:hAnsi="Verdana"/>
                <w:sz w:val="22"/>
                <w:szCs w:val="22"/>
              </w:rPr>
            </w:pPr>
            <w:r w:rsidRPr="00F85A48">
              <w:rPr>
                <w:rFonts w:ascii="Verdana" w:hAnsi="Verdana"/>
                <w:sz w:val="22"/>
                <w:szCs w:val="22"/>
              </w:rPr>
              <w:t>Third quartile</w:t>
            </w:r>
          </w:p>
        </w:tc>
        <w:tc>
          <w:tcPr>
            <w:tcW w:w="270" w:type="dxa"/>
          </w:tcPr>
          <w:p w14:paraId="3E955115" w14:textId="77777777" w:rsidR="00B515F4" w:rsidRPr="00F85A48" w:rsidRDefault="00B515F4" w:rsidP="000C5B9A">
            <w:pPr>
              <w:rPr>
                <w:rFonts w:ascii="Verdana" w:hAnsi="Verdana"/>
                <w:sz w:val="22"/>
                <w:szCs w:val="22"/>
              </w:rPr>
            </w:pPr>
          </w:p>
        </w:tc>
        <w:tc>
          <w:tcPr>
            <w:tcW w:w="1147" w:type="dxa"/>
          </w:tcPr>
          <w:p w14:paraId="0154655B" w14:textId="77777777" w:rsidR="00B515F4" w:rsidRPr="00F85A48" w:rsidRDefault="00B515F4" w:rsidP="000C5B9A">
            <w:pPr>
              <w:jc w:val="center"/>
              <w:rPr>
                <w:rFonts w:ascii="Verdana" w:hAnsi="Verdana"/>
                <w:sz w:val="22"/>
                <w:szCs w:val="22"/>
              </w:rPr>
            </w:pPr>
            <w:r w:rsidRPr="00F85A48">
              <w:rPr>
                <w:rFonts w:ascii="Verdana" w:hAnsi="Verdana"/>
                <w:sz w:val="22"/>
                <w:szCs w:val="22"/>
              </w:rPr>
              <w:t>2.00</w:t>
            </w:r>
          </w:p>
        </w:tc>
        <w:tc>
          <w:tcPr>
            <w:tcW w:w="270" w:type="dxa"/>
          </w:tcPr>
          <w:p w14:paraId="1DC0F58E" w14:textId="77777777" w:rsidR="00B515F4" w:rsidRPr="00F85A48" w:rsidRDefault="00B515F4" w:rsidP="000C5B9A">
            <w:pPr>
              <w:jc w:val="center"/>
              <w:rPr>
                <w:rFonts w:ascii="Verdana" w:hAnsi="Verdana"/>
                <w:sz w:val="22"/>
                <w:szCs w:val="22"/>
              </w:rPr>
            </w:pPr>
          </w:p>
        </w:tc>
        <w:tc>
          <w:tcPr>
            <w:tcW w:w="2423" w:type="dxa"/>
          </w:tcPr>
          <w:p w14:paraId="0E99037C" w14:textId="77777777" w:rsidR="00B515F4" w:rsidRPr="00F85A48" w:rsidRDefault="00B515F4" w:rsidP="000C5B9A">
            <w:pPr>
              <w:jc w:val="center"/>
              <w:rPr>
                <w:rFonts w:ascii="Verdana" w:hAnsi="Verdana"/>
                <w:sz w:val="22"/>
                <w:szCs w:val="22"/>
              </w:rPr>
            </w:pPr>
            <w:r w:rsidRPr="00F85A48">
              <w:rPr>
                <w:rFonts w:ascii="Verdana" w:hAnsi="Verdana"/>
                <w:sz w:val="22"/>
                <w:szCs w:val="22"/>
              </w:rPr>
              <w:t>0.83-4.82</w:t>
            </w:r>
          </w:p>
        </w:tc>
      </w:tr>
      <w:tr w:rsidR="00B515F4" w:rsidRPr="00F85A48" w14:paraId="6FEFE9C9" w14:textId="77777777" w:rsidTr="00F85A48">
        <w:tc>
          <w:tcPr>
            <w:tcW w:w="3909" w:type="dxa"/>
          </w:tcPr>
          <w:p w14:paraId="44EE74C3" w14:textId="77777777" w:rsidR="00B515F4" w:rsidRPr="00F85A48" w:rsidRDefault="00B515F4" w:rsidP="000C5B9A">
            <w:pPr>
              <w:ind w:left="607"/>
              <w:rPr>
                <w:rFonts w:ascii="Verdana" w:hAnsi="Verdana"/>
                <w:sz w:val="22"/>
                <w:szCs w:val="22"/>
              </w:rPr>
            </w:pPr>
            <w:r w:rsidRPr="00F85A48">
              <w:rPr>
                <w:rFonts w:ascii="Verdana" w:hAnsi="Verdana"/>
                <w:sz w:val="22"/>
                <w:szCs w:val="22"/>
              </w:rPr>
              <w:t>Fourth quartile</w:t>
            </w:r>
          </w:p>
        </w:tc>
        <w:tc>
          <w:tcPr>
            <w:tcW w:w="270" w:type="dxa"/>
          </w:tcPr>
          <w:p w14:paraId="0B022A35" w14:textId="77777777" w:rsidR="00B515F4" w:rsidRPr="00F85A48" w:rsidRDefault="00B515F4" w:rsidP="000C5B9A">
            <w:pPr>
              <w:rPr>
                <w:rFonts w:ascii="Verdana" w:hAnsi="Verdana"/>
                <w:sz w:val="22"/>
                <w:szCs w:val="22"/>
              </w:rPr>
            </w:pPr>
          </w:p>
        </w:tc>
        <w:tc>
          <w:tcPr>
            <w:tcW w:w="1147" w:type="dxa"/>
          </w:tcPr>
          <w:p w14:paraId="6D19E873" w14:textId="77777777" w:rsidR="00B515F4" w:rsidRPr="00F85A48" w:rsidRDefault="00B515F4" w:rsidP="000C5B9A">
            <w:pPr>
              <w:jc w:val="center"/>
              <w:rPr>
                <w:rFonts w:ascii="Verdana" w:hAnsi="Verdana"/>
                <w:sz w:val="22"/>
                <w:szCs w:val="22"/>
              </w:rPr>
            </w:pPr>
            <w:r w:rsidRPr="00F85A48">
              <w:rPr>
                <w:rFonts w:ascii="Verdana" w:hAnsi="Verdana"/>
                <w:sz w:val="22"/>
                <w:szCs w:val="22"/>
              </w:rPr>
              <w:t>2.96</w:t>
            </w:r>
          </w:p>
        </w:tc>
        <w:tc>
          <w:tcPr>
            <w:tcW w:w="270" w:type="dxa"/>
          </w:tcPr>
          <w:p w14:paraId="15F782A2" w14:textId="77777777" w:rsidR="00B515F4" w:rsidRPr="00F85A48" w:rsidRDefault="00B515F4" w:rsidP="000C5B9A">
            <w:pPr>
              <w:jc w:val="center"/>
              <w:rPr>
                <w:rFonts w:ascii="Verdana" w:hAnsi="Verdana"/>
                <w:sz w:val="22"/>
                <w:szCs w:val="22"/>
              </w:rPr>
            </w:pPr>
          </w:p>
        </w:tc>
        <w:tc>
          <w:tcPr>
            <w:tcW w:w="2423" w:type="dxa"/>
          </w:tcPr>
          <w:p w14:paraId="535B4842" w14:textId="77777777" w:rsidR="00B515F4" w:rsidRPr="00F85A48" w:rsidRDefault="00B515F4" w:rsidP="000C5B9A">
            <w:pPr>
              <w:jc w:val="center"/>
              <w:rPr>
                <w:rFonts w:ascii="Verdana" w:hAnsi="Verdana"/>
                <w:sz w:val="22"/>
                <w:szCs w:val="22"/>
              </w:rPr>
            </w:pPr>
            <w:r w:rsidRPr="00F85A48">
              <w:rPr>
                <w:rFonts w:ascii="Verdana" w:hAnsi="Verdana"/>
                <w:sz w:val="22"/>
                <w:szCs w:val="22"/>
              </w:rPr>
              <w:t>1.29-6.78</w:t>
            </w:r>
          </w:p>
        </w:tc>
      </w:tr>
      <w:tr w:rsidR="000C5B9A" w:rsidRPr="00F85A48" w14:paraId="44AE9675" w14:textId="77777777" w:rsidTr="00F85A48">
        <w:tc>
          <w:tcPr>
            <w:tcW w:w="3909" w:type="dxa"/>
          </w:tcPr>
          <w:p w14:paraId="61E8ADBE" w14:textId="77777777" w:rsidR="000C5B9A" w:rsidRPr="00F85A48" w:rsidRDefault="000C5B9A" w:rsidP="000C5B9A">
            <w:pPr>
              <w:rPr>
                <w:rFonts w:ascii="Verdana" w:hAnsi="Verdana"/>
                <w:sz w:val="22"/>
                <w:szCs w:val="22"/>
              </w:rPr>
            </w:pPr>
          </w:p>
          <w:p w14:paraId="365E3741" w14:textId="77777777" w:rsidR="000C5B9A" w:rsidRPr="00F85A48" w:rsidRDefault="000C5B9A" w:rsidP="000C5B9A">
            <w:pPr>
              <w:rPr>
                <w:rFonts w:ascii="Verdana" w:hAnsi="Verdana"/>
                <w:b/>
                <w:sz w:val="22"/>
                <w:szCs w:val="22"/>
              </w:rPr>
            </w:pPr>
            <w:r w:rsidRPr="00F85A48">
              <w:rPr>
                <w:rFonts w:ascii="Verdana" w:hAnsi="Verdana"/>
                <w:b/>
                <w:sz w:val="22"/>
                <w:szCs w:val="22"/>
              </w:rPr>
              <w:t>Repetitive strain Index</w:t>
            </w:r>
          </w:p>
        </w:tc>
        <w:tc>
          <w:tcPr>
            <w:tcW w:w="270" w:type="dxa"/>
          </w:tcPr>
          <w:p w14:paraId="577A7B4C" w14:textId="77777777" w:rsidR="000C5B9A" w:rsidRPr="00F85A48" w:rsidRDefault="000C5B9A" w:rsidP="000C5B9A">
            <w:pPr>
              <w:rPr>
                <w:rFonts w:ascii="Verdana" w:hAnsi="Verdana"/>
                <w:sz w:val="22"/>
                <w:szCs w:val="22"/>
              </w:rPr>
            </w:pPr>
          </w:p>
        </w:tc>
        <w:tc>
          <w:tcPr>
            <w:tcW w:w="1147" w:type="dxa"/>
          </w:tcPr>
          <w:p w14:paraId="10D905C7" w14:textId="77777777" w:rsidR="000C5B9A" w:rsidRPr="00F85A48" w:rsidRDefault="000C5B9A" w:rsidP="000C5B9A">
            <w:pPr>
              <w:jc w:val="center"/>
              <w:rPr>
                <w:rFonts w:ascii="Verdana" w:hAnsi="Verdana"/>
                <w:sz w:val="22"/>
                <w:szCs w:val="22"/>
              </w:rPr>
            </w:pPr>
          </w:p>
        </w:tc>
        <w:tc>
          <w:tcPr>
            <w:tcW w:w="270" w:type="dxa"/>
          </w:tcPr>
          <w:p w14:paraId="70BF5DBC" w14:textId="77777777" w:rsidR="000C5B9A" w:rsidRPr="00F85A48" w:rsidRDefault="000C5B9A" w:rsidP="000C5B9A">
            <w:pPr>
              <w:jc w:val="center"/>
              <w:rPr>
                <w:rFonts w:ascii="Verdana" w:hAnsi="Verdana"/>
                <w:sz w:val="22"/>
                <w:szCs w:val="22"/>
              </w:rPr>
            </w:pPr>
          </w:p>
        </w:tc>
        <w:tc>
          <w:tcPr>
            <w:tcW w:w="2423" w:type="dxa"/>
          </w:tcPr>
          <w:p w14:paraId="787BE935" w14:textId="77777777" w:rsidR="000C5B9A" w:rsidRPr="00F85A48" w:rsidRDefault="000C5B9A" w:rsidP="000C5B9A">
            <w:pPr>
              <w:jc w:val="center"/>
              <w:rPr>
                <w:rFonts w:ascii="Verdana" w:hAnsi="Verdana"/>
                <w:sz w:val="22"/>
                <w:szCs w:val="22"/>
              </w:rPr>
            </w:pPr>
          </w:p>
        </w:tc>
      </w:tr>
      <w:tr w:rsidR="000C5B9A" w:rsidRPr="00F85A48" w14:paraId="70EC6CCC" w14:textId="77777777" w:rsidTr="00F85A48">
        <w:tc>
          <w:tcPr>
            <w:tcW w:w="3909" w:type="dxa"/>
          </w:tcPr>
          <w:p w14:paraId="78CED83F" w14:textId="77777777" w:rsidR="000C5B9A" w:rsidRPr="00F85A48" w:rsidRDefault="000C5B9A" w:rsidP="000C5B9A">
            <w:pPr>
              <w:ind w:left="517"/>
              <w:rPr>
                <w:rFonts w:ascii="Verdana" w:hAnsi="Verdana"/>
                <w:sz w:val="22"/>
                <w:szCs w:val="22"/>
              </w:rPr>
            </w:pPr>
            <w:r w:rsidRPr="00F85A48">
              <w:rPr>
                <w:rFonts w:ascii="Verdana" w:hAnsi="Verdana"/>
                <w:sz w:val="22"/>
                <w:szCs w:val="22"/>
              </w:rPr>
              <w:t>First tertile</w:t>
            </w:r>
          </w:p>
        </w:tc>
        <w:tc>
          <w:tcPr>
            <w:tcW w:w="270" w:type="dxa"/>
          </w:tcPr>
          <w:p w14:paraId="324AEF9C" w14:textId="77777777" w:rsidR="000C5B9A" w:rsidRPr="00F85A48" w:rsidRDefault="000C5B9A" w:rsidP="000C5B9A">
            <w:pPr>
              <w:rPr>
                <w:rFonts w:ascii="Verdana" w:hAnsi="Verdana"/>
                <w:sz w:val="22"/>
                <w:szCs w:val="22"/>
              </w:rPr>
            </w:pPr>
          </w:p>
        </w:tc>
        <w:tc>
          <w:tcPr>
            <w:tcW w:w="1147" w:type="dxa"/>
          </w:tcPr>
          <w:p w14:paraId="7FD6FDEC" w14:textId="77777777" w:rsidR="000C5B9A" w:rsidRPr="00F85A48" w:rsidRDefault="000C5B9A" w:rsidP="000C5B9A">
            <w:pPr>
              <w:jc w:val="center"/>
              <w:rPr>
                <w:rFonts w:ascii="Verdana" w:hAnsi="Verdana"/>
                <w:sz w:val="22"/>
                <w:szCs w:val="22"/>
              </w:rPr>
            </w:pPr>
            <w:r w:rsidRPr="00F85A48">
              <w:rPr>
                <w:rFonts w:ascii="Verdana" w:hAnsi="Verdana"/>
                <w:sz w:val="22"/>
                <w:szCs w:val="22"/>
              </w:rPr>
              <w:t>1.00</w:t>
            </w:r>
          </w:p>
        </w:tc>
        <w:tc>
          <w:tcPr>
            <w:tcW w:w="270" w:type="dxa"/>
          </w:tcPr>
          <w:p w14:paraId="75D84729" w14:textId="77777777" w:rsidR="000C5B9A" w:rsidRPr="00F85A48" w:rsidRDefault="000C5B9A" w:rsidP="000C5B9A">
            <w:pPr>
              <w:jc w:val="center"/>
              <w:rPr>
                <w:rFonts w:ascii="Verdana" w:hAnsi="Verdana"/>
                <w:sz w:val="22"/>
                <w:szCs w:val="22"/>
              </w:rPr>
            </w:pPr>
          </w:p>
        </w:tc>
        <w:tc>
          <w:tcPr>
            <w:tcW w:w="2423" w:type="dxa"/>
          </w:tcPr>
          <w:p w14:paraId="052ED6A0" w14:textId="77777777" w:rsidR="000C5B9A" w:rsidRPr="00F85A48" w:rsidRDefault="000C5B9A" w:rsidP="000C5B9A">
            <w:pPr>
              <w:jc w:val="center"/>
              <w:rPr>
                <w:rFonts w:ascii="Verdana" w:hAnsi="Verdana"/>
                <w:sz w:val="22"/>
                <w:szCs w:val="22"/>
              </w:rPr>
            </w:pPr>
            <w:r w:rsidRPr="00F85A48">
              <w:rPr>
                <w:rFonts w:ascii="Verdana" w:hAnsi="Verdana"/>
                <w:sz w:val="22"/>
                <w:szCs w:val="22"/>
              </w:rPr>
              <w:t>-</w:t>
            </w:r>
          </w:p>
        </w:tc>
      </w:tr>
      <w:tr w:rsidR="000C5B9A" w:rsidRPr="00F85A48" w14:paraId="27E65B7F" w14:textId="77777777" w:rsidTr="00F85A48">
        <w:tc>
          <w:tcPr>
            <w:tcW w:w="3909" w:type="dxa"/>
          </w:tcPr>
          <w:p w14:paraId="3916C28C" w14:textId="77777777" w:rsidR="000C5B9A" w:rsidRPr="00F85A48" w:rsidRDefault="000C5B9A" w:rsidP="000C5B9A">
            <w:pPr>
              <w:ind w:left="517"/>
              <w:rPr>
                <w:rFonts w:ascii="Verdana" w:hAnsi="Verdana"/>
                <w:sz w:val="22"/>
                <w:szCs w:val="22"/>
              </w:rPr>
            </w:pPr>
            <w:r w:rsidRPr="00F85A48">
              <w:rPr>
                <w:rFonts w:ascii="Verdana" w:hAnsi="Verdana"/>
                <w:sz w:val="22"/>
                <w:szCs w:val="22"/>
              </w:rPr>
              <w:t>Second tertile</w:t>
            </w:r>
          </w:p>
        </w:tc>
        <w:tc>
          <w:tcPr>
            <w:tcW w:w="270" w:type="dxa"/>
          </w:tcPr>
          <w:p w14:paraId="39325930" w14:textId="77777777" w:rsidR="000C5B9A" w:rsidRPr="00F85A48" w:rsidRDefault="000C5B9A" w:rsidP="000C5B9A">
            <w:pPr>
              <w:rPr>
                <w:rFonts w:ascii="Verdana" w:hAnsi="Verdana"/>
                <w:sz w:val="22"/>
                <w:szCs w:val="22"/>
              </w:rPr>
            </w:pPr>
          </w:p>
        </w:tc>
        <w:tc>
          <w:tcPr>
            <w:tcW w:w="1147" w:type="dxa"/>
          </w:tcPr>
          <w:p w14:paraId="5B946898" w14:textId="77777777" w:rsidR="000C5B9A" w:rsidRPr="00F85A48" w:rsidRDefault="000C5B9A" w:rsidP="000C5B9A">
            <w:pPr>
              <w:jc w:val="center"/>
              <w:rPr>
                <w:rFonts w:ascii="Verdana" w:hAnsi="Verdana"/>
                <w:sz w:val="22"/>
                <w:szCs w:val="22"/>
              </w:rPr>
            </w:pPr>
            <w:r w:rsidRPr="00F85A48">
              <w:rPr>
                <w:rFonts w:ascii="Verdana" w:hAnsi="Verdana"/>
                <w:sz w:val="22"/>
                <w:szCs w:val="22"/>
              </w:rPr>
              <w:t>1.43</w:t>
            </w:r>
          </w:p>
        </w:tc>
        <w:tc>
          <w:tcPr>
            <w:tcW w:w="270" w:type="dxa"/>
          </w:tcPr>
          <w:p w14:paraId="677D671C" w14:textId="77777777" w:rsidR="000C5B9A" w:rsidRPr="00F85A48" w:rsidRDefault="000C5B9A" w:rsidP="000C5B9A">
            <w:pPr>
              <w:jc w:val="center"/>
              <w:rPr>
                <w:rFonts w:ascii="Verdana" w:hAnsi="Verdana"/>
                <w:sz w:val="22"/>
                <w:szCs w:val="22"/>
              </w:rPr>
            </w:pPr>
          </w:p>
        </w:tc>
        <w:tc>
          <w:tcPr>
            <w:tcW w:w="2423" w:type="dxa"/>
          </w:tcPr>
          <w:p w14:paraId="50E9797C" w14:textId="77777777" w:rsidR="000C5B9A" w:rsidRPr="00F85A48" w:rsidRDefault="000C5B9A" w:rsidP="000C5B9A">
            <w:pPr>
              <w:jc w:val="center"/>
              <w:rPr>
                <w:rFonts w:ascii="Verdana" w:hAnsi="Verdana"/>
                <w:sz w:val="22"/>
                <w:szCs w:val="22"/>
              </w:rPr>
            </w:pPr>
            <w:r w:rsidRPr="00F85A48">
              <w:rPr>
                <w:rFonts w:ascii="Verdana" w:hAnsi="Verdana"/>
                <w:sz w:val="22"/>
                <w:szCs w:val="22"/>
              </w:rPr>
              <w:t>0.71-2.87</w:t>
            </w:r>
          </w:p>
        </w:tc>
      </w:tr>
      <w:tr w:rsidR="000C5B9A" w:rsidRPr="00F85A48" w14:paraId="3256281E" w14:textId="77777777" w:rsidTr="00F85A48">
        <w:tc>
          <w:tcPr>
            <w:tcW w:w="3909" w:type="dxa"/>
          </w:tcPr>
          <w:p w14:paraId="4B50DB9F" w14:textId="77777777" w:rsidR="000C5B9A" w:rsidRPr="00F85A48" w:rsidRDefault="000C5B9A" w:rsidP="000C5B9A">
            <w:pPr>
              <w:ind w:left="517"/>
              <w:rPr>
                <w:rFonts w:ascii="Verdana" w:hAnsi="Verdana"/>
                <w:sz w:val="22"/>
                <w:szCs w:val="22"/>
              </w:rPr>
            </w:pPr>
            <w:r w:rsidRPr="00F85A48">
              <w:rPr>
                <w:rFonts w:ascii="Verdana" w:hAnsi="Verdana"/>
                <w:sz w:val="22"/>
                <w:szCs w:val="22"/>
              </w:rPr>
              <w:t>Third tertile</w:t>
            </w:r>
          </w:p>
        </w:tc>
        <w:tc>
          <w:tcPr>
            <w:tcW w:w="270" w:type="dxa"/>
          </w:tcPr>
          <w:p w14:paraId="78063D59" w14:textId="77777777" w:rsidR="000C5B9A" w:rsidRPr="00F85A48" w:rsidRDefault="000C5B9A" w:rsidP="000C5B9A">
            <w:pPr>
              <w:rPr>
                <w:rFonts w:ascii="Verdana" w:hAnsi="Verdana"/>
                <w:sz w:val="22"/>
                <w:szCs w:val="22"/>
              </w:rPr>
            </w:pPr>
          </w:p>
        </w:tc>
        <w:tc>
          <w:tcPr>
            <w:tcW w:w="1147" w:type="dxa"/>
          </w:tcPr>
          <w:p w14:paraId="226C7053" w14:textId="77777777" w:rsidR="000C5B9A" w:rsidRPr="00F85A48" w:rsidRDefault="000C5B9A" w:rsidP="000C5B9A">
            <w:pPr>
              <w:jc w:val="center"/>
              <w:rPr>
                <w:rFonts w:ascii="Verdana" w:hAnsi="Verdana"/>
                <w:sz w:val="22"/>
                <w:szCs w:val="22"/>
              </w:rPr>
            </w:pPr>
            <w:r w:rsidRPr="00F85A48">
              <w:rPr>
                <w:rFonts w:ascii="Verdana" w:hAnsi="Verdana"/>
                <w:sz w:val="22"/>
                <w:szCs w:val="22"/>
              </w:rPr>
              <w:t>2.08</w:t>
            </w:r>
          </w:p>
        </w:tc>
        <w:tc>
          <w:tcPr>
            <w:tcW w:w="270" w:type="dxa"/>
          </w:tcPr>
          <w:p w14:paraId="351DF6B2" w14:textId="77777777" w:rsidR="000C5B9A" w:rsidRPr="00F85A48" w:rsidRDefault="000C5B9A" w:rsidP="000C5B9A">
            <w:pPr>
              <w:jc w:val="center"/>
              <w:rPr>
                <w:rFonts w:ascii="Verdana" w:hAnsi="Verdana"/>
                <w:sz w:val="22"/>
                <w:szCs w:val="22"/>
              </w:rPr>
            </w:pPr>
          </w:p>
        </w:tc>
        <w:tc>
          <w:tcPr>
            <w:tcW w:w="2423" w:type="dxa"/>
          </w:tcPr>
          <w:p w14:paraId="598DDCA2" w14:textId="77777777" w:rsidR="000C5B9A" w:rsidRPr="00F85A48" w:rsidRDefault="000C5B9A" w:rsidP="000C5B9A">
            <w:pPr>
              <w:jc w:val="center"/>
              <w:rPr>
                <w:rFonts w:ascii="Verdana" w:hAnsi="Verdana"/>
                <w:sz w:val="22"/>
                <w:szCs w:val="22"/>
              </w:rPr>
            </w:pPr>
            <w:r w:rsidRPr="00F85A48">
              <w:rPr>
                <w:rFonts w:ascii="Verdana" w:hAnsi="Verdana"/>
                <w:sz w:val="22"/>
                <w:szCs w:val="22"/>
              </w:rPr>
              <w:t>1.17-3.70</w:t>
            </w:r>
          </w:p>
        </w:tc>
      </w:tr>
      <w:tr w:rsidR="000C5B9A" w:rsidRPr="00F85A48" w14:paraId="78B6A1D7" w14:textId="77777777" w:rsidTr="00F85A48">
        <w:tc>
          <w:tcPr>
            <w:tcW w:w="3909" w:type="dxa"/>
          </w:tcPr>
          <w:p w14:paraId="2E4DC4A4" w14:textId="77777777" w:rsidR="000C5B9A" w:rsidRPr="00F85A48" w:rsidRDefault="000C5B9A" w:rsidP="000C5B9A">
            <w:pPr>
              <w:rPr>
                <w:rFonts w:ascii="Verdana" w:hAnsi="Verdana"/>
                <w:b/>
                <w:sz w:val="22"/>
                <w:szCs w:val="22"/>
              </w:rPr>
            </w:pPr>
          </w:p>
        </w:tc>
        <w:tc>
          <w:tcPr>
            <w:tcW w:w="270" w:type="dxa"/>
          </w:tcPr>
          <w:p w14:paraId="787D94D3" w14:textId="77777777" w:rsidR="000C5B9A" w:rsidRPr="00F85A48" w:rsidRDefault="000C5B9A" w:rsidP="000C5B9A">
            <w:pPr>
              <w:rPr>
                <w:rFonts w:ascii="Verdana" w:hAnsi="Verdana"/>
                <w:b/>
                <w:sz w:val="22"/>
                <w:szCs w:val="22"/>
              </w:rPr>
            </w:pPr>
          </w:p>
        </w:tc>
        <w:tc>
          <w:tcPr>
            <w:tcW w:w="1147" w:type="dxa"/>
          </w:tcPr>
          <w:p w14:paraId="04C36D46" w14:textId="77777777" w:rsidR="000C5B9A" w:rsidRPr="00F85A48" w:rsidRDefault="000C5B9A" w:rsidP="000C5B9A">
            <w:pPr>
              <w:jc w:val="center"/>
              <w:rPr>
                <w:rFonts w:ascii="Verdana" w:hAnsi="Verdana"/>
                <w:b/>
                <w:sz w:val="22"/>
                <w:szCs w:val="22"/>
              </w:rPr>
            </w:pPr>
          </w:p>
        </w:tc>
        <w:tc>
          <w:tcPr>
            <w:tcW w:w="270" w:type="dxa"/>
          </w:tcPr>
          <w:p w14:paraId="5843CB67" w14:textId="77777777" w:rsidR="000C5B9A" w:rsidRPr="00F85A48" w:rsidRDefault="000C5B9A" w:rsidP="000C5B9A">
            <w:pPr>
              <w:jc w:val="center"/>
              <w:rPr>
                <w:rFonts w:ascii="Verdana" w:hAnsi="Verdana"/>
                <w:b/>
                <w:sz w:val="22"/>
                <w:szCs w:val="22"/>
              </w:rPr>
            </w:pPr>
          </w:p>
        </w:tc>
        <w:tc>
          <w:tcPr>
            <w:tcW w:w="2423" w:type="dxa"/>
          </w:tcPr>
          <w:p w14:paraId="3BDF185E" w14:textId="77777777" w:rsidR="000C5B9A" w:rsidRPr="00F85A48" w:rsidRDefault="000C5B9A" w:rsidP="000C5B9A">
            <w:pPr>
              <w:jc w:val="center"/>
              <w:rPr>
                <w:rFonts w:ascii="Verdana" w:hAnsi="Verdana"/>
                <w:b/>
                <w:sz w:val="22"/>
                <w:szCs w:val="22"/>
              </w:rPr>
            </w:pPr>
          </w:p>
        </w:tc>
      </w:tr>
      <w:tr w:rsidR="00B515F4" w:rsidRPr="00F85A48" w14:paraId="307F4712" w14:textId="77777777" w:rsidTr="00F85A48">
        <w:tc>
          <w:tcPr>
            <w:tcW w:w="3909" w:type="dxa"/>
          </w:tcPr>
          <w:p w14:paraId="116BB131" w14:textId="77777777" w:rsidR="00B515F4" w:rsidRPr="00F85A48" w:rsidRDefault="00B515F4" w:rsidP="000C5B9A">
            <w:pPr>
              <w:rPr>
                <w:rFonts w:ascii="Verdana" w:hAnsi="Verdana"/>
                <w:b/>
                <w:sz w:val="22"/>
                <w:szCs w:val="22"/>
              </w:rPr>
            </w:pPr>
            <w:r w:rsidRPr="00F85A48">
              <w:rPr>
                <w:rFonts w:ascii="Verdana" w:hAnsi="Verdana"/>
                <w:b/>
                <w:sz w:val="22"/>
                <w:szCs w:val="22"/>
              </w:rPr>
              <w:t>Back strain</w:t>
            </w:r>
          </w:p>
        </w:tc>
        <w:tc>
          <w:tcPr>
            <w:tcW w:w="270" w:type="dxa"/>
          </w:tcPr>
          <w:p w14:paraId="6B79507B" w14:textId="77777777" w:rsidR="00B515F4" w:rsidRPr="00F85A48" w:rsidRDefault="00B515F4" w:rsidP="000C5B9A">
            <w:pPr>
              <w:rPr>
                <w:rFonts w:ascii="Verdana" w:hAnsi="Verdana"/>
                <w:b/>
                <w:sz w:val="22"/>
                <w:szCs w:val="22"/>
              </w:rPr>
            </w:pPr>
          </w:p>
        </w:tc>
        <w:tc>
          <w:tcPr>
            <w:tcW w:w="1147" w:type="dxa"/>
          </w:tcPr>
          <w:p w14:paraId="28117AEB" w14:textId="77777777" w:rsidR="00B515F4" w:rsidRPr="00F85A48" w:rsidRDefault="00B515F4" w:rsidP="000C5B9A">
            <w:pPr>
              <w:jc w:val="center"/>
              <w:rPr>
                <w:rFonts w:ascii="Verdana" w:hAnsi="Verdana"/>
                <w:b/>
                <w:sz w:val="22"/>
                <w:szCs w:val="22"/>
              </w:rPr>
            </w:pPr>
          </w:p>
        </w:tc>
        <w:tc>
          <w:tcPr>
            <w:tcW w:w="270" w:type="dxa"/>
          </w:tcPr>
          <w:p w14:paraId="41A54324" w14:textId="77777777" w:rsidR="00B515F4" w:rsidRPr="00F85A48" w:rsidRDefault="00B515F4" w:rsidP="000C5B9A">
            <w:pPr>
              <w:jc w:val="center"/>
              <w:rPr>
                <w:rFonts w:ascii="Verdana" w:hAnsi="Verdana"/>
                <w:b/>
                <w:sz w:val="22"/>
                <w:szCs w:val="22"/>
              </w:rPr>
            </w:pPr>
          </w:p>
        </w:tc>
        <w:tc>
          <w:tcPr>
            <w:tcW w:w="2423" w:type="dxa"/>
          </w:tcPr>
          <w:p w14:paraId="7C0D97A3" w14:textId="77777777" w:rsidR="00B515F4" w:rsidRPr="00F85A48" w:rsidRDefault="00B515F4" w:rsidP="000C5B9A">
            <w:pPr>
              <w:jc w:val="center"/>
              <w:rPr>
                <w:rFonts w:ascii="Verdana" w:hAnsi="Verdana"/>
                <w:b/>
                <w:sz w:val="22"/>
                <w:szCs w:val="22"/>
              </w:rPr>
            </w:pPr>
          </w:p>
        </w:tc>
      </w:tr>
      <w:tr w:rsidR="00B515F4" w:rsidRPr="00F85A48" w14:paraId="579FCAD2" w14:textId="77777777" w:rsidTr="00F85A48">
        <w:tc>
          <w:tcPr>
            <w:tcW w:w="3909" w:type="dxa"/>
          </w:tcPr>
          <w:p w14:paraId="1DD644F3" w14:textId="77777777" w:rsidR="00B515F4" w:rsidRPr="00F85A48" w:rsidRDefault="00B515F4" w:rsidP="000C5B9A">
            <w:pPr>
              <w:ind w:left="607"/>
              <w:rPr>
                <w:rFonts w:ascii="Verdana" w:hAnsi="Verdana"/>
                <w:sz w:val="22"/>
                <w:szCs w:val="22"/>
              </w:rPr>
            </w:pPr>
            <w:r w:rsidRPr="00F85A48">
              <w:rPr>
                <w:rFonts w:ascii="Verdana" w:hAnsi="Verdana"/>
                <w:sz w:val="22"/>
                <w:szCs w:val="22"/>
              </w:rPr>
              <w:t>Little</w:t>
            </w:r>
          </w:p>
        </w:tc>
        <w:tc>
          <w:tcPr>
            <w:tcW w:w="270" w:type="dxa"/>
          </w:tcPr>
          <w:p w14:paraId="401FD5B9" w14:textId="77777777" w:rsidR="00B515F4" w:rsidRPr="00F85A48" w:rsidRDefault="00B515F4" w:rsidP="000C5B9A">
            <w:pPr>
              <w:rPr>
                <w:rFonts w:ascii="Verdana" w:hAnsi="Verdana"/>
                <w:sz w:val="22"/>
                <w:szCs w:val="22"/>
              </w:rPr>
            </w:pPr>
          </w:p>
        </w:tc>
        <w:tc>
          <w:tcPr>
            <w:tcW w:w="1147" w:type="dxa"/>
          </w:tcPr>
          <w:p w14:paraId="205703EF" w14:textId="77777777" w:rsidR="00B515F4" w:rsidRPr="00F85A48" w:rsidRDefault="00B515F4" w:rsidP="000C5B9A">
            <w:pPr>
              <w:jc w:val="center"/>
              <w:rPr>
                <w:rFonts w:ascii="Verdana" w:hAnsi="Verdana"/>
                <w:sz w:val="22"/>
                <w:szCs w:val="22"/>
              </w:rPr>
            </w:pPr>
            <w:r w:rsidRPr="00F85A48">
              <w:rPr>
                <w:rFonts w:ascii="Verdana" w:hAnsi="Verdana"/>
                <w:sz w:val="22"/>
                <w:szCs w:val="22"/>
              </w:rPr>
              <w:t>1.00</w:t>
            </w:r>
          </w:p>
        </w:tc>
        <w:tc>
          <w:tcPr>
            <w:tcW w:w="270" w:type="dxa"/>
          </w:tcPr>
          <w:p w14:paraId="453EA69D" w14:textId="77777777" w:rsidR="00B515F4" w:rsidRPr="00F85A48" w:rsidRDefault="00B515F4" w:rsidP="000C5B9A">
            <w:pPr>
              <w:jc w:val="center"/>
              <w:rPr>
                <w:rFonts w:ascii="Verdana" w:hAnsi="Verdana"/>
                <w:sz w:val="22"/>
                <w:szCs w:val="22"/>
              </w:rPr>
            </w:pPr>
          </w:p>
        </w:tc>
        <w:tc>
          <w:tcPr>
            <w:tcW w:w="2423" w:type="dxa"/>
          </w:tcPr>
          <w:p w14:paraId="0F8AB71F" w14:textId="77777777" w:rsidR="00B515F4" w:rsidRPr="00F85A48" w:rsidRDefault="000C5B9A" w:rsidP="000C5B9A">
            <w:pPr>
              <w:jc w:val="center"/>
              <w:rPr>
                <w:rFonts w:ascii="Verdana" w:hAnsi="Verdana"/>
                <w:sz w:val="22"/>
                <w:szCs w:val="22"/>
              </w:rPr>
            </w:pPr>
            <w:r w:rsidRPr="00F85A48">
              <w:rPr>
                <w:rFonts w:ascii="Verdana" w:hAnsi="Verdana"/>
                <w:sz w:val="22"/>
                <w:szCs w:val="22"/>
              </w:rPr>
              <w:t>-</w:t>
            </w:r>
          </w:p>
        </w:tc>
      </w:tr>
      <w:tr w:rsidR="00B515F4" w:rsidRPr="00F85A48" w14:paraId="7D03F365" w14:textId="77777777" w:rsidTr="00F85A48">
        <w:tc>
          <w:tcPr>
            <w:tcW w:w="3909" w:type="dxa"/>
          </w:tcPr>
          <w:p w14:paraId="2834BAB9" w14:textId="77777777" w:rsidR="00B515F4" w:rsidRPr="00F85A48" w:rsidRDefault="00B515F4" w:rsidP="000C5B9A">
            <w:pPr>
              <w:ind w:left="607"/>
              <w:rPr>
                <w:rFonts w:ascii="Verdana" w:hAnsi="Verdana"/>
                <w:sz w:val="22"/>
                <w:szCs w:val="22"/>
              </w:rPr>
            </w:pPr>
            <w:r w:rsidRPr="00F85A48">
              <w:rPr>
                <w:rFonts w:ascii="Verdana" w:hAnsi="Verdana"/>
                <w:sz w:val="22"/>
                <w:szCs w:val="22"/>
              </w:rPr>
              <w:t>Moderate</w:t>
            </w:r>
          </w:p>
        </w:tc>
        <w:tc>
          <w:tcPr>
            <w:tcW w:w="270" w:type="dxa"/>
          </w:tcPr>
          <w:p w14:paraId="09EC1C48" w14:textId="77777777" w:rsidR="00B515F4" w:rsidRPr="00F85A48" w:rsidRDefault="00B515F4" w:rsidP="000C5B9A">
            <w:pPr>
              <w:rPr>
                <w:rFonts w:ascii="Verdana" w:hAnsi="Verdana"/>
                <w:sz w:val="22"/>
                <w:szCs w:val="22"/>
              </w:rPr>
            </w:pPr>
          </w:p>
        </w:tc>
        <w:tc>
          <w:tcPr>
            <w:tcW w:w="1147" w:type="dxa"/>
          </w:tcPr>
          <w:p w14:paraId="4205BE2A" w14:textId="77777777" w:rsidR="00B515F4" w:rsidRPr="00F85A48" w:rsidRDefault="000C5B9A" w:rsidP="000C5B9A">
            <w:pPr>
              <w:jc w:val="center"/>
              <w:rPr>
                <w:rFonts w:ascii="Verdana" w:hAnsi="Verdana"/>
                <w:sz w:val="22"/>
                <w:szCs w:val="22"/>
              </w:rPr>
            </w:pPr>
            <w:r w:rsidRPr="00F85A48">
              <w:rPr>
                <w:rFonts w:ascii="Verdana" w:hAnsi="Verdana"/>
                <w:sz w:val="22"/>
                <w:szCs w:val="22"/>
              </w:rPr>
              <w:t>1.53</w:t>
            </w:r>
          </w:p>
        </w:tc>
        <w:tc>
          <w:tcPr>
            <w:tcW w:w="270" w:type="dxa"/>
          </w:tcPr>
          <w:p w14:paraId="715D1A16" w14:textId="77777777" w:rsidR="00B515F4" w:rsidRPr="00F85A48" w:rsidRDefault="00B515F4" w:rsidP="000C5B9A">
            <w:pPr>
              <w:jc w:val="center"/>
              <w:rPr>
                <w:rFonts w:ascii="Verdana" w:hAnsi="Verdana"/>
                <w:sz w:val="22"/>
                <w:szCs w:val="22"/>
              </w:rPr>
            </w:pPr>
          </w:p>
        </w:tc>
        <w:tc>
          <w:tcPr>
            <w:tcW w:w="2423" w:type="dxa"/>
          </w:tcPr>
          <w:p w14:paraId="1BBEAD1D" w14:textId="77777777" w:rsidR="00B515F4" w:rsidRPr="00F85A48" w:rsidRDefault="000C5B9A" w:rsidP="000C5B9A">
            <w:pPr>
              <w:jc w:val="center"/>
              <w:rPr>
                <w:rFonts w:ascii="Verdana" w:hAnsi="Verdana"/>
                <w:sz w:val="22"/>
                <w:szCs w:val="22"/>
              </w:rPr>
            </w:pPr>
            <w:r w:rsidRPr="00F85A48">
              <w:rPr>
                <w:rFonts w:ascii="Verdana" w:hAnsi="Verdana"/>
                <w:sz w:val="22"/>
                <w:szCs w:val="22"/>
              </w:rPr>
              <w:t>0.66-3.53</w:t>
            </w:r>
          </w:p>
        </w:tc>
      </w:tr>
      <w:tr w:rsidR="00F51824" w:rsidRPr="00F85A48" w14:paraId="233475B8" w14:textId="77777777" w:rsidTr="00F85A48">
        <w:tc>
          <w:tcPr>
            <w:tcW w:w="3909" w:type="dxa"/>
          </w:tcPr>
          <w:p w14:paraId="1B9D5CEF" w14:textId="77777777" w:rsidR="00F51824" w:rsidRPr="00F85A48" w:rsidRDefault="00B515F4" w:rsidP="000C5B9A">
            <w:pPr>
              <w:ind w:left="607"/>
              <w:rPr>
                <w:rFonts w:ascii="Verdana" w:hAnsi="Verdana"/>
                <w:sz w:val="22"/>
                <w:szCs w:val="22"/>
              </w:rPr>
            </w:pPr>
            <w:r w:rsidRPr="00F85A48">
              <w:rPr>
                <w:rFonts w:ascii="Verdana" w:hAnsi="Verdana"/>
                <w:sz w:val="22"/>
                <w:szCs w:val="22"/>
              </w:rPr>
              <w:t>Much</w:t>
            </w:r>
          </w:p>
        </w:tc>
        <w:tc>
          <w:tcPr>
            <w:tcW w:w="270" w:type="dxa"/>
          </w:tcPr>
          <w:p w14:paraId="7F02FE62" w14:textId="77777777" w:rsidR="00F51824" w:rsidRPr="00F85A48" w:rsidRDefault="00F51824" w:rsidP="000C5B9A">
            <w:pPr>
              <w:rPr>
                <w:rFonts w:ascii="Verdana" w:hAnsi="Verdana"/>
                <w:sz w:val="22"/>
                <w:szCs w:val="22"/>
              </w:rPr>
            </w:pPr>
          </w:p>
        </w:tc>
        <w:tc>
          <w:tcPr>
            <w:tcW w:w="1147" w:type="dxa"/>
          </w:tcPr>
          <w:p w14:paraId="30E5F355" w14:textId="77777777" w:rsidR="00F51824" w:rsidRPr="00F85A48" w:rsidRDefault="000C5B9A" w:rsidP="000C5B9A">
            <w:pPr>
              <w:jc w:val="center"/>
              <w:rPr>
                <w:rFonts w:ascii="Verdana" w:hAnsi="Verdana"/>
                <w:sz w:val="22"/>
                <w:szCs w:val="22"/>
              </w:rPr>
            </w:pPr>
            <w:r w:rsidRPr="00F85A48">
              <w:rPr>
                <w:rFonts w:ascii="Verdana" w:hAnsi="Verdana"/>
                <w:sz w:val="22"/>
                <w:szCs w:val="22"/>
              </w:rPr>
              <w:t>2.49</w:t>
            </w:r>
          </w:p>
        </w:tc>
        <w:tc>
          <w:tcPr>
            <w:tcW w:w="270" w:type="dxa"/>
          </w:tcPr>
          <w:p w14:paraId="00B4D5EE" w14:textId="77777777" w:rsidR="00F51824" w:rsidRPr="00F85A48" w:rsidRDefault="00F51824" w:rsidP="000C5B9A">
            <w:pPr>
              <w:jc w:val="center"/>
              <w:rPr>
                <w:rFonts w:ascii="Verdana" w:hAnsi="Verdana"/>
                <w:sz w:val="22"/>
                <w:szCs w:val="22"/>
              </w:rPr>
            </w:pPr>
          </w:p>
        </w:tc>
        <w:tc>
          <w:tcPr>
            <w:tcW w:w="2423" w:type="dxa"/>
          </w:tcPr>
          <w:p w14:paraId="347FBAF7" w14:textId="77777777" w:rsidR="00F51824" w:rsidRPr="00F85A48" w:rsidRDefault="000C5B9A" w:rsidP="000C5B9A">
            <w:pPr>
              <w:jc w:val="center"/>
              <w:rPr>
                <w:rFonts w:ascii="Verdana" w:hAnsi="Verdana"/>
                <w:sz w:val="22"/>
                <w:szCs w:val="22"/>
              </w:rPr>
            </w:pPr>
            <w:r w:rsidRPr="00F85A48">
              <w:rPr>
                <w:rFonts w:ascii="Verdana" w:hAnsi="Verdana"/>
                <w:sz w:val="22"/>
                <w:szCs w:val="22"/>
              </w:rPr>
              <w:t>1.22-5.07</w:t>
            </w:r>
          </w:p>
        </w:tc>
      </w:tr>
      <w:tr w:rsidR="00B515F4" w:rsidRPr="00F85A48" w14:paraId="5B6D881D" w14:textId="77777777" w:rsidTr="00F85A48">
        <w:tc>
          <w:tcPr>
            <w:tcW w:w="3909" w:type="dxa"/>
          </w:tcPr>
          <w:p w14:paraId="2E94C69C" w14:textId="77777777" w:rsidR="00B515F4" w:rsidRPr="00F85A48" w:rsidRDefault="00B515F4" w:rsidP="000C5B9A">
            <w:pPr>
              <w:rPr>
                <w:rFonts w:ascii="Verdana" w:hAnsi="Verdana"/>
                <w:sz w:val="22"/>
                <w:szCs w:val="22"/>
              </w:rPr>
            </w:pPr>
          </w:p>
        </w:tc>
        <w:tc>
          <w:tcPr>
            <w:tcW w:w="270" w:type="dxa"/>
          </w:tcPr>
          <w:p w14:paraId="1C9417B1" w14:textId="77777777" w:rsidR="00B515F4" w:rsidRPr="00F85A48" w:rsidRDefault="00B515F4" w:rsidP="000C5B9A">
            <w:pPr>
              <w:rPr>
                <w:rFonts w:ascii="Verdana" w:hAnsi="Verdana"/>
                <w:sz w:val="22"/>
                <w:szCs w:val="22"/>
              </w:rPr>
            </w:pPr>
          </w:p>
        </w:tc>
        <w:tc>
          <w:tcPr>
            <w:tcW w:w="1147" w:type="dxa"/>
          </w:tcPr>
          <w:p w14:paraId="785DA84B" w14:textId="77777777" w:rsidR="00B515F4" w:rsidRPr="00F85A48" w:rsidRDefault="00B515F4" w:rsidP="000C5B9A">
            <w:pPr>
              <w:jc w:val="center"/>
              <w:rPr>
                <w:rFonts w:ascii="Verdana" w:hAnsi="Verdana"/>
                <w:sz w:val="22"/>
                <w:szCs w:val="22"/>
              </w:rPr>
            </w:pPr>
          </w:p>
        </w:tc>
        <w:tc>
          <w:tcPr>
            <w:tcW w:w="270" w:type="dxa"/>
          </w:tcPr>
          <w:p w14:paraId="3C0E3647" w14:textId="77777777" w:rsidR="00B515F4" w:rsidRPr="00F85A48" w:rsidRDefault="00B515F4" w:rsidP="000C5B9A">
            <w:pPr>
              <w:jc w:val="center"/>
              <w:rPr>
                <w:rFonts w:ascii="Verdana" w:hAnsi="Verdana"/>
                <w:sz w:val="22"/>
                <w:szCs w:val="22"/>
              </w:rPr>
            </w:pPr>
          </w:p>
        </w:tc>
        <w:tc>
          <w:tcPr>
            <w:tcW w:w="2423" w:type="dxa"/>
          </w:tcPr>
          <w:p w14:paraId="084508C1" w14:textId="77777777" w:rsidR="00B515F4" w:rsidRPr="00F85A48" w:rsidRDefault="00B515F4" w:rsidP="000C5B9A">
            <w:pPr>
              <w:jc w:val="center"/>
              <w:rPr>
                <w:rFonts w:ascii="Verdana" w:hAnsi="Verdana"/>
                <w:sz w:val="22"/>
                <w:szCs w:val="22"/>
              </w:rPr>
            </w:pPr>
          </w:p>
        </w:tc>
      </w:tr>
      <w:tr w:rsidR="00B515F4" w:rsidRPr="00F85A48" w14:paraId="3AB43726" w14:textId="77777777" w:rsidTr="00F85A48">
        <w:tc>
          <w:tcPr>
            <w:tcW w:w="3909" w:type="dxa"/>
          </w:tcPr>
          <w:p w14:paraId="140B9CA0" w14:textId="77777777" w:rsidR="00B515F4" w:rsidRPr="00F85A48" w:rsidRDefault="00B515F4" w:rsidP="000C5B9A">
            <w:pPr>
              <w:rPr>
                <w:rFonts w:ascii="Verdana" w:hAnsi="Verdana"/>
                <w:b/>
                <w:sz w:val="22"/>
                <w:szCs w:val="22"/>
              </w:rPr>
            </w:pPr>
            <w:r w:rsidRPr="00F85A48">
              <w:rPr>
                <w:rFonts w:ascii="Verdana" w:hAnsi="Verdana"/>
                <w:b/>
                <w:sz w:val="22"/>
                <w:szCs w:val="22"/>
              </w:rPr>
              <w:t>Neck strain</w:t>
            </w:r>
          </w:p>
        </w:tc>
        <w:tc>
          <w:tcPr>
            <w:tcW w:w="270" w:type="dxa"/>
          </w:tcPr>
          <w:p w14:paraId="1C8462AB" w14:textId="77777777" w:rsidR="00B515F4" w:rsidRPr="00F85A48" w:rsidRDefault="00B515F4" w:rsidP="000C5B9A">
            <w:pPr>
              <w:rPr>
                <w:rFonts w:ascii="Verdana" w:hAnsi="Verdana"/>
                <w:b/>
                <w:sz w:val="22"/>
                <w:szCs w:val="22"/>
              </w:rPr>
            </w:pPr>
          </w:p>
        </w:tc>
        <w:tc>
          <w:tcPr>
            <w:tcW w:w="1147" w:type="dxa"/>
          </w:tcPr>
          <w:p w14:paraId="1DCA0AF9" w14:textId="77777777" w:rsidR="00B515F4" w:rsidRPr="00F85A48" w:rsidRDefault="00B515F4" w:rsidP="000C5B9A">
            <w:pPr>
              <w:jc w:val="center"/>
              <w:rPr>
                <w:rFonts w:ascii="Verdana" w:hAnsi="Verdana"/>
                <w:b/>
                <w:sz w:val="22"/>
                <w:szCs w:val="22"/>
              </w:rPr>
            </w:pPr>
          </w:p>
        </w:tc>
        <w:tc>
          <w:tcPr>
            <w:tcW w:w="270" w:type="dxa"/>
          </w:tcPr>
          <w:p w14:paraId="6B13A58E" w14:textId="77777777" w:rsidR="00B515F4" w:rsidRPr="00F85A48" w:rsidRDefault="00B515F4" w:rsidP="000C5B9A">
            <w:pPr>
              <w:jc w:val="center"/>
              <w:rPr>
                <w:rFonts w:ascii="Verdana" w:hAnsi="Verdana"/>
                <w:b/>
                <w:sz w:val="22"/>
                <w:szCs w:val="22"/>
              </w:rPr>
            </w:pPr>
          </w:p>
        </w:tc>
        <w:tc>
          <w:tcPr>
            <w:tcW w:w="2423" w:type="dxa"/>
          </w:tcPr>
          <w:p w14:paraId="6BC33424" w14:textId="77777777" w:rsidR="00B515F4" w:rsidRPr="00F85A48" w:rsidRDefault="00B515F4" w:rsidP="000C5B9A">
            <w:pPr>
              <w:jc w:val="center"/>
              <w:rPr>
                <w:rFonts w:ascii="Verdana" w:hAnsi="Verdana"/>
                <w:b/>
                <w:sz w:val="22"/>
                <w:szCs w:val="22"/>
              </w:rPr>
            </w:pPr>
          </w:p>
        </w:tc>
      </w:tr>
      <w:tr w:rsidR="00B515F4" w:rsidRPr="00F85A48" w14:paraId="442F0D8C" w14:textId="77777777" w:rsidTr="00F85A48">
        <w:tc>
          <w:tcPr>
            <w:tcW w:w="3909" w:type="dxa"/>
          </w:tcPr>
          <w:p w14:paraId="2EB48034" w14:textId="77777777" w:rsidR="00B515F4" w:rsidRPr="00F85A48" w:rsidRDefault="00B515F4" w:rsidP="000C5B9A">
            <w:pPr>
              <w:ind w:left="607"/>
              <w:rPr>
                <w:rFonts w:ascii="Verdana" w:hAnsi="Verdana"/>
                <w:sz w:val="22"/>
                <w:szCs w:val="22"/>
              </w:rPr>
            </w:pPr>
            <w:r w:rsidRPr="00F85A48">
              <w:rPr>
                <w:rFonts w:ascii="Verdana" w:hAnsi="Verdana"/>
                <w:sz w:val="22"/>
                <w:szCs w:val="22"/>
              </w:rPr>
              <w:t>Little</w:t>
            </w:r>
          </w:p>
        </w:tc>
        <w:tc>
          <w:tcPr>
            <w:tcW w:w="270" w:type="dxa"/>
          </w:tcPr>
          <w:p w14:paraId="5DA704BC" w14:textId="77777777" w:rsidR="00B515F4" w:rsidRPr="00F85A48" w:rsidRDefault="00B515F4" w:rsidP="000C5B9A">
            <w:pPr>
              <w:rPr>
                <w:rFonts w:ascii="Verdana" w:hAnsi="Verdana"/>
                <w:sz w:val="22"/>
                <w:szCs w:val="22"/>
              </w:rPr>
            </w:pPr>
          </w:p>
        </w:tc>
        <w:tc>
          <w:tcPr>
            <w:tcW w:w="1147" w:type="dxa"/>
          </w:tcPr>
          <w:p w14:paraId="6B6D82D3" w14:textId="77777777" w:rsidR="000C5B9A" w:rsidRPr="00F85A48" w:rsidRDefault="000C5B9A" w:rsidP="000C5B9A">
            <w:pPr>
              <w:jc w:val="center"/>
              <w:rPr>
                <w:rFonts w:ascii="Verdana" w:hAnsi="Verdana"/>
                <w:sz w:val="22"/>
                <w:szCs w:val="22"/>
              </w:rPr>
            </w:pPr>
            <w:r w:rsidRPr="00F85A48">
              <w:rPr>
                <w:rFonts w:ascii="Verdana" w:hAnsi="Verdana"/>
                <w:sz w:val="22"/>
                <w:szCs w:val="22"/>
              </w:rPr>
              <w:t>1.00</w:t>
            </w:r>
          </w:p>
        </w:tc>
        <w:tc>
          <w:tcPr>
            <w:tcW w:w="270" w:type="dxa"/>
          </w:tcPr>
          <w:p w14:paraId="6340D362" w14:textId="77777777" w:rsidR="00B515F4" w:rsidRPr="00F85A48" w:rsidRDefault="00B515F4" w:rsidP="000C5B9A">
            <w:pPr>
              <w:jc w:val="center"/>
              <w:rPr>
                <w:rFonts w:ascii="Verdana" w:hAnsi="Verdana"/>
                <w:sz w:val="22"/>
                <w:szCs w:val="22"/>
              </w:rPr>
            </w:pPr>
          </w:p>
        </w:tc>
        <w:tc>
          <w:tcPr>
            <w:tcW w:w="2423" w:type="dxa"/>
          </w:tcPr>
          <w:p w14:paraId="48FA44D2" w14:textId="77777777" w:rsidR="00B515F4" w:rsidRPr="00F85A48" w:rsidRDefault="000C5B9A" w:rsidP="000C5B9A">
            <w:pPr>
              <w:jc w:val="center"/>
              <w:rPr>
                <w:rFonts w:ascii="Verdana" w:hAnsi="Verdana"/>
                <w:sz w:val="22"/>
                <w:szCs w:val="22"/>
              </w:rPr>
            </w:pPr>
            <w:r w:rsidRPr="00F85A48">
              <w:rPr>
                <w:rFonts w:ascii="Verdana" w:hAnsi="Verdana"/>
                <w:sz w:val="22"/>
                <w:szCs w:val="22"/>
              </w:rPr>
              <w:t>-</w:t>
            </w:r>
          </w:p>
        </w:tc>
      </w:tr>
      <w:tr w:rsidR="00B515F4" w:rsidRPr="00F85A48" w14:paraId="0BD72AA7" w14:textId="77777777" w:rsidTr="00F85A48">
        <w:tc>
          <w:tcPr>
            <w:tcW w:w="3909" w:type="dxa"/>
          </w:tcPr>
          <w:p w14:paraId="5C2784DB" w14:textId="77777777" w:rsidR="00B515F4" w:rsidRPr="00F85A48" w:rsidRDefault="00B515F4" w:rsidP="000C5B9A">
            <w:pPr>
              <w:ind w:left="607"/>
              <w:rPr>
                <w:rFonts w:ascii="Verdana" w:hAnsi="Verdana"/>
                <w:sz w:val="22"/>
                <w:szCs w:val="22"/>
              </w:rPr>
            </w:pPr>
            <w:r w:rsidRPr="00F85A48">
              <w:rPr>
                <w:rFonts w:ascii="Verdana" w:hAnsi="Verdana"/>
                <w:sz w:val="22"/>
                <w:szCs w:val="22"/>
              </w:rPr>
              <w:t>Moderate</w:t>
            </w:r>
          </w:p>
        </w:tc>
        <w:tc>
          <w:tcPr>
            <w:tcW w:w="270" w:type="dxa"/>
          </w:tcPr>
          <w:p w14:paraId="7320ACF5" w14:textId="77777777" w:rsidR="00B515F4" w:rsidRPr="00F85A48" w:rsidRDefault="00B515F4" w:rsidP="000C5B9A">
            <w:pPr>
              <w:rPr>
                <w:rFonts w:ascii="Verdana" w:hAnsi="Verdana"/>
                <w:sz w:val="22"/>
                <w:szCs w:val="22"/>
              </w:rPr>
            </w:pPr>
          </w:p>
        </w:tc>
        <w:tc>
          <w:tcPr>
            <w:tcW w:w="1147" w:type="dxa"/>
          </w:tcPr>
          <w:p w14:paraId="47982652" w14:textId="77777777" w:rsidR="00B515F4" w:rsidRPr="00F85A48" w:rsidRDefault="000C5B9A" w:rsidP="000C5B9A">
            <w:pPr>
              <w:jc w:val="center"/>
              <w:rPr>
                <w:rFonts w:ascii="Verdana" w:hAnsi="Verdana"/>
                <w:sz w:val="22"/>
                <w:szCs w:val="22"/>
              </w:rPr>
            </w:pPr>
            <w:r w:rsidRPr="00F85A48">
              <w:rPr>
                <w:rFonts w:ascii="Verdana" w:hAnsi="Verdana"/>
                <w:sz w:val="22"/>
                <w:szCs w:val="22"/>
              </w:rPr>
              <w:t>1.08</w:t>
            </w:r>
          </w:p>
        </w:tc>
        <w:tc>
          <w:tcPr>
            <w:tcW w:w="270" w:type="dxa"/>
          </w:tcPr>
          <w:p w14:paraId="3302E03F" w14:textId="77777777" w:rsidR="00B515F4" w:rsidRPr="00F85A48" w:rsidRDefault="00B515F4" w:rsidP="000C5B9A">
            <w:pPr>
              <w:jc w:val="center"/>
              <w:rPr>
                <w:rFonts w:ascii="Verdana" w:hAnsi="Verdana"/>
                <w:sz w:val="22"/>
                <w:szCs w:val="22"/>
              </w:rPr>
            </w:pPr>
          </w:p>
        </w:tc>
        <w:tc>
          <w:tcPr>
            <w:tcW w:w="2423" w:type="dxa"/>
          </w:tcPr>
          <w:p w14:paraId="10619D2B" w14:textId="77777777" w:rsidR="00B515F4" w:rsidRPr="00F85A48" w:rsidRDefault="000C5B9A" w:rsidP="000C5B9A">
            <w:pPr>
              <w:jc w:val="center"/>
              <w:rPr>
                <w:rFonts w:ascii="Verdana" w:hAnsi="Verdana"/>
                <w:sz w:val="22"/>
                <w:szCs w:val="22"/>
              </w:rPr>
            </w:pPr>
            <w:r w:rsidRPr="00F85A48">
              <w:rPr>
                <w:rFonts w:ascii="Verdana" w:hAnsi="Verdana"/>
                <w:sz w:val="22"/>
                <w:szCs w:val="22"/>
              </w:rPr>
              <w:t>0.47-2.48</w:t>
            </w:r>
          </w:p>
        </w:tc>
      </w:tr>
      <w:tr w:rsidR="00B515F4" w:rsidRPr="00F85A48" w14:paraId="6A8D5194" w14:textId="77777777" w:rsidTr="00F85A48">
        <w:tc>
          <w:tcPr>
            <w:tcW w:w="3909" w:type="dxa"/>
          </w:tcPr>
          <w:p w14:paraId="588C0CB4" w14:textId="77777777" w:rsidR="00B515F4" w:rsidRPr="00F85A48" w:rsidRDefault="00B515F4" w:rsidP="000C5B9A">
            <w:pPr>
              <w:ind w:left="607"/>
              <w:rPr>
                <w:rFonts w:ascii="Verdana" w:hAnsi="Verdana"/>
                <w:sz w:val="22"/>
                <w:szCs w:val="22"/>
              </w:rPr>
            </w:pPr>
            <w:r w:rsidRPr="00F85A48">
              <w:rPr>
                <w:rFonts w:ascii="Verdana" w:hAnsi="Verdana"/>
                <w:sz w:val="22"/>
                <w:szCs w:val="22"/>
              </w:rPr>
              <w:t>Much</w:t>
            </w:r>
          </w:p>
        </w:tc>
        <w:tc>
          <w:tcPr>
            <w:tcW w:w="270" w:type="dxa"/>
          </w:tcPr>
          <w:p w14:paraId="0FD02C89" w14:textId="77777777" w:rsidR="00B515F4" w:rsidRPr="00F85A48" w:rsidRDefault="00B515F4" w:rsidP="000C5B9A">
            <w:pPr>
              <w:rPr>
                <w:rFonts w:ascii="Verdana" w:hAnsi="Verdana"/>
                <w:sz w:val="22"/>
                <w:szCs w:val="22"/>
              </w:rPr>
            </w:pPr>
          </w:p>
        </w:tc>
        <w:tc>
          <w:tcPr>
            <w:tcW w:w="1147" w:type="dxa"/>
          </w:tcPr>
          <w:p w14:paraId="404940C3" w14:textId="77777777" w:rsidR="00B515F4" w:rsidRPr="00F85A48" w:rsidRDefault="000C5B9A" w:rsidP="000C5B9A">
            <w:pPr>
              <w:jc w:val="center"/>
              <w:rPr>
                <w:rFonts w:ascii="Verdana" w:hAnsi="Verdana"/>
                <w:sz w:val="22"/>
                <w:szCs w:val="22"/>
              </w:rPr>
            </w:pPr>
            <w:r w:rsidRPr="00F85A48">
              <w:rPr>
                <w:rFonts w:ascii="Verdana" w:hAnsi="Verdana"/>
                <w:sz w:val="22"/>
                <w:szCs w:val="22"/>
              </w:rPr>
              <w:t>1.86</w:t>
            </w:r>
          </w:p>
        </w:tc>
        <w:tc>
          <w:tcPr>
            <w:tcW w:w="270" w:type="dxa"/>
          </w:tcPr>
          <w:p w14:paraId="55464D22" w14:textId="77777777" w:rsidR="00B515F4" w:rsidRPr="00F85A48" w:rsidRDefault="00B515F4" w:rsidP="000C5B9A">
            <w:pPr>
              <w:jc w:val="center"/>
              <w:rPr>
                <w:rFonts w:ascii="Verdana" w:hAnsi="Verdana"/>
                <w:sz w:val="22"/>
                <w:szCs w:val="22"/>
              </w:rPr>
            </w:pPr>
          </w:p>
        </w:tc>
        <w:tc>
          <w:tcPr>
            <w:tcW w:w="2423" w:type="dxa"/>
          </w:tcPr>
          <w:p w14:paraId="0509F875" w14:textId="77777777" w:rsidR="00B515F4" w:rsidRPr="00F85A48" w:rsidRDefault="000C5B9A" w:rsidP="000C5B9A">
            <w:pPr>
              <w:jc w:val="center"/>
              <w:rPr>
                <w:rFonts w:ascii="Verdana" w:hAnsi="Verdana"/>
                <w:sz w:val="22"/>
                <w:szCs w:val="22"/>
              </w:rPr>
            </w:pPr>
            <w:r w:rsidRPr="00F85A48">
              <w:rPr>
                <w:rFonts w:ascii="Verdana" w:hAnsi="Verdana"/>
                <w:sz w:val="22"/>
                <w:szCs w:val="22"/>
              </w:rPr>
              <w:t>0.95-3.62</w:t>
            </w:r>
          </w:p>
        </w:tc>
      </w:tr>
    </w:tbl>
    <w:p w14:paraId="1EF43E4A" w14:textId="77777777" w:rsidR="00903515" w:rsidRDefault="00903515" w:rsidP="00F51824">
      <w:pPr>
        <w:rPr>
          <w:rFonts w:ascii="Times New Roman" w:hAnsi="Times New Roman" w:cs="Times New Roman"/>
        </w:rPr>
      </w:pPr>
    </w:p>
    <w:p w14:paraId="4A7F99FE" w14:textId="1EF8F01C" w:rsidR="00F51824" w:rsidRPr="00031873" w:rsidRDefault="00903515" w:rsidP="00F51824">
      <w:pPr>
        <w:rPr>
          <w:rFonts w:ascii="Verdana" w:eastAsia="Times New Roman" w:hAnsi="Verdana" w:cs="Times New Roman"/>
        </w:rPr>
      </w:pPr>
      <w:r w:rsidRPr="00031873">
        <w:rPr>
          <w:rFonts w:ascii="Verdana" w:eastAsia="Times New Roman" w:hAnsi="Verdana" w:cs="Times New Roman"/>
        </w:rPr>
        <w:t>Risk estimates (which are not mutually adjusted) were adjusted for age in four bands</w:t>
      </w:r>
      <w:r w:rsidR="00F51824" w:rsidRPr="00031873">
        <w:rPr>
          <w:rFonts w:ascii="Verdana" w:eastAsia="Times New Roman" w:hAnsi="Verdana" w:cs="Times New Roman"/>
        </w:rPr>
        <w:br w:type="page"/>
      </w:r>
    </w:p>
    <w:p w14:paraId="1C438F73" w14:textId="4AB9A4F4" w:rsidR="00F51824" w:rsidRPr="00F85A48" w:rsidRDefault="00F51824" w:rsidP="00F51824">
      <w:pPr>
        <w:rPr>
          <w:rFonts w:ascii="Verdana" w:eastAsia="Times New Roman" w:hAnsi="Verdana" w:cs="Times New Roman"/>
          <w:b/>
        </w:rPr>
      </w:pPr>
      <w:r w:rsidRPr="00F85A48">
        <w:rPr>
          <w:rFonts w:ascii="Verdana" w:eastAsia="Times New Roman" w:hAnsi="Verdana" w:cs="Times New Roman"/>
          <w:b/>
        </w:rPr>
        <w:lastRenderedPageBreak/>
        <w:t xml:space="preserve">Table 3: Relative risks of disability pension before </w:t>
      </w:r>
      <w:r w:rsidR="00B330A4" w:rsidRPr="00F85A48">
        <w:rPr>
          <w:rFonts w:ascii="Verdana" w:eastAsia="Times New Roman" w:hAnsi="Verdana" w:cs="Times New Roman"/>
          <w:b/>
        </w:rPr>
        <w:t xml:space="preserve">age 65 </w:t>
      </w:r>
      <w:r w:rsidRPr="00F85A48">
        <w:rPr>
          <w:rFonts w:ascii="Verdana" w:eastAsia="Times New Roman" w:hAnsi="Verdana" w:cs="Times New Roman"/>
          <w:b/>
        </w:rPr>
        <w:t xml:space="preserve">in the construction industry (adapted from Järvholm </w:t>
      </w:r>
      <w:r w:rsidRPr="00F85A48">
        <w:rPr>
          <w:rFonts w:ascii="Verdana" w:eastAsia="Times New Roman" w:hAnsi="Verdana" w:cs="Times New Roman"/>
          <w:b/>
          <w:i/>
        </w:rPr>
        <w:t>et al</w:t>
      </w:r>
      <w:r w:rsidRPr="00F85A48">
        <w:rPr>
          <w:rFonts w:ascii="Verdana" w:eastAsia="Times New Roman" w:hAnsi="Verdana" w:cs="Times New Roman"/>
          <w:b/>
        </w:rPr>
        <w:t xml:space="preserve"> [</w:t>
      </w:r>
      <w:r w:rsidR="0082121C" w:rsidRPr="00F85A48">
        <w:rPr>
          <w:rFonts w:ascii="Verdana" w:eastAsia="Times New Roman" w:hAnsi="Verdana" w:cs="Times New Roman"/>
          <w:b/>
        </w:rPr>
        <w:t>60</w:t>
      </w:r>
      <w:r w:rsidRPr="00F85A48">
        <w:rPr>
          <w:rFonts w:ascii="Verdana" w:eastAsia="Times New Roman" w:hAnsi="Verdana" w:cs="Times New Roman"/>
          <w:b/>
        </w:rPr>
        <w:t>])</w:t>
      </w:r>
    </w:p>
    <w:p w14:paraId="66E2F103" w14:textId="77777777" w:rsidR="00F51824" w:rsidRPr="00F85A48" w:rsidRDefault="00F51824" w:rsidP="00F51824">
      <w:pPr>
        <w:rPr>
          <w:rFonts w:ascii="Verdana" w:hAnsi="Verdana" w:cs="Times New Roman"/>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70"/>
        <w:gridCol w:w="1147"/>
        <w:gridCol w:w="270"/>
        <w:gridCol w:w="1431"/>
        <w:gridCol w:w="290"/>
        <w:gridCol w:w="1411"/>
      </w:tblGrid>
      <w:tr w:rsidR="00F51824" w:rsidRPr="00F85A48" w14:paraId="5A5DBC81" w14:textId="77777777" w:rsidTr="00F85A48">
        <w:tc>
          <w:tcPr>
            <w:tcW w:w="3227" w:type="dxa"/>
            <w:tcBorders>
              <w:top w:val="single" w:sz="12" w:space="0" w:color="auto"/>
              <w:bottom w:val="single" w:sz="12" w:space="0" w:color="auto"/>
            </w:tcBorders>
            <w:vAlign w:val="center"/>
          </w:tcPr>
          <w:p w14:paraId="2B44EFCF" w14:textId="77777777" w:rsidR="00F51824" w:rsidRPr="00F85A48" w:rsidRDefault="00F51824" w:rsidP="00F51824">
            <w:pPr>
              <w:rPr>
                <w:rFonts w:ascii="Verdana" w:hAnsi="Verdana"/>
                <w:b/>
                <w:sz w:val="22"/>
                <w:szCs w:val="22"/>
              </w:rPr>
            </w:pPr>
            <w:r w:rsidRPr="00F85A48">
              <w:rPr>
                <w:rFonts w:ascii="Verdana" w:hAnsi="Verdana"/>
                <w:b/>
                <w:sz w:val="22"/>
                <w:szCs w:val="22"/>
              </w:rPr>
              <w:t>Occupation</w:t>
            </w:r>
          </w:p>
        </w:tc>
        <w:tc>
          <w:tcPr>
            <w:tcW w:w="270" w:type="dxa"/>
            <w:tcBorders>
              <w:top w:val="single" w:sz="12" w:space="0" w:color="auto"/>
              <w:bottom w:val="single" w:sz="12" w:space="0" w:color="auto"/>
            </w:tcBorders>
            <w:vAlign w:val="center"/>
          </w:tcPr>
          <w:p w14:paraId="0EB0AB5F" w14:textId="77777777" w:rsidR="00F51824" w:rsidRPr="00F85A48" w:rsidRDefault="00F51824" w:rsidP="00F365C3">
            <w:pPr>
              <w:jc w:val="center"/>
              <w:rPr>
                <w:rFonts w:ascii="Verdana" w:hAnsi="Verdana"/>
                <w:b/>
                <w:sz w:val="22"/>
                <w:szCs w:val="22"/>
              </w:rPr>
            </w:pPr>
          </w:p>
          <w:p w14:paraId="2AAB26D1" w14:textId="77777777" w:rsidR="00F51824" w:rsidRPr="00F85A48" w:rsidRDefault="00F51824" w:rsidP="00F365C3">
            <w:pPr>
              <w:jc w:val="center"/>
              <w:rPr>
                <w:rFonts w:ascii="Verdana" w:hAnsi="Verdana"/>
                <w:b/>
                <w:sz w:val="22"/>
                <w:szCs w:val="22"/>
              </w:rPr>
            </w:pPr>
          </w:p>
        </w:tc>
        <w:tc>
          <w:tcPr>
            <w:tcW w:w="1147" w:type="dxa"/>
            <w:tcBorders>
              <w:top w:val="single" w:sz="12" w:space="0" w:color="auto"/>
              <w:bottom w:val="single" w:sz="12" w:space="0" w:color="auto"/>
            </w:tcBorders>
            <w:vAlign w:val="center"/>
          </w:tcPr>
          <w:p w14:paraId="02FCE876" w14:textId="77777777" w:rsidR="00F51824" w:rsidRPr="00F85A48" w:rsidRDefault="00F51824" w:rsidP="00F365C3">
            <w:pPr>
              <w:jc w:val="center"/>
              <w:rPr>
                <w:rFonts w:ascii="Verdana" w:hAnsi="Verdana"/>
                <w:b/>
                <w:sz w:val="22"/>
                <w:szCs w:val="22"/>
              </w:rPr>
            </w:pPr>
            <w:r w:rsidRPr="00F85A48">
              <w:rPr>
                <w:rFonts w:ascii="Verdana" w:hAnsi="Verdana"/>
                <w:b/>
                <w:sz w:val="22"/>
                <w:szCs w:val="22"/>
              </w:rPr>
              <w:t>RR</w:t>
            </w:r>
          </w:p>
        </w:tc>
        <w:tc>
          <w:tcPr>
            <w:tcW w:w="270" w:type="dxa"/>
            <w:tcBorders>
              <w:top w:val="single" w:sz="12" w:space="0" w:color="auto"/>
              <w:bottom w:val="single" w:sz="12" w:space="0" w:color="auto"/>
            </w:tcBorders>
            <w:vAlign w:val="center"/>
          </w:tcPr>
          <w:p w14:paraId="3B6EA3C0" w14:textId="77777777" w:rsidR="00F51824" w:rsidRPr="00F85A48" w:rsidRDefault="00F51824" w:rsidP="00F365C3">
            <w:pPr>
              <w:jc w:val="center"/>
              <w:rPr>
                <w:rFonts w:ascii="Verdana" w:hAnsi="Verdana"/>
                <w:b/>
                <w:sz w:val="22"/>
                <w:szCs w:val="22"/>
              </w:rPr>
            </w:pPr>
          </w:p>
        </w:tc>
        <w:tc>
          <w:tcPr>
            <w:tcW w:w="1431" w:type="dxa"/>
            <w:tcBorders>
              <w:top w:val="single" w:sz="12" w:space="0" w:color="auto"/>
              <w:bottom w:val="single" w:sz="12" w:space="0" w:color="auto"/>
            </w:tcBorders>
            <w:vAlign w:val="center"/>
          </w:tcPr>
          <w:p w14:paraId="1E8CCF07" w14:textId="77777777" w:rsidR="00F51824" w:rsidRPr="00F85A48" w:rsidRDefault="00F51824" w:rsidP="00F365C3">
            <w:pPr>
              <w:jc w:val="center"/>
              <w:rPr>
                <w:rFonts w:ascii="Verdana" w:hAnsi="Verdana"/>
                <w:b/>
                <w:sz w:val="22"/>
                <w:szCs w:val="22"/>
              </w:rPr>
            </w:pPr>
            <w:r w:rsidRPr="00F85A48">
              <w:rPr>
                <w:rFonts w:ascii="Verdana" w:hAnsi="Verdana"/>
                <w:b/>
                <w:sz w:val="22"/>
                <w:szCs w:val="22"/>
              </w:rPr>
              <w:t>95% CI</w:t>
            </w:r>
          </w:p>
        </w:tc>
        <w:tc>
          <w:tcPr>
            <w:tcW w:w="290" w:type="dxa"/>
            <w:tcBorders>
              <w:top w:val="single" w:sz="12" w:space="0" w:color="auto"/>
              <w:bottom w:val="single" w:sz="12" w:space="0" w:color="auto"/>
            </w:tcBorders>
            <w:vAlign w:val="center"/>
          </w:tcPr>
          <w:p w14:paraId="1AEEF498" w14:textId="77777777" w:rsidR="00F51824" w:rsidRPr="00F85A48" w:rsidRDefault="00F51824" w:rsidP="00F365C3">
            <w:pPr>
              <w:jc w:val="center"/>
              <w:rPr>
                <w:rFonts w:ascii="Verdana" w:hAnsi="Verdana"/>
                <w:b/>
                <w:sz w:val="22"/>
                <w:szCs w:val="22"/>
              </w:rPr>
            </w:pPr>
          </w:p>
        </w:tc>
        <w:tc>
          <w:tcPr>
            <w:tcW w:w="1411" w:type="dxa"/>
            <w:tcBorders>
              <w:top w:val="single" w:sz="12" w:space="0" w:color="auto"/>
              <w:bottom w:val="single" w:sz="12" w:space="0" w:color="auto"/>
            </w:tcBorders>
            <w:vAlign w:val="center"/>
          </w:tcPr>
          <w:p w14:paraId="5C2A35C5" w14:textId="77777777" w:rsidR="00F51824" w:rsidRPr="00F85A48" w:rsidRDefault="00F51824" w:rsidP="00F365C3">
            <w:pPr>
              <w:jc w:val="center"/>
              <w:rPr>
                <w:rFonts w:ascii="Verdana" w:hAnsi="Verdana"/>
                <w:b/>
                <w:sz w:val="22"/>
                <w:szCs w:val="22"/>
              </w:rPr>
            </w:pPr>
            <w:r w:rsidRPr="00F85A48">
              <w:rPr>
                <w:rFonts w:ascii="Verdana" w:hAnsi="Verdana"/>
                <w:b/>
                <w:sz w:val="22"/>
                <w:szCs w:val="22"/>
              </w:rPr>
              <w:t>DP (%)</w:t>
            </w:r>
          </w:p>
        </w:tc>
      </w:tr>
      <w:tr w:rsidR="00F51824" w:rsidRPr="00F85A48" w14:paraId="4E810404" w14:textId="77777777" w:rsidTr="00F85A48">
        <w:tc>
          <w:tcPr>
            <w:tcW w:w="3227" w:type="dxa"/>
            <w:tcBorders>
              <w:top w:val="single" w:sz="12" w:space="0" w:color="auto"/>
            </w:tcBorders>
          </w:tcPr>
          <w:p w14:paraId="591576F4" w14:textId="77777777" w:rsidR="00F51824" w:rsidRPr="00F85A48" w:rsidRDefault="00F51824" w:rsidP="00F365C3">
            <w:pPr>
              <w:rPr>
                <w:rFonts w:ascii="Verdana" w:hAnsi="Verdana"/>
                <w:sz w:val="22"/>
                <w:szCs w:val="22"/>
              </w:rPr>
            </w:pPr>
            <w:r w:rsidRPr="00F85A48">
              <w:rPr>
                <w:rFonts w:ascii="Verdana" w:hAnsi="Verdana"/>
                <w:sz w:val="22"/>
                <w:szCs w:val="22"/>
              </w:rPr>
              <w:t>Rock workers</w:t>
            </w:r>
          </w:p>
        </w:tc>
        <w:tc>
          <w:tcPr>
            <w:tcW w:w="270" w:type="dxa"/>
            <w:tcBorders>
              <w:top w:val="single" w:sz="12" w:space="0" w:color="auto"/>
            </w:tcBorders>
          </w:tcPr>
          <w:p w14:paraId="27816388" w14:textId="77777777" w:rsidR="00F51824" w:rsidRPr="00F85A48" w:rsidRDefault="00F51824" w:rsidP="00F365C3">
            <w:pPr>
              <w:spacing w:line="360" w:lineRule="auto"/>
              <w:rPr>
                <w:rFonts w:ascii="Verdana" w:hAnsi="Verdana"/>
                <w:sz w:val="22"/>
                <w:szCs w:val="22"/>
              </w:rPr>
            </w:pPr>
          </w:p>
        </w:tc>
        <w:tc>
          <w:tcPr>
            <w:tcW w:w="1147" w:type="dxa"/>
            <w:tcBorders>
              <w:top w:val="single" w:sz="12" w:space="0" w:color="auto"/>
            </w:tcBorders>
            <w:vAlign w:val="center"/>
          </w:tcPr>
          <w:p w14:paraId="29D419AC" w14:textId="77777777" w:rsidR="00F51824" w:rsidRPr="00F85A48" w:rsidRDefault="00F51824" w:rsidP="00F365C3">
            <w:pPr>
              <w:jc w:val="center"/>
              <w:rPr>
                <w:rFonts w:ascii="Verdana" w:hAnsi="Verdana"/>
                <w:sz w:val="22"/>
                <w:szCs w:val="22"/>
              </w:rPr>
            </w:pPr>
            <w:r w:rsidRPr="00F85A48">
              <w:rPr>
                <w:rFonts w:ascii="Verdana" w:hAnsi="Verdana"/>
                <w:sz w:val="22"/>
                <w:szCs w:val="22"/>
              </w:rPr>
              <w:t>2.16</w:t>
            </w:r>
          </w:p>
        </w:tc>
        <w:tc>
          <w:tcPr>
            <w:tcW w:w="270" w:type="dxa"/>
            <w:tcBorders>
              <w:top w:val="single" w:sz="12" w:space="0" w:color="auto"/>
            </w:tcBorders>
            <w:vAlign w:val="center"/>
          </w:tcPr>
          <w:p w14:paraId="48E996FA" w14:textId="77777777" w:rsidR="00F51824" w:rsidRPr="00F85A48" w:rsidRDefault="00F51824" w:rsidP="00F365C3">
            <w:pPr>
              <w:jc w:val="center"/>
              <w:rPr>
                <w:rFonts w:ascii="Verdana" w:hAnsi="Verdana"/>
                <w:sz w:val="22"/>
                <w:szCs w:val="22"/>
              </w:rPr>
            </w:pPr>
          </w:p>
        </w:tc>
        <w:tc>
          <w:tcPr>
            <w:tcW w:w="1431" w:type="dxa"/>
            <w:tcBorders>
              <w:top w:val="single" w:sz="12" w:space="0" w:color="auto"/>
            </w:tcBorders>
            <w:vAlign w:val="center"/>
          </w:tcPr>
          <w:p w14:paraId="4451D734" w14:textId="77777777" w:rsidR="00F51824" w:rsidRPr="00F85A48" w:rsidRDefault="00F51824" w:rsidP="00F365C3">
            <w:pPr>
              <w:jc w:val="center"/>
              <w:rPr>
                <w:rFonts w:ascii="Verdana" w:hAnsi="Verdana"/>
                <w:sz w:val="22"/>
                <w:szCs w:val="22"/>
              </w:rPr>
            </w:pPr>
            <w:r w:rsidRPr="00F85A48">
              <w:rPr>
                <w:rFonts w:ascii="Verdana" w:hAnsi="Verdana"/>
                <w:sz w:val="22"/>
                <w:szCs w:val="22"/>
              </w:rPr>
              <w:t>1.96-2.39</w:t>
            </w:r>
          </w:p>
        </w:tc>
        <w:tc>
          <w:tcPr>
            <w:tcW w:w="290" w:type="dxa"/>
            <w:tcBorders>
              <w:top w:val="single" w:sz="12" w:space="0" w:color="auto"/>
            </w:tcBorders>
            <w:vAlign w:val="center"/>
          </w:tcPr>
          <w:p w14:paraId="12B9AC54" w14:textId="77777777" w:rsidR="00F51824" w:rsidRPr="00F85A48" w:rsidRDefault="00F51824" w:rsidP="00F365C3">
            <w:pPr>
              <w:jc w:val="center"/>
              <w:rPr>
                <w:rFonts w:ascii="Verdana" w:hAnsi="Verdana"/>
                <w:sz w:val="22"/>
                <w:szCs w:val="22"/>
              </w:rPr>
            </w:pPr>
          </w:p>
        </w:tc>
        <w:tc>
          <w:tcPr>
            <w:tcW w:w="1411" w:type="dxa"/>
            <w:tcBorders>
              <w:top w:val="single" w:sz="12" w:space="0" w:color="auto"/>
            </w:tcBorders>
            <w:vAlign w:val="center"/>
          </w:tcPr>
          <w:p w14:paraId="7814BC19" w14:textId="77777777" w:rsidR="00F51824" w:rsidRPr="00F85A48" w:rsidRDefault="00F51824" w:rsidP="00F365C3">
            <w:pPr>
              <w:jc w:val="center"/>
              <w:rPr>
                <w:rFonts w:ascii="Verdana" w:hAnsi="Verdana"/>
                <w:sz w:val="22"/>
                <w:szCs w:val="22"/>
              </w:rPr>
            </w:pPr>
            <w:r w:rsidRPr="00F85A48">
              <w:rPr>
                <w:rFonts w:ascii="Verdana" w:hAnsi="Verdana"/>
                <w:sz w:val="22"/>
                <w:szCs w:val="22"/>
              </w:rPr>
              <w:t>37.4</w:t>
            </w:r>
          </w:p>
        </w:tc>
      </w:tr>
      <w:tr w:rsidR="00F51824" w:rsidRPr="00F85A48" w14:paraId="4D05BCCA" w14:textId="77777777" w:rsidTr="00F85A48">
        <w:tc>
          <w:tcPr>
            <w:tcW w:w="3227" w:type="dxa"/>
          </w:tcPr>
          <w:p w14:paraId="4683EDE3" w14:textId="77777777" w:rsidR="00F51824" w:rsidRPr="00F85A48" w:rsidRDefault="00F51824" w:rsidP="00F365C3">
            <w:pPr>
              <w:spacing w:line="360" w:lineRule="auto"/>
              <w:rPr>
                <w:rFonts w:ascii="Verdana" w:hAnsi="Verdana"/>
                <w:sz w:val="22"/>
                <w:szCs w:val="22"/>
              </w:rPr>
            </w:pPr>
            <w:r w:rsidRPr="00F85A48">
              <w:rPr>
                <w:rFonts w:ascii="Verdana" w:hAnsi="Verdana"/>
                <w:sz w:val="22"/>
                <w:szCs w:val="22"/>
              </w:rPr>
              <w:t>Concrete workers</w:t>
            </w:r>
          </w:p>
        </w:tc>
        <w:tc>
          <w:tcPr>
            <w:tcW w:w="270" w:type="dxa"/>
          </w:tcPr>
          <w:p w14:paraId="4E49EE89" w14:textId="77777777" w:rsidR="00F51824" w:rsidRPr="00F85A48" w:rsidRDefault="00F51824" w:rsidP="00F365C3">
            <w:pPr>
              <w:spacing w:line="360" w:lineRule="auto"/>
              <w:rPr>
                <w:rFonts w:ascii="Verdana" w:hAnsi="Verdana"/>
                <w:sz w:val="22"/>
                <w:szCs w:val="22"/>
              </w:rPr>
            </w:pPr>
          </w:p>
        </w:tc>
        <w:tc>
          <w:tcPr>
            <w:tcW w:w="1147" w:type="dxa"/>
            <w:vAlign w:val="center"/>
          </w:tcPr>
          <w:p w14:paraId="0550EC25" w14:textId="77777777" w:rsidR="00F51824" w:rsidRPr="00F85A48" w:rsidRDefault="00F51824" w:rsidP="00F365C3">
            <w:pPr>
              <w:jc w:val="center"/>
              <w:rPr>
                <w:rFonts w:ascii="Verdana" w:hAnsi="Verdana"/>
                <w:sz w:val="22"/>
                <w:szCs w:val="22"/>
              </w:rPr>
            </w:pPr>
            <w:r w:rsidRPr="00F85A48">
              <w:rPr>
                <w:rFonts w:ascii="Verdana" w:hAnsi="Verdana"/>
                <w:sz w:val="22"/>
                <w:szCs w:val="22"/>
              </w:rPr>
              <w:t>1.94</w:t>
            </w:r>
          </w:p>
        </w:tc>
        <w:tc>
          <w:tcPr>
            <w:tcW w:w="270" w:type="dxa"/>
            <w:vAlign w:val="center"/>
          </w:tcPr>
          <w:p w14:paraId="0C7FE9E9" w14:textId="77777777" w:rsidR="00F51824" w:rsidRPr="00F85A48" w:rsidRDefault="00F51824" w:rsidP="00F365C3">
            <w:pPr>
              <w:jc w:val="center"/>
              <w:rPr>
                <w:rFonts w:ascii="Verdana" w:hAnsi="Verdana"/>
                <w:sz w:val="22"/>
                <w:szCs w:val="22"/>
              </w:rPr>
            </w:pPr>
          </w:p>
        </w:tc>
        <w:tc>
          <w:tcPr>
            <w:tcW w:w="1431" w:type="dxa"/>
            <w:vAlign w:val="center"/>
          </w:tcPr>
          <w:p w14:paraId="223D5867" w14:textId="77777777" w:rsidR="00F51824" w:rsidRPr="00F85A48" w:rsidRDefault="00F51824" w:rsidP="00F365C3">
            <w:pPr>
              <w:jc w:val="center"/>
              <w:rPr>
                <w:rFonts w:ascii="Verdana" w:hAnsi="Verdana"/>
                <w:sz w:val="22"/>
                <w:szCs w:val="22"/>
              </w:rPr>
            </w:pPr>
            <w:r w:rsidRPr="00F85A48">
              <w:rPr>
                <w:rFonts w:ascii="Verdana" w:hAnsi="Verdana"/>
                <w:sz w:val="22"/>
                <w:szCs w:val="22"/>
              </w:rPr>
              <w:t>1.81-2.09</w:t>
            </w:r>
          </w:p>
        </w:tc>
        <w:tc>
          <w:tcPr>
            <w:tcW w:w="290" w:type="dxa"/>
            <w:vAlign w:val="center"/>
          </w:tcPr>
          <w:p w14:paraId="26752935" w14:textId="77777777" w:rsidR="00F51824" w:rsidRPr="00F85A48" w:rsidRDefault="00F51824" w:rsidP="00F365C3">
            <w:pPr>
              <w:jc w:val="center"/>
              <w:rPr>
                <w:rFonts w:ascii="Verdana" w:hAnsi="Verdana"/>
                <w:sz w:val="22"/>
                <w:szCs w:val="22"/>
              </w:rPr>
            </w:pPr>
          </w:p>
        </w:tc>
        <w:tc>
          <w:tcPr>
            <w:tcW w:w="1411" w:type="dxa"/>
            <w:vAlign w:val="center"/>
          </w:tcPr>
          <w:p w14:paraId="77BA9C29" w14:textId="77777777" w:rsidR="00F51824" w:rsidRPr="00F85A48" w:rsidRDefault="00F51824" w:rsidP="00F365C3">
            <w:pPr>
              <w:jc w:val="center"/>
              <w:rPr>
                <w:rFonts w:ascii="Verdana" w:hAnsi="Verdana"/>
                <w:sz w:val="22"/>
                <w:szCs w:val="22"/>
              </w:rPr>
            </w:pPr>
            <w:r w:rsidRPr="00F85A48">
              <w:rPr>
                <w:rFonts w:ascii="Verdana" w:hAnsi="Verdana"/>
                <w:sz w:val="22"/>
                <w:szCs w:val="22"/>
              </w:rPr>
              <w:t>29.8</w:t>
            </w:r>
          </w:p>
        </w:tc>
      </w:tr>
      <w:tr w:rsidR="00F51824" w:rsidRPr="00F85A48" w14:paraId="46469FC0" w14:textId="77777777" w:rsidTr="00F85A48">
        <w:tc>
          <w:tcPr>
            <w:tcW w:w="3227" w:type="dxa"/>
          </w:tcPr>
          <w:p w14:paraId="702880CC" w14:textId="77777777" w:rsidR="00F51824" w:rsidRPr="00F85A48" w:rsidRDefault="00F51824" w:rsidP="00F365C3">
            <w:pPr>
              <w:rPr>
                <w:rFonts w:ascii="Verdana" w:hAnsi="Verdana"/>
                <w:sz w:val="22"/>
                <w:szCs w:val="22"/>
              </w:rPr>
            </w:pPr>
            <w:r w:rsidRPr="00F85A48">
              <w:rPr>
                <w:rFonts w:ascii="Verdana" w:hAnsi="Verdana"/>
                <w:sz w:val="22"/>
                <w:szCs w:val="22"/>
              </w:rPr>
              <w:t>Insulators</w:t>
            </w:r>
          </w:p>
        </w:tc>
        <w:tc>
          <w:tcPr>
            <w:tcW w:w="270" w:type="dxa"/>
          </w:tcPr>
          <w:p w14:paraId="5CE21622" w14:textId="77777777" w:rsidR="00F51824" w:rsidRPr="00F85A48" w:rsidRDefault="00F51824" w:rsidP="00F365C3">
            <w:pPr>
              <w:spacing w:line="360" w:lineRule="auto"/>
              <w:rPr>
                <w:rFonts w:ascii="Verdana" w:hAnsi="Verdana"/>
                <w:sz w:val="22"/>
                <w:szCs w:val="22"/>
              </w:rPr>
            </w:pPr>
          </w:p>
        </w:tc>
        <w:tc>
          <w:tcPr>
            <w:tcW w:w="1147" w:type="dxa"/>
            <w:vAlign w:val="center"/>
          </w:tcPr>
          <w:p w14:paraId="6877F249" w14:textId="77777777" w:rsidR="00F51824" w:rsidRPr="00F85A48" w:rsidRDefault="00F51824" w:rsidP="00F365C3">
            <w:pPr>
              <w:jc w:val="center"/>
              <w:rPr>
                <w:rFonts w:ascii="Verdana" w:hAnsi="Verdana"/>
                <w:sz w:val="22"/>
                <w:szCs w:val="22"/>
              </w:rPr>
            </w:pPr>
            <w:r w:rsidRPr="00F85A48">
              <w:rPr>
                <w:rFonts w:ascii="Verdana" w:hAnsi="Verdana"/>
                <w:sz w:val="22"/>
                <w:szCs w:val="22"/>
              </w:rPr>
              <w:t>1.90</w:t>
            </w:r>
          </w:p>
        </w:tc>
        <w:tc>
          <w:tcPr>
            <w:tcW w:w="270" w:type="dxa"/>
            <w:vAlign w:val="center"/>
          </w:tcPr>
          <w:p w14:paraId="5C96D5DA" w14:textId="77777777" w:rsidR="00F51824" w:rsidRPr="00F85A48" w:rsidRDefault="00F51824" w:rsidP="00F365C3">
            <w:pPr>
              <w:jc w:val="center"/>
              <w:rPr>
                <w:rFonts w:ascii="Verdana" w:hAnsi="Verdana"/>
                <w:sz w:val="22"/>
                <w:szCs w:val="22"/>
              </w:rPr>
            </w:pPr>
          </w:p>
        </w:tc>
        <w:tc>
          <w:tcPr>
            <w:tcW w:w="1431" w:type="dxa"/>
            <w:vAlign w:val="center"/>
          </w:tcPr>
          <w:p w14:paraId="2196E54A" w14:textId="77777777" w:rsidR="00F51824" w:rsidRPr="00F85A48" w:rsidRDefault="00F51824" w:rsidP="00F365C3">
            <w:pPr>
              <w:jc w:val="center"/>
              <w:rPr>
                <w:rFonts w:ascii="Verdana" w:hAnsi="Verdana"/>
                <w:sz w:val="22"/>
                <w:szCs w:val="22"/>
              </w:rPr>
            </w:pPr>
            <w:r w:rsidRPr="00F85A48">
              <w:rPr>
                <w:rFonts w:ascii="Verdana" w:hAnsi="Verdana"/>
                <w:sz w:val="22"/>
                <w:szCs w:val="22"/>
              </w:rPr>
              <w:t>1.69-2.14</w:t>
            </w:r>
          </w:p>
        </w:tc>
        <w:tc>
          <w:tcPr>
            <w:tcW w:w="290" w:type="dxa"/>
            <w:vAlign w:val="center"/>
          </w:tcPr>
          <w:p w14:paraId="34E6FA3C" w14:textId="77777777" w:rsidR="00F51824" w:rsidRPr="00F85A48" w:rsidRDefault="00F51824" w:rsidP="00F365C3">
            <w:pPr>
              <w:jc w:val="center"/>
              <w:rPr>
                <w:rFonts w:ascii="Verdana" w:hAnsi="Verdana"/>
                <w:sz w:val="22"/>
                <w:szCs w:val="22"/>
              </w:rPr>
            </w:pPr>
          </w:p>
        </w:tc>
        <w:tc>
          <w:tcPr>
            <w:tcW w:w="1411" w:type="dxa"/>
            <w:vAlign w:val="center"/>
          </w:tcPr>
          <w:p w14:paraId="1C1AAC09" w14:textId="77777777" w:rsidR="00F51824" w:rsidRPr="00F85A48" w:rsidRDefault="00F51824" w:rsidP="00F365C3">
            <w:pPr>
              <w:jc w:val="center"/>
              <w:rPr>
                <w:rFonts w:ascii="Verdana" w:hAnsi="Verdana"/>
                <w:sz w:val="22"/>
                <w:szCs w:val="22"/>
              </w:rPr>
            </w:pPr>
            <w:r w:rsidRPr="00F85A48">
              <w:rPr>
                <w:rFonts w:ascii="Verdana" w:hAnsi="Verdana"/>
                <w:sz w:val="22"/>
                <w:szCs w:val="22"/>
              </w:rPr>
              <w:t>21.2</w:t>
            </w:r>
          </w:p>
        </w:tc>
      </w:tr>
      <w:tr w:rsidR="00F51824" w:rsidRPr="00F85A48" w14:paraId="0D34E0A1" w14:textId="77777777" w:rsidTr="00F85A48">
        <w:tc>
          <w:tcPr>
            <w:tcW w:w="3227" w:type="dxa"/>
          </w:tcPr>
          <w:p w14:paraId="1E6B515C" w14:textId="77777777" w:rsidR="00F51824" w:rsidRPr="00F85A48" w:rsidRDefault="00F51824" w:rsidP="00F365C3">
            <w:pPr>
              <w:rPr>
                <w:rFonts w:ascii="Verdana" w:hAnsi="Verdana"/>
                <w:sz w:val="22"/>
                <w:szCs w:val="22"/>
              </w:rPr>
            </w:pPr>
            <w:r w:rsidRPr="00F85A48">
              <w:rPr>
                <w:rFonts w:ascii="Verdana" w:hAnsi="Verdana"/>
                <w:sz w:val="22"/>
                <w:szCs w:val="22"/>
              </w:rPr>
              <w:t>Roofers</w:t>
            </w:r>
          </w:p>
        </w:tc>
        <w:tc>
          <w:tcPr>
            <w:tcW w:w="270" w:type="dxa"/>
          </w:tcPr>
          <w:p w14:paraId="161CEA46" w14:textId="77777777" w:rsidR="00F51824" w:rsidRPr="00F85A48" w:rsidRDefault="00F51824" w:rsidP="00F365C3">
            <w:pPr>
              <w:spacing w:line="360" w:lineRule="auto"/>
              <w:rPr>
                <w:rFonts w:ascii="Verdana" w:hAnsi="Verdana"/>
                <w:sz w:val="22"/>
                <w:szCs w:val="22"/>
              </w:rPr>
            </w:pPr>
          </w:p>
        </w:tc>
        <w:tc>
          <w:tcPr>
            <w:tcW w:w="1147" w:type="dxa"/>
            <w:vAlign w:val="center"/>
          </w:tcPr>
          <w:p w14:paraId="6E544D94" w14:textId="77777777" w:rsidR="00F51824" w:rsidRPr="00F85A48" w:rsidRDefault="00F51824" w:rsidP="00F365C3">
            <w:pPr>
              <w:jc w:val="center"/>
              <w:rPr>
                <w:rFonts w:ascii="Verdana" w:hAnsi="Verdana"/>
                <w:sz w:val="22"/>
                <w:szCs w:val="22"/>
              </w:rPr>
            </w:pPr>
            <w:r w:rsidRPr="00F85A48">
              <w:rPr>
                <w:rFonts w:ascii="Verdana" w:hAnsi="Verdana"/>
                <w:sz w:val="22"/>
                <w:szCs w:val="22"/>
              </w:rPr>
              <w:t>1.88</w:t>
            </w:r>
          </w:p>
        </w:tc>
        <w:tc>
          <w:tcPr>
            <w:tcW w:w="270" w:type="dxa"/>
            <w:vAlign w:val="center"/>
          </w:tcPr>
          <w:p w14:paraId="333111EA" w14:textId="77777777" w:rsidR="00F51824" w:rsidRPr="00F85A48" w:rsidRDefault="00F51824" w:rsidP="00F365C3">
            <w:pPr>
              <w:jc w:val="center"/>
              <w:rPr>
                <w:rFonts w:ascii="Verdana" w:hAnsi="Verdana"/>
                <w:sz w:val="22"/>
                <w:szCs w:val="22"/>
              </w:rPr>
            </w:pPr>
          </w:p>
        </w:tc>
        <w:tc>
          <w:tcPr>
            <w:tcW w:w="1431" w:type="dxa"/>
            <w:vAlign w:val="center"/>
          </w:tcPr>
          <w:p w14:paraId="7C890E41" w14:textId="77777777" w:rsidR="00F51824" w:rsidRPr="00F85A48" w:rsidRDefault="00F51824" w:rsidP="00F365C3">
            <w:pPr>
              <w:jc w:val="center"/>
              <w:rPr>
                <w:rFonts w:ascii="Verdana" w:hAnsi="Verdana"/>
                <w:sz w:val="22"/>
                <w:szCs w:val="22"/>
              </w:rPr>
            </w:pPr>
            <w:r w:rsidRPr="00F85A48">
              <w:rPr>
                <w:rFonts w:ascii="Verdana" w:hAnsi="Verdana"/>
                <w:sz w:val="22"/>
                <w:szCs w:val="22"/>
              </w:rPr>
              <w:t>1.62-2.17</w:t>
            </w:r>
          </w:p>
        </w:tc>
        <w:tc>
          <w:tcPr>
            <w:tcW w:w="290" w:type="dxa"/>
            <w:vAlign w:val="center"/>
          </w:tcPr>
          <w:p w14:paraId="30F4C20F" w14:textId="77777777" w:rsidR="00F51824" w:rsidRPr="00F85A48" w:rsidRDefault="00F51824" w:rsidP="00F365C3">
            <w:pPr>
              <w:jc w:val="center"/>
              <w:rPr>
                <w:rFonts w:ascii="Verdana" w:hAnsi="Verdana"/>
                <w:sz w:val="22"/>
                <w:szCs w:val="22"/>
              </w:rPr>
            </w:pPr>
          </w:p>
        </w:tc>
        <w:tc>
          <w:tcPr>
            <w:tcW w:w="1411" w:type="dxa"/>
            <w:vAlign w:val="center"/>
          </w:tcPr>
          <w:p w14:paraId="38C58966" w14:textId="77777777" w:rsidR="00F51824" w:rsidRPr="00F85A48" w:rsidRDefault="00F51824" w:rsidP="00F365C3">
            <w:pPr>
              <w:jc w:val="center"/>
              <w:rPr>
                <w:rFonts w:ascii="Verdana" w:hAnsi="Verdana"/>
                <w:sz w:val="22"/>
                <w:szCs w:val="22"/>
              </w:rPr>
            </w:pPr>
            <w:r w:rsidRPr="00F85A48">
              <w:rPr>
                <w:rFonts w:ascii="Verdana" w:hAnsi="Verdana"/>
                <w:sz w:val="22"/>
                <w:szCs w:val="22"/>
              </w:rPr>
              <w:t>24.1</w:t>
            </w:r>
          </w:p>
        </w:tc>
      </w:tr>
      <w:tr w:rsidR="00B330A4" w:rsidRPr="00F85A48" w14:paraId="0504986D" w14:textId="77777777" w:rsidTr="00F85A48">
        <w:tc>
          <w:tcPr>
            <w:tcW w:w="3227" w:type="dxa"/>
          </w:tcPr>
          <w:p w14:paraId="409A3A68" w14:textId="77777777" w:rsidR="00B330A4" w:rsidRPr="00F85A48" w:rsidRDefault="00B330A4" w:rsidP="00F365C3">
            <w:pPr>
              <w:rPr>
                <w:rFonts w:ascii="Verdana" w:hAnsi="Verdana"/>
                <w:sz w:val="22"/>
                <w:szCs w:val="22"/>
              </w:rPr>
            </w:pPr>
            <w:r w:rsidRPr="00F85A48">
              <w:rPr>
                <w:rFonts w:ascii="Verdana" w:hAnsi="Verdana"/>
                <w:sz w:val="22"/>
                <w:szCs w:val="22"/>
              </w:rPr>
              <w:t>Painters</w:t>
            </w:r>
          </w:p>
        </w:tc>
        <w:tc>
          <w:tcPr>
            <w:tcW w:w="270" w:type="dxa"/>
          </w:tcPr>
          <w:p w14:paraId="77BF9147" w14:textId="77777777" w:rsidR="00B330A4" w:rsidRPr="00F85A48" w:rsidRDefault="00B330A4" w:rsidP="00F365C3">
            <w:pPr>
              <w:spacing w:line="360" w:lineRule="auto"/>
              <w:rPr>
                <w:rFonts w:ascii="Verdana" w:hAnsi="Verdana"/>
                <w:sz w:val="22"/>
                <w:szCs w:val="22"/>
              </w:rPr>
            </w:pPr>
          </w:p>
        </w:tc>
        <w:tc>
          <w:tcPr>
            <w:tcW w:w="1147" w:type="dxa"/>
            <w:vAlign w:val="center"/>
          </w:tcPr>
          <w:p w14:paraId="0B354768" w14:textId="77777777" w:rsidR="00B330A4" w:rsidRPr="00F85A48" w:rsidRDefault="00B330A4" w:rsidP="00F365C3">
            <w:pPr>
              <w:jc w:val="center"/>
              <w:rPr>
                <w:rFonts w:ascii="Verdana" w:hAnsi="Verdana"/>
                <w:sz w:val="22"/>
                <w:szCs w:val="22"/>
              </w:rPr>
            </w:pPr>
            <w:r w:rsidRPr="00F85A48">
              <w:rPr>
                <w:rFonts w:ascii="Verdana" w:hAnsi="Verdana"/>
                <w:sz w:val="22"/>
                <w:szCs w:val="22"/>
              </w:rPr>
              <w:t>1.88</w:t>
            </w:r>
          </w:p>
        </w:tc>
        <w:tc>
          <w:tcPr>
            <w:tcW w:w="270" w:type="dxa"/>
            <w:vAlign w:val="center"/>
          </w:tcPr>
          <w:p w14:paraId="160128F1" w14:textId="77777777" w:rsidR="00B330A4" w:rsidRPr="00F85A48" w:rsidRDefault="00B330A4" w:rsidP="00F365C3">
            <w:pPr>
              <w:jc w:val="center"/>
              <w:rPr>
                <w:rFonts w:ascii="Verdana" w:hAnsi="Verdana"/>
                <w:sz w:val="22"/>
                <w:szCs w:val="22"/>
              </w:rPr>
            </w:pPr>
          </w:p>
        </w:tc>
        <w:tc>
          <w:tcPr>
            <w:tcW w:w="1431" w:type="dxa"/>
            <w:vAlign w:val="center"/>
          </w:tcPr>
          <w:p w14:paraId="458C55F4" w14:textId="77777777" w:rsidR="00B330A4" w:rsidRPr="00F85A48" w:rsidRDefault="00B330A4" w:rsidP="00F365C3">
            <w:pPr>
              <w:jc w:val="center"/>
              <w:rPr>
                <w:rFonts w:ascii="Verdana" w:hAnsi="Verdana"/>
                <w:sz w:val="22"/>
                <w:szCs w:val="22"/>
              </w:rPr>
            </w:pPr>
            <w:r w:rsidRPr="00F85A48">
              <w:rPr>
                <w:rFonts w:ascii="Verdana" w:hAnsi="Verdana"/>
                <w:sz w:val="22"/>
                <w:szCs w:val="22"/>
              </w:rPr>
              <w:t>1.75-2.03</w:t>
            </w:r>
          </w:p>
        </w:tc>
        <w:tc>
          <w:tcPr>
            <w:tcW w:w="290" w:type="dxa"/>
            <w:vAlign w:val="center"/>
          </w:tcPr>
          <w:p w14:paraId="33CA5885" w14:textId="77777777" w:rsidR="00B330A4" w:rsidRPr="00F85A48" w:rsidRDefault="00B330A4" w:rsidP="00F365C3">
            <w:pPr>
              <w:jc w:val="center"/>
              <w:rPr>
                <w:rFonts w:ascii="Verdana" w:hAnsi="Verdana"/>
                <w:sz w:val="22"/>
                <w:szCs w:val="22"/>
              </w:rPr>
            </w:pPr>
          </w:p>
        </w:tc>
        <w:tc>
          <w:tcPr>
            <w:tcW w:w="1411" w:type="dxa"/>
            <w:vAlign w:val="center"/>
          </w:tcPr>
          <w:p w14:paraId="74B2A8DA" w14:textId="77777777" w:rsidR="00B330A4" w:rsidRPr="00F85A48" w:rsidRDefault="00B330A4" w:rsidP="00F365C3">
            <w:pPr>
              <w:jc w:val="center"/>
              <w:rPr>
                <w:rFonts w:ascii="Verdana" w:hAnsi="Verdana"/>
                <w:sz w:val="22"/>
                <w:szCs w:val="22"/>
              </w:rPr>
            </w:pPr>
            <w:r w:rsidRPr="00F85A48">
              <w:rPr>
                <w:rFonts w:ascii="Verdana" w:hAnsi="Verdana"/>
                <w:sz w:val="22"/>
                <w:szCs w:val="22"/>
              </w:rPr>
              <w:t>20.1</w:t>
            </w:r>
          </w:p>
        </w:tc>
      </w:tr>
      <w:tr w:rsidR="00B330A4" w:rsidRPr="00F85A48" w14:paraId="258D5494" w14:textId="77777777" w:rsidTr="00F85A48">
        <w:tc>
          <w:tcPr>
            <w:tcW w:w="3227" w:type="dxa"/>
          </w:tcPr>
          <w:p w14:paraId="1C58505C" w14:textId="77777777" w:rsidR="00B330A4" w:rsidRPr="00F85A48" w:rsidRDefault="00B330A4" w:rsidP="00F365C3">
            <w:pPr>
              <w:rPr>
                <w:rFonts w:ascii="Verdana" w:hAnsi="Verdana"/>
                <w:sz w:val="22"/>
                <w:szCs w:val="22"/>
              </w:rPr>
            </w:pPr>
            <w:r w:rsidRPr="00F85A48">
              <w:rPr>
                <w:rFonts w:ascii="Verdana" w:hAnsi="Verdana"/>
                <w:sz w:val="22"/>
                <w:szCs w:val="22"/>
              </w:rPr>
              <w:t>Brick-layers</w:t>
            </w:r>
          </w:p>
        </w:tc>
        <w:tc>
          <w:tcPr>
            <w:tcW w:w="270" w:type="dxa"/>
          </w:tcPr>
          <w:p w14:paraId="030FAD32" w14:textId="77777777" w:rsidR="00B330A4" w:rsidRPr="00F85A48" w:rsidRDefault="00B330A4" w:rsidP="00F365C3">
            <w:pPr>
              <w:spacing w:line="360" w:lineRule="auto"/>
              <w:rPr>
                <w:rFonts w:ascii="Verdana" w:hAnsi="Verdana"/>
                <w:sz w:val="22"/>
                <w:szCs w:val="22"/>
              </w:rPr>
            </w:pPr>
          </w:p>
        </w:tc>
        <w:tc>
          <w:tcPr>
            <w:tcW w:w="1147" w:type="dxa"/>
            <w:vAlign w:val="center"/>
          </w:tcPr>
          <w:p w14:paraId="0B740D7E" w14:textId="77777777" w:rsidR="00B330A4" w:rsidRPr="00F85A48" w:rsidRDefault="00B330A4" w:rsidP="00F365C3">
            <w:pPr>
              <w:jc w:val="center"/>
              <w:rPr>
                <w:rFonts w:ascii="Verdana" w:hAnsi="Verdana"/>
                <w:sz w:val="22"/>
                <w:szCs w:val="22"/>
              </w:rPr>
            </w:pPr>
            <w:r w:rsidRPr="00F85A48">
              <w:rPr>
                <w:rFonts w:ascii="Verdana" w:hAnsi="Verdana"/>
                <w:sz w:val="22"/>
                <w:szCs w:val="22"/>
              </w:rPr>
              <w:t>1.77</w:t>
            </w:r>
          </w:p>
        </w:tc>
        <w:tc>
          <w:tcPr>
            <w:tcW w:w="270" w:type="dxa"/>
            <w:vAlign w:val="center"/>
          </w:tcPr>
          <w:p w14:paraId="7E364256" w14:textId="77777777" w:rsidR="00B330A4" w:rsidRPr="00F85A48" w:rsidRDefault="00B330A4" w:rsidP="00F365C3">
            <w:pPr>
              <w:jc w:val="center"/>
              <w:rPr>
                <w:rFonts w:ascii="Verdana" w:hAnsi="Verdana"/>
                <w:sz w:val="22"/>
                <w:szCs w:val="22"/>
              </w:rPr>
            </w:pPr>
          </w:p>
        </w:tc>
        <w:tc>
          <w:tcPr>
            <w:tcW w:w="1431" w:type="dxa"/>
            <w:vAlign w:val="center"/>
          </w:tcPr>
          <w:p w14:paraId="029BCA7B" w14:textId="77777777" w:rsidR="00B330A4" w:rsidRPr="00F85A48" w:rsidRDefault="00B330A4" w:rsidP="00F365C3">
            <w:pPr>
              <w:jc w:val="center"/>
              <w:rPr>
                <w:rFonts w:ascii="Verdana" w:hAnsi="Verdana"/>
                <w:sz w:val="22"/>
                <w:szCs w:val="22"/>
              </w:rPr>
            </w:pPr>
            <w:r w:rsidRPr="00F85A48">
              <w:rPr>
                <w:rFonts w:ascii="Verdana" w:hAnsi="Verdana"/>
                <w:sz w:val="22"/>
                <w:szCs w:val="22"/>
              </w:rPr>
              <w:t>1.63-1.93</w:t>
            </w:r>
          </w:p>
        </w:tc>
        <w:tc>
          <w:tcPr>
            <w:tcW w:w="290" w:type="dxa"/>
            <w:vAlign w:val="center"/>
          </w:tcPr>
          <w:p w14:paraId="2DB394F2" w14:textId="77777777" w:rsidR="00B330A4" w:rsidRPr="00F85A48" w:rsidRDefault="00B330A4" w:rsidP="00F365C3">
            <w:pPr>
              <w:jc w:val="center"/>
              <w:rPr>
                <w:rFonts w:ascii="Verdana" w:hAnsi="Verdana"/>
                <w:sz w:val="22"/>
                <w:szCs w:val="22"/>
              </w:rPr>
            </w:pPr>
          </w:p>
        </w:tc>
        <w:tc>
          <w:tcPr>
            <w:tcW w:w="1411" w:type="dxa"/>
            <w:vAlign w:val="center"/>
          </w:tcPr>
          <w:p w14:paraId="5D65CD99" w14:textId="77777777" w:rsidR="00B330A4" w:rsidRPr="00F85A48" w:rsidRDefault="00B330A4" w:rsidP="00F365C3">
            <w:pPr>
              <w:jc w:val="center"/>
              <w:rPr>
                <w:rFonts w:ascii="Verdana" w:hAnsi="Verdana"/>
                <w:sz w:val="22"/>
                <w:szCs w:val="22"/>
              </w:rPr>
            </w:pPr>
            <w:r w:rsidRPr="00F85A48">
              <w:rPr>
                <w:rFonts w:ascii="Verdana" w:hAnsi="Verdana"/>
                <w:sz w:val="22"/>
                <w:szCs w:val="22"/>
              </w:rPr>
              <w:t>25.3</w:t>
            </w:r>
          </w:p>
        </w:tc>
      </w:tr>
      <w:tr w:rsidR="00F51824" w:rsidRPr="00F85A48" w14:paraId="3BAB4A01" w14:textId="77777777" w:rsidTr="00F85A48">
        <w:tc>
          <w:tcPr>
            <w:tcW w:w="3227" w:type="dxa"/>
          </w:tcPr>
          <w:p w14:paraId="39F27E1E" w14:textId="77777777" w:rsidR="00F51824" w:rsidRPr="00F85A48" w:rsidRDefault="00F51824" w:rsidP="00F365C3">
            <w:pPr>
              <w:rPr>
                <w:rFonts w:ascii="Verdana" w:hAnsi="Verdana"/>
                <w:sz w:val="22"/>
                <w:szCs w:val="22"/>
              </w:rPr>
            </w:pPr>
            <w:r w:rsidRPr="00F85A48">
              <w:rPr>
                <w:rFonts w:ascii="Verdana" w:hAnsi="Verdana"/>
                <w:sz w:val="22"/>
                <w:szCs w:val="22"/>
              </w:rPr>
              <w:t>Earth-moving workers</w:t>
            </w:r>
          </w:p>
        </w:tc>
        <w:tc>
          <w:tcPr>
            <w:tcW w:w="270" w:type="dxa"/>
          </w:tcPr>
          <w:p w14:paraId="26DD2243" w14:textId="77777777" w:rsidR="00F51824" w:rsidRPr="00F85A48" w:rsidRDefault="00F51824" w:rsidP="00F365C3">
            <w:pPr>
              <w:spacing w:line="360" w:lineRule="auto"/>
              <w:rPr>
                <w:rFonts w:ascii="Verdana" w:hAnsi="Verdana"/>
                <w:sz w:val="22"/>
                <w:szCs w:val="22"/>
              </w:rPr>
            </w:pPr>
          </w:p>
        </w:tc>
        <w:tc>
          <w:tcPr>
            <w:tcW w:w="1147" w:type="dxa"/>
            <w:vAlign w:val="center"/>
          </w:tcPr>
          <w:p w14:paraId="0C782442" w14:textId="77777777" w:rsidR="00F51824" w:rsidRPr="00F85A48" w:rsidRDefault="00F51824" w:rsidP="00F365C3">
            <w:pPr>
              <w:jc w:val="center"/>
              <w:rPr>
                <w:rFonts w:ascii="Verdana" w:hAnsi="Verdana"/>
                <w:sz w:val="22"/>
                <w:szCs w:val="22"/>
              </w:rPr>
            </w:pPr>
            <w:r w:rsidRPr="00F85A48">
              <w:rPr>
                <w:rFonts w:ascii="Verdana" w:hAnsi="Verdana"/>
                <w:sz w:val="22"/>
                <w:szCs w:val="22"/>
              </w:rPr>
              <w:t>1.75</w:t>
            </w:r>
          </w:p>
        </w:tc>
        <w:tc>
          <w:tcPr>
            <w:tcW w:w="270" w:type="dxa"/>
            <w:vAlign w:val="center"/>
          </w:tcPr>
          <w:p w14:paraId="7813A920" w14:textId="77777777" w:rsidR="00F51824" w:rsidRPr="00F85A48" w:rsidRDefault="00F51824" w:rsidP="00F365C3">
            <w:pPr>
              <w:jc w:val="center"/>
              <w:rPr>
                <w:rFonts w:ascii="Verdana" w:hAnsi="Verdana"/>
                <w:sz w:val="22"/>
                <w:szCs w:val="22"/>
              </w:rPr>
            </w:pPr>
          </w:p>
        </w:tc>
        <w:tc>
          <w:tcPr>
            <w:tcW w:w="1431" w:type="dxa"/>
            <w:vAlign w:val="center"/>
          </w:tcPr>
          <w:p w14:paraId="254C36D3" w14:textId="77777777" w:rsidR="00F51824" w:rsidRPr="00F85A48" w:rsidRDefault="00F51824" w:rsidP="00F365C3">
            <w:pPr>
              <w:jc w:val="center"/>
              <w:rPr>
                <w:rFonts w:ascii="Verdana" w:hAnsi="Verdana"/>
                <w:sz w:val="22"/>
                <w:szCs w:val="22"/>
              </w:rPr>
            </w:pPr>
            <w:r w:rsidRPr="00F85A48">
              <w:rPr>
                <w:rFonts w:ascii="Verdana" w:hAnsi="Verdana"/>
                <w:sz w:val="22"/>
                <w:szCs w:val="22"/>
              </w:rPr>
              <w:t>1.61-1.90</w:t>
            </w:r>
          </w:p>
        </w:tc>
        <w:tc>
          <w:tcPr>
            <w:tcW w:w="290" w:type="dxa"/>
            <w:vAlign w:val="center"/>
          </w:tcPr>
          <w:p w14:paraId="77DFFC6A" w14:textId="77777777" w:rsidR="00F51824" w:rsidRPr="00F85A48" w:rsidRDefault="00F51824" w:rsidP="00F365C3">
            <w:pPr>
              <w:jc w:val="center"/>
              <w:rPr>
                <w:rFonts w:ascii="Verdana" w:hAnsi="Verdana"/>
                <w:sz w:val="22"/>
                <w:szCs w:val="22"/>
              </w:rPr>
            </w:pPr>
          </w:p>
        </w:tc>
        <w:tc>
          <w:tcPr>
            <w:tcW w:w="1411" w:type="dxa"/>
            <w:vAlign w:val="center"/>
          </w:tcPr>
          <w:p w14:paraId="66E35E73" w14:textId="77777777" w:rsidR="00F51824" w:rsidRPr="00F85A48" w:rsidRDefault="00F51824" w:rsidP="00F365C3">
            <w:pPr>
              <w:jc w:val="center"/>
              <w:rPr>
                <w:rFonts w:ascii="Verdana" w:hAnsi="Verdana"/>
                <w:sz w:val="22"/>
                <w:szCs w:val="22"/>
              </w:rPr>
            </w:pPr>
            <w:r w:rsidRPr="00F85A48">
              <w:rPr>
                <w:rFonts w:ascii="Verdana" w:hAnsi="Verdana"/>
                <w:sz w:val="22"/>
                <w:szCs w:val="22"/>
              </w:rPr>
              <w:t>24.5</w:t>
            </w:r>
          </w:p>
        </w:tc>
      </w:tr>
      <w:tr w:rsidR="00F51824" w:rsidRPr="00F85A48" w14:paraId="10A2EBFA" w14:textId="77777777" w:rsidTr="00F85A48">
        <w:tc>
          <w:tcPr>
            <w:tcW w:w="3227" w:type="dxa"/>
          </w:tcPr>
          <w:p w14:paraId="3542D53E" w14:textId="77777777" w:rsidR="00F51824" w:rsidRPr="00F85A48" w:rsidRDefault="00F51824" w:rsidP="00F365C3">
            <w:pPr>
              <w:rPr>
                <w:rFonts w:ascii="Verdana" w:hAnsi="Verdana"/>
                <w:sz w:val="22"/>
                <w:szCs w:val="22"/>
              </w:rPr>
            </w:pPr>
            <w:r w:rsidRPr="00F85A48">
              <w:rPr>
                <w:rFonts w:ascii="Verdana" w:hAnsi="Verdana"/>
                <w:sz w:val="22"/>
                <w:szCs w:val="22"/>
              </w:rPr>
              <w:t>Crane operators</w:t>
            </w:r>
          </w:p>
        </w:tc>
        <w:tc>
          <w:tcPr>
            <w:tcW w:w="270" w:type="dxa"/>
          </w:tcPr>
          <w:p w14:paraId="5FFB6CEF" w14:textId="77777777" w:rsidR="00F51824" w:rsidRPr="00F85A48" w:rsidRDefault="00F51824" w:rsidP="00F365C3">
            <w:pPr>
              <w:spacing w:line="360" w:lineRule="auto"/>
              <w:rPr>
                <w:rFonts w:ascii="Verdana" w:hAnsi="Verdana"/>
                <w:sz w:val="22"/>
                <w:szCs w:val="22"/>
              </w:rPr>
            </w:pPr>
          </w:p>
        </w:tc>
        <w:tc>
          <w:tcPr>
            <w:tcW w:w="1147" w:type="dxa"/>
            <w:vAlign w:val="center"/>
          </w:tcPr>
          <w:p w14:paraId="4B8EFC9E" w14:textId="77777777" w:rsidR="00F51824" w:rsidRPr="00F85A48" w:rsidRDefault="00F51824" w:rsidP="00F365C3">
            <w:pPr>
              <w:jc w:val="center"/>
              <w:rPr>
                <w:rFonts w:ascii="Verdana" w:hAnsi="Verdana"/>
                <w:sz w:val="22"/>
                <w:szCs w:val="22"/>
              </w:rPr>
            </w:pPr>
            <w:r w:rsidRPr="00F85A48">
              <w:rPr>
                <w:rFonts w:ascii="Verdana" w:hAnsi="Verdana"/>
                <w:sz w:val="22"/>
                <w:szCs w:val="22"/>
              </w:rPr>
              <w:t>1.71</w:t>
            </w:r>
          </w:p>
        </w:tc>
        <w:tc>
          <w:tcPr>
            <w:tcW w:w="270" w:type="dxa"/>
            <w:vAlign w:val="center"/>
          </w:tcPr>
          <w:p w14:paraId="477E1389" w14:textId="77777777" w:rsidR="00F51824" w:rsidRPr="00F85A48" w:rsidRDefault="00F51824" w:rsidP="00F365C3">
            <w:pPr>
              <w:jc w:val="center"/>
              <w:rPr>
                <w:rFonts w:ascii="Verdana" w:hAnsi="Verdana"/>
                <w:sz w:val="22"/>
                <w:szCs w:val="22"/>
              </w:rPr>
            </w:pPr>
          </w:p>
        </w:tc>
        <w:tc>
          <w:tcPr>
            <w:tcW w:w="1431" w:type="dxa"/>
            <w:vAlign w:val="center"/>
          </w:tcPr>
          <w:p w14:paraId="4AC05C50" w14:textId="77777777" w:rsidR="00F51824" w:rsidRPr="00F85A48" w:rsidRDefault="00F51824" w:rsidP="00F365C3">
            <w:pPr>
              <w:jc w:val="center"/>
              <w:rPr>
                <w:rFonts w:ascii="Verdana" w:hAnsi="Verdana"/>
                <w:sz w:val="22"/>
                <w:szCs w:val="22"/>
              </w:rPr>
            </w:pPr>
            <w:r w:rsidRPr="00F85A48">
              <w:rPr>
                <w:rFonts w:ascii="Verdana" w:hAnsi="Verdana"/>
                <w:sz w:val="22"/>
                <w:szCs w:val="22"/>
              </w:rPr>
              <w:t>1.55-1.88</w:t>
            </w:r>
          </w:p>
        </w:tc>
        <w:tc>
          <w:tcPr>
            <w:tcW w:w="290" w:type="dxa"/>
            <w:vAlign w:val="center"/>
          </w:tcPr>
          <w:p w14:paraId="50A25855" w14:textId="77777777" w:rsidR="00F51824" w:rsidRPr="00F85A48" w:rsidRDefault="00F51824" w:rsidP="00F365C3">
            <w:pPr>
              <w:jc w:val="center"/>
              <w:rPr>
                <w:rFonts w:ascii="Verdana" w:hAnsi="Verdana"/>
                <w:sz w:val="22"/>
                <w:szCs w:val="22"/>
              </w:rPr>
            </w:pPr>
          </w:p>
        </w:tc>
        <w:tc>
          <w:tcPr>
            <w:tcW w:w="1411" w:type="dxa"/>
            <w:vAlign w:val="center"/>
          </w:tcPr>
          <w:p w14:paraId="7F238499" w14:textId="77777777" w:rsidR="00F51824" w:rsidRPr="00F85A48" w:rsidRDefault="00F51824" w:rsidP="00F365C3">
            <w:pPr>
              <w:jc w:val="center"/>
              <w:rPr>
                <w:rFonts w:ascii="Verdana" w:hAnsi="Verdana"/>
                <w:sz w:val="22"/>
                <w:szCs w:val="22"/>
              </w:rPr>
            </w:pPr>
            <w:r w:rsidRPr="00F85A48">
              <w:rPr>
                <w:rFonts w:ascii="Verdana" w:hAnsi="Verdana"/>
                <w:sz w:val="22"/>
                <w:szCs w:val="22"/>
              </w:rPr>
              <w:t>33.6</w:t>
            </w:r>
          </w:p>
        </w:tc>
      </w:tr>
      <w:tr w:rsidR="00F51824" w:rsidRPr="00F85A48" w14:paraId="65471D43" w14:textId="77777777" w:rsidTr="00F85A48">
        <w:tc>
          <w:tcPr>
            <w:tcW w:w="3227" w:type="dxa"/>
          </w:tcPr>
          <w:p w14:paraId="55439C2D" w14:textId="77777777" w:rsidR="00F51824" w:rsidRPr="00F85A48" w:rsidRDefault="00B330A4" w:rsidP="00F365C3">
            <w:pPr>
              <w:rPr>
                <w:rFonts w:ascii="Verdana" w:hAnsi="Verdana"/>
                <w:sz w:val="22"/>
                <w:szCs w:val="22"/>
              </w:rPr>
            </w:pPr>
            <w:r w:rsidRPr="00F85A48">
              <w:rPr>
                <w:rFonts w:ascii="Verdana" w:hAnsi="Verdana"/>
                <w:sz w:val="22"/>
                <w:szCs w:val="22"/>
              </w:rPr>
              <w:t>Floor-</w:t>
            </w:r>
            <w:r w:rsidR="00F51824" w:rsidRPr="00F85A48">
              <w:rPr>
                <w:rFonts w:ascii="Verdana" w:hAnsi="Verdana"/>
                <w:sz w:val="22"/>
                <w:szCs w:val="22"/>
              </w:rPr>
              <w:t>layers</w:t>
            </w:r>
          </w:p>
        </w:tc>
        <w:tc>
          <w:tcPr>
            <w:tcW w:w="270" w:type="dxa"/>
          </w:tcPr>
          <w:p w14:paraId="1DCB59B2" w14:textId="77777777" w:rsidR="00F51824" w:rsidRPr="00F85A48" w:rsidRDefault="00F51824" w:rsidP="00F365C3">
            <w:pPr>
              <w:spacing w:line="360" w:lineRule="auto"/>
              <w:rPr>
                <w:rFonts w:ascii="Verdana" w:hAnsi="Verdana"/>
                <w:sz w:val="22"/>
                <w:szCs w:val="22"/>
              </w:rPr>
            </w:pPr>
          </w:p>
        </w:tc>
        <w:tc>
          <w:tcPr>
            <w:tcW w:w="1147" w:type="dxa"/>
            <w:vAlign w:val="center"/>
          </w:tcPr>
          <w:p w14:paraId="1D3CB1FF" w14:textId="77777777" w:rsidR="00F51824" w:rsidRPr="00F85A48" w:rsidRDefault="00F51824" w:rsidP="00F365C3">
            <w:pPr>
              <w:jc w:val="center"/>
              <w:rPr>
                <w:rFonts w:ascii="Verdana" w:hAnsi="Verdana"/>
                <w:sz w:val="22"/>
                <w:szCs w:val="22"/>
              </w:rPr>
            </w:pPr>
            <w:r w:rsidRPr="00F85A48">
              <w:rPr>
                <w:rFonts w:ascii="Verdana" w:hAnsi="Verdana"/>
                <w:sz w:val="22"/>
                <w:szCs w:val="22"/>
              </w:rPr>
              <w:t>1.71</w:t>
            </w:r>
          </w:p>
        </w:tc>
        <w:tc>
          <w:tcPr>
            <w:tcW w:w="270" w:type="dxa"/>
            <w:vAlign w:val="center"/>
          </w:tcPr>
          <w:p w14:paraId="3C853D2F" w14:textId="77777777" w:rsidR="00F51824" w:rsidRPr="00F85A48" w:rsidRDefault="00F51824" w:rsidP="00F365C3">
            <w:pPr>
              <w:jc w:val="center"/>
              <w:rPr>
                <w:rFonts w:ascii="Verdana" w:hAnsi="Verdana"/>
                <w:sz w:val="22"/>
                <w:szCs w:val="22"/>
              </w:rPr>
            </w:pPr>
          </w:p>
        </w:tc>
        <w:tc>
          <w:tcPr>
            <w:tcW w:w="1431" w:type="dxa"/>
            <w:vAlign w:val="center"/>
          </w:tcPr>
          <w:p w14:paraId="5E88FABB" w14:textId="77777777" w:rsidR="00F51824" w:rsidRPr="00F85A48" w:rsidRDefault="00F51824" w:rsidP="00F365C3">
            <w:pPr>
              <w:jc w:val="center"/>
              <w:rPr>
                <w:rFonts w:ascii="Verdana" w:hAnsi="Verdana"/>
                <w:sz w:val="22"/>
                <w:szCs w:val="22"/>
              </w:rPr>
            </w:pPr>
            <w:r w:rsidRPr="00F85A48">
              <w:rPr>
                <w:rFonts w:ascii="Verdana" w:hAnsi="Verdana"/>
                <w:sz w:val="22"/>
                <w:szCs w:val="22"/>
              </w:rPr>
              <w:t>1.55-1.89</w:t>
            </w:r>
          </w:p>
        </w:tc>
        <w:tc>
          <w:tcPr>
            <w:tcW w:w="290" w:type="dxa"/>
            <w:vAlign w:val="center"/>
          </w:tcPr>
          <w:p w14:paraId="4807BCC9" w14:textId="77777777" w:rsidR="00F51824" w:rsidRPr="00F85A48" w:rsidRDefault="00F51824" w:rsidP="00F365C3">
            <w:pPr>
              <w:jc w:val="center"/>
              <w:rPr>
                <w:rFonts w:ascii="Verdana" w:hAnsi="Verdana"/>
                <w:sz w:val="22"/>
                <w:szCs w:val="22"/>
              </w:rPr>
            </w:pPr>
          </w:p>
        </w:tc>
        <w:tc>
          <w:tcPr>
            <w:tcW w:w="1411" w:type="dxa"/>
            <w:vAlign w:val="center"/>
          </w:tcPr>
          <w:p w14:paraId="6BE25797" w14:textId="77777777" w:rsidR="00F51824" w:rsidRPr="00F85A48" w:rsidRDefault="00F51824" w:rsidP="00F365C3">
            <w:pPr>
              <w:jc w:val="center"/>
              <w:rPr>
                <w:rFonts w:ascii="Verdana" w:hAnsi="Verdana"/>
                <w:sz w:val="22"/>
                <w:szCs w:val="22"/>
              </w:rPr>
            </w:pPr>
            <w:r w:rsidRPr="00F85A48">
              <w:rPr>
                <w:rFonts w:ascii="Verdana" w:hAnsi="Verdana"/>
                <w:sz w:val="22"/>
                <w:szCs w:val="22"/>
              </w:rPr>
              <w:t>18.9</w:t>
            </w:r>
          </w:p>
        </w:tc>
      </w:tr>
      <w:tr w:rsidR="00F51824" w:rsidRPr="00F85A48" w14:paraId="58FEB7C9" w14:textId="77777777" w:rsidTr="00F85A48">
        <w:tc>
          <w:tcPr>
            <w:tcW w:w="3227" w:type="dxa"/>
          </w:tcPr>
          <w:p w14:paraId="743A7245" w14:textId="77777777" w:rsidR="00F51824" w:rsidRPr="00F85A48" w:rsidRDefault="00F51824" w:rsidP="00F365C3">
            <w:pPr>
              <w:rPr>
                <w:rFonts w:ascii="Verdana" w:hAnsi="Verdana"/>
                <w:sz w:val="22"/>
                <w:szCs w:val="22"/>
              </w:rPr>
            </w:pPr>
            <w:r w:rsidRPr="00F85A48">
              <w:rPr>
                <w:rFonts w:ascii="Verdana" w:hAnsi="Verdana"/>
                <w:sz w:val="22"/>
                <w:szCs w:val="22"/>
              </w:rPr>
              <w:t>Woodworkers</w:t>
            </w:r>
          </w:p>
        </w:tc>
        <w:tc>
          <w:tcPr>
            <w:tcW w:w="270" w:type="dxa"/>
          </w:tcPr>
          <w:p w14:paraId="013EC698" w14:textId="77777777" w:rsidR="00F51824" w:rsidRPr="00F85A48" w:rsidRDefault="00F51824" w:rsidP="00F365C3">
            <w:pPr>
              <w:spacing w:line="360" w:lineRule="auto"/>
              <w:rPr>
                <w:rFonts w:ascii="Verdana" w:hAnsi="Verdana"/>
                <w:sz w:val="22"/>
                <w:szCs w:val="22"/>
              </w:rPr>
            </w:pPr>
          </w:p>
        </w:tc>
        <w:tc>
          <w:tcPr>
            <w:tcW w:w="1147" w:type="dxa"/>
            <w:vAlign w:val="center"/>
          </w:tcPr>
          <w:p w14:paraId="60555CB4" w14:textId="77777777" w:rsidR="00F51824" w:rsidRPr="00F85A48" w:rsidRDefault="00F51824" w:rsidP="00F365C3">
            <w:pPr>
              <w:jc w:val="center"/>
              <w:rPr>
                <w:rFonts w:ascii="Verdana" w:hAnsi="Verdana"/>
                <w:sz w:val="22"/>
                <w:szCs w:val="22"/>
              </w:rPr>
            </w:pPr>
            <w:r w:rsidRPr="00F85A48">
              <w:rPr>
                <w:rFonts w:ascii="Verdana" w:hAnsi="Verdana"/>
                <w:sz w:val="22"/>
                <w:szCs w:val="22"/>
              </w:rPr>
              <w:t>1.53</w:t>
            </w:r>
          </w:p>
        </w:tc>
        <w:tc>
          <w:tcPr>
            <w:tcW w:w="270" w:type="dxa"/>
            <w:vAlign w:val="center"/>
          </w:tcPr>
          <w:p w14:paraId="45D25B07" w14:textId="77777777" w:rsidR="00F51824" w:rsidRPr="00F85A48" w:rsidRDefault="00F51824" w:rsidP="00F365C3">
            <w:pPr>
              <w:jc w:val="center"/>
              <w:rPr>
                <w:rFonts w:ascii="Verdana" w:hAnsi="Verdana"/>
                <w:sz w:val="22"/>
                <w:szCs w:val="22"/>
              </w:rPr>
            </w:pPr>
          </w:p>
        </w:tc>
        <w:tc>
          <w:tcPr>
            <w:tcW w:w="1431" w:type="dxa"/>
            <w:vAlign w:val="center"/>
          </w:tcPr>
          <w:p w14:paraId="31FB0797" w14:textId="77777777" w:rsidR="00F51824" w:rsidRPr="00F85A48" w:rsidRDefault="00F51824" w:rsidP="00F365C3">
            <w:pPr>
              <w:jc w:val="center"/>
              <w:rPr>
                <w:rFonts w:ascii="Verdana" w:hAnsi="Verdana"/>
                <w:sz w:val="22"/>
                <w:szCs w:val="22"/>
              </w:rPr>
            </w:pPr>
            <w:r w:rsidRPr="00F85A48">
              <w:rPr>
                <w:rFonts w:ascii="Verdana" w:hAnsi="Verdana"/>
                <w:sz w:val="22"/>
                <w:szCs w:val="22"/>
              </w:rPr>
              <w:t>1.43-1.63</w:t>
            </w:r>
          </w:p>
        </w:tc>
        <w:tc>
          <w:tcPr>
            <w:tcW w:w="290" w:type="dxa"/>
            <w:vAlign w:val="center"/>
          </w:tcPr>
          <w:p w14:paraId="065F02DA" w14:textId="77777777" w:rsidR="00F51824" w:rsidRPr="00F85A48" w:rsidRDefault="00F51824" w:rsidP="00F365C3">
            <w:pPr>
              <w:jc w:val="center"/>
              <w:rPr>
                <w:rFonts w:ascii="Verdana" w:hAnsi="Verdana"/>
                <w:sz w:val="22"/>
                <w:szCs w:val="22"/>
              </w:rPr>
            </w:pPr>
          </w:p>
        </w:tc>
        <w:tc>
          <w:tcPr>
            <w:tcW w:w="1411" w:type="dxa"/>
            <w:vAlign w:val="center"/>
          </w:tcPr>
          <w:p w14:paraId="05FD1441" w14:textId="77777777" w:rsidR="00F51824" w:rsidRPr="00F85A48" w:rsidRDefault="00F51824" w:rsidP="00F365C3">
            <w:pPr>
              <w:jc w:val="center"/>
              <w:rPr>
                <w:rFonts w:ascii="Verdana" w:hAnsi="Verdana"/>
                <w:sz w:val="22"/>
                <w:szCs w:val="22"/>
              </w:rPr>
            </w:pPr>
            <w:r w:rsidRPr="00F85A48">
              <w:rPr>
                <w:rFonts w:ascii="Verdana" w:hAnsi="Verdana"/>
                <w:sz w:val="22"/>
                <w:szCs w:val="22"/>
              </w:rPr>
              <w:t>17.6</w:t>
            </w:r>
          </w:p>
        </w:tc>
      </w:tr>
      <w:tr w:rsidR="00F51824" w:rsidRPr="00F85A48" w14:paraId="7A15609C" w14:textId="77777777" w:rsidTr="00F85A48">
        <w:tc>
          <w:tcPr>
            <w:tcW w:w="3227" w:type="dxa"/>
          </w:tcPr>
          <w:p w14:paraId="3EDD805F" w14:textId="77777777" w:rsidR="00F51824" w:rsidRPr="00F85A48" w:rsidRDefault="00F51824" w:rsidP="00F365C3">
            <w:pPr>
              <w:rPr>
                <w:rFonts w:ascii="Verdana" w:hAnsi="Verdana"/>
                <w:sz w:val="22"/>
                <w:szCs w:val="22"/>
              </w:rPr>
            </w:pPr>
            <w:r w:rsidRPr="00F85A48">
              <w:rPr>
                <w:rFonts w:ascii="Verdana" w:hAnsi="Verdana"/>
                <w:sz w:val="22"/>
                <w:szCs w:val="22"/>
              </w:rPr>
              <w:t>Sheet-metal workers</w:t>
            </w:r>
          </w:p>
        </w:tc>
        <w:tc>
          <w:tcPr>
            <w:tcW w:w="270" w:type="dxa"/>
          </w:tcPr>
          <w:p w14:paraId="52929AFF" w14:textId="77777777" w:rsidR="00F51824" w:rsidRPr="00F85A48" w:rsidRDefault="00F51824" w:rsidP="00F365C3">
            <w:pPr>
              <w:spacing w:line="360" w:lineRule="auto"/>
              <w:rPr>
                <w:rFonts w:ascii="Verdana" w:hAnsi="Verdana"/>
                <w:sz w:val="22"/>
                <w:szCs w:val="22"/>
              </w:rPr>
            </w:pPr>
          </w:p>
        </w:tc>
        <w:tc>
          <w:tcPr>
            <w:tcW w:w="1147" w:type="dxa"/>
            <w:vAlign w:val="center"/>
          </w:tcPr>
          <w:p w14:paraId="5D510459" w14:textId="77777777" w:rsidR="00F51824" w:rsidRPr="00F85A48" w:rsidRDefault="00F51824" w:rsidP="00F365C3">
            <w:pPr>
              <w:jc w:val="center"/>
              <w:rPr>
                <w:rFonts w:ascii="Verdana" w:hAnsi="Verdana"/>
                <w:sz w:val="22"/>
                <w:szCs w:val="22"/>
              </w:rPr>
            </w:pPr>
            <w:r w:rsidRPr="00F85A48">
              <w:rPr>
                <w:rFonts w:ascii="Verdana" w:hAnsi="Verdana"/>
                <w:sz w:val="22"/>
                <w:szCs w:val="22"/>
              </w:rPr>
              <w:t>1.50</w:t>
            </w:r>
          </w:p>
        </w:tc>
        <w:tc>
          <w:tcPr>
            <w:tcW w:w="270" w:type="dxa"/>
            <w:vAlign w:val="center"/>
          </w:tcPr>
          <w:p w14:paraId="0820B0C3" w14:textId="77777777" w:rsidR="00F51824" w:rsidRPr="00F85A48" w:rsidRDefault="00F51824" w:rsidP="00F365C3">
            <w:pPr>
              <w:jc w:val="center"/>
              <w:rPr>
                <w:rFonts w:ascii="Verdana" w:hAnsi="Verdana"/>
                <w:sz w:val="22"/>
                <w:szCs w:val="22"/>
              </w:rPr>
            </w:pPr>
          </w:p>
        </w:tc>
        <w:tc>
          <w:tcPr>
            <w:tcW w:w="1431" w:type="dxa"/>
            <w:vAlign w:val="center"/>
          </w:tcPr>
          <w:p w14:paraId="6929E7ED" w14:textId="77777777" w:rsidR="00F51824" w:rsidRPr="00F85A48" w:rsidRDefault="00F51824" w:rsidP="00F365C3">
            <w:pPr>
              <w:jc w:val="center"/>
              <w:rPr>
                <w:rFonts w:ascii="Verdana" w:hAnsi="Verdana"/>
                <w:sz w:val="22"/>
                <w:szCs w:val="22"/>
              </w:rPr>
            </w:pPr>
            <w:r w:rsidRPr="00F85A48">
              <w:rPr>
                <w:rFonts w:ascii="Verdana" w:hAnsi="Verdana"/>
                <w:sz w:val="22"/>
                <w:szCs w:val="22"/>
              </w:rPr>
              <w:t>1.38-1.64</w:t>
            </w:r>
          </w:p>
        </w:tc>
        <w:tc>
          <w:tcPr>
            <w:tcW w:w="290" w:type="dxa"/>
            <w:vAlign w:val="center"/>
          </w:tcPr>
          <w:p w14:paraId="07B36D0E" w14:textId="77777777" w:rsidR="00F51824" w:rsidRPr="00F85A48" w:rsidRDefault="00F51824" w:rsidP="00F365C3">
            <w:pPr>
              <w:jc w:val="center"/>
              <w:rPr>
                <w:rFonts w:ascii="Verdana" w:hAnsi="Verdana"/>
                <w:sz w:val="22"/>
                <w:szCs w:val="22"/>
              </w:rPr>
            </w:pPr>
          </w:p>
        </w:tc>
        <w:tc>
          <w:tcPr>
            <w:tcW w:w="1411" w:type="dxa"/>
            <w:vAlign w:val="center"/>
          </w:tcPr>
          <w:p w14:paraId="096B7287" w14:textId="77777777" w:rsidR="00F51824" w:rsidRPr="00F85A48" w:rsidRDefault="00F51824" w:rsidP="00F365C3">
            <w:pPr>
              <w:jc w:val="center"/>
              <w:rPr>
                <w:rFonts w:ascii="Verdana" w:hAnsi="Verdana"/>
                <w:sz w:val="22"/>
                <w:szCs w:val="22"/>
              </w:rPr>
            </w:pPr>
            <w:r w:rsidRPr="00F85A48">
              <w:rPr>
                <w:rFonts w:ascii="Verdana" w:hAnsi="Verdana"/>
                <w:sz w:val="22"/>
                <w:szCs w:val="22"/>
              </w:rPr>
              <w:t>15.6</w:t>
            </w:r>
          </w:p>
        </w:tc>
      </w:tr>
      <w:tr w:rsidR="00F51824" w:rsidRPr="00F85A48" w14:paraId="5A0B6ABF" w14:textId="77777777" w:rsidTr="00F85A48">
        <w:tc>
          <w:tcPr>
            <w:tcW w:w="3227" w:type="dxa"/>
          </w:tcPr>
          <w:p w14:paraId="21282A06" w14:textId="77777777" w:rsidR="00F51824" w:rsidRPr="00F85A48" w:rsidRDefault="00F51824" w:rsidP="00F365C3">
            <w:pPr>
              <w:rPr>
                <w:rFonts w:ascii="Verdana" w:hAnsi="Verdana"/>
                <w:sz w:val="22"/>
                <w:szCs w:val="22"/>
              </w:rPr>
            </w:pPr>
            <w:r w:rsidRPr="00F85A48">
              <w:rPr>
                <w:rFonts w:ascii="Verdana" w:hAnsi="Verdana"/>
                <w:sz w:val="22"/>
                <w:szCs w:val="22"/>
              </w:rPr>
              <w:t>Plumbers and pipe fitters</w:t>
            </w:r>
          </w:p>
        </w:tc>
        <w:tc>
          <w:tcPr>
            <w:tcW w:w="270" w:type="dxa"/>
          </w:tcPr>
          <w:p w14:paraId="1CE0EAA5" w14:textId="77777777" w:rsidR="00F51824" w:rsidRPr="00F85A48" w:rsidRDefault="00F51824" w:rsidP="00F365C3">
            <w:pPr>
              <w:spacing w:line="360" w:lineRule="auto"/>
              <w:rPr>
                <w:rFonts w:ascii="Verdana" w:hAnsi="Verdana"/>
                <w:sz w:val="22"/>
                <w:szCs w:val="22"/>
              </w:rPr>
            </w:pPr>
          </w:p>
        </w:tc>
        <w:tc>
          <w:tcPr>
            <w:tcW w:w="1147" w:type="dxa"/>
            <w:vAlign w:val="center"/>
          </w:tcPr>
          <w:p w14:paraId="7B9673D6" w14:textId="77777777" w:rsidR="00F51824" w:rsidRPr="00F85A48" w:rsidRDefault="00F51824" w:rsidP="00F365C3">
            <w:pPr>
              <w:jc w:val="center"/>
              <w:rPr>
                <w:rFonts w:ascii="Verdana" w:hAnsi="Verdana"/>
                <w:sz w:val="22"/>
                <w:szCs w:val="22"/>
              </w:rPr>
            </w:pPr>
            <w:r w:rsidRPr="00F85A48">
              <w:rPr>
                <w:rFonts w:ascii="Verdana" w:hAnsi="Verdana"/>
                <w:sz w:val="22"/>
                <w:szCs w:val="22"/>
              </w:rPr>
              <w:t>1.41</w:t>
            </w:r>
          </w:p>
        </w:tc>
        <w:tc>
          <w:tcPr>
            <w:tcW w:w="270" w:type="dxa"/>
            <w:vAlign w:val="center"/>
          </w:tcPr>
          <w:p w14:paraId="55E6C5E9" w14:textId="77777777" w:rsidR="00F51824" w:rsidRPr="00F85A48" w:rsidRDefault="00F51824" w:rsidP="00F365C3">
            <w:pPr>
              <w:jc w:val="center"/>
              <w:rPr>
                <w:rFonts w:ascii="Verdana" w:hAnsi="Verdana"/>
                <w:sz w:val="22"/>
                <w:szCs w:val="22"/>
              </w:rPr>
            </w:pPr>
          </w:p>
        </w:tc>
        <w:tc>
          <w:tcPr>
            <w:tcW w:w="1431" w:type="dxa"/>
            <w:vAlign w:val="center"/>
          </w:tcPr>
          <w:p w14:paraId="11436E83" w14:textId="77777777" w:rsidR="00F51824" w:rsidRPr="00F85A48" w:rsidRDefault="00F51824" w:rsidP="00F365C3">
            <w:pPr>
              <w:jc w:val="center"/>
              <w:rPr>
                <w:rFonts w:ascii="Verdana" w:hAnsi="Verdana"/>
                <w:sz w:val="22"/>
                <w:szCs w:val="22"/>
              </w:rPr>
            </w:pPr>
            <w:r w:rsidRPr="00F85A48">
              <w:rPr>
                <w:rFonts w:ascii="Verdana" w:hAnsi="Verdana"/>
                <w:sz w:val="22"/>
                <w:szCs w:val="22"/>
              </w:rPr>
              <w:t>1.30-1.52</w:t>
            </w:r>
          </w:p>
        </w:tc>
        <w:tc>
          <w:tcPr>
            <w:tcW w:w="290" w:type="dxa"/>
            <w:vAlign w:val="center"/>
          </w:tcPr>
          <w:p w14:paraId="62F35C86" w14:textId="77777777" w:rsidR="00F51824" w:rsidRPr="00F85A48" w:rsidRDefault="00F51824" w:rsidP="00F365C3">
            <w:pPr>
              <w:jc w:val="center"/>
              <w:rPr>
                <w:rFonts w:ascii="Verdana" w:hAnsi="Verdana"/>
                <w:sz w:val="22"/>
                <w:szCs w:val="22"/>
              </w:rPr>
            </w:pPr>
          </w:p>
        </w:tc>
        <w:tc>
          <w:tcPr>
            <w:tcW w:w="1411" w:type="dxa"/>
            <w:vAlign w:val="center"/>
          </w:tcPr>
          <w:p w14:paraId="2D315EB7" w14:textId="77777777" w:rsidR="00F51824" w:rsidRPr="00F85A48" w:rsidRDefault="00F51824" w:rsidP="00F365C3">
            <w:pPr>
              <w:jc w:val="center"/>
              <w:rPr>
                <w:rFonts w:ascii="Verdana" w:hAnsi="Verdana"/>
                <w:sz w:val="22"/>
                <w:szCs w:val="22"/>
              </w:rPr>
            </w:pPr>
            <w:r w:rsidRPr="00F85A48">
              <w:rPr>
                <w:rFonts w:ascii="Verdana" w:hAnsi="Verdana"/>
                <w:sz w:val="22"/>
                <w:szCs w:val="22"/>
              </w:rPr>
              <w:t>19.7</w:t>
            </w:r>
          </w:p>
        </w:tc>
      </w:tr>
      <w:tr w:rsidR="00F51824" w:rsidRPr="00F85A48" w14:paraId="3C648086" w14:textId="77777777" w:rsidTr="00F85A48">
        <w:tc>
          <w:tcPr>
            <w:tcW w:w="3227" w:type="dxa"/>
          </w:tcPr>
          <w:p w14:paraId="030AFA2E" w14:textId="77777777" w:rsidR="00F51824" w:rsidRPr="00F85A48" w:rsidRDefault="00F51824" w:rsidP="00F365C3">
            <w:pPr>
              <w:rPr>
                <w:rFonts w:ascii="Verdana" w:hAnsi="Verdana"/>
                <w:sz w:val="22"/>
                <w:szCs w:val="22"/>
              </w:rPr>
            </w:pPr>
            <w:r w:rsidRPr="00F85A48">
              <w:rPr>
                <w:rFonts w:ascii="Verdana" w:hAnsi="Verdana"/>
                <w:sz w:val="22"/>
                <w:szCs w:val="22"/>
              </w:rPr>
              <w:t>Electricians</w:t>
            </w:r>
          </w:p>
        </w:tc>
        <w:tc>
          <w:tcPr>
            <w:tcW w:w="270" w:type="dxa"/>
          </w:tcPr>
          <w:p w14:paraId="572C738D" w14:textId="77777777" w:rsidR="00F51824" w:rsidRPr="00F85A48" w:rsidRDefault="00F51824" w:rsidP="00F365C3">
            <w:pPr>
              <w:spacing w:line="360" w:lineRule="auto"/>
              <w:rPr>
                <w:rFonts w:ascii="Verdana" w:hAnsi="Verdana"/>
                <w:sz w:val="22"/>
                <w:szCs w:val="22"/>
              </w:rPr>
            </w:pPr>
          </w:p>
        </w:tc>
        <w:tc>
          <w:tcPr>
            <w:tcW w:w="1147" w:type="dxa"/>
            <w:vAlign w:val="center"/>
          </w:tcPr>
          <w:p w14:paraId="5F59D4F2" w14:textId="77777777" w:rsidR="00F51824" w:rsidRPr="00F85A48" w:rsidRDefault="00F51824" w:rsidP="00F365C3">
            <w:pPr>
              <w:jc w:val="center"/>
              <w:rPr>
                <w:rFonts w:ascii="Verdana" w:hAnsi="Verdana"/>
                <w:sz w:val="22"/>
                <w:szCs w:val="22"/>
              </w:rPr>
            </w:pPr>
            <w:r w:rsidRPr="00F85A48">
              <w:rPr>
                <w:rFonts w:ascii="Verdana" w:hAnsi="Verdana"/>
                <w:sz w:val="22"/>
                <w:szCs w:val="22"/>
              </w:rPr>
              <w:t>1.00</w:t>
            </w:r>
          </w:p>
        </w:tc>
        <w:tc>
          <w:tcPr>
            <w:tcW w:w="270" w:type="dxa"/>
            <w:vAlign w:val="center"/>
          </w:tcPr>
          <w:p w14:paraId="144B27E6" w14:textId="77777777" w:rsidR="00F51824" w:rsidRPr="00F85A48" w:rsidRDefault="00F51824" w:rsidP="00F365C3">
            <w:pPr>
              <w:jc w:val="center"/>
              <w:rPr>
                <w:rFonts w:ascii="Verdana" w:hAnsi="Verdana"/>
                <w:sz w:val="22"/>
                <w:szCs w:val="22"/>
              </w:rPr>
            </w:pPr>
          </w:p>
        </w:tc>
        <w:tc>
          <w:tcPr>
            <w:tcW w:w="1431" w:type="dxa"/>
            <w:vAlign w:val="center"/>
          </w:tcPr>
          <w:p w14:paraId="2246702F" w14:textId="77777777" w:rsidR="00F51824" w:rsidRPr="00F85A48" w:rsidRDefault="00F51824" w:rsidP="00F365C3">
            <w:pPr>
              <w:jc w:val="center"/>
              <w:rPr>
                <w:rFonts w:ascii="Verdana" w:hAnsi="Verdana"/>
                <w:sz w:val="22"/>
                <w:szCs w:val="22"/>
              </w:rPr>
            </w:pPr>
            <w:r w:rsidRPr="00F85A48">
              <w:rPr>
                <w:rFonts w:ascii="Verdana" w:hAnsi="Verdana"/>
                <w:sz w:val="22"/>
                <w:szCs w:val="22"/>
              </w:rPr>
              <w:t>-</w:t>
            </w:r>
          </w:p>
        </w:tc>
        <w:tc>
          <w:tcPr>
            <w:tcW w:w="290" w:type="dxa"/>
            <w:vAlign w:val="center"/>
          </w:tcPr>
          <w:p w14:paraId="034A7573" w14:textId="77777777" w:rsidR="00F51824" w:rsidRPr="00F85A48" w:rsidRDefault="00F51824" w:rsidP="00F365C3">
            <w:pPr>
              <w:jc w:val="center"/>
              <w:rPr>
                <w:rFonts w:ascii="Verdana" w:hAnsi="Verdana"/>
                <w:sz w:val="22"/>
                <w:szCs w:val="22"/>
              </w:rPr>
            </w:pPr>
          </w:p>
        </w:tc>
        <w:tc>
          <w:tcPr>
            <w:tcW w:w="1411" w:type="dxa"/>
            <w:vAlign w:val="center"/>
          </w:tcPr>
          <w:p w14:paraId="5A885CFF" w14:textId="77777777" w:rsidR="00F51824" w:rsidRPr="00F85A48" w:rsidRDefault="00F51824" w:rsidP="00F365C3">
            <w:pPr>
              <w:jc w:val="center"/>
              <w:rPr>
                <w:rFonts w:ascii="Verdana" w:hAnsi="Verdana"/>
                <w:sz w:val="22"/>
                <w:szCs w:val="22"/>
              </w:rPr>
            </w:pPr>
            <w:r w:rsidRPr="00F85A48">
              <w:rPr>
                <w:rFonts w:ascii="Verdana" w:hAnsi="Verdana"/>
                <w:sz w:val="22"/>
                <w:szCs w:val="22"/>
              </w:rPr>
              <w:t>10.2</w:t>
            </w:r>
          </w:p>
        </w:tc>
      </w:tr>
      <w:tr w:rsidR="00F51824" w:rsidRPr="00F85A48" w14:paraId="5A0D0697" w14:textId="77777777" w:rsidTr="00F85A48">
        <w:tc>
          <w:tcPr>
            <w:tcW w:w="3227" w:type="dxa"/>
          </w:tcPr>
          <w:p w14:paraId="76A37602" w14:textId="77777777" w:rsidR="00F51824" w:rsidRPr="00F85A48" w:rsidRDefault="00F51824" w:rsidP="00F365C3">
            <w:pPr>
              <w:rPr>
                <w:rFonts w:ascii="Verdana" w:hAnsi="Verdana"/>
                <w:sz w:val="22"/>
                <w:szCs w:val="22"/>
              </w:rPr>
            </w:pPr>
            <w:r w:rsidRPr="00F85A48">
              <w:rPr>
                <w:rFonts w:ascii="Verdana" w:hAnsi="Verdana"/>
                <w:sz w:val="22"/>
                <w:szCs w:val="22"/>
              </w:rPr>
              <w:t>Foremen</w:t>
            </w:r>
          </w:p>
        </w:tc>
        <w:tc>
          <w:tcPr>
            <w:tcW w:w="270" w:type="dxa"/>
          </w:tcPr>
          <w:p w14:paraId="77F3290D" w14:textId="77777777" w:rsidR="00F51824" w:rsidRPr="00F85A48" w:rsidRDefault="00F51824" w:rsidP="00F365C3">
            <w:pPr>
              <w:spacing w:line="360" w:lineRule="auto"/>
              <w:rPr>
                <w:rFonts w:ascii="Verdana" w:hAnsi="Verdana"/>
                <w:sz w:val="22"/>
                <w:szCs w:val="22"/>
              </w:rPr>
            </w:pPr>
          </w:p>
        </w:tc>
        <w:tc>
          <w:tcPr>
            <w:tcW w:w="1147" w:type="dxa"/>
            <w:vAlign w:val="center"/>
          </w:tcPr>
          <w:p w14:paraId="467AE184" w14:textId="77777777" w:rsidR="00F51824" w:rsidRPr="00F85A48" w:rsidRDefault="00F51824" w:rsidP="00F365C3">
            <w:pPr>
              <w:jc w:val="center"/>
              <w:rPr>
                <w:rFonts w:ascii="Verdana" w:hAnsi="Verdana"/>
                <w:sz w:val="22"/>
                <w:szCs w:val="22"/>
              </w:rPr>
            </w:pPr>
            <w:r w:rsidRPr="00F85A48">
              <w:rPr>
                <w:rFonts w:ascii="Verdana" w:hAnsi="Verdana"/>
                <w:sz w:val="22"/>
                <w:szCs w:val="22"/>
              </w:rPr>
              <w:t>0.65</w:t>
            </w:r>
          </w:p>
        </w:tc>
        <w:tc>
          <w:tcPr>
            <w:tcW w:w="270" w:type="dxa"/>
            <w:vAlign w:val="center"/>
          </w:tcPr>
          <w:p w14:paraId="732A604A" w14:textId="77777777" w:rsidR="00F51824" w:rsidRPr="00F85A48" w:rsidRDefault="00F51824" w:rsidP="00F365C3">
            <w:pPr>
              <w:jc w:val="center"/>
              <w:rPr>
                <w:rFonts w:ascii="Verdana" w:hAnsi="Verdana"/>
                <w:sz w:val="22"/>
                <w:szCs w:val="22"/>
              </w:rPr>
            </w:pPr>
          </w:p>
        </w:tc>
        <w:tc>
          <w:tcPr>
            <w:tcW w:w="1431" w:type="dxa"/>
            <w:vAlign w:val="center"/>
          </w:tcPr>
          <w:p w14:paraId="3BBCE0D5" w14:textId="77777777" w:rsidR="00F51824" w:rsidRPr="00F85A48" w:rsidRDefault="00F51824" w:rsidP="00F365C3">
            <w:pPr>
              <w:jc w:val="center"/>
              <w:rPr>
                <w:rFonts w:ascii="Verdana" w:hAnsi="Verdana"/>
                <w:sz w:val="22"/>
                <w:szCs w:val="22"/>
              </w:rPr>
            </w:pPr>
            <w:r w:rsidRPr="00F85A48">
              <w:rPr>
                <w:rFonts w:ascii="Verdana" w:hAnsi="Verdana"/>
                <w:sz w:val="22"/>
                <w:szCs w:val="22"/>
              </w:rPr>
              <w:t>0.60-0.70</w:t>
            </w:r>
          </w:p>
        </w:tc>
        <w:tc>
          <w:tcPr>
            <w:tcW w:w="290" w:type="dxa"/>
            <w:vAlign w:val="center"/>
          </w:tcPr>
          <w:p w14:paraId="580A1F39" w14:textId="77777777" w:rsidR="00F51824" w:rsidRPr="00F85A48" w:rsidRDefault="00F51824" w:rsidP="00F365C3">
            <w:pPr>
              <w:jc w:val="center"/>
              <w:rPr>
                <w:rFonts w:ascii="Verdana" w:hAnsi="Verdana"/>
                <w:sz w:val="22"/>
                <w:szCs w:val="22"/>
              </w:rPr>
            </w:pPr>
          </w:p>
        </w:tc>
        <w:tc>
          <w:tcPr>
            <w:tcW w:w="1411" w:type="dxa"/>
            <w:vAlign w:val="center"/>
          </w:tcPr>
          <w:p w14:paraId="175CB15D" w14:textId="77777777" w:rsidR="00F51824" w:rsidRPr="00F85A48" w:rsidRDefault="00F51824" w:rsidP="00F365C3">
            <w:pPr>
              <w:jc w:val="center"/>
              <w:rPr>
                <w:rFonts w:ascii="Verdana" w:hAnsi="Verdana"/>
                <w:sz w:val="22"/>
                <w:szCs w:val="22"/>
              </w:rPr>
            </w:pPr>
            <w:r w:rsidRPr="00F85A48">
              <w:rPr>
                <w:rFonts w:ascii="Verdana" w:hAnsi="Verdana"/>
                <w:sz w:val="22"/>
                <w:szCs w:val="22"/>
              </w:rPr>
              <w:t>12.7</w:t>
            </w:r>
          </w:p>
        </w:tc>
      </w:tr>
      <w:tr w:rsidR="00F51824" w:rsidRPr="00F85A48" w14:paraId="7EC75EAF" w14:textId="77777777" w:rsidTr="00F85A48">
        <w:tc>
          <w:tcPr>
            <w:tcW w:w="3227" w:type="dxa"/>
          </w:tcPr>
          <w:p w14:paraId="40C2A579" w14:textId="77777777" w:rsidR="00F51824" w:rsidRPr="00F85A48" w:rsidRDefault="00F51824" w:rsidP="00F365C3">
            <w:pPr>
              <w:rPr>
                <w:rFonts w:ascii="Verdana" w:hAnsi="Verdana"/>
                <w:sz w:val="22"/>
                <w:szCs w:val="22"/>
              </w:rPr>
            </w:pPr>
            <w:r w:rsidRPr="00F85A48">
              <w:rPr>
                <w:rFonts w:ascii="Verdana" w:hAnsi="Verdana"/>
                <w:sz w:val="22"/>
                <w:szCs w:val="22"/>
              </w:rPr>
              <w:t>Salaried employees</w:t>
            </w:r>
          </w:p>
        </w:tc>
        <w:tc>
          <w:tcPr>
            <w:tcW w:w="270" w:type="dxa"/>
          </w:tcPr>
          <w:p w14:paraId="0652EBE7" w14:textId="77777777" w:rsidR="00F51824" w:rsidRPr="00F85A48" w:rsidRDefault="00F51824" w:rsidP="00F365C3">
            <w:pPr>
              <w:spacing w:line="360" w:lineRule="auto"/>
              <w:rPr>
                <w:rFonts w:ascii="Verdana" w:hAnsi="Verdana"/>
                <w:sz w:val="22"/>
                <w:szCs w:val="22"/>
              </w:rPr>
            </w:pPr>
          </w:p>
        </w:tc>
        <w:tc>
          <w:tcPr>
            <w:tcW w:w="1147" w:type="dxa"/>
            <w:vAlign w:val="center"/>
          </w:tcPr>
          <w:p w14:paraId="3630A156" w14:textId="77777777" w:rsidR="00F51824" w:rsidRPr="00F85A48" w:rsidRDefault="00F51824" w:rsidP="00F365C3">
            <w:pPr>
              <w:jc w:val="center"/>
              <w:rPr>
                <w:rFonts w:ascii="Verdana" w:hAnsi="Verdana"/>
                <w:sz w:val="22"/>
                <w:szCs w:val="22"/>
              </w:rPr>
            </w:pPr>
            <w:r w:rsidRPr="00F85A48">
              <w:rPr>
                <w:rFonts w:ascii="Verdana" w:hAnsi="Verdana"/>
                <w:sz w:val="22"/>
                <w:szCs w:val="22"/>
              </w:rPr>
              <w:t>0.54</w:t>
            </w:r>
          </w:p>
        </w:tc>
        <w:tc>
          <w:tcPr>
            <w:tcW w:w="270" w:type="dxa"/>
            <w:vAlign w:val="center"/>
          </w:tcPr>
          <w:p w14:paraId="02AA1E5D" w14:textId="77777777" w:rsidR="00F51824" w:rsidRPr="00F85A48" w:rsidRDefault="00F51824" w:rsidP="00F365C3">
            <w:pPr>
              <w:jc w:val="center"/>
              <w:rPr>
                <w:rFonts w:ascii="Verdana" w:hAnsi="Verdana"/>
                <w:sz w:val="22"/>
                <w:szCs w:val="22"/>
              </w:rPr>
            </w:pPr>
          </w:p>
        </w:tc>
        <w:tc>
          <w:tcPr>
            <w:tcW w:w="1431" w:type="dxa"/>
            <w:vAlign w:val="center"/>
          </w:tcPr>
          <w:p w14:paraId="535B7927" w14:textId="77777777" w:rsidR="00F51824" w:rsidRPr="00F85A48" w:rsidRDefault="00F51824" w:rsidP="00F365C3">
            <w:pPr>
              <w:jc w:val="center"/>
              <w:rPr>
                <w:rFonts w:ascii="Verdana" w:hAnsi="Verdana"/>
                <w:sz w:val="22"/>
                <w:szCs w:val="22"/>
              </w:rPr>
            </w:pPr>
            <w:r w:rsidRPr="00F85A48">
              <w:rPr>
                <w:rFonts w:ascii="Verdana" w:hAnsi="Verdana"/>
                <w:sz w:val="22"/>
                <w:szCs w:val="22"/>
              </w:rPr>
              <w:t>0.48-0.59</w:t>
            </w:r>
          </w:p>
        </w:tc>
        <w:tc>
          <w:tcPr>
            <w:tcW w:w="290" w:type="dxa"/>
            <w:vAlign w:val="center"/>
          </w:tcPr>
          <w:p w14:paraId="77439CD1" w14:textId="77777777" w:rsidR="00F51824" w:rsidRPr="00F85A48" w:rsidRDefault="00F51824" w:rsidP="00F365C3">
            <w:pPr>
              <w:jc w:val="center"/>
              <w:rPr>
                <w:rFonts w:ascii="Verdana" w:hAnsi="Verdana"/>
                <w:sz w:val="22"/>
                <w:szCs w:val="22"/>
              </w:rPr>
            </w:pPr>
          </w:p>
        </w:tc>
        <w:tc>
          <w:tcPr>
            <w:tcW w:w="1411" w:type="dxa"/>
            <w:vAlign w:val="center"/>
          </w:tcPr>
          <w:p w14:paraId="77E3F1FD" w14:textId="77777777" w:rsidR="00F51824" w:rsidRPr="00F85A48" w:rsidRDefault="00F51824" w:rsidP="00F365C3">
            <w:pPr>
              <w:jc w:val="center"/>
              <w:rPr>
                <w:rFonts w:ascii="Verdana" w:hAnsi="Verdana"/>
                <w:sz w:val="22"/>
                <w:szCs w:val="22"/>
              </w:rPr>
            </w:pPr>
            <w:r w:rsidRPr="00F85A48">
              <w:rPr>
                <w:rFonts w:ascii="Verdana" w:hAnsi="Verdana"/>
                <w:sz w:val="22"/>
                <w:szCs w:val="22"/>
              </w:rPr>
              <w:t>10.8</w:t>
            </w:r>
          </w:p>
        </w:tc>
      </w:tr>
      <w:tr w:rsidR="00B330A4" w:rsidRPr="00F85A48" w14:paraId="21E9F0A6" w14:textId="77777777" w:rsidTr="00F85A48">
        <w:tc>
          <w:tcPr>
            <w:tcW w:w="3227" w:type="dxa"/>
          </w:tcPr>
          <w:p w14:paraId="41884F71" w14:textId="77777777" w:rsidR="00B330A4" w:rsidRPr="00F85A48" w:rsidRDefault="00D3165D" w:rsidP="00F365C3">
            <w:pPr>
              <w:rPr>
                <w:rFonts w:ascii="Verdana" w:hAnsi="Verdana"/>
                <w:i/>
                <w:sz w:val="22"/>
                <w:szCs w:val="22"/>
              </w:rPr>
            </w:pPr>
            <w:r w:rsidRPr="00F85A48">
              <w:rPr>
                <w:rFonts w:ascii="Verdana" w:hAnsi="Verdana"/>
                <w:i/>
                <w:sz w:val="22"/>
                <w:szCs w:val="22"/>
              </w:rPr>
              <w:t>All occupations</w:t>
            </w:r>
          </w:p>
        </w:tc>
        <w:tc>
          <w:tcPr>
            <w:tcW w:w="270" w:type="dxa"/>
          </w:tcPr>
          <w:p w14:paraId="255C833C" w14:textId="77777777" w:rsidR="00B330A4" w:rsidRPr="00F85A48" w:rsidRDefault="00B330A4" w:rsidP="00F365C3">
            <w:pPr>
              <w:rPr>
                <w:rFonts w:ascii="Verdana" w:hAnsi="Verdana"/>
                <w:sz w:val="22"/>
                <w:szCs w:val="22"/>
              </w:rPr>
            </w:pPr>
          </w:p>
        </w:tc>
        <w:tc>
          <w:tcPr>
            <w:tcW w:w="1147" w:type="dxa"/>
            <w:vAlign w:val="center"/>
          </w:tcPr>
          <w:p w14:paraId="69235ED3" w14:textId="77777777" w:rsidR="00B330A4" w:rsidRPr="00F85A48" w:rsidRDefault="00B330A4" w:rsidP="00F365C3">
            <w:pPr>
              <w:jc w:val="center"/>
              <w:rPr>
                <w:rFonts w:ascii="Verdana" w:hAnsi="Verdana"/>
                <w:sz w:val="22"/>
                <w:szCs w:val="22"/>
              </w:rPr>
            </w:pPr>
          </w:p>
        </w:tc>
        <w:tc>
          <w:tcPr>
            <w:tcW w:w="270" w:type="dxa"/>
            <w:vAlign w:val="center"/>
          </w:tcPr>
          <w:p w14:paraId="0CF9B02E" w14:textId="77777777" w:rsidR="00B330A4" w:rsidRPr="00F85A48" w:rsidRDefault="00B330A4" w:rsidP="00F365C3">
            <w:pPr>
              <w:jc w:val="center"/>
              <w:rPr>
                <w:rFonts w:ascii="Verdana" w:hAnsi="Verdana"/>
                <w:sz w:val="22"/>
                <w:szCs w:val="22"/>
              </w:rPr>
            </w:pPr>
          </w:p>
        </w:tc>
        <w:tc>
          <w:tcPr>
            <w:tcW w:w="1431" w:type="dxa"/>
            <w:vAlign w:val="center"/>
          </w:tcPr>
          <w:p w14:paraId="61E87AEC" w14:textId="77777777" w:rsidR="00B330A4" w:rsidRPr="00F85A48" w:rsidRDefault="00B330A4" w:rsidP="00F365C3">
            <w:pPr>
              <w:jc w:val="center"/>
              <w:rPr>
                <w:rFonts w:ascii="Verdana" w:hAnsi="Verdana"/>
                <w:sz w:val="22"/>
                <w:szCs w:val="22"/>
              </w:rPr>
            </w:pPr>
          </w:p>
        </w:tc>
        <w:tc>
          <w:tcPr>
            <w:tcW w:w="290" w:type="dxa"/>
            <w:vAlign w:val="center"/>
          </w:tcPr>
          <w:p w14:paraId="2EC0A200" w14:textId="77777777" w:rsidR="00B330A4" w:rsidRPr="00F85A48" w:rsidRDefault="00B330A4" w:rsidP="00F365C3">
            <w:pPr>
              <w:jc w:val="center"/>
              <w:rPr>
                <w:rFonts w:ascii="Verdana" w:hAnsi="Verdana"/>
                <w:sz w:val="22"/>
                <w:szCs w:val="22"/>
              </w:rPr>
            </w:pPr>
          </w:p>
        </w:tc>
        <w:tc>
          <w:tcPr>
            <w:tcW w:w="1411" w:type="dxa"/>
            <w:vAlign w:val="center"/>
          </w:tcPr>
          <w:p w14:paraId="2F13B3EA" w14:textId="77777777" w:rsidR="00B330A4" w:rsidRPr="00F85A48" w:rsidRDefault="00D3165D" w:rsidP="00F365C3">
            <w:pPr>
              <w:jc w:val="center"/>
              <w:rPr>
                <w:rFonts w:ascii="Verdana" w:hAnsi="Verdana"/>
                <w:i/>
                <w:sz w:val="22"/>
                <w:szCs w:val="22"/>
              </w:rPr>
            </w:pPr>
            <w:r w:rsidRPr="00F85A48">
              <w:rPr>
                <w:rFonts w:ascii="Verdana" w:hAnsi="Verdana"/>
                <w:i/>
                <w:sz w:val="22"/>
                <w:szCs w:val="22"/>
              </w:rPr>
              <w:t>(18.5)</w:t>
            </w:r>
          </w:p>
        </w:tc>
      </w:tr>
    </w:tbl>
    <w:p w14:paraId="26C1E593" w14:textId="77777777" w:rsidR="00F51824" w:rsidRPr="00F85A48" w:rsidRDefault="00F51824" w:rsidP="00F51824">
      <w:pPr>
        <w:rPr>
          <w:rFonts w:ascii="Verdana" w:hAnsi="Verdana" w:cs="Times New Roman"/>
        </w:rPr>
      </w:pPr>
    </w:p>
    <w:p w14:paraId="77910700" w14:textId="77777777" w:rsidR="002A1CE9" w:rsidRPr="00F85A48" w:rsidRDefault="00B330A4" w:rsidP="006C6397">
      <w:pPr>
        <w:rPr>
          <w:rFonts w:ascii="Verdana" w:eastAsia="Times New Roman" w:hAnsi="Verdana" w:cs="Times New Roman"/>
        </w:rPr>
      </w:pPr>
      <w:r w:rsidRPr="00F85A48">
        <w:rPr>
          <w:rFonts w:ascii="Verdana" w:eastAsia="Times New Roman" w:hAnsi="Verdana" w:cs="Times New Roman"/>
        </w:rPr>
        <w:t>% DP – Proportion receiving a disability pension between 1980-2008</w:t>
      </w:r>
    </w:p>
    <w:p w14:paraId="11C67999" w14:textId="77777777" w:rsidR="002A1CE9" w:rsidRDefault="002A1CE9" w:rsidP="006C6397">
      <w:pPr>
        <w:rPr>
          <w:rFonts w:ascii="Times New Roman" w:eastAsia="Times New Roman" w:hAnsi="Times New Roman" w:cs="Times New Roman"/>
        </w:rPr>
      </w:pPr>
    </w:p>
    <w:p w14:paraId="063399F5" w14:textId="77777777" w:rsidR="002A1CE9" w:rsidRDefault="002A1CE9">
      <w:pPr>
        <w:rPr>
          <w:rFonts w:ascii="Times New Roman" w:eastAsia="Times New Roman" w:hAnsi="Times New Roman" w:cs="Times New Roman"/>
        </w:rPr>
      </w:pPr>
      <w:r>
        <w:rPr>
          <w:rFonts w:ascii="Times New Roman" w:eastAsia="Times New Roman" w:hAnsi="Times New Roman" w:cs="Times New Roman"/>
        </w:rPr>
        <w:br w:type="page"/>
      </w:r>
    </w:p>
    <w:p w14:paraId="33D9282B" w14:textId="4290424D" w:rsidR="006F629A" w:rsidRPr="006949BB" w:rsidRDefault="006F629A" w:rsidP="00F85A48">
      <w:pPr>
        <w:tabs>
          <w:tab w:val="left" w:pos="360"/>
        </w:tabs>
        <w:spacing w:line="480" w:lineRule="auto"/>
        <w:ind w:left="360" w:hanging="360"/>
        <w:rPr>
          <w:rFonts w:ascii="Verdana" w:eastAsia="Calibri" w:hAnsi="Verdana"/>
          <w:b/>
        </w:rPr>
      </w:pPr>
      <w:r w:rsidRPr="009E7DEF">
        <w:rPr>
          <w:rFonts w:ascii="Verdana" w:eastAsia="Calibri" w:hAnsi="Verdana"/>
        </w:rPr>
        <w:lastRenderedPageBreak/>
        <w:tab/>
      </w:r>
      <w:r w:rsidR="00231F1F" w:rsidRPr="006949BB">
        <w:rPr>
          <w:rFonts w:ascii="Verdana" w:eastAsia="Calibri" w:hAnsi="Verdana"/>
          <w:b/>
        </w:rPr>
        <w:t>References</w:t>
      </w:r>
    </w:p>
    <w:p w14:paraId="2CE6C6B9" w14:textId="09C2C8C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1.</w:t>
      </w:r>
      <w:r w:rsidRPr="00C253C5">
        <w:rPr>
          <w:rFonts w:ascii="Verdana" w:eastAsia="Calibri" w:hAnsi="Verdana"/>
        </w:rPr>
        <w:tab/>
      </w:r>
      <w:r w:rsidRPr="009E7DEF">
        <w:rPr>
          <w:rFonts w:ascii="Verdana" w:eastAsia="Calibri" w:hAnsi="Verdana"/>
        </w:rPr>
        <w:t xml:space="preserve">World Health Organisation. Department of Economic and Social Affairs. World Population Ageing:  1950-2050. </w:t>
      </w:r>
      <w:hyperlink r:id="rId11" w:history="1">
        <w:r w:rsidRPr="00042C5C">
          <w:rPr>
            <w:rStyle w:val="Hyperlink"/>
            <w:rFonts w:ascii="Verdana" w:eastAsia="Calibri" w:hAnsi="Verdana" w:cstheme="minorBidi"/>
          </w:rPr>
          <w:t>http://www.un.org/esa/population/publications/worldageing19502050/</w:t>
        </w:r>
      </w:hyperlink>
      <w:r w:rsidRPr="009E7DEF">
        <w:rPr>
          <w:rFonts w:ascii="Verdana" w:eastAsia="Calibri" w:hAnsi="Verdana"/>
        </w:rPr>
        <w:t xml:space="preserve"> </w:t>
      </w:r>
    </w:p>
    <w:p w14:paraId="2C627D87" w14:textId="16E826E3"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2.</w:t>
      </w:r>
      <w:r w:rsidRPr="00C253C5">
        <w:rPr>
          <w:rFonts w:ascii="Verdana" w:eastAsia="Calibri" w:hAnsi="Verdana"/>
        </w:rPr>
        <w:tab/>
      </w:r>
      <w:r w:rsidRPr="009E7DEF">
        <w:rPr>
          <w:rFonts w:ascii="Verdana" w:eastAsia="Calibri" w:hAnsi="Verdana"/>
        </w:rPr>
        <w:t>Office for National Statistics. Pension Trends. Chapter 4: The Labour Market and Retirement, 2013 Edition</w:t>
      </w:r>
      <w:r w:rsidR="00AD0AD1">
        <w:rPr>
          <w:rFonts w:ascii="Verdana" w:eastAsia="Calibri" w:hAnsi="Verdana"/>
        </w:rPr>
        <w:t xml:space="preserve"> </w:t>
      </w:r>
      <w:r w:rsidR="00AD0AD1" w:rsidRPr="009E7DEF">
        <w:rPr>
          <w:rFonts w:ascii="Verdana" w:eastAsia="Calibri" w:hAnsi="Verdana"/>
        </w:rPr>
        <w:t xml:space="preserve">(accessed </w:t>
      </w:r>
      <w:r w:rsidR="00AD0AD1">
        <w:rPr>
          <w:rFonts w:ascii="Verdana" w:eastAsia="Calibri" w:hAnsi="Verdana"/>
        </w:rPr>
        <w:t>23</w:t>
      </w:r>
      <w:r w:rsidR="00AD0AD1" w:rsidRPr="009E7DEF">
        <w:rPr>
          <w:rFonts w:ascii="Verdana" w:eastAsia="Calibri" w:hAnsi="Verdana"/>
        </w:rPr>
        <w:t>4/</w:t>
      </w:r>
      <w:r w:rsidR="00AD0AD1">
        <w:rPr>
          <w:rFonts w:ascii="Verdana" w:eastAsia="Calibri" w:hAnsi="Verdana"/>
        </w:rPr>
        <w:t>01</w:t>
      </w:r>
      <w:r w:rsidR="00AD0AD1" w:rsidRPr="009E7DEF">
        <w:rPr>
          <w:rFonts w:ascii="Verdana" w:eastAsia="Calibri" w:hAnsi="Verdana"/>
        </w:rPr>
        <w:t>/1</w:t>
      </w:r>
      <w:r w:rsidR="00AD0AD1">
        <w:rPr>
          <w:rFonts w:ascii="Verdana" w:eastAsia="Calibri" w:hAnsi="Verdana"/>
        </w:rPr>
        <w:t>5</w:t>
      </w:r>
      <w:r w:rsidR="00AD0AD1" w:rsidRPr="009E7DEF">
        <w:rPr>
          <w:rFonts w:ascii="Verdana" w:eastAsia="Calibri" w:hAnsi="Verdana"/>
        </w:rPr>
        <w:t xml:space="preserve">). </w:t>
      </w:r>
      <w:r w:rsidRPr="009E7DEF">
        <w:rPr>
          <w:rFonts w:ascii="Verdana" w:eastAsia="Calibri" w:hAnsi="Verdana"/>
        </w:rPr>
        <w:t xml:space="preserve"> </w:t>
      </w:r>
      <w:hyperlink r:id="rId12" w:history="1">
        <w:r w:rsidRPr="00C253C5">
          <w:rPr>
            <w:rFonts w:ascii="Verdana" w:eastAsia="Calibri" w:hAnsi="Verdana"/>
            <w:color w:val="0000FF"/>
            <w:u w:val="single"/>
          </w:rPr>
          <w:t>http://www.ons.gov.uk/ons/dcp171766_297899.pdf</w:t>
        </w:r>
      </w:hyperlink>
    </w:p>
    <w:p w14:paraId="5976611C" w14:textId="632893F3"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3.</w:t>
      </w:r>
      <w:r w:rsidRPr="00C253C5">
        <w:rPr>
          <w:rFonts w:ascii="Verdana" w:eastAsia="Calibri" w:hAnsi="Verdana"/>
        </w:rPr>
        <w:tab/>
      </w:r>
      <w:r w:rsidRPr="009E7DEF">
        <w:rPr>
          <w:rFonts w:ascii="Verdana" w:eastAsia="Calibri" w:hAnsi="Verdana"/>
        </w:rPr>
        <w:t xml:space="preserve">The Times. Number of over-65s in work tops 1m for first time. June 12th 2013 (accessed </w:t>
      </w:r>
      <w:r w:rsidR="00AD0AD1">
        <w:rPr>
          <w:rFonts w:ascii="Verdana" w:eastAsia="Calibri" w:hAnsi="Verdana"/>
        </w:rPr>
        <w:t>23</w:t>
      </w:r>
      <w:r w:rsidRPr="009E7DEF">
        <w:rPr>
          <w:rFonts w:ascii="Verdana" w:eastAsia="Calibri" w:hAnsi="Verdana"/>
        </w:rPr>
        <w:t>/</w:t>
      </w:r>
      <w:r w:rsidR="00AD0AD1">
        <w:rPr>
          <w:rFonts w:ascii="Verdana" w:eastAsia="Calibri" w:hAnsi="Verdana"/>
        </w:rPr>
        <w:t>01</w:t>
      </w:r>
      <w:r w:rsidRPr="009E7DEF">
        <w:rPr>
          <w:rFonts w:ascii="Verdana" w:eastAsia="Calibri" w:hAnsi="Verdana"/>
        </w:rPr>
        <w:t>/1</w:t>
      </w:r>
      <w:r w:rsidR="00AD0AD1">
        <w:rPr>
          <w:rFonts w:ascii="Verdana" w:eastAsia="Calibri" w:hAnsi="Verdana"/>
        </w:rPr>
        <w:t>5</w:t>
      </w:r>
      <w:r w:rsidRPr="009E7DEF">
        <w:rPr>
          <w:rFonts w:ascii="Verdana" w:eastAsia="Calibri" w:hAnsi="Verdana"/>
        </w:rPr>
        <w:t xml:space="preserve">). </w:t>
      </w:r>
      <w:hyperlink r:id="rId13" w:history="1">
        <w:r w:rsidRPr="00C253C5">
          <w:rPr>
            <w:rFonts w:ascii="Verdana" w:eastAsia="Calibri" w:hAnsi="Verdana"/>
            <w:color w:val="0000FF"/>
            <w:u w:val="single"/>
          </w:rPr>
          <w:t>http://www.thetimes.co.uk/tto/business/economics/article3789087.ece</w:t>
        </w:r>
      </w:hyperlink>
    </w:p>
    <w:p w14:paraId="2D784A70" w14:textId="7777777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4.</w:t>
      </w:r>
      <w:r w:rsidRPr="00C253C5">
        <w:rPr>
          <w:rFonts w:ascii="Verdana" w:eastAsia="Calibri" w:hAnsi="Verdana"/>
        </w:rPr>
        <w:tab/>
      </w:r>
      <w:r w:rsidRPr="009E7DEF">
        <w:rPr>
          <w:rFonts w:ascii="Verdana" w:eastAsia="Calibri" w:hAnsi="Verdana"/>
        </w:rPr>
        <w:t xml:space="preserve">Wegman DH.  Older workers. </w:t>
      </w:r>
      <w:r w:rsidRPr="006949BB">
        <w:rPr>
          <w:rFonts w:ascii="Verdana" w:eastAsia="Calibri" w:hAnsi="Verdana"/>
          <w:u w:val="single"/>
        </w:rPr>
        <w:t>Occupational Medicine</w:t>
      </w:r>
      <w:r w:rsidRPr="00C04CC6">
        <w:rPr>
          <w:rFonts w:ascii="Verdana" w:eastAsia="Calibri" w:hAnsi="Verdana"/>
          <w:u w:val="single"/>
        </w:rPr>
        <w:t>: State of the Art Reviews</w:t>
      </w:r>
      <w:r w:rsidRPr="009E7DEF">
        <w:rPr>
          <w:rFonts w:ascii="Verdana" w:eastAsia="Calibri" w:hAnsi="Verdana"/>
        </w:rPr>
        <w:t xml:space="preserve"> 1999;</w:t>
      </w:r>
      <w:r w:rsidRPr="006949BB">
        <w:rPr>
          <w:rFonts w:ascii="Verdana" w:eastAsia="Calibri" w:hAnsi="Verdana"/>
          <w:b/>
        </w:rPr>
        <w:t>14</w:t>
      </w:r>
      <w:r w:rsidRPr="009E7DEF">
        <w:rPr>
          <w:rFonts w:ascii="Verdana" w:eastAsia="Calibri" w:hAnsi="Verdana"/>
        </w:rPr>
        <w:t xml:space="preserve">:537-57.102:79-88.  </w:t>
      </w:r>
    </w:p>
    <w:p w14:paraId="7ACC674D" w14:textId="35219CDB" w:rsidR="006F629A"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5.</w:t>
      </w:r>
      <w:r w:rsidRPr="00C253C5">
        <w:rPr>
          <w:rFonts w:ascii="Verdana" w:eastAsia="Calibri" w:hAnsi="Verdana"/>
        </w:rPr>
        <w:tab/>
      </w:r>
      <w:r w:rsidRPr="009E7DEF">
        <w:rPr>
          <w:rFonts w:ascii="Verdana" w:eastAsia="Calibri" w:hAnsi="Verdana"/>
        </w:rPr>
        <w:t xml:space="preserve">Thomas E, Peat G, Harris L, </w:t>
      </w:r>
      <w:r w:rsidR="00C04CC6">
        <w:rPr>
          <w:rFonts w:ascii="Verdana" w:eastAsia="Calibri" w:hAnsi="Verdana"/>
        </w:rPr>
        <w:t>et al</w:t>
      </w:r>
      <w:r w:rsidRPr="009E7DEF">
        <w:rPr>
          <w:rFonts w:ascii="Verdana" w:eastAsia="Calibri" w:hAnsi="Verdana"/>
        </w:rPr>
        <w:t xml:space="preserve">.  The prevalence of pain and pain interference in a general population of older adults: cross-sectional findings from the North Staffordshire Osteoarthritis Project (NorStOP).  </w:t>
      </w:r>
      <w:r w:rsidRPr="006949BB">
        <w:rPr>
          <w:rFonts w:ascii="Verdana" w:eastAsia="Calibri" w:hAnsi="Verdana"/>
          <w:u w:val="single"/>
        </w:rPr>
        <w:t>Pain</w:t>
      </w:r>
      <w:r w:rsidRPr="009E7DEF">
        <w:rPr>
          <w:rFonts w:ascii="Verdana" w:eastAsia="Calibri" w:hAnsi="Verdana"/>
        </w:rPr>
        <w:t xml:space="preserve"> 2004;</w:t>
      </w:r>
      <w:r w:rsidRPr="006949BB">
        <w:rPr>
          <w:rFonts w:ascii="Verdana" w:eastAsia="Calibri" w:hAnsi="Verdana"/>
          <w:b/>
        </w:rPr>
        <w:t>110</w:t>
      </w:r>
      <w:r w:rsidRPr="009E7DEF">
        <w:rPr>
          <w:rFonts w:ascii="Verdana" w:eastAsia="Calibri" w:hAnsi="Verdana"/>
        </w:rPr>
        <w:t>:361-8.</w:t>
      </w:r>
    </w:p>
    <w:p w14:paraId="4F284FC2" w14:textId="650AC19D" w:rsidR="007E2C17" w:rsidRPr="009E7DEF" w:rsidRDefault="007E2C17" w:rsidP="00F85A48">
      <w:pPr>
        <w:tabs>
          <w:tab w:val="left" w:pos="360"/>
        </w:tabs>
        <w:spacing w:line="480" w:lineRule="auto"/>
        <w:ind w:left="360" w:hanging="360"/>
        <w:rPr>
          <w:rFonts w:ascii="Verdana" w:eastAsia="Calibri" w:hAnsi="Verdana"/>
        </w:rPr>
      </w:pPr>
      <w:r>
        <w:rPr>
          <w:rFonts w:ascii="Verdana" w:eastAsia="Calibri" w:hAnsi="Verdana"/>
        </w:rPr>
        <w:t>6.</w:t>
      </w:r>
      <w:r>
        <w:rPr>
          <w:rFonts w:ascii="Verdana" w:eastAsia="Calibri" w:hAnsi="Verdana"/>
        </w:rPr>
        <w:tab/>
      </w:r>
      <w:r w:rsidRPr="009E7DEF">
        <w:rPr>
          <w:rFonts w:ascii="Verdana" w:eastAsia="Calibri" w:hAnsi="Verdana"/>
        </w:rPr>
        <w:t xml:space="preserve">Picavet HSJ, Schouten JSAG.  Musculoskeletal pain in the Netherlands: prevalences, consequences and risk groups, the DMC3-study.  </w:t>
      </w:r>
      <w:r w:rsidRPr="006949BB">
        <w:rPr>
          <w:rFonts w:ascii="Verdana" w:eastAsia="Calibri" w:hAnsi="Verdana"/>
          <w:u w:val="single"/>
        </w:rPr>
        <w:t>Pain</w:t>
      </w:r>
      <w:r w:rsidRPr="009E7DEF">
        <w:rPr>
          <w:rFonts w:ascii="Verdana" w:eastAsia="Calibri" w:hAnsi="Verdana"/>
        </w:rPr>
        <w:t xml:space="preserve"> 2003;</w:t>
      </w:r>
      <w:r w:rsidRPr="006949BB">
        <w:rPr>
          <w:rFonts w:ascii="Verdana" w:eastAsia="Calibri" w:hAnsi="Verdana"/>
          <w:b/>
        </w:rPr>
        <w:t>102</w:t>
      </w:r>
      <w:r w:rsidRPr="009E7DEF">
        <w:rPr>
          <w:rFonts w:ascii="Verdana" w:eastAsia="Calibri" w:hAnsi="Verdana"/>
        </w:rPr>
        <w:t>:167-78.</w:t>
      </w:r>
    </w:p>
    <w:p w14:paraId="0EA3F328" w14:textId="3C9BE030"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7.</w:t>
      </w:r>
      <w:r w:rsidRPr="00C253C5">
        <w:rPr>
          <w:rFonts w:ascii="Verdana" w:eastAsia="Calibri" w:hAnsi="Verdana"/>
        </w:rPr>
        <w:tab/>
      </w:r>
      <w:r w:rsidRPr="009E7DEF">
        <w:rPr>
          <w:rFonts w:ascii="Verdana" w:eastAsia="Calibri" w:hAnsi="Verdana"/>
        </w:rPr>
        <w:t xml:space="preserve">Leroux I, Dionne CE, Bourbonnais R, </w:t>
      </w:r>
      <w:r w:rsidR="00C04CC6">
        <w:rPr>
          <w:rFonts w:ascii="Verdana" w:eastAsia="Calibri" w:hAnsi="Verdana"/>
        </w:rPr>
        <w:t>et al</w:t>
      </w:r>
      <w:r w:rsidRPr="009E7DEF">
        <w:rPr>
          <w:rFonts w:ascii="Verdana" w:eastAsia="Calibri" w:hAnsi="Verdana"/>
        </w:rPr>
        <w:t xml:space="preserve">.  Prevalence of musculoskeletal pain and associated factors in the Quebec working population.  </w:t>
      </w:r>
      <w:r w:rsidRPr="006949BB">
        <w:rPr>
          <w:rFonts w:ascii="Verdana" w:eastAsia="Calibri" w:hAnsi="Verdana"/>
          <w:u w:val="single"/>
        </w:rPr>
        <w:t>Int Arch Occup Environ Health</w:t>
      </w:r>
      <w:r w:rsidRPr="009E7DEF">
        <w:rPr>
          <w:rFonts w:ascii="Verdana" w:eastAsia="Calibri" w:hAnsi="Verdana"/>
        </w:rPr>
        <w:t xml:space="preserve"> 2005;</w:t>
      </w:r>
      <w:r w:rsidRPr="006949BB">
        <w:rPr>
          <w:rFonts w:ascii="Verdana" w:eastAsia="Calibri" w:hAnsi="Verdana"/>
          <w:b/>
        </w:rPr>
        <w:t>78</w:t>
      </w:r>
      <w:r w:rsidRPr="009E7DEF">
        <w:rPr>
          <w:rFonts w:ascii="Verdana" w:eastAsia="Calibri" w:hAnsi="Verdana"/>
        </w:rPr>
        <w:t>:379-86.</w:t>
      </w:r>
    </w:p>
    <w:p w14:paraId="42B3F483" w14:textId="67EBEE08"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8.</w:t>
      </w:r>
      <w:r w:rsidRPr="00C253C5">
        <w:rPr>
          <w:rFonts w:ascii="Verdana" w:eastAsia="Calibri" w:hAnsi="Verdana"/>
        </w:rPr>
        <w:tab/>
      </w:r>
      <w:r w:rsidRPr="009E7DEF">
        <w:rPr>
          <w:rFonts w:ascii="Verdana" w:eastAsia="Calibri" w:hAnsi="Verdana"/>
        </w:rPr>
        <w:t xml:space="preserve">Parsons S, Breen A, Foster NE, </w:t>
      </w:r>
      <w:r w:rsidR="00C04CC6">
        <w:rPr>
          <w:rFonts w:ascii="Verdana" w:eastAsia="Calibri" w:hAnsi="Verdana"/>
        </w:rPr>
        <w:t>et al</w:t>
      </w:r>
      <w:r w:rsidRPr="009E7DEF">
        <w:rPr>
          <w:rFonts w:ascii="Verdana" w:eastAsia="Calibri" w:hAnsi="Verdana"/>
        </w:rPr>
        <w:t xml:space="preserve">.  Prevalence and comparative troublesomeness by age of musculoskeletal pain in different body locations.  </w:t>
      </w:r>
      <w:r w:rsidRPr="006949BB">
        <w:rPr>
          <w:rFonts w:ascii="Verdana" w:eastAsia="Calibri" w:hAnsi="Verdana"/>
          <w:u w:val="single"/>
        </w:rPr>
        <w:t>Fam Pract</w:t>
      </w:r>
      <w:r w:rsidRPr="009E7DEF">
        <w:rPr>
          <w:rFonts w:ascii="Verdana" w:eastAsia="Calibri" w:hAnsi="Verdana"/>
        </w:rPr>
        <w:t xml:space="preserve"> 2007;</w:t>
      </w:r>
      <w:r w:rsidRPr="006949BB">
        <w:rPr>
          <w:rFonts w:ascii="Verdana" w:eastAsia="Calibri" w:hAnsi="Verdana"/>
          <w:b/>
        </w:rPr>
        <w:t>24</w:t>
      </w:r>
      <w:r w:rsidRPr="009E7DEF">
        <w:rPr>
          <w:rFonts w:ascii="Verdana" w:eastAsia="Calibri" w:hAnsi="Verdana"/>
        </w:rPr>
        <w:t xml:space="preserve">:308-16.  </w:t>
      </w:r>
    </w:p>
    <w:p w14:paraId="0CB81B29" w14:textId="7777777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lastRenderedPageBreak/>
        <w:t>9.</w:t>
      </w:r>
      <w:r w:rsidRPr="00C253C5">
        <w:rPr>
          <w:rFonts w:ascii="Verdana" w:eastAsia="Calibri" w:hAnsi="Verdana"/>
        </w:rPr>
        <w:tab/>
      </w:r>
      <w:r w:rsidRPr="009E7DEF">
        <w:rPr>
          <w:rFonts w:ascii="Verdana" w:eastAsia="Calibri" w:hAnsi="Verdana"/>
        </w:rPr>
        <w:t xml:space="preserve">Palmer KT, Griffin MJ, Syddall HE, et al. The relative importance of whole-body vibration and occupational lifting as risk factors for low-back pain. </w:t>
      </w:r>
      <w:r w:rsidRPr="006949BB">
        <w:rPr>
          <w:rFonts w:ascii="Verdana" w:eastAsia="Calibri" w:hAnsi="Verdana"/>
          <w:u w:val="single"/>
        </w:rPr>
        <w:t>Occup Environ Med</w:t>
      </w:r>
      <w:r w:rsidRPr="009E7DEF">
        <w:rPr>
          <w:rFonts w:ascii="Verdana" w:eastAsia="Calibri" w:hAnsi="Verdana"/>
        </w:rPr>
        <w:t xml:space="preserve"> 2003;</w:t>
      </w:r>
      <w:r w:rsidRPr="006949BB">
        <w:rPr>
          <w:rFonts w:ascii="Verdana" w:eastAsia="Calibri" w:hAnsi="Verdana"/>
          <w:b/>
        </w:rPr>
        <w:t>60</w:t>
      </w:r>
      <w:r w:rsidRPr="009E7DEF">
        <w:rPr>
          <w:rFonts w:ascii="Verdana" w:eastAsia="Calibri" w:hAnsi="Verdana"/>
        </w:rPr>
        <w:t>:715–21.</w:t>
      </w:r>
    </w:p>
    <w:p w14:paraId="0DF6B802" w14:textId="5F8AC1B1"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10.</w:t>
      </w:r>
      <w:r w:rsidRPr="00C253C5">
        <w:rPr>
          <w:rFonts w:ascii="Verdana" w:eastAsia="Calibri" w:hAnsi="Verdana"/>
        </w:rPr>
        <w:tab/>
      </w:r>
      <w:r w:rsidRPr="009E7DEF">
        <w:rPr>
          <w:rFonts w:ascii="Verdana" w:eastAsia="Calibri" w:hAnsi="Verdana"/>
        </w:rPr>
        <w:t xml:space="preserve">Burdorf A, Sorock G.  Positive and negative evidence of risk factors for back disorders.  </w:t>
      </w:r>
      <w:r w:rsidRPr="006949BB">
        <w:rPr>
          <w:rFonts w:ascii="Verdana" w:eastAsia="Calibri" w:hAnsi="Verdana"/>
          <w:u w:val="single"/>
        </w:rPr>
        <w:t>Scand J Work Environ Health</w:t>
      </w:r>
      <w:r w:rsidRPr="009E7DEF">
        <w:rPr>
          <w:rFonts w:ascii="Verdana" w:eastAsia="Calibri" w:hAnsi="Verdana"/>
        </w:rPr>
        <w:t xml:space="preserve"> 1997;</w:t>
      </w:r>
      <w:r w:rsidRPr="006949BB">
        <w:rPr>
          <w:rFonts w:ascii="Verdana" w:eastAsia="Calibri" w:hAnsi="Verdana"/>
          <w:b/>
        </w:rPr>
        <w:t>23</w:t>
      </w:r>
      <w:r w:rsidRPr="009E7DEF">
        <w:rPr>
          <w:rFonts w:ascii="Verdana" w:eastAsia="Calibri" w:hAnsi="Verdana"/>
        </w:rPr>
        <w:t>:243-56.</w:t>
      </w:r>
    </w:p>
    <w:p w14:paraId="4CFDDC79" w14:textId="7A2B3416"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11.</w:t>
      </w:r>
      <w:r w:rsidRPr="00C253C5">
        <w:rPr>
          <w:rFonts w:ascii="Verdana" w:eastAsia="Calibri" w:hAnsi="Verdana"/>
        </w:rPr>
        <w:tab/>
      </w:r>
      <w:r w:rsidRPr="009E7DEF">
        <w:rPr>
          <w:rFonts w:ascii="Verdana" w:eastAsia="Calibri" w:hAnsi="Verdana"/>
        </w:rPr>
        <w:t xml:space="preserve">Coggon D, Ntani G, Palmer KT, et al (the CUPID Collaboration). Disabling musculoskeletal pain in working populations: Is it the job, the person, or the culture?  </w:t>
      </w:r>
      <w:r w:rsidRPr="006949BB">
        <w:rPr>
          <w:rFonts w:ascii="Verdana" w:eastAsia="Calibri" w:hAnsi="Verdana"/>
          <w:u w:val="single"/>
        </w:rPr>
        <w:t>Pain</w:t>
      </w:r>
      <w:r w:rsidRPr="009E7DEF">
        <w:rPr>
          <w:rFonts w:ascii="Verdana" w:eastAsia="Calibri" w:hAnsi="Verdana"/>
        </w:rPr>
        <w:t xml:space="preserve"> 2013;</w:t>
      </w:r>
      <w:r w:rsidRPr="006949BB">
        <w:rPr>
          <w:rFonts w:ascii="Verdana" w:eastAsia="Calibri" w:hAnsi="Verdana"/>
          <w:b/>
        </w:rPr>
        <w:t>154</w:t>
      </w:r>
      <w:r w:rsidRPr="009E7DEF">
        <w:rPr>
          <w:rFonts w:ascii="Verdana" w:eastAsia="Calibri" w:hAnsi="Verdana"/>
        </w:rPr>
        <w:t>:856-63</w:t>
      </w:r>
    </w:p>
    <w:p w14:paraId="41FFED31" w14:textId="498683A4"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12.</w:t>
      </w:r>
      <w:r w:rsidRPr="00C253C5">
        <w:rPr>
          <w:rFonts w:ascii="Verdana" w:eastAsia="Calibri" w:hAnsi="Verdana"/>
        </w:rPr>
        <w:tab/>
      </w:r>
      <w:r w:rsidRPr="009E7DEF">
        <w:rPr>
          <w:rFonts w:ascii="Verdana" w:eastAsia="Calibri" w:hAnsi="Verdana"/>
        </w:rPr>
        <w:t xml:space="preserve">Walsh K, Cruddas M, Coggon D.  Low back pain in eight areas of Britain.  </w:t>
      </w:r>
      <w:r w:rsidRPr="006949BB">
        <w:rPr>
          <w:rFonts w:ascii="Verdana" w:eastAsia="Calibri" w:hAnsi="Verdana"/>
          <w:u w:val="single"/>
        </w:rPr>
        <w:t>J Epidemiol &amp; Comm Health</w:t>
      </w:r>
      <w:r w:rsidRPr="009E7DEF">
        <w:rPr>
          <w:rFonts w:ascii="Verdana" w:eastAsia="Calibri" w:hAnsi="Verdana"/>
        </w:rPr>
        <w:t xml:space="preserve"> 1992;</w:t>
      </w:r>
      <w:r w:rsidRPr="006949BB">
        <w:rPr>
          <w:rFonts w:ascii="Verdana" w:eastAsia="Calibri" w:hAnsi="Verdana"/>
          <w:b/>
        </w:rPr>
        <w:t>46</w:t>
      </w:r>
      <w:r w:rsidRPr="009E7DEF">
        <w:rPr>
          <w:rFonts w:ascii="Verdana" w:eastAsia="Calibri" w:hAnsi="Verdana"/>
        </w:rPr>
        <w:t>:227-30.</w:t>
      </w:r>
    </w:p>
    <w:p w14:paraId="123B4579" w14:textId="7777777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13.</w:t>
      </w:r>
      <w:r w:rsidRPr="00C253C5">
        <w:rPr>
          <w:rFonts w:ascii="Verdana" w:eastAsia="Calibri" w:hAnsi="Verdana"/>
        </w:rPr>
        <w:tab/>
      </w:r>
      <w:r w:rsidRPr="009E7DEF">
        <w:rPr>
          <w:rFonts w:ascii="Verdana" w:eastAsia="Calibri" w:hAnsi="Verdana"/>
        </w:rPr>
        <w:t>Heilskov-Hansen T. Physical work exposure and sex differences in work-related musculoskeletal disorders. PhD thesis. Faculty of Health and Medical Sciences, University of Copenhagen, 2014.</w:t>
      </w:r>
    </w:p>
    <w:p w14:paraId="06E4F02D" w14:textId="4CE98686"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14.</w:t>
      </w:r>
      <w:r w:rsidRPr="00C253C5">
        <w:rPr>
          <w:rFonts w:ascii="Verdana" w:eastAsia="Calibri" w:hAnsi="Verdana"/>
        </w:rPr>
        <w:tab/>
      </w:r>
      <w:r w:rsidRPr="009E7DEF">
        <w:rPr>
          <w:rFonts w:ascii="Verdana" w:eastAsia="Calibri" w:hAnsi="Verdana"/>
        </w:rPr>
        <w:t xml:space="preserve">Woolf AD, Pfleger B.  Burden of major musculoskeletal conditions.  </w:t>
      </w:r>
      <w:r w:rsidRPr="006949BB">
        <w:rPr>
          <w:rFonts w:ascii="Verdana" w:eastAsia="Calibri" w:hAnsi="Verdana"/>
          <w:u w:val="single"/>
        </w:rPr>
        <w:t>Bulletin of the World Health Organisation</w:t>
      </w:r>
      <w:r w:rsidRPr="009E7DEF">
        <w:rPr>
          <w:rFonts w:ascii="Verdana" w:eastAsia="Calibri" w:hAnsi="Verdana"/>
        </w:rPr>
        <w:t xml:space="preserve"> 2003;</w:t>
      </w:r>
      <w:r w:rsidRPr="006949BB">
        <w:rPr>
          <w:rFonts w:ascii="Verdana" w:eastAsia="Calibri" w:hAnsi="Verdana"/>
          <w:b/>
        </w:rPr>
        <w:t>81</w:t>
      </w:r>
      <w:r w:rsidRPr="009E7DEF">
        <w:rPr>
          <w:rFonts w:ascii="Verdana" w:eastAsia="Calibri" w:hAnsi="Verdana"/>
        </w:rPr>
        <w:t>:646-56.</w:t>
      </w:r>
    </w:p>
    <w:p w14:paraId="17DEB130" w14:textId="115292A8" w:rsidR="006F629A" w:rsidRPr="009E7DEF" w:rsidRDefault="006F629A" w:rsidP="00F85A48">
      <w:pPr>
        <w:widowControl w:val="0"/>
        <w:tabs>
          <w:tab w:val="left" w:pos="360"/>
        </w:tabs>
        <w:spacing w:line="480" w:lineRule="auto"/>
        <w:ind w:left="360" w:hanging="360"/>
        <w:rPr>
          <w:rFonts w:ascii="Verdana" w:eastAsia="Calibri" w:hAnsi="Verdana"/>
        </w:rPr>
      </w:pPr>
      <w:r w:rsidRPr="00C253C5">
        <w:rPr>
          <w:rFonts w:ascii="Verdana" w:eastAsia="Calibri" w:hAnsi="Verdana"/>
        </w:rPr>
        <w:t>15.</w:t>
      </w:r>
      <w:r w:rsidRPr="00C253C5">
        <w:rPr>
          <w:rFonts w:ascii="Verdana" w:eastAsia="Calibri" w:hAnsi="Verdana"/>
        </w:rPr>
        <w:tab/>
      </w:r>
      <w:r w:rsidRPr="009E7DEF">
        <w:rPr>
          <w:rFonts w:ascii="Verdana" w:eastAsia="Calibri" w:hAnsi="Verdana"/>
        </w:rPr>
        <w:t>Peat G, McCarney R</w:t>
      </w:r>
      <w:r w:rsidR="00E835D4">
        <w:rPr>
          <w:rFonts w:ascii="Verdana" w:eastAsia="Calibri" w:hAnsi="Verdana"/>
        </w:rPr>
        <w:t>,</w:t>
      </w:r>
      <w:r w:rsidRPr="009E7DEF">
        <w:rPr>
          <w:rFonts w:ascii="Verdana" w:eastAsia="Calibri" w:hAnsi="Verdana"/>
        </w:rPr>
        <w:t xml:space="preserve"> Croft P. Knee pain and osteoarthritis in older adults: a review of community burden and current use of primary health care. </w:t>
      </w:r>
      <w:r w:rsidRPr="006949BB">
        <w:rPr>
          <w:rFonts w:ascii="Verdana" w:eastAsia="Calibri" w:hAnsi="Verdana"/>
          <w:u w:val="single"/>
        </w:rPr>
        <w:t>Ann Rheum Dis</w:t>
      </w:r>
      <w:r w:rsidRPr="009E7DEF">
        <w:rPr>
          <w:rFonts w:ascii="Verdana" w:eastAsia="Calibri" w:hAnsi="Verdana"/>
        </w:rPr>
        <w:t xml:space="preserve"> 2001;</w:t>
      </w:r>
      <w:r w:rsidRPr="006949BB">
        <w:rPr>
          <w:rFonts w:ascii="Verdana" w:eastAsia="Calibri" w:hAnsi="Verdana"/>
          <w:b/>
        </w:rPr>
        <w:t>60</w:t>
      </w:r>
      <w:r w:rsidRPr="009E7DEF">
        <w:rPr>
          <w:rFonts w:ascii="Verdana" w:eastAsia="Calibri" w:hAnsi="Verdana"/>
        </w:rPr>
        <w:t>:91–97.</w:t>
      </w:r>
    </w:p>
    <w:p w14:paraId="554032D0" w14:textId="36391BE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16.</w:t>
      </w:r>
      <w:r w:rsidRPr="00C253C5">
        <w:rPr>
          <w:rFonts w:ascii="Verdana" w:eastAsia="Calibri" w:hAnsi="Verdana"/>
        </w:rPr>
        <w:tab/>
      </w:r>
      <w:r w:rsidRPr="009E7DEF">
        <w:rPr>
          <w:rFonts w:ascii="Verdana" w:eastAsia="Calibri" w:hAnsi="Verdana"/>
        </w:rPr>
        <w:t xml:space="preserve">Baker P, Reading I, Cooper C, </w:t>
      </w:r>
      <w:r w:rsidR="00C04CC6">
        <w:rPr>
          <w:rFonts w:ascii="Verdana" w:eastAsia="Calibri" w:hAnsi="Verdana"/>
        </w:rPr>
        <w:t>et al</w:t>
      </w:r>
      <w:r w:rsidRPr="009E7DEF">
        <w:rPr>
          <w:rFonts w:ascii="Verdana" w:eastAsia="Calibri" w:hAnsi="Verdana"/>
        </w:rPr>
        <w:t xml:space="preserve">.  Knee disorders in the general population and their relation to occupation.  </w:t>
      </w:r>
      <w:r w:rsidRPr="006949BB">
        <w:rPr>
          <w:rFonts w:ascii="Verdana" w:eastAsia="Calibri" w:hAnsi="Verdana"/>
          <w:u w:val="single"/>
        </w:rPr>
        <w:t>Occup Environ Med</w:t>
      </w:r>
      <w:r w:rsidRPr="009E7DEF">
        <w:rPr>
          <w:rFonts w:ascii="Verdana" w:eastAsia="Calibri" w:hAnsi="Verdana"/>
        </w:rPr>
        <w:t xml:space="preserve"> 2003;</w:t>
      </w:r>
      <w:r w:rsidRPr="006949BB">
        <w:rPr>
          <w:rFonts w:ascii="Verdana" w:eastAsia="Calibri" w:hAnsi="Verdana"/>
          <w:b/>
        </w:rPr>
        <w:t>60</w:t>
      </w:r>
      <w:r w:rsidRPr="009E7DEF">
        <w:rPr>
          <w:rFonts w:ascii="Verdana" w:eastAsia="Calibri" w:hAnsi="Verdana"/>
        </w:rPr>
        <w:t>:794-7.</w:t>
      </w:r>
    </w:p>
    <w:p w14:paraId="1AEA2E21" w14:textId="0F36C365"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17.</w:t>
      </w:r>
      <w:r w:rsidRPr="00C253C5">
        <w:rPr>
          <w:rFonts w:ascii="Verdana" w:eastAsia="Calibri" w:hAnsi="Verdana"/>
        </w:rPr>
        <w:tab/>
      </w:r>
      <w:r w:rsidRPr="009E7DEF">
        <w:rPr>
          <w:rFonts w:ascii="Verdana" w:eastAsia="Calibri" w:hAnsi="Verdana"/>
        </w:rPr>
        <w:t>Cicuttini F, Ding C, Wluka A,</w:t>
      </w:r>
      <w:r w:rsidR="00E835D4">
        <w:rPr>
          <w:rFonts w:ascii="Verdana" w:eastAsia="Calibri" w:hAnsi="Verdana"/>
        </w:rPr>
        <w:t xml:space="preserve"> et al</w:t>
      </w:r>
      <w:r w:rsidRPr="009E7DEF">
        <w:rPr>
          <w:rFonts w:ascii="Verdana" w:eastAsia="Calibri" w:hAnsi="Verdana"/>
        </w:rPr>
        <w:t xml:space="preserve">.  Association of cartilage defects with loss of knee cartilage in healthy, middle-age adults.  A prospective study.  </w:t>
      </w:r>
      <w:r w:rsidRPr="006949BB">
        <w:rPr>
          <w:rFonts w:ascii="Verdana" w:eastAsia="Calibri" w:hAnsi="Verdana"/>
          <w:u w:val="single"/>
        </w:rPr>
        <w:t>Arth Rheum</w:t>
      </w:r>
      <w:r w:rsidRPr="009E7DEF">
        <w:rPr>
          <w:rFonts w:ascii="Verdana" w:eastAsia="Calibri" w:hAnsi="Verdana"/>
        </w:rPr>
        <w:t xml:space="preserve">  2005;</w:t>
      </w:r>
      <w:r w:rsidRPr="006949BB">
        <w:rPr>
          <w:rFonts w:ascii="Verdana" w:eastAsia="Calibri" w:hAnsi="Verdana"/>
          <w:b/>
        </w:rPr>
        <w:t>52</w:t>
      </w:r>
      <w:r w:rsidRPr="009E7DEF">
        <w:rPr>
          <w:rFonts w:ascii="Verdana" w:eastAsia="Calibri" w:hAnsi="Verdana"/>
        </w:rPr>
        <w:t>:2033-9.</w:t>
      </w:r>
    </w:p>
    <w:p w14:paraId="24F8764A" w14:textId="7455BBEE"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18.</w:t>
      </w:r>
      <w:r w:rsidRPr="00C253C5">
        <w:rPr>
          <w:rFonts w:ascii="Verdana" w:eastAsia="Calibri" w:hAnsi="Verdana"/>
        </w:rPr>
        <w:tab/>
      </w:r>
      <w:r w:rsidRPr="009E7DEF">
        <w:rPr>
          <w:rFonts w:ascii="Verdana" w:eastAsia="Calibri" w:hAnsi="Verdana"/>
        </w:rPr>
        <w:t xml:space="preserve">Tepper S, Hochberg MC.  Factors associated with hip osteoarthritis: Data from the first National Health and Nutrition Examination Survey (NHANES-1).  </w:t>
      </w:r>
      <w:r w:rsidRPr="006949BB">
        <w:rPr>
          <w:rFonts w:ascii="Verdana" w:eastAsia="Calibri" w:hAnsi="Verdana"/>
          <w:u w:val="single"/>
        </w:rPr>
        <w:t>Am J Epidemiol</w:t>
      </w:r>
      <w:r w:rsidRPr="009E7DEF">
        <w:rPr>
          <w:rFonts w:ascii="Verdana" w:eastAsia="Calibri" w:hAnsi="Verdana"/>
        </w:rPr>
        <w:t xml:space="preserve"> 1993;</w:t>
      </w:r>
      <w:r w:rsidRPr="006949BB">
        <w:rPr>
          <w:rFonts w:ascii="Verdana" w:eastAsia="Calibri" w:hAnsi="Verdana"/>
          <w:b/>
        </w:rPr>
        <w:t>137</w:t>
      </w:r>
      <w:r w:rsidRPr="009E7DEF">
        <w:rPr>
          <w:rFonts w:ascii="Verdana" w:eastAsia="Calibri" w:hAnsi="Verdana"/>
        </w:rPr>
        <w:t>:1081-8.</w:t>
      </w:r>
    </w:p>
    <w:p w14:paraId="6ADEC79A" w14:textId="5BDC4706"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lastRenderedPageBreak/>
        <w:t>19.</w:t>
      </w:r>
      <w:r w:rsidRPr="00C253C5">
        <w:rPr>
          <w:rFonts w:ascii="Verdana" w:eastAsia="Calibri" w:hAnsi="Verdana"/>
        </w:rPr>
        <w:tab/>
      </w:r>
      <w:r w:rsidRPr="009E7DEF">
        <w:rPr>
          <w:rFonts w:ascii="Verdana" w:eastAsia="Calibri" w:hAnsi="Verdana"/>
        </w:rPr>
        <w:t xml:space="preserve">Cuningham LS, Kelsey JL.  Epidemiology of musculoskeletal impairments and associated disability.  </w:t>
      </w:r>
      <w:r w:rsidRPr="006949BB">
        <w:rPr>
          <w:rFonts w:ascii="Verdana" w:eastAsia="Calibri" w:hAnsi="Verdana"/>
          <w:u w:val="single"/>
        </w:rPr>
        <w:t>Am J Public Health</w:t>
      </w:r>
      <w:r w:rsidRPr="009E7DEF">
        <w:rPr>
          <w:rFonts w:ascii="Verdana" w:eastAsia="Calibri" w:hAnsi="Verdana"/>
        </w:rPr>
        <w:t xml:space="preserve"> 1984;</w:t>
      </w:r>
      <w:r w:rsidRPr="006949BB">
        <w:rPr>
          <w:rFonts w:ascii="Verdana" w:eastAsia="Calibri" w:hAnsi="Verdana"/>
          <w:b/>
        </w:rPr>
        <w:t>74</w:t>
      </w:r>
      <w:r w:rsidRPr="009E7DEF">
        <w:rPr>
          <w:rFonts w:ascii="Verdana" w:eastAsia="Calibri" w:hAnsi="Verdana"/>
        </w:rPr>
        <w:t>:574-9.</w:t>
      </w:r>
    </w:p>
    <w:p w14:paraId="7F9C4D29" w14:textId="7777777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20.</w:t>
      </w:r>
      <w:r w:rsidRPr="00C253C5">
        <w:rPr>
          <w:rFonts w:ascii="Verdana" w:eastAsia="Calibri" w:hAnsi="Verdana"/>
        </w:rPr>
        <w:tab/>
      </w:r>
      <w:r w:rsidRPr="009E7DEF">
        <w:rPr>
          <w:rFonts w:ascii="Verdana" w:eastAsia="Calibri" w:hAnsi="Verdana"/>
        </w:rPr>
        <w:t xml:space="preserve">National Joint Registry for England and Wales. 8th Annual Report 2011.  </w:t>
      </w:r>
      <w:hyperlink r:id="rId14" w:history="1">
        <w:r w:rsidRPr="00C253C5">
          <w:rPr>
            <w:rFonts w:ascii="Verdana" w:eastAsia="Calibri" w:hAnsi="Verdana"/>
            <w:color w:val="0000FF"/>
            <w:u w:val="single"/>
          </w:rPr>
          <w:t>http://www.njrcentre.org.uk/NjrCentre/Portals/0/Documents/NJR%208th%20Annual%20Report%202011.pdf</w:t>
        </w:r>
      </w:hyperlink>
    </w:p>
    <w:p w14:paraId="2A492597" w14:textId="0F57AC7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21.</w:t>
      </w:r>
      <w:r w:rsidRPr="00C253C5">
        <w:rPr>
          <w:rFonts w:ascii="Verdana" w:eastAsia="Calibri" w:hAnsi="Verdana"/>
        </w:rPr>
        <w:tab/>
      </w:r>
      <w:r w:rsidRPr="009E7DEF">
        <w:rPr>
          <w:rFonts w:ascii="Verdana" w:eastAsia="Calibri" w:hAnsi="Verdana"/>
        </w:rPr>
        <w:t xml:space="preserve">Paavolainen P, Hamalainen M, Mustonen H, </w:t>
      </w:r>
      <w:r w:rsidR="00C04CC6">
        <w:rPr>
          <w:rFonts w:ascii="Verdana" w:eastAsia="Calibri" w:hAnsi="Verdana"/>
        </w:rPr>
        <w:t>et al</w:t>
      </w:r>
      <w:r w:rsidRPr="009E7DEF">
        <w:rPr>
          <w:rFonts w:ascii="Verdana" w:eastAsia="Calibri" w:hAnsi="Verdana"/>
        </w:rPr>
        <w:t xml:space="preserve">.  Registration of arthroplasties in Finland.  A nationwide prospective project.  </w:t>
      </w:r>
      <w:r w:rsidRPr="006949BB">
        <w:rPr>
          <w:rFonts w:ascii="Verdana" w:eastAsia="Calibri" w:hAnsi="Verdana"/>
          <w:u w:val="single"/>
        </w:rPr>
        <w:t>Acta Orthop Scand Suppl</w:t>
      </w:r>
      <w:r w:rsidRPr="009E7DEF">
        <w:rPr>
          <w:rFonts w:ascii="Verdana" w:eastAsia="Calibri" w:hAnsi="Verdana"/>
        </w:rPr>
        <w:t xml:space="preserve"> 1991;</w:t>
      </w:r>
      <w:r w:rsidRPr="006949BB">
        <w:rPr>
          <w:rFonts w:ascii="Verdana" w:eastAsia="Calibri" w:hAnsi="Verdana"/>
          <w:b/>
        </w:rPr>
        <w:t>241</w:t>
      </w:r>
      <w:r w:rsidRPr="009E7DEF">
        <w:rPr>
          <w:rFonts w:ascii="Verdana" w:eastAsia="Calibri" w:hAnsi="Verdana"/>
        </w:rPr>
        <w:t>:27-30.</w:t>
      </w:r>
    </w:p>
    <w:p w14:paraId="5333E9E5" w14:textId="7777777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22.</w:t>
      </w:r>
      <w:r w:rsidRPr="00C253C5">
        <w:rPr>
          <w:rFonts w:ascii="Verdana" w:eastAsia="Calibri" w:hAnsi="Verdana"/>
        </w:rPr>
        <w:tab/>
      </w:r>
      <w:r w:rsidRPr="009E7DEF">
        <w:rPr>
          <w:rFonts w:ascii="Verdana" w:eastAsia="Calibri" w:hAnsi="Verdana"/>
        </w:rPr>
        <w:t>Overgaard S. Dansk Hoftealloplastik Register. Årsrapport 2011 [Danish Hip Arthroplasty Register. Annual report 2011]. Odense: Dansk Hoftealloplastik Register [Danish Hip Arthroplasty Register].</w:t>
      </w:r>
    </w:p>
    <w:p w14:paraId="09A0E072" w14:textId="3A3DA6D8"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23.</w:t>
      </w:r>
      <w:r w:rsidRPr="00C253C5">
        <w:rPr>
          <w:rFonts w:ascii="Verdana" w:eastAsia="Calibri" w:hAnsi="Verdana"/>
        </w:rPr>
        <w:tab/>
      </w:r>
      <w:r w:rsidRPr="009E7DEF">
        <w:rPr>
          <w:rFonts w:ascii="Verdana" w:eastAsia="Calibri" w:hAnsi="Verdana"/>
        </w:rPr>
        <w:t xml:space="preserve">Symmons DPM, Barrett EM, Bankhead CR, </w:t>
      </w:r>
      <w:r w:rsidR="00E835D4">
        <w:rPr>
          <w:rFonts w:ascii="Verdana" w:eastAsia="Calibri" w:hAnsi="Verdana"/>
        </w:rPr>
        <w:t>et al</w:t>
      </w:r>
      <w:r w:rsidRPr="009E7DEF">
        <w:rPr>
          <w:rFonts w:ascii="Verdana" w:eastAsia="Calibri" w:hAnsi="Verdana"/>
        </w:rPr>
        <w:t xml:space="preserve">. The incidence of rheumatoid arthritis in the United Kingdom: results from the Norfolk Arthritis Register. </w:t>
      </w:r>
      <w:r w:rsidRPr="006949BB">
        <w:rPr>
          <w:rFonts w:ascii="Verdana" w:eastAsia="Calibri" w:hAnsi="Verdana"/>
          <w:u w:val="single"/>
        </w:rPr>
        <w:t>B J Rheumatol</w:t>
      </w:r>
      <w:r w:rsidRPr="009E7DEF">
        <w:rPr>
          <w:rFonts w:ascii="Verdana" w:eastAsia="Calibri" w:hAnsi="Verdana"/>
        </w:rPr>
        <w:t xml:space="preserve"> 1994;</w:t>
      </w:r>
      <w:r w:rsidRPr="006949BB">
        <w:rPr>
          <w:rFonts w:ascii="Verdana" w:eastAsia="Calibri" w:hAnsi="Verdana"/>
          <w:b/>
        </w:rPr>
        <w:t>33</w:t>
      </w:r>
      <w:r w:rsidRPr="009E7DEF">
        <w:rPr>
          <w:rFonts w:ascii="Verdana" w:eastAsia="Calibri" w:hAnsi="Verdana"/>
        </w:rPr>
        <w:t xml:space="preserve">:735-739. </w:t>
      </w:r>
    </w:p>
    <w:p w14:paraId="7BCF1841" w14:textId="569C7744"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24.</w:t>
      </w:r>
      <w:r w:rsidRPr="00C253C5">
        <w:rPr>
          <w:rFonts w:ascii="Verdana" w:eastAsia="Calibri" w:hAnsi="Verdana"/>
        </w:rPr>
        <w:tab/>
      </w:r>
      <w:r w:rsidRPr="009E7DEF">
        <w:rPr>
          <w:rFonts w:ascii="Verdana" w:eastAsia="Calibri" w:hAnsi="Verdana"/>
        </w:rPr>
        <w:t xml:space="preserve">van Staa TP, Dennison EM, Leufkens HG, </w:t>
      </w:r>
      <w:r w:rsidR="00C04CC6">
        <w:rPr>
          <w:rFonts w:ascii="Verdana" w:eastAsia="Calibri" w:hAnsi="Verdana"/>
        </w:rPr>
        <w:t>et al</w:t>
      </w:r>
      <w:r w:rsidRPr="009E7DEF">
        <w:rPr>
          <w:rFonts w:ascii="Verdana" w:eastAsia="Calibri" w:hAnsi="Verdana"/>
        </w:rPr>
        <w:t xml:space="preserve">. Epidemiology of fractures in England and Wales. </w:t>
      </w:r>
      <w:r w:rsidRPr="006949BB">
        <w:rPr>
          <w:rFonts w:ascii="Verdana" w:eastAsia="Calibri" w:hAnsi="Verdana"/>
          <w:u w:val="single"/>
        </w:rPr>
        <w:t>Bone</w:t>
      </w:r>
      <w:r w:rsidRPr="009E7DEF">
        <w:rPr>
          <w:rFonts w:ascii="Verdana" w:eastAsia="Calibri" w:hAnsi="Verdana"/>
        </w:rPr>
        <w:t xml:space="preserve"> 2001;</w:t>
      </w:r>
      <w:r w:rsidRPr="006949BB">
        <w:rPr>
          <w:rFonts w:ascii="Verdana" w:eastAsia="Calibri" w:hAnsi="Verdana"/>
          <w:b/>
        </w:rPr>
        <w:t>29</w:t>
      </w:r>
      <w:r w:rsidRPr="009E7DEF">
        <w:rPr>
          <w:rFonts w:ascii="Verdana" w:eastAsia="Calibri" w:hAnsi="Verdana"/>
        </w:rPr>
        <w:t>:517-22.</w:t>
      </w:r>
    </w:p>
    <w:p w14:paraId="52E26136" w14:textId="704551D2"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25.</w:t>
      </w:r>
      <w:r w:rsidRPr="00C253C5">
        <w:rPr>
          <w:rFonts w:ascii="Verdana" w:eastAsia="Calibri" w:hAnsi="Verdana"/>
        </w:rPr>
        <w:tab/>
      </w:r>
      <w:r w:rsidRPr="009E7DEF">
        <w:rPr>
          <w:rFonts w:ascii="Verdana" w:eastAsia="Calibri" w:hAnsi="Verdana"/>
        </w:rPr>
        <w:t xml:space="preserve">Gustafsson K, Aronsson G, Marklund S, </w:t>
      </w:r>
      <w:r w:rsidR="00E835D4">
        <w:rPr>
          <w:rFonts w:ascii="Verdana" w:eastAsia="Calibri" w:hAnsi="Verdana"/>
        </w:rPr>
        <w:t>et al</w:t>
      </w:r>
      <w:r w:rsidRPr="009E7DEF">
        <w:rPr>
          <w:rFonts w:ascii="Verdana" w:eastAsia="Calibri" w:hAnsi="Verdana"/>
        </w:rPr>
        <w:t xml:space="preserve">.  Social integration, socioeconomic conditions and type of ill health preceding disability pension in young women: a Swedish population-based study.  </w:t>
      </w:r>
      <w:r w:rsidRPr="006949BB">
        <w:rPr>
          <w:rFonts w:ascii="Verdana" w:eastAsia="Calibri" w:hAnsi="Verdana"/>
          <w:u w:val="single"/>
        </w:rPr>
        <w:t>Int J Behav Med</w:t>
      </w:r>
      <w:r w:rsidRPr="009E7DEF">
        <w:rPr>
          <w:rFonts w:ascii="Verdana" w:eastAsia="Calibri" w:hAnsi="Verdana"/>
        </w:rPr>
        <w:t xml:space="preserve">  2014;</w:t>
      </w:r>
      <w:r w:rsidRPr="006949BB">
        <w:rPr>
          <w:rFonts w:ascii="Verdana" w:eastAsia="Calibri" w:hAnsi="Verdana"/>
          <w:b/>
        </w:rPr>
        <w:t>21</w:t>
      </w:r>
      <w:r w:rsidRPr="009E7DEF">
        <w:rPr>
          <w:rFonts w:ascii="Verdana" w:eastAsia="Calibri" w:hAnsi="Verdana"/>
        </w:rPr>
        <w:t>:77-87.</w:t>
      </w:r>
    </w:p>
    <w:p w14:paraId="51B82829" w14:textId="555F6F62"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26.</w:t>
      </w:r>
      <w:r w:rsidRPr="00C253C5">
        <w:rPr>
          <w:rFonts w:ascii="Verdana" w:eastAsia="Calibri" w:hAnsi="Verdana"/>
        </w:rPr>
        <w:tab/>
      </w:r>
      <w:r w:rsidRPr="009E7DEF">
        <w:rPr>
          <w:rFonts w:ascii="Verdana" w:eastAsia="Calibri" w:hAnsi="Verdana"/>
        </w:rPr>
        <w:t xml:space="preserve">Alavinia SM, Burdorf A.  Unemployment and retirement and ill-health: a cross-sectional analysis across European countries.  </w:t>
      </w:r>
      <w:r w:rsidRPr="006949BB">
        <w:rPr>
          <w:rFonts w:ascii="Verdana" w:eastAsia="Calibri" w:hAnsi="Verdana"/>
          <w:u w:val="single"/>
        </w:rPr>
        <w:t>Int Arch Occup &amp; Environ Health</w:t>
      </w:r>
      <w:r w:rsidRPr="009E7DEF">
        <w:rPr>
          <w:rFonts w:ascii="Verdana" w:eastAsia="Calibri" w:hAnsi="Verdana"/>
        </w:rPr>
        <w:t xml:space="preserve"> 2008;</w:t>
      </w:r>
      <w:r w:rsidRPr="006949BB">
        <w:rPr>
          <w:rFonts w:ascii="Verdana" w:eastAsia="Calibri" w:hAnsi="Verdana"/>
          <w:b/>
        </w:rPr>
        <w:t>82</w:t>
      </w:r>
      <w:r w:rsidRPr="009E7DEF">
        <w:rPr>
          <w:rFonts w:ascii="Verdana" w:eastAsia="Calibri" w:hAnsi="Verdana"/>
        </w:rPr>
        <w:t>:39-45.</w:t>
      </w:r>
    </w:p>
    <w:p w14:paraId="20E99B0B" w14:textId="59723FEB"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27.</w:t>
      </w:r>
      <w:r w:rsidRPr="00C253C5">
        <w:rPr>
          <w:rFonts w:ascii="Verdana" w:eastAsia="Calibri" w:hAnsi="Verdana"/>
        </w:rPr>
        <w:tab/>
      </w:r>
      <w:r w:rsidRPr="009E7DEF">
        <w:rPr>
          <w:rFonts w:ascii="Verdana" w:eastAsia="Calibri" w:hAnsi="Verdana"/>
        </w:rPr>
        <w:t xml:space="preserve">Poole CJ.  Retirement on grounds of ill health: cross sectional survey in six organisations in United Kingdom.  </w:t>
      </w:r>
      <w:r w:rsidRPr="006949BB">
        <w:rPr>
          <w:rFonts w:ascii="Verdana" w:eastAsia="Calibri" w:hAnsi="Verdana"/>
          <w:u w:val="single"/>
        </w:rPr>
        <w:t>BMJ</w:t>
      </w:r>
      <w:r w:rsidRPr="009E7DEF">
        <w:rPr>
          <w:rFonts w:ascii="Verdana" w:eastAsia="Calibri" w:hAnsi="Verdana"/>
        </w:rPr>
        <w:t xml:space="preserve"> 1997;</w:t>
      </w:r>
      <w:r w:rsidRPr="006949BB">
        <w:rPr>
          <w:rFonts w:ascii="Verdana" w:eastAsia="Calibri" w:hAnsi="Verdana"/>
          <w:b/>
          <w:u w:val="single"/>
        </w:rPr>
        <w:t>314</w:t>
      </w:r>
      <w:r w:rsidRPr="009E7DEF">
        <w:rPr>
          <w:rFonts w:ascii="Verdana" w:eastAsia="Calibri" w:hAnsi="Verdana"/>
        </w:rPr>
        <w:t>:929-32.</w:t>
      </w:r>
    </w:p>
    <w:p w14:paraId="3CEDA8EC" w14:textId="344FD5E2"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lastRenderedPageBreak/>
        <w:t>28.</w:t>
      </w:r>
      <w:r w:rsidRPr="00C253C5">
        <w:rPr>
          <w:rFonts w:ascii="Verdana" w:eastAsia="Calibri" w:hAnsi="Verdana"/>
        </w:rPr>
        <w:tab/>
      </w:r>
      <w:r w:rsidRPr="009E7DEF">
        <w:rPr>
          <w:rFonts w:ascii="Verdana" w:eastAsia="Calibri" w:hAnsi="Verdana"/>
        </w:rPr>
        <w:t xml:space="preserve">Gleeson D, Gallagher J.  Ill health retirement among healthcare workers in the Southern Health Board of the Republic of Ireland.  </w:t>
      </w:r>
      <w:r w:rsidRPr="006949BB">
        <w:rPr>
          <w:rFonts w:ascii="Verdana" w:eastAsia="Calibri" w:hAnsi="Verdana"/>
          <w:u w:val="single"/>
        </w:rPr>
        <w:t>Occup Med</w:t>
      </w:r>
      <w:r w:rsidRPr="009E7DEF">
        <w:rPr>
          <w:rFonts w:ascii="Verdana" w:eastAsia="Calibri" w:hAnsi="Verdana"/>
        </w:rPr>
        <w:t xml:space="preserve"> 2005;</w:t>
      </w:r>
      <w:r w:rsidRPr="006949BB">
        <w:rPr>
          <w:rFonts w:ascii="Verdana" w:eastAsia="Calibri" w:hAnsi="Verdana"/>
          <w:b/>
        </w:rPr>
        <w:t>55</w:t>
      </w:r>
      <w:r w:rsidRPr="009E7DEF">
        <w:rPr>
          <w:rFonts w:ascii="Verdana" w:eastAsia="Calibri" w:hAnsi="Verdana"/>
        </w:rPr>
        <w:t>:364-8.</w:t>
      </w:r>
    </w:p>
    <w:p w14:paraId="04763ADB" w14:textId="55A4E55B"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29.</w:t>
      </w:r>
      <w:r w:rsidRPr="00C253C5">
        <w:rPr>
          <w:rFonts w:ascii="Verdana" w:eastAsia="Calibri" w:hAnsi="Verdana"/>
        </w:rPr>
        <w:tab/>
      </w:r>
      <w:r w:rsidRPr="009E7DEF">
        <w:rPr>
          <w:rFonts w:ascii="Verdana" w:eastAsia="Calibri" w:hAnsi="Verdana"/>
        </w:rPr>
        <w:t xml:space="preserve">Eriksen W, Natvig B, Bruusgaard D.  Sleep problems: a predictor of long-term work disability?  A four-year prospective study.  </w:t>
      </w:r>
      <w:r w:rsidRPr="006949BB">
        <w:rPr>
          <w:rFonts w:ascii="Verdana" w:eastAsia="Calibri" w:hAnsi="Verdana"/>
          <w:u w:val="single"/>
        </w:rPr>
        <w:t>Scand J Public Health</w:t>
      </w:r>
      <w:r w:rsidRPr="009E7DEF">
        <w:rPr>
          <w:rFonts w:ascii="Verdana" w:eastAsia="Calibri" w:hAnsi="Verdana"/>
        </w:rPr>
        <w:t xml:space="preserve"> 2001;</w:t>
      </w:r>
      <w:r w:rsidRPr="006949BB">
        <w:rPr>
          <w:rFonts w:ascii="Verdana" w:eastAsia="Calibri" w:hAnsi="Verdana"/>
          <w:b/>
        </w:rPr>
        <w:t>29</w:t>
      </w:r>
      <w:r w:rsidRPr="009E7DEF">
        <w:rPr>
          <w:rFonts w:ascii="Verdana" w:eastAsia="Calibri" w:hAnsi="Verdana"/>
        </w:rPr>
        <w:t>:23-31.</w:t>
      </w:r>
    </w:p>
    <w:p w14:paraId="5AB27F6B" w14:textId="605F6560" w:rsidR="00E835D4"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30.</w:t>
      </w:r>
      <w:r w:rsidRPr="00C253C5">
        <w:rPr>
          <w:rFonts w:ascii="Verdana" w:eastAsia="Calibri" w:hAnsi="Verdana"/>
        </w:rPr>
        <w:tab/>
      </w:r>
      <w:r w:rsidRPr="009E7DEF">
        <w:rPr>
          <w:rFonts w:ascii="Verdana" w:eastAsia="Calibri" w:hAnsi="Verdana"/>
        </w:rPr>
        <w:t xml:space="preserve">Pedersen J, Bjorner JB, Burr H, </w:t>
      </w:r>
      <w:r w:rsidR="00C04CC6">
        <w:rPr>
          <w:rFonts w:ascii="Verdana" w:eastAsia="Calibri" w:hAnsi="Verdana"/>
        </w:rPr>
        <w:t>et al</w:t>
      </w:r>
      <w:r w:rsidRPr="009E7DEF">
        <w:rPr>
          <w:rFonts w:ascii="Verdana" w:eastAsia="Calibri" w:hAnsi="Verdana"/>
        </w:rPr>
        <w:t xml:space="preserve">.  Transitions between sickness absence, work, unemployment, and disability in Denmark 2004-2008.  </w:t>
      </w:r>
      <w:r w:rsidRPr="006949BB">
        <w:rPr>
          <w:rFonts w:ascii="Verdana" w:eastAsia="Calibri" w:hAnsi="Verdana"/>
          <w:u w:val="single"/>
        </w:rPr>
        <w:t>Scand J Work Environ Health</w:t>
      </w:r>
      <w:r w:rsidRPr="009E7DEF">
        <w:rPr>
          <w:rFonts w:ascii="Verdana" w:eastAsia="Calibri" w:hAnsi="Verdana"/>
        </w:rPr>
        <w:t xml:space="preserve"> 2012;</w:t>
      </w:r>
      <w:r w:rsidRPr="006949BB">
        <w:rPr>
          <w:rFonts w:ascii="Verdana" w:eastAsia="Calibri" w:hAnsi="Verdana"/>
          <w:b/>
        </w:rPr>
        <w:t>38</w:t>
      </w:r>
      <w:r w:rsidRPr="009E7DEF">
        <w:rPr>
          <w:rFonts w:ascii="Verdana" w:eastAsia="Calibri" w:hAnsi="Verdana"/>
        </w:rPr>
        <w:t>:516-26.</w:t>
      </w:r>
    </w:p>
    <w:p w14:paraId="4DF4EF2E" w14:textId="38DBE0EF"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31.</w:t>
      </w:r>
      <w:r w:rsidRPr="00C253C5">
        <w:rPr>
          <w:rFonts w:ascii="Verdana" w:eastAsia="Calibri" w:hAnsi="Verdana"/>
        </w:rPr>
        <w:tab/>
      </w:r>
      <w:r w:rsidRPr="009E7DEF">
        <w:rPr>
          <w:rFonts w:ascii="Verdana" w:eastAsia="Calibri" w:hAnsi="Verdana"/>
        </w:rPr>
        <w:t>Schuring M, Robroek SJW, Otten FWJ,</w:t>
      </w:r>
      <w:r w:rsidR="007E2C17">
        <w:rPr>
          <w:rFonts w:ascii="Verdana" w:eastAsia="Calibri" w:hAnsi="Verdana"/>
        </w:rPr>
        <w:t xml:space="preserve"> et al</w:t>
      </w:r>
      <w:r w:rsidRPr="009E7DEF">
        <w:rPr>
          <w:rFonts w:ascii="Verdana" w:eastAsia="Calibri" w:hAnsi="Verdana"/>
        </w:rPr>
        <w:t xml:space="preserve">.  The effect of ill health and socioeconomic status on labor force exit and re-employment: a prospective study with ten years follow-up in the Netherlands.  </w:t>
      </w:r>
      <w:r w:rsidRPr="006949BB">
        <w:rPr>
          <w:rFonts w:ascii="Verdana" w:eastAsia="Calibri" w:hAnsi="Verdana"/>
          <w:u w:val="single"/>
        </w:rPr>
        <w:t>Scand J Work Environ Health</w:t>
      </w:r>
      <w:r w:rsidRPr="009E7DEF">
        <w:rPr>
          <w:rFonts w:ascii="Verdana" w:eastAsia="Calibri" w:hAnsi="Verdana"/>
        </w:rPr>
        <w:t xml:space="preserve"> 2013;</w:t>
      </w:r>
      <w:r w:rsidRPr="006949BB">
        <w:rPr>
          <w:rFonts w:ascii="Verdana" w:eastAsia="Calibri" w:hAnsi="Verdana"/>
          <w:b/>
        </w:rPr>
        <w:t>39</w:t>
      </w:r>
      <w:r w:rsidRPr="009E7DEF">
        <w:rPr>
          <w:rFonts w:ascii="Verdana" w:eastAsia="Calibri" w:hAnsi="Verdana"/>
        </w:rPr>
        <w:t>:134-43.</w:t>
      </w:r>
    </w:p>
    <w:p w14:paraId="488894B2" w14:textId="46908452"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32</w:t>
      </w:r>
      <w:r w:rsidRPr="00C253C5">
        <w:rPr>
          <w:rFonts w:ascii="Verdana" w:eastAsia="Calibri" w:hAnsi="Verdana"/>
        </w:rPr>
        <w:tab/>
      </w:r>
      <w:r w:rsidRPr="009E7DEF">
        <w:rPr>
          <w:rFonts w:ascii="Verdana" w:eastAsia="Calibri" w:hAnsi="Verdana"/>
        </w:rPr>
        <w:t xml:space="preserve">Van Rijn RM, Robroek SJW, Brouwer S, </w:t>
      </w:r>
      <w:r w:rsidR="00C04CC6">
        <w:rPr>
          <w:rFonts w:ascii="Verdana" w:eastAsia="Calibri" w:hAnsi="Verdana"/>
        </w:rPr>
        <w:t>et al</w:t>
      </w:r>
      <w:r w:rsidRPr="009E7DEF">
        <w:rPr>
          <w:rFonts w:ascii="Verdana" w:eastAsia="Calibri" w:hAnsi="Verdana"/>
        </w:rPr>
        <w:t xml:space="preserve">.  Influence of poor health on exit from paid employment: a systematic review.  </w:t>
      </w:r>
      <w:r w:rsidRPr="006949BB">
        <w:rPr>
          <w:rFonts w:ascii="Verdana" w:eastAsia="Calibri" w:hAnsi="Verdana"/>
          <w:u w:val="single"/>
        </w:rPr>
        <w:t>Occup Environ Med</w:t>
      </w:r>
      <w:r w:rsidRPr="009E7DEF">
        <w:rPr>
          <w:rFonts w:ascii="Verdana" w:eastAsia="Calibri" w:hAnsi="Verdana"/>
        </w:rPr>
        <w:t xml:space="preserve"> 2014;</w:t>
      </w:r>
      <w:r w:rsidRPr="006949BB">
        <w:rPr>
          <w:rFonts w:ascii="Verdana" w:eastAsia="Calibri" w:hAnsi="Verdana"/>
          <w:b/>
        </w:rPr>
        <w:t>71</w:t>
      </w:r>
      <w:r w:rsidRPr="009E7DEF">
        <w:rPr>
          <w:rFonts w:ascii="Verdana" w:eastAsia="Calibri" w:hAnsi="Verdana"/>
        </w:rPr>
        <w:t>:295-301.</w:t>
      </w:r>
    </w:p>
    <w:p w14:paraId="3ABD5A77" w14:textId="173302E3"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33.</w:t>
      </w:r>
      <w:r w:rsidRPr="00C253C5">
        <w:rPr>
          <w:rFonts w:ascii="Verdana" w:eastAsia="Calibri" w:hAnsi="Verdana"/>
        </w:rPr>
        <w:tab/>
      </w:r>
      <w:r w:rsidRPr="009E7DEF">
        <w:rPr>
          <w:rFonts w:ascii="Verdana" w:eastAsia="Calibri" w:hAnsi="Verdana"/>
        </w:rPr>
        <w:t xml:space="preserve">Jensen LD, Ryom PK, Christensen MV, </w:t>
      </w:r>
      <w:r w:rsidR="00C04CC6">
        <w:rPr>
          <w:rFonts w:ascii="Verdana" w:eastAsia="Calibri" w:hAnsi="Verdana"/>
        </w:rPr>
        <w:t>et al</w:t>
      </w:r>
      <w:r w:rsidRPr="009E7DEF">
        <w:rPr>
          <w:rFonts w:ascii="Verdana" w:eastAsia="Calibri" w:hAnsi="Verdana"/>
        </w:rPr>
        <w:t xml:space="preserve">.  Differences in risk factors for voluntary early retirement and disability pension: a 15-year follow-up in a cohort of nurses’ aides.  </w:t>
      </w:r>
      <w:r w:rsidRPr="006949BB">
        <w:rPr>
          <w:rFonts w:ascii="Verdana" w:eastAsia="Calibri" w:hAnsi="Verdana"/>
          <w:u w:val="single"/>
        </w:rPr>
        <w:t>BMJ Open</w:t>
      </w:r>
      <w:r w:rsidRPr="009E7DEF">
        <w:rPr>
          <w:rFonts w:ascii="Verdana" w:eastAsia="Calibri" w:hAnsi="Verdana"/>
        </w:rPr>
        <w:t xml:space="preserve"> 2012;</w:t>
      </w:r>
      <w:r w:rsidRPr="006949BB">
        <w:rPr>
          <w:rFonts w:ascii="Verdana" w:eastAsia="Calibri" w:hAnsi="Verdana"/>
          <w:b/>
        </w:rPr>
        <w:t>2</w:t>
      </w:r>
      <w:r w:rsidRPr="009E7DEF">
        <w:rPr>
          <w:rFonts w:ascii="Verdana" w:eastAsia="Calibri" w:hAnsi="Verdana"/>
        </w:rPr>
        <w:t>:e000991. doi:10.11.36/bmjopen-2012-000991.</w:t>
      </w:r>
    </w:p>
    <w:p w14:paraId="0D444CFE" w14:textId="571777FF"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34.</w:t>
      </w:r>
      <w:r w:rsidR="007B46DA" w:rsidRPr="007B46DA">
        <w:rPr>
          <w:rFonts w:ascii="Verdana" w:eastAsia="Calibri" w:hAnsi="Verdana"/>
        </w:rPr>
        <w:t xml:space="preserve"> </w:t>
      </w:r>
      <w:r w:rsidR="007B46DA" w:rsidRPr="009E7DEF">
        <w:rPr>
          <w:rFonts w:ascii="Verdana" w:eastAsia="Calibri" w:hAnsi="Verdana"/>
        </w:rPr>
        <w:t xml:space="preserve">Lund T, Iversen L, Poulsen KB.  Work environment factors, health, lifestyle and marital status as predictors of job change and early retirement in physically heavy occupations.  </w:t>
      </w:r>
      <w:r w:rsidR="007B46DA" w:rsidRPr="00936131">
        <w:rPr>
          <w:rFonts w:ascii="Verdana" w:eastAsia="Calibri" w:hAnsi="Verdana"/>
          <w:u w:val="single"/>
        </w:rPr>
        <w:t>Am J Ind Med</w:t>
      </w:r>
      <w:r w:rsidR="007B46DA" w:rsidRPr="009E7DEF">
        <w:rPr>
          <w:rFonts w:ascii="Verdana" w:eastAsia="Calibri" w:hAnsi="Verdana"/>
        </w:rPr>
        <w:t xml:space="preserve"> 2001;</w:t>
      </w:r>
      <w:r w:rsidR="007B46DA" w:rsidRPr="00936131">
        <w:rPr>
          <w:rFonts w:ascii="Verdana" w:eastAsia="Calibri" w:hAnsi="Verdana"/>
          <w:b/>
        </w:rPr>
        <w:t>40</w:t>
      </w:r>
      <w:r w:rsidR="007B46DA" w:rsidRPr="009E7DEF">
        <w:rPr>
          <w:rFonts w:ascii="Verdana" w:eastAsia="Calibri" w:hAnsi="Verdana"/>
        </w:rPr>
        <w:t>:161-9</w:t>
      </w:r>
      <w:r w:rsidRPr="00C253C5">
        <w:rPr>
          <w:rFonts w:ascii="Verdana" w:eastAsia="Calibri" w:hAnsi="Verdana"/>
        </w:rPr>
        <w:tab/>
      </w:r>
      <w:r w:rsidRPr="009E7DEF">
        <w:rPr>
          <w:rFonts w:ascii="Verdana" w:eastAsia="Calibri" w:hAnsi="Verdana"/>
        </w:rPr>
        <w:t>.</w:t>
      </w:r>
    </w:p>
    <w:p w14:paraId="104A63E0" w14:textId="51824505"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35.</w:t>
      </w:r>
      <w:r w:rsidRPr="00C253C5">
        <w:rPr>
          <w:rFonts w:ascii="Verdana" w:eastAsia="Calibri" w:hAnsi="Verdana"/>
        </w:rPr>
        <w:tab/>
      </w:r>
      <w:r w:rsidRPr="009E7DEF">
        <w:rPr>
          <w:rFonts w:ascii="Verdana" w:eastAsia="Calibri" w:hAnsi="Verdana"/>
        </w:rPr>
        <w:t xml:space="preserve">Kuoppala J, Lamminpää A, Väänänen-Tomppo I, </w:t>
      </w:r>
      <w:r w:rsidR="00C04CC6">
        <w:rPr>
          <w:rFonts w:ascii="Verdana" w:eastAsia="Calibri" w:hAnsi="Verdana"/>
        </w:rPr>
        <w:t>et al</w:t>
      </w:r>
      <w:r w:rsidRPr="009E7DEF">
        <w:rPr>
          <w:rFonts w:ascii="Verdana" w:eastAsia="Calibri" w:hAnsi="Verdana"/>
        </w:rPr>
        <w:t xml:space="preserve">.  Employee well-being and sick leave, occupational accident, and disability pension.  </w:t>
      </w:r>
      <w:r w:rsidRPr="006949BB">
        <w:rPr>
          <w:rFonts w:ascii="Verdana" w:eastAsia="Calibri" w:hAnsi="Verdana"/>
          <w:u w:val="single"/>
        </w:rPr>
        <w:t>JOEM</w:t>
      </w:r>
      <w:r w:rsidRPr="009E7DEF">
        <w:rPr>
          <w:rFonts w:ascii="Verdana" w:eastAsia="Calibri" w:hAnsi="Verdana"/>
        </w:rPr>
        <w:t xml:space="preserve"> 2011;</w:t>
      </w:r>
      <w:r w:rsidRPr="006949BB">
        <w:rPr>
          <w:rFonts w:ascii="Verdana" w:eastAsia="Calibri" w:hAnsi="Verdana"/>
          <w:b/>
        </w:rPr>
        <w:t>53</w:t>
      </w:r>
      <w:r w:rsidRPr="009E7DEF">
        <w:rPr>
          <w:rFonts w:ascii="Verdana" w:eastAsia="Calibri" w:hAnsi="Verdana"/>
        </w:rPr>
        <w:t>:633-40.</w:t>
      </w:r>
    </w:p>
    <w:p w14:paraId="10E63350" w14:textId="46421E5A"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lastRenderedPageBreak/>
        <w:t>36.</w:t>
      </w:r>
      <w:r w:rsidRPr="00C253C5">
        <w:rPr>
          <w:rFonts w:ascii="Verdana" w:eastAsia="Calibri" w:hAnsi="Verdana"/>
        </w:rPr>
        <w:tab/>
      </w:r>
      <w:r w:rsidRPr="009E7DEF">
        <w:rPr>
          <w:rFonts w:ascii="Verdana" w:eastAsia="Calibri" w:hAnsi="Verdana"/>
        </w:rPr>
        <w:t xml:space="preserve">Ropponen A, Narusyte J, Alexanderson K, </w:t>
      </w:r>
      <w:r w:rsidR="00C04CC6">
        <w:rPr>
          <w:rFonts w:ascii="Verdana" w:eastAsia="Calibri" w:hAnsi="Verdana"/>
        </w:rPr>
        <w:t>et al</w:t>
      </w:r>
      <w:r w:rsidRPr="009E7DEF">
        <w:rPr>
          <w:rFonts w:ascii="Verdana" w:eastAsia="Calibri" w:hAnsi="Verdana"/>
        </w:rPr>
        <w:t xml:space="preserve">.  Stability and change in health behaviours as predictors for disability pension: a prospective cohort study of Swedish twins.  </w:t>
      </w:r>
      <w:r w:rsidRPr="006949BB">
        <w:rPr>
          <w:rFonts w:ascii="Verdana" w:eastAsia="Calibri" w:hAnsi="Verdana"/>
          <w:u w:val="single"/>
        </w:rPr>
        <w:t>BMC Public Health</w:t>
      </w:r>
      <w:r w:rsidRPr="009E7DEF">
        <w:rPr>
          <w:rFonts w:ascii="Verdana" w:eastAsia="Calibri" w:hAnsi="Verdana"/>
        </w:rPr>
        <w:t xml:space="preserve"> 2011;</w:t>
      </w:r>
      <w:r w:rsidRPr="006949BB">
        <w:rPr>
          <w:rFonts w:ascii="Verdana" w:eastAsia="Calibri" w:hAnsi="Verdana"/>
          <w:b/>
        </w:rPr>
        <w:t>11</w:t>
      </w:r>
      <w:r w:rsidRPr="009E7DEF">
        <w:rPr>
          <w:rFonts w:ascii="Verdana" w:eastAsia="Calibri" w:hAnsi="Verdana"/>
        </w:rPr>
        <w:t>:678-88.</w:t>
      </w:r>
    </w:p>
    <w:p w14:paraId="6A4B3A9C" w14:textId="670C54C3"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37.</w:t>
      </w:r>
      <w:r w:rsidRPr="00C253C5">
        <w:rPr>
          <w:rFonts w:ascii="Verdana" w:eastAsia="Calibri" w:hAnsi="Verdana"/>
        </w:rPr>
        <w:tab/>
      </w:r>
      <w:r w:rsidRPr="009E7DEF">
        <w:rPr>
          <w:rFonts w:ascii="Verdana" w:eastAsia="Calibri" w:hAnsi="Verdana"/>
        </w:rPr>
        <w:t>Alexopoulos EC, Tanagra D, Detorakis I,</w:t>
      </w:r>
      <w:r w:rsidR="007E2C17">
        <w:rPr>
          <w:rFonts w:ascii="Verdana" w:eastAsia="Calibri" w:hAnsi="Verdana"/>
        </w:rPr>
        <w:t xml:space="preserve"> et al</w:t>
      </w:r>
      <w:r w:rsidRPr="009E7DEF">
        <w:rPr>
          <w:rFonts w:ascii="Verdana" w:eastAsia="Calibri" w:hAnsi="Verdana"/>
        </w:rPr>
        <w:t xml:space="preserve">.  Knee and low back complaints in professional hospital nurses: Occurrence, chronicity, care seeking and absenteeism.  </w:t>
      </w:r>
      <w:r w:rsidRPr="006949BB">
        <w:rPr>
          <w:rFonts w:ascii="Verdana" w:eastAsia="Calibri" w:hAnsi="Verdana"/>
          <w:u w:val="single"/>
        </w:rPr>
        <w:t>Work</w:t>
      </w:r>
      <w:r w:rsidRPr="009E7DEF">
        <w:rPr>
          <w:rFonts w:ascii="Verdana" w:eastAsia="Calibri" w:hAnsi="Verdana"/>
        </w:rPr>
        <w:t xml:space="preserve"> 2011;</w:t>
      </w:r>
      <w:r w:rsidRPr="006949BB">
        <w:rPr>
          <w:rFonts w:ascii="Verdana" w:eastAsia="Calibri" w:hAnsi="Verdana"/>
          <w:b/>
        </w:rPr>
        <w:t>38</w:t>
      </w:r>
      <w:r w:rsidRPr="009E7DEF">
        <w:rPr>
          <w:rFonts w:ascii="Verdana" w:eastAsia="Calibri" w:hAnsi="Verdana"/>
        </w:rPr>
        <w:t>:329-35.</w:t>
      </w:r>
    </w:p>
    <w:p w14:paraId="63145580" w14:textId="6C7061F5"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38.</w:t>
      </w:r>
      <w:r w:rsidR="007B46DA" w:rsidRPr="007B46DA">
        <w:rPr>
          <w:rFonts w:ascii="Verdana" w:eastAsia="Calibri" w:hAnsi="Verdana"/>
        </w:rPr>
        <w:t xml:space="preserve"> </w:t>
      </w:r>
      <w:r w:rsidR="007B46DA" w:rsidRPr="009E7DEF">
        <w:rPr>
          <w:rFonts w:ascii="Verdana" w:eastAsia="Calibri" w:hAnsi="Verdana"/>
        </w:rPr>
        <w:t xml:space="preserve">Lund T, Csonka A.  Risk factors in health, work environment, smoking status, and organizational context for work disability.  </w:t>
      </w:r>
      <w:r w:rsidR="007B46DA" w:rsidRPr="00936131">
        <w:rPr>
          <w:rFonts w:ascii="Verdana" w:eastAsia="Calibri" w:hAnsi="Verdana"/>
          <w:u w:val="single"/>
        </w:rPr>
        <w:t>Am J Ind Med</w:t>
      </w:r>
      <w:r w:rsidR="007B46DA" w:rsidRPr="009E7DEF">
        <w:rPr>
          <w:rFonts w:ascii="Verdana" w:eastAsia="Calibri" w:hAnsi="Verdana"/>
        </w:rPr>
        <w:t xml:space="preserve"> 2003;</w:t>
      </w:r>
      <w:r w:rsidR="007B46DA" w:rsidRPr="00936131">
        <w:rPr>
          <w:rFonts w:ascii="Verdana" w:eastAsia="Calibri" w:hAnsi="Verdana"/>
          <w:b/>
        </w:rPr>
        <w:t>44</w:t>
      </w:r>
      <w:r w:rsidR="007B46DA" w:rsidRPr="009E7DEF">
        <w:rPr>
          <w:rFonts w:ascii="Verdana" w:eastAsia="Calibri" w:hAnsi="Verdana"/>
        </w:rPr>
        <w:t>:492-501</w:t>
      </w:r>
      <w:r w:rsidRPr="009E7DEF">
        <w:rPr>
          <w:rFonts w:ascii="Verdana" w:eastAsia="Calibri" w:hAnsi="Verdana"/>
        </w:rPr>
        <w:t>.</w:t>
      </w:r>
    </w:p>
    <w:p w14:paraId="1E20FFBF" w14:textId="588362DC"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39.</w:t>
      </w:r>
      <w:r w:rsidRPr="00C253C5">
        <w:rPr>
          <w:rFonts w:ascii="Verdana" w:eastAsia="Calibri" w:hAnsi="Verdana"/>
        </w:rPr>
        <w:tab/>
      </w:r>
      <w:r w:rsidRPr="009E7DEF">
        <w:rPr>
          <w:rFonts w:ascii="Verdana" w:eastAsia="Calibri" w:hAnsi="Verdana"/>
        </w:rPr>
        <w:t>Krause N, Lynch J, Kaplan GA,</w:t>
      </w:r>
      <w:r w:rsidR="007E2C17">
        <w:rPr>
          <w:rFonts w:ascii="Verdana" w:eastAsia="Calibri" w:hAnsi="Verdana"/>
        </w:rPr>
        <w:t xml:space="preserve"> et al</w:t>
      </w:r>
      <w:r w:rsidRPr="009E7DEF">
        <w:rPr>
          <w:rFonts w:ascii="Verdana" w:eastAsia="Calibri" w:hAnsi="Verdana"/>
        </w:rPr>
        <w:t xml:space="preserve">.  Predictors of disability retirement.  </w:t>
      </w:r>
      <w:r w:rsidRPr="006949BB">
        <w:rPr>
          <w:rFonts w:ascii="Verdana" w:eastAsia="Calibri" w:hAnsi="Verdana"/>
          <w:u w:val="single"/>
        </w:rPr>
        <w:t>Scand J Work Environ Health</w:t>
      </w:r>
      <w:r w:rsidRPr="009E7DEF">
        <w:rPr>
          <w:rFonts w:ascii="Verdana" w:eastAsia="Calibri" w:hAnsi="Verdana"/>
        </w:rPr>
        <w:t xml:space="preserve"> 1997;</w:t>
      </w:r>
      <w:r w:rsidRPr="006949BB">
        <w:rPr>
          <w:rFonts w:ascii="Verdana" w:eastAsia="Calibri" w:hAnsi="Verdana"/>
          <w:b/>
        </w:rPr>
        <w:t>23</w:t>
      </w:r>
      <w:r w:rsidRPr="009E7DEF">
        <w:rPr>
          <w:rFonts w:ascii="Verdana" w:eastAsia="Calibri" w:hAnsi="Verdana"/>
        </w:rPr>
        <w:t>:403-13.</w:t>
      </w:r>
    </w:p>
    <w:p w14:paraId="72FFF99B" w14:textId="7E6E3CF9"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40.</w:t>
      </w:r>
      <w:r w:rsidRPr="00C253C5">
        <w:rPr>
          <w:rFonts w:ascii="Verdana" w:eastAsia="Calibri" w:hAnsi="Verdana"/>
        </w:rPr>
        <w:tab/>
      </w:r>
      <w:r w:rsidRPr="009E7DEF">
        <w:rPr>
          <w:rFonts w:ascii="Verdana" w:eastAsia="Calibri" w:hAnsi="Verdana"/>
        </w:rPr>
        <w:t xml:space="preserve">Wilkie R, Pransky G.  Improving work participation for adults with musculoskeletal conditions.  </w:t>
      </w:r>
      <w:r w:rsidRPr="006949BB">
        <w:rPr>
          <w:rFonts w:ascii="Verdana" w:eastAsia="Calibri" w:hAnsi="Verdana"/>
          <w:u w:val="single"/>
        </w:rPr>
        <w:t>Best Practice &amp; Research in Clinical Rheumatolog</w:t>
      </w:r>
      <w:r w:rsidR="00C04CC6">
        <w:rPr>
          <w:rFonts w:ascii="Verdana" w:eastAsia="Calibri" w:hAnsi="Verdana"/>
          <w:u w:val="single"/>
        </w:rPr>
        <w:t>y</w:t>
      </w:r>
      <w:r w:rsidRPr="009E7DEF">
        <w:rPr>
          <w:rFonts w:ascii="Verdana" w:eastAsia="Calibri" w:hAnsi="Verdana"/>
        </w:rPr>
        <w:t xml:space="preserve">  2012;</w:t>
      </w:r>
      <w:r w:rsidRPr="006949BB">
        <w:rPr>
          <w:rFonts w:ascii="Verdana" w:eastAsia="Calibri" w:hAnsi="Verdana"/>
          <w:b/>
        </w:rPr>
        <w:t>26</w:t>
      </w:r>
      <w:r w:rsidRPr="009E7DEF">
        <w:rPr>
          <w:rFonts w:ascii="Verdana" w:eastAsia="Calibri" w:hAnsi="Verdana"/>
        </w:rPr>
        <w:t xml:space="preserve">:733-42.  </w:t>
      </w:r>
    </w:p>
    <w:p w14:paraId="6117AA7D" w14:textId="2C9F4649"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41.</w:t>
      </w:r>
      <w:r w:rsidRPr="00C253C5">
        <w:rPr>
          <w:rFonts w:ascii="Verdana" w:eastAsia="Calibri" w:hAnsi="Verdana"/>
        </w:rPr>
        <w:tab/>
      </w:r>
      <w:r w:rsidRPr="009E7DEF">
        <w:rPr>
          <w:rFonts w:ascii="Verdana" w:eastAsia="Calibri" w:hAnsi="Verdana"/>
        </w:rPr>
        <w:t xml:space="preserve">Kingsbury SR, Gross HJ, Isherwood G, </w:t>
      </w:r>
      <w:r w:rsidR="00C04CC6">
        <w:rPr>
          <w:rFonts w:ascii="Verdana" w:eastAsia="Calibri" w:hAnsi="Verdana"/>
        </w:rPr>
        <w:t>et al</w:t>
      </w:r>
      <w:r w:rsidRPr="009E7DEF">
        <w:rPr>
          <w:rFonts w:ascii="Verdana" w:eastAsia="Calibri" w:hAnsi="Verdana"/>
        </w:rPr>
        <w:t xml:space="preserve">.  Osteoarthritis in Europe: impact on health status, work productivity and use of pharmacotherapies in five European countries.  </w:t>
      </w:r>
      <w:r w:rsidRPr="006949BB">
        <w:rPr>
          <w:rFonts w:ascii="Verdana" w:eastAsia="Calibri" w:hAnsi="Verdana"/>
          <w:u w:val="single"/>
        </w:rPr>
        <w:t>Rheumatol</w:t>
      </w:r>
      <w:r w:rsidRPr="009E7DEF">
        <w:rPr>
          <w:rFonts w:ascii="Verdana" w:eastAsia="Calibri" w:hAnsi="Verdana"/>
        </w:rPr>
        <w:t xml:space="preserve"> 2014;</w:t>
      </w:r>
      <w:r w:rsidRPr="006949BB">
        <w:rPr>
          <w:rFonts w:ascii="Verdana" w:eastAsia="Calibri" w:hAnsi="Verdana"/>
          <w:b/>
        </w:rPr>
        <w:t>53</w:t>
      </w:r>
      <w:r w:rsidRPr="009E7DEF">
        <w:rPr>
          <w:rFonts w:ascii="Verdana" w:eastAsia="Calibri" w:hAnsi="Verdana"/>
        </w:rPr>
        <w:t>:937-47.</w:t>
      </w:r>
    </w:p>
    <w:p w14:paraId="63F46EED" w14:textId="4CDF8BCB"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42.</w:t>
      </w:r>
      <w:r w:rsidRPr="00C253C5">
        <w:rPr>
          <w:rFonts w:ascii="Verdana" w:eastAsia="Calibri" w:hAnsi="Verdana"/>
        </w:rPr>
        <w:tab/>
      </w:r>
      <w:r w:rsidRPr="009E7DEF">
        <w:rPr>
          <w:rFonts w:ascii="Verdana" w:eastAsia="Calibri" w:hAnsi="Verdana"/>
        </w:rPr>
        <w:t xml:space="preserve">Pit SW, Shrestha R, Schofield D, </w:t>
      </w:r>
      <w:r w:rsidR="00C04CC6">
        <w:rPr>
          <w:rFonts w:ascii="Verdana" w:eastAsia="Calibri" w:hAnsi="Verdana"/>
        </w:rPr>
        <w:t>et al</w:t>
      </w:r>
      <w:r w:rsidRPr="009E7DEF">
        <w:rPr>
          <w:rFonts w:ascii="Verdana" w:eastAsia="Calibri" w:hAnsi="Verdana"/>
        </w:rPr>
        <w:t xml:space="preserve">.  Partial and complete retirement due to ill-health among mature age Australians.  </w:t>
      </w:r>
      <w:r w:rsidRPr="006949BB">
        <w:rPr>
          <w:rFonts w:ascii="Verdana" w:eastAsia="Calibri" w:hAnsi="Verdana"/>
          <w:u w:val="single"/>
        </w:rPr>
        <w:t>Public Health</w:t>
      </w:r>
      <w:r w:rsidRPr="009E7DEF">
        <w:rPr>
          <w:rFonts w:ascii="Verdana" w:eastAsia="Calibri" w:hAnsi="Verdana"/>
        </w:rPr>
        <w:t xml:space="preserve"> 2013;</w:t>
      </w:r>
      <w:r w:rsidRPr="006949BB">
        <w:rPr>
          <w:rFonts w:ascii="Verdana" w:eastAsia="Calibri" w:hAnsi="Verdana"/>
          <w:b/>
        </w:rPr>
        <w:t>127</w:t>
      </w:r>
      <w:r w:rsidRPr="009E7DEF">
        <w:rPr>
          <w:rFonts w:ascii="Verdana" w:eastAsia="Calibri" w:hAnsi="Verdana"/>
        </w:rPr>
        <w:t xml:space="preserve">:561-71.  </w:t>
      </w:r>
    </w:p>
    <w:p w14:paraId="33505B0E" w14:textId="0C30EA8F"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43.</w:t>
      </w:r>
      <w:r w:rsidRPr="00C253C5">
        <w:rPr>
          <w:rFonts w:ascii="Verdana" w:eastAsia="Calibri" w:hAnsi="Verdana"/>
        </w:rPr>
        <w:tab/>
      </w:r>
      <w:r w:rsidRPr="009E7DEF">
        <w:rPr>
          <w:rFonts w:ascii="Verdana" w:eastAsia="Calibri" w:hAnsi="Verdana"/>
        </w:rPr>
        <w:t>Laine S, Gimeno D, Virtanen M,</w:t>
      </w:r>
      <w:r w:rsidR="007E2C17">
        <w:rPr>
          <w:rFonts w:ascii="Verdana" w:eastAsia="Calibri" w:hAnsi="Verdana"/>
        </w:rPr>
        <w:t xml:space="preserve"> et al</w:t>
      </w:r>
      <w:r w:rsidRPr="009E7DEF">
        <w:rPr>
          <w:rFonts w:ascii="Verdana" w:eastAsia="Calibri" w:hAnsi="Verdana"/>
        </w:rPr>
        <w:t xml:space="preserve">.  Job strain as a predictor of disability pension: the Finnish Public Sector Study.  </w:t>
      </w:r>
      <w:r w:rsidRPr="006949BB">
        <w:rPr>
          <w:rFonts w:ascii="Verdana" w:eastAsia="Calibri" w:hAnsi="Verdana"/>
          <w:u w:val="single"/>
        </w:rPr>
        <w:t>J Epidemiol Comm</w:t>
      </w:r>
      <w:r w:rsidR="00C04CC6">
        <w:rPr>
          <w:rFonts w:ascii="Verdana" w:eastAsia="Calibri" w:hAnsi="Verdana"/>
          <w:u w:val="single"/>
        </w:rPr>
        <w:t>unity</w:t>
      </w:r>
      <w:r w:rsidRPr="006949BB">
        <w:rPr>
          <w:rFonts w:ascii="Verdana" w:eastAsia="Calibri" w:hAnsi="Verdana"/>
          <w:u w:val="single"/>
        </w:rPr>
        <w:t xml:space="preserve"> Health</w:t>
      </w:r>
      <w:r w:rsidR="00C04CC6">
        <w:rPr>
          <w:rFonts w:ascii="Verdana" w:eastAsia="Calibri" w:hAnsi="Verdana"/>
        </w:rPr>
        <w:t xml:space="preserve"> </w:t>
      </w:r>
      <w:r w:rsidRPr="009E7DEF">
        <w:rPr>
          <w:rFonts w:ascii="Verdana" w:eastAsia="Calibri" w:hAnsi="Verdana"/>
        </w:rPr>
        <w:t>2009;</w:t>
      </w:r>
      <w:r w:rsidRPr="006949BB">
        <w:rPr>
          <w:rFonts w:ascii="Verdana" w:eastAsia="Calibri" w:hAnsi="Verdana"/>
          <w:b/>
        </w:rPr>
        <w:t>63</w:t>
      </w:r>
      <w:r w:rsidRPr="009E7DEF">
        <w:rPr>
          <w:rFonts w:ascii="Verdana" w:eastAsia="Calibri" w:hAnsi="Verdana"/>
        </w:rPr>
        <w:t>:24-30.</w:t>
      </w:r>
    </w:p>
    <w:p w14:paraId="2CC20393" w14:textId="606C6F61"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 xml:space="preserve">44. </w:t>
      </w:r>
      <w:r w:rsidRPr="009E7DEF">
        <w:rPr>
          <w:rFonts w:ascii="Verdana" w:eastAsia="Calibri" w:hAnsi="Verdana"/>
        </w:rPr>
        <w:t>Alexanderson K, Kivimäki M, Ferrie JE,</w:t>
      </w:r>
      <w:r w:rsidR="007E2C17">
        <w:rPr>
          <w:rFonts w:ascii="Verdana" w:eastAsia="Calibri" w:hAnsi="Verdana"/>
        </w:rPr>
        <w:t xml:space="preserve"> et al</w:t>
      </w:r>
      <w:r w:rsidRPr="009E7DEF">
        <w:rPr>
          <w:rFonts w:ascii="Verdana" w:eastAsia="Calibri" w:hAnsi="Verdana"/>
        </w:rPr>
        <w:t xml:space="preserve">.  Diagnosis-specific leave as a long-term predictor of disability pension: a 13-year follow-up of the GAZEL cohort study.  </w:t>
      </w:r>
      <w:r w:rsidRPr="006949BB">
        <w:rPr>
          <w:rFonts w:ascii="Verdana" w:eastAsia="Calibri" w:hAnsi="Verdana"/>
          <w:u w:val="single"/>
        </w:rPr>
        <w:t>J Epidemiol Comm</w:t>
      </w:r>
      <w:r w:rsidR="00C04CC6">
        <w:rPr>
          <w:rFonts w:ascii="Verdana" w:eastAsia="Calibri" w:hAnsi="Verdana"/>
          <w:u w:val="single"/>
        </w:rPr>
        <w:t>unity</w:t>
      </w:r>
      <w:r w:rsidRPr="006949BB">
        <w:rPr>
          <w:rFonts w:ascii="Verdana" w:eastAsia="Calibri" w:hAnsi="Verdana"/>
          <w:u w:val="single"/>
        </w:rPr>
        <w:t xml:space="preserve"> Health</w:t>
      </w:r>
      <w:r w:rsidRPr="009E7DEF">
        <w:rPr>
          <w:rFonts w:ascii="Verdana" w:eastAsia="Calibri" w:hAnsi="Verdana"/>
        </w:rPr>
        <w:t xml:space="preserve">  2012;</w:t>
      </w:r>
      <w:r w:rsidRPr="006949BB">
        <w:rPr>
          <w:rFonts w:ascii="Verdana" w:eastAsia="Calibri" w:hAnsi="Verdana"/>
          <w:b/>
        </w:rPr>
        <w:t>66</w:t>
      </w:r>
      <w:r w:rsidRPr="009E7DEF">
        <w:rPr>
          <w:rFonts w:ascii="Verdana" w:eastAsia="Calibri" w:hAnsi="Verdana"/>
        </w:rPr>
        <w:t>:155-9.</w:t>
      </w:r>
    </w:p>
    <w:p w14:paraId="2A0FEFED" w14:textId="7E654AD3"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lastRenderedPageBreak/>
        <w:t>45.</w:t>
      </w:r>
      <w:r w:rsidRPr="00C253C5">
        <w:rPr>
          <w:rFonts w:ascii="Verdana" w:eastAsia="Calibri" w:hAnsi="Verdana"/>
        </w:rPr>
        <w:tab/>
      </w:r>
      <w:r w:rsidRPr="009E7DEF">
        <w:rPr>
          <w:rFonts w:ascii="Verdana" w:eastAsia="Calibri" w:hAnsi="Verdana"/>
        </w:rPr>
        <w:t>Kivimäki M, Ferrie JE, Hagberg J,</w:t>
      </w:r>
      <w:r w:rsidR="007E2C17">
        <w:rPr>
          <w:rFonts w:ascii="Verdana" w:eastAsia="Calibri" w:hAnsi="Verdana"/>
        </w:rPr>
        <w:t xml:space="preserve"> et al</w:t>
      </w:r>
      <w:r w:rsidRPr="009E7DEF">
        <w:rPr>
          <w:rFonts w:ascii="Verdana" w:eastAsia="Calibri" w:hAnsi="Verdana"/>
        </w:rPr>
        <w:t xml:space="preserve">.  Diagnosis-specific sick leave as a risk marker for disability pension in a Swedish population.  </w:t>
      </w:r>
      <w:r w:rsidRPr="006949BB">
        <w:rPr>
          <w:rFonts w:ascii="Verdana" w:eastAsia="Calibri" w:hAnsi="Verdana"/>
          <w:u w:val="single"/>
        </w:rPr>
        <w:t>J Epidemiol Community Health</w:t>
      </w:r>
      <w:r w:rsidRPr="009E7DEF">
        <w:rPr>
          <w:rFonts w:ascii="Verdana" w:eastAsia="Calibri" w:hAnsi="Verdana"/>
        </w:rPr>
        <w:t xml:space="preserve"> 2007;</w:t>
      </w:r>
      <w:r w:rsidRPr="006949BB">
        <w:rPr>
          <w:rFonts w:ascii="Verdana" w:eastAsia="Calibri" w:hAnsi="Verdana"/>
          <w:b/>
        </w:rPr>
        <w:t>61</w:t>
      </w:r>
      <w:r w:rsidRPr="009E7DEF">
        <w:rPr>
          <w:rFonts w:ascii="Verdana" w:eastAsia="Calibri" w:hAnsi="Verdana"/>
        </w:rPr>
        <w:t>:915-20.</w:t>
      </w:r>
    </w:p>
    <w:p w14:paraId="4074228D" w14:textId="3BA21C7B"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46.</w:t>
      </w:r>
      <w:r w:rsidRPr="00C253C5">
        <w:rPr>
          <w:rFonts w:ascii="Verdana" w:eastAsia="Calibri" w:hAnsi="Verdana"/>
        </w:rPr>
        <w:tab/>
      </w:r>
      <w:r w:rsidRPr="009E7DEF">
        <w:rPr>
          <w:rFonts w:ascii="Verdana" w:eastAsia="Calibri" w:hAnsi="Verdana"/>
        </w:rPr>
        <w:t xml:space="preserve">Kamaleri Y, Natvig B, Ihlebaek CM, </w:t>
      </w:r>
      <w:r w:rsidR="00C04CC6">
        <w:rPr>
          <w:rFonts w:ascii="Verdana" w:eastAsia="Calibri" w:hAnsi="Verdana"/>
        </w:rPr>
        <w:t>et al</w:t>
      </w:r>
      <w:r w:rsidRPr="009E7DEF">
        <w:rPr>
          <w:rFonts w:ascii="Verdana" w:eastAsia="Calibri" w:hAnsi="Verdana"/>
        </w:rPr>
        <w:t xml:space="preserve">.  Does the number of musculoskeletal pain sites predict work disability?  </w:t>
      </w:r>
      <w:r w:rsidRPr="006949BB">
        <w:rPr>
          <w:rFonts w:ascii="Verdana" w:eastAsia="Calibri" w:hAnsi="Verdana"/>
          <w:u w:val="single"/>
        </w:rPr>
        <w:t>E</w:t>
      </w:r>
      <w:r w:rsidR="00C04CC6">
        <w:rPr>
          <w:rFonts w:ascii="Verdana" w:eastAsia="Calibri" w:hAnsi="Verdana"/>
          <w:u w:val="single"/>
        </w:rPr>
        <w:t>ur</w:t>
      </w:r>
      <w:r w:rsidRPr="006949BB">
        <w:rPr>
          <w:rFonts w:ascii="Verdana" w:eastAsia="Calibri" w:hAnsi="Verdana"/>
          <w:u w:val="single"/>
        </w:rPr>
        <w:t xml:space="preserve"> J Pain</w:t>
      </w:r>
      <w:r w:rsidRPr="009E7DEF">
        <w:rPr>
          <w:rFonts w:ascii="Verdana" w:eastAsia="Calibri" w:hAnsi="Verdana"/>
        </w:rPr>
        <w:t xml:space="preserve"> 2009;</w:t>
      </w:r>
      <w:r w:rsidRPr="006949BB">
        <w:rPr>
          <w:rFonts w:ascii="Verdana" w:eastAsia="Calibri" w:hAnsi="Verdana"/>
          <w:b/>
        </w:rPr>
        <w:t>13</w:t>
      </w:r>
      <w:r w:rsidRPr="009E7DEF">
        <w:rPr>
          <w:rFonts w:ascii="Verdana" w:eastAsia="Calibri" w:hAnsi="Verdana"/>
        </w:rPr>
        <w:t>:426-30.</w:t>
      </w:r>
    </w:p>
    <w:p w14:paraId="425E51B1" w14:textId="33DD647C"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47.</w:t>
      </w:r>
      <w:r w:rsidRPr="00C253C5">
        <w:rPr>
          <w:rFonts w:ascii="Verdana" w:eastAsia="Calibri" w:hAnsi="Verdana"/>
        </w:rPr>
        <w:tab/>
      </w:r>
      <w:r w:rsidRPr="009E7DEF">
        <w:rPr>
          <w:rFonts w:ascii="Verdana" w:eastAsia="Calibri" w:hAnsi="Verdana"/>
        </w:rPr>
        <w:t xml:space="preserve">Natvig B, Eriksen W, Bruusgaard D.  Low back pain as a predictor of long-term work disability.  </w:t>
      </w:r>
      <w:r w:rsidRPr="006949BB">
        <w:rPr>
          <w:rFonts w:ascii="Verdana" w:eastAsia="Calibri" w:hAnsi="Verdana"/>
          <w:u w:val="single"/>
        </w:rPr>
        <w:t>Scand J Public Health</w:t>
      </w:r>
      <w:r w:rsidRPr="009E7DEF">
        <w:rPr>
          <w:rFonts w:ascii="Verdana" w:eastAsia="Calibri" w:hAnsi="Verdana"/>
        </w:rPr>
        <w:t xml:space="preserve"> 2002;</w:t>
      </w:r>
      <w:r w:rsidRPr="006949BB">
        <w:rPr>
          <w:rFonts w:ascii="Verdana" w:eastAsia="Calibri" w:hAnsi="Verdana"/>
          <w:b/>
        </w:rPr>
        <w:t>30</w:t>
      </w:r>
      <w:r w:rsidRPr="009E7DEF">
        <w:rPr>
          <w:rFonts w:ascii="Verdana" w:eastAsia="Calibri" w:hAnsi="Verdana"/>
        </w:rPr>
        <w:t>:288-92.</w:t>
      </w:r>
    </w:p>
    <w:p w14:paraId="3770BE4E" w14:textId="759A33F0"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48.</w:t>
      </w:r>
      <w:r w:rsidRPr="00C253C5">
        <w:rPr>
          <w:rFonts w:ascii="Verdana" w:eastAsia="Calibri" w:hAnsi="Verdana"/>
        </w:rPr>
        <w:tab/>
      </w:r>
      <w:r w:rsidRPr="009E7DEF">
        <w:rPr>
          <w:rFonts w:ascii="Verdana" w:eastAsia="Calibri" w:hAnsi="Verdana"/>
        </w:rPr>
        <w:t>Detaille SI, Heerkens YF, Engels JA,</w:t>
      </w:r>
      <w:r w:rsidR="007E2C17">
        <w:rPr>
          <w:rFonts w:ascii="Verdana" w:eastAsia="Calibri" w:hAnsi="Verdana"/>
        </w:rPr>
        <w:t xml:space="preserve"> et al</w:t>
      </w:r>
      <w:r w:rsidRPr="009E7DEF">
        <w:rPr>
          <w:rFonts w:ascii="Verdana" w:eastAsia="Calibri" w:hAnsi="Verdana"/>
        </w:rPr>
        <w:t xml:space="preserve">.  Common prognostic factors of work disability among employees with a chronic somatic disease: a </w:t>
      </w:r>
      <w:r w:rsidR="00C04CC6" w:rsidRPr="009E7DEF">
        <w:rPr>
          <w:rFonts w:ascii="Verdana" w:eastAsia="Calibri" w:hAnsi="Verdana"/>
        </w:rPr>
        <w:t>systematic</w:t>
      </w:r>
      <w:r w:rsidRPr="009E7DEF">
        <w:rPr>
          <w:rFonts w:ascii="Verdana" w:eastAsia="Calibri" w:hAnsi="Verdana"/>
        </w:rPr>
        <w:t xml:space="preserve"> review of cohort studies.  </w:t>
      </w:r>
      <w:r w:rsidRPr="006949BB">
        <w:rPr>
          <w:rFonts w:ascii="Verdana" w:eastAsia="Calibri" w:hAnsi="Verdana"/>
          <w:u w:val="single"/>
        </w:rPr>
        <w:t>Scand J Work Environ Health</w:t>
      </w:r>
      <w:r w:rsidRPr="009E7DEF">
        <w:rPr>
          <w:rFonts w:ascii="Verdana" w:eastAsia="Calibri" w:hAnsi="Verdana"/>
        </w:rPr>
        <w:t xml:space="preserve"> 2009;</w:t>
      </w:r>
      <w:r w:rsidRPr="006949BB">
        <w:rPr>
          <w:rFonts w:ascii="Verdana" w:eastAsia="Calibri" w:hAnsi="Verdana"/>
          <w:b/>
        </w:rPr>
        <w:t>35</w:t>
      </w:r>
      <w:r w:rsidRPr="009E7DEF">
        <w:rPr>
          <w:rFonts w:ascii="Verdana" w:eastAsia="Calibri" w:hAnsi="Verdana"/>
        </w:rPr>
        <w:t>:261-81.</w:t>
      </w:r>
    </w:p>
    <w:p w14:paraId="7B41895A" w14:textId="3F1B08D8"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49.</w:t>
      </w:r>
      <w:r w:rsidRPr="00C253C5">
        <w:rPr>
          <w:rFonts w:ascii="Verdana" w:eastAsia="Calibri" w:hAnsi="Verdana"/>
        </w:rPr>
        <w:tab/>
      </w:r>
      <w:r w:rsidRPr="009E7DEF">
        <w:rPr>
          <w:rFonts w:ascii="Verdana" w:eastAsia="Calibri" w:hAnsi="Verdana"/>
        </w:rPr>
        <w:t>Yelin E, Henke C, Epstein</w:t>
      </w:r>
      <w:r w:rsidRPr="00C253C5">
        <w:rPr>
          <w:rFonts w:ascii="Verdana" w:eastAsia="Calibri" w:hAnsi="Verdana"/>
        </w:rPr>
        <w:t xml:space="preserve"> </w:t>
      </w:r>
      <w:r w:rsidRPr="009E7DEF">
        <w:rPr>
          <w:rFonts w:ascii="Verdana" w:eastAsia="Calibri" w:hAnsi="Verdana"/>
        </w:rPr>
        <w:t xml:space="preserve">W. The work dynamics of the person with rheumatoid arthritis. </w:t>
      </w:r>
      <w:r w:rsidRPr="006949BB">
        <w:rPr>
          <w:rFonts w:ascii="Verdana" w:eastAsia="Calibri" w:hAnsi="Verdana"/>
          <w:u w:val="single"/>
        </w:rPr>
        <w:t xml:space="preserve">Arth  Rheum </w:t>
      </w:r>
      <w:r w:rsidRPr="009E7DEF">
        <w:rPr>
          <w:rFonts w:ascii="Verdana" w:eastAsia="Calibri" w:hAnsi="Verdana"/>
        </w:rPr>
        <w:t>1987;</w:t>
      </w:r>
      <w:r w:rsidRPr="006949BB">
        <w:rPr>
          <w:rFonts w:ascii="Verdana" w:eastAsia="Calibri" w:hAnsi="Verdana"/>
          <w:b/>
        </w:rPr>
        <w:t>30</w:t>
      </w:r>
      <w:r w:rsidRPr="009E7DEF">
        <w:rPr>
          <w:rFonts w:ascii="Verdana" w:eastAsia="Calibri" w:hAnsi="Verdana"/>
        </w:rPr>
        <w:t>:507–512.</w:t>
      </w:r>
    </w:p>
    <w:p w14:paraId="1C3F4BCA" w14:textId="253D584C"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50.</w:t>
      </w:r>
      <w:r w:rsidRPr="00C253C5">
        <w:rPr>
          <w:rFonts w:ascii="Verdana" w:eastAsia="Calibri" w:hAnsi="Verdana"/>
        </w:rPr>
        <w:tab/>
      </w:r>
      <w:r w:rsidRPr="009E7DEF">
        <w:rPr>
          <w:rFonts w:ascii="Verdana" w:eastAsia="Calibri" w:hAnsi="Verdana"/>
        </w:rPr>
        <w:t xml:space="preserve">Barrett EM, Scott DGI, Wiles NJ, </w:t>
      </w:r>
      <w:r w:rsidR="005B3B2B">
        <w:rPr>
          <w:rFonts w:ascii="Verdana" w:eastAsia="Calibri" w:hAnsi="Verdana"/>
        </w:rPr>
        <w:t>et al</w:t>
      </w:r>
      <w:r w:rsidRPr="009E7DEF">
        <w:rPr>
          <w:rFonts w:ascii="Verdana" w:eastAsia="Calibri" w:hAnsi="Verdana"/>
        </w:rPr>
        <w:t xml:space="preserve">.  The impact of rheumatoid arthritis on employment status in the early years of disease: a UK community-based study.  </w:t>
      </w:r>
      <w:r w:rsidRPr="006949BB">
        <w:rPr>
          <w:rFonts w:ascii="Verdana" w:eastAsia="Calibri" w:hAnsi="Verdana"/>
          <w:u w:val="single"/>
        </w:rPr>
        <w:t>Rheumatol</w:t>
      </w:r>
      <w:r w:rsidRPr="009E7DEF">
        <w:rPr>
          <w:rFonts w:ascii="Verdana" w:eastAsia="Calibri" w:hAnsi="Verdana"/>
        </w:rPr>
        <w:t xml:space="preserve"> 2000;</w:t>
      </w:r>
      <w:r w:rsidRPr="006949BB">
        <w:rPr>
          <w:rFonts w:ascii="Verdana" w:eastAsia="Calibri" w:hAnsi="Verdana"/>
          <w:b/>
        </w:rPr>
        <w:t>39</w:t>
      </w:r>
      <w:r w:rsidRPr="009E7DEF">
        <w:rPr>
          <w:rFonts w:ascii="Verdana" w:eastAsia="Calibri" w:hAnsi="Verdana"/>
        </w:rPr>
        <w:t>:1403-9.</w:t>
      </w:r>
    </w:p>
    <w:p w14:paraId="434B553B" w14:textId="7ED523BE"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51.</w:t>
      </w:r>
      <w:r w:rsidRPr="00C253C5">
        <w:rPr>
          <w:rFonts w:ascii="Verdana" w:eastAsia="Calibri" w:hAnsi="Verdana"/>
        </w:rPr>
        <w:tab/>
      </w:r>
      <w:r w:rsidRPr="009E7DEF">
        <w:rPr>
          <w:rFonts w:ascii="Verdana" w:eastAsia="Calibri" w:hAnsi="Verdana"/>
        </w:rPr>
        <w:t xml:space="preserve">Huscher D, Merkesdal S, Thiele K, </w:t>
      </w:r>
      <w:r w:rsidR="007E2C17">
        <w:rPr>
          <w:rFonts w:ascii="Verdana" w:eastAsia="Calibri" w:hAnsi="Verdana"/>
        </w:rPr>
        <w:t>et al</w:t>
      </w:r>
      <w:r w:rsidRPr="009E7DEF">
        <w:rPr>
          <w:rFonts w:ascii="Verdana" w:eastAsia="Calibri" w:hAnsi="Verdana"/>
        </w:rPr>
        <w:t xml:space="preserve">, for the German Collaborative Arthritis Centres. </w:t>
      </w:r>
      <w:r w:rsidR="00646F33">
        <w:rPr>
          <w:rFonts w:ascii="Verdana" w:eastAsia="Calibri" w:hAnsi="Verdana"/>
        </w:rPr>
        <w:t>Cost of illness in rheumatoid arthritis, ankylosing spondylitis, psoriatic arthritis and systemic lupus erythematosus in Germany.</w:t>
      </w:r>
      <w:r w:rsidRPr="009E7DEF">
        <w:rPr>
          <w:rFonts w:ascii="Verdana" w:eastAsia="Calibri" w:hAnsi="Verdana"/>
        </w:rPr>
        <w:t xml:space="preserve"> </w:t>
      </w:r>
      <w:r w:rsidRPr="006949BB">
        <w:rPr>
          <w:rFonts w:ascii="Verdana" w:eastAsia="Calibri" w:hAnsi="Verdana"/>
          <w:u w:val="single"/>
        </w:rPr>
        <w:t>Ann Rheum Dis</w:t>
      </w:r>
      <w:r w:rsidRPr="009E7DEF">
        <w:rPr>
          <w:rFonts w:ascii="Verdana" w:eastAsia="Calibri" w:hAnsi="Verdana"/>
        </w:rPr>
        <w:t xml:space="preserve"> 2006;</w:t>
      </w:r>
      <w:r w:rsidRPr="006949BB">
        <w:rPr>
          <w:rFonts w:ascii="Verdana" w:eastAsia="Calibri" w:hAnsi="Verdana"/>
          <w:b/>
        </w:rPr>
        <w:t>65</w:t>
      </w:r>
      <w:r w:rsidRPr="009E7DEF">
        <w:rPr>
          <w:rFonts w:ascii="Verdana" w:eastAsia="Calibri" w:hAnsi="Verdana"/>
        </w:rPr>
        <w:t>:1175-83.</w:t>
      </w:r>
    </w:p>
    <w:p w14:paraId="3C1191E6" w14:textId="2A486133"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52.</w:t>
      </w:r>
      <w:r w:rsidRPr="00C253C5">
        <w:rPr>
          <w:rFonts w:ascii="Verdana" w:eastAsia="Calibri" w:hAnsi="Verdana"/>
        </w:rPr>
        <w:tab/>
      </w:r>
      <w:r w:rsidRPr="009E7DEF">
        <w:rPr>
          <w:rFonts w:ascii="Verdana" w:eastAsia="Calibri" w:hAnsi="Verdana"/>
        </w:rPr>
        <w:t>Boonen A, Chorus A, Miedema H,</w:t>
      </w:r>
      <w:r w:rsidR="007E2C17">
        <w:rPr>
          <w:rFonts w:ascii="Verdana" w:eastAsia="Calibri" w:hAnsi="Verdana"/>
        </w:rPr>
        <w:t xml:space="preserve"> et al</w:t>
      </w:r>
      <w:r w:rsidRPr="009E7DEF">
        <w:rPr>
          <w:rFonts w:ascii="Verdana" w:eastAsia="Calibri" w:hAnsi="Verdana"/>
        </w:rPr>
        <w:t xml:space="preserve">. Employment, work disability, and work days lost in patients with ankylosing spondylitis: a cross sectional study of Dutch patients. </w:t>
      </w:r>
      <w:r w:rsidRPr="009E7DEF">
        <w:rPr>
          <w:rFonts w:ascii="Verdana" w:eastAsia="Calibri" w:hAnsi="Verdana"/>
          <w:u w:val="single"/>
        </w:rPr>
        <w:t>Ann Rheum Dis</w:t>
      </w:r>
      <w:r w:rsidRPr="009E7DEF">
        <w:rPr>
          <w:rFonts w:ascii="Verdana" w:eastAsia="Calibri" w:hAnsi="Verdana"/>
        </w:rPr>
        <w:t xml:space="preserve"> 2001;</w:t>
      </w:r>
      <w:r w:rsidRPr="006949BB">
        <w:rPr>
          <w:rFonts w:ascii="Verdana" w:eastAsia="Calibri" w:hAnsi="Verdana"/>
          <w:b/>
        </w:rPr>
        <w:t>60</w:t>
      </w:r>
      <w:r w:rsidRPr="009E7DEF">
        <w:rPr>
          <w:rFonts w:ascii="Verdana" w:eastAsia="Calibri" w:hAnsi="Verdana"/>
        </w:rPr>
        <w:t>:353-8.</w:t>
      </w:r>
    </w:p>
    <w:p w14:paraId="0916F9C0" w14:textId="22F2C441"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53.</w:t>
      </w:r>
      <w:r w:rsidRPr="00C253C5">
        <w:rPr>
          <w:rFonts w:ascii="Verdana" w:eastAsia="Calibri" w:hAnsi="Verdana"/>
        </w:rPr>
        <w:tab/>
      </w:r>
      <w:r w:rsidRPr="009E7DEF">
        <w:rPr>
          <w:rFonts w:ascii="Verdana" w:eastAsia="Calibri" w:hAnsi="Verdana"/>
        </w:rPr>
        <w:t>Boonen A, Chorus A, Landewe R,</w:t>
      </w:r>
      <w:r w:rsidR="007E2C17">
        <w:rPr>
          <w:rFonts w:ascii="Verdana" w:eastAsia="Calibri" w:hAnsi="Verdana"/>
        </w:rPr>
        <w:t xml:space="preserve"> et al</w:t>
      </w:r>
      <w:r w:rsidRPr="009E7DEF">
        <w:rPr>
          <w:rFonts w:ascii="Verdana" w:eastAsia="Calibri" w:hAnsi="Verdana"/>
        </w:rPr>
        <w:t xml:space="preserve">. Manual jobs increase the risk of patients with ankylosing spondylitis withdrawing from the labour force, also </w:t>
      </w:r>
      <w:r w:rsidRPr="009E7DEF">
        <w:rPr>
          <w:rFonts w:ascii="Verdana" w:eastAsia="Calibri" w:hAnsi="Verdana"/>
        </w:rPr>
        <w:lastRenderedPageBreak/>
        <w:t xml:space="preserve">when adjusted for job related withdrawal in the general population.  </w:t>
      </w:r>
      <w:r w:rsidRPr="006949BB">
        <w:rPr>
          <w:rFonts w:ascii="Verdana" w:eastAsia="Calibri" w:hAnsi="Verdana"/>
          <w:u w:val="single"/>
        </w:rPr>
        <w:t>Ann Rheum Dis</w:t>
      </w:r>
      <w:r w:rsidRPr="009E7DEF">
        <w:rPr>
          <w:rFonts w:ascii="Verdana" w:eastAsia="Calibri" w:hAnsi="Verdana"/>
        </w:rPr>
        <w:t xml:space="preserve"> 2002;</w:t>
      </w:r>
      <w:r w:rsidRPr="006949BB">
        <w:rPr>
          <w:rFonts w:ascii="Verdana" w:eastAsia="Calibri" w:hAnsi="Verdana"/>
          <w:b/>
        </w:rPr>
        <w:t>61</w:t>
      </w:r>
      <w:r w:rsidRPr="009E7DEF">
        <w:rPr>
          <w:rFonts w:ascii="Verdana" w:eastAsia="Calibri" w:hAnsi="Verdana"/>
        </w:rPr>
        <w:t>:658.</w:t>
      </w:r>
    </w:p>
    <w:p w14:paraId="51780261" w14:textId="565FBE7D"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54.</w:t>
      </w:r>
      <w:r w:rsidRPr="00C253C5">
        <w:rPr>
          <w:rFonts w:ascii="Verdana" w:eastAsia="Calibri" w:hAnsi="Verdana"/>
        </w:rPr>
        <w:tab/>
      </w:r>
      <w:r w:rsidRPr="009E7DEF">
        <w:rPr>
          <w:rFonts w:ascii="Verdana" w:eastAsia="Calibri" w:hAnsi="Verdana"/>
        </w:rPr>
        <w:t xml:space="preserve">Li X, Gignac MAM, Anis AH. Workplace, psychosocial factors, and depressive symptoms among working people with arthritis: a longitudinal study. </w:t>
      </w:r>
      <w:r w:rsidRPr="006949BB">
        <w:rPr>
          <w:rFonts w:ascii="Verdana" w:eastAsia="Calibri" w:hAnsi="Verdana"/>
          <w:u w:val="single"/>
        </w:rPr>
        <w:t>J Rheumatol</w:t>
      </w:r>
      <w:r w:rsidRPr="009E7DEF">
        <w:rPr>
          <w:rFonts w:ascii="Verdana" w:eastAsia="Calibri" w:hAnsi="Verdana"/>
        </w:rPr>
        <w:t xml:space="preserve"> 2006;</w:t>
      </w:r>
      <w:r w:rsidRPr="006949BB">
        <w:rPr>
          <w:rFonts w:ascii="Verdana" w:eastAsia="Calibri" w:hAnsi="Verdana"/>
          <w:b/>
        </w:rPr>
        <w:t>33</w:t>
      </w:r>
      <w:r w:rsidRPr="009E7DEF">
        <w:rPr>
          <w:rFonts w:ascii="Verdana" w:eastAsia="Calibri" w:hAnsi="Verdana"/>
        </w:rPr>
        <w:t>:1849-55.</w:t>
      </w:r>
    </w:p>
    <w:p w14:paraId="040035F5" w14:textId="35C40C02"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55.</w:t>
      </w:r>
      <w:r w:rsidRPr="00C253C5">
        <w:rPr>
          <w:rFonts w:ascii="Verdana" w:eastAsia="Calibri" w:hAnsi="Verdana"/>
        </w:rPr>
        <w:tab/>
      </w:r>
      <w:r w:rsidRPr="009E7DEF">
        <w:rPr>
          <w:rFonts w:ascii="Verdana" w:eastAsia="Calibri" w:hAnsi="Verdana"/>
        </w:rPr>
        <w:t xml:space="preserve">Lin EHB, Katon W, Von Kroff M, et al </w:t>
      </w:r>
      <w:r w:rsidR="005B3B2B">
        <w:rPr>
          <w:rFonts w:ascii="Verdana" w:eastAsia="Calibri" w:hAnsi="Verdana"/>
        </w:rPr>
        <w:t>(</w:t>
      </w:r>
      <w:r w:rsidRPr="009E7DEF">
        <w:rPr>
          <w:rFonts w:ascii="Verdana" w:eastAsia="Calibri" w:hAnsi="Verdana"/>
        </w:rPr>
        <w:t>for the IMPACT investigators</w:t>
      </w:r>
      <w:r w:rsidR="005B3B2B">
        <w:rPr>
          <w:rFonts w:ascii="Verdana" w:eastAsia="Calibri" w:hAnsi="Verdana"/>
        </w:rPr>
        <w:t>)</w:t>
      </w:r>
      <w:r w:rsidRPr="009E7DEF">
        <w:rPr>
          <w:rFonts w:ascii="Verdana" w:eastAsia="Calibri" w:hAnsi="Verdana"/>
        </w:rPr>
        <w:t xml:space="preserve">.  Effect of improving depression care on pain and functional outcomes among older adults with arthritis a randomized controlled trial.  </w:t>
      </w:r>
      <w:r w:rsidRPr="006949BB">
        <w:rPr>
          <w:rFonts w:ascii="Verdana" w:eastAsia="Calibri" w:hAnsi="Verdana"/>
          <w:u w:val="single"/>
        </w:rPr>
        <w:t>JAMA</w:t>
      </w:r>
      <w:r w:rsidRPr="009E7DEF">
        <w:rPr>
          <w:rFonts w:ascii="Verdana" w:eastAsia="Calibri" w:hAnsi="Verdana"/>
        </w:rPr>
        <w:t xml:space="preserve"> 2003;</w:t>
      </w:r>
      <w:r w:rsidRPr="006949BB">
        <w:rPr>
          <w:rFonts w:ascii="Verdana" w:eastAsia="Calibri" w:hAnsi="Verdana"/>
          <w:b/>
        </w:rPr>
        <w:t>290</w:t>
      </w:r>
      <w:r w:rsidRPr="009E7DEF">
        <w:rPr>
          <w:rFonts w:ascii="Verdana" w:eastAsia="Calibri" w:hAnsi="Verdana"/>
        </w:rPr>
        <w:t>:2428-9.</w:t>
      </w:r>
    </w:p>
    <w:p w14:paraId="1722AF01" w14:textId="3311C2F2"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56.</w:t>
      </w:r>
      <w:r w:rsidRPr="00C253C5">
        <w:rPr>
          <w:rFonts w:ascii="Verdana" w:eastAsia="Calibri" w:hAnsi="Verdana"/>
        </w:rPr>
        <w:tab/>
      </w:r>
      <w:r w:rsidRPr="009E7DEF">
        <w:rPr>
          <w:rFonts w:ascii="Verdana" w:eastAsia="Calibri" w:hAnsi="Verdana"/>
        </w:rPr>
        <w:t xml:space="preserve">Polvinen A, Gould R, Lahelma E, </w:t>
      </w:r>
      <w:r w:rsidR="005B3B2B">
        <w:rPr>
          <w:rFonts w:ascii="Verdana" w:eastAsia="Calibri" w:hAnsi="Verdana"/>
        </w:rPr>
        <w:t>et al</w:t>
      </w:r>
      <w:r w:rsidRPr="009E7DEF">
        <w:rPr>
          <w:rFonts w:ascii="Verdana" w:eastAsia="Calibri" w:hAnsi="Verdana"/>
        </w:rPr>
        <w:t xml:space="preserve">.  Socioeconomic differences in disability retirement in Finland: the contribution of ill-health, health behaviours and working conditions.  </w:t>
      </w:r>
      <w:r w:rsidRPr="006949BB">
        <w:rPr>
          <w:rFonts w:ascii="Verdana" w:eastAsia="Calibri" w:hAnsi="Verdana"/>
          <w:u w:val="single"/>
        </w:rPr>
        <w:t>Scand J Public Health</w:t>
      </w:r>
      <w:r w:rsidRPr="009E7DEF">
        <w:rPr>
          <w:rFonts w:ascii="Verdana" w:eastAsia="Calibri" w:hAnsi="Verdana"/>
        </w:rPr>
        <w:t xml:space="preserve"> 2013;</w:t>
      </w:r>
      <w:r w:rsidRPr="006949BB">
        <w:rPr>
          <w:rFonts w:ascii="Verdana" w:eastAsia="Calibri" w:hAnsi="Verdana"/>
          <w:b/>
        </w:rPr>
        <w:t>41</w:t>
      </w:r>
      <w:r w:rsidRPr="009E7DEF">
        <w:rPr>
          <w:rFonts w:ascii="Verdana" w:eastAsia="Calibri" w:hAnsi="Verdana"/>
        </w:rPr>
        <w:t>:470-8</w:t>
      </w:r>
    </w:p>
    <w:p w14:paraId="28A07947" w14:textId="67128571"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57.</w:t>
      </w:r>
      <w:r w:rsidRPr="00C253C5">
        <w:rPr>
          <w:rFonts w:ascii="Verdana" w:eastAsia="Calibri" w:hAnsi="Verdana"/>
        </w:rPr>
        <w:tab/>
      </w:r>
      <w:r w:rsidRPr="009E7DEF">
        <w:rPr>
          <w:rFonts w:ascii="Verdana" w:eastAsia="Calibri" w:hAnsi="Verdana"/>
        </w:rPr>
        <w:t xml:space="preserve">Polvinen A, Laaksonen M, Gould R, </w:t>
      </w:r>
      <w:r w:rsidR="005B3B2B">
        <w:rPr>
          <w:rFonts w:ascii="Verdana" w:eastAsia="Calibri" w:hAnsi="Verdana"/>
        </w:rPr>
        <w:t>et al</w:t>
      </w:r>
      <w:r w:rsidRPr="009E7DEF">
        <w:rPr>
          <w:rFonts w:ascii="Verdana" w:eastAsia="Calibri" w:hAnsi="Verdana"/>
        </w:rPr>
        <w:t xml:space="preserve">.  The contribution of major diagnostic causes to socioeconomic differences in disability retirement.  </w:t>
      </w:r>
      <w:r w:rsidRPr="006949BB">
        <w:rPr>
          <w:rFonts w:ascii="Verdana" w:eastAsia="Calibri" w:hAnsi="Verdana"/>
          <w:u w:val="single"/>
        </w:rPr>
        <w:t>Scand J Work Environ Health</w:t>
      </w:r>
      <w:r w:rsidRPr="009E7DEF">
        <w:rPr>
          <w:rFonts w:ascii="Verdana" w:eastAsia="Calibri" w:hAnsi="Verdana"/>
        </w:rPr>
        <w:t xml:space="preserve"> 2014;</w:t>
      </w:r>
      <w:r w:rsidRPr="006949BB">
        <w:rPr>
          <w:rFonts w:ascii="Verdana" w:eastAsia="Calibri" w:hAnsi="Verdana"/>
          <w:b/>
        </w:rPr>
        <w:t>40</w:t>
      </w:r>
      <w:r w:rsidRPr="009E7DEF">
        <w:rPr>
          <w:rFonts w:ascii="Verdana" w:eastAsia="Calibri" w:hAnsi="Verdana"/>
        </w:rPr>
        <w:t>:353-60.</w:t>
      </w:r>
    </w:p>
    <w:p w14:paraId="2F597050" w14:textId="139CE116"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58.</w:t>
      </w:r>
      <w:r w:rsidRPr="00C253C5">
        <w:rPr>
          <w:rFonts w:ascii="Verdana" w:eastAsia="Calibri" w:hAnsi="Verdana"/>
        </w:rPr>
        <w:tab/>
      </w:r>
      <w:r w:rsidRPr="009E7DEF">
        <w:rPr>
          <w:rFonts w:ascii="Verdana" w:eastAsia="Calibri" w:hAnsi="Verdana"/>
        </w:rPr>
        <w:t xml:space="preserve">Månsson N-O, Råstam L, Eriksson K-F, </w:t>
      </w:r>
      <w:r w:rsidR="005B3B2B">
        <w:rPr>
          <w:rFonts w:ascii="Verdana" w:eastAsia="Calibri" w:hAnsi="Verdana"/>
        </w:rPr>
        <w:t>et al</w:t>
      </w:r>
      <w:r w:rsidRPr="009E7DEF">
        <w:rPr>
          <w:rFonts w:ascii="Verdana" w:eastAsia="Calibri" w:hAnsi="Verdana"/>
        </w:rPr>
        <w:t xml:space="preserve">.  Socioeconomic inequalities and disability pension in middle-aged men.  </w:t>
      </w:r>
      <w:r w:rsidRPr="006949BB">
        <w:rPr>
          <w:rFonts w:ascii="Verdana" w:eastAsia="Calibri" w:hAnsi="Verdana"/>
          <w:u w:val="single"/>
        </w:rPr>
        <w:t>Int J Epidemiol</w:t>
      </w:r>
      <w:r w:rsidRPr="009E7DEF">
        <w:rPr>
          <w:rFonts w:ascii="Verdana" w:eastAsia="Calibri" w:hAnsi="Verdana"/>
        </w:rPr>
        <w:t xml:space="preserve"> 1998;</w:t>
      </w:r>
      <w:r w:rsidRPr="006949BB">
        <w:rPr>
          <w:rFonts w:ascii="Verdana" w:eastAsia="Calibri" w:hAnsi="Verdana"/>
          <w:b/>
        </w:rPr>
        <w:t>37</w:t>
      </w:r>
      <w:r w:rsidRPr="009E7DEF">
        <w:rPr>
          <w:rFonts w:ascii="Verdana" w:eastAsia="Calibri" w:hAnsi="Verdana"/>
        </w:rPr>
        <w:t>:1019-25.</w:t>
      </w:r>
    </w:p>
    <w:p w14:paraId="15366689" w14:textId="7ABBF05A"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59.</w:t>
      </w:r>
      <w:r w:rsidRPr="00C253C5">
        <w:rPr>
          <w:rFonts w:ascii="Verdana" w:eastAsia="Calibri" w:hAnsi="Verdana"/>
        </w:rPr>
        <w:tab/>
      </w:r>
      <w:r w:rsidRPr="009E7DEF">
        <w:rPr>
          <w:rFonts w:ascii="Verdana" w:eastAsia="Calibri" w:hAnsi="Verdana"/>
        </w:rPr>
        <w:t>Kärkkäinen S, Pitkäniemi J, Silventoinen K,</w:t>
      </w:r>
      <w:r w:rsidR="007E2C17">
        <w:rPr>
          <w:rFonts w:ascii="Verdana" w:eastAsia="Calibri" w:hAnsi="Verdana"/>
        </w:rPr>
        <w:t xml:space="preserve"> et al</w:t>
      </w:r>
      <w:r w:rsidRPr="009E7DEF">
        <w:rPr>
          <w:rFonts w:ascii="Verdana" w:eastAsia="Calibri" w:hAnsi="Verdana"/>
        </w:rPr>
        <w:t xml:space="preserve">.  Physical workload and risk of early retirement: prospective population-based study among middle-aged men.  </w:t>
      </w:r>
      <w:r w:rsidRPr="006949BB">
        <w:rPr>
          <w:rFonts w:ascii="Verdana" w:eastAsia="Calibri" w:hAnsi="Verdana"/>
          <w:u w:val="single"/>
        </w:rPr>
        <w:t>J Occup Environ Med</w:t>
      </w:r>
      <w:r w:rsidRPr="009E7DEF">
        <w:rPr>
          <w:rFonts w:ascii="Verdana" w:eastAsia="Calibri" w:hAnsi="Verdana"/>
        </w:rPr>
        <w:t xml:space="preserve"> 2002;</w:t>
      </w:r>
      <w:r w:rsidRPr="006949BB">
        <w:rPr>
          <w:rFonts w:ascii="Verdana" w:eastAsia="Calibri" w:hAnsi="Verdana"/>
          <w:b/>
        </w:rPr>
        <w:t>44</w:t>
      </w:r>
      <w:r w:rsidRPr="009E7DEF">
        <w:rPr>
          <w:rFonts w:ascii="Verdana" w:eastAsia="Calibri" w:hAnsi="Verdana"/>
        </w:rPr>
        <w:t>:930-9.</w:t>
      </w:r>
    </w:p>
    <w:p w14:paraId="63085575" w14:textId="0E0D1B4A"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60.</w:t>
      </w:r>
      <w:r w:rsidRPr="00C253C5">
        <w:rPr>
          <w:rFonts w:ascii="Verdana" w:eastAsia="Calibri" w:hAnsi="Verdana"/>
        </w:rPr>
        <w:tab/>
      </w:r>
      <w:r w:rsidRPr="009E7DEF">
        <w:rPr>
          <w:rFonts w:ascii="Verdana" w:eastAsia="Calibri" w:hAnsi="Verdana"/>
        </w:rPr>
        <w:t>Järvholm B, Stattin M, Robroek SJW,</w:t>
      </w:r>
      <w:r w:rsidR="007664A7">
        <w:rPr>
          <w:rFonts w:ascii="Verdana" w:eastAsia="Calibri" w:hAnsi="Verdana"/>
        </w:rPr>
        <w:t xml:space="preserve"> et al</w:t>
      </w:r>
      <w:r w:rsidRPr="009E7DEF">
        <w:rPr>
          <w:rFonts w:ascii="Verdana" w:eastAsia="Calibri" w:hAnsi="Verdana"/>
        </w:rPr>
        <w:t xml:space="preserve">.  Heavy work and disability pension – a long term follow-up of Swedish construction workers.  </w:t>
      </w:r>
      <w:r w:rsidRPr="006949BB">
        <w:rPr>
          <w:rFonts w:ascii="Verdana" w:eastAsia="Calibri" w:hAnsi="Verdana"/>
          <w:u w:val="single"/>
        </w:rPr>
        <w:t>Scand J Work Environ Health</w:t>
      </w:r>
      <w:r w:rsidRPr="009E7DEF">
        <w:rPr>
          <w:rFonts w:ascii="Verdana" w:eastAsia="Calibri" w:hAnsi="Verdana"/>
        </w:rPr>
        <w:t xml:space="preserve"> 2014;</w:t>
      </w:r>
      <w:r w:rsidRPr="006949BB">
        <w:rPr>
          <w:rFonts w:ascii="Verdana" w:eastAsia="Calibri" w:hAnsi="Verdana"/>
          <w:b/>
        </w:rPr>
        <w:t>40</w:t>
      </w:r>
      <w:r w:rsidRPr="009E7DEF">
        <w:rPr>
          <w:rFonts w:ascii="Verdana" w:eastAsia="Calibri" w:hAnsi="Verdana"/>
        </w:rPr>
        <w:t>:335-42.</w:t>
      </w:r>
    </w:p>
    <w:p w14:paraId="51C3527A" w14:textId="077196FB"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61.</w:t>
      </w:r>
      <w:r w:rsidRPr="00C253C5">
        <w:rPr>
          <w:rFonts w:ascii="Verdana" w:eastAsia="Calibri" w:hAnsi="Verdana"/>
        </w:rPr>
        <w:tab/>
      </w:r>
      <w:r w:rsidRPr="009E7DEF">
        <w:rPr>
          <w:rFonts w:ascii="Verdana" w:eastAsia="Calibri" w:hAnsi="Verdana"/>
        </w:rPr>
        <w:t xml:space="preserve">Midanik LT, Soghikian K, Ransom LJ, </w:t>
      </w:r>
      <w:r w:rsidR="005B3B2B">
        <w:rPr>
          <w:rFonts w:ascii="Verdana" w:eastAsia="Calibri" w:hAnsi="Verdana"/>
        </w:rPr>
        <w:t>et al</w:t>
      </w:r>
      <w:r w:rsidRPr="009E7DEF">
        <w:rPr>
          <w:rFonts w:ascii="Verdana" w:eastAsia="Calibri" w:hAnsi="Verdana"/>
        </w:rPr>
        <w:t xml:space="preserve">. The effect of retirement on mental health and health behaviors: The Kaiser Permanente retirement study.  </w:t>
      </w:r>
      <w:r w:rsidRPr="006949BB">
        <w:rPr>
          <w:rFonts w:ascii="Verdana" w:eastAsia="Calibri" w:hAnsi="Verdana"/>
          <w:u w:val="single"/>
        </w:rPr>
        <w:t>Journal of Gerontology: Social Sciences</w:t>
      </w:r>
      <w:r w:rsidRPr="009E7DEF">
        <w:rPr>
          <w:rFonts w:ascii="Verdana" w:eastAsia="Calibri" w:hAnsi="Verdana"/>
        </w:rPr>
        <w:t xml:space="preserve"> 1995;</w:t>
      </w:r>
      <w:r w:rsidRPr="006949BB">
        <w:rPr>
          <w:rFonts w:ascii="Verdana" w:eastAsia="Calibri" w:hAnsi="Verdana"/>
          <w:b/>
        </w:rPr>
        <w:t>50</w:t>
      </w:r>
      <w:r w:rsidRPr="009E7DEF">
        <w:rPr>
          <w:rFonts w:ascii="Verdana" w:eastAsia="Calibri" w:hAnsi="Verdana"/>
        </w:rPr>
        <w:t>:S59-S61.</w:t>
      </w:r>
    </w:p>
    <w:p w14:paraId="4D3FFE84" w14:textId="7777777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lastRenderedPageBreak/>
        <w:t>62.</w:t>
      </w:r>
      <w:r w:rsidRPr="00C253C5">
        <w:rPr>
          <w:rFonts w:ascii="Verdana" w:eastAsia="Calibri" w:hAnsi="Verdana"/>
        </w:rPr>
        <w:tab/>
      </w:r>
      <w:r w:rsidRPr="009E7DEF">
        <w:rPr>
          <w:rFonts w:ascii="Verdana" w:eastAsia="Calibri" w:hAnsi="Verdana"/>
        </w:rPr>
        <w:t xml:space="preserve">Salokangas RK, Joukamaa M.  Physical and mental health changes in retirement age.  </w:t>
      </w:r>
      <w:r w:rsidRPr="006949BB">
        <w:rPr>
          <w:rFonts w:ascii="Verdana" w:eastAsia="Calibri" w:hAnsi="Verdana"/>
          <w:u w:val="single"/>
        </w:rPr>
        <w:t>Psychotherapy Pschosom</w:t>
      </w:r>
      <w:r w:rsidRPr="009E7DEF">
        <w:rPr>
          <w:rFonts w:ascii="Verdana" w:eastAsia="Calibri" w:hAnsi="Verdana"/>
        </w:rPr>
        <w:t xml:space="preserve"> 1991;</w:t>
      </w:r>
      <w:r w:rsidRPr="006949BB">
        <w:rPr>
          <w:rFonts w:ascii="Verdana" w:eastAsia="Calibri" w:hAnsi="Verdana"/>
          <w:b/>
        </w:rPr>
        <w:t>55</w:t>
      </w:r>
      <w:r w:rsidRPr="009E7DEF">
        <w:rPr>
          <w:rFonts w:ascii="Verdana" w:eastAsia="Calibri" w:hAnsi="Verdana"/>
        </w:rPr>
        <w:t>:100-7.</w:t>
      </w:r>
    </w:p>
    <w:p w14:paraId="2B13F2E2" w14:textId="7777777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63.</w:t>
      </w:r>
      <w:r w:rsidRPr="00C253C5">
        <w:rPr>
          <w:rFonts w:ascii="Verdana" w:eastAsia="Calibri" w:hAnsi="Verdana"/>
        </w:rPr>
        <w:tab/>
      </w:r>
      <w:r w:rsidRPr="009E7DEF">
        <w:rPr>
          <w:rFonts w:ascii="Verdana" w:eastAsia="Calibri" w:hAnsi="Verdana"/>
        </w:rPr>
        <w:t>Waddell G, Burton AK.  Is work good for your health and well-being? London. The Stationery Office. 2006 ISBN 0 11 7036943.</w:t>
      </w:r>
    </w:p>
    <w:p w14:paraId="37599547" w14:textId="4AC9B6EA"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64.</w:t>
      </w:r>
      <w:r w:rsidRPr="00C253C5">
        <w:rPr>
          <w:rFonts w:ascii="Verdana" w:eastAsia="Calibri" w:hAnsi="Verdana"/>
        </w:rPr>
        <w:tab/>
      </w:r>
      <w:r w:rsidRPr="009E7DEF">
        <w:rPr>
          <w:rFonts w:ascii="Verdana" w:eastAsia="Calibri" w:hAnsi="Verdana"/>
        </w:rPr>
        <w:t xml:space="preserve">Bieleman HJ, Bierma-Zeinstra SMA, </w:t>
      </w:r>
      <w:r w:rsidR="00646F33">
        <w:rPr>
          <w:rFonts w:ascii="Verdana" w:eastAsia="Calibri" w:hAnsi="Verdana"/>
        </w:rPr>
        <w:t xml:space="preserve">Oosterveld FGJ, </w:t>
      </w:r>
      <w:r w:rsidR="00C04CC6">
        <w:rPr>
          <w:rFonts w:ascii="Verdana" w:eastAsia="Calibri" w:hAnsi="Verdana"/>
        </w:rPr>
        <w:t>et al</w:t>
      </w:r>
      <w:r w:rsidRPr="009E7DEF">
        <w:rPr>
          <w:rFonts w:ascii="Verdana" w:eastAsia="Calibri" w:hAnsi="Verdana"/>
        </w:rPr>
        <w:t xml:space="preserve">.  The effect of osteoarthritis of the hip or knee on work participation.  </w:t>
      </w:r>
      <w:r w:rsidRPr="006949BB">
        <w:rPr>
          <w:rFonts w:ascii="Verdana" w:eastAsia="Calibri" w:hAnsi="Verdana"/>
          <w:u w:val="single"/>
        </w:rPr>
        <w:t>J Rheumatol</w:t>
      </w:r>
      <w:r w:rsidRPr="009E7DEF">
        <w:rPr>
          <w:rFonts w:ascii="Verdana" w:eastAsia="Calibri" w:hAnsi="Verdana"/>
        </w:rPr>
        <w:t xml:space="preserve"> 2011;</w:t>
      </w:r>
      <w:r w:rsidRPr="006949BB">
        <w:rPr>
          <w:rFonts w:ascii="Verdana" w:eastAsia="Calibri" w:hAnsi="Verdana"/>
          <w:b/>
        </w:rPr>
        <w:t>38</w:t>
      </w:r>
      <w:r w:rsidRPr="009E7DEF">
        <w:rPr>
          <w:rFonts w:ascii="Verdana" w:eastAsia="Calibri" w:hAnsi="Verdana"/>
        </w:rPr>
        <w:t>:1835-43.</w:t>
      </w:r>
    </w:p>
    <w:p w14:paraId="02C0A215" w14:textId="0AAEA45E"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65.</w:t>
      </w:r>
      <w:r w:rsidRPr="00C253C5">
        <w:rPr>
          <w:rFonts w:ascii="Verdana" w:eastAsia="Calibri" w:hAnsi="Verdana"/>
        </w:rPr>
        <w:tab/>
      </w:r>
      <w:r w:rsidRPr="009E7DEF">
        <w:rPr>
          <w:rFonts w:ascii="Verdana" w:eastAsia="Calibri" w:hAnsi="Verdana"/>
        </w:rPr>
        <w:t xml:space="preserve">Yelin EH.  Musculoskeletal conditions and employment.  </w:t>
      </w:r>
      <w:r w:rsidRPr="006949BB">
        <w:rPr>
          <w:rFonts w:ascii="Verdana" w:eastAsia="Calibri" w:hAnsi="Verdana"/>
          <w:u w:val="single"/>
        </w:rPr>
        <w:t>Arthr Rheum</w:t>
      </w:r>
      <w:r w:rsidR="00C04CC6">
        <w:rPr>
          <w:rFonts w:ascii="Verdana" w:eastAsia="Calibri" w:hAnsi="Verdana"/>
        </w:rPr>
        <w:t xml:space="preserve"> </w:t>
      </w:r>
      <w:r w:rsidRPr="009E7DEF">
        <w:rPr>
          <w:rFonts w:ascii="Verdana" w:eastAsia="Calibri" w:hAnsi="Verdana"/>
        </w:rPr>
        <w:t>1995;</w:t>
      </w:r>
      <w:r w:rsidRPr="006949BB">
        <w:rPr>
          <w:rFonts w:ascii="Verdana" w:eastAsia="Calibri" w:hAnsi="Verdana"/>
          <w:b/>
        </w:rPr>
        <w:t>8</w:t>
      </w:r>
      <w:r w:rsidRPr="009E7DEF">
        <w:rPr>
          <w:rFonts w:ascii="Verdana" w:eastAsia="Calibri" w:hAnsi="Verdana"/>
        </w:rPr>
        <w:t>:311-317.</w:t>
      </w:r>
    </w:p>
    <w:p w14:paraId="3316B893" w14:textId="7777777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66.</w:t>
      </w:r>
      <w:r w:rsidRPr="00C253C5">
        <w:rPr>
          <w:rFonts w:ascii="Verdana" w:eastAsia="Calibri" w:hAnsi="Verdana"/>
        </w:rPr>
        <w:tab/>
      </w:r>
      <w:r w:rsidRPr="009E7DEF">
        <w:rPr>
          <w:rFonts w:ascii="Verdana" w:eastAsia="Calibri" w:hAnsi="Verdana"/>
        </w:rPr>
        <w:t xml:space="preserve">Palmer KT. Occupational activities and osteoarthritis of the knee. </w:t>
      </w:r>
      <w:r w:rsidRPr="006949BB">
        <w:rPr>
          <w:rFonts w:ascii="Verdana" w:eastAsia="Calibri" w:hAnsi="Verdana"/>
          <w:u w:val="single"/>
        </w:rPr>
        <w:t>Brit Med Bulletin</w:t>
      </w:r>
      <w:r w:rsidRPr="009E7DEF">
        <w:rPr>
          <w:rFonts w:ascii="Verdana" w:eastAsia="Calibri" w:hAnsi="Verdana"/>
        </w:rPr>
        <w:t xml:space="preserve"> 2012; 2012;</w:t>
      </w:r>
      <w:r w:rsidRPr="006949BB">
        <w:rPr>
          <w:rFonts w:ascii="Verdana" w:eastAsia="Calibri" w:hAnsi="Verdana"/>
          <w:b/>
        </w:rPr>
        <w:t>102</w:t>
      </w:r>
      <w:r w:rsidRPr="009E7DEF">
        <w:rPr>
          <w:rFonts w:ascii="Verdana" w:eastAsia="Calibri" w:hAnsi="Verdana"/>
        </w:rPr>
        <w:t>:147-70.</w:t>
      </w:r>
    </w:p>
    <w:p w14:paraId="09B3BB0C" w14:textId="1DEB02B8"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67.</w:t>
      </w:r>
      <w:r w:rsidRPr="00C253C5">
        <w:rPr>
          <w:rFonts w:ascii="Verdana" w:eastAsia="Calibri" w:hAnsi="Verdana"/>
        </w:rPr>
        <w:tab/>
      </w:r>
      <w:r w:rsidRPr="009E7DEF">
        <w:rPr>
          <w:rFonts w:ascii="Verdana" w:eastAsia="Calibri" w:hAnsi="Verdana"/>
        </w:rPr>
        <w:t>Palmer KT, Harris EC, Linaker C,</w:t>
      </w:r>
      <w:r w:rsidR="007664A7">
        <w:rPr>
          <w:rFonts w:ascii="Verdana" w:eastAsia="Calibri" w:hAnsi="Verdana"/>
        </w:rPr>
        <w:t xml:space="preserve"> et al</w:t>
      </w:r>
      <w:r w:rsidRPr="009E7DEF">
        <w:rPr>
          <w:rFonts w:ascii="Verdana" w:eastAsia="Calibri" w:hAnsi="Verdana"/>
        </w:rPr>
        <w:t xml:space="preserve">. Effectiveness of community- and workplace-based interventions to manage musculoskeletal-related sickness absence and job loss – a systematic review. </w:t>
      </w:r>
      <w:r w:rsidRPr="006949BB">
        <w:rPr>
          <w:rFonts w:ascii="Verdana" w:eastAsia="Calibri" w:hAnsi="Verdana"/>
          <w:u w:val="single"/>
        </w:rPr>
        <w:t>Rheumato</w:t>
      </w:r>
      <w:r w:rsidRPr="009E7DEF">
        <w:rPr>
          <w:rFonts w:ascii="Verdana" w:eastAsia="Calibri" w:hAnsi="Verdana"/>
        </w:rPr>
        <w:t>l 2012;</w:t>
      </w:r>
      <w:r w:rsidRPr="006949BB">
        <w:rPr>
          <w:rFonts w:ascii="Verdana" w:eastAsia="Calibri" w:hAnsi="Verdana"/>
          <w:b/>
        </w:rPr>
        <w:t>51</w:t>
      </w:r>
      <w:r w:rsidRPr="009E7DEF">
        <w:rPr>
          <w:rFonts w:ascii="Verdana" w:eastAsia="Calibri" w:hAnsi="Verdana"/>
        </w:rPr>
        <w:t>:230-242.</w:t>
      </w:r>
    </w:p>
    <w:p w14:paraId="4F1B6518" w14:textId="7777777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68.</w:t>
      </w:r>
      <w:r w:rsidRPr="00C253C5">
        <w:rPr>
          <w:rFonts w:ascii="Verdana" w:eastAsia="Calibri" w:hAnsi="Verdana"/>
        </w:rPr>
        <w:tab/>
      </w:r>
      <w:r w:rsidRPr="009E7DEF">
        <w:rPr>
          <w:rFonts w:ascii="Verdana" w:eastAsia="Calibri" w:hAnsi="Verdana"/>
        </w:rPr>
        <w:t xml:space="preserve">Heck DA, Clingman JK, Kettlekamp DG.  Gross polyethylene failure in total knee arthroplasty.  </w:t>
      </w:r>
      <w:r w:rsidRPr="006949BB">
        <w:rPr>
          <w:rFonts w:ascii="Verdana" w:eastAsia="Calibri" w:hAnsi="Verdana"/>
          <w:u w:val="single"/>
        </w:rPr>
        <w:t>Orthopedics</w:t>
      </w:r>
      <w:r w:rsidRPr="009E7DEF">
        <w:rPr>
          <w:rFonts w:ascii="Verdana" w:eastAsia="Calibri" w:hAnsi="Verdana"/>
        </w:rPr>
        <w:t xml:space="preserve"> 1992;</w:t>
      </w:r>
      <w:r w:rsidRPr="006949BB">
        <w:rPr>
          <w:rFonts w:ascii="Verdana" w:eastAsia="Calibri" w:hAnsi="Verdana"/>
          <w:b/>
        </w:rPr>
        <w:t>15</w:t>
      </w:r>
      <w:r w:rsidRPr="009E7DEF">
        <w:rPr>
          <w:rFonts w:ascii="Verdana" w:eastAsia="Calibri" w:hAnsi="Verdana"/>
        </w:rPr>
        <w:t>:23-8.</w:t>
      </w:r>
    </w:p>
    <w:p w14:paraId="69022A39" w14:textId="21BE5EFC"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69.</w:t>
      </w:r>
      <w:r w:rsidRPr="00C253C5">
        <w:rPr>
          <w:rFonts w:ascii="Verdana" w:eastAsia="Calibri" w:hAnsi="Verdana"/>
        </w:rPr>
        <w:tab/>
      </w:r>
      <w:r w:rsidR="007664A7">
        <w:rPr>
          <w:rFonts w:ascii="Verdana" w:eastAsia="Calibri" w:hAnsi="Verdana"/>
        </w:rPr>
        <w:t>Jones DL,</w:t>
      </w:r>
      <w:r w:rsidRPr="009E7DEF">
        <w:rPr>
          <w:rFonts w:ascii="Verdana" w:eastAsia="Calibri" w:hAnsi="Verdana"/>
        </w:rPr>
        <w:t xml:space="preserve"> Cauley JA, Kriska AM,</w:t>
      </w:r>
      <w:r w:rsidR="007664A7">
        <w:rPr>
          <w:rFonts w:ascii="Verdana" w:eastAsia="Calibri" w:hAnsi="Verdana"/>
        </w:rPr>
        <w:t xml:space="preserve"> et al</w:t>
      </w:r>
      <w:r w:rsidRPr="009E7DEF">
        <w:rPr>
          <w:rFonts w:ascii="Verdana" w:eastAsia="Calibri" w:hAnsi="Verdana"/>
        </w:rPr>
        <w:t xml:space="preserve">.  Physical activity and risk of revision total knee arthroplasty in individuals with knee osteoarthritis: A matched case-control study.  </w:t>
      </w:r>
      <w:r w:rsidRPr="006949BB">
        <w:rPr>
          <w:rFonts w:ascii="Verdana" w:eastAsia="Calibri" w:hAnsi="Verdana"/>
          <w:u w:val="single"/>
        </w:rPr>
        <w:t>Rheumatol</w:t>
      </w:r>
      <w:r w:rsidRPr="009E7DEF">
        <w:rPr>
          <w:rFonts w:ascii="Verdana" w:eastAsia="Calibri" w:hAnsi="Verdana"/>
        </w:rPr>
        <w:t xml:space="preserve"> 2004;</w:t>
      </w:r>
      <w:r w:rsidRPr="006949BB">
        <w:rPr>
          <w:rFonts w:ascii="Verdana" w:eastAsia="Calibri" w:hAnsi="Verdana"/>
          <w:b/>
        </w:rPr>
        <w:t>31</w:t>
      </w:r>
      <w:r w:rsidRPr="009E7DEF">
        <w:rPr>
          <w:rFonts w:ascii="Verdana" w:eastAsia="Calibri" w:hAnsi="Verdana"/>
        </w:rPr>
        <w:t>:1384-90.</w:t>
      </w:r>
    </w:p>
    <w:p w14:paraId="131ACB1D" w14:textId="4D6784C3"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70.</w:t>
      </w:r>
      <w:r w:rsidRPr="00C253C5">
        <w:rPr>
          <w:rFonts w:ascii="Verdana" w:eastAsia="Calibri" w:hAnsi="Verdana"/>
        </w:rPr>
        <w:tab/>
      </w:r>
      <w:r w:rsidRPr="009E7DEF">
        <w:rPr>
          <w:rFonts w:ascii="Verdana" w:eastAsia="Calibri" w:hAnsi="Verdana"/>
        </w:rPr>
        <w:t xml:space="preserve">Pit SW, Shrestha R, Schofield D, </w:t>
      </w:r>
      <w:r w:rsidR="00C04CC6">
        <w:rPr>
          <w:rFonts w:ascii="Verdana" w:eastAsia="Calibri" w:hAnsi="Verdana"/>
        </w:rPr>
        <w:t>et al</w:t>
      </w:r>
      <w:r w:rsidRPr="009E7DEF">
        <w:rPr>
          <w:rFonts w:ascii="Verdana" w:eastAsia="Calibri" w:hAnsi="Verdana"/>
        </w:rPr>
        <w:t xml:space="preserve">.  Health problems and retirement due to ill-health among Australian retirees aged 45-64 years.  </w:t>
      </w:r>
      <w:r w:rsidRPr="006949BB">
        <w:rPr>
          <w:rFonts w:ascii="Verdana" w:eastAsia="Calibri" w:hAnsi="Verdana"/>
          <w:u w:val="single"/>
        </w:rPr>
        <w:t>Health Policy</w:t>
      </w:r>
      <w:r w:rsidRPr="009E7DEF">
        <w:rPr>
          <w:rFonts w:ascii="Verdana" w:eastAsia="Calibri" w:hAnsi="Verdana"/>
        </w:rPr>
        <w:t xml:space="preserve"> 2010;</w:t>
      </w:r>
      <w:r w:rsidRPr="006949BB">
        <w:rPr>
          <w:rFonts w:ascii="Verdana" w:eastAsia="Calibri" w:hAnsi="Verdana"/>
          <w:b/>
        </w:rPr>
        <w:t>94</w:t>
      </w:r>
      <w:r w:rsidRPr="009E7DEF">
        <w:rPr>
          <w:rFonts w:ascii="Verdana" w:eastAsia="Calibri" w:hAnsi="Verdana"/>
        </w:rPr>
        <w:t>:175-81.</w:t>
      </w:r>
    </w:p>
    <w:p w14:paraId="05EEDB6D" w14:textId="579D3393"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71.</w:t>
      </w:r>
      <w:r w:rsidRPr="00C253C5">
        <w:rPr>
          <w:rFonts w:ascii="Verdana" w:eastAsia="Calibri" w:hAnsi="Verdana"/>
        </w:rPr>
        <w:tab/>
      </w:r>
      <w:r w:rsidRPr="009E7DEF">
        <w:rPr>
          <w:rFonts w:ascii="Verdana" w:eastAsia="Calibri" w:hAnsi="Verdana"/>
        </w:rPr>
        <w:t>Cog</w:t>
      </w:r>
      <w:r w:rsidR="007664A7">
        <w:rPr>
          <w:rFonts w:ascii="Verdana" w:eastAsia="Calibri" w:hAnsi="Verdana"/>
        </w:rPr>
        <w:t>gon D, Ntani G, Vargas-Prada S,</w:t>
      </w:r>
      <w:r w:rsidRPr="009E7DEF">
        <w:rPr>
          <w:rFonts w:ascii="Verdana" w:eastAsia="Calibri" w:hAnsi="Verdana"/>
        </w:rPr>
        <w:t xml:space="preserve"> and other members of the CUPID Collaboration.  International variation in musculoskeletal sickness absence: Findings from the CUPID study. </w:t>
      </w:r>
      <w:r w:rsidRPr="006949BB">
        <w:rPr>
          <w:rFonts w:ascii="Verdana" w:eastAsia="Calibri" w:hAnsi="Verdana"/>
          <w:u w:val="single"/>
        </w:rPr>
        <w:t>Occup Environ Med</w:t>
      </w:r>
      <w:r w:rsidRPr="009E7DEF">
        <w:rPr>
          <w:rFonts w:ascii="Verdana" w:eastAsia="Calibri" w:hAnsi="Verdana"/>
        </w:rPr>
        <w:t xml:space="preserve"> 2013;</w:t>
      </w:r>
      <w:r w:rsidRPr="006949BB">
        <w:rPr>
          <w:rFonts w:ascii="Verdana" w:eastAsia="Calibri" w:hAnsi="Verdana"/>
          <w:b/>
        </w:rPr>
        <w:t>70</w:t>
      </w:r>
      <w:r w:rsidRPr="009E7DEF">
        <w:rPr>
          <w:rFonts w:ascii="Verdana" w:eastAsia="Calibri" w:hAnsi="Verdana"/>
        </w:rPr>
        <w:t>:575-84.</w:t>
      </w:r>
    </w:p>
    <w:p w14:paraId="37648771" w14:textId="175D1BBD"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lastRenderedPageBreak/>
        <w:t>72.</w:t>
      </w:r>
      <w:r w:rsidRPr="00C253C5">
        <w:rPr>
          <w:rFonts w:ascii="Verdana" w:eastAsia="Calibri" w:hAnsi="Verdana"/>
        </w:rPr>
        <w:tab/>
      </w:r>
      <w:r w:rsidRPr="009E7DEF">
        <w:rPr>
          <w:rFonts w:ascii="Verdana" w:eastAsia="Calibri" w:hAnsi="Verdana"/>
        </w:rPr>
        <w:t xml:space="preserve">Foster NE, Mullis R, Hill JC, </w:t>
      </w:r>
      <w:r w:rsidR="007664A7">
        <w:rPr>
          <w:rFonts w:ascii="Verdana" w:eastAsia="Calibri" w:hAnsi="Verdana"/>
        </w:rPr>
        <w:t>et al</w:t>
      </w:r>
      <w:r w:rsidRPr="009E7DEF">
        <w:rPr>
          <w:rFonts w:ascii="Verdana" w:eastAsia="Calibri" w:hAnsi="Verdana"/>
        </w:rPr>
        <w:t xml:space="preserve">, on behalf of the Team IBS. Effect of stratified care for low back pain in family practice (IMPaCT Back): a prospective population-based sequential comparison. </w:t>
      </w:r>
      <w:r w:rsidRPr="006949BB">
        <w:rPr>
          <w:rFonts w:ascii="Verdana" w:eastAsia="Calibri" w:hAnsi="Verdana"/>
          <w:u w:val="single"/>
        </w:rPr>
        <w:t>Ann Fam Med</w:t>
      </w:r>
      <w:r w:rsidRPr="009E7DEF">
        <w:rPr>
          <w:rFonts w:ascii="Verdana" w:eastAsia="Calibri" w:hAnsi="Verdana"/>
        </w:rPr>
        <w:t xml:space="preserve"> 2014;</w:t>
      </w:r>
      <w:r w:rsidRPr="006949BB">
        <w:rPr>
          <w:rFonts w:ascii="Verdana" w:eastAsia="Calibri" w:hAnsi="Verdana"/>
          <w:b/>
        </w:rPr>
        <w:t>12</w:t>
      </w:r>
      <w:r w:rsidRPr="009E7DEF">
        <w:rPr>
          <w:rFonts w:ascii="Verdana" w:eastAsia="Calibri" w:hAnsi="Verdana"/>
        </w:rPr>
        <w:t>:102-111.</w:t>
      </w:r>
    </w:p>
    <w:p w14:paraId="26ACBF49" w14:textId="597B8B91"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73.</w:t>
      </w:r>
      <w:r w:rsidRPr="00C253C5">
        <w:rPr>
          <w:rFonts w:ascii="Verdana" w:eastAsia="Calibri" w:hAnsi="Verdana"/>
        </w:rPr>
        <w:tab/>
      </w:r>
      <w:r w:rsidRPr="009E7DEF">
        <w:rPr>
          <w:rFonts w:ascii="Verdana" w:eastAsia="Calibri" w:hAnsi="Verdana"/>
        </w:rPr>
        <w:t xml:space="preserve">Welch L, Haile E, Boden LI, </w:t>
      </w:r>
      <w:r w:rsidR="005B3B2B">
        <w:rPr>
          <w:rFonts w:ascii="Verdana" w:eastAsia="Calibri" w:hAnsi="Verdana"/>
        </w:rPr>
        <w:t>et al</w:t>
      </w:r>
      <w:r w:rsidRPr="009E7DEF">
        <w:rPr>
          <w:rFonts w:ascii="Verdana" w:eastAsia="Calibri" w:hAnsi="Verdana"/>
        </w:rPr>
        <w:t xml:space="preserve">.  Musculoskeletal disorders among construction roofers – physical function and disability.  </w:t>
      </w:r>
      <w:r w:rsidRPr="006949BB">
        <w:rPr>
          <w:rFonts w:ascii="Verdana" w:eastAsia="Calibri" w:hAnsi="Verdana"/>
          <w:u w:val="single"/>
        </w:rPr>
        <w:t>Scand J Work Environ Health</w:t>
      </w:r>
      <w:r w:rsidRPr="009E7DEF">
        <w:rPr>
          <w:rFonts w:ascii="Verdana" w:eastAsia="Calibri" w:hAnsi="Verdana"/>
        </w:rPr>
        <w:t xml:space="preserve"> 20</w:t>
      </w:r>
      <w:r w:rsidR="00C04CC6">
        <w:rPr>
          <w:rFonts w:ascii="Verdana" w:eastAsia="Calibri" w:hAnsi="Verdana"/>
        </w:rPr>
        <w:t>0</w:t>
      </w:r>
      <w:r w:rsidRPr="009E7DEF">
        <w:rPr>
          <w:rFonts w:ascii="Verdana" w:eastAsia="Calibri" w:hAnsi="Verdana"/>
        </w:rPr>
        <w:t>9;</w:t>
      </w:r>
      <w:r w:rsidRPr="006949BB">
        <w:rPr>
          <w:rFonts w:ascii="Verdana" w:eastAsia="Calibri" w:hAnsi="Verdana"/>
          <w:b/>
        </w:rPr>
        <w:t>35</w:t>
      </w:r>
      <w:r w:rsidRPr="009E7DEF">
        <w:rPr>
          <w:rFonts w:ascii="Verdana" w:eastAsia="Calibri" w:hAnsi="Verdana"/>
        </w:rPr>
        <w:t>:56-63.</w:t>
      </w:r>
    </w:p>
    <w:p w14:paraId="4C332710" w14:textId="77777777"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74.</w:t>
      </w:r>
      <w:r w:rsidRPr="00C253C5">
        <w:rPr>
          <w:rFonts w:ascii="Verdana" w:eastAsia="Calibri" w:hAnsi="Verdana"/>
        </w:rPr>
        <w:tab/>
      </w:r>
      <w:r w:rsidRPr="009E7DEF">
        <w:rPr>
          <w:rFonts w:ascii="Verdana" w:eastAsia="Calibri" w:hAnsi="Verdana"/>
        </w:rPr>
        <w:t xml:space="preserve">Yelin E, Sonneborn D, Trupin L.  The prevalence and impact of accommodations of the employment of persons 51-61 years of age with musculoskeletal conditions.  </w:t>
      </w:r>
      <w:r w:rsidRPr="006949BB">
        <w:rPr>
          <w:rFonts w:ascii="Verdana" w:eastAsia="Calibri" w:hAnsi="Verdana"/>
          <w:u w:val="single"/>
        </w:rPr>
        <w:t>Arthritis Care Res</w:t>
      </w:r>
      <w:r w:rsidRPr="009E7DEF">
        <w:rPr>
          <w:rFonts w:ascii="Verdana" w:eastAsia="Calibri" w:hAnsi="Verdana"/>
        </w:rPr>
        <w:t xml:space="preserve"> 2000;</w:t>
      </w:r>
      <w:r w:rsidRPr="006949BB">
        <w:rPr>
          <w:rFonts w:ascii="Verdana" w:eastAsia="Calibri" w:hAnsi="Verdana"/>
          <w:b/>
        </w:rPr>
        <w:t>13</w:t>
      </w:r>
      <w:r w:rsidRPr="009E7DEF">
        <w:rPr>
          <w:rFonts w:ascii="Verdana" w:eastAsia="Calibri" w:hAnsi="Verdana"/>
        </w:rPr>
        <w:t>:168-76.</w:t>
      </w:r>
    </w:p>
    <w:p w14:paraId="616E7EF5" w14:textId="7FE65CCC"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75.</w:t>
      </w:r>
      <w:r w:rsidRPr="00C253C5">
        <w:rPr>
          <w:rFonts w:ascii="Verdana" w:eastAsia="Calibri" w:hAnsi="Verdana"/>
        </w:rPr>
        <w:tab/>
      </w:r>
      <w:r w:rsidRPr="009E7DEF">
        <w:rPr>
          <w:rFonts w:ascii="Verdana" w:eastAsia="Calibri" w:hAnsi="Verdana"/>
        </w:rPr>
        <w:t xml:space="preserve">Vlieland TP, de Buck PD, van den Hout WB.  Vocational rehabilitation programs for individuals with chronic arthritis.  </w:t>
      </w:r>
      <w:r w:rsidRPr="006949BB">
        <w:rPr>
          <w:rFonts w:ascii="Verdana" w:eastAsia="Calibri" w:hAnsi="Verdana"/>
          <w:u w:val="single"/>
        </w:rPr>
        <w:t>Current Opinion in Rheumatology</w:t>
      </w:r>
      <w:r w:rsidRPr="009E7DEF">
        <w:rPr>
          <w:rFonts w:ascii="Verdana" w:eastAsia="Calibri" w:hAnsi="Verdana"/>
        </w:rPr>
        <w:t xml:space="preserve"> 2009;</w:t>
      </w:r>
      <w:r w:rsidRPr="006949BB">
        <w:rPr>
          <w:rFonts w:ascii="Verdana" w:eastAsia="Calibri" w:hAnsi="Verdana"/>
          <w:b/>
        </w:rPr>
        <w:t>21</w:t>
      </w:r>
      <w:r w:rsidRPr="009E7DEF">
        <w:rPr>
          <w:rFonts w:ascii="Verdana" w:eastAsia="Calibri" w:hAnsi="Verdana"/>
        </w:rPr>
        <w:t>:183-8.</w:t>
      </w:r>
    </w:p>
    <w:p w14:paraId="6709574A" w14:textId="4D72D035"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76.</w:t>
      </w:r>
      <w:r w:rsidRPr="00C253C5">
        <w:rPr>
          <w:rFonts w:ascii="Verdana" w:eastAsia="Calibri" w:hAnsi="Verdana"/>
        </w:rPr>
        <w:tab/>
      </w:r>
      <w:r w:rsidRPr="009E7DEF">
        <w:rPr>
          <w:rFonts w:ascii="Verdana" w:eastAsia="Calibri" w:hAnsi="Verdana"/>
        </w:rPr>
        <w:t>Chen J-C, Linnan L, Callahan LF,</w:t>
      </w:r>
      <w:r w:rsidR="007664A7">
        <w:rPr>
          <w:rFonts w:ascii="Verdana" w:eastAsia="Calibri" w:hAnsi="Verdana"/>
        </w:rPr>
        <w:t xml:space="preserve"> et al</w:t>
      </w:r>
      <w:r w:rsidRPr="009E7DEF">
        <w:rPr>
          <w:rFonts w:ascii="Verdana" w:eastAsia="Calibri" w:hAnsi="Verdana"/>
        </w:rPr>
        <w:t xml:space="preserve">.  Workplace policies and prevalence of knee osteoarthritis: the Johnston county osteoarthritis project.  </w:t>
      </w:r>
      <w:r w:rsidRPr="006949BB">
        <w:rPr>
          <w:rFonts w:ascii="Verdana" w:eastAsia="Calibri" w:hAnsi="Verdana"/>
          <w:u w:val="single"/>
        </w:rPr>
        <w:t>Occup Environ Med</w:t>
      </w:r>
      <w:r w:rsidRPr="009E7DEF">
        <w:rPr>
          <w:rFonts w:ascii="Verdana" w:eastAsia="Calibri" w:hAnsi="Verdana"/>
        </w:rPr>
        <w:t xml:space="preserve"> 2007;</w:t>
      </w:r>
      <w:r w:rsidRPr="006949BB">
        <w:rPr>
          <w:rFonts w:ascii="Verdana" w:eastAsia="Calibri" w:hAnsi="Verdana"/>
          <w:b/>
        </w:rPr>
        <w:t>64</w:t>
      </w:r>
      <w:r w:rsidRPr="009E7DEF">
        <w:rPr>
          <w:rFonts w:ascii="Verdana" w:eastAsia="Calibri" w:hAnsi="Verdana"/>
        </w:rPr>
        <w:t>:798-805.</w:t>
      </w:r>
    </w:p>
    <w:p w14:paraId="6C66AD5D" w14:textId="020BD7E8"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77.</w:t>
      </w:r>
      <w:r w:rsidRPr="00C253C5">
        <w:rPr>
          <w:rFonts w:ascii="Verdana" w:eastAsia="Calibri" w:hAnsi="Verdana"/>
        </w:rPr>
        <w:tab/>
      </w:r>
      <w:r w:rsidRPr="009E7DEF">
        <w:rPr>
          <w:rFonts w:ascii="Verdana" w:eastAsia="Calibri" w:hAnsi="Verdana"/>
        </w:rPr>
        <w:t>Palmer KT, Milne P, Poole J,</w:t>
      </w:r>
      <w:r w:rsidR="007664A7">
        <w:rPr>
          <w:rFonts w:ascii="Verdana" w:eastAsia="Calibri" w:hAnsi="Verdana"/>
        </w:rPr>
        <w:t xml:space="preserve"> et al</w:t>
      </w:r>
      <w:r w:rsidRPr="009E7DEF">
        <w:rPr>
          <w:rFonts w:ascii="Verdana" w:eastAsia="Calibri" w:hAnsi="Verdana"/>
        </w:rPr>
        <w:t xml:space="preserve">. Employment characteristics and job loss in patients awaiting surgery on the hip or knee. </w:t>
      </w:r>
      <w:r w:rsidRPr="006949BB">
        <w:rPr>
          <w:rFonts w:ascii="Verdana" w:eastAsia="Calibri" w:hAnsi="Verdana"/>
          <w:u w:val="single"/>
        </w:rPr>
        <w:t>Occup Environ Med</w:t>
      </w:r>
      <w:r w:rsidRPr="009E7DEF">
        <w:rPr>
          <w:rFonts w:ascii="Verdana" w:eastAsia="Calibri" w:hAnsi="Verdana"/>
        </w:rPr>
        <w:t xml:space="preserve"> 2005;</w:t>
      </w:r>
      <w:r w:rsidRPr="006949BB">
        <w:rPr>
          <w:rFonts w:ascii="Verdana" w:eastAsia="Calibri" w:hAnsi="Verdana"/>
          <w:b/>
        </w:rPr>
        <w:t>62</w:t>
      </w:r>
      <w:r w:rsidRPr="009E7DEF">
        <w:rPr>
          <w:rFonts w:ascii="Verdana" w:eastAsia="Calibri" w:hAnsi="Verdana"/>
        </w:rPr>
        <w:t>:54-57.</w:t>
      </w:r>
    </w:p>
    <w:p w14:paraId="3A15AFD0" w14:textId="15702BE0"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78.</w:t>
      </w:r>
      <w:r w:rsidRPr="00C253C5">
        <w:rPr>
          <w:rFonts w:ascii="Verdana" w:eastAsia="Calibri" w:hAnsi="Verdana"/>
        </w:rPr>
        <w:tab/>
      </w:r>
      <w:r w:rsidRPr="009E7DEF">
        <w:rPr>
          <w:rFonts w:ascii="Verdana" w:eastAsia="Calibri" w:hAnsi="Verdana"/>
        </w:rPr>
        <w:t xml:space="preserve">Van der Burg LR, Ter Wee MM, Boonen A.  Effect of biological therapy on work participation in patients with ankylosing spondylitis: a systematic review.  </w:t>
      </w:r>
      <w:r w:rsidRPr="006949BB">
        <w:rPr>
          <w:rFonts w:ascii="Verdana" w:eastAsia="Calibri" w:hAnsi="Verdana"/>
          <w:u w:val="single"/>
        </w:rPr>
        <w:t>Ann Rheum Dis</w:t>
      </w:r>
      <w:r w:rsidRPr="009E7DEF">
        <w:rPr>
          <w:rFonts w:ascii="Verdana" w:eastAsia="Calibri" w:hAnsi="Verdana"/>
        </w:rPr>
        <w:t xml:space="preserve"> 2012;</w:t>
      </w:r>
      <w:r w:rsidRPr="006949BB">
        <w:rPr>
          <w:rFonts w:ascii="Verdana" w:eastAsia="Calibri" w:hAnsi="Verdana"/>
          <w:b/>
        </w:rPr>
        <w:t>71</w:t>
      </w:r>
      <w:r w:rsidRPr="009E7DEF">
        <w:rPr>
          <w:rFonts w:ascii="Verdana" w:eastAsia="Calibri" w:hAnsi="Verdana"/>
        </w:rPr>
        <w:t>:1924-33.</w:t>
      </w:r>
    </w:p>
    <w:p w14:paraId="6D068F1C" w14:textId="43DBA978"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t>79.</w:t>
      </w:r>
      <w:r w:rsidRPr="00C253C5">
        <w:rPr>
          <w:rFonts w:ascii="Verdana" w:eastAsia="Calibri" w:hAnsi="Verdana"/>
        </w:rPr>
        <w:tab/>
      </w:r>
      <w:r w:rsidRPr="009E7DEF">
        <w:rPr>
          <w:rFonts w:ascii="Verdana" w:eastAsia="Calibri" w:hAnsi="Verdana"/>
        </w:rPr>
        <w:t>Ter Wee MM, Lems WF, Usan H,</w:t>
      </w:r>
      <w:r w:rsidR="007664A7">
        <w:rPr>
          <w:rFonts w:ascii="Verdana" w:eastAsia="Calibri" w:hAnsi="Verdana"/>
        </w:rPr>
        <w:t xml:space="preserve"> et al</w:t>
      </w:r>
      <w:r w:rsidRPr="009E7DEF">
        <w:rPr>
          <w:rFonts w:ascii="Verdana" w:eastAsia="Calibri" w:hAnsi="Verdana"/>
        </w:rPr>
        <w:t xml:space="preserve">.  The effect of biological agents on work participation in rheumatoid arthritis patients: a systematic review.  </w:t>
      </w:r>
      <w:r w:rsidR="00C04CC6" w:rsidRPr="006949BB">
        <w:rPr>
          <w:rFonts w:ascii="Verdana" w:eastAsia="Calibri" w:hAnsi="Verdana"/>
          <w:u w:val="single"/>
        </w:rPr>
        <w:t>Ann Rheum Dis</w:t>
      </w:r>
      <w:r w:rsidR="00C04CC6" w:rsidRPr="009E7DEF">
        <w:rPr>
          <w:rFonts w:ascii="Verdana" w:eastAsia="Calibri" w:hAnsi="Verdana"/>
        </w:rPr>
        <w:t xml:space="preserve"> </w:t>
      </w:r>
      <w:r w:rsidRPr="009E7DEF">
        <w:rPr>
          <w:rFonts w:ascii="Verdana" w:eastAsia="Calibri" w:hAnsi="Verdana"/>
        </w:rPr>
        <w:t>2012;</w:t>
      </w:r>
      <w:r w:rsidRPr="006949BB">
        <w:rPr>
          <w:rFonts w:ascii="Verdana" w:eastAsia="Calibri" w:hAnsi="Verdana"/>
          <w:b/>
        </w:rPr>
        <w:t>71</w:t>
      </w:r>
      <w:r w:rsidRPr="009E7DEF">
        <w:rPr>
          <w:rFonts w:ascii="Verdana" w:eastAsia="Calibri" w:hAnsi="Verdana"/>
        </w:rPr>
        <w:t>:161-71.</w:t>
      </w:r>
    </w:p>
    <w:p w14:paraId="2FAD0921" w14:textId="5D014991" w:rsidR="006F629A" w:rsidRPr="009E7DEF" w:rsidRDefault="006F629A" w:rsidP="00F85A48">
      <w:pPr>
        <w:tabs>
          <w:tab w:val="left" w:pos="360"/>
        </w:tabs>
        <w:spacing w:line="480" w:lineRule="auto"/>
        <w:ind w:left="360" w:hanging="360"/>
        <w:rPr>
          <w:rFonts w:ascii="Verdana" w:eastAsia="Calibri" w:hAnsi="Verdana"/>
        </w:rPr>
      </w:pPr>
      <w:r w:rsidRPr="00C253C5">
        <w:rPr>
          <w:rFonts w:ascii="Verdana" w:eastAsia="Calibri" w:hAnsi="Verdana"/>
        </w:rPr>
        <w:lastRenderedPageBreak/>
        <w:t>80.</w:t>
      </w:r>
      <w:r w:rsidRPr="00C253C5">
        <w:rPr>
          <w:rFonts w:ascii="Verdana" w:eastAsia="Calibri" w:hAnsi="Verdana"/>
        </w:rPr>
        <w:tab/>
      </w:r>
      <w:r w:rsidRPr="009E7DEF">
        <w:rPr>
          <w:rFonts w:ascii="Verdana" w:eastAsia="Calibri" w:hAnsi="Verdana"/>
        </w:rPr>
        <w:t>Rantalaiho VM, Kautiainen H, Jarvenpaa S,</w:t>
      </w:r>
      <w:r w:rsidR="007664A7">
        <w:rPr>
          <w:rFonts w:ascii="Verdana" w:eastAsia="Calibri" w:hAnsi="Verdana"/>
        </w:rPr>
        <w:t xml:space="preserve"> et al</w:t>
      </w:r>
      <w:r w:rsidRPr="009E7DEF">
        <w:rPr>
          <w:rFonts w:ascii="Verdana" w:eastAsia="Calibri" w:hAnsi="Verdana"/>
        </w:rPr>
        <w:t xml:space="preserve">.  Decline in work disability caused by early rheumatoid arthritis: results from a nationwide Finnish register, 2000-8.  </w:t>
      </w:r>
      <w:r w:rsidR="00C04CC6" w:rsidRPr="006949BB">
        <w:rPr>
          <w:rFonts w:ascii="Verdana" w:eastAsia="Calibri" w:hAnsi="Verdana"/>
          <w:u w:val="single"/>
        </w:rPr>
        <w:t>Ann Rheum Dis</w:t>
      </w:r>
      <w:r w:rsidR="00C04CC6" w:rsidRPr="009E7DEF">
        <w:rPr>
          <w:rFonts w:ascii="Verdana" w:eastAsia="Calibri" w:hAnsi="Verdana"/>
        </w:rPr>
        <w:t xml:space="preserve"> </w:t>
      </w:r>
      <w:r w:rsidRPr="009E7DEF">
        <w:rPr>
          <w:rFonts w:ascii="Verdana" w:eastAsia="Calibri" w:hAnsi="Verdana"/>
        </w:rPr>
        <w:t>2013;</w:t>
      </w:r>
      <w:r w:rsidRPr="006949BB">
        <w:rPr>
          <w:rFonts w:ascii="Verdana" w:eastAsia="Calibri" w:hAnsi="Verdana"/>
          <w:b/>
        </w:rPr>
        <w:t>72</w:t>
      </w:r>
      <w:r w:rsidRPr="009E7DEF">
        <w:rPr>
          <w:rFonts w:ascii="Verdana" w:eastAsia="Calibri" w:hAnsi="Verdana"/>
        </w:rPr>
        <w:t>:672-7.</w:t>
      </w:r>
    </w:p>
    <w:p w14:paraId="676B0B92" w14:textId="63031407" w:rsidR="00767C23" w:rsidRDefault="00767C23">
      <w:pPr>
        <w:rPr>
          <w:rFonts w:ascii="Verdana" w:hAnsi="Verdana" w:cs="Times New Roman"/>
        </w:rPr>
      </w:pPr>
      <w:r>
        <w:rPr>
          <w:rFonts w:ascii="Verdana" w:hAnsi="Verdana" w:cs="Times New Roman"/>
        </w:rPr>
        <w:br w:type="page"/>
      </w:r>
    </w:p>
    <w:p w14:paraId="6F273B83" w14:textId="77777777" w:rsidR="00767C23" w:rsidRPr="00183AFD" w:rsidRDefault="00767C23" w:rsidP="00767C23">
      <w:pPr>
        <w:rPr>
          <w:rFonts w:ascii="Verdana" w:hAnsi="Verdana" w:cs="Arial"/>
          <w:b/>
        </w:rPr>
      </w:pPr>
      <w:r>
        <w:rPr>
          <w:rFonts w:ascii="Verdana" w:hAnsi="Verdana" w:cs="Arial"/>
          <w:b/>
        </w:rPr>
        <w:lastRenderedPageBreak/>
        <w:t>Conflict of interest</w:t>
      </w:r>
    </w:p>
    <w:p w14:paraId="4F22FF42" w14:textId="77777777" w:rsidR="00767C23" w:rsidRDefault="00767C23" w:rsidP="00767C23">
      <w:pPr>
        <w:rPr>
          <w:rFonts w:ascii="Verdana" w:hAnsi="Verdana" w:cs="Arial"/>
        </w:rPr>
      </w:pPr>
      <w:r>
        <w:rPr>
          <w:rFonts w:ascii="Verdana" w:hAnsi="Verdana" w:cs="Arial"/>
        </w:rPr>
        <w:t>None.</w:t>
      </w:r>
    </w:p>
    <w:p w14:paraId="0CA76BC2" w14:textId="77777777" w:rsidR="00767C23" w:rsidRPr="00183AFD" w:rsidRDefault="00767C23" w:rsidP="00767C23">
      <w:pPr>
        <w:rPr>
          <w:rFonts w:ascii="Verdana" w:hAnsi="Verdana" w:cs="Arial"/>
        </w:rPr>
      </w:pPr>
    </w:p>
    <w:p w14:paraId="0DDDB0B8" w14:textId="77777777" w:rsidR="00767C23" w:rsidRPr="00183AFD" w:rsidRDefault="00767C23" w:rsidP="00767C23">
      <w:pPr>
        <w:rPr>
          <w:rFonts w:ascii="Verdana" w:hAnsi="Verdana" w:cs="Arial"/>
          <w:b/>
        </w:rPr>
      </w:pPr>
      <w:r w:rsidRPr="00183AFD">
        <w:rPr>
          <w:rFonts w:ascii="Verdana" w:hAnsi="Verdana" w:cs="Arial"/>
          <w:b/>
        </w:rPr>
        <w:t xml:space="preserve">Funding </w:t>
      </w:r>
    </w:p>
    <w:p w14:paraId="08242EE2" w14:textId="5514AFFA" w:rsidR="000222B0" w:rsidRPr="00767C23" w:rsidRDefault="00767C23" w:rsidP="00767C23">
      <w:pPr>
        <w:rPr>
          <w:rFonts w:ascii="Verdana" w:hAnsi="Verdana" w:cs="Arial"/>
        </w:rPr>
      </w:pPr>
      <w:r>
        <w:rPr>
          <w:rFonts w:ascii="Verdana" w:hAnsi="Verdana" w:cs="Arial"/>
        </w:rPr>
        <w:t>This work has been undertaken under the auspices of the</w:t>
      </w:r>
      <w:r w:rsidRPr="00767C23">
        <w:rPr>
          <w:rFonts w:ascii="Verdana" w:hAnsi="Verdana" w:cs="Arial"/>
        </w:rPr>
        <w:t xml:space="preserve"> </w:t>
      </w:r>
      <w:r>
        <w:rPr>
          <w:rFonts w:ascii="Verdana" w:hAnsi="Verdana" w:cs="Arial"/>
        </w:rPr>
        <w:t xml:space="preserve">Arthritis UK </w:t>
      </w:r>
      <w:r w:rsidR="00AD2586">
        <w:rPr>
          <w:rFonts w:ascii="Verdana" w:hAnsi="Verdana" w:cs="Arial"/>
        </w:rPr>
        <w:t>MRC</w:t>
      </w:r>
      <w:r>
        <w:rPr>
          <w:rFonts w:ascii="Verdana" w:hAnsi="Verdana" w:cs="Arial"/>
        </w:rPr>
        <w:t xml:space="preserve"> Centre for Musculoskeletal Health </w:t>
      </w:r>
      <w:r w:rsidR="00AD2586">
        <w:rPr>
          <w:rFonts w:ascii="Verdana" w:hAnsi="Verdana" w:cs="Arial"/>
        </w:rPr>
        <w:t>&amp;</w:t>
      </w:r>
      <w:r>
        <w:rPr>
          <w:rFonts w:ascii="Verdana" w:hAnsi="Verdana" w:cs="Arial"/>
        </w:rPr>
        <w:t xml:space="preserve"> Work. </w:t>
      </w:r>
      <w:r w:rsidRPr="00B87C1B">
        <w:rPr>
          <w:rFonts w:ascii="Verdana" w:hAnsi="Verdana" w:cs="Arial"/>
        </w:rPr>
        <w:t xml:space="preserve">KTP </w:t>
      </w:r>
      <w:r>
        <w:rPr>
          <w:rFonts w:ascii="Verdana" w:hAnsi="Verdana" w:cs="Arial"/>
        </w:rPr>
        <w:t xml:space="preserve">also </w:t>
      </w:r>
      <w:r w:rsidRPr="00B87C1B">
        <w:rPr>
          <w:rFonts w:ascii="Verdana" w:hAnsi="Verdana" w:cs="Arial"/>
        </w:rPr>
        <w:t>wishes to acknowledge core funding support from the Medical Research Council.</w:t>
      </w:r>
      <w:r>
        <w:rPr>
          <w:rFonts w:ascii="Verdana" w:hAnsi="Verdana" w:cs="Arial"/>
        </w:rPr>
        <w:t xml:space="preserve"> </w:t>
      </w:r>
    </w:p>
    <w:sectPr w:rsidR="000222B0" w:rsidRPr="00767C23" w:rsidSect="00AB0FF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68821" w14:textId="77777777" w:rsidR="00984945" w:rsidRDefault="00984945" w:rsidP="0048676C">
      <w:pPr>
        <w:spacing w:line="240" w:lineRule="auto"/>
      </w:pPr>
      <w:r>
        <w:separator/>
      </w:r>
    </w:p>
  </w:endnote>
  <w:endnote w:type="continuationSeparator" w:id="0">
    <w:p w14:paraId="3E082E2F" w14:textId="77777777" w:rsidR="00984945" w:rsidRDefault="00984945" w:rsidP="00486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397515"/>
      <w:docPartObj>
        <w:docPartGallery w:val="Page Numbers (Bottom of Page)"/>
        <w:docPartUnique/>
      </w:docPartObj>
    </w:sdtPr>
    <w:sdtEndPr>
      <w:rPr>
        <w:noProof/>
      </w:rPr>
    </w:sdtEndPr>
    <w:sdtContent>
      <w:p w14:paraId="7518A640" w14:textId="77777777" w:rsidR="00D4680E" w:rsidRDefault="00D4680E">
        <w:pPr>
          <w:pStyle w:val="Footer"/>
          <w:jc w:val="right"/>
        </w:pPr>
        <w:r>
          <w:fldChar w:fldCharType="begin"/>
        </w:r>
        <w:r>
          <w:instrText xml:space="preserve"> PAGE   \* MERGEFORMAT </w:instrText>
        </w:r>
        <w:r>
          <w:fldChar w:fldCharType="separate"/>
        </w:r>
        <w:r w:rsidR="004C7A65">
          <w:rPr>
            <w:noProof/>
          </w:rPr>
          <w:t>1</w:t>
        </w:r>
        <w:r>
          <w:rPr>
            <w:noProof/>
          </w:rPr>
          <w:fldChar w:fldCharType="end"/>
        </w:r>
      </w:p>
    </w:sdtContent>
  </w:sdt>
  <w:p w14:paraId="4DAEEA19" w14:textId="77777777" w:rsidR="00D4680E" w:rsidRDefault="00D46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290ED" w14:textId="77777777" w:rsidR="00984945" w:rsidRDefault="00984945" w:rsidP="0048676C">
      <w:pPr>
        <w:spacing w:line="240" w:lineRule="auto"/>
      </w:pPr>
      <w:r>
        <w:separator/>
      </w:r>
    </w:p>
  </w:footnote>
  <w:footnote w:type="continuationSeparator" w:id="0">
    <w:p w14:paraId="063C1C1E" w14:textId="77777777" w:rsidR="00984945" w:rsidRDefault="00984945" w:rsidP="0048676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1BC1"/>
    <w:multiLevelType w:val="hybridMultilevel"/>
    <w:tmpl w:val="D6F40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40308B"/>
    <w:multiLevelType w:val="hybridMultilevel"/>
    <w:tmpl w:val="07B4F37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74F3B3D"/>
    <w:multiLevelType w:val="hybridMultilevel"/>
    <w:tmpl w:val="B294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C41A45"/>
    <w:multiLevelType w:val="multilevel"/>
    <w:tmpl w:val="FC8E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C92DA3"/>
    <w:multiLevelType w:val="hybridMultilevel"/>
    <w:tmpl w:val="0E72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3E0E8B"/>
    <w:multiLevelType w:val="hybridMultilevel"/>
    <w:tmpl w:val="4B64D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2DBA9A-9BCD-4D8A-92F3-0B4D92510EA4}"/>
    <w:docVar w:name="dgnword-eventsink" w:val="66695376"/>
  </w:docVars>
  <w:rsids>
    <w:rsidRoot w:val="006C6397"/>
    <w:rsid w:val="000049E1"/>
    <w:rsid w:val="000110E8"/>
    <w:rsid w:val="000115CA"/>
    <w:rsid w:val="000200A1"/>
    <w:rsid w:val="00020B98"/>
    <w:rsid w:val="000222B0"/>
    <w:rsid w:val="00026577"/>
    <w:rsid w:val="00027201"/>
    <w:rsid w:val="00027C00"/>
    <w:rsid w:val="00031873"/>
    <w:rsid w:val="00033007"/>
    <w:rsid w:val="00035290"/>
    <w:rsid w:val="00047CB3"/>
    <w:rsid w:val="00051053"/>
    <w:rsid w:val="000527D2"/>
    <w:rsid w:val="00066191"/>
    <w:rsid w:val="0007475E"/>
    <w:rsid w:val="000757AD"/>
    <w:rsid w:val="0007682C"/>
    <w:rsid w:val="000808E9"/>
    <w:rsid w:val="00084480"/>
    <w:rsid w:val="00086557"/>
    <w:rsid w:val="000A4359"/>
    <w:rsid w:val="000A7F13"/>
    <w:rsid w:val="000B2FAD"/>
    <w:rsid w:val="000B6DBC"/>
    <w:rsid w:val="000C3964"/>
    <w:rsid w:val="000C5B9A"/>
    <w:rsid w:val="000D0096"/>
    <w:rsid w:val="000E0EC0"/>
    <w:rsid w:val="000E7CF5"/>
    <w:rsid w:val="000E7F56"/>
    <w:rsid w:val="000F409C"/>
    <w:rsid w:val="000F6580"/>
    <w:rsid w:val="001019DB"/>
    <w:rsid w:val="00102BB3"/>
    <w:rsid w:val="00106A79"/>
    <w:rsid w:val="001104B7"/>
    <w:rsid w:val="0011079E"/>
    <w:rsid w:val="00111602"/>
    <w:rsid w:val="001136AB"/>
    <w:rsid w:val="00120486"/>
    <w:rsid w:val="0012360E"/>
    <w:rsid w:val="0013157B"/>
    <w:rsid w:val="001514C4"/>
    <w:rsid w:val="001569DE"/>
    <w:rsid w:val="00156FEB"/>
    <w:rsid w:val="0015730C"/>
    <w:rsid w:val="00164DA6"/>
    <w:rsid w:val="00170DB2"/>
    <w:rsid w:val="00170E0B"/>
    <w:rsid w:val="00173538"/>
    <w:rsid w:val="0018342C"/>
    <w:rsid w:val="00183466"/>
    <w:rsid w:val="00183FB7"/>
    <w:rsid w:val="00194E2A"/>
    <w:rsid w:val="00196E47"/>
    <w:rsid w:val="001A071A"/>
    <w:rsid w:val="001A2952"/>
    <w:rsid w:val="001B4CC3"/>
    <w:rsid w:val="001B65BF"/>
    <w:rsid w:val="001C1761"/>
    <w:rsid w:val="001D5949"/>
    <w:rsid w:val="001E5376"/>
    <w:rsid w:val="001E78DA"/>
    <w:rsid w:val="00206D60"/>
    <w:rsid w:val="00217F6C"/>
    <w:rsid w:val="00221D57"/>
    <w:rsid w:val="002253BA"/>
    <w:rsid w:val="00226B07"/>
    <w:rsid w:val="00231F1F"/>
    <w:rsid w:val="00232CE7"/>
    <w:rsid w:val="00235814"/>
    <w:rsid w:val="00250C1F"/>
    <w:rsid w:val="002570E6"/>
    <w:rsid w:val="00267910"/>
    <w:rsid w:val="002822EE"/>
    <w:rsid w:val="00283862"/>
    <w:rsid w:val="00283A04"/>
    <w:rsid w:val="002A168C"/>
    <w:rsid w:val="002A1CE9"/>
    <w:rsid w:val="002A712D"/>
    <w:rsid w:val="002A7757"/>
    <w:rsid w:val="002B7F42"/>
    <w:rsid w:val="002C0F85"/>
    <w:rsid w:val="002C438A"/>
    <w:rsid w:val="002D1E78"/>
    <w:rsid w:val="002D6AFB"/>
    <w:rsid w:val="002F0B9C"/>
    <w:rsid w:val="0030451C"/>
    <w:rsid w:val="0030531C"/>
    <w:rsid w:val="00310558"/>
    <w:rsid w:val="00312738"/>
    <w:rsid w:val="0031339F"/>
    <w:rsid w:val="00315D3C"/>
    <w:rsid w:val="00320263"/>
    <w:rsid w:val="00322561"/>
    <w:rsid w:val="00330B95"/>
    <w:rsid w:val="0033266B"/>
    <w:rsid w:val="0033268C"/>
    <w:rsid w:val="003402F8"/>
    <w:rsid w:val="003424CC"/>
    <w:rsid w:val="00343BBC"/>
    <w:rsid w:val="003443CF"/>
    <w:rsid w:val="0036161B"/>
    <w:rsid w:val="00367263"/>
    <w:rsid w:val="003702D5"/>
    <w:rsid w:val="00372C0B"/>
    <w:rsid w:val="003800FA"/>
    <w:rsid w:val="00380B5E"/>
    <w:rsid w:val="003922D9"/>
    <w:rsid w:val="003A6BDD"/>
    <w:rsid w:val="003B1FBF"/>
    <w:rsid w:val="003B5495"/>
    <w:rsid w:val="003C7324"/>
    <w:rsid w:val="003D3414"/>
    <w:rsid w:val="003D7DFA"/>
    <w:rsid w:val="003E25F1"/>
    <w:rsid w:val="003E438A"/>
    <w:rsid w:val="00405AF5"/>
    <w:rsid w:val="004166E2"/>
    <w:rsid w:val="00421D93"/>
    <w:rsid w:val="00447FCD"/>
    <w:rsid w:val="00451A15"/>
    <w:rsid w:val="004632F7"/>
    <w:rsid w:val="00463864"/>
    <w:rsid w:val="00463E58"/>
    <w:rsid w:val="0048676C"/>
    <w:rsid w:val="004873F8"/>
    <w:rsid w:val="00495687"/>
    <w:rsid w:val="004961B6"/>
    <w:rsid w:val="004962B0"/>
    <w:rsid w:val="00496E8E"/>
    <w:rsid w:val="004B0A4A"/>
    <w:rsid w:val="004B3BC8"/>
    <w:rsid w:val="004B561B"/>
    <w:rsid w:val="004B5CA6"/>
    <w:rsid w:val="004B726F"/>
    <w:rsid w:val="004C209D"/>
    <w:rsid w:val="004C7A65"/>
    <w:rsid w:val="004D6211"/>
    <w:rsid w:val="004E5684"/>
    <w:rsid w:val="004E77C0"/>
    <w:rsid w:val="00504797"/>
    <w:rsid w:val="00507695"/>
    <w:rsid w:val="0052014F"/>
    <w:rsid w:val="00522675"/>
    <w:rsid w:val="00523BCA"/>
    <w:rsid w:val="00526991"/>
    <w:rsid w:val="00535C3D"/>
    <w:rsid w:val="00536417"/>
    <w:rsid w:val="00542B2D"/>
    <w:rsid w:val="00547543"/>
    <w:rsid w:val="00576124"/>
    <w:rsid w:val="005761A7"/>
    <w:rsid w:val="0058788B"/>
    <w:rsid w:val="00590264"/>
    <w:rsid w:val="005B1AC2"/>
    <w:rsid w:val="005B3B2B"/>
    <w:rsid w:val="005B6240"/>
    <w:rsid w:val="005C2330"/>
    <w:rsid w:val="005C5524"/>
    <w:rsid w:val="005C5AD9"/>
    <w:rsid w:val="005F2B4C"/>
    <w:rsid w:val="005F2F83"/>
    <w:rsid w:val="005F49DE"/>
    <w:rsid w:val="005F6362"/>
    <w:rsid w:val="00615B61"/>
    <w:rsid w:val="00620F62"/>
    <w:rsid w:val="00624F00"/>
    <w:rsid w:val="00630603"/>
    <w:rsid w:val="00633F23"/>
    <w:rsid w:val="00645200"/>
    <w:rsid w:val="00646F33"/>
    <w:rsid w:val="00653867"/>
    <w:rsid w:val="006559EE"/>
    <w:rsid w:val="006634BF"/>
    <w:rsid w:val="00665C21"/>
    <w:rsid w:val="00666AF9"/>
    <w:rsid w:val="00670F9A"/>
    <w:rsid w:val="00671308"/>
    <w:rsid w:val="0067212E"/>
    <w:rsid w:val="00682F37"/>
    <w:rsid w:val="0068559F"/>
    <w:rsid w:val="00691E6F"/>
    <w:rsid w:val="006949BB"/>
    <w:rsid w:val="006952FF"/>
    <w:rsid w:val="00695BDB"/>
    <w:rsid w:val="006A3FE7"/>
    <w:rsid w:val="006B09E2"/>
    <w:rsid w:val="006B3CEF"/>
    <w:rsid w:val="006B5290"/>
    <w:rsid w:val="006C2CD3"/>
    <w:rsid w:val="006C463D"/>
    <w:rsid w:val="006C4F8E"/>
    <w:rsid w:val="006C6397"/>
    <w:rsid w:val="006D1CEE"/>
    <w:rsid w:val="006D5DDC"/>
    <w:rsid w:val="006E2F03"/>
    <w:rsid w:val="006F491F"/>
    <w:rsid w:val="006F6184"/>
    <w:rsid w:val="006F629A"/>
    <w:rsid w:val="0070640A"/>
    <w:rsid w:val="007136BA"/>
    <w:rsid w:val="00720514"/>
    <w:rsid w:val="00723901"/>
    <w:rsid w:val="0072714E"/>
    <w:rsid w:val="007343B7"/>
    <w:rsid w:val="007403E9"/>
    <w:rsid w:val="007406A2"/>
    <w:rsid w:val="00741FA9"/>
    <w:rsid w:val="00745A1E"/>
    <w:rsid w:val="0075196F"/>
    <w:rsid w:val="00751DAB"/>
    <w:rsid w:val="00757CA2"/>
    <w:rsid w:val="007610B8"/>
    <w:rsid w:val="00765E2F"/>
    <w:rsid w:val="007664A7"/>
    <w:rsid w:val="00767C23"/>
    <w:rsid w:val="00770A03"/>
    <w:rsid w:val="00772E5F"/>
    <w:rsid w:val="007759CD"/>
    <w:rsid w:val="007942A2"/>
    <w:rsid w:val="00796BA4"/>
    <w:rsid w:val="00796BA5"/>
    <w:rsid w:val="007A58D7"/>
    <w:rsid w:val="007A7C13"/>
    <w:rsid w:val="007B2977"/>
    <w:rsid w:val="007B46DA"/>
    <w:rsid w:val="007B6AF1"/>
    <w:rsid w:val="007D5349"/>
    <w:rsid w:val="007E2C17"/>
    <w:rsid w:val="007F1F09"/>
    <w:rsid w:val="007F2E4C"/>
    <w:rsid w:val="007F5D9B"/>
    <w:rsid w:val="007F7CA1"/>
    <w:rsid w:val="008046D0"/>
    <w:rsid w:val="00806A39"/>
    <w:rsid w:val="008111D5"/>
    <w:rsid w:val="00814F15"/>
    <w:rsid w:val="0082121C"/>
    <w:rsid w:val="00842FFF"/>
    <w:rsid w:val="008560A3"/>
    <w:rsid w:val="00864254"/>
    <w:rsid w:val="00880578"/>
    <w:rsid w:val="0089240C"/>
    <w:rsid w:val="00893CF0"/>
    <w:rsid w:val="008A6F85"/>
    <w:rsid w:val="008B5144"/>
    <w:rsid w:val="008C02D8"/>
    <w:rsid w:val="008D0DCA"/>
    <w:rsid w:val="008D3194"/>
    <w:rsid w:val="008D6315"/>
    <w:rsid w:val="008D7ED9"/>
    <w:rsid w:val="008E4542"/>
    <w:rsid w:val="008F102D"/>
    <w:rsid w:val="008F1678"/>
    <w:rsid w:val="008F290F"/>
    <w:rsid w:val="00902804"/>
    <w:rsid w:val="00903515"/>
    <w:rsid w:val="0090677E"/>
    <w:rsid w:val="0094144F"/>
    <w:rsid w:val="00941B0C"/>
    <w:rsid w:val="00943F0A"/>
    <w:rsid w:val="00956C16"/>
    <w:rsid w:val="00961F31"/>
    <w:rsid w:val="00965DD6"/>
    <w:rsid w:val="00966FC5"/>
    <w:rsid w:val="00984945"/>
    <w:rsid w:val="0099142C"/>
    <w:rsid w:val="00991DB9"/>
    <w:rsid w:val="00994031"/>
    <w:rsid w:val="00995528"/>
    <w:rsid w:val="009A141E"/>
    <w:rsid w:val="009A4DA3"/>
    <w:rsid w:val="009B1CE3"/>
    <w:rsid w:val="009C4C9E"/>
    <w:rsid w:val="009E2FE7"/>
    <w:rsid w:val="009F1509"/>
    <w:rsid w:val="009F57A1"/>
    <w:rsid w:val="00A0691B"/>
    <w:rsid w:val="00A103AE"/>
    <w:rsid w:val="00A12F24"/>
    <w:rsid w:val="00A250CF"/>
    <w:rsid w:val="00A33B14"/>
    <w:rsid w:val="00A40C15"/>
    <w:rsid w:val="00A42923"/>
    <w:rsid w:val="00A43992"/>
    <w:rsid w:val="00A47B57"/>
    <w:rsid w:val="00A53234"/>
    <w:rsid w:val="00A549D2"/>
    <w:rsid w:val="00A56C62"/>
    <w:rsid w:val="00A61085"/>
    <w:rsid w:val="00A63A72"/>
    <w:rsid w:val="00A64CF2"/>
    <w:rsid w:val="00A6544D"/>
    <w:rsid w:val="00A65A22"/>
    <w:rsid w:val="00A76B67"/>
    <w:rsid w:val="00A847F3"/>
    <w:rsid w:val="00A85D46"/>
    <w:rsid w:val="00A862CB"/>
    <w:rsid w:val="00A86F4F"/>
    <w:rsid w:val="00A97B10"/>
    <w:rsid w:val="00AA4F56"/>
    <w:rsid w:val="00AA6636"/>
    <w:rsid w:val="00AA6CCA"/>
    <w:rsid w:val="00AB0FFC"/>
    <w:rsid w:val="00AB1A66"/>
    <w:rsid w:val="00AB5CC6"/>
    <w:rsid w:val="00AC3A92"/>
    <w:rsid w:val="00AD0327"/>
    <w:rsid w:val="00AD04D3"/>
    <w:rsid w:val="00AD0AD1"/>
    <w:rsid w:val="00AD2586"/>
    <w:rsid w:val="00AD2D4E"/>
    <w:rsid w:val="00AD510F"/>
    <w:rsid w:val="00AE4B3E"/>
    <w:rsid w:val="00AE7A85"/>
    <w:rsid w:val="00B037BB"/>
    <w:rsid w:val="00B046F6"/>
    <w:rsid w:val="00B0518A"/>
    <w:rsid w:val="00B11495"/>
    <w:rsid w:val="00B150F8"/>
    <w:rsid w:val="00B24288"/>
    <w:rsid w:val="00B330A4"/>
    <w:rsid w:val="00B36BA8"/>
    <w:rsid w:val="00B45F86"/>
    <w:rsid w:val="00B50DDE"/>
    <w:rsid w:val="00B515F4"/>
    <w:rsid w:val="00B5244E"/>
    <w:rsid w:val="00B63B7B"/>
    <w:rsid w:val="00B719ED"/>
    <w:rsid w:val="00B804A6"/>
    <w:rsid w:val="00B8097B"/>
    <w:rsid w:val="00B94C06"/>
    <w:rsid w:val="00BA18C9"/>
    <w:rsid w:val="00BC0E6C"/>
    <w:rsid w:val="00BC4E7E"/>
    <w:rsid w:val="00BD10E0"/>
    <w:rsid w:val="00BD1174"/>
    <w:rsid w:val="00BD3BCB"/>
    <w:rsid w:val="00BD692F"/>
    <w:rsid w:val="00BE09D3"/>
    <w:rsid w:val="00BF599D"/>
    <w:rsid w:val="00BF6A94"/>
    <w:rsid w:val="00BF7D08"/>
    <w:rsid w:val="00C01273"/>
    <w:rsid w:val="00C043C9"/>
    <w:rsid w:val="00C04CC6"/>
    <w:rsid w:val="00C060A9"/>
    <w:rsid w:val="00C073A6"/>
    <w:rsid w:val="00C11F1C"/>
    <w:rsid w:val="00C27045"/>
    <w:rsid w:val="00C33DE9"/>
    <w:rsid w:val="00C40E0D"/>
    <w:rsid w:val="00C4496A"/>
    <w:rsid w:val="00C55ADB"/>
    <w:rsid w:val="00C72AA1"/>
    <w:rsid w:val="00C837D2"/>
    <w:rsid w:val="00C91A00"/>
    <w:rsid w:val="00C956EB"/>
    <w:rsid w:val="00CA12AE"/>
    <w:rsid w:val="00CA4399"/>
    <w:rsid w:val="00CB3199"/>
    <w:rsid w:val="00CB6C61"/>
    <w:rsid w:val="00CB6DC4"/>
    <w:rsid w:val="00CD5610"/>
    <w:rsid w:val="00CF7626"/>
    <w:rsid w:val="00CF77EC"/>
    <w:rsid w:val="00D00AA5"/>
    <w:rsid w:val="00D10702"/>
    <w:rsid w:val="00D15790"/>
    <w:rsid w:val="00D23A06"/>
    <w:rsid w:val="00D25B70"/>
    <w:rsid w:val="00D26D45"/>
    <w:rsid w:val="00D3165D"/>
    <w:rsid w:val="00D34077"/>
    <w:rsid w:val="00D4680E"/>
    <w:rsid w:val="00D57603"/>
    <w:rsid w:val="00D6360F"/>
    <w:rsid w:val="00D76CA9"/>
    <w:rsid w:val="00D80085"/>
    <w:rsid w:val="00D94B8B"/>
    <w:rsid w:val="00DA6819"/>
    <w:rsid w:val="00DB0E24"/>
    <w:rsid w:val="00DE1253"/>
    <w:rsid w:val="00DE2FC8"/>
    <w:rsid w:val="00DE3E1D"/>
    <w:rsid w:val="00DF0E27"/>
    <w:rsid w:val="00E14159"/>
    <w:rsid w:val="00E165E5"/>
    <w:rsid w:val="00E171AA"/>
    <w:rsid w:val="00E21446"/>
    <w:rsid w:val="00E238C6"/>
    <w:rsid w:val="00E26FF9"/>
    <w:rsid w:val="00E44A8B"/>
    <w:rsid w:val="00E44F20"/>
    <w:rsid w:val="00E4588C"/>
    <w:rsid w:val="00E45E0F"/>
    <w:rsid w:val="00E65C64"/>
    <w:rsid w:val="00E70C9D"/>
    <w:rsid w:val="00E71251"/>
    <w:rsid w:val="00E72E55"/>
    <w:rsid w:val="00E779AA"/>
    <w:rsid w:val="00E812C2"/>
    <w:rsid w:val="00E835D4"/>
    <w:rsid w:val="00E84866"/>
    <w:rsid w:val="00E85B77"/>
    <w:rsid w:val="00E93FC8"/>
    <w:rsid w:val="00EA1C3B"/>
    <w:rsid w:val="00EA3B9F"/>
    <w:rsid w:val="00EA7B5E"/>
    <w:rsid w:val="00EB0B20"/>
    <w:rsid w:val="00EB0C67"/>
    <w:rsid w:val="00EC15C4"/>
    <w:rsid w:val="00EC3043"/>
    <w:rsid w:val="00EC50DA"/>
    <w:rsid w:val="00ED4F80"/>
    <w:rsid w:val="00ED66DE"/>
    <w:rsid w:val="00ED7A52"/>
    <w:rsid w:val="00EE2C68"/>
    <w:rsid w:val="00EE5ADC"/>
    <w:rsid w:val="00EF2BE4"/>
    <w:rsid w:val="00EF6159"/>
    <w:rsid w:val="00EF713B"/>
    <w:rsid w:val="00F0160F"/>
    <w:rsid w:val="00F02B65"/>
    <w:rsid w:val="00F07B86"/>
    <w:rsid w:val="00F13CB8"/>
    <w:rsid w:val="00F147F1"/>
    <w:rsid w:val="00F176DE"/>
    <w:rsid w:val="00F21CD2"/>
    <w:rsid w:val="00F24B02"/>
    <w:rsid w:val="00F26551"/>
    <w:rsid w:val="00F365C3"/>
    <w:rsid w:val="00F37E78"/>
    <w:rsid w:val="00F40617"/>
    <w:rsid w:val="00F40FCB"/>
    <w:rsid w:val="00F51824"/>
    <w:rsid w:val="00F5477D"/>
    <w:rsid w:val="00F54D42"/>
    <w:rsid w:val="00F5534A"/>
    <w:rsid w:val="00F75F2F"/>
    <w:rsid w:val="00F77136"/>
    <w:rsid w:val="00F8054A"/>
    <w:rsid w:val="00F85A48"/>
    <w:rsid w:val="00F86DAD"/>
    <w:rsid w:val="00F92B4A"/>
    <w:rsid w:val="00FB1574"/>
    <w:rsid w:val="00FB2415"/>
    <w:rsid w:val="00FC09B3"/>
    <w:rsid w:val="00FC4011"/>
    <w:rsid w:val="00FC6F5F"/>
    <w:rsid w:val="00FC7061"/>
    <w:rsid w:val="00FE1368"/>
    <w:rsid w:val="00FE1FD4"/>
    <w:rsid w:val="00FE6CF5"/>
    <w:rsid w:val="00FF4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paragraph" w:styleId="Heading1">
    <w:name w:val="heading 1"/>
    <w:basedOn w:val="Normal"/>
    <w:next w:val="Normal"/>
    <w:link w:val="Heading1Char"/>
    <w:uiPriority w:val="9"/>
    <w:qFormat/>
    <w:rsid w:val="000110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5105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CA2"/>
    <w:pPr>
      <w:ind w:left="720"/>
      <w:contextualSpacing/>
    </w:pPr>
    <w:rPr>
      <w:rFonts w:ascii="Calibri" w:eastAsia="Times New Roman" w:hAnsi="Calibri" w:cs="Times New Roman"/>
    </w:rPr>
  </w:style>
  <w:style w:type="character" w:styleId="Hyperlink">
    <w:name w:val="Hyperlink"/>
    <w:uiPriority w:val="99"/>
    <w:semiHidden/>
    <w:rsid w:val="00757CA2"/>
    <w:rPr>
      <w:rFonts w:cs="Times New Roman"/>
      <w:color w:val="0000FF"/>
      <w:u w:val="single"/>
    </w:rPr>
  </w:style>
  <w:style w:type="paragraph" w:styleId="BalloonText">
    <w:name w:val="Balloon Text"/>
    <w:basedOn w:val="Normal"/>
    <w:link w:val="BalloonTextChar"/>
    <w:uiPriority w:val="99"/>
    <w:semiHidden/>
    <w:unhideWhenUsed/>
    <w:rsid w:val="004E56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684"/>
    <w:rPr>
      <w:rFonts w:ascii="Tahoma" w:hAnsi="Tahoma" w:cs="Tahoma"/>
      <w:sz w:val="16"/>
      <w:szCs w:val="16"/>
    </w:rPr>
  </w:style>
  <w:style w:type="table" w:styleId="TableGrid">
    <w:name w:val="Table Grid"/>
    <w:basedOn w:val="TableNormal"/>
    <w:uiPriority w:val="39"/>
    <w:rsid w:val="00F51824"/>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76C"/>
    <w:pPr>
      <w:tabs>
        <w:tab w:val="center" w:pos="4513"/>
        <w:tab w:val="right" w:pos="9026"/>
      </w:tabs>
      <w:spacing w:line="240" w:lineRule="auto"/>
    </w:pPr>
  </w:style>
  <w:style w:type="character" w:customStyle="1" w:styleId="HeaderChar">
    <w:name w:val="Header Char"/>
    <w:basedOn w:val="DefaultParagraphFont"/>
    <w:link w:val="Header"/>
    <w:uiPriority w:val="99"/>
    <w:rsid w:val="0048676C"/>
  </w:style>
  <w:style w:type="paragraph" w:styleId="Footer">
    <w:name w:val="footer"/>
    <w:basedOn w:val="Normal"/>
    <w:link w:val="FooterChar"/>
    <w:uiPriority w:val="99"/>
    <w:unhideWhenUsed/>
    <w:rsid w:val="0048676C"/>
    <w:pPr>
      <w:tabs>
        <w:tab w:val="center" w:pos="4513"/>
        <w:tab w:val="right" w:pos="9026"/>
      </w:tabs>
      <w:spacing w:line="240" w:lineRule="auto"/>
    </w:pPr>
  </w:style>
  <w:style w:type="character" w:customStyle="1" w:styleId="FooterChar">
    <w:name w:val="Footer Char"/>
    <w:basedOn w:val="DefaultParagraphFont"/>
    <w:link w:val="Footer"/>
    <w:uiPriority w:val="99"/>
    <w:rsid w:val="0048676C"/>
  </w:style>
  <w:style w:type="character" w:styleId="CommentReference">
    <w:name w:val="annotation reference"/>
    <w:basedOn w:val="DefaultParagraphFont"/>
    <w:uiPriority w:val="99"/>
    <w:semiHidden/>
    <w:unhideWhenUsed/>
    <w:rsid w:val="004962B0"/>
    <w:rPr>
      <w:sz w:val="16"/>
      <w:szCs w:val="16"/>
    </w:rPr>
  </w:style>
  <w:style w:type="paragraph" w:styleId="CommentText">
    <w:name w:val="annotation text"/>
    <w:basedOn w:val="Normal"/>
    <w:link w:val="CommentTextChar"/>
    <w:uiPriority w:val="99"/>
    <w:semiHidden/>
    <w:unhideWhenUsed/>
    <w:rsid w:val="004962B0"/>
    <w:pPr>
      <w:spacing w:line="240" w:lineRule="auto"/>
    </w:pPr>
    <w:rPr>
      <w:sz w:val="20"/>
      <w:szCs w:val="20"/>
    </w:rPr>
  </w:style>
  <w:style w:type="character" w:customStyle="1" w:styleId="CommentTextChar">
    <w:name w:val="Comment Text Char"/>
    <w:basedOn w:val="DefaultParagraphFont"/>
    <w:link w:val="CommentText"/>
    <w:uiPriority w:val="99"/>
    <w:semiHidden/>
    <w:rsid w:val="004962B0"/>
    <w:rPr>
      <w:sz w:val="20"/>
      <w:szCs w:val="20"/>
    </w:rPr>
  </w:style>
  <w:style w:type="paragraph" w:styleId="CommentSubject">
    <w:name w:val="annotation subject"/>
    <w:basedOn w:val="CommentText"/>
    <w:next w:val="CommentText"/>
    <w:link w:val="CommentSubjectChar"/>
    <w:uiPriority w:val="99"/>
    <w:semiHidden/>
    <w:unhideWhenUsed/>
    <w:rsid w:val="004962B0"/>
    <w:rPr>
      <w:b/>
      <w:bCs/>
    </w:rPr>
  </w:style>
  <w:style w:type="character" w:customStyle="1" w:styleId="CommentSubjectChar">
    <w:name w:val="Comment Subject Char"/>
    <w:basedOn w:val="CommentTextChar"/>
    <w:link w:val="CommentSubject"/>
    <w:uiPriority w:val="99"/>
    <w:semiHidden/>
    <w:rsid w:val="004962B0"/>
    <w:rPr>
      <w:b/>
      <w:bCs/>
      <w:sz w:val="20"/>
      <w:szCs w:val="20"/>
    </w:rPr>
  </w:style>
  <w:style w:type="character" w:customStyle="1" w:styleId="current-selection">
    <w:name w:val="current-selection"/>
    <w:basedOn w:val="DefaultParagraphFont"/>
    <w:rsid w:val="00507695"/>
  </w:style>
  <w:style w:type="character" w:customStyle="1" w:styleId="a">
    <w:name w:val="_"/>
    <w:basedOn w:val="DefaultParagraphFont"/>
    <w:rsid w:val="00507695"/>
  </w:style>
  <w:style w:type="character" w:customStyle="1" w:styleId="ls4">
    <w:name w:val="ls4"/>
    <w:basedOn w:val="DefaultParagraphFont"/>
    <w:rsid w:val="00507695"/>
  </w:style>
  <w:style w:type="character" w:customStyle="1" w:styleId="lsd">
    <w:name w:val="lsd"/>
    <w:basedOn w:val="DefaultParagraphFont"/>
    <w:rsid w:val="00507695"/>
  </w:style>
  <w:style w:type="character" w:customStyle="1" w:styleId="lsf">
    <w:name w:val="lsf"/>
    <w:basedOn w:val="DefaultParagraphFont"/>
    <w:rsid w:val="00507695"/>
  </w:style>
  <w:style w:type="character" w:customStyle="1" w:styleId="apple-converted-space">
    <w:name w:val="apple-converted-space"/>
    <w:basedOn w:val="DefaultParagraphFont"/>
    <w:rsid w:val="004873F8"/>
  </w:style>
  <w:style w:type="character" w:customStyle="1" w:styleId="Heading2Char">
    <w:name w:val="Heading 2 Char"/>
    <w:basedOn w:val="DefaultParagraphFont"/>
    <w:link w:val="Heading2"/>
    <w:uiPriority w:val="9"/>
    <w:rsid w:val="00051053"/>
    <w:rPr>
      <w:rFonts w:ascii="Times New Roman" w:eastAsia="Times New Roman" w:hAnsi="Times New Roman" w:cs="Times New Roman"/>
      <w:b/>
      <w:bCs/>
      <w:sz w:val="36"/>
      <w:szCs w:val="36"/>
      <w:lang w:eastAsia="en-GB"/>
    </w:rPr>
  </w:style>
  <w:style w:type="paragraph" w:customStyle="1" w:styleId="articledetails">
    <w:name w:val="articledetails"/>
    <w:basedOn w:val="Normal"/>
    <w:rsid w:val="000510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110E8"/>
    <w:pPr>
      <w:spacing w:line="240" w:lineRule="auto"/>
    </w:pPr>
  </w:style>
  <w:style w:type="character" w:customStyle="1" w:styleId="Heading1Char">
    <w:name w:val="Heading 1 Char"/>
    <w:basedOn w:val="DefaultParagraphFont"/>
    <w:link w:val="Heading1"/>
    <w:uiPriority w:val="9"/>
    <w:rsid w:val="000110E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AB1A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paragraph" w:styleId="Heading1">
    <w:name w:val="heading 1"/>
    <w:basedOn w:val="Normal"/>
    <w:next w:val="Normal"/>
    <w:link w:val="Heading1Char"/>
    <w:uiPriority w:val="9"/>
    <w:qFormat/>
    <w:rsid w:val="000110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5105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CA2"/>
    <w:pPr>
      <w:ind w:left="720"/>
      <w:contextualSpacing/>
    </w:pPr>
    <w:rPr>
      <w:rFonts w:ascii="Calibri" w:eastAsia="Times New Roman" w:hAnsi="Calibri" w:cs="Times New Roman"/>
    </w:rPr>
  </w:style>
  <w:style w:type="character" w:styleId="Hyperlink">
    <w:name w:val="Hyperlink"/>
    <w:uiPriority w:val="99"/>
    <w:semiHidden/>
    <w:rsid w:val="00757CA2"/>
    <w:rPr>
      <w:rFonts w:cs="Times New Roman"/>
      <w:color w:val="0000FF"/>
      <w:u w:val="single"/>
    </w:rPr>
  </w:style>
  <w:style w:type="paragraph" w:styleId="BalloonText">
    <w:name w:val="Balloon Text"/>
    <w:basedOn w:val="Normal"/>
    <w:link w:val="BalloonTextChar"/>
    <w:uiPriority w:val="99"/>
    <w:semiHidden/>
    <w:unhideWhenUsed/>
    <w:rsid w:val="004E56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684"/>
    <w:rPr>
      <w:rFonts w:ascii="Tahoma" w:hAnsi="Tahoma" w:cs="Tahoma"/>
      <w:sz w:val="16"/>
      <w:szCs w:val="16"/>
    </w:rPr>
  </w:style>
  <w:style w:type="table" w:styleId="TableGrid">
    <w:name w:val="Table Grid"/>
    <w:basedOn w:val="TableNormal"/>
    <w:uiPriority w:val="39"/>
    <w:rsid w:val="00F51824"/>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76C"/>
    <w:pPr>
      <w:tabs>
        <w:tab w:val="center" w:pos="4513"/>
        <w:tab w:val="right" w:pos="9026"/>
      </w:tabs>
      <w:spacing w:line="240" w:lineRule="auto"/>
    </w:pPr>
  </w:style>
  <w:style w:type="character" w:customStyle="1" w:styleId="HeaderChar">
    <w:name w:val="Header Char"/>
    <w:basedOn w:val="DefaultParagraphFont"/>
    <w:link w:val="Header"/>
    <w:uiPriority w:val="99"/>
    <w:rsid w:val="0048676C"/>
  </w:style>
  <w:style w:type="paragraph" w:styleId="Footer">
    <w:name w:val="footer"/>
    <w:basedOn w:val="Normal"/>
    <w:link w:val="FooterChar"/>
    <w:uiPriority w:val="99"/>
    <w:unhideWhenUsed/>
    <w:rsid w:val="0048676C"/>
    <w:pPr>
      <w:tabs>
        <w:tab w:val="center" w:pos="4513"/>
        <w:tab w:val="right" w:pos="9026"/>
      </w:tabs>
      <w:spacing w:line="240" w:lineRule="auto"/>
    </w:pPr>
  </w:style>
  <w:style w:type="character" w:customStyle="1" w:styleId="FooterChar">
    <w:name w:val="Footer Char"/>
    <w:basedOn w:val="DefaultParagraphFont"/>
    <w:link w:val="Footer"/>
    <w:uiPriority w:val="99"/>
    <w:rsid w:val="0048676C"/>
  </w:style>
  <w:style w:type="character" w:styleId="CommentReference">
    <w:name w:val="annotation reference"/>
    <w:basedOn w:val="DefaultParagraphFont"/>
    <w:uiPriority w:val="99"/>
    <w:semiHidden/>
    <w:unhideWhenUsed/>
    <w:rsid w:val="004962B0"/>
    <w:rPr>
      <w:sz w:val="16"/>
      <w:szCs w:val="16"/>
    </w:rPr>
  </w:style>
  <w:style w:type="paragraph" w:styleId="CommentText">
    <w:name w:val="annotation text"/>
    <w:basedOn w:val="Normal"/>
    <w:link w:val="CommentTextChar"/>
    <w:uiPriority w:val="99"/>
    <w:semiHidden/>
    <w:unhideWhenUsed/>
    <w:rsid w:val="004962B0"/>
    <w:pPr>
      <w:spacing w:line="240" w:lineRule="auto"/>
    </w:pPr>
    <w:rPr>
      <w:sz w:val="20"/>
      <w:szCs w:val="20"/>
    </w:rPr>
  </w:style>
  <w:style w:type="character" w:customStyle="1" w:styleId="CommentTextChar">
    <w:name w:val="Comment Text Char"/>
    <w:basedOn w:val="DefaultParagraphFont"/>
    <w:link w:val="CommentText"/>
    <w:uiPriority w:val="99"/>
    <w:semiHidden/>
    <w:rsid w:val="004962B0"/>
    <w:rPr>
      <w:sz w:val="20"/>
      <w:szCs w:val="20"/>
    </w:rPr>
  </w:style>
  <w:style w:type="paragraph" w:styleId="CommentSubject">
    <w:name w:val="annotation subject"/>
    <w:basedOn w:val="CommentText"/>
    <w:next w:val="CommentText"/>
    <w:link w:val="CommentSubjectChar"/>
    <w:uiPriority w:val="99"/>
    <w:semiHidden/>
    <w:unhideWhenUsed/>
    <w:rsid w:val="004962B0"/>
    <w:rPr>
      <w:b/>
      <w:bCs/>
    </w:rPr>
  </w:style>
  <w:style w:type="character" w:customStyle="1" w:styleId="CommentSubjectChar">
    <w:name w:val="Comment Subject Char"/>
    <w:basedOn w:val="CommentTextChar"/>
    <w:link w:val="CommentSubject"/>
    <w:uiPriority w:val="99"/>
    <w:semiHidden/>
    <w:rsid w:val="004962B0"/>
    <w:rPr>
      <w:b/>
      <w:bCs/>
      <w:sz w:val="20"/>
      <w:szCs w:val="20"/>
    </w:rPr>
  </w:style>
  <w:style w:type="character" w:customStyle="1" w:styleId="current-selection">
    <w:name w:val="current-selection"/>
    <w:basedOn w:val="DefaultParagraphFont"/>
    <w:rsid w:val="00507695"/>
  </w:style>
  <w:style w:type="character" w:customStyle="1" w:styleId="a">
    <w:name w:val="_"/>
    <w:basedOn w:val="DefaultParagraphFont"/>
    <w:rsid w:val="00507695"/>
  </w:style>
  <w:style w:type="character" w:customStyle="1" w:styleId="ls4">
    <w:name w:val="ls4"/>
    <w:basedOn w:val="DefaultParagraphFont"/>
    <w:rsid w:val="00507695"/>
  </w:style>
  <w:style w:type="character" w:customStyle="1" w:styleId="lsd">
    <w:name w:val="lsd"/>
    <w:basedOn w:val="DefaultParagraphFont"/>
    <w:rsid w:val="00507695"/>
  </w:style>
  <w:style w:type="character" w:customStyle="1" w:styleId="lsf">
    <w:name w:val="lsf"/>
    <w:basedOn w:val="DefaultParagraphFont"/>
    <w:rsid w:val="00507695"/>
  </w:style>
  <w:style w:type="character" w:customStyle="1" w:styleId="apple-converted-space">
    <w:name w:val="apple-converted-space"/>
    <w:basedOn w:val="DefaultParagraphFont"/>
    <w:rsid w:val="004873F8"/>
  </w:style>
  <w:style w:type="character" w:customStyle="1" w:styleId="Heading2Char">
    <w:name w:val="Heading 2 Char"/>
    <w:basedOn w:val="DefaultParagraphFont"/>
    <w:link w:val="Heading2"/>
    <w:uiPriority w:val="9"/>
    <w:rsid w:val="00051053"/>
    <w:rPr>
      <w:rFonts w:ascii="Times New Roman" w:eastAsia="Times New Roman" w:hAnsi="Times New Roman" w:cs="Times New Roman"/>
      <w:b/>
      <w:bCs/>
      <w:sz w:val="36"/>
      <w:szCs w:val="36"/>
      <w:lang w:eastAsia="en-GB"/>
    </w:rPr>
  </w:style>
  <w:style w:type="paragraph" w:customStyle="1" w:styleId="articledetails">
    <w:name w:val="articledetails"/>
    <w:basedOn w:val="Normal"/>
    <w:rsid w:val="000510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110E8"/>
    <w:pPr>
      <w:spacing w:line="240" w:lineRule="auto"/>
    </w:pPr>
  </w:style>
  <w:style w:type="character" w:customStyle="1" w:styleId="Heading1Char">
    <w:name w:val="Heading 1 Char"/>
    <w:basedOn w:val="DefaultParagraphFont"/>
    <w:link w:val="Heading1"/>
    <w:uiPriority w:val="9"/>
    <w:rsid w:val="000110E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AB1A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414">
      <w:bodyDiv w:val="1"/>
      <w:marLeft w:val="0"/>
      <w:marRight w:val="0"/>
      <w:marTop w:val="0"/>
      <w:marBottom w:val="0"/>
      <w:divBdr>
        <w:top w:val="none" w:sz="0" w:space="0" w:color="auto"/>
        <w:left w:val="none" w:sz="0" w:space="0" w:color="auto"/>
        <w:bottom w:val="none" w:sz="0" w:space="0" w:color="auto"/>
        <w:right w:val="none" w:sz="0" w:space="0" w:color="auto"/>
      </w:divBdr>
      <w:divsChild>
        <w:div w:id="549420728">
          <w:marLeft w:val="0"/>
          <w:marRight w:val="0"/>
          <w:marTop w:val="0"/>
          <w:marBottom w:val="0"/>
          <w:divBdr>
            <w:top w:val="none" w:sz="0" w:space="0" w:color="auto"/>
            <w:left w:val="none" w:sz="0" w:space="0" w:color="auto"/>
            <w:bottom w:val="none" w:sz="0" w:space="0" w:color="auto"/>
            <w:right w:val="none" w:sz="0" w:space="0" w:color="auto"/>
          </w:divBdr>
        </w:div>
        <w:div w:id="2081558843">
          <w:marLeft w:val="0"/>
          <w:marRight w:val="0"/>
          <w:marTop w:val="0"/>
          <w:marBottom w:val="0"/>
          <w:divBdr>
            <w:top w:val="none" w:sz="0" w:space="0" w:color="auto"/>
            <w:left w:val="none" w:sz="0" w:space="0" w:color="auto"/>
            <w:bottom w:val="none" w:sz="0" w:space="0" w:color="auto"/>
            <w:right w:val="none" w:sz="0" w:space="0" w:color="auto"/>
          </w:divBdr>
        </w:div>
        <w:div w:id="191263735">
          <w:marLeft w:val="0"/>
          <w:marRight w:val="0"/>
          <w:marTop w:val="0"/>
          <w:marBottom w:val="0"/>
          <w:divBdr>
            <w:top w:val="none" w:sz="0" w:space="0" w:color="auto"/>
            <w:left w:val="none" w:sz="0" w:space="0" w:color="auto"/>
            <w:bottom w:val="none" w:sz="0" w:space="0" w:color="auto"/>
            <w:right w:val="none" w:sz="0" w:space="0" w:color="auto"/>
          </w:divBdr>
        </w:div>
        <w:div w:id="1979263591">
          <w:marLeft w:val="0"/>
          <w:marRight w:val="0"/>
          <w:marTop w:val="0"/>
          <w:marBottom w:val="0"/>
          <w:divBdr>
            <w:top w:val="none" w:sz="0" w:space="0" w:color="auto"/>
            <w:left w:val="none" w:sz="0" w:space="0" w:color="auto"/>
            <w:bottom w:val="none" w:sz="0" w:space="0" w:color="auto"/>
            <w:right w:val="none" w:sz="0" w:space="0" w:color="auto"/>
          </w:divBdr>
        </w:div>
        <w:div w:id="1172142807">
          <w:marLeft w:val="0"/>
          <w:marRight w:val="0"/>
          <w:marTop w:val="0"/>
          <w:marBottom w:val="0"/>
          <w:divBdr>
            <w:top w:val="none" w:sz="0" w:space="0" w:color="auto"/>
            <w:left w:val="none" w:sz="0" w:space="0" w:color="auto"/>
            <w:bottom w:val="none" w:sz="0" w:space="0" w:color="auto"/>
            <w:right w:val="none" w:sz="0" w:space="0" w:color="auto"/>
          </w:divBdr>
        </w:div>
        <w:div w:id="841318214">
          <w:marLeft w:val="0"/>
          <w:marRight w:val="0"/>
          <w:marTop w:val="0"/>
          <w:marBottom w:val="0"/>
          <w:divBdr>
            <w:top w:val="none" w:sz="0" w:space="0" w:color="auto"/>
            <w:left w:val="none" w:sz="0" w:space="0" w:color="auto"/>
            <w:bottom w:val="none" w:sz="0" w:space="0" w:color="auto"/>
            <w:right w:val="none" w:sz="0" w:space="0" w:color="auto"/>
          </w:divBdr>
        </w:div>
        <w:div w:id="1367222092">
          <w:marLeft w:val="0"/>
          <w:marRight w:val="0"/>
          <w:marTop w:val="0"/>
          <w:marBottom w:val="0"/>
          <w:divBdr>
            <w:top w:val="none" w:sz="0" w:space="0" w:color="auto"/>
            <w:left w:val="none" w:sz="0" w:space="0" w:color="auto"/>
            <w:bottom w:val="none" w:sz="0" w:space="0" w:color="auto"/>
            <w:right w:val="none" w:sz="0" w:space="0" w:color="auto"/>
          </w:divBdr>
        </w:div>
        <w:div w:id="691537588">
          <w:marLeft w:val="0"/>
          <w:marRight w:val="0"/>
          <w:marTop w:val="0"/>
          <w:marBottom w:val="0"/>
          <w:divBdr>
            <w:top w:val="none" w:sz="0" w:space="0" w:color="auto"/>
            <w:left w:val="none" w:sz="0" w:space="0" w:color="auto"/>
            <w:bottom w:val="none" w:sz="0" w:space="0" w:color="auto"/>
            <w:right w:val="none" w:sz="0" w:space="0" w:color="auto"/>
          </w:divBdr>
        </w:div>
        <w:div w:id="1102920141">
          <w:marLeft w:val="0"/>
          <w:marRight w:val="0"/>
          <w:marTop w:val="0"/>
          <w:marBottom w:val="0"/>
          <w:divBdr>
            <w:top w:val="none" w:sz="0" w:space="0" w:color="auto"/>
            <w:left w:val="none" w:sz="0" w:space="0" w:color="auto"/>
            <w:bottom w:val="none" w:sz="0" w:space="0" w:color="auto"/>
            <w:right w:val="none" w:sz="0" w:space="0" w:color="auto"/>
          </w:divBdr>
        </w:div>
      </w:divsChild>
    </w:div>
    <w:div w:id="14162466">
      <w:bodyDiv w:val="1"/>
      <w:marLeft w:val="0"/>
      <w:marRight w:val="0"/>
      <w:marTop w:val="0"/>
      <w:marBottom w:val="0"/>
      <w:divBdr>
        <w:top w:val="none" w:sz="0" w:space="0" w:color="auto"/>
        <w:left w:val="none" w:sz="0" w:space="0" w:color="auto"/>
        <w:bottom w:val="none" w:sz="0" w:space="0" w:color="auto"/>
        <w:right w:val="none" w:sz="0" w:space="0" w:color="auto"/>
      </w:divBdr>
    </w:div>
    <w:div w:id="1977225338">
      <w:bodyDiv w:val="1"/>
      <w:marLeft w:val="0"/>
      <w:marRight w:val="0"/>
      <w:marTop w:val="0"/>
      <w:marBottom w:val="0"/>
      <w:divBdr>
        <w:top w:val="none" w:sz="0" w:space="0" w:color="auto"/>
        <w:left w:val="none" w:sz="0" w:space="0" w:color="auto"/>
        <w:bottom w:val="none" w:sz="0" w:space="0" w:color="auto"/>
        <w:right w:val="none" w:sz="0" w:space="0" w:color="auto"/>
      </w:divBdr>
      <w:divsChild>
        <w:div w:id="48177823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times.co.uk/tto/business/economics/article3789087.ec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ns.gov.uk/ons/dcp171766_29789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org/esa/population/publications/worldageing1950205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njrcentre.org.uk/NjrCentre/Portals/0/Documents/NJR%208th%20Annual%20Report%202011.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eith.palmer\AppData\Local\Temp\Men's%20Full%20Time%20Employment%20figures%2015.01.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Sheet1!$B$1</c:f>
              <c:strCache>
                <c:ptCount val="1"/>
                <c:pt idx="0">
                  <c:v>AS</c:v>
                </c:pt>
              </c:strCache>
            </c:strRef>
          </c:tx>
          <c:cat>
            <c:strRef>
              <c:f>Sheet1!$A$2:$A$8</c:f>
              <c:strCache>
                <c:ptCount val="7"/>
                <c:pt idx="0">
                  <c:v>25-29</c:v>
                </c:pt>
                <c:pt idx="1">
                  <c:v>30-34</c:v>
                </c:pt>
                <c:pt idx="2">
                  <c:v>35-39</c:v>
                </c:pt>
                <c:pt idx="3">
                  <c:v>40-44</c:v>
                </c:pt>
                <c:pt idx="4">
                  <c:v>45-49</c:v>
                </c:pt>
                <c:pt idx="5">
                  <c:v>50-54</c:v>
                </c:pt>
                <c:pt idx="6">
                  <c:v>55-60</c:v>
                </c:pt>
              </c:strCache>
            </c:strRef>
          </c:cat>
          <c:val>
            <c:numRef>
              <c:f>Sheet1!$B$2:$B$8</c:f>
              <c:numCache>
                <c:formatCode>General</c:formatCode>
                <c:ptCount val="7"/>
                <c:pt idx="0">
                  <c:v>65.400000000000006</c:v>
                </c:pt>
                <c:pt idx="1">
                  <c:v>77.8</c:v>
                </c:pt>
                <c:pt idx="2">
                  <c:v>72.599999999999994</c:v>
                </c:pt>
                <c:pt idx="3">
                  <c:v>63</c:v>
                </c:pt>
                <c:pt idx="4">
                  <c:v>52.8</c:v>
                </c:pt>
                <c:pt idx="5">
                  <c:v>56</c:v>
                </c:pt>
                <c:pt idx="6">
                  <c:v>34.799999999999997</c:v>
                </c:pt>
              </c:numCache>
            </c:numRef>
          </c:val>
          <c:smooth val="0"/>
        </c:ser>
        <c:ser>
          <c:idx val="1"/>
          <c:order val="1"/>
          <c:tx>
            <c:strRef>
              <c:f>Sheet1!$C$1</c:f>
              <c:strCache>
                <c:ptCount val="1"/>
                <c:pt idx="0">
                  <c:v>Population</c:v>
                </c:pt>
              </c:strCache>
            </c:strRef>
          </c:tx>
          <c:spPr>
            <a:ln>
              <a:solidFill>
                <a:schemeClr val="tx1"/>
              </a:solidFill>
              <a:prstDash val="dash"/>
            </a:ln>
          </c:spPr>
          <c:marker>
            <c:spPr>
              <a:solidFill>
                <a:schemeClr val="tx1"/>
              </a:solidFill>
            </c:spPr>
          </c:marker>
          <c:cat>
            <c:strRef>
              <c:f>Sheet1!$A$2:$A$8</c:f>
              <c:strCache>
                <c:ptCount val="7"/>
                <c:pt idx="0">
                  <c:v>25-29</c:v>
                </c:pt>
                <c:pt idx="1">
                  <c:v>30-34</c:v>
                </c:pt>
                <c:pt idx="2">
                  <c:v>35-39</c:v>
                </c:pt>
                <c:pt idx="3">
                  <c:v>40-44</c:v>
                </c:pt>
                <c:pt idx="4">
                  <c:v>45-49</c:v>
                </c:pt>
                <c:pt idx="5">
                  <c:v>50-54</c:v>
                </c:pt>
                <c:pt idx="6">
                  <c:v>55-60</c:v>
                </c:pt>
              </c:strCache>
            </c:strRef>
          </c:cat>
          <c:val>
            <c:numRef>
              <c:f>Sheet1!$C$2:$C$8</c:f>
              <c:numCache>
                <c:formatCode>General</c:formatCode>
                <c:ptCount val="7"/>
                <c:pt idx="0">
                  <c:v>79.400000000000006</c:v>
                </c:pt>
                <c:pt idx="1">
                  <c:v>84.6</c:v>
                </c:pt>
                <c:pt idx="2">
                  <c:v>86.1</c:v>
                </c:pt>
                <c:pt idx="3">
                  <c:v>83.4</c:v>
                </c:pt>
                <c:pt idx="4">
                  <c:v>80.400000000000006</c:v>
                </c:pt>
                <c:pt idx="5">
                  <c:v>83.6</c:v>
                </c:pt>
                <c:pt idx="6">
                  <c:v>55.2</c:v>
                </c:pt>
              </c:numCache>
            </c:numRef>
          </c:val>
          <c:smooth val="0"/>
        </c:ser>
        <c:dLbls>
          <c:showLegendKey val="0"/>
          <c:showVal val="0"/>
          <c:showCatName val="0"/>
          <c:showSerName val="0"/>
          <c:showPercent val="0"/>
          <c:showBubbleSize val="0"/>
        </c:dLbls>
        <c:marker val="1"/>
        <c:smooth val="0"/>
        <c:axId val="42116992"/>
        <c:axId val="42119168"/>
      </c:lineChart>
      <c:catAx>
        <c:axId val="42116992"/>
        <c:scaling>
          <c:orientation val="minMax"/>
        </c:scaling>
        <c:delete val="0"/>
        <c:axPos val="b"/>
        <c:numFmt formatCode="General" sourceLinked="0"/>
        <c:majorTickMark val="out"/>
        <c:minorTickMark val="none"/>
        <c:tickLblPos val="nextTo"/>
        <c:crossAx val="42119168"/>
        <c:crosses val="autoZero"/>
        <c:auto val="1"/>
        <c:lblAlgn val="ctr"/>
        <c:lblOffset val="100"/>
        <c:noMultiLvlLbl val="0"/>
      </c:catAx>
      <c:valAx>
        <c:axId val="42119168"/>
        <c:scaling>
          <c:orientation val="minMax"/>
        </c:scaling>
        <c:delete val="0"/>
        <c:axPos val="l"/>
        <c:majorGridlines/>
        <c:numFmt formatCode="General" sourceLinked="1"/>
        <c:majorTickMark val="out"/>
        <c:minorTickMark val="none"/>
        <c:tickLblPos val="nextTo"/>
        <c:crossAx val="42116992"/>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836C8-A464-45B1-BFC1-1C11A3E0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7640</Words>
  <Characters>43549</Characters>
  <Application>Microsoft Office Word</Application>
  <DocSecurity>4</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Palmer</dc:creator>
  <cp:lastModifiedBy>Karen Drake</cp:lastModifiedBy>
  <cp:revision>2</cp:revision>
  <cp:lastPrinted>2015-01-21T14:34:00Z</cp:lastPrinted>
  <dcterms:created xsi:type="dcterms:W3CDTF">2016-01-04T09:03:00Z</dcterms:created>
  <dcterms:modified xsi:type="dcterms:W3CDTF">2016-01-04T09:03:00Z</dcterms:modified>
</cp:coreProperties>
</file>