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1A" w:rsidRPr="00D00774" w:rsidRDefault="00891D1A" w:rsidP="00891D1A">
      <w:pPr>
        <w:spacing w:after="240"/>
        <w:rPr>
          <w:rFonts w:ascii="Verdana" w:hAnsi="Verdana" w:cs="Arial"/>
          <w:lang w:val="en-US"/>
        </w:rPr>
      </w:pPr>
      <w:bookmarkStart w:id="0" w:name="_GoBack"/>
      <w:bookmarkEnd w:id="0"/>
      <w:r w:rsidRPr="00D00774">
        <w:rPr>
          <w:rFonts w:ascii="Verdana" w:hAnsi="Verdana" w:cs="Arial"/>
          <w:lang w:val="en-US"/>
        </w:rPr>
        <w:t>Table 1: Prevalence of white fingers in men exposed and not exposed occupationally to hand-transmitted vibration. Prevalence rate ratios (PR) and 95% confidence intervals (95% CI) were adjusted for age, smoking, and drinking habits, assuming the controls as the reference category [</w:t>
      </w:r>
      <w:r w:rsidR="00192E6E">
        <w:rPr>
          <w:rFonts w:ascii="Verdana" w:hAnsi="Verdana" w:cs="Arial"/>
          <w:lang w:val="en-US"/>
        </w:rPr>
        <w:t>14</w:t>
      </w:r>
      <w:r w:rsidRPr="00D00774">
        <w:rPr>
          <w:rFonts w:ascii="Verdana" w:hAnsi="Verdana" w:cs="Arial"/>
          <w:lang w:val="en-US"/>
        </w:rPr>
        <w:t>].</w:t>
      </w:r>
    </w:p>
    <w:tbl>
      <w:tblPr>
        <w:tblStyle w:val="TableGrid"/>
        <w:tblW w:w="4942" w:type="pct"/>
        <w:tblInd w:w="108" w:type="dxa"/>
        <w:tblLook w:val="04A0" w:firstRow="1" w:lastRow="0" w:firstColumn="1" w:lastColumn="0" w:noHBand="0" w:noVBand="1"/>
      </w:tblPr>
      <w:tblGrid>
        <w:gridCol w:w="2821"/>
        <w:gridCol w:w="1692"/>
        <w:gridCol w:w="2311"/>
        <w:gridCol w:w="2311"/>
      </w:tblGrid>
      <w:tr w:rsidR="00891D1A" w:rsidRPr="00D00774" w:rsidTr="006B607F">
        <w:trPr>
          <w:trHeight w:val="562"/>
        </w:trPr>
        <w:tc>
          <w:tcPr>
            <w:tcW w:w="1544" w:type="pct"/>
          </w:tcPr>
          <w:p w:rsidR="00891D1A" w:rsidRPr="00D00774" w:rsidRDefault="00891D1A" w:rsidP="006B607F">
            <w:pPr>
              <w:rPr>
                <w:rFonts w:ascii="Verdana" w:hAnsi="Verdana" w:cs="Arial"/>
                <w:sz w:val="22"/>
                <w:lang w:val="en-US"/>
              </w:rPr>
            </w:pPr>
            <w:r w:rsidRPr="00D00774">
              <w:rPr>
                <w:rFonts w:ascii="Verdana" w:hAnsi="Verdana" w:cs="Arial"/>
                <w:sz w:val="22"/>
                <w:lang w:val="en-US"/>
              </w:rPr>
              <w:t>Groups</w:t>
            </w:r>
          </w:p>
        </w:tc>
        <w:tc>
          <w:tcPr>
            <w:tcW w:w="926"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N</w:t>
            </w:r>
          </w:p>
        </w:tc>
        <w:tc>
          <w:tcPr>
            <w:tcW w:w="1265"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White finger (%)</w:t>
            </w:r>
          </w:p>
        </w:tc>
        <w:tc>
          <w:tcPr>
            <w:tcW w:w="1265"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PR (95% CI)</w:t>
            </w:r>
          </w:p>
        </w:tc>
      </w:tr>
      <w:tr w:rsidR="00891D1A" w:rsidRPr="00D00774" w:rsidTr="006B607F">
        <w:trPr>
          <w:trHeight w:val="354"/>
        </w:trPr>
        <w:tc>
          <w:tcPr>
            <w:tcW w:w="1544" w:type="pct"/>
          </w:tcPr>
          <w:p w:rsidR="00891D1A" w:rsidRPr="00D00774" w:rsidRDefault="00891D1A" w:rsidP="006B607F">
            <w:pPr>
              <w:spacing w:after="120"/>
              <w:rPr>
                <w:rFonts w:ascii="Verdana" w:hAnsi="Verdana" w:cs="Arial"/>
                <w:sz w:val="22"/>
                <w:lang w:val="en-US"/>
              </w:rPr>
            </w:pPr>
            <w:r w:rsidRPr="00D00774">
              <w:rPr>
                <w:rFonts w:ascii="Verdana" w:hAnsi="Verdana" w:cs="Arial"/>
                <w:sz w:val="22"/>
                <w:lang w:val="en-US"/>
              </w:rPr>
              <w:t>Controls</w:t>
            </w:r>
          </w:p>
        </w:tc>
        <w:tc>
          <w:tcPr>
            <w:tcW w:w="926"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455</w:t>
            </w:r>
          </w:p>
        </w:tc>
        <w:tc>
          <w:tcPr>
            <w:tcW w:w="1265"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1.1</w:t>
            </w:r>
          </w:p>
        </w:tc>
        <w:tc>
          <w:tcPr>
            <w:tcW w:w="1265" w:type="pct"/>
          </w:tcPr>
          <w:p w:rsidR="00891D1A" w:rsidRPr="00D00774" w:rsidRDefault="00891D1A" w:rsidP="006B607F">
            <w:pPr>
              <w:jc w:val="center"/>
              <w:rPr>
                <w:rFonts w:ascii="Verdana" w:hAnsi="Verdana" w:cs="Arial"/>
                <w:sz w:val="22"/>
                <w:lang w:val="en-US"/>
              </w:rPr>
            </w:pPr>
            <w:r w:rsidRPr="00D00774">
              <w:rPr>
                <w:rFonts w:ascii="Verdana" w:hAnsi="Verdana" w:cs="Arial"/>
                <w:sz w:val="22"/>
                <w:lang w:val="en-US"/>
              </w:rPr>
              <w:t>1.0</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Grinders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100</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9.0</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8.1 (2.7-24.4)</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Shipyard workers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132</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12.1</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10.3 (3.8-28.4)</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Caulkers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65</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23.1</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18.6 (6.7-51.9)</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Mechanics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140</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15.0</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13.0 (4.9-34.7)</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Foundry workers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31</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51.6</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39.8 (14.3-111)</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Construction workers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148</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7.4</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6.1 (2.1-17.8)</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Quarry drillers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41</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36.6</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31.0 (11.2-85.9)</w:t>
            </w:r>
          </w:p>
        </w:tc>
      </w:tr>
      <w:tr w:rsidR="00891D1A" w:rsidRPr="00D00774" w:rsidTr="006B607F">
        <w:tc>
          <w:tcPr>
            <w:tcW w:w="1544" w:type="pct"/>
          </w:tcPr>
          <w:p w:rsidR="00891D1A" w:rsidRPr="00D00774" w:rsidRDefault="00891D1A" w:rsidP="006B607F">
            <w:pPr>
              <w:spacing w:line="360" w:lineRule="auto"/>
              <w:rPr>
                <w:rFonts w:ascii="Verdana" w:hAnsi="Verdana" w:cs="Arial"/>
                <w:sz w:val="22"/>
                <w:lang w:val="en-US"/>
              </w:rPr>
            </w:pPr>
            <w:r w:rsidRPr="00D00774">
              <w:rPr>
                <w:rFonts w:ascii="Verdana" w:hAnsi="Verdana" w:cs="Arial"/>
                <w:sz w:val="22"/>
                <w:lang w:val="en-US"/>
              </w:rPr>
              <w:t>Forestry workers</w:t>
            </w:r>
          </w:p>
        </w:tc>
        <w:tc>
          <w:tcPr>
            <w:tcW w:w="926"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165</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23.0</w:t>
            </w:r>
          </w:p>
        </w:tc>
        <w:tc>
          <w:tcPr>
            <w:tcW w:w="1265" w:type="pct"/>
          </w:tcPr>
          <w:p w:rsidR="00891D1A" w:rsidRPr="00D00774" w:rsidRDefault="00891D1A" w:rsidP="006B607F">
            <w:pPr>
              <w:spacing w:line="360" w:lineRule="auto"/>
              <w:jc w:val="center"/>
              <w:rPr>
                <w:rFonts w:ascii="Verdana" w:hAnsi="Verdana" w:cs="Arial"/>
                <w:sz w:val="22"/>
                <w:lang w:val="en-US"/>
              </w:rPr>
            </w:pPr>
            <w:r w:rsidRPr="00D00774">
              <w:rPr>
                <w:rFonts w:ascii="Verdana" w:hAnsi="Verdana" w:cs="Arial"/>
                <w:sz w:val="22"/>
                <w:lang w:val="en-US"/>
              </w:rPr>
              <w:t>20.0 (7.8-51.2)</w:t>
            </w:r>
          </w:p>
        </w:tc>
      </w:tr>
    </w:tbl>
    <w:p w:rsidR="00891D1A" w:rsidRPr="00D00774" w:rsidRDefault="00891D1A" w:rsidP="00891D1A">
      <w:pPr>
        <w:rPr>
          <w:rFonts w:ascii="Verdana" w:hAnsi="Verdana" w:cs="Arial"/>
        </w:rPr>
      </w:pPr>
    </w:p>
    <w:p w:rsidR="00891D1A" w:rsidRDefault="00891D1A">
      <w:r>
        <w:br w:type="page"/>
      </w:r>
    </w:p>
    <w:p w:rsidR="00891D1A" w:rsidRPr="00FB37BF" w:rsidRDefault="00891D1A" w:rsidP="00891D1A">
      <w:pPr>
        <w:pStyle w:val="Caption"/>
        <w:spacing w:after="0" w:line="360" w:lineRule="auto"/>
        <w:rPr>
          <w:rFonts w:ascii="Verdana" w:hAnsi="Verdana" w:cs="Arial"/>
          <w:b w:val="0"/>
          <w:szCs w:val="22"/>
        </w:rPr>
      </w:pPr>
      <w:bookmarkStart w:id="1" w:name="_Toc443883394"/>
      <w:bookmarkStart w:id="2" w:name="_Toc443882731"/>
      <w:bookmarkStart w:id="3" w:name="_Ref444488137"/>
      <w:r w:rsidRPr="00FB37BF">
        <w:rPr>
          <w:rFonts w:ascii="Verdana" w:hAnsi="Verdana" w:cs="Arial"/>
          <w:b w:val="0"/>
          <w:szCs w:val="22"/>
        </w:rPr>
        <w:lastRenderedPageBreak/>
        <w:t xml:space="preserve">Table 2:(a) The Stockholm workshop scale for the classification of cold-induced Raynaud's phenomenon in the hand-arm vibration syndrome </w:t>
      </w:r>
      <w:bookmarkEnd w:id="1"/>
      <w:bookmarkEnd w:id="2"/>
      <w:bookmarkEnd w:id="3"/>
      <w:r w:rsidR="00192E6E" w:rsidRPr="00192E6E">
        <w:rPr>
          <w:rFonts w:ascii="Verdana" w:hAnsi="Verdana"/>
          <w:b w:val="0"/>
          <w:szCs w:val="22"/>
        </w:rPr>
        <w:t>[</w:t>
      </w:r>
      <w:r w:rsidR="00EF1E24">
        <w:rPr>
          <w:rFonts w:ascii="Verdana" w:hAnsi="Verdana"/>
          <w:b w:val="0"/>
          <w:szCs w:val="22"/>
        </w:rPr>
        <w:t xml:space="preserve">adapted from reference </w:t>
      </w:r>
      <w:r w:rsidR="00192E6E" w:rsidRPr="00192E6E">
        <w:rPr>
          <w:rFonts w:ascii="Verdana" w:hAnsi="Verdana"/>
          <w:b w:val="0"/>
          <w:szCs w:val="22"/>
        </w:rPr>
        <w:t>17]</w:t>
      </w:r>
    </w:p>
    <w:tbl>
      <w:tblPr>
        <w:tblW w:w="0" w:type="auto"/>
        <w:tblLayout w:type="fixed"/>
        <w:tblLook w:val="04A0" w:firstRow="1" w:lastRow="0" w:firstColumn="1" w:lastColumn="0" w:noHBand="0" w:noVBand="1"/>
      </w:tblPr>
      <w:tblGrid>
        <w:gridCol w:w="1188"/>
        <w:gridCol w:w="1350"/>
        <w:gridCol w:w="6030"/>
      </w:tblGrid>
      <w:tr w:rsidR="00891D1A" w:rsidRPr="00D00774" w:rsidTr="006B607F">
        <w:tc>
          <w:tcPr>
            <w:tcW w:w="1188" w:type="dxa"/>
            <w:tcBorders>
              <w:top w:val="single" w:sz="6" w:space="0" w:color="auto"/>
              <w:left w:val="single" w:sz="6" w:space="0" w:color="auto"/>
              <w:bottom w:val="nil"/>
              <w:right w:val="single" w:sz="6" w:space="0" w:color="auto"/>
            </w:tcBorders>
            <w:hideMark/>
          </w:tcPr>
          <w:p w:rsidR="00891D1A" w:rsidRPr="00D00774" w:rsidRDefault="00891D1A" w:rsidP="006B607F">
            <w:pPr>
              <w:jc w:val="center"/>
              <w:rPr>
                <w:rFonts w:ascii="Verdana" w:hAnsi="Verdana" w:cs="Arial"/>
              </w:rPr>
            </w:pPr>
            <w:r w:rsidRPr="00D00774">
              <w:rPr>
                <w:rFonts w:ascii="Verdana" w:hAnsi="Verdana" w:cs="Arial"/>
              </w:rPr>
              <w:t>Stage</w:t>
            </w:r>
            <w:r w:rsidRPr="00D00774">
              <w:rPr>
                <w:rFonts w:ascii="Verdana" w:hAnsi="Verdana" w:cs="Arial"/>
                <w:vertAlign w:val="superscript"/>
              </w:rPr>
              <w:t>*</w:t>
            </w:r>
          </w:p>
        </w:tc>
        <w:tc>
          <w:tcPr>
            <w:tcW w:w="1350" w:type="dxa"/>
            <w:tcBorders>
              <w:top w:val="single" w:sz="6" w:space="0" w:color="auto"/>
              <w:left w:val="single" w:sz="6" w:space="0" w:color="auto"/>
              <w:bottom w:val="single" w:sz="6" w:space="0" w:color="auto"/>
              <w:right w:val="single" w:sz="6" w:space="0" w:color="auto"/>
            </w:tcBorders>
            <w:hideMark/>
          </w:tcPr>
          <w:p w:rsidR="00891D1A" w:rsidRPr="00D00774" w:rsidRDefault="00891D1A" w:rsidP="006B607F">
            <w:pPr>
              <w:jc w:val="center"/>
              <w:rPr>
                <w:rFonts w:ascii="Verdana" w:hAnsi="Verdana" w:cs="Arial"/>
              </w:rPr>
            </w:pPr>
            <w:r w:rsidRPr="00D00774">
              <w:rPr>
                <w:rFonts w:ascii="Verdana" w:hAnsi="Verdana" w:cs="Arial"/>
              </w:rPr>
              <w:t>Grade</w:t>
            </w:r>
          </w:p>
        </w:tc>
        <w:tc>
          <w:tcPr>
            <w:tcW w:w="6030" w:type="dxa"/>
            <w:tcBorders>
              <w:top w:val="single" w:sz="6" w:space="0" w:color="auto"/>
              <w:left w:val="single" w:sz="6" w:space="0" w:color="auto"/>
              <w:bottom w:val="nil"/>
              <w:right w:val="single" w:sz="6" w:space="0" w:color="auto"/>
            </w:tcBorders>
            <w:hideMark/>
          </w:tcPr>
          <w:p w:rsidR="00891D1A" w:rsidRPr="00D00774" w:rsidRDefault="00891D1A" w:rsidP="006B607F">
            <w:pPr>
              <w:jc w:val="center"/>
              <w:rPr>
                <w:rFonts w:ascii="Verdana" w:hAnsi="Verdana" w:cs="Arial"/>
              </w:rPr>
            </w:pPr>
            <w:r w:rsidRPr="00D00774">
              <w:rPr>
                <w:rFonts w:ascii="Verdana" w:hAnsi="Verdana" w:cs="Arial"/>
              </w:rPr>
              <w:t>Description</w:t>
            </w:r>
          </w:p>
        </w:tc>
      </w:tr>
      <w:tr w:rsidR="00891D1A" w:rsidRPr="00D00774" w:rsidTr="006B607F">
        <w:tc>
          <w:tcPr>
            <w:tcW w:w="1188" w:type="dxa"/>
            <w:tcBorders>
              <w:top w:val="single" w:sz="6" w:space="0" w:color="auto"/>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0</w:t>
            </w:r>
          </w:p>
        </w:tc>
        <w:tc>
          <w:tcPr>
            <w:tcW w:w="1350" w:type="dxa"/>
            <w:tcBorders>
              <w:top w:val="nil"/>
              <w:left w:val="nil"/>
              <w:bottom w:val="nil"/>
              <w:right w:val="single" w:sz="6" w:space="0" w:color="auto"/>
            </w:tcBorders>
          </w:tcPr>
          <w:p w:rsidR="00891D1A" w:rsidRPr="00D00774" w:rsidRDefault="00891D1A" w:rsidP="006B607F">
            <w:pPr>
              <w:rPr>
                <w:rFonts w:ascii="Verdana" w:hAnsi="Verdana" w:cs="Arial"/>
              </w:rPr>
            </w:pPr>
          </w:p>
        </w:tc>
        <w:tc>
          <w:tcPr>
            <w:tcW w:w="6030" w:type="dxa"/>
            <w:tcBorders>
              <w:top w:val="single" w:sz="6" w:space="0" w:color="auto"/>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No attacks</w:t>
            </w:r>
          </w:p>
        </w:tc>
      </w:tr>
      <w:tr w:rsidR="00891D1A" w:rsidRPr="00D00774" w:rsidTr="006B607F">
        <w:tc>
          <w:tcPr>
            <w:tcW w:w="1188" w:type="dxa"/>
            <w:tcBorders>
              <w:top w:val="nil"/>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1</w:t>
            </w:r>
          </w:p>
        </w:tc>
        <w:tc>
          <w:tcPr>
            <w:tcW w:w="135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Mild</w:t>
            </w: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Occasional attacks affecting only the tips of one or more fingers</w:t>
            </w:r>
          </w:p>
        </w:tc>
      </w:tr>
      <w:tr w:rsidR="00891D1A" w:rsidRPr="00D00774" w:rsidTr="006B607F">
        <w:tc>
          <w:tcPr>
            <w:tcW w:w="1188" w:type="dxa"/>
            <w:tcBorders>
              <w:top w:val="nil"/>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2</w:t>
            </w:r>
          </w:p>
        </w:tc>
        <w:tc>
          <w:tcPr>
            <w:tcW w:w="135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Moderate</w:t>
            </w: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Occasional attacks affecting distal and middle (rarely also proximal) phalanges of one or more fingers.</w:t>
            </w:r>
          </w:p>
        </w:tc>
      </w:tr>
      <w:tr w:rsidR="00891D1A" w:rsidRPr="00D00774" w:rsidTr="006B607F">
        <w:tc>
          <w:tcPr>
            <w:tcW w:w="1188" w:type="dxa"/>
            <w:tcBorders>
              <w:top w:val="nil"/>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3</w:t>
            </w:r>
          </w:p>
        </w:tc>
        <w:tc>
          <w:tcPr>
            <w:tcW w:w="135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Severe</w:t>
            </w: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Frequent attacks affecting all phalanges of most fingers</w:t>
            </w:r>
          </w:p>
        </w:tc>
      </w:tr>
      <w:tr w:rsidR="00891D1A" w:rsidRPr="00D00774" w:rsidTr="006B607F">
        <w:tc>
          <w:tcPr>
            <w:tcW w:w="1188" w:type="dxa"/>
            <w:tcBorders>
              <w:top w:val="nil"/>
              <w:left w:val="single" w:sz="6" w:space="0" w:color="auto"/>
              <w:bottom w:val="single" w:sz="6" w:space="0" w:color="auto"/>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4</w:t>
            </w:r>
          </w:p>
        </w:tc>
        <w:tc>
          <w:tcPr>
            <w:tcW w:w="1350" w:type="dxa"/>
            <w:tcBorders>
              <w:top w:val="nil"/>
              <w:left w:val="nil"/>
              <w:bottom w:val="single" w:sz="6" w:space="0" w:color="auto"/>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Very severe</w:t>
            </w:r>
          </w:p>
        </w:tc>
        <w:tc>
          <w:tcPr>
            <w:tcW w:w="6030" w:type="dxa"/>
            <w:tcBorders>
              <w:top w:val="nil"/>
              <w:left w:val="nil"/>
              <w:bottom w:val="single" w:sz="6" w:space="0" w:color="auto"/>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As in stage 3, with trophic skin changes in the finger tips</w:t>
            </w:r>
          </w:p>
        </w:tc>
      </w:tr>
    </w:tbl>
    <w:p w:rsidR="00891D1A" w:rsidRPr="00D00774" w:rsidRDefault="00891D1A" w:rsidP="00891D1A">
      <w:pPr>
        <w:pStyle w:val="FootnoteText"/>
      </w:pPr>
    </w:p>
    <w:p w:rsidR="00891D1A" w:rsidRPr="00891D1A" w:rsidRDefault="00891D1A" w:rsidP="00891D1A">
      <w:pPr>
        <w:pStyle w:val="FootnoteText"/>
      </w:pPr>
      <w:r w:rsidRPr="00891D1A">
        <w:t>* The staging is made separately for each hand.  In the evaluation of the subject, the grade of the disorder is indicated by the stages of both hands and the number of affected fingers on each hand - for example: '2L(2)/1R(1)', '-/3R(4)', etc.</w:t>
      </w:r>
    </w:p>
    <w:p w:rsidR="00891D1A" w:rsidRPr="00D00774" w:rsidRDefault="00891D1A" w:rsidP="00891D1A">
      <w:pPr>
        <w:pStyle w:val="Caption"/>
        <w:spacing w:after="0" w:line="360" w:lineRule="auto"/>
        <w:rPr>
          <w:rFonts w:ascii="Verdana" w:hAnsi="Verdana"/>
          <w:szCs w:val="22"/>
        </w:rPr>
      </w:pPr>
      <w:bookmarkStart w:id="4" w:name="_Toc443883395"/>
      <w:bookmarkStart w:id="5" w:name="_Toc443882732"/>
    </w:p>
    <w:p w:rsidR="00891D1A" w:rsidRPr="00D00774" w:rsidRDefault="00891D1A" w:rsidP="00891D1A">
      <w:pPr>
        <w:pStyle w:val="Caption"/>
        <w:spacing w:after="0" w:line="360" w:lineRule="auto"/>
        <w:rPr>
          <w:rFonts w:ascii="Verdana" w:hAnsi="Verdana" w:cs="Arial"/>
          <w:b w:val="0"/>
          <w:szCs w:val="22"/>
        </w:rPr>
      </w:pPr>
      <w:r w:rsidRPr="00D00774">
        <w:rPr>
          <w:rFonts w:ascii="Verdana" w:hAnsi="Verdana"/>
          <w:szCs w:val="22"/>
        </w:rPr>
        <w:t xml:space="preserve"> </w:t>
      </w:r>
      <w:r w:rsidRPr="00D00774">
        <w:rPr>
          <w:rFonts w:ascii="Verdana" w:hAnsi="Verdana" w:cs="Arial"/>
          <w:b w:val="0"/>
          <w:szCs w:val="22"/>
        </w:rPr>
        <w:t xml:space="preserve">(b) Proposed sensorineural stages of the hand-arm vibration syndrome </w:t>
      </w:r>
      <w:bookmarkEnd w:id="4"/>
      <w:bookmarkEnd w:id="5"/>
      <w:r w:rsidR="00192E6E">
        <w:rPr>
          <w:rFonts w:ascii="Verdana" w:hAnsi="Verdana" w:cs="Arial"/>
          <w:b w:val="0"/>
          <w:szCs w:val="22"/>
        </w:rPr>
        <w:t>[</w:t>
      </w:r>
      <w:r w:rsidR="00EF1E24">
        <w:rPr>
          <w:rFonts w:ascii="Verdana" w:hAnsi="Verdana" w:cs="Arial"/>
          <w:b w:val="0"/>
          <w:szCs w:val="22"/>
        </w:rPr>
        <w:t xml:space="preserve">adapted from reference </w:t>
      </w:r>
      <w:r w:rsidR="00192E6E">
        <w:rPr>
          <w:rFonts w:ascii="Verdana" w:hAnsi="Verdana" w:cs="Arial"/>
          <w:b w:val="0"/>
          <w:szCs w:val="22"/>
        </w:rPr>
        <w:t>18]</w:t>
      </w:r>
    </w:p>
    <w:tbl>
      <w:tblPr>
        <w:tblW w:w="0" w:type="auto"/>
        <w:tblLayout w:type="fixed"/>
        <w:tblLook w:val="04A0" w:firstRow="1" w:lastRow="0" w:firstColumn="1" w:lastColumn="0" w:noHBand="0" w:noVBand="1"/>
      </w:tblPr>
      <w:tblGrid>
        <w:gridCol w:w="1668"/>
        <w:gridCol w:w="870"/>
        <w:gridCol w:w="6030"/>
      </w:tblGrid>
      <w:tr w:rsidR="00891D1A" w:rsidRPr="00D00774" w:rsidTr="006B607F">
        <w:tc>
          <w:tcPr>
            <w:tcW w:w="1668" w:type="dxa"/>
            <w:tcBorders>
              <w:top w:val="single" w:sz="6" w:space="0" w:color="auto"/>
              <w:left w:val="single" w:sz="6" w:space="0" w:color="auto"/>
              <w:bottom w:val="nil"/>
              <w:right w:val="single" w:sz="6" w:space="0" w:color="auto"/>
            </w:tcBorders>
            <w:hideMark/>
          </w:tcPr>
          <w:p w:rsidR="00891D1A" w:rsidRPr="00D00774" w:rsidRDefault="00891D1A" w:rsidP="006B607F">
            <w:pPr>
              <w:jc w:val="center"/>
              <w:rPr>
                <w:rFonts w:ascii="Verdana" w:hAnsi="Verdana" w:cs="Arial"/>
              </w:rPr>
            </w:pPr>
            <w:r w:rsidRPr="00D00774">
              <w:rPr>
                <w:rFonts w:ascii="Verdana" w:hAnsi="Verdana" w:cs="Arial"/>
              </w:rPr>
              <w:t>Stage</w:t>
            </w:r>
            <w:r w:rsidRPr="00D00774">
              <w:rPr>
                <w:rFonts w:ascii="Verdana" w:hAnsi="Verdana" w:cs="Arial"/>
                <w:vertAlign w:val="superscript"/>
              </w:rPr>
              <w:t>*</w:t>
            </w:r>
          </w:p>
        </w:tc>
        <w:tc>
          <w:tcPr>
            <w:tcW w:w="870" w:type="dxa"/>
            <w:tcBorders>
              <w:top w:val="single" w:sz="6" w:space="0" w:color="auto"/>
              <w:left w:val="single" w:sz="6" w:space="0" w:color="auto"/>
              <w:bottom w:val="single" w:sz="6" w:space="0" w:color="auto"/>
              <w:right w:val="nil"/>
            </w:tcBorders>
          </w:tcPr>
          <w:p w:rsidR="00891D1A" w:rsidRPr="00D00774" w:rsidRDefault="00891D1A" w:rsidP="006B607F">
            <w:pPr>
              <w:jc w:val="center"/>
              <w:rPr>
                <w:rFonts w:ascii="Verdana" w:hAnsi="Verdana" w:cs="Arial"/>
              </w:rPr>
            </w:pPr>
          </w:p>
        </w:tc>
        <w:tc>
          <w:tcPr>
            <w:tcW w:w="6030" w:type="dxa"/>
            <w:tcBorders>
              <w:top w:val="single" w:sz="6" w:space="0" w:color="auto"/>
              <w:left w:val="nil"/>
              <w:bottom w:val="single" w:sz="6" w:space="0" w:color="auto"/>
              <w:right w:val="single" w:sz="6" w:space="0" w:color="auto"/>
            </w:tcBorders>
            <w:hideMark/>
          </w:tcPr>
          <w:p w:rsidR="00891D1A" w:rsidRPr="00D00774" w:rsidRDefault="00891D1A" w:rsidP="006B607F">
            <w:pPr>
              <w:jc w:val="center"/>
              <w:rPr>
                <w:rFonts w:ascii="Verdana" w:hAnsi="Verdana" w:cs="Arial"/>
              </w:rPr>
            </w:pPr>
            <w:r w:rsidRPr="00D00774">
              <w:rPr>
                <w:rFonts w:ascii="Verdana" w:hAnsi="Verdana" w:cs="Arial"/>
              </w:rPr>
              <w:t>Symptoms</w:t>
            </w:r>
          </w:p>
        </w:tc>
      </w:tr>
      <w:tr w:rsidR="00891D1A" w:rsidRPr="00D00774" w:rsidTr="006B607F">
        <w:tc>
          <w:tcPr>
            <w:tcW w:w="1668" w:type="dxa"/>
            <w:tcBorders>
              <w:top w:val="single" w:sz="6" w:space="0" w:color="auto"/>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0SN</w:t>
            </w:r>
          </w:p>
        </w:tc>
        <w:tc>
          <w:tcPr>
            <w:tcW w:w="870" w:type="dxa"/>
          </w:tcPr>
          <w:p w:rsidR="00891D1A" w:rsidRPr="00D00774" w:rsidRDefault="00891D1A" w:rsidP="006B607F">
            <w:pPr>
              <w:rPr>
                <w:rFonts w:ascii="Verdana" w:hAnsi="Verdana" w:cs="Arial"/>
              </w:rPr>
            </w:pP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Exposed to vibration but no symptoms</w:t>
            </w:r>
          </w:p>
        </w:tc>
      </w:tr>
      <w:tr w:rsidR="00891D1A" w:rsidRPr="00D00774" w:rsidTr="006B607F">
        <w:tc>
          <w:tcPr>
            <w:tcW w:w="1668" w:type="dxa"/>
            <w:tcBorders>
              <w:top w:val="nil"/>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1SN</w:t>
            </w:r>
          </w:p>
        </w:tc>
        <w:tc>
          <w:tcPr>
            <w:tcW w:w="870" w:type="dxa"/>
          </w:tcPr>
          <w:p w:rsidR="00891D1A" w:rsidRPr="00D00774" w:rsidRDefault="00891D1A" w:rsidP="006B607F">
            <w:pPr>
              <w:rPr>
                <w:rFonts w:ascii="Verdana" w:hAnsi="Verdana" w:cs="Arial"/>
              </w:rPr>
            </w:pP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Intermittent numbness, with or without tingling</w:t>
            </w:r>
          </w:p>
        </w:tc>
      </w:tr>
      <w:tr w:rsidR="00891D1A" w:rsidRPr="00D00774" w:rsidTr="006B607F">
        <w:tc>
          <w:tcPr>
            <w:tcW w:w="1668" w:type="dxa"/>
            <w:tcBorders>
              <w:top w:val="nil"/>
              <w:left w:val="single" w:sz="6" w:space="0" w:color="auto"/>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2SN</w:t>
            </w:r>
          </w:p>
        </w:tc>
        <w:tc>
          <w:tcPr>
            <w:tcW w:w="870" w:type="dxa"/>
          </w:tcPr>
          <w:p w:rsidR="00891D1A" w:rsidRPr="00D00774" w:rsidRDefault="00891D1A" w:rsidP="006B607F">
            <w:pPr>
              <w:rPr>
                <w:rFonts w:ascii="Verdana" w:hAnsi="Verdana" w:cs="Arial"/>
              </w:rPr>
            </w:pPr>
          </w:p>
        </w:tc>
        <w:tc>
          <w:tcPr>
            <w:tcW w:w="6030" w:type="dxa"/>
            <w:tcBorders>
              <w:top w:val="nil"/>
              <w:left w:val="nil"/>
              <w:bottom w:val="nil"/>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Intermittent or persistent numbness, reduced sensory perception</w:t>
            </w:r>
          </w:p>
        </w:tc>
      </w:tr>
      <w:tr w:rsidR="00891D1A" w:rsidRPr="00D00774" w:rsidTr="006B607F">
        <w:tc>
          <w:tcPr>
            <w:tcW w:w="1668" w:type="dxa"/>
            <w:tcBorders>
              <w:top w:val="nil"/>
              <w:left w:val="single" w:sz="6" w:space="0" w:color="auto"/>
              <w:bottom w:val="single" w:sz="6" w:space="0" w:color="auto"/>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3SN</w:t>
            </w:r>
          </w:p>
        </w:tc>
        <w:tc>
          <w:tcPr>
            <w:tcW w:w="870" w:type="dxa"/>
            <w:tcBorders>
              <w:top w:val="nil"/>
              <w:left w:val="nil"/>
              <w:bottom w:val="single" w:sz="6" w:space="0" w:color="auto"/>
              <w:right w:val="nil"/>
            </w:tcBorders>
          </w:tcPr>
          <w:p w:rsidR="00891D1A" w:rsidRPr="00D00774" w:rsidRDefault="00891D1A" w:rsidP="006B607F">
            <w:pPr>
              <w:rPr>
                <w:rFonts w:ascii="Verdana" w:hAnsi="Verdana" w:cs="Arial"/>
              </w:rPr>
            </w:pPr>
          </w:p>
        </w:tc>
        <w:tc>
          <w:tcPr>
            <w:tcW w:w="6030" w:type="dxa"/>
            <w:tcBorders>
              <w:top w:val="nil"/>
              <w:left w:val="nil"/>
              <w:bottom w:val="single" w:sz="6" w:space="0" w:color="auto"/>
              <w:right w:val="single" w:sz="6" w:space="0" w:color="auto"/>
            </w:tcBorders>
            <w:hideMark/>
          </w:tcPr>
          <w:p w:rsidR="00891D1A" w:rsidRPr="00D00774" w:rsidRDefault="00891D1A" w:rsidP="006B607F">
            <w:pPr>
              <w:rPr>
                <w:rFonts w:ascii="Verdana" w:hAnsi="Verdana" w:cs="Arial"/>
              </w:rPr>
            </w:pPr>
            <w:r w:rsidRPr="00D00774">
              <w:rPr>
                <w:rFonts w:ascii="Verdana" w:hAnsi="Verdana" w:cs="Arial"/>
              </w:rPr>
              <w:t>Intermittent or persistent numbness, reduced tactile discrimination and/or manipulative dexterity</w:t>
            </w:r>
          </w:p>
        </w:tc>
      </w:tr>
    </w:tbl>
    <w:p w:rsidR="00891D1A" w:rsidRPr="00D00774" w:rsidRDefault="00891D1A" w:rsidP="00891D1A">
      <w:pPr>
        <w:pStyle w:val="FootnoteText"/>
      </w:pPr>
    </w:p>
    <w:p w:rsidR="00891D1A" w:rsidRPr="00D00774" w:rsidRDefault="00891D1A" w:rsidP="00891D1A">
      <w:pPr>
        <w:pStyle w:val="FootnoteText"/>
        <w:rPr>
          <w:rFonts w:eastAsiaTheme="minorHAnsi"/>
        </w:rPr>
      </w:pPr>
      <w:r w:rsidRPr="00D00774">
        <w:rPr>
          <w:rFonts w:eastAsiaTheme="minorHAnsi"/>
        </w:rPr>
        <w:t>* The sensorineural stage is established separately for each hand</w:t>
      </w:r>
    </w:p>
    <w:p w:rsidR="00891D1A" w:rsidRDefault="00891D1A">
      <w:r>
        <w:br w:type="page"/>
      </w:r>
    </w:p>
    <w:p w:rsidR="00891D1A" w:rsidRDefault="00FB37BF" w:rsidP="00891D1A">
      <w:pPr>
        <w:jc w:val="both"/>
        <w:rPr>
          <w:rFonts w:ascii="Verdana" w:hAnsi="Verdana" w:cs="Arial"/>
        </w:rPr>
      </w:pPr>
      <w:r>
        <w:rPr>
          <w:rFonts w:ascii="Verdana" w:hAnsi="Verdana" w:cs="Arial"/>
        </w:rPr>
        <w:lastRenderedPageBreak/>
        <w:t>Table 3:</w:t>
      </w:r>
      <w:r w:rsidR="00891D1A" w:rsidRPr="00D00774">
        <w:rPr>
          <w:rFonts w:ascii="Verdana" w:hAnsi="Verdana" w:cs="Arial"/>
        </w:rPr>
        <w:t xml:space="preserve"> Prevalence of symptoms and signs of carpal tunnel syndrome (CTS) in vibration-exposed stone workers and unexposed male controls. Prevalence odds ratios (POR) and 95% confidence intervals (95% CI) are adjusted for age, smoking and drinking habits, and previous injuries to the upper limb, assuming the controls as the reference category [</w:t>
      </w:r>
      <w:r w:rsidR="00192E6E">
        <w:rPr>
          <w:rFonts w:ascii="Verdana" w:hAnsi="Verdana" w:cs="Arial"/>
        </w:rPr>
        <w:t>22</w:t>
      </w:r>
      <w:r w:rsidR="00891D1A" w:rsidRPr="00D00774">
        <w:rPr>
          <w:rFonts w:ascii="Verdana" w:hAnsi="Verdana" w:cs="Arial"/>
        </w:rPr>
        <w:t xml:space="preserve">]. </w:t>
      </w:r>
    </w:p>
    <w:p w:rsidR="00FB37BF" w:rsidRPr="00D00774" w:rsidRDefault="00FB37BF" w:rsidP="00891D1A">
      <w:pPr>
        <w:jc w:val="both"/>
        <w:rPr>
          <w:rFonts w:ascii="Verdana" w:hAnsi="Verdana" w:cs="Arial"/>
        </w:rPr>
      </w:pPr>
    </w:p>
    <w:tbl>
      <w:tblPr>
        <w:tblStyle w:val="Grigliatabella1"/>
        <w:tblW w:w="0" w:type="auto"/>
        <w:tblLook w:val="04A0" w:firstRow="1" w:lastRow="0" w:firstColumn="1" w:lastColumn="0" w:noHBand="0" w:noVBand="1"/>
      </w:tblPr>
      <w:tblGrid>
        <w:gridCol w:w="1934"/>
        <w:gridCol w:w="1155"/>
        <w:gridCol w:w="1542"/>
        <w:gridCol w:w="1539"/>
        <w:gridCol w:w="1537"/>
        <w:gridCol w:w="1535"/>
      </w:tblGrid>
      <w:tr w:rsidR="00891D1A" w:rsidRPr="00D00774" w:rsidTr="006B607F">
        <w:tc>
          <w:tcPr>
            <w:tcW w:w="1951" w:type="dxa"/>
            <w:vMerge w:val="restart"/>
          </w:tcPr>
          <w:p w:rsidR="00891D1A" w:rsidRPr="00D00774" w:rsidRDefault="00891D1A" w:rsidP="006B607F">
            <w:pPr>
              <w:rPr>
                <w:rFonts w:ascii="Verdana" w:hAnsi="Verdana" w:cs="Arial"/>
                <w:sz w:val="22"/>
                <w:lang w:val="en-GB"/>
              </w:rPr>
            </w:pPr>
            <w:r w:rsidRPr="00D00774">
              <w:rPr>
                <w:rFonts w:ascii="Verdana" w:hAnsi="Verdana" w:cs="Arial"/>
                <w:sz w:val="22"/>
                <w:lang w:val="en-GB"/>
              </w:rPr>
              <w:t xml:space="preserve">CTS </w:t>
            </w:r>
          </w:p>
        </w:tc>
        <w:tc>
          <w:tcPr>
            <w:tcW w:w="1126" w:type="dxa"/>
            <w:vMerge w:val="restart"/>
          </w:tcPr>
          <w:p w:rsidR="00891D1A" w:rsidRPr="00D00774" w:rsidRDefault="00891D1A" w:rsidP="006B607F">
            <w:pPr>
              <w:jc w:val="center"/>
              <w:rPr>
                <w:rFonts w:ascii="Verdana" w:hAnsi="Verdana" w:cs="Arial"/>
                <w:sz w:val="22"/>
                <w:lang w:val="en-GB"/>
              </w:rPr>
            </w:pPr>
          </w:p>
          <w:p w:rsidR="00891D1A" w:rsidRPr="00D00774" w:rsidRDefault="00891D1A" w:rsidP="006B607F">
            <w:pPr>
              <w:jc w:val="center"/>
              <w:rPr>
                <w:rFonts w:ascii="Verdana" w:hAnsi="Verdana" w:cs="Arial"/>
                <w:sz w:val="22"/>
                <w:lang w:val="en-GB"/>
              </w:rPr>
            </w:pP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Controls</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(n=258)</w:t>
            </w:r>
          </w:p>
        </w:tc>
        <w:tc>
          <w:tcPr>
            <w:tcW w:w="6209" w:type="dxa"/>
            <w:gridSpan w:val="4"/>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Stone workers</w:t>
            </w:r>
          </w:p>
        </w:tc>
      </w:tr>
      <w:tr w:rsidR="00891D1A" w:rsidRPr="00D00774" w:rsidTr="006B607F">
        <w:tc>
          <w:tcPr>
            <w:tcW w:w="1951" w:type="dxa"/>
            <w:vMerge/>
          </w:tcPr>
          <w:p w:rsidR="00891D1A" w:rsidRPr="00D00774" w:rsidRDefault="00891D1A" w:rsidP="006B607F">
            <w:pPr>
              <w:rPr>
                <w:rFonts w:ascii="Verdana" w:hAnsi="Verdana" w:cs="Arial"/>
                <w:sz w:val="22"/>
                <w:lang w:val="en-GB"/>
              </w:rPr>
            </w:pPr>
          </w:p>
        </w:tc>
        <w:tc>
          <w:tcPr>
            <w:tcW w:w="1126" w:type="dxa"/>
            <w:vMerge/>
          </w:tcPr>
          <w:p w:rsidR="00891D1A" w:rsidRPr="00D00774" w:rsidRDefault="00891D1A" w:rsidP="006B607F">
            <w:pPr>
              <w:jc w:val="center"/>
              <w:rPr>
                <w:rFonts w:ascii="Verdana" w:hAnsi="Verdana" w:cs="Arial"/>
                <w:sz w:val="22"/>
                <w:lang w:val="en-GB"/>
              </w:rPr>
            </w:pPr>
          </w:p>
        </w:tc>
        <w:tc>
          <w:tcPr>
            <w:tcW w:w="1556"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Quarry drillers</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(n=145)</w:t>
            </w:r>
          </w:p>
        </w:tc>
        <w:tc>
          <w:tcPr>
            <w:tcW w:w="1553"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Stone</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carvers</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(n=188)</w:t>
            </w:r>
          </w:p>
        </w:tc>
        <w:tc>
          <w:tcPr>
            <w:tcW w:w="1551"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 xml:space="preserve">Stone </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cutters</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(n=237)</w:t>
            </w:r>
          </w:p>
        </w:tc>
        <w:tc>
          <w:tcPr>
            <w:tcW w:w="1549"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All stone workers</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(n=570)</w:t>
            </w:r>
          </w:p>
        </w:tc>
      </w:tr>
      <w:tr w:rsidR="00891D1A" w:rsidRPr="00D00774" w:rsidTr="006B607F">
        <w:tc>
          <w:tcPr>
            <w:tcW w:w="1951" w:type="dxa"/>
          </w:tcPr>
          <w:p w:rsidR="00891D1A" w:rsidRPr="00D00774" w:rsidRDefault="00891D1A" w:rsidP="006B607F">
            <w:pPr>
              <w:rPr>
                <w:rFonts w:ascii="Verdana" w:hAnsi="Verdana" w:cs="Arial"/>
                <w:sz w:val="22"/>
                <w:lang w:val="en-GB"/>
              </w:rPr>
            </w:pPr>
            <w:r w:rsidRPr="00D00774">
              <w:rPr>
                <w:rFonts w:ascii="Verdana" w:hAnsi="Verdana" w:cs="Arial"/>
                <w:sz w:val="22"/>
                <w:lang w:val="en-GB"/>
              </w:rPr>
              <w:t>Prevalence (%)</w:t>
            </w:r>
          </w:p>
        </w:tc>
        <w:tc>
          <w:tcPr>
            <w:tcW w:w="1126"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2.3</w:t>
            </w:r>
          </w:p>
        </w:tc>
        <w:tc>
          <w:tcPr>
            <w:tcW w:w="1556"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14.5</w:t>
            </w:r>
          </w:p>
          <w:p w:rsidR="00891D1A" w:rsidRPr="00D00774" w:rsidRDefault="00891D1A" w:rsidP="006B607F">
            <w:pPr>
              <w:jc w:val="center"/>
              <w:rPr>
                <w:rFonts w:ascii="Verdana" w:hAnsi="Verdana" w:cs="Arial"/>
                <w:sz w:val="22"/>
                <w:lang w:val="en-GB"/>
              </w:rPr>
            </w:pPr>
          </w:p>
        </w:tc>
        <w:tc>
          <w:tcPr>
            <w:tcW w:w="1553"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7.4</w:t>
            </w:r>
          </w:p>
        </w:tc>
        <w:tc>
          <w:tcPr>
            <w:tcW w:w="1551"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6.3</w:t>
            </w:r>
          </w:p>
        </w:tc>
        <w:tc>
          <w:tcPr>
            <w:tcW w:w="1549"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8.8</w:t>
            </w:r>
          </w:p>
        </w:tc>
      </w:tr>
      <w:tr w:rsidR="00891D1A" w:rsidRPr="00D00774" w:rsidTr="006B607F">
        <w:tc>
          <w:tcPr>
            <w:tcW w:w="1951" w:type="dxa"/>
          </w:tcPr>
          <w:p w:rsidR="00891D1A" w:rsidRPr="00D00774" w:rsidRDefault="00891D1A" w:rsidP="006B607F">
            <w:pPr>
              <w:rPr>
                <w:rFonts w:ascii="Verdana" w:hAnsi="Verdana" w:cs="Arial"/>
                <w:sz w:val="22"/>
                <w:lang w:val="en-GB"/>
              </w:rPr>
            </w:pPr>
            <w:r w:rsidRPr="00D00774">
              <w:rPr>
                <w:rFonts w:ascii="Verdana" w:hAnsi="Verdana" w:cs="Arial"/>
                <w:sz w:val="22"/>
                <w:lang w:val="en-GB"/>
              </w:rPr>
              <w:t>POR</w:t>
            </w:r>
          </w:p>
          <w:p w:rsidR="00891D1A" w:rsidRPr="00D00774" w:rsidRDefault="00891D1A" w:rsidP="006B607F">
            <w:pPr>
              <w:rPr>
                <w:rFonts w:ascii="Verdana" w:hAnsi="Verdana" w:cs="Arial"/>
                <w:sz w:val="22"/>
                <w:lang w:val="en-GB"/>
              </w:rPr>
            </w:pPr>
            <w:r w:rsidRPr="00D00774">
              <w:rPr>
                <w:rFonts w:ascii="Verdana" w:hAnsi="Verdana" w:cs="Arial"/>
                <w:sz w:val="22"/>
                <w:lang w:val="en-GB"/>
              </w:rPr>
              <w:t>(95% CI)</w:t>
            </w:r>
          </w:p>
        </w:tc>
        <w:tc>
          <w:tcPr>
            <w:tcW w:w="1126"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1.0</w:t>
            </w:r>
          </w:p>
        </w:tc>
        <w:tc>
          <w:tcPr>
            <w:tcW w:w="1556"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5.6</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(2.1-14.6)</w:t>
            </w:r>
          </w:p>
        </w:tc>
        <w:tc>
          <w:tcPr>
            <w:tcW w:w="1553"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3.2</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(1.2-8.8)</w:t>
            </w:r>
          </w:p>
        </w:tc>
        <w:tc>
          <w:tcPr>
            <w:tcW w:w="1551"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2.3</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(0.8-6.1)</w:t>
            </w:r>
          </w:p>
        </w:tc>
        <w:tc>
          <w:tcPr>
            <w:tcW w:w="1549" w:type="dxa"/>
          </w:tcPr>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3.4</w:t>
            </w:r>
          </w:p>
          <w:p w:rsidR="00891D1A" w:rsidRPr="00D00774" w:rsidRDefault="00891D1A" w:rsidP="006B607F">
            <w:pPr>
              <w:jc w:val="center"/>
              <w:rPr>
                <w:rFonts w:ascii="Verdana" w:hAnsi="Verdana" w:cs="Arial"/>
                <w:sz w:val="22"/>
                <w:lang w:val="en-GB"/>
              </w:rPr>
            </w:pPr>
            <w:r w:rsidRPr="00D00774">
              <w:rPr>
                <w:rFonts w:ascii="Verdana" w:hAnsi="Verdana" w:cs="Arial"/>
                <w:sz w:val="22"/>
                <w:lang w:val="en-GB"/>
              </w:rPr>
              <w:t>(1.4-8.3)</w:t>
            </w:r>
          </w:p>
        </w:tc>
      </w:tr>
    </w:tbl>
    <w:p w:rsidR="00891D1A" w:rsidRPr="00D00774" w:rsidRDefault="00891D1A" w:rsidP="00891D1A">
      <w:pPr>
        <w:rPr>
          <w:rFonts w:ascii="Verdana" w:hAnsi="Verdana" w:cs="Arial"/>
        </w:rPr>
      </w:pPr>
    </w:p>
    <w:p w:rsidR="00891D1A" w:rsidRDefault="00891D1A">
      <w:r>
        <w:br w:type="page"/>
      </w:r>
    </w:p>
    <w:p w:rsidR="00FB37BF" w:rsidRDefault="00FB37BF" w:rsidP="00FB37BF">
      <w:pPr>
        <w:rPr>
          <w:rFonts w:ascii="Verdana" w:hAnsi="Verdana" w:cs="Arial"/>
        </w:rPr>
      </w:pPr>
      <w:r w:rsidRPr="00D00774">
        <w:rPr>
          <w:rFonts w:ascii="Verdana" w:hAnsi="Verdana" w:cs="Arial"/>
        </w:rPr>
        <w:lastRenderedPageBreak/>
        <w:t>Table 4: Relationships of 7-day low back outcomes to daily compressive dose S</w:t>
      </w:r>
      <w:r w:rsidRPr="00D00774">
        <w:rPr>
          <w:rFonts w:ascii="Verdana" w:hAnsi="Verdana" w:cs="Arial"/>
          <w:vertAlign w:val="subscript"/>
        </w:rPr>
        <w:t>ed</w:t>
      </w:r>
      <w:r w:rsidRPr="00D00774">
        <w:rPr>
          <w:rFonts w:ascii="Verdana" w:hAnsi="Verdana" w:cs="Arial"/>
        </w:rPr>
        <w:t xml:space="preserve"> and risk factor R in a three-year prospective cohort study of 537 professional drivers </w:t>
      </w:r>
      <w:r w:rsidR="00192E6E">
        <w:rPr>
          <w:rFonts w:ascii="Verdana" w:hAnsi="Verdana" w:cs="Arial"/>
        </w:rPr>
        <w:t>[61]</w:t>
      </w:r>
      <w:r w:rsidRPr="00D00774">
        <w:rPr>
          <w:rFonts w:ascii="Verdana" w:hAnsi="Verdana" w:cs="Arial"/>
        </w:rPr>
        <w:t xml:space="preserve">. </w:t>
      </w:r>
      <w:r w:rsidRPr="00D00774">
        <w:rPr>
          <w:rFonts w:ascii="Verdana" w:hAnsi="Verdana" w:cs="Arial"/>
          <w:lang w:val="en-US"/>
        </w:rPr>
        <w:t>The changes in odds ratio (OR*) and 95% confidence intervals (95% CI) for a change of 0.1 MPa in S</w:t>
      </w:r>
      <w:r w:rsidRPr="00D00774">
        <w:rPr>
          <w:rFonts w:ascii="Verdana" w:hAnsi="Verdana" w:cs="Arial"/>
          <w:vertAlign w:val="subscript"/>
          <w:lang w:val="en-US"/>
        </w:rPr>
        <w:t>ed</w:t>
      </w:r>
      <w:r w:rsidR="00192E6E">
        <w:rPr>
          <w:rFonts w:ascii="Verdana" w:hAnsi="Verdana" w:cs="Arial"/>
          <w:lang w:val="en-US"/>
        </w:rPr>
        <w:t xml:space="preserve"> and </w:t>
      </w:r>
      <w:r w:rsidRPr="00D00774">
        <w:rPr>
          <w:rFonts w:ascii="Verdana" w:hAnsi="Verdana" w:cs="Arial"/>
          <w:lang w:val="en-US"/>
        </w:rPr>
        <w:t>0.1 units in R factor are shown</w:t>
      </w:r>
      <w:r w:rsidRPr="00D00774">
        <w:rPr>
          <w:rFonts w:ascii="Verdana" w:hAnsi="Verdana" w:cs="Arial"/>
        </w:rPr>
        <w:t>.</w:t>
      </w:r>
    </w:p>
    <w:p w:rsidR="00FB37BF" w:rsidRPr="00D00774" w:rsidRDefault="00FB37BF" w:rsidP="00FB37BF">
      <w:pPr>
        <w:rPr>
          <w:rFonts w:ascii="Verdana" w:hAnsi="Verdana" w:cs="Arial"/>
        </w:rPr>
      </w:pPr>
    </w:p>
    <w:tbl>
      <w:tblPr>
        <w:tblStyle w:val="TableGrid"/>
        <w:tblW w:w="4942" w:type="pct"/>
        <w:tblInd w:w="108" w:type="dxa"/>
        <w:tblLook w:val="04A0" w:firstRow="1" w:lastRow="0" w:firstColumn="1" w:lastColumn="0" w:noHBand="0" w:noVBand="1"/>
      </w:tblPr>
      <w:tblGrid>
        <w:gridCol w:w="2531"/>
        <w:gridCol w:w="788"/>
        <w:gridCol w:w="1416"/>
        <w:gridCol w:w="787"/>
        <w:gridCol w:w="1416"/>
        <w:gridCol w:w="787"/>
        <w:gridCol w:w="1410"/>
      </w:tblGrid>
      <w:tr w:rsidR="00FB37BF" w:rsidRPr="00D00774" w:rsidTr="006B607F">
        <w:tc>
          <w:tcPr>
            <w:tcW w:w="1385" w:type="pct"/>
            <w:vMerge w:val="restart"/>
          </w:tcPr>
          <w:p w:rsidR="00FB37BF" w:rsidRPr="00D00774" w:rsidRDefault="00FB37BF" w:rsidP="006B607F">
            <w:pPr>
              <w:spacing w:line="360" w:lineRule="auto"/>
              <w:jc w:val="left"/>
              <w:rPr>
                <w:rFonts w:ascii="Verdana" w:hAnsi="Verdana" w:cs="Arial"/>
                <w:sz w:val="22"/>
                <w:lang w:val="en-GB"/>
              </w:rPr>
            </w:pPr>
            <w:r w:rsidRPr="00D00774">
              <w:rPr>
                <w:rFonts w:ascii="Verdana" w:hAnsi="Verdana" w:cs="Arial"/>
                <w:sz w:val="22"/>
                <w:lang w:val="en-GB"/>
              </w:rPr>
              <w:t>Predictors</w:t>
            </w:r>
          </w:p>
        </w:tc>
        <w:tc>
          <w:tcPr>
            <w:tcW w:w="1206" w:type="pct"/>
            <w:gridSpan w:val="2"/>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LBP</w:t>
            </w:r>
          </w:p>
        </w:tc>
        <w:tc>
          <w:tcPr>
            <w:tcW w:w="1206" w:type="pct"/>
            <w:gridSpan w:val="2"/>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Sciatic pain</w:t>
            </w:r>
          </w:p>
        </w:tc>
        <w:tc>
          <w:tcPr>
            <w:tcW w:w="1204" w:type="pct"/>
            <w:gridSpan w:val="2"/>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Treated LBP</w:t>
            </w:r>
          </w:p>
        </w:tc>
      </w:tr>
      <w:tr w:rsidR="00FB37BF" w:rsidRPr="00D00774" w:rsidTr="006B607F">
        <w:tc>
          <w:tcPr>
            <w:tcW w:w="1385" w:type="pct"/>
            <w:vMerge/>
          </w:tcPr>
          <w:p w:rsidR="00FB37BF" w:rsidRPr="00D00774" w:rsidRDefault="00FB37BF" w:rsidP="006B607F">
            <w:pPr>
              <w:spacing w:line="360" w:lineRule="auto"/>
              <w:jc w:val="left"/>
              <w:rPr>
                <w:rFonts w:ascii="Verdana" w:hAnsi="Verdana" w:cs="Arial"/>
                <w:sz w:val="22"/>
                <w:lang w:val="en-GB"/>
              </w:rPr>
            </w:pP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OR</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95% CI</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OR</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95% CI</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OR</w:t>
            </w:r>
          </w:p>
        </w:tc>
        <w:tc>
          <w:tcPr>
            <w:tcW w:w="773"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95% CI</w:t>
            </w:r>
          </w:p>
        </w:tc>
      </w:tr>
      <w:tr w:rsidR="00FB37BF" w:rsidRPr="00D00774" w:rsidTr="006B607F">
        <w:tc>
          <w:tcPr>
            <w:tcW w:w="1385" w:type="pct"/>
          </w:tcPr>
          <w:p w:rsidR="00FB37BF" w:rsidRPr="00D00774" w:rsidRDefault="00FB37BF" w:rsidP="006B607F">
            <w:pPr>
              <w:spacing w:line="360" w:lineRule="auto"/>
              <w:jc w:val="left"/>
              <w:rPr>
                <w:rFonts w:ascii="Verdana" w:hAnsi="Verdana" w:cs="Arial"/>
                <w:sz w:val="22"/>
                <w:lang w:val="en-GB"/>
              </w:rPr>
            </w:pPr>
            <w:r w:rsidRPr="00D00774">
              <w:rPr>
                <w:rFonts w:ascii="Verdana" w:hAnsi="Verdana" w:cs="Arial"/>
                <w:sz w:val="22"/>
                <w:lang w:val="en-GB"/>
              </w:rPr>
              <w:t>S</w:t>
            </w:r>
            <w:r w:rsidRPr="00D00774">
              <w:rPr>
                <w:rFonts w:ascii="Verdana" w:hAnsi="Verdana" w:cs="Arial"/>
                <w:sz w:val="22"/>
                <w:vertAlign w:val="subscript"/>
                <w:lang w:val="en-GB"/>
              </w:rPr>
              <w:t>ed</w:t>
            </w:r>
            <w:r w:rsidRPr="00D00774">
              <w:rPr>
                <w:rFonts w:ascii="Verdana" w:hAnsi="Verdana" w:cs="Arial"/>
                <w:sz w:val="22"/>
                <w:lang w:val="en-GB"/>
              </w:rPr>
              <w:t xml:space="preserve"> (MPa×10</w:t>
            </w:r>
            <w:r w:rsidRPr="00D00774">
              <w:rPr>
                <w:rFonts w:ascii="Verdana" w:hAnsi="Verdana" w:cs="Arial"/>
                <w:sz w:val="22"/>
                <w:vertAlign w:val="superscript"/>
                <w:lang w:val="en-GB"/>
              </w:rPr>
              <w:t>-1</w:t>
            </w:r>
            <w:r w:rsidRPr="00D00774">
              <w:rPr>
                <w:rFonts w:ascii="Verdana" w:hAnsi="Verdana" w:cs="Arial"/>
                <w:sz w:val="22"/>
                <w:lang w:val="en-GB"/>
              </w:rPr>
              <w:t xml:space="preserve">)           </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1.19</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0.97-1.45</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1.31</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0.98-1.76</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1.51</w:t>
            </w:r>
          </w:p>
        </w:tc>
        <w:tc>
          <w:tcPr>
            <w:tcW w:w="773"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1.09-2.11</w:t>
            </w:r>
          </w:p>
        </w:tc>
      </w:tr>
      <w:tr w:rsidR="00FB37BF" w:rsidRPr="00D00774" w:rsidTr="006B607F">
        <w:tc>
          <w:tcPr>
            <w:tcW w:w="1385" w:type="pct"/>
          </w:tcPr>
          <w:p w:rsidR="00FB37BF" w:rsidRPr="00D00774" w:rsidRDefault="00FB37BF" w:rsidP="006B607F">
            <w:pPr>
              <w:spacing w:line="360" w:lineRule="auto"/>
              <w:rPr>
                <w:rFonts w:ascii="Verdana" w:hAnsi="Verdana" w:cs="Arial"/>
                <w:sz w:val="22"/>
                <w:lang w:val="en-GB"/>
              </w:rPr>
            </w:pPr>
            <w:r w:rsidRPr="00D00774">
              <w:rPr>
                <w:rFonts w:ascii="Verdana" w:hAnsi="Verdana" w:cs="Arial"/>
                <w:sz w:val="22"/>
                <w:lang w:val="en-GB"/>
              </w:rPr>
              <w:t>R factor (units×10</w:t>
            </w:r>
            <w:r w:rsidRPr="00D00774">
              <w:rPr>
                <w:rFonts w:ascii="Verdana" w:hAnsi="Verdana" w:cs="Arial"/>
                <w:sz w:val="22"/>
                <w:vertAlign w:val="superscript"/>
                <w:lang w:val="en-GB"/>
              </w:rPr>
              <w:t>-1</w:t>
            </w:r>
            <w:r w:rsidRPr="00D00774">
              <w:rPr>
                <w:rFonts w:ascii="Verdana" w:hAnsi="Verdana" w:cs="Arial"/>
                <w:sz w:val="22"/>
                <w:lang w:val="en-GB"/>
              </w:rPr>
              <w:t>)</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1.26</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1.10-1.45</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1.36</w:t>
            </w:r>
          </w:p>
        </w:tc>
        <w:tc>
          <w:tcPr>
            <w:tcW w:w="775"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1.12-1.66</w:t>
            </w:r>
          </w:p>
        </w:tc>
        <w:tc>
          <w:tcPr>
            <w:tcW w:w="431"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1.44</w:t>
            </w:r>
          </w:p>
        </w:tc>
        <w:tc>
          <w:tcPr>
            <w:tcW w:w="773" w:type="pct"/>
          </w:tcPr>
          <w:p w:rsidR="00FB37BF" w:rsidRPr="00D00774" w:rsidRDefault="00FB37BF" w:rsidP="006B607F">
            <w:pPr>
              <w:spacing w:line="360" w:lineRule="auto"/>
              <w:jc w:val="center"/>
              <w:rPr>
                <w:rFonts w:ascii="Verdana" w:hAnsi="Verdana" w:cs="Arial"/>
                <w:sz w:val="22"/>
                <w:lang w:val="en-GB"/>
              </w:rPr>
            </w:pPr>
            <w:r w:rsidRPr="00D00774">
              <w:rPr>
                <w:rFonts w:ascii="Verdana" w:hAnsi="Verdana" w:cs="Arial"/>
                <w:sz w:val="22"/>
                <w:lang w:val="en-GB"/>
              </w:rPr>
              <w:t>1.16-1.78</w:t>
            </w:r>
          </w:p>
        </w:tc>
      </w:tr>
    </w:tbl>
    <w:p w:rsidR="00FB37BF" w:rsidRDefault="00FB37BF" w:rsidP="00FB37BF">
      <w:pPr>
        <w:spacing w:line="240" w:lineRule="auto"/>
        <w:rPr>
          <w:rFonts w:ascii="Verdana" w:hAnsi="Verdana" w:cs="Arial"/>
        </w:rPr>
      </w:pPr>
    </w:p>
    <w:p w:rsidR="00FB37BF" w:rsidRDefault="00FB37BF" w:rsidP="00FB37BF">
      <w:pPr>
        <w:spacing w:line="240" w:lineRule="auto"/>
        <w:rPr>
          <w:rFonts w:ascii="Verdana" w:hAnsi="Verdana" w:cs="Arial"/>
        </w:rPr>
      </w:pPr>
    </w:p>
    <w:p w:rsidR="00FB37BF" w:rsidRPr="00D00774" w:rsidRDefault="00FB37BF" w:rsidP="00FB37BF">
      <w:pPr>
        <w:spacing w:line="240" w:lineRule="auto"/>
        <w:rPr>
          <w:rFonts w:ascii="Verdana" w:hAnsi="Verdana" w:cs="Arial"/>
        </w:rPr>
      </w:pPr>
      <w:r w:rsidRPr="00D00774">
        <w:rPr>
          <w:rFonts w:ascii="Verdana" w:hAnsi="Verdana" w:cs="Arial"/>
        </w:rPr>
        <w:t>*OR adjusted by age-at-entry, body mass index, years of full-time driving, physical work load, psychosocial work environment, herniated lumbar disc, lumbar trauma, and follow up time.</w:t>
      </w:r>
    </w:p>
    <w:p w:rsidR="00FB37BF" w:rsidRDefault="00FB37BF" w:rsidP="00FB37BF">
      <w:pPr>
        <w:spacing w:line="240" w:lineRule="auto"/>
        <w:rPr>
          <w:rFonts w:ascii="Verdana" w:hAnsi="Verdana" w:cs="Arial"/>
          <w:b/>
        </w:rPr>
      </w:pPr>
    </w:p>
    <w:p w:rsidR="00FB37BF" w:rsidRPr="00D00774" w:rsidRDefault="00FB37BF" w:rsidP="00FB37BF">
      <w:pPr>
        <w:spacing w:line="240" w:lineRule="auto"/>
        <w:rPr>
          <w:rFonts w:ascii="Verdana" w:hAnsi="Verdana" w:cs="Arial"/>
        </w:rPr>
      </w:pPr>
      <w:r w:rsidRPr="00FB37BF">
        <w:rPr>
          <w:rFonts w:ascii="Verdana" w:hAnsi="Verdana" w:cs="Arial"/>
          <w:b/>
        </w:rPr>
        <w:t>Low back pain (LBP):</w:t>
      </w:r>
      <w:r w:rsidRPr="00D00774">
        <w:rPr>
          <w:rFonts w:ascii="Verdana" w:hAnsi="Verdana" w:cs="Arial"/>
        </w:rPr>
        <w:t xml:space="preserve"> pain or discomfort in the low back area between the twelfth ribs and the gluteal folds, lasting one day or longer in the previous 7 days.</w:t>
      </w:r>
    </w:p>
    <w:p w:rsidR="00FB37BF" w:rsidRPr="00D00774" w:rsidRDefault="00FB37BF" w:rsidP="00FB37BF">
      <w:pPr>
        <w:spacing w:line="240" w:lineRule="auto"/>
        <w:rPr>
          <w:rFonts w:ascii="Verdana" w:hAnsi="Verdana" w:cs="Arial"/>
        </w:rPr>
      </w:pPr>
      <w:r w:rsidRPr="00FB37BF">
        <w:rPr>
          <w:rFonts w:ascii="Verdana" w:hAnsi="Verdana" w:cs="Arial"/>
          <w:b/>
        </w:rPr>
        <w:t>Sciatic pain:</w:t>
      </w:r>
      <w:r w:rsidRPr="00D00774">
        <w:rPr>
          <w:rFonts w:ascii="Verdana" w:hAnsi="Verdana" w:cs="Arial"/>
        </w:rPr>
        <w:t xml:space="preserve"> radiating pain in one or both legs (below the knee) in the previous 7 days.</w:t>
      </w:r>
    </w:p>
    <w:p w:rsidR="00FB37BF" w:rsidRPr="00D00774" w:rsidRDefault="00FB37BF" w:rsidP="00FB37BF">
      <w:pPr>
        <w:spacing w:line="240" w:lineRule="auto"/>
        <w:rPr>
          <w:rFonts w:ascii="Verdana" w:hAnsi="Verdana" w:cs="Arial"/>
        </w:rPr>
      </w:pPr>
      <w:r w:rsidRPr="00FB37BF">
        <w:rPr>
          <w:rFonts w:ascii="Verdana" w:hAnsi="Verdana" w:cs="Arial"/>
          <w:b/>
        </w:rPr>
        <w:t>Treated LBP:</w:t>
      </w:r>
      <w:r w:rsidRPr="00D00774">
        <w:rPr>
          <w:rFonts w:ascii="Verdana" w:hAnsi="Verdana" w:cs="Arial"/>
        </w:rPr>
        <w:t xml:space="preserve"> LBP treated with anti-inflammatory drugs or physical therapy in the previous 7 days.</w:t>
      </w:r>
    </w:p>
    <w:p w:rsidR="00AB0FFC" w:rsidRDefault="00AB0FFC"/>
    <w:p w:rsidR="00891D1A" w:rsidRDefault="00891D1A"/>
    <w:p w:rsidR="00891D1A" w:rsidRDefault="00891D1A"/>
    <w:p w:rsidR="00891D1A" w:rsidRDefault="00891D1A"/>
    <w:p w:rsidR="00891D1A" w:rsidRDefault="00891D1A"/>
    <w:p w:rsidR="00891D1A" w:rsidRDefault="00891D1A"/>
    <w:sectPr w:rsidR="00891D1A" w:rsidSect="00AB0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05A05AA-485F-4941-AA25-A1AD09E41B0A}"/>
    <w:docVar w:name="dgnword-eventsink" w:val="156129136"/>
  </w:docVars>
  <w:rsids>
    <w:rsidRoot w:val="00891D1A"/>
    <w:rsid w:val="00192E6E"/>
    <w:rsid w:val="00891D1A"/>
    <w:rsid w:val="00AB0FFC"/>
    <w:rsid w:val="00EF1E24"/>
    <w:rsid w:val="00F45E2A"/>
    <w:rsid w:val="00FB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1A"/>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nhideWhenUsed/>
    <w:rsid w:val="00891D1A"/>
    <w:rPr>
      <w:rFonts w:ascii="Verdana" w:eastAsia="Times New Roman" w:hAnsi="Verdana" w:cs="Times New Roman"/>
      <w:i/>
    </w:rPr>
  </w:style>
  <w:style w:type="character" w:customStyle="1" w:styleId="FootnoteTextChar">
    <w:name w:val="Footnote Text Char"/>
    <w:basedOn w:val="DefaultParagraphFont"/>
    <w:link w:val="FootnoteText"/>
    <w:rsid w:val="00891D1A"/>
    <w:rPr>
      <w:rFonts w:ascii="Verdana" w:eastAsia="Times New Roman" w:hAnsi="Verdana" w:cs="Times New Roman"/>
      <w:i/>
    </w:rPr>
  </w:style>
  <w:style w:type="paragraph" w:styleId="Caption">
    <w:name w:val="caption"/>
    <w:basedOn w:val="Normal"/>
    <w:next w:val="Normal"/>
    <w:semiHidden/>
    <w:unhideWhenUsed/>
    <w:qFormat/>
    <w:rsid w:val="00891D1A"/>
    <w:pPr>
      <w:spacing w:after="120" w:line="480" w:lineRule="auto"/>
      <w:jc w:val="both"/>
    </w:pPr>
    <w:rPr>
      <w:rFonts w:ascii="Arial" w:eastAsia="Times New Roman" w:hAnsi="Arial" w:cs="Times New Roman"/>
      <w:b/>
      <w:szCs w:val="20"/>
    </w:rPr>
  </w:style>
  <w:style w:type="table" w:customStyle="1" w:styleId="Grigliatabella1">
    <w:name w:val="Griglia tabella1"/>
    <w:basedOn w:val="TableNormal"/>
    <w:next w:val="TableGrid"/>
    <w:uiPriority w:val="59"/>
    <w:rsid w:val="00891D1A"/>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1A"/>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nhideWhenUsed/>
    <w:rsid w:val="00891D1A"/>
    <w:rPr>
      <w:rFonts w:ascii="Verdana" w:eastAsia="Times New Roman" w:hAnsi="Verdana" w:cs="Times New Roman"/>
      <w:i/>
    </w:rPr>
  </w:style>
  <w:style w:type="character" w:customStyle="1" w:styleId="FootnoteTextChar">
    <w:name w:val="Footnote Text Char"/>
    <w:basedOn w:val="DefaultParagraphFont"/>
    <w:link w:val="FootnoteText"/>
    <w:rsid w:val="00891D1A"/>
    <w:rPr>
      <w:rFonts w:ascii="Verdana" w:eastAsia="Times New Roman" w:hAnsi="Verdana" w:cs="Times New Roman"/>
      <w:i/>
    </w:rPr>
  </w:style>
  <w:style w:type="paragraph" w:styleId="Caption">
    <w:name w:val="caption"/>
    <w:basedOn w:val="Normal"/>
    <w:next w:val="Normal"/>
    <w:semiHidden/>
    <w:unhideWhenUsed/>
    <w:qFormat/>
    <w:rsid w:val="00891D1A"/>
    <w:pPr>
      <w:spacing w:after="120" w:line="480" w:lineRule="auto"/>
      <w:jc w:val="both"/>
    </w:pPr>
    <w:rPr>
      <w:rFonts w:ascii="Arial" w:eastAsia="Times New Roman" w:hAnsi="Arial" w:cs="Times New Roman"/>
      <w:b/>
      <w:szCs w:val="20"/>
    </w:rPr>
  </w:style>
  <w:style w:type="table" w:customStyle="1" w:styleId="Grigliatabella1">
    <w:name w:val="Griglia tabella1"/>
    <w:basedOn w:val="TableNormal"/>
    <w:next w:val="TableGrid"/>
    <w:uiPriority w:val="59"/>
    <w:rsid w:val="00891D1A"/>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Palmer</dc:creator>
  <cp:lastModifiedBy>Karen Drake</cp:lastModifiedBy>
  <cp:revision>2</cp:revision>
  <dcterms:created xsi:type="dcterms:W3CDTF">2016-01-04T09:20:00Z</dcterms:created>
  <dcterms:modified xsi:type="dcterms:W3CDTF">2016-01-04T09:20:00Z</dcterms:modified>
</cp:coreProperties>
</file>