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89E3D" w14:textId="424A9997" w:rsidR="00FC2A39" w:rsidRPr="003829AE" w:rsidRDefault="00C541A8" w:rsidP="00FC2A39">
      <w:pPr>
        <w:spacing w:line="455" w:lineRule="atLeast"/>
        <w:jc w:val="center"/>
      </w:pPr>
      <w:bookmarkStart w:id="0" w:name="_GoBack"/>
      <w:bookmarkEnd w:id="0"/>
      <w:r w:rsidRPr="003829AE">
        <w:t xml:space="preserve">Measures of Attitudes Toward and Communication about Condom Use: Their Relationships With Sexual Risk Behavior </w:t>
      </w:r>
      <w:proofErr w:type="gramStart"/>
      <w:r w:rsidRPr="003829AE">
        <w:t>Among Young Black MSM</w:t>
      </w:r>
      <w:proofErr w:type="gramEnd"/>
    </w:p>
    <w:p w14:paraId="5F071B3B" w14:textId="77777777" w:rsidR="00FC2A39" w:rsidRPr="003D5AB4" w:rsidRDefault="00FC2A39" w:rsidP="00FC2A39">
      <w:pPr>
        <w:spacing w:line="455" w:lineRule="atLeast"/>
        <w:jc w:val="center"/>
        <w:rPr>
          <w:color w:val="0000FF"/>
        </w:rPr>
      </w:pPr>
    </w:p>
    <w:p w14:paraId="402B4EAA" w14:textId="09BAAC7C" w:rsidR="003829AE" w:rsidRPr="003829AE" w:rsidRDefault="003829AE" w:rsidP="003829AE">
      <w:pPr>
        <w:spacing w:line="455" w:lineRule="atLeast"/>
        <w:jc w:val="center"/>
      </w:pPr>
      <w:r w:rsidRPr="00B26ACF">
        <w:t>Richard A. Crosby, PhD</w:t>
      </w:r>
      <w:proofErr w:type="gramStart"/>
      <w:r w:rsidRPr="00B26ACF">
        <w:t>,</w:t>
      </w:r>
      <w:r w:rsidRPr="00B26ACF">
        <w:rPr>
          <w:vertAlign w:val="superscript"/>
        </w:rPr>
        <w:t>1</w:t>
      </w:r>
      <w:r>
        <w:rPr>
          <w:vertAlign w:val="superscript"/>
        </w:rPr>
        <w:t>,</w:t>
      </w:r>
      <w:r w:rsidRPr="00B26ACF">
        <w:rPr>
          <w:vertAlign w:val="superscript"/>
        </w:rPr>
        <w:t>2</w:t>
      </w:r>
      <w:r>
        <w:rPr>
          <w:vertAlign w:val="superscript"/>
        </w:rPr>
        <w:t>,3</w:t>
      </w:r>
      <w:proofErr w:type="gramEnd"/>
      <w:r w:rsidRPr="00B26ACF">
        <w:t xml:space="preserve"> Cynthia A. Graham, PhD,</w:t>
      </w:r>
      <w:r w:rsidRPr="003829AE">
        <w:rPr>
          <w:vertAlign w:val="superscript"/>
        </w:rPr>
        <w:t>2,3,</w:t>
      </w:r>
      <w:r>
        <w:rPr>
          <w:vertAlign w:val="superscript"/>
        </w:rPr>
        <w:t>4</w:t>
      </w:r>
      <w:r w:rsidRPr="00B26ACF">
        <w:t xml:space="preserve"> William L. Yarber, HSD,</w:t>
      </w:r>
      <w:r w:rsidRPr="00B26ACF">
        <w:rPr>
          <w:vertAlign w:val="superscript"/>
        </w:rPr>
        <w:t>2</w:t>
      </w:r>
      <w:r w:rsidR="00FB1E11">
        <w:rPr>
          <w:vertAlign w:val="superscript"/>
        </w:rPr>
        <w:t>,3,5,6</w:t>
      </w:r>
      <w:r w:rsidRPr="00B26ACF">
        <w:t xml:space="preserve"> Stephanie A. Sanders, PhD,</w:t>
      </w:r>
      <w:r w:rsidRPr="00B26ACF">
        <w:rPr>
          <w:vertAlign w:val="superscript"/>
        </w:rPr>
        <w:t>2,3</w:t>
      </w:r>
      <w:r>
        <w:rPr>
          <w:vertAlign w:val="superscript"/>
        </w:rPr>
        <w:t>,</w:t>
      </w:r>
      <w:r w:rsidR="007E0A9E">
        <w:rPr>
          <w:vertAlign w:val="superscript"/>
        </w:rPr>
        <w:t>5</w:t>
      </w:r>
      <w:r w:rsidRPr="00B26ACF">
        <w:t xml:space="preserve"> Robin R. Milhausen, PhD</w:t>
      </w:r>
      <w:r>
        <w:rPr>
          <w:vertAlign w:val="superscript"/>
        </w:rPr>
        <w:t>2,3</w:t>
      </w:r>
      <w:r w:rsidR="007E0A9E">
        <w:rPr>
          <w:vertAlign w:val="superscript"/>
        </w:rPr>
        <w:t>,</w:t>
      </w:r>
      <w:r w:rsidR="00FB1E11">
        <w:rPr>
          <w:vertAlign w:val="superscript"/>
        </w:rPr>
        <w:t>7</w:t>
      </w:r>
      <w:r w:rsidRPr="00B26ACF">
        <w:t xml:space="preserve"> Leandro Mena, </w:t>
      </w:r>
      <w:r w:rsidR="00FB1E11" w:rsidRPr="00B26ACF">
        <w:t>MD</w:t>
      </w:r>
      <w:r w:rsidR="00FB1E11">
        <w:rPr>
          <w:vertAlign w:val="superscript"/>
        </w:rPr>
        <w:t>8</w:t>
      </w:r>
    </w:p>
    <w:p w14:paraId="5875B5BC" w14:textId="77777777" w:rsidR="003829AE" w:rsidRPr="00B26ACF" w:rsidRDefault="003829AE" w:rsidP="003829AE">
      <w:pPr>
        <w:spacing w:line="480" w:lineRule="auto"/>
        <w:rPr>
          <w:vertAlign w:val="superscript"/>
        </w:rPr>
      </w:pPr>
    </w:p>
    <w:p w14:paraId="36C9CF4E" w14:textId="4BC25AC2" w:rsidR="003829AE" w:rsidRDefault="003829AE" w:rsidP="003829AE">
      <w:pPr>
        <w:spacing w:line="480" w:lineRule="auto"/>
      </w:pPr>
      <w:r w:rsidRPr="00B26ACF">
        <w:rPr>
          <w:vertAlign w:val="superscript"/>
        </w:rPr>
        <w:t>1</w:t>
      </w:r>
      <w:r w:rsidRPr="00B26ACF">
        <w:t>College of Public Health at the University of Kentucky</w:t>
      </w:r>
    </w:p>
    <w:p w14:paraId="085ED471" w14:textId="6751EC14" w:rsidR="003829AE" w:rsidRDefault="003829AE" w:rsidP="003829AE">
      <w:pPr>
        <w:spacing w:line="480" w:lineRule="auto"/>
        <w:rPr>
          <w:bCs/>
        </w:rPr>
      </w:pPr>
      <w:r>
        <w:rPr>
          <w:vertAlign w:val="superscript"/>
        </w:rPr>
        <w:t>2</w:t>
      </w:r>
      <w:r w:rsidRPr="00B26ACF">
        <w:rPr>
          <w:vertAlign w:val="superscript"/>
        </w:rPr>
        <w:t xml:space="preserve"> </w:t>
      </w:r>
      <w:r w:rsidRPr="00B26ACF">
        <w:t xml:space="preserve">The Kinsey Institute </w:t>
      </w:r>
      <w:r w:rsidRPr="00B26ACF">
        <w:rPr>
          <w:bCs/>
        </w:rPr>
        <w:t>for Research in Sex, Gender, and Reproduction</w:t>
      </w:r>
    </w:p>
    <w:p w14:paraId="36FD551F" w14:textId="03D0717B" w:rsidR="003829AE" w:rsidRDefault="003829AE" w:rsidP="003829AE">
      <w:pPr>
        <w:spacing w:line="480" w:lineRule="auto"/>
        <w:rPr>
          <w:bCs/>
        </w:rPr>
      </w:pPr>
      <w:r>
        <w:rPr>
          <w:vertAlign w:val="superscript"/>
        </w:rPr>
        <w:t>3</w:t>
      </w:r>
      <w:r>
        <w:rPr>
          <w:bCs/>
        </w:rPr>
        <w:t>Rural Center for AIDS/STD Prevention, Indiana University</w:t>
      </w:r>
    </w:p>
    <w:p w14:paraId="55B1503C" w14:textId="77777777" w:rsidR="003829AE" w:rsidRPr="00B26ACF" w:rsidRDefault="003829AE" w:rsidP="003829AE">
      <w:pPr>
        <w:spacing w:line="480" w:lineRule="auto"/>
      </w:pPr>
      <w:r>
        <w:rPr>
          <w:vertAlign w:val="superscript"/>
        </w:rPr>
        <w:t>4</w:t>
      </w:r>
      <w:r w:rsidRPr="00B26ACF">
        <w:t>Department of Psychology, University of Southampton</w:t>
      </w:r>
    </w:p>
    <w:p w14:paraId="39089D89" w14:textId="11687CD4" w:rsidR="003829AE" w:rsidRPr="00B26ACF" w:rsidRDefault="003829AE" w:rsidP="003829AE">
      <w:pPr>
        <w:spacing w:line="480" w:lineRule="auto"/>
      </w:pPr>
      <w:r>
        <w:rPr>
          <w:vertAlign w:val="superscript"/>
        </w:rPr>
        <w:t>5</w:t>
      </w:r>
      <w:r w:rsidRPr="00B26ACF">
        <w:t>Department of Gender Studies at Indiana University</w:t>
      </w:r>
    </w:p>
    <w:p w14:paraId="1A906A3D" w14:textId="6778BE43" w:rsidR="003829AE" w:rsidRPr="00B26ACF" w:rsidRDefault="003829AE" w:rsidP="003829AE">
      <w:pPr>
        <w:spacing w:line="480" w:lineRule="auto"/>
      </w:pPr>
      <w:r>
        <w:rPr>
          <w:vertAlign w:val="superscript"/>
        </w:rPr>
        <w:t>6</w:t>
      </w:r>
      <w:r w:rsidRPr="00B26ACF">
        <w:t xml:space="preserve">Department of Applied Health Science at Indiana University </w:t>
      </w:r>
    </w:p>
    <w:p w14:paraId="3EF15BE8" w14:textId="65503C9B" w:rsidR="003829AE" w:rsidRPr="00B26ACF" w:rsidRDefault="00FB1E11" w:rsidP="003829AE">
      <w:pPr>
        <w:spacing w:line="480" w:lineRule="auto"/>
      </w:pPr>
      <w:r>
        <w:rPr>
          <w:vertAlign w:val="superscript"/>
        </w:rPr>
        <w:t>7</w:t>
      </w:r>
      <w:r w:rsidRPr="00B26ACF">
        <w:t xml:space="preserve">Department </w:t>
      </w:r>
      <w:r w:rsidR="003829AE" w:rsidRPr="00B26ACF">
        <w:t>of Family Relations and Applied Nutrition at the University of G</w:t>
      </w:r>
      <w:r w:rsidR="003829AE">
        <w:t>ue</w:t>
      </w:r>
      <w:r w:rsidR="003829AE" w:rsidRPr="00B26ACF">
        <w:t>lph, Ontario, Canada</w:t>
      </w:r>
    </w:p>
    <w:p w14:paraId="4C3BD421" w14:textId="600ED0DA" w:rsidR="003829AE" w:rsidRPr="00B26ACF" w:rsidRDefault="00FB1E11" w:rsidP="003829AE">
      <w:pPr>
        <w:spacing w:line="480" w:lineRule="auto"/>
      </w:pPr>
      <w:r>
        <w:rPr>
          <w:vertAlign w:val="superscript"/>
        </w:rPr>
        <w:t>8</w:t>
      </w:r>
      <w:r>
        <w:t xml:space="preserve">University </w:t>
      </w:r>
      <w:r w:rsidR="003829AE">
        <w:t>of Mississippi Medical Center</w:t>
      </w:r>
    </w:p>
    <w:p w14:paraId="2571FBE3" w14:textId="77777777" w:rsidR="003829AE" w:rsidRDefault="003829AE" w:rsidP="00FC2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color w:val="0000FF"/>
        </w:rPr>
      </w:pPr>
    </w:p>
    <w:p w14:paraId="1B57D5D4" w14:textId="629434F3" w:rsidR="00FC2A39" w:rsidRPr="00B21B40" w:rsidRDefault="00FC2A39" w:rsidP="00FC2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Counts: text = </w:t>
      </w:r>
    </w:p>
    <w:p w14:paraId="13B2D60C" w14:textId="77777777" w:rsidR="00FC2A39" w:rsidRPr="00B21B40" w:rsidRDefault="00FC2A39" w:rsidP="00FC2A39">
      <w:pPr>
        <w:spacing w:line="480" w:lineRule="auto"/>
      </w:pPr>
      <w:r w:rsidRPr="00B21B40">
        <w:t xml:space="preserve">Correspondence: Richard Crosby, PhD, College of Public Health, </w:t>
      </w:r>
      <w:proofErr w:type="gramStart"/>
      <w:r w:rsidRPr="00B21B40">
        <w:t>151</w:t>
      </w:r>
      <w:proofErr w:type="gramEnd"/>
      <w:r w:rsidRPr="00B21B40">
        <w:t xml:space="preserve"> Washington Ave. </w:t>
      </w:r>
    </w:p>
    <w:p w14:paraId="4ECA4E65" w14:textId="77777777" w:rsidR="00FC2A39" w:rsidRDefault="00FC2A39" w:rsidP="00FC2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B21B40">
        <w:t>Lexington, KY  40506-0003</w:t>
      </w:r>
      <w:proofErr w:type="gramStart"/>
      <w:r w:rsidRPr="00B21B40">
        <w:t>;</w:t>
      </w:r>
      <w:proofErr w:type="gramEnd"/>
      <w:r w:rsidRPr="00B21B40">
        <w:t xml:space="preserve"> telephone: 859-257-5678 (ext 82039) /FAX: 859-323-2933/e-mail: </w:t>
      </w:r>
      <w:hyperlink r:id="rId8" w:history="1">
        <w:r w:rsidRPr="00B21B40">
          <w:rPr>
            <w:rStyle w:val="Hyperlink"/>
          </w:rPr>
          <w:t>crosby@uky.edu</w:t>
        </w:r>
      </w:hyperlink>
      <w:r w:rsidRPr="00B21B40">
        <w:t>.</w:t>
      </w:r>
    </w:p>
    <w:p w14:paraId="17779075" w14:textId="5BE0DABD" w:rsidR="00FC2A39" w:rsidRDefault="00FC2A39" w:rsidP="00FC2A39">
      <w:pPr>
        <w:spacing w:line="480" w:lineRule="auto"/>
        <w:rPr>
          <w:color w:val="0000F6"/>
          <w:u w:val="single" w:color="0000F6"/>
        </w:rPr>
      </w:pPr>
      <w:r>
        <w:t xml:space="preserve">Acknowledgment: </w:t>
      </w:r>
      <w:r w:rsidRPr="00A23FEB">
        <w:t>This study was funded by a grant from the National Institute of Men</w:t>
      </w:r>
      <w:r>
        <w:t xml:space="preserve">tal Health to the first author, </w:t>
      </w:r>
      <w:r>
        <w:rPr>
          <w:color w:val="0000F6"/>
          <w:u w:val="single" w:color="0000F6"/>
        </w:rPr>
        <w:t>R01MH</w:t>
      </w:r>
      <w:r w:rsidR="00243F1C">
        <w:rPr>
          <w:color w:val="0000F6"/>
          <w:u w:val="single" w:color="0000F6"/>
        </w:rPr>
        <w:t>092226</w:t>
      </w:r>
    </w:p>
    <w:p w14:paraId="5EB14DC4" w14:textId="77777777" w:rsidR="00EC2C80" w:rsidRDefault="00EC2C80" w:rsidP="00FC2A39">
      <w:pPr>
        <w:spacing w:line="480" w:lineRule="auto"/>
        <w:rPr>
          <w:color w:val="0000F6"/>
          <w:u w:val="single" w:color="0000F6"/>
        </w:rPr>
      </w:pPr>
    </w:p>
    <w:p w14:paraId="272DE373" w14:textId="77777777" w:rsidR="00EC2C80" w:rsidRDefault="00EC2C80">
      <w:pPr>
        <w:rPr>
          <w:b/>
        </w:rPr>
      </w:pPr>
      <w:r>
        <w:rPr>
          <w:b/>
        </w:rPr>
        <w:br w:type="page"/>
      </w:r>
    </w:p>
    <w:p w14:paraId="70625C3C" w14:textId="3804B203" w:rsidR="00EC2C80" w:rsidRPr="001A5720" w:rsidRDefault="00EC2C80" w:rsidP="00EC2C80">
      <w:pPr>
        <w:spacing w:line="480" w:lineRule="auto"/>
        <w:jc w:val="center"/>
        <w:rPr>
          <w:b/>
        </w:rPr>
      </w:pPr>
      <w:r w:rsidRPr="001A5720">
        <w:rPr>
          <w:b/>
        </w:rPr>
        <w:lastRenderedPageBreak/>
        <w:t>Abstract</w:t>
      </w:r>
    </w:p>
    <w:p w14:paraId="087955EC" w14:textId="5D1771FC" w:rsidR="00EC2C80" w:rsidRPr="001A5720" w:rsidRDefault="00EC2C80" w:rsidP="00EC2C80">
      <w:pPr>
        <w:spacing w:line="480" w:lineRule="auto"/>
      </w:pPr>
      <w:r>
        <w:rPr>
          <w:b/>
        </w:rPr>
        <w:t>Objective</w:t>
      </w:r>
      <w:r w:rsidRPr="001A5720">
        <w:t xml:space="preserve">: </w:t>
      </w:r>
      <w:r w:rsidR="005E2E47">
        <w:t>To construct and test measures of psychosocial mediators that could be used in intervention studies seeking to promote safer sex behavior among young Black men who have sex with men (YBMSM).</w:t>
      </w:r>
    </w:p>
    <w:p w14:paraId="31E1F668" w14:textId="26A41FF4" w:rsidR="00EC2C80" w:rsidRPr="001A5720" w:rsidRDefault="00EC2C80" w:rsidP="00EC2C80">
      <w:pPr>
        <w:spacing w:line="480" w:lineRule="auto"/>
      </w:pPr>
      <w:r w:rsidRPr="001A5720">
        <w:rPr>
          <w:b/>
        </w:rPr>
        <w:t>Methods</w:t>
      </w:r>
      <w:r w:rsidRPr="001A5720">
        <w:t>: YBM</w:t>
      </w:r>
      <w:r>
        <w:t>SM</w:t>
      </w:r>
      <w:r w:rsidR="005900B9">
        <w:t xml:space="preserve"> (N=400)</w:t>
      </w:r>
      <w:r>
        <w:t>, ages 16</w:t>
      </w:r>
      <w:r w:rsidRPr="001A5720">
        <w:t xml:space="preserve"> through 23 years, w</w:t>
      </w:r>
      <w:r w:rsidR="005900B9">
        <w:t>ere</w:t>
      </w:r>
      <w:r w:rsidRPr="001A5720">
        <w:t xml:space="preserve"> recruited from </w:t>
      </w:r>
      <w:r>
        <w:t>an STI clinic</w:t>
      </w:r>
      <w:r w:rsidRPr="001A5720">
        <w:t xml:space="preserve">, </w:t>
      </w:r>
      <w:proofErr w:type="gramStart"/>
      <w:r>
        <w:t>located</w:t>
      </w:r>
      <w:proofErr w:type="gramEnd"/>
      <w:r>
        <w:t xml:space="preserve"> in the Southern U.S.</w:t>
      </w:r>
      <w:r w:rsidR="0067703B">
        <w:t xml:space="preserve"> All of the men had engaged in penile-anal sex with a male partner as a “top” at least once in the past 6 months.</w:t>
      </w:r>
      <w:r>
        <w:t xml:space="preserve"> Men</w:t>
      </w:r>
      <w:r w:rsidRPr="001A5720">
        <w:t xml:space="preserve"> completed an audio-computer assisted se</w:t>
      </w:r>
      <w:r>
        <w:t xml:space="preserve">lf-interview in a private area and </w:t>
      </w:r>
      <w:r w:rsidR="005900B9">
        <w:t xml:space="preserve">provided </w:t>
      </w:r>
      <w:r w:rsidRPr="001A5720">
        <w:t>specimen</w:t>
      </w:r>
      <w:r>
        <w:t>s</w:t>
      </w:r>
      <w:r w:rsidRPr="001A5720">
        <w:t xml:space="preserve"> used for NAAT testing to detect gonorrhea/Chlamydia.</w:t>
      </w:r>
      <w:r>
        <w:t xml:space="preserve"> </w:t>
      </w:r>
      <w:r w:rsidR="0011282D">
        <w:t xml:space="preserve">Four scales were constructed (Safer Sex Communication, Condom Turn-Offs, Condom Pleasure, and Discussed Condoms With Partner Before Sexual Arousal) and tested for criterion validity. </w:t>
      </w:r>
    </w:p>
    <w:p w14:paraId="44B6CC0C" w14:textId="4B3CB3A7" w:rsidR="00EC2C80" w:rsidRPr="001A5720" w:rsidRDefault="00EC2C80" w:rsidP="00EC2C80">
      <w:pPr>
        <w:spacing w:line="480" w:lineRule="auto"/>
      </w:pPr>
      <w:r w:rsidRPr="001A5720">
        <w:rPr>
          <w:b/>
        </w:rPr>
        <w:t>Results</w:t>
      </w:r>
      <w:r w:rsidRPr="001A5720">
        <w:t xml:space="preserve">: </w:t>
      </w:r>
      <w:r w:rsidR="0011282D">
        <w:t>With the exception of Safer Sex Communication, all of the measures showed criterion validity for both unprotected anal insertive, and unprotected anal receptive, sex.</w:t>
      </w:r>
      <w:r w:rsidR="0067703B">
        <w:t xml:space="preserve"> With the exception of the Condom Turn-Offs, the three other measures were supported by criterion validity for oral sex.</w:t>
      </w:r>
      <w:r w:rsidR="00EA6FE0">
        <w:t xml:space="preserve"> Both the Condom Turn-Offs and Condom Pleasure scale were significantly related to whether or not men reported multiple partners as a “top” but only the Condom Pleasure scale was associated with reports of multiple partners as a “bottom.”</w:t>
      </w:r>
      <w:r w:rsidR="0067703B">
        <w:t xml:space="preserve"> Only the Condom Turn-Offs scale was positively associated with having been diagnosed with either gonorrhea or Chlamydia.</w:t>
      </w:r>
      <w:r w:rsidR="0011282D">
        <w:t xml:space="preserve"> </w:t>
      </w:r>
    </w:p>
    <w:p w14:paraId="34803B9C" w14:textId="3E571877" w:rsidR="00EA6FE0" w:rsidRPr="00C35643" w:rsidRDefault="00EC2C80" w:rsidP="00EA6FE0">
      <w:pPr>
        <w:spacing w:line="480" w:lineRule="auto"/>
        <w:ind w:firstLine="420"/>
        <w:rPr>
          <w:color w:val="000000" w:themeColor="text1"/>
        </w:rPr>
      </w:pPr>
      <w:r w:rsidRPr="001A5720">
        <w:rPr>
          <w:b/>
        </w:rPr>
        <w:t>Conclusion</w:t>
      </w:r>
      <w:r w:rsidRPr="001A5720">
        <w:t xml:space="preserve">: </w:t>
      </w:r>
      <w:r w:rsidR="00EA6FE0">
        <w:rPr>
          <w:color w:val="000000" w:themeColor="text1"/>
        </w:rPr>
        <w:t>T</w:t>
      </w:r>
      <w:r w:rsidR="00EA6FE0" w:rsidRPr="00C35643">
        <w:rPr>
          <w:color w:val="000000" w:themeColor="text1"/>
        </w:rPr>
        <w:t>he findings provide three brief scales and a single item that can be used by other researchers in intervention studies targeting YBMSM. Perceptions about condoms a turn off and about condoms enhancing pleasure showed strong association with sexual risk behaviors.</w:t>
      </w:r>
    </w:p>
    <w:p w14:paraId="2DF3C49F" w14:textId="1632A1C8" w:rsidR="001302A2" w:rsidRPr="001302A2" w:rsidRDefault="001302A2" w:rsidP="00122F5D">
      <w:pPr>
        <w:spacing w:line="480" w:lineRule="auto"/>
        <w:jc w:val="center"/>
        <w:rPr>
          <w:b/>
        </w:rPr>
      </w:pPr>
      <w:r w:rsidRPr="001302A2">
        <w:rPr>
          <w:b/>
        </w:rPr>
        <w:lastRenderedPageBreak/>
        <w:t>Introduction</w:t>
      </w:r>
    </w:p>
    <w:p w14:paraId="78437786" w14:textId="4A83698A" w:rsidR="006F29B1" w:rsidRPr="00A42070" w:rsidRDefault="006F29B1" w:rsidP="006F29B1">
      <w:pPr>
        <w:spacing w:line="480" w:lineRule="auto"/>
        <w:ind w:firstLine="720"/>
        <w:outlineLvl w:val="0"/>
      </w:pPr>
      <w:r w:rsidRPr="00A42070">
        <w:t xml:space="preserve">Despite </w:t>
      </w:r>
      <w:r w:rsidR="00EA0199">
        <w:t>representing</w:t>
      </w:r>
      <w:r w:rsidRPr="00A42070">
        <w:t xml:space="preserve"> an estimated 2% of the United States population, gay and bisexual </w:t>
      </w:r>
      <w:r w:rsidR="00FB1E11">
        <w:t>men</w:t>
      </w:r>
      <w:r w:rsidR="00FB1E11" w:rsidRPr="00A42070">
        <w:t xml:space="preserve"> </w:t>
      </w:r>
      <w:r w:rsidRPr="00A42070">
        <w:t>account for an estimated three-fourths of all new HIV infections.</w:t>
      </w:r>
      <w:r w:rsidRPr="00A42070">
        <w:rPr>
          <w:vertAlign w:val="superscript"/>
        </w:rPr>
        <w:t>1</w:t>
      </w:r>
      <w:r w:rsidRPr="00A42070">
        <w:t xml:space="preserve"> </w:t>
      </w:r>
      <w:r w:rsidRPr="00A42070">
        <w:rPr>
          <w:bCs/>
        </w:rPr>
        <w:t>Young, Black men who have sex with men (YBMSM) have experienced a far more rapid escalation of the HIV/AIDS epidemic than MSM who identify as White or Latino or any other sub-population in the U.S.</w:t>
      </w:r>
      <w:r w:rsidRPr="00A42070">
        <w:rPr>
          <w:bCs/>
          <w:vertAlign w:val="superscript"/>
        </w:rPr>
        <w:t>1-6</w:t>
      </w:r>
      <w:r w:rsidRPr="00A42070">
        <w:rPr>
          <w:bCs/>
        </w:rPr>
        <w:t xml:space="preserve"> </w:t>
      </w:r>
      <w:r w:rsidRPr="00A42070">
        <w:t>YBMSM have a one-in-four chance of becoming infected with HIV by the time they reach 25 years of age.</w:t>
      </w:r>
      <w:r w:rsidRPr="00A42070">
        <w:rPr>
          <w:vertAlign w:val="superscript"/>
        </w:rPr>
        <w:t>7</w:t>
      </w:r>
      <w:r w:rsidRPr="00A42070">
        <w:t xml:space="preserve"> </w:t>
      </w:r>
    </w:p>
    <w:p w14:paraId="4F4D592C" w14:textId="2E74BCDC" w:rsidR="006F29B1" w:rsidRPr="00A42070" w:rsidRDefault="006F29B1" w:rsidP="006F29B1">
      <w:pPr>
        <w:spacing w:line="480" w:lineRule="auto"/>
        <w:ind w:firstLine="720"/>
        <w:outlineLvl w:val="0"/>
      </w:pPr>
      <w:r w:rsidRPr="00A42070">
        <w:t>Behavioral interventions designed to promote safer sex behaviors for YBMSM are a public health priority.</w:t>
      </w:r>
      <w:r w:rsidR="00E96DD2" w:rsidRPr="00E96DD2">
        <w:rPr>
          <w:vertAlign w:val="superscript"/>
        </w:rPr>
        <w:t>8</w:t>
      </w:r>
      <w:r w:rsidR="00E96DD2">
        <w:rPr>
          <w:vertAlign w:val="superscript"/>
        </w:rPr>
        <w:t xml:space="preserve"> </w:t>
      </w:r>
      <w:proofErr w:type="gramStart"/>
      <w:r w:rsidRPr="00A42070">
        <w:t>A</w:t>
      </w:r>
      <w:proofErr w:type="gramEnd"/>
      <w:r w:rsidRPr="00A42070">
        <w:t xml:space="preserve"> key task in the design of these program</w:t>
      </w:r>
      <w:r w:rsidR="00B41282" w:rsidRPr="00A42070">
        <w:t>s</w:t>
      </w:r>
      <w:r w:rsidRPr="00A42070">
        <w:t xml:space="preserve"> is the identification of targeted psychosocial mediators. Key mediators from studies of young Black men include communication with their partners about condom use and safer sex </w:t>
      </w:r>
      <w:r w:rsidR="00B41282" w:rsidRPr="00A42070">
        <w:t xml:space="preserve">and </w:t>
      </w:r>
      <w:r w:rsidRPr="00A42070">
        <w:t>issues men may have with condoms being antithe</w:t>
      </w:r>
      <w:r w:rsidR="00B41282" w:rsidRPr="00A42070">
        <w:t>tical to sexual arousal and sex</w:t>
      </w:r>
      <w:r w:rsidR="00E96DD2">
        <w:t>.</w:t>
      </w:r>
      <w:r w:rsidR="00E96DD2" w:rsidRPr="00E96DD2">
        <w:rPr>
          <w:vertAlign w:val="superscript"/>
        </w:rPr>
        <w:t>9-11</w:t>
      </w:r>
      <w:r w:rsidRPr="00A42070">
        <w:t xml:space="preserve"> Communication with partners about condom use may be especially important given that sex and sexual negotiations may be complicated by condom use. Aspects of condom use that lead to sexual “turn offs”</w:t>
      </w:r>
      <w:r w:rsidR="00E96DD2" w:rsidRPr="00E96DD2">
        <w:rPr>
          <w:vertAlign w:val="superscript"/>
        </w:rPr>
        <w:t>12</w:t>
      </w:r>
      <w:r w:rsidR="00E96DD2">
        <w:t xml:space="preserve"> </w:t>
      </w:r>
      <w:r w:rsidRPr="00A42070">
        <w:t>are potentially important psyc</w:t>
      </w:r>
      <w:r w:rsidR="00B41282" w:rsidRPr="00A42070">
        <w:t xml:space="preserve">hosocial mediators. </w:t>
      </w:r>
      <w:r w:rsidR="007E0A9E" w:rsidRPr="00A42070">
        <w:t>Conversely,</w:t>
      </w:r>
      <w:r w:rsidR="00B41282" w:rsidRPr="00A42070">
        <w:t xml:space="preserve"> an un</w:t>
      </w:r>
      <w:r w:rsidRPr="00A42070">
        <w:t>explored but potentially important mediator of condom use involves heightened perceptions of sexual pleasure when condom</w:t>
      </w:r>
      <w:r w:rsidR="00F31153">
        <w:t xml:space="preserve"> protection is</w:t>
      </w:r>
      <w:r w:rsidRPr="00A42070">
        <w:t xml:space="preserve"> used.</w:t>
      </w:r>
      <w:r w:rsidR="00AE071B" w:rsidRPr="00AE071B">
        <w:rPr>
          <w:vertAlign w:val="superscript"/>
        </w:rPr>
        <w:t>13</w:t>
      </w:r>
      <w:r w:rsidRPr="00A42070">
        <w:t xml:space="preserve"> </w:t>
      </w:r>
    </w:p>
    <w:p w14:paraId="6562D2CF" w14:textId="303AE233" w:rsidR="006F29B1" w:rsidRPr="00A42070" w:rsidRDefault="006F29B1" w:rsidP="006F29B1">
      <w:pPr>
        <w:spacing w:line="480" w:lineRule="auto"/>
        <w:ind w:firstLine="720"/>
        <w:outlineLvl w:val="0"/>
      </w:pPr>
      <w:r w:rsidRPr="00A42070">
        <w:t>Several scales have been created to measure condom attitudes/barriers to condom use, with the most commonly used the UCLA Multidimensional Condom Attitudes Scale</w:t>
      </w:r>
      <w:proofErr w:type="gramStart"/>
      <w:r w:rsidRPr="00A42070">
        <w:t>,</w:t>
      </w:r>
      <w:r w:rsidR="005B3EE2" w:rsidRPr="00AE071B">
        <w:rPr>
          <w:vertAlign w:val="superscript"/>
        </w:rPr>
        <w:t>14</w:t>
      </w:r>
      <w:proofErr w:type="gramEnd"/>
      <w:r w:rsidR="005B3EE2">
        <w:rPr>
          <w:vertAlign w:val="superscript"/>
        </w:rPr>
        <w:t xml:space="preserve"> </w:t>
      </w:r>
      <w:r w:rsidRPr="00A42070">
        <w:t>the Condom Barriers Scale</w:t>
      </w:r>
      <w:r w:rsidR="005B3EE2" w:rsidRPr="005B3EE2">
        <w:rPr>
          <w:vertAlign w:val="superscript"/>
        </w:rPr>
        <w:t xml:space="preserve"> </w:t>
      </w:r>
      <w:r w:rsidR="005B3EE2" w:rsidRPr="00AE071B">
        <w:rPr>
          <w:vertAlign w:val="superscript"/>
        </w:rPr>
        <w:t>1</w:t>
      </w:r>
      <w:r w:rsidR="005B3EE2">
        <w:rPr>
          <w:vertAlign w:val="superscript"/>
        </w:rPr>
        <w:t>5</w:t>
      </w:r>
      <w:r w:rsidRPr="00A42070">
        <w:t xml:space="preserve"> and the Multi-Factor Attitude Toward Condoms Scale</w:t>
      </w:r>
      <w:r w:rsidR="00AE071B">
        <w:t>.</w:t>
      </w:r>
      <w:r w:rsidR="00AE071B" w:rsidRPr="00AE071B">
        <w:rPr>
          <w:vertAlign w:val="superscript"/>
        </w:rPr>
        <w:t>1</w:t>
      </w:r>
      <w:r w:rsidR="005B3EE2">
        <w:rPr>
          <w:vertAlign w:val="superscript"/>
        </w:rPr>
        <w:t>6</w:t>
      </w:r>
      <w:r w:rsidRPr="00A42070">
        <w:t xml:space="preserve"> </w:t>
      </w:r>
      <w:r w:rsidR="007E0A9E" w:rsidRPr="00A42070">
        <w:t>Although</w:t>
      </w:r>
      <w:r w:rsidRPr="00A42070">
        <w:t xml:space="preserve"> many of these scales have undergone psychometric assessment, </w:t>
      </w:r>
      <w:r w:rsidR="00F31153">
        <w:t xml:space="preserve">the </w:t>
      </w:r>
      <w:r w:rsidRPr="00A42070">
        <w:t>samples used have mainly been young, college-aged heterosexual students</w:t>
      </w:r>
      <w:r w:rsidR="00AE071B">
        <w:t>.</w:t>
      </w:r>
      <w:r w:rsidR="005B3EE2">
        <w:rPr>
          <w:vertAlign w:val="superscript"/>
        </w:rPr>
        <w:t>17, 18</w:t>
      </w:r>
      <w:r w:rsidRPr="00A42070">
        <w:t xml:space="preserve"> The Condom Barriers Scale</w:t>
      </w:r>
      <w:r w:rsidR="00AE071B" w:rsidRPr="00AE071B">
        <w:rPr>
          <w:vertAlign w:val="superscript"/>
        </w:rPr>
        <w:t>1</w:t>
      </w:r>
      <w:r w:rsidR="00806D48">
        <w:rPr>
          <w:vertAlign w:val="superscript"/>
        </w:rPr>
        <w:t>5</w:t>
      </w:r>
      <w:r w:rsidRPr="00A42070">
        <w:t xml:space="preserve"> (from which one of our scales was developed) has been used </w:t>
      </w:r>
      <w:r w:rsidRPr="00A42070">
        <w:lastRenderedPageBreak/>
        <w:t>with a range of populations including high-risk African-American heterosexual men</w:t>
      </w:r>
      <w:r w:rsidR="005B1710">
        <w:t>,</w:t>
      </w:r>
      <w:r w:rsidR="00806D48" w:rsidRPr="00D85AD0">
        <w:rPr>
          <w:vertAlign w:val="superscript"/>
        </w:rPr>
        <w:t>19</w:t>
      </w:r>
      <w:r w:rsidRPr="00D85AD0">
        <w:rPr>
          <w:vertAlign w:val="superscript"/>
        </w:rPr>
        <w:t xml:space="preserve"> </w:t>
      </w:r>
      <w:r w:rsidRPr="00A42070">
        <w:t xml:space="preserve">but </w:t>
      </w:r>
      <w:r w:rsidR="007E0A9E" w:rsidRPr="00A42070">
        <w:t>not</w:t>
      </w:r>
      <w:r w:rsidRPr="00A42070">
        <w:t xml:space="preserve"> with men who have sex with men. Some authors have acknowledged that their findings with these measures may not be similar for men who have sex with men</w:t>
      </w:r>
      <w:r w:rsidR="001C3EFA">
        <w:t>.</w:t>
      </w:r>
      <w:r w:rsidR="005B1710" w:rsidRPr="005B1710">
        <w:rPr>
          <w:vertAlign w:val="superscript"/>
        </w:rPr>
        <w:t>1</w:t>
      </w:r>
      <w:r w:rsidR="001C3EFA">
        <w:rPr>
          <w:vertAlign w:val="superscript"/>
        </w:rPr>
        <w:t>6</w:t>
      </w:r>
      <w:r w:rsidRPr="005B1710">
        <w:rPr>
          <w:vertAlign w:val="superscript"/>
        </w:rPr>
        <w:t xml:space="preserve"> </w:t>
      </w:r>
      <w:r w:rsidRPr="00D85AD0">
        <w:t>Peterson et al.</w:t>
      </w:r>
      <w:r w:rsidR="001C3EFA" w:rsidRPr="00D85AD0">
        <w:rPr>
          <w:vertAlign w:val="superscript"/>
        </w:rPr>
        <w:t>20</w:t>
      </w:r>
      <w:r w:rsidR="005B1710">
        <w:t xml:space="preserve"> </w:t>
      </w:r>
      <w:r w:rsidRPr="00A42070">
        <w:t xml:space="preserve">developed a 5-point scale to assess attitudes about condoms among gay and bisexual African-American men but to our knowledge, </w:t>
      </w:r>
      <w:r w:rsidR="007E0A9E" w:rsidRPr="00A42070">
        <w:t>no</w:t>
      </w:r>
      <w:r w:rsidRPr="00A42070">
        <w:t xml:space="preserve"> validated scales on barriers to condom use exist that been validated with African American men who have sex with men.</w:t>
      </w:r>
    </w:p>
    <w:p w14:paraId="1B3E49A2" w14:textId="31D3D4BB" w:rsidR="006F29B1" w:rsidRPr="00A42070" w:rsidRDefault="007E0A9E" w:rsidP="006F29B1">
      <w:pPr>
        <w:spacing w:line="480" w:lineRule="auto"/>
        <w:ind w:firstLine="720"/>
        <w:outlineLvl w:val="0"/>
      </w:pPr>
      <w:r w:rsidRPr="00A42070">
        <w:t>T</w:t>
      </w:r>
      <w:r w:rsidR="006F29B1" w:rsidRPr="00A42070">
        <w:t>he purpose of this study was to</w:t>
      </w:r>
      <w:r w:rsidRPr="00A42070">
        <w:t xml:space="preserve"> construct and t</w:t>
      </w:r>
      <w:r w:rsidR="006F29B1" w:rsidRPr="00A42070">
        <w:t xml:space="preserve">est measures of psychosocial mediators that could be used in intervention studies seeking to promote safer sex behaviors </w:t>
      </w:r>
      <w:proofErr w:type="gramStart"/>
      <w:r w:rsidR="006F29B1" w:rsidRPr="00A42070">
        <w:t>among YBSM</w:t>
      </w:r>
      <w:proofErr w:type="gramEnd"/>
      <w:r w:rsidR="006F29B1" w:rsidRPr="00A42070">
        <w:t>.</w:t>
      </w:r>
      <w:r w:rsidR="00085EC6" w:rsidRPr="00A42070">
        <w:t xml:space="preserve"> Specifically, after collecting the data, we tested the scales for inter-item reliability and for criterion validity, using multiple </w:t>
      </w:r>
      <w:r w:rsidR="00D85AD0">
        <w:t>behavio</w:t>
      </w:r>
      <w:r w:rsidR="00085EC6" w:rsidRPr="00A42070">
        <w:t>ral outcomes.</w:t>
      </w:r>
    </w:p>
    <w:p w14:paraId="33B7ABE3" w14:textId="77777777" w:rsidR="001302A2" w:rsidRPr="001302A2" w:rsidRDefault="006F3D24" w:rsidP="001302A2">
      <w:pPr>
        <w:spacing w:line="480" w:lineRule="auto"/>
        <w:jc w:val="center"/>
        <w:outlineLvl w:val="0"/>
        <w:rPr>
          <w:b/>
        </w:rPr>
      </w:pPr>
      <w:r w:rsidRPr="001302A2">
        <w:rPr>
          <w:b/>
        </w:rPr>
        <w:t>Methods</w:t>
      </w:r>
    </w:p>
    <w:p w14:paraId="269F9C71" w14:textId="77777777" w:rsidR="00AF7F0B" w:rsidRPr="00A42070" w:rsidRDefault="00AF7F0B" w:rsidP="00AF7F0B">
      <w:pPr>
        <w:spacing w:line="480" w:lineRule="auto"/>
        <w:rPr>
          <w:u w:val="single"/>
        </w:rPr>
      </w:pPr>
      <w:r w:rsidRPr="00A42070">
        <w:rPr>
          <w:u w:val="single"/>
        </w:rPr>
        <w:t>Study Sample</w:t>
      </w:r>
    </w:p>
    <w:p w14:paraId="0A70EC6F" w14:textId="12AA11CB" w:rsidR="00AF7F0B" w:rsidRPr="00A42070" w:rsidRDefault="00AF7F0B" w:rsidP="00AF7F0B">
      <w:pPr>
        <w:spacing w:line="480" w:lineRule="auto"/>
        <w:ind w:firstLine="720"/>
      </w:pPr>
      <w:r w:rsidRPr="00A42070">
        <w:t xml:space="preserve">A convenience sample of 400 YBMSM was </w:t>
      </w:r>
      <w:r w:rsidR="003D5AB4" w:rsidRPr="00A42070">
        <w:t xml:space="preserve">recruited for participation in an </w:t>
      </w:r>
      <w:r w:rsidRPr="00A42070">
        <w:t>NIH-funded r</w:t>
      </w:r>
      <w:r w:rsidR="003D5AB4" w:rsidRPr="00A42070">
        <w:t>andomized controlled trial</w:t>
      </w:r>
      <w:r w:rsidRPr="00A42070">
        <w:t xml:space="preserve"> of a safer sex intervention program</w:t>
      </w:r>
      <w:r w:rsidR="003D5AB4" w:rsidRPr="00A42070">
        <w:t>. Only baseline data</w:t>
      </w:r>
      <w:r w:rsidRPr="00A42070">
        <w:t xml:space="preserve"> was used </w:t>
      </w:r>
      <w:r w:rsidR="003D5AB4" w:rsidRPr="00A42070">
        <w:t xml:space="preserve">for this </w:t>
      </w:r>
      <w:r w:rsidRPr="00A42070">
        <w:t xml:space="preserve">study. Recruitment occurred in a federally supported clinic designated specifically for the diagnosis and treatment of HIV and other sexually transmitted infections. The clinic was located in a mid-size southern city experiencing extremely high incidence rates of HIV. Inclusion criteria were: </w:t>
      </w:r>
      <w:r w:rsidR="009307A1" w:rsidRPr="00A42070">
        <w:t xml:space="preserve">1) </w:t>
      </w:r>
      <w:r w:rsidRPr="00A42070">
        <w:t xml:space="preserve">self-identification as Black/African American; 2) aged 15 to 29 years; </w:t>
      </w:r>
      <w:r w:rsidR="009307A1" w:rsidRPr="00A42070">
        <w:t>3</w:t>
      </w:r>
      <w:r w:rsidRPr="00A42070">
        <w:t xml:space="preserve">) attending the clinic to be tested for HIV or other STIs, </w:t>
      </w:r>
      <w:r w:rsidR="009307A1" w:rsidRPr="00A42070">
        <w:t>4</w:t>
      </w:r>
      <w:r w:rsidRPr="00A42070">
        <w:t>) engaging in penile-anal sex</w:t>
      </w:r>
      <w:r w:rsidR="00032FDB" w:rsidRPr="00A42070">
        <w:t xml:space="preserve"> </w:t>
      </w:r>
      <w:r w:rsidRPr="00A42070">
        <w:t>with a male partner</w:t>
      </w:r>
      <w:r w:rsidR="003D5AB4" w:rsidRPr="00A42070">
        <w:t xml:space="preserve"> as a </w:t>
      </w:r>
      <w:r w:rsidR="00D85AD0">
        <w:t>“top”</w:t>
      </w:r>
      <w:r w:rsidRPr="00A42070">
        <w:t xml:space="preserve">, at least once in the past 6 months, and 4) the ability to speak and comprehend English. </w:t>
      </w:r>
    </w:p>
    <w:p w14:paraId="54416A8C" w14:textId="5E048F73" w:rsidR="00AF7F0B" w:rsidRPr="00A42070" w:rsidRDefault="00AF7F0B" w:rsidP="00AF7F0B">
      <w:pPr>
        <w:spacing w:line="480" w:lineRule="auto"/>
        <w:ind w:firstLine="720"/>
      </w:pPr>
      <w:r w:rsidRPr="00A42070">
        <w:lastRenderedPageBreak/>
        <w:t xml:space="preserve">Age-eligible Black males were approached in clinic waiting areas and asked about their interest in </w:t>
      </w:r>
      <w:r w:rsidR="00A42070" w:rsidRPr="00A42070">
        <w:t>participating</w:t>
      </w:r>
      <w:r w:rsidRPr="00A42070">
        <w:t xml:space="preserve"> </w:t>
      </w:r>
      <w:r w:rsidR="00D85AD0">
        <w:t>in</w:t>
      </w:r>
      <w:r w:rsidR="00D85AD0" w:rsidRPr="00A42070">
        <w:t xml:space="preserve"> </w:t>
      </w:r>
      <w:r w:rsidRPr="00A42070">
        <w:t>an HIV prevention study. Those expressing interest were screened for eligibility</w:t>
      </w:r>
      <w:r w:rsidR="001A7BD1" w:rsidRPr="00A42070">
        <w:t>.</w:t>
      </w:r>
      <w:r w:rsidRPr="00A42070">
        <w:t xml:space="preserve"> </w:t>
      </w:r>
      <w:r w:rsidR="001A7BD1" w:rsidRPr="00A42070">
        <w:t>A total of 733 men were screened; of these</w:t>
      </w:r>
      <w:r w:rsidR="00A42070" w:rsidRPr="00A42070">
        <w:t>,</w:t>
      </w:r>
      <w:r w:rsidR="001A7BD1" w:rsidRPr="00A42070">
        <w:t xml:space="preserve"> 485 were eligible. </w:t>
      </w:r>
      <w:r w:rsidR="00A42070" w:rsidRPr="00A42070">
        <w:t xml:space="preserve">Eighty-five </w:t>
      </w:r>
      <w:r w:rsidR="001A7BD1" w:rsidRPr="00A42070">
        <w:t xml:space="preserve">YBMSM </w:t>
      </w:r>
      <w:r w:rsidR="00A42070" w:rsidRPr="00A42070">
        <w:t xml:space="preserve">who were eligible </w:t>
      </w:r>
      <w:r w:rsidR="001A7BD1" w:rsidRPr="00A42070">
        <w:t xml:space="preserve">declined, yielding a participation rate of 82.5%. </w:t>
      </w:r>
      <w:r w:rsidR="00A42070" w:rsidRPr="00A42070">
        <w:t>T</w:t>
      </w:r>
      <w:r w:rsidRPr="00A42070">
        <w:t xml:space="preserve">he </w:t>
      </w:r>
      <w:r w:rsidR="009307A1" w:rsidRPr="00A42070">
        <w:t>Institutional</w:t>
      </w:r>
      <w:r w:rsidR="003D5AB4" w:rsidRPr="00A42070">
        <w:t xml:space="preserve"> </w:t>
      </w:r>
      <w:r w:rsidRPr="00A42070">
        <w:t>Review Board</w:t>
      </w:r>
      <w:r w:rsidR="009307A1" w:rsidRPr="00A42070">
        <w:t>s of the University of Mississippi Medical Center and the Mississippi State Department of Health and the University of Kentucky</w:t>
      </w:r>
      <w:r w:rsidR="00A42070" w:rsidRPr="00A42070">
        <w:t xml:space="preserve"> approved all study procedures</w:t>
      </w:r>
      <w:r w:rsidR="009307A1" w:rsidRPr="00A42070">
        <w:t>.</w:t>
      </w:r>
    </w:p>
    <w:p w14:paraId="6CA17258" w14:textId="77777777" w:rsidR="00AF7F0B" w:rsidRPr="00A42070" w:rsidRDefault="00AF7F0B" w:rsidP="00AF7F0B">
      <w:pPr>
        <w:spacing w:line="480" w:lineRule="auto"/>
        <w:rPr>
          <w:u w:val="single"/>
        </w:rPr>
      </w:pPr>
      <w:r w:rsidRPr="00A42070">
        <w:rPr>
          <w:u w:val="single"/>
        </w:rPr>
        <w:t>Study Procedures</w:t>
      </w:r>
    </w:p>
    <w:p w14:paraId="7F631651" w14:textId="614DFC01" w:rsidR="003D5AB4" w:rsidRPr="00A42070" w:rsidRDefault="00AF7F0B" w:rsidP="00AF7F0B">
      <w:pPr>
        <w:spacing w:line="480" w:lineRule="auto"/>
        <w:ind w:firstLine="720"/>
      </w:pPr>
      <w:r w:rsidRPr="00A42070">
        <w:t xml:space="preserve">After providing written informed consent men completed an online questionnaire, using Qualtrics software, in a private office not physically connected to the clinic. The questionnaire collected information </w:t>
      </w:r>
      <w:r w:rsidR="00F31153">
        <w:t>about</w:t>
      </w:r>
      <w:r w:rsidR="00D85AD0">
        <w:t xml:space="preserve"> </w:t>
      </w:r>
      <w:r w:rsidR="003D5AB4" w:rsidRPr="00A42070">
        <w:t xml:space="preserve">men’s sexual risk behaviors </w:t>
      </w:r>
      <w:r w:rsidR="00ED5E9E" w:rsidRPr="00A42070">
        <w:t xml:space="preserve">using a 90-day recall period. The questionnaire also </w:t>
      </w:r>
      <w:r w:rsidR="003D5AB4" w:rsidRPr="00A42070">
        <w:t xml:space="preserve">included </w:t>
      </w:r>
      <w:r w:rsidR="00A42070" w:rsidRPr="00A42070">
        <w:t>four</w:t>
      </w:r>
      <w:r w:rsidR="003D5AB4" w:rsidRPr="00A42070">
        <w:t xml:space="preserve"> measures specifically developed </w:t>
      </w:r>
      <w:r w:rsidR="00A42070" w:rsidRPr="00A42070">
        <w:t xml:space="preserve">or adapted </w:t>
      </w:r>
      <w:r w:rsidR="003D5AB4" w:rsidRPr="00A42070">
        <w:t xml:space="preserve">for this population. </w:t>
      </w:r>
      <w:r w:rsidR="006960D7" w:rsidRPr="00A42070">
        <w:t>Subsequently, men were evaluated for Chlamydia and gonorrhea in three anatomic locations</w:t>
      </w:r>
      <w:r w:rsidR="00A42070" w:rsidRPr="00A42070">
        <w:t>.</w:t>
      </w:r>
      <w:r w:rsidR="006960D7" w:rsidRPr="00A42070">
        <w:t xml:space="preserve"> </w:t>
      </w:r>
      <w:r w:rsidR="00A42070" w:rsidRPr="00A42070">
        <w:t>U</w:t>
      </w:r>
      <w:r w:rsidR="006960D7" w:rsidRPr="00A42070">
        <w:t xml:space="preserve">rethral and rectal infections were detected through nucleic acid amplification testing (NAAT) performed on a rectal swab; oral infections were detected through NAAT testing of a bucosal swab. </w:t>
      </w:r>
      <w:r w:rsidR="00F31153">
        <w:t>F</w:t>
      </w:r>
      <w:r w:rsidR="00F31153" w:rsidRPr="00A42070">
        <w:t>or those not already HIV-positive</w:t>
      </w:r>
      <w:r w:rsidR="00F31153">
        <w:t xml:space="preserve">, </w:t>
      </w:r>
      <w:r w:rsidR="006960D7" w:rsidRPr="00A42070">
        <w:t xml:space="preserve">a blood sample was collected to test for HIV </w:t>
      </w:r>
      <w:r w:rsidR="00F31153">
        <w:t>using</w:t>
      </w:r>
      <w:r w:rsidR="006960D7" w:rsidRPr="00A42070">
        <w:t xml:space="preserve"> OraSure.</w:t>
      </w:r>
    </w:p>
    <w:p w14:paraId="5F8F6825" w14:textId="77777777" w:rsidR="00AF7F0B" w:rsidRPr="00B934DA" w:rsidRDefault="00AF7F0B" w:rsidP="00AF7F0B">
      <w:pPr>
        <w:pStyle w:val="Heading2"/>
        <w:rPr>
          <w:b w:val="0"/>
          <w:caps w:val="0"/>
          <w:szCs w:val="24"/>
        </w:rPr>
      </w:pPr>
      <w:r w:rsidRPr="00B934DA">
        <w:rPr>
          <w:b w:val="0"/>
          <w:caps w:val="0"/>
          <w:szCs w:val="24"/>
          <w:u w:val="single"/>
        </w:rPr>
        <w:t>Measures</w:t>
      </w:r>
      <w:r w:rsidRPr="00B934DA">
        <w:rPr>
          <w:b w:val="0"/>
          <w:caps w:val="0"/>
          <w:szCs w:val="24"/>
        </w:rPr>
        <w:t xml:space="preserve"> </w:t>
      </w:r>
    </w:p>
    <w:p w14:paraId="7E553040" w14:textId="0630F54B" w:rsidR="00A42070" w:rsidRPr="00B934DA" w:rsidRDefault="00A42070" w:rsidP="00B934DA">
      <w:pPr>
        <w:spacing w:line="480" w:lineRule="auto"/>
      </w:pPr>
      <w:r w:rsidRPr="00B934DA">
        <w:tab/>
      </w:r>
      <w:r w:rsidR="00B934DA" w:rsidRPr="00B934DA">
        <w:rPr>
          <w:i/>
        </w:rPr>
        <w:t xml:space="preserve">Behavioral outcomes. </w:t>
      </w:r>
      <w:r w:rsidR="00B934DA" w:rsidRPr="00B934DA">
        <w:t xml:space="preserve">Whether </w:t>
      </w:r>
      <w:r w:rsidR="00C9337A">
        <w:t xml:space="preserve">or not men had engaged in </w:t>
      </w:r>
      <w:r w:rsidR="00B934DA" w:rsidRPr="00B934DA">
        <w:t>unprotected anal insertive sex (UAIS</w:t>
      </w:r>
      <w:r w:rsidR="00C9337A">
        <w:t xml:space="preserve">) </w:t>
      </w:r>
      <w:r w:rsidR="00B934DA" w:rsidRPr="00B934DA">
        <w:t>unprotected receptive anal sex (UARS</w:t>
      </w:r>
      <w:r w:rsidR="00C9337A">
        <w:t xml:space="preserve">, and </w:t>
      </w:r>
      <w:r w:rsidR="00B934DA" w:rsidRPr="00B934DA">
        <w:t xml:space="preserve">unprotected oral sex </w:t>
      </w:r>
      <w:r w:rsidR="00C9337A">
        <w:t>(UOS) were</w:t>
      </w:r>
      <w:r w:rsidR="00C9337A" w:rsidRPr="00B934DA">
        <w:t xml:space="preserve"> </w:t>
      </w:r>
      <w:r w:rsidR="00B934DA" w:rsidRPr="00B934DA">
        <w:t>assessed</w:t>
      </w:r>
      <w:r w:rsidR="00C9337A">
        <w:t xml:space="preserve"> and coded yes/no with the percent </w:t>
      </w:r>
      <w:proofErr w:type="gramStart"/>
      <w:r w:rsidR="00C9337A">
        <w:t>yes reported</w:t>
      </w:r>
      <w:proofErr w:type="gramEnd"/>
      <w:r w:rsidR="00C9337A">
        <w:t xml:space="preserve"> in Table</w:t>
      </w:r>
      <w:r w:rsidR="00C36BD6">
        <w:t xml:space="preserve"> 1</w:t>
      </w:r>
      <w:r w:rsidR="00C9337A">
        <w:t>. The number of times men engaged in UAIS (listed as UAIS x in the Table) and UARS (</w:t>
      </w:r>
      <w:r w:rsidR="003B29D4">
        <w:t xml:space="preserve">listed </w:t>
      </w:r>
      <w:r w:rsidR="00C9337A">
        <w:t xml:space="preserve">as UARS x) </w:t>
      </w:r>
      <w:commentRangeStart w:id="1"/>
      <w:r w:rsidR="00C9337A">
        <w:t>during the past 90 days</w:t>
      </w:r>
      <w:r w:rsidR="003B29D4">
        <w:t xml:space="preserve"> was calculated</w:t>
      </w:r>
      <w:r w:rsidR="00C9337A">
        <w:t xml:space="preserve">. </w:t>
      </w:r>
      <w:commentRangeEnd w:id="1"/>
      <w:r w:rsidR="00C9337A">
        <w:rPr>
          <w:rStyle w:val="CommentReference"/>
        </w:rPr>
        <w:commentReference w:id="1"/>
      </w:r>
      <w:r w:rsidR="00B934DA" w:rsidRPr="00B934DA">
        <w:t xml:space="preserve">Additionally, whether men had </w:t>
      </w:r>
      <w:r w:rsidR="00B934DA" w:rsidRPr="00B934DA">
        <w:lastRenderedPageBreak/>
        <w:t xml:space="preserve">multiple partners as a “top” </w:t>
      </w:r>
      <w:r w:rsidR="00C9337A">
        <w:t xml:space="preserve">(MSP-I) </w:t>
      </w:r>
      <w:r w:rsidR="00B934DA" w:rsidRPr="00B934DA">
        <w:t xml:space="preserve">or as a “bottom” </w:t>
      </w:r>
      <w:r w:rsidR="00C9337A">
        <w:t xml:space="preserve">(MSP-R) </w:t>
      </w:r>
      <w:r w:rsidR="00B934DA" w:rsidRPr="00B934DA">
        <w:t>was assessed</w:t>
      </w:r>
      <w:r w:rsidR="00C9337A">
        <w:t xml:space="preserve"> and coded as yes/no, with the percent yes reported in the Table. </w:t>
      </w:r>
      <w:r w:rsidR="00B934DA" w:rsidRPr="00B934DA">
        <w:t xml:space="preserve">Finally, as </w:t>
      </w:r>
      <w:r w:rsidR="009702C6">
        <w:t xml:space="preserve">a </w:t>
      </w:r>
      <w:r w:rsidR="00B934DA" w:rsidRPr="00B934DA">
        <w:t>marker of sexual risk behaviors we also tested for Chlamydia or gonorrhea</w:t>
      </w:r>
      <w:r w:rsidR="00C9337A">
        <w:t xml:space="preserve"> (tested positive coded as yes/no)</w:t>
      </w:r>
      <w:r w:rsidR="00B934DA" w:rsidRPr="00B934DA">
        <w:t>.</w:t>
      </w:r>
    </w:p>
    <w:p w14:paraId="1F516AB0" w14:textId="1C742696" w:rsidR="007857A6" w:rsidRPr="00B934DA" w:rsidRDefault="00AF7F0B" w:rsidP="006960D7">
      <w:pPr>
        <w:spacing w:line="480" w:lineRule="auto"/>
      </w:pPr>
      <w:r w:rsidRPr="00B934DA">
        <w:tab/>
      </w:r>
      <w:proofErr w:type="gramStart"/>
      <w:r w:rsidR="00C9337A" w:rsidRPr="00C9337A">
        <w:rPr>
          <w:i/>
        </w:rPr>
        <w:t>Safer Sex Communication Scale</w:t>
      </w:r>
      <w:r w:rsidR="00C9337A">
        <w:rPr>
          <w:i/>
        </w:rPr>
        <w:t>.</w:t>
      </w:r>
      <w:proofErr w:type="gramEnd"/>
      <w:r w:rsidR="00C9337A">
        <w:t xml:space="preserve"> </w:t>
      </w:r>
      <w:r w:rsidR="00173780" w:rsidRPr="00B934DA">
        <w:t>Th</w:t>
      </w:r>
      <w:r w:rsidR="00C9337A">
        <w:t>is</w:t>
      </w:r>
      <w:r w:rsidR="00173780" w:rsidRPr="00B934DA">
        <w:t xml:space="preserve"> scale </w:t>
      </w:r>
      <w:r w:rsidR="00343859" w:rsidRPr="00B934DA">
        <w:t xml:space="preserve">was </w:t>
      </w:r>
      <w:r w:rsidR="005957F7" w:rsidRPr="00B934DA">
        <w:t xml:space="preserve">a </w:t>
      </w:r>
      <w:r w:rsidR="00343859" w:rsidRPr="00B934DA">
        <w:t>revised</w:t>
      </w:r>
      <w:r w:rsidR="005957F7" w:rsidRPr="00B934DA">
        <w:t xml:space="preserve"> version of a 5 item </w:t>
      </w:r>
      <w:r w:rsidR="00343859" w:rsidRPr="00B934DA">
        <w:t xml:space="preserve">Partner Communication Scale </w:t>
      </w:r>
      <w:r w:rsidR="00A62086" w:rsidRPr="00B934DA">
        <w:t xml:space="preserve">developed by </w:t>
      </w:r>
      <w:r w:rsidR="00A62086" w:rsidRPr="009702C6">
        <w:t>Milhausen, S</w:t>
      </w:r>
      <w:r w:rsidR="00B934DA" w:rsidRPr="009702C6">
        <w:t>ales, and</w:t>
      </w:r>
      <w:r w:rsidR="00A62086" w:rsidRPr="009702C6">
        <w:t xml:space="preserve"> DiClemente</w:t>
      </w:r>
      <w:r w:rsidR="009702C6">
        <w:t>.</w:t>
      </w:r>
      <w:r w:rsidR="009702C6" w:rsidRPr="009702C6">
        <w:rPr>
          <w:vertAlign w:val="superscript"/>
        </w:rPr>
        <w:t>21</w:t>
      </w:r>
      <w:r w:rsidR="00343859" w:rsidRPr="00B934DA">
        <w:t xml:space="preserve"> We deleted one item </w:t>
      </w:r>
      <w:r w:rsidR="00B934DA" w:rsidRPr="00B934DA">
        <w:t>(</w:t>
      </w:r>
      <w:r w:rsidR="00343859" w:rsidRPr="00B934DA">
        <w:t>discussing how to prevent pregnancy</w:t>
      </w:r>
      <w:r w:rsidR="00B934DA" w:rsidRPr="00B934DA">
        <w:t>)</w:t>
      </w:r>
      <w:r w:rsidR="00343859" w:rsidRPr="00B934DA">
        <w:t xml:space="preserve"> and changed the reporting period from six months to the past 90 days. The remaining four</w:t>
      </w:r>
      <w:r w:rsidR="00AA1CA0" w:rsidRPr="00B934DA">
        <w:t xml:space="preserve"> </w:t>
      </w:r>
      <w:r w:rsidR="00B86C73" w:rsidRPr="00B934DA">
        <w:t>items assessed the frequency of communication with sex partners about using condom</w:t>
      </w:r>
      <w:r w:rsidR="00AA1CA0" w:rsidRPr="00B934DA">
        <w:t>s</w:t>
      </w:r>
      <w:r w:rsidR="00B86C73" w:rsidRPr="00B934DA">
        <w:t>, preventing AIDS/STDs, and</w:t>
      </w:r>
      <w:r w:rsidR="003223E6">
        <w:t xml:space="preserve"> the </w:t>
      </w:r>
      <w:r w:rsidR="00B86C73" w:rsidRPr="00B934DA">
        <w:t>sexual history</w:t>
      </w:r>
      <w:r w:rsidR="003223E6">
        <w:t xml:space="preserve"> of participants and their partners</w:t>
      </w:r>
      <w:r w:rsidR="00B86C73" w:rsidRPr="00B934DA">
        <w:t xml:space="preserve">. The </w:t>
      </w:r>
      <w:r w:rsidR="00EC196F" w:rsidRPr="00B934DA">
        <w:t>first item read:</w:t>
      </w:r>
      <w:r w:rsidR="00B86C73" w:rsidRPr="00B934DA">
        <w:t xml:space="preserve"> “During the past 90 days how many times have you and your </w:t>
      </w:r>
      <w:r w:rsidR="00EC196F" w:rsidRPr="00B934DA">
        <w:t xml:space="preserve">male </w:t>
      </w:r>
      <w:r w:rsidR="00B86C73" w:rsidRPr="00B934DA">
        <w:t>sex partner</w:t>
      </w:r>
      <w:r w:rsidR="00EC196F" w:rsidRPr="00B934DA">
        <w:t>(s)</w:t>
      </w:r>
      <w:r w:rsidR="00B86C73" w:rsidRPr="00B934DA">
        <w:t xml:space="preserve"> discussed</w:t>
      </w:r>
      <w:r w:rsidR="00EC196F" w:rsidRPr="00B934DA">
        <w:t xml:space="preserve"> how to use condoms</w:t>
      </w:r>
      <w:r w:rsidR="003223E6">
        <w:t>?</w:t>
      </w:r>
      <w:r w:rsidR="003223E6" w:rsidRPr="00B934DA">
        <w:t xml:space="preserve">” </w:t>
      </w:r>
      <w:r w:rsidR="00EC196F" w:rsidRPr="00B934DA">
        <w:t xml:space="preserve">The subsequent items were similar, with the last part of the question being replaced by 2) …discussed how to prevent AIDS, 3) discussed how to prevent STDs, 4) discussed your partner’s and your sex history. Response options were provided on a 4-point scale ranging from </w:t>
      </w:r>
      <w:commentRangeStart w:id="2"/>
      <w:r w:rsidR="00EC196F" w:rsidRPr="00B934DA">
        <w:t xml:space="preserve">1 (never) to 4 (7 times or more). </w:t>
      </w:r>
      <w:r w:rsidR="003634EB" w:rsidRPr="00B934DA">
        <w:t>T</w:t>
      </w:r>
      <w:commentRangeEnd w:id="2"/>
      <w:r w:rsidR="00F31153">
        <w:rPr>
          <w:rStyle w:val="CommentReference"/>
        </w:rPr>
        <w:commentReference w:id="2"/>
      </w:r>
      <w:r w:rsidR="003634EB" w:rsidRPr="00B934DA">
        <w:t>he scale had excellent inter-item reliability, yielding a Cronbach’s alpha of .87.</w:t>
      </w:r>
    </w:p>
    <w:p w14:paraId="3E6C93EB" w14:textId="1E47F6EB" w:rsidR="006960D7" w:rsidRPr="00B934DA" w:rsidRDefault="0042489B" w:rsidP="006960D7">
      <w:pPr>
        <w:spacing w:line="480" w:lineRule="auto"/>
      </w:pPr>
      <w:r w:rsidRPr="00B934DA">
        <w:tab/>
      </w:r>
      <w:proofErr w:type="gramStart"/>
      <w:r w:rsidR="00C9337A" w:rsidRPr="00C9337A">
        <w:rPr>
          <w:i/>
        </w:rPr>
        <w:t>Condom Turn-Offs Scale.</w:t>
      </w:r>
      <w:proofErr w:type="gramEnd"/>
      <w:r w:rsidR="00C9337A">
        <w:t xml:space="preserve"> </w:t>
      </w:r>
      <w:r w:rsidRPr="00B934DA">
        <w:t>Th</w:t>
      </w:r>
      <w:r w:rsidR="00C9337A">
        <w:t>is</w:t>
      </w:r>
      <w:r w:rsidRPr="00B934DA">
        <w:t xml:space="preserve"> scale </w:t>
      </w:r>
      <w:r w:rsidR="00660EF4">
        <w:t>wa</w:t>
      </w:r>
      <w:r w:rsidR="00C9337A">
        <w:t xml:space="preserve">s </w:t>
      </w:r>
      <w:r w:rsidR="006960D7" w:rsidRPr="00B934DA">
        <w:t>an abbreviated adaptation of the Condom Barriers Scal</w:t>
      </w:r>
      <w:r w:rsidRPr="00B934DA">
        <w:t>e</w:t>
      </w:r>
      <w:proofErr w:type="gramStart"/>
      <w:r w:rsidR="00660EF4">
        <w:t>,</w:t>
      </w:r>
      <w:r w:rsidR="006054E8" w:rsidRPr="0002054D">
        <w:rPr>
          <w:vertAlign w:val="superscript"/>
        </w:rPr>
        <w:t>15</w:t>
      </w:r>
      <w:proofErr w:type="gramEnd"/>
      <w:r w:rsidR="00660EF4">
        <w:rPr>
          <w:vertAlign w:val="superscript"/>
        </w:rPr>
        <w:t xml:space="preserve"> </w:t>
      </w:r>
      <w:r w:rsidRPr="00B934DA">
        <w:t xml:space="preserve"> </w:t>
      </w:r>
      <w:r w:rsidR="00660EF4">
        <w:t>with</w:t>
      </w:r>
      <w:r w:rsidRPr="00B934DA">
        <w:t xml:space="preserve"> 5 </w:t>
      </w:r>
      <w:r w:rsidR="00B934DA" w:rsidRPr="00B934DA">
        <w:t xml:space="preserve">items </w:t>
      </w:r>
      <w:r w:rsidR="00A42070" w:rsidRPr="00B934DA">
        <w:t xml:space="preserve">assessing </w:t>
      </w:r>
      <w:r w:rsidR="006960D7" w:rsidRPr="00B934DA">
        <w:t>men’s perceptions regarding condoms being a turn off</w:t>
      </w:r>
      <w:r w:rsidR="00020A54" w:rsidRPr="00B934DA">
        <w:t xml:space="preserve"> </w:t>
      </w:r>
      <w:r w:rsidR="00A42070" w:rsidRPr="00B934DA">
        <w:t>during</w:t>
      </w:r>
      <w:r w:rsidR="00020A54" w:rsidRPr="00B934DA">
        <w:t xml:space="preserve"> sex</w:t>
      </w:r>
      <w:r w:rsidR="006960D7" w:rsidRPr="00B934DA">
        <w:t xml:space="preserve">. These items were: 1) Condoms rub and make me feel sore, 2) Condoms don’t feel good, 3) I get turned off when a partner suggests we use a condom, 4) Condoms spoil the mood, and 5) Condoms feel unnatural. Response options were provided on a </w:t>
      </w:r>
      <w:commentRangeStart w:id="3"/>
      <w:r w:rsidR="006960D7" w:rsidRPr="00B934DA">
        <w:t>5-point scale</w:t>
      </w:r>
      <w:commentRangeEnd w:id="3"/>
      <w:r w:rsidR="00F31153">
        <w:rPr>
          <w:rStyle w:val="CommentReference"/>
        </w:rPr>
        <w:commentReference w:id="3"/>
      </w:r>
      <w:r w:rsidR="006960D7" w:rsidRPr="00B934DA">
        <w:t>, with higher scores representing greater agreement. The scale produced excellent inter-item reliability (Cronbach’s alpha = .80).</w:t>
      </w:r>
    </w:p>
    <w:p w14:paraId="24CE3C28" w14:textId="0B4F88E9" w:rsidR="006960D7" w:rsidRPr="00B934DA" w:rsidRDefault="00A62086" w:rsidP="006960D7">
      <w:pPr>
        <w:spacing w:line="480" w:lineRule="auto"/>
      </w:pPr>
      <w:r w:rsidRPr="00B934DA">
        <w:lastRenderedPageBreak/>
        <w:tab/>
      </w:r>
      <w:proofErr w:type="gramStart"/>
      <w:r w:rsidR="00C9337A" w:rsidRPr="00C9337A">
        <w:rPr>
          <w:i/>
        </w:rPr>
        <w:t>Condom Pleasure Scale.</w:t>
      </w:r>
      <w:proofErr w:type="gramEnd"/>
      <w:r w:rsidR="00C9337A" w:rsidRPr="00C9337A">
        <w:rPr>
          <w:i/>
        </w:rPr>
        <w:t xml:space="preserve"> </w:t>
      </w:r>
      <w:r w:rsidRPr="00B934DA">
        <w:t>Th</w:t>
      </w:r>
      <w:r w:rsidR="00C9337A">
        <w:t>is</w:t>
      </w:r>
      <w:r w:rsidRPr="00B934DA">
        <w:t xml:space="preserve"> scale was </w:t>
      </w:r>
      <w:r w:rsidR="00020A54" w:rsidRPr="00B934DA">
        <w:t>designed by the research team</w:t>
      </w:r>
      <w:r w:rsidRPr="00B934DA">
        <w:t xml:space="preserve"> and had 5 </w:t>
      </w:r>
      <w:r w:rsidR="00020A54" w:rsidRPr="00B934DA">
        <w:t xml:space="preserve">items: 1) Condoms help me intensify orgasm, 2) Condoms help me feel better about having sex after it ends, 3) Condoms help me have better sex, 4) Condoms help me let go of my fears, and 5) Condoms help me enjoy sex. </w:t>
      </w:r>
      <w:commentRangeStart w:id="4"/>
      <w:r w:rsidR="00020A54" w:rsidRPr="00B934DA">
        <w:t>Response options were provided on a 5-point scale, with higher scores representing greater agreement.  T</w:t>
      </w:r>
      <w:commentRangeEnd w:id="4"/>
      <w:r w:rsidR="00F31153">
        <w:rPr>
          <w:rStyle w:val="CommentReference"/>
        </w:rPr>
        <w:commentReference w:id="4"/>
      </w:r>
      <w:r w:rsidR="00020A54" w:rsidRPr="00B934DA">
        <w:t>he scale produced a Cronbach’s alpha of .84.</w:t>
      </w:r>
    </w:p>
    <w:p w14:paraId="147AC098" w14:textId="19E9CD46" w:rsidR="00334D88" w:rsidRPr="00B934DA" w:rsidRDefault="00C9337A" w:rsidP="00334D88">
      <w:pPr>
        <w:spacing w:line="480" w:lineRule="auto"/>
        <w:ind w:firstLine="720"/>
      </w:pPr>
      <w:r w:rsidRPr="00C9337A">
        <w:rPr>
          <w:rFonts w:eastAsiaTheme="minorEastAsia"/>
          <w:i/>
        </w:rPr>
        <w:t>Discussed Condom</w:t>
      </w:r>
      <w:r w:rsidR="003F7313">
        <w:rPr>
          <w:rFonts w:eastAsiaTheme="minorEastAsia"/>
          <w:i/>
        </w:rPr>
        <w:t>s with Partner</w:t>
      </w:r>
      <w:r w:rsidR="00660EF4">
        <w:rPr>
          <w:rFonts w:eastAsiaTheme="minorEastAsia"/>
          <w:i/>
        </w:rPr>
        <w:t xml:space="preserve"> </w:t>
      </w:r>
      <w:r w:rsidRPr="00C9337A">
        <w:rPr>
          <w:rFonts w:eastAsiaTheme="minorEastAsia"/>
          <w:i/>
        </w:rPr>
        <w:t>before Se</w:t>
      </w:r>
      <w:r>
        <w:rPr>
          <w:rFonts w:eastAsiaTheme="minorEastAsia"/>
          <w:i/>
        </w:rPr>
        <w:t>x</w:t>
      </w:r>
      <w:r w:rsidR="00273EB0">
        <w:rPr>
          <w:rFonts w:eastAsiaTheme="minorEastAsia"/>
          <w:i/>
        </w:rPr>
        <w:t>ual Arousal</w:t>
      </w:r>
      <w:r>
        <w:rPr>
          <w:rFonts w:eastAsiaTheme="minorEastAsia"/>
          <w:i/>
        </w:rPr>
        <w:t>.</w:t>
      </w:r>
      <w:r>
        <w:rPr>
          <w:rFonts w:eastAsiaTheme="minorEastAsia"/>
        </w:rPr>
        <w:t xml:space="preserve"> </w:t>
      </w:r>
      <w:r w:rsidR="00334D88" w:rsidRPr="00B934DA">
        <w:rPr>
          <w:rFonts w:eastAsiaTheme="minorEastAsia"/>
        </w:rPr>
        <w:t>The final measure was a single item: “In the past 90 days, how often did you discuss condom use with male partners before you bec</w:t>
      </w:r>
      <w:r w:rsidR="003E79D9" w:rsidRPr="00B934DA">
        <w:rPr>
          <w:rFonts w:eastAsiaTheme="minorEastAsia"/>
        </w:rPr>
        <w:t>a</w:t>
      </w:r>
      <w:r w:rsidR="00334D88" w:rsidRPr="00B934DA">
        <w:rPr>
          <w:rFonts w:eastAsiaTheme="minorEastAsia"/>
        </w:rPr>
        <w:t>me aroused?” Response options were provided on a 6-point scale ranging from 1 (always) to 6 (never). </w:t>
      </w:r>
    </w:p>
    <w:p w14:paraId="3BE20070" w14:textId="1156C6C1" w:rsidR="000D6947" w:rsidRPr="00B934DA" w:rsidRDefault="007857A6" w:rsidP="00AF7F0B">
      <w:pPr>
        <w:spacing w:line="480" w:lineRule="auto"/>
        <w:rPr>
          <w:u w:val="single"/>
        </w:rPr>
      </w:pPr>
      <w:r w:rsidRPr="00B934DA">
        <w:rPr>
          <w:u w:val="single"/>
        </w:rPr>
        <w:t xml:space="preserve">Data Analysis </w:t>
      </w:r>
    </w:p>
    <w:p w14:paraId="4DA909FA" w14:textId="2C68CF3C" w:rsidR="00017370" w:rsidRPr="00B934DA" w:rsidRDefault="00A66D8B" w:rsidP="00113507">
      <w:pPr>
        <w:spacing w:line="480" w:lineRule="auto"/>
        <w:outlineLvl w:val="0"/>
      </w:pPr>
      <w:r w:rsidRPr="00B934DA">
        <w:rPr>
          <w:rFonts w:ascii="Arial" w:hAnsi="Arial" w:cs="Arial"/>
          <w:bCs/>
          <w:sz w:val="22"/>
          <w:szCs w:val="22"/>
        </w:rPr>
        <w:tab/>
      </w:r>
      <w:r w:rsidR="00D94F24" w:rsidRPr="00B934DA">
        <w:rPr>
          <w:bCs/>
        </w:rPr>
        <w:t>To determine criterion validity</w:t>
      </w:r>
      <w:r w:rsidR="005860B3" w:rsidRPr="00B934DA">
        <w:rPr>
          <w:bCs/>
        </w:rPr>
        <w:t xml:space="preserve">, </w:t>
      </w:r>
      <w:r w:rsidR="00D94F24" w:rsidRPr="00B934DA">
        <w:rPr>
          <w:bCs/>
        </w:rPr>
        <w:t xml:space="preserve">the obtained distributions for each scale were tested for normality. </w:t>
      </w:r>
      <w:proofErr w:type="gramStart"/>
      <w:r w:rsidR="00D94F24" w:rsidRPr="00B934DA">
        <w:rPr>
          <w:bCs/>
        </w:rPr>
        <w:t>Distributions lacking the assumptions for normality were then dichotomized by performing a median split</w:t>
      </w:r>
      <w:proofErr w:type="gramEnd"/>
      <w:r w:rsidR="00D94F24" w:rsidRPr="00B934DA">
        <w:rPr>
          <w:bCs/>
        </w:rPr>
        <w:t xml:space="preserve">. None of the three scale measures yielded normal distributions. Next, </w:t>
      </w:r>
      <w:r w:rsidR="00B934DA" w:rsidRPr="00B934DA">
        <w:rPr>
          <w:bCs/>
        </w:rPr>
        <w:t>the eight outcome measures</w:t>
      </w:r>
      <w:r w:rsidR="004C3766" w:rsidRPr="00B934DA">
        <w:rPr>
          <w:bCs/>
        </w:rPr>
        <w:t xml:space="preserve"> </w:t>
      </w:r>
      <w:r w:rsidR="00D94F24" w:rsidRPr="00B934DA">
        <w:rPr>
          <w:bCs/>
        </w:rPr>
        <w:t xml:space="preserve">were used to evaluate the criterion validity of each scale. </w:t>
      </w:r>
      <w:r w:rsidR="00B80170" w:rsidRPr="00B934DA">
        <w:rPr>
          <w:bCs/>
        </w:rPr>
        <w:t xml:space="preserve">Chi-square tests of association were used to </w:t>
      </w:r>
      <w:r w:rsidR="00E90AA0">
        <w:rPr>
          <w:bCs/>
        </w:rPr>
        <w:t>assess</w:t>
      </w:r>
      <w:r w:rsidR="00E90AA0" w:rsidRPr="00B934DA">
        <w:rPr>
          <w:bCs/>
        </w:rPr>
        <w:t xml:space="preserve"> </w:t>
      </w:r>
      <w:r w:rsidR="00B80170" w:rsidRPr="00B934DA">
        <w:rPr>
          <w:bCs/>
        </w:rPr>
        <w:t xml:space="preserve">dichotomous outcomes and </w:t>
      </w:r>
      <w:r w:rsidRPr="00B934DA">
        <w:rPr>
          <w:bCs/>
        </w:rPr>
        <w:t xml:space="preserve">independent groups t-tests were used to </w:t>
      </w:r>
      <w:r w:rsidR="00B80170" w:rsidRPr="00B934DA">
        <w:rPr>
          <w:bCs/>
        </w:rPr>
        <w:t>evaluate continuous outcomes</w:t>
      </w:r>
      <w:r w:rsidR="00C9337A">
        <w:rPr>
          <w:bCs/>
        </w:rPr>
        <w:t xml:space="preserve"> (UAIS x and UARS x)</w:t>
      </w:r>
      <w:r w:rsidR="00B80170" w:rsidRPr="00B934DA">
        <w:rPr>
          <w:bCs/>
        </w:rPr>
        <w:t xml:space="preserve">. </w:t>
      </w:r>
      <w:r w:rsidR="00F31153">
        <w:rPr>
          <w:bCs/>
        </w:rPr>
        <w:t xml:space="preserve">Additionally, </w:t>
      </w:r>
      <w:r w:rsidR="00C34BAB">
        <w:rPr>
          <w:bCs/>
        </w:rPr>
        <w:t xml:space="preserve">Chi-squared tests </w:t>
      </w:r>
      <w:r w:rsidR="00E90AA0">
        <w:rPr>
          <w:bCs/>
        </w:rPr>
        <w:t xml:space="preserve">were </w:t>
      </w:r>
      <w:r w:rsidR="00C34BAB">
        <w:rPr>
          <w:bCs/>
        </w:rPr>
        <w:t>used to determine whether HIV status was related to any of the four</w:t>
      </w:r>
      <w:r w:rsidR="00F31153">
        <w:rPr>
          <w:bCs/>
        </w:rPr>
        <w:t xml:space="preserve"> scale</w:t>
      </w:r>
      <w:r w:rsidR="00C34BAB">
        <w:rPr>
          <w:bCs/>
        </w:rPr>
        <w:t xml:space="preserve"> measures; none of these associations approached significance (p-values were also .25 or greater)</w:t>
      </w:r>
      <w:r w:rsidR="00C9337A">
        <w:rPr>
          <w:bCs/>
        </w:rPr>
        <w:t xml:space="preserve"> so they </w:t>
      </w:r>
      <w:r w:rsidR="00E90AA0">
        <w:rPr>
          <w:bCs/>
        </w:rPr>
        <w:t>we</w:t>
      </w:r>
      <w:r w:rsidR="00C9337A">
        <w:rPr>
          <w:bCs/>
        </w:rPr>
        <w:t xml:space="preserve">re omitted from the paper. </w:t>
      </w:r>
    </w:p>
    <w:p w14:paraId="2EC244DC" w14:textId="727757B9" w:rsidR="004C6029" w:rsidRPr="00B934DA" w:rsidRDefault="008867A4" w:rsidP="008867A4">
      <w:pPr>
        <w:spacing w:line="480" w:lineRule="auto"/>
        <w:jc w:val="center"/>
        <w:outlineLvl w:val="0"/>
        <w:rPr>
          <w:b/>
          <w:bCs/>
        </w:rPr>
      </w:pPr>
      <w:r w:rsidRPr="00B934DA">
        <w:rPr>
          <w:b/>
          <w:bCs/>
        </w:rPr>
        <w:t>Results</w:t>
      </w:r>
    </w:p>
    <w:p w14:paraId="70AB58E8" w14:textId="77777777" w:rsidR="00C565C0" w:rsidRPr="00B934DA" w:rsidRDefault="00C565C0" w:rsidP="008867A4">
      <w:pPr>
        <w:spacing w:line="480" w:lineRule="auto"/>
        <w:rPr>
          <w:bCs/>
          <w:u w:val="single"/>
        </w:rPr>
      </w:pPr>
      <w:r w:rsidRPr="00B934DA">
        <w:rPr>
          <w:bCs/>
          <w:u w:val="single"/>
        </w:rPr>
        <w:t>Sample Characteristics</w:t>
      </w:r>
    </w:p>
    <w:p w14:paraId="5E5D545B" w14:textId="4BE2EC5D" w:rsidR="00CB4E6A" w:rsidRPr="00C34BAB" w:rsidRDefault="008867A4" w:rsidP="008867A4">
      <w:pPr>
        <w:spacing w:line="480" w:lineRule="auto"/>
        <w:rPr>
          <w:bCs/>
        </w:rPr>
      </w:pPr>
      <w:r>
        <w:rPr>
          <w:bCs/>
        </w:rPr>
        <w:lastRenderedPageBreak/>
        <w:tab/>
      </w:r>
      <w:r w:rsidR="00CB4E6A" w:rsidRPr="00C34BAB">
        <w:rPr>
          <w:bCs/>
        </w:rPr>
        <w:t xml:space="preserve">Average age was </w:t>
      </w:r>
      <w:r w:rsidR="007D69B8" w:rsidRPr="00C34BAB">
        <w:rPr>
          <w:bCs/>
        </w:rPr>
        <w:t>22.58 (sd</w:t>
      </w:r>
      <w:r w:rsidR="004D2D0B">
        <w:rPr>
          <w:bCs/>
        </w:rPr>
        <w:t xml:space="preserve"> </w:t>
      </w:r>
      <w:r w:rsidR="007D69B8" w:rsidRPr="00C34BAB">
        <w:rPr>
          <w:bCs/>
        </w:rPr>
        <w:t>=</w:t>
      </w:r>
      <w:r w:rsidR="004D2D0B">
        <w:rPr>
          <w:bCs/>
        </w:rPr>
        <w:t xml:space="preserve"> </w:t>
      </w:r>
      <w:r w:rsidR="007D69B8" w:rsidRPr="00C34BAB">
        <w:rPr>
          <w:bCs/>
        </w:rPr>
        <w:t>3.13). Men’s average monthly income ranged from less than $500 per month (19.6%), to $500-$1,000 (28.0%), to $1,001-$1,500 (20.6%), to $1,501-$2,000 (15.0%), to greater than $2,000</w:t>
      </w:r>
      <w:r w:rsidR="004D2D0B">
        <w:rPr>
          <w:bCs/>
        </w:rPr>
        <w:t xml:space="preserve"> per month</w:t>
      </w:r>
      <w:r w:rsidR="007D69B8" w:rsidRPr="00C34BAB">
        <w:rPr>
          <w:bCs/>
        </w:rPr>
        <w:t xml:space="preserve"> (16.8%). Just under one-third (29.1%) reported having received food stamps in the past 12 months. Most (60.3%) reported they were currently employed. More than one-half (58.8%) reported having education beyond high school graduat</w:t>
      </w:r>
      <w:r w:rsidR="00B934DA" w:rsidRPr="00C34BAB">
        <w:rPr>
          <w:bCs/>
        </w:rPr>
        <w:t>ion and 47.0% indicated current</w:t>
      </w:r>
      <w:r w:rsidR="007D69B8" w:rsidRPr="00C34BAB">
        <w:rPr>
          <w:bCs/>
        </w:rPr>
        <w:t xml:space="preserve"> enrollment in a school or college. About one-half (50.6%) reported they were currently in a meaningful relationship with someone. </w:t>
      </w:r>
      <w:r w:rsidR="00BC12BD" w:rsidRPr="00C34BAB">
        <w:rPr>
          <w:bCs/>
        </w:rPr>
        <w:t xml:space="preserve">The number of male sex partners (lifetime) reported ranged from 1-1000, with a median of 8. </w:t>
      </w:r>
      <w:r w:rsidR="009A251B" w:rsidRPr="00C34BAB">
        <w:rPr>
          <w:bCs/>
        </w:rPr>
        <w:t xml:space="preserve">In the past 90 days, the mean number of sex partners when enrolled men were the </w:t>
      </w:r>
      <w:proofErr w:type="gramStart"/>
      <w:r w:rsidR="00B934DA" w:rsidRPr="00C34BAB">
        <w:rPr>
          <w:bCs/>
        </w:rPr>
        <w:t>top</w:t>
      </w:r>
      <w:proofErr w:type="gramEnd"/>
      <w:r w:rsidR="009A251B" w:rsidRPr="00C34BAB">
        <w:rPr>
          <w:bCs/>
        </w:rPr>
        <w:t xml:space="preserve"> was 2.68 (sd</w:t>
      </w:r>
      <w:r w:rsidR="00511192" w:rsidRPr="00C34BAB">
        <w:rPr>
          <w:bCs/>
        </w:rPr>
        <w:t xml:space="preserve"> = 7.1) and the mean number when enrolled</w:t>
      </w:r>
      <w:r w:rsidR="009A251B" w:rsidRPr="00C34BAB">
        <w:rPr>
          <w:bCs/>
        </w:rPr>
        <w:t xml:space="preserve"> men were the </w:t>
      </w:r>
      <w:r w:rsidR="00B934DA" w:rsidRPr="00C34BAB">
        <w:rPr>
          <w:bCs/>
        </w:rPr>
        <w:t>bottom</w:t>
      </w:r>
      <w:r w:rsidR="009A251B" w:rsidRPr="00C34BAB">
        <w:rPr>
          <w:bCs/>
        </w:rPr>
        <w:t xml:space="preserve"> was 2.31 (sd = 4.7). </w:t>
      </w:r>
      <w:r w:rsidR="00BC12BD" w:rsidRPr="00C34BAB">
        <w:rPr>
          <w:bCs/>
        </w:rPr>
        <w:t xml:space="preserve">More than one-third </w:t>
      </w:r>
      <w:r w:rsidR="004D2D0B">
        <w:rPr>
          <w:bCs/>
        </w:rPr>
        <w:t xml:space="preserve">of participants </w:t>
      </w:r>
      <w:r w:rsidR="00BC12BD" w:rsidRPr="00C34BAB">
        <w:rPr>
          <w:bCs/>
        </w:rPr>
        <w:t>(37.0%) tested positive for Chlamydia or gonorrhea and one-quarter (25.6%) were HIV-positive at study enrollment.</w:t>
      </w:r>
    </w:p>
    <w:p w14:paraId="2BBC07CB" w14:textId="2CBA27F5" w:rsidR="006C6FB1" w:rsidRPr="00C34BAB" w:rsidRDefault="006C6FB1" w:rsidP="008867A4">
      <w:pPr>
        <w:spacing w:line="480" w:lineRule="auto"/>
        <w:rPr>
          <w:bCs/>
          <w:i/>
        </w:rPr>
      </w:pPr>
      <w:r w:rsidRPr="00C34BAB">
        <w:rPr>
          <w:bCs/>
          <w:i/>
        </w:rPr>
        <w:t>Safer Sex Communication Scale</w:t>
      </w:r>
    </w:p>
    <w:p w14:paraId="5AB947FE" w14:textId="5B929522" w:rsidR="00374780" w:rsidRPr="00C34BAB" w:rsidRDefault="00374780" w:rsidP="00D94F24">
      <w:pPr>
        <w:spacing w:line="480" w:lineRule="auto"/>
        <w:ind w:firstLine="720"/>
      </w:pPr>
      <w:r w:rsidRPr="00C34BAB">
        <w:t>The f</w:t>
      </w:r>
      <w:r w:rsidR="003634EB" w:rsidRPr="00C34BAB">
        <w:t>irst scale produced a range of 4 to 16</w:t>
      </w:r>
      <w:r w:rsidRPr="00C34BAB">
        <w:t xml:space="preserve"> (with higher scores ind</w:t>
      </w:r>
      <w:r w:rsidR="00856C89" w:rsidRPr="00C34BAB">
        <w:t>icating more frequent communication</w:t>
      </w:r>
      <w:r w:rsidR="00C34BAB" w:rsidRPr="00C34BAB">
        <w:t xml:space="preserve"> with partners</w:t>
      </w:r>
      <w:r w:rsidR="00856C89" w:rsidRPr="00C34BAB">
        <w:t xml:space="preserve"> about prevention</w:t>
      </w:r>
      <w:r w:rsidRPr="00C34BAB">
        <w:t xml:space="preserve">). </w:t>
      </w:r>
      <w:r w:rsidR="009E795C" w:rsidRPr="00C34BAB">
        <w:t>The dist</w:t>
      </w:r>
      <w:r w:rsidR="00856C89" w:rsidRPr="00C34BAB">
        <w:t xml:space="preserve">ribution yielded a </w:t>
      </w:r>
      <w:r w:rsidR="00F31153">
        <w:t xml:space="preserve">median of </w:t>
      </w:r>
      <w:r w:rsidR="00F31153" w:rsidRPr="006B3137">
        <w:rPr>
          <w:highlight w:val="yellow"/>
        </w:rPr>
        <w:t>XX</w:t>
      </w:r>
      <w:r w:rsidR="00F31153">
        <w:t xml:space="preserve"> and a </w:t>
      </w:r>
      <w:r w:rsidR="00856C89" w:rsidRPr="00C34BAB">
        <w:t>mean of 8.74 (sd = 3.57</w:t>
      </w:r>
      <w:r w:rsidR="009E795C" w:rsidRPr="00C34BAB">
        <w:t>). The m</w:t>
      </w:r>
      <w:commentRangeStart w:id="5"/>
      <w:r w:rsidR="009E795C" w:rsidRPr="00C34BAB">
        <w:t xml:space="preserve">edian split </w:t>
      </w:r>
      <w:commentRangeEnd w:id="5"/>
      <w:r w:rsidR="00F31153">
        <w:rPr>
          <w:rStyle w:val="CommentReference"/>
        </w:rPr>
        <w:commentReference w:id="5"/>
      </w:r>
      <w:r w:rsidR="009E795C" w:rsidRPr="00C34BAB">
        <w:t>resul</w:t>
      </w:r>
      <w:r w:rsidR="00856C89" w:rsidRPr="00C34BAB">
        <w:t>ted in 208</w:t>
      </w:r>
      <w:r w:rsidR="009E795C" w:rsidRPr="00C34BAB">
        <w:t xml:space="preserve"> </w:t>
      </w:r>
      <w:r w:rsidR="00856C89" w:rsidRPr="00C34BAB">
        <w:t xml:space="preserve">(54.2%) </w:t>
      </w:r>
      <w:r w:rsidR="009E795C" w:rsidRPr="00C34BAB">
        <w:t xml:space="preserve">men being classified as </w:t>
      </w:r>
      <w:r w:rsidR="00856C89" w:rsidRPr="00C34BAB">
        <w:t xml:space="preserve">having infrequent communication </w:t>
      </w:r>
      <w:r w:rsidR="00F31153">
        <w:t>(scores at or below the median</w:t>
      </w:r>
      <w:r w:rsidR="006B3137">
        <w:t xml:space="preserve">) </w:t>
      </w:r>
      <w:r w:rsidR="00856C89" w:rsidRPr="00C34BAB">
        <w:t>and 176 (45.8%) classified as having frequent communication</w:t>
      </w:r>
      <w:r w:rsidR="006B3137">
        <w:t xml:space="preserve">. </w:t>
      </w:r>
    </w:p>
    <w:p w14:paraId="3D2E1341" w14:textId="6EEF3716" w:rsidR="00095D18" w:rsidRPr="00402D83" w:rsidRDefault="006B3137" w:rsidP="00597130">
      <w:pPr>
        <w:spacing w:line="480" w:lineRule="auto"/>
        <w:ind w:firstLine="720"/>
      </w:pPr>
      <w:r>
        <w:t xml:space="preserve">As can be seen in Table 1, </w:t>
      </w:r>
      <w:r w:rsidR="000D523D">
        <w:t>f</w:t>
      </w:r>
      <w:r w:rsidR="00095D18" w:rsidRPr="00C34BAB">
        <w:t xml:space="preserve">or 357 men reporting sex as </w:t>
      </w:r>
      <w:r w:rsidR="00F31153" w:rsidRPr="00C34BAB">
        <w:t>T</w:t>
      </w:r>
      <w:r w:rsidR="00F31153">
        <w:t>op</w:t>
      </w:r>
      <w:r w:rsidR="00F31153" w:rsidRPr="00C34BAB">
        <w:t>s</w:t>
      </w:r>
      <w:r w:rsidR="00856C89" w:rsidRPr="00C34BAB">
        <w:t xml:space="preserve">, </w:t>
      </w:r>
      <w:r>
        <w:t>significantly fewer (</w:t>
      </w:r>
      <w:r w:rsidR="00856C89" w:rsidRPr="00C34BAB">
        <w:t>24.1%</w:t>
      </w:r>
      <w:r>
        <w:t>)</w:t>
      </w:r>
      <w:r w:rsidR="00856C89" w:rsidRPr="00C34BAB">
        <w:t xml:space="preserve"> </w:t>
      </w:r>
      <w:r w:rsidR="00F31153">
        <w:t xml:space="preserve">of those </w:t>
      </w:r>
      <w:r w:rsidR="00CA5198" w:rsidRPr="00C34BAB">
        <w:t xml:space="preserve">classified as having frequent communication </w:t>
      </w:r>
      <w:r w:rsidR="00095D18" w:rsidRPr="00C34BAB">
        <w:t>had any unprotected anal insertive sex (UAIS) compared to</w:t>
      </w:r>
      <w:r w:rsidR="00CA5198" w:rsidRPr="00C34BAB">
        <w:t xml:space="preserve"> </w:t>
      </w:r>
      <w:r w:rsidR="00095D18" w:rsidRPr="00C34BAB">
        <w:t xml:space="preserve">those </w:t>
      </w:r>
      <w:r w:rsidR="00CA5198" w:rsidRPr="00C34BAB">
        <w:t>classified</w:t>
      </w:r>
      <w:r>
        <w:t xml:space="preserve"> </w:t>
      </w:r>
      <w:r w:rsidR="00CA5198" w:rsidRPr="00C34BAB">
        <w:t>as having i</w:t>
      </w:r>
      <w:r w:rsidR="00402D83">
        <w:t>nfrequent communication</w:t>
      </w:r>
      <w:r w:rsidRPr="006B3137">
        <w:t xml:space="preserve"> </w:t>
      </w:r>
      <w:r>
        <w:t>(33.0%)</w:t>
      </w:r>
      <w:r w:rsidR="00095D18" w:rsidRPr="00C34BAB">
        <w:t xml:space="preserve">. For 285 men reporting sex as </w:t>
      </w:r>
      <w:r w:rsidR="00C34BAB" w:rsidRPr="00C34BAB">
        <w:t>bottoms</w:t>
      </w:r>
      <w:r w:rsidR="00CA5198" w:rsidRPr="00C34BAB">
        <w:t xml:space="preserve">, </w:t>
      </w:r>
      <w:r>
        <w:t xml:space="preserve">fewer (trend toward significance) of </w:t>
      </w:r>
      <w:r>
        <w:lastRenderedPageBreak/>
        <w:t xml:space="preserve">those </w:t>
      </w:r>
      <w:r w:rsidR="00CA5198" w:rsidRPr="00C34BAB">
        <w:t xml:space="preserve">classified as having frequent communication </w:t>
      </w:r>
      <w:r>
        <w:t xml:space="preserve">(29.9%) </w:t>
      </w:r>
      <w:r w:rsidR="00095D18" w:rsidRPr="00C34BAB">
        <w:t>had any unprotected anal receptive sex (UARS) compared to</w:t>
      </w:r>
      <w:r w:rsidR="002967BF" w:rsidRPr="00C34BAB">
        <w:t xml:space="preserve"> those having i</w:t>
      </w:r>
      <w:r w:rsidR="00402D83">
        <w:t>nfrequent communication</w:t>
      </w:r>
      <w:r>
        <w:t xml:space="preserve"> (39.7%)</w:t>
      </w:r>
      <w:r w:rsidR="00095D18" w:rsidRPr="00C34BAB">
        <w:t xml:space="preserve">.  </w:t>
      </w:r>
      <w:r w:rsidR="00D20667" w:rsidRPr="00402D83">
        <w:t>Finally, among those classified as having frequent communication</w:t>
      </w:r>
      <w:r w:rsidR="00EE5D34" w:rsidRPr="00402D83">
        <w:t>,</w:t>
      </w:r>
      <w:r w:rsidR="00D20667" w:rsidRPr="00402D83">
        <w:t xml:space="preserve"> </w:t>
      </w:r>
      <w:r>
        <w:t>significantly fewer (</w:t>
      </w:r>
      <w:r w:rsidR="00D20667" w:rsidRPr="00402D83">
        <w:t>73.8%</w:t>
      </w:r>
      <w:r>
        <w:t>)</w:t>
      </w:r>
      <w:r w:rsidR="00D20667" w:rsidRPr="00402D83">
        <w:t xml:space="preserve"> reported any unprotected oral sex in the past 90 days compared to those classified as having inf</w:t>
      </w:r>
      <w:r w:rsidR="00402D83" w:rsidRPr="00402D83">
        <w:t>requent communication</w:t>
      </w:r>
      <w:r>
        <w:t xml:space="preserve"> (84.4%)</w:t>
      </w:r>
      <w:r w:rsidR="00D20667" w:rsidRPr="00402D83">
        <w:t xml:space="preserve">. </w:t>
      </w:r>
      <w:r>
        <w:t xml:space="preserve">None of the other outcomes were significantly different across communication groups. </w:t>
      </w:r>
    </w:p>
    <w:p w14:paraId="7C9BA224" w14:textId="79A82B7F" w:rsidR="006C6FB1" w:rsidRPr="00402D83" w:rsidRDefault="006C6FB1" w:rsidP="006C6FB1">
      <w:pPr>
        <w:spacing w:line="480" w:lineRule="auto"/>
        <w:rPr>
          <w:i/>
        </w:rPr>
      </w:pPr>
      <w:r w:rsidRPr="00402D83">
        <w:rPr>
          <w:i/>
        </w:rPr>
        <w:t>Condom Turn-Offs Scale</w:t>
      </w:r>
    </w:p>
    <w:p w14:paraId="2673814D" w14:textId="173137E2" w:rsidR="009E795C" w:rsidRPr="00402D83" w:rsidRDefault="009E795C" w:rsidP="0046133A">
      <w:pPr>
        <w:spacing w:line="480" w:lineRule="auto"/>
        <w:ind w:firstLine="720"/>
      </w:pPr>
      <w:r w:rsidRPr="00402D83">
        <w:t xml:space="preserve">The second scale produced a range of 5 to 25 (with higher scores indicating issues/barriers </w:t>
      </w:r>
      <w:r w:rsidR="00EF3393" w:rsidRPr="00402D83">
        <w:t>related to</w:t>
      </w:r>
      <w:r w:rsidRPr="00402D83">
        <w:t xml:space="preserve"> condom use). The distribution yielded a </w:t>
      </w:r>
      <w:r w:rsidR="006B3137">
        <w:t xml:space="preserve">median of </w:t>
      </w:r>
      <w:r w:rsidR="006B3137" w:rsidRPr="00C9337A">
        <w:rPr>
          <w:highlight w:val="yellow"/>
        </w:rPr>
        <w:t>XX</w:t>
      </w:r>
      <w:r w:rsidR="006B3137">
        <w:t xml:space="preserve"> and a </w:t>
      </w:r>
      <w:r w:rsidRPr="00402D83">
        <w:t xml:space="preserve">mean of 8.57 (sd = 4.20). The median split resulted in 209 men </w:t>
      </w:r>
      <w:r w:rsidR="006B3137">
        <w:t xml:space="preserve">(scores at or below the median) </w:t>
      </w:r>
      <w:r w:rsidRPr="00402D83">
        <w:t xml:space="preserve">being classified as low in issues/barriers </w:t>
      </w:r>
      <w:r w:rsidR="00402D83" w:rsidRPr="00402D83">
        <w:t xml:space="preserve">with </w:t>
      </w:r>
      <w:r w:rsidRPr="00402D83">
        <w:t>condom use and 175 (45.6%) classified as</w:t>
      </w:r>
      <w:r w:rsidR="004D2D0B">
        <w:t xml:space="preserve"> in the</w:t>
      </w:r>
      <w:r w:rsidRPr="00402D83">
        <w:t xml:space="preserve"> high</w:t>
      </w:r>
      <w:r w:rsidR="004D2D0B">
        <w:t xml:space="preserve"> issue/barriers group.</w:t>
      </w:r>
    </w:p>
    <w:p w14:paraId="0E62E08C" w14:textId="0159E4F6" w:rsidR="00EF4BEA" w:rsidRPr="00402D83" w:rsidRDefault="00B03C43" w:rsidP="00C9337A">
      <w:pPr>
        <w:widowControl w:val="0"/>
        <w:autoSpaceDE w:val="0"/>
        <w:autoSpaceDN w:val="0"/>
        <w:adjustRightInd w:val="0"/>
        <w:spacing w:line="480" w:lineRule="auto"/>
        <w:ind w:firstLine="720"/>
        <w:rPr>
          <w:rFonts w:eastAsiaTheme="minorEastAsia"/>
        </w:rPr>
      </w:pPr>
      <w:r>
        <w:rPr>
          <w:rFonts w:eastAsiaTheme="minorEastAsia"/>
        </w:rPr>
        <w:t xml:space="preserve">When a </w:t>
      </w:r>
      <w:r w:rsidR="00402D83" w:rsidRPr="00402D83">
        <w:rPr>
          <w:rFonts w:eastAsiaTheme="minorEastAsia"/>
        </w:rPr>
        <w:t>top</w:t>
      </w:r>
      <w:r w:rsidR="00EF4BEA" w:rsidRPr="00402D83">
        <w:rPr>
          <w:rFonts w:eastAsiaTheme="minorEastAsia"/>
        </w:rPr>
        <w:t xml:space="preserve">, </w:t>
      </w:r>
      <w:r w:rsidR="006B3137">
        <w:rPr>
          <w:rFonts w:eastAsiaTheme="minorEastAsia"/>
        </w:rPr>
        <w:t>significantly more (</w:t>
      </w:r>
      <w:r w:rsidR="006B3137" w:rsidRPr="00402D83">
        <w:rPr>
          <w:rFonts w:eastAsiaTheme="minorEastAsia"/>
        </w:rPr>
        <w:t>35.6%</w:t>
      </w:r>
      <w:r w:rsidR="006B3137">
        <w:rPr>
          <w:rFonts w:eastAsiaTheme="minorEastAsia"/>
        </w:rPr>
        <w:t>)</w:t>
      </w:r>
      <w:r w:rsidR="006B3137" w:rsidRPr="00402D83">
        <w:rPr>
          <w:rFonts w:eastAsiaTheme="minorEastAsia"/>
        </w:rPr>
        <w:t xml:space="preserve"> </w:t>
      </w:r>
      <w:r w:rsidR="006B3137">
        <w:rPr>
          <w:rFonts w:eastAsiaTheme="minorEastAsia"/>
        </w:rPr>
        <w:t xml:space="preserve">of those in the high issue/barriers group </w:t>
      </w:r>
      <w:r w:rsidR="00EF4BEA" w:rsidRPr="00402D83">
        <w:rPr>
          <w:rFonts w:eastAsiaTheme="minorEastAsia"/>
        </w:rPr>
        <w:t>(</w:t>
      </w:r>
      <w:r w:rsidR="00402D83" w:rsidRPr="00402D83">
        <w:rPr>
          <w:rFonts w:eastAsiaTheme="minorEastAsia"/>
        </w:rPr>
        <w:t xml:space="preserve">i.e., </w:t>
      </w:r>
      <w:r w:rsidR="00EF4BEA" w:rsidRPr="00402D83">
        <w:rPr>
          <w:rFonts w:eastAsiaTheme="minorEastAsia"/>
        </w:rPr>
        <w:t>these men did find condoms to be a turn off) had any UAIS compared to</w:t>
      </w:r>
      <w:r w:rsidR="004C62F1">
        <w:rPr>
          <w:rFonts w:eastAsiaTheme="minorEastAsia"/>
        </w:rPr>
        <w:t xml:space="preserve"> t</w:t>
      </w:r>
      <w:r w:rsidR="00EF4BEA" w:rsidRPr="00402D83">
        <w:rPr>
          <w:rFonts w:eastAsiaTheme="minorEastAsia"/>
        </w:rPr>
        <w:t>hose scoring low on this scale</w:t>
      </w:r>
      <w:r w:rsidR="006B3137" w:rsidRPr="00402D83">
        <w:rPr>
          <w:rFonts w:eastAsiaTheme="minorEastAsia"/>
        </w:rPr>
        <w:t xml:space="preserve"> </w:t>
      </w:r>
      <w:r w:rsidR="006B3137">
        <w:rPr>
          <w:rFonts w:eastAsiaTheme="minorEastAsia"/>
        </w:rPr>
        <w:t>(</w:t>
      </w:r>
      <w:r w:rsidR="006B3137" w:rsidRPr="00402D83">
        <w:rPr>
          <w:rFonts w:eastAsiaTheme="minorEastAsia"/>
        </w:rPr>
        <w:t>23.4%</w:t>
      </w:r>
      <w:r w:rsidR="006B3137">
        <w:rPr>
          <w:rFonts w:eastAsiaTheme="minorEastAsia"/>
        </w:rPr>
        <w:t>)</w:t>
      </w:r>
      <w:r w:rsidR="004C62F1">
        <w:rPr>
          <w:rFonts w:eastAsiaTheme="minorEastAsia"/>
        </w:rPr>
        <w:t>.</w:t>
      </w:r>
      <w:r w:rsidR="00EF4BEA" w:rsidRPr="00402D83">
        <w:rPr>
          <w:rFonts w:eastAsiaTheme="minorEastAsia"/>
        </w:rPr>
        <w:t xml:space="preserve"> </w:t>
      </w:r>
      <w:r w:rsidR="004C62F1">
        <w:rPr>
          <w:rFonts w:eastAsiaTheme="minorEastAsia"/>
        </w:rPr>
        <w:t>(</w:t>
      </w:r>
      <w:r w:rsidR="00F543FA">
        <w:rPr>
          <w:rFonts w:eastAsiaTheme="minorEastAsia"/>
        </w:rPr>
        <w:t>See Table 1</w:t>
      </w:r>
      <w:r w:rsidR="004C62F1">
        <w:rPr>
          <w:rFonts w:eastAsiaTheme="minorEastAsia"/>
        </w:rPr>
        <w:t>)</w:t>
      </w:r>
      <w:r w:rsidR="00F543FA">
        <w:rPr>
          <w:rFonts w:eastAsiaTheme="minorEastAsia"/>
        </w:rPr>
        <w:t xml:space="preserve"> </w:t>
      </w:r>
      <w:r w:rsidR="00EF4BEA" w:rsidRPr="00402D83">
        <w:rPr>
          <w:rFonts w:eastAsiaTheme="minorEastAsia"/>
        </w:rPr>
        <w:t>When treated as a continuous distribution, the mean number of times men scoring above the median engaged in UAIS was 1.91 compared to .71 for those scoring below (t = 2.85</w:t>
      </w:r>
      <w:r w:rsidR="00412D99">
        <w:rPr>
          <w:rFonts w:eastAsiaTheme="minorEastAsia"/>
        </w:rPr>
        <w:t>,</w:t>
      </w:r>
      <w:r w:rsidR="00EF4BEA" w:rsidRPr="00402D83">
        <w:rPr>
          <w:rFonts w:eastAsiaTheme="minorEastAsia"/>
        </w:rPr>
        <w:t xml:space="preserve"> df = 355</w:t>
      </w:r>
      <w:r w:rsidR="00412D99">
        <w:rPr>
          <w:rFonts w:eastAsiaTheme="minorEastAsia"/>
        </w:rPr>
        <w:t>,</w:t>
      </w:r>
      <w:r w:rsidR="00EF4BEA" w:rsidRPr="00402D83">
        <w:rPr>
          <w:rFonts w:eastAsiaTheme="minorEastAsia"/>
        </w:rPr>
        <w:t xml:space="preserve"> P = .009). </w:t>
      </w:r>
      <w:r>
        <w:rPr>
          <w:rFonts w:eastAsiaTheme="minorEastAsia"/>
        </w:rPr>
        <w:t>When a</w:t>
      </w:r>
      <w:r w:rsidRPr="00402D83">
        <w:rPr>
          <w:rFonts w:eastAsiaTheme="minorEastAsia"/>
        </w:rPr>
        <w:t xml:space="preserve"> </w:t>
      </w:r>
      <w:r w:rsidR="00402D83" w:rsidRPr="00402D83">
        <w:rPr>
          <w:rFonts w:eastAsiaTheme="minorEastAsia"/>
        </w:rPr>
        <w:t>bottom</w:t>
      </w:r>
      <w:r w:rsidR="00EF4BEA" w:rsidRPr="00402D83">
        <w:rPr>
          <w:rFonts w:eastAsiaTheme="minorEastAsia"/>
        </w:rPr>
        <w:t xml:space="preserve">, </w:t>
      </w:r>
      <w:r w:rsidR="006B3137">
        <w:rPr>
          <w:rFonts w:eastAsiaTheme="minorEastAsia"/>
        </w:rPr>
        <w:t>significantly more (</w:t>
      </w:r>
      <w:r w:rsidR="00EF4BEA" w:rsidRPr="00402D83">
        <w:rPr>
          <w:rFonts w:eastAsiaTheme="minorEastAsia"/>
        </w:rPr>
        <w:t>44.3%</w:t>
      </w:r>
      <w:r w:rsidR="006B3137">
        <w:rPr>
          <w:rFonts w:eastAsiaTheme="minorEastAsia"/>
        </w:rPr>
        <w:t>) of those</w:t>
      </w:r>
      <w:r w:rsidR="00EF4BEA" w:rsidRPr="00402D83">
        <w:rPr>
          <w:rFonts w:eastAsiaTheme="minorEastAsia"/>
        </w:rPr>
        <w:t xml:space="preserve"> scoring high </w:t>
      </w:r>
      <w:r w:rsidR="006B3137">
        <w:rPr>
          <w:rFonts w:eastAsiaTheme="minorEastAsia"/>
        </w:rPr>
        <w:t xml:space="preserve">on condom issues/barriers </w:t>
      </w:r>
      <w:r w:rsidR="00EF4BEA" w:rsidRPr="00402D83">
        <w:rPr>
          <w:rFonts w:eastAsiaTheme="minorEastAsia"/>
        </w:rPr>
        <w:t xml:space="preserve">had any UARS </w:t>
      </w:r>
      <w:r w:rsidR="006B3137">
        <w:rPr>
          <w:rFonts w:eastAsiaTheme="minorEastAsia"/>
        </w:rPr>
        <w:t>compare</w:t>
      </w:r>
      <w:r w:rsidR="00412D99">
        <w:rPr>
          <w:rFonts w:eastAsiaTheme="minorEastAsia"/>
        </w:rPr>
        <w:t>d</w:t>
      </w:r>
      <w:r w:rsidR="006B3137">
        <w:rPr>
          <w:rFonts w:eastAsiaTheme="minorEastAsia"/>
        </w:rPr>
        <w:t xml:space="preserve"> to the percent</w:t>
      </w:r>
      <w:r w:rsidR="00412D99">
        <w:rPr>
          <w:rFonts w:eastAsiaTheme="minorEastAsia"/>
        </w:rPr>
        <w:t>age</w:t>
      </w:r>
      <w:r w:rsidR="006B3137">
        <w:rPr>
          <w:rFonts w:eastAsiaTheme="minorEastAsia"/>
        </w:rPr>
        <w:t xml:space="preserve"> (</w:t>
      </w:r>
      <w:r w:rsidR="00EF4BEA" w:rsidRPr="00402D83">
        <w:rPr>
          <w:rFonts w:eastAsiaTheme="minorEastAsia"/>
        </w:rPr>
        <w:t>27.3%</w:t>
      </w:r>
      <w:r w:rsidR="006B3137">
        <w:rPr>
          <w:rFonts w:eastAsiaTheme="minorEastAsia"/>
        </w:rPr>
        <w:t>)</w:t>
      </w:r>
      <w:r w:rsidR="00EF4BEA" w:rsidRPr="00402D83">
        <w:rPr>
          <w:rFonts w:eastAsiaTheme="minorEastAsia"/>
        </w:rPr>
        <w:t xml:space="preserve"> fo</w:t>
      </w:r>
      <w:r w:rsidR="00402D83" w:rsidRPr="00402D83">
        <w:rPr>
          <w:rFonts w:eastAsiaTheme="minorEastAsia"/>
        </w:rPr>
        <w:t xml:space="preserve">r those scoring </w:t>
      </w:r>
      <w:r w:rsidR="006B3137">
        <w:rPr>
          <w:rFonts w:eastAsiaTheme="minorEastAsia"/>
        </w:rPr>
        <w:t>low.</w:t>
      </w:r>
      <w:r w:rsidR="00EF4BEA" w:rsidRPr="00402D83">
        <w:rPr>
          <w:rFonts w:eastAsiaTheme="minorEastAsia"/>
        </w:rPr>
        <w:t xml:space="preserve"> </w:t>
      </w:r>
    </w:p>
    <w:p w14:paraId="2DE7FE6D" w14:textId="6C74A458" w:rsidR="00B03C43" w:rsidRPr="00402D83" w:rsidRDefault="00EF4BEA" w:rsidP="00B03C43">
      <w:pPr>
        <w:spacing w:line="480" w:lineRule="auto"/>
        <w:ind w:firstLine="720"/>
      </w:pPr>
      <w:r w:rsidRPr="00402D83">
        <w:rPr>
          <w:rFonts w:eastAsiaTheme="minorEastAsia"/>
        </w:rPr>
        <w:t xml:space="preserve">Among all men in the sample scoring above the median, </w:t>
      </w:r>
      <w:r w:rsidR="00B03C43">
        <w:rPr>
          <w:rFonts w:eastAsiaTheme="minorEastAsia"/>
        </w:rPr>
        <w:t>significantly more (</w:t>
      </w:r>
      <w:r w:rsidRPr="00402D83">
        <w:rPr>
          <w:rFonts w:eastAsiaTheme="minorEastAsia"/>
        </w:rPr>
        <w:t>51.5%</w:t>
      </w:r>
      <w:r w:rsidR="00B03C43">
        <w:rPr>
          <w:rFonts w:eastAsiaTheme="minorEastAsia"/>
        </w:rPr>
        <w:t>)</w:t>
      </w:r>
      <w:r w:rsidRPr="00402D83">
        <w:rPr>
          <w:rFonts w:eastAsiaTheme="minorEastAsia"/>
        </w:rPr>
        <w:t xml:space="preserve"> reported having multiple sex partners as a </w:t>
      </w:r>
      <w:r w:rsidR="00402D83" w:rsidRPr="00402D83">
        <w:rPr>
          <w:rFonts w:eastAsiaTheme="minorEastAsia"/>
        </w:rPr>
        <w:t>top</w:t>
      </w:r>
      <w:r w:rsidRPr="00402D83">
        <w:rPr>
          <w:rFonts w:eastAsiaTheme="minorEastAsia"/>
        </w:rPr>
        <w:t xml:space="preserve"> compared </w:t>
      </w:r>
      <w:proofErr w:type="gramStart"/>
      <w:r w:rsidRPr="00402D83">
        <w:rPr>
          <w:rFonts w:eastAsiaTheme="minorEastAsia"/>
        </w:rPr>
        <w:t>to  those</w:t>
      </w:r>
      <w:proofErr w:type="gramEnd"/>
      <w:r w:rsidRPr="00402D83">
        <w:rPr>
          <w:rFonts w:eastAsiaTheme="minorEastAsia"/>
        </w:rPr>
        <w:t xml:space="preserve"> sco</w:t>
      </w:r>
      <w:r w:rsidR="00402D83" w:rsidRPr="00402D83">
        <w:rPr>
          <w:rFonts w:eastAsiaTheme="minorEastAsia"/>
        </w:rPr>
        <w:t>ring below the median</w:t>
      </w:r>
      <w:r w:rsidR="00B03C43">
        <w:rPr>
          <w:rFonts w:eastAsiaTheme="minorEastAsia"/>
        </w:rPr>
        <w:t xml:space="preserve"> (</w:t>
      </w:r>
      <w:r w:rsidR="00B03C43" w:rsidRPr="00402D83">
        <w:rPr>
          <w:rFonts w:eastAsiaTheme="minorEastAsia"/>
        </w:rPr>
        <w:t>36.2%</w:t>
      </w:r>
      <w:r w:rsidR="00B03C43">
        <w:rPr>
          <w:rFonts w:eastAsiaTheme="minorEastAsia"/>
        </w:rPr>
        <w:t>)</w:t>
      </w:r>
      <w:r w:rsidRPr="00402D83">
        <w:rPr>
          <w:rFonts w:eastAsiaTheme="minorEastAsia"/>
        </w:rPr>
        <w:t xml:space="preserve">. Prevalence of Chlamydia/gonorrhea </w:t>
      </w:r>
      <w:r w:rsidR="003F7313">
        <w:rPr>
          <w:rFonts w:eastAsiaTheme="minorEastAsia"/>
        </w:rPr>
        <w:t>also</w:t>
      </w:r>
      <w:r w:rsidR="003F7313" w:rsidRPr="00402D83">
        <w:rPr>
          <w:rFonts w:eastAsiaTheme="minorEastAsia"/>
        </w:rPr>
        <w:t xml:space="preserve"> var</w:t>
      </w:r>
      <w:r w:rsidR="003F7313">
        <w:rPr>
          <w:rFonts w:eastAsiaTheme="minorEastAsia"/>
        </w:rPr>
        <w:t>ied</w:t>
      </w:r>
      <w:r w:rsidR="003F7313" w:rsidRPr="00402D83">
        <w:rPr>
          <w:rFonts w:eastAsiaTheme="minorEastAsia"/>
        </w:rPr>
        <w:t xml:space="preserve"> </w:t>
      </w:r>
      <w:r w:rsidRPr="00402D83">
        <w:rPr>
          <w:rFonts w:eastAsiaTheme="minorEastAsia"/>
        </w:rPr>
        <w:t>as a function of classification statu</w:t>
      </w:r>
      <w:r w:rsidR="00402D83" w:rsidRPr="00402D83">
        <w:rPr>
          <w:rFonts w:eastAsiaTheme="minorEastAsia"/>
        </w:rPr>
        <w:t>s based on this scale</w:t>
      </w:r>
      <w:r w:rsidRPr="00402D83">
        <w:rPr>
          <w:rFonts w:eastAsiaTheme="minorEastAsia"/>
        </w:rPr>
        <w:t>. Prevalence was 42.3% among those scor</w:t>
      </w:r>
      <w:r w:rsidR="00003069" w:rsidRPr="00402D83">
        <w:rPr>
          <w:rFonts w:eastAsiaTheme="minorEastAsia"/>
        </w:rPr>
        <w:t xml:space="preserve">ing </w:t>
      </w:r>
      <w:r w:rsidR="00B03C43">
        <w:rPr>
          <w:rFonts w:eastAsiaTheme="minorEastAsia"/>
        </w:rPr>
        <w:t xml:space="preserve">high </w:t>
      </w:r>
      <w:r w:rsidR="00B03C43">
        <w:rPr>
          <w:rFonts w:eastAsiaTheme="minorEastAsia"/>
        </w:rPr>
        <w:lastRenderedPageBreak/>
        <w:t>on issue/barriers to condo</w:t>
      </w:r>
      <w:r w:rsidR="00273EB0">
        <w:rPr>
          <w:rFonts w:eastAsiaTheme="minorEastAsia"/>
        </w:rPr>
        <w:t>m</w:t>
      </w:r>
      <w:r w:rsidR="00B03C43">
        <w:rPr>
          <w:rFonts w:eastAsiaTheme="minorEastAsia"/>
        </w:rPr>
        <w:t xml:space="preserve"> use </w:t>
      </w:r>
      <w:r w:rsidR="00003069" w:rsidRPr="00402D83">
        <w:rPr>
          <w:rFonts w:eastAsiaTheme="minorEastAsia"/>
        </w:rPr>
        <w:t>versus 32.</w:t>
      </w:r>
      <w:r w:rsidR="00DC7E6D" w:rsidRPr="00402D83">
        <w:rPr>
          <w:rFonts w:eastAsiaTheme="minorEastAsia"/>
        </w:rPr>
        <w:t>0</w:t>
      </w:r>
      <w:r w:rsidR="00003069" w:rsidRPr="00402D83">
        <w:rPr>
          <w:rFonts w:eastAsiaTheme="minorEastAsia"/>
        </w:rPr>
        <w:t>%</w:t>
      </w:r>
      <w:r w:rsidRPr="00402D83">
        <w:rPr>
          <w:rFonts w:eastAsiaTheme="minorEastAsia"/>
        </w:rPr>
        <w:t xml:space="preserve"> among those scoring </w:t>
      </w:r>
      <w:r w:rsidR="00B03C43">
        <w:rPr>
          <w:rFonts w:eastAsiaTheme="minorEastAsia"/>
        </w:rPr>
        <w:t>low</w:t>
      </w:r>
      <w:r w:rsidRPr="00402D83">
        <w:rPr>
          <w:rFonts w:eastAsiaTheme="minorEastAsia"/>
        </w:rPr>
        <w:t xml:space="preserve">. </w:t>
      </w:r>
      <w:r w:rsidR="00B03C43">
        <w:t xml:space="preserve">None of the other outcomes were significantly different across condom turn-off groups. </w:t>
      </w:r>
    </w:p>
    <w:p w14:paraId="4399A10C" w14:textId="77C41136" w:rsidR="006C6FB1" w:rsidRPr="00402D83" w:rsidRDefault="006C6FB1" w:rsidP="006C6FB1">
      <w:pPr>
        <w:spacing w:line="480" w:lineRule="auto"/>
        <w:rPr>
          <w:i/>
        </w:rPr>
      </w:pPr>
      <w:r w:rsidRPr="00402D83">
        <w:rPr>
          <w:i/>
        </w:rPr>
        <w:t>Condom Pleasure Scale</w:t>
      </w:r>
    </w:p>
    <w:p w14:paraId="04D5F9C9" w14:textId="51D1C37F" w:rsidR="006A1E99" w:rsidRDefault="009E795C" w:rsidP="006A1E99">
      <w:pPr>
        <w:spacing w:line="480" w:lineRule="auto"/>
        <w:ind w:firstLine="720"/>
      </w:pPr>
      <w:r w:rsidRPr="00402D83">
        <w:t>T</w:t>
      </w:r>
      <w:r w:rsidR="006A1E99">
        <w:t>his</w:t>
      </w:r>
      <w:r w:rsidRPr="00402D83">
        <w:t xml:space="preserve"> scale produced a range of 5 to 25 (with higher scores indicating </w:t>
      </w:r>
      <w:r w:rsidR="00402D83" w:rsidRPr="00402D83">
        <w:t xml:space="preserve">greater </w:t>
      </w:r>
      <w:r w:rsidRPr="00402D83">
        <w:t xml:space="preserve">pleasure from condom use). The distribution yielded a </w:t>
      </w:r>
      <w:r w:rsidR="006A1E99">
        <w:t xml:space="preserve">median of </w:t>
      </w:r>
      <w:r w:rsidR="006A1E99" w:rsidRPr="00C9337A">
        <w:rPr>
          <w:highlight w:val="yellow"/>
        </w:rPr>
        <w:t>XX</w:t>
      </w:r>
      <w:r w:rsidR="006A1E99">
        <w:t xml:space="preserve"> and a </w:t>
      </w:r>
      <w:r w:rsidRPr="00402D83">
        <w:t xml:space="preserve">mean of 18.01 (sd = 5.32). The median split resulted in 189 men being classified as low </w:t>
      </w:r>
      <w:r w:rsidR="006A1E99">
        <w:t xml:space="preserve">(at or below the median) </w:t>
      </w:r>
      <w:r w:rsidRPr="00402D83">
        <w:t>in pleasure from condom use and 195 (50.8%) classified as high.</w:t>
      </w:r>
    </w:p>
    <w:p w14:paraId="0C8AD83D" w14:textId="3DEB1C1D" w:rsidR="00E63C22" w:rsidRPr="00402D83" w:rsidRDefault="00F543FA" w:rsidP="006A1E99">
      <w:pPr>
        <w:spacing w:line="480" w:lineRule="auto"/>
        <w:ind w:firstLine="720"/>
      </w:pPr>
      <w:r>
        <w:t>As can be see</w:t>
      </w:r>
      <w:r w:rsidR="00CE6164">
        <w:t>n</w:t>
      </w:r>
      <w:r>
        <w:t xml:space="preserve"> in Table 1, w</w:t>
      </w:r>
      <w:r w:rsidR="006A1E99">
        <w:t xml:space="preserve">hen </w:t>
      </w:r>
      <w:r>
        <w:t xml:space="preserve">having intercourse as </w:t>
      </w:r>
      <w:r w:rsidR="006A1E99">
        <w:t>a</w:t>
      </w:r>
      <w:r w:rsidR="002263E1" w:rsidRPr="00402D83">
        <w:t xml:space="preserve"> </w:t>
      </w:r>
      <w:r w:rsidR="00402D83" w:rsidRPr="00402D83">
        <w:t>top</w:t>
      </w:r>
      <w:r w:rsidR="002263E1" w:rsidRPr="00402D83">
        <w:t>, 18.2%</w:t>
      </w:r>
      <w:r w:rsidR="00C9337A">
        <w:t xml:space="preserve"> (significantly fewer)</w:t>
      </w:r>
      <w:r w:rsidR="002263E1" w:rsidRPr="00402D83">
        <w:t xml:space="preserve"> scoring high (condoms intensified pleasure) had any UAIS </w:t>
      </w:r>
      <w:r w:rsidR="006A1E99">
        <w:t xml:space="preserve">compared to </w:t>
      </w:r>
      <w:r w:rsidR="002263E1" w:rsidRPr="00402D83">
        <w:t>39.2% for those scori</w:t>
      </w:r>
      <w:r w:rsidR="00402D83" w:rsidRPr="00402D83">
        <w:t>ng low on this scale</w:t>
      </w:r>
      <w:r w:rsidR="002263E1" w:rsidRPr="00402D83">
        <w:t xml:space="preserve">. When treated as a continuous distribution, the mean number of times men scoring above the median engaged in UAIS was </w:t>
      </w:r>
      <w:r w:rsidR="00C9337A">
        <w:t>significantly lower</w:t>
      </w:r>
      <w:r w:rsidR="003F7313">
        <w:t xml:space="preserve"> </w:t>
      </w:r>
      <w:r w:rsidR="00C9337A">
        <w:t xml:space="preserve">than </w:t>
      </w:r>
      <w:r w:rsidR="002263E1" w:rsidRPr="00402D83">
        <w:t>those scoring below</w:t>
      </w:r>
      <w:r w:rsidR="00C9337A">
        <w:t>, .</w:t>
      </w:r>
      <w:r w:rsidR="00C9337A" w:rsidRPr="00402D83">
        <w:t>68 compared to 1.83</w:t>
      </w:r>
      <w:r w:rsidR="00C9337A">
        <w:t xml:space="preserve"> </w:t>
      </w:r>
      <w:r w:rsidR="002263E1" w:rsidRPr="00402D83">
        <w:t>(t = 2.73,</w:t>
      </w:r>
      <w:r w:rsidR="00402D83" w:rsidRPr="00402D83">
        <w:t xml:space="preserve"> df = 355, P = .007). </w:t>
      </w:r>
      <w:r w:rsidR="006A1E99">
        <w:t>When a</w:t>
      </w:r>
      <w:r w:rsidR="006A1E99" w:rsidRPr="00402D83">
        <w:t xml:space="preserve"> </w:t>
      </w:r>
      <w:r w:rsidR="00402D83" w:rsidRPr="00402D83">
        <w:t>bottom</w:t>
      </w:r>
      <w:r w:rsidR="002263E1" w:rsidRPr="00402D83">
        <w:t xml:space="preserve">, </w:t>
      </w:r>
      <w:r w:rsidR="00C9337A">
        <w:t>significantly fewer</w:t>
      </w:r>
      <w:r w:rsidR="003F7313">
        <w:t xml:space="preserve"> (</w:t>
      </w:r>
      <w:r w:rsidR="002263E1" w:rsidRPr="00402D83">
        <w:t>29.8%</w:t>
      </w:r>
      <w:r w:rsidR="003F7313">
        <w:t>)</w:t>
      </w:r>
      <w:r w:rsidR="002263E1" w:rsidRPr="00402D83">
        <w:t xml:space="preserve"> </w:t>
      </w:r>
      <w:r w:rsidR="006A1E99">
        <w:t xml:space="preserve">of those </w:t>
      </w:r>
      <w:r w:rsidR="002263E1" w:rsidRPr="00402D83">
        <w:t xml:space="preserve">scoring high </w:t>
      </w:r>
      <w:r w:rsidR="006A1E99">
        <w:t xml:space="preserve">on condom pleasure </w:t>
      </w:r>
      <w:r w:rsidR="002263E1" w:rsidRPr="00402D83">
        <w:t>had any UA</w:t>
      </w:r>
      <w:r w:rsidR="00F245B0" w:rsidRPr="00402D83">
        <w:t>R</w:t>
      </w:r>
      <w:r w:rsidR="002263E1" w:rsidRPr="00402D83">
        <w:t>S v</w:t>
      </w:r>
      <w:r w:rsidR="006A1E99">
        <w:t>ersus</w:t>
      </w:r>
      <w:r w:rsidR="002263E1" w:rsidRPr="00402D83">
        <w:t xml:space="preserve"> 41.8%</w:t>
      </w:r>
      <w:r w:rsidR="00402D83" w:rsidRPr="00402D83">
        <w:t xml:space="preserve"> for those scoring low</w:t>
      </w:r>
      <w:r w:rsidR="002263E1" w:rsidRPr="00402D83">
        <w:t xml:space="preserve">. When treated as a continuous distribution, the mean number of times men scoring above the median engaged in UAIS was </w:t>
      </w:r>
      <w:r w:rsidR="00C9337A">
        <w:t>significantly lower (</w:t>
      </w:r>
      <w:r w:rsidR="002263E1" w:rsidRPr="00402D83">
        <w:t>.96 compared to 2.74</w:t>
      </w:r>
      <w:r w:rsidR="00C9337A">
        <w:t>) th</w:t>
      </w:r>
      <w:r w:rsidR="003F7313">
        <w:t>a</w:t>
      </w:r>
      <w:r w:rsidR="00C9337A">
        <w:t>n</w:t>
      </w:r>
      <w:r w:rsidR="00CE6164">
        <w:t xml:space="preserve"> </w:t>
      </w:r>
      <w:r w:rsidR="00C9337A">
        <w:t xml:space="preserve">that for </w:t>
      </w:r>
      <w:r w:rsidR="002263E1" w:rsidRPr="00402D83">
        <w:t>those scoring below (t = 2.60, df = 283, P = .01).</w:t>
      </w:r>
    </w:p>
    <w:p w14:paraId="6C3733DF" w14:textId="19F7EA78" w:rsidR="002263E1" w:rsidRPr="00402D83" w:rsidRDefault="0094602A" w:rsidP="00F543FA">
      <w:pPr>
        <w:spacing w:line="480" w:lineRule="auto"/>
        <w:ind w:firstLine="720"/>
      </w:pPr>
      <w:r w:rsidRPr="00402D83">
        <w:t>Among all men in the sample scoring above the median</w:t>
      </w:r>
      <w:r w:rsidR="003F7313">
        <w:t xml:space="preserve"> on the pleasure scale</w:t>
      </w:r>
      <w:r w:rsidRPr="00402D83">
        <w:t xml:space="preserve">, 38.0% </w:t>
      </w:r>
      <w:r w:rsidR="00C9337A">
        <w:t xml:space="preserve">(significantly fewer) </w:t>
      </w:r>
      <w:r w:rsidRPr="00402D83">
        <w:t xml:space="preserve">reported having multiple sex partners as a </w:t>
      </w:r>
      <w:r w:rsidR="00402D83" w:rsidRPr="00402D83">
        <w:t>top</w:t>
      </w:r>
      <w:r w:rsidRPr="00402D83">
        <w:t xml:space="preserve"> compared to 48.4% among those sc</w:t>
      </w:r>
      <w:r w:rsidR="00402D83" w:rsidRPr="00402D83">
        <w:t>oring below the median</w:t>
      </w:r>
      <w:r w:rsidRPr="00402D83">
        <w:t xml:space="preserve">. Among all men scoring above the median, 46.7% </w:t>
      </w:r>
      <w:r w:rsidR="00C9337A">
        <w:t xml:space="preserve">(significantly </w:t>
      </w:r>
      <w:r w:rsidR="003F7313">
        <w:t>more</w:t>
      </w:r>
      <w:r w:rsidR="00C9337A">
        <w:t xml:space="preserve">) </w:t>
      </w:r>
      <w:r w:rsidRPr="00402D83">
        <w:t>reported having m</w:t>
      </w:r>
      <w:r w:rsidR="00402D83" w:rsidRPr="00402D83">
        <w:t>ultiple sex partners as a bottom</w:t>
      </w:r>
      <w:r w:rsidRPr="00402D83">
        <w:t xml:space="preserve"> compared to 33.3% among th</w:t>
      </w:r>
      <w:r w:rsidR="00402D83" w:rsidRPr="00402D83">
        <w:t>ose scoring below the median</w:t>
      </w:r>
      <w:r w:rsidRPr="00402D83">
        <w:t xml:space="preserve">. </w:t>
      </w:r>
      <w:r w:rsidR="00CE6164">
        <w:t xml:space="preserve">(This last comparison was in the opposite direction to what would be expected). </w:t>
      </w:r>
      <w:r w:rsidR="00402D83" w:rsidRPr="00402D83">
        <w:t xml:space="preserve">Scores on </w:t>
      </w:r>
      <w:r w:rsidR="003F7313">
        <w:t>the c</w:t>
      </w:r>
      <w:r w:rsidR="003F7313" w:rsidRPr="00402D83">
        <w:t xml:space="preserve">ondom </w:t>
      </w:r>
      <w:r w:rsidR="003F7313">
        <w:t>p</w:t>
      </w:r>
      <w:r w:rsidR="003F7313" w:rsidRPr="00402D83">
        <w:t xml:space="preserve">leasure </w:t>
      </w:r>
      <w:r w:rsidR="003F7313">
        <w:t xml:space="preserve">scale </w:t>
      </w:r>
      <w:r w:rsidR="00A11E6D" w:rsidRPr="00402D83">
        <w:t>w</w:t>
      </w:r>
      <w:r w:rsidR="00402D83" w:rsidRPr="00402D83">
        <w:t>ere</w:t>
      </w:r>
      <w:r w:rsidR="00A11E6D" w:rsidRPr="00402D83">
        <w:t xml:space="preserve"> </w:t>
      </w:r>
      <w:r w:rsidR="003F7313">
        <w:lastRenderedPageBreak/>
        <w:t xml:space="preserve">also </w:t>
      </w:r>
      <w:r w:rsidR="00A11E6D" w:rsidRPr="00402D83">
        <w:t xml:space="preserve">associated with unprotected oral sex, with 72.2% </w:t>
      </w:r>
      <w:r w:rsidR="00C9337A">
        <w:t xml:space="preserve">(significantly fewer) </w:t>
      </w:r>
      <w:r w:rsidR="00A11E6D" w:rsidRPr="00402D83">
        <w:t xml:space="preserve">of those scoring above the median </w:t>
      </w:r>
      <w:r w:rsidR="00F543FA">
        <w:t xml:space="preserve">on the pleasure scale </w:t>
      </w:r>
      <w:r w:rsidR="00A11E6D" w:rsidRPr="00402D83">
        <w:t xml:space="preserve">reporting UOS compared with 82.5% </w:t>
      </w:r>
      <w:r w:rsidR="00402D83" w:rsidRPr="00402D83">
        <w:t>of</w:t>
      </w:r>
      <w:r w:rsidR="00A11E6D" w:rsidRPr="00402D83">
        <w:t xml:space="preserve"> those sc</w:t>
      </w:r>
      <w:r w:rsidR="00402D83" w:rsidRPr="00402D83">
        <w:t>oring below the median</w:t>
      </w:r>
      <w:r w:rsidR="00A11E6D" w:rsidRPr="00402D83">
        <w:t>.</w:t>
      </w:r>
      <w:r w:rsidR="00F543FA" w:rsidRPr="00F543FA">
        <w:t xml:space="preserve"> </w:t>
      </w:r>
      <w:r w:rsidR="00F543FA" w:rsidRPr="00402D83">
        <w:t xml:space="preserve">Prevalence of Chlamydia/gonorrhea did not vary as a function </w:t>
      </w:r>
      <w:proofErr w:type="gramStart"/>
      <w:r w:rsidR="00F543FA" w:rsidRPr="00402D83">
        <w:t xml:space="preserve">of </w:t>
      </w:r>
      <w:r w:rsidR="003F7313">
        <w:t xml:space="preserve"> Condom</w:t>
      </w:r>
      <w:proofErr w:type="gramEnd"/>
      <w:r w:rsidR="003F7313">
        <w:t xml:space="preserve"> Pleasure Scale </w:t>
      </w:r>
      <w:r w:rsidR="00F543FA" w:rsidRPr="00402D83">
        <w:t>classification status.</w:t>
      </w:r>
    </w:p>
    <w:p w14:paraId="1EB2DF88" w14:textId="732836EA" w:rsidR="007D46E4" w:rsidRDefault="007D46E4" w:rsidP="0094602A">
      <w:pPr>
        <w:keepNext/>
        <w:spacing w:line="480" w:lineRule="auto"/>
        <w:rPr>
          <w:i/>
          <w:color w:val="0000FF"/>
        </w:rPr>
      </w:pPr>
      <w:r>
        <w:rPr>
          <w:i/>
          <w:color w:val="0000FF"/>
        </w:rPr>
        <w:t xml:space="preserve">Discussed Condoms </w:t>
      </w:r>
      <w:r w:rsidR="00402D83">
        <w:rPr>
          <w:i/>
          <w:color w:val="0000FF"/>
        </w:rPr>
        <w:t xml:space="preserve">With Partner </w:t>
      </w:r>
      <w:r>
        <w:rPr>
          <w:i/>
          <w:color w:val="0000FF"/>
        </w:rPr>
        <w:t>Before Sexual Arousal</w:t>
      </w:r>
    </w:p>
    <w:p w14:paraId="6A80FC49" w14:textId="4378F384" w:rsidR="007D46E4" w:rsidRDefault="00CE03B5" w:rsidP="0094602A">
      <w:pPr>
        <w:keepNext/>
        <w:spacing w:line="480" w:lineRule="auto"/>
        <w:rPr>
          <w:color w:val="0000FF"/>
        </w:rPr>
      </w:pPr>
      <w:r>
        <w:rPr>
          <w:color w:val="0000FF"/>
        </w:rPr>
        <w:tab/>
        <w:t xml:space="preserve">Among </w:t>
      </w:r>
      <w:r w:rsidR="007D46E4">
        <w:rPr>
          <w:color w:val="0000FF"/>
        </w:rPr>
        <w:t xml:space="preserve">those who had discussed condoms with </w:t>
      </w:r>
      <w:r>
        <w:rPr>
          <w:color w:val="0000FF"/>
        </w:rPr>
        <w:t>a partner before sexual arousal,</w:t>
      </w:r>
      <w:r w:rsidR="007D46E4">
        <w:rPr>
          <w:color w:val="0000FF"/>
        </w:rPr>
        <w:t xml:space="preserve"> 15.5% </w:t>
      </w:r>
      <w:r w:rsidR="00C9337A">
        <w:rPr>
          <w:color w:val="0000FF"/>
        </w:rPr>
        <w:t xml:space="preserve">(significantly fewer) </w:t>
      </w:r>
      <w:r w:rsidR="007D46E4">
        <w:rPr>
          <w:color w:val="0000FF"/>
        </w:rPr>
        <w:t>engaged in any UAIS</w:t>
      </w:r>
      <w:r>
        <w:rPr>
          <w:color w:val="0000FF"/>
        </w:rPr>
        <w:t xml:space="preserve"> as a top</w:t>
      </w:r>
      <w:r w:rsidR="00FC7A1A">
        <w:rPr>
          <w:color w:val="0000FF"/>
        </w:rPr>
        <w:t xml:space="preserve"> compared to 41.5% who did not discuss condoms before arousal. Among those who discussed</w:t>
      </w:r>
      <w:r>
        <w:rPr>
          <w:color w:val="0000FF"/>
        </w:rPr>
        <w:t xml:space="preserve"> condoms before arousal</w:t>
      </w:r>
      <w:r w:rsidR="00FC7A1A">
        <w:rPr>
          <w:color w:val="0000FF"/>
        </w:rPr>
        <w:t xml:space="preserve">, the mean frequency of UAIS was </w:t>
      </w:r>
      <w:r w:rsidR="00C9337A">
        <w:rPr>
          <w:color w:val="0000FF"/>
        </w:rPr>
        <w:t>significantly less (</w:t>
      </w:r>
      <w:r w:rsidR="00FC7A1A">
        <w:rPr>
          <w:color w:val="0000FF"/>
        </w:rPr>
        <w:t>.54 times compared to 1.92</w:t>
      </w:r>
      <w:r w:rsidR="003F7313">
        <w:rPr>
          <w:color w:val="0000FF"/>
        </w:rPr>
        <w:t xml:space="preserve"> </w:t>
      </w:r>
      <w:r w:rsidR="00FC7A1A">
        <w:rPr>
          <w:color w:val="0000FF"/>
        </w:rPr>
        <w:t>times</w:t>
      </w:r>
      <w:r w:rsidR="00C9337A">
        <w:rPr>
          <w:color w:val="0000FF"/>
        </w:rPr>
        <w:t>)</w:t>
      </w:r>
      <w:r w:rsidR="00FC7A1A">
        <w:rPr>
          <w:color w:val="0000FF"/>
        </w:rPr>
        <w:t xml:space="preserve"> among those </w:t>
      </w:r>
      <w:r w:rsidR="003F7313">
        <w:rPr>
          <w:color w:val="0000FF"/>
        </w:rPr>
        <w:t xml:space="preserve">who had </w:t>
      </w:r>
      <w:r w:rsidR="00FC7A1A">
        <w:rPr>
          <w:color w:val="0000FF"/>
        </w:rPr>
        <w:t>not discussed condoms before arousal (t = 3.40, df 355, P = .001).</w:t>
      </w:r>
    </w:p>
    <w:p w14:paraId="257C8D91" w14:textId="250960A7" w:rsidR="00FC7A1A" w:rsidRDefault="00FC7A1A" w:rsidP="0094602A">
      <w:pPr>
        <w:keepNext/>
        <w:spacing w:line="480" w:lineRule="auto"/>
        <w:rPr>
          <w:color w:val="0000FF"/>
        </w:rPr>
      </w:pPr>
      <w:r>
        <w:rPr>
          <w:color w:val="0000FF"/>
        </w:rPr>
        <w:tab/>
        <w:t xml:space="preserve">Among </w:t>
      </w:r>
      <w:r w:rsidR="005770BE">
        <w:rPr>
          <w:color w:val="0000FF"/>
        </w:rPr>
        <w:t xml:space="preserve">those </w:t>
      </w:r>
      <w:r>
        <w:rPr>
          <w:color w:val="0000FF"/>
        </w:rPr>
        <w:t>who discussed condoms before sex</w:t>
      </w:r>
      <w:r w:rsidR="00CE03B5">
        <w:rPr>
          <w:color w:val="0000FF"/>
        </w:rPr>
        <w:t>ual arousal,</w:t>
      </w:r>
      <w:r>
        <w:rPr>
          <w:color w:val="0000FF"/>
        </w:rPr>
        <w:t xml:space="preserve"> 21.2%</w:t>
      </w:r>
      <w:r w:rsidR="00C9337A">
        <w:rPr>
          <w:color w:val="0000FF"/>
        </w:rPr>
        <w:t xml:space="preserve"> (significantly fewer) </w:t>
      </w:r>
      <w:r>
        <w:rPr>
          <w:color w:val="0000FF"/>
        </w:rPr>
        <w:t>engaged in any UARS compared to 48.0% of those who had not discuss</w:t>
      </w:r>
      <w:r w:rsidR="00CE03B5">
        <w:rPr>
          <w:color w:val="0000FF"/>
        </w:rPr>
        <w:t>ed condoms before arousal.</w:t>
      </w:r>
      <w:r>
        <w:rPr>
          <w:color w:val="0000FF"/>
        </w:rPr>
        <w:t xml:space="preserve"> Among those who discussed </w:t>
      </w:r>
      <w:r w:rsidR="00CE03B5">
        <w:rPr>
          <w:color w:val="0000FF"/>
        </w:rPr>
        <w:t>condoms before becoming arous</w:t>
      </w:r>
      <w:r w:rsidR="003F7313">
        <w:rPr>
          <w:color w:val="0000FF"/>
        </w:rPr>
        <w:t>ed</w:t>
      </w:r>
      <w:r>
        <w:rPr>
          <w:color w:val="0000FF"/>
        </w:rPr>
        <w:t>, the mean number of times of</w:t>
      </w:r>
      <w:r w:rsidR="003F7313">
        <w:rPr>
          <w:color w:val="0000FF"/>
        </w:rPr>
        <w:t xml:space="preserve"> of UARS was</w:t>
      </w:r>
      <w:r>
        <w:rPr>
          <w:color w:val="0000FF"/>
        </w:rPr>
        <w:t xml:space="preserve"> .77 compared to 2.69 times among those who did not discuss</w:t>
      </w:r>
      <w:r w:rsidR="003F7313">
        <w:rPr>
          <w:color w:val="0000FF"/>
        </w:rPr>
        <w:t xml:space="preserve"> condoms</w:t>
      </w:r>
      <w:r>
        <w:rPr>
          <w:color w:val="0000FF"/>
        </w:rPr>
        <w:t xml:space="preserve"> before sex (t = 2.93, df 283, P = .004). </w:t>
      </w:r>
    </w:p>
    <w:p w14:paraId="62C55D11" w14:textId="33898983" w:rsidR="00940A50" w:rsidRDefault="007645C6" w:rsidP="0002054D">
      <w:pPr>
        <w:keepNext/>
        <w:spacing w:line="480" w:lineRule="auto"/>
        <w:ind w:firstLine="720"/>
        <w:rPr>
          <w:color w:val="0000FF"/>
        </w:rPr>
      </w:pPr>
      <w:r>
        <w:rPr>
          <w:color w:val="0000FF"/>
        </w:rPr>
        <w:t>Finally, among those who discussed condoms before arousal</w:t>
      </w:r>
      <w:r w:rsidR="000818E6">
        <w:rPr>
          <w:color w:val="0000FF"/>
        </w:rPr>
        <w:t>,</w:t>
      </w:r>
      <w:r>
        <w:rPr>
          <w:color w:val="0000FF"/>
        </w:rPr>
        <w:t xml:space="preserve"> 72.0% </w:t>
      </w:r>
      <w:r w:rsidR="00C9337A">
        <w:rPr>
          <w:color w:val="0000FF"/>
        </w:rPr>
        <w:t xml:space="preserve">(significantly fewer) </w:t>
      </w:r>
      <w:r>
        <w:rPr>
          <w:color w:val="0000FF"/>
        </w:rPr>
        <w:t>engaged in unprotected oral sex compared to 86.3% among thos</w:t>
      </w:r>
      <w:r w:rsidR="00CE03B5">
        <w:rPr>
          <w:color w:val="0000FF"/>
        </w:rPr>
        <w:t>e who did not discuss</w:t>
      </w:r>
      <w:r>
        <w:rPr>
          <w:color w:val="0000FF"/>
        </w:rPr>
        <w:t>.</w:t>
      </w:r>
      <w:r w:rsidR="00C9337A">
        <w:rPr>
          <w:color w:val="0000FF"/>
        </w:rPr>
        <w:t xml:space="preserve"> None of the other outcome variables differed by whether or not men discussed condoms with their partner before arousal. </w:t>
      </w:r>
    </w:p>
    <w:p w14:paraId="13651482" w14:textId="04F23C5D" w:rsidR="003373EA" w:rsidRPr="00C35643" w:rsidRDefault="003373EA" w:rsidP="003373EA">
      <w:pPr>
        <w:spacing w:line="480" w:lineRule="auto"/>
        <w:jc w:val="center"/>
        <w:rPr>
          <w:b/>
          <w:color w:val="000000" w:themeColor="text1"/>
        </w:rPr>
      </w:pPr>
      <w:r w:rsidRPr="00C35643">
        <w:rPr>
          <w:b/>
          <w:color w:val="000000" w:themeColor="text1"/>
        </w:rPr>
        <w:t>Discussion</w:t>
      </w:r>
    </w:p>
    <w:p w14:paraId="674BED0B" w14:textId="68917559" w:rsidR="001A61F3" w:rsidRPr="00C35643" w:rsidRDefault="003E79D9" w:rsidP="003E79D9">
      <w:pPr>
        <w:spacing w:line="480" w:lineRule="auto"/>
        <w:rPr>
          <w:color w:val="000000" w:themeColor="text1"/>
        </w:rPr>
      </w:pPr>
      <w:r w:rsidRPr="00C35643">
        <w:rPr>
          <w:b/>
          <w:color w:val="000000" w:themeColor="text1"/>
        </w:rPr>
        <w:tab/>
      </w:r>
      <w:r w:rsidRPr="00C35643">
        <w:rPr>
          <w:color w:val="000000" w:themeColor="text1"/>
        </w:rPr>
        <w:t xml:space="preserve">Of the </w:t>
      </w:r>
      <w:r w:rsidR="00F245B0" w:rsidRPr="00C35643">
        <w:rPr>
          <w:color w:val="000000" w:themeColor="text1"/>
        </w:rPr>
        <w:t>four measures</w:t>
      </w:r>
      <w:r w:rsidRPr="00C35643">
        <w:rPr>
          <w:color w:val="000000" w:themeColor="text1"/>
        </w:rPr>
        <w:t xml:space="preserve"> examined in this study,</w:t>
      </w:r>
      <w:r w:rsidR="00F245B0" w:rsidRPr="00C35643">
        <w:rPr>
          <w:color w:val="000000" w:themeColor="text1"/>
        </w:rPr>
        <w:t xml:space="preserve"> </w:t>
      </w:r>
      <w:r w:rsidR="00003069" w:rsidRPr="00C35643">
        <w:rPr>
          <w:color w:val="000000" w:themeColor="text1"/>
        </w:rPr>
        <w:t>three</w:t>
      </w:r>
      <w:r w:rsidR="00F245B0" w:rsidRPr="00C35643">
        <w:rPr>
          <w:color w:val="000000" w:themeColor="text1"/>
        </w:rPr>
        <w:t xml:space="preserve"> </w:t>
      </w:r>
      <w:r w:rsidR="00664908" w:rsidRPr="00C35643">
        <w:rPr>
          <w:color w:val="000000" w:themeColor="text1"/>
        </w:rPr>
        <w:t xml:space="preserve">– </w:t>
      </w:r>
      <w:r w:rsidR="00F245B0" w:rsidRPr="00C35643">
        <w:rPr>
          <w:color w:val="000000" w:themeColor="text1"/>
        </w:rPr>
        <w:t>t</w:t>
      </w:r>
      <w:r w:rsidRPr="00C35643">
        <w:rPr>
          <w:color w:val="000000" w:themeColor="text1"/>
        </w:rPr>
        <w:t xml:space="preserve">he </w:t>
      </w:r>
      <w:r w:rsidR="00003069" w:rsidRPr="00C35643">
        <w:rPr>
          <w:color w:val="000000" w:themeColor="text1"/>
        </w:rPr>
        <w:t xml:space="preserve">Condom Turn-Offs </w:t>
      </w:r>
      <w:r w:rsidR="004136B0" w:rsidRPr="00C35643">
        <w:rPr>
          <w:color w:val="000000" w:themeColor="text1"/>
        </w:rPr>
        <w:t>s</w:t>
      </w:r>
      <w:r w:rsidR="00003069" w:rsidRPr="00C35643">
        <w:rPr>
          <w:color w:val="000000" w:themeColor="text1"/>
        </w:rPr>
        <w:t xml:space="preserve">cale, the </w:t>
      </w:r>
      <w:r w:rsidRPr="00C35643">
        <w:rPr>
          <w:color w:val="000000" w:themeColor="text1"/>
        </w:rPr>
        <w:t xml:space="preserve">Condom Pleasure scale, and the one item </w:t>
      </w:r>
      <w:r w:rsidR="009B3A13" w:rsidRPr="00C35643">
        <w:rPr>
          <w:color w:val="000000" w:themeColor="text1"/>
        </w:rPr>
        <w:t xml:space="preserve">measure </w:t>
      </w:r>
      <w:r w:rsidR="00FF5064" w:rsidRPr="00C35643">
        <w:rPr>
          <w:color w:val="000000" w:themeColor="text1"/>
        </w:rPr>
        <w:t>on whether or not discussion with a</w:t>
      </w:r>
      <w:r w:rsidR="00664908" w:rsidRPr="00C35643">
        <w:rPr>
          <w:color w:val="000000" w:themeColor="text1"/>
        </w:rPr>
        <w:t xml:space="preserve"> </w:t>
      </w:r>
      <w:r w:rsidR="00664908" w:rsidRPr="00C35643">
        <w:rPr>
          <w:color w:val="000000" w:themeColor="text1"/>
        </w:rPr>
        <w:lastRenderedPageBreak/>
        <w:t>partner about condom use</w:t>
      </w:r>
      <w:r w:rsidR="00F245B0" w:rsidRPr="00C35643">
        <w:rPr>
          <w:color w:val="000000" w:themeColor="text1"/>
        </w:rPr>
        <w:t xml:space="preserve"> before becoming sexually aroused</w:t>
      </w:r>
      <w:r w:rsidR="00FF5064" w:rsidRPr="00C35643">
        <w:rPr>
          <w:color w:val="000000" w:themeColor="text1"/>
        </w:rPr>
        <w:t xml:space="preserve"> took place</w:t>
      </w:r>
      <w:r w:rsidR="00F245B0" w:rsidRPr="00C35643">
        <w:rPr>
          <w:color w:val="000000" w:themeColor="text1"/>
        </w:rPr>
        <w:t xml:space="preserve"> – showed </w:t>
      </w:r>
      <w:r w:rsidR="00FF5064" w:rsidRPr="00C35643">
        <w:rPr>
          <w:color w:val="000000" w:themeColor="text1"/>
        </w:rPr>
        <w:t xml:space="preserve">associations with sexual risk behavior. </w:t>
      </w:r>
      <w:r w:rsidR="009B3A13" w:rsidRPr="00C35643">
        <w:rPr>
          <w:color w:val="000000" w:themeColor="text1"/>
        </w:rPr>
        <w:t xml:space="preserve">These associations </w:t>
      </w:r>
      <w:r w:rsidR="00571412" w:rsidRPr="00C35643">
        <w:rPr>
          <w:color w:val="000000" w:themeColor="text1"/>
        </w:rPr>
        <w:t>provide</w:t>
      </w:r>
      <w:r w:rsidR="009B3A13" w:rsidRPr="00C35643">
        <w:rPr>
          <w:color w:val="000000" w:themeColor="text1"/>
        </w:rPr>
        <w:t xml:space="preserve"> strong evidence of criterion validity for these measures. </w:t>
      </w:r>
      <w:r w:rsidR="00571412" w:rsidRPr="00C35643">
        <w:rPr>
          <w:color w:val="000000" w:themeColor="text1"/>
        </w:rPr>
        <w:t xml:space="preserve">Thus, these measures may be useful in the context of intervention research conducted </w:t>
      </w:r>
      <w:proofErr w:type="gramStart"/>
      <w:r w:rsidR="00571412" w:rsidRPr="00C35643">
        <w:rPr>
          <w:color w:val="000000" w:themeColor="text1"/>
        </w:rPr>
        <w:t>among YBMSM</w:t>
      </w:r>
      <w:proofErr w:type="gramEnd"/>
      <w:r w:rsidR="00571412" w:rsidRPr="00C35643">
        <w:rPr>
          <w:color w:val="000000" w:themeColor="text1"/>
        </w:rPr>
        <w:t>.</w:t>
      </w:r>
      <w:r w:rsidR="001A61F3" w:rsidRPr="00C35643">
        <w:rPr>
          <w:color w:val="000000" w:themeColor="text1"/>
        </w:rPr>
        <w:t xml:space="preserve"> It is important to consider the relevant merit of each of these measures</w:t>
      </w:r>
      <w:r w:rsidR="004321A0" w:rsidRPr="00C35643">
        <w:rPr>
          <w:color w:val="000000" w:themeColor="text1"/>
        </w:rPr>
        <w:t xml:space="preserve"> in regards to the behaviors used to judge their criterion validity</w:t>
      </w:r>
      <w:r w:rsidR="001A61F3" w:rsidRPr="00C35643">
        <w:rPr>
          <w:color w:val="000000" w:themeColor="text1"/>
        </w:rPr>
        <w:t>.</w:t>
      </w:r>
    </w:p>
    <w:p w14:paraId="7CC2D58E" w14:textId="3695B3EB" w:rsidR="00AD21CF" w:rsidRPr="00C35643" w:rsidRDefault="004321A0" w:rsidP="004321A0">
      <w:pPr>
        <w:spacing w:line="480" w:lineRule="auto"/>
        <w:ind w:firstLine="720"/>
        <w:rPr>
          <w:color w:val="000000" w:themeColor="text1"/>
        </w:rPr>
      </w:pPr>
      <w:r w:rsidRPr="00C35643">
        <w:rPr>
          <w:color w:val="000000" w:themeColor="text1"/>
        </w:rPr>
        <w:t>All four measures</w:t>
      </w:r>
      <w:r w:rsidR="00397431" w:rsidRPr="00C35643">
        <w:rPr>
          <w:color w:val="000000" w:themeColor="text1"/>
        </w:rPr>
        <w:t>,</w:t>
      </w:r>
      <w:r w:rsidRPr="00C35643">
        <w:rPr>
          <w:color w:val="000000" w:themeColor="text1"/>
        </w:rPr>
        <w:t xml:space="preserve"> with the exception of Safer Sex Communication</w:t>
      </w:r>
      <w:r w:rsidR="00234D27" w:rsidRPr="00C35643">
        <w:rPr>
          <w:color w:val="000000" w:themeColor="text1"/>
        </w:rPr>
        <w:t xml:space="preserve"> (for which there were trends in the expected direction)</w:t>
      </w:r>
      <w:r w:rsidRPr="00C35643">
        <w:rPr>
          <w:color w:val="000000" w:themeColor="text1"/>
        </w:rPr>
        <w:t>, were supportive of criterion validity for both UAIS and UARS.</w:t>
      </w:r>
      <w:r w:rsidR="00397431" w:rsidRPr="00C35643">
        <w:rPr>
          <w:color w:val="000000" w:themeColor="text1"/>
        </w:rPr>
        <w:t xml:space="preserve"> </w:t>
      </w:r>
      <w:r w:rsidR="00234D27" w:rsidRPr="00C35643">
        <w:rPr>
          <w:color w:val="000000" w:themeColor="text1"/>
        </w:rPr>
        <w:t xml:space="preserve">Specifically, men who scored higher on safer sex communication, lower on condom turn-offs, higher on condom pleasure, and almost always or always discussed condoms with a partner before becoming sexual aroused, </w:t>
      </w:r>
      <w:r w:rsidR="004C0FEF" w:rsidRPr="00C35643">
        <w:rPr>
          <w:color w:val="000000" w:themeColor="text1"/>
        </w:rPr>
        <w:t>were less likely to report UAIS and UARS.</w:t>
      </w:r>
      <w:r w:rsidR="00AD21CF" w:rsidRPr="00C35643">
        <w:rPr>
          <w:color w:val="000000" w:themeColor="text1"/>
        </w:rPr>
        <w:t xml:space="preserve"> All of the men in this study (by virtue of the selection criteria) reported </w:t>
      </w:r>
      <w:r w:rsidR="00E45E3E" w:rsidRPr="00C35643">
        <w:rPr>
          <w:color w:val="000000" w:themeColor="text1"/>
        </w:rPr>
        <w:t>UAIS</w:t>
      </w:r>
      <w:r w:rsidR="00AD21CF" w:rsidRPr="00C35643">
        <w:rPr>
          <w:color w:val="000000" w:themeColor="text1"/>
        </w:rPr>
        <w:t xml:space="preserve"> during the past six months but </w:t>
      </w:r>
      <w:r w:rsidR="00E45E3E" w:rsidRPr="00C35643">
        <w:rPr>
          <w:color w:val="000000" w:themeColor="text1"/>
        </w:rPr>
        <w:t>approximately 80%</w:t>
      </w:r>
      <w:r w:rsidR="00AD21CF" w:rsidRPr="00C35643">
        <w:rPr>
          <w:color w:val="000000" w:themeColor="text1"/>
        </w:rPr>
        <w:t xml:space="preserve"> had also engaged in </w:t>
      </w:r>
      <w:r w:rsidR="00E45E3E" w:rsidRPr="00C35643">
        <w:rPr>
          <w:color w:val="000000" w:themeColor="text1"/>
        </w:rPr>
        <w:t>UARS</w:t>
      </w:r>
      <w:r w:rsidR="00AD21CF" w:rsidRPr="00C35643">
        <w:rPr>
          <w:color w:val="000000" w:themeColor="text1"/>
        </w:rPr>
        <w:t xml:space="preserve"> during that period. What is interesting is that these </w:t>
      </w:r>
      <w:r w:rsidR="00E45E3E" w:rsidRPr="00C35643">
        <w:rPr>
          <w:color w:val="000000" w:themeColor="text1"/>
        </w:rPr>
        <w:t xml:space="preserve">associations with attitudes toward, </w:t>
      </w:r>
      <w:r w:rsidR="004F771D" w:rsidRPr="00C35643">
        <w:rPr>
          <w:color w:val="000000" w:themeColor="text1"/>
        </w:rPr>
        <w:t>and communication, condom applied for both UAIS and UASR.</w:t>
      </w:r>
    </w:p>
    <w:p w14:paraId="7F3F79F1" w14:textId="4BD3219E" w:rsidR="004829DB" w:rsidRPr="00C35643" w:rsidRDefault="00AD21CF" w:rsidP="004829DB">
      <w:pPr>
        <w:spacing w:line="480" w:lineRule="auto"/>
        <w:ind w:firstLine="720"/>
        <w:rPr>
          <w:color w:val="000000" w:themeColor="text1"/>
        </w:rPr>
      </w:pPr>
      <w:r w:rsidRPr="00C35643">
        <w:rPr>
          <w:color w:val="000000" w:themeColor="text1"/>
        </w:rPr>
        <w:t xml:space="preserve"> </w:t>
      </w:r>
      <w:r w:rsidR="004829DB" w:rsidRPr="00C35643">
        <w:rPr>
          <w:color w:val="000000" w:themeColor="text1"/>
        </w:rPr>
        <w:t>Regarding the m</w:t>
      </w:r>
      <w:r w:rsidR="00092B73" w:rsidRPr="00C35643">
        <w:rPr>
          <w:color w:val="000000" w:themeColor="text1"/>
        </w:rPr>
        <w:t>ultiple partner</w:t>
      </w:r>
      <w:r w:rsidR="004829DB" w:rsidRPr="00C35643">
        <w:rPr>
          <w:color w:val="000000" w:themeColor="text1"/>
        </w:rPr>
        <w:t xml:space="preserve"> variables, </w:t>
      </w:r>
      <w:r w:rsidR="00551D00" w:rsidRPr="00C35643">
        <w:rPr>
          <w:color w:val="000000" w:themeColor="text1"/>
        </w:rPr>
        <w:t xml:space="preserve">both the </w:t>
      </w:r>
      <w:r w:rsidR="004829DB" w:rsidRPr="00C35643">
        <w:rPr>
          <w:color w:val="000000" w:themeColor="text1"/>
        </w:rPr>
        <w:t>Condom Turnoffs and Condom Pleasure</w:t>
      </w:r>
      <w:r w:rsidR="00551D00" w:rsidRPr="00C35643">
        <w:rPr>
          <w:color w:val="000000" w:themeColor="text1"/>
        </w:rPr>
        <w:t xml:space="preserve"> scale</w:t>
      </w:r>
      <w:r w:rsidR="004829DB" w:rsidRPr="00C35643">
        <w:rPr>
          <w:color w:val="000000" w:themeColor="text1"/>
        </w:rPr>
        <w:t xml:space="preserve"> were significantly related to whether or not men reported multiple partners as a top. Only the Condom Pleasure scale, however, was associated with reports of multiple partners as a bottom</w:t>
      </w:r>
      <w:r w:rsidR="0095352B" w:rsidRPr="00C35643">
        <w:rPr>
          <w:color w:val="000000" w:themeColor="text1"/>
        </w:rPr>
        <w:t>, with more men scoring high on this scale (i.e., believing that condoms intensified pleasure) reporting multiple partners compared with those who scored lower</w:t>
      </w:r>
      <w:r w:rsidR="004829DB" w:rsidRPr="00C35643">
        <w:rPr>
          <w:color w:val="000000" w:themeColor="text1"/>
        </w:rPr>
        <w:t xml:space="preserve">. </w:t>
      </w:r>
      <w:r w:rsidR="00551D00" w:rsidRPr="00C35643">
        <w:rPr>
          <w:color w:val="000000" w:themeColor="text1"/>
        </w:rPr>
        <w:t xml:space="preserve">There were no significant associations between reporting multiple partners and </w:t>
      </w:r>
      <w:r w:rsidR="00E63C22" w:rsidRPr="00C35643">
        <w:rPr>
          <w:color w:val="000000" w:themeColor="text1"/>
        </w:rPr>
        <w:t xml:space="preserve">scores on </w:t>
      </w:r>
      <w:r w:rsidR="00551D00" w:rsidRPr="00C35643">
        <w:rPr>
          <w:color w:val="000000" w:themeColor="text1"/>
        </w:rPr>
        <w:t xml:space="preserve">the Safer Sex Communication or the single-item communication measures. </w:t>
      </w:r>
    </w:p>
    <w:p w14:paraId="06C2AE3E" w14:textId="18F59B26" w:rsidR="00551D00" w:rsidRPr="00C35643" w:rsidRDefault="00551D00" w:rsidP="004829DB">
      <w:pPr>
        <w:spacing w:line="480" w:lineRule="auto"/>
        <w:ind w:firstLine="720"/>
        <w:rPr>
          <w:color w:val="000000" w:themeColor="text1"/>
        </w:rPr>
      </w:pPr>
      <w:r w:rsidRPr="00C35643">
        <w:rPr>
          <w:color w:val="000000" w:themeColor="text1"/>
        </w:rPr>
        <w:lastRenderedPageBreak/>
        <w:t>Only the Condom Turn Offs scale was positively associated with having been diagnosed with either Chlamydia and/or gonorrhea. This association, however, is strong evide</w:t>
      </w:r>
      <w:r w:rsidR="00860340" w:rsidRPr="00C35643">
        <w:rPr>
          <w:color w:val="000000" w:themeColor="text1"/>
        </w:rPr>
        <w:t>nce of criterion validity, given that the actual acquisition of these infections represents a culmination of multiple risky behaviors.</w:t>
      </w:r>
    </w:p>
    <w:p w14:paraId="61921599" w14:textId="6B336212" w:rsidR="00B804B7" w:rsidRPr="00C35643" w:rsidRDefault="008D13D7" w:rsidP="003E79D9">
      <w:pPr>
        <w:spacing w:line="480" w:lineRule="auto"/>
        <w:rPr>
          <w:color w:val="000000" w:themeColor="text1"/>
        </w:rPr>
      </w:pPr>
      <w:r w:rsidRPr="00C35643">
        <w:rPr>
          <w:color w:val="000000" w:themeColor="text1"/>
        </w:rPr>
        <w:tab/>
        <w:t xml:space="preserve">With the exception of </w:t>
      </w:r>
      <w:r w:rsidR="0095352B" w:rsidRPr="00C35643">
        <w:rPr>
          <w:color w:val="000000" w:themeColor="text1"/>
        </w:rPr>
        <w:t xml:space="preserve">the </w:t>
      </w:r>
      <w:r w:rsidRPr="00C35643">
        <w:rPr>
          <w:color w:val="000000" w:themeColor="text1"/>
        </w:rPr>
        <w:t>Condom Turn-Offs</w:t>
      </w:r>
      <w:r w:rsidR="0095352B" w:rsidRPr="00C35643">
        <w:rPr>
          <w:color w:val="000000" w:themeColor="text1"/>
        </w:rPr>
        <w:t xml:space="preserve"> scale</w:t>
      </w:r>
      <w:r w:rsidR="002E31B0" w:rsidRPr="00C35643">
        <w:rPr>
          <w:color w:val="000000" w:themeColor="text1"/>
        </w:rPr>
        <w:t>, the three other measures</w:t>
      </w:r>
      <w:r w:rsidRPr="00C35643">
        <w:rPr>
          <w:color w:val="000000" w:themeColor="text1"/>
        </w:rPr>
        <w:t xml:space="preserve"> </w:t>
      </w:r>
      <w:r w:rsidR="002E31B0" w:rsidRPr="00C35643">
        <w:rPr>
          <w:color w:val="000000" w:themeColor="text1"/>
        </w:rPr>
        <w:t>were</w:t>
      </w:r>
      <w:r w:rsidRPr="00C35643">
        <w:rPr>
          <w:color w:val="000000" w:themeColor="text1"/>
        </w:rPr>
        <w:t xml:space="preserve"> supported by criterion validity of unprotected oral sex. </w:t>
      </w:r>
      <w:r w:rsidR="000465C0" w:rsidRPr="00C35643">
        <w:rPr>
          <w:color w:val="000000" w:themeColor="text1"/>
        </w:rPr>
        <w:t xml:space="preserve">Rarely have studies had enough variance in this outcome for </w:t>
      </w:r>
      <w:r w:rsidR="002E31B0" w:rsidRPr="00C35643">
        <w:rPr>
          <w:color w:val="000000" w:themeColor="text1"/>
        </w:rPr>
        <w:t xml:space="preserve">comparisons to be made between those using and not using condoms for oral sex. </w:t>
      </w:r>
    </w:p>
    <w:p w14:paraId="7BDAB510" w14:textId="52B8DBC2" w:rsidR="00523F1A" w:rsidRPr="00C35643" w:rsidRDefault="00523F1A" w:rsidP="003E79D9">
      <w:pPr>
        <w:spacing w:line="480" w:lineRule="auto"/>
        <w:rPr>
          <w:color w:val="000000" w:themeColor="text1"/>
        </w:rPr>
      </w:pPr>
      <w:r w:rsidRPr="00C35643">
        <w:rPr>
          <w:color w:val="000000" w:themeColor="text1"/>
        </w:rPr>
        <w:tab/>
        <w:t xml:space="preserve">A striking finding in this </w:t>
      </w:r>
      <w:r w:rsidR="000A1A2F" w:rsidRPr="00C35643">
        <w:rPr>
          <w:color w:val="000000" w:themeColor="text1"/>
        </w:rPr>
        <w:t>study</w:t>
      </w:r>
      <w:r w:rsidRPr="00C35643">
        <w:rPr>
          <w:color w:val="000000" w:themeColor="text1"/>
        </w:rPr>
        <w:t xml:space="preserve"> was the</w:t>
      </w:r>
      <w:r w:rsidR="000A1A2F" w:rsidRPr="00C35643">
        <w:rPr>
          <w:color w:val="000000" w:themeColor="text1"/>
        </w:rPr>
        <w:t xml:space="preserve"> high prevalence of condom use during oral sex (approximately one in five men reported condom use during oral sex). In contrast, nationally representative, predominantly heterosexual samples in the U.S. and Sweden found rates of condom use during oral sex of approximately 5%</w:t>
      </w:r>
      <w:proofErr w:type="gramStart"/>
      <w:r w:rsidR="00A33E38" w:rsidRPr="00C35643">
        <w:rPr>
          <w:color w:val="000000" w:themeColor="text1"/>
        </w:rPr>
        <w:t>.</w:t>
      </w:r>
      <w:r w:rsidR="00A33E38" w:rsidRPr="00C35643">
        <w:rPr>
          <w:color w:val="000000" w:themeColor="text1"/>
          <w:vertAlign w:val="superscript"/>
        </w:rPr>
        <w:t>22,23</w:t>
      </w:r>
      <w:proofErr w:type="gramEnd"/>
      <w:r w:rsidR="00A33E38" w:rsidRPr="00C35643">
        <w:rPr>
          <w:color w:val="000000" w:themeColor="text1"/>
        </w:rPr>
        <w:t xml:space="preserve"> </w:t>
      </w:r>
    </w:p>
    <w:p w14:paraId="1E10D8B7" w14:textId="08DC1BEF" w:rsidR="004F0B71" w:rsidRPr="00C35643" w:rsidRDefault="004F0B71" w:rsidP="003E79D9">
      <w:pPr>
        <w:spacing w:line="480" w:lineRule="auto"/>
        <w:rPr>
          <w:color w:val="000000" w:themeColor="text1"/>
        </w:rPr>
      </w:pPr>
      <w:r w:rsidRPr="00C35643">
        <w:rPr>
          <w:color w:val="000000" w:themeColor="text1"/>
        </w:rPr>
        <w:tab/>
      </w:r>
      <w:r w:rsidR="005E73E4" w:rsidRPr="00C35643">
        <w:rPr>
          <w:color w:val="000000" w:themeColor="text1"/>
        </w:rPr>
        <w:t xml:space="preserve">Another noteworthy finding was the high proportion of men in this sample who endorsed perceptions that condoms enhanced pleasure. </w:t>
      </w:r>
      <w:r w:rsidR="00B724E9" w:rsidRPr="00C35643">
        <w:rPr>
          <w:color w:val="000000" w:themeColor="text1"/>
        </w:rPr>
        <w:t>To our knowledge, no previous studies have constructed and tested a scale that assesses pleasure associated with condom use.</w:t>
      </w:r>
    </w:p>
    <w:p w14:paraId="23297602" w14:textId="22E00FDE" w:rsidR="000D64C1" w:rsidRPr="00C35643" w:rsidRDefault="000D64C1" w:rsidP="00BB0D0B">
      <w:pPr>
        <w:spacing w:line="480" w:lineRule="auto"/>
        <w:rPr>
          <w:color w:val="000000" w:themeColor="text1"/>
          <w:u w:val="single"/>
        </w:rPr>
      </w:pPr>
      <w:r w:rsidRPr="00C35643">
        <w:rPr>
          <w:color w:val="000000" w:themeColor="text1"/>
          <w:u w:val="single"/>
        </w:rPr>
        <w:t>Limitations</w:t>
      </w:r>
    </w:p>
    <w:p w14:paraId="0091E544" w14:textId="2FA2F822" w:rsidR="00CD429E" w:rsidRPr="00C35643" w:rsidRDefault="000D64C1" w:rsidP="004F6FD6">
      <w:pPr>
        <w:pStyle w:val="CommentText"/>
        <w:spacing w:line="480" w:lineRule="auto"/>
        <w:rPr>
          <w:color w:val="000000" w:themeColor="text1"/>
        </w:rPr>
      </w:pPr>
      <w:r w:rsidRPr="00C35643">
        <w:rPr>
          <w:color w:val="000000" w:themeColor="text1"/>
        </w:rPr>
        <w:tab/>
      </w:r>
      <w:r w:rsidR="000A1A2F" w:rsidRPr="00C35643">
        <w:rPr>
          <w:color w:val="000000" w:themeColor="text1"/>
        </w:rPr>
        <w:t>Because data for this study came from a larger randomized trial that only recruited men who had been tops at least once in the last six month</w:t>
      </w:r>
      <w:r w:rsidR="007A288B" w:rsidRPr="00C35643">
        <w:rPr>
          <w:color w:val="000000" w:themeColor="text1"/>
        </w:rPr>
        <w:t>s</w:t>
      </w:r>
      <w:r w:rsidR="000A1A2F" w:rsidRPr="00C35643">
        <w:rPr>
          <w:color w:val="000000" w:themeColor="text1"/>
        </w:rPr>
        <w:t>, this sample was highly selected.</w:t>
      </w:r>
      <w:r w:rsidR="007A288B" w:rsidRPr="00C35643">
        <w:rPr>
          <w:color w:val="000000" w:themeColor="text1"/>
        </w:rPr>
        <w:t xml:space="preserve"> </w:t>
      </w:r>
      <w:r w:rsidR="00F1660D" w:rsidRPr="00C35643">
        <w:rPr>
          <w:color w:val="000000" w:themeColor="text1"/>
        </w:rPr>
        <w:t xml:space="preserve"> </w:t>
      </w:r>
    </w:p>
    <w:p w14:paraId="3BF1AFB1" w14:textId="61E5CE9E" w:rsidR="000D64C1" w:rsidRPr="00C35643" w:rsidRDefault="000D64C1" w:rsidP="008867A4">
      <w:pPr>
        <w:spacing w:line="480" w:lineRule="auto"/>
        <w:rPr>
          <w:color w:val="000000" w:themeColor="text1"/>
          <w:u w:val="single"/>
        </w:rPr>
      </w:pPr>
      <w:r w:rsidRPr="00C35643">
        <w:rPr>
          <w:color w:val="000000" w:themeColor="text1"/>
          <w:u w:val="single"/>
        </w:rPr>
        <w:t>Conclusions</w:t>
      </w:r>
    </w:p>
    <w:p w14:paraId="584DD2D2" w14:textId="144A34E0" w:rsidR="005E73E4" w:rsidRPr="00C35643" w:rsidRDefault="005E73E4" w:rsidP="005E73E4">
      <w:pPr>
        <w:spacing w:line="480" w:lineRule="auto"/>
        <w:ind w:firstLine="420"/>
        <w:rPr>
          <w:color w:val="000000" w:themeColor="text1"/>
        </w:rPr>
      </w:pPr>
      <w:r w:rsidRPr="00C35643">
        <w:rPr>
          <w:color w:val="000000" w:themeColor="text1"/>
        </w:rPr>
        <w:t xml:space="preserve">Given that the purpose of the study was to identify measures of psychosocial mediators for safer sex behaviors, the findings provide three brief scales and a single item </w:t>
      </w:r>
      <w:r w:rsidRPr="00C35643">
        <w:rPr>
          <w:color w:val="000000" w:themeColor="text1"/>
        </w:rPr>
        <w:lastRenderedPageBreak/>
        <w:t>that can be used by other researchers in intervention studies targeting YBMSM.</w:t>
      </w:r>
      <w:r w:rsidR="00B724E9" w:rsidRPr="00C35643">
        <w:rPr>
          <w:color w:val="000000" w:themeColor="text1"/>
        </w:rPr>
        <w:t xml:space="preserve"> Perceptions about condoms a turn off and about condoms enhancing pleasure showed strong association with sexual risk behaviors.</w:t>
      </w:r>
    </w:p>
    <w:p w14:paraId="45AB50F6" w14:textId="77777777" w:rsidR="005E73E4" w:rsidRDefault="005E73E4" w:rsidP="008867A4">
      <w:pPr>
        <w:spacing w:line="480" w:lineRule="auto"/>
        <w:rPr>
          <w:u w:val="single"/>
        </w:rPr>
      </w:pPr>
    </w:p>
    <w:p w14:paraId="181B614E" w14:textId="7E87BFE5" w:rsidR="00BC632B" w:rsidRDefault="000D64C1" w:rsidP="008867A4">
      <w:pPr>
        <w:spacing w:line="480" w:lineRule="auto"/>
      </w:pPr>
      <w:r>
        <w:tab/>
      </w:r>
    </w:p>
    <w:p w14:paraId="5A33BC9B" w14:textId="15994906" w:rsidR="00AA2788" w:rsidRDefault="00AA2788" w:rsidP="00F15D7F">
      <w:r>
        <w:br w:type="page"/>
      </w:r>
    </w:p>
    <w:p w14:paraId="7F7A9648" w14:textId="49290A43" w:rsidR="00EB4D9E" w:rsidRPr="001A7BD1" w:rsidRDefault="00EB4D9E" w:rsidP="00C35643">
      <w:pPr>
        <w:spacing w:line="480" w:lineRule="auto"/>
        <w:ind w:left="567" w:hanging="567"/>
        <w:jc w:val="center"/>
        <w:rPr>
          <w:b/>
        </w:rPr>
      </w:pPr>
      <w:r w:rsidRPr="001A7BD1">
        <w:rPr>
          <w:b/>
        </w:rPr>
        <w:lastRenderedPageBreak/>
        <w:t>References</w:t>
      </w:r>
    </w:p>
    <w:p w14:paraId="1CE435EE" w14:textId="77777777" w:rsidR="00017370" w:rsidRPr="001A7BD1" w:rsidRDefault="00EB4D9E" w:rsidP="00B2358E">
      <w:pPr>
        <w:spacing w:line="480" w:lineRule="auto"/>
      </w:pPr>
      <w:r w:rsidRPr="001A7BD1">
        <w:t xml:space="preserve">1. </w:t>
      </w:r>
      <w:r w:rsidR="00017370" w:rsidRPr="001A7BD1">
        <w:t xml:space="preserve">Centers of Disease Control and Prevention. </w:t>
      </w:r>
      <w:proofErr w:type="gramStart"/>
      <w:r w:rsidR="00017370" w:rsidRPr="001A7BD1">
        <w:t>HIV among gay and bisexual men.</w:t>
      </w:r>
      <w:proofErr w:type="gramEnd"/>
      <w:r w:rsidR="00017370" w:rsidRPr="001A7BD1">
        <w:t xml:space="preserve"> Available at: </w:t>
      </w:r>
      <w:hyperlink r:id="rId10" w:history="1">
        <w:r w:rsidR="00017370" w:rsidRPr="001A7BD1">
          <w:rPr>
            <w:rStyle w:val="Hyperlink"/>
          </w:rPr>
          <w:t>http://www.cdc.gov/hiv/topics/msm/index.htm</w:t>
        </w:r>
      </w:hyperlink>
      <w:r w:rsidR="00017370" w:rsidRPr="001A7BD1">
        <w:rPr>
          <w:rStyle w:val="Hyperlink"/>
        </w:rPr>
        <w:t>.</w:t>
      </w:r>
    </w:p>
    <w:p w14:paraId="79F5A2FB" w14:textId="77777777" w:rsidR="00EB4D9E" w:rsidRPr="001A7BD1" w:rsidRDefault="00EB4D9E" w:rsidP="00B2358E">
      <w:pPr>
        <w:spacing w:line="480" w:lineRule="auto"/>
      </w:pPr>
      <w:r w:rsidRPr="001A7BD1">
        <w:t xml:space="preserve">2. Centers of Disease Control and Prevention. DHAP annual report 2011: Accelerating progress, investing for impact. Available at: </w:t>
      </w:r>
      <w:hyperlink r:id="rId11" w:history="1">
        <w:r w:rsidRPr="001A7BD1">
          <w:rPr>
            <w:rStyle w:val="Hyperlink"/>
          </w:rPr>
          <w:t>http://www.cdc.gov/hiv/strategy/pdf/DHAP_AnnualReport.pdf</w:t>
        </w:r>
      </w:hyperlink>
      <w:r w:rsidRPr="001A7BD1">
        <w:rPr>
          <w:rStyle w:val="Hyperlink"/>
        </w:rPr>
        <w:t>.</w:t>
      </w:r>
    </w:p>
    <w:p w14:paraId="5F7A67E0" w14:textId="77777777" w:rsidR="00017370" w:rsidRPr="001A7BD1" w:rsidRDefault="00EB4D9E" w:rsidP="00B2358E">
      <w:pPr>
        <w:spacing w:line="480" w:lineRule="auto"/>
      </w:pPr>
      <w:r w:rsidRPr="001A7BD1">
        <w:t xml:space="preserve">3. </w:t>
      </w:r>
      <w:r w:rsidR="00017370" w:rsidRPr="001A7BD1">
        <w:t xml:space="preserve">Office of National AIDS Policy. </w:t>
      </w:r>
      <w:proofErr w:type="gramStart"/>
      <w:r w:rsidR="00017370" w:rsidRPr="001A7BD1">
        <w:t>National HIV/AIDS strategy for the United States.</w:t>
      </w:r>
      <w:proofErr w:type="gramEnd"/>
      <w:r w:rsidR="00017370" w:rsidRPr="001A7BD1">
        <w:t xml:space="preserve"> 2010</w:t>
      </w:r>
      <w:proofErr w:type="gramStart"/>
      <w:r w:rsidR="00017370" w:rsidRPr="001A7BD1">
        <w:t>;</w:t>
      </w:r>
      <w:proofErr w:type="gramEnd"/>
      <w:r w:rsidR="00017370" w:rsidRPr="001A7BD1">
        <w:t xml:space="preserve"> Available at: </w:t>
      </w:r>
      <w:hyperlink r:id="rId12" w:history="1">
        <w:r w:rsidR="00017370" w:rsidRPr="001A7BD1">
          <w:rPr>
            <w:rStyle w:val="Hyperlink"/>
          </w:rPr>
          <w:t>http://www.whitehouse.gov/administration/eop/onap/nhas</w:t>
        </w:r>
      </w:hyperlink>
      <w:r w:rsidR="00017370" w:rsidRPr="001A7BD1">
        <w:t>. Accessed July 20, 2012.</w:t>
      </w:r>
    </w:p>
    <w:p w14:paraId="75EFDD67" w14:textId="77777777" w:rsidR="00EB4D9E" w:rsidRPr="001A7BD1" w:rsidRDefault="00EB4D9E" w:rsidP="00B2358E">
      <w:pPr>
        <w:spacing w:line="480" w:lineRule="auto"/>
      </w:pPr>
      <w:r w:rsidRPr="001A7BD1">
        <w:t>4. Centers for Disease Control and Prevention. HIV/AIDS Surveillance, 201</w:t>
      </w:r>
      <w:r w:rsidR="00ED6A9F" w:rsidRPr="001A7BD1">
        <w:t>2</w:t>
      </w:r>
      <w:r w:rsidRPr="001A7BD1">
        <w:t xml:space="preserve"> (year end edition). US Department of Health and Human Services: Atlanta, GA. Available at: </w:t>
      </w:r>
      <w:hyperlink r:id="rId13" w:anchor="Page=66" w:history="1">
        <w:r w:rsidRPr="001A7BD1">
          <w:rPr>
            <w:rStyle w:val="Hyperlink"/>
          </w:rPr>
          <w:t>http://www.cdc.gov/hiv/surveillance/resources/reports/2010report/pdf/2010_HIV_Surveillance_Report_vol_22.pdf#Page=66</w:t>
        </w:r>
      </w:hyperlink>
      <w:r w:rsidRPr="001A7BD1">
        <w:rPr>
          <w:rStyle w:val="Hyperlink"/>
        </w:rPr>
        <w:t>.</w:t>
      </w:r>
    </w:p>
    <w:p w14:paraId="0E0DC13E" w14:textId="77777777" w:rsidR="00EB4D9E" w:rsidRPr="001A7BD1" w:rsidRDefault="00EB4D9E" w:rsidP="00B2358E">
      <w:pPr>
        <w:spacing w:line="480" w:lineRule="auto"/>
      </w:pPr>
      <w:r w:rsidRPr="001A7BD1">
        <w:t xml:space="preserve">5. National Institutes of Health. </w:t>
      </w:r>
      <w:proofErr w:type="gramStart"/>
      <w:r w:rsidRPr="001A7BD1">
        <w:t>NIH fiscal Year 2007 plan for HIV-related research.</w:t>
      </w:r>
      <w:proofErr w:type="gramEnd"/>
      <w:r w:rsidRPr="001A7BD1">
        <w:t xml:space="preserve"> Available online at: </w:t>
      </w:r>
      <w:hyperlink r:id="rId14" w:tooltip="http://www.nih.gov/od/oar/public/pubs/fy2007/VIII_RacialEthnic.pdf" w:history="1">
        <w:r w:rsidRPr="001A7BD1">
          <w:rPr>
            <w:rStyle w:val="Hyperlink"/>
          </w:rPr>
          <w:t>http://www.nih.gov/od/oar/public/pubs/fy2007/VIII_RacialEthnic.pdf</w:t>
        </w:r>
      </w:hyperlink>
      <w:r w:rsidRPr="001A7BD1">
        <w:t>.</w:t>
      </w:r>
    </w:p>
    <w:p w14:paraId="40BB0EB6" w14:textId="77777777" w:rsidR="00EB4D9E" w:rsidRPr="001A7BD1" w:rsidRDefault="00EB4D9E" w:rsidP="00B235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sidRPr="001A7BD1">
        <w:t xml:space="preserve">6. Centers for Disease Control and Prevention. </w:t>
      </w:r>
      <w:proofErr w:type="gramStart"/>
      <w:r w:rsidRPr="001A7BD1">
        <w:t>HIV/AIDS among African Americans.</w:t>
      </w:r>
      <w:proofErr w:type="gramEnd"/>
      <w:r w:rsidRPr="001A7BD1">
        <w:t xml:space="preserve"> Fact Sheet. </w:t>
      </w:r>
      <w:proofErr w:type="gramStart"/>
      <w:r w:rsidRPr="001A7BD1">
        <w:t xml:space="preserve">Available on-line at </w:t>
      </w:r>
      <w:hyperlink r:id="rId15" w:history="1">
        <w:r w:rsidRPr="001A7BD1">
          <w:rPr>
            <w:rStyle w:val="Hyperlink"/>
          </w:rPr>
          <w:t>http://www.cdc.gov/hiv/pubs/facts/afam.htm</w:t>
        </w:r>
      </w:hyperlink>
      <w:r w:rsidRPr="001A7BD1">
        <w:t>.</w:t>
      </w:r>
      <w:proofErr w:type="gramEnd"/>
      <w:r w:rsidRPr="001A7BD1">
        <w:t xml:space="preserve"> </w:t>
      </w:r>
    </w:p>
    <w:p w14:paraId="633035E1" w14:textId="77777777" w:rsidR="00EB4D9E" w:rsidRDefault="00EB4D9E" w:rsidP="00B2358E">
      <w:pPr>
        <w:spacing w:line="480" w:lineRule="auto"/>
      </w:pPr>
      <w:r w:rsidRPr="001A7BD1">
        <w:t xml:space="preserve">7. Black AIDS Institute. Back of the line: The state of AIDS among Black gay men in America 2012. Available at: </w:t>
      </w:r>
      <w:hyperlink r:id="rId16" w:history="1">
        <w:r w:rsidRPr="001A7BD1">
          <w:rPr>
            <w:rStyle w:val="Hyperlink"/>
          </w:rPr>
          <w:t>http://www.Blackaids.org/index.php?option=com_content&amp;view=article&amp;id=1284&amp;Itemid=198</w:t>
        </w:r>
      </w:hyperlink>
      <w:r w:rsidRPr="001A7BD1">
        <w:t>.</w:t>
      </w:r>
    </w:p>
    <w:p w14:paraId="7CE76D51" w14:textId="6E8C5F79" w:rsidR="00381BFB" w:rsidRDefault="00381BFB" w:rsidP="00B2358E">
      <w:pPr>
        <w:spacing w:line="480" w:lineRule="auto"/>
      </w:pPr>
      <w:r w:rsidRPr="004E4A5E">
        <w:rPr>
          <w:highlight w:val="yellow"/>
        </w:rPr>
        <w:t>8. NHAS</w:t>
      </w:r>
    </w:p>
    <w:p w14:paraId="5559BBF4" w14:textId="70A9E8AE" w:rsidR="00381BFB" w:rsidRDefault="00381BFB" w:rsidP="00B2358E">
      <w:pPr>
        <w:spacing w:line="480" w:lineRule="auto"/>
      </w:pPr>
      <w:r w:rsidRPr="00381BFB">
        <w:lastRenderedPageBreak/>
        <w:t xml:space="preserve">9. </w:t>
      </w:r>
      <w:r w:rsidRPr="00381BFB">
        <w:rPr>
          <w:b/>
        </w:rPr>
        <w:t xml:space="preserve"> </w:t>
      </w:r>
      <w:r w:rsidR="008B7A7C">
        <w:t>Graham CA</w:t>
      </w:r>
      <w:r w:rsidRPr="00381BFB">
        <w:t>,</w:t>
      </w:r>
      <w:r w:rsidRPr="00381BFB">
        <w:rPr>
          <w:b/>
        </w:rPr>
        <w:t xml:space="preserve"> </w:t>
      </w:r>
      <w:r w:rsidRPr="00381BFB">
        <w:t>Crosby</w:t>
      </w:r>
      <w:r w:rsidR="008B7A7C">
        <w:t xml:space="preserve"> RA,</w:t>
      </w:r>
      <w:r w:rsidRPr="00381BFB">
        <w:t xml:space="preserve"> Yarber</w:t>
      </w:r>
      <w:r w:rsidR="008B7A7C">
        <w:t xml:space="preserve"> WL, </w:t>
      </w:r>
      <w:r w:rsidRPr="00381BFB">
        <w:t>Sanders</w:t>
      </w:r>
      <w:r w:rsidR="008B7A7C">
        <w:t xml:space="preserve"> SA.</w:t>
      </w:r>
      <w:r w:rsidRPr="00381BFB">
        <w:t xml:space="preserve"> Incomplete use of condoms: The importance of sexual arousal. </w:t>
      </w:r>
      <w:r w:rsidR="00223501" w:rsidRPr="00223501">
        <w:t xml:space="preserve">AIDS </w:t>
      </w:r>
      <w:r w:rsidR="008B7A7C">
        <w:t>Behav 2011;</w:t>
      </w:r>
      <w:r w:rsidR="008B7A7C">
        <w:rPr>
          <w:i/>
        </w:rPr>
        <w:t xml:space="preserve"> </w:t>
      </w:r>
      <w:r w:rsidRPr="008B7A7C">
        <w:t>15,</w:t>
      </w:r>
      <w:r w:rsidR="008B7A7C">
        <w:t xml:space="preserve"> (7): </w:t>
      </w:r>
      <w:r w:rsidRPr="00381BFB">
        <w:t>1328-1331.</w:t>
      </w:r>
    </w:p>
    <w:p w14:paraId="34D8723F" w14:textId="4D778839" w:rsidR="00381BFB" w:rsidRPr="00381BFB" w:rsidRDefault="00381BFB" w:rsidP="00B2358E">
      <w:pPr>
        <w:spacing w:line="480" w:lineRule="auto"/>
        <w:rPr>
          <w:lang w:val="en-GB"/>
        </w:rPr>
      </w:pPr>
      <w:r w:rsidRPr="00381BFB">
        <w:t xml:space="preserve">10. </w:t>
      </w:r>
      <w:r w:rsidRPr="00381BFB">
        <w:rPr>
          <w:rFonts w:cs="Helvetica"/>
          <w:color w:val="000000"/>
        </w:rPr>
        <w:t>Crosby</w:t>
      </w:r>
      <w:r w:rsidR="008226BA">
        <w:rPr>
          <w:rFonts w:cs="Helvetica"/>
          <w:color w:val="000000"/>
        </w:rPr>
        <w:t xml:space="preserve"> RA, </w:t>
      </w:r>
      <w:r w:rsidRPr="00381BFB">
        <w:rPr>
          <w:rFonts w:cs="Helvetica"/>
          <w:color w:val="000000"/>
        </w:rPr>
        <w:t>Shrier</w:t>
      </w:r>
      <w:r w:rsidR="008226BA">
        <w:rPr>
          <w:rFonts w:cs="Helvetica"/>
          <w:color w:val="000000"/>
        </w:rPr>
        <w:t xml:space="preserve"> L,</w:t>
      </w:r>
      <w:r w:rsidRPr="00381BFB">
        <w:rPr>
          <w:rFonts w:cs="Helvetica"/>
          <w:color w:val="000000"/>
        </w:rPr>
        <w:t xml:space="preserve"> Charnigo</w:t>
      </w:r>
      <w:r w:rsidR="008226BA">
        <w:rPr>
          <w:rFonts w:cs="Helvetica"/>
          <w:color w:val="000000"/>
        </w:rPr>
        <w:t xml:space="preserve"> R, </w:t>
      </w:r>
      <w:r w:rsidRPr="00381BFB">
        <w:t>Sanders</w:t>
      </w:r>
      <w:r w:rsidR="008226BA">
        <w:t xml:space="preserve"> SA,</w:t>
      </w:r>
      <w:r w:rsidRPr="00381BFB">
        <w:t xml:space="preserve"> Graham</w:t>
      </w:r>
      <w:r w:rsidR="008226BA">
        <w:t xml:space="preserve"> CA, </w:t>
      </w:r>
      <w:r w:rsidRPr="00381BFB">
        <w:t>Milhausen</w:t>
      </w:r>
      <w:r w:rsidR="008226BA">
        <w:t xml:space="preserve"> RR, Yarber WL.</w:t>
      </w:r>
      <w:r w:rsidRPr="00381BFB">
        <w:rPr>
          <w:rFonts w:cs="Helvetica"/>
          <w:color w:val="000000"/>
        </w:rPr>
        <w:t xml:space="preserve"> </w:t>
      </w:r>
      <w:r w:rsidRPr="00381BFB">
        <w:t xml:space="preserve">Negative perceptions about condom use among a clinic population: Comparisons by gender, race, and age. </w:t>
      </w:r>
      <w:r w:rsidR="00605D50">
        <w:t>Int</w:t>
      </w:r>
      <w:r w:rsidRPr="008226BA">
        <w:t xml:space="preserve"> </w:t>
      </w:r>
      <w:r w:rsidR="008226BA" w:rsidRPr="008226BA">
        <w:t>J STD AIDS 2013</w:t>
      </w:r>
      <w:r w:rsidR="00605D50">
        <w:t>;</w:t>
      </w:r>
      <w:r w:rsidRPr="00381BFB">
        <w:t xml:space="preserve"> </w:t>
      </w:r>
      <w:r w:rsidRPr="008226BA">
        <w:t>24</w:t>
      </w:r>
      <w:r w:rsidR="008226BA">
        <w:t>:</w:t>
      </w:r>
      <w:r w:rsidRPr="00381BFB">
        <w:t xml:space="preserve"> 200-105. </w:t>
      </w:r>
    </w:p>
    <w:p w14:paraId="0A69BA63" w14:textId="65C9DEDA" w:rsidR="00413F9B" w:rsidRPr="00E96DD2" w:rsidRDefault="00381BFB" w:rsidP="00B2358E">
      <w:pPr>
        <w:widowControl w:val="0"/>
        <w:autoSpaceDE w:val="0"/>
        <w:autoSpaceDN w:val="0"/>
        <w:adjustRightInd w:val="0"/>
        <w:spacing w:line="480" w:lineRule="auto"/>
        <w:rPr>
          <w:rFonts w:eastAsiaTheme="minorEastAsia"/>
          <w:color w:val="1733FF"/>
        </w:rPr>
      </w:pPr>
      <w:r w:rsidRPr="00E96DD2">
        <w:t xml:space="preserve">11. </w:t>
      </w:r>
      <w:r w:rsidRPr="00E96DD2">
        <w:rPr>
          <w:rFonts w:eastAsiaTheme="minorEastAsia"/>
          <w:color w:val="000000"/>
        </w:rPr>
        <w:t>Flood M. Lust, trust and latex: why young heterosexual men do not</w:t>
      </w:r>
      <w:r w:rsidRPr="00AE071B">
        <w:rPr>
          <w:rFonts w:eastAsiaTheme="minorEastAsia"/>
          <w:color w:val="000000"/>
        </w:rPr>
        <w:t xml:space="preserve"> use condoms.</w:t>
      </w:r>
      <w:r w:rsidR="00605D50">
        <w:rPr>
          <w:rFonts w:eastAsiaTheme="minorEastAsia"/>
          <w:color w:val="000000"/>
        </w:rPr>
        <w:t xml:space="preserve"> </w:t>
      </w:r>
      <w:proofErr w:type="gramStart"/>
      <w:r w:rsidR="00605D50">
        <w:rPr>
          <w:rFonts w:eastAsiaTheme="minorEastAsia"/>
          <w:color w:val="000000"/>
        </w:rPr>
        <w:t xml:space="preserve">Cult </w:t>
      </w:r>
      <w:r w:rsidRPr="00AE071B">
        <w:rPr>
          <w:rFonts w:eastAsiaTheme="minorEastAsia"/>
          <w:color w:val="000000"/>
        </w:rPr>
        <w:t>Health</w:t>
      </w:r>
      <w:r w:rsidR="00605D50">
        <w:rPr>
          <w:rFonts w:eastAsiaTheme="minorEastAsia"/>
          <w:color w:val="000000"/>
        </w:rPr>
        <w:t xml:space="preserve"> </w:t>
      </w:r>
      <w:r w:rsidRPr="00AE071B">
        <w:rPr>
          <w:rFonts w:eastAsiaTheme="minorEastAsia"/>
          <w:color w:val="000000"/>
        </w:rPr>
        <w:t>Sex</w:t>
      </w:r>
      <w:r w:rsidR="00605D50">
        <w:rPr>
          <w:rFonts w:eastAsiaTheme="minorEastAsia"/>
          <w:color w:val="000000"/>
        </w:rPr>
        <w:t xml:space="preserve"> </w:t>
      </w:r>
      <w:r w:rsidRPr="00AE071B">
        <w:rPr>
          <w:rFonts w:eastAsiaTheme="minorEastAsia"/>
          <w:color w:val="000000"/>
        </w:rPr>
        <w:t>2003; 5: 353</w:t>
      </w:r>
      <w:r w:rsidRPr="00AE071B">
        <w:rPr>
          <w:rFonts w:eastAsiaTheme="minorEastAsia"/>
          <w:b/>
          <w:bCs/>
          <w:color w:val="000000"/>
        </w:rPr>
        <w:t>–</w:t>
      </w:r>
      <w:r w:rsidRPr="00AE071B">
        <w:rPr>
          <w:rFonts w:eastAsiaTheme="minorEastAsia"/>
          <w:color w:val="000000"/>
        </w:rPr>
        <w:t>69.</w:t>
      </w:r>
      <w:proofErr w:type="gramEnd"/>
      <w:r w:rsidRPr="00AE071B">
        <w:rPr>
          <w:rFonts w:eastAsiaTheme="minorEastAsia"/>
          <w:color w:val="000000"/>
        </w:rPr>
        <w:t xml:space="preserve"> </w:t>
      </w:r>
    </w:p>
    <w:p w14:paraId="09EBD24A" w14:textId="5014BECA" w:rsidR="00E96DD2" w:rsidRDefault="00E96DD2" w:rsidP="00B235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rPr>
          <w:color w:val="000000"/>
        </w:rPr>
      </w:pPr>
      <w:r w:rsidRPr="00E96DD2">
        <w:rPr>
          <w:rFonts w:eastAsiaTheme="minorEastAsia"/>
          <w:color w:val="1733FF"/>
        </w:rPr>
        <w:t xml:space="preserve">12. </w:t>
      </w:r>
      <w:r w:rsidR="00605D50">
        <w:t>Crosby</w:t>
      </w:r>
      <w:r w:rsidRPr="00E96DD2">
        <w:t xml:space="preserve"> R</w:t>
      </w:r>
      <w:r w:rsidR="00605D50">
        <w:t>A,</w:t>
      </w:r>
      <w:r w:rsidRPr="00E96DD2">
        <w:t xml:space="preserve"> Milhausen</w:t>
      </w:r>
      <w:r w:rsidR="00605D50">
        <w:t xml:space="preserve"> RR,</w:t>
      </w:r>
      <w:r w:rsidRPr="00E96DD2">
        <w:t xml:space="preserve"> Yarber</w:t>
      </w:r>
      <w:r w:rsidR="00605D50">
        <w:t xml:space="preserve"> WL,</w:t>
      </w:r>
      <w:r w:rsidRPr="00E96DD2">
        <w:t xml:space="preserve"> Sanders</w:t>
      </w:r>
      <w:r w:rsidR="00605D50">
        <w:t xml:space="preserve"> SA, Graham C</w:t>
      </w:r>
      <w:r w:rsidRPr="00E96DD2">
        <w:t>A.</w:t>
      </w:r>
      <w:r w:rsidRPr="00E96DD2">
        <w:rPr>
          <w:vertAlign w:val="superscript"/>
        </w:rPr>
        <w:t xml:space="preserve"> </w:t>
      </w:r>
      <w:r w:rsidRPr="00E96DD2">
        <w:t xml:space="preserve">Condom “turn offs” among adults: An exploratory study. </w:t>
      </w:r>
      <w:r w:rsidR="00605D50" w:rsidRPr="00605D50">
        <w:t>Int J STD AIDS 2008;</w:t>
      </w:r>
      <w:r w:rsidRPr="00605D50">
        <w:rPr>
          <w:color w:val="000000"/>
        </w:rPr>
        <w:t xml:space="preserve"> 19</w:t>
      </w:r>
      <w:r w:rsidR="00605D50" w:rsidRPr="00605D50">
        <w:rPr>
          <w:color w:val="000000"/>
        </w:rPr>
        <w:t xml:space="preserve">: </w:t>
      </w:r>
      <w:r w:rsidRPr="00605D50">
        <w:rPr>
          <w:color w:val="000000"/>
        </w:rPr>
        <w:t>590-594</w:t>
      </w:r>
      <w:r w:rsidRPr="00E96DD2">
        <w:rPr>
          <w:color w:val="000000"/>
        </w:rPr>
        <w:t>.</w:t>
      </w:r>
    </w:p>
    <w:p w14:paraId="59F593CF" w14:textId="285EB222" w:rsidR="00AE071B" w:rsidRDefault="00605D50" w:rsidP="00B2358E">
      <w:pPr>
        <w:spacing w:line="480" w:lineRule="auto"/>
        <w:rPr>
          <w:color w:val="222222"/>
          <w:shd w:val="clear" w:color="auto" w:fill="FFFFFF"/>
          <w:lang w:val="en-GB"/>
        </w:rPr>
      </w:pPr>
      <w:r>
        <w:rPr>
          <w:color w:val="222222"/>
          <w:shd w:val="clear" w:color="auto" w:fill="FFFFFF"/>
          <w:lang w:val="en-GB"/>
        </w:rPr>
        <w:t>13. Higgins</w:t>
      </w:r>
      <w:r w:rsidR="00AE071B" w:rsidRPr="00AE071B">
        <w:rPr>
          <w:color w:val="222222"/>
          <w:shd w:val="clear" w:color="auto" w:fill="FFFFFF"/>
          <w:lang w:val="en-GB"/>
        </w:rPr>
        <w:t xml:space="preserve"> JA</w:t>
      </w:r>
      <w:r>
        <w:rPr>
          <w:color w:val="222222"/>
          <w:shd w:val="clear" w:color="auto" w:fill="FFFFFF"/>
          <w:lang w:val="en-GB"/>
        </w:rPr>
        <w:t>,</w:t>
      </w:r>
      <w:r w:rsidR="00AE071B" w:rsidRPr="00AE071B">
        <w:rPr>
          <w:color w:val="222222"/>
          <w:shd w:val="clear" w:color="auto" w:fill="FFFFFF"/>
          <w:lang w:val="en-GB"/>
        </w:rPr>
        <w:t xml:space="preserve"> Hirsch JS. Pleasure, power, and inequality: incorporating sexuality into research on contraceptive use. </w:t>
      </w:r>
      <w:r w:rsidR="00AE071B" w:rsidRPr="00605D50">
        <w:rPr>
          <w:iCs/>
          <w:color w:val="222222"/>
          <w:shd w:val="clear" w:color="auto" w:fill="FFFFFF"/>
          <w:lang w:val="en-GB"/>
        </w:rPr>
        <w:t xml:space="preserve">Am </w:t>
      </w:r>
      <w:r w:rsidRPr="00605D50">
        <w:rPr>
          <w:iCs/>
          <w:color w:val="222222"/>
          <w:shd w:val="clear" w:color="auto" w:fill="FFFFFF"/>
          <w:lang w:val="en-GB"/>
        </w:rPr>
        <w:t>J</w:t>
      </w:r>
      <w:r w:rsidR="00AE071B" w:rsidRPr="00605D50">
        <w:rPr>
          <w:iCs/>
          <w:color w:val="222222"/>
          <w:shd w:val="clear" w:color="auto" w:fill="FFFFFF"/>
          <w:lang w:val="en-GB"/>
        </w:rPr>
        <w:t xml:space="preserve"> Public Health</w:t>
      </w:r>
      <w:r>
        <w:rPr>
          <w:i/>
          <w:iCs/>
          <w:color w:val="222222"/>
          <w:shd w:val="clear" w:color="auto" w:fill="FFFFFF"/>
          <w:lang w:val="en-GB"/>
        </w:rPr>
        <w:t xml:space="preserve"> </w:t>
      </w:r>
      <w:r w:rsidRPr="004A1998">
        <w:rPr>
          <w:iCs/>
          <w:color w:val="222222"/>
          <w:shd w:val="clear" w:color="auto" w:fill="FFFFFF"/>
          <w:lang w:val="en-GB"/>
        </w:rPr>
        <w:t>2008</w:t>
      </w:r>
      <w:proofErr w:type="gramStart"/>
      <w:r w:rsidR="004A1998" w:rsidRPr="00B2358E">
        <w:rPr>
          <w:iCs/>
          <w:color w:val="222222"/>
          <w:shd w:val="clear" w:color="auto" w:fill="FFFFFF"/>
          <w:lang w:val="en-GB"/>
        </w:rPr>
        <w:t>;</w:t>
      </w:r>
      <w:proofErr w:type="gramEnd"/>
      <w:r w:rsidR="00AE071B" w:rsidRPr="00AE071B">
        <w:rPr>
          <w:color w:val="222222"/>
          <w:shd w:val="clear" w:color="auto" w:fill="FFFFFF"/>
          <w:lang w:val="en-GB"/>
        </w:rPr>
        <w:t> 98</w:t>
      </w:r>
      <w:r w:rsidR="004A1998">
        <w:rPr>
          <w:color w:val="222222"/>
          <w:shd w:val="clear" w:color="auto" w:fill="FFFFFF"/>
          <w:lang w:val="en-GB"/>
        </w:rPr>
        <w:t xml:space="preserve"> (10): </w:t>
      </w:r>
      <w:r w:rsidR="00AE071B" w:rsidRPr="00AE071B">
        <w:rPr>
          <w:color w:val="222222"/>
          <w:shd w:val="clear" w:color="auto" w:fill="FFFFFF"/>
          <w:lang w:val="en-GB"/>
        </w:rPr>
        <w:t>1803</w:t>
      </w:r>
      <w:r w:rsidR="002C5E87">
        <w:rPr>
          <w:color w:val="222222"/>
          <w:shd w:val="clear" w:color="auto" w:fill="FFFFFF"/>
          <w:lang w:val="en-GB"/>
        </w:rPr>
        <w:t>-1813</w:t>
      </w:r>
      <w:r w:rsidR="00AE071B" w:rsidRPr="00AE071B">
        <w:rPr>
          <w:color w:val="222222"/>
          <w:shd w:val="clear" w:color="auto" w:fill="FFFFFF"/>
          <w:lang w:val="en-GB"/>
        </w:rPr>
        <w:t>.</w:t>
      </w:r>
    </w:p>
    <w:p w14:paraId="0B6F834A" w14:textId="06B06E5E" w:rsidR="006D3654" w:rsidRPr="004D0B5F" w:rsidRDefault="002B149F" w:rsidP="00B2358E">
      <w:pPr>
        <w:tabs>
          <w:tab w:val="left" w:pos="-1440"/>
        </w:tabs>
        <w:spacing w:line="480" w:lineRule="auto"/>
      </w:pPr>
      <w:r w:rsidRPr="006D3654">
        <w:rPr>
          <w:color w:val="222222"/>
          <w:shd w:val="clear" w:color="auto" w:fill="FFFFFF"/>
          <w:lang w:val="en-GB"/>
        </w:rPr>
        <w:t xml:space="preserve">14. </w:t>
      </w:r>
      <w:r w:rsidRPr="006D3654">
        <w:rPr>
          <w:rFonts w:eastAsiaTheme="minorEastAsia"/>
          <w:color w:val="1A1A1A"/>
        </w:rPr>
        <w:t xml:space="preserve">Helweg-Larsen M. UCLA Multidimensional Condom Attitudes Scale. </w:t>
      </w:r>
      <w:r w:rsidR="002C5E87">
        <w:rPr>
          <w:rFonts w:eastAsiaTheme="minorEastAsia"/>
          <w:color w:val="1A1A1A"/>
        </w:rPr>
        <w:t xml:space="preserve">In TD Fisher, CM Davis, WL Yarber, SL Davis (Eds.) </w:t>
      </w:r>
      <w:proofErr w:type="gramStart"/>
      <w:r w:rsidR="006D3654" w:rsidRPr="006D3654">
        <w:rPr>
          <w:rFonts w:eastAsiaTheme="minorEastAsia"/>
          <w:color w:val="1A1A1A"/>
        </w:rPr>
        <w:t>Handbook of Sexuality-Related Measures.</w:t>
      </w:r>
      <w:proofErr w:type="gramEnd"/>
      <w:r w:rsidR="006D3654" w:rsidRPr="006D3654">
        <w:rPr>
          <w:rFonts w:eastAsiaTheme="minorEastAsia"/>
          <w:color w:val="1A1A1A"/>
        </w:rPr>
        <w:t xml:space="preserve"> </w:t>
      </w:r>
      <w:r w:rsidR="006D3654" w:rsidRPr="00B50F5D">
        <w:t>New York: Rout</w:t>
      </w:r>
      <w:r w:rsidR="006D3654">
        <w:t xml:space="preserve">ledge, </w:t>
      </w:r>
      <w:r w:rsidR="006D3654" w:rsidRPr="00B50F5D">
        <w:t>201</w:t>
      </w:r>
      <w:r w:rsidR="002C5E87">
        <w:t>0</w:t>
      </w:r>
      <w:r w:rsidR="006D3654" w:rsidRPr="00B50F5D">
        <w:t>.</w:t>
      </w:r>
    </w:p>
    <w:p w14:paraId="5A55180B" w14:textId="071F4BD9" w:rsidR="002B149F" w:rsidRDefault="002B149F" w:rsidP="00B2358E">
      <w:pPr>
        <w:spacing w:line="480" w:lineRule="auto"/>
        <w:rPr>
          <w:rFonts w:eastAsiaTheme="minorEastAsia"/>
          <w:color w:val="1A1A1A"/>
        </w:rPr>
      </w:pPr>
      <w:r w:rsidRPr="002C5E87">
        <w:t>1</w:t>
      </w:r>
      <w:r w:rsidR="00D72410" w:rsidRPr="002C5E87">
        <w:t>5</w:t>
      </w:r>
      <w:r w:rsidRPr="002C5E87">
        <w:t xml:space="preserve">. </w:t>
      </w:r>
      <w:r w:rsidR="002C5E87" w:rsidRPr="002C5E87">
        <w:rPr>
          <w:rFonts w:eastAsiaTheme="minorEastAsia"/>
          <w:color w:val="1A1A1A"/>
        </w:rPr>
        <w:t xml:space="preserve">Lawrence JSS, Chapdelaine AP, Devieux JG, O'Bannon RE, Brasfield TL, Eldridge GD. Measuring perceived barriers to condom use: Psychometric evaluation of the Condom Barriers Scale. </w:t>
      </w:r>
      <w:r w:rsidR="002C5E87" w:rsidRPr="002C5E87">
        <w:rPr>
          <w:rFonts w:eastAsiaTheme="minorEastAsia"/>
          <w:iCs/>
          <w:color w:val="1A1A1A"/>
        </w:rPr>
        <w:t>Assessment 1999</w:t>
      </w:r>
      <w:r w:rsidR="002C5E87" w:rsidRPr="002C5E87">
        <w:rPr>
          <w:rFonts w:eastAsiaTheme="minorEastAsia"/>
          <w:color w:val="1A1A1A"/>
        </w:rPr>
        <w:t xml:space="preserve">; </w:t>
      </w:r>
      <w:r w:rsidR="002C5E87" w:rsidRPr="002C5E87">
        <w:rPr>
          <w:rFonts w:eastAsiaTheme="minorEastAsia"/>
          <w:iCs/>
          <w:color w:val="1A1A1A"/>
        </w:rPr>
        <w:t>6</w:t>
      </w:r>
      <w:r w:rsidR="002C5E87" w:rsidRPr="002C5E87">
        <w:rPr>
          <w:rFonts w:eastAsiaTheme="minorEastAsia"/>
          <w:color w:val="1A1A1A"/>
        </w:rPr>
        <w:t>(4): 391-404.</w:t>
      </w:r>
    </w:p>
    <w:p w14:paraId="6E00D20C" w14:textId="1548061D" w:rsidR="002E0DBC" w:rsidRPr="00602F1B" w:rsidRDefault="002C5E87" w:rsidP="00B2358E">
      <w:pPr>
        <w:spacing w:line="480" w:lineRule="auto"/>
      </w:pPr>
      <w:r w:rsidRPr="002C5E87">
        <w:rPr>
          <w:rFonts w:eastAsiaTheme="minorEastAsia"/>
          <w:color w:val="1A1A1A"/>
        </w:rPr>
        <w:t>16.</w:t>
      </w:r>
      <w:r w:rsidRPr="002C5E87">
        <w:t xml:space="preserve"> </w:t>
      </w:r>
      <w:r w:rsidR="002E0DBC" w:rsidRPr="002C5E87">
        <w:rPr>
          <w:color w:val="1A1A1A"/>
        </w:rPr>
        <w:t>Reece</w:t>
      </w:r>
      <w:r w:rsidRPr="002C5E87">
        <w:rPr>
          <w:color w:val="1A1A1A"/>
        </w:rPr>
        <w:t xml:space="preserve"> M,</w:t>
      </w:r>
      <w:r w:rsidR="002E0DBC" w:rsidRPr="002C5E87">
        <w:rPr>
          <w:color w:val="1A1A1A"/>
        </w:rPr>
        <w:t xml:space="preserve"> Herbenick</w:t>
      </w:r>
      <w:r w:rsidRPr="002C5E87">
        <w:rPr>
          <w:color w:val="1A1A1A"/>
        </w:rPr>
        <w:t xml:space="preserve"> D,</w:t>
      </w:r>
      <w:r w:rsidR="002E0DBC" w:rsidRPr="002C5E87">
        <w:rPr>
          <w:color w:val="1A1A1A"/>
        </w:rPr>
        <w:t xml:space="preserve"> Hollub</w:t>
      </w:r>
      <w:r w:rsidRPr="002C5E87">
        <w:rPr>
          <w:color w:val="1A1A1A"/>
        </w:rPr>
        <w:t xml:space="preserve"> </w:t>
      </w:r>
      <w:r w:rsidR="00C35643">
        <w:rPr>
          <w:color w:val="1A1A1A"/>
        </w:rPr>
        <w:t>A</w:t>
      </w:r>
      <w:r w:rsidRPr="002C5E87">
        <w:rPr>
          <w:color w:val="1A1A1A"/>
        </w:rPr>
        <w:t xml:space="preserve">V, </w:t>
      </w:r>
      <w:r w:rsidR="002E0DBC" w:rsidRPr="002C5E87">
        <w:rPr>
          <w:color w:val="1A1A1A"/>
        </w:rPr>
        <w:t>Hensel</w:t>
      </w:r>
      <w:r w:rsidRPr="002C5E87">
        <w:rPr>
          <w:color w:val="1A1A1A"/>
        </w:rPr>
        <w:t xml:space="preserve"> DJ, </w:t>
      </w:r>
      <w:r w:rsidR="002E0DBC" w:rsidRPr="002C5E87">
        <w:rPr>
          <w:color w:val="1A1A1A"/>
        </w:rPr>
        <w:t>Middlestadt</w:t>
      </w:r>
      <w:r w:rsidRPr="002C5E87">
        <w:rPr>
          <w:color w:val="1A1A1A"/>
        </w:rPr>
        <w:t xml:space="preserve"> SE.</w:t>
      </w:r>
      <w:r w:rsidR="002E0DBC" w:rsidRPr="002C5E87">
        <w:rPr>
          <w:color w:val="1A1A1A"/>
        </w:rPr>
        <w:t xml:space="preserve"> </w:t>
      </w:r>
      <w:proofErr w:type="gramStart"/>
      <w:r w:rsidR="002E0DBC" w:rsidRPr="002C5E87">
        <w:rPr>
          <w:color w:val="1A1A1A"/>
        </w:rPr>
        <w:t>A psychometric assessment of the Multi-Factor Attitude toward Condoms Scale (MFACS).</w:t>
      </w:r>
      <w:proofErr w:type="gramEnd"/>
      <w:r w:rsidR="002E0DBC" w:rsidRPr="002C5E87">
        <w:rPr>
          <w:color w:val="1A1A1A"/>
        </w:rPr>
        <w:t xml:space="preserve"> </w:t>
      </w:r>
      <w:r w:rsidR="002E0DBC" w:rsidRPr="002C5E87">
        <w:rPr>
          <w:iCs/>
          <w:color w:val="1A1A1A"/>
        </w:rPr>
        <w:t>Int</w:t>
      </w:r>
      <w:r w:rsidRPr="002C5E87">
        <w:rPr>
          <w:iCs/>
          <w:color w:val="1A1A1A"/>
        </w:rPr>
        <w:t xml:space="preserve"> J</w:t>
      </w:r>
      <w:r w:rsidR="002E0DBC" w:rsidRPr="002C5E87">
        <w:rPr>
          <w:iCs/>
          <w:color w:val="1A1A1A"/>
        </w:rPr>
        <w:t xml:space="preserve"> Sexual Health</w:t>
      </w:r>
      <w:r w:rsidRPr="002C5E87">
        <w:rPr>
          <w:iCs/>
          <w:color w:val="1A1A1A"/>
        </w:rPr>
        <w:t xml:space="preserve"> 2010;</w:t>
      </w:r>
      <w:r w:rsidR="002E0DBC" w:rsidRPr="002C5E87">
        <w:rPr>
          <w:color w:val="1A1A1A"/>
        </w:rPr>
        <w:t xml:space="preserve"> </w:t>
      </w:r>
      <w:r w:rsidR="002E0DBC" w:rsidRPr="002C5E87">
        <w:rPr>
          <w:iCs/>
          <w:color w:val="1A1A1A"/>
        </w:rPr>
        <w:t>22</w:t>
      </w:r>
      <w:r w:rsidRPr="002C5E87">
        <w:rPr>
          <w:color w:val="1A1A1A"/>
        </w:rPr>
        <w:t xml:space="preserve">(2): </w:t>
      </w:r>
      <w:r w:rsidR="002E0DBC" w:rsidRPr="002C5E87">
        <w:rPr>
          <w:color w:val="1A1A1A"/>
        </w:rPr>
        <w:t>119-129.</w:t>
      </w:r>
      <w:r w:rsidR="002E0DBC" w:rsidRPr="002C5E87">
        <w:t xml:space="preserve"> </w:t>
      </w:r>
    </w:p>
    <w:p w14:paraId="076F4B3E" w14:textId="45883CE5" w:rsidR="00AE071B" w:rsidRPr="00602F1B" w:rsidRDefault="005B3EE2" w:rsidP="00B2358E">
      <w:pPr>
        <w:spacing w:line="480" w:lineRule="auto"/>
        <w:rPr>
          <w:color w:val="222222"/>
          <w:shd w:val="clear" w:color="auto" w:fill="FFFFFF"/>
          <w:lang w:val="en-GB"/>
        </w:rPr>
      </w:pPr>
      <w:r w:rsidRPr="00602F1B">
        <w:rPr>
          <w:color w:val="222222"/>
          <w:shd w:val="clear" w:color="auto" w:fill="FFFFFF"/>
          <w:lang w:val="en-GB"/>
        </w:rPr>
        <w:t xml:space="preserve">17. </w:t>
      </w:r>
      <w:r w:rsidR="00602F1B" w:rsidRPr="00602F1B">
        <w:rPr>
          <w:rFonts w:eastAsiaTheme="minorEastAsia"/>
          <w:color w:val="1A1A1A"/>
        </w:rPr>
        <w:t xml:space="preserve">Hill BJ, Amick EE, Sanders SA. Condoms and US college-aged men and women: briefly assessing attitudes toward condoms and general condom use behaviours. </w:t>
      </w:r>
      <w:r w:rsidR="00602F1B" w:rsidRPr="00602F1B">
        <w:rPr>
          <w:rFonts w:eastAsiaTheme="minorEastAsia"/>
          <w:i/>
          <w:iCs/>
          <w:color w:val="1A1A1A"/>
        </w:rPr>
        <w:t>Sexual Health 2011;</w:t>
      </w:r>
      <w:r w:rsidR="00602F1B" w:rsidRPr="00602F1B">
        <w:rPr>
          <w:rFonts w:eastAsiaTheme="minorEastAsia"/>
          <w:color w:val="1A1A1A"/>
        </w:rPr>
        <w:t xml:space="preserve"> </w:t>
      </w:r>
      <w:r w:rsidR="00602F1B" w:rsidRPr="00602F1B">
        <w:rPr>
          <w:rFonts w:eastAsiaTheme="minorEastAsia"/>
          <w:i/>
          <w:iCs/>
          <w:color w:val="1A1A1A"/>
        </w:rPr>
        <w:t>8</w:t>
      </w:r>
      <w:r w:rsidR="00602F1B" w:rsidRPr="00602F1B">
        <w:rPr>
          <w:rFonts w:eastAsiaTheme="minorEastAsia"/>
          <w:color w:val="1A1A1A"/>
        </w:rPr>
        <w:t>(3): 372-377.</w:t>
      </w:r>
    </w:p>
    <w:p w14:paraId="726A5C0A" w14:textId="0281A748" w:rsidR="002C5E87" w:rsidRDefault="002C5E87" w:rsidP="00B2358E">
      <w:pPr>
        <w:spacing w:line="480" w:lineRule="auto"/>
        <w:rPr>
          <w:highlight w:val="yellow"/>
        </w:rPr>
      </w:pPr>
      <w:proofErr w:type="gramStart"/>
      <w:r w:rsidRPr="002C5E87">
        <w:rPr>
          <w:rFonts w:eastAsiaTheme="minorEastAsia"/>
          <w:color w:val="1A1A1A"/>
        </w:rPr>
        <w:lastRenderedPageBreak/>
        <w:t>18, Hollub AV, Reece M, Herbenick D, Hensel DJ, Middlestadt SE.</w:t>
      </w:r>
      <w:proofErr w:type="gramEnd"/>
      <w:r w:rsidRPr="002C5E87">
        <w:rPr>
          <w:rFonts w:eastAsiaTheme="minorEastAsia"/>
          <w:color w:val="1A1A1A"/>
        </w:rPr>
        <w:t xml:space="preserve"> College students and condom attitude: validation of the Multi-Factor Attitude toward Condoms Scale (MFACS). </w:t>
      </w:r>
      <w:proofErr w:type="gramStart"/>
      <w:r w:rsidRPr="002C5E87">
        <w:rPr>
          <w:rFonts w:eastAsiaTheme="minorEastAsia"/>
          <w:iCs/>
          <w:color w:val="1A1A1A"/>
        </w:rPr>
        <w:t>J Am College Health</w:t>
      </w:r>
      <w:r w:rsidRPr="002C5E87">
        <w:rPr>
          <w:rFonts w:eastAsiaTheme="minorEastAsia"/>
          <w:color w:val="1A1A1A"/>
        </w:rPr>
        <w:t xml:space="preserve"> 2011; </w:t>
      </w:r>
      <w:r w:rsidRPr="002C5E87">
        <w:rPr>
          <w:rFonts w:eastAsiaTheme="minorEastAsia"/>
          <w:iCs/>
          <w:color w:val="1A1A1A"/>
        </w:rPr>
        <w:t>59</w:t>
      </w:r>
      <w:r w:rsidRPr="002C5E87">
        <w:rPr>
          <w:rFonts w:eastAsiaTheme="minorEastAsia"/>
          <w:color w:val="1A1A1A"/>
        </w:rPr>
        <w:t>(8), 708-714.</w:t>
      </w:r>
      <w:proofErr w:type="gramEnd"/>
      <w:r w:rsidRPr="002C5E87">
        <w:rPr>
          <w:highlight w:val="yellow"/>
        </w:rPr>
        <w:t xml:space="preserve"> </w:t>
      </w:r>
    </w:p>
    <w:p w14:paraId="1694FC47" w14:textId="63573AAB" w:rsidR="00602F1B" w:rsidRPr="00C35643" w:rsidRDefault="00602F1B" w:rsidP="00B2358E">
      <w:pPr>
        <w:spacing w:line="480" w:lineRule="auto"/>
      </w:pPr>
      <w:r w:rsidRPr="00C35643">
        <w:t>19.</w:t>
      </w:r>
      <w:r w:rsidR="00350550" w:rsidRPr="00C35643">
        <w:t xml:space="preserve"> </w:t>
      </w:r>
      <w:r w:rsidR="00C35643" w:rsidRPr="00C35643">
        <w:rPr>
          <w:rFonts w:eastAsiaTheme="minorEastAsia"/>
          <w:color w:val="1A1A1A"/>
        </w:rPr>
        <w:t xml:space="preserve">Charnigo R, Crosby RA, Troutman A. Psychosocial constructs associated with condom use among high-risk African American men newly diagnosed with a sexually transmitted disease. </w:t>
      </w:r>
      <w:r w:rsidR="00C35643" w:rsidRPr="00C35643">
        <w:rPr>
          <w:rFonts w:eastAsiaTheme="minorEastAsia"/>
          <w:i/>
          <w:iCs/>
          <w:color w:val="1A1A1A"/>
        </w:rPr>
        <w:t>Ann Behav Med</w:t>
      </w:r>
      <w:r w:rsidR="00C35643" w:rsidRPr="00C35643">
        <w:rPr>
          <w:rFonts w:eastAsiaTheme="minorEastAsia"/>
          <w:color w:val="1A1A1A"/>
        </w:rPr>
        <w:t xml:space="preserve"> 2010; </w:t>
      </w:r>
      <w:r w:rsidR="00C35643" w:rsidRPr="00C35643">
        <w:rPr>
          <w:rFonts w:eastAsiaTheme="minorEastAsia"/>
          <w:i/>
          <w:iCs/>
          <w:color w:val="1A1A1A"/>
        </w:rPr>
        <w:t>39</w:t>
      </w:r>
      <w:r w:rsidR="00C35643" w:rsidRPr="00C35643">
        <w:rPr>
          <w:rFonts w:eastAsiaTheme="minorEastAsia"/>
          <w:color w:val="1A1A1A"/>
        </w:rPr>
        <w:t>(3): 303-310.</w:t>
      </w:r>
    </w:p>
    <w:p w14:paraId="287CD32E" w14:textId="7DB1DD67" w:rsidR="005B1710" w:rsidRPr="00350550" w:rsidRDefault="001C3EFA" w:rsidP="00B2358E">
      <w:pPr>
        <w:spacing w:line="480" w:lineRule="auto"/>
        <w:rPr>
          <w:color w:val="1A1A1A"/>
        </w:rPr>
      </w:pPr>
      <w:r w:rsidRPr="00350550">
        <w:t>20</w:t>
      </w:r>
      <w:r w:rsidR="005B1710" w:rsidRPr="00350550">
        <w:t xml:space="preserve">. </w:t>
      </w:r>
      <w:r w:rsidR="002E0DBC" w:rsidRPr="00350550">
        <w:rPr>
          <w:color w:val="1A1A1A"/>
        </w:rPr>
        <w:t>Peterson</w:t>
      </w:r>
      <w:r w:rsidR="00350550" w:rsidRPr="00350550">
        <w:rPr>
          <w:color w:val="1A1A1A"/>
        </w:rPr>
        <w:t xml:space="preserve"> JL,</w:t>
      </w:r>
      <w:r w:rsidR="002E0DBC" w:rsidRPr="00350550">
        <w:rPr>
          <w:color w:val="1A1A1A"/>
        </w:rPr>
        <w:t xml:space="preserve"> Coates</w:t>
      </w:r>
      <w:r w:rsidR="00350550" w:rsidRPr="00350550">
        <w:rPr>
          <w:color w:val="1A1A1A"/>
        </w:rPr>
        <w:t xml:space="preserve"> TJ, </w:t>
      </w:r>
      <w:r w:rsidR="002E0DBC" w:rsidRPr="00350550">
        <w:rPr>
          <w:color w:val="1A1A1A"/>
        </w:rPr>
        <w:t>Catania</w:t>
      </w:r>
      <w:r w:rsidR="00350550" w:rsidRPr="00350550">
        <w:rPr>
          <w:color w:val="1A1A1A"/>
        </w:rPr>
        <w:t xml:space="preserve"> JA,</w:t>
      </w:r>
      <w:r w:rsidR="002E0DBC" w:rsidRPr="00350550">
        <w:rPr>
          <w:color w:val="1A1A1A"/>
        </w:rPr>
        <w:t xml:space="preserve"> Middleton</w:t>
      </w:r>
      <w:r w:rsidR="00350550" w:rsidRPr="00350550">
        <w:rPr>
          <w:color w:val="1A1A1A"/>
        </w:rPr>
        <w:t xml:space="preserve"> L,</w:t>
      </w:r>
      <w:r w:rsidR="002E0DBC" w:rsidRPr="00350550">
        <w:rPr>
          <w:color w:val="1A1A1A"/>
        </w:rPr>
        <w:t xml:space="preserve"> Hilliard</w:t>
      </w:r>
      <w:r w:rsidR="00350550" w:rsidRPr="00350550">
        <w:rPr>
          <w:color w:val="1A1A1A"/>
        </w:rPr>
        <w:t xml:space="preserve"> B, Hearst</w:t>
      </w:r>
      <w:r w:rsidR="002E0DBC" w:rsidRPr="00350550">
        <w:rPr>
          <w:color w:val="1A1A1A"/>
        </w:rPr>
        <w:t xml:space="preserve"> N. High-risk sexual behavior and condom use among gay and bisexual African-American men. </w:t>
      </w:r>
      <w:r w:rsidR="002E0DBC" w:rsidRPr="00350550">
        <w:rPr>
          <w:iCs/>
          <w:color w:val="1A1A1A"/>
        </w:rPr>
        <w:t xml:space="preserve">Am </w:t>
      </w:r>
      <w:r w:rsidR="00350550" w:rsidRPr="00350550">
        <w:rPr>
          <w:iCs/>
          <w:color w:val="1A1A1A"/>
        </w:rPr>
        <w:t>J</w:t>
      </w:r>
      <w:r w:rsidR="002E0DBC" w:rsidRPr="00350550">
        <w:rPr>
          <w:iCs/>
          <w:color w:val="1A1A1A"/>
        </w:rPr>
        <w:t xml:space="preserve"> Pub</w:t>
      </w:r>
      <w:r w:rsidR="00B2358E">
        <w:rPr>
          <w:iCs/>
          <w:color w:val="1A1A1A"/>
        </w:rPr>
        <w:t>lic</w:t>
      </w:r>
      <w:r w:rsidR="002E0DBC" w:rsidRPr="00350550">
        <w:rPr>
          <w:iCs/>
          <w:color w:val="1A1A1A"/>
        </w:rPr>
        <w:t xml:space="preserve"> Health</w:t>
      </w:r>
      <w:r w:rsidR="00350550" w:rsidRPr="00350550">
        <w:rPr>
          <w:iCs/>
          <w:color w:val="1A1A1A"/>
        </w:rPr>
        <w:t xml:space="preserve"> 1992;</w:t>
      </w:r>
      <w:r w:rsidR="00350550" w:rsidRPr="00350550">
        <w:rPr>
          <w:color w:val="1A1A1A"/>
        </w:rPr>
        <w:t xml:space="preserve"> </w:t>
      </w:r>
      <w:r w:rsidR="002E0DBC" w:rsidRPr="00350550">
        <w:rPr>
          <w:iCs/>
          <w:color w:val="1A1A1A"/>
        </w:rPr>
        <w:t>82</w:t>
      </w:r>
      <w:r w:rsidR="00350550" w:rsidRPr="00350550">
        <w:rPr>
          <w:color w:val="1A1A1A"/>
        </w:rPr>
        <w:t>(11)</w:t>
      </w:r>
      <w:proofErr w:type="gramStart"/>
      <w:r w:rsidR="00350550" w:rsidRPr="00350550">
        <w:rPr>
          <w:color w:val="1A1A1A"/>
        </w:rPr>
        <w:t>:</w:t>
      </w:r>
      <w:r w:rsidR="002E0DBC" w:rsidRPr="00350550">
        <w:rPr>
          <w:color w:val="1A1A1A"/>
        </w:rPr>
        <w:t>1490</w:t>
      </w:r>
      <w:proofErr w:type="gramEnd"/>
      <w:r w:rsidR="002E0DBC" w:rsidRPr="00350550">
        <w:rPr>
          <w:color w:val="1A1A1A"/>
        </w:rPr>
        <w:t>-1494.</w:t>
      </w:r>
    </w:p>
    <w:p w14:paraId="2AE5176D" w14:textId="2B4BF37D" w:rsidR="00EB4D9E" w:rsidRPr="00350550" w:rsidRDefault="009702C6" w:rsidP="00B2358E">
      <w:pPr>
        <w:spacing w:line="480" w:lineRule="auto"/>
        <w:rPr>
          <w:rFonts w:eastAsiaTheme="minorEastAsia"/>
          <w:color w:val="800000"/>
        </w:rPr>
      </w:pPr>
      <w:r w:rsidRPr="00350550">
        <w:rPr>
          <w:color w:val="800000"/>
          <w:lang w:val="en-GB"/>
        </w:rPr>
        <w:t xml:space="preserve">21. </w:t>
      </w:r>
      <w:r w:rsidR="00343859" w:rsidRPr="00350550">
        <w:rPr>
          <w:rFonts w:eastAsiaTheme="minorEastAsia"/>
          <w:bCs/>
          <w:color w:val="800000"/>
        </w:rPr>
        <w:t>Milhausen</w:t>
      </w:r>
      <w:r w:rsidR="00350550" w:rsidRPr="00350550">
        <w:rPr>
          <w:rFonts w:eastAsiaTheme="minorEastAsia"/>
          <w:color w:val="800000"/>
        </w:rPr>
        <w:t xml:space="preserve"> RR,</w:t>
      </w:r>
      <w:r w:rsidR="00343859" w:rsidRPr="00350550">
        <w:rPr>
          <w:rFonts w:eastAsiaTheme="minorEastAsia"/>
          <w:color w:val="800000"/>
        </w:rPr>
        <w:t xml:space="preserve"> Sales</w:t>
      </w:r>
      <w:r w:rsidR="00350550" w:rsidRPr="00350550">
        <w:rPr>
          <w:rFonts w:eastAsiaTheme="minorEastAsia"/>
          <w:color w:val="800000"/>
        </w:rPr>
        <w:t xml:space="preserve"> JM,</w:t>
      </w:r>
      <w:r w:rsidR="00343859" w:rsidRPr="00350550">
        <w:rPr>
          <w:rFonts w:eastAsiaTheme="minorEastAsia"/>
          <w:color w:val="800000"/>
        </w:rPr>
        <w:t xml:space="preserve"> Wingood</w:t>
      </w:r>
      <w:r w:rsidR="00350550" w:rsidRPr="00350550">
        <w:rPr>
          <w:rFonts w:eastAsiaTheme="minorEastAsia"/>
          <w:color w:val="800000"/>
        </w:rPr>
        <w:t xml:space="preserve"> GM,</w:t>
      </w:r>
      <w:r w:rsidR="00343859" w:rsidRPr="00350550">
        <w:rPr>
          <w:rFonts w:eastAsiaTheme="minorEastAsia"/>
          <w:color w:val="800000"/>
        </w:rPr>
        <w:t xml:space="preserve"> DiClemente</w:t>
      </w:r>
      <w:r w:rsidR="00350550" w:rsidRPr="00350550">
        <w:rPr>
          <w:rFonts w:eastAsiaTheme="minorEastAsia"/>
          <w:color w:val="800000"/>
        </w:rPr>
        <w:t xml:space="preserve"> RJ, </w:t>
      </w:r>
      <w:r w:rsidR="00343859" w:rsidRPr="00350550">
        <w:rPr>
          <w:rFonts w:eastAsiaTheme="minorEastAsia"/>
          <w:color w:val="800000"/>
        </w:rPr>
        <w:t>Salazar</w:t>
      </w:r>
      <w:r w:rsidR="00350550" w:rsidRPr="00350550">
        <w:rPr>
          <w:rFonts w:eastAsiaTheme="minorEastAsia"/>
          <w:color w:val="800000"/>
        </w:rPr>
        <w:t xml:space="preserve"> LF,</w:t>
      </w:r>
      <w:r w:rsidR="00343859" w:rsidRPr="00350550">
        <w:rPr>
          <w:rFonts w:eastAsiaTheme="minorEastAsia"/>
          <w:color w:val="800000"/>
        </w:rPr>
        <w:t xml:space="preserve"> Crosby</w:t>
      </w:r>
      <w:r w:rsidR="00350550" w:rsidRPr="00350550">
        <w:rPr>
          <w:rFonts w:eastAsiaTheme="minorEastAsia"/>
          <w:color w:val="800000"/>
        </w:rPr>
        <w:t xml:space="preserve"> RA.</w:t>
      </w:r>
      <w:r w:rsidR="00343859" w:rsidRPr="00350550">
        <w:rPr>
          <w:rFonts w:eastAsiaTheme="minorEastAsia"/>
          <w:color w:val="800000"/>
        </w:rPr>
        <w:t xml:space="preserve"> </w:t>
      </w:r>
      <w:proofErr w:type="gramStart"/>
      <w:r w:rsidR="00343859" w:rsidRPr="00350550">
        <w:rPr>
          <w:rFonts w:eastAsiaTheme="minorEastAsia"/>
          <w:color w:val="800000"/>
        </w:rPr>
        <w:t>Validation of a partner sexual communication scale for use in HIV/AIDS prevention interventions.</w:t>
      </w:r>
      <w:proofErr w:type="gramEnd"/>
      <w:r w:rsidR="00343859" w:rsidRPr="00350550">
        <w:rPr>
          <w:rFonts w:eastAsiaTheme="minorEastAsia"/>
          <w:color w:val="800000"/>
        </w:rPr>
        <w:t> </w:t>
      </w:r>
      <w:proofErr w:type="gramStart"/>
      <w:r w:rsidR="00350550" w:rsidRPr="00350550">
        <w:rPr>
          <w:rFonts w:eastAsiaTheme="minorEastAsia"/>
          <w:iCs/>
          <w:color w:val="800000"/>
        </w:rPr>
        <w:t xml:space="preserve">J </w:t>
      </w:r>
      <w:r w:rsidR="00343859" w:rsidRPr="00350550">
        <w:rPr>
          <w:rFonts w:eastAsiaTheme="minorEastAsia"/>
          <w:iCs/>
          <w:color w:val="800000"/>
        </w:rPr>
        <w:t xml:space="preserve">HIV/AIDS Prev </w:t>
      </w:r>
      <w:r w:rsidR="00350550" w:rsidRPr="00350550">
        <w:rPr>
          <w:rFonts w:eastAsiaTheme="minorEastAsia"/>
          <w:iCs/>
          <w:color w:val="800000"/>
        </w:rPr>
        <w:t>Children</w:t>
      </w:r>
      <w:r w:rsidR="00343859" w:rsidRPr="00350550">
        <w:rPr>
          <w:rFonts w:eastAsiaTheme="minorEastAsia"/>
          <w:iCs/>
          <w:color w:val="800000"/>
        </w:rPr>
        <w:t xml:space="preserve"> Youth,</w:t>
      </w:r>
      <w:r w:rsidRPr="00350550">
        <w:rPr>
          <w:rFonts w:eastAsiaTheme="minorEastAsia"/>
          <w:iCs/>
          <w:color w:val="800000"/>
        </w:rPr>
        <w:t xml:space="preserve"> 2007;</w:t>
      </w:r>
      <w:r w:rsidR="00343859" w:rsidRPr="00350550">
        <w:rPr>
          <w:rFonts w:eastAsiaTheme="minorEastAsia"/>
          <w:iCs/>
          <w:color w:val="800000"/>
        </w:rPr>
        <w:t xml:space="preserve"> 8</w:t>
      </w:r>
      <w:r w:rsidR="00343859" w:rsidRPr="00350550">
        <w:rPr>
          <w:rFonts w:eastAsiaTheme="minorEastAsia"/>
          <w:color w:val="800000"/>
        </w:rPr>
        <w:t>(1), 11-33.</w:t>
      </w:r>
      <w:proofErr w:type="gramEnd"/>
    </w:p>
    <w:p w14:paraId="1184D3BA" w14:textId="44A44051" w:rsidR="00A33E38" w:rsidRPr="00B2358E" w:rsidRDefault="00A33E38" w:rsidP="00B2358E">
      <w:pPr>
        <w:spacing w:line="480" w:lineRule="auto"/>
        <w:rPr>
          <w:rFonts w:eastAsiaTheme="minorEastAsia"/>
          <w:color w:val="800000"/>
        </w:rPr>
      </w:pPr>
      <w:r w:rsidRPr="00B2358E">
        <w:rPr>
          <w:rFonts w:eastAsiaTheme="minorEastAsia"/>
          <w:color w:val="800000"/>
        </w:rPr>
        <w:t xml:space="preserve">22. </w:t>
      </w:r>
      <w:r w:rsidR="00B2358E" w:rsidRPr="00B2358E">
        <w:rPr>
          <w:rFonts w:eastAsiaTheme="minorEastAsia"/>
          <w:color w:val="1A1A1A"/>
        </w:rPr>
        <w:t>Leichliter</w:t>
      </w:r>
      <w:r w:rsidR="00B2358E">
        <w:rPr>
          <w:rFonts w:eastAsiaTheme="minorEastAsia"/>
          <w:color w:val="1A1A1A"/>
        </w:rPr>
        <w:t xml:space="preserve"> JS,</w:t>
      </w:r>
      <w:r w:rsidR="00B2358E" w:rsidRPr="00B2358E">
        <w:rPr>
          <w:rFonts w:eastAsiaTheme="minorEastAsia"/>
          <w:color w:val="1A1A1A"/>
        </w:rPr>
        <w:t xml:space="preserve"> Chandra</w:t>
      </w:r>
      <w:r w:rsidR="00B2358E">
        <w:rPr>
          <w:rFonts w:eastAsiaTheme="minorEastAsia"/>
          <w:color w:val="1A1A1A"/>
        </w:rPr>
        <w:t xml:space="preserve"> A, </w:t>
      </w:r>
      <w:r w:rsidR="00B2358E" w:rsidRPr="00B2358E">
        <w:rPr>
          <w:rFonts w:eastAsiaTheme="minorEastAsia"/>
          <w:color w:val="1A1A1A"/>
        </w:rPr>
        <w:t>Liddon</w:t>
      </w:r>
      <w:r w:rsidR="00B2358E">
        <w:rPr>
          <w:rFonts w:eastAsiaTheme="minorEastAsia"/>
          <w:color w:val="1A1A1A"/>
        </w:rPr>
        <w:t xml:space="preserve"> N,</w:t>
      </w:r>
      <w:r w:rsidR="00B2358E" w:rsidRPr="00B2358E">
        <w:rPr>
          <w:rFonts w:eastAsiaTheme="minorEastAsia"/>
          <w:color w:val="1A1A1A"/>
        </w:rPr>
        <w:t xml:space="preserve"> Fenton</w:t>
      </w:r>
      <w:r w:rsidR="00B2358E">
        <w:rPr>
          <w:rFonts w:eastAsiaTheme="minorEastAsia"/>
          <w:color w:val="1A1A1A"/>
        </w:rPr>
        <w:t xml:space="preserve"> KA, </w:t>
      </w:r>
      <w:r w:rsidR="00B2358E" w:rsidRPr="00B2358E">
        <w:rPr>
          <w:rFonts w:eastAsiaTheme="minorEastAsia"/>
          <w:color w:val="1A1A1A"/>
        </w:rPr>
        <w:t>Aral</w:t>
      </w:r>
      <w:r w:rsidR="00B2358E">
        <w:rPr>
          <w:rFonts w:eastAsiaTheme="minorEastAsia"/>
          <w:color w:val="1A1A1A"/>
        </w:rPr>
        <w:t xml:space="preserve"> SO. </w:t>
      </w:r>
      <w:proofErr w:type="gramStart"/>
      <w:r w:rsidR="00B2358E" w:rsidRPr="00B2358E">
        <w:rPr>
          <w:rFonts w:eastAsiaTheme="minorEastAsia"/>
          <w:color w:val="1A1A1A"/>
        </w:rPr>
        <w:t>Prevalence and correlates of heterosexual anal and oral sex in adolescents and adults in the United States.</w:t>
      </w:r>
      <w:proofErr w:type="gramEnd"/>
      <w:r w:rsidR="00B2358E" w:rsidRPr="00B2358E">
        <w:rPr>
          <w:rFonts w:eastAsiaTheme="minorEastAsia"/>
          <w:color w:val="1A1A1A"/>
        </w:rPr>
        <w:t xml:space="preserve"> </w:t>
      </w:r>
      <w:proofErr w:type="gramStart"/>
      <w:r w:rsidR="00B2358E">
        <w:rPr>
          <w:rFonts w:eastAsiaTheme="minorEastAsia"/>
          <w:i/>
          <w:iCs/>
          <w:color w:val="1A1A1A"/>
        </w:rPr>
        <w:t>J</w:t>
      </w:r>
      <w:r w:rsidR="00B2358E" w:rsidRPr="00B2358E">
        <w:rPr>
          <w:rFonts w:eastAsiaTheme="minorEastAsia"/>
          <w:i/>
          <w:iCs/>
          <w:color w:val="1A1A1A"/>
        </w:rPr>
        <w:t xml:space="preserve"> Infect Dis</w:t>
      </w:r>
      <w:r w:rsidR="00B2358E" w:rsidRPr="00B2358E">
        <w:rPr>
          <w:rFonts w:eastAsiaTheme="minorEastAsia"/>
          <w:color w:val="1A1A1A"/>
        </w:rPr>
        <w:t xml:space="preserve"> 2007</w:t>
      </w:r>
      <w:r w:rsidR="00B2358E">
        <w:rPr>
          <w:rFonts w:eastAsiaTheme="minorEastAsia"/>
          <w:color w:val="1A1A1A"/>
        </w:rPr>
        <w:t>;</w:t>
      </w:r>
      <w:r w:rsidR="00B2358E" w:rsidRPr="00B2358E">
        <w:rPr>
          <w:rFonts w:eastAsiaTheme="minorEastAsia"/>
          <w:color w:val="1A1A1A"/>
        </w:rPr>
        <w:t xml:space="preserve"> </w:t>
      </w:r>
      <w:r w:rsidR="00B2358E" w:rsidRPr="00B2358E">
        <w:rPr>
          <w:rFonts w:eastAsiaTheme="minorEastAsia"/>
          <w:i/>
          <w:iCs/>
          <w:color w:val="1A1A1A"/>
        </w:rPr>
        <w:t>196</w:t>
      </w:r>
      <w:r w:rsidR="00B2358E" w:rsidRPr="00B2358E">
        <w:rPr>
          <w:rFonts w:eastAsiaTheme="minorEastAsia"/>
          <w:color w:val="1A1A1A"/>
        </w:rPr>
        <w:t>(12)</w:t>
      </w:r>
      <w:r w:rsidR="00B2358E">
        <w:rPr>
          <w:rFonts w:eastAsiaTheme="minorEastAsia"/>
          <w:color w:val="1A1A1A"/>
        </w:rPr>
        <w:t>:</w:t>
      </w:r>
      <w:r w:rsidR="00B2358E" w:rsidRPr="00B2358E">
        <w:rPr>
          <w:rFonts w:eastAsiaTheme="minorEastAsia"/>
          <w:color w:val="1A1A1A"/>
        </w:rPr>
        <w:t xml:space="preserve"> 1852-1859.</w:t>
      </w:r>
      <w:proofErr w:type="gramEnd"/>
      <w:r w:rsidR="00B2358E" w:rsidRPr="00B2358E" w:rsidDel="00B2358E">
        <w:rPr>
          <w:rFonts w:eastAsiaTheme="minorEastAsia"/>
          <w:color w:val="800000"/>
        </w:rPr>
        <w:t xml:space="preserve"> </w:t>
      </w:r>
    </w:p>
    <w:p w14:paraId="3F01B543" w14:textId="3248D364" w:rsidR="00A33E38" w:rsidRPr="00C35643" w:rsidRDefault="00A33E38" w:rsidP="00B2358E">
      <w:pPr>
        <w:rPr>
          <w:rFonts w:eastAsiaTheme="minorEastAsia"/>
          <w:color w:val="800000"/>
        </w:rPr>
      </w:pPr>
      <w:r w:rsidRPr="00C35643">
        <w:rPr>
          <w:rFonts w:eastAsiaTheme="minorEastAsia"/>
          <w:color w:val="800000"/>
          <w:highlight w:val="yellow"/>
        </w:rPr>
        <w:t>23. Swedish study on condom use during oral sex.</w:t>
      </w:r>
    </w:p>
    <w:p w14:paraId="5E1F101F" w14:textId="68BA5970" w:rsidR="00EF4BEA" w:rsidRPr="00C35643" w:rsidRDefault="00EF4BEA" w:rsidP="00C35643">
      <w:pPr>
        <w:rPr>
          <w:rFonts w:ascii="Arial" w:eastAsiaTheme="minorEastAsia" w:hAnsi="Arial" w:cs="Arial"/>
          <w:color w:val="0000FF"/>
        </w:rPr>
      </w:pPr>
      <w:r w:rsidRPr="00C35643">
        <w:rPr>
          <w:rFonts w:ascii="Arial" w:eastAsiaTheme="minorEastAsia" w:hAnsi="Arial" w:cs="Arial"/>
          <w:color w:val="0000FF"/>
        </w:rPr>
        <w:br w:type="page"/>
      </w:r>
    </w:p>
    <w:tbl>
      <w:tblPr>
        <w:tblStyle w:val="TableGrid"/>
        <w:tblpPr w:leftFromText="180" w:rightFromText="180" w:horzAnchor="page" w:tblpX="1729" w:tblpY="556"/>
        <w:tblW w:w="0" w:type="auto"/>
        <w:tblLook w:val="04A0" w:firstRow="1" w:lastRow="0" w:firstColumn="1" w:lastColumn="0" w:noHBand="0" w:noVBand="1"/>
      </w:tblPr>
      <w:tblGrid>
        <w:gridCol w:w="1210"/>
        <w:gridCol w:w="736"/>
        <w:gridCol w:w="606"/>
        <w:gridCol w:w="588"/>
        <w:gridCol w:w="606"/>
        <w:gridCol w:w="641"/>
        <w:gridCol w:w="737"/>
        <w:gridCol w:w="606"/>
        <w:gridCol w:w="641"/>
        <w:gridCol w:w="779"/>
        <w:gridCol w:w="566"/>
        <w:gridCol w:w="574"/>
        <w:gridCol w:w="566"/>
      </w:tblGrid>
      <w:tr w:rsidR="00EF4BEA" w:rsidRPr="000E36C4" w14:paraId="093671D9" w14:textId="77777777" w:rsidTr="00EF3393">
        <w:tc>
          <w:tcPr>
            <w:tcW w:w="1210" w:type="dxa"/>
          </w:tcPr>
          <w:p w14:paraId="14DDEF34" w14:textId="77777777" w:rsidR="00EF4BEA" w:rsidRPr="000E36C4" w:rsidRDefault="00EF4BEA" w:rsidP="00EF4BEA">
            <w:pPr>
              <w:spacing w:line="480" w:lineRule="auto"/>
              <w:rPr>
                <w:sz w:val="20"/>
                <w:szCs w:val="20"/>
              </w:rPr>
            </w:pPr>
          </w:p>
        </w:tc>
        <w:tc>
          <w:tcPr>
            <w:tcW w:w="7646" w:type="dxa"/>
            <w:gridSpan w:val="12"/>
          </w:tcPr>
          <w:p w14:paraId="212E5318" w14:textId="77777777" w:rsidR="00EF4BEA" w:rsidRPr="000E36C4" w:rsidRDefault="00EF4BEA" w:rsidP="00EF4BEA">
            <w:pPr>
              <w:spacing w:line="480" w:lineRule="auto"/>
              <w:jc w:val="center"/>
              <w:rPr>
                <w:sz w:val="20"/>
                <w:szCs w:val="20"/>
              </w:rPr>
            </w:pPr>
            <w:r w:rsidRPr="000E36C4">
              <w:rPr>
                <w:sz w:val="20"/>
                <w:szCs w:val="20"/>
              </w:rPr>
              <w:t>Scales</w:t>
            </w:r>
          </w:p>
        </w:tc>
      </w:tr>
      <w:tr w:rsidR="00EF4BEA" w:rsidRPr="000E36C4" w14:paraId="35CE3921" w14:textId="77777777" w:rsidTr="00EF3393">
        <w:tc>
          <w:tcPr>
            <w:tcW w:w="1210" w:type="dxa"/>
            <w:vMerge w:val="restart"/>
            <w:vAlign w:val="bottom"/>
          </w:tcPr>
          <w:p w14:paraId="08BA592B" w14:textId="127C0FFE" w:rsidR="00EF4BEA" w:rsidRPr="000E36C4" w:rsidRDefault="00EF4BEA" w:rsidP="00EF4BEA">
            <w:pPr>
              <w:spacing w:line="480" w:lineRule="auto"/>
              <w:rPr>
                <w:sz w:val="20"/>
                <w:szCs w:val="20"/>
              </w:rPr>
            </w:pPr>
            <w:r w:rsidRPr="000E36C4">
              <w:rPr>
                <w:sz w:val="20"/>
                <w:szCs w:val="20"/>
              </w:rPr>
              <w:t>Risk Behavior</w:t>
            </w:r>
          </w:p>
        </w:tc>
        <w:tc>
          <w:tcPr>
            <w:tcW w:w="1930" w:type="dxa"/>
            <w:gridSpan w:val="3"/>
            <w:vAlign w:val="bottom"/>
          </w:tcPr>
          <w:p w14:paraId="6FFB7719" w14:textId="77777777" w:rsidR="00EF4BEA" w:rsidRPr="000E36C4" w:rsidRDefault="00EF4BEA" w:rsidP="00EF4BEA">
            <w:pPr>
              <w:spacing w:line="480" w:lineRule="auto"/>
              <w:jc w:val="center"/>
              <w:rPr>
                <w:sz w:val="20"/>
                <w:szCs w:val="20"/>
              </w:rPr>
            </w:pPr>
            <w:r w:rsidRPr="000E36C4">
              <w:rPr>
                <w:sz w:val="20"/>
                <w:szCs w:val="20"/>
              </w:rPr>
              <w:t>Safer Sex Communication</w:t>
            </w:r>
          </w:p>
        </w:tc>
        <w:tc>
          <w:tcPr>
            <w:tcW w:w="1984" w:type="dxa"/>
            <w:gridSpan w:val="3"/>
            <w:vAlign w:val="bottom"/>
          </w:tcPr>
          <w:p w14:paraId="1D14E7EE" w14:textId="77777777" w:rsidR="00EF4BEA" w:rsidRPr="000E36C4" w:rsidRDefault="00EF4BEA" w:rsidP="00EF4BEA">
            <w:pPr>
              <w:spacing w:line="480" w:lineRule="auto"/>
              <w:jc w:val="center"/>
              <w:rPr>
                <w:sz w:val="20"/>
                <w:szCs w:val="20"/>
              </w:rPr>
            </w:pPr>
            <w:r w:rsidRPr="000E36C4">
              <w:rPr>
                <w:sz w:val="20"/>
                <w:szCs w:val="20"/>
              </w:rPr>
              <w:t>Condom Turn Offs</w:t>
            </w:r>
          </w:p>
        </w:tc>
        <w:tc>
          <w:tcPr>
            <w:tcW w:w="2026" w:type="dxa"/>
            <w:gridSpan w:val="3"/>
            <w:vAlign w:val="bottom"/>
          </w:tcPr>
          <w:p w14:paraId="46125407" w14:textId="77777777" w:rsidR="00EF4BEA" w:rsidRPr="000E36C4" w:rsidRDefault="00EF4BEA" w:rsidP="00EF4BEA">
            <w:pPr>
              <w:spacing w:line="480" w:lineRule="auto"/>
              <w:jc w:val="center"/>
              <w:rPr>
                <w:sz w:val="20"/>
                <w:szCs w:val="20"/>
              </w:rPr>
            </w:pPr>
            <w:r w:rsidRPr="000E36C4">
              <w:rPr>
                <w:sz w:val="20"/>
                <w:szCs w:val="20"/>
              </w:rPr>
              <w:t>Condom Pleasure</w:t>
            </w:r>
          </w:p>
        </w:tc>
        <w:tc>
          <w:tcPr>
            <w:tcW w:w="1706" w:type="dxa"/>
            <w:gridSpan w:val="3"/>
            <w:vAlign w:val="bottom"/>
          </w:tcPr>
          <w:p w14:paraId="482E5DB8" w14:textId="21113E10" w:rsidR="00EF4BEA" w:rsidRPr="000E36C4" w:rsidRDefault="00EF4BEA" w:rsidP="00EF4BEA">
            <w:pPr>
              <w:spacing w:line="480" w:lineRule="auto"/>
              <w:jc w:val="center"/>
              <w:rPr>
                <w:sz w:val="20"/>
                <w:szCs w:val="20"/>
              </w:rPr>
            </w:pPr>
            <w:r w:rsidRPr="000E36C4">
              <w:rPr>
                <w:sz w:val="20"/>
                <w:szCs w:val="20"/>
              </w:rPr>
              <w:t>Discussed Condoms Before Sex</w:t>
            </w:r>
            <w:r w:rsidR="00273EB0">
              <w:rPr>
                <w:sz w:val="20"/>
                <w:szCs w:val="20"/>
              </w:rPr>
              <w:t>ual Arousal</w:t>
            </w:r>
          </w:p>
        </w:tc>
      </w:tr>
      <w:tr w:rsidR="00EF4BEA" w:rsidRPr="000E36C4" w14:paraId="1FD80CF3" w14:textId="77777777" w:rsidTr="00EF3393">
        <w:tc>
          <w:tcPr>
            <w:tcW w:w="1210" w:type="dxa"/>
            <w:vMerge/>
            <w:vAlign w:val="bottom"/>
          </w:tcPr>
          <w:p w14:paraId="4372864C" w14:textId="77777777" w:rsidR="00EF4BEA" w:rsidRPr="000E36C4" w:rsidRDefault="00EF4BEA" w:rsidP="00EF4BEA">
            <w:pPr>
              <w:spacing w:line="480" w:lineRule="auto"/>
              <w:jc w:val="center"/>
              <w:rPr>
                <w:sz w:val="20"/>
                <w:szCs w:val="20"/>
              </w:rPr>
            </w:pPr>
          </w:p>
        </w:tc>
        <w:tc>
          <w:tcPr>
            <w:tcW w:w="736" w:type="dxa"/>
            <w:vAlign w:val="bottom"/>
          </w:tcPr>
          <w:p w14:paraId="1B96ED40" w14:textId="77777777" w:rsidR="00EF4BEA" w:rsidRPr="000E36C4" w:rsidRDefault="00EF4BEA" w:rsidP="00EF4BEA">
            <w:pPr>
              <w:spacing w:line="480" w:lineRule="auto"/>
              <w:jc w:val="center"/>
              <w:rPr>
                <w:sz w:val="20"/>
                <w:szCs w:val="20"/>
              </w:rPr>
            </w:pPr>
            <w:r w:rsidRPr="000E36C4">
              <w:rPr>
                <w:sz w:val="20"/>
                <w:szCs w:val="20"/>
              </w:rPr>
              <w:t>Infreq</w:t>
            </w:r>
          </w:p>
        </w:tc>
        <w:tc>
          <w:tcPr>
            <w:tcW w:w="606" w:type="dxa"/>
            <w:vAlign w:val="bottom"/>
          </w:tcPr>
          <w:p w14:paraId="08186959" w14:textId="77777777" w:rsidR="00EF4BEA" w:rsidRPr="000E36C4" w:rsidRDefault="00EF4BEA" w:rsidP="00EF4BEA">
            <w:pPr>
              <w:spacing w:line="480" w:lineRule="auto"/>
              <w:jc w:val="center"/>
              <w:rPr>
                <w:sz w:val="20"/>
                <w:szCs w:val="20"/>
              </w:rPr>
            </w:pPr>
            <w:r w:rsidRPr="000E36C4">
              <w:rPr>
                <w:sz w:val="20"/>
                <w:szCs w:val="20"/>
              </w:rPr>
              <w:t>Freq</w:t>
            </w:r>
          </w:p>
        </w:tc>
        <w:tc>
          <w:tcPr>
            <w:tcW w:w="588" w:type="dxa"/>
            <w:vAlign w:val="bottom"/>
          </w:tcPr>
          <w:p w14:paraId="2B8E3E8B" w14:textId="77777777" w:rsidR="00EF4BEA" w:rsidRPr="000E36C4" w:rsidRDefault="00EF4BEA" w:rsidP="00EF4BEA">
            <w:pPr>
              <w:spacing w:line="480" w:lineRule="auto"/>
              <w:jc w:val="center"/>
              <w:rPr>
                <w:sz w:val="20"/>
                <w:szCs w:val="20"/>
              </w:rPr>
            </w:pPr>
            <w:r w:rsidRPr="000E36C4">
              <w:rPr>
                <w:sz w:val="20"/>
                <w:szCs w:val="20"/>
              </w:rPr>
              <w:t>P</w:t>
            </w:r>
          </w:p>
        </w:tc>
        <w:tc>
          <w:tcPr>
            <w:tcW w:w="606" w:type="dxa"/>
            <w:vAlign w:val="bottom"/>
          </w:tcPr>
          <w:p w14:paraId="0B0231B7" w14:textId="77777777" w:rsidR="00EF4BEA" w:rsidRPr="000E36C4" w:rsidRDefault="00EF4BEA" w:rsidP="00EF4BEA">
            <w:pPr>
              <w:spacing w:line="480" w:lineRule="auto"/>
              <w:jc w:val="center"/>
              <w:rPr>
                <w:sz w:val="20"/>
                <w:szCs w:val="20"/>
              </w:rPr>
            </w:pPr>
            <w:r w:rsidRPr="000E36C4">
              <w:rPr>
                <w:sz w:val="20"/>
                <w:szCs w:val="20"/>
              </w:rPr>
              <w:t>Low</w:t>
            </w:r>
          </w:p>
        </w:tc>
        <w:tc>
          <w:tcPr>
            <w:tcW w:w="641" w:type="dxa"/>
            <w:vAlign w:val="bottom"/>
          </w:tcPr>
          <w:p w14:paraId="6E39FD70" w14:textId="77777777" w:rsidR="00EF4BEA" w:rsidRPr="000E36C4" w:rsidRDefault="00EF4BEA" w:rsidP="00EF4BEA">
            <w:pPr>
              <w:spacing w:line="480" w:lineRule="auto"/>
              <w:jc w:val="center"/>
              <w:rPr>
                <w:sz w:val="20"/>
                <w:szCs w:val="20"/>
              </w:rPr>
            </w:pPr>
            <w:r w:rsidRPr="000E36C4">
              <w:rPr>
                <w:sz w:val="20"/>
                <w:szCs w:val="20"/>
              </w:rPr>
              <w:t>High</w:t>
            </w:r>
          </w:p>
        </w:tc>
        <w:tc>
          <w:tcPr>
            <w:tcW w:w="737" w:type="dxa"/>
            <w:vAlign w:val="bottom"/>
          </w:tcPr>
          <w:p w14:paraId="41BCA839" w14:textId="77777777" w:rsidR="00EF4BEA" w:rsidRPr="000E36C4" w:rsidRDefault="00EF4BEA" w:rsidP="00EF4BEA">
            <w:pPr>
              <w:spacing w:line="480" w:lineRule="auto"/>
              <w:jc w:val="center"/>
              <w:rPr>
                <w:sz w:val="20"/>
                <w:szCs w:val="20"/>
              </w:rPr>
            </w:pPr>
            <w:r w:rsidRPr="000E36C4">
              <w:rPr>
                <w:sz w:val="20"/>
                <w:szCs w:val="20"/>
              </w:rPr>
              <w:t>P</w:t>
            </w:r>
          </w:p>
        </w:tc>
        <w:tc>
          <w:tcPr>
            <w:tcW w:w="606" w:type="dxa"/>
            <w:vAlign w:val="bottom"/>
          </w:tcPr>
          <w:p w14:paraId="7D8E7A54" w14:textId="77777777" w:rsidR="00EF4BEA" w:rsidRPr="000E36C4" w:rsidRDefault="00EF4BEA" w:rsidP="00EF4BEA">
            <w:pPr>
              <w:spacing w:line="480" w:lineRule="auto"/>
              <w:jc w:val="center"/>
              <w:rPr>
                <w:sz w:val="20"/>
                <w:szCs w:val="20"/>
              </w:rPr>
            </w:pPr>
            <w:r w:rsidRPr="000E36C4">
              <w:rPr>
                <w:sz w:val="20"/>
                <w:szCs w:val="20"/>
              </w:rPr>
              <w:t>Low</w:t>
            </w:r>
          </w:p>
        </w:tc>
        <w:tc>
          <w:tcPr>
            <w:tcW w:w="641" w:type="dxa"/>
            <w:vAlign w:val="bottom"/>
          </w:tcPr>
          <w:p w14:paraId="5DF7F0BC" w14:textId="77777777" w:rsidR="00EF4BEA" w:rsidRPr="000E36C4" w:rsidRDefault="00EF4BEA" w:rsidP="00EF4BEA">
            <w:pPr>
              <w:spacing w:line="480" w:lineRule="auto"/>
              <w:jc w:val="center"/>
              <w:rPr>
                <w:sz w:val="20"/>
                <w:szCs w:val="20"/>
              </w:rPr>
            </w:pPr>
            <w:r w:rsidRPr="000E36C4">
              <w:rPr>
                <w:sz w:val="20"/>
                <w:szCs w:val="20"/>
              </w:rPr>
              <w:t>High</w:t>
            </w:r>
          </w:p>
        </w:tc>
        <w:tc>
          <w:tcPr>
            <w:tcW w:w="779" w:type="dxa"/>
            <w:vAlign w:val="bottom"/>
          </w:tcPr>
          <w:p w14:paraId="0BDB3ED5" w14:textId="77777777" w:rsidR="00EF4BEA" w:rsidRPr="000E36C4" w:rsidRDefault="00EF4BEA" w:rsidP="00EF4BEA">
            <w:pPr>
              <w:spacing w:line="480" w:lineRule="auto"/>
              <w:jc w:val="center"/>
              <w:rPr>
                <w:sz w:val="20"/>
                <w:szCs w:val="20"/>
              </w:rPr>
            </w:pPr>
            <w:r w:rsidRPr="000E36C4">
              <w:rPr>
                <w:sz w:val="20"/>
                <w:szCs w:val="20"/>
              </w:rPr>
              <w:t>P</w:t>
            </w:r>
          </w:p>
        </w:tc>
        <w:tc>
          <w:tcPr>
            <w:tcW w:w="566" w:type="dxa"/>
            <w:vAlign w:val="bottom"/>
          </w:tcPr>
          <w:p w14:paraId="75061F62" w14:textId="77777777" w:rsidR="00EF4BEA" w:rsidRPr="000E36C4" w:rsidRDefault="00EF4BEA" w:rsidP="00EF4BEA">
            <w:pPr>
              <w:spacing w:line="480" w:lineRule="auto"/>
              <w:jc w:val="center"/>
              <w:rPr>
                <w:sz w:val="20"/>
                <w:szCs w:val="20"/>
              </w:rPr>
            </w:pPr>
            <w:r w:rsidRPr="000E36C4">
              <w:rPr>
                <w:sz w:val="20"/>
                <w:szCs w:val="20"/>
              </w:rPr>
              <w:t>No</w:t>
            </w:r>
          </w:p>
        </w:tc>
        <w:tc>
          <w:tcPr>
            <w:tcW w:w="574" w:type="dxa"/>
            <w:vAlign w:val="bottom"/>
          </w:tcPr>
          <w:p w14:paraId="06EEE0AD" w14:textId="77777777" w:rsidR="00EF4BEA" w:rsidRPr="000E36C4" w:rsidRDefault="00EF4BEA" w:rsidP="00EF4BEA">
            <w:pPr>
              <w:spacing w:line="480" w:lineRule="auto"/>
              <w:jc w:val="center"/>
              <w:rPr>
                <w:sz w:val="20"/>
                <w:szCs w:val="20"/>
              </w:rPr>
            </w:pPr>
            <w:r w:rsidRPr="000E36C4">
              <w:rPr>
                <w:sz w:val="20"/>
                <w:szCs w:val="20"/>
              </w:rPr>
              <w:t>Yes</w:t>
            </w:r>
          </w:p>
        </w:tc>
        <w:tc>
          <w:tcPr>
            <w:tcW w:w="566" w:type="dxa"/>
            <w:vAlign w:val="bottom"/>
          </w:tcPr>
          <w:p w14:paraId="152DF9E2" w14:textId="77777777" w:rsidR="00EF4BEA" w:rsidRPr="000E36C4" w:rsidRDefault="00EF4BEA" w:rsidP="00EF4BEA">
            <w:pPr>
              <w:spacing w:line="480" w:lineRule="auto"/>
              <w:jc w:val="center"/>
              <w:rPr>
                <w:sz w:val="20"/>
                <w:szCs w:val="20"/>
              </w:rPr>
            </w:pPr>
            <w:r w:rsidRPr="000E36C4">
              <w:rPr>
                <w:sz w:val="20"/>
                <w:szCs w:val="20"/>
              </w:rPr>
              <w:t>P</w:t>
            </w:r>
          </w:p>
        </w:tc>
      </w:tr>
      <w:tr w:rsidR="00EF4BEA" w:rsidRPr="000E36C4" w14:paraId="7DCF8A5C" w14:textId="77777777" w:rsidTr="00EF3393">
        <w:tc>
          <w:tcPr>
            <w:tcW w:w="1210" w:type="dxa"/>
          </w:tcPr>
          <w:p w14:paraId="3E758272" w14:textId="77777777" w:rsidR="00EF4BEA" w:rsidRPr="000E36C4" w:rsidRDefault="00EF4BEA" w:rsidP="00EF4BEA">
            <w:pPr>
              <w:spacing w:line="480" w:lineRule="auto"/>
              <w:rPr>
                <w:sz w:val="20"/>
                <w:szCs w:val="20"/>
              </w:rPr>
            </w:pPr>
            <w:r>
              <w:rPr>
                <w:sz w:val="20"/>
                <w:szCs w:val="20"/>
              </w:rPr>
              <w:t>UAI</w:t>
            </w:r>
            <w:r w:rsidRPr="000E36C4">
              <w:rPr>
                <w:sz w:val="20"/>
                <w:szCs w:val="20"/>
              </w:rPr>
              <w:t>S %</w:t>
            </w:r>
          </w:p>
        </w:tc>
        <w:tc>
          <w:tcPr>
            <w:tcW w:w="736" w:type="dxa"/>
          </w:tcPr>
          <w:p w14:paraId="3D1A23C9" w14:textId="77777777" w:rsidR="00EF4BEA" w:rsidRPr="000E36C4" w:rsidRDefault="00EF4BEA" w:rsidP="00EF4BEA">
            <w:pPr>
              <w:spacing w:line="480" w:lineRule="auto"/>
              <w:rPr>
                <w:sz w:val="20"/>
                <w:szCs w:val="20"/>
              </w:rPr>
            </w:pPr>
            <w:r w:rsidRPr="000E36C4">
              <w:rPr>
                <w:sz w:val="20"/>
                <w:szCs w:val="20"/>
              </w:rPr>
              <w:t>33.0</w:t>
            </w:r>
          </w:p>
        </w:tc>
        <w:tc>
          <w:tcPr>
            <w:tcW w:w="606" w:type="dxa"/>
          </w:tcPr>
          <w:p w14:paraId="2EDB9DBA" w14:textId="77777777" w:rsidR="00EF4BEA" w:rsidRPr="000E36C4" w:rsidRDefault="00EF4BEA" w:rsidP="00EF4BEA">
            <w:pPr>
              <w:spacing w:line="480" w:lineRule="auto"/>
              <w:rPr>
                <w:sz w:val="20"/>
                <w:szCs w:val="20"/>
              </w:rPr>
            </w:pPr>
            <w:r w:rsidRPr="000E36C4">
              <w:rPr>
                <w:sz w:val="20"/>
                <w:szCs w:val="20"/>
              </w:rPr>
              <w:t>24.1</w:t>
            </w:r>
          </w:p>
        </w:tc>
        <w:tc>
          <w:tcPr>
            <w:tcW w:w="588" w:type="dxa"/>
          </w:tcPr>
          <w:p w14:paraId="3A3EBBE4" w14:textId="77777777" w:rsidR="00EF4BEA" w:rsidRPr="000E36C4" w:rsidRDefault="00EF4BEA" w:rsidP="00EF4BEA">
            <w:pPr>
              <w:spacing w:line="480" w:lineRule="auto"/>
              <w:rPr>
                <w:sz w:val="20"/>
                <w:szCs w:val="20"/>
              </w:rPr>
            </w:pPr>
            <w:r w:rsidRPr="000E36C4">
              <w:rPr>
                <w:sz w:val="20"/>
                <w:szCs w:val="20"/>
              </w:rPr>
              <w:t>.06</w:t>
            </w:r>
          </w:p>
        </w:tc>
        <w:tc>
          <w:tcPr>
            <w:tcW w:w="606" w:type="dxa"/>
          </w:tcPr>
          <w:p w14:paraId="13BAF312" w14:textId="77777777" w:rsidR="00EF4BEA" w:rsidRPr="000E36C4" w:rsidRDefault="00EF4BEA" w:rsidP="00EF4BEA">
            <w:pPr>
              <w:spacing w:line="480" w:lineRule="auto"/>
              <w:rPr>
                <w:sz w:val="20"/>
                <w:szCs w:val="20"/>
              </w:rPr>
            </w:pPr>
            <w:r>
              <w:rPr>
                <w:sz w:val="20"/>
                <w:szCs w:val="20"/>
              </w:rPr>
              <w:t>23.4</w:t>
            </w:r>
          </w:p>
        </w:tc>
        <w:tc>
          <w:tcPr>
            <w:tcW w:w="641" w:type="dxa"/>
          </w:tcPr>
          <w:p w14:paraId="060BB9D5" w14:textId="77777777" w:rsidR="00EF4BEA" w:rsidRPr="000E36C4" w:rsidRDefault="00EF4BEA" w:rsidP="00EF4BEA">
            <w:pPr>
              <w:spacing w:line="480" w:lineRule="auto"/>
              <w:rPr>
                <w:sz w:val="20"/>
                <w:szCs w:val="20"/>
              </w:rPr>
            </w:pPr>
            <w:r>
              <w:rPr>
                <w:sz w:val="20"/>
                <w:szCs w:val="20"/>
              </w:rPr>
              <w:t>35.6</w:t>
            </w:r>
          </w:p>
        </w:tc>
        <w:tc>
          <w:tcPr>
            <w:tcW w:w="737" w:type="dxa"/>
          </w:tcPr>
          <w:p w14:paraId="0AE4CE04" w14:textId="77777777" w:rsidR="00EF4BEA" w:rsidRPr="000E36C4" w:rsidRDefault="00EF4BEA" w:rsidP="00EF4BEA">
            <w:pPr>
              <w:spacing w:line="480" w:lineRule="auto"/>
              <w:rPr>
                <w:sz w:val="20"/>
                <w:szCs w:val="20"/>
              </w:rPr>
            </w:pPr>
            <w:r>
              <w:rPr>
                <w:sz w:val="20"/>
                <w:szCs w:val="20"/>
              </w:rPr>
              <w:t>.0001</w:t>
            </w:r>
          </w:p>
        </w:tc>
        <w:tc>
          <w:tcPr>
            <w:tcW w:w="606" w:type="dxa"/>
          </w:tcPr>
          <w:p w14:paraId="06C01452" w14:textId="77777777" w:rsidR="00EF4BEA" w:rsidRPr="000E36C4" w:rsidRDefault="00EF4BEA" w:rsidP="00EF4BEA">
            <w:pPr>
              <w:spacing w:line="480" w:lineRule="auto"/>
              <w:rPr>
                <w:sz w:val="20"/>
                <w:szCs w:val="20"/>
              </w:rPr>
            </w:pPr>
            <w:r w:rsidRPr="000E36C4">
              <w:rPr>
                <w:sz w:val="20"/>
                <w:szCs w:val="20"/>
              </w:rPr>
              <w:t>39.2</w:t>
            </w:r>
          </w:p>
        </w:tc>
        <w:tc>
          <w:tcPr>
            <w:tcW w:w="641" w:type="dxa"/>
          </w:tcPr>
          <w:p w14:paraId="11D84F5B" w14:textId="77777777" w:rsidR="00EF4BEA" w:rsidRPr="000E36C4" w:rsidRDefault="00EF4BEA" w:rsidP="00EF4BEA">
            <w:pPr>
              <w:spacing w:line="480" w:lineRule="auto"/>
              <w:rPr>
                <w:sz w:val="20"/>
                <w:szCs w:val="20"/>
              </w:rPr>
            </w:pPr>
            <w:r w:rsidRPr="000E36C4">
              <w:rPr>
                <w:sz w:val="20"/>
                <w:szCs w:val="20"/>
              </w:rPr>
              <w:t>18.2</w:t>
            </w:r>
          </w:p>
        </w:tc>
        <w:tc>
          <w:tcPr>
            <w:tcW w:w="779" w:type="dxa"/>
          </w:tcPr>
          <w:p w14:paraId="32690710" w14:textId="77777777" w:rsidR="00EF4BEA" w:rsidRPr="000E36C4" w:rsidRDefault="00EF4BEA" w:rsidP="00EF4BEA">
            <w:pPr>
              <w:spacing w:line="480" w:lineRule="auto"/>
              <w:rPr>
                <w:sz w:val="20"/>
                <w:szCs w:val="20"/>
              </w:rPr>
            </w:pPr>
            <w:proofErr w:type="gramStart"/>
            <w:r w:rsidRPr="000E36C4">
              <w:rPr>
                <w:sz w:val="20"/>
                <w:szCs w:val="20"/>
              </w:rPr>
              <w:t>&lt;.0001</w:t>
            </w:r>
            <w:proofErr w:type="gramEnd"/>
          </w:p>
        </w:tc>
        <w:tc>
          <w:tcPr>
            <w:tcW w:w="566" w:type="dxa"/>
          </w:tcPr>
          <w:p w14:paraId="0240C2B7" w14:textId="77777777" w:rsidR="00EF4BEA" w:rsidRPr="000E36C4" w:rsidRDefault="00EF4BEA" w:rsidP="00EF4BEA">
            <w:pPr>
              <w:spacing w:line="480" w:lineRule="auto"/>
              <w:rPr>
                <w:sz w:val="20"/>
                <w:szCs w:val="20"/>
              </w:rPr>
            </w:pPr>
            <w:r w:rsidRPr="000E36C4">
              <w:rPr>
                <w:sz w:val="20"/>
                <w:szCs w:val="20"/>
              </w:rPr>
              <w:t>41.5</w:t>
            </w:r>
          </w:p>
        </w:tc>
        <w:tc>
          <w:tcPr>
            <w:tcW w:w="574" w:type="dxa"/>
          </w:tcPr>
          <w:p w14:paraId="097A880D" w14:textId="77777777" w:rsidR="00EF4BEA" w:rsidRPr="000E36C4" w:rsidRDefault="00EF4BEA" w:rsidP="00EF4BEA">
            <w:pPr>
              <w:spacing w:line="480" w:lineRule="auto"/>
              <w:rPr>
                <w:sz w:val="20"/>
                <w:szCs w:val="20"/>
              </w:rPr>
            </w:pPr>
            <w:r w:rsidRPr="000E36C4">
              <w:rPr>
                <w:sz w:val="20"/>
                <w:szCs w:val="20"/>
              </w:rPr>
              <w:t>15.5</w:t>
            </w:r>
          </w:p>
        </w:tc>
        <w:tc>
          <w:tcPr>
            <w:tcW w:w="566" w:type="dxa"/>
          </w:tcPr>
          <w:p w14:paraId="3CC21C96" w14:textId="77777777" w:rsidR="00EF4BEA" w:rsidRPr="000E36C4" w:rsidRDefault="00EF4BEA" w:rsidP="00EF4BEA">
            <w:pPr>
              <w:spacing w:line="480" w:lineRule="auto"/>
              <w:rPr>
                <w:sz w:val="20"/>
                <w:szCs w:val="20"/>
              </w:rPr>
            </w:pPr>
            <w:r w:rsidRPr="000E36C4">
              <w:rPr>
                <w:sz w:val="20"/>
                <w:szCs w:val="20"/>
              </w:rPr>
              <w:t>.001</w:t>
            </w:r>
          </w:p>
        </w:tc>
      </w:tr>
      <w:tr w:rsidR="00EF4BEA" w:rsidRPr="000E36C4" w14:paraId="2F770DD1" w14:textId="77777777" w:rsidTr="00EF3393">
        <w:tc>
          <w:tcPr>
            <w:tcW w:w="1210" w:type="dxa"/>
          </w:tcPr>
          <w:p w14:paraId="1DFBE136" w14:textId="77777777" w:rsidR="00EF4BEA" w:rsidRPr="000E36C4" w:rsidRDefault="00EF4BEA" w:rsidP="00EF4BEA">
            <w:pPr>
              <w:spacing w:line="480" w:lineRule="auto"/>
              <w:rPr>
                <w:sz w:val="20"/>
                <w:szCs w:val="20"/>
              </w:rPr>
            </w:pPr>
            <w:r>
              <w:rPr>
                <w:sz w:val="20"/>
                <w:szCs w:val="20"/>
              </w:rPr>
              <w:t>UAI</w:t>
            </w:r>
            <w:r w:rsidRPr="000E36C4">
              <w:rPr>
                <w:sz w:val="20"/>
                <w:szCs w:val="20"/>
              </w:rPr>
              <w:t xml:space="preserve">S </w:t>
            </w:r>
            <w:r w:rsidRPr="000E36C4">
              <w:rPr>
                <w:i/>
                <w:sz w:val="20"/>
                <w:szCs w:val="20"/>
              </w:rPr>
              <w:t>x</w:t>
            </w:r>
          </w:p>
        </w:tc>
        <w:tc>
          <w:tcPr>
            <w:tcW w:w="736" w:type="dxa"/>
          </w:tcPr>
          <w:p w14:paraId="62FB9CC5" w14:textId="77777777" w:rsidR="00EF4BEA" w:rsidRPr="000E36C4" w:rsidRDefault="00EF4BEA" w:rsidP="00EF4BEA">
            <w:pPr>
              <w:spacing w:line="480" w:lineRule="auto"/>
              <w:rPr>
                <w:sz w:val="20"/>
                <w:szCs w:val="20"/>
              </w:rPr>
            </w:pPr>
            <w:r w:rsidRPr="000E36C4">
              <w:rPr>
                <w:sz w:val="20"/>
                <w:szCs w:val="20"/>
              </w:rPr>
              <w:t>1.23</w:t>
            </w:r>
          </w:p>
        </w:tc>
        <w:tc>
          <w:tcPr>
            <w:tcW w:w="606" w:type="dxa"/>
          </w:tcPr>
          <w:p w14:paraId="69BA2EB2" w14:textId="77777777" w:rsidR="00EF4BEA" w:rsidRPr="000E36C4" w:rsidRDefault="00EF4BEA" w:rsidP="00EF4BEA">
            <w:pPr>
              <w:spacing w:line="480" w:lineRule="auto"/>
              <w:rPr>
                <w:sz w:val="20"/>
                <w:szCs w:val="20"/>
              </w:rPr>
            </w:pPr>
            <w:r w:rsidRPr="000E36C4">
              <w:rPr>
                <w:sz w:val="20"/>
                <w:szCs w:val="20"/>
              </w:rPr>
              <w:t>1.21</w:t>
            </w:r>
          </w:p>
        </w:tc>
        <w:tc>
          <w:tcPr>
            <w:tcW w:w="588" w:type="dxa"/>
          </w:tcPr>
          <w:p w14:paraId="269E498B" w14:textId="77777777" w:rsidR="00EF4BEA" w:rsidRPr="000E36C4" w:rsidRDefault="00EF4BEA" w:rsidP="00EF4BEA">
            <w:pPr>
              <w:spacing w:line="480" w:lineRule="auto"/>
              <w:rPr>
                <w:sz w:val="20"/>
                <w:szCs w:val="20"/>
              </w:rPr>
            </w:pPr>
            <w:r w:rsidRPr="000E36C4">
              <w:rPr>
                <w:sz w:val="20"/>
                <w:szCs w:val="20"/>
              </w:rPr>
              <w:t>50</w:t>
            </w:r>
          </w:p>
        </w:tc>
        <w:tc>
          <w:tcPr>
            <w:tcW w:w="606" w:type="dxa"/>
          </w:tcPr>
          <w:p w14:paraId="21781C09" w14:textId="77777777" w:rsidR="00EF4BEA" w:rsidRPr="000E36C4" w:rsidRDefault="00EF4BEA" w:rsidP="00EF4BEA">
            <w:pPr>
              <w:spacing w:line="480" w:lineRule="auto"/>
              <w:rPr>
                <w:sz w:val="20"/>
                <w:szCs w:val="20"/>
              </w:rPr>
            </w:pPr>
            <w:r>
              <w:rPr>
                <w:sz w:val="20"/>
                <w:szCs w:val="20"/>
              </w:rPr>
              <w:t>.71</w:t>
            </w:r>
          </w:p>
        </w:tc>
        <w:tc>
          <w:tcPr>
            <w:tcW w:w="641" w:type="dxa"/>
          </w:tcPr>
          <w:p w14:paraId="17D84423" w14:textId="77777777" w:rsidR="00EF4BEA" w:rsidRPr="000E36C4" w:rsidRDefault="00EF4BEA" w:rsidP="00EF4BEA">
            <w:pPr>
              <w:spacing w:line="480" w:lineRule="auto"/>
              <w:rPr>
                <w:sz w:val="20"/>
                <w:szCs w:val="20"/>
              </w:rPr>
            </w:pPr>
            <w:r>
              <w:rPr>
                <w:sz w:val="20"/>
                <w:szCs w:val="20"/>
              </w:rPr>
              <w:t>1.91</w:t>
            </w:r>
          </w:p>
        </w:tc>
        <w:tc>
          <w:tcPr>
            <w:tcW w:w="737" w:type="dxa"/>
          </w:tcPr>
          <w:p w14:paraId="5EBAB566" w14:textId="77777777" w:rsidR="00EF4BEA" w:rsidRPr="000E36C4" w:rsidRDefault="00EF4BEA" w:rsidP="00EF4BEA">
            <w:pPr>
              <w:spacing w:line="480" w:lineRule="auto"/>
              <w:rPr>
                <w:sz w:val="20"/>
                <w:szCs w:val="20"/>
              </w:rPr>
            </w:pPr>
            <w:r>
              <w:rPr>
                <w:sz w:val="20"/>
                <w:szCs w:val="20"/>
              </w:rPr>
              <w:t>.009</w:t>
            </w:r>
          </w:p>
        </w:tc>
        <w:tc>
          <w:tcPr>
            <w:tcW w:w="606" w:type="dxa"/>
          </w:tcPr>
          <w:p w14:paraId="3BCDFD38" w14:textId="77777777" w:rsidR="00EF4BEA" w:rsidRPr="000E36C4" w:rsidRDefault="00EF4BEA" w:rsidP="00EF4BEA">
            <w:pPr>
              <w:spacing w:line="480" w:lineRule="auto"/>
              <w:rPr>
                <w:sz w:val="20"/>
                <w:szCs w:val="20"/>
              </w:rPr>
            </w:pPr>
            <w:r w:rsidRPr="000E36C4">
              <w:rPr>
                <w:sz w:val="20"/>
                <w:szCs w:val="20"/>
              </w:rPr>
              <w:t>1.83</w:t>
            </w:r>
          </w:p>
        </w:tc>
        <w:tc>
          <w:tcPr>
            <w:tcW w:w="641" w:type="dxa"/>
          </w:tcPr>
          <w:p w14:paraId="68782E26" w14:textId="77777777" w:rsidR="00EF4BEA" w:rsidRPr="000E36C4" w:rsidRDefault="00EF4BEA" w:rsidP="00EF4BEA">
            <w:pPr>
              <w:spacing w:line="480" w:lineRule="auto"/>
              <w:rPr>
                <w:sz w:val="20"/>
                <w:szCs w:val="20"/>
              </w:rPr>
            </w:pPr>
            <w:r w:rsidRPr="000E36C4">
              <w:rPr>
                <w:sz w:val="20"/>
                <w:szCs w:val="20"/>
              </w:rPr>
              <w:t>.68</w:t>
            </w:r>
          </w:p>
        </w:tc>
        <w:tc>
          <w:tcPr>
            <w:tcW w:w="779" w:type="dxa"/>
          </w:tcPr>
          <w:p w14:paraId="658F5BB7" w14:textId="77777777" w:rsidR="00EF4BEA" w:rsidRPr="000E36C4" w:rsidRDefault="00EF4BEA" w:rsidP="00EF4BEA">
            <w:pPr>
              <w:spacing w:line="480" w:lineRule="auto"/>
              <w:rPr>
                <w:sz w:val="20"/>
                <w:szCs w:val="20"/>
              </w:rPr>
            </w:pPr>
            <w:r w:rsidRPr="000E36C4">
              <w:rPr>
                <w:sz w:val="20"/>
                <w:szCs w:val="20"/>
              </w:rPr>
              <w:t>.007</w:t>
            </w:r>
          </w:p>
        </w:tc>
        <w:tc>
          <w:tcPr>
            <w:tcW w:w="566" w:type="dxa"/>
          </w:tcPr>
          <w:p w14:paraId="47BE7B9C" w14:textId="77777777" w:rsidR="00EF4BEA" w:rsidRPr="000E36C4" w:rsidRDefault="00EF4BEA" w:rsidP="00EF4BEA">
            <w:pPr>
              <w:spacing w:line="480" w:lineRule="auto"/>
              <w:rPr>
                <w:sz w:val="20"/>
                <w:szCs w:val="20"/>
              </w:rPr>
            </w:pPr>
            <w:r>
              <w:rPr>
                <w:sz w:val="20"/>
                <w:szCs w:val="20"/>
              </w:rPr>
              <w:t>1.92</w:t>
            </w:r>
          </w:p>
        </w:tc>
        <w:tc>
          <w:tcPr>
            <w:tcW w:w="574" w:type="dxa"/>
          </w:tcPr>
          <w:p w14:paraId="7198DA5F" w14:textId="77777777" w:rsidR="00EF4BEA" w:rsidRPr="000E36C4" w:rsidRDefault="00EF4BEA" w:rsidP="00EF4BEA">
            <w:pPr>
              <w:spacing w:line="480" w:lineRule="auto"/>
              <w:rPr>
                <w:sz w:val="20"/>
                <w:szCs w:val="20"/>
              </w:rPr>
            </w:pPr>
            <w:r>
              <w:rPr>
                <w:sz w:val="20"/>
                <w:szCs w:val="20"/>
              </w:rPr>
              <w:t>.54</w:t>
            </w:r>
          </w:p>
        </w:tc>
        <w:tc>
          <w:tcPr>
            <w:tcW w:w="566" w:type="dxa"/>
          </w:tcPr>
          <w:p w14:paraId="0FFE7264" w14:textId="77777777" w:rsidR="00EF4BEA" w:rsidRPr="000E36C4" w:rsidRDefault="00EF4BEA" w:rsidP="00EF4BEA">
            <w:pPr>
              <w:spacing w:line="480" w:lineRule="auto"/>
              <w:rPr>
                <w:sz w:val="20"/>
                <w:szCs w:val="20"/>
              </w:rPr>
            </w:pPr>
            <w:r>
              <w:rPr>
                <w:sz w:val="20"/>
                <w:szCs w:val="20"/>
              </w:rPr>
              <w:t>.001</w:t>
            </w:r>
          </w:p>
        </w:tc>
      </w:tr>
      <w:tr w:rsidR="00EF4BEA" w:rsidRPr="000E36C4" w14:paraId="16705F0C" w14:textId="77777777" w:rsidTr="00EF3393">
        <w:tc>
          <w:tcPr>
            <w:tcW w:w="1210" w:type="dxa"/>
          </w:tcPr>
          <w:p w14:paraId="0559DA34" w14:textId="46F4BFFC" w:rsidR="00EF4BEA" w:rsidRPr="000E36C4" w:rsidRDefault="00EF4BEA" w:rsidP="00EF4BEA">
            <w:pPr>
              <w:spacing w:line="480" w:lineRule="auto"/>
              <w:rPr>
                <w:sz w:val="20"/>
                <w:szCs w:val="20"/>
              </w:rPr>
            </w:pPr>
            <w:r>
              <w:rPr>
                <w:sz w:val="20"/>
                <w:szCs w:val="20"/>
              </w:rPr>
              <w:t>UA</w:t>
            </w:r>
            <w:r w:rsidR="00C9337A">
              <w:rPr>
                <w:sz w:val="20"/>
                <w:szCs w:val="20"/>
              </w:rPr>
              <w:t>R</w:t>
            </w:r>
            <w:r w:rsidRPr="000E36C4">
              <w:rPr>
                <w:sz w:val="20"/>
                <w:szCs w:val="20"/>
              </w:rPr>
              <w:t>S %</w:t>
            </w:r>
          </w:p>
        </w:tc>
        <w:tc>
          <w:tcPr>
            <w:tcW w:w="736" w:type="dxa"/>
          </w:tcPr>
          <w:p w14:paraId="6314B71C" w14:textId="77777777" w:rsidR="00EF4BEA" w:rsidRPr="000E36C4" w:rsidRDefault="00EF4BEA" w:rsidP="00EF4BEA">
            <w:pPr>
              <w:spacing w:line="480" w:lineRule="auto"/>
              <w:rPr>
                <w:sz w:val="20"/>
                <w:szCs w:val="20"/>
              </w:rPr>
            </w:pPr>
            <w:r w:rsidRPr="000E36C4">
              <w:rPr>
                <w:sz w:val="20"/>
                <w:szCs w:val="20"/>
              </w:rPr>
              <w:t>39.7</w:t>
            </w:r>
          </w:p>
        </w:tc>
        <w:tc>
          <w:tcPr>
            <w:tcW w:w="606" w:type="dxa"/>
          </w:tcPr>
          <w:p w14:paraId="2CC18C2F" w14:textId="77777777" w:rsidR="00EF4BEA" w:rsidRPr="000E36C4" w:rsidRDefault="00EF4BEA" w:rsidP="00EF4BEA">
            <w:pPr>
              <w:spacing w:line="480" w:lineRule="auto"/>
              <w:rPr>
                <w:sz w:val="20"/>
                <w:szCs w:val="20"/>
              </w:rPr>
            </w:pPr>
            <w:r w:rsidRPr="000E36C4">
              <w:rPr>
                <w:sz w:val="20"/>
                <w:szCs w:val="20"/>
              </w:rPr>
              <w:t>29.9</w:t>
            </w:r>
          </w:p>
        </w:tc>
        <w:tc>
          <w:tcPr>
            <w:tcW w:w="588" w:type="dxa"/>
          </w:tcPr>
          <w:p w14:paraId="182BA6D7" w14:textId="77777777" w:rsidR="00EF4BEA" w:rsidRPr="000E36C4" w:rsidRDefault="00EF4BEA" w:rsidP="00EF4BEA">
            <w:pPr>
              <w:spacing w:line="480" w:lineRule="auto"/>
              <w:rPr>
                <w:sz w:val="20"/>
                <w:szCs w:val="20"/>
              </w:rPr>
            </w:pPr>
            <w:r w:rsidRPr="000E36C4">
              <w:rPr>
                <w:sz w:val="20"/>
                <w:szCs w:val="20"/>
              </w:rPr>
              <w:t>.08</w:t>
            </w:r>
          </w:p>
        </w:tc>
        <w:tc>
          <w:tcPr>
            <w:tcW w:w="606" w:type="dxa"/>
          </w:tcPr>
          <w:p w14:paraId="5DAC4FAF" w14:textId="77777777" w:rsidR="00EF4BEA" w:rsidRPr="000E36C4" w:rsidRDefault="00EF4BEA" w:rsidP="00EF4BEA">
            <w:pPr>
              <w:spacing w:line="480" w:lineRule="auto"/>
              <w:rPr>
                <w:sz w:val="20"/>
                <w:szCs w:val="20"/>
              </w:rPr>
            </w:pPr>
            <w:r>
              <w:rPr>
                <w:sz w:val="20"/>
                <w:szCs w:val="20"/>
              </w:rPr>
              <w:t>27.3</w:t>
            </w:r>
          </w:p>
        </w:tc>
        <w:tc>
          <w:tcPr>
            <w:tcW w:w="641" w:type="dxa"/>
          </w:tcPr>
          <w:p w14:paraId="3679D4A7" w14:textId="77777777" w:rsidR="00EF4BEA" w:rsidRPr="000E36C4" w:rsidRDefault="00EF4BEA" w:rsidP="00EF4BEA">
            <w:pPr>
              <w:spacing w:line="480" w:lineRule="auto"/>
              <w:rPr>
                <w:sz w:val="20"/>
                <w:szCs w:val="20"/>
              </w:rPr>
            </w:pPr>
            <w:r>
              <w:rPr>
                <w:sz w:val="20"/>
                <w:szCs w:val="20"/>
              </w:rPr>
              <w:t>44.3</w:t>
            </w:r>
          </w:p>
        </w:tc>
        <w:tc>
          <w:tcPr>
            <w:tcW w:w="737" w:type="dxa"/>
          </w:tcPr>
          <w:p w14:paraId="7ADFC99B" w14:textId="77777777" w:rsidR="00EF4BEA" w:rsidRPr="000E36C4" w:rsidRDefault="00EF4BEA" w:rsidP="00EF4BEA">
            <w:pPr>
              <w:spacing w:line="480" w:lineRule="auto"/>
              <w:rPr>
                <w:sz w:val="20"/>
                <w:szCs w:val="20"/>
              </w:rPr>
            </w:pPr>
            <w:r>
              <w:rPr>
                <w:sz w:val="20"/>
                <w:szCs w:val="20"/>
              </w:rPr>
              <w:t>.003</w:t>
            </w:r>
          </w:p>
        </w:tc>
        <w:tc>
          <w:tcPr>
            <w:tcW w:w="606" w:type="dxa"/>
          </w:tcPr>
          <w:p w14:paraId="76462F53" w14:textId="77777777" w:rsidR="00EF4BEA" w:rsidRPr="000E36C4" w:rsidRDefault="00EF4BEA" w:rsidP="00EF4BEA">
            <w:pPr>
              <w:spacing w:line="480" w:lineRule="auto"/>
              <w:rPr>
                <w:sz w:val="20"/>
                <w:szCs w:val="20"/>
              </w:rPr>
            </w:pPr>
            <w:r w:rsidRPr="000E36C4">
              <w:rPr>
                <w:sz w:val="20"/>
                <w:szCs w:val="20"/>
              </w:rPr>
              <w:t>41.8</w:t>
            </w:r>
          </w:p>
        </w:tc>
        <w:tc>
          <w:tcPr>
            <w:tcW w:w="641" w:type="dxa"/>
          </w:tcPr>
          <w:p w14:paraId="7D927244" w14:textId="77777777" w:rsidR="00EF4BEA" w:rsidRPr="000E36C4" w:rsidRDefault="00EF4BEA" w:rsidP="00EF4BEA">
            <w:pPr>
              <w:spacing w:line="480" w:lineRule="auto"/>
              <w:rPr>
                <w:sz w:val="20"/>
                <w:szCs w:val="20"/>
              </w:rPr>
            </w:pPr>
            <w:r w:rsidRPr="000E36C4">
              <w:rPr>
                <w:sz w:val="20"/>
                <w:szCs w:val="20"/>
              </w:rPr>
              <w:t>29.8</w:t>
            </w:r>
          </w:p>
        </w:tc>
        <w:tc>
          <w:tcPr>
            <w:tcW w:w="779" w:type="dxa"/>
          </w:tcPr>
          <w:p w14:paraId="7636A94A" w14:textId="77777777" w:rsidR="00EF4BEA" w:rsidRPr="000E36C4" w:rsidRDefault="00EF4BEA" w:rsidP="00EF4BEA">
            <w:pPr>
              <w:spacing w:line="480" w:lineRule="auto"/>
              <w:rPr>
                <w:sz w:val="20"/>
                <w:szCs w:val="20"/>
              </w:rPr>
            </w:pPr>
            <w:r w:rsidRPr="000E36C4">
              <w:rPr>
                <w:sz w:val="20"/>
                <w:szCs w:val="20"/>
              </w:rPr>
              <w:t>.04</w:t>
            </w:r>
          </w:p>
        </w:tc>
        <w:tc>
          <w:tcPr>
            <w:tcW w:w="566" w:type="dxa"/>
          </w:tcPr>
          <w:p w14:paraId="2A096F33" w14:textId="77777777" w:rsidR="00EF4BEA" w:rsidRPr="000E36C4" w:rsidRDefault="00EF4BEA" w:rsidP="00EF4BEA">
            <w:pPr>
              <w:spacing w:line="480" w:lineRule="auto"/>
              <w:rPr>
                <w:sz w:val="20"/>
                <w:szCs w:val="20"/>
              </w:rPr>
            </w:pPr>
            <w:r>
              <w:rPr>
                <w:sz w:val="20"/>
                <w:szCs w:val="20"/>
              </w:rPr>
              <w:t>48.0</w:t>
            </w:r>
          </w:p>
        </w:tc>
        <w:tc>
          <w:tcPr>
            <w:tcW w:w="574" w:type="dxa"/>
          </w:tcPr>
          <w:p w14:paraId="46FBBFFC" w14:textId="77777777" w:rsidR="00EF4BEA" w:rsidRPr="000E36C4" w:rsidRDefault="00EF4BEA" w:rsidP="00EF4BEA">
            <w:pPr>
              <w:spacing w:line="480" w:lineRule="auto"/>
              <w:rPr>
                <w:sz w:val="20"/>
                <w:szCs w:val="20"/>
              </w:rPr>
            </w:pPr>
            <w:r>
              <w:rPr>
                <w:sz w:val="20"/>
                <w:szCs w:val="20"/>
              </w:rPr>
              <w:t>21.2</w:t>
            </w:r>
          </w:p>
        </w:tc>
        <w:tc>
          <w:tcPr>
            <w:tcW w:w="566" w:type="dxa"/>
          </w:tcPr>
          <w:p w14:paraId="4300F2D3" w14:textId="533E88C1" w:rsidR="00EF4BEA" w:rsidRPr="000E36C4" w:rsidRDefault="00273EB0" w:rsidP="00EF4BEA">
            <w:pPr>
              <w:spacing w:line="480" w:lineRule="auto"/>
              <w:rPr>
                <w:sz w:val="20"/>
                <w:szCs w:val="20"/>
              </w:rPr>
            </w:pPr>
            <w:r>
              <w:rPr>
                <w:sz w:val="20"/>
                <w:szCs w:val="20"/>
              </w:rPr>
              <w:t>.</w:t>
            </w:r>
            <w:r w:rsidR="00EF4BEA">
              <w:rPr>
                <w:sz w:val="20"/>
                <w:szCs w:val="20"/>
              </w:rPr>
              <w:t>001</w:t>
            </w:r>
          </w:p>
        </w:tc>
      </w:tr>
      <w:tr w:rsidR="00EF4BEA" w:rsidRPr="000E36C4" w14:paraId="0491850F" w14:textId="77777777" w:rsidTr="00EF3393">
        <w:tc>
          <w:tcPr>
            <w:tcW w:w="1210" w:type="dxa"/>
          </w:tcPr>
          <w:p w14:paraId="6FFB1364" w14:textId="77777777" w:rsidR="00EF4BEA" w:rsidRPr="000E36C4" w:rsidRDefault="00EF4BEA" w:rsidP="00EF4BEA">
            <w:pPr>
              <w:spacing w:line="480" w:lineRule="auto"/>
              <w:rPr>
                <w:sz w:val="20"/>
                <w:szCs w:val="20"/>
              </w:rPr>
            </w:pPr>
            <w:r w:rsidRPr="000E36C4">
              <w:rPr>
                <w:sz w:val="20"/>
                <w:szCs w:val="20"/>
              </w:rPr>
              <w:t xml:space="preserve">UARS </w:t>
            </w:r>
            <w:r w:rsidRPr="000E36C4">
              <w:rPr>
                <w:i/>
                <w:sz w:val="20"/>
                <w:szCs w:val="20"/>
              </w:rPr>
              <w:t>x</w:t>
            </w:r>
          </w:p>
        </w:tc>
        <w:tc>
          <w:tcPr>
            <w:tcW w:w="736" w:type="dxa"/>
          </w:tcPr>
          <w:p w14:paraId="0E23E0D6" w14:textId="77777777" w:rsidR="00EF4BEA" w:rsidRPr="000E36C4" w:rsidRDefault="00EF4BEA" w:rsidP="00EF4BEA">
            <w:pPr>
              <w:spacing w:line="480" w:lineRule="auto"/>
              <w:rPr>
                <w:sz w:val="20"/>
                <w:szCs w:val="20"/>
              </w:rPr>
            </w:pPr>
            <w:r w:rsidRPr="000E36C4">
              <w:rPr>
                <w:sz w:val="20"/>
                <w:szCs w:val="20"/>
              </w:rPr>
              <w:t>1.55</w:t>
            </w:r>
          </w:p>
        </w:tc>
        <w:tc>
          <w:tcPr>
            <w:tcW w:w="606" w:type="dxa"/>
          </w:tcPr>
          <w:p w14:paraId="11752ED0" w14:textId="77777777" w:rsidR="00EF4BEA" w:rsidRPr="000E36C4" w:rsidRDefault="00EF4BEA" w:rsidP="00EF4BEA">
            <w:pPr>
              <w:spacing w:line="480" w:lineRule="auto"/>
              <w:rPr>
                <w:sz w:val="20"/>
                <w:szCs w:val="20"/>
              </w:rPr>
            </w:pPr>
            <w:r w:rsidRPr="000E36C4">
              <w:rPr>
                <w:sz w:val="20"/>
                <w:szCs w:val="20"/>
              </w:rPr>
              <w:t>2.01</w:t>
            </w:r>
          </w:p>
        </w:tc>
        <w:tc>
          <w:tcPr>
            <w:tcW w:w="588" w:type="dxa"/>
          </w:tcPr>
          <w:p w14:paraId="57919676" w14:textId="77777777" w:rsidR="00EF4BEA" w:rsidRPr="000E36C4" w:rsidRDefault="00EF4BEA" w:rsidP="00EF4BEA">
            <w:pPr>
              <w:spacing w:line="480" w:lineRule="auto"/>
              <w:rPr>
                <w:sz w:val="20"/>
                <w:szCs w:val="20"/>
              </w:rPr>
            </w:pPr>
            <w:r w:rsidRPr="000E36C4">
              <w:rPr>
                <w:sz w:val="20"/>
                <w:szCs w:val="20"/>
              </w:rPr>
              <w:t>.86</w:t>
            </w:r>
          </w:p>
        </w:tc>
        <w:tc>
          <w:tcPr>
            <w:tcW w:w="606" w:type="dxa"/>
          </w:tcPr>
          <w:p w14:paraId="07460FDA" w14:textId="77777777" w:rsidR="00EF4BEA" w:rsidRPr="000E36C4" w:rsidRDefault="00EF4BEA" w:rsidP="00EF4BEA">
            <w:pPr>
              <w:spacing w:line="480" w:lineRule="auto"/>
              <w:rPr>
                <w:sz w:val="20"/>
                <w:szCs w:val="20"/>
              </w:rPr>
            </w:pPr>
            <w:r>
              <w:rPr>
                <w:sz w:val="20"/>
                <w:szCs w:val="20"/>
              </w:rPr>
              <w:t>1.60</w:t>
            </w:r>
          </w:p>
        </w:tc>
        <w:tc>
          <w:tcPr>
            <w:tcW w:w="641" w:type="dxa"/>
          </w:tcPr>
          <w:p w14:paraId="25DACFA6" w14:textId="77777777" w:rsidR="00EF4BEA" w:rsidRPr="000E36C4" w:rsidRDefault="00EF4BEA" w:rsidP="00EF4BEA">
            <w:pPr>
              <w:spacing w:line="480" w:lineRule="auto"/>
              <w:rPr>
                <w:sz w:val="20"/>
                <w:szCs w:val="20"/>
              </w:rPr>
            </w:pPr>
            <w:r>
              <w:rPr>
                <w:sz w:val="20"/>
                <w:szCs w:val="20"/>
              </w:rPr>
              <w:t>1.96</w:t>
            </w:r>
          </w:p>
        </w:tc>
        <w:tc>
          <w:tcPr>
            <w:tcW w:w="737" w:type="dxa"/>
          </w:tcPr>
          <w:p w14:paraId="565CE8A6" w14:textId="77777777" w:rsidR="00EF4BEA" w:rsidRPr="000E36C4" w:rsidRDefault="00EF4BEA" w:rsidP="00EF4BEA">
            <w:pPr>
              <w:spacing w:line="480" w:lineRule="auto"/>
              <w:rPr>
                <w:sz w:val="20"/>
                <w:szCs w:val="20"/>
              </w:rPr>
            </w:pPr>
            <w:r>
              <w:rPr>
                <w:sz w:val="20"/>
                <w:szCs w:val="20"/>
              </w:rPr>
              <w:t>.60</w:t>
            </w:r>
          </w:p>
        </w:tc>
        <w:tc>
          <w:tcPr>
            <w:tcW w:w="606" w:type="dxa"/>
          </w:tcPr>
          <w:p w14:paraId="4555FDDF" w14:textId="77777777" w:rsidR="00EF4BEA" w:rsidRPr="000E36C4" w:rsidRDefault="00EF4BEA" w:rsidP="00EF4BEA">
            <w:pPr>
              <w:spacing w:line="480" w:lineRule="auto"/>
              <w:rPr>
                <w:sz w:val="20"/>
                <w:szCs w:val="20"/>
              </w:rPr>
            </w:pPr>
            <w:r w:rsidRPr="000E36C4">
              <w:rPr>
                <w:sz w:val="20"/>
                <w:szCs w:val="20"/>
              </w:rPr>
              <w:t>2.74</w:t>
            </w:r>
          </w:p>
        </w:tc>
        <w:tc>
          <w:tcPr>
            <w:tcW w:w="641" w:type="dxa"/>
          </w:tcPr>
          <w:p w14:paraId="0EF93E7D" w14:textId="77777777" w:rsidR="00EF4BEA" w:rsidRPr="000E36C4" w:rsidRDefault="00EF4BEA" w:rsidP="00EF4BEA">
            <w:pPr>
              <w:spacing w:line="480" w:lineRule="auto"/>
              <w:rPr>
                <w:sz w:val="20"/>
                <w:szCs w:val="20"/>
              </w:rPr>
            </w:pPr>
            <w:r w:rsidRPr="000E36C4">
              <w:rPr>
                <w:sz w:val="20"/>
                <w:szCs w:val="20"/>
              </w:rPr>
              <w:t>.96</w:t>
            </w:r>
          </w:p>
        </w:tc>
        <w:tc>
          <w:tcPr>
            <w:tcW w:w="779" w:type="dxa"/>
          </w:tcPr>
          <w:p w14:paraId="0ADEF929" w14:textId="77777777" w:rsidR="00EF4BEA" w:rsidRPr="000E36C4" w:rsidRDefault="00EF4BEA" w:rsidP="00EF4BEA">
            <w:pPr>
              <w:spacing w:line="480" w:lineRule="auto"/>
              <w:rPr>
                <w:sz w:val="20"/>
                <w:szCs w:val="20"/>
              </w:rPr>
            </w:pPr>
            <w:r w:rsidRPr="000E36C4">
              <w:rPr>
                <w:sz w:val="20"/>
                <w:szCs w:val="20"/>
              </w:rPr>
              <w:t>.01</w:t>
            </w:r>
          </w:p>
        </w:tc>
        <w:tc>
          <w:tcPr>
            <w:tcW w:w="566" w:type="dxa"/>
          </w:tcPr>
          <w:p w14:paraId="270952C4" w14:textId="77777777" w:rsidR="00EF4BEA" w:rsidRPr="000E36C4" w:rsidRDefault="00EF4BEA" w:rsidP="00EF4BEA">
            <w:pPr>
              <w:spacing w:line="480" w:lineRule="auto"/>
              <w:rPr>
                <w:sz w:val="20"/>
                <w:szCs w:val="20"/>
              </w:rPr>
            </w:pPr>
            <w:r>
              <w:rPr>
                <w:sz w:val="20"/>
                <w:szCs w:val="20"/>
              </w:rPr>
              <w:t>2.69</w:t>
            </w:r>
          </w:p>
        </w:tc>
        <w:tc>
          <w:tcPr>
            <w:tcW w:w="574" w:type="dxa"/>
          </w:tcPr>
          <w:p w14:paraId="2BB8FDE0" w14:textId="77777777" w:rsidR="00EF4BEA" w:rsidRPr="000E36C4" w:rsidRDefault="00EF4BEA" w:rsidP="00EF4BEA">
            <w:pPr>
              <w:spacing w:line="480" w:lineRule="auto"/>
              <w:rPr>
                <w:sz w:val="20"/>
                <w:szCs w:val="20"/>
              </w:rPr>
            </w:pPr>
            <w:r>
              <w:rPr>
                <w:sz w:val="20"/>
                <w:szCs w:val="20"/>
              </w:rPr>
              <w:t>.77</w:t>
            </w:r>
          </w:p>
        </w:tc>
        <w:tc>
          <w:tcPr>
            <w:tcW w:w="566" w:type="dxa"/>
          </w:tcPr>
          <w:p w14:paraId="72F03797" w14:textId="77777777" w:rsidR="00EF4BEA" w:rsidRPr="000E36C4" w:rsidRDefault="00EF4BEA" w:rsidP="00EF4BEA">
            <w:pPr>
              <w:spacing w:line="480" w:lineRule="auto"/>
              <w:rPr>
                <w:sz w:val="20"/>
                <w:szCs w:val="20"/>
              </w:rPr>
            </w:pPr>
            <w:r>
              <w:rPr>
                <w:sz w:val="20"/>
                <w:szCs w:val="20"/>
              </w:rPr>
              <w:t>.004</w:t>
            </w:r>
          </w:p>
        </w:tc>
      </w:tr>
      <w:tr w:rsidR="00EF4BEA" w:rsidRPr="000E36C4" w14:paraId="434D2349" w14:textId="77777777" w:rsidTr="00EF3393">
        <w:tc>
          <w:tcPr>
            <w:tcW w:w="1210" w:type="dxa"/>
          </w:tcPr>
          <w:p w14:paraId="5DAA44D3" w14:textId="77777777" w:rsidR="00EF4BEA" w:rsidRPr="000E36C4" w:rsidRDefault="00EF4BEA" w:rsidP="00EF4BEA">
            <w:pPr>
              <w:spacing w:line="480" w:lineRule="auto"/>
              <w:rPr>
                <w:sz w:val="20"/>
                <w:szCs w:val="20"/>
              </w:rPr>
            </w:pPr>
            <w:r>
              <w:rPr>
                <w:sz w:val="20"/>
                <w:szCs w:val="20"/>
              </w:rPr>
              <w:t>MSP-I</w:t>
            </w:r>
            <w:r w:rsidRPr="000E36C4">
              <w:rPr>
                <w:sz w:val="20"/>
                <w:szCs w:val="20"/>
              </w:rPr>
              <w:t>%</w:t>
            </w:r>
          </w:p>
        </w:tc>
        <w:tc>
          <w:tcPr>
            <w:tcW w:w="736" w:type="dxa"/>
          </w:tcPr>
          <w:p w14:paraId="681F2B37" w14:textId="77777777" w:rsidR="00EF4BEA" w:rsidRPr="000E36C4" w:rsidRDefault="00EF4BEA" w:rsidP="00EF4BEA">
            <w:pPr>
              <w:spacing w:line="480" w:lineRule="auto"/>
              <w:rPr>
                <w:sz w:val="20"/>
                <w:szCs w:val="20"/>
              </w:rPr>
            </w:pPr>
            <w:r w:rsidRPr="000E36C4">
              <w:rPr>
                <w:sz w:val="20"/>
                <w:szCs w:val="20"/>
              </w:rPr>
              <w:t>45.1</w:t>
            </w:r>
          </w:p>
        </w:tc>
        <w:tc>
          <w:tcPr>
            <w:tcW w:w="606" w:type="dxa"/>
          </w:tcPr>
          <w:p w14:paraId="0EC9D1A6" w14:textId="77777777" w:rsidR="00EF4BEA" w:rsidRPr="000E36C4" w:rsidRDefault="00EF4BEA" w:rsidP="00EF4BEA">
            <w:pPr>
              <w:spacing w:line="480" w:lineRule="auto"/>
              <w:rPr>
                <w:sz w:val="20"/>
                <w:szCs w:val="20"/>
              </w:rPr>
            </w:pPr>
            <w:r w:rsidRPr="000E36C4">
              <w:rPr>
                <w:sz w:val="20"/>
                <w:szCs w:val="20"/>
              </w:rPr>
              <w:t>40.8</w:t>
            </w:r>
          </w:p>
        </w:tc>
        <w:tc>
          <w:tcPr>
            <w:tcW w:w="588" w:type="dxa"/>
          </w:tcPr>
          <w:p w14:paraId="6F7C79A9" w14:textId="77777777" w:rsidR="00EF4BEA" w:rsidRPr="000E36C4" w:rsidRDefault="00EF4BEA" w:rsidP="00EF4BEA">
            <w:pPr>
              <w:spacing w:line="480" w:lineRule="auto"/>
              <w:rPr>
                <w:sz w:val="20"/>
                <w:szCs w:val="20"/>
              </w:rPr>
            </w:pPr>
            <w:r w:rsidRPr="000E36C4">
              <w:rPr>
                <w:sz w:val="20"/>
                <w:szCs w:val="20"/>
              </w:rPr>
              <w:t>.40</w:t>
            </w:r>
          </w:p>
        </w:tc>
        <w:tc>
          <w:tcPr>
            <w:tcW w:w="606" w:type="dxa"/>
          </w:tcPr>
          <w:p w14:paraId="1554369E" w14:textId="77777777" w:rsidR="00EF4BEA" w:rsidRPr="000E36C4" w:rsidRDefault="00EF4BEA" w:rsidP="00EF4BEA">
            <w:pPr>
              <w:spacing w:line="480" w:lineRule="auto"/>
              <w:rPr>
                <w:sz w:val="20"/>
                <w:szCs w:val="20"/>
              </w:rPr>
            </w:pPr>
            <w:r>
              <w:rPr>
                <w:sz w:val="20"/>
                <w:szCs w:val="20"/>
              </w:rPr>
              <w:t>36.2</w:t>
            </w:r>
          </w:p>
        </w:tc>
        <w:tc>
          <w:tcPr>
            <w:tcW w:w="641" w:type="dxa"/>
          </w:tcPr>
          <w:p w14:paraId="5AC0065E" w14:textId="77777777" w:rsidR="00EF4BEA" w:rsidRPr="000E36C4" w:rsidRDefault="00EF4BEA" w:rsidP="00EF4BEA">
            <w:pPr>
              <w:spacing w:line="480" w:lineRule="auto"/>
              <w:rPr>
                <w:sz w:val="20"/>
                <w:szCs w:val="20"/>
              </w:rPr>
            </w:pPr>
            <w:r>
              <w:rPr>
                <w:sz w:val="20"/>
                <w:szCs w:val="20"/>
              </w:rPr>
              <w:t>51.5</w:t>
            </w:r>
          </w:p>
        </w:tc>
        <w:tc>
          <w:tcPr>
            <w:tcW w:w="737" w:type="dxa"/>
          </w:tcPr>
          <w:p w14:paraId="13C11C1E" w14:textId="77777777" w:rsidR="00EF4BEA" w:rsidRPr="000E36C4" w:rsidRDefault="00EF4BEA" w:rsidP="00EF4BEA">
            <w:pPr>
              <w:spacing w:line="480" w:lineRule="auto"/>
              <w:rPr>
                <w:sz w:val="20"/>
                <w:szCs w:val="20"/>
              </w:rPr>
            </w:pPr>
            <w:r>
              <w:rPr>
                <w:sz w:val="20"/>
                <w:szCs w:val="20"/>
              </w:rPr>
              <w:t>.003</w:t>
            </w:r>
          </w:p>
        </w:tc>
        <w:tc>
          <w:tcPr>
            <w:tcW w:w="606" w:type="dxa"/>
          </w:tcPr>
          <w:p w14:paraId="726067D0" w14:textId="77777777" w:rsidR="00EF4BEA" w:rsidRPr="000E36C4" w:rsidRDefault="00EF4BEA" w:rsidP="00EF4BEA">
            <w:pPr>
              <w:spacing w:line="480" w:lineRule="auto"/>
              <w:rPr>
                <w:sz w:val="20"/>
                <w:szCs w:val="20"/>
              </w:rPr>
            </w:pPr>
            <w:r w:rsidRPr="000E36C4">
              <w:rPr>
                <w:sz w:val="20"/>
                <w:szCs w:val="20"/>
              </w:rPr>
              <w:t>48.4</w:t>
            </w:r>
          </w:p>
        </w:tc>
        <w:tc>
          <w:tcPr>
            <w:tcW w:w="641" w:type="dxa"/>
          </w:tcPr>
          <w:p w14:paraId="777B8A40" w14:textId="77777777" w:rsidR="00EF4BEA" w:rsidRPr="000E36C4" w:rsidRDefault="00EF4BEA" w:rsidP="00EF4BEA">
            <w:pPr>
              <w:spacing w:line="480" w:lineRule="auto"/>
              <w:rPr>
                <w:sz w:val="20"/>
                <w:szCs w:val="20"/>
              </w:rPr>
            </w:pPr>
            <w:r w:rsidRPr="000E36C4">
              <w:rPr>
                <w:sz w:val="20"/>
                <w:szCs w:val="20"/>
              </w:rPr>
              <w:t>38.0</w:t>
            </w:r>
          </w:p>
        </w:tc>
        <w:tc>
          <w:tcPr>
            <w:tcW w:w="779" w:type="dxa"/>
          </w:tcPr>
          <w:p w14:paraId="5973A479" w14:textId="77777777" w:rsidR="00EF4BEA" w:rsidRPr="000E36C4" w:rsidRDefault="00EF4BEA" w:rsidP="00EF4BEA">
            <w:pPr>
              <w:spacing w:line="480" w:lineRule="auto"/>
              <w:rPr>
                <w:sz w:val="20"/>
                <w:szCs w:val="20"/>
              </w:rPr>
            </w:pPr>
            <w:r w:rsidRPr="000E36C4">
              <w:rPr>
                <w:sz w:val="20"/>
                <w:szCs w:val="20"/>
              </w:rPr>
              <w:t>.04</w:t>
            </w:r>
          </w:p>
        </w:tc>
        <w:tc>
          <w:tcPr>
            <w:tcW w:w="566" w:type="dxa"/>
          </w:tcPr>
          <w:p w14:paraId="44798D19" w14:textId="77777777" w:rsidR="00EF4BEA" w:rsidRPr="000E36C4" w:rsidRDefault="00EF4BEA" w:rsidP="00EF4BEA">
            <w:pPr>
              <w:spacing w:line="480" w:lineRule="auto"/>
              <w:rPr>
                <w:sz w:val="20"/>
                <w:szCs w:val="20"/>
              </w:rPr>
            </w:pPr>
            <w:r>
              <w:rPr>
                <w:sz w:val="20"/>
                <w:szCs w:val="20"/>
              </w:rPr>
              <w:t>43.5</w:t>
            </w:r>
          </w:p>
        </w:tc>
        <w:tc>
          <w:tcPr>
            <w:tcW w:w="574" w:type="dxa"/>
          </w:tcPr>
          <w:p w14:paraId="0626DB71" w14:textId="77777777" w:rsidR="00EF4BEA" w:rsidRPr="000E36C4" w:rsidRDefault="00EF4BEA" w:rsidP="00EF4BEA">
            <w:pPr>
              <w:spacing w:line="480" w:lineRule="auto"/>
              <w:rPr>
                <w:sz w:val="20"/>
                <w:szCs w:val="20"/>
              </w:rPr>
            </w:pPr>
            <w:r>
              <w:rPr>
                <w:sz w:val="20"/>
                <w:szCs w:val="20"/>
              </w:rPr>
              <w:t>42.8</w:t>
            </w:r>
          </w:p>
        </w:tc>
        <w:tc>
          <w:tcPr>
            <w:tcW w:w="566" w:type="dxa"/>
          </w:tcPr>
          <w:p w14:paraId="1BBD2BFC" w14:textId="77777777" w:rsidR="00EF4BEA" w:rsidRPr="000E36C4" w:rsidRDefault="00EF4BEA" w:rsidP="00EF4BEA">
            <w:pPr>
              <w:spacing w:line="480" w:lineRule="auto"/>
              <w:rPr>
                <w:sz w:val="20"/>
                <w:szCs w:val="20"/>
              </w:rPr>
            </w:pPr>
            <w:r>
              <w:rPr>
                <w:sz w:val="20"/>
                <w:szCs w:val="20"/>
              </w:rPr>
              <w:t>.89</w:t>
            </w:r>
          </w:p>
        </w:tc>
      </w:tr>
      <w:tr w:rsidR="00EF4BEA" w:rsidRPr="000E36C4" w14:paraId="0B918067" w14:textId="77777777" w:rsidTr="00EF3393">
        <w:tc>
          <w:tcPr>
            <w:tcW w:w="1210" w:type="dxa"/>
          </w:tcPr>
          <w:p w14:paraId="014F7EF7" w14:textId="77777777" w:rsidR="00EF4BEA" w:rsidRPr="000E36C4" w:rsidRDefault="00EF4BEA" w:rsidP="00EF4BEA">
            <w:pPr>
              <w:spacing w:line="480" w:lineRule="auto"/>
              <w:rPr>
                <w:sz w:val="20"/>
                <w:szCs w:val="20"/>
              </w:rPr>
            </w:pPr>
            <w:r>
              <w:rPr>
                <w:sz w:val="20"/>
                <w:szCs w:val="20"/>
              </w:rPr>
              <w:t>MSP-R</w:t>
            </w:r>
            <w:r w:rsidRPr="000E36C4">
              <w:rPr>
                <w:sz w:val="20"/>
                <w:szCs w:val="20"/>
              </w:rPr>
              <w:t xml:space="preserve"> %</w:t>
            </w:r>
          </w:p>
        </w:tc>
        <w:tc>
          <w:tcPr>
            <w:tcW w:w="736" w:type="dxa"/>
          </w:tcPr>
          <w:p w14:paraId="61C67C3B" w14:textId="77777777" w:rsidR="00EF4BEA" w:rsidRPr="000E36C4" w:rsidRDefault="00EF4BEA" w:rsidP="00EF4BEA">
            <w:pPr>
              <w:spacing w:line="480" w:lineRule="auto"/>
              <w:rPr>
                <w:sz w:val="20"/>
                <w:szCs w:val="20"/>
              </w:rPr>
            </w:pPr>
            <w:r w:rsidRPr="000E36C4">
              <w:rPr>
                <w:sz w:val="20"/>
                <w:szCs w:val="20"/>
              </w:rPr>
              <w:t>40.4</w:t>
            </w:r>
          </w:p>
        </w:tc>
        <w:tc>
          <w:tcPr>
            <w:tcW w:w="606" w:type="dxa"/>
          </w:tcPr>
          <w:p w14:paraId="1698CD9C" w14:textId="77777777" w:rsidR="00EF4BEA" w:rsidRPr="000E36C4" w:rsidRDefault="00EF4BEA" w:rsidP="00EF4BEA">
            <w:pPr>
              <w:spacing w:line="480" w:lineRule="auto"/>
              <w:rPr>
                <w:sz w:val="20"/>
                <w:szCs w:val="20"/>
              </w:rPr>
            </w:pPr>
            <w:r w:rsidRPr="000E36C4">
              <w:rPr>
                <w:sz w:val="20"/>
                <w:szCs w:val="20"/>
              </w:rPr>
              <w:t>39.8</w:t>
            </w:r>
          </w:p>
        </w:tc>
        <w:tc>
          <w:tcPr>
            <w:tcW w:w="588" w:type="dxa"/>
          </w:tcPr>
          <w:p w14:paraId="7F14A75E" w14:textId="77777777" w:rsidR="00EF4BEA" w:rsidRPr="000E36C4" w:rsidRDefault="00EF4BEA" w:rsidP="00EF4BEA">
            <w:pPr>
              <w:spacing w:line="480" w:lineRule="auto"/>
              <w:rPr>
                <w:sz w:val="20"/>
                <w:szCs w:val="20"/>
              </w:rPr>
            </w:pPr>
            <w:r w:rsidRPr="000E36C4">
              <w:rPr>
                <w:sz w:val="20"/>
                <w:szCs w:val="20"/>
              </w:rPr>
              <w:t>.90</w:t>
            </w:r>
          </w:p>
        </w:tc>
        <w:tc>
          <w:tcPr>
            <w:tcW w:w="606" w:type="dxa"/>
          </w:tcPr>
          <w:p w14:paraId="5665CF36" w14:textId="77777777" w:rsidR="00EF4BEA" w:rsidRPr="000E36C4" w:rsidRDefault="00EF4BEA" w:rsidP="00EF4BEA">
            <w:pPr>
              <w:spacing w:line="480" w:lineRule="auto"/>
              <w:rPr>
                <w:sz w:val="20"/>
                <w:szCs w:val="20"/>
              </w:rPr>
            </w:pPr>
            <w:r>
              <w:rPr>
                <w:sz w:val="20"/>
                <w:szCs w:val="20"/>
              </w:rPr>
              <w:t>40.2</w:t>
            </w:r>
          </w:p>
        </w:tc>
        <w:tc>
          <w:tcPr>
            <w:tcW w:w="641" w:type="dxa"/>
          </w:tcPr>
          <w:p w14:paraId="1ACB3372" w14:textId="77777777" w:rsidR="00EF4BEA" w:rsidRPr="000E36C4" w:rsidRDefault="00EF4BEA" w:rsidP="00EF4BEA">
            <w:pPr>
              <w:spacing w:line="480" w:lineRule="auto"/>
              <w:rPr>
                <w:sz w:val="20"/>
                <w:szCs w:val="20"/>
              </w:rPr>
            </w:pPr>
            <w:r>
              <w:rPr>
                <w:sz w:val="20"/>
                <w:szCs w:val="20"/>
              </w:rPr>
              <w:t>40.0</w:t>
            </w:r>
          </w:p>
        </w:tc>
        <w:tc>
          <w:tcPr>
            <w:tcW w:w="737" w:type="dxa"/>
          </w:tcPr>
          <w:p w14:paraId="00815451" w14:textId="77777777" w:rsidR="00EF4BEA" w:rsidRPr="000E36C4" w:rsidRDefault="00EF4BEA" w:rsidP="00EF4BEA">
            <w:pPr>
              <w:spacing w:line="480" w:lineRule="auto"/>
              <w:rPr>
                <w:sz w:val="20"/>
                <w:szCs w:val="20"/>
              </w:rPr>
            </w:pPr>
            <w:r>
              <w:rPr>
                <w:sz w:val="20"/>
                <w:szCs w:val="20"/>
              </w:rPr>
              <w:t>.97</w:t>
            </w:r>
          </w:p>
        </w:tc>
        <w:tc>
          <w:tcPr>
            <w:tcW w:w="606" w:type="dxa"/>
          </w:tcPr>
          <w:p w14:paraId="7C8C47DE" w14:textId="77777777" w:rsidR="00EF4BEA" w:rsidRPr="000E36C4" w:rsidRDefault="00EF4BEA" w:rsidP="00EF4BEA">
            <w:pPr>
              <w:spacing w:line="480" w:lineRule="auto"/>
              <w:rPr>
                <w:sz w:val="20"/>
                <w:szCs w:val="20"/>
              </w:rPr>
            </w:pPr>
            <w:r w:rsidRPr="000E36C4">
              <w:rPr>
                <w:sz w:val="20"/>
                <w:szCs w:val="20"/>
              </w:rPr>
              <w:t>33.3</w:t>
            </w:r>
          </w:p>
        </w:tc>
        <w:tc>
          <w:tcPr>
            <w:tcW w:w="641" w:type="dxa"/>
          </w:tcPr>
          <w:p w14:paraId="2CAE0271" w14:textId="77777777" w:rsidR="00EF4BEA" w:rsidRPr="000E36C4" w:rsidRDefault="00EF4BEA" w:rsidP="00EF4BEA">
            <w:pPr>
              <w:spacing w:line="480" w:lineRule="auto"/>
              <w:rPr>
                <w:sz w:val="20"/>
                <w:szCs w:val="20"/>
              </w:rPr>
            </w:pPr>
            <w:r w:rsidRPr="000E36C4">
              <w:rPr>
                <w:sz w:val="20"/>
                <w:szCs w:val="20"/>
              </w:rPr>
              <w:t>46.7</w:t>
            </w:r>
          </w:p>
        </w:tc>
        <w:tc>
          <w:tcPr>
            <w:tcW w:w="779" w:type="dxa"/>
          </w:tcPr>
          <w:p w14:paraId="2AA0728F" w14:textId="77777777" w:rsidR="00EF4BEA" w:rsidRPr="000E36C4" w:rsidRDefault="00EF4BEA" w:rsidP="00EF4BEA">
            <w:pPr>
              <w:spacing w:line="480" w:lineRule="auto"/>
              <w:rPr>
                <w:sz w:val="20"/>
                <w:szCs w:val="20"/>
              </w:rPr>
            </w:pPr>
            <w:r w:rsidRPr="000E36C4">
              <w:rPr>
                <w:sz w:val="20"/>
                <w:szCs w:val="20"/>
              </w:rPr>
              <w:t>.008</w:t>
            </w:r>
          </w:p>
        </w:tc>
        <w:tc>
          <w:tcPr>
            <w:tcW w:w="566" w:type="dxa"/>
          </w:tcPr>
          <w:p w14:paraId="685792B1" w14:textId="77777777" w:rsidR="00EF4BEA" w:rsidRPr="000E36C4" w:rsidRDefault="00EF4BEA" w:rsidP="00EF4BEA">
            <w:pPr>
              <w:spacing w:line="480" w:lineRule="auto"/>
              <w:rPr>
                <w:sz w:val="20"/>
                <w:szCs w:val="20"/>
              </w:rPr>
            </w:pPr>
            <w:r>
              <w:rPr>
                <w:sz w:val="20"/>
                <w:szCs w:val="20"/>
              </w:rPr>
              <w:t>37.8</w:t>
            </w:r>
          </w:p>
        </w:tc>
        <w:tc>
          <w:tcPr>
            <w:tcW w:w="574" w:type="dxa"/>
          </w:tcPr>
          <w:p w14:paraId="02A379BB" w14:textId="77777777" w:rsidR="00EF4BEA" w:rsidRPr="000E36C4" w:rsidRDefault="00EF4BEA" w:rsidP="00EF4BEA">
            <w:pPr>
              <w:spacing w:line="480" w:lineRule="auto"/>
              <w:rPr>
                <w:sz w:val="20"/>
                <w:szCs w:val="20"/>
              </w:rPr>
            </w:pPr>
            <w:r>
              <w:rPr>
                <w:sz w:val="20"/>
                <w:szCs w:val="20"/>
              </w:rPr>
              <w:t>42.9</w:t>
            </w:r>
          </w:p>
        </w:tc>
        <w:tc>
          <w:tcPr>
            <w:tcW w:w="566" w:type="dxa"/>
          </w:tcPr>
          <w:p w14:paraId="54819DD9" w14:textId="77777777" w:rsidR="00EF4BEA" w:rsidRPr="000E36C4" w:rsidRDefault="00EF4BEA" w:rsidP="00EF4BEA">
            <w:pPr>
              <w:spacing w:line="480" w:lineRule="auto"/>
              <w:rPr>
                <w:sz w:val="20"/>
                <w:szCs w:val="20"/>
              </w:rPr>
            </w:pPr>
            <w:r>
              <w:rPr>
                <w:sz w:val="20"/>
                <w:szCs w:val="20"/>
              </w:rPr>
              <w:t>.34</w:t>
            </w:r>
          </w:p>
        </w:tc>
      </w:tr>
      <w:tr w:rsidR="00EF4BEA" w:rsidRPr="000E36C4" w14:paraId="06162E1D" w14:textId="77777777" w:rsidTr="00EF3393">
        <w:tc>
          <w:tcPr>
            <w:tcW w:w="1210" w:type="dxa"/>
          </w:tcPr>
          <w:p w14:paraId="67F7AF7B" w14:textId="77777777" w:rsidR="00EF4BEA" w:rsidRPr="000E36C4" w:rsidRDefault="00EF4BEA" w:rsidP="00EF4BEA">
            <w:pPr>
              <w:spacing w:line="480" w:lineRule="auto"/>
              <w:rPr>
                <w:sz w:val="20"/>
                <w:szCs w:val="20"/>
              </w:rPr>
            </w:pPr>
            <w:r w:rsidRPr="000E36C4">
              <w:rPr>
                <w:sz w:val="20"/>
                <w:szCs w:val="20"/>
              </w:rPr>
              <w:t>Chlamydia/</w:t>
            </w:r>
          </w:p>
          <w:p w14:paraId="2413E723" w14:textId="77777777" w:rsidR="00EF4BEA" w:rsidRPr="000E36C4" w:rsidRDefault="00EF4BEA" w:rsidP="00EF4BEA">
            <w:pPr>
              <w:spacing w:line="480" w:lineRule="auto"/>
              <w:rPr>
                <w:sz w:val="20"/>
                <w:szCs w:val="20"/>
              </w:rPr>
            </w:pPr>
            <w:r w:rsidRPr="000E36C4">
              <w:rPr>
                <w:sz w:val="20"/>
                <w:szCs w:val="20"/>
              </w:rPr>
              <w:t>Gonorrhea</w:t>
            </w:r>
          </w:p>
        </w:tc>
        <w:tc>
          <w:tcPr>
            <w:tcW w:w="736" w:type="dxa"/>
          </w:tcPr>
          <w:p w14:paraId="2A97014F" w14:textId="77777777" w:rsidR="00EF4BEA" w:rsidRPr="000E36C4" w:rsidRDefault="00EF4BEA" w:rsidP="00EF4BEA">
            <w:pPr>
              <w:spacing w:line="480" w:lineRule="auto"/>
              <w:rPr>
                <w:sz w:val="20"/>
                <w:szCs w:val="20"/>
              </w:rPr>
            </w:pPr>
            <w:r>
              <w:rPr>
                <w:sz w:val="20"/>
                <w:szCs w:val="20"/>
              </w:rPr>
              <w:t>38.5</w:t>
            </w:r>
          </w:p>
        </w:tc>
        <w:tc>
          <w:tcPr>
            <w:tcW w:w="606" w:type="dxa"/>
          </w:tcPr>
          <w:p w14:paraId="7E19F422" w14:textId="77777777" w:rsidR="00EF4BEA" w:rsidRPr="000E36C4" w:rsidRDefault="00EF4BEA" w:rsidP="00EF4BEA">
            <w:pPr>
              <w:spacing w:line="480" w:lineRule="auto"/>
              <w:rPr>
                <w:sz w:val="20"/>
                <w:szCs w:val="20"/>
              </w:rPr>
            </w:pPr>
            <w:r>
              <w:rPr>
                <w:sz w:val="20"/>
                <w:szCs w:val="20"/>
              </w:rPr>
              <w:t>34.7</w:t>
            </w:r>
          </w:p>
        </w:tc>
        <w:tc>
          <w:tcPr>
            <w:tcW w:w="588" w:type="dxa"/>
          </w:tcPr>
          <w:p w14:paraId="44B7C4A5" w14:textId="77777777" w:rsidR="00EF4BEA" w:rsidRPr="000E36C4" w:rsidRDefault="00EF4BEA" w:rsidP="00EF4BEA">
            <w:pPr>
              <w:spacing w:line="480" w:lineRule="auto"/>
              <w:rPr>
                <w:sz w:val="20"/>
                <w:szCs w:val="20"/>
              </w:rPr>
            </w:pPr>
            <w:r w:rsidRPr="000E36C4">
              <w:rPr>
                <w:sz w:val="20"/>
                <w:szCs w:val="20"/>
              </w:rPr>
              <w:t>.45</w:t>
            </w:r>
          </w:p>
        </w:tc>
        <w:tc>
          <w:tcPr>
            <w:tcW w:w="606" w:type="dxa"/>
          </w:tcPr>
          <w:p w14:paraId="58FFD75D" w14:textId="77777777" w:rsidR="00EF4BEA" w:rsidRPr="000E36C4" w:rsidRDefault="00EF4BEA" w:rsidP="00EF4BEA">
            <w:pPr>
              <w:spacing w:line="480" w:lineRule="auto"/>
              <w:rPr>
                <w:sz w:val="20"/>
                <w:szCs w:val="20"/>
              </w:rPr>
            </w:pPr>
            <w:r>
              <w:rPr>
                <w:sz w:val="20"/>
                <w:szCs w:val="20"/>
              </w:rPr>
              <w:t>32.2</w:t>
            </w:r>
          </w:p>
        </w:tc>
        <w:tc>
          <w:tcPr>
            <w:tcW w:w="641" w:type="dxa"/>
          </w:tcPr>
          <w:p w14:paraId="69F5FA6D" w14:textId="77777777" w:rsidR="00EF4BEA" w:rsidRPr="000E36C4" w:rsidRDefault="00EF4BEA" w:rsidP="00EF4BEA">
            <w:pPr>
              <w:spacing w:line="480" w:lineRule="auto"/>
              <w:rPr>
                <w:sz w:val="20"/>
                <w:szCs w:val="20"/>
              </w:rPr>
            </w:pPr>
            <w:r>
              <w:rPr>
                <w:sz w:val="20"/>
                <w:szCs w:val="20"/>
              </w:rPr>
              <w:t>42.3</w:t>
            </w:r>
          </w:p>
        </w:tc>
        <w:tc>
          <w:tcPr>
            <w:tcW w:w="737" w:type="dxa"/>
          </w:tcPr>
          <w:p w14:paraId="1C951A2A" w14:textId="77777777" w:rsidR="00EF4BEA" w:rsidRPr="000E36C4" w:rsidRDefault="00EF4BEA" w:rsidP="00EF4BEA">
            <w:pPr>
              <w:spacing w:line="480" w:lineRule="auto"/>
              <w:rPr>
                <w:sz w:val="20"/>
                <w:szCs w:val="20"/>
              </w:rPr>
            </w:pPr>
            <w:r>
              <w:rPr>
                <w:sz w:val="20"/>
                <w:szCs w:val="20"/>
              </w:rPr>
              <w:t>.045</w:t>
            </w:r>
          </w:p>
        </w:tc>
        <w:tc>
          <w:tcPr>
            <w:tcW w:w="606" w:type="dxa"/>
          </w:tcPr>
          <w:p w14:paraId="1F198CAF" w14:textId="77777777" w:rsidR="00EF4BEA" w:rsidRPr="000E36C4" w:rsidRDefault="00EF4BEA" w:rsidP="00EF4BEA">
            <w:pPr>
              <w:spacing w:line="480" w:lineRule="auto"/>
              <w:rPr>
                <w:sz w:val="20"/>
                <w:szCs w:val="20"/>
              </w:rPr>
            </w:pPr>
            <w:r>
              <w:rPr>
                <w:sz w:val="20"/>
                <w:szCs w:val="20"/>
              </w:rPr>
              <w:t>40.1</w:t>
            </w:r>
          </w:p>
        </w:tc>
        <w:tc>
          <w:tcPr>
            <w:tcW w:w="641" w:type="dxa"/>
          </w:tcPr>
          <w:p w14:paraId="3236DDBB" w14:textId="77777777" w:rsidR="00EF4BEA" w:rsidRPr="000E36C4" w:rsidRDefault="00EF4BEA" w:rsidP="00EF4BEA">
            <w:pPr>
              <w:spacing w:line="480" w:lineRule="auto"/>
              <w:rPr>
                <w:sz w:val="20"/>
                <w:szCs w:val="20"/>
              </w:rPr>
            </w:pPr>
            <w:r>
              <w:rPr>
                <w:sz w:val="20"/>
                <w:szCs w:val="20"/>
              </w:rPr>
              <w:t>33.5</w:t>
            </w:r>
          </w:p>
        </w:tc>
        <w:tc>
          <w:tcPr>
            <w:tcW w:w="779" w:type="dxa"/>
          </w:tcPr>
          <w:p w14:paraId="7DE525B2" w14:textId="77777777" w:rsidR="00EF4BEA" w:rsidRPr="000E36C4" w:rsidRDefault="00EF4BEA" w:rsidP="00EF4BEA">
            <w:pPr>
              <w:spacing w:line="480" w:lineRule="auto"/>
              <w:rPr>
                <w:sz w:val="20"/>
                <w:szCs w:val="20"/>
              </w:rPr>
            </w:pPr>
            <w:r w:rsidRPr="000E36C4">
              <w:rPr>
                <w:sz w:val="20"/>
                <w:szCs w:val="20"/>
              </w:rPr>
              <w:t>.1</w:t>
            </w:r>
            <w:r>
              <w:rPr>
                <w:sz w:val="20"/>
                <w:szCs w:val="20"/>
              </w:rPr>
              <w:t>8</w:t>
            </w:r>
          </w:p>
        </w:tc>
        <w:tc>
          <w:tcPr>
            <w:tcW w:w="566" w:type="dxa"/>
          </w:tcPr>
          <w:p w14:paraId="5AE42AE7" w14:textId="77777777" w:rsidR="00EF4BEA" w:rsidRPr="000E36C4" w:rsidRDefault="00EF4BEA" w:rsidP="00EF4BEA">
            <w:pPr>
              <w:spacing w:line="480" w:lineRule="auto"/>
              <w:rPr>
                <w:sz w:val="20"/>
                <w:szCs w:val="20"/>
              </w:rPr>
            </w:pPr>
            <w:r>
              <w:rPr>
                <w:sz w:val="20"/>
                <w:szCs w:val="20"/>
              </w:rPr>
              <w:t>37.8</w:t>
            </w:r>
          </w:p>
        </w:tc>
        <w:tc>
          <w:tcPr>
            <w:tcW w:w="574" w:type="dxa"/>
          </w:tcPr>
          <w:p w14:paraId="7E4EC8E4" w14:textId="77777777" w:rsidR="00EF4BEA" w:rsidRPr="000E36C4" w:rsidRDefault="00EF4BEA" w:rsidP="00EF4BEA">
            <w:pPr>
              <w:spacing w:line="480" w:lineRule="auto"/>
              <w:rPr>
                <w:sz w:val="20"/>
                <w:szCs w:val="20"/>
              </w:rPr>
            </w:pPr>
            <w:r>
              <w:rPr>
                <w:sz w:val="20"/>
                <w:szCs w:val="20"/>
              </w:rPr>
              <w:t>35.7</w:t>
            </w:r>
          </w:p>
        </w:tc>
        <w:tc>
          <w:tcPr>
            <w:tcW w:w="566" w:type="dxa"/>
          </w:tcPr>
          <w:p w14:paraId="2F7DBF07" w14:textId="77777777" w:rsidR="00EF4BEA" w:rsidRPr="000E36C4" w:rsidRDefault="00EF4BEA" w:rsidP="00EF4BEA">
            <w:pPr>
              <w:spacing w:line="480" w:lineRule="auto"/>
              <w:rPr>
                <w:sz w:val="20"/>
                <w:szCs w:val="20"/>
              </w:rPr>
            </w:pPr>
            <w:r>
              <w:rPr>
                <w:sz w:val="20"/>
                <w:szCs w:val="20"/>
              </w:rPr>
              <w:t>.68</w:t>
            </w:r>
          </w:p>
        </w:tc>
      </w:tr>
      <w:tr w:rsidR="00EF4BEA" w:rsidRPr="000E36C4" w14:paraId="65443A53" w14:textId="77777777" w:rsidTr="00EF3393">
        <w:tc>
          <w:tcPr>
            <w:tcW w:w="1210" w:type="dxa"/>
          </w:tcPr>
          <w:p w14:paraId="1BF3B55A" w14:textId="77777777" w:rsidR="00EF4BEA" w:rsidRPr="000E36C4" w:rsidRDefault="00EF4BEA" w:rsidP="00EF4BEA">
            <w:pPr>
              <w:spacing w:line="480" w:lineRule="auto"/>
              <w:rPr>
                <w:sz w:val="20"/>
                <w:szCs w:val="20"/>
              </w:rPr>
            </w:pPr>
            <w:r w:rsidRPr="000E36C4">
              <w:rPr>
                <w:sz w:val="20"/>
                <w:szCs w:val="20"/>
              </w:rPr>
              <w:t>UOS %</w:t>
            </w:r>
          </w:p>
        </w:tc>
        <w:tc>
          <w:tcPr>
            <w:tcW w:w="736" w:type="dxa"/>
          </w:tcPr>
          <w:p w14:paraId="6F80F49D" w14:textId="77777777" w:rsidR="00EF4BEA" w:rsidRPr="000E36C4" w:rsidRDefault="00EF4BEA" w:rsidP="00EF4BEA">
            <w:pPr>
              <w:spacing w:line="480" w:lineRule="auto"/>
              <w:rPr>
                <w:sz w:val="20"/>
                <w:szCs w:val="20"/>
              </w:rPr>
            </w:pPr>
            <w:r w:rsidRPr="000E36C4">
              <w:rPr>
                <w:sz w:val="20"/>
                <w:szCs w:val="20"/>
              </w:rPr>
              <w:t>84.4</w:t>
            </w:r>
          </w:p>
        </w:tc>
        <w:tc>
          <w:tcPr>
            <w:tcW w:w="606" w:type="dxa"/>
          </w:tcPr>
          <w:p w14:paraId="413530B5" w14:textId="77777777" w:rsidR="00EF4BEA" w:rsidRPr="000E36C4" w:rsidRDefault="00EF4BEA" w:rsidP="00EF4BEA">
            <w:pPr>
              <w:spacing w:line="480" w:lineRule="auto"/>
              <w:rPr>
                <w:sz w:val="20"/>
                <w:szCs w:val="20"/>
              </w:rPr>
            </w:pPr>
            <w:r w:rsidRPr="000E36C4">
              <w:rPr>
                <w:sz w:val="20"/>
                <w:szCs w:val="20"/>
              </w:rPr>
              <w:t>73.8</w:t>
            </w:r>
          </w:p>
        </w:tc>
        <w:tc>
          <w:tcPr>
            <w:tcW w:w="588" w:type="dxa"/>
          </w:tcPr>
          <w:p w14:paraId="309A6B64" w14:textId="77777777" w:rsidR="00EF4BEA" w:rsidRPr="000E36C4" w:rsidRDefault="00EF4BEA" w:rsidP="00EF4BEA">
            <w:pPr>
              <w:spacing w:line="480" w:lineRule="auto"/>
              <w:rPr>
                <w:sz w:val="20"/>
                <w:szCs w:val="20"/>
              </w:rPr>
            </w:pPr>
            <w:r w:rsidRPr="000E36C4">
              <w:rPr>
                <w:sz w:val="20"/>
                <w:szCs w:val="20"/>
              </w:rPr>
              <w:t>.014</w:t>
            </w:r>
          </w:p>
        </w:tc>
        <w:tc>
          <w:tcPr>
            <w:tcW w:w="606" w:type="dxa"/>
          </w:tcPr>
          <w:p w14:paraId="2F16BACA" w14:textId="77777777" w:rsidR="00EF4BEA" w:rsidRPr="000E36C4" w:rsidRDefault="00EF4BEA" w:rsidP="00EF4BEA">
            <w:pPr>
              <w:spacing w:line="480" w:lineRule="auto"/>
              <w:rPr>
                <w:sz w:val="20"/>
                <w:szCs w:val="20"/>
              </w:rPr>
            </w:pPr>
            <w:r>
              <w:rPr>
                <w:sz w:val="20"/>
                <w:szCs w:val="20"/>
              </w:rPr>
              <w:t>76.6</w:t>
            </w:r>
          </w:p>
        </w:tc>
        <w:tc>
          <w:tcPr>
            <w:tcW w:w="641" w:type="dxa"/>
          </w:tcPr>
          <w:p w14:paraId="16089A99" w14:textId="77777777" w:rsidR="00EF4BEA" w:rsidRPr="000E36C4" w:rsidRDefault="00EF4BEA" w:rsidP="00EF4BEA">
            <w:pPr>
              <w:spacing w:line="480" w:lineRule="auto"/>
              <w:rPr>
                <w:sz w:val="20"/>
                <w:szCs w:val="20"/>
              </w:rPr>
            </w:pPr>
            <w:r>
              <w:rPr>
                <w:sz w:val="20"/>
                <w:szCs w:val="20"/>
              </w:rPr>
              <w:t>82.8</w:t>
            </w:r>
          </w:p>
        </w:tc>
        <w:tc>
          <w:tcPr>
            <w:tcW w:w="737" w:type="dxa"/>
          </w:tcPr>
          <w:p w14:paraId="631F906F" w14:textId="77777777" w:rsidR="00EF4BEA" w:rsidRPr="000E36C4" w:rsidRDefault="00EF4BEA" w:rsidP="00EF4BEA">
            <w:pPr>
              <w:spacing w:line="480" w:lineRule="auto"/>
              <w:rPr>
                <w:sz w:val="20"/>
                <w:szCs w:val="20"/>
              </w:rPr>
            </w:pPr>
            <w:r>
              <w:rPr>
                <w:sz w:val="20"/>
                <w:szCs w:val="20"/>
              </w:rPr>
              <w:t>.16</w:t>
            </w:r>
          </w:p>
        </w:tc>
        <w:tc>
          <w:tcPr>
            <w:tcW w:w="606" w:type="dxa"/>
          </w:tcPr>
          <w:p w14:paraId="4CF4DCA6" w14:textId="77777777" w:rsidR="00EF4BEA" w:rsidRPr="000E36C4" w:rsidRDefault="00EF4BEA" w:rsidP="00EF4BEA">
            <w:pPr>
              <w:spacing w:line="480" w:lineRule="auto"/>
              <w:rPr>
                <w:sz w:val="20"/>
                <w:szCs w:val="20"/>
              </w:rPr>
            </w:pPr>
            <w:r w:rsidRPr="000E36C4">
              <w:rPr>
                <w:sz w:val="20"/>
                <w:szCs w:val="20"/>
              </w:rPr>
              <w:t>82.5</w:t>
            </w:r>
          </w:p>
        </w:tc>
        <w:tc>
          <w:tcPr>
            <w:tcW w:w="641" w:type="dxa"/>
          </w:tcPr>
          <w:p w14:paraId="68C19C7A" w14:textId="77777777" w:rsidR="00EF4BEA" w:rsidRPr="000E36C4" w:rsidRDefault="00EF4BEA" w:rsidP="00EF4BEA">
            <w:pPr>
              <w:spacing w:line="480" w:lineRule="auto"/>
              <w:rPr>
                <w:sz w:val="20"/>
                <w:szCs w:val="20"/>
              </w:rPr>
            </w:pPr>
            <w:r w:rsidRPr="000E36C4">
              <w:rPr>
                <w:sz w:val="20"/>
                <w:szCs w:val="20"/>
              </w:rPr>
              <w:t>72.2</w:t>
            </w:r>
          </w:p>
        </w:tc>
        <w:tc>
          <w:tcPr>
            <w:tcW w:w="779" w:type="dxa"/>
          </w:tcPr>
          <w:p w14:paraId="669CDBCB" w14:textId="77777777" w:rsidR="00EF4BEA" w:rsidRPr="000E36C4" w:rsidRDefault="00EF4BEA" w:rsidP="00EF4BEA">
            <w:pPr>
              <w:spacing w:line="480" w:lineRule="auto"/>
              <w:rPr>
                <w:sz w:val="20"/>
                <w:szCs w:val="20"/>
              </w:rPr>
            </w:pPr>
            <w:r w:rsidRPr="000E36C4">
              <w:rPr>
                <w:sz w:val="20"/>
                <w:szCs w:val="20"/>
              </w:rPr>
              <w:t>.01</w:t>
            </w:r>
          </w:p>
        </w:tc>
        <w:tc>
          <w:tcPr>
            <w:tcW w:w="566" w:type="dxa"/>
          </w:tcPr>
          <w:p w14:paraId="2AA8F508" w14:textId="77777777" w:rsidR="00EF4BEA" w:rsidRPr="000E36C4" w:rsidRDefault="00EF4BEA" w:rsidP="00EF4BEA">
            <w:pPr>
              <w:spacing w:line="480" w:lineRule="auto"/>
              <w:rPr>
                <w:sz w:val="20"/>
                <w:szCs w:val="20"/>
              </w:rPr>
            </w:pPr>
            <w:r>
              <w:rPr>
                <w:sz w:val="20"/>
                <w:szCs w:val="20"/>
              </w:rPr>
              <w:t>86.3</w:t>
            </w:r>
          </w:p>
        </w:tc>
        <w:tc>
          <w:tcPr>
            <w:tcW w:w="574" w:type="dxa"/>
          </w:tcPr>
          <w:p w14:paraId="2ECCF82B" w14:textId="77777777" w:rsidR="00EF4BEA" w:rsidRPr="000E36C4" w:rsidRDefault="00EF4BEA" w:rsidP="00EF4BEA">
            <w:pPr>
              <w:spacing w:line="480" w:lineRule="auto"/>
              <w:rPr>
                <w:sz w:val="20"/>
                <w:szCs w:val="20"/>
              </w:rPr>
            </w:pPr>
            <w:r>
              <w:rPr>
                <w:sz w:val="20"/>
                <w:szCs w:val="20"/>
              </w:rPr>
              <w:t>72.0</w:t>
            </w:r>
          </w:p>
        </w:tc>
        <w:tc>
          <w:tcPr>
            <w:tcW w:w="566" w:type="dxa"/>
          </w:tcPr>
          <w:p w14:paraId="08594F4F" w14:textId="77777777" w:rsidR="00EF4BEA" w:rsidRPr="000E36C4" w:rsidRDefault="00EF4BEA" w:rsidP="00EF4BEA">
            <w:pPr>
              <w:spacing w:line="480" w:lineRule="auto"/>
              <w:rPr>
                <w:sz w:val="20"/>
                <w:szCs w:val="20"/>
              </w:rPr>
            </w:pPr>
            <w:r>
              <w:rPr>
                <w:sz w:val="20"/>
                <w:szCs w:val="20"/>
              </w:rPr>
              <w:t>.001</w:t>
            </w:r>
          </w:p>
        </w:tc>
      </w:tr>
    </w:tbl>
    <w:p w14:paraId="057E7DF0" w14:textId="77777777" w:rsidR="00EF4BEA" w:rsidRDefault="00EF4BEA" w:rsidP="00EF4BEA">
      <w:pPr>
        <w:rPr>
          <w:sz w:val="20"/>
          <w:szCs w:val="20"/>
        </w:rPr>
      </w:pPr>
      <w:r>
        <w:rPr>
          <w:sz w:val="20"/>
          <w:szCs w:val="20"/>
        </w:rPr>
        <w:t>Table 1.  Scale score differences by selected sexual risk behaviors</w:t>
      </w:r>
    </w:p>
    <w:p w14:paraId="60B2165C" w14:textId="77777777" w:rsidR="00EF4BEA" w:rsidRDefault="00EF4BEA" w:rsidP="00EF4BEA">
      <w:pPr>
        <w:rPr>
          <w:sz w:val="20"/>
          <w:szCs w:val="20"/>
        </w:rPr>
      </w:pPr>
    </w:p>
    <w:p w14:paraId="02A35142" w14:textId="1B41357C" w:rsidR="000D6947" w:rsidRDefault="00EF4BEA" w:rsidP="006B3137">
      <w:pPr>
        <w:rPr>
          <w:sz w:val="20"/>
          <w:szCs w:val="20"/>
        </w:rPr>
      </w:pPr>
      <w:r w:rsidRPr="000E36C4">
        <w:rPr>
          <w:sz w:val="20"/>
          <w:szCs w:val="20"/>
        </w:rPr>
        <w:t xml:space="preserve">Note. </w:t>
      </w:r>
      <w:r>
        <w:rPr>
          <w:sz w:val="20"/>
          <w:szCs w:val="20"/>
        </w:rPr>
        <w:t xml:space="preserve">Groups (Infrequent/Frequent; Low/High) determined by median split.   </w:t>
      </w:r>
      <w:r w:rsidRPr="000E36C4">
        <w:rPr>
          <w:sz w:val="20"/>
          <w:szCs w:val="20"/>
        </w:rPr>
        <w:t>UAIS = Unprotected Anal Insertive Sex; UARS = Unprotected</w:t>
      </w:r>
      <w:r>
        <w:rPr>
          <w:sz w:val="20"/>
          <w:szCs w:val="20"/>
        </w:rPr>
        <w:t xml:space="preserve"> Anal Receptive Sex; MSP-I = Multiple Partners as an Insertive Partner; MSP-R</w:t>
      </w:r>
      <w:r w:rsidRPr="000E36C4">
        <w:rPr>
          <w:sz w:val="20"/>
          <w:szCs w:val="20"/>
        </w:rPr>
        <w:t xml:space="preserve"> = M</w:t>
      </w:r>
      <w:r>
        <w:rPr>
          <w:sz w:val="20"/>
          <w:szCs w:val="20"/>
        </w:rPr>
        <w:t>ultiple Sex Partners as a Receptive Partner</w:t>
      </w:r>
      <w:r w:rsidRPr="000E36C4">
        <w:rPr>
          <w:sz w:val="20"/>
          <w:szCs w:val="20"/>
        </w:rPr>
        <w:t>; UOS = Unprotected Oral Sex</w:t>
      </w:r>
    </w:p>
    <w:p w14:paraId="2FAD9EF4" w14:textId="77777777" w:rsidR="006B3137" w:rsidRDefault="006B3137" w:rsidP="006B3137">
      <w:pPr>
        <w:rPr>
          <w:sz w:val="20"/>
          <w:szCs w:val="20"/>
        </w:rPr>
      </w:pPr>
    </w:p>
    <w:p w14:paraId="32B7C65E" w14:textId="77777777" w:rsidR="006B3137" w:rsidRDefault="006B3137" w:rsidP="006B3137"/>
    <w:sectPr w:rsidR="006B3137" w:rsidSect="00FC2A39">
      <w:headerReference w:type="even" r:id="rId17"/>
      <w:headerReference w:type="default" r:id="rId18"/>
      <w:footerReference w:type="even" r:id="rId19"/>
      <w:footerReference w:type="default" r:id="rId20"/>
      <w:pgSz w:w="12240" w:h="15840"/>
      <w:pgMar w:top="1440" w:right="1800" w:bottom="1440" w:left="1800" w:header="720" w:footer="720"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phanie A Sanders, PhD" w:date="2015-05-22T17:16:00Z" w:initials="SAS">
    <w:p w14:paraId="5FB17ABC" w14:textId="40C37751" w:rsidR="0011282D" w:rsidRDefault="0011282D">
      <w:pPr>
        <w:pStyle w:val="CommentText"/>
      </w:pPr>
      <w:r>
        <w:rPr>
          <w:rStyle w:val="CommentReference"/>
        </w:rPr>
        <w:annotationRef/>
      </w:r>
      <w:r>
        <w:t>Rick is this reporting period correct.</w:t>
      </w:r>
    </w:p>
  </w:comment>
  <w:comment w:id="2" w:author="Stephanie A Sanders, PhD" w:date="2015-05-22T17:16:00Z" w:initials="SAS">
    <w:p w14:paraId="7A50F11D" w14:textId="24613ABF" w:rsidR="0011282D" w:rsidRDefault="0011282D">
      <w:pPr>
        <w:pStyle w:val="CommentText"/>
      </w:pPr>
      <w:r>
        <w:rPr>
          <w:rStyle w:val="CommentReference"/>
        </w:rPr>
        <w:annotationRef/>
      </w:r>
      <w:r>
        <w:t xml:space="preserve">It would be good to provide all response option, as it is unclear the number of times 2 and 3 as 1-6 times are split between them.  </w:t>
      </w:r>
    </w:p>
  </w:comment>
  <w:comment w:id="3" w:author="Stephanie A Sanders, PhD" w:date="2015-05-31T11:36:00Z" w:initials="SAS">
    <w:p w14:paraId="4BEE33D6" w14:textId="64F5BD2D" w:rsidR="0011282D" w:rsidRDefault="0011282D">
      <w:pPr>
        <w:pStyle w:val="CommentText"/>
      </w:pPr>
      <w:r>
        <w:rPr>
          <w:rStyle w:val="CommentReference"/>
        </w:rPr>
        <w:annotationRef/>
      </w:r>
      <w:r>
        <w:t>What words was associated with the scale was it strongly disagree to strongly agree?</w:t>
      </w:r>
    </w:p>
  </w:comment>
  <w:comment w:id="4" w:author="Stephanie A Sanders, PhD" w:date="2015-05-22T17:16:00Z" w:initials="SAS">
    <w:p w14:paraId="245A5800" w14:textId="7E57F29D" w:rsidR="0011282D" w:rsidRDefault="0011282D">
      <w:pPr>
        <w:pStyle w:val="CommentText"/>
      </w:pPr>
      <w:r>
        <w:rPr>
          <w:rStyle w:val="CommentReference"/>
        </w:rPr>
        <w:annotationRef/>
      </w:r>
      <w:r>
        <w:t>Same question as above</w:t>
      </w:r>
    </w:p>
  </w:comment>
  <w:comment w:id="5" w:author="Stephanie A Sanders, PhD" w:date="2015-05-31T11:41:00Z" w:initials="SAS">
    <w:p w14:paraId="53EA6BA2" w14:textId="1369CA4D" w:rsidR="0011282D" w:rsidRDefault="0011282D">
      <w:pPr>
        <w:pStyle w:val="CommentText"/>
      </w:pPr>
      <w:r>
        <w:rPr>
          <w:rStyle w:val="CommentReference"/>
        </w:rPr>
        <w:annotationRef/>
      </w:r>
      <w:r>
        <w:t xml:space="preserve">What was the median used to create this split. </w:t>
      </w:r>
      <w:proofErr w:type="gramStart"/>
      <w:r>
        <w:t>It  would</w:t>
      </w:r>
      <w:proofErr w:type="gramEnd"/>
      <w:r>
        <w:t xml:space="preserve"> be good to say something like what I have suggested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5ED9F" w15:done="0"/>
  <w15:commentEx w15:paraId="5C724E0D" w15:done="0"/>
  <w15:commentEx w15:paraId="4870D5F3" w15:done="0"/>
  <w15:commentEx w15:paraId="06941E0D" w15:done="0"/>
  <w15:commentEx w15:paraId="6E5CF0E3" w15:done="0"/>
  <w15:commentEx w15:paraId="3D988D73" w15:done="0"/>
  <w15:commentEx w15:paraId="0327A19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C637F" w14:textId="77777777" w:rsidR="0011282D" w:rsidRDefault="0011282D" w:rsidP="00FC2A39">
      <w:r>
        <w:separator/>
      </w:r>
    </w:p>
  </w:endnote>
  <w:endnote w:type="continuationSeparator" w:id="0">
    <w:p w14:paraId="1337EBF3" w14:textId="77777777" w:rsidR="0011282D" w:rsidRDefault="0011282D" w:rsidP="00FC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262AC" w14:textId="77777777" w:rsidR="0011282D" w:rsidRDefault="0011282D" w:rsidP="00FC2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66E817" w14:textId="77777777" w:rsidR="0011282D" w:rsidRDefault="0011282D" w:rsidP="00FC2A3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C1A8C" w14:textId="77777777" w:rsidR="0011282D" w:rsidRDefault="0011282D" w:rsidP="00FC2A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5B2B">
      <w:rPr>
        <w:rStyle w:val="PageNumber"/>
        <w:noProof/>
      </w:rPr>
      <w:t>18</w:t>
    </w:r>
    <w:r>
      <w:rPr>
        <w:rStyle w:val="PageNumber"/>
      </w:rPr>
      <w:fldChar w:fldCharType="end"/>
    </w:r>
  </w:p>
  <w:p w14:paraId="0BA26868" w14:textId="77777777" w:rsidR="0011282D" w:rsidRDefault="0011282D" w:rsidP="00FC2A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D9A02" w14:textId="77777777" w:rsidR="0011282D" w:rsidRDefault="0011282D" w:rsidP="00FC2A39">
      <w:r>
        <w:separator/>
      </w:r>
    </w:p>
  </w:footnote>
  <w:footnote w:type="continuationSeparator" w:id="0">
    <w:p w14:paraId="369E7318" w14:textId="77777777" w:rsidR="0011282D" w:rsidRDefault="0011282D" w:rsidP="00FC2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971E8" w14:textId="77777777" w:rsidR="0011282D" w:rsidRDefault="0011282D" w:rsidP="00FC2A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E6083" w14:textId="77777777" w:rsidR="0011282D" w:rsidRDefault="0011282D" w:rsidP="00FC2A3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0D755" w14:textId="4B8D6FDB" w:rsidR="0011282D" w:rsidRDefault="0011282D" w:rsidP="00FC2A39">
    <w:pPr>
      <w:pStyle w:val="Header"/>
      <w:ind w:right="360"/>
    </w:pP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F4B18"/>
    <w:multiLevelType w:val="hybridMultilevel"/>
    <w:tmpl w:val="56B27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dro Mena">
    <w15:presenceInfo w15:providerId="AD" w15:userId="S-1-5-21-352802823-1380143767-619646970-24776"/>
  </w15:person>
  <w15:person w15:author="Leandro Mena [2]">
    <w15:presenceInfo w15:providerId="AD" w15:userId="S-1-5-21-352802823-1380143767-619646970-24776"/>
  </w15:person>
  <w15:person w15:author="Leandro Mena [3]">
    <w15:presenceInfo w15:providerId="AD" w15:userId="S-1-5-21-352802823-1380143767-619646970-24776"/>
  </w15:person>
  <w15:person w15:author="Leandro A Mena">
    <w15:presenceInfo w15:providerId="AD" w15:userId="S-1-5-21-352802823-1380143767-619646970-2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embedSystemFonts/>
  <w:proofState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9E"/>
    <w:rsid w:val="00003069"/>
    <w:rsid w:val="00017370"/>
    <w:rsid w:val="0002054D"/>
    <w:rsid w:val="00020A54"/>
    <w:rsid w:val="00032FDB"/>
    <w:rsid w:val="00043F40"/>
    <w:rsid w:val="000465C0"/>
    <w:rsid w:val="0004689C"/>
    <w:rsid w:val="00065885"/>
    <w:rsid w:val="000818E6"/>
    <w:rsid w:val="00085EC6"/>
    <w:rsid w:val="00092B73"/>
    <w:rsid w:val="00093BBA"/>
    <w:rsid w:val="00095D18"/>
    <w:rsid w:val="000A1A2F"/>
    <w:rsid w:val="000D44F8"/>
    <w:rsid w:val="000D523D"/>
    <w:rsid w:val="000D64C1"/>
    <w:rsid w:val="000D6947"/>
    <w:rsid w:val="000E1362"/>
    <w:rsid w:val="000F0210"/>
    <w:rsid w:val="00104E55"/>
    <w:rsid w:val="0011282D"/>
    <w:rsid w:val="00113507"/>
    <w:rsid w:val="00114C07"/>
    <w:rsid w:val="00122F5D"/>
    <w:rsid w:val="001302A2"/>
    <w:rsid w:val="001352A5"/>
    <w:rsid w:val="00157EF6"/>
    <w:rsid w:val="001632AC"/>
    <w:rsid w:val="00173780"/>
    <w:rsid w:val="001A42CE"/>
    <w:rsid w:val="001A4BF6"/>
    <w:rsid w:val="001A61F3"/>
    <w:rsid w:val="001A7BD1"/>
    <w:rsid w:val="001B0C8F"/>
    <w:rsid w:val="001C3EFA"/>
    <w:rsid w:val="00223501"/>
    <w:rsid w:val="002263E1"/>
    <w:rsid w:val="00231EDD"/>
    <w:rsid w:val="00234D27"/>
    <w:rsid w:val="00240762"/>
    <w:rsid w:val="00243F1C"/>
    <w:rsid w:val="00244D9A"/>
    <w:rsid w:val="0026339D"/>
    <w:rsid w:val="002711C3"/>
    <w:rsid w:val="00273EB0"/>
    <w:rsid w:val="002754D0"/>
    <w:rsid w:val="0027561C"/>
    <w:rsid w:val="00275D0E"/>
    <w:rsid w:val="002967BF"/>
    <w:rsid w:val="002B149F"/>
    <w:rsid w:val="002C5E87"/>
    <w:rsid w:val="002D084C"/>
    <w:rsid w:val="002E0DBC"/>
    <w:rsid w:val="002E31B0"/>
    <w:rsid w:val="002E7AFE"/>
    <w:rsid w:val="00301FA7"/>
    <w:rsid w:val="00302F14"/>
    <w:rsid w:val="003223E6"/>
    <w:rsid w:val="00334D88"/>
    <w:rsid w:val="003351BF"/>
    <w:rsid w:val="003373EA"/>
    <w:rsid w:val="00343859"/>
    <w:rsid w:val="00350550"/>
    <w:rsid w:val="0035074F"/>
    <w:rsid w:val="00353BD9"/>
    <w:rsid w:val="00361D2C"/>
    <w:rsid w:val="003634EB"/>
    <w:rsid w:val="00374780"/>
    <w:rsid w:val="00381BFB"/>
    <w:rsid w:val="0038256E"/>
    <w:rsid w:val="003829AE"/>
    <w:rsid w:val="00397431"/>
    <w:rsid w:val="003B29D4"/>
    <w:rsid w:val="003B452F"/>
    <w:rsid w:val="003D5AB4"/>
    <w:rsid w:val="003E79D9"/>
    <w:rsid w:val="003F44EE"/>
    <w:rsid w:val="003F7313"/>
    <w:rsid w:val="00400760"/>
    <w:rsid w:val="00402D83"/>
    <w:rsid w:val="0040796A"/>
    <w:rsid w:val="00412D99"/>
    <w:rsid w:val="004136B0"/>
    <w:rsid w:val="00413F9B"/>
    <w:rsid w:val="00415A2F"/>
    <w:rsid w:val="0042489B"/>
    <w:rsid w:val="00425405"/>
    <w:rsid w:val="004321A0"/>
    <w:rsid w:val="0045049C"/>
    <w:rsid w:val="00451078"/>
    <w:rsid w:val="0046133A"/>
    <w:rsid w:val="004636CF"/>
    <w:rsid w:val="00470379"/>
    <w:rsid w:val="004829DB"/>
    <w:rsid w:val="004A1998"/>
    <w:rsid w:val="004C0FEF"/>
    <w:rsid w:val="004C3766"/>
    <w:rsid w:val="004C3B83"/>
    <w:rsid w:val="004C6029"/>
    <w:rsid w:val="004C62F1"/>
    <w:rsid w:val="004D2D0B"/>
    <w:rsid w:val="004E4A5E"/>
    <w:rsid w:val="004E6CB0"/>
    <w:rsid w:val="004F0B71"/>
    <w:rsid w:val="004F6FD6"/>
    <w:rsid w:val="004F771D"/>
    <w:rsid w:val="00511192"/>
    <w:rsid w:val="00523F1A"/>
    <w:rsid w:val="00530E6D"/>
    <w:rsid w:val="00551D00"/>
    <w:rsid w:val="00552E21"/>
    <w:rsid w:val="005611EC"/>
    <w:rsid w:val="005649C4"/>
    <w:rsid w:val="00567323"/>
    <w:rsid w:val="00571412"/>
    <w:rsid w:val="00574656"/>
    <w:rsid w:val="005770BE"/>
    <w:rsid w:val="005860B3"/>
    <w:rsid w:val="005900B9"/>
    <w:rsid w:val="005957F7"/>
    <w:rsid w:val="00597130"/>
    <w:rsid w:val="005B1710"/>
    <w:rsid w:val="005B3EE2"/>
    <w:rsid w:val="005C38F9"/>
    <w:rsid w:val="005C6F32"/>
    <w:rsid w:val="005D0E65"/>
    <w:rsid w:val="005D49B5"/>
    <w:rsid w:val="005D7AD9"/>
    <w:rsid w:val="005E0938"/>
    <w:rsid w:val="005E2E47"/>
    <w:rsid w:val="005E73E4"/>
    <w:rsid w:val="00602F1B"/>
    <w:rsid w:val="006054E8"/>
    <w:rsid w:val="00605D50"/>
    <w:rsid w:val="006376F0"/>
    <w:rsid w:val="00660EF4"/>
    <w:rsid w:val="00664908"/>
    <w:rsid w:val="0067703B"/>
    <w:rsid w:val="006915C9"/>
    <w:rsid w:val="006960D7"/>
    <w:rsid w:val="006A1E99"/>
    <w:rsid w:val="006B3137"/>
    <w:rsid w:val="006C29E7"/>
    <w:rsid w:val="006C6FB1"/>
    <w:rsid w:val="006D3654"/>
    <w:rsid w:val="006F29B1"/>
    <w:rsid w:val="006F3D24"/>
    <w:rsid w:val="00727DF7"/>
    <w:rsid w:val="00750169"/>
    <w:rsid w:val="00752062"/>
    <w:rsid w:val="00752CA8"/>
    <w:rsid w:val="007645C6"/>
    <w:rsid w:val="007857A6"/>
    <w:rsid w:val="00793DD4"/>
    <w:rsid w:val="007A288B"/>
    <w:rsid w:val="007D23BA"/>
    <w:rsid w:val="007D46E4"/>
    <w:rsid w:val="007D69B8"/>
    <w:rsid w:val="007D760D"/>
    <w:rsid w:val="007E0A9E"/>
    <w:rsid w:val="00806D48"/>
    <w:rsid w:val="008226BA"/>
    <w:rsid w:val="00826B59"/>
    <w:rsid w:val="00827047"/>
    <w:rsid w:val="008556BB"/>
    <w:rsid w:val="00856C89"/>
    <w:rsid w:val="00860340"/>
    <w:rsid w:val="0088528B"/>
    <w:rsid w:val="008867A4"/>
    <w:rsid w:val="00895B2B"/>
    <w:rsid w:val="008A1765"/>
    <w:rsid w:val="008B02E2"/>
    <w:rsid w:val="008B716C"/>
    <w:rsid w:val="008B7A7C"/>
    <w:rsid w:val="008D13D7"/>
    <w:rsid w:val="008E3C88"/>
    <w:rsid w:val="008F31AD"/>
    <w:rsid w:val="00903D46"/>
    <w:rsid w:val="00906B63"/>
    <w:rsid w:val="009307A1"/>
    <w:rsid w:val="00930B71"/>
    <w:rsid w:val="00940A50"/>
    <w:rsid w:val="0094602A"/>
    <w:rsid w:val="0095352B"/>
    <w:rsid w:val="009677C0"/>
    <w:rsid w:val="009702C6"/>
    <w:rsid w:val="0097108A"/>
    <w:rsid w:val="009754CE"/>
    <w:rsid w:val="0099051B"/>
    <w:rsid w:val="009A251B"/>
    <w:rsid w:val="009B35D1"/>
    <w:rsid w:val="009B3A13"/>
    <w:rsid w:val="009B3FDE"/>
    <w:rsid w:val="009C1CBC"/>
    <w:rsid w:val="009D072B"/>
    <w:rsid w:val="009E3B65"/>
    <w:rsid w:val="009E3F11"/>
    <w:rsid w:val="009E4DDC"/>
    <w:rsid w:val="009E795C"/>
    <w:rsid w:val="00A11E6D"/>
    <w:rsid w:val="00A17670"/>
    <w:rsid w:val="00A315BF"/>
    <w:rsid w:val="00A33E38"/>
    <w:rsid w:val="00A42070"/>
    <w:rsid w:val="00A62086"/>
    <w:rsid w:val="00A66585"/>
    <w:rsid w:val="00A66D8B"/>
    <w:rsid w:val="00A74DA6"/>
    <w:rsid w:val="00A84D7B"/>
    <w:rsid w:val="00A85F85"/>
    <w:rsid w:val="00AA1CA0"/>
    <w:rsid w:val="00AA2788"/>
    <w:rsid w:val="00AB1E1E"/>
    <w:rsid w:val="00AD1DBF"/>
    <w:rsid w:val="00AD21CF"/>
    <w:rsid w:val="00AE071B"/>
    <w:rsid w:val="00AF7F0B"/>
    <w:rsid w:val="00B03C43"/>
    <w:rsid w:val="00B15596"/>
    <w:rsid w:val="00B2358E"/>
    <w:rsid w:val="00B36523"/>
    <w:rsid w:val="00B41282"/>
    <w:rsid w:val="00B45C1B"/>
    <w:rsid w:val="00B57555"/>
    <w:rsid w:val="00B5757C"/>
    <w:rsid w:val="00B701C9"/>
    <w:rsid w:val="00B724E9"/>
    <w:rsid w:val="00B80170"/>
    <w:rsid w:val="00B804B7"/>
    <w:rsid w:val="00B86C73"/>
    <w:rsid w:val="00B934DA"/>
    <w:rsid w:val="00B96600"/>
    <w:rsid w:val="00BB0D0B"/>
    <w:rsid w:val="00BB2962"/>
    <w:rsid w:val="00BC12BD"/>
    <w:rsid w:val="00BC632B"/>
    <w:rsid w:val="00C34BAB"/>
    <w:rsid w:val="00C35643"/>
    <w:rsid w:val="00C36BD6"/>
    <w:rsid w:val="00C541A8"/>
    <w:rsid w:val="00C565C0"/>
    <w:rsid w:val="00C871E8"/>
    <w:rsid w:val="00C9337A"/>
    <w:rsid w:val="00C9688C"/>
    <w:rsid w:val="00CA5198"/>
    <w:rsid w:val="00CB020A"/>
    <w:rsid w:val="00CB4E6A"/>
    <w:rsid w:val="00CD429E"/>
    <w:rsid w:val="00CD5F84"/>
    <w:rsid w:val="00CE03B5"/>
    <w:rsid w:val="00CE6164"/>
    <w:rsid w:val="00CF696B"/>
    <w:rsid w:val="00D00A52"/>
    <w:rsid w:val="00D20667"/>
    <w:rsid w:val="00D542FE"/>
    <w:rsid w:val="00D6798B"/>
    <w:rsid w:val="00D72410"/>
    <w:rsid w:val="00D8459F"/>
    <w:rsid w:val="00D85AD0"/>
    <w:rsid w:val="00D94F24"/>
    <w:rsid w:val="00D97455"/>
    <w:rsid w:val="00DC7E6D"/>
    <w:rsid w:val="00DD4A2C"/>
    <w:rsid w:val="00DE63B8"/>
    <w:rsid w:val="00E317F3"/>
    <w:rsid w:val="00E40FD9"/>
    <w:rsid w:val="00E45E3E"/>
    <w:rsid w:val="00E61636"/>
    <w:rsid w:val="00E63C22"/>
    <w:rsid w:val="00E67059"/>
    <w:rsid w:val="00E7475B"/>
    <w:rsid w:val="00E90AA0"/>
    <w:rsid w:val="00E93258"/>
    <w:rsid w:val="00E95264"/>
    <w:rsid w:val="00E96DD2"/>
    <w:rsid w:val="00EA0199"/>
    <w:rsid w:val="00EA0A86"/>
    <w:rsid w:val="00EA6FE0"/>
    <w:rsid w:val="00EB4D9E"/>
    <w:rsid w:val="00EC196F"/>
    <w:rsid w:val="00EC2C80"/>
    <w:rsid w:val="00ED2776"/>
    <w:rsid w:val="00ED5E9E"/>
    <w:rsid w:val="00ED6A9F"/>
    <w:rsid w:val="00ED7D57"/>
    <w:rsid w:val="00EE5D34"/>
    <w:rsid w:val="00EF3393"/>
    <w:rsid w:val="00EF4BEA"/>
    <w:rsid w:val="00F15D7F"/>
    <w:rsid w:val="00F1660D"/>
    <w:rsid w:val="00F245B0"/>
    <w:rsid w:val="00F31153"/>
    <w:rsid w:val="00F44B22"/>
    <w:rsid w:val="00F45C08"/>
    <w:rsid w:val="00F50D07"/>
    <w:rsid w:val="00F5334A"/>
    <w:rsid w:val="00F543FA"/>
    <w:rsid w:val="00F87D6B"/>
    <w:rsid w:val="00F951D8"/>
    <w:rsid w:val="00FA1913"/>
    <w:rsid w:val="00FB1E11"/>
    <w:rsid w:val="00FB2022"/>
    <w:rsid w:val="00FB5F39"/>
    <w:rsid w:val="00FC2A39"/>
    <w:rsid w:val="00FC7A1A"/>
    <w:rsid w:val="00FF506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DA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9E"/>
    <w:rPr>
      <w:rFonts w:ascii="Times New Roman" w:eastAsia="Times New Roman" w:hAnsi="Times New Roman" w:cs="Times New Roman"/>
    </w:rPr>
  </w:style>
  <w:style w:type="paragraph" w:styleId="Heading2">
    <w:name w:val="heading 2"/>
    <w:basedOn w:val="Normal"/>
    <w:next w:val="Normal"/>
    <w:link w:val="Heading2Char"/>
    <w:uiPriority w:val="9"/>
    <w:qFormat/>
    <w:rsid w:val="00AF7F0B"/>
    <w:pPr>
      <w:keepNext/>
      <w:spacing w:line="480" w:lineRule="auto"/>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4D9E"/>
    <w:rPr>
      <w:color w:val="0000FF"/>
      <w:u w:val="single"/>
    </w:rPr>
  </w:style>
  <w:style w:type="paragraph" w:customStyle="1" w:styleId="EndNoteBibliography">
    <w:name w:val="EndNote Bibliography"/>
    <w:basedOn w:val="Normal"/>
    <w:rsid w:val="00DD4A2C"/>
    <w:rPr>
      <w:rFonts w:ascii="Cambria" w:eastAsia="MS Mincho" w:hAnsi="Cambria"/>
    </w:rPr>
  </w:style>
  <w:style w:type="character" w:customStyle="1" w:styleId="jrnl">
    <w:name w:val="jrnl"/>
    <w:basedOn w:val="DefaultParagraphFont"/>
    <w:rsid w:val="005D0E65"/>
  </w:style>
  <w:style w:type="paragraph" w:customStyle="1" w:styleId="Title1">
    <w:name w:val="Title1"/>
    <w:basedOn w:val="Normal"/>
    <w:rsid w:val="005D0E65"/>
    <w:pPr>
      <w:spacing w:before="100" w:beforeAutospacing="1" w:after="100" w:afterAutospacing="1"/>
    </w:pPr>
  </w:style>
  <w:style w:type="character" w:customStyle="1" w:styleId="apple-converted-space">
    <w:name w:val="apple-converted-space"/>
    <w:basedOn w:val="DefaultParagraphFont"/>
    <w:rsid w:val="005D0E65"/>
  </w:style>
  <w:style w:type="character" w:customStyle="1" w:styleId="Heading2Char">
    <w:name w:val="Heading 2 Char"/>
    <w:basedOn w:val="DefaultParagraphFont"/>
    <w:link w:val="Heading2"/>
    <w:uiPriority w:val="9"/>
    <w:rsid w:val="00AF7F0B"/>
    <w:rPr>
      <w:rFonts w:ascii="Times New Roman" w:eastAsia="Times New Roman" w:hAnsi="Times New Roman" w:cs="Times New Roman"/>
      <w:b/>
      <w:caps/>
      <w:szCs w:val="20"/>
    </w:rPr>
  </w:style>
  <w:style w:type="character" w:styleId="FollowedHyperlink">
    <w:name w:val="FollowedHyperlink"/>
    <w:basedOn w:val="DefaultParagraphFont"/>
    <w:uiPriority w:val="99"/>
    <w:semiHidden/>
    <w:unhideWhenUsed/>
    <w:rsid w:val="00470379"/>
    <w:rPr>
      <w:color w:val="800080" w:themeColor="followedHyperlink"/>
      <w:u w:val="single"/>
    </w:rPr>
  </w:style>
  <w:style w:type="paragraph" w:styleId="Header">
    <w:name w:val="header"/>
    <w:basedOn w:val="Normal"/>
    <w:link w:val="HeaderChar"/>
    <w:uiPriority w:val="99"/>
    <w:unhideWhenUsed/>
    <w:rsid w:val="00FC2A39"/>
    <w:pPr>
      <w:tabs>
        <w:tab w:val="center" w:pos="4320"/>
        <w:tab w:val="right" w:pos="8640"/>
      </w:tabs>
    </w:pPr>
  </w:style>
  <w:style w:type="character" w:customStyle="1" w:styleId="HeaderChar">
    <w:name w:val="Header Char"/>
    <w:basedOn w:val="DefaultParagraphFont"/>
    <w:link w:val="Header"/>
    <w:uiPriority w:val="99"/>
    <w:rsid w:val="00FC2A39"/>
    <w:rPr>
      <w:rFonts w:ascii="Times New Roman" w:eastAsia="Times New Roman" w:hAnsi="Times New Roman" w:cs="Times New Roman"/>
    </w:rPr>
  </w:style>
  <w:style w:type="paragraph" w:styleId="Footer">
    <w:name w:val="footer"/>
    <w:basedOn w:val="Normal"/>
    <w:link w:val="FooterChar"/>
    <w:uiPriority w:val="99"/>
    <w:unhideWhenUsed/>
    <w:rsid w:val="00FC2A39"/>
    <w:pPr>
      <w:tabs>
        <w:tab w:val="center" w:pos="4320"/>
        <w:tab w:val="right" w:pos="8640"/>
      </w:tabs>
    </w:pPr>
  </w:style>
  <w:style w:type="character" w:customStyle="1" w:styleId="FooterChar">
    <w:name w:val="Footer Char"/>
    <w:basedOn w:val="DefaultParagraphFont"/>
    <w:link w:val="Footer"/>
    <w:uiPriority w:val="99"/>
    <w:rsid w:val="00FC2A39"/>
    <w:rPr>
      <w:rFonts w:ascii="Times New Roman" w:eastAsia="Times New Roman" w:hAnsi="Times New Roman" w:cs="Times New Roman"/>
    </w:rPr>
  </w:style>
  <w:style w:type="character" w:styleId="PageNumber">
    <w:name w:val="page number"/>
    <w:basedOn w:val="DefaultParagraphFont"/>
    <w:uiPriority w:val="99"/>
    <w:semiHidden/>
    <w:unhideWhenUsed/>
    <w:rsid w:val="00FC2A39"/>
  </w:style>
  <w:style w:type="paragraph" w:styleId="BalloonText">
    <w:name w:val="Balloon Text"/>
    <w:basedOn w:val="Normal"/>
    <w:link w:val="BalloonTextChar"/>
    <w:uiPriority w:val="99"/>
    <w:semiHidden/>
    <w:unhideWhenUsed/>
    <w:rsid w:val="005900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0B9"/>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900B9"/>
    <w:rPr>
      <w:sz w:val="18"/>
      <w:szCs w:val="18"/>
    </w:rPr>
  </w:style>
  <w:style w:type="paragraph" w:styleId="CommentText">
    <w:name w:val="annotation text"/>
    <w:basedOn w:val="Normal"/>
    <w:link w:val="CommentTextChar"/>
    <w:uiPriority w:val="99"/>
    <w:unhideWhenUsed/>
    <w:rsid w:val="005900B9"/>
  </w:style>
  <w:style w:type="character" w:customStyle="1" w:styleId="CommentTextChar">
    <w:name w:val="Comment Text Char"/>
    <w:basedOn w:val="DefaultParagraphFont"/>
    <w:link w:val="CommentText"/>
    <w:uiPriority w:val="99"/>
    <w:rsid w:val="005900B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900B9"/>
    <w:rPr>
      <w:b/>
      <w:bCs/>
      <w:sz w:val="20"/>
      <w:szCs w:val="20"/>
    </w:rPr>
  </w:style>
  <w:style w:type="character" w:customStyle="1" w:styleId="CommentSubjectChar">
    <w:name w:val="Comment Subject Char"/>
    <w:basedOn w:val="CommentTextChar"/>
    <w:link w:val="CommentSubject"/>
    <w:uiPriority w:val="99"/>
    <w:semiHidden/>
    <w:rsid w:val="005900B9"/>
    <w:rPr>
      <w:rFonts w:ascii="Times New Roman" w:eastAsia="Times New Roman" w:hAnsi="Times New Roman" w:cs="Times New Roman"/>
      <w:b/>
      <w:bCs/>
      <w:sz w:val="20"/>
      <w:szCs w:val="20"/>
    </w:rPr>
  </w:style>
  <w:style w:type="table" w:styleId="TableGrid">
    <w:name w:val="Table Grid"/>
    <w:basedOn w:val="TableNormal"/>
    <w:uiPriority w:val="59"/>
    <w:rsid w:val="00EF4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03B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9E"/>
    <w:rPr>
      <w:rFonts w:ascii="Times New Roman" w:eastAsia="Times New Roman" w:hAnsi="Times New Roman" w:cs="Times New Roman"/>
    </w:rPr>
  </w:style>
  <w:style w:type="paragraph" w:styleId="Heading2">
    <w:name w:val="heading 2"/>
    <w:basedOn w:val="Normal"/>
    <w:next w:val="Normal"/>
    <w:link w:val="Heading2Char"/>
    <w:uiPriority w:val="9"/>
    <w:qFormat/>
    <w:rsid w:val="00AF7F0B"/>
    <w:pPr>
      <w:keepNext/>
      <w:spacing w:line="480" w:lineRule="auto"/>
      <w:outlineLvl w:val="1"/>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4D9E"/>
    <w:rPr>
      <w:color w:val="0000FF"/>
      <w:u w:val="single"/>
    </w:rPr>
  </w:style>
  <w:style w:type="paragraph" w:customStyle="1" w:styleId="EndNoteBibliography">
    <w:name w:val="EndNote Bibliography"/>
    <w:basedOn w:val="Normal"/>
    <w:rsid w:val="00DD4A2C"/>
    <w:rPr>
      <w:rFonts w:ascii="Cambria" w:eastAsia="MS Mincho" w:hAnsi="Cambria"/>
    </w:rPr>
  </w:style>
  <w:style w:type="character" w:customStyle="1" w:styleId="jrnl">
    <w:name w:val="jrnl"/>
    <w:basedOn w:val="DefaultParagraphFont"/>
    <w:rsid w:val="005D0E65"/>
  </w:style>
  <w:style w:type="paragraph" w:customStyle="1" w:styleId="Title1">
    <w:name w:val="Title1"/>
    <w:basedOn w:val="Normal"/>
    <w:rsid w:val="005D0E65"/>
    <w:pPr>
      <w:spacing w:before="100" w:beforeAutospacing="1" w:after="100" w:afterAutospacing="1"/>
    </w:pPr>
  </w:style>
  <w:style w:type="character" w:customStyle="1" w:styleId="apple-converted-space">
    <w:name w:val="apple-converted-space"/>
    <w:basedOn w:val="DefaultParagraphFont"/>
    <w:rsid w:val="005D0E65"/>
  </w:style>
  <w:style w:type="character" w:customStyle="1" w:styleId="Heading2Char">
    <w:name w:val="Heading 2 Char"/>
    <w:basedOn w:val="DefaultParagraphFont"/>
    <w:link w:val="Heading2"/>
    <w:uiPriority w:val="9"/>
    <w:rsid w:val="00AF7F0B"/>
    <w:rPr>
      <w:rFonts w:ascii="Times New Roman" w:eastAsia="Times New Roman" w:hAnsi="Times New Roman" w:cs="Times New Roman"/>
      <w:b/>
      <w:caps/>
      <w:szCs w:val="20"/>
    </w:rPr>
  </w:style>
  <w:style w:type="character" w:styleId="FollowedHyperlink">
    <w:name w:val="FollowedHyperlink"/>
    <w:basedOn w:val="DefaultParagraphFont"/>
    <w:uiPriority w:val="99"/>
    <w:semiHidden/>
    <w:unhideWhenUsed/>
    <w:rsid w:val="00470379"/>
    <w:rPr>
      <w:color w:val="800080" w:themeColor="followedHyperlink"/>
      <w:u w:val="single"/>
    </w:rPr>
  </w:style>
  <w:style w:type="paragraph" w:styleId="Header">
    <w:name w:val="header"/>
    <w:basedOn w:val="Normal"/>
    <w:link w:val="HeaderChar"/>
    <w:uiPriority w:val="99"/>
    <w:unhideWhenUsed/>
    <w:rsid w:val="00FC2A39"/>
    <w:pPr>
      <w:tabs>
        <w:tab w:val="center" w:pos="4320"/>
        <w:tab w:val="right" w:pos="8640"/>
      </w:tabs>
    </w:pPr>
  </w:style>
  <w:style w:type="character" w:customStyle="1" w:styleId="HeaderChar">
    <w:name w:val="Header Char"/>
    <w:basedOn w:val="DefaultParagraphFont"/>
    <w:link w:val="Header"/>
    <w:uiPriority w:val="99"/>
    <w:rsid w:val="00FC2A39"/>
    <w:rPr>
      <w:rFonts w:ascii="Times New Roman" w:eastAsia="Times New Roman" w:hAnsi="Times New Roman" w:cs="Times New Roman"/>
    </w:rPr>
  </w:style>
  <w:style w:type="paragraph" w:styleId="Footer">
    <w:name w:val="footer"/>
    <w:basedOn w:val="Normal"/>
    <w:link w:val="FooterChar"/>
    <w:uiPriority w:val="99"/>
    <w:unhideWhenUsed/>
    <w:rsid w:val="00FC2A39"/>
    <w:pPr>
      <w:tabs>
        <w:tab w:val="center" w:pos="4320"/>
        <w:tab w:val="right" w:pos="8640"/>
      </w:tabs>
    </w:pPr>
  </w:style>
  <w:style w:type="character" w:customStyle="1" w:styleId="FooterChar">
    <w:name w:val="Footer Char"/>
    <w:basedOn w:val="DefaultParagraphFont"/>
    <w:link w:val="Footer"/>
    <w:uiPriority w:val="99"/>
    <w:rsid w:val="00FC2A39"/>
    <w:rPr>
      <w:rFonts w:ascii="Times New Roman" w:eastAsia="Times New Roman" w:hAnsi="Times New Roman" w:cs="Times New Roman"/>
    </w:rPr>
  </w:style>
  <w:style w:type="character" w:styleId="PageNumber">
    <w:name w:val="page number"/>
    <w:basedOn w:val="DefaultParagraphFont"/>
    <w:uiPriority w:val="99"/>
    <w:semiHidden/>
    <w:unhideWhenUsed/>
    <w:rsid w:val="00FC2A39"/>
  </w:style>
  <w:style w:type="paragraph" w:styleId="BalloonText">
    <w:name w:val="Balloon Text"/>
    <w:basedOn w:val="Normal"/>
    <w:link w:val="BalloonTextChar"/>
    <w:uiPriority w:val="99"/>
    <w:semiHidden/>
    <w:unhideWhenUsed/>
    <w:rsid w:val="005900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0B9"/>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900B9"/>
    <w:rPr>
      <w:sz w:val="18"/>
      <w:szCs w:val="18"/>
    </w:rPr>
  </w:style>
  <w:style w:type="paragraph" w:styleId="CommentText">
    <w:name w:val="annotation text"/>
    <w:basedOn w:val="Normal"/>
    <w:link w:val="CommentTextChar"/>
    <w:uiPriority w:val="99"/>
    <w:unhideWhenUsed/>
    <w:rsid w:val="005900B9"/>
  </w:style>
  <w:style w:type="character" w:customStyle="1" w:styleId="CommentTextChar">
    <w:name w:val="Comment Text Char"/>
    <w:basedOn w:val="DefaultParagraphFont"/>
    <w:link w:val="CommentText"/>
    <w:uiPriority w:val="99"/>
    <w:rsid w:val="005900B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900B9"/>
    <w:rPr>
      <w:b/>
      <w:bCs/>
      <w:sz w:val="20"/>
      <w:szCs w:val="20"/>
    </w:rPr>
  </w:style>
  <w:style w:type="character" w:customStyle="1" w:styleId="CommentSubjectChar">
    <w:name w:val="Comment Subject Char"/>
    <w:basedOn w:val="CommentTextChar"/>
    <w:link w:val="CommentSubject"/>
    <w:uiPriority w:val="99"/>
    <w:semiHidden/>
    <w:rsid w:val="005900B9"/>
    <w:rPr>
      <w:rFonts w:ascii="Times New Roman" w:eastAsia="Times New Roman" w:hAnsi="Times New Roman" w:cs="Times New Roman"/>
      <w:b/>
      <w:bCs/>
      <w:sz w:val="20"/>
      <w:szCs w:val="20"/>
    </w:rPr>
  </w:style>
  <w:style w:type="table" w:styleId="TableGrid">
    <w:name w:val="Table Grid"/>
    <w:basedOn w:val="TableNormal"/>
    <w:uiPriority w:val="59"/>
    <w:rsid w:val="00EF4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0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883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commentsExtended" Target="commentsExtended.xml"/><Relationship Id="rId24" Type="http://schemas.microsoft.com/office/2011/relationships/people" Target="people.xml"/><Relationship Id="rId10" Type="http://schemas.openxmlformats.org/officeDocument/2006/relationships/hyperlink" Target="http://www.cdc.gov/hiv/topics/msm/index.htm" TargetMode="External"/><Relationship Id="rId11" Type="http://schemas.openxmlformats.org/officeDocument/2006/relationships/hyperlink" Target="http://www.cdc.gov/hiv/strategy/pdf/DHAP_AnnualReport.pdf" TargetMode="External"/><Relationship Id="rId12" Type="http://schemas.openxmlformats.org/officeDocument/2006/relationships/hyperlink" Target="http://www.whitehouse.gov/administration/eop/onap/nhas" TargetMode="External"/><Relationship Id="rId13" Type="http://schemas.openxmlformats.org/officeDocument/2006/relationships/hyperlink" Target="http://www.cdc.gov/hiv/surveillance/resources/reports/2010report/pdf/2010_HIV_Surveillance_Report_vol_22.pdf" TargetMode="External"/><Relationship Id="rId14" Type="http://schemas.openxmlformats.org/officeDocument/2006/relationships/hyperlink" Target="http://www.nih.gov/od/oar/public/pubs/fy2007/VIII_RacialEthnic.pdf" TargetMode="External"/><Relationship Id="rId15" Type="http://schemas.openxmlformats.org/officeDocument/2006/relationships/hyperlink" Target="http://www.cdc.gov/hiv/pubs/facts/afam.htm" TargetMode="External"/><Relationship Id="rId16" Type="http://schemas.openxmlformats.org/officeDocument/2006/relationships/hyperlink" Target="http://www.blackaids.org/index.php?option=com_content&amp;view=article&amp;id=1284&amp;Itemid=198"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rosby@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4133</Words>
  <Characters>23563</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Kentucky College of Public Health</Company>
  <LinksUpToDate>false</LinksUpToDate>
  <CharactersWithSpaces>27641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Crosby</dc:creator>
  <cp:lastModifiedBy>Author Graham</cp:lastModifiedBy>
  <cp:revision>2</cp:revision>
  <cp:lastPrinted>2015-05-22T19:30:00Z</cp:lastPrinted>
  <dcterms:created xsi:type="dcterms:W3CDTF">2016-01-08T13:35:00Z</dcterms:created>
  <dcterms:modified xsi:type="dcterms:W3CDTF">2016-01-08T13:35:00Z</dcterms:modified>
</cp:coreProperties>
</file>