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BB703" w14:textId="77777777" w:rsidR="00B5157D" w:rsidRDefault="00B5157D" w:rsidP="00B5157D">
      <w:pPr>
        <w:spacing w:line="480" w:lineRule="auto"/>
        <w:rPr>
          <w:rStyle w:val="Emphasis"/>
        </w:rPr>
      </w:pPr>
      <w:r>
        <w:rPr>
          <w:rStyle w:val="Emphasis"/>
        </w:rPr>
        <w:t>Nursing Open Journal</w:t>
      </w:r>
    </w:p>
    <w:p w14:paraId="4568A217" w14:textId="77777777" w:rsidR="00B5157D" w:rsidRDefault="00B5157D" w:rsidP="00B5157D">
      <w:pPr>
        <w:spacing w:line="480" w:lineRule="auto"/>
        <w:rPr>
          <w:b/>
          <w:bCs/>
        </w:rPr>
      </w:pPr>
      <w:r w:rsidRPr="00CB3903">
        <w:rPr>
          <w:b/>
          <w:bCs/>
        </w:rPr>
        <w:t xml:space="preserve">Title: Characteristics of Patients </w:t>
      </w:r>
      <w:r>
        <w:rPr>
          <w:b/>
          <w:bCs/>
        </w:rPr>
        <w:t xml:space="preserve">who </w:t>
      </w:r>
      <w:r w:rsidRPr="00CB3903">
        <w:rPr>
          <w:b/>
          <w:bCs/>
        </w:rPr>
        <w:t xml:space="preserve">are admitted with or acquire Pressure Ulcers in a District General Hospital; a three year retrospective analysis </w:t>
      </w:r>
      <w:r>
        <w:rPr>
          <w:b/>
          <w:bCs/>
        </w:rPr>
        <w:t xml:space="preserve"> </w:t>
      </w:r>
    </w:p>
    <w:p w14:paraId="5A1F2871" w14:textId="77777777" w:rsidR="00B5157D" w:rsidRPr="00967B99" w:rsidRDefault="00B5157D" w:rsidP="00B5157D">
      <w:pPr>
        <w:spacing w:line="480" w:lineRule="auto"/>
        <w:rPr>
          <w:b/>
          <w:bCs/>
        </w:rPr>
      </w:pPr>
    </w:p>
    <w:p w14:paraId="785F59F4" w14:textId="77777777" w:rsidR="00B5157D" w:rsidRDefault="00B5157D" w:rsidP="00B5157D">
      <w:pPr>
        <w:spacing w:line="360" w:lineRule="auto"/>
      </w:pPr>
      <w:r w:rsidRPr="00967B99">
        <w:t>Peter R. Worsley</w:t>
      </w:r>
      <w:r>
        <w:t xml:space="preserve"> </w:t>
      </w:r>
      <w:r w:rsidRPr="00967B99">
        <w:rPr>
          <w:rFonts w:cs="Arial"/>
          <w:vertAlign w:val="superscript"/>
        </w:rPr>
        <w:t>b</w:t>
      </w:r>
      <w:r w:rsidRPr="00967B99">
        <w:t>, Glenn Smith</w:t>
      </w:r>
      <w:r w:rsidRPr="00967B99">
        <w:rPr>
          <w:rFonts w:cs="Arial"/>
          <w:vertAlign w:val="superscript"/>
        </w:rPr>
        <w:t xml:space="preserve"> a</w:t>
      </w:r>
      <w:r>
        <w:rPr>
          <w:rFonts w:cs="Arial"/>
          <w:vertAlign w:val="superscript"/>
        </w:rPr>
        <w:t xml:space="preserve">, </w:t>
      </w:r>
      <w:r w:rsidRPr="00967B99">
        <w:rPr>
          <w:rFonts w:cs="Arial"/>
          <w:vertAlign w:val="superscript"/>
        </w:rPr>
        <w:t>b</w:t>
      </w:r>
      <w:r w:rsidRPr="00967B99">
        <w:t xml:space="preserve"> </w:t>
      </w:r>
      <w:r>
        <w:t xml:space="preserve">, </w:t>
      </w:r>
      <w:r w:rsidRPr="00967B99">
        <w:t xml:space="preserve">Lisette Schoonhoven </w:t>
      </w:r>
      <w:r w:rsidRPr="00967B99">
        <w:rPr>
          <w:rFonts w:cs="Arial"/>
          <w:vertAlign w:val="superscript"/>
        </w:rPr>
        <w:t>b</w:t>
      </w:r>
      <w:r>
        <w:rPr>
          <w:rFonts w:cs="Arial"/>
          <w:vertAlign w:val="superscript"/>
        </w:rPr>
        <w:t>, c</w:t>
      </w:r>
      <w:r w:rsidRPr="00967B99">
        <w:t xml:space="preserve">, Dan L. Bader </w:t>
      </w:r>
      <w:r w:rsidRPr="00967B99">
        <w:rPr>
          <w:rFonts w:cs="Arial"/>
          <w:vertAlign w:val="superscript"/>
        </w:rPr>
        <w:t>b</w:t>
      </w:r>
      <w:r w:rsidRPr="00967B99">
        <w:rPr>
          <w:color w:val="1F497D"/>
        </w:rPr>
        <w:br/>
      </w:r>
      <w:r w:rsidRPr="00AD70DA">
        <w:rPr>
          <w:rFonts w:cs="Arial"/>
          <w:vertAlign w:val="superscript"/>
        </w:rPr>
        <w:t xml:space="preserve">a </w:t>
      </w:r>
      <w:r w:rsidRPr="00AD70DA">
        <w:rPr>
          <w:rFonts w:cs="Arial"/>
        </w:rPr>
        <w:t>Nutrition and Tissue Viability Service Office, Top Floor GMO offices, North Block</w:t>
      </w:r>
      <w:r w:rsidRPr="00AD70DA">
        <w:rPr>
          <w:b/>
          <w:bCs/>
        </w:rPr>
        <w:t xml:space="preserve">, </w:t>
      </w:r>
      <w:r w:rsidRPr="00AD70DA">
        <w:rPr>
          <w:rFonts w:cs="Arial"/>
        </w:rPr>
        <w:t>St Mary's Hospital,</w:t>
      </w:r>
      <w:r w:rsidRPr="00AD70DA">
        <w:t xml:space="preserve"> </w:t>
      </w:r>
      <w:proofErr w:type="spellStart"/>
      <w:r w:rsidRPr="00AD70DA">
        <w:rPr>
          <w:rFonts w:cs="Arial"/>
        </w:rPr>
        <w:t>Parkhurst</w:t>
      </w:r>
      <w:proofErr w:type="spellEnd"/>
      <w:r w:rsidRPr="00AD70DA">
        <w:rPr>
          <w:rFonts w:cs="Arial"/>
        </w:rPr>
        <w:t xml:space="preserve"> Road</w:t>
      </w:r>
      <w:r w:rsidRPr="00AD70DA">
        <w:t xml:space="preserve">, </w:t>
      </w:r>
      <w:r w:rsidRPr="00AD70DA">
        <w:rPr>
          <w:rFonts w:cs="Arial"/>
        </w:rPr>
        <w:t>Newport</w:t>
      </w:r>
      <w:r w:rsidRPr="00AD70DA">
        <w:t xml:space="preserve">, </w:t>
      </w:r>
      <w:r w:rsidRPr="00AD70DA">
        <w:rPr>
          <w:rFonts w:cs="Arial"/>
        </w:rPr>
        <w:t>Isle of Wight</w:t>
      </w:r>
      <w:r w:rsidRPr="00AD70DA">
        <w:t xml:space="preserve">, </w:t>
      </w:r>
      <w:r w:rsidRPr="00AD70DA">
        <w:rPr>
          <w:rFonts w:cs="Arial"/>
        </w:rPr>
        <w:t>PO30 5TG</w:t>
      </w:r>
      <w:r w:rsidRPr="00AD70DA">
        <w:t xml:space="preserve"> </w:t>
      </w:r>
      <w:r w:rsidRPr="00CB3903">
        <w:rPr>
          <w:color w:val="1F497D"/>
        </w:rPr>
        <w:br/>
      </w:r>
      <w:r w:rsidRPr="00AD70DA">
        <w:rPr>
          <w:vertAlign w:val="superscript"/>
        </w:rPr>
        <w:t xml:space="preserve">b </w:t>
      </w:r>
      <w:r w:rsidRPr="00CB3903">
        <w:t>Skin Health and Continence Technology Research Group, Clinical Academic Facility, Faculty of Health Science</w:t>
      </w:r>
      <w:r>
        <w:t>s, University of Southampton, SO</w:t>
      </w:r>
      <w:r w:rsidRPr="00CB3903">
        <w:t>16 6WD</w:t>
      </w:r>
    </w:p>
    <w:p w14:paraId="7D0ADCD9" w14:textId="77777777" w:rsidR="00B5157D" w:rsidRPr="00967B99" w:rsidRDefault="00B5157D" w:rsidP="00B5157D">
      <w:pPr>
        <w:spacing w:line="360" w:lineRule="auto"/>
      </w:pPr>
      <w:proofErr w:type="gramStart"/>
      <w:r w:rsidRPr="002E792E">
        <w:rPr>
          <w:vertAlign w:val="superscript"/>
        </w:rPr>
        <w:t>c</w:t>
      </w:r>
      <w:proofErr w:type="gramEnd"/>
      <w:r>
        <w:t xml:space="preserve"> NIHR CLAHRC Wessex, University of Southampton, SO17 1BJ</w:t>
      </w:r>
    </w:p>
    <w:p w14:paraId="24C770BD" w14:textId="77777777" w:rsidR="00B5157D" w:rsidRDefault="00B5157D" w:rsidP="00B5157D">
      <w:r w:rsidRPr="00967B99">
        <w:rPr>
          <w:b/>
          <w:bCs/>
          <w:i/>
          <w:iCs/>
        </w:rPr>
        <w:t xml:space="preserve">Correspondence address: </w:t>
      </w:r>
      <w:r>
        <w:t>Dr Peter Worsley</w:t>
      </w:r>
    </w:p>
    <w:p w14:paraId="123CB889" w14:textId="77777777" w:rsidR="00B5157D" w:rsidRDefault="00B5157D" w:rsidP="00B5157D">
      <w:r>
        <w:rPr>
          <w:color w:val="000000"/>
        </w:rPr>
        <w:t>Faculty of Health Sciences Level A,</w:t>
      </w:r>
    </w:p>
    <w:p w14:paraId="3E802A40" w14:textId="77777777" w:rsidR="00B5157D" w:rsidRPr="00AD70DA" w:rsidRDefault="00B5157D" w:rsidP="00B5157D">
      <w:r>
        <w:rPr>
          <w:color w:val="000000"/>
        </w:rPr>
        <w:t>(MP11) South Academic Block,</w:t>
      </w:r>
    </w:p>
    <w:p w14:paraId="55E1A1DB" w14:textId="77777777" w:rsidR="00B5157D" w:rsidRDefault="00B5157D" w:rsidP="00B5157D">
      <w:pPr>
        <w:rPr>
          <w:color w:val="212121"/>
        </w:rPr>
      </w:pPr>
      <w:r>
        <w:rPr>
          <w:color w:val="000000"/>
        </w:rPr>
        <w:t>Southampton General Hospital</w:t>
      </w:r>
    </w:p>
    <w:p w14:paraId="4C0B28C6" w14:textId="77777777" w:rsidR="00B5157D" w:rsidRDefault="00B5157D" w:rsidP="00B5157D">
      <w:pPr>
        <w:rPr>
          <w:color w:val="212121"/>
        </w:rPr>
      </w:pPr>
      <w:proofErr w:type="spellStart"/>
      <w:r>
        <w:rPr>
          <w:color w:val="000000"/>
        </w:rPr>
        <w:t>Tremona</w:t>
      </w:r>
      <w:proofErr w:type="spellEnd"/>
      <w:r>
        <w:rPr>
          <w:color w:val="000000"/>
        </w:rPr>
        <w:t xml:space="preserve"> Road</w:t>
      </w:r>
    </w:p>
    <w:p w14:paraId="63280214" w14:textId="77777777" w:rsidR="00B5157D" w:rsidRDefault="00B5157D" w:rsidP="00B5157D">
      <w:pPr>
        <w:rPr>
          <w:color w:val="000000"/>
        </w:rPr>
      </w:pPr>
      <w:r>
        <w:rPr>
          <w:color w:val="000000"/>
        </w:rPr>
        <w:t>SO16 6YD</w:t>
      </w:r>
    </w:p>
    <w:p w14:paraId="10E4A46B" w14:textId="77777777" w:rsidR="00B5157D" w:rsidRDefault="00B5157D" w:rsidP="00B5157D">
      <w:pPr>
        <w:rPr>
          <w:color w:val="000000"/>
        </w:rPr>
      </w:pPr>
    </w:p>
    <w:p w14:paraId="2E84469C" w14:textId="77777777" w:rsidR="00B5157D" w:rsidRPr="009E61B5" w:rsidRDefault="00B5157D" w:rsidP="00B5157D">
      <w:pPr>
        <w:spacing w:line="480" w:lineRule="auto"/>
      </w:pPr>
      <w:r w:rsidRPr="00626A18">
        <w:rPr>
          <w:i/>
          <w:iCs/>
          <w:lang w:val="en"/>
        </w:rPr>
        <w:t>Acknowledgments:</w:t>
      </w:r>
      <w:r w:rsidRPr="00626A18">
        <w:rPr>
          <w:lang w:val="en"/>
        </w:rPr>
        <w:t xml:space="preserve"> </w:t>
      </w:r>
      <w:r>
        <w:t xml:space="preserve">Support was gratefully received from local NHS Trust Research and Development department. </w:t>
      </w:r>
    </w:p>
    <w:p w14:paraId="239588D1" w14:textId="77777777" w:rsidR="00B5157D" w:rsidRDefault="00B5157D" w:rsidP="00B5157D">
      <w:pPr>
        <w:spacing w:line="480" w:lineRule="auto"/>
        <w:rPr>
          <w:lang w:val="en"/>
        </w:rPr>
      </w:pPr>
      <w:r w:rsidRPr="00626A18">
        <w:rPr>
          <w:i/>
          <w:iCs/>
          <w:lang w:val="en"/>
        </w:rPr>
        <w:t>Author contribution:</w:t>
      </w:r>
      <w:r w:rsidRPr="00626A18">
        <w:rPr>
          <w:lang w:val="en"/>
        </w:rPr>
        <w:t xml:space="preserve"> </w:t>
      </w:r>
      <w:r>
        <w:rPr>
          <w:lang w:val="en"/>
        </w:rPr>
        <w:t xml:space="preserve">Worsley, Bader and Schoonhoven contributed to the </w:t>
      </w:r>
      <w:r w:rsidRPr="00626A18">
        <w:rPr>
          <w:lang w:val="en"/>
        </w:rPr>
        <w:t>study conception/design; drafting of manuscript; supe</w:t>
      </w:r>
      <w:r>
        <w:rPr>
          <w:lang w:val="en"/>
        </w:rPr>
        <w:t xml:space="preserve">rvision; statistical expertise. Smith was responsible for </w:t>
      </w:r>
      <w:r w:rsidRPr="00626A18">
        <w:rPr>
          <w:lang w:val="en"/>
        </w:rPr>
        <w:t>data collection/analysis</w:t>
      </w:r>
      <w:r>
        <w:rPr>
          <w:lang w:val="en"/>
        </w:rPr>
        <w:t xml:space="preserve"> and </w:t>
      </w:r>
      <w:r w:rsidRPr="00626A18">
        <w:rPr>
          <w:lang w:val="en"/>
        </w:rPr>
        <w:t>drafting of manuscript</w:t>
      </w:r>
      <w:r>
        <w:rPr>
          <w:lang w:val="en"/>
        </w:rPr>
        <w:t>.</w:t>
      </w:r>
    </w:p>
    <w:p w14:paraId="3AAE91F8" w14:textId="77777777" w:rsidR="00B5157D" w:rsidRPr="00626A18" w:rsidRDefault="00B5157D" w:rsidP="00B5157D">
      <w:pPr>
        <w:spacing w:line="480" w:lineRule="auto"/>
        <w:rPr>
          <w:lang w:val="en"/>
        </w:rPr>
      </w:pPr>
      <w:r w:rsidRPr="00626A18">
        <w:rPr>
          <w:i/>
          <w:iCs/>
          <w:lang w:val="en"/>
        </w:rPr>
        <w:t>Funding:</w:t>
      </w:r>
      <w:r w:rsidRPr="00626A18">
        <w:rPr>
          <w:lang w:val="en"/>
        </w:rPr>
        <w:t xml:space="preserve"> </w:t>
      </w:r>
      <w:r>
        <w:rPr>
          <w:lang w:val="en"/>
        </w:rPr>
        <w:t>No funding was obtained for this study</w:t>
      </w:r>
      <w:r w:rsidRPr="00626A18">
        <w:rPr>
          <w:lang w:val="en"/>
        </w:rPr>
        <w:br/>
      </w:r>
    </w:p>
    <w:p w14:paraId="7921F4A3" w14:textId="77777777" w:rsidR="00CB17E5" w:rsidRPr="004C6ED7" w:rsidRDefault="00CB17E5" w:rsidP="00CB17E5">
      <w:pPr>
        <w:spacing w:line="480" w:lineRule="auto"/>
      </w:pPr>
      <w:bookmarkStart w:id="0" w:name="_GoBack"/>
      <w:bookmarkEnd w:id="0"/>
      <w:r w:rsidRPr="004C6ED7">
        <w:lastRenderedPageBreak/>
        <w:t xml:space="preserve">Aim: The study aimed to characterise demographic and clinical practice factors associated with </w:t>
      </w:r>
      <w:proofErr w:type="gramStart"/>
      <w:r w:rsidRPr="004C6ED7">
        <w:t>community</w:t>
      </w:r>
      <w:proofErr w:type="gramEnd"/>
      <w:r w:rsidRPr="004C6ED7">
        <w:t xml:space="preserve"> (CAPU) and hospital acquired pressure ulcers (HAPU).</w:t>
      </w:r>
    </w:p>
    <w:p w14:paraId="26B301FC" w14:textId="77777777" w:rsidR="00CB17E5" w:rsidRPr="004C6ED7" w:rsidRDefault="00CB17E5" w:rsidP="00CB17E5">
      <w:pPr>
        <w:spacing w:line="480" w:lineRule="auto"/>
      </w:pPr>
      <w:r w:rsidRPr="004C6ED7">
        <w:t>Design: A comparative retrospective evaluation of pressure ulcer data, collected from a district general hospital.</w:t>
      </w:r>
    </w:p>
    <w:p w14:paraId="3C5FE242" w14:textId="0359A84F" w:rsidR="00CB17E5" w:rsidRPr="004C6ED7" w:rsidRDefault="00CB17E5" w:rsidP="00FF15B8">
      <w:pPr>
        <w:spacing w:line="480" w:lineRule="auto"/>
      </w:pPr>
      <w:r w:rsidRPr="004C6ED7">
        <w:t>Methods: Demographic and pressure ulcer related data was collected from patients at risk of developing a pressure ulcer, collated by a single observer using a standardised tool. Comparisons were made within and between patient groups (no PU, CAPU and HAPU).</w:t>
      </w:r>
    </w:p>
    <w:p w14:paraId="4577E348" w14:textId="77777777" w:rsidR="00CB17E5" w:rsidRPr="004C6ED7" w:rsidRDefault="00CB17E5" w:rsidP="00CB17E5">
      <w:pPr>
        <w:spacing w:line="480" w:lineRule="auto"/>
      </w:pPr>
      <w:r w:rsidRPr="004C6ED7">
        <w:t>Results: CAPU and HAPU patient groups were significantly (p&lt;0.001) older, had extended lengths of hospital stay and were less likely to be provided quickly with a pressure relieving support surface than those with no PU. HAPU patients had a longer length of stay and a higher proportion of heel PUs compared to CAPU.</w:t>
      </w:r>
    </w:p>
    <w:p w14:paraId="065E3E58" w14:textId="28699427" w:rsidR="00A97172" w:rsidRPr="004C6ED7" w:rsidRDefault="00D037A6" w:rsidP="00100776">
      <w:r w:rsidRPr="004C6ED7">
        <w:rPr>
          <w:b/>
          <w:bCs/>
          <w:i/>
          <w:iCs/>
        </w:rPr>
        <w:t>Key words:</w:t>
      </w:r>
      <w:r w:rsidRPr="004C6ED7">
        <w:t xml:space="preserve"> pressure ulcer, hospital acquired, community acquired, prevalence</w:t>
      </w:r>
    </w:p>
    <w:p w14:paraId="7E2394F0" w14:textId="77777777" w:rsidR="00C422EC" w:rsidRDefault="00C422EC">
      <w:pPr>
        <w:rPr>
          <w:rFonts w:cs="Arial"/>
          <w:b/>
          <w:bCs/>
        </w:rPr>
      </w:pPr>
      <w:r>
        <w:rPr>
          <w:rFonts w:cs="Arial"/>
          <w:b/>
          <w:bCs/>
        </w:rPr>
        <w:br w:type="page"/>
      </w:r>
    </w:p>
    <w:p w14:paraId="1E26B825" w14:textId="0C88FB76" w:rsidR="00BE10BB" w:rsidRPr="004C6ED7" w:rsidRDefault="00BE10BB" w:rsidP="004B1E36">
      <w:pPr>
        <w:pStyle w:val="ListParagraph"/>
        <w:numPr>
          <w:ilvl w:val="0"/>
          <w:numId w:val="5"/>
        </w:numPr>
        <w:spacing w:line="480" w:lineRule="auto"/>
        <w:rPr>
          <w:rFonts w:cs="Arial"/>
          <w:b/>
          <w:bCs/>
        </w:rPr>
      </w:pPr>
      <w:r w:rsidRPr="004C6ED7">
        <w:rPr>
          <w:rFonts w:cs="Arial"/>
          <w:b/>
          <w:bCs/>
        </w:rPr>
        <w:lastRenderedPageBreak/>
        <w:t>Introduction</w:t>
      </w:r>
    </w:p>
    <w:p w14:paraId="7981A97A" w14:textId="49D1C1A7" w:rsidR="00F74F58" w:rsidRPr="004C6ED7" w:rsidRDefault="00E9675D" w:rsidP="00CE32E2">
      <w:pPr>
        <w:spacing w:line="480" w:lineRule="auto"/>
      </w:pPr>
      <w:r w:rsidRPr="004C6ED7">
        <w:t xml:space="preserve">There is a growing aging </w:t>
      </w:r>
      <w:r w:rsidR="00EA3D3C" w:rsidRPr="004C6ED7">
        <w:t>population</w:t>
      </w:r>
      <w:r w:rsidRPr="004C6ED7">
        <w:t xml:space="preserve"> living with complex </w:t>
      </w:r>
      <w:proofErr w:type="spellStart"/>
      <w:r w:rsidRPr="004C6ED7">
        <w:t>multimorbidities</w:t>
      </w:r>
      <w:proofErr w:type="spellEnd"/>
      <w:r w:rsidRPr="004C6ED7">
        <w:t xml:space="preserve"> </w:t>
      </w:r>
      <w:r w:rsidRPr="004C6ED7">
        <w:fldChar w:fldCharType="begin"/>
      </w:r>
      <w:r w:rsidR="00CE32E2">
        <w:instrText xml:space="preserve"> ADDIN EN.CITE &lt;EndNote&gt;&lt;Cite&gt;&lt;Author&gt;Smith&lt;/Author&gt;&lt;Year&gt;2012&lt;/Year&gt;&lt;RecNum&gt;4480&lt;/RecNum&gt;&lt;DisplayText&gt;(Smith et al., 2012)&lt;/DisplayText&gt;&lt;record&gt;&lt;rec-number&gt;4480&lt;/rec-number&gt;&lt;foreign-keys&gt;&lt;key app="EN" db-id="ervprze5a95tvoe59pjpvw5gezttve9wxvfs" timestamp="1433762411"&gt;4480&lt;/key&gt;&lt;/foreign-keys&gt;&lt;ref-type name="Book"&gt;6&lt;/ref-type&gt;&lt;contributors&gt;&lt;authors&gt;&lt;author&gt;Smith, Susan M&lt;/author&gt;&lt;author&gt;Soubhi, Hassan&lt;/author&gt;&lt;author&gt;Fortin, Martin&lt;/author&gt;&lt;author&gt;Hudon, Catherine&lt;/author&gt;&lt;author&gt;O’Dowd, Tom&lt;/author&gt;&lt;/authors&gt;&lt;/contributors&gt;&lt;titles&gt;&lt;title&gt;Managing patients with multimorbidity: systematic review of interventions in primary care and community settings&lt;/title&gt;&lt;/titles&gt;&lt;volume&gt;345&lt;/volume&gt;&lt;dates&gt;&lt;year&gt;2012&lt;/year&gt;&lt;pub-dates&gt;&lt;date&gt;2012-09-03 11:34:34&lt;/date&gt;&lt;/pub-dates&gt;&lt;/dates&gt;&lt;work-type&gt;Journal Article&lt;/work-type&gt;&lt;urls&gt;&lt;related-urls&gt;&lt;url&gt;http://www.bmj.com/bmj/345/bmj.e5205.full.pdf&lt;/url&gt;&lt;/related-urls&gt;&lt;/urls&gt;&lt;electronic-resource-num&gt;10.1136/bmj.e5205&lt;/electronic-resource-num&gt;&lt;/record&gt;&lt;/Cite&gt;&lt;/EndNote&gt;</w:instrText>
      </w:r>
      <w:r w:rsidRPr="004C6ED7">
        <w:fldChar w:fldCharType="separate"/>
      </w:r>
      <w:r w:rsidR="00CE32E2">
        <w:rPr>
          <w:noProof/>
        </w:rPr>
        <w:t>(</w:t>
      </w:r>
      <w:hyperlink w:anchor="_ENREF_22" w:tooltip="Smith, 2012 #4480" w:history="1">
        <w:r w:rsidR="00CE32E2">
          <w:rPr>
            <w:noProof/>
          </w:rPr>
          <w:t>Smith et al., 2012</w:t>
        </w:r>
      </w:hyperlink>
      <w:r w:rsidR="00CE32E2">
        <w:rPr>
          <w:noProof/>
        </w:rPr>
        <w:t>)</w:t>
      </w:r>
      <w:r w:rsidRPr="004C6ED7">
        <w:fldChar w:fldCharType="end"/>
      </w:r>
      <w:r w:rsidRPr="004C6ED7">
        <w:t>. As a consequence these individua</w:t>
      </w:r>
      <w:r w:rsidR="00EA3D3C" w:rsidRPr="004C6ED7">
        <w:t>ls often have impaired mobility and are supported for</w:t>
      </w:r>
      <w:r w:rsidRPr="004C6ED7">
        <w:t xml:space="preserve"> prolonged periods in a bed or chair </w:t>
      </w:r>
      <w:r w:rsidRPr="004C6ED7">
        <w:fldChar w:fldCharType="begin"/>
      </w:r>
      <w:r w:rsidR="00CE32E2">
        <w:instrText xml:space="preserve"> ADDIN EN.CITE &lt;EndNote&gt;&lt;Cite&gt;&lt;Author&gt;Brown&lt;/Author&gt;&lt;Year&gt;2013&lt;/Year&gt;&lt;RecNum&gt;4481&lt;/RecNum&gt;&lt;DisplayText&gt;(Brown and Flood, 2013)&lt;/DisplayText&gt;&lt;record&gt;&lt;rec-number&gt;4481&lt;/rec-number&gt;&lt;foreign-keys&gt;&lt;key app="EN" db-id="ervprze5a95tvoe59pjpvw5gezttve9wxvfs" timestamp="1433763493"&gt;4481&lt;/key&gt;&lt;/foreign-keys&gt;&lt;ref-type name="Journal Article"&gt;17&lt;/ref-type&gt;&lt;contributors&gt;&lt;authors&gt;&lt;author&gt;Brown, C. J.&lt;/author&gt;&lt;author&gt;Flood, K. L.&lt;/author&gt;&lt;/authors&gt;&lt;/contributors&gt;&lt;titles&gt;&lt;title&gt;Mobility limitation in the older patient: A clinical review&lt;/title&gt;&lt;secondary-title&gt;JAMA&lt;/secondary-title&gt;&lt;/titles&gt;&lt;periodical&gt;&lt;full-title&gt;JAMA&lt;/full-title&gt;&lt;abbr-1&gt;JAMA&lt;/abbr-1&gt;&lt;abbr-2&gt;JAMA&lt;/abbr-2&gt;&lt;/periodical&gt;&lt;pages&gt;1168-1177&lt;/pages&gt;&lt;volume&gt;310&lt;/volume&gt;&lt;number&gt;11&lt;/number&gt;&lt;dates&gt;&lt;year&gt;2013&lt;/year&gt;&lt;/dates&gt;&lt;isbn&gt;0098-7484&lt;/isbn&gt;&lt;urls&gt;&lt;related-urls&gt;&lt;url&gt;http://dx.doi.org/10.1001/jama.2013.276566&lt;/url&gt;&lt;/related-urls&gt;&lt;/urls&gt;&lt;electronic-resource-num&gt;10.1001/jama.2013.276566&lt;/electronic-resource-num&gt;&lt;/record&gt;&lt;/Cite&gt;&lt;/EndNote&gt;</w:instrText>
      </w:r>
      <w:r w:rsidRPr="004C6ED7">
        <w:fldChar w:fldCharType="separate"/>
      </w:r>
      <w:r w:rsidR="00CE32E2">
        <w:rPr>
          <w:noProof/>
        </w:rPr>
        <w:t>(</w:t>
      </w:r>
      <w:hyperlink w:anchor="_ENREF_3" w:tooltip="Brown, 2013 #4481" w:history="1">
        <w:r w:rsidR="00CE32E2">
          <w:rPr>
            <w:noProof/>
          </w:rPr>
          <w:t>Brown and Flood, 2013</w:t>
        </w:r>
      </w:hyperlink>
      <w:r w:rsidR="00CE32E2">
        <w:rPr>
          <w:noProof/>
        </w:rPr>
        <w:t>)</w:t>
      </w:r>
      <w:r w:rsidRPr="004C6ED7">
        <w:fldChar w:fldCharType="end"/>
      </w:r>
      <w:r w:rsidRPr="004C6ED7">
        <w:t xml:space="preserve">.  </w:t>
      </w:r>
      <w:r w:rsidR="00560E9F" w:rsidRPr="004C6ED7">
        <w:rPr>
          <w:color w:val="000000"/>
        </w:rPr>
        <w:t>In these positions, they are</w:t>
      </w:r>
      <w:r w:rsidR="00EA0F5B" w:rsidRPr="004C6ED7">
        <w:rPr>
          <w:color w:val="000000"/>
        </w:rPr>
        <w:t xml:space="preserve"> exposed to loads which</w:t>
      </w:r>
      <w:r w:rsidR="009F3E08" w:rsidRPr="004C6ED7">
        <w:rPr>
          <w:color w:val="000000"/>
        </w:rPr>
        <w:t xml:space="preserve"> can lead to localised compromise of soft tissues, resulting in their breakdown and the development of chronic wounds, </w:t>
      </w:r>
      <w:r w:rsidR="00E30ED5" w:rsidRPr="004C6ED7">
        <w:rPr>
          <w:color w:val="000000"/>
        </w:rPr>
        <w:t xml:space="preserve">typically </w:t>
      </w:r>
      <w:r w:rsidR="009F3E08" w:rsidRPr="004C6ED7">
        <w:rPr>
          <w:color w:val="000000"/>
        </w:rPr>
        <w:t>termed pressure ulcers (PUs)</w:t>
      </w:r>
      <w:r w:rsidR="00236F77" w:rsidRPr="004C6ED7">
        <w:rPr>
          <w:color w:val="000000"/>
        </w:rPr>
        <w:t xml:space="preserve"> </w:t>
      </w:r>
      <w:r w:rsidR="00830630">
        <w:rPr>
          <w:color w:val="000000"/>
        </w:rPr>
        <w:fldChar w:fldCharType="begin"/>
      </w:r>
      <w:r w:rsidR="00830630">
        <w:rPr>
          <w:color w:val="000000"/>
        </w:rPr>
        <w:instrText xml:space="preserve"> ADDIN EN.CITE &lt;EndNote&gt;&lt;Cite&gt;&lt;Author&gt;European Pressure Ulcer Advisory Panel&lt;/Author&gt;&lt;Year&gt;2014&lt;/Year&gt;&lt;RecNum&gt;1864&lt;/RecNum&gt;&lt;DisplayText&gt;(European Pressure Ulcer Advisory Panel, 2014)&lt;/DisplayText&gt;&lt;record&gt;&lt;rec-number&gt;1864&lt;/rec-number&gt;&lt;foreign-keys&gt;&lt;key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Panel,&lt;/author&gt;&lt;/authors&gt;&lt;/contributors&gt;&lt;titles&gt;&lt;title&gt;Pressure Ulcers Treatment: Quick Reference Guide&lt;/title&gt;&lt;/titles&gt;&lt;dates&gt;&lt;year&gt;2014&lt;/year&gt;&lt;/dates&gt;&lt;publisher&gt;EPUAP-NPUAP&lt;/publisher&gt;&lt;urls&gt;&lt;/urls&gt;&lt;/record&gt;&lt;/Cite&gt;&lt;/EndNote&gt;</w:instrText>
      </w:r>
      <w:r w:rsidR="00830630">
        <w:rPr>
          <w:color w:val="000000"/>
        </w:rPr>
        <w:fldChar w:fldCharType="separate"/>
      </w:r>
      <w:r w:rsidR="00830630">
        <w:rPr>
          <w:noProof/>
          <w:color w:val="000000"/>
        </w:rPr>
        <w:t>(</w:t>
      </w:r>
      <w:hyperlink w:anchor="_ENREF_8" w:tooltip="European Pressure Ulcer Advisory Panel, 2014 #1864" w:history="1">
        <w:r w:rsidR="00CE32E2">
          <w:rPr>
            <w:noProof/>
            <w:color w:val="000000"/>
          </w:rPr>
          <w:t>European Pressure Ulcer Advisory Panel, 2014</w:t>
        </w:r>
      </w:hyperlink>
      <w:r w:rsidR="00830630">
        <w:rPr>
          <w:noProof/>
          <w:color w:val="000000"/>
        </w:rPr>
        <w:t>)</w:t>
      </w:r>
      <w:r w:rsidR="00830630">
        <w:rPr>
          <w:color w:val="000000"/>
        </w:rPr>
        <w:fldChar w:fldCharType="end"/>
      </w:r>
      <w:r w:rsidR="009F3E08" w:rsidRPr="004C6ED7">
        <w:rPr>
          <w:color w:val="000000"/>
        </w:rPr>
        <w:t xml:space="preserve">. </w:t>
      </w:r>
      <w:r w:rsidR="009F3E08" w:rsidRPr="004C6ED7">
        <w:t>PUs negatively impact on patients</w:t>
      </w:r>
      <w:r w:rsidR="00734532" w:rsidRPr="004C6ED7">
        <w:t>’</w:t>
      </w:r>
      <w:r w:rsidR="009F3E08" w:rsidRPr="004C6ED7">
        <w:t xml:space="preserve"> rehabilitation and quality of life </w:t>
      </w:r>
      <w:r w:rsidR="009F3E08" w:rsidRPr="004C6ED7">
        <w:fldChar w:fldCharType="begin"/>
      </w:r>
      <w:r w:rsidR="00CE32E2">
        <w:instrText xml:space="preserve"> ADDIN EN.CITE &lt;EndNote&gt;&lt;Cite&gt;&lt;Author&gt;Spilsbury&lt;/Author&gt;&lt;Year&gt;2007&lt;/Year&gt;&lt;RecNum&gt;1881&lt;/RecNum&gt;&lt;DisplayText&gt;(Spilsbury et al., 2007)&lt;/DisplayText&gt;&lt;record&gt;&lt;rec-number&gt;1881&lt;/rec-number&gt;&lt;foreign-keys&gt;&lt;key app="EN" db-id="ervprze5a95tvoe59pjpvw5gezttve9wxvfs" timestamp="1333364958"&gt;1881&lt;/key&gt;&lt;/foreign-keys&gt;&lt;ref-type name="Journal Article"&gt;17&lt;/ref-type&gt;&lt;contributors&gt;&lt;authors&gt;&lt;author&gt;Spilsbury, K.&lt;/author&gt;&lt;author&gt;Nelson, A. &lt;/author&gt;&lt;author&gt;Cullum, N.&lt;/author&gt;&lt;author&gt;Nixon, J.&lt;/author&gt;&lt;author&gt;Mason, S.&lt;/author&gt;&lt;/authors&gt;&lt;/contributors&gt;&lt;titles&gt;&lt;title&gt;Pressure ulcers and their treatment and effects on quality of life: hospital inpatient perspectives&lt;/title&gt;&lt;secondary-title&gt;Journal of Advanced Nursing&lt;/secondary-title&gt;&lt;/titles&gt;&lt;periodical&gt;&lt;full-title&gt;Journal of Advanced Nursing&lt;/full-title&gt;&lt;abbr-1&gt;J. Adv. Nurs.&lt;/abbr-1&gt;&lt;abbr-2&gt;J Adv Nurs&lt;/abbr-2&gt;&lt;/periodical&gt;&lt;pages&gt;494-504&lt;/pages&gt;&lt;volume&gt;57&lt;/volume&gt;&lt;number&gt;5&lt;/number&gt;&lt;dates&gt;&lt;year&gt;2007&lt;/year&gt;&lt;/dates&gt;&lt;urls&gt;&lt;/urls&gt;&lt;/record&gt;&lt;/Cite&gt;&lt;/EndNote&gt;</w:instrText>
      </w:r>
      <w:r w:rsidR="009F3E08" w:rsidRPr="004C6ED7">
        <w:fldChar w:fldCharType="separate"/>
      </w:r>
      <w:r w:rsidR="00CE32E2">
        <w:rPr>
          <w:noProof/>
        </w:rPr>
        <w:t>(</w:t>
      </w:r>
      <w:hyperlink w:anchor="_ENREF_23" w:tooltip="Spilsbury, 2007 #1881" w:history="1">
        <w:r w:rsidR="00CE32E2">
          <w:rPr>
            <w:noProof/>
          </w:rPr>
          <w:t>Spilsbury et al., 2007</w:t>
        </w:r>
      </w:hyperlink>
      <w:r w:rsidR="00CE32E2">
        <w:rPr>
          <w:noProof/>
        </w:rPr>
        <w:t>)</w:t>
      </w:r>
      <w:r w:rsidR="009F3E08" w:rsidRPr="004C6ED7">
        <w:fldChar w:fldCharType="end"/>
      </w:r>
      <w:r w:rsidR="009F3E08" w:rsidRPr="004C6ED7">
        <w:t>. Despite the increased recent attention within the health services, their incidence rate remains unacceptably high</w:t>
      </w:r>
      <w:r w:rsidR="00236F77" w:rsidRPr="004C6ED7">
        <w:t xml:space="preserve"> </w:t>
      </w:r>
      <w:r w:rsidR="00236F77" w:rsidRPr="004C6ED7">
        <w:fldChar w:fldCharType="begin"/>
      </w:r>
      <w:r w:rsidR="00CE32E2">
        <w:instrText xml:space="preserve"> ADDIN EN.CITE &lt;EndNote&gt;&lt;Cite&gt;&lt;Author&gt;Gallagher&lt;/Author&gt;&lt;Year&gt;2008&lt;/Year&gt;&lt;RecNum&gt;4419&lt;/RecNum&gt;&lt;DisplayText&gt;(Gallagher et al., 2008)&lt;/DisplayText&gt;&lt;record&gt;&lt;rec-number&gt;4419&lt;/rec-number&gt;&lt;foreign-keys&gt;&lt;key app="EN" db-id="ervprze5a95tvoe59pjpvw5gezttve9wxvfs" timestamp="1414071757"&gt;4419&lt;/key&gt;&lt;/foreign-keys&gt;&lt;ref-type name="Journal Article"&gt;17&lt;/ref-type&gt;&lt;contributors&gt;&lt;authors&gt;&lt;author&gt;Gallagher, Paul&lt;/author&gt;&lt;author&gt;Barry, Pat&lt;/author&gt;&lt;author&gt;Hartigan, Irene&lt;/author&gt;&lt;author&gt;McCluskey, Pat&lt;/author&gt;&lt;author&gt;O&amp;apos;Connor, Kieran&lt;/author&gt;&lt;author&gt;O&amp;apos;Connor, Mike&lt;/author&gt;&lt;/authors&gt;&lt;/contributors&gt;&lt;titles&gt;&lt;title&gt;Prevalence of pressure ulcers in three university teaching hospitals in Ireland&lt;/title&gt;&lt;secondary-title&gt;Journal of Tissue Viability&lt;/secondary-title&gt;&lt;/titles&gt;&lt;periodical&gt;&lt;full-title&gt;Journal of Tissue Viability&lt;/full-title&gt;&lt;/periodical&gt;&lt;pages&gt;103-109&lt;/pages&gt;&lt;volume&gt;17&lt;/volume&gt;&lt;number&gt;4&lt;/number&gt;&lt;keywords&gt;&lt;keyword&gt;Pressure ulcer&lt;/keyword&gt;&lt;keyword&gt;Prevalence&lt;/keyword&gt;&lt;keyword&gt;Prevention&lt;/keyword&gt;&lt;keyword&gt;Teaching hospital&lt;/keyword&gt;&lt;/keywords&gt;&lt;dates&gt;&lt;year&gt;2008&lt;/year&gt;&lt;pub-dates&gt;&lt;date&gt;11//&lt;/date&gt;&lt;/pub-dates&gt;&lt;/dates&gt;&lt;isbn&gt;0965-206X&lt;/isbn&gt;&lt;urls&gt;&lt;related-urls&gt;&lt;url&gt;http://www.sciencedirect.com/science/article/pii/S0268000908000024&lt;/url&gt;&lt;/related-urls&gt;&lt;/urls&gt;&lt;electronic-resource-num&gt;http://dx.doi.org/10.1016/j.jtv.2007.12.001&lt;/electronic-resource-num&gt;&lt;/record&gt;&lt;/Cite&gt;&lt;/EndNote&gt;</w:instrText>
      </w:r>
      <w:r w:rsidR="00236F77" w:rsidRPr="004C6ED7">
        <w:fldChar w:fldCharType="separate"/>
      </w:r>
      <w:r w:rsidR="00CE32E2">
        <w:rPr>
          <w:noProof/>
        </w:rPr>
        <w:t>(</w:t>
      </w:r>
      <w:hyperlink w:anchor="_ENREF_9" w:tooltip="Gallagher, 2008 #4419" w:history="1">
        <w:r w:rsidR="00CE32E2">
          <w:rPr>
            <w:noProof/>
          </w:rPr>
          <w:t>Gallagher et al., 2008</w:t>
        </w:r>
      </w:hyperlink>
      <w:r w:rsidR="00CE32E2">
        <w:rPr>
          <w:noProof/>
        </w:rPr>
        <w:t>)</w:t>
      </w:r>
      <w:r w:rsidR="00236F77" w:rsidRPr="004C6ED7">
        <w:fldChar w:fldCharType="end"/>
      </w:r>
      <w:r w:rsidR="00560E9F" w:rsidRPr="004C6ED7">
        <w:t>. Indeed,</w:t>
      </w:r>
      <w:r w:rsidR="000D1596" w:rsidRPr="004C6ED7">
        <w:t xml:space="preserve"> it is estimated that </w:t>
      </w:r>
      <w:r w:rsidR="00EA3D3C" w:rsidRPr="004C6ED7">
        <w:t>European healthcare providers each</w:t>
      </w:r>
      <w:r w:rsidR="00490D4F" w:rsidRPr="004C6ED7">
        <w:t xml:space="preserve"> spend</w:t>
      </w:r>
      <w:r w:rsidR="000D1596" w:rsidRPr="004C6ED7">
        <w:t xml:space="preserve"> </w:t>
      </w:r>
      <w:r w:rsidR="00496A97" w:rsidRPr="004C6ED7">
        <w:t xml:space="preserve">between 1 to </w:t>
      </w:r>
      <w:r w:rsidR="000D1596" w:rsidRPr="004C6ED7">
        <w:t>4% (</w:t>
      </w:r>
      <w:r w:rsidR="00496A97" w:rsidRPr="004C6ED7">
        <w:t>€</w:t>
      </w:r>
      <w:r w:rsidR="000D1596" w:rsidRPr="004C6ED7">
        <w:t>1.</w:t>
      </w:r>
      <w:r w:rsidR="00496A97" w:rsidRPr="004C6ED7">
        <w:t>9</w:t>
      </w:r>
      <w:r w:rsidR="000D1596" w:rsidRPr="004C6ED7">
        <w:t>–2.</w:t>
      </w:r>
      <w:r w:rsidR="00496A97" w:rsidRPr="004C6ED7">
        <w:t>9</w:t>
      </w:r>
      <w:r w:rsidR="000D1596" w:rsidRPr="004C6ED7">
        <w:t xml:space="preserve"> billion) of</w:t>
      </w:r>
      <w:r w:rsidR="00490D4F" w:rsidRPr="004C6ED7">
        <w:t xml:space="preserve"> their</w:t>
      </w:r>
      <w:r w:rsidR="000D1596" w:rsidRPr="004C6ED7">
        <w:t xml:space="preserve"> total budget per year on </w:t>
      </w:r>
      <w:r w:rsidR="00851BDA" w:rsidRPr="004C6ED7">
        <w:t>PU</w:t>
      </w:r>
      <w:r w:rsidR="000D1596" w:rsidRPr="004C6ED7">
        <w:t xml:space="preserve"> prevention and treatment </w:t>
      </w:r>
      <w:r w:rsidR="000D1596" w:rsidRPr="004C6ED7">
        <w:fldChar w:fldCharType="begin"/>
      </w:r>
      <w:r w:rsidR="00CE32E2">
        <w:instrText xml:space="preserve"> ADDIN EN.CITE &lt;EndNote&gt;&lt;Cite&gt;&lt;Author&gt;Severens&lt;/Author&gt;&lt;Year&gt;2002&lt;/Year&gt;&lt;RecNum&gt;4447&lt;/RecNum&gt;&lt;DisplayText&gt;(Severens et al., 2002, Dealey et al., 2012)&lt;/DisplayText&gt;&lt;record&gt;&lt;rec-number&gt;4447&lt;/rec-number&gt;&lt;foreign-keys&gt;&lt;key app="EN" db-id="ervprze5a95tvoe59pjpvw5gezttve9wxvfs" timestamp="1422012745"&gt;4447&lt;/key&gt;&lt;/foreign-keys&gt;&lt;ref-type name="Journal Article"&gt;17&lt;/ref-type&gt;&lt;contributors&gt;&lt;authors&gt;&lt;author&gt;Severens, Johan L.&lt;/author&gt;&lt;author&gt;Habraken, Jolanda M.&lt;/author&gt;&lt;author&gt;Duivenvoorden, Sanja&lt;/author&gt;&lt;author&gt;Frederiks, Carla M A.&lt;/author&gt;&lt;/authors&gt;&lt;/contributors&gt;&lt;titles&gt;&lt;title&gt;The Cost of Illness of Pressure Ulcers in the Netherlands&lt;/title&gt;&lt;secondary-title&gt;Advances in Skin &amp;amp; Wound Care&lt;/secondary-title&gt;&lt;/titles&gt;&lt;periodical&gt;&lt;full-title&gt;Advances in Skin &amp;amp; Wound Care&lt;/full-title&gt;&lt;/periodical&gt;&lt;pages&gt;72-77&lt;/pages&gt;&lt;volume&gt;15&lt;/volume&gt;&lt;number&gt;2&lt;/number&gt;&lt;keywords&gt;&lt;keyword&gt;00129334-200203000-00008&lt;/keyword&gt;&lt;/keywords&gt;&lt;dates&gt;&lt;year&gt;2002&lt;/year&gt;&lt;/dates&gt;&lt;isbn&gt;1527-7941&lt;/isbn&gt;&lt;urls&gt;&lt;related-urls&gt;&lt;url&gt;http://journals.lww.com/aswcjournal/Fulltext/2002/03000/The_Cost_of_Illness_of_Pressure_Ulcers_in_the.8.aspx&lt;/url&gt;&lt;/related-urls&gt;&lt;/urls&gt;&lt;/record&gt;&lt;/Cite&gt;&lt;Cite&gt;&lt;Author&gt;Dealey&lt;/Author&gt;&lt;Year&gt;2012&lt;/Year&gt;&lt;RecNum&gt;2070&lt;/RecNum&gt;&lt;record&gt;&lt;rec-number&gt;2070&lt;/rec-number&gt;&lt;foreign-keys&gt;&lt;key app="EN" db-id="ervprze5a95tvoe59pjpvw5gezttve9wxvfs" timestamp="1350460885"&gt;2070&lt;/key&gt;&lt;/foreign-keys&gt;&lt;ref-type name="Journal Article"&gt;17&lt;/ref-type&gt;&lt;contributors&gt;&lt;authors&gt;&lt;author&gt;Dealey, C.&lt;/author&gt;&lt;author&gt;Posnett, J.&lt;/author&gt;&lt;author&gt;Walker, A.&lt;/author&gt;&lt;/authors&gt;&lt;/contributors&gt;&lt;titles&gt;&lt;title&gt;The Cost of Pressure Ulcers in the United Kingdom&lt;/title&gt;&lt;secondary-title&gt;Journal of Wound Care&lt;/secondary-title&gt;&lt;/titles&gt;&lt;periodical&gt;&lt;full-title&gt;Journal of Wound Care&lt;/full-title&gt;&lt;abbr-1&gt;J. Wound Care&lt;/abbr-1&gt;&lt;abbr-2&gt;J Wound Care&lt;/abbr-2&gt;&lt;/periodical&gt;&lt;pages&gt;261-266&lt;/pages&gt;&lt;volume&gt;21&lt;/volume&gt;&lt;number&gt;6&lt;/number&gt;&lt;dates&gt;&lt;year&gt;2012&lt;/year&gt;&lt;/dates&gt;&lt;urls&gt;&lt;/urls&gt;&lt;/record&gt;&lt;/Cite&gt;&lt;/EndNote&gt;</w:instrText>
      </w:r>
      <w:r w:rsidR="000D1596" w:rsidRPr="004C6ED7">
        <w:fldChar w:fldCharType="separate"/>
      </w:r>
      <w:r w:rsidR="00CE32E2">
        <w:rPr>
          <w:noProof/>
        </w:rPr>
        <w:t>(</w:t>
      </w:r>
      <w:hyperlink w:anchor="_ENREF_21" w:tooltip="Severens, 2002 #4447" w:history="1">
        <w:r w:rsidR="00CE32E2">
          <w:rPr>
            <w:noProof/>
          </w:rPr>
          <w:t>Severens et al., 2002</w:t>
        </w:r>
      </w:hyperlink>
      <w:r w:rsidR="00CE32E2">
        <w:rPr>
          <w:noProof/>
        </w:rPr>
        <w:t xml:space="preserve">, </w:t>
      </w:r>
      <w:hyperlink w:anchor="_ENREF_5" w:tooltip="Dealey, 2012 #2070" w:history="1">
        <w:r w:rsidR="00CE32E2">
          <w:rPr>
            <w:noProof/>
          </w:rPr>
          <w:t>Dealey et al., 2012</w:t>
        </w:r>
      </w:hyperlink>
      <w:r w:rsidR="00CE32E2">
        <w:rPr>
          <w:noProof/>
        </w:rPr>
        <w:t>)</w:t>
      </w:r>
      <w:r w:rsidR="000D1596" w:rsidRPr="004C6ED7">
        <w:fldChar w:fldCharType="end"/>
      </w:r>
      <w:r w:rsidR="000D1596" w:rsidRPr="004C6ED7">
        <w:t>.</w:t>
      </w:r>
      <w:r w:rsidR="00976BE9" w:rsidRPr="004C6ED7">
        <w:t xml:space="preserve"> A more recent estimate of the annual costs in the United States is USD 9.1 to 11.6 billion </w:t>
      </w:r>
      <w:r w:rsidR="00976BE9" w:rsidRPr="004C6ED7">
        <w:fldChar w:fldCharType="begin"/>
      </w:r>
      <w:r w:rsidR="006D6A6E">
        <w:instrText xml:space="preserve"> ADDIN EN.CITE &lt;EndNote&gt;&lt;Cite&gt;&lt;Author&gt;Agency for Healthcare Research and Quality (AHRQ)&lt;/Author&gt;&lt;Year&gt;2011&lt;/Year&gt;&lt;RecNum&gt;4482&lt;/RecNum&gt;&lt;DisplayText&gt;(Agency for Healthcare Research and Quality (AHRQ), 2011)&lt;/DisplayText&gt;&lt;record&gt;&lt;rec-number&gt;4482&lt;/rec-number&gt;&lt;foreign-keys&gt;&lt;key app="EN" db-id="ervprze5a95tvoe59pjpvw5gezttve9wxvfs" timestamp="1434702004"&gt;4482&lt;/key&gt;&lt;/foreign-keys&gt;&lt;ref-type name="Web Page"&gt;12&lt;/ref-type&gt;&lt;contributors&gt;&lt;authors&gt;&lt;author&gt;Agency for Healthcare Research and Quality (AHRQ),&lt;/author&gt;&lt;/authors&gt;&lt;/contributors&gt;&lt;titles&gt;&lt;title&gt;Preventing pressure ulcers in hospitals: a toolkit for improving quality&lt;/title&gt;&lt;secondary-title&gt;Agency for Healthcare Research and Quality,&lt;/secondary-title&gt;&lt;/titles&gt;&lt;pages&gt;http://www.ahrq.gov/professionals/systems/long-term-care/resources/pressure-ulcers/pressureulcertoolkit/putool1.html 2011&lt;/pages&gt;&lt;volume&gt;2015&lt;/volume&gt;&lt;number&gt;19th June&lt;/number&gt;&lt;dates&gt;&lt;year&gt;2011&lt;/year&gt;&lt;/dates&gt;&lt;pub-location&gt; Rockville, MD&lt;/pub-location&gt;&lt;urls&gt;&lt;/urls&gt;&lt;/record&gt;&lt;/Cite&gt;&lt;/EndNote&gt;</w:instrText>
      </w:r>
      <w:r w:rsidR="00976BE9" w:rsidRPr="004C6ED7">
        <w:fldChar w:fldCharType="separate"/>
      </w:r>
      <w:r w:rsidR="006D6A6E">
        <w:rPr>
          <w:noProof/>
        </w:rPr>
        <w:t>(</w:t>
      </w:r>
      <w:hyperlink w:anchor="_ENREF_1" w:tooltip="Agency for Healthcare Research and Quality (AHRQ), 2011 #4482" w:history="1">
        <w:r w:rsidR="00CE32E2">
          <w:rPr>
            <w:noProof/>
          </w:rPr>
          <w:t>Agency for Healthcare Research and Quality (AHRQ), 2011</w:t>
        </w:r>
      </w:hyperlink>
      <w:r w:rsidR="006D6A6E">
        <w:rPr>
          <w:noProof/>
        </w:rPr>
        <w:t>)</w:t>
      </w:r>
      <w:r w:rsidR="00976BE9" w:rsidRPr="004C6ED7">
        <w:fldChar w:fldCharType="end"/>
      </w:r>
      <w:r w:rsidR="00560E9F" w:rsidRPr="004C6ED7">
        <w:t xml:space="preserve">, a value that </w:t>
      </w:r>
      <w:r w:rsidR="005C6C8D" w:rsidRPr="004C6ED7">
        <w:t xml:space="preserve">will inevitably increase </w:t>
      </w:r>
      <w:r w:rsidR="00560E9F" w:rsidRPr="004C6ED7">
        <w:t>with an ever</w:t>
      </w:r>
      <w:r w:rsidR="00830630">
        <w:t xml:space="preserve"> aging population</w:t>
      </w:r>
      <w:r w:rsidR="00236F77" w:rsidRPr="004C6ED7">
        <w:t>.</w:t>
      </w:r>
      <w:r w:rsidR="003E1FD9" w:rsidRPr="004C6ED7">
        <w:t xml:space="preserve"> </w:t>
      </w:r>
      <w:r w:rsidR="005C6C8D" w:rsidRPr="004C6ED7">
        <w:t>Patients with reported p</w:t>
      </w:r>
      <w:r w:rsidR="00FA5A0F" w:rsidRPr="004C6ED7">
        <w:t>ressure ulcers</w:t>
      </w:r>
      <w:r w:rsidR="00945554" w:rsidRPr="004C6ED7">
        <w:t xml:space="preserve"> </w:t>
      </w:r>
      <w:r w:rsidR="00851BDA" w:rsidRPr="004C6ED7">
        <w:t>in the</w:t>
      </w:r>
      <w:r w:rsidR="00945554" w:rsidRPr="004C6ED7">
        <w:t xml:space="preserve"> hospital</w:t>
      </w:r>
      <w:r w:rsidR="00851BDA" w:rsidRPr="004C6ED7">
        <w:t xml:space="preserve"> setting </w:t>
      </w:r>
      <w:r w:rsidR="00EA3D3C" w:rsidRPr="004C6ED7">
        <w:t>include</w:t>
      </w:r>
      <w:r w:rsidR="00851BDA" w:rsidRPr="004C6ED7">
        <w:t xml:space="preserve"> those who are admitted with a </w:t>
      </w:r>
      <w:r w:rsidR="003C292F" w:rsidRPr="004C6ED7">
        <w:t>PU</w:t>
      </w:r>
      <w:r w:rsidR="00851BDA" w:rsidRPr="004C6ED7">
        <w:t xml:space="preserve"> acquired in the community (CAPU), and those who acquire a PU during their hospital stay (HAPU)</w:t>
      </w:r>
      <w:r w:rsidR="00FA5A0F" w:rsidRPr="004C6ED7">
        <w:t xml:space="preserve"> </w:t>
      </w:r>
      <w:r w:rsidR="00E24772" w:rsidRPr="004C6ED7">
        <w:fldChar w:fldCharType="begin"/>
      </w:r>
      <w:r w:rsidR="00CE32E2">
        <w:instrText xml:space="preserve"> ADDIN EN.CITE &lt;EndNote&gt;&lt;Cite&gt;&lt;Author&gt;VanGilder&lt;/Author&gt;&lt;Year&gt;2009&lt;/Year&gt;&lt;RecNum&gt;1831&lt;/RecNum&gt;&lt;DisplayText&gt;(VanGilder et al., 2009)&lt;/DisplayText&gt;&lt;record&gt;&lt;rec-number&gt;1831&lt;/rec-number&gt;&lt;foreign-keys&gt;&lt;key app="EN" db-id="ervprze5a95tvoe59pjpvw5gezttve9wxvfs" timestamp="1328704069"&gt;1831&lt;/key&gt;&lt;/foreign-keys&gt;&lt;ref-type name="Journal Article"&gt;17&lt;/ref-type&gt;&lt;contributors&gt;&lt;authors&gt;&lt;author&gt;VanGilder, C.&lt;/author&gt;&lt;author&gt;Amlung, S.&lt;/author&gt;&lt;author&gt;Harrison, P.&lt;/author&gt;&lt;author&gt;Meyer, S.&lt;/author&gt;&lt;/authors&gt;&lt;/contributors&gt;&lt;titles&gt;&lt;title&gt;Results of the 2008 – 2009 Internationa Pressure Ulcer Prevalence™ Survey and a 3-Year, Acute Care, Unit-Specific Analysis&lt;/title&gt;&lt;secondary-title&gt;Ostomy Wound Management&lt;/secondary-title&gt;&lt;/titles&gt;&lt;periodical&gt;&lt;full-title&gt;Ostomy Wound Management&lt;/full-title&gt;&lt;/periodical&gt;&lt;pages&gt;39-45&lt;/pages&gt;&lt;volume&gt;55&lt;/volume&gt;&lt;number&gt;11&lt;/number&gt;&lt;dates&gt;&lt;year&gt;2009&lt;/year&gt;&lt;/dates&gt;&lt;urls&gt;&lt;/urls&gt;&lt;/record&gt;&lt;/Cite&gt;&lt;/EndNote&gt;</w:instrText>
      </w:r>
      <w:r w:rsidR="00E24772" w:rsidRPr="004C6ED7">
        <w:fldChar w:fldCharType="separate"/>
      </w:r>
      <w:r w:rsidR="00CE32E2">
        <w:rPr>
          <w:noProof/>
        </w:rPr>
        <w:t>(</w:t>
      </w:r>
      <w:hyperlink w:anchor="_ENREF_27" w:tooltip="VanGilder, 2009 #1831" w:history="1">
        <w:r w:rsidR="00CE32E2">
          <w:rPr>
            <w:noProof/>
          </w:rPr>
          <w:t>VanGilder et al., 2009</w:t>
        </w:r>
      </w:hyperlink>
      <w:r w:rsidR="00CE32E2">
        <w:rPr>
          <w:noProof/>
        </w:rPr>
        <w:t>)</w:t>
      </w:r>
      <w:r w:rsidR="00E24772" w:rsidRPr="004C6ED7">
        <w:fldChar w:fldCharType="end"/>
      </w:r>
      <w:r w:rsidR="00FA5A0F" w:rsidRPr="004C6ED7">
        <w:t xml:space="preserve">. </w:t>
      </w:r>
      <w:r w:rsidR="00F74F58" w:rsidRPr="004C6ED7">
        <w:t>P</w:t>
      </w:r>
      <w:r w:rsidR="00353028" w:rsidRPr="004C6ED7">
        <w:t>revalence rates</w:t>
      </w:r>
      <w:r w:rsidR="00851BDA" w:rsidRPr="004C6ED7">
        <w:t xml:space="preserve"> of PUs</w:t>
      </w:r>
      <w:r w:rsidR="00353028" w:rsidRPr="004C6ED7">
        <w:t xml:space="preserve"> among inpatients in hospital settings </w:t>
      </w:r>
      <w:r w:rsidR="00560E9F" w:rsidRPr="004C6ED7">
        <w:t>were estimated</w:t>
      </w:r>
      <w:r w:rsidR="00F12E57" w:rsidRPr="004C6ED7">
        <w:t xml:space="preserve"> at 12.1%, 8.9%</w:t>
      </w:r>
      <w:r w:rsidR="00353028" w:rsidRPr="004C6ED7">
        <w:t>, 11%</w:t>
      </w:r>
      <w:r w:rsidR="003C292F" w:rsidRPr="004C6ED7">
        <w:t>, and 10.2%</w:t>
      </w:r>
      <w:r w:rsidR="00353028" w:rsidRPr="004C6ED7">
        <w:t xml:space="preserve"> in Belgium, France, Germany and the UK</w:t>
      </w:r>
      <w:r w:rsidR="00945554" w:rsidRPr="004C6ED7">
        <w:t>, respectively</w:t>
      </w:r>
      <w:r w:rsidR="00560E9F" w:rsidRPr="004C6ED7">
        <w:t>,</w:t>
      </w:r>
      <w:r w:rsidR="005C6C8D" w:rsidRPr="004C6ED7">
        <w:t xml:space="preserve"> </w:t>
      </w:r>
      <w:r w:rsidR="009565B1" w:rsidRPr="004C6ED7">
        <w:t>of which 40- 59% are HAPUs</w:t>
      </w:r>
      <w:r w:rsidR="00560E9F" w:rsidRPr="004C6ED7">
        <w:t xml:space="preserve"> </w:t>
      </w:r>
      <w:r w:rsidR="00560E9F" w:rsidRPr="004C6ED7">
        <w:fldChar w:fldCharType="begin">
          <w:fldData xml:space="preserve">PEVuZE5vdGU+PENpdGU+PEF1dGhvcj5MLjwvQXV0aG9yPjxZZWFyPjIwMDk8L1llYXI+PFJlY051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</w:fldData>
        </w:fldChar>
      </w:r>
      <w:r w:rsidR="00CE32E2">
        <w:instrText xml:space="preserve"> ADDIN EN.CITE </w:instrText>
      </w:r>
      <w:r w:rsidR="00CE32E2">
        <w:fldChar w:fldCharType="begin">
          <w:fldData xml:space="preserve">PEVuZE5vdGU+PENpdGU+PEF1dGhvcj5MLjwvQXV0aG9yPjxZZWFyPjIwMDk8L1llYXI+PFJlY051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</w:fldData>
        </w:fldChar>
      </w:r>
      <w:r w:rsidR="00CE32E2">
        <w:instrText xml:space="preserve"> ADDIN EN.CITE.DATA </w:instrText>
      </w:r>
      <w:r w:rsidR="00CE32E2">
        <w:fldChar w:fldCharType="end"/>
      </w:r>
      <w:r w:rsidR="00560E9F" w:rsidRPr="004C6ED7">
        <w:fldChar w:fldCharType="separate"/>
      </w:r>
      <w:r w:rsidR="00CE32E2">
        <w:rPr>
          <w:noProof/>
        </w:rPr>
        <w:t>(</w:t>
      </w:r>
      <w:hyperlink w:anchor="_ENREF_20" w:tooltip="Phillips, 2009 #4418" w:history="1">
        <w:r w:rsidR="00CE32E2">
          <w:rPr>
            <w:noProof/>
          </w:rPr>
          <w:t>Phillips and Buttery, 2009</w:t>
        </w:r>
      </w:hyperlink>
      <w:r w:rsidR="00CE32E2">
        <w:rPr>
          <w:noProof/>
        </w:rPr>
        <w:t xml:space="preserve">, </w:t>
      </w:r>
      <w:hyperlink w:anchor="_ENREF_26" w:tooltip="Vanderwee, 2011 #4310" w:history="1">
        <w:r w:rsidR="00CE32E2">
          <w:rPr>
            <w:noProof/>
          </w:rPr>
          <w:t>Vanderwee et al., 2011</w:t>
        </w:r>
      </w:hyperlink>
      <w:r w:rsidR="00CE32E2">
        <w:rPr>
          <w:noProof/>
        </w:rPr>
        <w:t xml:space="preserve">, </w:t>
      </w:r>
      <w:hyperlink w:anchor="_ENREF_15" w:tooltip="Lahmann, 2006 #4416" w:history="1">
        <w:r w:rsidR="00CE32E2">
          <w:rPr>
            <w:noProof/>
          </w:rPr>
          <w:t>Lahmann et al., 2006</w:t>
        </w:r>
      </w:hyperlink>
      <w:r w:rsidR="00CE32E2">
        <w:rPr>
          <w:noProof/>
        </w:rPr>
        <w:t xml:space="preserve">, </w:t>
      </w:r>
      <w:hyperlink w:anchor="_ENREF_2" w:tooltip="Barrois, 2008 #4417" w:history="1">
        <w:r w:rsidR="00CE32E2">
          <w:rPr>
            <w:noProof/>
          </w:rPr>
          <w:t>Barrois et al., 2008</w:t>
        </w:r>
      </w:hyperlink>
      <w:r w:rsidR="00CE32E2">
        <w:rPr>
          <w:noProof/>
        </w:rPr>
        <w:t>)</w:t>
      </w:r>
      <w:r w:rsidR="00560E9F" w:rsidRPr="004C6ED7">
        <w:fldChar w:fldCharType="end"/>
      </w:r>
      <w:r w:rsidR="004466B3" w:rsidRPr="004C6ED7">
        <w:t xml:space="preserve">. </w:t>
      </w:r>
      <w:r w:rsidR="00353028" w:rsidRPr="004C6ED7">
        <w:t xml:space="preserve"> </w:t>
      </w:r>
      <w:r w:rsidR="00236F77" w:rsidRPr="004C6ED7">
        <w:t xml:space="preserve">The prevalence rates </w:t>
      </w:r>
      <w:r w:rsidR="009565B1" w:rsidRPr="004C6ED7">
        <w:t xml:space="preserve">of CAPUs are </w:t>
      </w:r>
      <w:r w:rsidR="00236F77" w:rsidRPr="004C6ED7">
        <w:t>particularly high</w:t>
      </w:r>
      <w:r w:rsidR="00F74F58" w:rsidRPr="004C6ED7">
        <w:t xml:space="preserve"> in long-term care settings such as nursing homes</w:t>
      </w:r>
      <w:r w:rsidR="00945554" w:rsidRPr="004C6ED7">
        <w:t>,</w:t>
      </w:r>
      <w:r w:rsidR="00F74F58" w:rsidRPr="004C6ED7">
        <w:t xml:space="preserve"> </w:t>
      </w:r>
      <w:r w:rsidR="00236F77" w:rsidRPr="004C6ED7">
        <w:t>with prevalence figures ranging</w:t>
      </w:r>
      <w:r w:rsidR="00F74F58" w:rsidRPr="004C6ED7">
        <w:t xml:space="preserve"> from 8.8% to 53.2% </w:t>
      </w:r>
      <w:r w:rsidR="00F74F58" w:rsidRPr="004C6ED7">
        <w:fldChar w:fldCharType="begin"/>
      </w:r>
      <w:r w:rsidR="006D6A6E">
        <w:instrText xml:space="preserve"> ADDIN EN.CITE &lt;EndNote&gt;&lt;Cite&gt;&lt;Author&gt;Moore&lt;/Author&gt;&lt;Year&gt;2012&lt;/Year&gt;&lt;RecNum&gt;1984&lt;/RecNum&gt;&lt;DisplayText&gt;(Moore and Cowman, 2012)&lt;/DisplayText&gt;&lt;record&gt;&lt;rec-number&gt;1984&lt;/rec-number&gt;&lt;foreign-keys&gt;&lt;key app="EN" db-id="ervprze5a95tvoe59pjpvw5gezttve9wxvfs" timestamp="1340975044"&gt;1984&lt;/key&gt;&lt;/foreign-keys&gt;&lt;ref-type name="Journal Article"&gt;17&lt;/ref-type&gt;&lt;contributors&gt;&lt;authors&gt;&lt;author&gt;Moore, Z.&lt;/author&gt;&lt;author&gt;Cowman, S.&lt;/author&gt;&lt;/authors&gt;&lt;/contributors&gt;&lt;titles&gt;&lt;title&gt;Pressure ulcer prevalence and prevention practices in care of the older person in the Republic of Ireland&lt;/title&gt;&lt;secondary-title&gt;Journal of Clinical Nursing&lt;/secondary-title&gt;&lt;/titles&gt;&lt;periodical&gt;&lt;full-title&gt;Journal of Clinical Nursing&lt;/full-title&gt;&lt;abbr-1&gt;J. Clin. Nurs.&lt;/abbr-1&gt;&lt;abbr-2&gt;J Clin Nurs&lt;/abbr-2&gt;&lt;/periodical&gt;&lt;pages&gt;362-371&lt;/pages&gt;&lt;volume&gt;21&lt;/volume&gt;&lt;number&gt;3-4&lt;/number&gt;&lt;dates&gt;&lt;year&gt;2012&lt;/year&gt;&lt;/dates&gt;&lt;urls&gt;&lt;/urls&gt;&lt;/record&gt;&lt;/Cite&gt;&lt;/EndNote&gt;</w:instrText>
      </w:r>
      <w:r w:rsidR="00F74F58" w:rsidRPr="004C6ED7">
        <w:fldChar w:fldCharType="separate"/>
      </w:r>
      <w:r w:rsidR="006D6A6E">
        <w:rPr>
          <w:noProof/>
        </w:rPr>
        <w:t>(</w:t>
      </w:r>
      <w:hyperlink w:anchor="_ENREF_17" w:tooltip="Moore, 2012 #1984" w:history="1">
        <w:r w:rsidR="00CE32E2">
          <w:rPr>
            <w:noProof/>
          </w:rPr>
          <w:t>Moore and Cowman, 2012</w:t>
        </w:r>
      </w:hyperlink>
      <w:r w:rsidR="006D6A6E">
        <w:rPr>
          <w:noProof/>
        </w:rPr>
        <w:t>)</w:t>
      </w:r>
      <w:r w:rsidR="00F74F58" w:rsidRPr="004C6ED7">
        <w:fldChar w:fldCharType="end"/>
      </w:r>
      <w:r w:rsidR="00F74F58" w:rsidRPr="004C6ED7">
        <w:t xml:space="preserve">. </w:t>
      </w:r>
    </w:p>
    <w:p w14:paraId="4AC3B083" w14:textId="77777777" w:rsidR="00DE5D2B" w:rsidRDefault="00DE5D2B" w:rsidP="00D037A6">
      <w:pPr>
        <w:spacing w:line="480" w:lineRule="auto"/>
      </w:pPr>
    </w:p>
    <w:p w14:paraId="34F651BF" w14:textId="77777777" w:rsidR="00C3654A" w:rsidRDefault="00C3654A" w:rsidP="00D037A6">
      <w:pPr>
        <w:spacing w:line="480" w:lineRule="auto"/>
      </w:pPr>
    </w:p>
    <w:p w14:paraId="7F335DD8" w14:textId="77777777" w:rsidR="00C3654A" w:rsidRPr="004C6ED7" w:rsidRDefault="00C3654A" w:rsidP="00D037A6">
      <w:pPr>
        <w:spacing w:line="480" w:lineRule="auto"/>
      </w:pPr>
    </w:p>
    <w:p w14:paraId="2D4D7A42" w14:textId="4EB37166" w:rsidR="00DE5D2B" w:rsidRPr="004C6ED7" w:rsidRDefault="00DE5D2B" w:rsidP="00DE5D2B">
      <w:pPr>
        <w:spacing w:line="480" w:lineRule="auto"/>
        <w:rPr>
          <w:b/>
        </w:rPr>
      </w:pPr>
      <w:r w:rsidRPr="004C6ED7">
        <w:rPr>
          <w:b/>
        </w:rPr>
        <w:lastRenderedPageBreak/>
        <w:t xml:space="preserve">       2. Background </w:t>
      </w:r>
    </w:p>
    <w:p w14:paraId="73D8AB10" w14:textId="50CD6832" w:rsidR="00762F02" w:rsidRPr="004C6ED7" w:rsidRDefault="003E1FD9" w:rsidP="00CE32E2">
      <w:pPr>
        <w:spacing w:line="480" w:lineRule="auto"/>
      </w:pPr>
      <w:r w:rsidRPr="004C6ED7">
        <w:t xml:space="preserve">  </w:t>
      </w:r>
      <w:r w:rsidR="00F74F58" w:rsidRPr="004C6ED7">
        <w:t xml:space="preserve">Although the problem of </w:t>
      </w:r>
      <w:r w:rsidR="002549DD" w:rsidRPr="004C6ED7">
        <w:t>PUs</w:t>
      </w:r>
      <w:r w:rsidR="00F74F58" w:rsidRPr="004C6ED7">
        <w:t xml:space="preserve"> is widely acknowledged in the healthcare sector it has only recently gained </w:t>
      </w:r>
      <w:r w:rsidR="003C292F" w:rsidRPr="004C6ED7">
        <w:t>importance in political terms</w:t>
      </w:r>
      <w:r w:rsidR="00F74F58" w:rsidRPr="004C6ED7">
        <w:t xml:space="preserve">. </w:t>
      </w:r>
      <w:r w:rsidR="00991DEF" w:rsidRPr="004C6ED7">
        <w:t xml:space="preserve"> </w:t>
      </w:r>
      <w:r w:rsidR="00F93EAC">
        <w:t>The political focus</w:t>
      </w:r>
      <w:r w:rsidR="00F74F58" w:rsidRPr="004C6ED7">
        <w:t xml:space="preserve"> </w:t>
      </w:r>
      <w:r w:rsidR="003C292F" w:rsidRPr="004C6ED7">
        <w:t xml:space="preserve">is due, in part, to the emerging </w:t>
      </w:r>
      <w:r w:rsidR="00F74F58" w:rsidRPr="004C6ED7">
        <w:t>l</w:t>
      </w:r>
      <w:r w:rsidR="00991DEF" w:rsidRPr="004C6ED7">
        <w:t xml:space="preserve">itigation burden to </w:t>
      </w:r>
      <w:r w:rsidR="00F00664" w:rsidRPr="004C6ED7">
        <w:t>healthcare provider</w:t>
      </w:r>
      <w:r w:rsidR="00991DEF" w:rsidRPr="004C6ED7">
        <w:t>s</w:t>
      </w:r>
      <w:r w:rsidR="00F00664" w:rsidRPr="004C6ED7">
        <w:t>, which</w:t>
      </w:r>
      <w:r w:rsidR="00991DEF" w:rsidRPr="004C6ED7">
        <w:t xml:space="preserve"> is predicted to increase due to both general societal </w:t>
      </w:r>
      <w:r w:rsidR="00F00664" w:rsidRPr="004C6ED7">
        <w:t>trends</w:t>
      </w:r>
      <w:r w:rsidR="00991DEF" w:rsidRPr="004C6ED7">
        <w:t xml:space="preserve"> and changes in the law</w:t>
      </w:r>
      <w:r w:rsidR="003C292F" w:rsidRPr="004C6ED7">
        <w:t>,</w:t>
      </w:r>
      <w:r w:rsidR="00991DEF" w:rsidRPr="004C6ED7">
        <w:t xml:space="preserve"> </w:t>
      </w:r>
      <w:r w:rsidR="003C292F" w:rsidRPr="004C6ED7">
        <w:t>leading</w:t>
      </w:r>
      <w:r w:rsidR="00991DEF" w:rsidRPr="004C6ED7">
        <w:t xml:space="preserve"> to investigation of severe pressure ulcers by government agencies to detect institutional and professional neglect of vulnerable a</w:t>
      </w:r>
      <w:r w:rsidRPr="004C6ED7">
        <w:t xml:space="preserve">dults </w:t>
      </w:r>
      <w:r w:rsidR="007F7A39" w:rsidRPr="004C6ED7">
        <w:fldChar w:fldCharType="begin"/>
      </w:r>
      <w:r w:rsidR="006D6A6E">
        <w:instrText xml:space="preserve"> ADDIN EN.CITE &lt;EndNote&gt;&lt;Cite&gt;&lt;Author&gt;Department of Health&lt;/Author&gt;&lt;Year&gt;2010&lt;/Year&gt;&lt;RecNum&gt;4309&lt;/RecNum&gt;&lt;DisplayText&gt;(Department of Health, 2010)&lt;/DisplayText&gt;&lt;record&gt;&lt;rec-number&gt;4309&lt;/rec-number&gt;&lt;foreign-keys&gt;&lt;key app="EN" db-id="ervprze5a95tvoe59pjpvw5gezttve9wxvfs" timestamp="1380115565"&gt;4309&lt;/key&gt;&lt;/foreign-keys&gt;&lt;ref-type name="Government Document"&gt;46&lt;/ref-type&gt;&lt;contributors&gt;&lt;authors&gt;&lt;author&gt;Department of Health,&lt;/author&gt;&lt;/authors&gt;&lt;secondary-authors&gt;&lt;author&gt;Department of Health,&lt;/author&gt;&lt;/secondary-authors&gt;&lt;/contributors&gt;&lt;titles&gt;&lt;title&gt;Essence of Care 2010; Benchmarks for Prevention and Management of Pressure Ulcers&lt;/title&gt;&lt;/titles&gt;&lt;dates&gt;&lt;year&gt;2010&lt;/year&gt;&lt;/dates&gt;&lt;pub-location&gt;United Kingdom,&lt;/pub-location&gt;&lt;publisher&gt;The Stationery Office&lt;/publisher&gt;&lt;urls&gt;&lt;/urls&gt;&lt;/record&gt;&lt;/Cite&gt;&lt;/EndNote&gt;</w:instrText>
      </w:r>
      <w:r w:rsidR="007F7A39" w:rsidRPr="004C6ED7">
        <w:fldChar w:fldCharType="separate"/>
      </w:r>
      <w:r w:rsidR="006D6A6E">
        <w:rPr>
          <w:noProof/>
        </w:rPr>
        <w:t>(</w:t>
      </w:r>
      <w:hyperlink w:anchor="_ENREF_6" w:tooltip="Department of Health, 2010 #4309" w:history="1">
        <w:r w:rsidR="00CE32E2">
          <w:rPr>
            <w:noProof/>
          </w:rPr>
          <w:t>Department of Health, 2010</w:t>
        </w:r>
      </w:hyperlink>
      <w:r w:rsidR="006D6A6E">
        <w:rPr>
          <w:noProof/>
        </w:rPr>
        <w:t>)</w:t>
      </w:r>
      <w:r w:rsidR="007F7A39" w:rsidRPr="004C6ED7">
        <w:fldChar w:fldCharType="end"/>
      </w:r>
      <w:r w:rsidR="00991DEF" w:rsidRPr="004C6ED7">
        <w:t>.</w:t>
      </w:r>
      <w:r w:rsidR="009C0B39" w:rsidRPr="004C6ED7">
        <w:t xml:space="preserve"> This has</w:t>
      </w:r>
      <w:r w:rsidR="003C292F" w:rsidRPr="004C6ED7">
        <w:t xml:space="preserve"> led to the current interest in</w:t>
      </w:r>
      <w:r w:rsidR="009C0B39" w:rsidRPr="004C6ED7">
        <w:t xml:space="preserve"> </w:t>
      </w:r>
      <w:r w:rsidR="009C0B39" w:rsidRPr="004C6ED7">
        <w:rPr>
          <w:rFonts w:eastAsia="Arial Unicode MS"/>
          <w:color w:val="232323"/>
          <w:lang w:val="en-US"/>
        </w:rPr>
        <w:t xml:space="preserve">determining the onset of the </w:t>
      </w:r>
      <w:r w:rsidRPr="004C6ED7">
        <w:rPr>
          <w:rFonts w:eastAsia="Arial Unicode MS"/>
          <w:color w:val="232323"/>
          <w:lang w:val="en-US"/>
        </w:rPr>
        <w:t>PU</w:t>
      </w:r>
      <w:r w:rsidR="009C0B39" w:rsidRPr="004C6ED7">
        <w:rPr>
          <w:rFonts w:eastAsia="Arial Unicode MS"/>
          <w:color w:val="232323"/>
          <w:lang w:val="en-US"/>
        </w:rPr>
        <w:t xml:space="preserve"> </w:t>
      </w:r>
      <w:r w:rsidR="002549DD" w:rsidRPr="004C6ED7">
        <w:rPr>
          <w:rFonts w:eastAsia="Arial Unicode MS"/>
          <w:color w:val="232323"/>
          <w:lang w:val="en-US"/>
        </w:rPr>
        <w:t xml:space="preserve">(CAPU vs. HAPU) </w:t>
      </w:r>
      <w:r w:rsidRPr="004C6ED7">
        <w:rPr>
          <w:rFonts w:eastAsia="Arial Unicode MS"/>
          <w:color w:val="232323"/>
          <w:lang w:val="en-US"/>
        </w:rPr>
        <w:t>in hospitalized patients</w:t>
      </w:r>
      <w:r w:rsidR="009C0B39" w:rsidRPr="004C6ED7">
        <w:rPr>
          <w:rFonts w:eastAsia="Arial Unicode MS"/>
          <w:color w:val="232323"/>
          <w:lang w:val="en-US"/>
        </w:rPr>
        <w:t xml:space="preserve">. </w:t>
      </w:r>
      <w:r w:rsidRPr="004C6ED7">
        <w:t xml:space="preserve"> </w:t>
      </w:r>
      <w:r w:rsidR="00A97172" w:rsidRPr="004C6ED7">
        <w:t xml:space="preserve">A recent systematic review evaluated the risk factors associated with PU development and found that mobility/activity, perfusion (including diabetes) and skin/pressure ulcer status were the primary predictors </w:t>
      </w:r>
      <w:r w:rsidR="00A97172" w:rsidRPr="004C6ED7">
        <w:fldChar w:fldCharType="begin"/>
      </w:r>
      <w:r w:rsidR="00CE32E2">
        <w:instrText xml:space="preserve"> ADDIN EN.CITE &lt;EndNote&gt;&lt;Cite&gt;&lt;Author&gt;Coleman&lt;/Author&gt;&lt;Year&gt;2013&lt;/Year&gt;&lt;RecNum&gt;2146&lt;/RecNum&gt;&lt;DisplayText&gt;(Coleman et al., 2013)&lt;/DisplayText&gt;&lt;record&gt;&lt;rec-number&gt;2146&lt;/rec-number&gt;&lt;foreign-keys&gt;&lt;key app="EN" db-id="ervprze5a95tvoe59pjpvw5gezttve9wxvfs" timestamp="1368796209"&gt;2146&lt;/key&gt;&lt;/foreign-keys&gt;&lt;ref-type name="Journal Article"&gt;17&lt;/ref-type&gt;&lt;contributors&gt;&lt;authors&gt;&lt;author&gt;Coleman, S.&lt;/author&gt;&lt;author&gt;Gorecki, C.&lt;/author&gt;&lt;author&gt;Nelson, A.&lt;/author&gt;&lt;author&gt;Closs, José S.&lt;/author&gt;&lt;author&gt;Defloor, T.&lt;/author&gt;&lt;author&gt;Halfens, R.&lt;/author&gt;&lt;author&gt;Farrin, A.&lt;/author&gt;&lt;author&gt;Brown, J.&lt;/author&gt;&lt;author&gt;Schoonhoven, L.&lt;/author&gt;&lt;author&gt;Nixon, J.&lt;/author&gt;&lt;/authors&gt;&lt;/contributors&gt;&lt;titles&gt;&lt;title&gt;Patient Risk Factors for pressure ulcer development: Systematic Review&lt;/title&gt;&lt;secondary-title&gt;International Journal of Nursing Studies&lt;/secondary-title&gt;&lt;/titles&gt;&lt;periodical&gt;&lt;full-title&gt;International Journal of Nursing Studies&lt;/full-title&gt;&lt;abbr-1&gt;Int. J. Nurs. Stud.&lt;/abbr-1&gt;&lt;abbr-2&gt;Int J Nurs Stud&lt;/abbr-2&gt;&lt;/periodical&gt;&lt;pages&gt;974-1003&lt;/pages&gt;&lt;volume&gt;50&lt;/volume&gt;&lt;number&gt;7&lt;/number&gt;&lt;dates&gt;&lt;year&gt;2013&lt;/year&gt;&lt;/dates&gt;&lt;urls&gt;&lt;/urls&gt;&lt;/record&gt;&lt;/Cite&gt;&lt;/EndNote&gt;</w:instrText>
      </w:r>
      <w:r w:rsidR="00A97172" w:rsidRPr="004C6ED7">
        <w:fldChar w:fldCharType="separate"/>
      </w:r>
      <w:r w:rsidR="00CE32E2">
        <w:rPr>
          <w:noProof/>
        </w:rPr>
        <w:t>(</w:t>
      </w:r>
      <w:hyperlink w:anchor="_ENREF_4" w:tooltip="Coleman, 2013 #2146" w:history="1">
        <w:r w:rsidR="00CE32E2">
          <w:rPr>
            <w:noProof/>
          </w:rPr>
          <w:t>Coleman et al., 2013</w:t>
        </w:r>
      </w:hyperlink>
      <w:r w:rsidR="00CE32E2">
        <w:rPr>
          <w:noProof/>
        </w:rPr>
        <w:t>)</w:t>
      </w:r>
      <w:r w:rsidR="00A97172" w:rsidRPr="004C6ED7">
        <w:fldChar w:fldCharType="end"/>
      </w:r>
      <w:r w:rsidR="00A97172" w:rsidRPr="004C6ED7">
        <w:t>. In addition, s</w:t>
      </w:r>
      <w:r w:rsidR="000C3F3F" w:rsidRPr="004C6ED7">
        <w:t>everal</w:t>
      </w:r>
      <w:r w:rsidR="003C292F" w:rsidRPr="004C6ED7">
        <w:t xml:space="preserve"> European</w:t>
      </w:r>
      <w:r w:rsidR="000C3F3F" w:rsidRPr="004C6ED7">
        <w:t xml:space="preserve"> studies have </w:t>
      </w:r>
      <w:proofErr w:type="spellStart"/>
      <w:r w:rsidR="00A97172" w:rsidRPr="004C6ED7">
        <w:t>shown</w:t>
      </w:r>
      <w:r w:rsidR="004466B3" w:rsidRPr="004C6ED7">
        <w:t>association</w:t>
      </w:r>
      <w:r w:rsidR="003C292F" w:rsidRPr="004C6ED7">
        <w:t>s</w:t>
      </w:r>
      <w:proofErr w:type="spellEnd"/>
      <w:r w:rsidR="004466B3" w:rsidRPr="004C6ED7">
        <w:t xml:space="preserve"> between </w:t>
      </w:r>
      <w:r w:rsidR="00A97172" w:rsidRPr="004C6ED7">
        <w:t>PU risk and</w:t>
      </w:r>
      <w:r w:rsidR="00B50E84" w:rsidRPr="004C6ED7">
        <w:t xml:space="preserve"> the </w:t>
      </w:r>
      <w:r w:rsidR="00264E3F" w:rsidRPr="004C6ED7">
        <w:t>provision of support surface</w:t>
      </w:r>
      <w:r w:rsidR="00B50E84" w:rsidRPr="004C6ED7">
        <w:t xml:space="preserve">s, </w:t>
      </w:r>
      <w:r w:rsidR="002D4447" w:rsidRPr="004C6ED7">
        <w:t>nutrition</w:t>
      </w:r>
      <w:r w:rsidR="00A97172" w:rsidRPr="004C6ED7">
        <w:t>al status</w:t>
      </w:r>
      <w:r w:rsidR="00884BA3" w:rsidRPr="004C6ED7">
        <w:t>,</w:t>
      </w:r>
      <w:r w:rsidR="00884BA3" w:rsidRPr="004C6ED7">
        <w:rPr>
          <w:rFonts w:eastAsia="Arial Unicode MS"/>
          <w:color w:val="232323"/>
          <w:lang w:val="en-US"/>
        </w:rPr>
        <w:t xml:space="preserve"> urinary incontinence, cognitive impairment, low serum albumin length of hospital stay </w:t>
      </w:r>
      <w:r w:rsidR="002D4447" w:rsidRPr="004C6ED7">
        <w:t xml:space="preserve"> and </w:t>
      </w:r>
      <w:r w:rsidR="00A97172" w:rsidRPr="004C6ED7">
        <w:t xml:space="preserve">the frequency/quality of </w:t>
      </w:r>
      <w:r w:rsidR="00B50E84" w:rsidRPr="004C6ED7">
        <w:t>risk assessment</w:t>
      </w:r>
      <w:r w:rsidR="002D4447" w:rsidRPr="004C6ED7">
        <w:t>s</w:t>
      </w:r>
      <w:r w:rsidR="00264E3F" w:rsidRPr="004C6ED7">
        <w:t xml:space="preserve"> </w:t>
      </w:r>
      <w:r w:rsidR="00884BA3" w:rsidRPr="004C6ED7">
        <w:fldChar w:fldCharType="begin">
          <w:fldData xml:space="preserve">PEVuZE5vdGU+PENpdGU+PEF1dGhvcj5FUFVBUC1OUFVBUDwvQXV0aG9yPjxZZWFyPjIwMDk8L1ll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=
</w:fldData>
        </w:fldChar>
      </w:r>
      <w:r w:rsidR="00CE32E2">
        <w:instrText xml:space="preserve"> ADDIN EN.CITE </w:instrText>
      </w:r>
      <w:r w:rsidR="00CE32E2">
        <w:fldChar w:fldCharType="begin">
          <w:fldData xml:space="preserve">PEVuZE5vdGU+PENpdGU+PEF1dGhvcj5FUFVBUC1OUFVBUDwvQXV0aG9yPjxZZWFyPjIwMDk8L1ll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=
</w:fldData>
        </w:fldChar>
      </w:r>
      <w:r w:rsidR="00CE32E2">
        <w:instrText xml:space="preserve"> ADDIN EN.CITE.DATA </w:instrText>
      </w:r>
      <w:r w:rsidR="00CE32E2">
        <w:fldChar w:fldCharType="end"/>
      </w:r>
      <w:r w:rsidR="00884BA3" w:rsidRPr="004C6ED7">
        <w:fldChar w:fldCharType="separate"/>
      </w:r>
      <w:r w:rsidR="00CE32E2">
        <w:rPr>
          <w:noProof/>
        </w:rPr>
        <w:t>(</w:t>
      </w:r>
      <w:hyperlink w:anchor="_ENREF_7" w:tooltip="EPUAP-NPUAP, 2009 #2084" w:history="1">
        <w:r w:rsidR="00CE32E2">
          <w:rPr>
            <w:noProof/>
          </w:rPr>
          <w:t>EPUAP-NPUAP, 2009</w:t>
        </w:r>
      </w:hyperlink>
      <w:r w:rsidR="00CE32E2">
        <w:rPr>
          <w:noProof/>
        </w:rPr>
        <w:t xml:space="preserve">, </w:t>
      </w:r>
      <w:hyperlink w:anchor="_ENREF_13" w:tooltip="Gunningberg, 2011 #4441" w:history="1">
        <w:r w:rsidR="00CE32E2">
          <w:rPr>
            <w:noProof/>
          </w:rPr>
          <w:t>Gunningberg et al., 2011</w:t>
        </w:r>
      </w:hyperlink>
      <w:r w:rsidR="00CE32E2">
        <w:rPr>
          <w:noProof/>
        </w:rPr>
        <w:t xml:space="preserve">, </w:t>
      </w:r>
      <w:hyperlink w:anchor="_ENREF_14" w:tooltip="Keelaghan, 2008 #4443" w:history="1">
        <w:r w:rsidR="00CE32E2">
          <w:rPr>
            <w:noProof/>
          </w:rPr>
          <w:t>Keelaghan et al., 2008</w:t>
        </w:r>
      </w:hyperlink>
      <w:r w:rsidR="00CE32E2">
        <w:rPr>
          <w:noProof/>
        </w:rPr>
        <w:t xml:space="preserve">, </w:t>
      </w:r>
      <w:hyperlink w:anchor="_ENREF_19" w:tooltip="Oot-Giromini, 1993 #4468" w:history="1">
        <w:r w:rsidR="00CE32E2">
          <w:rPr>
            <w:noProof/>
          </w:rPr>
          <w:t>Oot-Giromini, 1993</w:t>
        </w:r>
      </w:hyperlink>
      <w:r w:rsidR="00CE32E2">
        <w:rPr>
          <w:noProof/>
        </w:rPr>
        <w:t xml:space="preserve">, </w:t>
      </w:r>
      <w:hyperlink w:anchor="_ENREF_11" w:tooltip="Gunningberg, 2013 #4444" w:history="1">
        <w:r w:rsidR="00CE32E2">
          <w:rPr>
            <w:noProof/>
          </w:rPr>
          <w:t>Gunningberg et al., 2013</w:t>
        </w:r>
      </w:hyperlink>
      <w:r w:rsidR="00CE32E2">
        <w:rPr>
          <w:noProof/>
        </w:rPr>
        <w:t>)</w:t>
      </w:r>
      <w:r w:rsidR="00884BA3" w:rsidRPr="004C6ED7">
        <w:fldChar w:fldCharType="end"/>
      </w:r>
      <w:r w:rsidR="000C3F3F" w:rsidRPr="004C6ED7">
        <w:t xml:space="preserve">. </w:t>
      </w:r>
      <w:r w:rsidR="00BD1D78" w:rsidRPr="004C6ED7">
        <w:t xml:space="preserve">These </w:t>
      </w:r>
      <w:r w:rsidR="00884BA3" w:rsidRPr="004C6ED7">
        <w:t xml:space="preserve">factors </w:t>
      </w:r>
      <w:r w:rsidR="00BD1D78" w:rsidRPr="004C6ED7">
        <w:t xml:space="preserve">have </w:t>
      </w:r>
      <w:r w:rsidR="00884BA3" w:rsidRPr="004C6ED7">
        <w:t xml:space="preserve">been </w:t>
      </w:r>
      <w:r w:rsidR="00BD1D78" w:rsidRPr="004C6ED7">
        <w:t>reported</w:t>
      </w:r>
      <w:r w:rsidR="003A7E3F" w:rsidRPr="004C6ED7">
        <w:t xml:space="preserve"> </w:t>
      </w:r>
      <w:r w:rsidR="00884BA3" w:rsidRPr="004C6ED7">
        <w:t>to be associated with</w:t>
      </w:r>
      <w:r w:rsidR="00686FCC" w:rsidRPr="004C6ED7">
        <w:t xml:space="preserve"> both CAPU and HAPU</w:t>
      </w:r>
      <w:r w:rsidR="002B259D" w:rsidRPr="004C6ED7">
        <w:t xml:space="preserve">. </w:t>
      </w:r>
      <w:r w:rsidR="00F93EAC">
        <w:t>Evidence</w:t>
      </w:r>
      <w:r w:rsidR="002B259D" w:rsidRPr="004C6ED7">
        <w:t>, however,</w:t>
      </w:r>
      <w:r w:rsidR="003A7E3F" w:rsidRPr="004C6ED7">
        <w:t xml:space="preserve"> </w:t>
      </w:r>
      <w:r w:rsidR="00AE6AED" w:rsidRPr="004C6ED7">
        <w:t>suggest</w:t>
      </w:r>
      <w:r w:rsidR="00F93EAC">
        <w:t>s</w:t>
      </w:r>
      <w:r w:rsidR="00AE6AED" w:rsidRPr="004C6ED7">
        <w:t xml:space="preserve"> the impact of HAPU on length of stay is more pronounced compared to CAPU</w:t>
      </w:r>
      <w:r w:rsidR="00BD1D78" w:rsidRPr="004C6ED7">
        <w:t>, but this research wa</w:t>
      </w:r>
      <w:r w:rsidR="00AE6AED" w:rsidRPr="004C6ED7">
        <w:t>s limited to patients over the age of 75 years</w:t>
      </w:r>
      <w:r w:rsidR="00BD1D78" w:rsidRPr="004C6ED7">
        <w:t xml:space="preserve"> </w:t>
      </w:r>
      <w:r w:rsidR="00BD1D78" w:rsidRPr="004C6ED7">
        <w:fldChar w:fldCharType="begin"/>
      </w:r>
      <w:r w:rsidR="00CE32E2">
        <w:instrText xml:space="preserve"> ADDIN EN.CITE &lt;EndNote&gt;&lt;Cite&gt;&lt;Author&gt;Theisen&lt;/Author&gt;&lt;Year&gt;2012&lt;/Year&gt;&lt;RecNum&gt;4425&lt;/RecNum&gt;&lt;DisplayText&gt;(Theisen et al., 2012)&lt;/DisplayText&gt;&lt;record&gt;&lt;rec-number&gt;4425&lt;/rec-number&gt;&lt;foreign-keys&gt;&lt;key app="EN" db-id="ervprze5a95tvoe59pjpvw5gezttve9wxvfs" timestamp="1419350314"&gt;4425&lt;/key&gt;&lt;/foreign-keys&gt;&lt;ref-type name="Journal Article"&gt;17&lt;/ref-type&gt;&lt;contributors&gt;&lt;authors&gt;&lt;author&gt;Theisen, Silke&lt;/author&gt;&lt;author&gt;Drabik, Anna&lt;/author&gt;&lt;author&gt;Stock, Stephanie&lt;/author&gt;&lt;/authors&gt;&lt;/contributors&gt;&lt;titles&gt;&lt;title&gt;Pressure ulcers in older hospitalised patients and its impact on length of stay: a retrospective observational study&lt;/title&gt;&lt;secondary-title&gt;Journal of Clinical Nursing&lt;/secondary-title&gt;&lt;/titles&gt;&lt;periodical&gt;&lt;full-title&gt;Journal of Clinical Nursing&lt;/full-title&gt;&lt;abbr-1&gt;J. Clin. Nurs.&lt;/abbr-1&gt;&lt;abbr-2&gt;J Clin Nurs&lt;/abbr-2&gt;&lt;/periodical&gt;&lt;pages&gt;380-387&lt;/pages&gt;&lt;volume&gt;21&lt;/volume&gt;&lt;number&gt;3-4&lt;/number&gt;&lt;keywords&gt;&lt;keyword&gt;elderly patients&lt;/keyword&gt;&lt;keyword&gt;functional decline&lt;/keyword&gt;&lt;keyword&gt;hospital&lt;/keyword&gt;&lt;keyword&gt;length of stay&lt;/keyword&gt;&lt;keyword&gt;pressure ulcer&lt;/keyword&gt;&lt;/keywords&gt;&lt;dates&gt;&lt;year&gt;2012&lt;/year&gt;&lt;/dates&gt;&lt;publisher&gt;Blackwell Publishing Ltd&lt;/publisher&gt;&lt;isbn&gt;1365-2702&lt;/isbn&gt;&lt;urls&gt;&lt;related-urls&gt;&lt;url&gt;http://dx.doi.org/10.1111/j.1365-2702.2011.03915.x&lt;/url&gt;&lt;/related-urls&gt;&lt;/urls&gt;&lt;electronic-resource-num&gt;10.1111/j.1365-2702.2011.03915.x&lt;/electronic-resource-num&gt;&lt;/record&gt;&lt;/Cite&gt;&lt;/EndNote&gt;</w:instrText>
      </w:r>
      <w:r w:rsidR="00BD1D78" w:rsidRPr="004C6ED7">
        <w:fldChar w:fldCharType="separate"/>
      </w:r>
      <w:r w:rsidR="00CE32E2">
        <w:rPr>
          <w:noProof/>
        </w:rPr>
        <w:t>(</w:t>
      </w:r>
      <w:hyperlink w:anchor="_ENREF_25" w:tooltip="Theisen, 2012 #4425" w:history="1">
        <w:r w:rsidR="00CE32E2">
          <w:rPr>
            <w:noProof/>
          </w:rPr>
          <w:t>Theisen et al., 2012</w:t>
        </w:r>
      </w:hyperlink>
      <w:r w:rsidR="00CE32E2">
        <w:rPr>
          <w:noProof/>
        </w:rPr>
        <w:t>)</w:t>
      </w:r>
      <w:r w:rsidR="00BD1D78" w:rsidRPr="004C6ED7">
        <w:fldChar w:fldCharType="end"/>
      </w:r>
      <w:r w:rsidR="00AE6AED" w:rsidRPr="004C6ED7">
        <w:t xml:space="preserve">. </w:t>
      </w:r>
      <w:r w:rsidR="003A7E3F" w:rsidRPr="004C6ED7">
        <w:t>Indeed, whilst the demographic and clinical practice factors may</w:t>
      </w:r>
      <w:r w:rsidR="00BD1D78" w:rsidRPr="004C6ED7">
        <w:t xml:space="preserve"> </w:t>
      </w:r>
      <w:r w:rsidR="003A7E3F" w:rsidRPr="004C6ED7">
        <w:t xml:space="preserve">be similar </w:t>
      </w:r>
      <w:r w:rsidR="00BD1D78" w:rsidRPr="004C6ED7">
        <w:t>for both</w:t>
      </w:r>
      <w:r w:rsidR="003A7E3F" w:rsidRPr="004C6ED7">
        <w:t xml:space="preserve"> groups of patients, the </w:t>
      </w:r>
      <w:r w:rsidR="00686F9D" w:rsidRPr="004C6ED7">
        <w:t>impact of the pressure ulcer on their hospital stay</w:t>
      </w:r>
      <w:r w:rsidR="003A7E3F" w:rsidRPr="004C6ED7">
        <w:t xml:space="preserve"> </w:t>
      </w:r>
      <w:r w:rsidR="00686FCC" w:rsidRPr="004C6ED7">
        <w:t>and readmission rates may vary</w:t>
      </w:r>
      <w:r w:rsidR="003A7E3F" w:rsidRPr="004C6ED7">
        <w:t xml:space="preserve">. </w:t>
      </w:r>
      <w:r w:rsidR="00915A80" w:rsidRPr="004C6ED7">
        <w:t>There is</w:t>
      </w:r>
      <w:r w:rsidR="00AE6AED" w:rsidRPr="004C6ED7">
        <w:t xml:space="preserve"> </w:t>
      </w:r>
      <w:r w:rsidR="00BD1D78" w:rsidRPr="004C6ED7">
        <w:t xml:space="preserve">clearly </w:t>
      </w:r>
      <w:r w:rsidR="00AE6AED" w:rsidRPr="004C6ED7">
        <w:t>a need to further investigate</w:t>
      </w:r>
      <w:r w:rsidR="00915A80" w:rsidRPr="004C6ED7">
        <w:t xml:space="preserve"> </w:t>
      </w:r>
      <w:r w:rsidR="002E792E" w:rsidRPr="004C6ED7">
        <w:t xml:space="preserve">the differences </w:t>
      </w:r>
      <w:r w:rsidR="00915A80" w:rsidRPr="004C6ED7">
        <w:t>between CAPU and HAPU patients</w:t>
      </w:r>
      <w:r w:rsidR="00C43247" w:rsidRPr="004C6ED7">
        <w:t xml:space="preserve"> across a wider hospital population</w:t>
      </w:r>
      <w:r w:rsidR="00915A80" w:rsidRPr="004C6ED7">
        <w:t xml:space="preserve">. </w:t>
      </w:r>
    </w:p>
    <w:p w14:paraId="2A80E038" w14:textId="05747D0F" w:rsidR="005702B3" w:rsidRDefault="00255474" w:rsidP="00C3654A">
      <w:pPr>
        <w:spacing w:line="480" w:lineRule="auto"/>
      </w:pPr>
      <w:r w:rsidRPr="004C6ED7">
        <w:t>The present study aims to characterise demographic and clinical practice factors associated with community (CAPU) and hospital acquired pressure ulcers (HAPU)</w:t>
      </w:r>
      <w:r w:rsidR="00560E9F" w:rsidRPr="004C6ED7">
        <w:rPr>
          <w:lang w:val="en-US"/>
        </w:rPr>
        <w:t xml:space="preserve">. </w:t>
      </w:r>
      <w:r w:rsidR="00945554" w:rsidRPr="004C6ED7">
        <w:rPr>
          <w:lang w:val="en-US"/>
        </w:rPr>
        <w:t xml:space="preserve">In particular, </w:t>
      </w:r>
      <w:r w:rsidR="00FE5187" w:rsidRPr="004C6ED7">
        <w:rPr>
          <w:lang w:val="en-US"/>
        </w:rPr>
        <w:t>the study</w:t>
      </w:r>
      <w:r w:rsidR="00945554" w:rsidRPr="004C6ED7">
        <w:rPr>
          <w:lang w:val="en-US"/>
        </w:rPr>
        <w:t xml:space="preserve"> evaluated</w:t>
      </w:r>
      <w:r w:rsidR="00762F02" w:rsidRPr="004C6ED7">
        <w:t xml:space="preserve"> the</w:t>
      </w:r>
      <w:r w:rsidR="00AE5558" w:rsidRPr="004C6ED7">
        <w:t xml:space="preserve"> </w:t>
      </w:r>
      <w:r w:rsidR="00FE5187" w:rsidRPr="004C6ED7">
        <w:t xml:space="preserve">patient demographics and </w:t>
      </w:r>
      <w:r w:rsidR="00AE5558" w:rsidRPr="004C6ED7">
        <w:t xml:space="preserve">key clinical </w:t>
      </w:r>
      <w:r w:rsidR="00AE6AED" w:rsidRPr="004C6ED7">
        <w:t xml:space="preserve">outcomes </w:t>
      </w:r>
      <w:r w:rsidR="00560E9F" w:rsidRPr="004C6ED7">
        <w:t>including the</w:t>
      </w:r>
      <w:r w:rsidR="00AE6AED" w:rsidRPr="004C6ED7">
        <w:t xml:space="preserve"> length of hospital stay, </w:t>
      </w:r>
      <w:r w:rsidR="00686FCC" w:rsidRPr="004C6ED7">
        <w:t xml:space="preserve">readmissions, </w:t>
      </w:r>
      <w:r w:rsidR="00AE6AED" w:rsidRPr="004C6ED7">
        <w:t xml:space="preserve">the provision of pressure </w:t>
      </w:r>
      <w:r w:rsidR="00E60052" w:rsidRPr="004C6ED7">
        <w:t xml:space="preserve">redistributing </w:t>
      </w:r>
      <w:r w:rsidR="00AE6AED" w:rsidRPr="004C6ED7">
        <w:t>equipment and the monitoring of pressure ulcer risk.</w:t>
      </w:r>
    </w:p>
    <w:p w14:paraId="585BDC23" w14:textId="77777777" w:rsidR="00C3654A" w:rsidRPr="004C6ED7" w:rsidRDefault="00C3654A" w:rsidP="00C3654A">
      <w:pPr>
        <w:spacing w:line="480" w:lineRule="auto"/>
      </w:pPr>
    </w:p>
    <w:p w14:paraId="4EF487D4" w14:textId="75B4C67E" w:rsidR="00BE10BB" w:rsidRPr="004C6ED7" w:rsidRDefault="00255474" w:rsidP="00DE5D2B">
      <w:pPr>
        <w:pStyle w:val="ListParagraph"/>
        <w:numPr>
          <w:ilvl w:val="0"/>
          <w:numId w:val="22"/>
        </w:numPr>
        <w:spacing w:line="480" w:lineRule="auto"/>
        <w:rPr>
          <w:b/>
          <w:bCs/>
        </w:rPr>
      </w:pPr>
      <w:r w:rsidRPr="004C6ED7">
        <w:rPr>
          <w:b/>
          <w:bCs/>
        </w:rPr>
        <w:t>The Study</w:t>
      </w:r>
    </w:p>
    <w:p w14:paraId="160BC2A9" w14:textId="0CA00EB7" w:rsidR="00A93CDD" w:rsidRPr="004C6ED7" w:rsidRDefault="00255474" w:rsidP="004B1E36">
      <w:pPr>
        <w:spacing w:line="480" w:lineRule="auto"/>
        <w:rPr>
          <w:i/>
          <w:iCs/>
        </w:rPr>
      </w:pPr>
      <w:r w:rsidRPr="004C6ED7">
        <w:rPr>
          <w:i/>
          <w:iCs/>
        </w:rPr>
        <w:t>3</w:t>
      </w:r>
      <w:r w:rsidR="007942B5" w:rsidRPr="004C6ED7">
        <w:rPr>
          <w:i/>
          <w:iCs/>
        </w:rPr>
        <w:t xml:space="preserve">.1 </w:t>
      </w:r>
      <w:r w:rsidRPr="004C6ED7">
        <w:rPr>
          <w:i/>
          <w:iCs/>
        </w:rPr>
        <w:t>Design</w:t>
      </w:r>
    </w:p>
    <w:p w14:paraId="34991292" w14:textId="2B25EA1A" w:rsidR="00737995" w:rsidRPr="004C6ED7" w:rsidRDefault="00255474" w:rsidP="00560E9F">
      <w:pPr>
        <w:spacing w:line="480" w:lineRule="auto"/>
      </w:pPr>
      <w:r w:rsidRPr="004C6ED7">
        <w:t>Retrospective d</w:t>
      </w:r>
      <w:r w:rsidR="003C292F" w:rsidRPr="004C6ED7">
        <w:t>ata</w:t>
      </w:r>
      <w:r w:rsidR="00D3412F" w:rsidRPr="004C6ED7">
        <w:t xml:space="preserve"> were collected </w:t>
      </w:r>
      <w:r w:rsidR="003C292F" w:rsidRPr="004C6ED7">
        <w:t>in</w:t>
      </w:r>
      <w:r w:rsidR="00D3412F" w:rsidRPr="004C6ED7">
        <w:t xml:space="preserve"> a District General H</w:t>
      </w:r>
      <w:r w:rsidR="00A93CDD" w:rsidRPr="004C6ED7">
        <w:t xml:space="preserve">ospital on an island off the </w:t>
      </w:r>
      <w:r w:rsidR="00E30ED5" w:rsidRPr="004C6ED7">
        <w:t xml:space="preserve">south </w:t>
      </w:r>
      <w:r w:rsidR="00A93CDD" w:rsidRPr="004C6ED7">
        <w:t xml:space="preserve">coast of the United Kingdom. </w:t>
      </w:r>
      <w:r w:rsidR="00E30ED5" w:rsidRPr="004C6ED7">
        <w:t>It serves a predominantly rural population</w:t>
      </w:r>
      <w:r w:rsidR="00175994" w:rsidRPr="004C6ED7">
        <w:t xml:space="preserve">, a significant </w:t>
      </w:r>
      <w:r w:rsidR="00E30ED5" w:rsidRPr="004C6ED7">
        <w:t>proportion</w:t>
      </w:r>
      <w:r w:rsidR="00175994" w:rsidRPr="004C6ED7">
        <w:t xml:space="preserve"> </w:t>
      </w:r>
      <w:r w:rsidR="003C292F" w:rsidRPr="004C6ED7">
        <w:t xml:space="preserve">(25%) </w:t>
      </w:r>
      <w:r w:rsidR="00175994" w:rsidRPr="004C6ED7">
        <w:t xml:space="preserve">of </w:t>
      </w:r>
      <w:r w:rsidR="00C537D9" w:rsidRPr="004C6ED7">
        <w:t>which are</w:t>
      </w:r>
      <w:r w:rsidR="00175994" w:rsidRPr="004C6ED7">
        <w:t xml:space="preserve"> over 65</w:t>
      </w:r>
      <w:r w:rsidR="00E30ED5" w:rsidRPr="004C6ED7">
        <w:t xml:space="preserve"> years of age</w:t>
      </w:r>
      <w:r w:rsidR="00A93CDD" w:rsidRPr="004C6ED7">
        <w:t>. The hos</w:t>
      </w:r>
      <w:r w:rsidR="00560E9F" w:rsidRPr="004C6ED7">
        <w:t>pital has orthopaedic, surgical</w:t>
      </w:r>
      <w:r w:rsidR="00A93CDD" w:rsidRPr="004C6ED7">
        <w:t xml:space="preserve"> and medical specialities, and also </w:t>
      </w:r>
      <w:r w:rsidR="00945554" w:rsidRPr="004C6ED7">
        <w:t>offers</w:t>
      </w:r>
      <w:r w:rsidR="00A93CDD" w:rsidRPr="004C6ED7">
        <w:t xml:space="preserve"> facilities for long term rehabilitation. Patients who require complex surgical medical or orthopaedic support are transferred to </w:t>
      </w:r>
      <w:r w:rsidR="00737995" w:rsidRPr="004C6ED7">
        <w:t xml:space="preserve">nearby </w:t>
      </w:r>
      <w:r w:rsidR="00A93CDD" w:rsidRPr="004C6ED7">
        <w:t>specialist centres</w:t>
      </w:r>
      <w:r w:rsidR="00C537D9" w:rsidRPr="004C6ED7">
        <w:t xml:space="preserve"> on the UK mainland</w:t>
      </w:r>
      <w:r w:rsidR="00A93CDD" w:rsidRPr="004C6ED7">
        <w:t>.</w:t>
      </w:r>
    </w:p>
    <w:p w14:paraId="3517B0FD" w14:textId="5AFFD946" w:rsidR="00255474" w:rsidRPr="004C6ED7" w:rsidRDefault="00255474" w:rsidP="00560E9F">
      <w:pPr>
        <w:spacing w:line="480" w:lineRule="auto"/>
        <w:rPr>
          <w:i/>
        </w:rPr>
      </w:pPr>
      <w:r w:rsidRPr="004C6ED7">
        <w:rPr>
          <w:i/>
        </w:rPr>
        <w:t>3.2 Method</w:t>
      </w:r>
    </w:p>
    <w:p w14:paraId="684757FE" w14:textId="5FEE4C7E" w:rsidR="00CF4637" w:rsidRPr="004C6ED7" w:rsidRDefault="00B3686C" w:rsidP="00FF15B8">
      <w:pPr>
        <w:spacing w:line="480" w:lineRule="auto"/>
      </w:pPr>
      <w:r w:rsidRPr="004C6ED7">
        <w:t xml:space="preserve">All </w:t>
      </w:r>
      <w:r w:rsidR="00E60052" w:rsidRPr="004C6ED7">
        <w:t>patients admitted</w:t>
      </w:r>
      <w:r w:rsidRPr="004C6ED7">
        <w:t xml:space="preserve"> to the District </w:t>
      </w:r>
      <w:r w:rsidR="00F14257" w:rsidRPr="004C6ED7">
        <w:t>G</w:t>
      </w:r>
      <w:r w:rsidRPr="004C6ED7">
        <w:t xml:space="preserve">eneral Hospital </w:t>
      </w:r>
      <w:r w:rsidR="00DE5D2B" w:rsidRPr="004C6ED7">
        <w:t>over 41</w:t>
      </w:r>
      <w:r w:rsidR="00C422EC">
        <w:t xml:space="preserve"> month</w:t>
      </w:r>
      <w:r w:rsidR="00DE5D2B" w:rsidRPr="004C6ED7">
        <w:t xml:space="preserve">s </w:t>
      </w:r>
      <w:proofErr w:type="gramStart"/>
      <w:r w:rsidR="00DE5D2B" w:rsidRPr="004C6ED7">
        <w:t xml:space="preserve">between 2007 </w:t>
      </w:r>
      <w:r w:rsidR="00C422EC">
        <w:t>-</w:t>
      </w:r>
      <w:r w:rsidR="00DE5D2B" w:rsidRPr="004C6ED7">
        <w:t xml:space="preserve"> 2010</w:t>
      </w:r>
      <w:proofErr w:type="gramEnd"/>
      <w:r w:rsidRPr="004C6ED7">
        <w:t xml:space="preserve"> were</w:t>
      </w:r>
      <w:r w:rsidR="00C40A8F" w:rsidRPr="004C6ED7">
        <w:t xml:space="preserve"> eligible</w:t>
      </w:r>
      <w:r w:rsidRPr="004C6ED7">
        <w:t xml:space="preserve"> for analysis. </w:t>
      </w:r>
      <w:r w:rsidR="00C40A8F" w:rsidRPr="004C6ED7">
        <w:t xml:space="preserve">Throughout their hospital stay, data were collected by a single observer (GS) using a standardised reporting </w:t>
      </w:r>
      <w:proofErr w:type="gramStart"/>
      <w:r w:rsidR="00C40A8F" w:rsidRPr="004C6ED7">
        <w:t>form</w:t>
      </w:r>
      <w:proofErr w:type="gramEnd"/>
      <w:r w:rsidR="00C40A8F" w:rsidRPr="004C6ED7">
        <w:t xml:space="preserve"> to record their risk status and, where present, the location and category of any pressure ulcers. </w:t>
      </w:r>
      <w:r w:rsidR="00E60052" w:rsidRPr="004C6ED7">
        <w:t>Where patients were readmitted multiple times, the first record of their hospital stay was included for analysis and the</w:t>
      </w:r>
      <w:r w:rsidR="00560E9F" w:rsidRPr="004C6ED7">
        <w:t>ir</w:t>
      </w:r>
      <w:r w:rsidR="00E60052" w:rsidRPr="004C6ED7">
        <w:t xml:space="preserve"> subsequent re-admission</w:t>
      </w:r>
      <w:r w:rsidR="00560E9F" w:rsidRPr="004C6ED7">
        <w:t>s</w:t>
      </w:r>
      <w:r w:rsidR="00E60052" w:rsidRPr="004C6ED7">
        <w:t xml:space="preserve"> were </w:t>
      </w:r>
      <w:r w:rsidR="00560E9F" w:rsidRPr="004C6ED7">
        <w:t xml:space="preserve">only </w:t>
      </w:r>
      <w:r w:rsidR="00E60052" w:rsidRPr="004C6ED7">
        <w:t>documented</w:t>
      </w:r>
      <w:r w:rsidR="000B5EE2" w:rsidRPr="004C6ED7">
        <w:t xml:space="preserve">. </w:t>
      </w:r>
      <w:r w:rsidR="00560E9F" w:rsidRPr="004C6ED7">
        <w:t>Clinical</w:t>
      </w:r>
      <w:r w:rsidR="002549DD" w:rsidRPr="004C6ED7">
        <w:t xml:space="preserve"> records</w:t>
      </w:r>
      <w:r w:rsidRPr="004C6ED7">
        <w:t xml:space="preserve"> </w:t>
      </w:r>
      <w:r w:rsidR="00560E9F" w:rsidRPr="004C6ED7">
        <w:t>w</w:t>
      </w:r>
      <w:r w:rsidR="00BD1D78" w:rsidRPr="004C6ED7">
        <w:t>ere</w:t>
      </w:r>
      <w:r w:rsidR="00560E9F" w:rsidRPr="004C6ED7">
        <w:t xml:space="preserve"> collated </w:t>
      </w:r>
      <w:r w:rsidRPr="004C6ED7">
        <w:t xml:space="preserve">from </w:t>
      </w:r>
      <w:r w:rsidR="007A1B0E" w:rsidRPr="004C6ED7">
        <w:t xml:space="preserve">all </w:t>
      </w:r>
      <w:r w:rsidR="00BD1D78" w:rsidRPr="004C6ED7">
        <w:t>who had a</w:t>
      </w:r>
      <w:r w:rsidRPr="004C6ED7">
        <w:t xml:space="preserve"> </w:t>
      </w:r>
      <w:proofErr w:type="spellStart"/>
      <w:r w:rsidRPr="004C6ED7">
        <w:t>Waterlow</w:t>
      </w:r>
      <w:proofErr w:type="spellEnd"/>
      <w:r w:rsidRPr="004C6ED7">
        <w:t xml:space="preserve"> Risk assessment score of </w:t>
      </w:r>
      <w:r w:rsidR="0093281A" w:rsidRPr="004C6ED7">
        <w:t xml:space="preserve">above </w:t>
      </w:r>
      <w:r w:rsidRPr="004C6ED7">
        <w:t xml:space="preserve">10 </w:t>
      </w:r>
      <w:r w:rsidR="00BC04F1" w:rsidRPr="004C6ED7">
        <w:t xml:space="preserve">at any point during </w:t>
      </w:r>
      <w:r w:rsidR="009104E2" w:rsidRPr="004C6ED7">
        <w:t xml:space="preserve">their hospital </w:t>
      </w:r>
      <w:r w:rsidR="00BD1D78" w:rsidRPr="004C6ED7">
        <w:t>stay</w:t>
      </w:r>
      <w:r w:rsidR="009104E2" w:rsidRPr="004C6ED7">
        <w:t xml:space="preserve"> </w:t>
      </w:r>
      <w:r w:rsidRPr="004C6ED7">
        <w:t>(</w:t>
      </w:r>
      <w:r w:rsidR="007F7A39" w:rsidRPr="004C6ED7">
        <w:t>defined as</w:t>
      </w:r>
      <w:r w:rsidRPr="004C6ED7">
        <w:t xml:space="preserve"> at risk of a pressure ulcer). </w:t>
      </w:r>
      <w:r w:rsidR="00BC04F1" w:rsidRPr="004C6ED7">
        <w:t>Those who did not exceed this risk threshold</w:t>
      </w:r>
      <w:r w:rsidR="00D56F7E" w:rsidRPr="004C6ED7">
        <w:t xml:space="preserve"> </w:t>
      </w:r>
      <w:r w:rsidR="00BC04F1" w:rsidRPr="004C6ED7">
        <w:t>throughout the</w:t>
      </w:r>
      <w:r w:rsidR="007A1B0E" w:rsidRPr="004C6ED7">
        <w:t>ir</w:t>
      </w:r>
      <w:r w:rsidR="00BC04F1" w:rsidRPr="004C6ED7">
        <w:t xml:space="preserve"> hospital stay </w:t>
      </w:r>
      <w:r w:rsidR="00C40A8F" w:rsidRPr="004C6ED7">
        <w:t xml:space="preserve">or did not have a PU </w:t>
      </w:r>
      <w:proofErr w:type="gramStart"/>
      <w:r w:rsidR="00C40A8F" w:rsidRPr="004C6ED7">
        <w:t xml:space="preserve">present  </w:t>
      </w:r>
      <w:r w:rsidR="00BC04F1" w:rsidRPr="004C6ED7">
        <w:t>were</w:t>
      </w:r>
      <w:proofErr w:type="gramEnd"/>
      <w:r w:rsidR="00BC04F1" w:rsidRPr="004C6ED7">
        <w:t xml:space="preserve"> </w:t>
      </w:r>
      <w:r w:rsidR="007A1B0E" w:rsidRPr="004C6ED7">
        <w:t xml:space="preserve">not included in </w:t>
      </w:r>
      <w:r w:rsidR="00BC04F1" w:rsidRPr="004C6ED7">
        <w:t xml:space="preserve">the analysis. </w:t>
      </w:r>
      <w:r w:rsidR="00291E78" w:rsidRPr="004C6ED7">
        <w:t xml:space="preserve">Patients were assessed </w:t>
      </w:r>
      <w:r w:rsidR="00BC04F1" w:rsidRPr="004C6ED7">
        <w:t xml:space="preserve">by a registered nurse </w:t>
      </w:r>
      <w:r w:rsidR="00291E78" w:rsidRPr="004C6ED7">
        <w:t xml:space="preserve">within 24 hours of being admitted to hospital, where it was </w:t>
      </w:r>
      <w:r w:rsidR="00FF15B8">
        <w:t>determined</w:t>
      </w:r>
      <w:r w:rsidR="00291E78" w:rsidRPr="004C6ED7">
        <w:t xml:space="preserve"> that they either presented with a pressure ulcer on admission (CAPU), or had no pressure ulcer present. </w:t>
      </w:r>
      <w:r w:rsidR="00C254CD" w:rsidRPr="004C6ED7">
        <w:t>P</w:t>
      </w:r>
      <w:r w:rsidR="00686FCC" w:rsidRPr="004C6ED7">
        <w:t>atients</w:t>
      </w:r>
      <w:r w:rsidR="00E60052" w:rsidRPr="004C6ED7">
        <w:t xml:space="preserve"> </w:t>
      </w:r>
      <w:r w:rsidR="00255474" w:rsidRPr="004C6ED7">
        <w:t xml:space="preserve">were excluded if reporting was not conducted by the primary observer (GS), to ensure data consistency.  If data were missing, patients were also omitted from the analysis. </w:t>
      </w:r>
      <w:r w:rsidR="00CF4637" w:rsidRPr="004C6ED7">
        <w:t xml:space="preserve">The </w:t>
      </w:r>
      <w:r w:rsidR="002549DD" w:rsidRPr="004C6ED7">
        <w:t xml:space="preserve">tissue viability </w:t>
      </w:r>
      <w:r w:rsidRPr="004C6ED7">
        <w:t xml:space="preserve">reporting </w:t>
      </w:r>
      <w:r w:rsidR="00CF4637" w:rsidRPr="004C6ED7">
        <w:t>forms capture</w:t>
      </w:r>
      <w:r w:rsidR="004B25BE" w:rsidRPr="004C6ED7">
        <w:t>d</w:t>
      </w:r>
      <w:r w:rsidR="00CF4637" w:rsidRPr="004C6ED7">
        <w:t xml:space="preserve"> information</w:t>
      </w:r>
      <w:r w:rsidRPr="004C6ED7">
        <w:t xml:space="preserve"> regarding</w:t>
      </w:r>
      <w:r w:rsidR="00CF4637" w:rsidRPr="004C6ED7">
        <w:t>:</w:t>
      </w:r>
    </w:p>
    <w:p w14:paraId="14078EA2" w14:textId="50270C6E" w:rsidR="00CF4637" w:rsidRPr="004C6ED7" w:rsidRDefault="00E30ED5" w:rsidP="004B1E36">
      <w:pPr>
        <w:pStyle w:val="ListParagraph"/>
        <w:numPr>
          <w:ilvl w:val="0"/>
          <w:numId w:val="1"/>
        </w:numPr>
        <w:spacing w:line="480" w:lineRule="auto"/>
      </w:pPr>
      <w:r w:rsidRPr="004C6ED7">
        <w:t>The location from which the</w:t>
      </w:r>
      <w:r w:rsidR="00CF4637" w:rsidRPr="004C6ED7">
        <w:t xml:space="preserve"> patient was admitted </w:t>
      </w:r>
    </w:p>
    <w:p w14:paraId="00F78AC9" w14:textId="77777777" w:rsidR="00CF4637" w:rsidRPr="004C6ED7" w:rsidRDefault="00CF4637" w:rsidP="004B1E36">
      <w:pPr>
        <w:pStyle w:val="ListParagraph"/>
        <w:numPr>
          <w:ilvl w:val="0"/>
          <w:numId w:val="1"/>
        </w:numPr>
        <w:spacing w:line="480" w:lineRule="auto"/>
      </w:pPr>
      <w:r w:rsidRPr="004C6ED7">
        <w:lastRenderedPageBreak/>
        <w:t>Date and time of admission</w:t>
      </w:r>
    </w:p>
    <w:p w14:paraId="339401C2" w14:textId="3F2CF3C6" w:rsidR="00BE10BB" w:rsidRPr="004C6ED7" w:rsidRDefault="004B25BE" w:rsidP="004B1E36">
      <w:pPr>
        <w:pStyle w:val="ListParagraph"/>
        <w:numPr>
          <w:ilvl w:val="0"/>
          <w:numId w:val="1"/>
        </w:numPr>
        <w:spacing w:line="480" w:lineRule="auto"/>
      </w:pPr>
      <w:r w:rsidRPr="004C6ED7">
        <w:t>Specific information regarding;</w:t>
      </w:r>
    </w:p>
    <w:p w14:paraId="501446EB" w14:textId="5CAF342D" w:rsidR="00CF4637" w:rsidRPr="004C6ED7" w:rsidRDefault="00CF4637" w:rsidP="00747521">
      <w:pPr>
        <w:numPr>
          <w:ilvl w:val="1"/>
          <w:numId w:val="18"/>
        </w:numPr>
        <w:spacing w:after="0" w:line="480" w:lineRule="auto"/>
      </w:pPr>
      <w:r w:rsidRPr="004C6ED7">
        <w:t>Date of the</w:t>
      </w:r>
      <w:r w:rsidR="009104E2" w:rsidRPr="004C6ED7">
        <w:t xml:space="preserve"> </w:t>
      </w:r>
      <w:proofErr w:type="spellStart"/>
      <w:r w:rsidR="00747521" w:rsidRPr="004C6ED7">
        <w:t>Waterlow</w:t>
      </w:r>
      <w:proofErr w:type="spellEnd"/>
      <w:r w:rsidR="00747521" w:rsidRPr="004C6ED7">
        <w:t xml:space="preserve"> </w:t>
      </w:r>
      <w:r w:rsidR="009104E2" w:rsidRPr="004C6ED7">
        <w:t>risk</w:t>
      </w:r>
      <w:r w:rsidRPr="004C6ED7">
        <w:t xml:space="preserve"> assessment.</w:t>
      </w:r>
    </w:p>
    <w:p w14:paraId="34F189BD" w14:textId="7AF22828" w:rsidR="00CF4637" w:rsidRPr="004C6ED7" w:rsidRDefault="002B259D" w:rsidP="004B1E36">
      <w:pPr>
        <w:numPr>
          <w:ilvl w:val="1"/>
          <w:numId w:val="18"/>
        </w:numPr>
        <w:spacing w:after="0" w:line="480" w:lineRule="auto"/>
      </w:pPr>
      <w:r w:rsidRPr="004C6ED7">
        <w:t>Maximum</w:t>
      </w:r>
      <w:r w:rsidR="00C116B6" w:rsidRPr="004C6ED7">
        <w:t xml:space="preserve"> </w:t>
      </w:r>
      <w:proofErr w:type="spellStart"/>
      <w:r w:rsidR="00CF4637" w:rsidRPr="004C6ED7">
        <w:t>Waterlow</w:t>
      </w:r>
      <w:proofErr w:type="spellEnd"/>
      <w:r w:rsidR="00CF4637" w:rsidRPr="004C6ED7">
        <w:t xml:space="preserve"> score </w:t>
      </w:r>
    </w:p>
    <w:p w14:paraId="313DEA15" w14:textId="6D69930C" w:rsidR="00CF4637" w:rsidRPr="004C6ED7" w:rsidRDefault="002B259D" w:rsidP="00CE32E2">
      <w:pPr>
        <w:numPr>
          <w:ilvl w:val="1"/>
          <w:numId w:val="18"/>
        </w:numPr>
        <w:spacing w:after="0" w:line="480" w:lineRule="auto"/>
      </w:pPr>
      <w:r w:rsidRPr="004C6ED7">
        <w:t>S</w:t>
      </w:r>
      <w:r w:rsidR="00CF4637" w:rsidRPr="004C6ED7">
        <w:t xml:space="preserve">ite and </w:t>
      </w:r>
      <w:r w:rsidR="005E4D84" w:rsidRPr="004C6ED7">
        <w:t>category</w:t>
      </w:r>
      <w:r w:rsidR="00CF4637" w:rsidRPr="004C6ED7">
        <w:t xml:space="preserve"> of pressure ulcer</w:t>
      </w:r>
      <w:r w:rsidRPr="004C6ED7">
        <w:t>, where present,</w:t>
      </w:r>
      <w:r w:rsidR="00CF4637" w:rsidRPr="004C6ED7">
        <w:t xml:space="preserve"> using t</w:t>
      </w:r>
      <w:r w:rsidR="00C537D9" w:rsidRPr="004C6ED7">
        <w:t xml:space="preserve">he EPUAP classification system </w:t>
      </w:r>
      <w:r w:rsidRPr="004C6ED7">
        <w:t>involving categories</w:t>
      </w:r>
      <w:r w:rsidR="00CF4637" w:rsidRPr="004C6ED7">
        <w:t xml:space="preserve"> 1 to 4</w:t>
      </w:r>
      <w:r w:rsidR="009104E2" w:rsidRPr="004C6ED7">
        <w:t xml:space="preserve"> </w:t>
      </w:r>
      <w:r w:rsidR="009104E2" w:rsidRPr="004C6ED7">
        <w:fldChar w:fldCharType="begin"/>
      </w:r>
      <w:r w:rsidR="006D6A6E">
        <w:instrText xml:space="preserve"> ADDIN EN.CITE &lt;EndNote&gt;&lt;Cite&gt;&lt;Author&gt;EPUAP-NPUAP&lt;/Author&gt;&lt;Year&gt;2009&lt;/Year&gt;&lt;RecNum&gt;2084&lt;/RecNum&gt;&lt;DisplayText&gt;(EPUAP-NPUAP, 2009)&lt;/DisplayText&gt;&lt;record&gt;&lt;rec-number&gt;2084&lt;/rec-number&gt;&lt;foreign-keys&gt;&lt;key app="EN" db-id="ervprze5a95tvoe59pjpvw5gezttve9wxvfs" timestamp="1351675026"&gt;2084&lt;/key&gt;&lt;/foreign-keys&gt;&lt;ref-type name="Report"&gt;27&lt;/ref-type&gt;&lt;contributors&gt;&lt;authors&gt;&lt;author&gt;EPUAP-NPUAP,&lt;/author&gt;&lt;/authors&gt;&lt;secondary-authors&gt;&lt;author&gt;European Pressure Ulcer Advisory Panel,&lt;/author&gt;&lt;author&gt;National Pressure Ulcer Advisory Panel,&lt;/author&gt;&lt;/secondary-authors&gt;&lt;/contributors&gt;&lt;titles&gt;&lt;title&gt;Prevention and treatment of pressure ulcers: quick reference guide.&lt;/title&gt;&lt;/titles&gt;&lt;dates&gt;&lt;year&gt;2009&lt;/year&gt;&lt;/dates&gt;&lt;pub-location&gt;Washington DC&lt;/pub-location&gt;&lt;urls&gt;&lt;/urls&gt;&lt;/record&gt;&lt;/Cite&gt;&lt;/EndNote&gt;</w:instrText>
      </w:r>
      <w:r w:rsidR="009104E2" w:rsidRPr="004C6ED7">
        <w:fldChar w:fldCharType="separate"/>
      </w:r>
      <w:r w:rsidR="006D6A6E">
        <w:rPr>
          <w:noProof/>
        </w:rPr>
        <w:t>(</w:t>
      </w:r>
      <w:hyperlink w:anchor="_ENREF_7" w:tooltip="EPUAP-NPUAP, 2009 #2084" w:history="1">
        <w:r w:rsidR="00CE32E2">
          <w:rPr>
            <w:noProof/>
          </w:rPr>
          <w:t>EPUAP-NPUAP, 2009</w:t>
        </w:r>
      </w:hyperlink>
      <w:r w:rsidR="006D6A6E">
        <w:rPr>
          <w:noProof/>
        </w:rPr>
        <w:t>)</w:t>
      </w:r>
      <w:r w:rsidR="009104E2" w:rsidRPr="004C6ED7">
        <w:fldChar w:fldCharType="end"/>
      </w:r>
    </w:p>
    <w:p w14:paraId="59504FFA" w14:textId="047A4035" w:rsidR="00747521" w:rsidRPr="004C6ED7" w:rsidRDefault="002B259D" w:rsidP="00E60052">
      <w:pPr>
        <w:numPr>
          <w:ilvl w:val="1"/>
          <w:numId w:val="18"/>
        </w:numPr>
        <w:spacing w:after="0" w:line="480" w:lineRule="auto"/>
      </w:pPr>
      <w:r w:rsidRPr="004C6ED7">
        <w:t>Time at which</w:t>
      </w:r>
      <w:r w:rsidR="00E30ED5" w:rsidRPr="004C6ED7">
        <w:t xml:space="preserve"> </w:t>
      </w:r>
      <w:r w:rsidRPr="004C6ED7">
        <w:t xml:space="preserve">a </w:t>
      </w:r>
      <w:r w:rsidR="00E60052" w:rsidRPr="004C6ED7">
        <w:t xml:space="preserve">pressure redistributing </w:t>
      </w:r>
      <w:r w:rsidR="009104E2" w:rsidRPr="004C6ED7">
        <w:t>support surface</w:t>
      </w:r>
      <w:r w:rsidR="00E30ED5" w:rsidRPr="004C6ED7">
        <w:t xml:space="preserve"> wa</w:t>
      </w:r>
      <w:r w:rsidR="00CF4637" w:rsidRPr="004C6ED7">
        <w:t>s obtained</w:t>
      </w:r>
    </w:p>
    <w:p w14:paraId="3493B439" w14:textId="3A3C4F28" w:rsidR="00747521" w:rsidRPr="004C6ED7" w:rsidRDefault="00555DFC" w:rsidP="00747521">
      <w:pPr>
        <w:numPr>
          <w:ilvl w:val="1"/>
          <w:numId w:val="18"/>
        </w:numPr>
        <w:spacing w:after="0" w:line="480" w:lineRule="auto"/>
      </w:pPr>
      <w:r w:rsidRPr="004C6ED7">
        <w:t>D</w:t>
      </w:r>
      <w:r w:rsidR="00C116B6" w:rsidRPr="004C6ED7">
        <w:t>ischarge location</w:t>
      </w:r>
      <w:r w:rsidRPr="004C6ED7">
        <w:t xml:space="preserve"> or mortality</w:t>
      </w:r>
    </w:p>
    <w:p w14:paraId="1815EF36" w14:textId="2AB9EF82" w:rsidR="00686FCC" w:rsidRPr="004C6ED7" w:rsidRDefault="00BD1D78" w:rsidP="00686FCC">
      <w:pPr>
        <w:numPr>
          <w:ilvl w:val="0"/>
          <w:numId w:val="18"/>
        </w:numPr>
        <w:spacing w:after="0" w:line="480" w:lineRule="auto"/>
      </w:pPr>
      <w:r w:rsidRPr="004C6ED7">
        <w:t>Readmission r</w:t>
      </w:r>
      <w:r w:rsidR="00686FCC" w:rsidRPr="004C6ED7">
        <w:t>ates over the 41 month period</w:t>
      </w:r>
    </w:p>
    <w:p w14:paraId="2ADCB019" w14:textId="77777777" w:rsidR="00747521" w:rsidRPr="004C6ED7" w:rsidRDefault="00747521" w:rsidP="00747521">
      <w:pPr>
        <w:spacing w:after="0" w:line="480" w:lineRule="auto"/>
        <w:ind w:left="720"/>
      </w:pPr>
    </w:p>
    <w:p w14:paraId="1F28E5A1" w14:textId="40F2F094" w:rsidR="005431E1" w:rsidRPr="004C6ED7" w:rsidRDefault="008D3964" w:rsidP="00BD1D78">
      <w:pPr>
        <w:spacing w:after="0" w:line="480" w:lineRule="auto"/>
      </w:pPr>
      <w:r w:rsidRPr="004C6ED7">
        <w:t>In addition, data from the hospitals central</w:t>
      </w:r>
      <w:r w:rsidR="00747521" w:rsidRPr="004C6ED7">
        <w:t xml:space="preserve"> electronic resource</w:t>
      </w:r>
      <w:r w:rsidR="00BD1D78" w:rsidRPr="004C6ED7">
        <w:t>,</w:t>
      </w:r>
      <w:r w:rsidR="00747521" w:rsidRPr="004C6ED7">
        <w:t xml:space="preserve"> including age, gender and type of </w:t>
      </w:r>
      <w:r w:rsidR="00BD1D78" w:rsidRPr="004C6ED7">
        <w:t xml:space="preserve">admission were </w:t>
      </w:r>
      <w:r w:rsidR="00747521" w:rsidRPr="004C6ED7">
        <w:t xml:space="preserve">used for analysis. </w:t>
      </w:r>
    </w:p>
    <w:p w14:paraId="2F84BB98" w14:textId="77777777" w:rsidR="00686FCC" w:rsidRPr="004C6ED7" w:rsidRDefault="00686FCC" w:rsidP="00747521">
      <w:pPr>
        <w:spacing w:after="0" w:line="480" w:lineRule="auto"/>
      </w:pPr>
    </w:p>
    <w:p w14:paraId="12F6653E" w14:textId="77777777" w:rsidR="00291E78" w:rsidRPr="004C6ED7" w:rsidRDefault="00291E78" w:rsidP="00747521">
      <w:pPr>
        <w:spacing w:after="0" w:line="480" w:lineRule="auto"/>
      </w:pPr>
    </w:p>
    <w:p w14:paraId="310456AF" w14:textId="314E1B96" w:rsidR="00E314B4" w:rsidRPr="004C6ED7" w:rsidRDefault="00815E0E" w:rsidP="004B1E36">
      <w:pPr>
        <w:spacing w:line="480" w:lineRule="auto"/>
        <w:rPr>
          <w:i/>
          <w:iCs/>
        </w:rPr>
      </w:pPr>
      <w:r w:rsidRPr="004C6ED7">
        <w:rPr>
          <w:i/>
          <w:iCs/>
        </w:rPr>
        <w:t>3.3</w:t>
      </w:r>
      <w:r w:rsidR="00255474" w:rsidRPr="004C6ED7">
        <w:rPr>
          <w:i/>
          <w:iCs/>
        </w:rPr>
        <w:t xml:space="preserve"> </w:t>
      </w:r>
      <w:r w:rsidR="004B25BE" w:rsidRPr="004C6ED7">
        <w:rPr>
          <w:i/>
          <w:iCs/>
        </w:rPr>
        <w:t>Analysis</w:t>
      </w:r>
    </w:p>
    <w:p w14:paraId="5FFDB729" w14:textId="60E8529E" w:rsidR="00E07FDB" w:rsidRPr="004C6ED7" w:rsidRDefault="00E07FDB" w:rsidP="00A12235">
      <w:pPr>
        <w:spacing w:line="480" w:lineRule="auto"/>
      </w:pPr>
      <w:r w:rsidRPr="004C6ED7">
        <w:t xml:space="preserve">Data from the </w:t>
      </w:r>
      <w:r w:rsidR="00A12235" w:rsidRPr="004C6ED7">
        <w:t>patient admissions were categorised into three distinct groups, namely;</w:t>
      </w:r>
    </w:p>
    <w:p w14:paraId="775898B5" w14:textId="536296C6" w:rsidR="00E07FDB" w:rsidRPr="004C6ED7" w:rsidRDefault="00E07FDB" w:rsidP="00FF15B8">
      <w:pPr>
        <w:pStyle w:val="ListParagraph"/>
        <w:numPr>
          <w:ilvl w:val="0"/>
          <w:numId w:val="15"/>
        </w:numPr>
        <w:spacing w:line="480" w:lineRule="auto"/>
      </w:pPr>
      <w:r w:rsidRPr="004C6ED7">
        <w:t>Patient</w:t>
      </w:r>
      <w:r w:rsidR="00C537D9" w:rsidRPr="004C6ED7">
        <w:t>s</w:t>
      </w:r>
      <w:r w:rsidRPr="004C6ED7">
        <w:t xml:space="preserve"> who were at risk (</w:t>
      </w:r>
      <w:proofErr w:type="spellStart"/>
      <w:r w:rsidRPr="004C6ED7">
        <w:t>Waterlow</w:t>
      </w:r>
      <w:proofErr w:type="spellEnd"/>
      <w:r w:rsidRPr="004C6ED7">
        <w:t xml:space="preserve"> &gt;10)</w:t>
      </w:r>
      <w:r w:rsidR="00D47530" w:rsidRPr="004C6ED7">
        <w:t xml:space="preserve"> during their adm</w:t>
      </w:r>
      <w:r w:rsidR="00B75FF5" w:rsidRPr="004C6ED7">
        <w:t>i</w:t>
      </w:r>
      <w:r w:rsidR="00D47530" w:rsidRPr="004C6ED7">
        <w:t>ssion</w:t>
      </w:r>
      <w:r w:rsidRPr="004C6ED7">
        <w:t xml:space="preserve">, but did not develop a Pressure Ulcer </w:t>
      </w:r>
      <w:r w:rsidR="002B259D" w:rsidRPr="004C6ED7">
        <w:t>(</w:t>
      </w:r>
      <w:proofErr w:type="spellStart"/>
      <w:r w:rsidR="002B259D" w:rsidRPr="004C6ED7">
        <w:t>NoPU</w:t>
      </w:r>
      <w:proofErr w:type="spellEnd"/>
      <w:r w:rsidR="002B259D" w:rsidRPr="004C6ED7">
        <w:t>)</w:t>
      </w:r>
    </w:p>
    <w:p w14:paraId="1CE75975" w14:textId="4062ABAC" w:rsidR="00E07FDB" w:rsidRPr="004C6ED7" w:rsidRDefault="00E07FDB" w:rsidP="002F281F">
      <w:pPr>
        <w:pStyle w:val="ListParagraph"/>
        <w:numPr>
          <w:ilvl w:val="0"/>
          <w:numId w:val="15"/>
        </w:numPr>
        <w:spacing w:line="480" w:lineRule="auto"/>
      </w:pPr>
      <w:r w:rsidRPr="004C6ED7">
        <w:t>Patient</w:t>
      </w:r>
      <w:r w:rsidR="00C537D9" w:rsidRPr="004C6ED7">
        <w:t>s</w:t>
      </w:r>
      <w:r w:rsidRPr="004C6ED7">
        <w:t xml:space="preserve"> who had a pressure ulcer on admission</w:t>
      </w:r>
      <w:r w:rsidR="00E36369" w:rsidRPr="004C6ED7">
        <w:t>, i.e. obtained in the community setting which could include the p</w:t>
      </w:r>
      <w:r w:rsidR="002F281F" w:rsidRPr="004C6ED7">
        <w:t>rivate</w:t>
      </w:r>
      <w:r w:rsidR="00E36369" w:rsidRPr="004C6ED7">
        <w:t xml:space="preserve"> home, r</w:t>
      </w:r>
      <w:r w:rsidR="002F281F" w:rsidRPr="004C6ED7">
        <w:t>esidential care or nursing home</w:t>
      </w:r>
      <w:r w:rsidRPr="004C6ED7">
        <w:t xml:space="preserve"> (CAPU)</w:t>
      </w:r>
    </w:p>
    <w:p w14:paraId="725FA129" w14:textId="0FC88168" w:rsidR="00E07FDB" w:rsidRPr="004C6ED7" w:rsidRDefault="00E07FDB" w:rsidP="002B259D">
      <w:pPr>
        <w:pStyle w:val="ListParagraph"/>
        <w:numPr>
          <w:ilvl w:val="0"/>
          <w:numId w:val="15"/>
        </w:numPr>
        <w:spacing w:line="480" w:lineRule="auto"/>
      </w:pPr>
      <w:r w:rsidRPr="004C6ED7">
        <w:t>Patient</w:t>
      </w:r>
      <w:r w:rsidR="00C537D9" w:rsidRPr="004C6ED7">
        <w:t>s</w:t>
      </w:r>
      <w:r w:rsidRPr="004C6ED7">
        <w:t xml:space="preserve"> who acquired a pressure ulcer </w:t>
      </w:r>
      <w:r w:rsidR="00D47530" w:rsidRPr="004C6ED7">
        <w:t>in hospital</w:t>
      </w:r>
      <w:r w:rsidRPr="004C6ED7">
        <w:t xml:space="preserve"> (HAPU) </w:t>
      </w:r>
    </w:p>
    <w:p w14:paraId="267C9A09" w14:textId="05099C7D" w:rsidR="009E61B5" w:rsidRPr="004C6ED7" w:rsidRDefault="00CB048D" w:rsidP="002F281F">
      <w:pPr>
        <w:spacing w:line="480" w:lineRule="auto"/>
      </w:pPr>
      <w:r w:rsidRPr="004C6ED7">
        <w:t xml:space="preserve">Data were collated using a custom software code in </w:t>
      </w:r>
      <w:proofErr w:type="spellStart"/>
      <w:r w:rsidRPr="004C6ED7">
        <w:t>Matlab</w:t>
      </w:r>
      <w:proofErr w:type="spellEnd"/>
      <w:r w:rsidRPr="004C6ED7">
        <w:t xml:space="preserve"> (</w:t>
      </w:r>
      <w:proofErr w:type="spellStart"/>
      <w:r w:rsidRPr="004C6ED7">
        <w:t>Mathworks</w:t>
      </w:r>
      <w:proofErr w:type="spellEnd"/>
      <w:r w:rsidRPr="004C6ED7">
        <w:t xml:space="preserve">, USA). </w:t>
      </w:r>
      <w:r w:rsidR="00E07FDB" w:rsidRPr="004C6ED7">
        <w:t xml:space="preserve">Key patient demographics and </w:t>
      </w:r>
      <w:r w:rsidR="00D47530" w:rsidRPr="004C6ED7">
        <w:t>inpatient</w:t>
      </w:r>
      <w:r w:rsidR="00E36369" w:rsidRPr="004C6ED7">
        <w:t xml:space="preserve"> clinical</w:t>
      </w:r>
      <w:r w:rsidR="00E07FDB" w:rsidRPr="004C6ED7">
        <w:t xml:space="preserve"> data</w:t>
      </w:r>
      <w:r w:rsidR="002B259D" w:rsidRPr="004C6ED7">
        <w:t xml:space="preserve"> </w:t>
      </w:r>
      <w:r w:rsidR="00E07FDB" w:rsidRPr="004C6ED7">
        <w:t xml:space="preserve">were presented using </w:t>
      </w:r>
      <w:r w:rsidR="004B24D3" w:rsidRPr="004C6ED7">
        <w:t>descriptive</w:t>
      </w:r>
      <w:r w:rsidR="00E07FDB" w:rsidRPr="004C6ED7">
        <w:t xml:space="preserve"> statistics. </w:t>
      </w:r>
      <w:r w:rsidR="00072A9A" w:rsidRPr="004C6ED7">
        <w:t>To identify trends</w:t>
      </w:r>
      <w:r w:rsidR="008C7F2F" w:rsidRPr="004C6ED7">
        <w:t xml:space="preserve"> between the </w:t>
      </w:r>
      <w:r w:rsidR="00C537D9" w:rsidRPr="004C6ED7">
        <w:t xml:space="preserve">three </w:t>
      </w:r>
      <w:r w:rsidR="008C7F2F" w:rsidRPr="004C6ED7">
        <w:t xml:space="preserve">groups (no PU, CAPU and HAPU) and </w:t>
      </w:r>
      <w:r w:rsidR="00072A9A" w:rsidRPr="004C6ED7">
        <w:t xml:space="preserve">their respective </w:t>
      </w:r>
      <w:r w:rsidR="008C7F2F" w:rsidRPr="004C6ED7">
        <w:t xml:space="preserve">pressure ulcer </w:t>
      </w:r>
      <w:r w:rsidR="008C7F2F" w:rsidRPr="004C6ED7">
        <w:lastRenderedPageBreak/>
        <w:t>severities (</w:t>
      </w:r>
      <w:r w:rsidR="00C537D9" w:rsidRPr="004C6ED7">
        <w:t>categorie</w:t>
      </w:r>
      <w:r w:rsidR="008C7F2F" w:rsidRPr="004C6ED7">
        <w:t>s 1-4)</w:t>
      </w:r>
      <w:r w:rsidR="002F281F" w:rsidRPr="004C6ED7">
        <w:t>, a</w:t>
      </w:r>
      <w:r w:rsidR="008C7F2F" w:rsidRPr="004C6ED7">
        <w:t xml:space="preserve"> </w:t>
      </w:r>
      <w:r w:rsidR="00E462B4" w:rsidRPr="004C6ED7">
        <w:t xml:space="preserve">one way ANOVA test with </w:t>
      </w:r>
      <w:proofErr w:type="spellStart"/>
      <w:r w:rsidR="00E462B4" w:rsidRPr="004C6ED7">
        <w:t>Tukey</w:t>
      </w:r>
      <w:proofErr w:type="spellEnd"/>
      <w:r w:rsidR="00E462B4" w:rsidRPr="004C6ED7">
        <w:t xml:space="preserve"> post hoc analysis</w:t>
      </w:r>
      <w:r w:rsidR="008C7F2F" w:rsidRPr="004C6ED7">
        <w:t xml:space="preserve"> was performed for continuous variables, </w:t>
      </w:r>
      <w:r w:rsidR="002F281F" w:rsidRPr="004C6ED7">
        <w:t xml:space="preserve">a </w:t>
      </w:r>
      <w:r w:rsidR="008C7F2F" w:rsidRPr="004C6ED7">
        <w:t>Mann–Whitney U-test for ordinal scale variables and</w:t>
      </w:r>
      <w:r w:rsidR="002F281F" w:rsidRPr="004C6ED7">
        <w:t xml:space="preserve"> a</w:t>
      </w:r>
      <w:r w:rsidR="008C7F2F" w:rsidRPr="004C6ED7">
        <w:t xml:space="preserve"> Chi-square test for categorical variables. </w:t>
      </w:r>
    </w:p>
    <w:p w14:paraId="30806DB9" w14:textId="77777777" w:rsidR="00166281" w:rsidRPr="004C6ED7" w:rsidRDefault="00166281" w:rsidP="00686F9D">
      <w:pPr>
        <w:spacing w:line="480" w:lineRule="auto"/>
      </w:pPr>
    </w:p>
    <w:p w14:paraId="5FB4546B" w14:textId="65B36B7E" w:rsidR="00166281" w:rsidRPr="004C6ED7" w:rsidRDefault="00815E0E" w:rsidP="00815E0E">
      <w:pPr>
        <w:pStyle w:val="ListParagraph"/>
        <w:numPr>
          <w:ilvl w:val="1"/>
          <w:numId w:val="15"/>
        </w:numPr>
        <w:spacing w:line="480" w:lineRule="auto"/>
        <w:rPr>
          <w:i/>
        </w:rPr>
      </w:pPr>
      <w:r w:rsidRPr="004C6ED7">
        <w:rPr>
          <w:i/>
        </w:rPr>
        <w:t>Ethics</w:t>
      </w:r>
    </w:p>
    <w:p w14:paraId="1F45BE92" w14:textId="1546839D" w:rsidR="00815E0E" w:rsidRPr="004C6ED7" w:rsidRDefault="00815E0E" w:rsidP="00815E0E">
      <w:pPr>
        <w:spacing w:line="480" w:lineRule="auto"/>
      </w:pPr>
      <w:r w:rsidRPr="004C6ED7">
        <w:t xml:space="preserve"> Institutional ethics was approved for the study (REC FOHS-</w:t>
      </w:r>
      <w:r w:rsidR="009E277A" w:rsidRPr="004C6ED7">
        <w:t xml:space="preserve">6097), with approval from the Research and Governance Office of the hospital acquired prior to data analysis. </w:t>
      </w:r>
    </w:p>
    <w:p w14:paraId="0E7E4EF2" w14:textId="14A27052" w:rsidR="00E314B4" w:rsidRPr="004C6ED7" w:rsidRDefault="00E314B4" w:rsidP="00DE5D2B">
      <w:pPr>
        <w:pStyle w:val="ListParagraph"/>
        <w:numPr>
          <w:ilvl w:val="0"/>
          <w:numId w:val="22"/>
        </w:numPr>
        <w:spacing w:line="480" w:lineRule="auto"/>
        <w:rPr>
          <w:b/>
          <w:bCs/>
        </w:rPr>
      </w:pPr>
      <w:r w:rsidRPr="004C6ED7">
        <w:rPr>
          <w:b/>
          <w:bCs/>
        </w:rPr>
        <w:t>Results</w:t>
      </w:r>
    </w:p>
    <w:p w14:paraId="6BCF071C" w14:textId="00509DC2" w:rsidR="007F140F" w:rsidRPr="004C6ED7" w:rsidRDefault="007F140F" w:rsidP="004B1E36">
      <w:pPr>
        <w:spacing w:line="480" w:lineRule="auto"/>
        <w:rPr>
          <w:i/>
          <w:iCs/>
        </w:rPr>
      </w:pPr>
      <w:r w:rsidRPr="004C6ED7">
        <w:rPr>
          <w:i/>
          <w:iCs/>
        </w:rPr>
        <w:t>3.1 Patient Demographics</w:t>
      </w:r>
    </w:p>
    <w:p w14:paraId="67BBF7EE" w14:textId="08F67071" w:rsidR="003E3B36" w:rsidRPr="004C6ED7" w:rsidRDefault="00D525F6" w:rsidP="000777B7">
      <w:pPr>
        <w:spacing w:line="480" w:lineRule="auto"/>
      </w:pPr>
      <w:r w:rsidRPr="004C6ED7">
        <w:t>The demog</w:t>
      </w:r>
      <w:r w:rsidR="002F2CDC" w:rsidRPr="004C6ED7">
        <w:t xml:space="preserve">raphics of the </w:t>
      </w:r>
      <w:r w:rsidR="00052D4D" w:rsidRPr="004C6ED7">
        <w:t xml:space="preserve">46,254 </w:t>
      </w:r>
      <w:r w:rsidR="002F2CDC" w:rsidRPr="004C6ED7">
        <w:t xml:space="preserve">patients </w:t>
      </w:r>
      <w:r w:rsidR="00052D4D" w:rsidRPr="004C6ED7">
        <w:t xml:space="preserve">admitted to the general district hospital </w:t>
      </w:r>
      <w:r w:rsidR="002F2CDC" w:rsidRPr="004C6ED7">
        <w:t>reflected</w:t>
      </w:r>
      <w:r w:rsidRPr="004C6ED7">
        <w:t xml:space="preserve"> the aging population </w:t>
      </w:r>
      <w:r w:rsidR="00E07FDB" w:rsidRPr="004C6ED7">
        <w:t>of the local community</w:t>
      </w:r>
      <w:r w:rsidR="00F31634" w:rsidRPr="004C6ED7">
        <w:t>, with a mean age of 56.6</w:t>
      </w:r>
      <w:r w:rsidRPr="004C6ED7">
        <w:t xml:space="preserve"> years. </w:t>
      </w:r>
      <w:r w:rsidR="00F31634" w:rsidRPr="004C6ED7">
        <w:t>Of these patients, 6516 (14</w:t>
      </w:r>
      <w:r w:rsidR="002F2CDC" w:rsidRPr="004C6ED7">
        <w:t>%</w:t>
      </w:r>
      <w:r w:rsidR="00F31634" w:rsidRPr="004C6ED7">
        <w:t>)</w:t>
      </w:r>
      <w:r w:rsidR="002F2CDC" w:rsidRPr="004C6ED7">
        <w:t xml:space="preserve"> were considered to be at risk of developing a </w:t>
      </w:r>
      <w:r w:rsidR="00BD1D78" w:rsidRPr="004C6ED7">
        <w:t>PU</w:t>
      </w:r>
      <w:r w:rsidR="002F2CDC" w:rsidRPr="004C6ED7">
        <w:t xml:space="preserve"> presenting with a </w:t>
      </w:r>
      <w:r w:rsidR="005F64CB" w:rsidRPr="004C6ED7">
        <w:t xml:space="preserve">maximum </w:t>
      </w:r>
      <w:proofErr w:type="spellStart"/>
      <w:r w:rsidR="002F2CDC" w:rsidRPr="004C6ED7">
        <w:t>Waterlow</w:t>
      </w:r>
      <w:proofErr w:type="spellEnd"/>
      <w:r w:rsidR="002F2CDC" w:rsidRPr="004C6ED7">
        <w:t xml:space="preserve"> score greater than 10</w:t>
      </w:r>
      <w:r w:rsidR="005F64CB" w:rsidRPr="004C6ED7">
        <w:t xml:space="preserve"> at some point during their </w:t>
      </w:r>
      <w:r w:rsidR="00BD1D78" w:rsidRPr="004C6ED7">
        <w:t>hospital stay</w:t>
      </w:r>
      <w:r w:rsidR="002F2CDC" w:rsidRPr="004C6ED7">
        <w:t xml:space="preserve">. </w:t>
      </w:r>
      <w:r w:rsidR="00C537D9" w:rsidRPr="004C6ED7">
        <w:t xml:space="preserve">These patients were distributed within the three </w:t>
      </w:r>
      <w:r w:rsidR="00686F9D" w:rsidRPr="004C6ED7">
        <w:t xml:space="preserve">PU </w:t>
      </w:r>
      <w:r w:rsidR="00C537D9" w:rsidRPr="004C6ED7">
        <w:t>sub-groups (</w:t>
      </w:r>
      <w:r w:rsidR="000777B7" w:rsidRPr="004C6ED7">
        <w:t>Table 1</w:t>
      </w:r>
      <w:r w:rsidR="00C537D9" w:rsidRPr="004C6ED7">
        <w:t xml:space="preserve">), each of which </w:t>
      </w:r>
      <w:proofErr w:type="gramStart"/>
      <w:r w:rsidR="00DD7BD4" w:rsidRPr="004C6ED7">
        <w:t>are</w:t>
      </w:r>
      <w:proofErr w:type="gramEnd"/>
      <w:r w:rsidR="00C537D9" w:rsidRPr="004C6ED7">
        <w:t xml:space="preserve"> described separately. </w:t>
      </w:r>
    </w:p>
    <w:p w14:paraId="77AED1E6" w14:textId="411AB2B9" w:rsidR="009E61B5" w:rsidRPr="004C6ED7" w:rsidRDefault="009E61B5" w:rsidP="004B1E36">
      <w:pPr>
        <w:spacing w:line="480" w:lineRule="auto"/>
        <w:rPr>
          <w:i/>
          <w:iCs/>
        </w:rPr>
      </w:pPr>
    </w:p>
    <w:p w14:paraId="3AE94A7C" w14:textId="2FF969AC" w:rsidR="00184D2F" w:rsidRPr="004C6ED7" w:rsidRDefault="00BD1D78" w:rsidP="00DE5D2B">
      <w:pPr>
        <w:pStyle w:val="ListParagraph"/>
        <w:numPr>
          <w:ilvl w:val="1"/>
          <w:numId w:val="22"/>
        </w:numPr>
        <w:spacing w:line="480" w:lineRule="auto"/>
        <w:rPr>
          <w:i/>
          <w:iCs/>
        </w:rPr>
      </w:pPr>
      <w:r w:rsidRPr="004C6ED7">
        <w:rPr>
          <w:i/>
          <w:iCs/>
        </w:rPr>
        <w:t>Patients who were at r</w:t>
      </w:r>
      <w:r w:rsidR="00184D2F" w:rsidRPr="004C6ED7">
        <w:rPr>
          <w:i/>
          <w:iCs/>
        </w:rPr>
        <w:t>isk and did not acquire a pressure ulcer</w:t>
      </w:r>
    </w:p>
    <w:p w14:paraId="41FC7D88" w14:textId="35156E4C" w:rsidR="007F7A39" w:rsidRPr="00C422EC" w:rsidRDefault="004C567F" w:rsidP="00C422EC">
      <w:pPr>
        <w:spacing w:line="480" w:lineRule="auto"/>
      </w:pPr>
      <w:r w:rsidRPr="004C6ED7">
        <w:t>Of the total number of patients</w:t>
      </w:r>
      <w:r w:rsidR="001F4F43" w:rsidRPr="004C6ED7">
        <w:t>,</w:t>
      </w:r>
      <w:r w:rsidRPr="004C6ED7">
        <w:t xml:space="preserve"> 3,851 (8.3</w:t>
      </w:r>
      <w:r w:rsidR="00C11C46" w:rsidRPr="004C6ED7">
        <w:t xml:space="preserve">%) </w:t>
      </w:r>
      <w:r w:rsidR="00184D2F" w:rsidRPr="004C6ED7">
        <w:t xml:space="preserve">were at risk but did not acquire </w:t>
      </w:r>
      <w:r w:rsidR="00DD7BD4" w:rsidRPr="004C6ED7">
        <w:t>a PU at</w:t>
      </w:r>
      <w:r w:rsidR="00C11C46" w:rsidRPr="004C6ED7">
        <w:t xml:space="preserve"> any point during their stay</w:t>
      </w:r>
      <w:r w:rsidR="00DD7BD4" w:rsidRPr="004C6ED7">
        <w:t xml:space="preserve"> (Table 1)</w:t>
      </w:r>
      <w:r w:rsidR="00184D2F" w:rsidRPr="004C6ED7">
        <w:t xml:space="preserve">. These </w:t>
      </w:r>
      <w:r w:rsidR="00335161" w:rsidRPr="004C6ED7">
        <w:t xml:space="preserve">patients </w:t>
      </w:r>
      <w:r w:rsidR="00D13313" w:rsidRPr="004C6ED7">
        <w:t>had</w:t>
      </w:r>
      <w:r w:rsidR="0021197E" w:rsidRPr="004C6ED7">
        <w:t xml:space="preserve"> a </w:t>
      </w:r>
      <w:r w:rsidR="00184D2F" w:rsidRPr="004C6ED7">
        <w:t xml:space="preserve">mean age </w:t>
      </w:r>
      <w:r w:rsidR="0021197E" w:rsidRPr="004C6ED7">
        <w:t xml:space="preserve">of </w:t>
      </w:r>
      <w:r w:rsidR="00C422EC">
        <w:t xml:space="preserve">74 (SD </w:t>
      </w:r>
      <w:r w:rsidR="00184D2F" w:rsidRPr="004C6ED7">
        <w:t>13.2</w:t>
      </w:r>
      <w:r w:rsidR="00C422EC">
        <w:t>)</w:t>
      </w:r>
      <w:r w:rsidR="0021197E" w:rsidRPr="004C6ED7">
        <w:t xml:space="preserve"> years</w:t>
      </w:r>
      <w:r w:rsidR="00184D2F" w:rsidRPr="004C6ED7">
        <w:t xml:space="preserve"> and </w:t>
      </w:r>
      <w:r w:rsidR="00EE06C3" w:rsidRPr="004C6ED7">
        <w:t>a</w:t>
      </w:r>
      <w:r w:rsidR="0021197E" w:rsidRPr="004C6ED7">
        <w:t xml:space="preserve"> </w:t>
      </w:r>
      <w:r w:rsidR="00EE06C3" w:rsidRPr="004C6ED7">
        <w:t>median l</w:t>
      </w:r>
      <w:r w:rsidR="00F97100" w:rsidRPr="004C6ED7">
        <w:t>ength</w:t>
      </w:r>
      <w:r w:rsidR="00184D2F" w:rsidRPr="004C6ED7">
        <w:t xml:space="preserve"> of </w:t>
      </w:r>
      <w:r w:rsidR="00D14F7F" w:rsidRPr="004C6ED7">
        <w:t xml:space="preserve">hospital </w:t>
      </w:r>
      <w:r w:rsidR="00184D2F" w:rsidRPr="004C6ED7">
        <w:t>stay</w:t>
      </w:r>
      <w:r w:rsidR="0021197E" w:rsidRPr="004C6ED7">
        <w:t xml:space="preserve"> of </w:t>
      </w:r>
      <w:r w:rsidR="00EE06C3" w:rsidRPr="004C6ED7">
        <w:t>5</w:t>
      </w:r>
      <w:r w:rsidR="00184D2F" w:rsidRPr="004C6ED7">
        <w:t xml:space="preserve"> days</w:t>
      </w:r>
      <w:r w:rsidR="00EE06C3" w:rsidRPr="004C6ED7">
        <w:t xml:space="preserve"> (range 1-229)</w:t>
      </w:r>
      <w:r w:rsidR="0021197E" w:rsidRPr="004C6ED7">
        <w:t>.</w:t>
      </w:r>
      <w:r w:rsidR="00CB7306" w:rsidRPr="004C6ED7">
        <w:t xml:space="preserve"> </w:t>
      </w:r>
      <w:r w:rsidR="002A7DB1" w:rsidRPr="004C6ED7">
        <w:t>This group</w:t>
      </w:r>
      <w:r w:rsidR="00F97100" w:rsidRPr="004C6ED7">
        <w:t xml:space="preserve"> had an</w:t>
      </w:r>
      <w:r w:rsidR="00184D2F" w:rsidRPr="004C6ED7">
        <w:t xml:space="preserve"> </w:t>
      </w:r>
      <w:r w:rsidR="00F97100" w:rsidRPr="004C6ED7">
        <w:t xml:space="preserve">average </w:t>
      </w:r>
      <w:proofErr w:type="spellStart"/>
      <w:r w:rsidR="00F97100" w:rsidRPr="004C6ED7">
        <w:t>Waterlow</w:t>
      </w:r>
      <w:proofErr w:type="spellEnd"/>
      <w:r w:rsidR="00F97100" w:rsidRPr="004C6ED7">
        <w:t xml:space="preserve"> score of </w:t>
      </w:r>
      <w:r w:rsidR="00184D2F" w:rsidRPr="004C6ED7">
        <w:t xml:space="preserve">15.2 </w:t>
      </w:r>
      <w:r w:rsidR="00C422EC">
        <w:t xml:space="preserve">(SD </w:t>
      </w:r>
      <w:r w:rsidR="00184D2F" w:rsidRPr="004C6ED7">
        <w:t>4.2</w:t>
      </w:r>
      <w:r w:rsidR="00C422EC">
        <w:t>)</w:t>
      </w:r>
      <w:r w:rsidR="00184D2F" w:rsidRPr="004C6ED7">
        <w:t xml:space="preserve"> and </w:t>
      </w:r>
      <w:r w:rsidR="004B14B2" w:rsidRPr="004C6ED7">
        <w:t>the majority (</w:t>
      </w:r>
      <w:r w:rsidR="00C422EC" w:rsidRPr="00C422EC">
        <w:t>N=</w:t>
      </w:r>
      <w:r w:rsidR="00A02D34" w:rsidRPr="004C6ED7">
        <w:t xml:space="preserve">3774 or </w:t>
      </w:r>
      <w:r w:rsidR="004B14B2" w:rsidRPr="004C6ED7">
        <w:t>98</w:t>
      </w:r>
      <w:r w:rsidR="00F97100" w:rsidRPr="004C6ED7">
        <w:t xml:space="preserve">%) of </w:t>
      </w:r>
      <w:r w:rsidR="002B259D" w:rsidRPr="004C6ED7">
        <w:t xml:space="preserve">these </w:t>
      </w:r>
      <w:r w:rsidR="00335161" w:rsidRPr="004C6ED7">
        <w:t xml:space="preserve">patients </w:t>
      </w:r>
      <w:r w:rsidR="00184D2F" w:rsidRPr="004C6ED7">
        <w:t xml:space="preserve">received a </w:t>
      </w:r>
      <w:r w:rsidR="00F97100" w:rsidRPr="004C6ED7">
        <w:t xml:space="preserve">pressure </w:t>
      </w:r>
      <w:r w:rsidR="00E60052" w:rsidRPr="004C6ED7">
        <w:t>redistributing</w:t>
      </w:r>
      <w:r w:rsidR="00F97100" w:rsidRPr="004C6ED7">
        <w:t xml:space="preserve"> mattress </w:t>
      </w:r>
      <w:r w:rsidR="00184D2F" w:rsidRPr="004C6ED7">
        <w:t>wi</w:t>
      </w:r>
      <w:r w:rsidR="002F2CDC" w:rsidRPr="004C6ED7">
        <w:t xml:space="preserve">thin 24 hours </w:t>
      </w:r>
      <w:r w:rsidR="00FB461B" w:rsidRPr="004C6ED7">
        <w:t>of being at risk of developing a pressure ulcer</w:t>
      </w:r>
      <w:r w:rsidR="00B95451" w:rsidRPr="004C6ED7">
        <w:t xml:space="preserve">. </w:t>
      </w:r>
      <w:r w:rsidR="00816470" w:rsidRPr="004C6ED7">
        <w:t xml:space="preserve"> </w:t>
      </w:r>
      <w:r w:rsidR="00886067" w:rsidRPr="004C6ED7">
        <w:t xml:space="preserve">Of </w:t>
      </w:r>
      <w:r w:rsidR="002A7DB1" w:rsidRPr="004C6ED7">
        <w:t>this group of patients</w:t>
      </w:r>
      <w:r w:rsidR="00DD7BD4" w:rsidRPr="004C6ED7">
        <w:t>,</w:t>
      </w:r>
      <w:r w:rsidR="00886067" w:rsidRPr="004C6ED7">
        <w:t xml:space="preserve"> 2231 (58%) were</w:t>
      </w:r>
      <w:r w:rsidR="00E20AC5" w:rsidRPr="004C6ED7">
        <w:t xml:space="preserve"> readmitted </w:t>
      </w:r>
      <w:r w:rsidR="00886067" w:rsidRPr="004C6ED7">
        <w:t>to the hospital at least two times</w:t>
      </w:r>
      <w:r w:rsidR="000E5640" w:rsidRPr="004C6ED7">
        <w:t xml:space="preserve"> </w:t>
      </w:r>
      <w:r w:rsidR="002B259D" w:rsidRPr="004C6ED7">
        <w:t xml:space="preserve">during </w:t>
      </w:r>
      <w:r w:rsidR="00E20AC5" w:rsidRPr="004C6ED7">
        <w:t xml:space="preserve">the 41 month period. </w:t>
      </w:r>
      <w:r w:rsidR="00011543" w:rsidRPr="004C6ED7">
        <w:t>The vast majority (</w:t>
      </w:r>
      <w:r w:rsidR="00C422EC" w:rsidRPr="00C422EC">
        <w:t>N=</w:t>
      </w:r>
      <w:r w:rsidR="00A02D34" w:rsidRPr="004C6ED7">
        <w:t xml:space="preserve">3581 or </w:t>
      </w:r>
      <w:r w:rsidR="00011543" w:rsidRPr="004C6ED7">
        <w:t xml:space="preserve">93%) were admitted from home, with the remainder being admitted from residential </w:t>
      </w:r>
      <w:r w:rsidR="00011543" w:rsidRPr="004C6ED7">
        <w:lastRenderedPageBreak/>
        <w:t>care (</w:t>
      </w:r>
      <w:r w:rsidR="00C422EC" w:rsidRPr="00C422EC">
        <w:t>N=</w:t>
      </w:r>
      <w:r w:rsidR="00A02D34" w:rsidRPr="004C6ED7">
        <w:t xml:space="preserve">193 or </w:t>
      </w:r>
      <w:r w:rsidR="00011543" w:rsidRPr="004C6ED7">
        <w:t>5%) or nursing homes (</w:t>
      </w:r>
      <w:r w:rsidR="00C422EC" w:rsidRPr="00C422EC">
        <w:t>N=</w:t>
      </w:r>
      <w:r w:rsidR="00A02D34" w:rsidRPr="004C6ED7">
        <w:t xml:space="preserve">770 or </w:t>
      </w:r>
      <w:r w:rsidR="00011543" w:rsidRPr="004C6ED7">
        <w:t xml:space="preserve">2%). </w:t>
      </w:r>
      <w:r w:rsidR="005A38B4" w:rsidRPr="004C6ED7">
        <w:t xml:space="preserve"> </w:t>
      </w:r>
      <w:r w:rsidR="00DD7BD4" w:rsidRPr="004C6ED7">
        <w:t>Most</w:t>
      </w:r>
      <w:r w:rsidR="005A38B4" w:rsidRPr="004C6ED7">
        <w:t xml:space="preserve"> of these patients </w:t>
      </w:r>
      <w:r w:rsidR="00DD7BD4" w:rsidRPr="004C6ED7">
        <w:t>attended the hospital</w:t>
      </w:r>
      <w:r w:rsidR="005A38B4" w:rsidRPr="004C6ED7">
        <w:t xml:space="preserve"> for an emergency a</w:t>
      </w:r>
      <w:r w:rsidR="00F93EAC">
        <w:t>dmission</w:t>
      </w:r>
      <w:r w:rsidR="005A38B4" w:rsidRPr="004C6ED7">
        <w:t xml:space="preserve"> (</w:t>
      </w:r>
      <w:r w:rsidR="00C422EC" w:rsidRPr="00C422EC">
        <w:t>N=</w:t>
      </w:r>
      <w:r w:rsidR="00A02D34" w:rsidRPr="004C6ED7">
        <w:t xml:space="preserve">2657 or </w:t>
      </w:r>
      <w:r w:rsidR="005A38B4" w:rsidRPr="004C6ED7">
        <w:t xml:space="preserve">69%) </w:t>
      </w:r>
      <w:r w:rsidR="00DD7BD4" w:rsidRPr="004C6ED7">
        <w:t>as opposed to</w:t>
      </w:r>
      <w:r w:rsidR="005A38B4" w:rsidRPr="004C6ED7">
        <w:t xml:space="preserve"> an elective procedure (</w:t>
      </w:r>
      <w:r w:rsidR="00C422EC" w:rsidRPr="00C422EC">
        <w:t>N=</w:t>
      </w:r>
      <w:r w:rsidR="00A02D34" w:rsidRPr="004C6ED7">
        <w:t xml:space="preserve">1194 or </w:t>
      </w:r>
      <w:r w:rsidR="005A38B4" w:rsidRPr="004C6ED7">
        <w:t>31%).</w:t>
      </w:r>
    </w:p>
    <w:p w14:paraId="6853E68F" w14:textId="77777777" w:rsidR="007F7A39" w:rsidRPr="004C6ED7" w:rsidRDefault="007F7A39" w:rsidP="005A38B4">
      <w:pPr>
        <w:spacing w:line="480" w:lineRule="auto"/>
        <w:jc w:val="center"/>
        <w:rPr>
          <w:i/>
          <w:iCs/>
        </w:rPr>
      </w:pPr>
    </w:p>
    <w:p w14:paraId="7BF02792" w14:textId="71D69E84" w:rsidR="000D04A0" w:rsidRPr="004C6ED7" w:rsidRDefault="007F140F" w:rsidP="00DE5D2B">
      <w:pPr>
        <w:pStyle w:val="ListParagraph"/>
        <w:numPr>
          <w:ilvl w:val="1"/>
          <w:numId w:val="22"/>
        </w:numPr>
        <w:spacing w:line="480" w:lineRule="auto"/>
        <w:rPr>
          <w:i/>
          <w:iCs/>
        </w:rPr>
      </w:pPr>
      <w:r w:rsidRPr="004C6ED7">
        <w:rPr>
          <w:i/>
          <w:iCs/>
        </w:rPr>
        <w:t>Patients who presented with a Pressure Ulcer on Admission</w:t>
      </w:r>
      <w:r w:rsidR="001B6DC3" w:rsidRPr="004C6ED7">
        <w:rPr>
          <w:i/>
          <w:iCs/>
        </w:rPr>
        <w:t xml:space="preserve"> (CAPU)</w:t>
      </w:r>
    </w:p>
    <w:p w14:paraId="5AFBB634" w14:textId="580BF515" w:rsidR="00E43FCC" w:rsidRPr="004C6ED7" w:rsidRDefault="00E23969" w:rsidP="00F93EAC">
      <w:pPr>
        <w:spacing w:line="480" w:lineRule="auto"/>
      </w:pPr>
      <w:r w:rsidRPr="004C6ED7">
        <w:t>There were 1,267 patients presenting with one or more PUs on admission</w:t>
      </w:r>
      <w:r w:rsidR="00DD7BD4" w:rsidRPr="004C6ED7">
        <w:t xml:space="preserve"> (CAPU)</w:t>
      </w:r>
      <w:r w:rsidRPr="004C6ED7">
        <w:t xml:space="preserve">. </w:t>
      </w:r>
      <w:r w:rsidR="00EA4F77" w:rsidRPr="004C6ED7">
        <w:t xml:space="preserve">Of these patients, 262 </w:t>
      </w:r>
      <w:r w:rsidR="00C422EC">
        <w:t xml:space="preserve">had multiple PUs </w:t>
      </w:r>
      <w:proofErr w:type="gramStart"/>
      <w:r w:rsidR="00C422EC">
        <w:t>(between 2-</w:t>
      </w:r>
      <w:r w:rsidR="00EA4F77" w:rsidRPr="004C6ED7">
        <w:t>7)</w:t>
      </w:r>
      <w:proofErr w:type="gramEnd"/>
      <w:r w:rsidR="00EA4F77" w:rsidRPr="004C6ED7">
        <w:t xml:space="preserve">, which resulted in a total CAPU count of 1473. </w:t>
      </w:r>
      <w:r w:rsidR="007F140F" w:rsidRPr="004C6ED7">
        <w:t xml:space="preserve">Patients who were admitted with </w:t>
      </w:r>
      <w:r w:rsidR="00DD7BD4" w:rsidRPr="004C6ED7">
        <w:t>a CAPU</w:t>
      </w:r>
      <w:r w:rsidR="00FB461B" w:rsidRPr="004C6ED7">
        <w:t xml:space="preserve"> </w:t>
      </w:r>
      <w:r w:rsidR="00490D4F" w:rsidRPr="004C6ED7">
        <w:t>had a mean age of</w:t>
      </w:r>
      <w:r w:rsidR="00174011" w:rsidRPr="004C6ED7">
        <w:t xml:space="preserve"> 80 </w:t>
      </w:r>
      <w:r w:rsidR="00C422EC">
        <w:t xml:space="preserve">(SD </w:t>
      </w:r>
      <w:r w:rsidR="00886067" w:rsidRPr="004C6ED7">
        <w:t>12</w:t>
      </w:r>
      <w:r w:rsidR="00C422EC">
        <w:t>)</w:t>
      </w:r>
      <w:r w:rsidR="00075120" w:rsidRPr="004C6ED7">
        <w:t xml:space="preserve"> </w:t>
      </w:r>
      <w:r w:rsidR="00490D4F" w:rsidRPr="004C6ED7">
        <w:t>years</w:t>
      </w:r>
      <w:r w:rsidR="00174011" w:rsidRPr="004C6ED7">
        <w:t xml:space="preserve"> </w:t>
      </w:r>
      <w:r w:rsidR="00E60909" w:rsidRPr="004C6ED7">
        <w:t xml:space="preserve">and a </w:t>
      </w:r>
      <w:r w:rsidR="00490D4F" w:rsidRPr="004C6ED7">
        <w:t>me</w:t>
      </w:r>
      <w:r w:rsidR="00EE06C3" w:rsidRPr="004C6ED7">
        <w:t>dian</w:t>
      </w:r>
      <w:r w:rsidR="00490D4F" w:rsidRPr="004C6ED7">
        <w:t xml:space="preserve"> hospital</w:t>
      </w:r>
      <w:r w:rsidR="00E60909" w:rsidRPr="004C6ED7">
        <w:t xml:space="preserve"> length of stay </w:t>
      </w:r>
      <w:r w:rsidR="00490D4F" w:rsidRPr="004C6ED7">
        <w:t>of</w:t>
      </w:r>
      <w:r w:rsidR="006E5576" w:rsidRPr="004C6ED7">
        <w:t xml:space="preserve"> </w:t>
      </w:r>
      <w:r w:rsidR="00886067" w:rsidRPr="004C6ED7">
        <w:t>6 days</w:t>
      </w:r>
      <w:r w:rsidR="00490D4F" w:rsidRPr="004C6ED7">
        <w:t xml:space="preserve"> </w:t>
      </w:r>
      <w:r w:rsidR="00EE06C3" w:rsidRPr="004C6ED7">
        <w:t>(range 1-235)</w:t>
      </w:r>
      <w:r w:rsidR="00886067" w:rsidRPr="004C6ED7">
        <w:t>.</w:t>
      </w:r>
      <w:r w:rsidR="00EE06C3" w:rsidRPr="004C6ED7">
        <w:t xml:space="preserve"> </w:t>
      </w:r>
      <w:r w:rsidR="00174011" w:rsidRPr="004C6ED7">
        <w:t xml:space="preserve">Of the reported </w:t>
      </w:r>
      <w:r w:rsidR="007F7A39" w:rsidRPr="004C6ED7">
        <w:t>CAPUs</w:t>
      </w:r>
      <w:r w:rsidR="00174011" w:rsidRPr="004C6ED7">
        <w:t xml:space="preserve">, the majority were </w:t>
      </w:r>
      <w:r w:rsidR="005E4D84" w:rsidRPr="004C6ED7">
        <w:t>category</w:t>
      </w:r>
      <w:r w:rsidR="00174011" w:rsidRPr="004C6ED7">
        <w:t xml:space="preserve"> 1 and 2, representing </w:t>
      </w:r>
      <w:r w:rsidR="00DD7BD4" w:rsidRPr="004C6ED7">
        <w:t>70</w:t>
      </w:r>
      <w:r w:rsidR="00174011" w:rsidRPr="004C6ED7">
        <w:t xml:space="preserve">% </w:t>
      </w:r>
      <w:r w:rsidR="00285541" w:rsidRPr="004C6ED7">
        <w:t>(</w:t>
      </w:r>
      <w:r w:rsidR="00C422EC" w:rsidRPr="00C422EC">
        <w:t>N=</w:t>
      </w:r>
      <w:r w:rsidR="00285541" w:rsidRPr="004C6ED7">
        <w:t xml:space="preserve">916) </w:t>
      </w:r>
      <w:r w:rsidR="00174011" w:rsidRPr="004C6ED7">
        <w:t xml:space="preserve">and </w:t>
      </w:r>
      <w:r w:rsidR="00DD7BD4" w:rsidRPr="004C6ED7">
        <w:t>20</w:t>
      </w:r>
      <w:r w:rsidR="00174011" w:rsidRPr="004C6ED7">
        <w:t>%</w:t>
      </w:r>
      <w:r w:rsidR="00285541" w:rsidRPr="004C6ED7">
        <w:t xml:space="preserve"> (</w:t>
      </w:r>
      <w:r w:rsidR="00C422EC" w:rsidRPr="00C422EC">
        <w:t>N=</w:t>
      </w:r>
      <w:r w:rsidR="00285541" w:rsidRPr="004C6ED7">
        <w:t>238)</w:t>
      </w:r>
      <w:r w:rsidR="00174011" w:rsidRPr="004C6ED7">
        <w:t xml:space="preserve"> of the total</w:t>
      </w:r>
      <w:r w:rsidR="001C6192" w:rsidRPr="004C6ED7">
        <w:t>,</w:t>
      </w:r>
      <w:r w:rsidR="00174011" w:rsidRPr="004C6ED7">
        <w:t xml:space="preserve"> respectively</w:t>
      </w:r>
      <w:r w:rsidR="00886067" w:rsidRPr="004C6ED7">
        <w:t xml:space="preserve"> (Table </w:t>
      </w:r>
      <w:r w:rsidR="000777B7" w:rsidRPr="004C6ED7">
        <w:t>1</w:t>
      </w:r>
      <w:r w:rsidR="00886067" w:rsidRPr="004C6ED7">
        <w:t xml:space="preserve">).  </w:t>
      </w:r>
      <w:r w:rsidR="002A7DB1" w:rsidRPr="004C6ED7">
        <w:t xml:space="preserve">Although with increasing severity of CAPU there was an associated increase in the maximum </w:t>
      </w:r>
      <w:proofErr w:type="spellStart"/>
      <w:r w:rsidR="002A7DB1" w:rsidRPr="004C6ED7">
        <w:t>Waterlow</w:t>
      </w:r>
      <w:proofErr w:type="spellEnd"/>
      <w:r w:rsidR="002A7DB1" w:rsidRPr="004C6ED7">
        <w:t xml:space="preserve"> scores (Figure </w:t>
      </w:r>
      <w:r w:rsidR="000777B7" w:rsidRPr="004C6ED7">
        <w:t>1</w:t>
      </w:r>
      <w:r w:rsidR="002A7DB1" w:rsidRPr="004C6ED7">
        <w:t>), there w</w:t>
      </w:r>
      <w:r w:rsidR="006C1253" w:rsidRPr="004C6ED7">
        <w:t>ere</w:t>
      </w:r>
      <w:r w:rsidR="002A7DB1" w:rsidRPr="004C6ED7">
        <w:t xml:space="preserve"> no corresponding changes in the length of hospital stay (Figure </w:t>
      </w:r>
      <w:r w:rsidR="000777B7" w:rsidRPr="004C6ED7">
        <w:t>2</w:t>
      </w:r>
      <w:r w:rsidR="002A7DB1" w:rsidRPr="004C6ED7">
        <w:t>). CAPU</w:t>
      </w:r>
      <w:r w:rsidR="008545B9" w:rsidRPr="004C6ED7">
        <w:t xml:space="preserve"> location did not differ significantly</w:t>
      </w:r>
      <w:r w:rsidR="002A7DB1" w:rsidRPr="004C6ED7">
        <w:t xml:space="preserve"> across the categories</w:t>
      </w:r>
      <w:r w:rsidR="00CF0760" w:rsidRPr="004C6ED7">
        <w:t xml:space="preserve">, with the sacral region </w:t>
      </w:r>
      <w:r w:rsidR="001C6192" w:rsidRPr="004C6ED7">
        <w:t>demonstrating</w:t>
      </w:r>
      <w:r w:rsidR="005F2761" w:rsidRPr="004C6ED7">
        <w:t xml:space="preserve"> the highest proportion (</w:t>
      </w:r>
      <w:r w:rsidR="00425699" w:rsidRPr="004C6ED7">
        <w:t>71</w:t>
      </w:r>
      <w:r w:rsidR="005F2761" w:rsidRPr="004C6ED7">
        <w:t>-</w:t>
      </w:r>
      <w:r w:rsidR="00425699" w:rsidRPr="004C6ED7">
        <w:t>77</w:t>
      </w:r>
      <w:r w:rsidR="00CF0760" w:rsidRPr="004C6ED7">
        <w:t>%)</w:t>
      </w:r>
      <w:r w:rsidR="008545B9" w:rsidRPr="004C6ED7">
        <w:t xml:space="preserve">. </w:t>
      </w:r>
      <w:r w:rsidR="005F2761" w:rsidRPr="004C6ED7">
        <w:t>The majority (</w:t>
      </w:r>
      <w:r w:rsidR="00C422EC" w:rsidRPr="00C422EC">
        <w:t>N=</w:t>
      </w:r>
      <w:r w:rsidR="00DA3DEE" w:rsidRPr="004C6ED7">
        <w:t xml:space="preserve">1025 or </w:t>
      </w:r>
      <w:r w:rsidR="005F2761" w:rsidRPr="004C6ED7">
        <w:t xml:space="preserve">81%) </w:t>
      </w:r>
      <w:r w:rsidR="0040347B" w:rsidRPr="004C6ED7">
        <w:t>of</w:t>
      </w:r>
      <w:r w:rsidR="006E5576" w:rsidRPr="004C6ED7">
        <w:t xml:space="preserve"> CAPU patients </w:t>
      </w:r>
      <w:r w:rsidR="0040347B" w:rsidRPr="004C6ED7">
        <w:t xml:space="preserve">received a pressure </w:t>
      </w:r>
      <w:r w:rsidR="00E60052" w:rsidRPr="004C6ED7">
        <w:t>redistributing</w:t>
      </w:r>
      <w:r w:rsidR="0040347B" w:rsidRPr="004C6ED7">
        <w:t xml:space="preserve"> mattress within 24 hours</w:t>
      </w:r>
      <w:r w:rsidR="005F2761" w:rsidRPr="004C6ED7">
        <w:t xml:space="preserve">, although this </w:t>
      </w:r>
      <w:r w:rsidR="00425699" w:rsidRPr="004C6ED7">
        <w:t xml:space="preserve">number varied, for example only 35% </w:t>
      </w:r>
      <w:r w:rsidR="00DA3DEE" w:rsidRPr="004C6ED7">
        <w:t xml:space="preserve">(34/96) </w:t>
      </w:r>
      <w:r w:rsidR="00425699" w:rsidRPr="004C6ED7">
        <w:t xml:space="preserve">of category 3 CAPU patients received a pressure redistributing device within </w:t>
      </w:r>
      <w:r w:rsidR="002A7DB1" w:rsidRPr="004C6ED7">
        <w:t>this time period</w:t>
      </w:r>
      <w:r w:rsidR="0040347B" w:rsidRPr="004C6ED7">
        <w:t xml:space="preserve">. This patient group </w:t>
      </w:r>
      <w:r w:rsidR="00FB461B" w:rsidRPr="004C6ED7">
        <w:t xml:space="preserve">was </w:t>
      </w:r>
      <w:r w:rsidR="006E5576" w:rsidRPr="004C6ED7">
        <w:t xml:space="preserve">risk </w:t>
      </w:r>
      <w:r w:rsidR="0040347B" w:rsidRPr="004C6ED7">
        <w:t xml:space="preserve">assessed using the </w:t>
      </w:r>
      <w:proofErr w:type="spellStart"/>
      <w:r w:rsidR="0040347B" w:rsidRPr="004C6ED7">
        <w:t>Waterlow</w:t>
      </w:r>
      <w:proofErr w:type="spellEnd"/>
      <w:r w:rsidR="0040347B" w:rsidRPr="004C6ED7">
        <w:t xml:space="preserve"> score </w:t>
      </w:r>
      <w:r w:rsidR="001C6192" w:rsidRPr="004C6ED7">
        <w:t>at mean intervals of</w:t>
      </w:r>
      <w:r w:rsidR="00D13313" w:rsidRPr="004C6ED7">
        <w:t xml:space="preserve"> </w:t>
      </w:r>
      <w:r w:rsidR="002A7DB1" w:rsidRPr="004C6ED7">
        <w:t xml:space="preserve">approximately </w:t>
      </w:r>
      <w:r w:rsidR="0040347B" w:rsidRPr="004C6ED7">
        <w:t>4</w:t>
      </w:r>
      <w:r w:rsidR="00DA3DEE" w:rsidRPr="004C6ED7">
        <w:t xml:space="preserve"> </w:t>
      </w:r>
      <w:r w:rsidR="00C422EC">
        <w:t>(</w:t>
      </w:r>
      <w:r w:rsidR="00C422EC">
        <w:rPr>
          <w:rFonts w:ascii="Calibri" w:eastAsia="MS Mincho" w:hAnsi="Calibri" w:cs="Arial"/>
        </w:rPr>
        <w:t xml:space="preserve">SD </w:t>
      </w:r>
      <w:r w:rsidR="00DA3DEE" w:rsidRPr="004C6ED7">
        <w:rPr>
          <w:rFonts w:ascii="Calibri" w:eastAsia="MS Mincho" w:hAnsi="Calibri" w:cs="Arial"/>
        </w:rPr>
        <w:t>5</w:t>
      </w:r>
      <w:r w:rsidR="00C422EC">
        <w:rPr>
          <w:rFonts w:ascii="Calibri" w:eastAsia="MS Mincho" w:hAnsi="Calibri" w:cs="Arial"/>
        </w:rPr>
        <w:t>)</w:t>
      </w:r>
      <w:r w:rsidR="0040347B" w:rsidRPr="004C6ED7">
        <w:t xml:space="preserve"> </w:t>
      </w:r>
      <w:r w:rsidR="00D13313" w:rsidRPr="004C6ED7">
        <w:t xml:space="preserve">days during their hospital admission. </w:t>
      </w:r>
      <w:r w:rsidR="00EA16B5" w:rsidRPr="004C6ED7">
        <w:t>A high proportion (</w:t>
      </w:r>
      <w:r w:rsidR="00C422EC" w:rsidRPr="00C422EC">
        <w:t>N=</w:t>
      </w:r>
      <w:r w:rsidR="00DA3DEE" w:rsidRPr="004C6ED7">
        <w:t xml:space="preserve">976 or </w:t>
      </w:r>
      <w:r w:rsidR="00EA16B5" w:rsidRPr="004C6ED7">
        <w:t>77%) of the CAPU group was</w:t>
      </w:r>
      <w:r w:rsidR="002A7DB1" w:rsidRPr="004C6ED7">
        <w:t xml:space="preserve"> re-admitted to hospital wi</w:t>
      </w:r>
      <w:r w:rsidR="00EA16B5" w:rsidRPr="004C6ED7">
        <w:t xml:space="preserve">thin the 41 month study period. In addition, the majority of the group were </w:t>
      </w:r>
      <w:r w:rsidR="002A7DB1" w:rsidRPr="004C6ED7">
        <w:t>admitted from private homes (</w:t>
      </w:r>
      <w:r w:rsidR="00C422EC" w:rsidRPr="00C422EC">
        <w:t>N=</w:t>
      </w:r>
      <w:r w:rsidR="00DA3DEE" w:rsidRPr="004C6ED7">
        <w:t xml:space="preserve">1026 or </w:t>
      </w:r>
      <w:r w:rsidR="002A7DB1" w:rsidRPr="004C6ED7">
        <w:t>81%)</w:t>
      </w:r>
      <w:r w:rsidR="00EA16B5" w:rsidRPr="004C6ED7">
        <w:t xml:space="preserve"> and </w:t>
      </w:r>
      <w:r w:rsidR="00BF2228" w:rsidRPr="004C6ED7">
        <w:t>were</w:t>
      </w:r>
      <w:r w:rsidR="005A38B4" w:rsidRPr="004C6ED7">
        <w:t xml:space="preserve"> </w:t>
      </w:r>
      <w:r w:rsidR="00425699" w:rsidRPr="004C6ED7">
        <w:t>emergency admissions</w:t>
      </w:r>
      <w:r w:rsidR="005A38B4" w:rsidRPr="004C6ED7">
        <w:t xml:space="preserve"> (</w:t>
      </w:r>
      <w:r w:rsidR="00C422EC" w:rsidRPr="00C422EC">
        <w:t>N=</w:t>
      </w:r>
      <w:r w:rsidR="00DA3DEE" w:rsidRPr="004C6ED7">
        <w:t xml:space="preserve">1038 or </w:t>
      </w:r>
      <w:r w:rsidR="003B50E1" w:rsidRPr="004C6ED7">
        <w:t>82%).</w:t>
      </w:r>
    </w:p>
    <w:p w14:paraId="7C3B1EE3" w14:textId="77777777" w:rsidR="00B53D7E" w:rsidRPr="004C6ED7" w:rsidRDefault="00B53D7E" w:rsidP="00EA16B5">
      <w:pPr>
        <w:spacing w:line="480" w:lineRule="auto"/>
        <w:rPr>
          <w:i/>
          <w:iCs/>
        </w:rPr>
      </w:pPr>
    </w:p>
    <w:p w14:paraId="019E5752" w14:textId="09701BC5" w:rsidR="0040347B" w:rsidRPr="004C6ED7" w:rsidRDefault="00A603F6" w:rsidP="00EA16B5">
      <w:pPr>
        <w:spacing w:line="480" w:lineRule="auto"/>
        <w:rPr>
          <w:i/>
          <w:iCs/>
        </w:rPr>
      </w:pPr>
      <w:r w:rsidRPr="004C6ED7">
        <w:rPr>
          <w:i/>
          <w:iCs/>
        </w:rPr>
        <w:t xml:space="preserve">3.4 </w:t>
      </w:r>
      <w:r w:rsidR="0040347B" w:rsidRPr="004C6ED7">
        <w:rPr>
          <w:i/>
          <w:iCs/>
        </w:rPr>
        <w:t xml:space="preserve">Patients </w:t>
      </w:r>
      <w:r w:rsidR="00EA16B5" w:rsidRPr="004C6ED7">
        <w:rPr>
          <w:i/>
          <w:iCs/>
        </w:rPr>
        <w:t>with a hospital acquired pressure ulcer</w:t>
      </w:r>
      <w:r w:rsidR="00F93EAC">
        <w:rPr>
          <w:i/>
          <w:iCs/>
        </w:rPr>
        <w:t xml:space="preserve"> (HAPU)</w:t>
      </w:r>
      <w:r w:rsidR="00F93EAC">
        <w:rPr>
          <w:i/>
          <w:iCs/>
        </w:rPr>
        <w:tab/>
      </w:r>
      <w:r w:rsidR="00F93EAC">
        <w:rPr>
          <w:i/>
          <w:iCs/>
        </w:rPr>
        <w:tab/>
        <w:t>`</w:t>
      </w:r>
    </w:p>
    <w:p w14:paraId="184FCF7E" w14:textId="7056AA69" w:rsidR="00902289" w:rsidRPr="004C6ED7" w:rsidRDefault="00332E28" w:rsidP="007F7A39">
      <w:pPr>
        <w:spacing w:line="480" w:lineRule="auto"/>
      </w:pPr>
      <w:r w:rsidRPr="004C6ED7">
        <w:t xml:space="preserve">A total of 1398 patients acquired a pressure ulcer </w:t>
      </w:r>
      <w:r w:rsidR="00EA16B5" w:rsidRPr="004C6ED7">
        <w:t>during their hospital stay</w:t>
      </w:r>
      <w:r w:rsidRPr="004C6ED7">
        <w:t xml:space="preserve">. Of these patients, 426 </w:t>
      </w:r>
      <w:r w:rsidR="002F5C84" w:rsidRPr="004C6ED7">
        <w:t xml:space="preserve">(30%) </w:t>
      </w:r>
      <w:r w:rsidRPr="004C6ED7">
        <w:t>had multiple PUs at different locations on the body (2-6 different PUs). This resulted in 1848 different pressure ulcers in this sub-</w:t>
      </w:r>
      <w:r w:rsidR="00EA16B5" w:rsidRPr="004C6ED7">
        <w:t>group</w:t>
      </w:r>
      <w:r w:rsidRPr="004C6ED7">
        <w:t xml:space="preserve">. </w:t>
      </w:r>
      <w:r w:rsidR="00EA16B5" w:rsidRPr="004C6ED7">
        <w:t xml:space="preserve">These </w:t>
      </w:r>
      <w:r w:rsidR="006E5576" w:rsidRPr="004C6ED7">
        <w:t xml:space="preserve">HAPU </w:t>
      </w:r>
      <w:r w:rsidRPr="004C6ED7">
        <w:t xml:space="preserve">patients </w:t>
      </w:r>
      <w:r w:rsidR="005F6992" w:rsidRPr="004C6ED7">
        <w:t>had a mean age of</w:t>
      </w:r>
      <w:r w:rsidR="00A603F6" w:rsidRPr="004C6ED7">
        <w:t xml:space="preserve"> 81</w:t>
      </w:r>
      <w:r w:rsidR="00990976" w:rsidRPr="004C6ED7">
        <w:t xml:space="preserve"> ±</w:t>
      </w:r>
      <w:r w:rsidR="006E5576" w:rsidRPr="004C6ED7">
        <w:t>11</w:t>
      </w:r>
      <w:r w:rsidR="005F6992" w:rsidRPr="004C6ED7">
        <w:t xml:space="preserve"> years</w:t>
      </w:r>
      <w:r w:rsidR="0040347B" w:rsidRPr="004C6ED7">
        <w:t xml:space="preserve"> and </w:t>
      </w:r>
      <w:r w:rsidR="005F6992" w:rsidRPr="004C6ED7">
        <w:lastRenderedPageBreak/>
        <w:t>a me</w:t>
      </w:r>
      <w:r w:rsidR="00EE06C3" w:rsidRPr="004C6ED7">
        <w:t>dian</w:t>
      </w:r>
      <w:r w:rsidR="0040347B" w:rsidRPr="004C6ED7">
        <w:t xml:space="preserve"> length of </w:t>
      </w:r>
      <w:r w:rsidR="005F6992" w:rsidRPr="004C6ED7">
        <w:t>hospital stay of</w:t>
      </w:r>
      <w:r w:rsidR="0040347B" w:rsidRPr="004C6ED7">
        <w:t xml:space="preserve"> </w:t>
      </w:r>
      <w:r w:rsidR="00A603F6" w:rsidRPr="004C6ED7">
        <w:t>11 days</w:t>
      </w:r>
      <w:r w:rsidR="00EE06C3" w:rsidRPr="004C6ED7">
        <w:t xml:space="preserve"> (range 1-212</w:t>
      </w:r>
      <w:r w:rsidR="00A603F6" w:rsidRPr="004C6ED7">
        <w:t xml:space="preserve"> days</w:t>
      </w:r>
      <w:r w:rsidR="00EE06C3" w:rsidRPr="004C6ED7">
        <w:t>)</w:t>
      </w:r>
      <w:r w:rsidR="0040347B" w:rsidRPr="004C6ED7">
        <w:t xml:space="preserve">. Of the reported </w:t>
      </w:r>
      <w:r w:rsidR="007F7A39" w:rsidRPr="004C6ED7">
        <w:t>HAPUs</w:t>
      </w:r>
      <w:r w:rsidR="0040347B" w:rsidRPr="004C6ED7">
        <w:t xml:space="preserve">, the majority were </w:t>
      </w:r>
      <w:r w:rsidR="005E4D84" w:rsidRPr="004C6ED7">
        <w:t>category</w:t>
      </w:r>
      <w:r w:rsidR="00A603F6" w:rsidRPr="004C6ED7">
        <w:t xml:space="preserve"> 1 and 2 ulcers, representing 50% </w:t>
      </w:r>
      <w:r w:rsidR="002F5C84" w:rsidRPr="004C6ED7">
        <w:t>(</w:t>
      </w:r>
      <w:r w:rsidR="00C422EC" w:rsidRPr="00C422EC">
        <w:t>N=</w:t>
      </w:r>
      <w:r w:rsidR="002F5C84" w:rsidRPr="004C6ED7">
        <w:t xml:space="preserve">696) </w:t>
      </w:r>
      <w:r w:rsidR="00A603F6" w:rsidRPr="004C6ED7">
        <w:t>and 36</w:t>
      </w:r>
      <w:r w:rsidR="0040347B" w:rsidRPr="004C6ED7">
        <w:t xml:space="preserve">% </w:t>
      </w:r>
      <w:r w:rsidR="002F5C84" w:rsidRPr="004C6ED7">
        <w:t>(</w:t>
      </w:r>
      <w:r w:rsidR="00C422EC" w:rsidRPr="00C422EC">
        <w:t>N=</w:t>
      </w:r>
      <w:r w:rsidR="002F5C84" w:rsidRPr="004C6ED7">
        <w:t xml:space="preserve">510) </w:t>
      </w:r>
      <w:r w:rsidR="0040347B" w:rsidRPr="004C6ED7">
        <w:t>of the total number</w:t>
      </w:r>
      <w:r w:rsidR="005F6992" w:rsidRPr="004C6ED7">
        <w:t>,</w:t>
      </w:r>
      <w:r w:rsidR="0040347B" w:rsidRPr="004C6ED7">
        <w:t xml:space="preserve"> respectively</w:t>
      </w:r>
      <w:r w:rsidR="007E5B2A" w:rsidRPr="004C6ED7">
        <w:t xml:space="preserve"> (Table </w:t>
      </w:r>
      <w:r w:rsidR="000777B7" w:rsidRPr="004C6ED7">
        <w:t>1</w:t>
      </w:r>
      <w:r w:rsidR="007E5B2A" w:rsidRPr="004C6ED7">
        <w:t>)</w:t>
      </w:r>
      <w:r w:rsidR="0040347B" w:rsidRPr="004C6ED7">
        <w:t xml:space="preserve">. </w:t>
      </w:r>
      <w:r w:rsidR="00CF0760" w:rsidRPr="004C6ED7">
        <w:t xml:space="preserve">The patients who developed a </w:t>
      </w:r>
      <w:r w:rsidR="005E4D84" w:rsidRPr="004C6ED7">
        <w:t>category</w:t>
      </w:r>
      <w:r w:rsidR="00CF0760" w:rsidRPr="004C6ED7">
        <w:t xml:space="preserve"> 3 or 4 pressure ulcer </w:t>
      </w:r>
      <w:r w:rsidR="00902289" w:rsidRPr="004C6ED7">
        <w:t>generally exhibited a</w:t>
      </w:r>
      <w:r w:rsidR="00CF0760" w:rsidRPr="004C6ED7">
        <w:t xml:space="preserve"> longer length of stay and an increased </w:t>
      </w:r>
      <w:proofErr w:type="spellStart"/>
      <w:r w:rsidR="00CF0760" w:rsidRPr="004C6ED7">
        <w:t>Waterlow</w:t>
      </w:r>
      <w:proofErr w:type="spellEnd"/>
      <w:r w:rsidR="00CF0760" w:rsidRPr="004C6ED7">
        <w:t xml:space="preserve"> score relative to those with </w:t>
      </w:r>
      <w:r w:rsidR="00EA16B5" w:rsidRPr="004C6ED7">
        <w:t>less severe</w:t>
      </w:r>
      <w:r w:rsidR="00CF0760" w:rsidRPr="004C6ED7">
        <w:t xml:space="preserve"> </w:t>
      </w:r>
      <w:r w:rsidR="005F6992" w:rsidRPr="004C6ED7">
        <w:t>PU categories</w:t>
      </w:r>
      <w:r w:rsidR="00EA16B5" w:rsidRPr="004C6ED7">
        <w:t xml:space="preserve"> (Figures </w:t>
      </w:r>
      <w:r w:rsidR="000777B7" w:rsidRPr="004C6ED7">
        <w:t>1</w:t>
      </w:r>
      <w:r w:rsidR="00EA16B5" w:rsidRPr="004C6ED7">
        <w:t>-</w:t>
      </w:r>
      <w:r w:rsidR="000777B7" w:rsidRPr="004C6ED7">
        <w:t>2</w:t>
      </w:r>
      <w:r w:rsidR="00EA16B5" w:rsidRPr="004C6ED7">
        <w:t>)</w:t>
      </w:r>
      <w:r w:rsidR="005F6992" w:rsidRPr="004C6ED7">
        <w:t xml:space="preserve">. The mean time </w:t>
      </w:r>
      <w:r w:rsidR="00686F9D" w:rsidRPr="004C6ED7">
        <w:t>interval between risk assessments was</w:t>
      </w:r>
      <w:r w:rsidR="00CF0760" w:rsidRPr="004C6ED7">
        <w:t xml:space="preserve"> </w:t>
      </w:r>
      <w:r w:rsidR="00EA16B5" w:rsidRPr="004C6ED7">
        <w:t xml:space="preserve">approximately </w:t>
      </w:r>
      <w:r w:rsidR="006E5576" w:rsidRPr="004C6ED7">
        <w:t>4</w:t>
      </w:r>
      <w:r w:rsidR="00CA4B81" w:rsidRPr="004C6ED7">
        <w:t xml:space="preserve"> </w:t>
      </w:r>
      <w:r w:rsidR="002F5C84" w:rsidRPr="004C6ED7">
        <w:rPr>
          <w:rFonts w:ascii="Calibri" w:eastAsia="MS Mincho" w:hAnsi="Calibri" w:cs="Arial"/>
        </w:rPr>
        <w:t xml:space="preserve">±6 </w:t>
      </w:r>
      <w:r w:rsidR="00CA4B81" w:rsidRPr="004C6ED7">
        <w:t>days</w:t>
      </w:r>
      <w:r w:rsidR="00291E78" w:rsidRPr="004C6ED7">
        <w:t xml:space="preserve"> and 73% </w:t>
      </w:r>
      <w:r w:rsidR="002F5C84" w:rsidRPr="004C6ED7">
        <w:t>(</w:t>
      </w:r>
      <w:r w:rsidR="00C422EC" w:rsidRPr="00C422EC">
        <w:t>N=</w:t>
      </w:r>
      <w:r w:rsidR="002F5C84" w:rsidRPr="004C6ED7">
        <w:t xml:space="preserve">1021) </w:t>
      </w:r>
      <w:r w:rsidR="00291E78" w:rsidRPr="004C6ED7">
        <w:t xml:space="preserve">of HAPU patients received a pressure redistribution mattress within 24 hours </w:t>
      </w:r>
      <w:r w:rsidR="00EA16B5" w:rsidRPr="004C6ED7">
        <w:t>of judged to be at</w:t>
      </w:r>
      <w:r w:rsidR="00902289" w:rsidRPr="004C6ED7">
        <w:t xml:space="preserve"> risk</w:t>
      </w:r>
      <w:r w:rsidR="00EA16B5" w:rsidRPr="004C6ED7">
        <w:t xml:space="preserve"> of developing a PU</w:t>
      </w:r>
      <w:r w:rsidR="00902289" w:rsidRPr="004C6ED7">
        <w:t xml:space="preserve"> </w:t>
      </w:r>
      <w:r w:rsidR="00EA16B5" w:rsidRPr="004C6ED7">
        <w:t>(</w:t>
      </w:r>
      <w:proofErr w:type="spellStart"/>
      <w:r w:rsidR="00EA16B5" w:rsidRPr="004C6ED7">
        <w:t>Waterlow</w:t>
      </w:r>
      <w:proofErr w:type="spellEnd"/>
      <w:r w:rsidR="00EA16B5" w:rsidRPr="004C6ED7">
        <w:t xml:space="preserve"> score </w:t>
      </w:r>
      <w:r w:rsidR="00902289" w:rsidRPr="004C6ED7">
        <w:t>&gt;10)</w:t>
      </w:r>
      <w:r w:rsidR="00291E78" w:rsidRPr="004C6ED7">
        <w:t>.</w:t>
      </w:r>
      <w:r w:rsidR="00CF0760" w:rsidRPr="004C6ED7">
        <w:t xml:space="preserve"> </w:t>
      </w:r>
      <w:r w:rsidR="00902289" w:rsidRPr="004C6ED7">
        <w:t xml:space="preserve">Over all PU grades, 58% </w:t>
      </w:r>
      <w:r w:rsidR="007613AE" w:rsidRPr="004C6ED7">
        <w:t>(</w:t>
      </w:r>
      <w:r w:rsidR="00C422EC" w:rsidRPr="00C422EC">
        <w:t>N=</w:t>
      </w:r>
      <w:r w:rsidR="007613AE" w:rsidRPr="004C6ED7">
        <w:t xml:space="preserve">811) </w:t>
      </w:r>
      <w:r w:rsidR="00902289" w:rsidRPr="004C6ED7">
        <w:t xml:space="preserve">were located at the sacrum and 28% </w:t>
      </w:r>
      <w:r w:rsidR="007613AE" w:rsidRPr="004C6ED7">
        <w:t>(</w:t>
      </w:r>
      <w:r w:rsidR="00C422EC" w:rsidRPr="00C422EC">
        <w:t>N=</w:t>
      </w:r>
      <w:r w:rsidR="007613AE" w:rsidRPr="004C6ED7">
        <w:t xml:space="preserve">319) </w:t>
      </w:r>
      <w:r w:rsidR="00902289" w:rsidRPr="004C6ED7">
        <w:t xml:space="preserve">at the heels. However, the later </w:t>
      </w:r>
      <w:r w:rsidR="00EA16B5" w:rsidRPr="004C6ED7">
        <w:t>site was</w:t>
      </w:r>
      <w:r w:rsidR="00902289" w:rsidRPr="004C6ED7">
        <w:t xml:space="preserve"> associated with a higher proportion of category 4 PUs (</w:t>
      </w:r>
      <w:r w:rsidR="00C422EC" w:rsidRPr="00C422EC">
        <w:t>N=</w:t>
      </w:r>
      <w:r w:rsidR="007613AE" w:rsidRPr="004C6ED7">
        <w:t xml:space="preserve">16 or </w:t>
      </w:r>
      <w:r w:rsidR="00902289" w:rsidRPr="004C6ED7">
        <w:t xml:space="preserve">49%). </w:t>
      </w:r>
      <w:r w:rsidR="00A603F6" w:rsidRPr="004C6ED7">
        <w:t xml:space="preserve">The patients presenting with HAPUs were frequently re-admitted, with 81% </w:t>
      </w:r>
      <w:r w:rsidR="007613AE" w:rsidRPr="004C6ED7">
        <w:t>(</w:t>
      </w:r>
      <w:r w:rsidR="00C422EC" w:rsidRPr="00C422EC">
        <w:t>N=</w:t>
      </w:r>
      <w:r w:rsidR="007613AE" w:rsidRPr="004C6ED7">
        <w:t xml:space="preserve">1132) </w:t>
      </w:r>
      <w:r w:rsidR="00A603F6" w:rsidRPr="004C6ED7">
        <w:t xml:space="preserve">of the primary cohort admitted to the hospital at least two times over the 41 </w:t>
      </w:r>
      <w:r w:rsidR="00EA16B5" w:rsidRPr="004C6ED7">
        <w:t>study</w:t>
      </w:r>
      <w:r w:rsidR="00A603F6" w:rsidRPr="004C6ED7">
        <w:t xml:space="preserve"> period.</w:t>
      </w:r>
      <w:r w:rsidR="00011543" w:rsidRPr="004C6ED7">
        <w:t xml:space="preserve"> Of the </w:t>
      </w:r>
      <w:r w:rsidR="00902289" w:rsidRPr="004C6ED7">
        <w:t>HA</w:t>
      </w:r>
      <w:r w:rsidR="003E2A5C" w:rsidRPr="004C6ED7">
        <w:rPr>
          <w:lang w:val="nl-NL"/>
        </w:rPr>
        <w:t>P</w:t>
      </w:r>
      <w:r w:rsidR="00902289" w:rsidRPr="004C6ED7">
        <w:t xml:space="preserve">U patients, </w:t>
      </w:r>
      <w:r w:rsidR="00011543" w:rsidRPr="004C6ED7">
        <w:t xml:space="preserve">78% </w:t>
      </w:r>
      <w:r w:rsidR="007613AE" w:rsidRPr="004C6ED7">
        <w:t>(</w:t>
      </w:r>
      <w:r w:rsidR="00C422EC" w:rsidRPr="00C422EC">
        <w:t>N=</w:t>
      </w:r>
      <w:r w:rsidR="007613AE" w:rsidRPr="004C6ED7">
        <w:t xml:space="preserve">1090) </w:t>
      </w:r>
      <w:r w:rsidR="00011543" w:rsidRPr="004C6ED7">
        <w:t>were admitted from home, with the remainder being admitted from residential care (</w:t>
      </w:r>
      <w:r w:rsidR="00C422EC" w:rsidRPr="00C422EC">
        <w:t>N=</w:t>
      </w:r>
      <w:r w:rsidR="007613AE" w:rsidRPr="004C6ED7">
        <w:t xml:space="preserve">210 or </w:t>
      </w:r>
      <w:r w:rsidR="00011543" w:rsidRPr="004C6ED7">
        <w:t>15%) or nursing homes (</w:t>
      </w:r>
      <w:r w:rsidR="00C422EC" w:rsidRPr="00C422EC">
        <w:t>N=</w:t>
      </w:r>
      <w:r w:rsidR="007613AE" w:rsidRPr="004C6ED7">
        <w:t xml:space="preserve">98 or </w:t>
      </w:r>
      <w:r w:rsidR="00011543" w:rsidRPr="004C6ED7">
        <w:t>7%).</w:t>
      </w:r>
      <w:r w:rsidR="00BF2228" w:rsidRPr="004C6ED7">
        <w:t xml:space="preserve"> </w:t>
      </w:r>
      <w:r w:rsidR="003B5315" w:rsidRPr="004C6ED7">
        <w:t xml:space="preserve"> It was documented that 75% </w:t>
      </w:r>
      <w:r w:rsidR="007613AE" w:rsidRPr="004C6ED7">
        <w:t>(</w:t>
      </w:r>
      <w:r w:rsidR="00C422EC" w:rsidRPr="00C422EC">
        <w:t>N=</w:t>
      </w:r>
      <w:r w:rsidR="007613AE" w:rsidRPr="004C6ED7">
        <w:t xml:space="preserve">1049) </w:t>
      </w:r>
      <w:r w:rsidR="003B5315" w:rsidRPr="004C6ED7">
        <w:t>of the HAPU patients were</w:t>
      </w:r>
      <w:r w:rsidR="00902289" w:rsidRPr="004C6ED7">
        <w:t xml:space="preserve"> emergency admissions.</w:t>
      </w:r>
    </w:p>
    <w:p w14:paraId="508A76B7" w14:textId="0E133697" w:rsidR="007E5B2A" w:rsidRDefault="007E5B2A" w:rsidP="00A603F6">
      <w:pPr>
        <w:spacing w:line="480" w:lineRule="auto"/>
      </w:pPr>
    </w:p>
    <w:p w14:paraId="44589144" w14:textId="77777777" w:rsidR="007A1245" w:rsidRDefault="007A1245" w:rsidP="00A603F6">
      <w:pPr>
        <w:spacing w:line="480" w:lineRule="auto"/>
      </w:pPr>
    </w:p>
    <w:p w14:paraId="5AAE44C7" w14:textId="77777777" w:rsidR="007A1245" w:rsidRDefault="007A1245" w:rsidP="00A603F6">
      <w:pPr>
        <w:spacing w:line="480" w:lineRule="auto"/>
      </w:pPr>
    </w:p>
    <w:p w14:paraId="2C23039F" w14:textId="77777777" w:rsidR="007A1245" w:rsidRDefault="007A1245" w:rsidP="00A603F6">
      <w:pPr>
        <w:spacing w:line="480" w:lineRule="auto"/>
      </w:pPr>
    </w:p>
    <w:p w14:paraId="5650B641" w14:textId="77777777" w:rsidR="007A1245" w:rsidRDefault="007A1245" w:rsidP="00A603F6">
      <w:pPr>
        <w:spacing w:line="480" w:lineRule="auto"/>
      </w:pPr>
    </w:p>
    <w:p w14:paraId="4ACBA686" w14:textId="77777777" w:rsidR="007A1245" w:rsidRDefault="007A1245" w:rsidP="00A603F6">
      <w:pPr>
        <w:spacing w:line="480" w:lineRule="auto"/>
      </w:pPr>
    </w:p>
    <w:p w14:paraId="3A2DC0A7" w14:textId="77777777" w:rsidR="007A1245" w:rsidRDefault="007A1245" w:rsidP="00A603F6">
      <w:pPr>
        <w:spacing w:line="480" w:lineRule="auto"/>
      </w:pPr>
    </w:p>
    <w:p w14:paraId="586B9EC7" w14:textId="77777777" w:rsidR="007A1245" w:rsidRDefault="007A1245" w:rsidP="00A603F6">
      <w:pPr>
        <w:spacing w:line="480" w:lineRule="auto"/>
      </w:pPr>
    </w:p>
    <w:p w14:paraId="76E6F2C1" w14:textId="77777777" w:rsidR="007A1245" w:rsidRDefault="007A1245" w:rsidP="00A603F6">
      <w:pPr>
        <w:spacing w:line="480" w:lineRule="auto"/>
      </w:pPr>
    </w:p>
    <w:p w14:paraId="3FCF165E" w14:textId="77777777" w:rsidR="007A1245" w:rsidRDefault="007A1245" w:rsidP="007A1245">
      <w:pPr>
        <w:spacing w:line="480" w:lineRule="auto"/>
        <w:rPr>
          <w:rFonts w:ascii="Calibri" w:eastAsia="MS Mincho" w:hAnsi="Calibri" w:cs="Arial"/>
          <w:i/>
          <w:iCs/>
        </w:rPr>
        <w:sectPr w:rsidR="007A1245" w:rsidSect="00C349F7">
          <w:footerReference w:type="default" r:id="rId9"/>
          <w:pgSz w:w="11906" w:h="16838"/>
          <w:pgMar w:top="1440" w:right="1440" w:bottom="1440" w:left="1440" w:header="709" w:footer="709" w:gutter="0"/>
          <w:lnNumType w:countBy="1" w:restart="continuous"/>
          <w:cols w:space="708"/>
          <w:docGrid w:linePitch="360"/>
        </w:sectPr>
      </w:pPr>
    </w:p>
    <w:p w14:paraId="6BC8CAF5" w14:textId="2C331C3D" w:rsidR="007A1245" w:rsidRPr="003A4E65" w:rsidRDefault="007A1245" w:rsidP="007A1245">
      <w:pPr>
        <w:spacing w:line="480" w:lineRule="auto"/>
        <w:rPr>
          <w:rFonts w:ascii="Calibri" w:eastAsia="MS Mincho" w:hAnsi="Calibri" w:cs="Arial"/>
          <w:i/>
          <w:iCs/>
        </w:rPr>
      </w:pPr>
      <w:proofErr w:type="gramStart"/>
      <w:r w:rsidRPr="003A4E65">
        <w:rPr>
          <w:rFonts w:ascii="Calibri" w:eastAsia="MS Mincho" w:hAnsi="Calibri" w:cs="Arial"/>
          <w:i/>
          <w:iCs/>
        </w:rPr>
        <w:lastRenderedPageBreak/>
        <w:t>Table 1.</w:t>
      </w:r>
      <w:proofErr w:type="gramEnd"/>
      <w:r w:rsidRPr="003A4E65">
        <w:rPr>
          <w:rFonts w:ascii="Calibri" w:eastAsia="MS Mincho" w:hAnsi="Calibri" w:cs="Arial"/>
          <w:i/>
          <w:iCs/>
        </w:rPr>
        <w:t xml:space="preserve"> Description of </w:t>
      </w:r>
      <w:proofErr w:type="gramStart"/>
      <w:r w:rsidRPr="003A4E65">
        <w:rPr>
          <w:rFonts w:ascii="Calibri" w:eastAsia="MS Mincho" w:hAnsi="Calibri" w:cs="Arial"/>
          <w:i/>
          <w:iCs/>
        </w:rPr>
        <w:t>patients</w:t>
      </w:r>
      <w:proofErr w:type="gramEnd"/>
      <w:r w:rsidRPr="003A4E65">
        <w:rPr>
          <w:rFonts w:ascii="Calibri" w:eastAsia="MS Mincho" w:hAnsi="Calibri" w:cs="Arial"/>
          <w:i/>
          <w:iCs/>
        </w:rPr>
        <w:t xml:space="preserve"> who were at risk</w:t>
      </w:r>
      <w:r>
        <w:rPr>
          <w:rFonts w:ascii="Calibri" w:eastAsia="MS Mincho" w:hAnsi="Calibri" w:cs="Arial"/>
          <w:i/>
          <w:iCs/>
        </w:rPr>
        <w:t xml:space="preserve"> but did not acquire a pressure ulcer (No PU),</w:t>
      </w:r>
      <w:r w:rsidRPr="003A4E65">
        <w:rPr>
          <w:rFonts w:ascii="Calibri" w:eastAsia="MS Mincho" w:hAnsi="Calibri" w:cs="Arial"/>
          <w:i/>
          <w:iCs/>
        </w:rPr>
        <w:t xml:space="preserve"> had a </w:t>
      </w:r>
      <w:r>
        <w:rPr>
          <w:rFonts w:ascii="Calibri" w:eastAsia="MS Mincho" w:hAnsi="Calibri" w:cs="Arial"/>
          <w:i/>
          <w:iCs/>
        </w:rPr>
        <w:t>community acquired pressure ulcer (CAPU) and those who</w:t>
      </w:r>
      <w:r w:rsidRPr="003A4E65">
        <w:rPr>
          <w:rFonts w:ascii="Calibri" w:eastAsia="MS Mincho" w:hAnsi="Calibri" w:cs="Arial"/>
          <w:i/>
          <w:iCs/>
        </w:rPr>
        <w:t xml:space="preserve"> developed a pressure ulcer during admission (HAPU).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1103"/>
        <w:gridCol w:w="650"/>
        <w:gridCol w:w="1024"/>
        <w:gridCol w:w="726"/>
        <w:gridCol w:w="1244"/>
        <w:gridCol w:w="1319"/>
        <w:gridCol w:w="1189"/>
        <w:gridCol w:w="1477"/>
        <w:gridCol w:w="924"/>
        <w:gridCol w:w="779"/>
        <w:gridCol w:w="950"/>
        <w:gridCol w:w="797"/>
        <w:gridCol w:w="772"/>
      </w:tblGrid>
      <w:tr w:rsidR="007A1245" w:rsidRPr="003A4E65" w14:paraId="2A073BA8" w14:textId="77777777" w:rsidTr="00F4000E">
        <w:tc>
          <w:tcPr>
            <w:tcW w:w="0" w:type="auto"/>
            <w:gridSpan w:val="2"/>
            <w:vMerge w:val="restart"/>
            <w:tcBorders>
              <w:top w:val="single" w:sz="4" w:space="0" w:color="auto"/>
            </w:tcBorders>
            <w:vAlign w:val="center"/>
          </w:tcPr>
          <w:p w14:paraId="111F06A1"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No. of Patients</w:t>
            </w:r>
          </w:p>
        </w:tc>
        <w:tc>
          <w:tcPr>
            <w:tcW w:w="0" w:type="auto"/>
            <w:tcBorders>
              <w:top w:val="single" w:sz="4" w:space="0" w:color="auto"/>
            </w:tcBorders>
          </w:tcPr>
          <w:p w14:paraId="6E4DF812" w14:textId="77777777" w:rsidR="007A1245" w:rsidRPr="003A4E65" w:rsidRDefault="007A1245" w:rsidP="00F4000E">
            <w:pPr>
              <w:jc w:val="center"/>
              <w:rPr>
                <w:rFonts w:ascii="Calibri" w:eastAsia="MS Mincho" w:hAnsi="Calibri" w:cs="Arial"/>
                <w:b/>
                <w:bCs/>
              </w:rPr>
            </w:pPr>
          </w:p>
        </w:tc>
        <w:tc>
          <w:tcPr>
            <w:tcW w:w="0" w:type="auto"/>
            <w:vMerge w:val="restart"/>
            <w:tcBorders>
              <w:top w:val="single" w:sz="4" w:space="0" w:color="auto"/>
            </w:tcBorders>
            <w:vAlign w:val="center"/>
          </w:tcPr>
          <w:p w14:paraId="4032C379"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Age (years)</w:t>
            </w:r>
            <w:r>
              <w:rPr>
                <w:rFonts w:ascii="Calibri" w:eastAsia="MS Mincho" w:hAnsi="Calibri" w:cs="Arial"/>
                <w:b/>
                <w:bCs/>
              </w:rPr>
              <w:t xml:space="preserve"> mean </w:t>
            </w:r>
            <w:r w:rsidRPr="00843198">
              <w:rPr>
                <w:rFonts w:ascii="Calibri" w:eastAsia="MS Mincho" w:hAnsi="Calibri" w:cs="Arial"/>
                <w:b/>
              </w:rPr>
              <w:t>± SD</w:t>
            </w:r>
          </w:p>
        </w:tc>
        <w:tc>
          <w:tcPr>
            <w:tcW w:w="0" w:type="auto"/>
            <w:vMerge w:val="restart"/>
            <w:tcBorders>
              <w:top w:val="single" w:sz="4" w:space="0" w:color="auto"/>
            </w:tcBorders>
            <w:vAlign w:val="center"/>
          </w:tcPr>
          <w:p w14:paraId="7681D93D"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Male (%)</w:t>
            </w:r>
          </w:p>
        </w:tc>
        <w:tc>
          <w:tcPr>
            <w:tcW w:w="0" w:type="auto"/>
            <w:vMerge w:val="restart"/>
            <w:tcBorders>
              <w:top w:val="single" w:sz="4" w:space="0" w:color="auto"/>
            </w:tcBorders>
            <w:vAlign w:val="center"/>
          </w:tcPr>
          <w:p w14:paraId="6E77E2A8"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Length of stay (days)</w:t>
            </w:r>
            <w:r>
              <w:rPr>
                <w:rFonts w:ascii="Calibri" w:eastAsia="MS Mincho" w:hAnsi="Calibri" w:cs="Arial"/>
                <w:b/>
                <w:bCs/>
              </w:rPr>
              <w:t xml:space="preserve"> median (range)</w:t>
            </w:r>
          </w:p>
        </w:tc>
        <w:tc>
          <w:tcPr>
            <w:tcW w:w="0" w:type="auto"/>
            <w:vMerge w:val="restart"/>
            <w:tcBorders>
              <w:top w:val="single" w:sz="4" w:space="0" w:color="auto"/>
            </w:tcBorders>
            <w:vAlign w:val="center"/>
          </w:tcPr>
          <w:p w14:paraId="083F3DA5"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 xml:space="preserve">Peak </w:t>
            </w:r>
            <w:proofErr w:type="spellStart"/>
            <w:r w:rsidRPr="003A4E65">
              <w:rPr>
                <w:rFonts w:ascii="Calibri" w:eastAsia="MS Mincho" w:hAnsi="Calibri" w:cs="Arial"/>
                <w:b/>
                <w:bCs/>
              </w:rPr>
              <w:t>Waterlow</w:t>
            </w:r>
            <w:proofErr w:type="spellEnd"/>
            <w:r w:rsidRPr="003A4E65">
              <w:rPr>
                <w:rFonts w:ascii="Calibri" w:eastAsia="MS Mincho" w:hAnsi="Calibri" w:cs="Arial"/>
                <w:b/>
                <w:bCs/>
              </w:rPr>
              <w:t xml:space="preserve"> </w:t>
            </w:r>
            <w:r>
              <w:rPr>
                <w:rFonts w:ascii="Calibri" w:eastAsia="MS Mincho" w:hAnsi="Calibri" w:cs="Arial"/>
                <w:b/>
                <w:bCs/>
              </w:rPr>
              <w:t xml:space="preserve">mean </w:t>
            </w:r>
            <w:r w:rsidRPr="00843198">
              <w:rPr>
                <w:rFonts w:ascii="Calibri" w:eastAsia="MS Mincho" w:hAnsi="Calibri" w:cs="Arial"/>
                <w:b/>
              </w:rPr>
              <w:t>± SD</w:t>
            </w:r>
          </w:p>
        </w:tc>
        <w:tc>
          <w:tcPr>
            <w:tcW w:w="0" w:type="auto"/>
            <w:vMerge w:val="restart"/>
            <w:tcBorders>
              <w:top w:val="single" w:sz="4" w:space="0" w:color="auto"/>
            </w:tcBorders>
            <w:vAlign w:val="center"/>
          </w:tcPr>
          <w:p w14:paraId="7D2CAB18"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Mattress within 24hr*</w:t>
            </w:r>
          </w:p>
        </w:tc>
        <w:tc>
          <w:tcPr>
            <w:tcW w:w="0" w:type="auto"/>
            <w:vMerge w:val="restart"/>
            <w:tcBorders>
              <w:top w:val="single" w:sz="4" w:space="0" w:color="auto"/>
            </w:tcBorders>
            <w:vAlign w:val="center"/>
          </w:tcPr>
          <w:p w14:paraId="35ACB4DA" w14:textId="77777777" w:rsidR="007A1245" w:rsidRPr="003A4E65" w:rsidRDefault="007A1245" w:rsidP="00F4000E">
            <w:pPr>
              <w:jc w:val="center"/>
              <w:rPr>
                <w:rFonts w:ascii="Calibri" w:eastAsia="MS Mincho" w:hAnsi="Calibri" w:cs="Arial"/>
                <w:b/>
                <w:bCs/>
              </w:rPr>
            </w:pPr>
            <w:r>
              <w:rPr>
                <w:rFonts w:ascii="Calibri" w:eastAsia="MS Mincho" w:hAnsi="Calibri" w:cs="Arial"/>
                <w:b/>
                <w:bCs/>
              </w:rPr>
              <w:t>I</w:t>
            </w:r>
            <w:r w:rsidRPr="003A4E65">
              <w:rPr>
                <w:rFonts w:ascii="Calibri" w:eastAsia="MS Mincho" w:hAnsi="Calibri" w:cs="Arial"/>
                <w:b/>
                <w:bCs/>
              </w:rPr>
              <w:t>ntervals between Risk Assess (days)</w:t>
            </w:r>
            <w:r>
              <w:rPr>
                <w:rFonts w:ascii="Calibri" w:eastAsia="MS Mincho" w:hAnsi="Calibri" w:cs="Arial"/>
                <w:b/>
                <w:bCs/>
              </w:rPr>
              <w:t xml:space="preserve"> mean </w:t>
            </w:r>
            <w:r w:rsidRPr="00843198">
              <w:rPr>
                <w:rFonts w:ascii="Calibri" w:eastAsia="MS Mincho" w:hAnsi="Calibri" w:cs="Arial"/>
                <w:b/>
              </w:rPr>
              <w:t>± SD</w:t>
            </w:r>
          </w:p>
        </w:tc>
        <w:tc>
          <w:tcPr>
            <w:tcW w:w="0" w:type="auto"/>
            <w:gridSpan w:val="5"/>
            <w:tcBorders>
              <w:top w:val="single" w:sz="4" w:space="0" w:color="auto"/>
            </w:tcBorders>
            <w:vAlign w:val="center"/>
          </w:tcPr>
          <w:p w14:paraId="3DA2CFB6"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Location</w:t>
            </w:r>
            <w:r>
              <w:rPr>
                <w:rFonts w:ascii="Calibri" w:eastAsia="MS Mincho" w:hAnsi="Calibri" w:cs="Arial"/>
                <w:b/>
                <w:bCs/>
              </w:rPr>
              <w:t xml:space="preserve"> number (percentage)</w:t>
            </w:r>
          </w:p>
        </w:tc>
      </w:tr>
      <w:tr w:rsidR="007A1245" w:rsidRPr="003A4E65" w14:paraId="3B85CB8A" w14:textId="77777777" w:rsidTr="00F4000E">
        <w:tc>
          <w:tcPr>
            <w:tcW w:w="0" w:type="auto"/>
            <w:gridSpan w:val="2"/>
            <w:vMerge/>
            <w:tcBorders>
              <w:bottom w:val="single" w:sz="4" w:space="0" w:color="auto"/>
            </w:tcBorders>
            <w:vAlign w:val="center"/>
          </w:tcPr>
          <w:p w14:paraId="72885AE5" w14:textId="77777777" w:rsidR="007A1245" w:rsidRPr="003A4E65" w:rsidRDefault="007A1245" w:rsidP="00F4000E">
            <w:pPr>
              <w:jc w:val="center"/>
              <w:rPr>
                <w:rFonts w:ascii="Calibri" w:eastAsia="MS Mincho" w:hAnsi="Calibri" w:cs="Arial"/>
              </w:rPr>
            </w:pPr>
          </w:p>
        </w:tc>
        <w:tc>
          <w:tcPr>
            <w:tcW w:w="0" w:type="auto"/>
            <w:tcBorders>
              <w:bottom w:val="single" w:sz="4" w:space="0" w:color="auto"/>
            </w:tcBorders>
          </w:tcPr>
          <w:p w14:paraId="7413EC3D"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 of PUs</w:t>
            </w:r>
          </w:p>
        </w:tc>
        <w:tc>
          <w:tcPr>
            <w:tcW w:w="0" w:type="auto"/>
            <w:vMerge/>
            <w:tcBorders>
              <w:bottom w:val="single" w:sz="4" w:space="0" w:color="auto"/>
            </w:tcBorders>
            <w:vAlign w:val="center"/>
          </w:tcPr>
          <w:p w14:paraId="3B5AD353" w14:textId="77777777" w:rsidR="007A1245" w:rsidRPr="003A4E65" w:rsidRDefault="007A1245" w:rsidP="00F4000E">
            <w:pPr>
              <w:jc w:val="center"/>
              <w:rPr>
                <w:rFonts w:ascii="Calibri" w:eastAsia="MS Mincho" w:hAnsi="Calibri" w:cs="Arial"/>
                <w:b/>
                <w:bCs/>
              </w:rPr>
            </w:pPr>
          </w:p>
        </w:tc>
        <w:tc>
          <w:tcPr>
            <w:tcW w:w="0" w:type="auto"/>
            <w:vMerge/>
            <w:tcBorders>
              <w:bottom w:val="single" w:sz="4" w:space="0" w:color="auto"/>
            </w:tcBorders>
            <w:vAlign w:val="center"/>
          </w:tcPr>
          <w:p w14:paraId="2669F809" w14:textId="77777777" w:rsidR="007A1245" w:rsidRPr="003A4E65" w:rsidRDefault="007A1245" w:rsidP="00F4000E">
            <w:pPr>
              <w:jc w:val="center"/>
              <w:rPr>
                <w:rFonts w:ascii="Calibri" w:eastAsia="MS Mincho" w:hAnsi="Calibri" w:cs="Arial"/>
                <w:b/>
                <w:bCs/>
              </w:rPr>
            </w:pPr>
          </w:p>
        </w:tc>
        <w:tc>
          <w:tcPr>
            <w:tcW w:w="0" w:type="auto"/>
            <w:vMerge/>
            <w:tcBorders>
              <w:bottom w:val="single" w:sz="4" w:space="0" w:color="auto"/>
            </w:tcBorders>
            <w:vAlign w:val="center"/>
          </w:tcPr>
          <w:p w14:paraId="4A5D45CA" w14:textId="77777777" w:rsidR="007A1245" w:rsidRPr="003A4E65" w:rsidRDefault="007A1245" w:rsidP="00F4000E">
            <w:pPr>
              <w:jc w:val="center"/>
              <w:rPr>
                <w:rFonts w:ascii="Calibri" w:eastAsia="MS Mincho" w:hAnsi="Calibri" w:cs="Arial"/>
                <w:b/>
                <w:bCs/>
              </w:rPr>
            </w:pPr>
          </w:p>
        </w:tc>
        <w:tc>
          <w:tcPr>
            <w:tcW w:w="0" w:type="auto"/>
            <w:vMerge/>
            <w:tcBorders>
              <w:bottom w:val="single" w:sz="4" w:space="0" w:color="auto"/>
            </w:tcBorders>
            <w:vAlign w:val="center"/>
          </w:tcPr>
          <w:p w14:paraId="774B2C06" w14:textId="77777777" w:rsidR="007A1245" w:rsidRPr="003A4E65" w:rsidRDefault="007A1245" w:rsidP="00F4000E">
            <w:pPr>
              <w:jc w:val="center"/>
              <w:rPr>
                <w:rFonts w:ascii="Calibri" w:eastAsia="MS Mincho" w:hAnsi="Calibri" w:cs="Arial"/>
                <w:b/>
                <w:bCs/>
              </w:rPr>
            </w:pPr>
          </w:p>
        </w:tc>
        <w:tc>
          <w:tcPr>
            <w:tcW w:w="0" w:type="auto"/>
            <w:vMerge/>
            <w:tcBorders>
              <w:bottom w:val="single" w:sz="4" w:space="0" w:color="auto"/>
            </w:tcBorders>
            <w:vAlign w:val="center"/>
          </w:tcPr>
          <w:p w14:paraId="19E4D3A0" w14:textId="77777777" w:rsidR="007A1245" w:rsidRPr="003A4E65" w:rsidRDefault="007A1245" w:rsidP="00F4000E">
            <w:pPr>
              <w:jc w:val="center"/>
              <w:rPr>
                <w:rFonts w:ascii="Calibri" w:eastAsia="MS Mincho" w:hAnsi="Calibri" w:cs="Arial"/>
                <w:b/>
                <w:bCs/>
              </w:rPr>
            </w:pPr>
          </w:p>
        </w:tc>
        <w:tc>
          <w:tcPr>
            <w:tcW w:w="0" w:type="auto"/>
            <w:vMerge/>
            <w:tcBorders>
              <w:bottom w:val="single" w:sz="4" w:space="0" w:color="auto"/>
            </w:tcBorders>
            <w:vAlign w:val="center"/>
          </w:tcPr>
          <w:p w14:paraId="7A9754BF" w14:textId="77777777" w:rsidR="007A1245" w:rsidRPr="003A4E65" w:rsidRDefault="007A1245" w:rsidP="00F4000E">
            <w:pPr>
              <w:jc w:val="center"/>
              <w:rPr>
                <w:rFonts w:ascii="Calibri" w:eastAsia="MS Mincho" w:hAnsi="Calibri" w:cs="Arial"/>
                <w:b/>
                <w:bCs/>
              </w:rPr>
            </w:pPr>
          </w:p>
        </w:tc>
        <w:tc>
          <w:tcPr>
            <w:tcW w:w="0" w:type="auto"/>
            <w:tcBorders>
              <w:bottom w:val="single" w:sz="4" w:space="0" w:color="auto"/>
            </w:tcBorders>
            <w:vAlign w:val="center"/>
          </w:tcPr>
          <w:p w14:paraId="1A9B295C"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Sacrum</w:t>
            </w:r>
          </w:p>
        </w:tc>
        <w:tc>
          <w:tcPr>
            <w:tcW w:w="0" w:type="auto"/>
            <w:tcBorders>
              <w:bottom w:val="single" w:sz="4" w:space="0" w:color="auto"/>
            </w:tcBorders>
            <w:vAlign w:val="center"/>
          </w:tcPr>
          <w:p w14:paraId="4D8E7F92"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Heel</w:t>
            </w:r>
          </w:p>
        </w:tc>
        <w:tc>
          <w:tcPr>
            <w:tcW w:w="0" w:type="auto"/>
            <w:tcBorders>
              <w:bottom w:val="single" w:sz="4" w:space="0" w:color="auto"/>
            </w:tcBorders>
            <w:vAlign w:val="center"/>
          </w:tcPr>
          <w:p w14:paraId="6EC0D303"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Buttock</w:t>
            </w:r>
          </w:p>
        </w:tc>
        <w:tc>
          <w:tcPr>
            <w:tcW w:w="0" w:type="auto"/>
            <w:tcBorders>
              <w:bottom w:val="single" w:sz="4" w:space="0" w:color="auto"/>
            </w:tcBorders>
            <w:vAlign w:val="center"/>
          </w:tcPr>
          <w:p w14:paraId="766C0529"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Elbow</w:t>
            </w:r>
          </w:p>
        </w:tc>
        <w:tc>
          <w:tcPr>
            <w:tcW w:w="0" w:type="auto"/>
            <w:tcBorders>
              <w:bottom w:val="single" w:sz="4" w:space="0" w:color="auto"/>
            </w:tcBorders>
            <w:vAlign w:val="center"/>
          </w:tcPr>
          <w:p w14:paraId="290EE577"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Other</w:t>
            </w:r>
          </w:p>
        </w:tc>
      </w:tr>
      <w:tr w:rsidR="007A1245" w:rsidRPr="003A4E65" w14:paraId="571CD771" w14:textId="77777777" w:rsidTr="00F4000E">
        <w:tc>
          <w:tcPr>
            <w:tcW w:w="0" w:type="auto"/>
            <w:tcBorders>
              <w:top w:val="single" w:sz="4" w:space="0" w:color="auto"/>
            </w:tcBorders>
            <w:vAlign w:val="center"/>
          </w:tcPr>
          <w:p w14:paraId="16DE47A6"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No PU</w:t>
            </w:r>
          </w:p>
        </w:tc>
        <w:tc>
          <w:tcPr>
            <w:tcW w:w="0" w:type="auto"/>
            <w:tcBorders>
              <w:top w:val="single" w:sz="4" w:space="0" w:color="auto"/>
              <w:bottom w:val="single" w:sz="4" w:space="0" w:color="auto"/>
            </w:tcBorders>
            <w:vAlign w:val="center"/>
          </w:tcPr>
          <w:p w14:paraId="686F6EF6"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3851</w:t>
            </w:r>
          </w:p>
        </w:tc>
        <w:tc>
          <w:tcPr>
            <w:tcW w:w="0" w:type="auto"/>
            <w:tcBorders>
              <w:top w:val="single" w:sz="4" w:space="0" w:color="auto"/>
              <w:bottom w:val="single" w:sz="4" w:space="0" w:color="auto"/>
            </w:tcBorders>
          </w:tcPr>
          <w:p w14:paraId="1600D466"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NA</w:t>
            </w:r>
          </w:p>
        </w:tc>
        <w:tc>
          <w:tcPr>
            <w:tcW w:w="0" w:type="auto"/>
            <w:tcBorders>
              <w:top w:val="single" w:sz="4" w:space="0" w:color="auto"/>
              <w:bottom w:val="single" w:sz="4" w:space="0" w:color="auto"/>
            </w:tcBorders>
            <w:vAlign w:val="center"/>
          </w:tcPr>
          <w:p w14:paraId="38E0F84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74</w:t>
            </w:r>
          </w:p>
          <w:p w14:paraId="29A2014E"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±13.0</w:t>
            </w:r>
          </w:p>
        </w:tc>
        <w:tc>
          <w:tcPr>
            <w:tcW w:w="0" w:type="auto"/>
            <w:tcBorders>
              <w:top w:val="single" w:sz="4" w:space="0" w:color="auto"/>
              <w:bottom w:val="single" w:sz="4" w:space="0" w:color="auto"/>
            </w:tcBorders>
            <w:vAlign w:val="center"/>
          </w:tcPr>
          <w:p w14:paraId="4718DFAF"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44</w:t>
            </w:r>
          </w:p>
        </w:tc>
        <w:tc>
          <w:tcPr>
            <w:tcW w:w="0" w:type="auto"/>
            <w:tcBorders>
              <w:top w:val="single" w:sz="4" w:space="0" w:color="auto"/>
              <w:bottom w:val="single" w:sz="4" w:space="0" w:color="auto"/>
            </w:tcBorders>
            <w:vAlign w:val="center"/>
          </w:tcPr>
          <w:p w14:paraId="204A07F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w:t>
            </w:r>
          </w:p>
          <w:p w14:paraId="531FEB2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(0-229)</w:t>
            </w:r>
          </w:p>
        </w:tc>
        <w:tc>
          <w:tcPr>
            <w:tcW w:w="0" w:type="auto"/>
            <w:tcBorders>
              <w:top w:val="single" w:sz="4" w:space="0" w:color="auto"/>
              <w:bottom w:val="single" w:sz="4" w:space="0" w:color="auto"/>
            </w:tcBorders>
            <w:vAlign w:val="center"/>
          </w:tcPr>
          <w:p w14:paraId="0A8C9335"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15.2</w:t>
            </w:r>
          </w:p>
          <w:p w14:paraId="4DF80489"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±4.2</w:t>
            </w:r>
          </w:p>
        </w:tc>
        <w:tc>
          <w:tcPr>
            <w:tcW w:w="0" w:type="auto"/>
            <w:tcBorders>
              <w:top w:val="single" w:sz="4" w:space="0" w:color="auto"/>
              <w:bottom w:val="single" w:sz="4" w:space="0" w:color="auto"/>
            </w:tcBorders>
            <w:vAlign w:val="center"/>
          </w:tcPr>
          <w:p w14:paraId="3ED2E305"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98%</w:t>
            </w:r>
          </w:p>
        </w:tc>
        <w:tc>
          <w:tcPr>
            <w:tcW w:w="0" w:type="auto"/>
            <w:tcBorders>
              <w:top w:val="single" w:sz="4" w:space="0" w:color="auto"/>
              <w:bottom w:val="single" w:sz="4" w:space="0" w:color="auto"/>
            </w:tcBorders>
            <w:vAlign w:val="center"/>
          </w:tcPr>
          <w:p w14:paraId="3B5C1C32"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3.7 </w:t>
            </w:r>
            <w:r>
              <w:rPr>
                <w:rFonts w:ascii="Calibri" w:eastAsia="MS Mincho" w:hAnsi="Calibri" w:cs="Arial"/>
              </w:rPr>
              <w:t xml:space="preserve">            </w:t>
            </w:r>
            <w:r w:rsidRPr="003A4E65">
              <w:rPr>
                <w:rFonts w:ascii="Calibri" w:eastAsia="MS Mincho" w:hAnsi="Calibri" w:cs="Arial"/>
              </w:rPr>
              <w:t>±5.9</w:t>
            </w:r>
          </w:p>
        </w:tc>
        <w:tc>
          <w:tcPr>
            <w:tcW w:w="0" w:type="auto"/>
            <w:tcBorders>
              <w:top w:val="single" w:sz="4" w:space="0" w:color="auto"/>
              <w:bottom w:val="single" w:sz="4" w:space="0" w:color="auto"/>
            </w:tcBorders>
            <w:vAlign w:val="center"/>
          </w:tcPr>
          <w:p w14:paraId="57B27AC9"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NA</w:t>
            </w:r>
          </w:p>
        </w:tc>
        <w:tc>
          <w:tcPr>
            <w:tcW w:w="0" w:type="auto"/>
            <w:tcBorders>
              <w:top w:val="single" w:sz="4" w:space="0" w:color="auto"/>
              <w:bottom w:val="single" w:sz="4" w:space="0" w:color="auto"/>
            </w:tcBorders>
            <w:vAlign w:val="center"/>
          </w:tcPr>
          <w:p w14:paraId="751D5BF0"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NA</w:t>
            </w:r>
          </w:p>
        </w:tc>
        <w:tc>
          <w:tcPr>
            <w:tcW w:w="0" w:type="auto"/>
            <w:tcBorders>
              <w:top w:val="single" w:sz="4" w:space="0" w:color="auto"/>
              <w:bottom w:val="single" w:sz="4" w:space="0" w:color="auto"/>
            </w:tcBorders>
            <w:vAlign w:val="center"/>
          </w:tcPr>
          <w:p w14:paraId="025D0E1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NA</w:t>
            </w:r>
          </w:p>
        </w:tc>
        <w:tc>
          <w:tcPr>
            <w:tcW w:w="0" w:type="auto"/>
            <w:tcBorders>
              <w:top w:val="single" w:sz="4" w:space="0" w:color="auto"/>
              <w:bottom w:val="single" w:sz="4" w:space="0" w:color="auto"/>
            </w:tcBorders>
            <w:vAlign w:val="center"/>
          </w:tcPr>
          <w:p w14:paraId="46F30EAE"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NA</w:t>
            </w:r>
          </w:p>
        </w:tc>
        <w:tc>
          <w:tcPr>
            <w:tcW w:w="0" w:type="auto"/>
            <w:tcBorders>
              <w:top w:val="single" w:sz="4" w:space="0" w:color="auto"/>
              <w:bottom w:val="single" w:sz="4" w:space="0" w:color="auto"/>
            </w:tcBorders>
            <w:vAlign w:val="center"/>
          </w:tcPr>
          <w:p w14:paraId="75870021"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NA</w:t>
            </w:r>
          </w:p>
        </w:tc>
      </w:tr>
      <w:tr w:rsidR="007A1245" w:rsidRPr="003A4E65" w14:paraId="1F31CAE0" w14:textId="77777777" w:rsidTr="00F4000E">
        <w:tc>
          <w:tcPr>
            <w:tcW w:w="0" w:type="auto"/>
            <w:vMerge w:val="restart"/>
            <w:tcBorders>
              <w:top w:val="single" w:sz="4" w:space="0" w:color="auto"/>
            </w:tcBorders>
            <w:vAlign w:val="center"/>
          </w:tcPr>
          <w:p w14:paraId="0881E1A5"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Category 1</w:t>
            </w:r>
          </w:p>
        </w:tc>
        <w:tc>
          <w:tcPr>
            <w:tcW w:w="0" w:type="auto"/>
            <w:tcBorders>
              <w:top w:val="single" w:sz="4" w:space="0" w:color="auto"/>
              <w:bottom w:val="single" w:sz="4" w:space="0" w:color="auto"/>
            </w:tcBorders>
            <w:vAlign w:val="center"/>
          </w:tcPr>
          <w:p w14:paraId="79BA3760"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CAPU (n=916)</w:t>
            </w:r>
          </w:p>
        </w:tc>
        <w:tc>
          <w:tcPr>
            <w:tcW w:w="0" w:type="auto"/>
            <w:tcBorders>
              <w:top w:val="single" w:sz="4" w:space="0" w:color="auto"/>
              <w:bottom w:val="single" w:sz="4" w:space="0" w:color="auto"/>
            </w:tcBorders>
          </w:tcPr>
          <w:p w14:paraId="77EB662B"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70%</w:t>
            </w:r>
          </w:p>
        </w:tc>
        <w:tc>
          <w:tcPr>
            <w:tcW w:w="0" w:type="auto"/>
            <w:tcBorders>
              <w:top w:val="single" w:sz="4" w:space="0" w:color="auto"/>
              <w:bottom w:val="single" w:sz="4" w:space="0" w:color="auto"/>
            </w:tcBorders>
            <w:vAlign w:val="center"/>
          </w:tcPr>
          <w:p w14:paraId="1CBB690C"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79.0 ±11.5</w:t>
            </w:r>
          </w:p>
        </w:tc>
        <w:tc>
          <w:tcPr>
            <w:tcW w:w="0" w:type="auto"/>
            <w:tcBorders>
              <w:top w:val="single" w:sz="4" w:space="0" w:color="auto"/>
              <w:bottom w:val="single" w:sz="4" w:space="0" w:color="auto"/>
            </w:tcBorders>
            <w:vAlign w:val="center"/>
          </w:tcPr>
          <w:p w14:paraId="5CB9BAB6"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43</w:t>
            </w:r>
          </w:p>
        </w:tc>
        <w:tc>
          <w:tcPr>
            <w:tcW w:w="0" w:type="auto"/>
            <w:tcBorders>
              <w:top w:val="single" w:sz="4" w:space="0" w:color="auto"/>
              <w:bottom w:val="single" w:sz="4" w:space="0" w:color="auto"/>
            </w:tcBorders>
            <w:vAlign w:val="center"/>
          </w:tcPr>
          <w:p w14:paraId="5C3CD1A6"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5 </w:t>
            </w:r>
          </w:p>
          <w:p w14:paraId="2443BEF9"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(1-235)</w:t>
            </w:r>
          </w:p>
        </w:tc>
        <w:tc>
          <w:tcPr>
            <w:tcW w:w="0" w:type="auto"/>
            <w:tcBorders>
              <w:top w:val="single" w:sz="4" w:space="0" w:color="auto"/>
              <w:bottom w:val="single" w:sz="4" w:space="0" w:color="auto"/>
            </w:tcBorders>
            <w:vAlign w:val="center"/>
          </w:tcPr>
          <w:p w14:paraId="56021EF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18.2</w:t>
            </w:r>
          </w:p>
          <w:p w14:paraId="2A6BA328"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±4.8</w:t>
            </w:r>
          </w:p>
        </w:tc>
        <w:tc>
          <w:tcPr>
            <w:tcW w:w="0" w:type="auto"/>
            <w:tcBorders>
              <w:top w:val="single" w:sz="4" w:space="0" w:color="auto"/>
              <w:bottom w:val="single" w:sz="4" w:space="0" w:color="auto"/>
            </w:tcBorders>
            <w:vAlign w:val="center"/>
          </w:tcPr>
          <w:p w14:paraId="7E5F07C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89%</w:t>
            </w:r>
          </w:p>
        </w:tc>
        <w:tc>
          <w:tcPr>
            <w:tcW w:w="0" w:type="auto"/>
            <w:tcBorders>
              <w:top w:val="single" w:sz="4" w:space="0" w:color="auto"/>
              <w:bottom w:val="single" w:sz="4" w:space="0" w:color="auto"/>
            </w:tcBorders>
            <w:vAlign w:val="center"/>
          </w:tcPr>
          <w:p w14:paraId="1EBB2E3F"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3.5 </w:t>
            </w:r>
            <w:r>
              <w:rPr>
                <w:rFonts w:ascii="Calibri" w:eastAsia="MS Mincho" w:hAnsi="Calibri" w:cs="Arial"/>
              </w:rPr>
              <w:t xml:space="preserve">            </w:t>
            </w:r>
            <w:r w:rsidRPr="003A4E65">
              <w:rPr>
                <w:rFonts w:ascii="Calibri" w:eastAsia="MS Mincho" w:hAnsi="Calibri" w:cs="Arial"/>
              </w:rPr>
              <w:t>±4.8</w:t>
            </w:r>
          </w:p>
        </w:tc>
        <w:tc>
          <w:tcPr>
            <w:tcW w:w="0" w:type="auto"/>
            <w:tcBorders>
              <w:top w:val="single" w:sz="4" w:space="0" w:color="auto"/>
              <w:bottom w:val="single" w:sz="4" w:space="0" w:color="auto"/>
            </w:tcBorders>
            <w:vAlign w:val="center"/>
          </w:tcPr>
          <w:p w14:paraId="0DE9FA96" w14:textId="77777777" w:rsidR="007A1245" w:rsidRPr="003A4E65" w:rsidRDefault="007A1245" w:rsidP="00F4000E">
            <w:pPr>
              <w:jc w:val="center"/>
              <w:rPr>
                <w:rFonts w:ascii="Calibri" w:eastAsia="MS Mincho" w:hAnsi="Calibri" w:cs="Arial"/>
              </w:rPr>
            </w:pPr>
            <w:r>
              <w:rPr>
                <w:rFonts w:ascii="Calibri" w:eastAsia="MS Mincho" w:hAnsi="Calibri" w:cs="Arial"/>
              </w:rPr>
              <w:t>650 (</w:t>
            </w:r>
            <w:r w:rsidRPr="003A4E65">
              <w:rPr>
                <w:rFonts w:ascii="Calibri" w:eastAsia="MS Mincho" w:hAnsi="Calibri" w:cs="Arial"/>
              </w:rPr>
              <w:t>71%</w:t>
            </w:r>
            <w:r>
              <w:rPr>
                <w:rFonts w:ascii="Calibri" w:eastAsia="MS Mincho" w:hAnsi="Calibri" w:cs="Arial"/>
              </w:rPr>
              <w:t>)</w:t>
            </w:r>
          </w:p>
        </w:tc>
        <w:tc>
          <w:tcPr>
            <w:tcW w:w="0" w:type="auto"/>
            <w:tcBorders>
              <w:top w:val="single" w:sz="4" w:space="0" w:color="auto"/>
              <w:bottom w:val="single" w:sz="4" w:space="0" w:color="auto"/>
            </w:tcBorders>
            <w:vAlign w:val="center"/>
          </w:tcPr>
          <w:p w14:paraId="643EFBD8" w14:textId="77777777" w:rsidR="007A1245" w:rsidRPr="003A4E65" w:rsidRDefault="007A1245" w:rsidP="00F4000E">
            <w:pPr>
              <w:jc w:val="center"/>
              <w:rPr>
                <w:rFonts w:ascii="Calibri" w:eastAsia="MS Mincho" w:hAnsi="Calibri" w:cs="Arial"/>
              </w:rPr>
            </w:pPr>
            <w:r>
              <w:rPr>
                <w:rFonts w:ascii="Calibri" w:eastAsia="MS Mincho" w:hAnsi="Calibri" w:cs="Arial"/>
              </w:rPr>
              <w:t>46 (</w:t>
            </w:r>
            <w:r w:rsidRPr="003A4E65">
              <w:rPr>
                <w:rFonts w:ascii="Calibri" w:eastAsia="MS Mincho" w:hAnsi="Calibri" w:cs="Arial"/>
              </w:rPr>
              <w:t>5%</w:t>
            </w:r>
            <w:r>
              <w:rPr>
                <w:rFonts w:ascii="Calibri" w:eastAsia="MS Mincho" w:hAnsi="Calibri" w:cs="Arial"/>
              </w:rPr>
              <w:t>)</w:t>
            </w:r>
          </w:p>
        </w:tc>
        <w:tc>
          <w:tcPr>
            <w:tcW w:w="0" w:type="auto"/>
            <w:tcBorders>
              <w:top w:val="single" w:sz="4" w:space="0" w:color="auto"/>
              <w:bottom w:val="single" w:sz="4" w:space="0" w:color="auto"/>
            </w:tcBorders>
            <w:vAlign w:val="center"/>
          </w:tcPr>
          <w:p w14:paraId="5F5085E0" w14:textId="77777777" w:rsidR="007A1245" w:rsidRPr="003A4E65" w:rsidRDefault="007A1245" w:rsidP="00F4000E">
            <w:pPr>
              <w:jc w:val="center"/>
              <w:rPr>
                <w:rFonts w:ascii="Calibri" w:eastAsia="MS Mincho" w:hAnsi="Calibri" w:cs="Arial"/>
              </w:rPr>
            </w:pPr>
            <w:r>
              <w:rPr>
                <w:rFonts w:ascii="Calibri" w:eastAsia="MS Mincho" w:hAnsi="Calibri" w:cs="Arial"/>
              </w:rPr>
              <w:t>211 (</w:t>
            </w:r>
            <w:r w:rsidRPr="003A4E65">
              <w:rPr>
                <w:rFonts w:ascii="Calibri" w:eastAsia="MS Mincho" w:hAnsi="Calibri" w:cs="Arial"/>
              </w:rPr>
              <w:t>23%</w:t>
            </w:r>
            <w:r>
              <w:rPr>
                <w:rFonts w:ascii="Calibri" w:eastAsia="MS Mincho" w:hAnsi="Calibri" w:cs="Arial"/>
              </w:rPr>
              <w:t>)</w:t>
            </w:r>
          </w:p>
        </w:tc>
        <w:tc>
          <w:tcPr>
            <w:tcW w:w="0" w:type="auto"/>
            <w:tcBorders>
              <w:top w:val="single" w:sz="4" w:space="0" w:color="auto"/>
              <w:bottom w:val="single" w:sz="4" w:space="0" w:color="auto"/>
            </w:tcBorders>
            <w:vAlign w:val="center"/>
          </w:tcPr>
          <w:p w14:paraId="2F2CDE9C" w14:textId="77777777" w:rsidR="007A1245" w:rsidRPr="003A4E65" w:rsidRDefault="007A1245" w:rsidP="00F4000E">
            <w:pPr>
              <w:jc w:val="center"/>
              <w:rPr>
                <w:rFonts w:ascii="Calibri" w:eastAsia="MS Mincho" w:hAnsi="Calibri" w:cs="Arial"/>
              </w:rPr>
            </w:pPr>
            <w:r>
              <w:rPr>
                <w:rFonts w:ascii="Calibri" w:eastAsia="MS Mincho" w:hAnsi="Calibri" w:cs="Arial"/>
              </w:rPr>
              <w:t>9   (</w:t>
            </w:r>
            <w:r w:rsidRPr="003A4E65">
              <w:rPr>
                <w:rFonts w:ascii="Calibri" w:eastAsia="MS Mincho" w:hAnsi="Calibri" w:cs="Arial"/>
              </w:rPr>
              <w:t>1%</w:t>
            </w:r>
            <w:r>
              <w:rPr>
                <w:rFonts w:ascii="Calibri" w:eastAsia="MS Mincho" w:hAnsi="Calibri" w:cs="Arial"/>
              </w:rPr>
              <w:t>)</w:t>
            </w:r>
          </w:p>
        </w:tc>
        <w:tc>
          <w:tcPr>
            <w:tcW w:w="0" w:type="auto"/>
            <w:tcBorders>
              <w:top w:val="single" w:sz="4" w:space="0" w:color="auto"/>
              <w:bottom w:val="single" w:sz="4" w:space="0" w:color="auto"/>
            </w:tcBorders>
            <w:vAlign w:val="center"/>
          </w:tcPr>
          <w:p w14:paraId="6764C04A" w14:textId="77777777" w:rsidR="007A1245" w:rsidRPr="003A4E65" w:rsidRDefault="007A1245" w:rsidP="00F4000E">
            <w:pPr>
              <w:jc w:val="center"/>
              <w:rPr>
                <w:rFonts w:ascii="Calibri" w:eastAsia="MS Mincho" w:hAnsi="Calibri" w:cs="Arial"/>
              </w:rPr>
            </w:pPr>
            <w:r>
              <w:rPr>
                <w:rFonts w:ascii="Calibri" w:eastAsia="MS Mincho" w:hAnsi="Calibri" w:cs="Arial"/>
              </w:rPr>
              <w:t>3 (</w:t>
            </w:r>
            <w:r w:rsidRPr="003A4E65">
              <w:rPr>
                <w:rFonts w:ascii="Calibri" w:eastAsia="MS Mincho" w:hAnsi="Calibri" w:cs="Arial"/>
              </w:rPr>
              <w:t>0%</w:t>
            </w:r>
            <w:r>
              <w:rPr>
                <w:rFonts w:ascii="Calibri" w:eastAsia="MS Mincho" w:hAnsi="Calibri" w:cs="Arial"/>
              </w:rPr>
              <w:t>)</w:t>
            </w:r>
          </w:p>
        </w:tc>
      </w:tr>
      <w:tr w:rsidR="007A1245" w:rsidRPr="003A4E65" w14:paraId="157A5D40" w14:textId="77777777" w:rsidTr="00F4000E">
        <w:tc>
          <w:tcPr>
            <w:tcW w:w="0" w:type="auto"/>
            <w:vMerge/>
            <w:tcBorders>
              <w:bottom w:val="single" w:sz="4" w:space="0" w:color="auto"/>
            </w:tcBorders>
            <w:vAlign w:val="center"/>
          </w:tcPr>
          <w:p w14:paraId="5440ADBE" w14:textId="77777777" w:rsidR="007A1245" w:rsidRPr="003A4E65" w:rsidRDefault="007A1245" w:rsidP="00F4000E">
            <w:pPr>
              <w:jc w:val="center"/>
              <w:rPr>
                <w:rFonts w:ascii="Calibri" w:eastAsia="MS Mincho" w:hAnsi="Calibri" w:cs="Arial"/>
                <w:b/>
                <w:bCs/>
              </w:rPr>
            </w:pPr>
          </w:p>
        </w:tc>
        <w:tc>
          <w:tcPr>
            <w:tcW w:w="0" w:type="auto"/>
            <w:tcBorders>
              <w:bottom w:val="single" w:sz="4" w:space="0" w:color="auto"/>
            </w:tcBorders>
            <w:vAlign w:val="center"/>
          </w:tcPr>
          <w:p w14:paraId="50563EF8"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 xml:space="preserve">HAPU (n=696) </w:t>
            </w:r>
          </w:p>
        </w:tc>
        <w:tc>
          <w:tcPr>
            <w:tcW w:w="0" w:type="auto"/>
            <w:tcBorders>
              <w:bottom w:val="single" w:sz="4" w:space="0" w:color="auto"/>
            </w:tcBorders>
          </w:tcPr>
          <w:p w14:paraId="17BA8DFB"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50%</w:t>
            </w:r>
          </w:p>
        </w:tc>
        <w:tc>
          <w:tcPr>
            <w:tcW w:w="0" w:type="auto"/>
            <w:tcBorders>
              <w:bottom w:val="single" w:sz="4" w:space="0" w:color="auto"/>
            </w:tcBorders>
            <w:vAlign w:val="center"/>
          </w:tcPr>
          <w:p w14:paraId="6AE5A08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80.4 ±11.6</w:t>
            </w:r>
          </w:p>
        </w:tc>
        <w:tc>
          <w:tcPr>
            <w:tcW w:w="0" w:type="auto"/>
            <w:tcBorders>
              <w:bottom w:val="single" w:sz="4" w:space="0" w:color="auto"/>
            </w:tcBorders>
            <w:vAlign w:val="center"/>
          </w:tcPr>
          <w:p w14:paraId="064BA2A0"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44</w:t>
            </w:r>
          </w:p>
        </w:tc>
        <w:tc>
          <w:tcPr>
            <w:tcW w:w="0" w:type="auto"/>
            <w:tcBorders>
              <w:bottom w:val="single" w:sz="4" w:space="0" w:color="auto"/>
            </w:tcBorders>
            <w:vAlign w:val="center"/>
          </w:tcPr>
          <w:p w14:paraId="1EAA904B"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10 </w:t>
            </w:r>
          </w:p>
          <w:p w14:paraId="106E619E"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(1-186)</w:t>
            </w:r>
          </w:p>
        </w:tc>
        <w:tc>
          <w:tcPr>
            <w:tcW w:w="0" w:type="auto"/>
            <w:tcBorders>
              <w:bottom w:val="single" w:sz="4" w:space="0" w:color="auto"/>
            </w:tcBorders>
            <w:vAlign w:val="center"/>
          </w:tcPr>
          <w:p w14:paraId="75A3B21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20.6</w:t>
            </w:r>
          </w:p>
          <w:p w14:paraId="23F48922"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±5.3</w:t>
            </w:r>
          </w:p>
        </w:tc>
        <w:tc>
          <w:tcPr>
            <w:tcW w:w="0" w:type="auto"/>
            <w:tcBorders>
              <w:bottom w:val="single" w:sz="4" w:space="0" w:color="auto"/>
            </w:tcBorders>
            <w:vAlign w:val="center"/>
          </w:tcPr>
          <w:p w14:paraId="773D903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80%</w:t>
            </w:r>
          </w:p>
        </w:tc>
        <w:tc>
          <w:tcPr>
            <w:tcW w:w="0" w:type="auto"/>
            <w:tcBorders>
              <w:bottom w:val="single" w:sz="4" w:space="0" w:color="auto"/>
            </w:tcBorders>
            <w:vAlign w:val="center"/>
          </w:tcPr>
          <w:p w14:paraId="0FD2E7B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4.2 </w:t>
            </w:r>
            <w:r>
              <w:rPr>
                <w:rFonts w:ascii="Calibri" w:eastAsia="MS Mincho" w:hAnsi="Calibri" w:cs="Arial"/>
              </w:rPr>
              <w:t xml:space="preserve">            </w:t>
            </w:r>
            <w:r w:rsidRPr="003A4E65">
              <w:rPr>
                <w:rFonts w:ascii="Calibri" w:eastAsia="MS Mincho" w:hAnsi="Calibri" w:cs="Arial"/>
              </w:rPr>
              <w:t>±5.7</w:t>
            </w:r>
          </w:p>
        </w:tc>
        <w:tc>
          <w:tcPr>
            <w:tcW w:w="0" w:type="auto"/>
            <w:tcBorders>
              <w:bottom w:val="single" w:sz="4" w:space="0" w:color="auto"/>
            </w:tcBorders>
            <w:vAlign w:val="center"/>
          </w:tcPr>
          <w:p w14:paraId="29107834" w14:textId="77777777" w:rsidR="007A1245" w:rsidRPr="003A4E65" w:rsidRDefault="007A1245" w:rsidP="00F4000E">
            <w:pPr>
              <w:jc w:val="center"/>
              <w:rPr>
                <w:rFonts w:ascii="Calibri" w:eastAsia="MS Mincho" w:hAnsi="Calibri" w:cs="Arial"/>
              </w:rPr>
            </w:pPr>
            <w:r>
              <w:rPr>
                <w:rFonts w:ascii="Calibri" w:eastAsia="MS Mincho" w:hAnsi="Calibri" w:cs="Arial"/>
              </w:rPr>
              <w:t>362 (</w:t>
            </w:r>
            <w:r w:rsidRPr="003A4E65">
              <w:rPr>
                <w:rFonts w:ascii="Calibri" w:eastAsia="MS Mincho" w:hAnsi="Calibri" w:cs="Arial"/>
              </w:rPr>
              <w:t>52%</w:t>
            </w:r>
            <w:r>
              <w:rPr>
                <w:rFonts w:ascii="Calibri" w:eastAsia="MS Mincho" w:hAnsi="Calibri" w:cs="Arial"/>
              </w:rPr>
              <w:t>)</w:t>
            </w:r>
          </w:p>
        </w:tc>
        <w:tc>
          <w:tcPr>
            <w:tcW w:w="0" w:type="auto"/>
            <w:tcBorders>
              <w:bottom w:val="single" w:sz="4" w:space="0" w:color="auto"/>
            </w:tcBorders>
            <w:vAlign w:val="center"/>
          </w:tcPr>
          <w:p w14:paraId="77E02E1E" w14:textId="77777777" w:rsidR="007A1245" w:rsidRPr="003A4E65" w:rsidRDefault="007A1245" w:rsidP="00F4000E">
            <w:pPr>
              <w:jc w:val="center"/>
              <w:rPr>
                <w:rFonts w:ascii="Calibri" w:eastAsia="MS Mincho" w:hAnsi="Calibri" w:cs="Arial"/>
              </w:rPr>
            </w:pPr>
            <w:r>
              <w:rPr>
                <w:rFonts w:ascii="Calibri" w:eastAsia="MS Mincho" w:hAnsi="Calibri" w:cs="Arial"/>
              </w:rPr>
              <w:t>244 (</w:t>
            </w:r>
            <w:r w:rsidRPr="003A4E65">
              <w:rPr>
                <w:rFonts w:ascii="Calibri" w:eastAsia="MS Mincho" w:hAnsi="Calibri" w:cs="Arial"/>
              </w:rPr>
              <w:t>35%</w:t>
            </w:r>
            <w:r>
              <w:rPr>
                <w:rFonts w:ascii="Calibri" w:eastAsia="MS Mincho" w:hAnsi="Calibri" w:cs="Arial"/>
              </w:rPr>
              <w:t>)</w:t>
            </w:r>
          </w:p>
        </w:tc>
        <w:tc>
          <w:tcPr>
            <w:tcW w:w="0" w:type="auto"/>
            <w:tcBorders>
              <w:bottom w:val="single" w:sz="4" w:space="0" w:color="auto"/>
            </w:tcBorders>
            <w:vAlign w:val="center"/>
          </w:tcPr>
          <w:p w14:paraId="6E561CD2" w14:textId="77777777" w:rsidR="007A1245" w:rsidRPr="003A4E65" w:rsidRDefault="007A1245" w:rsidP="00F4000E">
            <w:pPr>
              <w:jc w:val="center"/>
              <w:rPr>
                <w:rFonts w:ascii="Calibri" w:eastAsia="MS Mincho" w:hAnsi="Calibri" w:cs="Arial"/>
              </w:rPr>
            </w:pPr>
            <w:r>
              <w:rPr>
                <w:rFonts w:ascii="Calibri" w:eastAsia="MS Mincho" w:hAnsi="Calibri" w:cs="Arial"/>
              </w:rPr>
              <w:t>21   (</w:t>
            </w:r>
            <w:r w:rsidRPr="003A4E65">
              <w:rPr>
                <w:rFonts w:ascii="Calibri" w:eastAsia="MS Mincho" w:hAnsi="Calibri" w:cs="Arial"/>
              </w:rPr>
              <w:t>3%</w:t>
            </w:r>
            <w:r>
              <w:rPr>
                <w:rFonts w:ascii="Calibri" w:eastAsia="MS Mincho" w:hAnsi="Calibri" w:cs="Arial"/>
              </w:rPr>
              <w:t>)</w:t>
            </w:r>
          </w:p>
        </w:tc>
        <w:tc>
          <w:tcPr>
            <w:tcW w:w="0" w:type="auto"/>
            <w:tcBorders>
              <w:bottom w:val="single" w:sz="4" w:space="0" w:color="auto"/>
            </w:tcBorders>
            <w:vAlign w:val="center"/>
          </w:tcPr>
          <w:p w14:paraId="789CA217" w14:textId="77777777" w:rsidR="007A1245" w:rsidRPr="003A4E65" w:rsidRDefault="007A1245" w:rsidP="00F4000E">
            <w:pPr>
              <w:jc w:val="center"/>
              <w:rPr>
                <w:rFonts w:ascii="Calibri" w:eastAsia="MS Mincho" w:hAnsi="Calibri" w:cs="Arial"/>
              </w:rPr>
            </w:pPr>
            <w:r>
              <w:rPr>
                <w:rFonts w:ascii="Calibri" w:eastAsia="MS Mincho" w:hAnsi="Calibri" w:cs="Arial"/>
              </w:rPr>
              <w:t>42 (</w:t>
            </w:r>
            <w:r w:rsidRPr="003A4E65">
              <w:rPr>
                <w:rFonts w:ascii="Calibri" w:eastAsia="MS Mincho" w:hAnsi="Calibri" w:cs="Arial"/>
              </w:rPr>
              <w:t>6%</w:t>
            </w:r>
            <w:r>
              <w:rPr>
                <w:rFonts w:ascii="Calibri" w:eastAsia="MS Mincho" w:hAnsi="Calibri" w:cs="Arial"/>
              </w:rPr>
              <w:t>)</w:t>
            </w:r>
          </w:p>
        </w:tc>
        <w:tc>
          <w:tcPr>
            <w:tcW w:w="0" w:type="auto"/>
            <w:tcBorders>
              <w:bottom w:val="single" w:sz="4" w:space="0" w:color="auto"/>
            </w:tcBorders>
            <w:vAlign w:val="center"/>
          </w:tcPr>
          <w:p w14:paraId="2C034BA9" w14:textId="77777777" w:rsidR="007A1245" w:rsidRPr="003A4E65" w:rsidRDefault="007A1245" w:rsidP="00F4000E">
            <w:pPr>
              <w:jc w:val="center"/>
              <w:rPr>
                <w:rFonts w:ascii="Calibri" w:eastAsia="MS Mincho" w:hAnsi="Calibri" w:cs="Arial"/>
              </w:rPr>
            </w:pPr>
            <w:r>
              <w:rPr>
                <w:rFonts w:ascii="Calibri" w:eastAsia="MS Mincho" w:hAnsi="Calibri" w:cs="Arial"/>
              </w:rPr>
              <w:t>28 (</w:t>
            </w:r>
            <w:r w:rsidRPr="003A4E65">
              <w:rPr>
                <w:rFonts w:ascii="Calibri" w:eastAsia="MS Mincho" w:hAnsi="Calibri" w:cs="Arial"/>
              </w:rPr>
              <w:t>4%</w:t>
            </w:r>
            <w:r>
              <w:rPr>
                <w:rFonts w:ascii="Calibri" w:eastAsia="MS Mincho" w:hAnsi="Calibri" w:cs="Arial"/>
              </w:rPr>
              <w:t>)</w:t>
            </w:r>
          </w:p>
        </w:tc>
      </w:tr>
      <w:tr w:rsidR="007A1245" w:rsidRPr="003A4E65" w14:paraId="1DA79DFF" w14:textId="77777777" w:rsidTr="00F4000E">
        <w:tc>
          <w:tcPr>
            <w:tcW w:w="0" w:type="auto"/>
            <w:vMerge w:val="restart"/>
            <w:tcBorders>
              <w:top w:val="single" w:sz="4" w:space="0" w:color="auto"/>
            </w:tcBorders>
            <w:vAlign w:val="center"/>
          </w:tcPr>
          <w:p w14:paraId="12582556"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Category 2</w:t>
            </w:r>
          </w:p>
        </w:tc>
        <w:tc>
          <w:tcPr>
            <w:tcW w:w="0" w:type="auto"/>
            <w:tcBorders>
              <w:top w:val="single" w:sz="4" w:space="0" w:color="auto"/>
              <w:bottom w:val="single" w:sz="4" w:space="0" w:color="auto"/>
            </w:tcBorders>
            <w:vAlign w:val="center"/>
          </w:tcPr>
          <w:p w14:paraId="5A9D19D9"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CAPU (n=238)</w:t>
            </w:r>
          </w:p>
        </w:tc>
        <w:tc>
          <w:tcPr>
            <w:tcW w:w="0" w:type="auto"/>
            <w:tcBorders>
              <w:top w:val="single" w:sz="4" w:space="0" w:color="auto"/>
              <w:bottom w:val="single" w:sz="4" w:space="0" w:color="auto"/>
            </w:tcBorders>
          </w:tcPr>
          <w:p w14:paraId="57F59038"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20%</w:t>
            </w:r>
          </w:p>
        </w:tc>
        <w:tc>
          <w:tcPr>
            <w:tcW w:w="0" w:type="auto"/>
            <w:tcBorders>
              <w:top w:val="single" w:sz="4" w:space="0" w:color="auto"/>
              <w:bottom w:val="single" w:sz="4" w:space="0" w:color="auto"/>
            </w:tcBorders>
            <w:vAlign w:val="center"/>
          </w:tcPr>
          <w:p w14:paraId="02AA8DE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80.9 ±12.0</w:t>
            </w:r>
          </w:p>
        </w:tc>
        <w:tc>
          <w:tcPr>
            <w:tcW w:w="0" w:type="auto"/>
            <w:tcBorders>
              <w:top w:val="single" w:sz="4" w:space="0" w:color="auto"/>
              <w:bottom w:val="single" w:sz="4" w:space="0" w:color="auto"/>
            </w:tcBorders>
            <w:vAlign w:val="center"/>
          </w:tcPr>
          <w:p w14:paraId="6411F34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44</w:t>
            </w:r>
          </w:p>
        </w:tc>
        <w:tc>
          <w:tcPr>
            <w:tcW w:w="0" w:type="auto"/>
            <w:tcBorders>
              <w:top w:val="single" w:sz="4" w:space="0" w:color="auto"/>
              <w:bottom w:val="single" w:sz="4" w:space="0" w:color="auto"/>
            </w:tcBorders>
            <w:vAlign w:val="center"/>
          </w:tcPr>
          <w:p w14:paraId="1FAE3B38"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w:t>
            </w:r>
          </w:p>
          <w:p w14:paraId="7A2290B5"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(1-138)</w:t>
            </w:r>
          </w:p>
        </w:tc>
        <w:tc>
          <w:tcPr>
            <w:tcW w:w="0" w:type="auto"/>
            <w:tcBorders>
              <w:top w:val="single" w:sz="4" w:space="0" w:color="auto"/>
              <w:bottom w:val="single" w:sz="4" w:space="0" w:color="auto"/>
            </w:tcBorders>
            <w:vAlign w:val="center"/>
          </w:tcPr>
          <w:p w14:paraId="1B1666E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21.4</w:t>
            </w:r>
          </w:p>
          <w:p w14:paraId="45760B5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±5.1</w:t>
            </w:r>
          </w:p>
        </w:tc>
        <w:tc>
          <w:tcPr>
            <w:tcW w:w="0" w:type="auto"/>
            <w:tcBorders>
              <w:top w:val="single" w:sz="4" w:space="0" w:color="auto"/>
              <w:bottom w:val="single" w:sz="4" w:space="0" w:color="auto"/>
            </w:tcBorders>
            <w:vAlign w:val="center"/>
          </w:tcPr>
          <w:p w14:paraId="5C9D4877"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73%</w:t>
            </w:r>
          </w:p>
        </w:tc>
        <w:tc>
          <w:tcPr>
            <w:tcW w:w="0" w:type="auto"/>
            <w:tcBorders>
              <w:top w:val="single" w:sz="4" w:space="0" w:color="auto"/>
              <w:bottom w:val="single" w:sz="4" w:space="0" w:color="auto"/>
            </w:tcBorders>
            <w:vAlign w:val="center"/>
          </w:tcPr>
          <w:p w14:paraId="18F1EAD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4.3 </w:t>
            </w:r>
            <w:r>
              <w:rPr>
                <w:rFonts w:ascii="Calibri" w:eastAsia="MS Mincho" w:hAnsi="Calibri" w:cs="Arial"/>
              </w:rPr>
              <w:t xml:space="preserve">                </w:t>
            </w:r>
            <w:r w:rsidRPr="003A4E65">
              <w:rPr>
                <w:rFonts w:ascii="Calibri" w:eastAsia="MS Mincho" w:hAnsi="Calibri" w:cs="Arial"/>
              </w:rPr>
              <w:t>±5.5</w:t>
            </w:r>
          </w:p>
        </w:tc>
        <w:tc>
          <w:tcPr>
            <w:tcW w:w="0" w:type="auto"/>
            <w:tcBorders>
              <w:top w:val="single" w:sz="4" w:space="0" w:color="auto"/>
              <w:bottom w:val="single" w:sz="4" w:space="0" w:color="auto"/>
            </w:tcBorders>
            <w:vAlign w:val="center"/>
          </w:tcPr>
          <w:p w14:paraId="13CB7D12" w14:textId="77777777" w:rsidR="007A1245" w:rsidRPr="003A4E65" w:rsidRDefault="007A1245" w:rsidP="00F4000E">
            <w:pPr>
              <w:jc w:val="center"/>
              <w:rPr>
                <w:rFonts w:ascii="Calibri" w:eastAsia="MS Mincho" w:hAnsi="Calibri" w:cs="Arial"/>
              </w:rPr>
            </w:pPr>
            <w:r>
              <w:rPr>
                <w:rFonts w:ascii="Calibri" w:eastAsia="MS Mincho" w:hAnsi="Calibri" w:cs="Arial"/>
              </w:rPr>
              <w:t>183 (</w:t>
            </w:r>
            <w:r w:rsidRPr="003A4E65">
              <w:rPr>
                <w:rFonts w:ascii="Calibri" w:eastAsia="MS Mincho" w:hAnsi="Calibri" w:cs="Arial"/>
              </w:rPr>
              <w:t>77%</w:t>
            </w:r>
            <w:r>
              <w:rPr>
                <w:rFonts w:ascii="Calibri" w:eastAsia="MS Mincho" w:hAnsi="Calibri" w:cs="Arial"/>
              </w:rPr>
              <w:t>)</w:t>
            </w:r>
          </w:p>
        </w:tc>
        <w:tc>
          <w:tcPr>
            <w:tcW w:w="0" w:type="auto"/>
            <w:tcBorders>
              <w:top w:val="single" w:sz="4" w:space="0" w:color="auto"/>
              <w:bottom w:val="single" w:sz="4" w:space="0" w:color="auto"/>
            </w:tcBorders>
            <w:vAlign w:val="center"/>
          </w:tcPr>
          <w:p w14:paraId="0089E725" w14:textId="77777777" w:rsidR="007A1245" w:rsidRPr="003A4E65" w:rsidRDefault="007A1245" w:rsidP="00F4000E">
            <w:pPr>
              <w:jc w:val="center"/>
              <w:rPr>
                <w:rFonts w:ascii="Calibri" w:eastAsia="MS Mincho" w:hAnsi="Calibri" w:cs="Arial"/>
              </w:rPr>
            </w:pPr>
            <w:r>
              <w:rPr>
                <w:rFonts w:ascii="Calibri" w:eastAsia="MS Mincho" w:hAnsi="Calibri" w:cs="Arial"/>
              </w:rPr>
              <w:t>19 (</w:t>
            </w:r>
            <w:r w:rsidRPr="003A4E65">
              <w:rPr>
                <w:rFonts w:ascii="Calibri" w:eastAsia="MS Mincho" w:hAnsi="Calibri" w:cs="Arial"/>
              </w:rPr>
              <w:t>8%</w:t>
            </w:r>
            <w:r>
              <w:rPr>
                <w:rFonts w:ascii="Calibri" w:eastAsia="MS Mincho" w:hAnsi="Calibri" w:cs="Arial"/>
              </w:rPr>
              <w:t>)</w:t>
            </w:r>
          </w:p>
        </w:tc>
        <w:tc>
          <w:tcPr>
            <w:tcW w:w="0" w:type="auto"/>
            <w:tcBorders>
              <w:top w:val="single" w:sz="4" w:space="0" w:color="auto"/>
              <w:bottom w:val="single" w:sz="4" w:space="0" w:color="auto"/>
            </w:tcBorders>
            <w:vAlign w:val="center"/>
          </w:tcPr>
          <w:p w14:paraId="4575347B" w14:textId="77777777" w:rsidR="007A1245" w:rsidRPr="003A4E65" w:rsidRDefault="007A1245" w:rsidP="00F4000E">
            <w:pPr>
              <w:jc w:val="center"/>
              <w:rPr>
                <w:rFonts w:ascii="Calibri" w:eastAsia="MS Mincho" w:hAnsi="Calibri" w:cs="Arial"/>
              </w:rPr>
            </w:pPr>
            <w:r>
              <w:rPr>
                <w:rFonts w:ascii="Calibri" w:eastAsia="MS Mincho" w:hAnsi="Calibri" w:cs="Arial"/>
              </w:rPr>
              <w:t>26 (</w:t>
            </w:r>
            <w:r w:rsidRPr="003A4E65">
              <w:rPr>
                <w:rFonts w:ascii="Calibri" w:eastAsia="MS Mincho" w:hAnsi="Calibri" w:cs="Arial"/>
              </w:rPr>
              <w:t>11%</w:t>
            </w:r>
            <w:r>
              <w:rPr>
                <w:rFonts w:ascii="Calibri" w:eastAsia="MS Mincho" w:hAnsi="Calibri" w:cs="Arial"/>
              </w:rPr>
              <w:t>)</w:t>
            </w:r>
          </w:p>
        </w:tc>
        <w:tc>
          <w:tcPr>
            <w:tcW w:w="0" w:type="auto"/>
            <w:tcBorders>
              <w:top w:val="single" w:sz="4" w:space="0" w:color="auto"/>
              <w:bottom w:val="single" w:sz="4" w:space="0" w:color="auto"/>
            </w:tcBorders>
            <w:vAlign w:val="center"/>
          </w:tcPr>
          <w:p w14:paraId="3C6B3BCF" w14:textId="77777777" w:rsidR="007A1245" w:rsidRPr="003A4E65" w:rsidRDefault="007A1245" w:rsidP="00F4000E">
            <w:pPr>
              <w:jc w:val="center"/>
              <w:rPr>
                <w:rFonts w:ascii="Calibri" w:eastAsia="MS Mincho" w:hAnsi="Calibri" w:cs="Arial"/>
              </w:rPr>
            </w:pPr>
            <w:proofErr w:type="gramStart"/>
            <w:r>
              <w:rPr>
                <w:rFonts w:ascii="Calibri" w:eastAsia="MS Mincho" w:hAnsi="Calibri" w:cs="Arial"/>
              </w:rPr>
              <w:t>5  (</w:t>
            </w:r>
            <w:proofErr w:type="gramEnd"/>
            <w:r w:rsidRPr="003A4E65">
              <w:rPr>
                <w:rFonts w:ascii="Calibri" w:eastAsia="MS Mincho" w:hAnsi="Calibri" w:cs="Arial"/>
              </w:rPr>
              <w:t>2%</w:t>
            </w:r>
            <w:r>
              <w:rPr>
                <w:rFonts w:ascii="Calibri" w:eastAsia="MS Mincho" w:hAnsi="Calibri" w:cs="Arial"/>
              </w:rPr>
              <w:t>)</w:t>
            </w:r>
          </w:p>
        </w:tc>
        <w:tc>
          <w:tcPr>
            <w:tcW w:w="0" w:type="auto"/>
            <w:tcBorders>
              <w:top w:val="single" w:sz="4" w:space="0" w:color="auto"/>
              <w:bottom w:val="single" w:sz="4" w:space="0" w:color="auto"/>
            </w:tcBorders>
            <w:vAlign w:val="center"/>
          </w:tcPr>
          <w:p w14:paraId="78E2536E" w14:textId="77777777" w:rsidR="007A1245" w:rsidRPr="003A4E65" w:rsidRDefault="007A1245" w:rsidP="00F4000E">
            <w:pPr>
              <w:jc w:val="center"/>
              <w:rPr>
                <w:rFonts w:ascii="Calibri" w:eastAsia="MS Mincho" w:hAnsi="Calibri" w:cs="Arial"/>
              </w:rPr>
            </w:pPr>
            <w:proofErr w:type="gramStart"/>
            <w:r>
              <w:rPr>
                <w:rFonts w:ascii="Calibri" w:eastAsia="MS Mincho" w:hAnsi="Calibri" w:cs="Arial"/>
              </w:rPr>
              <w:t>6  (</w:t>
            </w:r>
            <w:proofErr w:type="gramEnd"/>
            <w:r w:rsidRPr="003A4E65">
              <w:rPr>
                <w:rFonts w:ascii="Calibri" w:eastAsia="MS Mincho" w:hAnsi="Calibri" w:cs="Arial"/>
              </w:rPr>
              <w:t>3%</w:t>
            </w:r>
            <w:r>
              <w:rPr>
                <w:rFonts w:ascii="Calibri" w:eastAsia="MS Mincho" w:hAnsi="Calibri" w:cs="Arial"/>
              </w:rPr>
              <w:t>)</w:t>
            </w:r>
          </w:p>
        </w:tc>
      </w:tr>
      <w:tr w:rsidR="007A1245" w:rsidRPr="003A4E65" w14:paraId="7A53B31B" w14:textId="77777777" w:rsidTr="00F4000E">
        <w:tc>
          <w:tcPr>
            <w:tcW w:w="0" w:type="auto"/>
            <w:vMerge/>
            <w:tcBorders>
              <w:bottom w:val="single" w:sz="4" w:space="0" w:color="auto"/>
            </w:tcBorders>
            <w:vAlign w:val="center"/>
          </w:tcPr>
          <w:p w14:paraId="4264FCDA" w14:textId="77777777" w:rsidR="007A1245" w:rsidRPr="003A4E65" w:rsidRDefault="007A1245" w:rsidP="00F4000E">
            <w:pPr>
              <w:jc w:val="center"/>
              <w:rPr>
                <w:rFonts w:ascii="Calibri" w:eastAsia="MS Mincho" w:hAnsi="Calibri" w:cs="Arial"/>
                <w:b/>
                <w:bCs/>
              </w:rPr>
            </w:pPr>
          </w:p>
        </w:tc>
        <w:tc>
          <w:tcPr>
            <w:tcW w:w="0" w:type="auto"/>
            <w:tcBorders>
              <w:top w:val="single" w:sz="4" w:space="0" w:color="auto"/>
              <w:bottom w:val="single" w:sz="4" w:space="0" w:color="auto"/>
            </w:tcBorders>
            <w:vAlign w:val="center"/>
          </w:tcPr>
          <w:p w14:paraId="37452065"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HAPU (n=510)</w:t>
            </w:r>
          </w:p>
        </w:tc>
        <w:tc>
          <w:tcPr>
            <w:tcW w:w="0" w:type="auto"/>
            <w:tcBorders>
              <w:top w:val="single" w:sz="4" w:space="0" w:color="auto"/>
              <w:bottom w:val="single" w:sz="4" w:space="0" w:color="auto"/>
            </w:tcBorders>
          </w:tcPr>
          <w:p w14:paraId="71F89D6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36%</w:t>
            </w:r>
          </w:p>
        </w:tc>
        <w:tc>
          <w:tcPr>
            <w:tcW w:w="0" w:type="auto"/>
            <w:tcBorders>
              <w:top w:val="single" w:sz="4" w:space="0" w:color="auto"/>
              <w:bottom w:val="single" w:sz="4" w:space="0" w:color="auto"/>
            </w:tcBorders>
            <w:vAlign w:val="center"/>
          </w:tcPr>
          <w:p w14:paraId="69BC5D86"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80.6 ±11.1</w:t>
            </w:r>
          </w:p>
        </w:tc>
        <w:tc>
          <w:tcPr>
            <w:tcW w:w="0" w:type="auto"/>
            <w:tcBorders>
              <w:top w:val="single" w:sz="4" w:space="0" w:color="auto"/>
              <w:bottom w:val="single" w:sz="4" w:space="0" w:color="auto"/>
            </w:tcBorders>
            <w:vAlign w:val="center"/>
          </w:tcPr>
          <w:p w14:paraId="7A5CD257"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45</w:t>
            </w:r>
          </w:p>
        </w:tc>
        <w:tc>
          <w:tcPr>
            <w:tcW w:w="0" w:type="auto"/>
            <w:tcBorders>
              <w:top w:val="single" w:sz="4" w:space="0" w:color="auto"/>
              <w:bottom w:val="single" w:sz="4" w:space="0" w:color="auto"/>
            </w:tcBorders>
            <w:vAlign w:val="center"/>
          </w:tcPr>
          <w:p w14:paraId="55FE4CB0"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11</w:t>
            </w:r>
          </w:p>
          <w:p w14:paraId="17D0EA29"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(1-169)</w:t>
            </w:r>
          </w:p>
        </w:tc>
        <w:tc>
          <w:tcPr>
            <w:tcW w:w="0" w:type="auto"/>
            <w:tcBorders>
              <w:top w:val="single" w:sz="4" w:space="0" w:color="auto"/>
              <w:bottom w:val="single" w:sz="4" w:space="0" w:color="auto"/>
            </w:tcBorders>
            <w:vAlign w:val="center"/>
          </w:tcPr>
          <w:p w14:paraId="44B3E1C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20.9</w:t>
            </w:r>
          </w:p>
          <w:p w14:paraId="43E9D361"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±4.4</w:t>
            </w:r>
          </w:p>
        </w:tc>
        <w:tc>
          <w:tcPr>
            <w:tcW w:w="0" w:type="auto"/>
            <w:tcBorders>
              <w:top w:val="single" w:sz="4" w:space="0" w:color="auto"/>
              <w:bottom w:val="single" w:sz="4" w:space="0" w:color="auto"/>
            </w:tcBorders>
            <w:vAlign w:val="center"/>
          </w:tcPr>
          <w:p w14:paraId="7C5F17A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72%</w:t>
            </w:r>
          </w:p>
        </w:tc>
        <w:tc>
          <w:tcPr>
            <w:tcW w:w="0" w:type="auto"/>
            <w:tcBorders>
              <w:top w:val="single" w:sz="4" w:space="0" w:color="auto"/>
              <w:bottom w:val="single" w:sz="4" w:space="0" w:color="auto"/>
            </w:tcBorders>
            <w:vAlign w:val="center"/>
          </w:tcPr>
          <w:p w14:paraId="671ABB87"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4.3 </w:t>
            </w:r>
            <w:r>
              <w:rPr>
                <w:rFonts w:ascii="Calibri" w:eastAsia="MS Mincho" w:hAnsi="Calibri" w:cs="Arial"/>
              </w:rPr>
              <w:t xml:space="preserve">              </w:t>
            </w:r>
            <w:r w:rsidRPr="003A4E65">
              <w:rPr>
                <w:rFonts w:ascii="Calibri" w:eastAsia="MS Mincho" w:hAnsi="Calibri" w:cs="Arial"/>
              </w:rPr>
              <w:t>±7.2</w:t>
            </w:r>
          </w:p>
        </w:tc>
        <w:tc>
          <w:tcPr>
            <w:tcW w:w="0" w:type="auto"/>
            <w:tcBorders>
              <w:top w:val="single" w:sz="4" w:space="0" w:color="auto"/>
              <w:bottom w:val="single" w:sz="4" w:space="0" w:color="auto"/>
            </w:tcBorders>
            <w:vAlign w:val="center"/>
          </w:tcPr>
          <w:p w14:paraId="079918DE" w14:textId="77777777" w:rsidR="007A1245" w:rsidRPr="003A4E65" w:rsidRDefault="007A1245" w:rsidP="00F4000E">
            <w:pPr>
              <w:jc w:val="center"/>
              <w:rPr>
                <w:rFonts w:ascii="Calibri" w:eastAsia="MS Mincho" w:hAnsi="Calibri" w:cs="Arial"/>
              </w:rPr>
            </w:pPr>
            <w:r>
              <w:rPr>
                <w:rFonts w:ascii="Calibri" w:eastAsia="MS Mincho" w:hAnsi="Calibri" w:cs="Arial"/>
              </w:rPr>
              <w:t>332 (</w:t>
            </w:r>
            <w:r w:rsidRPr="003A4E65">
              <w:rPr>
                <w:rFonts w:ascii="Calibri" w:eastAsia="MS Mincho" w:hAnsi="Calibri" w:cs="Arial"/>
              </w:rPr>
              <w:t>65%</w:t>
            </w:r>
            <w:r>
              <w:rPr>
                <w:rFonts w:ascii="Calibri" w:eastAsia="MS Mincho" w:hAnsi="Calibri" w:cs="Arial"/>
              </w:rPr>
              <w:t>)</w:t>
            </w:r>
          </w:p>
        </w:tc>
        <w:tc>
          <w:tcPr>
            <w:tcW w:w="0" w:type="auto"/>
            <w:tcBorders>
              <w:top w:val="single" w:sz="4" w:space="0" w:color="auto"/>
              <w:bottom w:val="single" w:sz="4" w:space="0" w:color="auto"/>
            </w:tcBorders>
            <w:vAlign w:val="center"/>
          </w:tcPr>
          <w:p w14:paraId="175BA291" w14:textId="77777777" w:rsidR="007A1245" w:rsidRPr="003A4E65" w:rsidRDefault="007A1245" w:rsidP="00F4000E">
            <w:pPr>
              <w:jc w:val="center"/>
              <w:rPr>
                <w:rFonts w:ascii="Calibri" w:eastAsia="MS Mincho" w:hAnsi="Calibri" w:cs="Arial"/>
              </w:rPr>
            </w:pPr>
            <w:r>
              <w:rPr>
                <w:rFonts w:ascii="Calibri" w:eastAsia="MS Mincho" w:hAnsi="Calibri" w:cs="Arial"/>
              </w:rPr>
              <w:t>97 (</w:t>
            </w:r>
            <w:r w:rsidRPr="003A4E65">
              <w:rPr>
                <w:rFonts w:ascii="Calibri" w:eastAsia="MS Mincho" w:hAnsi="Calibri" w:cs="Arial"/>
              </w:rPr>
              <w:t>19%</w:t>
            </w:r>
            <w:r>
              <w:rPr>
                <w:rFonts w:ascii="Calibri" w:eastAsia="MS Mincho" w:hAnsi="Calibri" w:cs="Arial"/>
              </w:rPr>
              <w:t>)</w:t>
            </w:r>
          </w:p>
        </w:tc>
        <w:tc>
          <w:tcPr>
            <w:tcW w:w="0" w:type="auto"/>
            <w:tcBorders>
              <w:top w:val="single" w:sz="4" w:space="0" w:color="auto"/>
              <w:bottom w:val="single" w:sz="4" w:space="0" w:color="auto"/>
            </w:tcBorders>
            <w:vAlign w:val="center"/>
          </w:tcPr>
          <w:p w14:paraId="317844B5" w14:textId="77777777" w:rsidR="007A1245" w:rsidRPr="003A4E65" w:rsidRDefault="007A1245" w:rsidP="00F4000E">
            <w:pPr>
              <w:jc w:val="center"/>
              <w:rPr>
                <w:rFonts w:ascii="Calibri" w:eastAsia="MS Mincho" w:hAnsi="Calibri" w:cs="Arial"/>
              </w:rPr>
            </w:pPr>
            <w:r>
              <w:rPr>
                <w:rFonts w:ascii="Calibri" w:eastAsia="MS Mincho" w:hAnsi="Calibri" w:cs="Arial"/>
              </w:rPr>
              <w:t>36   (</w:t>
            </w:r>
            <w:r w:rsidRPr="003A4E65">
              <w:rPr>
                <w:rFonts w:ascii="Calibri" w:eastAsia="MS Mincho" w:hAnsi="Calibri" w:cs="Arial"/>
              </w:rPr>
              <w:t>7%</w:t>
            </w:r>
            <w:r>
              <w:rPr>
                <w:rFonts w:ascii="Calibri" w:eastAsia="MS Mincho" w:hAnsi="Calibri" w:cs="Arial"/>
              </w:rPr>
              <w:t>)</w:t>
            </w:r>
          </w:p>
        </w:tc>
        <w:tc>
          <w:tcPr>
            <w:tcW w:w="0" w:type="auto"/>
            <w:tcBorders>
              <w:top w:val="single" w:sz="4" w:space="0" w:color="auto"/>
              <w:bottom w:val="single" w:sz="4" w:space="0" w:color="auto"/>
            </w:tcBorders>
            <w:vAlign w:val="center"/>
          </w:tcPr>
          <w:p w14:paraId="6DF097C9" w14:textId="77777777" w:rsidR="007A1245" w:rsidRPr="003A4E65" w:rsidRDefault="007A1245" w:rsidP="00F4000E">
            <w:pPr>
              <w:jc w:val="center"/>
              <w:rPr>
                <w:rFonts w:ascii="Calibri" w:eastAsia="MS Mincho" w:hAnsi="Calibri" w:cs="Arial"/>
              </w:rPr>
            </w:pPr>
            <w:r>
              <w:rPr>
                <w:rFonts w:ascii="Calibri" w:eastAsia="MS Mincho" w:hAnsi="Calibri" w:cs="Arial"/>
              </w:rPr>
              <w:t>15 (</w:t>
            </w:r>
            <w:r w:rsidRPr="003A4E65">
              <w:rPr>
                <w:rFonts w:ascii="Calibri" w:eastAsia="MS Mincho" w:hAnsi="Calibri" w:cs="Arial"/>
              </w:rPr>
              <w:t>3%</w:t>
            </w:r>
            <w:r>
              <w:rPr>
                <w:rFonts w:ascii="Calibri" w:eastAsia="MS Mincho" w:hAnsi="Calibri" w:cs="Arial"/>
              </w:rPr>
              <w:t>)</w:t>
            </w:r>
          </w:p>
        </w:tc>
        <w:tc>
          <w:tcPr>
            <w:tcW w:w="0" w:type="auto"/>
            <w:tcBorders>
              <w:top w:val="single" w:sz="4" w:space="0" w:color="auto"/>
              <w:bottom w:val="single" w:sz="4" w:space="0" w:color="auto"/>
            </w:tcBorders>
            <w:vAlign w:val="center"/>
          </w:tcPr>
          <w:p w14:paraId="41FBF786" w14:textId="77777777" w:rsidR="007A1245" w:rsidRPr="003A4E65" w:rsidRDefault="007A1245" w:rsidP="00F4000E">
            <w:pPr>
              <w:jc w:val="center"/>
              <w:rPr>
                <w:rFonts w:ascii="Calibri" w:eastAsia="MS Mincho" w:hAnsi="Calibri" w:cs="Arial"/>
              </w:rPr>
            </w:pPr>
            <w:r>
              <w:rPr>
                <w:rFonts w:ascii="Calibri" w:eastAsia="MS Mincho" w:hAnsi="Calibri" w:cs="Arial"/>
              </w:rPr>
              <w:t>31 (</w:t>
            </w:r>
            <w:r w:rsidRPr="003A4E65">
              <w:rPr>
                <w:rFonts w:ascii="Calibri" w:eastAsia="MS Mincho" w:hAnsi="Calibri" w:cs="Arial"/>
              </w:rPr>
              <w:t>6%</w:t>
            </w:r>
            <w:r>
              <w:rPr>
                <w:rFonts w:ascii="Calibri" w:eastAsia="MS Mincho" w:hAnsi="Calibri" w:cs="Arial"/>
              </w:rPr>
              <w:t>)</w:t>
            </w:r>
          </w:p>
        </w:tc>
      </w:tr>
      <w:tr w:rsidR="007A1245" w:rsidRPr="003A4E65" w14:paraId="2BE2F8AB" w14:textId="77777777" w:rsidTr="00F4000E">
        <w:tc>
          <w:tcPr>
            <w:tcW w:w="0" w:type="auto"/>
            <w:vMerge w:val="restart"/>
            <w:tcBorders>
              <w:top w:val="single" w:sz="4" w:space="0" w:color="auto"/>
            </w:tcBorders>
            <w:vAlign w:val="center"/>
          </w:tcPr>
          <w:p w14:paraId="780B146E"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Category 3</w:t>
            </w:r>
          </w:p>
        </w:tc>
        <w:tc>
          <w:tcPr>
            <w:tcW w:w="0" w:type="auto"/>
            <w:tcBorders>
              <w:top w:val="single" w:sz="4" w:space="0" w:color="auto"/>
              <w:bottom w:val="single" w:sz="4" w:space="0" w:color="auto"/>
            </w:tcBorders>
            <w:vAlign w:val="center"/>
          </w:tcPr>
          <w:p w14:paraId="5C1BC94E"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CAPU (n=96)</w:t>
            </w:r>
          </w:p>
        </w:tc>
        <w:tc>
          <w:tcPr>
            <w:tcW w:w="0" w:type="auto"/>
            <w:tcBorders>
              <w:top w:val="single" w:sz="4" w:space="0" w:color="auto"/>
              <w:bottom w:val="single" w:sz="4" w:space="0" w:color="auto"/>
            </w:tcBorders>
          </w:tcPr>
          <w:p w14:paraId="31068D3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w:t>
            </w:r>
          </w:p>
        </w:tc>
        <w:tc>
          <w:tcPr>
            <w:tcW w:w="0" w:type="auto"/>
            <w:tcBorders>
              <w:top w:val="single" w:sz="4" w:space="0" w:color="auto"/>
              <w:bottom w:val="single" w:sz="4" w:space="0" w:color="auto"/>
            </w:tcBorders>
            <w:vAlign w:val="center"/>
          </w:tcPr>
          <w:p w14:paraId="6364C661"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82.3 ±12.4</w:t>
            </w:r>
          </w:p>
        </w:tc>
        <w:tc>
          <w:tcPr>
            <w:tcW w:w="0" w:type="auto"/>
            <w:tcBorders>
              <w:top w:val="single" w:sz="4" w:space="0" w:color="auto"/>
              <w:bottom w:val="single" w:sz="4" w:space="0" w:color="auto"/>
            </w:tcBorders>
            <w:vAlign w:val="center"/>
          </w:tcPr>
          <w:p w14:paraId="2C1B6F0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33</w:t>
            </w:r>
          </w:p>
        </w:tc>
        <w:tc>
          <w:tcPr>
            <w:tcW w:w="0" w:type="auto"/>
            <w:tcBorders>
              <w:top w:val="single" w:sz="4" w:space="0" w:color="auto"/>
              <w:bottom w:val="single" w:sz="4" w:space="0" w:color="auto"/>
            </w:tcBorders>
            <w:vAlign w:val="center"/>
          </w:tcPr>
          <w:p w14:paraId="33800A35"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9</w:t>
            </w:r>
          </w:p>
          <w:p w14:paraId="52146DD7"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(0-126)</w:t>
            </w:r>
          </w:p>
        </w:tc>
        <w:tc>
          <w:tcPr>
            <w:tcW w:w="0" w:type="auto"/>
            <w:tcBorders>
              <w:top w:val="single" w:sz="4" w:space="0" w:color="auto"/>
              <w:bottom w:val="single" w:sz="4" w:space="0" w:color="auto"/>
            </w:tcBorders>
            <w:vAlign w:val="center"/>
          </w:tcPr>
          <w:p w14:paraId="74C6C218"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24.4</w:t>
            </w:r>
          </w:p>
          <w:p w14:paraId="08110FA1"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±4.8</w:t>
            </w:r>
          </w:p>
        </w:tc>
        <w:tc>
          <w:tcPr>
            <w:tcW w:w="0" w:type="auto"/>
            <w:tcBorders>
              <w:top w:val="single" w:sz="4" w:space="0" w:color="auto"/>
              <w:bottom w:val="single" w:sz="4" w:space="0" w:color="auto"/>
            </w:tcBorders>
            <w:vAlign w:val="center"/>
          </w:tcPr>
          <w:p w14:paraId="11913F2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34%</w:t>
            </w:r>
          </w:p>
        </w:tc>
        <w:tc>
          <w:tcPr>
            <w:tcW w:w="0" w:type="auto"/>
            <w:tcBorders>
              <w:top w:val="single" w:sz="4" w:space="0" w:color="auto"/>
              <w:bottom w:val="single" w:sz="4" w:space="0" w:color="auto"/>
            </w:tcBorders>
            <w:vAlign w:val="center"/>
          </w:tcPr>
          <w:p w14:paraId="0C3150DB"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4.6 </w:t>
            </w:r>
            <w:r>
              <w:rPr>
                <w:rFonts w:ascii="Calibri" w:eastAsia="MS Mincho" w:hAnsi="Calibri" w:cs="Arial"/>
              </w:rPr>
              <w:t xml:space="preserve">                </w:t>
            </w:r>
            <w:r w:rsidRPr="003A4E65">
              <w:rPr>
                <w:rFonts w:ascii="Calibri" w:eastAsia="MS Mincho" w:hAnsi="Calibri" w:cs="Arial"/>
              </w:rPr>
              <w:t>±4.4</w:t>
            </w:r>
          </w:p>
        </w:tc>
        <w:tc>
          <w:tcPr>
            <w:tcW w:w="0" w:type="auto"/>
            <w:tcBorders>
              <w:top w:val="single" w:sz="4" w:space="0" w:color="auto"/>
              <w:bottom w:val="single" w:sz="4" w:space="0" w:color="auto"/>
            </w:tcBorders>
            <w:vAlign w:val="center"/>
          </w:tcPr>
          <w:p w14:paraId="5AF79B2D" w14:textId="77777777" w:rsidR="007A1245" w:rsidRPr="003A4E65" w:rsidRDefault="007A1245" w:rsidP="00F4000E">
            <w:pPr>
              <w:jc w:val="center"/>
              <w:rPr>
                <w:rFonts w:ascii="Calibri" w:eastAsia="MS Mincho" w:hAnsi="Calibri" w:cs="Arial"/>
              </w:rPr>
            </w:pPr>
            <w:r>
              <w:rPr>
                <w:rFonts w:ascii="Calibri" w:eastAsia="MS Mincho" w:hAnsi="Calibri" w:cs="Arial"/>
              </w:rPr>
              <w:t>72 (</w:t>
            </w:r>
            <w:r w:rsidRPr="003A4E65">
              <w:rPr>
                <w:rFonts w:ascii="Calibri" w:eastAsia="MS Mincho" w:hAnsi="Calibri" w:cs="Arial"/>
              </w:rPr>
              <w:t>75%</w:t>
            </w:r>
            <w:r>
              <w:rPr>
                <w:rFonts w:ascii="Calibri" w:eastAsia="MS Mincho" w:hAnsi="Calibri" w:cs="Arial"/>
              </w:rPr>
              <w:t>)</w:t>
            </w:r>
          </w:p>
        </w:tc>
        <w:tc>
          <w:tcPr>
            <w:tcW w:w="0" w:type="auto"/>
            <w:tcBorders>
              <w:top w:val="single" w:sz="4" w:space="0" w:color="auto"/>
              <w:bottom w:val="single" w:sz="4" w:space="0" w:color="auto"/>
            </w:tcBorders>
            <w:vAlign w:val="center"/>
          </w:tcPr>
          <w:p w14:paraId="68090156" w14:textId="77777777" w:rsidR="007A1245" w:rsidRPr="003A4E65" w:rsidRDefault="007A1245" w:rsidP="00F4000E">
            <w:pPr>
              <w:jc w:val="center"/>
              <w:rPr>
                <w:rFonts w:ascii="Calibri" w:eastAsia="MS Mincho" w:hAnsi="Calibri" w:cs="Arial"/>
              </w:rPr>
            </w:pPr>
            <w:r>
              <w:rPr>
                <w:rFonts w:ascii="Calibri" w:eastAsia="MS Mincho" w:hAnsi="Calibri" w:cs="Arial"/>
              </w:rPr>
              <w:t>4 (</w:t>
            </w:r>
            <w:r w:rsidRPr="003A4E65">
              <w:rPr>
                <w:rFonts w:ascii="Calibri" w:eastAsia="MS Mincho" w:hAnsi="Calibri" w:cs="Arial"/>
              </w:rPr>
              <w:t>4%</w:t>
            </w:r>
            <w:r>
              <w:rPr>
                <w:rFonts w:ascii="Calibri" w:eastAsia="MS Mincho" w:hAnsi="Calibri" w:cs="Arial"/>
              </w:rPr>
              <w:t>)</w:t>
            </w:r>
          </w:p>
        </w:tc>
        <w:tc>
          <w:tcPr>
            <w:tcW w:w="0" w:type="auto"/>
            <w:tcBorders>
              <w:top w:val="single" w:sz="4" w:space="0" w:color="auto"/>
              <w:bottom w:val="single" w:sz="4" w:space="0" w:color="auto"/>
            </w:tcBorders>
            <w:vAlign w:val="center"/>
          </w:tcPr>
          <w:p w14:paraId="3C8520FA" w14:textId="77777777" w:rsidR="007A1245" w:rsidRPr="003A4E65" w:rsidRDefault="007A1245" w:rsidP="00F4000E">
            <w:pPr>
              <w:jc w:val="center"/>
              <w:rPr>
                <w:rFonts w:ascii="Calibri" w:eastAsia="MS Mincho" w:hAnsi="Calibri" w:cs="Arial"/>
              </w:rPr>
            </w:pPr>
            <w:r>
              <w:rPr>
                <w:rFonts w:ascii="Calibri" w:eastAsia="MS Mincho" w:hAnsi="Calibri" w:cs="Arial"/>
              </w:rPr>
              <w:t>12 (</w:t>
            </w:r>
            <w:r w:rsidRPr="003A4E65">
              <w:rPr>
                <w:rFonts w:ascii="Calibri" w:eastAsia="MS Mincho" w:hAnsi="Calibri" w:cs="Arial"/>
              </w:rPr>
              <w:t>12%</w:t>
            </w:r>
            <w:r>
              <w:rPr>
                <w:rFonts w:ascii="Calibri" w:eastAsia="MS Mincho" w:hAnsi="Calibri" w:cs="Arial"/>
              </w:rPr>
              <w:t xml:space="preserve">) </w:t>
            </w:r>
          </w:p>
        </w:tc>
        <w:tc>
          <w:tcPr>
            <w:tcW w:w="0" w:type="auto"/>
            <w:tcBorders>
              <w:top w:val="single" w:sz="4" w:space="0" w:color="auto"/>
              <w:bottom w:val="single" w:sz="4" w:space="0" w:color="auto"/>
            </w:tcBorders>
            <w:vAlign w:val="center"/>
          </w:tcPr>
          <w:p w14:paraId="5A4EDD67" w14:textId="77777777" w:rsidR="007A1245" w:rsidRPr="003A4E65" w:rsidRDefault="007A1245" w:rsidP="00F4000E">
            <w:pPr>
              <w:jc w:val="center"/>
              <w:rPr>
                <w:rFonts w:ascii="Calibri" w:eastAsia="MS Mincho" w:hAnsi="Calibri" w:cs="Arial"/>
              </w:rPr>
            </w:pPr>
            <w:proofErr w:type="gramStart"/>
            <w:r>
              <w:rPr>
                <w:rFonts w:ascii="Calibri" w:eastAsia="MS Mincho" w:hAnsi="Calibri" w:cs="Arial"/>
              </w:rPr>
              <w:t>4  (</w:t>
            </w:r>
            <w:proofErr w:type="gramEnd"/>
            <w:r w:rsidRPr="003A4E65">
              <w:rPr>
                <w:rFonts w:ascii="Calibri" w:eastAsia="MS Mincho" w:hAnsi="Calibri" w:cs="Arial"/>
              </w:rPr>
              <w:t>4%</w:t>
            </w:r>
            <w:r>
              <w:rPr>
                <w:rFonts w:ascii="Calibri" w:eastAsia="MS Mincho" w:hAnsi="Calibri" w:cs="Arial"/>
              </w:rPr>
              <w:t>)</w:t>
            </w:r>
          </w:p>
        </w:tc>
        <w:tc>
          <w:tcPr>
            <w:tcW w:w="0" w:type="auto"/>
            <w:tcBorders>
              <w:top w:val="single" w:sz="4" w:space="0" w:color="auto"/>
              <w:bottom w:val="single" w:sz="4" w:space="0" w:color="auto"/>
            </w:tcBorders>
            <w:vAlign w:val="center"/>
          </w:tcPr>
          <w:p w14:paraId="1E90964E" w14:textId="77777777" w:rsidR="007A1245" w:rsidRPr="003A4E65" w:rsidRDefault="007A1245" w:rsidP="00F4000E">
            <w:pPr>
              <w:jc w:val="center"/>
              <w:rPr>
                <w:rFonts w:ascii="Calibri" w:eastAsia="MS Mincho" w:hAnsi="Calibri" w:cs="Arial"/>
              </w:rPr>
            </w:pPr>
            <w:r>
              <w:rPr>
                <w:rFonts w:ascii="Calibri" w:eastAsia="MS Mincho" w:hAnsi="Calibri" w:cs="Arial"/>
              </w:rPr>
              <w:t>5 (</w:t>
            </w:r>
            <w:r w:rsidRPr="003A4E65">
              <w:rPr>
                <w:rFonts w:ascii="Calibri" w:eastAsia="MS Mincho" w:hAnsi="Calibri" w:cs="Arial"/>
              </w:rPr>
              <w:t>6%</w:t>
            </w:r>
            <w:r>
              <w:rPr>
                <w:rFonts w:ascii="Calibri" w:eastAsia="MS Mincho" w:hAnsi="Calibri" w:cs="Arial"/>
              </w:rPr>
              <w:t>)</w:t>
            </w:r>
          </w:p>
        </w:tc>
      </w:tr>
      <w:tr w:rsidR="007A1245" w:rsidRPr="003A4E65" w14:paraId="376AEE94" w14:textId="77777777" w:rsidTr="00F4000E">
        <w:tc>
          <w:tcPr>
            <w:tcW w:w="0" w:type="auto"/>
            <w:vMerge/>
            <w:tcBorders>
              <w:bottom w:val="single" w:sz="4" w:space="0" w:color="auto"/>
            </w:tcBorders>
            <w:vAlign w:val="center"/>
          </w:tcPr>
          <w:p w14:paraId="3D6A72CA" w14:textId="77777777" w:rsidR="007A1245" w:rsidRPr="003A4E65" w:rsidRDefault="007A1245" w:rsidP="00F4000E">
            <w:pPr>
              <w:jc w:val="center"/>
              <w:rPr>
                <w:rFonts w:ascii="Calibri" w:eastAsia="MS Mincho" w:hAnsi="Calibri" w:cs="Arial"/>
                <w:b/>
                <w:bCs/>
              </w:rPr>
            </w:pPr>
          </w:p>
        </w:tc>
        <w:tc>
          <w:tcPr>
            <w:tcW w:w="0" w:type="auto"/>
            <w:tcBorders>
              <w:top w:val="single" w:sz="4" w:space="0" w:color="auto"/>
              <w:bottom w:val="single" w:sz="4" w:space="0" w:color="auto"/>
            </w:tcBorders>
            <w:vAlign w:val="center"/>
          </w:tcPr>
          <w:p w14:paraId="37C291D7"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HAPU (n=160)</w:t>
            </w:r>
          </w:p>
        </w:tc>
        <w:tc>
          <w:tcPr>
            <w:tcW w:w="0" w:type="auto"/>
            <w:tcBorders>
              <w:top w:val="single" w:sz="4" w:space="0" w:color="auto"/>
              <w:bottom w:val="single" w:sz="4" w:space="0" w:color="auto"/>
            </w:tcBorders>
          </w:tcPr>
          <w:p w14:paraId="3E61B282"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12%</w:t>
            </w:r>
          </w:p>
        </w:tc>
        <w:tc>
          <w:tcPr>
            <w:tcW w:w="0" w:type="auto"/>
            <w:tcBorders>
              <w:top w:val="single" w:sz="4" w:space="0" w:color="auto"/>
              <w:bottom w:val="single" w:sz="4" w:space="0" w:color="auto"/>
            </w:tcBorders>
            <w:vAlign w:val="center"/>
          </w:tcPr>
          <w:p w14:paraId="4509F10E"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82.0 ±9.6</w:t>
            </w:r>
          </w:p>
        </w:tc>
        <w:tc>
          <w:tcPr>
            <w:tcW w:w="0" w:type="auto"/>
            <w:tcBorders>
              <w:top w:val="single" w:sz="4" w:space="0" w:color="auto"/>
              <w:bottom w:val="single" w:sz="4" w:space="0" w:color="auto"/>
            </w:tcBorders>
            <w:vAlign w:val="center"/>
          </w:tcPr>
          <w:p w14:paraId="29717909"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45</w:t>
            </w:r>
          </w:p>
        </w:tc>
        <w:tc>
          <w:tcPr>
            <w:tcW w:w="0" w:type="auto"/>
            <w:tcBorders>
              <w:top w:val="single" w:sz="4" w:space="0" w:color="auto"/>
              <w:bottom w:val="single" w:sz="4" w:space="0" w:color="auto"/>
            </w:tcBorders>
            <w:vAlign w:val="center"/>
          </w:tcPr>
          <w:p w14:paraId="013D04AC"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18</w:t>
            </w:r>
          </w:p>
          <w:p w14:paraId="1CE8E90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(0-205)</w:t>
            </w:r>
          </w:p>
        </w:tc>
        <w:tc>
          <w:tcPr>
            <w:tcW w:w="0" w:type="auto"/>
            <w:tcBorders>
              <w:top w:val="single" w:sz="4" w:space="0" w:color="auto"/>
              <w:bottom w:val="single" w:sz="4" w:space="0" w:color="auto"/>
            </w:tcBorders>
            <w:vAlign w:val="center"/>
          </w:tcPr>
          <w:p w14:paraId="2E40109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23.4</w:t>
            </w:r>
          </w:p>
          <w:p w14:paraId="6AC8BFB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±3.5</w:t>
            </w:r>
          </w:p>
        </w:tc>
        <w:tc>
          <w:tcPr>
            <w:tcW w:w="0" w:type="auto"/>
            <w:tcBorders>
              <w:top w:val="single" w:sz="4" w:space="0" w:color="auto"/>
              <w:bottom w:val="single" w:sz="4" w:space="0" w:color="auto"/>
            </w:tcBorders>
            <w:vAlign w:val="center"/>
          </w:tcPr>
          <w:p w14:paraId="3270A02C"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54%</w:t>
            </w:r>
          </w:p>
        </w:tc>
        <w:tc>
          <w:tcPr>
            <w:tcW w:w="0" w:type="auto"/>
            <w:tcBorders>
              <w:top w:val="single" w:sz="4" w:space="0" w:color="auto"/>
              <w:bottom w:val="single" w:sz="4" w:space="0" w:color="auto"/>
            </w:tcBorders>
            <w:vAlign w:val="center"/>
          </w:tcPr>
          <w:p w14:paraId="25BD8670"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5.3 </w:t>
            </w:r>
            <w:r>
              <w:rPr>
                <w:rFonts w:ascii="Calibri" w:eastAsia="MS Mincho" w:hAnsi="Calibri" w:cs="Arial"/>
              </w:rPr>
              <w:t xml:space="preserve">               </w:t>
            </w:r>
            <w:r w:rsidRPr="003A4E65">
              <w:rPr>
                <w:rFonts w:ascii="Calibri" w:eastAsia="MS Mincho" w:hAnsi="Calibri" w:cs="Arial"/>
              </w:rPr>
              <w:t>±7.0</w:t>
            </w:r>
          </w:p>
        </w:tc>
        <w:tc>
          <w:tcPr>
            <w:tcW w:w="0" w:type="auto"/>
            <w:tcBorders>
              <w:top w:val="single" w:sz="4" w:space="0" w:color="auto"/>
              <w:bottom w:val="single" w:sz="4" w:space="0" w:color="auto"/>
            </w:tcBorders>
            <w:vAlign w:val="center"/>
          </w:tcPr>
          <w:p w14:paraId="72DB30FB" w14:textId="77777777" w:rsidR="007A1245" w:rsidRPr="003A4E65" w:rsidRDefault="007A1245" w:rsidP="00F4000E">
            <w:pPr>
              <w:jc w:val="center"/>
              <w:rPr>
                <w:rFonts w:ascii="Calibri" w:eastAsia="MS Mincho" w:hAnsi="Calibri" w:cs="Arial"/>
              </w:rPr>
            </w:pPr>
            <w:r>
              <w:rPr>
                <w:rFonts w:ascii="Calibri" w:eastAsia="MS Mincho" w:hAnsi="Calibri" w:cs="Arial"/>
              </w:rPr>
              <w:t>107 (</w:t>
            </w:r>
            <w:r w:rsidRPr="003A4E65">
              <w:rPr>
                <w:rFonts w:ascii="Calibri" w:eastAsia="MS Mincho" w:hAnsi="Calibri" w:cs="Arial"/>
              </w:rPr>
              <w:t>67%</w:t>
            </w:r>
            <w:r>
              <w:rPr>
                <w:rFonts w:ascii="Calibri" w:eastAsia="MS Mincho" w:hAnsi="Calibri" w:cs="Arial"/>
              </w:rPr>
              <w:t>)</w:t>
            </w:r>
          </w:p>
        </w:tc>
        <w:tc>
          <w:tcPr>
            <w:tcW w:w="0" w:type="auto"/>
            <w:tcBorders>
              <w:top w:val="single" w:sz="4" w:space="0" w:color="auto"/>
              <w:bottom w:val="single" w:sz="4" w:space="0" w:color="auto"/>
            </w:tcBorders>
            <w:vAlign w:val="center"/>
          </w:tcPr>
          <w:p w14:paraId="5DF2F329" w14:textId="77777777" w:rsidR="007A1245" w:rsidRPr="003A4E65" w:rsidRDefault="007A1245" w:rsidP="00F4000E">
            <w:pPr>
              <w:jc w:val="center"/>
              <w:rPr>
                <w:rFonts w:ascii="Calibri" w:eastAsia="MS Mincho" w:hAnsi="Calibri" w:cs="Arial"/>
              </w:rPr>
            </w:pPr>
            <w:r>
              <w:rPr>
                <w:rFonts w:ascii="Calibri" w:eastAsia="MS Mincho" w:hAnsi="Calibri" w:cs="Arial"/>
              </w:rPr>
              <w:t>30 (</w:t>
            </w:r>
            <w:r w:rsidRPr="003A4E65">
              <w:rPr>
                <w:rFonts w:ascii="Calibri" w:eastAsia="MS Mincho" w:hAnsi="Calibri" w:cs="Arial"/>
              </w:rPr>
              <w:t>19%</w:t>
            </w:r>
            <w:r>
              <w:rPr>
                <w:rFonts w:ascii="Calibri" w:eastAsia="MS Mincho" w:hAnsi="Calibri" w:cs="Arial"/>
              </w:rPr>
              <w:t>)</w:t>
            </w:r>
          </w:p>
        </w:tc>
        <w:tc>
          <w:tcPr>
            <w:tcW w:w="0" w:type="auto"/>
            <w:tcBorders>
              <w:top w:val="single" w:sz="4" w:space="0" w:color="auto"/>
              <w:bottom w:val="single" w:sz="4" w:space="0" w:color="auto"/>
            </w:tcBorders>
            <w:vAlign w:val="center"/>
          </w:tcPr>
          <w:p w14:paraId="4C674DFA" w14:textId="77777777" w:rsidR="007A1245" w:rsidRPr="003A4E65" w:rsidRDefault="007A1245" w:rsidP="00F4000E">
            <w:pPr>
              <w:jc w:val="center"/>
              <w:rPr>
                <w:rFonts w:ascii="Calibri" w:eastAsia="MS Mincho" w:hAnsi="Calibri" w:cs="Arial"/>
              </w:rPr>
            </w:pPr>
            <w:r>
              <w:rPr>
                <w:rFonts w:ascii="Calibri" w:eastAsia="MS Mincho" w:hAnsi="Calibri" w:cs="Arial"/>
              </w:rPr>
              <w:t>8     (</w:t>
            </w:r>
            <w:r w:rsidRPr="003A4E65">
              <w:rPr>
                <w:rFonts w:ascii="Calibri" w:eastAsia="MS Mincho" w:hAnsi="Calibri" w:cs="Arial"/>
              </w:rPr>
              <w:t>5%</w:t>
            </w:r>
            <w:r>
              <w:rPr>
                <w:rFonts w:ascii="Calibri" w:eastAsia="MS Mincho" w:hAnsi="Calibri" w:cs="Arial"/>
              </w:rPr>
              <w:t>)</w:t>
            </w:r>
          </w:p>
        </w:tc>
        <w:tc>
          <w:tcPr>
            <w:tcW w:w="0" w:type="auto"/>
            <w:tcBorders>
              <w:top w:val="single" w:sz="4" w:space="0" w:color="auto"/>
              <w:bottom w:val="single" w:sz="4" w:space="0" w:color="auto"/>
            </w:tcBorders>
            <w:vAlign w:val="center"/>
          </w:tcPr>
          <w:p w14:paraId="322740BE" w14:textId="77777777" w:rsidR="007A1245" w:rsidRPr="003A4E65" w:rsidRDefault="007A1245" w:rsidP="00F4000E">
            <w:pPr>
              <w:jc w:val="center"/>
              <w:rPr>
                <w:rFonts w:ascii="Calibri" w:eastAsia="MS Mincho" w:hAnsi="Calibri" w:cs="Arial"/>
              </w:rPr>
            </w:pPr>
            <w:proofErr w:type="gramStart"/>
            <w:r>
              <w:rPr>
                <w:rFonts w:ascii="Calibri" w:eastAsia="MS Mincho" w:hAnsi="Calibri" w:cs="Arial"/>
              </w:rPr>
              <w:t>3  (</w:t>
            </w:r>
            <w:proofErr w:type="gramEnd"/>
            <w:r w:rsidRPr="003A4E65">
              <w:rPr>
                <w:rFonts w:ascii="Calibri" w:eastAsia="MS Mincho" w:hAnsi="Calibri" w:cs="Arial"/>
              </w:rPr>
              <w:t>2%</w:t>
            </w:r>
            <w:r>
              <w:rPr>
                <w:rFonts w:ascii="Calibri" w:eastAsia="MS Mincho" w:hAnsi="Calibri" w:cs="Arial"/>
              </w:rPr>
              <w:t>)</w:t>
            </w:r>
          </w:p>
        </w:tc>
        <w:tc>
          <w:tcPr>
            <w:tcW w:w="0" w:type="auto"/>
            <w:tcBorders>
              <w:top w:val="single" w:sz="4" w:space="0" w:color="auto"/>
              <w:bottom w:val="single" w:sz="4" w:space="0" w:color="auto"/>
            </w:tcBorders>
            <w:vAlign w:val="center"/>
          </w:tcPr>
          <w:p w14:paraId="26EB9975" w14:textId="77777777" w:rsidR="007A1245" w:rsidRPr="003A4E65" w:rsidRDefault="007A1245" w:rsidP="00F4000E">
            <w:pPr>
              <w:jc w:val="center"/>
              <w:rPr>
                <w:rFonts w:ascii="Calibri" w:eastAsia="MS Mincho" w:hAnsi="Calibri" w:cs="Arial"/>
              </w:rPr>
            </w:pPr>
            <w:r>
              <w:rPr>
                <w:rFonts w:ascii="Calibri" w:eastAsia="MS Mincho" w:hAnsi="Calibri" w:cs="Arial"/>
              </w:rPr>
              <w:t>11 (</w:t>
            </w:r>
            <w:r w:rsidRPr="003A4E65">
              <w:rPr>
                <w:rFonts w:ascii="Calibri" w:eastAsia="MS Mincho" w:hAnsi="Calibri" w:cs="Arial"/>
              </w:rPr>
              <w:t>7%</w:t>
            </w:r>
            <w:r>
              <w:rPr>
                <w:rFonts w:ascii="Calibri" w:eastAsia="MS Mincho" w:hAnsi="Calibri" w:cs="Arial"/>
              </w:rPr>
              <w:t>)</w:t>
            </w:r>
          </w:p>
        </w:tc>
      </w:tr>
      <w:tr w:rsidR="007A1245" w:rsidRPr="003A4E65" w14:paraId="6EDB7705" w14:textId="77777777" w:rsidTr="00F4000E">
        <w:tc>
          <w:tcPr>
            <w:tcW w:w="0" w:type="auto"/>
            <w:vMerge w:val="restart"/>
            <w:tcBorders>
              <w:top w:val="single" w:sz="4" w:space="0" w:color="auto"/>
            </w:tcBorders>
            <w:vAlign w:val="center"/>
          </w:tcPr>
          <w:p w14:paraId="1C4F6BC6"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Category 4</w:t>
            </w:r>
          </w:p>
        </w:tc>
        <w:tc>
          <w:tcPr>
            <w:tcW w:w="0" w:type="auto"/>
            <w:tcBorders>
              <w:top w:val="single" w:sz="4" w:space="0" w:color="auto"/>
              <w:bottom w:val="single" w:sz="4" w:space="0" w:color="auto"/>
            </w:tcBorders>
            <w:vAlign w:val="center"/>
          </w:tcPr>
          <w:p w14:paraId="2DE653C3"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CAPU (n=20)</w:t>
            </w:r>
          </w:p>
        </w:tc>
        <w:tc>
          <w:tcPr>
            <w:tcW w:w="0" w:type="auto"/>
            <w:tcBorders>
              <w:top w:val="single" w:sz="4" w:space="0" w:color="auto"/>
              <w:bottom w:val="single" w:sz="4" w:space="0" w:color="auto"/>
            </w:tcBorders>
          </w:tcPr>
          <w:p w14:paraId="78282898"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w:t>
            </w:r>
          </w:p>
        </w:tc>
        <w:tc>
          <w:tcPr>
            <w:tcW w:w="0" w:type="auto"/>
            <w:tcBorders>
              <w:top w:val="single" w:sz="4" w:space="0" w:color="auto"/>
              <w:bottom w:val="single" w:sz="4" w:space="0" w:color="auto"/>
            </w:tcBorders>
            <w:vAlign w:val="center"/>
          </w:tcPr>
          <w:p w14:paraId="37AA375F"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76.1 ±12.5</w:t>
            </w:r>
          </w:p>
        </w:tc>
        <w:tc>
          <w:tcPr>
            <w:tcW w:w="0" w:type="auto"/>
            <w:tcBorders>
              <w:top w:val="single" w:sz="4" w:space="0" w:color="auto"/>
              <w:bottom w:val="single" w:sz="4" w:space="0" w:color="auto"/>
            </w:tcBorders>
            <w:vAlign w:val="center"/>
          </w:tcPr>
          <w:p w14:paraId="181AFD6C"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20</w:t>
            </w:r>
          </w:p>
        </w:tc>
        <w:tc>
          <w:tcPr>
            <w:tcW w:w="0" w:type="auto"/>
            <w:tcBorders>
              <w:top w:val="single" w:sz="4" w:space="0" w:color="auto"/>
              <w:bottom w:val="single" w:sz="4" w:space="0" w:color="auto"/>
            </w:tcBorders>
            <w:vAlign w:val="center"/>
          </w:tcPr>
          <w:p w14:paraId="5E78DDC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w:t>
            </w:r>
          </w:p>
          <w:p w14:paraId="5DE0979F"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(1-87)</w:t>
            </w:r>
          </w:p>
        </w:tc>
        <w:tc>
          <w:tcPr>
            <w:tcW w:w="0" w:type="auto"/>
            <w:tcBorders>
              <w:top w:val="single" w:sz="4" w:space="0" w:color="auto"/>
              <w:bottom w:val="single" w:sz="4" w:space="0" w:color="auto"/>
            </w:tcBorders>
            <w:vAlign w:val="center"/>
          </w:tcPr>
          <w:p w14:paraId="0C258C6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25.7</w:t>
            </w:r>
          </w:p>
          <w:p w14:paraId="1788E706"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±3.2</w:t>
            </w:r>
          </w:p>
        </w:tc>
        <w:tc>
          <w:tcPr>
            <w:tcW w:w="0" w:type="auto"/>
            <w:tcBorders>
              <w:top w:val="single" w:sz="4" w:space="0" w:color="auto"/>
              <w:bottom w:val="single" w:sz="4" w:space="0" w:color="auto"/>
            </w:tcBorders>
            <w:vAlign w:val="center"/>
          </w:tcPr>
          <w:p w14:paraId="7A139835"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59%</w:t>
            </w:r>
          </w:p>
        </w:tc>
        <w:tc>
          <w:tcPr>
            <w:tcW w:w="0" w:type="auto"/>
            <w:tcBorders>
              <w:top w:val="single" w:sz="4" w:space="0" w:color="auto"/>
              <w:bottom w:val="single" w:sz="4" w:space="0" w:color="auto"/>
            </w:tcBorders>
            <w:vAlign w:val="center"/>
          </w:tcPr>
          <w:p w14:paraId="5CC330F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5.0 </w:t>
            </w:r>
            <w:r>
              <w:rPr>
                <w:rFonts w:ascii="Calibri" w:eastAsia="MS Mincho" w:hAnsi="Calibri" w:cs="Arial"/>
              </w:rPr>
              <w:t xml:space="preserve">               </w:t>
            </w:r>
            <w:r w:rsidRPr="003A4E65">
              <w:rPr>
                <w:rFonts w:ascii="Calibri" w:eastAsia="MS Mincho" w:hAnsi="Calibri" w:cs="Arial"/>
              </w:rPr>
              <w:t>±8.9</w:t>
            </w:r>
          </w:p>
        </w:tc>
        <w:tc>
          <w:tcPr>
            <w:tcW w:w="0" w:type="auto"/>
            <w:tcBorders>
              <w:top w:val="single" w:sz="4" w:space="0" w:color="auto"/>
              <w:bottom w:val="single" w:sz="4" w:space="0" w:color="auto"/>
            </w:tcBorders>
            <w:vAlign w:val="center"/>
          </w:tcPr>
          <w:p w14:paraId="4739B251" w14:textId="77777777" w:rsidR="007A1245" w:rsidRPr="003A4E65" w:rsidRDefault="007A1245" w:rsidP="00F4000E">
            <w:pPr>
              <w:jc w:val="center"/>
              <w:rPr>
                <w:rFonts w:ascii="Calibri" w:eastAsia="MS Mincho" w:hAnsi="Calibri" w:cs="Arial"/>
              </w:rPr>
            </w:pPr>
            <w:r>
              <w:rPr>
                <w:rFonts w:ascii="Calibri" w:eastAsia="MS Mincho" w:hAnsi="Calibri" w:cs="Arial"/>
              </w:rPr>
              <w:t>15 (</w:t>
            </w:r>
            <w:r w:rsidRPr="003A4E65">
              <w:rPr>
                <w:rFonts w:ascii="Calibri" w:eastAsia="MS Mincho" w:hAnsi="Calibri" w:cs="Arial"/>
              </w:rPr>
              <w:t>77%</w:t>
            </w:r>
            <w:r>
              <w:rPr>
                <w:rFonts w:ascii="Calibri" w:eastAsia="MS Mincho" w:hAnsi="Calibri" w:cs="Arial"/>
              </w:rPr>
              <w:t>)</w:t>
            </w:r>
          </w:p>
        </w:tc>
        <w:tc>
          <w:tcPr>
            <w:tcW w:w="0" w:type="auto"/>
            <w:tcBorders>
              <w:top w:val="single" w:sz="4" w:space="0" w:color="auto"/>
              <w:bottom w:val="single" w:sz="4" w:space="0" w:color="auto"/>
            </w:tcBorders>
            <w:vAlign w:val="center"/>
          </w:tcPr>
          <w:p w14:paraId="0B7AB7AD" w14:textId="77777777" w:rsidR="007A1245" w:rsidRPr="003A4E65" w:rsidRDefault="007A1245" w:rsidP="00F4000E">
            <w:pPr>
              <w:jc w:val="center"/>
              <w:rPr>
                <w:rFonts w:ascii="Calibri" w:eastAsia="MS Mincho" w:hAnsi="Calibri" w:cs="Arial"/>
              </w:rPr>
            </w:pPr>
            <w:r>
              <w:rPr>
                <w:rFonts w:ascii="Calibri" w:eastAsia="MS Mincho" w:hAnsi="Calibri" w:cs="Arial"/>
              </w:rPr>
              <w:t>4 (</w:t>
            </w:r>
            <w:r w:rsidRPr="003A4E65">
              <w:rPr>
                <w:rFonts w:ascii="Calibri" w:eastAsia="MS Mincho" w:hAnsi="Calibri" w:cs="Arial"/>
              </w:rPr>
              <w:t>19%</w:t>
            </w:r>
            <w:r>
              <w:rPr>
                <w:rFonts w:ascii="Calibri" w:eastAsia="MS Mincho" w:hAnsi="Calibri" w:cs="Arial"/>
              </w:rPr>
              <w:t>)</w:t>
            </w:r>
          </w:p>
        </w:tc>
        <w:tc>
          <w:tcPr>
            <w:tcW w:w="0" w:type="auto"/>
            <w:tcBorders>
              <w:top w:val="single" w:sz="4" w:space="0" w:color="auto"/>
              <w:bottom w:val="single" w:sz="4" w:space="0" w:color="auto"/>
            </w:tcBorders>
            <w:vAlign w:val="center"/>
          </w:tcPr>
          <w:p w14:paraId="7DE5310D" w14:textId="77777777" w:rsidR="007A1245" w:rsidRPr="003A4E65" w:rsidRDefault="007A1245" w:rsidP="00F4000E">
            <w:pPr>
              <w:jc w:val="center"/>
              <w:rPr>
                <w:rFonts w:ascii="Calibri" w:eastAsia="MS Mincho" w:hAnsi="Calibri" w:cs="Arial"/>
              </w:rPr>
            </w:pPr>
            <w:r>
              <w:rPr>
                <w:rFonts w:ascii="Calibri" w:eastAsia="MS Mincho" w:hAnsi="Calibri" w:cs="Arial"/>
              </w:rPr>
              <w:t>0     (</w:t>
            </w:r>
            <w:r w:rsidRPr="003A4E65">
              <w:rPr>
                <w:rFonts w:ascii="Calibri" w:eastAsia="MS Mincho" w:hAnsi="Calibri" w:cs="Arial"/>
              </w:rPr>
              <w:t>0%</w:t>
            </w:r>
            <w:r>
              <w:rPr>
                <w:rFonts w:ascii="Calibri" w:eastAsia="MS Mincho" w:hAnsi="Calibri" w:cs="Arial"/>
              </w:rPr>
              <w:t>)</w:t>
            </w:r>
          </w:p>
        </w:tc>
        <w:tc>
          <w:tcPr>
            <w:tcW w:w="0" w:type="auto"/>
            <w:tcBorders>
              <w:top w:val="single" w:sz="4" w:space="0" w:color="auto"/>
              <w:bottom w:val="single" w:sz="4" w:space="0" w:color="auto"/>
            </w:tcBorders>
            <w:vAlign w:val="center"/>
          </w:tcPr>
          <w:p w14:paraId="5C97AB51" w14:textId="77777777" w:rsidR="007A1245" w:rsidRPr="003A4E65" w:rsidRDefault="007A1245" w:rsidP="00F4000E">
            <w:pPr>
              <w:jc w:val="center"/>
              <w:rPr>
                <w:rFonts w:ascii="Calibri" w:eastAsia="MS Mincho" w:hAnsi="Calibri" w:cs="Arial"/>
              </w:rPr>
            </w:pPr>
            <w:proofErr w:type="gramStart"/>
            <w:r>
              <w:rPr>
                <w:rFonts w:ascii="Calibri" w:eastAsia="MS Mincho" w:hAnsi="Calibri" w:cs="Arial"/>
              </w:rPr>
              <w:t>0  (</w:t>
            </w:r>
            <w:proofErr w:type="gramEnd"/>
            <w:r w:rsidRPr="003A4E65">
              <w:rPr>
                <w:rFonts w:ascii="Calibri" w:eastAsia="MS Mincho" w:hAnsi="Calibri" w:cs="Arial"/>
              </w:rPr>
              <w:t>0%</w:t>
            </w:r>
            <w:r>
              <w:rPr>
                <w:rFonts w:ascii="Calibri" w:eastAsia="MS Mincho" w:hAnsi="Calibri" w:cs="Arial"/>
              </w:rPr>
              <w:t>)</w:t>
            </w:r>
          </w:p>
        </w:tc>
        <w:tc>
          <w:tcPr>
            <w:tcW w:w="0" w:type="auto"/>
            <w:tcBorders>
              <w:top w:val="single" w:sz="4" w:space="0" w:color="auto"/>
              <w:bottom w:val="single" w:sz="4" w:space="0" w:color="auto"/>
            </w:tcBorders>
            <w:vAlign w:val="center"/>
          </w:tcPr>
          <w:p w14:paraId="41943C56" w14:textId="77777777" w:rsidR="007A1245" w:rsidRPr="003A4E65" w:rsidRDefault="007A1245" w:rsidP="00F4000E">
            <w:pPr>
              <w:jc w:val="center"/>
              <w:rPr>
                <w:rFonts w:ascii="Calibri" w:eastAsia="MS Mincho" w:hAnsi="Calibri" w:cs="Arial"/>
              </w:rPr>
            </w:pPr>
            <w:r>
              <w:rPr>
                <w:rFonts w:ascii="Calibri" w:eastAsia="MS Mincho" w:hAnsi="Calibri" w:cs="Arial"/>
              </w:rPr>
              <w:t>1 (</w:t>
            </w:r>
            <w:r w:rsidRPr="003A4E65">
              <w:rPr>
                <w:rFonts w:ascii="Calibri" w:eastAsia="MS Mincho" w:hAnsi="Calibri" w:cs="Arial"/>
              </w:rPr>
              <w:t>3%</w:t>
            </w:r>
            <w:r>
              <w:rPr>
                <w:rFonts w:ascii="Calibri" w:eastAsia="MS Mincho" w:hAnsi="Calibri" w:cs="Arial"/>
              </w:rPr>
              <w:t>)</w:t>
            </w:r>
          </w:p>
        </w:tc>
      </w:tr>
      <w:tr w:rsidR="007A1245" w:rsidRPr="003A4E65" w14:paraId="632C2857" w14:textId="77777777" w:rsidTr="00F4000E">
        <w:tc>
          <w:tcPr>
            <w:tcW w:w="0" w:type="auto"/>
            <w:vMerge/>
            <w:tcBorders>
              <w:bottom w:val="single" w:sz="4" w:space="0" w:color="auto"/>
            </w:tcBorders>
            <w:vAlign w:val="center"/>
          </w:tcPr>
          <w:p w14:paraId="7471FB77" w14:textId="77777777" w:rsidR="007A1245" w:rsidRPr="003A4E65" w:rsidRDefault="007A1245" w:rsidP="00F4000E">
            <w:pPr>
              <w:jc w:val="center"/>
              <w:rPr>
                <w:rFonts w:ascii="Calibri" w:eastAsia="MS Mincho" w:hAnsi="Calibri" w:cs="Arial"/>
                <w:b/>
                <w:bCs/>
              </w:rPr>
            </w:pPr>
          </w:p>
        </w:tc>
        <w:tc>
          <w:tcPr>
            <w:tcW w:w="0" w:type="auto"/>
            <w:tcBorders>
              <w:top w:val="single" w:sz="4" w:space="0" w:color="auto"/>
              <w:bottom w:val="single" w:sz="4" w:space="0" w:color="auto"/>
            </w:tcBorders>
            <w:vAlign w:val="center"/>
          </w:tcPr>
          <w:p w14:paraId="53C8FFC9"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HAPU (n=32)</w:t>
            </w:r>
          </w:p>
        </w:tc>
        <w:tc>
          <w:tcPr>
            <w:tcW w:w="0" w:type="auto"/>
            <w:tcBorders>
              <w:top w:val="single" w:sz="4" w:space="0" w:color="auto"/>
              <w:bottom w:val="single" w:sz="4" w:space="0" w:color="auto"/>
            </w:tcBorders>
          </w:tcPr>
          <w:p w14:paraId="6109B016"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w:t>
            </w:r>
          </w:p>
        </w:tc>
        <w:tc>
          <w:tcPr>
            <w:tcW w:w="0" w:type="auto"/>
            <w:tcBorders>
              <w:top w:val="single" w:sz="4" w:space="0" w:color="auto"/>
              <w:bottom w:val="single" w:sz="4" w:space="0" w:color="auto"/>
            </w:tcBorders>
            <w:vAlign w:val="center"/>
          </w:tcPr>
          <w:p w14:paraId="4BB535A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73.9 ±13.2</w:t>
            </w:r>
          </w:p>
        </w:tc>
        <w:tc>
          <w:tcPr>
            <w:tcW w:w="0" w:type="auto"/>
            <w:tcBorders>
              <w:top w:val="single" w:sz="4" w:space="0" w:color="auto"/>
              <w:bottom w:val="single" w:sz="4" w:space="0" w:color="auto"/>
            </w:tcBorders>
            <w:vAlign w:val="center"/>
          </w:tcPr>
          <w:p w14:paraId="01D90717"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58</w:t>
            </w:r>
          </w:p>
        </w:tc>
        <w:tc>
          <w:tcPr>
            <w:tcW w:w="0" w:type="auto"/>
            <w:tcBorders>
              <w:top w:val="single" w:sz="4" w:space="0" w:color="auto"/>
              <w:bottom w:val="single" w:sz="4" w:space="0" w:color="auto"/>
            </w:tcBorders>
            <w:vAlign w:val="center"/>
          </w:tcPr>
          <w:p w14:paraId="7DF1BDA4"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15</w:t>
            </w:r>
          </w:p>
          <w:p w14:paraId="3E0536F0"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(1-193)</w:t>
            </w:r>
          </w:p>
        </w:tc>
        <w:tc>
          <w:tcPr>
            <w:tcW w:w="0" w:type="auto"/>
            <w:tcBorders>
              <w:top w:val="single" w:sz="4" w:space="0" w:color="auto"/>
              <w:bottom w:val="single" w:sz="4" w:space="0" w:color="auto"/>
            </w:tcBorders>
            <w:vAlign w:val="center"/>
          </w:tcPr>
          <w:p w14:paraId="6919776B"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26.9</w:t>
            </w:r>
          </w:p>
          <w:p w14:paraId="110722BC"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±2.9</w:t>
            </w:r>
          </w:p>
        </w:tc>
        <w:tc>
          <w:tcPr>
            <w:tcW w:w="0" w:type="auto"/>
            <w:tcBorders>
              <w:top w:val="single" w:sz="4" w:space="0" w:color="auto"/>
              <w:bottom w:val="single" w:sz="4" w:space="0" w:color="auto"/>
            </w:tcBorders>
            <w:vAlign w:val="center"/>
          </w:tcPr>
          <w:p w14:paraId="59CC381F"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47%</w:t>
            </w:r>
          </w:p>
        </w:tc>
        <w:tc>
          <w:tcPr>
            <w:tcW w:w="0" w:type="auto"/>
            <w:tcBorders>
              <w:top w:val="single" w:sz="4" w:space="0" w:color="auto"/>
              <w:bottom w:val="single" w:sz="4" w:space="0" w:color="auto"/>
            </w:tcBorders>
            <w:vAlign w:val="center"/>
          </w:tcPr>
          <w:p w14:paraId="0A91F57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4.2 </w:t>
            </w:r>
            <w:r>
              <w:rPr>
                <w:rFonts w:ascii="Calibri" w:eastAsia="MS Mincho" w:hAnsi="Calibri" w:cs="Arial"/>
              </w:rPr>
              <w:t xml:space="preserve">               </w:t>
            </w:r>
            <w:r w:rsidRPr="003A4E65">
              <w:rPr>
                <w:rFonts w:ascii="Calibri" w:eastAsia="MS Mincho" w:hAnsi="Calibri" w:cs="Arial"/>
              </w:rPr>
              <w:t>±3.7</w:t>
            </w:r>
          </w:p>
        </w:tc>
        <w:tc>
          <w:tcPr>
            <w:tcW w:w="0" w:type="auto"/>
            <w:tcBorders>
              <w:top w:val="single" w:sz="4" w:space="0" w:color="auto"/>
              <w:bottom w:val="single" w:sz="4" w:space="0" w:color="auto"/>
            </w:tcBorders>
            <w:vAlign w:val="center"/>
          </w:tcPr>
          <w:p w14:paraId="1C81FDBE" w14:textId="77777777" w:rsidR="007A1245" w:rsidRPr="003A4E65" w:rsidRDefault="007A1245" w:rsidP="00F4000E">
            <w:pPr>
              <w:jc w:val="center"/>
              <w:rPr>
                <w:rFonts w:ascii="Calibri" w:eastAsia="MS Mincho" w:hAnsi="Calibri" w:cs="Arial"/>
              </w:rPr>
            </w:pPr>
            <w:r>
              <w:rPr>
                <w:rFonts w:ascii="Calibri" w:eastAsia="MS Mincho" w:hAnsi="Calibri" w:cs="Arial"/>
              </w:rPr>
              <w:t>12 (</w:t>
            </w:r>
            <w:r w:rsidRPr="003A4E65">
              <w:rPr>
                <w:rFonts w:ascii="Calibri" w:eastAsia="MS Mincho" w:hAnsi="Calibri" w:cs="Arial"/>
              </w:rPr>
              <w:t>37%</w:t>
            </w:r>
            <w:r>
              <w:rPr>
                <w:rFonts w:ascii="Calibri" w:eastAsia="MS Mincho" w:hAnsi="Calibri" w:cs="Arial"/>
              </w:rPr>
              <w:t>)</w:t>
            </w:r>
          </w:p>
        </w:tc>
        <w:tc>
          <w:tcPr>
            <w:tcW w:w="0" w:type="auto"/>
            <w:tcBorders>
              <w:top w:val="single" w:sz="4" w:space="0" w:color="auto"/>
              <w:bottom w:val="single" w:sz="4" w:space="0" w:color="auto"/>
            </w:tcBorders>
            <w:vAlign w:val="center"/>
          </w:tcPr>
          <w:p w14:paraId="41F02802" w14:textId="77777777" w:rsidR="007A1245" w:rsidRPr="003A4E65" w:rsidRDefault="007A1245" w:rsidP="00F4000E">
            <w:pPr>
              <w:jc w:val="center"/>
              <w:rPr>
                <w:rFonts w:ascii="Calibri" w:eastAsia="MS Mincho" w:hAnsi="Calibri" w:cs="Arial"/>
              </w:rPr>
            </w:pPr>
            <w:r>
              <w:rPr>
                <w:rFonts w:ascii="Calibri" w:eastAsia="MS Mincho" w:hAnsi="Calibri" w:cs="Arial"/>
              </w:rPr>
              <w:t>15 (48</w:t>
            </w:r>
            <w:r w:rsidRPr="003A4E65">
              <w:rPr>
                <w:rFonts w:ascii="Calibri" w:eastAsia="MS Mincho" w:hAnsi="Calibri" w:cs="Arial"/>
              </w:rPr>
              <w:t>%</w:t>
            </w:r>
            <w:r>
              <w:rPr>
                <w:rFonts w:ascii="Calibri" w:eastAsia="MS Mincho" w:hAnsi="Calibri" w:cs="Arial"/>
              </w:rPr>
              <w:t>)</w:t>
            </w:r>
          </w:p>
        </w:tc>
        <w:tc>
          <w:tcPr>
            <w:tcW w:w="0" w:type="auto"/>
            <w:tcBorders>
              <w:top w:val="single" w:sz="4" w:space="0" w:color="auto"/>
              <w:bottom w:val="single" w:sz="4" w:space="0" w:color="auto"/>
            </w:tcBorders>
            <w:vAlign w:val="center"/>
          </w:tcPr>
          <w:p w14:paraId="353BA13B" w14:textId="77777777" w:rsidR="007A1245" w:rsidRPr="003A4E65" w:rsidRDefault="007A1245" w:rsidP="00F4000E">
            <w:pPr>
              <w:jc w:val="center"/>
              <w:rPr>
                <w:rFonts w:ascii="Calibri" w:eastAsia="MS Mincho" w:hAnsi="Calibri" w:cs="Arial"/>
              </w:rPr>
            </w:pPr>
            <w:r>
              <w:rPr>
                <w:rFonts w:ascii="Calibri" w:eastAsia="MS Mincho" w:hAnsi="Calibri" w:cs="Arial"/>
              </w:rPr>
              <w:t>2     (</w:t>
            </w:r>
            <w:r w:rsidRPr="003A4E65">
              <w:rPr>
                <w:rFonts w:ascii="Calibri" w:eastAsia="MS Mincho" w:hAnsi="Calibri" w:cs="Arial"/>
              </w:rPr>
              <w:t>5%</w:t>
            </w:r>
            <w:r>
              <w:rPr>
                <w:rFonts w:ascii="Calibri" w:eastAsia="MS Mincho" w:hAnsi="Calibri" w:cs="Arial"/>
              </w:rPr>
              <w:t>)</w:t>
            </w:r>
          </w:p>
        </w:tc>
        <w:tc>
          <w:tcPr>
            <w:tcW w:w="0" w:type="auto"/>
            <w:tcBorders>
              <w:top w:val="single" w:sz="4" w:space="0" w:color="auto"/>
              <w:bottom w:val="single" w:sz="4" w:space="0" w:color="auto"/>
            </w:tcBorders>
            <w:vAlign w:val="center"/>
          </w:tcPr>
          <w:p w14:paraId="4BA5195E" w14:textId="77777777" w:rsidR="007A1245" w:rsidRPr="003A4E65" w:rsidRDefault="007A1245" w:rsidP="00F4000E">
            <w:pPr>
              <w:jc w:val="center"/>
              <w:rPr>
                <w:rFonts w:ascii="Calibri" w:eastAsia="MS Mincho" w:hAnsi="Calibri" w:cs="Arial"/>
              </w:rPr>
            </w:pPr>
            <w:r>
              <w:rPr>
                <w:rFonts w:ascii="Calibri" w:eastAsia="MS Mincho" w:hAnsi="Calibri" w:cs="Arial"/>
              </w:rPr>
              <w:t>2    (</w:t>
            </w:r>
            <w:r w:rsidRPr="003A4E65">
              <w:rPr>
                <w:rFonts w:ascii="Calibri" w:eastAsia="MS Mincho" w:hAnsi="Calibri" w:cs="Arial"/>
              </w:rPr>
              <w:t>5%</w:t>
            </w:r>
            <w:r>
              <w:rPr>
                <w:rFonts w:ascii="Calibri" w:eastAsia="MS Mincho" w:hAnsi="Calibri" w:cs="Arial"/>
              </w:rPr>
              <w:t>)</w:t>
            </w:r>
          </w:p>
        </w:tc>
        <w:tc>
          <w:tcPr>
            <w:tcW w:w="0" w:type="auto"/>
            <w:tcBorders>
              <w:top w:val="single" w:sz="4" w:space="0" w:color="auto"/>
              <w:bottom w:val="single" w:sz="4" w:space="0" w:color="auto"/>
            </w:tcBorders>
            <w:vAlign w:val="center"/>
          </w:tcPr>
          <w:p w14:paraId="17CB0930" w14:textId="77777777" w:rsidR="007A1245" w:rsidRPr="003A4E65" w:rsidRDefault="007A1245" w:rsidP="00F4000E">
            <w:pPr>
              <w:jc w:val="center"/>
              <w:rPr>
                <w:rFonts w:ascii="Calibri" w:eastAsia="MS Mincho" w:hAnsi="Calibri" w:cs="Arial"/>
              </w:rPr>
            </w:pPr>
            <w:r>
              <w:rPr>
                <w:rFonts w:ascii="Calibri" w:eastAsia="MS Mincho" w:hAnsi="Calibri" w:cs="Arial"/>
              </w:rPr>
              <w:t>1    (3</w:t>
            </w:r>
            <w:r w:rsidRPr="003A4E65">
              <w:rPr>
                <w:rFonts w:ascii="Calibri" w:eastAsia="MS Mincho" w:hAnsi="Calibri" w:cs="Arial"/>
              </w:rPr>
              <w:t>%</w:t>
            </w:r>
            <w:r>
              <w:rPr>
                <w:rFonts w:ascii="Calibri" w:eastAsia="MS Mincho" w:hAnsi="Calibri" w:cs="Arial"/>
              </w:rPr>
              <w:t>)</w:t>
            </w:r>
          </w:p>
        </w:tc>
      </w:tr>
      <w:tr w:rsidR="007A1245" w:rsidRPr="003A4E65" w14:paraId="29FD2BCE" w14:textId="77777777" w:rsidTr="00F4000E">
        <w:tc>
          <w:tcPr>
            <w:tcW w:w="0" w:type="auto"/>
            <w:tcBorders>
              <w:top w:val="single" w:sz="4" w:space="0" w:color="auto"/>
              <w:bottom w:val="single" w:sz="4" w:space="0" w:color="auto"/>
            </w:tcBorders>
            <w:vAlign w:val="center"/>
          </w:tcPr>
          <w:p w14:paraId="30146A66" w14:textId="77777777" w:rsidR="007A1245" w:rsidRPr="003A4E65" w:rsidRDefault="007A1245" w:rsidP="00F4000E">
            <w:pPr>
              <w:jc w:val="center"/>
              <w:rPr>
                <w:rFonts w:ascii="Calibri" w:eastAsia="MS Mincho" w:hAnsi="Calibri" w:cs="Arial"/>
                <w:b/>
                <w:bCs/>
              </w:rPr>
            </w:pPr>
          </w:p>
        </w:tc>
        <w:tc>
          <w:tcPr>
            <w:tcW w:w="0" w:type="auto"/>
            <w:tcBorders>
              <w:top w:val="single" w:sz="4" w:space="0" w:color="auto"/>
              <w:bottom w:val="single" w:sz="4" w:space="0" w:color="auto"/>
            </w:tcBorders>
            <w:vAlign w:val="center"/>
          </w:tcPr>
          <w:p w14:paraId="1A4287E6" w14:textId="77777777" w:rsidR="007A1245" w:rsidRPr="003A4E65" w:rsidRDefault="007A1245" w:rsidP="00F4000E">
            <w:pPr>
              <w:jc w:val="center"/>
              <w:rPr>
                <w:rFonts w:ascii="Calibri" w:eastAsia="MS Mincho" w:hAnsi="Calibri" w:cs="Arial"/>
                <w:b/>
                <w:bCs/>
              </w:rPr>
            </w:pPr>
          </w:p>
        </w:tc>
        <w:tc>
          <w:tcPr>
            <w:tcW w:w="0" w:type="auto"/>
            <w:tcBorders>
              <w:top w:val="single" w:sz="4" w:space="0" w:color="auto"/>
              <w:bottom w:val="single" w:sz="4" w:space="0" w:color="auto"/>
            </w:tcBorders>
          </w:tcPr>
          <w:p w14:paraId="056448EB"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734E01FC"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12AF1D9B"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630F7CED"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64388416"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673020B9"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3C644627"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6DE4240D"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6447F76A"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37EB7E8A"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60625696"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37A0AC42" w14:textId="77777777" w:rsidR="007A1245" w:rsidRPr="003A4E65" w:rsidRDefault="007A1245" w:rsidP="00F4000E">
            <w:pPr>
              <w:jc w:val="center"/>
              <w:rPr>
                <w:rFonts w:ascii="Calibri" w:eastAsia="MS Mincho" w:hAnsi="Calibri" w:cs="Arial"/>
              </w:rPr>
            </w:pPr>
          </w:p>
        </w:tc>
      </w:tr>
      <w:tr w:rsidR="007A1245" w:rsidRPr="003A4E65" w14:paraId="06D750BE" w14:textId="77777777" w:rsidTr="00F4000E">
        <w:tc>
          <w:tcPr>
            <w:tcW w:w="0" w:type="auto"/>
            <w:vMerge w:val="restart"/>
            <w:tcBorders>
              <w:top w:val="single" w:sz="4" w:space="0" w:color="auto"/>
            </w:tcBorders>
            <w:vAlign w:val="center"/>
          </w:tcPr>
          <w:p w14:paraId="708650C7"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All Categories</w:t>
            </w:r>
          </w:p>
        </w:tc>
        <w:tc>
          <w:tcPr>
            <w:tcW w:w="0" w:type="auto"/>
            <w:tcBorders>
              <w:top w:val="single" w:sz="4" w:space="0" w:color="auto"/>
              <w:bottom w:val="single" w:sz="4" w:space="0" w:color="auto"/>
            </w:tcBorders>
            <w:vAlign w:val="center"/>
          </w:tcPr>
          <w:p w14:paraId="6BD5E56A"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CAPU (n=1267)</w:t>
            </w:r>
          </w:p>
        </w:tc>
        <w:tc>
          <w:tcPr>
            <w:tcW w:w="0" w:type="auto"/>
            <w:tcBorders>
              <w:top w:val="single" w:sz="4" w:space="0" w:color="auto"/>
              <w:bottom w:val="single" w:sz="4" w:space="0" w:color="auto"/>
            </w:tcBorders>
          </w:tcPr>
          <w:p w14:paraId="07CF0EC5"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2D764767"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79.6 ±11.7 </w:t>
            </w:r>
          </w:p>
        </w:tc>
        <w:tc>
          <w:tcPr>
            <w:tcW w:w="0" w:type="auto"/>
            <w:tcBorders>
              <w:top w:val="single" w:sz="4" w:space="0" w:color="auto"/>
              <w:bottom w:val="single" w:sz="4" w:space="0" w:color="auto"/>
            </w:tcBorders>
            <w:vAlign w:val="center"/>
          </w:tcPr>
          <w:p w14:paraId="2D9DF7DC"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42</w:t>
            </w:r>
          </w:p>
        </w:tc>
        <w:tc>
          <w:tcPr>
            <w:tcW w:w="0" w:type="auto"/>
            <w:tcBorders>
              <w:top w:val="single" w:sz="4" w:space="0" w:color="auto"/>
              <w:bottom w:val="single" w:sz="4" w:space="0" w:color="auto"/>
            </w:tcBorders>
            <w:vAlign w:val="center"/>
          </w:tcPr>
          <w:p w14:paraId="203A8AA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6</w:t>
            </w:r>
          </w:p>
          <w:p w14:paraId="00E66A2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(1-235)</w:t>
            </w:r>
          </w:p>
        </w:tc>
        <w:tc>
          <w:tcPr>
            <w:tcW w:w="0" w:type="auto"/>
            <w:tcBorders>
              <w:top w:val="single" w:sz="4" w:space="0" w:color="auto"/>
              <w:bottom w:val="single" w:sz="4" w:space="0" w:color="auto"/>
            </w:tcBorders>
            <w:vAlign w:val="center"/>
          </w:tcPr>
          <w:p w14:paraId="2282740B"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18.9        ±5.1</w:t>
            </w:r>
          </w:p>
        </w:tc>
        <w:tc>
          <w:tcPr>
            <w:tcW w:w="0" w:type="auto"/>
            <w:tcBorders>
              <w:top w:val="single" w:sz="4" w:space="0" w:color="auto"/>
              <w:bottom w:val="single" w:sz="4" w:space="0" w:color="auto"/>
            </w:tcBorders>
            <w:vAlign w:val="center"/>
          </w:tcPr>
          <w:p w14:paraId="01AA8DB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81%</w:t>
            </w:r>
          </w:p>
        </w:tc>
        <w:tc>
          <w:tcPr>
            <w:tcW w:w="0" w:type="auto"/>
            <w:tcBorders>
              <w:top w:val="single" w:sz="4" w:space="0" w:color="auto"/>
              <w:bottom w:val="single" w:sz="4" w:space="0" w:color="auto"/>
            </w:tcBorders>
            <w:vAlign w:val="center"/>
          </w:tcPr>
          <w:p w14:paraId="070C2C12"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3.7 </w:t>
            </w:r>
            <w:r>
              <w:rPr>
                <w:rFonts w:ascii="Calibri" w:eastAsia="MS Mincho" w:hAnsi="Calibri" w:cs="Arial"/>
              </w:rPr>
              <w:t xml:space="preserve">               </w:t>
            </w:r>
            <w:r w:rsidRPr="003A4E65">
              <w:rPr>
                <w:rFonts w:ascii="Calibri" w:eastAsia="MS Mincho" w:hAnsi="Calibri" w:cs="Arial"/>
              </w:rPr>
              <w:t>±5.0</w:t>
            </w:r>
          </w:p>
        </w:tc>
        <w:tc>
          <w:tcPr>
            <w:tcW w:w="0" w:type="auto"/>
            <w:tcBorders>
              <w:top w:val="single" w:sz="4" w:space="0" w:color="auto"/>
              <w:bottom w:val="single" w:sz="4" w:space="0" w:color="auto"/>
            </w:tcBorders>
            <w:vAlign w:val="center"/>
          </w:tcPr>
          <w:p w14:paraId="7903644D" w14:textId="77777777" w:rsidR="007A1245" w:rsidRPr="003A4E65" w:rsidRDefault="007A1245" w:rsidP="00F4000E">
            <w:pPr>
              <w:jc w:val="center"/>
              <w:rPr>
                <w:rFonts w:ascii="Calibri" w:eastAsia="MS Mincho" w:hAnsi="Calibri" w:cs="Arial"/>
              </w:rPr>
            </w:pPr>
            <w:r>
              <w:rPr>
                <w:rFonts w:ascii="Calibri" w:eastAsia="MS Mincho" w:hAnsi="Calibri" w:cs="Arial"/>
              </w:rPr>
              <w:t>920 (</w:t>
            </w:r>
            <w:r w:rsidRPr="003A4E65">
              <w:rPr>
                <w:rFonts w:ascii="Calibri" w:eastAsia="MS Mincho" w:hAnsi="Calibri" w:cs="Arial"/>
              </w:rPr>
              <w:t>73%</w:t>
            </w:r>
            <w:r>
              <w:rPr>
                <w:rFonts w:ascii="Calibri" w:eastAsia="MS Mincho" w:hAnsi="Calibri" w:cs="Arial"/>
              </w:rPr>
              <w:t>)</w:t>
            </w:r>
          </w:p>
        </w:tc>
        <w:tc>
          <w:tcPr>
            <w:tcW w:w="0" w:type="auto"/>
            <w:tcBorders>
              <w:top w:val="single" w:sz="4" w:space="0" w:color="auto"/>
              <w:bottom w:val="single" w:sz="4" w:space="0" w:color="auto"/>
            </w:tcBorders>
            <w:vAlign w:val="center"/>
          </w:tcPr>
          <w:p w14:paraId="122BC82D" w14:textId="77777777" w:rsidR="007A1245" w:rsidRPr="003A4E65" w:rsidRDefault="007A1245" w:rsidP="00F4000E">
            <w:pPr>
              <w:jc w:val="center"/>
              <w:rPr>
                <w:rFonts w:ascii="Calibri" w:eastAsia="MS Mincho" w:hAnsi="Calibri" w:cs="Arial"/>
              </w:rPr>
            </w:pPr>
            <w:r>
              <w:rPr>
                <w:rFonts w:ascii="Calibri" w:eastAsia="MS Mincho" w:hAnsi="Calibri" w:cs="Arial"/>
              </w:rPr>
              <w:t>63 (</w:t>
            </w:r>
            <w:r w:rsidRPr="003A4E65">
              <w:rPr>
                <w:rFonts w:ascii="Calibri" w:eastAsia="MS Mincho" w:hAnsi="Calibri" w:cs="Arial"/>
              </w:rPr>
              <w:t>6%</w:t>
            </w:r>
            <w:r>
              <w:rPr>
                <w:rFonts w:ascii="Calibri" w:eastAsia="MS Mincho" w:hAnsi="Calibri" w:cs="Arial"/>
              </w:rPr>
              <w:t>)</w:t>
            </w:r>
          </w:p>
        </w:tc>
        <w:tc>
          <w:tcPr>
            <w:tcW w:w="0" w:type="auto"/>
            <w:tcBorders>
              <w:top w:val="single" w:sz="4" w:space="0" w:color="auto"/>
              <w:bottom w:val="single" w:sz="4" w:space="0" w:color="auto"/>
            </w:tcBorders>
            <w:vAlign w:val="center"/>
          </w:tcPr>
          <w:p w14:paraId="34AB3001" w14:textId="77777777" w:rsidR="007A1245" w:rsidRPr="003A4E65" w:rsidRDefault="007A1245" w:rsidP="00F4000E">
            <w:pPr>
              <w:jc w:val="center"/>
              <w:rPr>
                <w:rFonts w:ascii="Calibri" w:eastAsia="MS Mincho" w:hAnsi="Calibri" w:cs="Arial"/>
              </w:rPr>
            </w:pPr>
            <w:r>
              <w:rPr>
                <w:rFonts w:ascii="Calibri" w:eastAsia="MS Mincho" w:hAnsi="Calibri" w:cs="Arial"/>
              </w:rPr>
              <w:t>251 (</w:t>
            </w:r>
            <w:r w:rsidRPr="003A4E65">
              <w:rPr>
                <w:rFonts w:ascii="Calibri" w:eastAsia="MS Mincho" w:hAnsi="Calibri" w:cs="Arial"/>
              </w:rPr>
              <w:t>19%</w:t>
            </w:r>
            <w:r>
              <w:rPr>
                <w:rFonts w:ascii="Calibri" w:eastAsia="MS Mincho" w:hAnsi="Calibri" w:cs="Arial"/>
              </w:rPr>
              <w:t>)</w:t>
            </w:r>
          </w:p>
        </w:tc>
        <w:tc>
          <w:tcPr>
            <w:tcW w:w="0" w:type="auto"/>
            <w:tcBorders>
              <w:top w:val="single" w:sz="4" w:space="0" w:color="auto"/>
              <w:bottom w:val="single" w:sz="4" w:space="0" w:color="auto"/>
            </w:tcBorders>
            <w:vAlign w:val="center"/>
          </w:tcPr>
          <w:p w14:paraId="265D5F0C" w14:textId="77777777" w:rsidR="007A1245" w:rsidRPr="003A4E65" w:rsidRDefault="007A1245" w:rsidP="00F4000E">
            <w:pPr>
              <w:jc w:val="center"/>
              <w:rPr>
                <w:rFonts w:ascii="Calibri" w:eastAsia="MS Mincho" w:hAnsi="Calibri" w:cs="Arial"/>
              </w:rPr>
            </w:pPr>
            <w:r>
              <w:rPr>
                <w:rFonts w:ascii="Calibri" w:eastAsia="MS Mincho" w:hAnsi="Calibri" w:cs="Arial"/>
              </w:rPr>
              <w:t>18 (</w:t>
            </w:r>
            <w:r w:rsidRPr="003A4E65">
              <w:rPr>
                <w:rFonts w:ascii="Calibri" w:eastAsia="MS Mincho" w:hAnsi="Calibri" w:cs="Arial"/>
              </w:rPr>
              <w:t>1%</w:t>
            </w:r>
            <w:r>
              <w:rPr>
                <w:rFonts w:ascii="Calibri" w:eastAsia="MS Mincho" w:hAnsi="Calibri" w:cs="Arial"/>
              </w:rPr>
              <w:t>)</w:t>
            </w:r>
          </w:p>
        </w:tc>
        <w:tc>
          <w:tcPr>
            <w:tcW w:w="0" w:type="auto"/>
            <w:tcBorders>
              <w:top w:val="single" w:sz="4" w:space="0" w:color="auto"/>
              <w:bottom w:val="single" w:sz="4" w:space="0" w:color="auto"/>
            </w:tcBorders>
            <w:vAlign w:val="center"/>
          </w:tcPr>
          <w:p w14:paraId="67140A2D" w14:textId="77777777" w:rsidR="007A1245" w:rsidRPr="003A4E65" w:rsidRDefault="007A1245" w:rsidP="00F4000E">
            <w:pPr>
              <w:jc w:val="center"/>
              <w:rPr>
                <w:rFonts w:ascii="Calibri" w:eastAsia="MS Mincho" w:hAnsi="Calibri" w:cs="Arial"/>
              </w:rPr>
            </w:pPr>
            <w:r>
              <w:rPr>
                <w:rFonts w:ascii="Calibri" w:eastAsia="MS Mincho" w:hAnsi="Calibri" w:cs="Arial"/>
              </w:rPr>
              <w:t>15 (</w:t>
            </w:r>
            <w:r w:rsidRPr="003A4E65">
              <w:rPr>
                <w:rFonts w:ascii="Calibri" w:eastAsia="MS Mincho" w:hAnsi="Calibri" w:cs="Arial"/>
              </w:rPr>
              <w:t>1%</w:t>
            </w:r>
            <w:r>
              <w:rPr>
                <w:rFonts w:ascii="Calibri" w:eastAsia="MS Mincho" w:hAnsi="Calibri" w:cs="Arial"/>
              </w:rPr>
              <w:t>)</w:t>
            </w:r>
          </w:p>
        </w:tc>
      </w:tr>
      <w:tr w:rsidR="007A1245" w:rsidRPr="003A4E65" w14:paraId="7A39350E" w14:textId="77777777" w:rsidTr="00F4000E">
        <w:tc>
          <w:tcPr>
            <w:tcW w:w="0" w:type="auto"/>
            <w:vMerge/>
            <w:tcBorders>
              <w:bottom w:val="single" w:sz="4" w:space="0" w:color="auto"/>
            </w:tcBorders>
            <w:vAlign w:val="center"/>
          </w:tcPr>
          <w:p w14:paraId="0D414E30" w14:textId="77777777" w:rsidR="007A1245" w:rsidRPr="003A4E65" w:rsidRDefault="007A1245" w:rsidP="00F4000E">
            <w:pPr>
              <w:jc w:val="center"/>
              <w:rPr>
                <w:rFonts w:ascii="Calibri" w:eastAsia="MS Mincho" w:hAnsi="Calibri" w:cs="Arial"/>
                <w:b/>
                <w:bCs/>
              </w:rPr>
            </w:pPr>
          </w:p>
        </w:tc>
        <w:tc>
          <w:tcPr>
            <w:tcW w:w="0" w:type="auto"/>
            <w:tcBorders>
              <w:top w:val="single" w:sz="4" w:space="0" w:color="auto"/>
              <w:bottom w:val="single" w:sz="4" w:space="0" w:color="auto"/>
            </w:tcBorders>
            <w:vAlign w:val="center"/>
          </w:tcPr>
          <w:p w14:paraId="1D612DA7" w14:textId="77777777" w:rsidR="007A1245" w:rsidRPr="003A4E65" w:rsidRDefault="007A1245" w:rsidP="00F4000E">
            <w:pPr>
              <w:jc w:val="center"/>
              <w:rPr>
                <w:rFonts w:ascii="Calibri" w:eastAsia="MS Mincho" w:hAnsi="Calibri" w:cs="Arial"/>
                <w:b/>
                <w:bCs/>
              </w:rPr>
            </w:pPr>
            <w:r w:rsidRPr="003A4E65">
              <w:rPr>
                <w:rFonts w:ascii="Calibri" w:eastAsia="MS Mincho" w:hAnsi="Calibri" w:cs="Arial"/>
                <w:b/>
                <w:bCs/>
              </w:rPr>
              <w:t>HAPU (n=1398)</w:t>
            </w:r>
          </w:p>
        </w:tc>
        <w:tc>
          <w:tcPr>
            <w:tcW w:w="0" w:type="auto"/>
            <w:tcBorders>
              <w:top w:val="single" w:sz="4" w:space="0" w:color="auto"/>
              <w:bottom w:val="single" w:sz="4" w:space="0" w:color="auto"/>
            </w:tcBorders>
          </w:tcPr>
          <w:p w14:paraId="34212B92" w14:textId="77777777" w:rsidR="007A1245" w:rsidRPr="003A4E65" w:rsidRDefault="007A1245" w:rsidP="00F4000E">
            <w:pPr>
              <w:jc w:val="center"/>
              <w:rPr>
                <w:rFonts w:ascii="Calibri" w:eastAsia="MS Mincho" w:hAnsi="Calibri" w:cs="Arial"/>
              </w:rPr>
            </w:pPr>
          </w:p>
        </w:tc>
        <w:tc>
          <w:tcPr>
            <w:tcW w:w="0" w:type="auto"/>
            <w:tcBorders>
              <w:top w:val="single" w:sz="4" w:space="0" w:color="auto"/>
              <w:bottom w:val="single" w:sz="4" w:space="0" w:color="auto"/>
            </w:tcBorders>
            <w:vAlign w:val="center"/>
          </w:tcPr>
          <w:p w14:paraId="779159F3"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80.5 ±11.3 </w:t>
            </w:r>
          </w:p>
        </w:tc>
        <w:tc>
          <w:tcPr>
            <w:tcW w:w="0" w:type="auto"/>
            <w:tcBorders>
              <w:top w:val="single" w:sz="4" w:space="0" w:color="auto"/>
              <w:bottom w:val="single" w:sz="4" w:space="0" w:color="auto"/>
            </w:tcBorders>
            <w:vAlign w:val="center"/>
          </w:tcPr>
          <w:p w14:paraId="1E34BE48"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45</w:t>
            </w:r>
          </w:p>
        </w:tc>
        <w:tc>
          <w:tcPr>
            <w:tcW w:w="0" w:type="auto"/>
            <w:tcBorders>
              <w:top w:val="single" w:sz="4" w:space="0" w:color="auto"/>
              <w:bottom w:val="single" w:sz="4" w:space="0" w:color="auto"/>
            </w:tcBorders>
            <w:vAlign w:val="center"/>
          </w:tcPr>
          <w:p w14:paraId="6874A57F"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11</w:t>
            </w:r>
          </w:p>
          <w:p w14:paraId="5DFDF511"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(1-205)</w:t>
            </w:r>
          </w:p>
        </w:tc>
        <w:tc>
          <w:tcPr>
            <w:tcW w:w="0" w:type="auto"/>
            <w:tcBorders>
              <w:top w:val="single" w:sz="4" w:space="0" w:color="auto"/>
              <w:bottom w:val="single" w:sz="4" w:space="0" w:color="auto"/>
            </w:tcBorders>
            <w:vAlign w:val="center"/>
          </w:tcPr>
          <w:p w14:paraId="72AF77A5"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21.0        ±5.0</w:t>
            </w:r>
          </w:p>
        </w:tc>
        <w:tc>
          <w:tcPr>
            <w:tcW w:w="0" w:type="auto"/>
            <w:tcBorders>
              <w:top w:val="single" w:sz="4" w:space="0" w:color="auto"/>
              <w:bottom w:val="single" w:sz="4" w:space="0" w:color="auto"/>
            </w:tcBorders>
            <w:vAlign w:val="center"/>
          </w:tcPr>
          <w:p w14:paraId="508DF96A"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73%</w:t>
            </w:r>
          </w:p>
        </w:tc>
        <w:tc>
          <w:tcPr>
            <w:tcW w:w="0" w:type="auto"/>
            <w:tcBorders>
              <w:top w:val="single" w:sz="4" w:space="0" w:color="auto"/>
              <w:bottom w:val="single" w:sz="4" w:space="0" w:color="auto"/>
            </w:tcBorders>
            <w:vAlign w:val="center"/>
          </w:tcPr>
          <w:p w14:paraId="71A636BD" w14:textId="77777777" w:rsidR="007A1245" w:rsidRPr="003A4E65" w:rsidRDefault="007A1245" w:rsidP="00F4000E">
            <w:pPr>
              <w:jc w:val="center"/>
              <w:rPr>
                <w:rFonts w:ascii="Calibri" w:eastAsia="MS Mincho" w:hAnsi="Calibri" w:cs="Arial"/>
              </w:rPr>
            </w:pPr>
            <w:r w:rsidRPr="003A4E65">
              <w:rPr>
                <w:rFonts w:ascii="Calibri" w:eastAsia="MS Mincho" w:hAnsi="Calibri" w:cs="Arial"/>
              </w:rPr>
              <w:t xml:space="preserve">4.3 </w:t>
            </w:r>
            <w:r>
              <w:rPr>
                <w:rFonts w:ascii="Calibri" w:eastAsia="MS Mincho" w:hAnsi="Calibri" w:cs="Arial"/>
              </w:rPr>
              <w:t xml:space="preserve">               </w:t>
            </w:r>
            <w:r w:rsidRPr="003A4E65">
              <w:rPr>
                <w:rFonts w:ascii="Calibri" w:eastAsia="MS Mincho" w:hAnsi="Calibri" w:cs="Arial"/>
              </w:rPr>
              <w:t>±6.4</w:t>
            </w:r>
          </w:p>
        </w:tc>
        <w:tc>
          <w:tcPr>
            <w:tcW w:w="0" w:type="auto"/>
            <w:tcBorders>
              <w:top w:val="single" w:sz="4" w:space="0" w:color="auto"/>
              <w:bottom w:val="single" w:sz="4" w:space="0" w:color="auto"/>
            </w:tcBorders>
            <w:vAlign w:val="center"/>
          </w:tcPr>
          <w:p w14:paraId="108EEBB2" w14:textId="77777777" w:rsidR="007A1245" w:rsidRPr="003A4E65" w:rsidRDefault="007A1245" w:rsidP="00F4000E">
            <w:pPr>
              <w:jc w:val="center"/>
              <w:rPr>
                <w:rFonts w:ascii="Calibri" w:eastAsia="MS Mincho" w:hAnsi="Calibri" w:cs="Arial"/>
              </w:rPr>
            </w:pPr>
            <w:r>
              <w:rPr>
                <w:rFonts w:ascii="Calibri" w:eastAsia="MS Mincho" w:hAnsi="Calibri" w:cs="Arial"/>
              </w:rPr>
              <w:t>813 (</w:t>
            </w:r>
            <w:r w:rsidRPr="003A4E65">
              <w:rPr>
                <w:rFonts w:ascii="Calibri" w:eastAsia="MS Mincho" w:hAnsi="Calibri" w:cs="Arial"/>
              </w:rPr>
              <w:t>58%</w:t>
            </w:r>
            <w:r>
              <w:rPr>
                <w:rFonts w:ascii="Calibri" w:eastAsia="MS Mincho" w:hAnsi="Calibri" w:cs="Arial"/>
              </w:rPr>
              <w:t>)</w:t>
            </w:r>
          </w:p>
        </w:tc>
        <w:tc>
          <w:tcPr>
            <w:tcW w:w="0" w:type="auto"/>
            <w:tcBorders>
              <w:top w:val="single" w:sz="4" w:space="0" w:color="auto"/>
              <w:bottom w:val="single" w:sz="4" w:space="0" w:color="auto"/>
            </w:tcBorders>
            <w:vAlign w:val="center"/>
          </w:tcPr>
          <w:p w14:paraId="55F4C8E1" w14:textId="77777777" w:rsidR="007A1245" w:rsidRPr="003A4E65" w:rsidRDefault="007A1245" w:rsidP="00F4000E">
            <w:pPr>
              <w:jc w:val="center"/>
              <w:rPr>
                <w:rFonts w:ascii="Calibri" w:eastAsia="MS Mincho" w:hAnsi="Calibri" w:cs="Arial"/>
              </w:rPr>
            </w:pPr>
            <w:r>
              <w:rPr>
                <w:rFonts w:ascii="Calibri" w:eastAsia="MS Mincho" w:hAnsi="Calibri" w:cs="Arial"/>
              </w:rPr>
              <w:t>376 (</w:t>
            </w:r>
            <w:r w:rsidRPr="003A4E65">
              <w:rPr>
                <w:rFonts w:ascii="Calibri" w:eastAsia="MS Mincho" w:hAnsi="Calibri" w:cs="Arial"/>
              </w:rPr>
              <w:t>28%</w:t>
            </w:r>
            <w:r>
              <w:rPr>
                <w:rFonts w:ascii="Calibri" w:eastAsia="MS Mincho" w:hAnsi="Calibri" w:cs="Arial"/>
              </w:rPr>
              <w:t>)</w:t>
            </w:r>
          </w:p>
        </w:tc>
        <w:tc>
          <w:tcPr>
            <w:tcW w:w="0" w:type="auto"/>
            <w:tcBorders>
              <w:top w:val="single" w:sz="4" w:space="0" w:color="auto"/>
              <w:bottom w:val="single" w:sz="4" w:space="0" w:color="auto"/>
            </w:tcBorders>
            <w:vAlign w:val="center"/>
          </w:tcPr>
          <w:p w14:paraId="2ACB48F0" w14:textId="77777777" w:rsidR="007A1245" w:rsidRPr="003A4E65" w:rsidRDefault="007A1245" w:rsidP="00F4000E">
            <w:pPr>
              <w:jc w:val="center"/>
              <w:rPr>
                <w:rFonts w:ascii="Calibri" w:eastAsia="MS Mincho" w:hAnsi="Calibri" w:cs="Arial"/>
              </w:rPr>
            </w:pPr>
            <w:r>
              <w:rPr>
                <w:rFonts w:ascii="Calibri" w:eastAsia="MS Mincho" w:hAnsi="Calibri" w:cs="Arial"/>
              </w:rPr>
              <w:t>67   (</w:t>
            </w:r>
            <w:r w:rsidRPr="003A4E65">
              <w:rPr>
                <w:rFonts w:ascii="Calibri" w:eastAsia="MS Mincho" w:hAnsi="Calibri" w:cs="Arial"/>
              </w:rPr>
              <w:t>5%</w:t>
            </w:r>
            <w:r>
              <w:rPr>
                <w:rFonts w:ascii="Calibri" w:eastAsia="MS Mincho" w:hAnsi="Calibri" w:cs="Arial"/>
              </w:rPr>
              <w:t>)</w:t>
            </w:r>
          </w:p>
        </w:tc>
        <w:tc>
          <w:tcPr>
            <w:tcW w:w="0" w:type="auto"/>
            <w:tcBorders>
              <w:top w:val="single" w:sz="4" w:space="0" w:color="auto"/>
              <w:bottom w:val="single" w:sz="4" w:space="0" w:color="auto"/>
            </w:tcBorders>
            <w:vAlign w:val="center"/>
          </w:tcPr>
          <w:p w14:paraId="53B9F9ED" w14:textId="77777777" w:rsidR="007A1245" w:rsidRPr="003A4E65" w:rsidRDefault="007A1245" w:rsidP="00F4000E">
            <w:pPr>
              <w:jc w:val="center"/>
              <w:rPr>
                <w:rFonts w:ascii="Calibri" w:eastAsia="MS Mincho" w:hAnsi="Calibri" w:cs="Arial"/>
              </w:rPr>
            </w:pPr>
            <w:r>
              <w:rPr>
                <w:rFonts w:ascii="Calibri" w:eastAsia="MS Mincho" w:hAnsi="Calibri" w:cs="Arial"/>
              </w:rPr>
              <w:t>62 (</w:t>
            </w:r>
            <w:r w:rsidRPr="003A4E65">
              <w:rPr>
                <w:rFonts w:ascii="Calibri" w:eastAsia="MS Mincho" w:hAnsi="Calibri" w:cs="Arial"/>
              </w:rPr>
              <w:t>4%</w:t>
            </w:r>
            <w:r>
              <w:rPr>
                <w:rFonts w:ascii="Calibri" w:eastAsia="MS Mincho" w:hAnsi="Calibri" w:cs="Arial"/>
              </w:rPr>
              <w:t>)</w:t>
            </w:r>
          </w:p>
        </w:tc>
        <w:tc>
          <w:tcPr>
            <w:tcW w:w="0" w:type="auto"/>
            <w:tcBorders>
              <w:top w:val="single" w:sz="4" w:space="0" w:color="auto"/>
              <w:bottom w:val="single" w:sz="4" w:space="0" w:color="auto"/>
            </w:tcBorders>
            <w:vAlign w:val="center"/>
          </w:tcPr>
          <w:p w14:paraId="20B5D1AA" w14:textId="77777777" w:rsidR="007A1245" w:rsidRPr="003A4E65" w:rsidRDefault="007A1245" w:rsidP="00F4000E">
            <w:pPr>
              <w:jc w:val="center"/>
              <w:rPr>
                <w:rFonts w:ascii="Calibri" w:eastAsia="MS Mincho" w:hAnsi="Calibri" w:cs="Arial"/>
              </w:rPr>
            </w:pPr>
            <w:r>
              <w:rPr>
                <w:rFonts w:ascii="Calibri" w:eastAsia="MS Mincho" w:hAnsi="Calibri" w:cs="Arial"/>
              </w:rPr>
              <w:t>71 (</w:t>
            </w:r>
            <w:r w:rsidRPr="003A4E65">
              <w:rPr>
                <w:rFonts w:ascii="Calibri" w:eastAsia="MS Mincho" w:hAnsi="Calibri" w:cs="Arial"/>
              </w:rPr>
              <w:t>5%</w:t>
            </w:r>
            <w:r>
              <w:rPr>
                <w:rFonts w:ascii="Calibri" w:eastAsia="MS Mincho" w:hAnsi="Calibri" w:cs="Arial"/>
              </w:rPr>
              <w:t>)</w:t>
            </w:r>
          </w:p>
        </w:tc>
      </w:tr>
    </w:tbl>
    <w:p w14:paraId="7FB5532B" w14:textId="77777777" w:rsidR="007A1245" w:rsidRPr="003A4E65" w:rsidRDefault="007A1245" w:rsidP="007A1245">
      <w:pPr>
        <w:spacing w:line="480" w:lineRule="auto"/>
        <w:rPr>
          <w:rFonts w:ascii="Calibri" w:eastAsia="MS Mincho" w:hAnsi="Calibri" w:cs="Arial"/>
        </w:rPr>
      </w:pPr>
      <w:r w:rsidRPr="003A4E65">
        <w:rPr>
          <w:rFonts w:ascii="Calibri" w:eastAsia="MS Mincho" w:hAnsi="Calibri" w:cs="Arial"/>
        </w:rPr>
        <w:t>*Patient given a pressure redistributing mattress within 24 hours of being deemed at risk of a pressure ulcer (</w:t>
      </w:r>
      <w:proofErr w:type="spellStart"/>
      <w:r w:rsidRPr="003A4E65">
        <w:rPr>
          <w:rFonts w:ascii="Calibri" w:eastAsia="MS Mincho" w:hAnsi="Calibri" w:cs="Arial"/>
        </w:rPr>
        <w:t>Waterlow</w:t>
      </w:r>
      <w:proofErr w:type="spellEnd"/>
      <w:r w:rsidRPr="003A4E65">
        <w:rPr>
          <w:rFonts w:ascii="Calibri" w:eastAsia="MS Mincho" w:hAnsi="Calibri" w:cs="Arial"/>
        </w:rPr>
        <w:t xml:space="preserve"> &gt;10)</w:t>
      </w:r>
    </w:p>
    <w:p w14:paraId="28CA431E" w14:textId="77777777" w:rsidR="007A1245" w:rsidRDefault="007A1245" w:rsidP="00A603F6">
      <w:pPr>
        <w:spacing w:line="480" w:lineRule="auto"/>
        <w:sectPr w:rsidR="007A1245" w:rsidSect="007A1245">
          <w:pgSz w:w="16838" w:h="11906" w:orient="landscape"/>
          <w:pgMar w:top="1440" w:right="1440" w:bottom="1440" w:left="1440" w:header="709" w:footer="709" w:gutter="0"/>
          <w:lnNumType w:countBy="1" w:restart="continuous"/>
          <w:cols w:space="708"/>
          <w:docGrid w:linePitch="360"/>
        </w:sectPr>
      </w:pPr>
    </w:p>
    <w:p w14:paraId="369A00DB" w14:textId="0579B2BA" w:rsidR="007A1245" w:rsidRPr="004C6ED7" w:rsidRDefault="007A1245" w:rsidP="00A603F6">
      <w:pPr>
        <w:spacing w:line="480" w:lineRule="auto"/>
      </w:pPr>
    </w:p>
    <w:p w14:paraId="17192771" w14:textId="23A18F26" w:rsidR="00D230BC" w:rsidRPr="004C6ED7" w:rsidRDefault="007E5B2A" w:rsidP="00DE5D2B">
      <w:pPr>
        <w:pStyle w:val="ListParagraph"/>
        <w:numPr>
          <w:ilvl w:val="1"/>
          <w:numId w:val="22"/>
        </w:numPr>
        <w:spacing w:line="480" w:lineRule="auto"/>
        <w:rPr>
          <w:i/>
          <w:iCs/>
        </w:rPr>
      </w:pPr>
      <w:r w:rsidRPr="004C6ED7">
        <w:rPr>
          <w:i/>
          <w:iCs/>
        </w:rPr>
        <w:t>Comparison between patient sub-populations</w:t>
      </w:r>
    </w:p>
    <w:p w14:paraId="32900F68" w14:textId="236DC533" w:rsidR="001D530E" w:rsidRPr="004C6ED7" w:rsidRDefault="007B7DCB" w:rsidP="004B1E36">
      <w:pPr>
        <w:spacing w:line="480" w:lineRule="auto"/>
      </w:pPr>
      <w:r w:rsidRPr="004C6ED7">
        <w:t xml:space="preserve">The demographics of the three sub-groups revealed that those patients who </w:t>
      </w:r>
      <w:r w:rsidR="00FF15B8">
        <w:t xml:space="preserve">had a </w:t>
      </w:r>
      <w:proofErr w:type="spellStart"/>
      <w:r w:rsidR="00FF15B8">
        <w:t>Waterlow</w:t>
      </w:r>
      <w:proofErr w:type="spellEnd"/>
      <w:r w:rsidR="00FF15B8">
        <w:t xml:space="preserve"> score &gt;10</w:t>
      </w:r>
      <w:r w:rsidRPr="004C6ED7">
        <w:t xml:space="preserve"> once during their hospital stay but did not develop a PU were statistically younger, demonstrated a lower peak </w:t>
      </w:r>
      <w:proofErr w:type="spellStart"/>
      <w:r w:rsidRPr="004C6ED7">
        <w:t>Waterlow</w:t>
      </w:r>
      <w:proofErr w:type="spellEnd"/>
      <w:r w:rsidRPr="004C6ED7">
        <w:t xml:space="preserve"> score, and a reduced length of stay compared to both the HAPU and CAPU groups (p&lt;0.001, for each case). Post hoc analysis revealed that the peak </w:t>
      </w:r>
      <w:proofErr w:type="spellStart"/>
      <w:r w:rsidRPr="004C6ED7">
        <w:t>Waterlow</w:t>
      </w:r>
      <w:proofErr w:type="spellEnd"/>
      <w:r w:rsidRPr="004C6ED7">
        <w:t xml:space="preserve"> scores and length of stay were significantly (p=0.001) greater in the HAPU group than the no PU and CAPU groups (Figure 2). However, the age difference </w:t>
      </w:r>
      <w:r w:rsidR="00F93EAC">
        <w:t xml:space="preserve">and frequency of risk assessment </w:t>
      </w:r>
      <w:r w:rsidRPr="004C6ED7">
        <w:t xml:space="preserve">between CAPU </w:t>
      </w:r>
      <w:r w:rsidR="00F93EAC">
        <w:t>and HAPU was not significant (p&gt;0.1</w:t>
      </w:r>
      <w:r w:rsidRPr="004C6ED7">
        <w:t>). In addition, the trends were different with respect to PU category. Thus, while the median length of stay for HAPU group increased monotonically with PU category, there was little difference in the median length of stay for CAPU patients, across the 4 PU categories (Figure 2).</w:t>
      </w:r>
    </w:p>
    <w:p w14:paraId="2D918AAB" w14:textId="5D37E415" w:rsidR="00B77A35" w:rsidRDefault="004B1BE1" w:rsidP="000777B7">
      <w:pPr>
        <w:spacing w:line="480" w:lineRule="auto"/>
      </w:pPr>
      <w:r w:rsidRPr="004C6ED7">
        <w:t xml:space="preserve"> </w:t>
      </w:r>
      <w:r w:rsidR="00D426DB" w:rsidRPr="004C6ED7">
        <w:t xml:space="preserve">Close examination of Table </w:t>
      </w:r>
      <w:r w:rsidR="000777B7" w:rsidRPr="004C6ED7">
        <w:t>1</w:t>
      </w:r>
      <w:r w:rsidR="00D426DB" w:rsidRPr="004C6ED7">
        <w:t xml:space="preserve"> revealed the </w:t>
      </w:r>
      <w:r w:rsidR="005F6992" w:rsidRPr="004C6ED7">
        <w:t>PU categories for both groups were</w:t>
      </w:r>
      <w:r w:rsidRPr="004C6ED7">
        <w:t xml:space="preserve"> </w:t>
      </w:r>
      <w:r w:rsidR="00D426DB" w:rsidRPr="004C6ED7">
        <w:t>different</w:t>
      </w:r>
      <w:r w:rsidRPr="004C6ED7">
        <w:t xml:space="preserve"> in distribution</w:t>
      </w:r>
      <w:r w:rsidR="00B77A35" w:rsidRPr="004C6ED7">
        <w:t>,</w:t>
      </w:r>
      <w:r w:rsidR="00340C2C" w:rsidRPr="004C6ED7">
        <w:t xml:space="preserve"> with </w:t>
      </w:r>
      <w:r w:rsidR="00D426DB" w:rsidRPr="004C6ED7">
        <w:t>CAPUs presenting with a higher proportion (</w:t>
      </w:r>
      <w:r w:rsidR="00C422EC" w:rsidRPr="00C422EC">
        <w:t>N=</w:t>
      </w:r>
      <w:r w:rsidR="00DA21ED" w:rsidRPr="004C6ED7">
        <w:t xml:space="preserve">916 or </w:t>
      </w:r>
      <w:r w:rsidR="00D426DB" w:rsidRPr="004C6ED7">
        <w:t>70%) of category 1 PUs compared to HAPU (</w:t>
      </w:r>
      <w:r w:rsidR="00C422EC" w:rsidRPr="00C422EC">
        <w:t>N=</w:t>
      </w:r>
      <w:r w:rsidR="00DA21ED" w:rsidRPr="004C6ED7">
        <w:t xml:space="preserve">696 or </w:t>
      </w:r>
      <w:r w:rsidR="00D426DB" w:rsidRPr="004C6ED7">
        <w:t>50%). However, both sub-groups had a small proportion of the most severe category 4 PUs (</w:t>
      </w:r>
      <w:r w:rsidR="00C422EC" w:rsidRPr="00C422EC">
        <w:t>N=</w:t>
      </w:r>
      <w:r w:rsidR="00DA21ED" w:rsidRPr="004C6ED7">
        <w:t xml:space="preserve">20 and 32, or </w:t>
      </w:r>
      <w:r w:rsidR="00D426DB" w:rsidRPr="004C6ED7">
        <w:t>2% in each case</w:t>
      </w:r>
      <w:r w:rsidR="00B77A35" w:rsidRPr="004C6ED7">
        <w:t>)</w:t>
      </w:r>
      <w:r w:rsidRPr="004C6ED7">
        <w:t>.</w:t>
      </w:r>
      <w:r w:rsidR="00B77A35" w:rsidRPr="004C6ED7">
        <w:t xml:space="preserve"> The location of the PUs</w:t>
      </w:r>
      <w:r w:rsidR="00D426DB" w:rsidRPr="004C6ED7">
        <w:t xml:space="preserve"> also</w:t>
      </w:r>
      <w:r w:rsidR="00B77A35" w:rsidRPr="004C6ED7">
        <w:t xml:space="preserve"> </w:t>
      </w:r>
      <w:r w:rsidR="005F6992" w:rsidRPr="004C6ED7">
        <w:t>differed</w:t>
      </w:r>
      <w:r w:rsidR="00B77A35" w:rsidRPr="004C6ED7">
        <w:t xml:space="preserve"> between groups, with the CAPU ulcers predominantly being located </w:t>
      </w:r>
      <w:r w:rsidR="005F6992" w:rsidRPr="004C6ED7">
        <w:t>at</w:t>
      </w:r>
      <w:r w:rsidR="00B77A35" w:rsidRPr="004C6ED7">
        <w:t xml:space="preserve"> the sacrum (</w:t>
      </w:r>
      <w:r w:rsidR="00C422EC" w:rsidRPr="00C422EC">
        <w:t>N=</w:t>
      </w:r>
      <w:r w:rsidR="00DA21ED" w:rsidRPr="004C6ED7">
        <w:t>920 or 73</w:t>
      </w:r>
      <w:r w:rsidR="00B77A35" w:rsidRPr="004C6ED7">
        <w:t>%)</w:t>
      </w:r>
      <w:r w:rsidR="00D426DB" w:rsidRPr="004C6ED7">
        <w:t xml:space="preserve"> and buttocks (</w:t>
      </w:r>
      <w:r w:rsidR="00C422EC" w:rsidRPr="00C422EC">
        <w:t>N=</w:t>
      </w:r>
      <w:r w:rsidR="00DA21ED" w:rsidRPr="004C6ED7">
        <w:t xml:space="preserve">251 or </w:t>
      </w:r>
      <w:r w:rsidR="00D426DB" w:rsidRPr="004C6ED7">
        <w:t>19%)</w:t>
      </w:r>
      <w:r w:rsidR="00B77A35" w:rsidRPr="004C6ED7">
        <w:t xml:space="preserve">. By contrast, </w:t>
      </w:r>
      <w:r w:rsidR="00340C2C" w:rsidRPr="004C6ED7">
        <w:t>patients with</w:t>
      </w:r>
      <w:r w:rsidR="006900CB" w:rsidRPr="004C6ED7">
        <w:t xml:space="preserve"> HAPUs</w:t>
      </w:r>
      <w:r w:rsidR="00B77A35" w:rsidRPr="004C6ED7">
        <w:t xml:space="preserve"> </w:t>
      </w:r>
      <w:r w:rsidR="00340C2C" w:rsidRPr="004C6ED7">
        <w:t xml:space="preserve">had a larger proportion </w:t>
      </w:r>
      <w:r w:rsidR="00B77A35" w:rsidRPr="004C6ED7">
        <w:t>(</w:t>
      </w:r>
      <w:r w:rsidR="00C422EC" w:rsidRPr="00C422EC">
        <w:t>N=</w:t>
      </w:r>
      <w:r w:rsidR="00DA21ED" w:rsidRPr="004C6ED7">
        <w:t xml:space="preserve">376 or </w:t>
      </w:r>
      <w:r w:rsidR="00340C2C" w:rsidRPr="004C6ED7">
        <w:t>2</w:t>
      </w:r>
      <w:r w:rsidR="00D426DB" w:rsidRPr="004C6ED7">
        <w:t>8</w:t>
      </w:r>
      <w:r w:rsidR="00B77A35" w:rsidRPr="004C6ED7">
        <w:t>%)</w:t>
      </w:r>
      <w:r w:rsidR="006900CB" w:rsidRPr="004C6ED7">
        <w:t xml:space="preserve"> located at</w:t>
      </w:r>
      <w:r w:rsidR="00B77A35" w:rsidRPr="004C6ED7">
        <w:t xml:space="preserve"> the heels</w:t>
      </w:r>
      <w:r w:rsidR="00D426DB" w:rsidRPr="004C6ED7">
        <w:t xml:space="preserve"> (Table </w:t>
      </w:r>
      <w:r w:rsidR="000777B7" w:rsidRPr="004C6ED7">
        <w:t>1</w:t>
      </w:r>
      <w:r w:rsidR="00D426DB" w:rsidRPr="004C6ED7">
        <w:t>)</w:t>
      </w:r>
      <w:r w:rsidR="00B77A35" w:rsidRPr="004C6ED7">
        <w:t xml:space="preserve">. </w:t>
      </w:r>
    </w:p>
    <w:p w14:paraId="7BDFFCD4" w14:textId="77777777" w:rsidR="00C3654A" w:rsidRDefault="00C3654A" w:rsidP="000777B7">
      <w:pPr>
        <w:spacing w:line="480" w:lineRule="auto"/>
      </w:pPr>
    </w:p>
    <w:p w14:paraId="29DB8CC8" w14:textId="77777777" w:rsidR="007A1245" w:rsidRDefault="007A1245" w:rsidP="000777B7">
      <w:pPr>
        <w:spacing w:line="480" w:lineRule="auto"/>
      </w:pPr>
    </w:p>
    <w:p w14:paraId="454071B4" w14:textId="77777777" w:rsidR="007A1245" w:rsidRDefault="007A1245" w:rsidP="000777B7">
      <w:pPr>
        <w:spacing w:line="480" w:lineRule="auto"/>
      </w:pPr>
    </w:p>
    <w:p w14:paraId="0238BE20" w14:textId="77777777" w:rsidR="007A1245" w:rsidRDefault="007A1245" w:rsidP="000777B7">
      <w:pPr>
        <w:spacing w:line="480" w:lineRule="auto"/>
      </w:pPr>
    </w:p>
    <w:p w14:paraId="718347D9" w14:textId="3D63C945" w:rsidR="007A1245" w:rsidRDefault="007A1245" w:rsidP="000777B7">
      <w:pPr>
        <w:spacing w:line="480" w:lineRule="auto"/>
      </w:pPr>
      <w:r>
        <w:rPr>
          <w:noProof/>
        </w:rPr>
        <w:lastRenderedPageBreak/>
        <w:drawing>
          <wp:inline distT="0" distB="0" distL="0" distR="0" wp14:anchorId="625C458D" wp14:editId="068F2AA6">
            <wp:extent cx="5724525" cy="3810000"/>
            <wp:effectExtent l="0" t="0" r="9525" b="0"/>
            <wp:docPr id="1" name="Picture 1" descr="\\soton.ac.uk\ude\personalfiles\users\prw204\mydocuments\Skin Health\Papers\Glenn Smith\Scandinavian Journal of Caring Sciences\Nursing Open\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prw204\mydocuments\Skin Health\Papers\Glenn Smith\Scandinavian Journal of Caring Sciences\Nursing Open\Fig 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6FED46EC" w14:textId="77777777" w:rsidR="00D3697B" w:rsidRPr="004C6ED7" w:rsidRDefault="00D3697B" w:rsidP="00D3697B">
      <w:pPr>
        <w:spacing w:line="480" w:lineRule="auto"/>
      </w:pPr>
      <w:proofErr w:type="gramStart"/>
      <w:r w:rsidRPr="004C6ED7">
        <w:rPr>
          <w:i/>
          <w:iCs/>
        </w:rPr>
        <w:t>Figure 1.</w:t>
      </w:r>
      <w:proofErr w:type="gramEnd"/>
      <w:r w:rsidRPr="004C6ED7">
        <w:rPr>
          <w:i/>
          <w:iCs/>
        </w:rPr>
        <w:t xml:space="preserve"> Peak </w:t>
      </w:r>
      <w:proofErr w:type="spellStart"/>
      <w:r w:rsidRPr="004C6ED7">
        <w:rPr>
          <w:i/>
          <w:iCs/>
        </w:rPr>
        <w:t>Waterlow</w:t>
      </w:r>
      <w:proofErr w:type="spellEnd"/>
      <w:r w:rsidRPr="004C6ED7">
        <w:rPr>
          <w:i/>
          <w:iCs/>
        </w:rPr>
        <w:t xml:space="preserve"> scores (mean, standard deviation) from patients with no pressure ulcers, hospital acquired pressure ulcers (HAPU) and community acquired pressure ulcer (CAPU) groups. Results are shown for each category of pressure ulcer (1-4) for the CAPU and HAPU groups. </w:t>
      </w:r>
    </w:p>
    <w:p w14:paraId="093FD14E" w14:textId="77777777" w:rsidR="007A1245" w:rsidRDefault="007A1245" w:rsidP="000777B7">
      <w:pPr>
        <w:spacing w:line="480" w:lineRule="auto"/>
      </w:pPr>
    </w:p>
    <w:p w14:paraId="596FD93C" w14:textId="1BF93B5C" w:rsidR="007A1245" w:rsidRDefault="007A1245" w:rsidP="000777B7">
      <w:pPr>
        <w:spacing w:line="480" w:lineRule="auto"/>
      </w:pPr>
      <w:r>
        <w:rPr>
          <w:noProof/>
        </w:rPr>
        <w:lastRenderedPageBreak/>
        <w:drawing>
          <wp:inline distT="0" distB="0" distL="0" distR="0" wp14:anchorId="30CE2662" wp14:editId="5A0564CF">
            <wp:extent cx="5724525" cy="3810000"/>
            <wp:effectExtent l="0" t="0" r="9525" b="0"/>
            <wp:docPr id="2" name="Picture 2" descr="\\soton.ac.uk\ude\personalfiles\users\prw204\mydocuments\Skin Health\Papers\Glenn Smith\Scandinavian Journal of Caring Sciences\Nursing Ope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prw204\mydocuments\Skin Health\Papers\Glenn Smith\Scandinavian Journal of Caring Sciences\Nursing Open\Fig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3C91DD37" w14:textId="77777777" w:rsidR="00D3697B" w:rsidRPr="006A11D0" w:rsidRDefault="00D3697B" w:rsidP="00D3697B">
      <w:pPr>
        <w:spacing w:line="480" w:lineRule="auto"/>
      </w:pPr>
      <w:proofErr w:type="gramStart"/>
      <w:r w:rsidRPr="004C6ED7">
        <w:rPr>
          <w:i/>
          <w:iCs/>
        </w:rPr>
        <w:t>Figure 2.</w:t>
      </w:r>
      <w:proofErr w:type="gramEnd"/>
      <w:r w:rsidRPr="004C6ED7">
        <w:rPr>
          <w:i/>
          <w:iCs/>
        </w:rPr>
        <w:t xml:space="preserve"> Length of hospital stay (median, inter-quartile range box and whisper plots) from patients with no pressure ulcers, hospital acquired pressure ulcers (HAPU) and community acquired pressure ulcer (CAPU) groups. Results are shown for each category of pressure ulcer (1-4) for the CAPU and HAPU groups.</w:t>
      </w:r>
      <w:r>
        <w:rPr>
          <w:i/>
          <w:iCs/>
        </w:rPr>
        <w:t xml:space="preserve"> </w:t>
      </w:r>
    </w:p>
    <w:p w14:paraId="672F4ACA" w14:textId="77777777" w:rsidR="00C3654A" w:rsidRPr="004C6ED7" w:rsidRDefault="00C3654A" w:rsidP="000777B7">
      <w:pPr>
        <w:spacing w:line="480" w:lineRule="auto"/>
      </w:pPr>
    </w:p>
    <w:p w14:paraId="19D3D2DC" w14:textId="08571F57" w:rsidR="00BE10BB" w:rsidRPr="004C6ED7" w:rsidRDefault="00BE10BB" w:rsidP="00DE5D2B">
      <w:pPr>
        <w:pStyle w:val="ListParagraph"/>
        <w:numPr>
          <w:ilvl w:val="0"/>
          <w:numId w:val="22"/>
        </w:numPr>
        <w:spacing w:line="480" w:lineRule="auto"/>
        <w:rPr>
          <w:b/>
          <w:bCs/>
        </w:rPr>
      </w:pPr>
      <w:r w:rsidRPr="004C6ED7">
        <w:rPr>
          <w:b/>
          <w:bCs/>
        </w:rPr>
        <w:t>Discussion</w:t>
      </w:r>
    </w:p>
    <w:p w14:paraId="3F16665F" w14:textId="590366E9" w:rsidR="00D13313" w:rsidRPr="004C6ED7" w:rsidRDefault="004E622E" w:rsidP="00FF15B8">
      <w:pPr>
        <w:spacing w:line="480" w:lineRule="auto"/>
      </w:pPr>
      <w:r w:rsidRPr="004C6ED7">
        <w:t>This retrospective evaluation of</w:t>
      </w:r>
      <w:r w:rsidR="00CA4B81" w:rsidRPr="004C6ED7">
        <w:t xml:space="preserve"> data collected by </w:t>
      </w:r>
      <w:r w:rsidR="00CA5426" w:rsidRPr="004C6ED7">
        <w:t>single observer</w:t>
      </w:r>
      <w:r w:rsidR="00CA4B81" w:rsidRPr="004C6ED7">
        <w:t xml:space="preserve"> </w:t>
      </w:r>
      <w:r w:rsidR="00CA5426" w:rsidRPr="004C6ED7">
        <w:t xml:space="preserve">included 46,129 patients </w:t>
      </w:r>
      <w:r w:rsidR="00673B70" w:rsidRPr="004C6ED7">
        <w:t xml:space="preserve">admitted to a </w:t>
      </w:r>
      <w:r w:rsidR="004A4D9E" w:rsidRPr="004C6ED7">
        <w:t>District General</w:t>
      </w:r>
      <w:r w:rsidR="00673B70" w:rsidRPr="004C6ED7">
        <w:t xml:space="preserve"> hospital over a </w:t>
      </w:r>
      <w:r w:rsidR="00CA5426" w:rsidRPr="004C6ED7">
        <w:t>41 month</w:t>
      </w:r>
      <w:r w:rsidR="00976BE9" w:rsidRPr="004C6ED7">
        <w:t xml:space="preserve"> period</w:t>
      </w:r>
      <w:r w:rsidR="00CA4B81" w:rsidRPr="004C6ED7">
        <w:t xml:space="preserve">. </w:t>
      </w:r>
      <w:r w:rsidR="00976BE9" w:rsidRPr="004C6ED7">
        <w:t xml:space="preserve">Of these </w:t>
      </w:r>
      <w:r w:rsidR="00CA5426" w:rsidRPr="004C6ED7">
        <w:t>patients</w:t>
      </w:r>
      <w:r w:rsidR="00976BE9" w:rsidRPr="004C6ED7">
        <w:t>, 14</w:t>
      </w:r>
      <w:r w:rsidR="00673B70" w:rsidRPr="004C6ED7">
        <w:t xml:space="preserve">% were at risk of PUs according to the </w:t>
      </w:r>
      <w:proofErr w:type="spellStart"/>
      <w:r w:rsidR="00673B70" w:rsidRPr="004C6ED7">
        <w:t>Waterlow</w:t>
      </w:r>
      <w:proofErr w:type="spellEnd"/>
      <w:r w:rsidR="00673B70" w:rsidRPr="004C6ED7">
        <w:t xml:space="preserve"> risk assessment scale</w:t>
      </w:r>
      <w:r w:rsidR="00FD5AD4" w:rsidRPr="004C6ED7">
        <w:t xml:space="preserve"> (score &gt;10)</w:t>
      </w:r>
      <w:r w:rsidR="004B3948" w:rsidRPr="004C6ED7">
        <w:t xml:space="preserve"> at some point during their hospital stay</w:t>
      </w:r>
      <w:r w:rsidR="00673B70" w:rsidRPr="004C6ED7">
        <w:t xml:space="preserve">. </w:t>
      </w:r>
      <w:r w:rsidR="002A11A8" w:rsidRPr="004C6ED7">
        <w:t>P</w:t>
      </w:r>
      <w:r w:rsidR="00207500" w:rsidRPr="004C6ED7">
        <w:t>atients</w:t>
      </w:r>
      <w:r w:rsidR="0078307D" w:rsidRPr="004C6ED7">
        <w:t xml:space="preserve"> at risk </w:t>
      </w:r>
      <w:r w:rsidR="00207500" w:rsidRPr="004C6ED7">
        <w:t>who</w:t>
      </w:r>
      <w:r w:rsidR="0078307D" w:rsidRPr="004C6ED7">
        <w:t xml:space="preserve"> </w:t>
      </w:r>
      <w:r w:rsidR="00A50EDE" w:rsidRPr="004C6ED7">
        <w:t>did not acquire a</w:t>
      </w:r>
      <w:r w:rsidR="0078307D" w:rsidRPr="004C6ED7">
        <w:t xml:space="preserve"> PU </w:t>
      </w:r>
      <w:r w:rsidR="00FD5AD4" w:rsidRPr="004C6ED7">
        <w:t xml:space="preserve">were younger </w:t>
      </w:r>
      <w:r w:rsidR="0078307D" w:rsidRPr="004C6ED7">
        <w:t>in age</w:t>
      </w:r>
      <w:r w:rsidR="004072E6" w:rsidRPr="004C6ED7">
        <w:t xml:space="preserve">, </w:t>
      </w:r>
      <w:r w:rsidR="00A50EDE" w:rsidRPr="004C6ED7">
        <w:t>tended to stay for a shorter period in hospital and were less likely to be re-admitted during the study period</w:t>
      </w:r>
      <w:r w:rsidR="002A11A8" w:rsidRPr="004C6ED7">
        <w:t xml:space="preserve"> than those with a CAPU or HAPU</w:t>
      </w:r>
      <w:r w:rsidR="00A50EDE" w:rsidRPr="004C6ED7">
        <w:t xml:space="preserve">. </w:t>
      </w:r>
      <w:r w:rsidR="004A4D9E" w:rsidRPr="004C6ED7">
        <w:t xml:space="preserve">The data </w:t>
      </w:r>
      <w:r w:rsidR="0078307D" w:rsidRPr="004C6ED7">
        <w:t>also revealed</w:t>
      </w:r>
      <w:r w:rsidR="004A4D9E" w:rsidRPr="004C6ED7">
        <w:t xml:space="preserve"> that</w:t>
      </w:r>
      <w:r w:rsidR="00673B70" w:rsidRPr="004C6ED7">
        <w:t xml:space="preserve"> HAPU patients had a longer </w:t>
      </w:r>
      <w:r w:rsidR="004A4D9E" w:rsidRPr="004C6ED7">
        <w:t>length of stay</w:t>
      </w:r>
      <w:r w:rsidR="00673B70" w:rsidRPr="004C6ED7">
        <w:t xml:space="preserve"> than CAPU for all </w:t>
      </w:r>
      <w:r w:rsidR="004B1E36" w:rsidRPr="004C6ED7">
        <w:t>categorie</w:t>
      </w:r>
      <w:r w:rsidR="00673B70" w:rsidRPr="004C6ED7">
        <w:t>s of PU</w:t>
      </w:r>
      <w:r w:rsidR="004A4D9E" w:rsidRPr="004C6ED7">
        <w:t xml:space="preserve"> and there were also some</w:t>
      </w:r>
      <w:r w:rsidR="00D13313" w:rsidRPr="004C6ED7">
        <w:t xml:space="preserve"> distinct differences in the </w:t>
      </w:r>
      <w:r w:rsidR="0078307D" w:rsidRPr="004C6ED7">
        <w:t xml:space="preserve">PU </w:t>
      </w:r>
      <w:r w:rsidR="00D13313" w:rsidRPr="004C6ED7">
        <w:t xml:space="preserve">location. </w:t>
      </w:r>
    </w:p>
    <w:p w14:paraId="1BA9762D" w14:textId="2995FFED" w:rsidR="004072E6" w:rsidRPr="004C6ED7" w:rsidRDefault="004A4D9E" w:rsidP="00CE32E2">
      <w:pPr>
        <w:spacing w:line="480" w:lineRule="auto"/>
      </w:pPr>
      <w:r w:rsidRPr="004C6ED7">
        <w:lastRenderedPageBreak/>
        <w:t xml:space="preserve">  </w:t>
      </w:r>
      <w:r w:rsidR="006255FD" w:rsidRPr="004C6ED7">
        <w:t xml:space="preserve">The </w:t>
      </w:r>
      <w:r w:rsidR="0078307D" w:rsidRPr="004C6ED7">
        <w:t>similar prevalence val</w:t>
      </w:r>
      <w:r w:rsidR="00976BE9" w:rsidRPr="004C6ED7">
        <w:t>ues for CAPU and HAPU , namely 2.7% and 3.0</w:t>
      </w:r>
      <w:r w:rsidR="0078307D" w:rsidRPr="004C6ED7">
        <w:t xml:space="preserve">% respectively, concurs with that generally reported in the literature </w:t>
      </w:r>
      <w:r w:rsidR="00D13313" w:rsidRPr="004C6ED7">
        <w:fldChar w:fldCharType="begin">
          <w:fldData xml:space="preserve">PEVuZE5vdGU+PENpdGU+PEF1dGhvcj5CYXJyb2lzPC9BdXRob3I+PFllYXI+MjAwODwvWWVhcj48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</w:fldData>
        </w:fldChar>
      </w:r>
      <w:r w:rsidR="00CE32E2">
        <w:instrText xml:space="preserve"> ADDIN EN.CITE </w:instrText>
      </w:r>
      <w:r w:rsidR="00CE32E2">
        <w:fldChar w:fldCharType="begin">
          <w:fldData xml:space="preserve">PEVuZE5vdGU+PENpdGU+PEF1dGhvcj5CYXJyb2lzPC9BdXRob3I+PFllYXI+MjAwODwvWWVhcj48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</w:fldData>
        </w:fldChar>
      </w:r>
      <w:r w:rsidR="00CE32E2">
        <w:instrText xml:space="preserve"> ADDIN EN.CITE.DATA </w:instrText>
      </w:r>
      <w:r w:rsidR="00CE32E2">
        <w:fldChar w:fldCharType="end"/>
      </w:r>
      <w:r w:rsidR="00D13313" w:rsidRPr="004C6ED7">
        <w:fldChar w:fldCharType="separate"/>
      </w:r>
      <w:r w:rsidR="00CE32E2">
        <w:rPr>
          <w:noProof/>
        </w:rPr>
        <w:t>(</w:t>
      </w:r>
      <w:hyperlink w:anchor="_ENREF_2" w:tooltip="Barrois, 2008 #4417" w:history="1">
        <w:r w:rsidR="00CE32E2">
          <w:rPr>
            <w:noProof/>
          </w:rPr>
          <w:t>Barrois et al., 2008</w:t>
        </w:r>
      </w:hyperlink>
      <w:r w:rsidR="00CE32E2">
        <w:rPr>
          <w:noProof/>
        </w:rPr>
        <w:t xml:space="preserve">, </w:t>
      </w:r>
      <w:hyperlink w:anchor="_ENREF_20" w:tooltip="Phillips, 2009 #4418" w:history="1">
        <w:r w:rsidR="00CE32E2">
          <w:rPr>
            <w:noProof/>
          </w:rPr>
          <w:t>Phillips and Buttery, 2009</w:t>
        </w:r>
      </w:hyperlink>
      <w:r w:rsidR="00CE32E2">
        <w:rPr>
          <w:noProof/>
        </w:rPr>
        <w:t xml:space="preserve">, </w:t>
      </w:r>
      <w:hyperlink w:anchor="_ENREF_15" w:tooltip="Lahmann, 2006 #4416" w:history="1">
        <w:r w:rsidR="00CE32E2">
          <w:rPr>
            <w:noProof/>
          </w:rPr>
          <w:t>Lahmann et al., 2006</w:t>
        </w:r>
      </w:hyperlink>
      <w:r w:rsidR="00CE32E2">
        <w:rPr>
          <w:noProof/>
        </w:rPr>
        <w:t>)</w:t>
      </w:r>
      <w:r w:rsidR="00D13313" w:rsidRPr="004C6ED7">
        <w:fldChar w:fldCharType="end"/>
      </w:r>
      <w:r w:rsidR="00D13313" w:rsidRPr="004C6ED7">
        <w:t xml:space="preserve">. </w:t>
      </w:r>
      <w:r w:rsidR="00296DAE" w:rsidRPr="004C6ED7">
        <w:t xml:space="preserve">However, </w:t>
      </w:r>
      <w:r w:rsidR="0078307D" w:rsidRPr="004C6ED7">
        <w:t xml:space="preserve">some studies have reported </w:t>
      </w:r>
      <w:r w:rsidR="005C3ABC" w:rsidRPr="004C6ED7">
        <w:t>contrasting</w:t>
      </w:r>
      <w:r w:rsidR="0078307D" w:rsidRPr="004C6ED7">
        <w:t xml:space="preserve"> </w:t>
      </w:r>
      <w:proofErr w:type="gramStart"/>
      <w:r w:rsidR="0078307D" w:rsidRPr="004C6ED7">
        <w:t>findings,</w:t>
      </w:r>
      <w:proofErr w:type="gramEnd"/>
      <w:r w:rsidR="0078307D" w:rsidRPr="004C6ED7">
        <w:t xml:space="preserve"> </w:t>
      </w:r>
      <w:r w:rsidR="00296DAE" w:rsidRPr="004C6ED7">
        <w:t>for example</w:t>
      </w:r>
      <w:r w:rsidR="00D577F4" w:rsidRPr="004C6ED7">
        <w:t>,</w:t>
      </w:r>
      <w:r w:rsidR="00296DAE" w:rsidRPr="004C6ED7">
        <w:t xml:space="preserve"> a</w:t>
      </w:r>
      <w:r w:rsidR="006255FD" w:rsidRPr="004C6ED7">
        <w:t xml:space="preserve"> cross-sectional study in Sweden </w:t>
      </w:r>
      <w:r w:rsidR="00D577F4" w:rsidRPr="004C6ED7">
        <w:t>reported</w:t>
      </w:r>
      <w:r w:rsidR="006255FD" w:rsidRPr="004C6ED7">
        <w:t xml:space="preserve"> the prevalence of HAPU was much higher than CAPU (11.6% vs. </w:t>
      </w:r>
      <w:r w:rsidR="00C36E4F" w:rsidRPr="004C6ED7">
        <w:t>3.3%).</w:t>
      </w:r>
      <w:r w:rsidR="0078307D" w:rsidRPr="004C6ED7">
        <w:t xml:space="preserve"> With respect to PU categories, the present study </w:t>
      </w:r>
      <w:r w:rsidR="00D577F4" w:rsidRPr="004C6ED7">
        <w:t>demonstrated</w:t>
      </w:r>
      <w:r w:rsidR="00976BE9" w:rsidRPr="004C6ED7">
        <w:t xml:space="preserve"> similar </w:t>
      </w:r>
      <w:r w:rsidR="00D577F4" w:rsidRPr="004C6ED7">
        <w:t>findings to those reported in the</w:t>
      </w:r>
      <w:r w:rsidR="0019026D" w:rsidRPr="004C6ED7">
        <w:t xml:space="preserve"> literature</w:t>
      </w:r>
      <w:r w:rsidR="0078307D" w:rsidRPr="004C6ED7">
        <w:t xml:space="preserve">, namely </w:t>
      </w:r>
      <w:r w:rsidR="00C36E4F" w:rsidRPr="004C6ED7">
        <w:t>over 50% of t</w:t>
      </w:r>
      <w:r w:rsidR="00296DAE" w:rsidRPr="004C6ED7">
        <w:t xml:space="preserve">he pressure ulcers </w:t>
      </w:r>
      <w:r w:rsidR="00D577F4" w:rsidRPr="004C6ED7">
        <w:t>are</w:t>
      </w:r>
      <w:r w:rsidR="00296DAE" w:rsidRPr="004C6ED7">
        <w:t xml:space="preserve"> </w:t>
      </w:r>
      <w:r w:rsidR="005E4D84" w:rsidRPr="004C6ED7">
        <w:t>category</w:t>
      </w:r>
      <w:r w:rsidR="00296DAE" w:rsidRPr="004C6ED7">
        <w:t xml:space="preserve"> 1, </w:t>
      </w:r>
      <w:r w:rsidR="0078307D" w:rsidRPr="004C6ED7">
        <w:t xml:space="preserve">and a </w:t>
      </w:r>
      <w:r w:rsidR="00296DAE" w:rsidRPr="004C6ED7">
        <w:t xml:space="preserve">significant proportion of </w:t>
      </w:r>
      <w:r w:rsidR="00A50EDE" w:rsidRPr="004C6ED7">
        <w:t>PU categories 3-4 affect</w:t>
      </w:r>
      <w:r w:rsidR="00D577F4" w:rsidRPr="004C6ED7">
        <w:t xml:space="preserve"> the</w:t>
      </w:r>
      <w:r w:rsidR="00296DAE" w:rsidRPr="004C6ED7">
        <w:t xml:space="preserve"> </w:t>
      </w:r>
      <w:r w:rsidR="00C36E4F" w:rsidRPr="004C6ED7">
        <w:t>heel</w:t>
      </w:r>
      <w:r w:rsidR="00296DAE" w:rsidRPr="004C6ED7">
        <w:t>s</w:t>
      </w:r>
      <w:r w:rsidR="00C36E4F" w:rsidRPr="004C6ED7">
        <w:t xml:space="preserve"> </w:t>
      </w:r>
      <w:r w:rsidR="004072E6" w:rsidRPr="004C6ED7">
        <w:t xml:space="preserve">and sacrum </w:t>
      </w:r>
      <w:r w:rsidR="00C36E4F" w:rsidRPr="004C6ED7">
        <w:fldChar w:fldCharType="begin"/>
      </w:r>
      <w:r w:rsidR="00CE32E2">
        <w:instrText xml:space="preserve"> ADDIN EN.CITE &lt;EndNote&gt;&lt;Cite&gt;&lt;Author&gt;Gunningberg&lt;/Author&gt;&lt;Year&gt;2011&lt;/Year&gt;&lt;RecNum&gt;4441&lt;/RecNum&gt;&lt;DisplayText&gt;(Gunningberg et al., 2011)&lt;/DisplayText&gt;&lt;record&gt;&lt;rec-number&gt;4441&lt;/rec-number&gt;&lt;foreign-keys&gt;&lt;key app="EN" db-id="ervprze5a95tvoe59pjpvw5gezttve9wxvfs" timestamp="1420639033"&gt;4441&lt;/key&gt;&lt;/foreign-keys&gt;&lt;ref-type name="Journal Article"&gt;17&lt;/ref-type&gt;&lt;contributors&gt;&lt;authors&gt;&lt;author&gt;Gunningberg, Lena&lt;/author&gt;&lt;author&gt;Stotts, Nancy A.&lt;/author&gt;&lt;author&gt;Idvall, Ewa&lt;/author&gt;&lt;/authors&gt;&lt;/contributors&gt;&lt;titles&gt;&lt;title&gt;Hospital-acquired pressure ulcers in two Swedish County Councils: cross-sectional data as the foundation for future quality improvement&lt;/title&gt;&lt;secondary-title&gt;International Wound Journal&lt;/secondary-title&gt;&lt;/titles&gt;&lt;periodical&gt;&lt;full-title&gt;International Wound Journal&lt;/full-title&gt;&lt;/periodical&gt;&lt;pages&gt;465-473&lt;/pages&gt;&lt;volume&gt;8&lt;/volume&gt;&lt;number&gt;5&lt;/number&gt;&lt;keywords&gt;&lt;keyword&gt;Hospital-acquired pressure ulcers&lt;/keyword&gt;&lt;keyword&gt;Prevalence&lt;/keyword&gt;&lt;keyword&gt;Prevention&lt;/keyword&gt;&lt;keyword&gt;Risk assessment&lt;/keyword&gt;&lt;/keywords&gt;&lt;dates&gt;&lt;year&gt;2011&lt;/year&gt;&lt;/dates&gt;&lt;publisher&gt;Blackwell Publishing Ltd&lt;/publisher&gt;&lt;isbn&gt;1742-481X&lt;/isbn&gt;&lt;urls&gt;&lt;related-urls&gt;&lt;url&gt;http://dx.doi.org/10.1111/j.1742-481X.2011.00818.x&lt;/url&gt;&lt;/related-urls&gt;&lt;/urls&gt;&lt;electronic-resource-num&gt;10.1111/j.1742-481X.2011.00818.x&lt;/electronic-resource-num&gt;&lt;/record&gt;&lt;/Cite&gt;&lt;/EndNote&gt;</w:instrText>
      </w:r>
      <w:r w:rsidR="00C36E4F" w:rsidRPr="004C6ED7">
        <w:fldChar w:fldCharType="separate"/>
      </w:r>
      <w:r w:rsidR="00CE32E2">
        <w:rPr>
          <w:noProof/>
        </w:rPr>
        <w:t>(</w:t>
      </w:r>
      <w:hyperlink w:anchor="_ENREF_13" w:tooltip="Gunningberg, 2011 #4441" w:history="1">
        <w:r w:rsidR="00CE32E2">
          <w:rPr>
            <w:noProof/>
          </w:rPr>
          <w:t>Gunningberg et al., 2011</w:t>
        </w:r>
      </w:hyperlink>
      <w:r w:rsidR="00CE32E2">
        <w:rPr>
          <w:noProof/>
        </w:rPr>
        <w:t>)</w:t>
      </w:r>
      <w:r w:rsidR="00C36E4F" w:rsidRPr="004C6ED7">
        <w:fldChar w:fldCharType="end"/>
      </w:r>
      <w:r w:rsidR="00C36E4F" w:rsidRPr="004C6ED7">
        <w:t xml:space="preserve">. </w:t>
      </w:r>
      <w:r w:rsidR="004575A1" w:rsidRPr="004C6ED7">
        <w:t xml:space="preserve"> </w:t>
      </w:r>
      <w:r w:rsidR="005E4D84" w:rsidRPr="004C6ED7">
        <w:t xml:space="preserve">  </w:t>
      </w:r>
      <w:r w:rsidR="00D577F4" w:rsidRPr="004C6ED7">
        <w:t>The present study also revealed a</w:t>
      </w:r>
      <w:r w:rsidRPr="004C6ED7">
        <w:t xml:space="preserve"> disparity in</w:t>
      </w:r>
      <w:r w:rsidR="00B66BAF" w:rsidRPr="004C6ED7">
        <w:t xml:space="preserve"> hospital</w:t>
      </w:r>
      <w:r w:rsidRPr="004C6ED7">
        <w:t xml:space="preserve"> </w:t>
      </w:r>
      <w:r w:rsidR="00B66BAF" w:rsidRPr="004C6ED7">
        <w:t>length of stay</w:t>
      </w:r>
      <w:r w:rsidRPr="004C6ED7">
        <w:t xml:space="preserve"> between CAPU and HAPU patients</w:t>
      </w:r>
      <w:r w:rsidR="00B66BAF" w:rsidRPr="004C6ED7">
        <w:t xml:space="preserve"> (Table </w:t>
      </w:r>
      <w:r w:rsidR="007F7A39" w:rsidRPr="004C6ED7">
        <w:t>1</w:t>
      </w:r>
      <w:r w:rsidR="00B66BAF" w:rsidRPr="004C6ED7">
        <w:t>)</w:t>
      </w:r>
      <w:r w:rsidR="00D577F4" w:rsidRPr="004C6ED7">
        <w:t>, which</w:t>
      </w:r>
      <w:r w:rsidR="005C3ABC" w:rsidRPr="004C6ED7">
        <w:t>, for</w:t>
      </w:r>
      <w:r w:rsidR="00B66BAF" w:rsidRPr="004C6ED7">
        <w:t xml:space="preserve"> all PU categories, </w:t>
      </w:r>
      <w:r w:rsidR="005C3ABC" w:rsidRPr="004C6ED7">
        <w:t>revealed a lower a</w:t>
      </w:r>
      <w:r w:rsidRPr="004C6ED7">
        <w:t xml:space="preserve">verage length of stay </w:t>
      </w:r>
      <w:r w:rsidR="005C3ABC" w:rsidRPr="004C6ED7">
        <w:t>in the former</w:t>
      </w:r>
      <w:r w:rsidRPr="004C6ED7">
        <w:t xml:space="preserve"> patients</w:t>
      </w:r>
      <w:r w:rsidR="00B66BAF" w:rsidRPr="004C6ED7">
        <w:t xml:space="preserve"> (Figure 2)</w:t>
      </w:r>
      <w:r w:rsidRPr="004C6ED7">
        <w:t xml:space="preserve">, </w:t>
      </w:r>
      <w:r w:rsidR="00A50EDE" w:rsidRPr="004C6ED7">
        <w:t>particularly</w:t>
      </w:r>
      <w:r w:rsidRPr="004C6ED7">
        <w:t xml:space="preserve"> pronounced </w:t>
      </w:r>
      <w:r w:rsidR="00A50EDE" w:rsidRPr="004C6ED7">
        <w:t>when considering</w:t>
      </w:r>
      <w:r w:rsidR="00B66BAF" w:rsidRPr="004C6ED7">
        <w:t xml:space="preserve"> </w:t>
      </w:r>
      <w:r w:rsidR="000E242A" w:rsidRPr="004C6ED7">
        <w:t xml:space="preserve">PU </w:t>
      </w:r>
      <w:r w:rsidR="004B1E36" w:rsidRPr="004C6ED7">
        <w:t>categorie</w:t>
      </w:r>
      <w:r w:rsidR="009E61B5" w:rsidRPr="004C6ED7">
        <w:t xml:space="preserve">s 3 and </w:t>
      </w:r>
      <w:r w:rsidR="00B66BAF" w:rsidRPr="004C6ED7">
        <w:t>4</w:t>
      </w:r>
      <w:r w:rsidRPr="004C6ED7">
        <w:t>. There was also a difference i</w:t>
      </w:r>
      <w:r w:rsidR="009E61B5" w:rsidRPr="004C6ED7">
        <w:t>n the incremental changes in length of hospital stay</w:t>
      </w:r>
      <w:r w:rsidRPr="004C6ED7">
        <w:t xml:space="preserve"> </w:t>
      </w:r>
      <w:r w:rsidR="005C3ABC" w:rsidRPr="004C6ED7">
        <w:t>with PU</w:t>
      </w:r>
      <w:r w:rsidRPr="004C6ED7">
        <w:t xml:space="preserve"> </w:t>
      </w:r>
      <w:r w:rsidR="005E4D84" w:rsidRPr="004C6ED7">
        <w:t>category</w:t>
      </w:r>
      <w:r w:rsidR="00A50EDE" w:rsidRPr="004C6ED7">
        <w:t>, with</w:t>
      </w:r>
      <w:r w:rsidR="005C3ABC" w:rsidRPr="004C6ED7">
        <w:t xml:space="preserve"> </w:t>
      </w:r>
      <w:r w:rsidRPr="004C6ED7">
        <w:t xml:space="preserve">HAPUs </w:t>
      </w:r>
      <w:r w:rsidR="00B66BAF" w:rsidRPr="004C6ED7">
        <w:t>hospital length of stay</w:t>
      </w:r>
      <w:r w:rsidRPr="004C6ED7">
        <w:t xml:space="preserve"> increas</w:t>
      </w:r>
      <w:r w:rsidR="00A50EDE" w:rsidRPr="004C6ED7">
        <w:t>ing</w:t>
      </w:r>
      <w:r w:rsidRPr="004C6ED7">
        <w:t xml:space="preserve"> monotonically with pressure ulcer </w:t>
      </w:r>
      <w:r w:rsidR="005E4D84" w:rsidRPr="004C6ED7">
        <w:t>category</w:t>
      </w:r>
      <w:r w:rsidRPr="004C6ED7">
        <w:t xml:space="preserve">, whilst CAPU </w:t>
      </w:r>
      <w:r w:rsidR="00977AFA" w:rsidRPr="004C6ED7">
        <w:t>length of stay</w:t>
      </w:r>
      <w:r w:rsidR="00B66BAF" w:rsidRPr="004C6ED7">
        <w:t xml:space="preserve"> </w:t>
      </w:r>
      <w:r w:rsidR="00346412" w:rsidRPr="004C6ED7">
        <w:t>did not differ across the</w:t>
      </w:r>
      <w:r w:rsidR="0019026D" w:rsidRPr="004C6ED7">
        <w:t xml:space="preserve"> categories</w:t>
      </w:r>
      <w:r w:rsidRPr="004C6ED7">
        <w:t xml:space="preserve">.  </w:t>
      </w:r>
      <w:r w:rsidR="004072E6" w:rsidRPr="004C6ED7">
        <w:t xml:space="preserve">Therefore, </w:t>
      </w:r>
      <w:r w:rsidR="00346412" w:rsidRPr="004C6ED7">
        <w:t>present results</w:t>
      </w:r>
      <w:r w:rsidR="004072E6" w:rsidRPr="004C6ED7">
        <w:t xml:space="preserve"> indicate that when assessing</w:t>
      </w:r>
      <w:r w:rsidR="006A11D0" w:rsidRPr="004C6ED7">
        <w:t xml:space="preserve"> the</w:t>
      </w:r>
      <w:r w:rsidR="004072E6" w:rsidRPr="004C6ED7">
        <w:t xml:space="preserve"> socio</w:t>
      </w:r>
      <w:r w:rsidR="006A11D0" w:rsidRPr="004C6ED7">
        <w:t>-</w:t>
      </w:r>
      <w:r w:rsidR="004072E6" w:rsidRPr="004C6ED7">
        <w:t xml:space="preserve">economic impact of pressure ulcers using factors such as length of stay, patients with CAPU and HAPU should be treated as separate patient groups. </w:t>
      </w:r>
      <w:r w:rsidR="00346412" w:rsidRPr="004C6ED7">
        <w:t xml:space="preserve"> </w:t>
      </w:r>
      <w:r w:rsidR="00A50EDE" w:rsidRPr="004C6ED7">
        <w:t>F</w:t>
      </w:r>
      <w:r w:rsidR="00346412" w:rsidRPr="004C6ED7">
        <w:t xml:space="preserve">urther research is </w:t>
      </w:r>
      <w:r w:rsidR="00A50EDE" w:rsidRPr="004C6ED7">
        <w:t xml:space="preserve">clearly </w:t>
      </w:r>
      <w:r w:rsidR="00346412" w:rsidRPr="004C6ED7">
        <w:t xml:space="preserve">needed to identify the </w:t>
      </w:r>
      <w:r w:rsidR="00FF15B8">
        <w:t>causal significance</w:t>
      </w:r>
      <w:r w:rsidR="003043B4" w:rsidRPr="004C6ED7">
        <w:t xml:space="preserve"> PU origin </w:t>
      </w:r>
      <w:r w:rsidR="00FF15B8">
        <w:t>with regards to</w:t>
      </w:r>
      <w:r w:rsidR="003043B4" w:rsidRPr="004C6ED7">
        <w:t xml:space="preserve"> </w:t>
      </w:r>
      <w:r w:rsidR="00A50EDE" w:rsidRPr="004C6ED7">
        <w:t>hospital length of stay</w:t>
      </w:r>
      <w:r w:rsidR="00346412" w:rsidRPr="004C6ED7">
        <w:t xml:space="preserve">. </w:t>
      </w:r>
      <w:r w:rsidR="00B01AE6" w:rsidRPr="004C6ED7">
        <w:t xml:space="preserve"> </w:t>
      </w:r>
    </w:p>
    <w:p w14:paraId="5A7F414D" w14:textId="0AE6A3B0" w:rsidR="00623D4B" w:rsidRPr="004C6ED7" w:rsidRDefault="005E4D84" w:rsidP="00CE32E2">
      <w:pPr>
        <w:spacing w:line="480" w:lineRule="auto"/>
      </w:pPr>
      <w:r w:rsidRPr="004C6ED7">
        <w:t xml:space="preserve">  </w:t>
      </w:r>
      <w:r w:rsidR="009E025B" w:rsidRPr="004C6ED7">
        <w:t xml:space="preserve"> </w:t>
      </w:r>
      <w:r w:rsidR="008A3064" w:rsidRPr="004C6ED7">
        <w:t xml:space="preserve">Although preventative strategies, in the form of pressure </w:t>
      </w:r>
      <w:r w:rsidR="00E60052" w:rsidRPr="004C6ED7">
        <w:t>redistributing</w:t>
      </w:r>
      <w:r w:rsidR="008A3064" w:rsidRPr="004C6ED7">
        <w:t xml:space="preserve"> support surfaces, were administered to patients </w:t>
      </w:r>
      <w:r w:rsidRPr="004C6ED7">
        <w:t xml:space="preserve">at PU </w:t>
      </w:r>
      <w:r w:rsidR="008A3064" w:rsidRPr="004C6ED7">
        <w:t>risk, this was not implemented with</w:t>
      </w:r>
      <w:r w:rsidRPr="004C6ED7">
        <w:t>in</w:t>
      </w:r>
      <w:r w:rsidR="008A3064" w:rsidRPr="004C6ED7">
        <w:t xml:space="preserve"> 24</w:t>
      </w:r>
      <w:r w:rsidRPr="004C6ED7">
        <w:t xml:space="preserve"> </w:t>
      </w:r>
      <w:r w:rsidR="008A3064" w:rsidRPr="004C6ED7">
        <w:t xml:space="preserve">hours in a </w:t>
      </w:r>
      <w:r w:rsidR="0019026D" w:rsidRPr="004C6ED7">
        <w:t xml:space="preserve">substantive </w:t>
      </w:r>
      <w:r w:rsidR="00FA6FC5" w:rsidRPr="004C6ED7">
        <w:t>proportion</w:t>
      </w:r>
      <w:r w:rsidR="00F61DA3" w:rsidRPr="004C6ED7">
        <w:t xml:space="preserve"> </w:t>
      </w:r>
      <w:r w:rsidR="008A3064" w:rsidRPr="004C6ED7">
        <w:t xml:space="preserve">of </w:t>
      </w:r>
      <w:r w:rsidR="0019026D" w:rsidRPr="004C6ED7">
        <w:t xml:space="preserve">HAPU (27%) and CAPU (19%) </w:t>
      </w:r>
      <w:r w:rsidR="008A3064" w:rsidRPr="004C6ED7">
        <w:t xml:space="preserve">cases. The timing of support surface provision is a source of current debate with </w:t>
      </w:r>
      <w:r w:rsidR="00D66E25" w:rsidRPr="004C6ED7">
        <w:t>literature</w:t>
      </w:r>
      <w:r w:rsidR="008A3064" w:rsidRPr="004C6ED7">
        <w:t xml:space="preserve"> </w:t>
      </w:r>
      <w:r w:rsidR="008A3064" w:rsidRPr="004C6ED7">
        <w:fldChar w:fldCharType="begin"/>
      </w:r>
      <w:r w:rsidR="00CE32E2">
        <w:instrText xml:space="preserve"> ADDIN EN.CITE &lt;EndNote&gt;&lt;Cite&gt;&lt;Author&gt;McInnes&lt;/Author&gt;&lt;Year&gt;2012&lt;/Year&gt;&lt;RecNum&gt;1820&lt;/RecNum&gt;&lt;DisplayText&gt;(McInnes et al., 2012)&lt;/DisplayText&gt;&lt;record&gt;&lt;rec-number&gt;1820&lt;/rec-number&gt;&lt;foreign-keys&gt;&lt;key app="EN" db-id="ervprze5a95tvoe59pjpvw5gezttve9wxvfs" timestamp="1328526668"&gt;1820&lt;/key&gt;&lt;/foreign-keys&gt;&lt;ref-type name="Journal Article"&gt;17&lt;/ref-type&gt;&lt;contributors&gt;&lt;authors&gt;&lt;author&gt;McInnes, E.&lt;/author&gt;&lt;author&gt;Jammali-Blasi, A.&lt;/author&gt;&lt;author&gt;Bell,-Syer, S.&lt;/author&gt;&lt;author&gt;Dumville, J.&lt;/author&gt;&lt;author&gt;Cullum, N.&lt;/author&gt;&lt;/authors&gt;&lt;/contributors&gt;&lt;titles&gt;&lt;title&gt;Preventing pressure ulcers—Are pressure-redistributing support surfaces effective? A Cochrane systematic review and meta-analysis &lt;/title&gt;&lt;secondary-title&gt;International Journal of Nursing Studies&lt;/secondary-title&gt;&lt;/titles&gt;&lt;periodical&gt;&lt;full-title&gt;International Journal of Nursing Studies&lt;/full-title&gt;&lt;abbr-1&gt;Int. J. Nurs. Stud.&lt;/abbr-1&gt;&lt;abbr-2&gt;Int J Nurs Stud&lt;/abbr-2&gt;&lt;/periodical&gt;&lt;pages&gt;345-59&lt;/pages&gt;&lt;volume&gt;49&lt;/volume&gt;&lt;number&gt;3&lt;/number&gt;&lt;dates&gt;&lt;year&gt;2012&lt;/year&gt;&lt;/dates&gt;&lt;urls&gt;&lt;/urls&gt;&lt;/record&gt;&lt;/Cite&gt;&lt;/EndNote&gt;</w:instrText>
      </w:r>
      <w:r w:rsidR="008A3064" w:rsidRPr="004C6ED7">
        <w:fldChar w:fldCharType="separate"/>
      </w:r>
      <w:r w:rsidR="00CE32E2">
        <w:rPr>
          <w:noProof/>
        </w:rPr>
        <w:t>(</w:t>
      </w:r>
      <w:hyperlink w:anchor="_ENREF_16" w:tooltip="McInnes, 2012 #1820" w:history="1">
        <w:r w:rsidR="00CE32E2">
          <w:rPr>
            <w:noProof/>
          </w:rPr>
          <w:t>McInnes et al., 2012</w:t>
        </w:r>
      </w:hyperlink>
      <w:r w:rsidR="00CE32E2">
        <w:rPr>
          <w:noProof/>
        </w:rPr>
        <w:t>)</w:t>
      </w:r>
      <w:r w:rsidR="008A3064" w:rsidRPr="004C6ED7">
        <w:fldChar w:fldCharType="end"/>
      </w:r>
      <w:r w:rsidR="008A3064" w:rsidRPr="004C6ED7">
        <w:t xml:space="preserve">.   </w:t>
      </w:r>
      <w:r w:rsidR="00F61DA3" w:rsidRPr="004C6ED7">
        <w:t>However, the finding</w:t>
      </w:r>
      <w:r w:rsidRPr="004C6ED7">
        <w:t>s from the presen</w:t>
      </w:r>
      <w:r w:rsidR="000E63E3" w:rsidRPr="004C6ED7">
        <w:t>t study</w:t>
      </w:r>
      <w:r w:rsidRPr="004C6ED7">
        <w:t xml:space="preserve"> </w:t>
      </w:r>
      <w:r w:rsidR="00346412" w:rsidRPr="004C6ED7">
        <w:t>clear</w:t>
      </w:r>
      <w:r w:rsidR="00F61DA3" w:rsidRPr="004C6ED7">
        <w:t xml:space="preserve">ly indicate that the timing of </w:t>
      </w:r>
      <w:r w:rsidRPr="004C6ED7">
        <w:t xml:space="preserve">support surface provision </w:t>
      </w:r>
      <w:r w:rsidR="0019026D" w:rsidRPr="004C6ED7">
        <w:t xml:space="preserve">is not optimal for those who are admitted with or develop </w:t>
      </w:r>
      <w:r w:rsidR="00346412" w:rsidRPr="004C6ED7">
        <w:t>a PU</w:t>
      </w:r>
      <w:r w:rsidR="0019026D" w:rsidRPr="004C6ED7">
        <w:t xml:space="preserve"> during their stay.</w:t>
      </w:r>
      <w:r w:rsidR="00346412" w:rsidRPr="004C6ED7">
        <w:t xml:space="preserve"> The present study also revealed that a large proportion of the HAPU and CAPU patients (77-78%) </w:t>
      </w:r>
      <w:r w:rsidR="00E3185E" w:rsidRPr="004C6ED7">
        <w:t xml:space="preserve">were </w:t>
      </w:r>
      <w:r w:rsidR="00346412" w:rsidRPr="004C6ED7">
        <w:t>readmitted to hospital multiple times over the 41 month study period. This readmission rate is higher than that previously reported</w:t>
      </w:r>
      <w:r w:rsidR="00747638" w:rsidRPr="004C6ED7">
        <w:t>, with a recent systematic review highlighting rates between 40-50%</w:t>
      </w:r>
      <w:r w:rsidR="00346412" w:rsidRPr="004C6ED7">
        <w:t xml:space="preserve"> </w:t>
      </w:r>
      <w:r w:rsidR="00346412" w:rsidRPr="004C6ED7">
        <w:fldChar w:fldCharType="begin"/>
      </w:r>
      <w:r w:rsidR="00CE32E2">
        <w:instrText xml:space="preserve"> ADDIN EN.CITE &lt;EndNote&gt;&lt;Cite&gt;&lt;Author&gt;García-Pérez&lt;/Author&gt;&lt;Year&gt;2011&lt;/Year&gt;&lt;RecNum&gt;4485&lt;/RecNum&gt;&lt;DisplayText&gt;(García-Pérez et al., 2011)&lt;/DisplayText&gt;&lt;record&gt;&lt;rec-number&gt;4485&lt;/rec-number&gt;&lt;foreign-keys&gt;&lt;key app="EN" db-id="ervprze5a95tvoe59pjpvw5gezttve9wxvfs" timestamp="1435758587"&gt;4485&lt;/key&gt;&lt;/foreign-keys&gt;&lt;ref-type name="Book"&gt;6&lt;/ref-type&gt;&lt;contributors&gt;&lt;authors&gt;&lt;author&gt;García-Pérez, L.&lt;/author&gt;&lt;author&gt;Linertová, R.&lt;/author&gt;&lt;author&gt;Lorenzo-Riera, A.&lt;/author&gt;&lt;author&gt;Vázquez-Díaz, J. R.&lt;/author&gt;&lt;author&gt;Duque-González, B.&lt;/author&gt;&lt;author&gt;Sarría-Santamera, A.&lt;/author&gt;&lt;/authors&gt;&lt;/contributors&gt;&lt;titles&gt;&lt;title&gt;Risk factors for hospital readmissions in elderly patients: a systematic review&lt;/title&gt;&lt;/titles&gt;&lt;pages&gt;639-651&lt;/pages&gt;&lt;volume&gt;104&lt;/volume&gt;&lt;number&gt;8&lt;/number&gt;&lt;dates&gt;&lt;year&gt;2011&lt;/year&gt;&lt;pub-dates&gt;&lt;date&gt;2011-08-01 00:00:00&lt;/date&gt;&lt;/pub-dates&gt;&lt;/dates&gt;&lt;work-type&gt;Journal Article&lt;/work-type&gt;&lt;urls&gt;&lt;related-urls&gt;&lt;url&gt;http://qjmed.oxfordjournals.org/qjmed/104/8/639.full.pdf&lt;/url&gt;&lt;/related-urls&gt;&lt;/urls&gt;&lt;electronic-resource-num&gt;10.1093/qjmed/hcr070&lt;/electronic-resource-num&gt;&lt;/record&gt;&lt;/Cite&gt;&lt;/EndNote&gt;</w:instrText>
      </w:r>
      <w:r w:rsidR="00346412" w:rsidRPr="004C6ED7">
        <w:fldChar w:fldCharType="separate"/>
      </w:r>
      <w:r w:rsidR="00CE32E2">
        <w:rPr>
          <w:noProof/>
        </w:rPr>
        <w:t>(</w:t>
      </w:r>
      <w:hyperlink w:anchor="_ENREF_10" w:tooltip="García-Pérez, 2011 #4485" w:history="1">
        <w:r w:rsidR="00CE32E2">
          <w:rPr>
            <w:noProof/>
          </w:rPr>
          <w:t>García-Pérez et al., 2011</w:t>
        </w:r>
      </w:hyperlink>
      <w:r w:rsidR="00CE32E2">
        <w:rPr>
          <w:noProof/>
        </w:rPr>
        <w:t>)</w:t>
      </w:r>
      <w:r w:rsidR="00346412" w:rsidRPr="004C6ED7">
        <w:fldChar w:fldCharType="end"/>
      </w:r>
      <w:r w:rsidR="00346412" w:rsidRPr="004C6ED7">
        <w:t xml:space="preserve">. </w:t>
      </w:r>
      <w:r w:rsidR="00C55793" w:rsidRPr="004C6ED7">
        <w:t xml:space="preserve">The </w:t>
      </w:r>
      <w:r w:rsidR="00747638" w:rsidRPr="004C6ED7">
        <w:t>high</w:t>
      </w:r>
      <w:r w:rsidR="00C55793" w:rsidRPr="004C6ED7">
        <w:t xml:space="preserve"> number of re-admissions during the present study may have been a consequence of the</w:t>
      </w:r>
      <w:r w:rsidR="00747638" w:rsidRPr="004C6ED7">
        <w:t xml:space="preserve"> healthcare </w:t>
      </w:r>
      <w:r w:rsidR="00747638" w:rsidRPr="004C6ED7">
        <w:lastRenderedPageBreak/>
        <w:t>provision for the</w:t>
      </w:r>
      <w:r w:rsidR="00C55793" w:rsidRPr="004C6ED7">
        <w:t xml:space="preserve"> Island community, with the hospital being the main source of provision in the locality. However, this finding is worthy of further exploration. </w:t>
      </w:r>
    </w:p>
    <w:p w14:paraId="0D8D9104" w14:textId="10E9924D" w:rsidR="00002CCE" w:rsidRPr="004C6ED7" w:rsidRDefault="005E4D84" w:rsidP="00CE32E2">
      <w:pPr>
        <w:spacing w:line="480" w:lineRule="auto"/>
      </w:pPr>
      <w:r w:rsidRPr="004C6ED7">
        <w:t xml:space="preserve">  </w:t>
      </w:r>
      <w:r w:rsidR="009E025B" w:rsidRPr="004C6ED7">
        <w:t xml:space="preserve">The </w:t>
      </w:r>
      <w:r w:rsidR="00346412" w:rsidRPr="004C6ED7">
        <w:t>ma</w:t>
      </w:r>
      <w:r w:rsidR="00FF15B8">
        <w:t>jor</w:t>
      </w:r>
      <w:r w:rsidR="009E025B" w:rsidRPr="004C6ED7">
        <w:t xml:space="preserve"> limitation </w:t>
      </w:r>
      <w:r w:rsidR="00346412" w:rsidRPr="004C6ED7">
        <w:t>of the protocol adopted in the</w:t>
      </w:r>
      <w:r w:rsidR="009E025B" w:rsidRPr="004C6ED7">
        <w:t xml:space="preserve"> present study was the reliance </w:t>
      </w:r>
      <w:r w:rsidR="00747638" w:rsidRPr="004C6ED7">
        <w:t xml:space="preserve">on the </w:t>
      </w:r>
      <w:r w:rsidR="009E025B" w:rsidRPr="004C6ED7">
        <w:t>accuracy and completeness</w:t>
      </w:r>
      <w:r w:rsidR="000E63E3" w:rsidRPr="004C6ED7">
        <w:t xml:space="preserve"> of </w:t>
      </w:r>
      <w:r w:rsidR="00747638" w:rsidRPr="004C6ED7">
        <w:t xml:space="preserve">the </w:t>
      </w:r>
      <w:r w:rsidR="000E63E3" w:rsidRPr="004C6ED7">
        <w:t>reporting forms</w:t>
      </w:r>
      <w:r w:rsidR="009E025B" w:rsidRPr="004C6ED7">
        <w:t>.</w:t>
      </w:r>
      <w:r w:rsidR="00346412" w:rsidRPr="004C6ED7">
        <w:t xml:space="preserve"> In order to minimise the limitations associated with the retrospective approach data was collected from a single observer</w:t>
      </w:r>
      <w:r w:rsidR="00FA6FC5" w:rsidRPr="004C6ED7">
        <w:t xml:space="preserve"> enhancing internal consistency. </w:t>
      </w:r>
      <w:r w:rsidR="009E025B" w:rsidRPr="004C6ED7">
        <w:t xml:space="preserve"> </w:t>
      </w:r>
      <w:r w:rsidR="00002CCE" w:rsidRPr="004C6ED7">
        <w:t xml:space="preserve">The </w:t>
      </w:r>
      <w:r w:rsidR="00C55793" w:rsidRPr="004C6ED7">
        <w:t>documented information included a</w:t>
      </w:r>
      <w:r w:rsidR="009E025B" w:rsidRPr="004C6ED7">
        <w:t xml:space="preserve"> </w:t>
      </w:r>
      <w:r w:rsidR="00070BC6" w:rsidRPr="004C6ED7">
        <w:t>finite</w:t>
      </w:r>
      <w:r w:rsidR="00F61DA3" w:rsidRPr="004C6ED7">
        <w:t xml:space="preserve"> </w:t>
      </w:r>
      <w:r w:rsidR="00E36369" w:rsidRPr="004C6ED7">
        <w:t xml:space="preserve">number of clinical factors which were </w:t>
      </w:r>
      <w:r w:rsidR="00C55793" w:rsidRPr="004C6ED7">
        <w:t xml:space="preserve">used </w:t>
      </w:r>
      <w:r w:rsidR="00E36369" w:rsidRPr="004C6ED7">
        <w:t>in the analysis</w:t>
      </w:r>
      <w:r w:rsidR="007C6483" w:rsidRPr="004C6ED7">
        <w:t>. P</w:t>
      </w:r>
      <w:r w:rsidR="00E36369" w:rsidRPr="004C6ED7">
        <w:t>reventative strategies</w:t>
      </w:r>
      <w:r w:rsidR="00070BC6" w:rsidRPr="004C6ED7">
        <w:t xml:space="preserve"> such as</w:t>
      </w:r>
      <w:r w:rsidR="00E36369" w:rsidRPr="004C6ED7">
        <w:t>, for example, patient repositioning were not reported</w:t>
      </w:r>
      <w:r w:rsidR="009E025B" w:rsidRPr="004C6ED7">
        <w:t xml:space="preserve">. </w:t>
      </w:r>
      <w:r w:rsidR="00002CCE" w:rsidRPr="004C6ED7">
        <w:t>Clearly the quality of the documentation will have a large effect on the accuracy of the data that is collected</w:t>
      </w:r>
      <w:r w:rsidR="00C55793" w:rsidRPr="004C6ED7">
        <w:t xml:space="preserve"> </w:t>
      </w:r>
      <w:r w:rsidR="00C55793" w:rsidRPr="004C6ED7">
        <w:fldChar w:fldCharType="begin"/>
      </w:r>
      <w:r w:rsidR="00CE32E2">
        <w:instrText xml:space="preserve"> ADDIN EN.CITE &lt;EndNote&gt;&lt;Cite&gt;&lt;Author&gt;Gunningberg&lt;/Author&gt;&lt;Year&gt;2000&lt;/Year&gt;&lt;RecNum&gt;4446&lt;/RecNum&gt;&lt;DisplayText&gt;(Gunningberg et al., 2000)&lt;/DisplayText&gt;&lt;record&gt;&lt;rec-number&gt;4446&lt;/rec-number&gt;&lt;foreign-keys&gt;&lt;key app="EN" db-id="ervprze5a95tvoe59pjpvw5gezttve9wxvfs" timestamp="1421326893"&gt;4446&lt;/key&gt;&lt;/foreign-keys&gt;&lt;ref-type name="Journal Article"&gt;17&lt;/ref-type&gt;&lt;contributors&gt;&lt;authors&gt;&lt;author&gt;Gunningberg, Lena&lt;/author&gt;&lt;author&gt;Lindholm, Christina&lt;/author&gt;&lt;author&gt;PhD, Marianne Carlsson&lt;/author&gt;&lt;author&gt;PhD, Per-Olow Sjödén&lt;/author&gt;&lt;/authors&gt;&lt;/contributors&gt;&lt;titles&gt;&lt;title&gt;The development of pressure ulcers in patients with hip fractures: inadequate nursing documentation is still a problem&lt;/title&gt;&lt;secondary-title&gt;Journal of Advanced Nursing&lt;/secondary-title&gt;&lt;/titles&gt;&lt;periodical&gt;&lt;full-title&gt;Journal of Advanced Nursing&lt;/full-title&gt;&lt;abbr-1&gt;J. Adv. Nurs.&lt;/abbr-1&gt;&lt;abbr-2&gt;J Adv Nurs&lt;/abbr-2&gt;&lt;/periodical&gt;&lt;pages&gt;1155-1164&lt;/pages&gt;&lt;volume&gt;31&lt;/volume&gt;&lt;number&gt;5&lt;/number&gt;&lt;keywords&gt;&lt;keyword&gt;pressure ulcers&lt;/keyword&gt;&lt;keyword&gt;classification and risk assessment&lt;/keyword&gt;&lt;keyword&gt;nursing documentation&lt;/keyword&gt;&lt;keyword&gt;hip fractures&lt;/keyword&gt;&lt;/keywords&gt;&lt;dates&gt;&lt;year&gt;2000&lt;/year&gt;&lt;/dates&gt;&lt;publisher&gt;Blackwell Publishing Ltd&lt;/publisher&gt;&lt;isbn&gt;1365-2648&lt;/isbn&gt;&lt;urls&gt;&lt;related-urls&gt;&lt;url&gt;http://dx.doi.org/10.1111/j.1365-2648.2000.tb03462.x&lt;/url&gt;&lt;/related-urls&gt;&lt;/urls&gt;&lt;electronic-resource-num&gt;10.1111/j.1365-2648.2000.tb03462.x&lt;/electronic-resource-num&gt;&lt;/record&gt;&lt;/Cite&gt;&lt;/EndNote&gt;</w:instrText>
      </w:r>
      <w:r w:rsidR="00C55793" w:rsidRPr="004C6ED7">
        <w:fldChar w:fldCharType="separate"/>
      </w:r>
      <w:r w:rsidR="00CE32E2">
        <w:rPr>
          <w:noProof/>
        </w:rPr>
        <w:t>(</w:t>
      </w:r>
      <w:hyperlink w:anchor="_ENREF_12" w:tooltip="Gunningberg, 2000 #4446" w:history="1">
        <w:r w:rsidR="00CE32E2">
          <w:rPr>
            <w:noProof/>
          </w:rPr>
          <w:t>Gunningberg et al., 2000</w:t>
        </w:r>
      </w:hyperlink>
      <w:r w:rsidR="00CE32E2">
        <w:rPr>
          <w:noProof/>
        </w:rPr>
        <w:t>)</w:t>
      </w:r>
      <w:r w:rsidR="00C55793" w:rsidRPr="004C6ED7">
        <w:fldChar w:fldCharType="end"/>
      </w:r>
      <w:r w:rsidR="00C55793" w:rsidRPr="004C6ED7">
        <w:t>.</w:t>
      </w:r>
      <w:r w:rsidR="00070BC6" w:rsidRPr="004C6ED7">
        <w:t xml:space="preserve"> </w:t>
      </w:r>
      <w:r w:rsidR="00FF15B8">
        <w:t>Other important limitations include</w:t>
      </w:r>
      <w:r w:rsidR="00E36369" w:rsidRPr="004C6ED7">
        <w:t xml:space="preserve"> the </w:t>
      </w:r>
      <w:r w:rsidR="00FF15B8">
        <w:t xml:space="preserve">use of </w:t>
      </w:r>
      <w:r w:rsidR="00C55793" w:rsidRPr="004C6ED7">
        <w:t xml:space="preserve">peak </w:t>
      </w:r>
      <w:proofErr w:type="spellStart"/>
      <w:r w:rsidR="00C55793" w:rsidRPr="004C6ED7">
        <w:t>Waterlow</w:t>
      </w:r>
      <w:proofErr w:type="spellEnd"/>
      <w:r w:rsidR="00C55793" w:rsidRPr="004C6ED7">
        <w:t xml:space="preserve"> score</w:t>
      </w:r>
      <w:r w:rsidR="00FF15B8">
        <w:t xml:space="preserve">s </w:t>
      </w:r>
      <w:r w:rsidR="00070BC6" w:rsidRPr="004C6ED7">
        <w:t>for</w:t>
      </w:r>
      <w:r w:rsidR="00C55793" w:rsidRPr="004C6ED7">
        <w:t xml:space="preserve"> each patient during their </w:t>
      </w:r>
      <w:r w:rsidR="00070BC6" w:rsidRPr="004C6ED7">
        <w:t>hospital stay</w:t>
      </w:r>
      <w:r w:rsidR="00FF15B8">
        <w:t>. This could have</w:t>
      </w:r>
      <w:r w:rsidR="00C55793" w:rsidRPr="004C6ED7">
        <w:t xml:space="preserve"> </w:t>
      </w:r>
      <w:r w:rsidR="00884BA3" w:rsidRPr="004C6ED7">
        <w:t xml:space="preserve">omitted </w:t>
      </w:r>
      <w:r w:rsidR="00E36369" w:rsidRPr="004C6ED7">
        <w:t xml:space="preserve">useful </w:t>
      </w:r>
      <w:r w:rsidR="00070BC6" w:rsidRPr="004C6ED7">
        <w:t>temporal changes in PU</w:t>
      </w:r>
      <w:r w:rsidR="00E36369" w:rsidRPr="004C6ED7">
        <w:t xml:space="preserve"> risk.</w:t>
      </w:r>
      <w:r w:rsidR="00FF15B8">
        <w:t xml:space="preserve"> In addition, t</w:t>
      </w:r>
      <w:r w:rsidR="00960CC3" w:rsidRPr="004C6ED7">
        <w:t xml:space="preserve">he causality of increased length of stay and re-admission rates is </w:t>
      </w:r>
      <w:proofErr w:type="gramStart"/>
      <w:r w:rsidR="00960CC3" w:rsidRPr="004C6ED7">
        <w:t>complex,</w:t>
      </w:r>
      <w:proofErr w:type="gramEnd"/>
      <w:r w:rsidR="00960CC3" w:rsidRPr="004C6ED7">
        <w:t xml:space="preserve"> the present data does not take into account many of the factors which could account for this, for example, comorbidities. The relationship between pressure ulcer status and length of stay/readmission </w:t>
      </w:r>
      <w:proofErr w:type="gramStart"/>
      <w:r w:rsidR="00960CC3" w:rsidRPr="004C6ED7">
        <w:t>rates,</w:t>
      </w:r>
      <w:proofErr w:type="gramEnd"/>
      <w:r w:rsidR="00960CC3" w:rsidRPr="004C6ED7">
        <w:t xml:space="preserve"> requires further investigation to account for all the confounding factors and their potential interactions</w:t>
      </w:r>
      <w:r w:rsidR="0093281A" w:rsidRPr="004C6ED7">
        <w:t xml:space="preserve">. </w:t>
      </w:r>
    </w:p>
    <w:p w14:paraId="4A05B88B" w14:textId="078AFF3B" w:rsidR="00F61DA3" w:rsidRPr="004C6ED7" w:rsidRDefault="00C55793" w:rsidP="00CE32E2">
      <w:pPr>
        <w:spacing w:line="480" w:lineRule="auto"/>
        <w:rPr>
          <w:lang w:val="nl-NL"/>
        </w:rPr>
      </w:pPr>
      <w:r w:rsidRPr="004C6ED7">
        <w:t xml:space="preserve">  </w:t>
      </w:r>
      <w:r w:rsidR="00FA6FC5" w:rsidRPr="004C6ED7">
        <w:t xml:space="preserve">The </w:t>
      </w:r>
      <w:r w:rsidR="00701B27" w:rsidRPr="004C6ED7">
        <w:t xml:space="preserve">results from the </w:t>
      </w:r>
      <w:r w:rsidR="00FA6FC5" w:rsidRPr="004C6ED7">
        <w:t xml:space="preserve">present study </w:t>
      </w:r>
      <w:r w:rsidR="00701B27" w:rsidRPr="004C6ED7">
        <w:t xml:space="preserve">are important for clinical practice as they </w:t>
      </w:r>
      <w:r w:rsidR="00070BC6" w:rsidRPr="004C6ED7">
        <w:t>reveal</w:t>
      </w:r>
      <w:r w:rsidR="00701B27" w:rsidRPr="004C6ED7">
        <w:t xml:space="preserve"> some significant differences regarding the severity and location of PUs between those admitted with and those who develop a PU during admission. </w:t>
      </w:r>
      <w:r w:rsidR="002A11A8" w:rsidRPr="004C6ED7">
        <w:t xml:space="preserve">For example, heel PUs accounted for 28% of all HAPUs compared to 6% of CAPUs. The high incidence of hospital acquired heel PUs indicates that preventative management, in addition to provision of support surfaces, is needed specifically for vulnerable heels in the inpatient setting. </w:t>
      </w:r>
      <w:r w:rsidR="00701B27" w:rsidRPr="004C6ED7">
        <w:t xml:space="preserve">There are also some significant gaps in practice when comparing to international standards of care </w:t>
      </w:r>
      <w:r w:rsidR="00701B27" w:rsidRPr="004C6ED7">
        <w:fldChar w:fldCharType="begin"/>
      </w:r>
      <w:r w:rsidR="006D6A6E">
        <w:instrText xml:space="preserve"> ADDIN EN.CITE &lt;EndNote&gt;&lt;Cite&gt;&lt;Author&gt;European Pressure Ulcer Advisory Panel&lt;/Author&gt;&lt;Year&gt;2014&lt;/Year&gt;&lt;RecNum&gt;1864&lt;/RecNum&gt;&lt;DisplayText&gt;(European Pressure Ulcer Advisory Panel, 2014)&lt;/DisplayText&gt;&lt;record&gt;&lt;rec-number&gt;1864&lt;/rec-number&gt;&lt;foreign-keys&gt;&lt;key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Panel,&lt;/author&gt;&lt;/authors&gt;&lt;/contributors&gt;&lt;titles&gt;&lt;title&gt;Pressure Ulcers Treatment: Quick Reference Guide&lt;/title&gt;&lt;/titles&gt;&lt;dates&gt;&lt;year&gt;2014&lt;/year&gt;&lt;/dates&gt;&lt;publisher&gt;EPUAP-NPUAP&lt;/publisher&gt;&lt;urls&gt;&lt;/urls&gt;&lt;/record&gt;&lt;/Cite&gt;&lt;/EndNote&gt;</w:instrText>
      </w:r>
      <w:r w:rsidR="00701B27" w:rsidRPr="004C6ED7">
        <w:fldChar w:fldCharType="separate"/>
      </w:r>
      <w:r w:rsidR="006D6A6E">
        <w:rPr>
          <w:noProof/>
        </w:rPr>
        <w:t>(</w:t>
      </w:r>
      <w:hyperlink w:anchor="_ENREF_8" w:tooltip="European Pressure Ulcer Advisory Panel, 2014 #1864" w:history="1">
        <w:r w:rsidR="00CE32E2">
          <w:rPr>
            <w:noProof/>
          </w:rPr>
          <w:t>European Pressure Ulcer Advisory Panel, 2014</w:t>
        </w:r>
      </w:hyperlink>
      <w:r w:rsidR="006D6A6E">
        <w:rPr>
          <w:noProof/>
        </w:rPr>
        <w:t>)</w:t>
      </w:r>
      <w:r w:rsidR="00701B27" w:rsidRPr="004C6ED7">
        <w:fldChar w:fldCharType="end"/>
      </w:r>
      <w:r w:rsidR="00701B27" w:rsidRPr="004C6ED7">
        <w:t xml:space="preserve">, with delays in the provision of pressure redistribution </w:t>
      </w:r>
      <w:r w:rsidR="00070BC6" w:rsidRPr="004C6ED7">
        <w:t>surfaces</w:t>
      </w:r>
      <w:r w:rsidR="00701B27" w:rsidRPr="004C6ED7">
        <w:t xml:space="preserve"> and </w:t>
      </w:r>
      <w:r w:rsidR="00070BC6" w:rsidRPr="004C6ED7">
        <w:t>too infrequent assessments of risk</w:t>
      </w:r>
      <w:r w:rsidR="00701B27" w:rsidRPr="004C6ED7">
        <w:t xml:space="preserve">. The significant increase in hospital length of stay for the HAPU group will also have a financial impact on the healthcare provider, with a hospital bed </w:t>
      </w:r>
      <w:r w:rsidR="00070BC6" w:rsidRPr="004C6ED7">
        <w:t>estimated to cost</w:t>
      </w:r>
      <w:r w:rsidR="00701B27" w:rsidRPr="004C6ED7">
        <w:t xml:space="preserve"> £200 per day in the UK </w:t>
      </w:r>
      <w:r w:rsidR="00701B27" w:rsidRPr="004C6ED7">
        <w:fldChar w:fldCharType="begin"/>
      </w:r>
      <w:r w:rsidR="006D6A6E">
        <w:instrText xml:space="preserve"> ADDIN EN.CITE &lt;EndNote&gt;&lt;Cite&gt;&lt;Author&gt;NHS England&lt;/Author&gt;&lt;Year&gt;2015&lt;/Year&gt;&lt;RecNum&gt;4486&lt;/RecNum&gt;&lt;DisplayText&gt;(NHS England, 2015)&lt;/DisplayText&gt;&lt;record&gt;&lt;rec-number&gt;4486&lt;/rec-number&gt;&lt;foreign-keys&gt;&lt;key app="EN" db-id="ervprze5a95tvoe59pjpvw5gezttve9wxvfs" timestamp="1435760231"&gt;4486&lt;/key&gt;&lt;/foreign-keys&gt;&lt;ref-type name="Government Document"&gt;46&lt;/ref-type&gt;&lt;contributors&gt;&lt;authors&gt;&lt;author&gt;NHS England,&lt;/author&gt;&lt;/authors&gt;&lt;secondary-authors&gt;&lt;author&gt;Monitor&lt;/author&gt;&lt;/secondary-authors&gt;&lt;/contributors&gt;&lt;titles&gt;&lt;title&gt; National Tariff Payment System&lt;/title&gt;&lt;/titles&gt;&lt;volume&gt;00883&lt;/volume&gt;&lt;dates&gt;&lt;year&gt;2015&lt;/year&gt;&lt;/dates&gt;&lt;pub-location&gt;London, UK.&lt;/pub-location&gt;&lt;urls&gt;&lt;/urls&gt;&lt;/record&gt;&lt;/Cite&gt;&lt;/EndNote&gt;</w:instrText>
      </w:r>
      <w:r w:rsidR="00701B27" w:rsidRPr="004C6ED7">
        <w:fldChar w:fldCharType="separate"/>
      </w:r>
      <w:r w:rsidR="006D6A6E">
        <w:rPr>
          <w:noProof/>
        </w:rPr>
        <w:t>(</w:t>
      </w:r>
      <w:hyperlink w:anchor="_ENREF_18" w:tooltip="NHS England, 2015 #4486" w:history="1">
        <w:r w:rsidR="00CE32E2">
          <w:rPr>
            <w:noProof/>
          </w:rPr>
          <w:t xml:space="preserve">NHS England, </w:t>
        </w:r>
        <w:r w:rsidR="00CE32E2">
          <w:rPr>
            <w:noProof/>
          </w:rPr>
          <w:lastRenderedPageBreak/>
          <w:t>2015</w:t>
        </w:r>
      </w:hyperlink>
      <w:r w:rsidR="006D6A6E">
        <w:rPr>
          <w:noProof/>
        </w:rPr>
        <w:t>)</w:t>
      </w:r>
      <w:r w:rsidR="00701B27" w:rsidRPr="004C6ED7">
        <w:fldChar w:fldCharType="end"/>
      </w:r>
      <w:r w:rsidR="00701B27" w:rsidRPr="004C6ED7">
        <w:t xml:space="preserve">. </w:t>
      </w:r>
      <w:r w:rsidR="008B404B" w:rsidRPr="004C6ED7">
        <w:t xml:space="preserve">The presented study also </w:t>
      </w:r>
      <w:r w:rsidRPr="004C6ED7">
        <w:t>revealed</w:t>
      </w:r>
      <w:r w:rsidR="00FA6FC5" w:rsidRPr="004C6ED7">
        <w:t xml:space="preserve"> a higher prevalence of </w:t>
      </w:r>
      <w:r w:rsidR="00BF2228" w:rsidRPr="004C6ED7">
        <w:t>CAPU and HAPU in</w:t>
      </w:r>
      <w:r w:rsidR="00FA6FC5" w:rsidRPr="004C6ED7">
        <w:t xml:space="preserve"> patients </w:t>
      </w:r>
      <w:r w:rsidR="00BF2228" w:rsidRPr="004C6ED7">
        <w:t xml:space="preserve">that were </w:t>
      </w:r>
      <w:r w:rsidR="00FA6FC5" w:rsidRPr="004C6ED7">
        <w:t xml:space="preserve">admitted from a nursing </w:t>
      </w:r>
      <w:r w:rsidR="00BF2228" w:rsidRPr="004C6ED7">
        <w:t xml:space="preserve">or residential home </w:t>
      </w:r>
      <w:r w:rsidR="00FA6FC5" w:rsidRPr="004C6ED7">
        <w:t xml:space="preserve">when compared to those </w:t>
      </w:r>
      <w:r w:rsidR="00BF2228" w:rsidRPr="004C6ED7">
        <w:t xml:space="preserve">who were at risk but did not acquire a pressure ulcer during their stay </w:t>
      </w:r>
      <w:r w:rsidR="00FA6FC5" w:rsidRPr="004C6ED7">
        <w:t>(</w:t>
      </w:r>
      <w:r w:rsidR="00BF2228" w:rsidRPr="004C6ED7">
        <w:t>19-22% vs. 7</w:t>
      </w:r>
      <w:r w:rsidR="00FA6FC5" w:rsidRPr="004C6ED7">
        <w:t xml:space="preserve">%). </w:t>
      </w:r>
      <w:r w:rsidR="00070BC6" w:rsidRPr="004C6ED7">
        <w:t>Indeed, t</w:t>
      </w:r>
      <w:r w:rsidR="000E242A" w:rsidRPr="004C6ED7">
        <w:t xml:space="preserve">here is compelling evidence </w:t>
      </w:r>
      <w:r w:rsidR="00FA6FC5" w:rsidRPr="004C6ED7">
        <w:t xml:space="preserve">from the literature </w:t>
      </w:r>
      <w:r w:rsidR="000E242A" w:rsidRPr="004C6ED7">
        <w:t xml:space="preserve">of high PU prevalence rates in the nursing home settings across Europe </w:t>
      </w:r>
      <w:r w:rsidR="000E242A" w:rsidRPr="004C6ED7">
        <w:fldChar w:fldCharType="begin"/>
      </w:r>
      <w:r w:rsidR="00CE32E2">
        <w:instrText xml:space="preserve"> ADDIN EN.CITE &lt;EndNote&gt;&lt;Cite&gt;&lt;Author&gt;Tannen&lt;/Author&gt;&lt;Year&gt;2008&lt;/Year&gt;&lt;RecNum&gt;4442&lt;/RecNum&gt;&lt;DisplayText&gt;(Tannen et al., 2008)&lt;/DisplayText&gt;&lt;record&gt;&lt;rec-number&gt;4442&lt;/rec-number&gt;&lt;foreign-keys&gt;&lt;key app="EN" db-id="ervprze5a95tvoe59pjpvw5gezttve9wxvfs" timestamp="1420732233"&gt;4442&lt;/key&gt;&lt;/foreign-keys&gt;&lt;ref-type name="Journal Article"&gt;17&lt;/ref-type&gt;&lt;contributors&gt;&lt;authors&gt;&lt;author&gt;Tannen, Antje&lt;/author&gt;&lt;author&gt;Dassen, Theo&lt;/author&gt;&lt;author&gt;Halfens, Ruud&lt;/author&gt;&lt;/authors&gt;&lt;/contributors&gt;&lt;titles&gt;&lt;title&gt;Differences in prevalence of pressure ulcers between the Netherlands and Germany – associations between risk, prevention and occurrence of pressure ulcers in hospitals and nursing homes&lt;/title&gt;&lt;secondary-title&gt;Journal of Clinical Nursing&lt;/secondary-title&gt;&lt;/titles&gt;&lt;periodical&gt;&lt;full-title&gt;Journal of Clinical Nursing&lt;/full-title&gt;&lt;abbr-1&gt;J. Clin. Nurs.&lt;/abbr-1&gt;&lt;abbr-2&gt;J Clin Nurs&lt;/abbr-2&gt;&lt;/periodical&gt;&lt;pages&gt;1237-1244&lt;/pages&gt;&lt;volume&gt;17&lt;/volume&gt;&lt;number&gt;9&lt;/number&gt;&lt;keywords&gt;&lt;keyword&gt;hospital&lt;/keyword&gt;&lt;keyword&gt;nurses&lt;/keyword&gt;&lt;keyword&gt;nursing&lt;/keyword&gt;&lt;keyword&gt;pressure ulcer&lt;/keyword&gt;&lt;keyword&gt;prevalence&lt;/keyword&gt;&lt;keyword&gt;prevention&lt;/keyword&gt;&lt;/keywords&gt;&lt;dates&gt;&lt;year&gt;2008&lt;/year&gt;&lt;/dates&gt;&lt;publisher&gt;Blackwell Publishing Ltd&lt;/publisher&gt;&lt;isbn&gt;1365-2702&lt;/isbn&gt;&lt;urls&gt;&lt;related-urls&gt;&lt;url&gt;http://dx.doi.org/10.1111/j.1365-2702.2007.02225.x&lt;/url&gt;&lt;/related-urls&gt;&lt;/urls&gt;&lt;electronic-resource-num&gt;10.1111/j.1365-2702.2007.02225.x&lt;/electronic-resource-num&gt;&lt;/record&gt;&lt;/Cite&gt;&lt;/EndNote&gt;</w:instrText>
      </w:r>
      <w:r w:rsidR="000E242A" w:rsidRPr="004C6ED7">
        <w:fldChar w:fldCharType="separate"/>
      </w:r>
      <w:r w:rsidR="00CE32E2">
        <w:rPr>
          <w:noProof/>
        </w:rPr>
        <w:t>(</w:t>
      </w:r>
      <w:hyperlink w:anchor="_ENREF_24" w:tooltip="Tannen, 2008 #4442" w:history="1">
        <w:r w:rsidR="00CE32E2">
          <w:rPr>
            <w:noProof/>
          </w:rPr>
          <w:t>Tannen et al., 2008</w:t>
        </w:r>
      </w:hyperlink>
      <w:r w:rsidR="00CE32E2">
        <w:rPr>
          <w:noProof/>
        </w:rPr>
        <w:t>)</w:t>
      </w:r>
      <w:r w:rsidR="000E242A" w:rsidRPr="004C6ED7">
        <w:fldChar w:fldCharType="end"/>
      </w:r>
      <w:r w:rsidR="000E242A" w:rsidRPr="004C6ED7">
        <w:t xml:space="preserve">. </w:t>
      </w:r>
      <w:r w:rsidR="008B404B" w:rsidRPr="004C6ED7">
        <w:t>A greater understanding of how patients are managed in the hospital setting and the influence of admission location is worthy of further investigation.</w:t>
      </w:r>
    </w:p>
    <w:p w14:paraId="18C7790F" w14:textId="77777777" w:rsidR="009E61B5" w:rsidRPr="004C6ED7" w:rsidRDefault="009E61B5" w:rsidP="006223C1">
      <w:pPr>
        <w:spacing w:line="480" w:lineRule="auto"/>
        <w:rPr>
          <w:bCs/>
        </w:rPr>
      </w:pPr>
    </w:p>
    <w:p w14:paraId="0B010240" w14:textId="315B0AD9" w:rsidR="00BE10BB" w:rsidRPr="004C6ED7" w:rsidRDefault="00BE10BB" w:rsidP="00DE5D2B">
      <w:pPr>
        <w:pStyle w:val="ListParagraph"/>
        <w:numPr>
          <w:ilvl w:val="0"/>
          <w:numId w:val="22"/>
        </w:numPr>
        <w:spacing w:line="480" w:lineRule="auto"/>
        <w:rPr>
          <w:b/>
          <w:bCs/>
        </w:rPr>
      </w:pPr>
      <w:r w:rsidRPr="004C6ED7">
        <w:rPr>
          <w:b/>
          <w:bCs/>
        </w:rPr>
        <w:t>Conclusion</w:t>
      </w:r>
    </w:p>
    <w:p w14:paraId="2A789C6C" w14:textId="6ED6AF40" w:rsidR="00864CFD" w:rsidRPr="004C6ED7" w:rsidRDefault="00CB147E" w:rsidP="00FF15B8">
      <w:pPr>
        <w:spacing w:line="480" w:lineRule="auto"/>
      </w:pPr>
      <w:r w:rsidRPr="004C6ED7">
        <w:t xml:space="preserve">The present study has shown that patients admitted to a General District hospital with a PU </w:t>
      </w:r>
      <w:r w:rsidR="00864CFD" w:rsidRPr="004C6ED7">
        <w:t xml:space="preserve">(CAPU) </w:t>
      </w:r>
      <w:r w:rsidRPr="004C6ED7">
        <w:t xml:space="preserve">or acquire a PU during their inpatient stay </w:t>
      </w:r>
      <w:r w:rsidR="00864CFD" w:rsidRPr="004C6ED7">
        <w:t xml:space="preserve">(HAPU) </w:t>
      </w:r>
      <w:r w:rsidR="008B404B" w:rsidRPr="004C6ED7">
        <w:t>are older and</w:t>
      </w:r>
      <w:r w:rsidRPr="004C6ED7">
        <w:t xml:space="preserve"> have </w:t>
      </w:r>
      <w:r w:rsidR="008F1D28" w:rsidRPr="004C6ED7">
        <w:t>an extended</w:t>
      </w:r>
      <w:r w:rsidRPr="004C6ED7">
        <w:t xml:space="preserve"> length of stay </w:t>
      </w:r>
      <w:r w:rsidR="008B404B" w:rsidRPr="004C6ED7">
        <w:t xml:space="preserve">than those at risk </w:t>
      </w:r>
      <w:r w:rsidR="006223C1" w:rsidRPr="004C6ED7">
        <w:t>who do not develop a</w:t>
      </w:r>
      <w:r w:rsidR="00CB3903" w:rsidRPr="004C6ED7">
        <w:t xml:space="preserve"> PU. </w:t>
      </w:r>
      <w:r w:rsidR="008B404B" w:rsidRPr="004C6ED7">
        <w:t xml:space="preserve">The present study has also shown that a proportion of HAPU and CAPU patients do not receive a pressure redistributing </w:t>
      </w:r>
      <w:r w:rsidR="008F1D28" w:rsidRPr="004C6ED7">
        <w:t>support surface</w:t>
      </w:r>
      <w:r w:rsidR="008B404B" w:rsidRPr="004C6ED7">
        <w:t xml:space="preserve"> within 24 hours of being </w:t>
      </w:r>
      <w:r w:rsidR="00FF15B8">
        <w:t>defined</w:t>
      </w:r>
      <w:r w:rsidR="008B404B" w:rsidRPr="004C6ED7">
        <w:t xml:space="preserve"> at risk of PUs. </w:t>
      </w:r>
      <w:r w:rsidR="00CB3903" w:rsidRPr="004C6ED7">
        <w:t xml:space="preserve">The retrospective evaluation of patient </w:t>
      </w:r>
      <w:r w:rsidR="008F1D28" w:rsidRPr="004C6ED7">
        <w:t>records</w:t>
      </w:r>
      <w:r w:rsidR="00CB3903" w:rsidRPr="004C6ED7">
        <w:t xml:space="preserve"> also </w:t>
      </w:r>
      <w:r w:rsidR="008F1D28" w:rsidRPr="004C6ED7">
        <w:t>reveal</w:t>
      </w:r>
      <w:r w:rsidR="00CB3903" w:rsidRPr="004C6ED7">
        <w:t xml:space="preserve">ed that HAPU </w:t>
      </w:r>
      <w:r w:rsidR="002A6A78" w:rsidRPr="004C6ED7">
        <w:t xml:space="preserve">patients have </w:t>
      </w:r>
      <w:r w:rsidR="00736749" w:rsidRPr="004C6ED7">
        <w:t>an</w:t>
      </w:r>
      <w:r w:rsidR="006223C1" w:rsidRPr="004C6ED7">
        <w:t xml:space="preserve"> extended</w:t>
      </w:r>
      <w:r w:rsidR="002A6A78" w:rsidRPr="004C6ED7">
        <w:t xml:space="preserve"> length of</w:t>
      </w:r>
      <w:r w:rsidR="006223C1" w:rsidRPr="004C6ED7">
        <w:t xml:space="preserve"> hospital</w:t>
      </w:r>
      <w:r w:rsidR="002A6A78" w:rsidRPr="004C6ED7">
        <w:t xml:space="preserve"> stay and </w:t>
      </w:r>
      <w:r w:rsidR="00A402CB" w:rsidRPr="004C6ED7">
        <w:t>have a higher proportion of pressure ulcers in the</w:t>
      </w:r>
      <w:r w:rsidR="00CB3903" w:rsidRPr="004C6ED7">
        <w:t xml:space="preserve"> heels compared to CAPU</w:t>
      </w:r>
      <w:r w:rsidR="008F1D28" w:rsidRPr="004C6ED7">
        <w:t xml:space="preserve"> patients. In addition,</w:t>
      </w:r>
      <w:r w:rsidR="00CB3903" w:rsidRPr="004C6ED7">
        <w:t xml:space="preserve"> those </w:t>
      </w:r>
      <w:r w:rsidR="00BF2228" w:rsidRPr="004C6ED7">
        <w:t xml:space="preserve">with CAPU or HAPU </w:t>
      </w:r>
      <w:r w:rsidR="008B404B" w:rsidRPr="004C6ED7">
        <w:t>were</w:t>
      </w:r>
      <w:r w:rsidR="00BF2228" w:rsidRPr="004C6ED7">
        <w:t xml:space="preserve"> more likely to have been admitted from a nursing or residential home setting, requiring </w:t>
      </w:r>
      <w:r w:rsidR="008B404B" w:rsidRPr="004C6ED7">
        <w:t>an</w:t>
      </w:r>
      <w:r w:rsidR="00BF2228" w:rsidRPr="004C6ED7">
        <w:t xml:space="preserve"> emergency admission</w:t>
      </w:r>
      <w:r w:rsidR="008B404B" w:rsidRPr="004C6ED7">
        <w:t xml:space="preserve"> than the no PU group</w:t>
      </w:r>
      <w:r w:rsidR="00CB3903" w:rsidRPr="004C6ED7">
        <w:t xml:space="preserve">. Further prospective studies are required </w:t>
      </w:r>
      <w:r w:rsidR="00A402CB" w:rsidRPr="004C6ED7">
        <w:t>to investigate the care pathway factors</w:t>
      </w:r>
      <w:r w:rsidR="00CB3903" w:rsidRPr="004C6ED7">
        <w:t xml:space="preserve"> which can i</w:t>
      </w:r>
      <w:r w:rsidR="006223C1" w:rsidRPr="004C6ED7">
        <w:t xml:space="preserve">nfluence CAPU and HAPU </w:t>
      </w:r>
      <w:r w:rsidR="00736749" w:rsidRPr="004C6ED7">
        <w:t>patients</w:t>
      </w:r>
      <w:r w:rsidR="00A402CB" w:rsidRPr="004C6ED7">
        <w:t xml:space="preserve"> and future </w:t>
      </w:r>
      <w:r w:rsidR="00864CFD" w:rsidRPr="004C6ED7">
        <w:t xml:space="preserve">healthcare </w:t>
      </w:r>
      <w:r w:rsidR="00A402CB" w:rsidRPr="004C6ED7">
        <w:t xml:space="preserve">cost models need to address the differences observed </w:t>
      </w:r>
      <w:r w:rsidR="00864CFD" w:rsidRPr="004C6ED7">
        <w:t xml:space="preserve">between </w:t>
      </w:r>
      <w:r w:rsidR="00A402CB" w:rsidRPr="004C6ED7">
        <w:t>these patient sub-populations</w:t>
      </w:r>
      <w:r w:rsidR="00CB3903" w:rsidRPr="004C6ED7">
        <w:t xml:space="preserve">.  </w:t>
      </w:r>
    </w:p>
    <w:p w14:paraId="3DB7C03F" w14:textId="77777777" w:rsidR="00DA21ED" w:rsidRPr="004C6ED7" w:rsidRDefault="00DA21ED" w:rsidP="00D037A6">
      <w:pPr>
        <w:spacing w:line="480" w:lineRule="auto"/>
      </w:pPr>
    </w:p>
    <w:p w14:paraId="1537D8C7" w14:textId="77777777" w:rsidR="00DA21ED" w:rsidRPr="004C6ED7" w:rsidRDefault="00DA21ED" w:rsidP="00D037A6">
      <w:pPr>
        <w:spacing w:line="480" w:lineRule="auto"/>
      </w:pPr>
    </w:p>
    <w:p w14:paraId="65BE35F9" w14:textId="77777777" w:rsidR="00C422EC" w:rsidRDefault="00C422EC">
      <w:pPr>
        <w:rPr>
          <w:b/>
          <w:bCs/>
        </w:rPr>
      </w:pPr>
      <w:r>
        <w:rPr>
          <w:b/>
          <w:bCs/>
        </w:rPr>
        <w:br w:type="page"/>
      </w:r>
    </w:p>
    <w:p w14:paraId="367EAE50" w14:textId="5FC00CF6" w:rsidR="00E24772" w:rsidRPr="004C6ED7" w:rsidRDefault="00CB3903" w:rsidP="008B404B">
      <w:pPr>
        <w:spacing w:line="480" w:lineRule="auto"/>
        <w:rPr>
          <w:b/>
          <w:bCs/>
        </w:rPr>
      </w:pPr>
      <w:r w:rsidRPr="004C6ED7">
        <w:rPr>
          <w:b/>
          <w:bCs/>
        </w:rPr>
        <w:lastRenderedPageBreak/>
        <w:t xml:space="preserve">References </w:t>
      </w:r>
    </w:p>
    <w:p w14:paraId="7285CB66" w14:textId="77777777" w:rsidR="00CE32E2" w:rsidRPr="00CE32E2" w:rsidRDefault="00E24772" w:rsidP="00CE32E2">
      <w:pPr>
        <w:pStyle w:val="EndNoteBibliography"/>
        <w:spacing w:after="0" w:line="480" w:lineRule="auto"/>
        <w:ind w:left="720" w:hanging="720"/>
      </w:pPr>
      <w:r w:rsidRPr="004C6ED7">
        <w:rPr>
          <w:rFonts w:asciiTheme="minorHAnsi" w:hAnsiTheme="minorHAnsi" w:cs="Arial"/>
          <w:b/>
          <w:bCs/>
          <w:lang w:val="en-US"/>
        </w:rPr>
        <w:fldChar w:fldCharType="begin"/>
      </w:r>
      <w:r w:rsidRPr="004C6ED7">
        <w:rPr>
          <w:rFonts w:asciiTheme="minorHAnsi" w:hAnsiTheme="minorHAnsi" w:cs="Arial"/>
          <w:b/>
          <w:bCs/>
          <w:lang w:val="en-US"/>
        </w:rPr>
        <w:instrText xml:space="preserve"> ADDIN EN.REFLIST </w:instrText>
      </w:r>
      <w:r w:rsidRPr="004C6ED7">
        <w:rPr>
          <w:rFonts w:asciiTheme="minorHAnsi" w:hAnsiTheme="minorHAnsi" w:cs="Arial"/>
          <w:b/>
          <w:bCs/>
          <w:lang w:val="en-US"/>
        </w:rPr>
        <w:fldChar w:fldCharType="separate"/>
      </w:r>
      <w:bookmarkStart w:id="1" w:name="_ENREF_1"/>
      <w:r w:rsidR="00CE32E2" w:rsidRPr="00CE32E2">
        <w:t xml:space="preserve">Agency for Healthcare Research and Quality (Ahrq). 2011. </w:t>
      </w:r>
      <w:r w:rsidR="00CE32E2" w:rsidRPr="00CE32E2">
        <w:rPr>
          <w:i/>
        </w:rPr>
        <w:t xml:space="preserve">Preventing pressure ulcers in hospitals: a toolkit for improving quality </w:t>
      </w:r>
      <w:r w:rsidR="00CE32E2" w:rsidRPr="00CE32E2">
        <w:t>[Online]. Rockville, MD.  [Accessed 19th June 2015].</w:t>
      </w:r>
      <w:bookmarkEnd w:id="1"/>
    </w:p>
    <w:p w14:paraId="6054AE37" w14:textId="77777777" w:rsidR="00CE32E2" w:rsidRPr="00CE32E2" w:rsidRDefault="00CE32E2" w:rsidP="00CE32E2">
      <w:pPr>
        <w:pStyle w:val="EndNoteBibliography"/>
        <w:spacing w:after="0" w:line="480" w:lineRule="auto"/>
        <w:ind w:left="720" w:hanging="720"/>
      </w:pPr>
      <w:bookmarkStart w:id="2" w:name="_ENREF_2"/>
      <w:r w:rsidRPr="00CE32E2">
        <w:t xml:space="preserve">Barrois, B., Labalette, C., Rousseau, P., Corbin, A., Colin, D. &amp; Saumet, J. L. 2008. A national prevalence study of pressure ulcers in French hospital inpatients. </w:t>
      </w:r>
      <w:r w:rsidRPr="00CE32E2">
        <w:rPr>
          <w:i/>
        </w:rPr>
        <w:t>Journal of Wound Care,</w:t>
      </w:r>
      <w:r w:rsidRPr="00CE32E2">
        <w:t xml:space="preserve"> 17</w:t>
      </w:r>
      <w:r w:rsidRPr="00CE32E2">
        <w:rPr>
          <w:b/>
        </w:rPr>
        <w:t>,</w:t>
      </w:r>
      <w:r w:rsidRPr="00CE32E2">
        <w:t xml:space="preserve"> 378-9.</w:t>
      </w:r>
      <w:bookmarkEnd w:id="2"/>
    </w:p>
    <w:p w14:paraId="116806F5" w14:textId="77777777" w:rsidR="00CE32E2" w:rsidRPr="00CE32E2" w:rsidRDefault="00CE32E2" w:rsidP="00CE32E2">
      <w:pPr>
        <w:pStyle w:val="EndNoteBibliography"/>
        <w:spacing w:after="0" w:line="480" w:lineRule="auto"/>
        <w:ind w:left="720" w:hanging="720"/>
      </w:pPr>
      <w:bookmarkStart w:id="3" w:name="_ENREF_3"/>
      <w:r w:rsidRPr="00CE32E2">
        <w:t xml:space="preserve">Brown, C. J. &amp; Flood, K. L. 2013. Mobility limitation in the older patient: A clinical review. </w:t>
      </w:r>
      <w:r w:rsidRPr="00CE32E2">
        <w:rPr>
          <w:i/>
        </w:rPr>
        <w:t>JAMA,</w:t>
      </w:r>
      <w:r w:rsidRPr="00CE32E2">
        <w:t xml:space="preserve"> 310</w:t>
      </w:r>
      <w:r w:rsidRPr="00CE32E2">
        <w:rPr>
          <w:b/>
        </w:rPr>
        <w:t>,</w:t>
      </w:r>
      <w:r w:rsidRPr="00CE32E2">
        <w:t xml:space="preserve"> 1168-1177.</w:t>
      </w:r>
      <w:bookmarkEnd w:id="3"/>
    </w:p>
    <w:p w14:paraId="7215B05B" w14:textId="77777777" w:rsidR="00CE32E2" w:rsidRPr="00CE32E2" w:rsidRDefault="00CE32E2" w:rsidP="00CE32E2">
      <w:pPr>
        <w:pStyle w:val="EndNoteBibliography"/>
        <w:spacing w:after="0" w:line="480" w:lineRule="auto"/>
        <w:ind w:left="720" w:hanging="720"/>
      </w:pPr>
      <w:bookmarkStart w:id="4" w:name="_ENREF_4"/>
      <w:r w:rsidRPr="00CE32E2">
        <w:t xml:space="preserve">Coleman, S., Gorecki, C., Nelson, A., Closs, J. S., Defloor, T., Halfens, R., Farrin, A., Brown, J., Schoonhoven, L. &amp; Nixon, J. 2013. Patient Risk Factors for pressure ulcer development: Systematic Review. </w:t>
      </w:r>
      <w:r w:rsidRPr="00CE32E2">
        <w:rPr>
          <w:i/>
        </w:rPr>
        <w:t>International Journal of Nursing Studies,</w:t>
      </w:r>
      <w:r w:rsidRPr="00CE32E2">
        <w:t xml:space="preserve"> 50</w:t>
      </w:r>
      <w:r w:rsidRPr="00CE32E2">
        <w:rPr>
          <w:b/>
        </w:rPr>
        <w:t>,</w:t>
      </w:r>
      <w:r w:rsidRPr="00CE32E2">
        <w:t xml:space="preserve"> 974-1003.</w:t>
      </w:r>
      <w:bookmarkEnd w:id="4"/>
    </w:p>
    <w:p w14:paraId="327FC9F4" w14:textId="77777777" w:rsidR="00CE32E2" w:rsidRPr="00CE32E2" w:rsidRDefault="00CE32E2" w:rsidP="00CE32E2">
      <w:pPr>
        <w:pStyle w:val="EndNoteBibliography"/>
        <w:spacing w:after="0" w:line="480" w:lineRule="auto"/>
        <w:ind w:left="720" w:hanging="720"/>
      </w:pPr>
      <w:bookmarkStart w:id="5" w:name="_ENREF_5"/>
      <w:r w:rsidRPr="00CE32E2">
        <w:t xml:space="preserve">Dealey, C., Posnett, J. &amp; Walker, A. 2012. The Cost of Pressure Ulcers in the United Kingdom. </w:t>
      </w:r>
      <w:r w:rsidRPr="00CE32E2">
        <w:rPr>
          <w:i/>
        </w:rPr>
        <w:t>Journal of Wound Care,</w:t>
      </w:r>
      <w:r w:rsidRPr="00CE32E2">
        <w:t xml:space="preserve"> 21</w:t>
      </w:r>
      <w:r w:rsidRPr="00CE32E2">
        <w:rPr>
          <w:b/>
        </w:rPr>
        <w:t>,</w:t>
      </w:r>
      <w:r w:rsidRPr="00CE32E2">
        <w:t xml:space="preserve"> 261-266.</w:t>
      </w:r>
      <w:bookmarkEnd w:id="5"/>
    </w:p>
    <w:p w14:paraId="33EEDED2" w14:textId="77777777" w:rsidR="00CE32E2" w:rsidRPr="00CE32E2" w:rsidRDefault="00CE32E2" w:rsidP="00CE32E2">
      <w:pPr>
        <w:pStyle w:val="EndNoteBibliography"/>
        <w:spacing w:after="0" w:line="480" w:lineRule="auto"/>
        <w:ind w:left="720" w:hanging="720"/>
      </w:pPr>
      <w:bookmarkStart w:id="6" w:name="_ENREF_6"/>
      <w:r w:rsidRPr="00CE32E2">
        <w:t xml:space="preserve">Department of Health 2010. Essence of Care 2010; Benchmarks for Prevention and Management of Pressure Ulcers. </w:t>
      </w:r>
      <w:r w:rsidRPr="00CE32E2">
        <w:rPr>
          <w:i/>
        </w:rPr>
        <w:t>In:</w:t>
      </w:r>
      <w:r w:rsidRPr="00CE32E2">
        <w:t xml:space="preserve"> DEPARTMENT OF HEALTH (ed.). United Kingdom,: The Stationery Office.</w:t>
      </w:r>
      <w:bookmarkEnd w:id="6"/>
    </w:p>
    <w:p w14:paraId="4EF550BD" w14:textId="77777777" w:rsidR="00CE32E2" w:rsidRPr="00CE32E2" w:rsidRDefault="00CE32E2" w:rsidP="00CE32E2">
      <w:pPr>
        <w:pStyle w:val="EndNoteBibliography"/>
        <w:spacing w:after="0" w:line="480" w:lineRule="auto"/>
        <w:ind w:left="720" w:hanging="720"/>
      </w:pPr>
      <w:bookmarkStart w:id="7" w:name="_ENREF_7"/>
      <w:r w:rsidRPr="00CE32E2">
        <w:t xml:space="preserve">Epuap-Npuap 2009. Prevention and treatment of pressure ulcers: quick reference guide. </w:t>
      </w:r>
      <w:r w:rsidRPr="00CE32E2">
        <w:rPr>
          <w:i/>
        </w:rPr>
        <w:t>In:</w:t>
      </w:r>
      <w:r w:rsidRPr="00CE32E2">
        <w:t xml:space="preserve"> EUROPEAN PRESSURE ULCER ADVISORY PANEL &amp; NATIONAL PRESSURE ULCER ADVISORY PANEL (eds.). Washington DC.</w:t>
      </w:r>
      <w:bookmarkEnd w:id="7"/>
    </w:p>
    <w:p w14:paraId="2A377163" w14:textId="77777777" w:rsidR="00CE32E2" w:rsidRPr="00CE32E2" w:rsidRDefault="00CE32E2" w:rsidP="00CE32E2">
      <w:pPr>
        <w:pStyle w:val="EndNoteBibliography"/>
        <w:spacing w:after="0" w:line="480" w:lineRule="auto"/>
        <w:ind w:left="720" w:hanging="720"/>
      </w:pPr>
      <w:bookmarkStart w:id="8" w:name="_ENREF_8"/>
      <w:r w:rsidRPr="00CE32E2">
        <w:t>European Pressure Ulcer Advisory Panel 2014. Pressure Ulcers Treatment: Quick Reference Guide. EPUAP-NPUAP.</w:t>
      </w:r>
      <w:bookmarkEnd w:id="8"/>
    </w:p>
    <w:p w14:paraId="7B5FDF8D" w14:textId="77777777" w:rsidR="00CE32E2" w:rsidRPr="00CE32E2" w:rsidRDefault="00CE32E2" w:rsidP="00CE32E2">
      <w:pPr>
        <w:pStyle w:val="EndNoteBibliography"/>
        <w:spacing w:after="0" w:line="480" w:lineRule="auto"/>
        <w:ind w:left="720" w:hanging="720"/>
      </w:pPr>
      <w:bookmarkStart w:id="9" w:name="_ENREF_9"/>
      <w:r w:rsidRPr="00CE32E2">
        <w:t xml:space="preserve">Gallagher, P., Barry, P., Hartigan, I., Mccluskey, P., O'connor, K. &amp; O'connor, M. 2008. Prevalence of pressure ulcers in three university teaching hospitals in Ireland. </w:t>
      </w:r>
      <w:r w:rsidRPr="00CE32E2">
        <w:rPr>
          <w:i/>
        </w:rPr>
        <w:t>Journal of Tissue Viability,</w:t>
      </w:r>
      <w:r w:rsidRPr="00CE32E2">
        <w:t xml:space="preserve"> 17</w:t>
      </w:r>
      <w:r w:rsidRPr="00CE32E2">
        <w:rPr>
          <w:b/>
        </w:rPr>
        <w:t>,</w:t>
      </w:r>
      <w:r w:rsidRPr="00CE32E2">
        <w:t xml:space="preserve"> 103-109.</w:t>
      </w:r>
      <w:bookmarkEnd w:id="9"/>
    </w:p>
    <w:p w14:paraId="3B2C7D0A" w14:textId="77777777" w:rsidR="00CE32E2" w:rsidRPr="00CE32E2" w:rsidRDefault="00CE32E2" w:rsidP="00CE32E2">
      <w:pPr>
        <w:pStyle w:val="EndNoteBibliography"/>
        <w:spacing w:after="0" w:line="480" w:lineRule="auto"/>
        <w:ind w:left="720" w:hanging="720"/>
      </w:pPr>
      <w:bookmarkStart w:id="10" w:name="_ENREF_10"/>
      <w:r w:rsidRPr="00CE32E2">
        <w:t xml:space="preserve">García-Pérez, L., Linertová, R., Lorenzo-Riera, A., Vázquez-Díaz, J. R., Duque-González, B. &amp; Sarría-Santamera, A. 2011. </w:t>
      </w:r>
      <w:r w:rsidRPr="00CE32E2">
        <w:rPr>
          <w:i/>
        </w:rPr>
        <w:t>Risk factors for hospital readmissions in elderly patients: a systematic review</w:t>
      </w:r>
      <w:r w:rsidRPr="00CE32E2">
        <w:t>.</w:t>
      </w:r>
      <w:bookmarkEnd w:id="10"/>
    </w:p>
    <w:p w14:paraId="21CDED1D" w14:textId="77777777" w:rsidR="00CE32E2" w:rsidRPr="00CE32E2" w:rsidRDefault="00CE32E2" w:rsidP="00CE32E2">
      <w:pPr>
        <w:pStyle w:val="EndNoteBibliography"/>
        <w:spacing w:after="0" w:line="480" w:lineRule="auto"/>
        <w:ind w:left="720" w:hanging="720"/>
      </w:pPr>
      <w:bookmarkStart w:id="11" w:name="_ENREF_11"/>
      <w:r w:rsidRPr="00CE32E2">
        <w:lastRenderedPageBreak/>
        <w:t xml:space="preserve">Gunningberg, L., Hommel, A., Bååth, C. &amp; Idvall, E. 2013. The first national pressure ulcer prevalence survey in county council and municipality settings in Sweden. </w:t>
      </w:r>
      <w:r w:rsidRPr="00CE32E2">
        <w:rPr>
          <w:i/>
        </w:rPr>
        <w:t>Journal of Evaluation in Clinical Practice,</w:t>
      </w:r>
      <w:r w:rsidRPr="00CE32E2">
        <w:t xml:space="preserve"> 19</w:t>
      </w:r>
      <w:r w:rsidRPr="00CE32E2">
        <w:rPr>
          <w:b/>
        </w:rPr>
        <w:t>,</w:t>
      </w:r>
      <w:r w:rsidRPr="00CE32E2">
        <w:t xml:space="preserve"> 862-867.</w:t>
      </w:r>
      <w:bookmarkEnd w:id="11"/>
    </w:p>
    <w:p w14:paraId="452A1FF5" w14:textId="77777777" w:rsidR="00CE32E2" w:rsidRPr="00CE32E2" w:rsidRDefault="00CE32E2" w:rsidP="00CE32E2">
      <w:pPr>
        <w:pStyle w:val="EndNoteBibliography"/>
        <w:spacing w:after="0" w:line="480" w:lineRule="auto"/>
        <w:ind w:left="720" w:hanging="720"/>
      </w:pPr>
      <w:bookmarkStart w:id="12" w:name="_ENREF_12"/>
      <w:r w:rsidRPr="00CE32E2">
        <w:t xml:space="preserve">Gunningberg, L., Lindholm, C., Phd, M. C. &amp; Phd, P.-O. S. 2000. The development of pressure ulcers in patients with hip fractures: inadequate nursing documentation is still a problem. </w:t>
      </w:r>
      <w:r w:rsidRPr="00CE32E2">
        <w:rPr>
          <w:i/>
        </w:rPr>
        <w:t>Journal of Advanced Nursing,</w:t>
      </w:r>
      <w:r w:rsidRPr="00CE32E2">
        <w:t xml:space="preserve"> 31</w:t>
      </w:r>
      <w:r w:rsidRPr="00CE32E2">
        <w:rPr>
          <w:b/>
        </w:rPr>
        <w:t>,</w:t>
      </w:r>
      <w:r w:rsidRPr="00CE32E2">
        <w:t xml:space="preserve"> 1155-1164.</w:t>
      </w:r>
      <w:bookmarkEnd w:id="12"/>
    </w:p>
    <w:p w14:paraId="7EEB2C18" w14:textId="77777777" w:rsidR="00CE32E2" w:rsidRPr="00CE32E2" w:rsidRDefault="00CE32E2" w:rsidP="00CE32E2">
      <w:pPr>
        <w:pStyle w:val="EndNoteBibliography"/>
        <w:spacing w:after="0" w:line="480" w:lineRule="auto"/>
        <w:ind w:left="720" w:hanging="720"/>
        <w:rPr>
          <w:lang w:val="de-DE"/>
        </w:rPr>
      </w:pPr>
      <w:bookmarkStart w:id="13" w:name="_ENREF_13"/>
      <w:r w:rsidRPr="00CE32E2">
        <w:t xml:space="preserve">Gunningberg, L., Stotts, N. A. &amp; Idvall, E. 2011. Hospital-acquired pressure ulcers in two Swedish County Councils: cross-sectional data as the foundation for future quality improvement. </w:t>
      </w:r>
      <w:r w:rsidRPr="00CE32E2">
        <w:rPr>
          <w:i/>
          <w:lang w:val="de-DE"/>
        </w:rPr>
        <w:t>International Wound Journal,</w:t>
      </w:r>
      <w:r w:rsidRPr="00CE32E2">
        <w:rPr>
          <w:lang w:val="de-DE"/>
        </w:rPr>
        <w:t xml:space="preserve"> 8</w:t>
      </w:r>
      <w:r w:rsidRPr="00CE32E2">
        <w:rPr>
          <w:b/>
          <w:lang w:val="de-DE"/>
        </w:rPr>
        <w:t>,</w:t>
      </w:r>
      <w:r w:rsidRPr="00CE32E2">
        <w:rPr>
          <w:lang w:val="de-DE"/>
        </w:rPr>
        <w:t xml:space="preserve"> 465-473.</w:t>
      </w:r>
      <w:bookmarkEnd w:id="13"/>
    </w:p>
    <w:p w14:paraId="504A9DB1" w14:textId="77777777" w:rsidR="00CE32E2" w:rsidRPr="00CE32E2" w:rsidRDefault="00CE32E2" w:rsidP="00CE32E2">
      <w:pPr>
        <w:pStyle w:val="EndNoteBibliography"/>
        <w:spacing w:after="0" w:line="480" w:lineRule="auto"/>
        <w:ind w:left="720" w:hanging="720"/>
      </w:pPr>
      <w:bookmarkStart w:id="14" w:name="_ENREF_14"/>
      <w:r w:rsidRPr="00CE32E2">
        <w:rPr>
          <w:lang w:val="de-DE"/>
        </w:rPr>
        <w:t xml:space="preserve">Keelaghan, E., Margolis, D., Zhan, M. &amp; Baumgarten, M. 2008. </w:t>
      </w:r>
      <w:r w:rsidRPr="00CE32E2">
        <w:t xml:space="preserve">Prevalence of pressure ulcers on hospital admission among nursing home residents transferred to the hospital. </w:t>
      </w:r>
      <w:r w:rsidRPr="00CE32E2">
        <w:rPr>
          <w:i/>
        </w:rPr>
        <w:t>Wound Repair and Regeneration,</w:t>
      </w:r>
      <w:r w:rsidRPr="00CE32E2">
        <w:t xml:space="preserve"> 16</w:t>
      </w:r>
      <w:r w:rsidRPr="00CE32E2">
        <w:rPr>
          <w:b/>
        </w:rPr>
        <w:t>,</w:t>
      </w:r>
      <w:r w:rsidRPr="00CE32E2">
        <w:t xml:space="preserve"> 331-336.</w:t>
      </w:r>
      <w:bookmarkEnd w:id="14"/>
    </w:p>
    <w:p w14:paraId="1C1AC6FA" w14:textId="77777777" w:rsidR="00CE32E2" w:rsidRPr="00CE32E2" w:rsidRDefault="00CE32E2" w:rsidP="00CE32E2">
      <w:pPr>
        <w:pStyle w:val="EndNoteBibliography"/>
        <w:spacing w:after="0" w:line="480" w:lineRule="auto"/>
        <w:ind w:left="720" w:hanging="720"/>
      </w:pPr>
      <w:bookmarkStart w:id="15" w:name="_ENREF_15"/>
      <w:r w:rsidRPr="00CE32E2">
        <w:t xml:space="preserve">Lahmann, N., Halfens, R. &amp; Dassen, T. 2006. Pressure ulcers in German nursing homes and acute care hospitals: prevalence, frequency, and ulcer characteristics. </w:t>
      </w:r>
      <w:r w:rsidRPr="00CE32E2">
        <w:rPr>
          <w:i/>
        </w:rPr>
        <w:t>Ostomy Wound Management,</w:t>
      </w:r>
      <w:r w:rsidRPr="00CE32E2">
        <w:t xml:space="preserve"> 52</w:t>
      </w:r>
      <w:r w:rsidRPr="00CE32E2">
        <w:rPr>
          <w:b/>
        </w:rPr>
        <w:t>,</w:t>
      </w:r>
      <w:r w:rsidRPr="00CE32E2">
        <w:t xml:space="preserve"> 20-33.</w:t>
      </w:r>
      <w:bookmarkEnd w:id="15"/>
    </w:p>
    <w:p w14:paraId="39B886F6" w14:textId="77777777" w:rsidR="00CE32E2" w:rsidRPr="00CE32E2" w:rsidRDefault="00CE32E2" w:rsidP="00CE32E2">
      <w:pPr>
        <w:pStyle w:val="EndNoteBibliography"/>
        <w:spacing w:after="0" w:line="480" w:lineRule="auto"/>
        <w:ind w:left="720" w:hanging="720"/>
      </w:pPr>
      <w:bookmarkStart w:id="16" w:name="_ENREF_16"/>
      <w:r w:rsidRPr="00CE32E2">
        <w:t xml:space="preserve">Mcinnes, E., Jammali-Blasi, A., Bell, -. S., S., Dumville, J. &amp; Cullum, N. 2012. Preventing pressure ulcers—Are pressure-redistributing support surfaces effective? A Cochrane systematic review and meta-analysis </w:t>
      </w:r>
      <w:r w:rsidRPr="00CE32E2">
        <w:rPr>
          <w:i/>
        </w:rPr>
        <w:t>International Journal of Nursing Studies,</w:t>
      </w:r>
      <w:r w:rsidRPr="00CE32E2">
        <w:t xml:space="preserve"> 49</w:t>
      </w:r>
      <w:r w:rsidRPr="00CE32E2">
        <w:rPr>
          <w:b/>
        </w:rPr>
        <w:t>,</w:t>
      </w:r>
      <w:r w:rsidRPr="00CE32E2">
        <w:t xml:space="preserve"> 345-59.</w:t>
      </w:r>
      <w:bookmarkEnd w:id="16"/>
    </w:p>
    <w:p w14:paraId="7AA352B6" w14:textId="77777777" w:rsidR="00CE32E2" w:rsidRPr="00CE32E2" w:rsidRDefault="00CE32E2" w:rsidP="00CE32E2">
      <w:pPr>
        <w:pStyle w:val="EndNoteBibliography"/>
        <w:spacing w:after="0" w:line="480" w:lineRule="auto"/>
        <w:ind w:left="720" w:hanging="720"/>
      </w:pPr>
      <w:bookmarkStart w:id="17" w:name="_ENREF_17"/>
      <w:r w:rsidRPr="00CE32E2">
        <w:t xml:space="preserve">Moore, Z. &amp; Cowman, S. 2012. Pressure ulcer prevalence and prevention practices in care of the older person in the Republic of Ireland. </w:t>
      </w:r>
      <w:r w:rsidRPr="00CE32E2">
        <w:rPr>
          <w:i/>
        </w:rPr>
        <w:t>Journal of Clinical Nursing,</w:t>
      </w:r>
      <w:r w:rsidRPr="00CE32E2">
        <w:t xml:space="preserve"> 21</w:t>
      </w:r>
      <w:r w:rsidRPr="00CE32E2">
        <w:rPr>
          <w:b/>
        </w:rPr>
        <w:t>,</w:t>
      </w:r>
      <w:r w:rsidRPr="00CE32E2">
        <w:t xml:space="preserve"> 362-371.</w:t>
      </w:r>
      <w:bookmarkEnd w:id="17"/>
    </w:p>
    <w:p w14:paraId="7FD84077" w14:textId="77777777" w:rsidR="00CE32E2" w:rsidRPr="00CE32E2" w:rsidRDefault="00CE32E2" w:rsidP="00CE32E2">
      <w:pPr>
        <w:pStyle w:val="EndNoteBibliography"/>
        <w:spacing w:after="0" w:line="480" w:lineRule="auto"/>
        <w:ind w:left="720" w:hanging="720"/>
        <w:rPr>
          <w:lang w:val="it-IT"/>
        </w:rPr>
      </w:pPr>
      <w:bookmarkStart w:id="18" w:name="_ENREF_18"/>
      <w:r w:rsidRPr="00CE32E2">
        <w:t xml:space="preserve">Nhs England 2015. National Tariff Payment System. </w:t>
      </w:r>
      <w:r w:rsidRPr="00CE32E2">
        <w:rPr>
          <w:i/>
          <w:lang w:val="it-IT"/>
        </w:rPr>
        <w:t>In:</w:t>
      </w:r>
      <w:r w:rsidRPr="00CE32E2">
        <w:rPr>
          <w:lang w:val="it-IT"/>
        </w:rPr>
        <w:t xml:space="preserve"> MONITOR (ed.). London, UK.</w:t>
      </w:r>
      <w:bookmarkEnd w:id="18"/>
    </w:p>
    <w:p w14:paraId="50273E70" w14:textId="77777777" w:rsidR="00CE32E2" w:rsidRPr="00CE32E2" w:rsidRDefault="00CE32E2" w:rsidP="00CE32E2">
      <w:pPr>
        <w:pStyle w:val="EndNoteBibliography"/>
        <w:spacing w:after="0" w:line="480" w:lineRule="auto"/>
        <w:ind w:left="720" w:hanging="720"/>
      </w:pPr>
      <w:bookmarkStart w:id="19" w:name="_ENREF_19"/>
      <w:r w:rsidRPr="00CE32E2">
        <w:t xml:space="preserve">Oot-Giromini, B. A. 1993. Pressure Ulcer Prevalence, Incidence and Associated Risk Factors in the Community. </w:t>
      </w:r>
      <w:r w:rsidRPr="00CE32E2">
        <w:rPr>
          <w:i/>
        </w:rPr>
        <w:t>Advances in Skin &amp; Wound Care,</w:t>
      </w:r>
      <w:r w:rsidRPr="00CE32E2">
        <w:t xml:space="preserve"> 6</w:t>
      </w:r>
      <w:r w:rsidRPr="00CE32E2">
        <w:rPr>
          <w:b/>
        </w:rPr>
        <w:t>,</w:t>
      </w:r>
      <w:r w:rsidRPr="00CE32E2">
        <w:t xml:space="preserve"> 24-35.</w:t>
      </w:r>
      <w:bookmarkEnd w:id="19"/>
    </w:p>
    <w:p w14:paraId="40160D62" w14:textId="77777777" w:rsidR="00CE32E2" w:rsidRPr="00CE32E2" w:rsidRDefault="00CE32E2" w:rsidP="00CE32E2">
      <w:pPr>
        <w:pStyle w:val="EndNoteBibliography"/>
        <w:spacing w:after="0" w:line="480" w:lineRule="auto"/>
        <w:ind w:left="720" w:hanging="720"/>
      </w:pPr>
      <w:bookmarkStart w:id="20" w:name="_ENREF_20"/>
      <w:r w:rsidRPr="00CE32E2">
        <w:t xml:space="preserve">Phillips, L. &amp; Buttery, J. 2009. Exploring pressure ulcer prevalence and preventative care. </w:t>
      </w:r>
      <w:r w:rsidRPr="00CE32E2">
        <w:rPr>
          <w:i/>
        </w:rPr>
        <w:t>Nursing Times,</w:t>
      </w:r>
      <w:r w:rsidRPr="00CE32E2">
        <w:t xml:space="preserve"> 105</w:t>
      </w:r>
      <w:r w:rsidRPr="00CE32E2">
        <w:rPr>
          <w:b/>
        </w:rPr>
        <w:t>,</w:t>
      </w:r>
      <w:r w:rsidRPr="00CE32E2">
        <w:t xml:space="preserve"> 34-6.</w:t>
      </w:r>
      <w:bookmarkEnd w:id="20"/>
    </w:p>
    <w:p w14:paraId="4B5CE120" w14:textId="77777777" w:rsidR="00CE32E2" w:rsidRPr="00CE32E2" w:rsidRDefault="00CE32E2" w:rsidP="00CE32E2">
      <w:pPr>
        <w:pStyle w:val="EndNoteBibliography"/>
        <w:spacing w:after="0" w:line="480" w:lineRule="auto"/>
        <w:ind w:left="720" w:hanging="720"/>
      </w:pPr>
      <w:bookmarkStart w:id="21" w:name="_ENREF_21"/>
      <w:r w:rsidRPr="00CE32E2">
        <w:lastRenderedPageBreak/>
        <w:t xml:space="preserve">Severens, J. L., Habraken, J. M., Duivenvoorden, S. &amp; Frederiks, C. M. A. 2002. The Cost of Illness of Pressure Ulcers in the Netherlands. </w:t>
      </w:r>
      <w:r w:rsidRPr="00CE32E2">
        <w:rPr>
          <w:i/>
        </w:rPr>
        <w:t>Advances in Skin &amp; Wound Care,</w:t>
      </w:r>
      <w:r w:rsidRPr="00CE32E2">
        <w:t xml:space="preserve"> 15</w:t>
      </w:r>
      <w:r w:rsidRPr="00CE32E2">
        <w:rPr>
          <w:b/>
        </w:rPr>
        <w:t>,</w:t>
      </w:r>
      <w:r w:rsidRPr="00CE32E2">
        <w:t xml:space="preserve"> 72-77.</w:t>
      </w:r>
      <w:bookmarkEnd w:id="21"/>
    </w:p>
    <w:p w14:paraId="2BB0652C" w14:textId="77777777" w:rsidR="00CE32E2" w:rsidRPr="00CE32E2" w:rsidRDefault="00CE32E2" w:rsidP="00CE32E2">
      <w:pPr>
        <w:pStyle w:val="EndNoteBibliography"/>
        <w:spacing w:after="0" w:line="480" w:lineRule="auto"/>
        <w:ind w:left="720" w:hanging="720"/>
      </w:pPr>
      <w:bookmarkStart w:id="22" w:name="_ENREF_22"/>
      <w:r w:rsidRPr="00CE32E2">
        <w:t xml:space="preserve">Smith, S. M., Soubhi, H., Fortin, M., Hudon, C. &amp; O’dowd, T. 2012. </w:t>
      </w:r>
      <w:r w:rsidRPr="00CE32E2">
        <w:rPr>
          <w:i/>
        </w:rPr>
        <w:t>Managing patients with multimorbidity: systematic review of interventions in primary care and community settings</w:t>
      </w:r>
      <w:r w:rsidRPr="00CE32E2">
        <w:t>.</w:t>
      </w:r>
      <w:bookmarkEnd w:id="22"/>
    </w:p>
    <w:p w14:paraId="732BCFAC" w14:textId="77777777" w:rsidR="00CE32E2" w:rsidRPr="00CE32E2" w:rsidRDefault="00CE32E2" w:rsidP="00CE32E2">
      <w:pPr>
        <w:pStyle w:val="EndNoteBibliography"/>
        <w:spacing w:after="0" w:line="480" w:lineRule="auto"/>
        <w:ind w:left="720" w:hanging="720"/>
      </w:pPr>
      <w:bookmarkStart w:id="23" w:name="_ENREF_23"/>
      <w:r w:rsidRPr="00CE32E2">
        <w:t xml:space="preserve">Spilsbury, K., Nelson, A., Cullum, N., Nixon, J. &amp; Mason, S. 2007. Pressure ulcers and their treatment and effects on quality of life: hospital inpatient perspectives. </w:t>
      </w:r>
      <w:r w:rsidRPr="00CE32E2">
        <w:rPr>
          <w:i/>
        </w:rPr>
        <w:t>Journal of Advanced Nursing,</w:t>
      </w:r>
      <w:r w:rsidRPr="00CE32E2">
        <w:t xml:space="preserve"> 57</w:t>
      </w:r>
      <w:r w:rsidRPr="00CE32E2">
        <w:rPr>
          <w:b/>
        </w:rPr>
        <w:t>,</w:t>
      </w:r>
      <w:r w:rsidRPr="00CE32E2">
        <w:t xml:space="preserve"> 494-504.</w:t>
      </w:r>
      <w:bookmarkEnd w:id="23"/>
    </w:p>
    <w:p w14:paraId="1E318FA7" w14:textId="77777777" w:rsidR="00CE32E2" w:rsidRPr="00CE32E2" w:rsidRDefault="00CE32E2" w:rsidP="00CE32E2">
      <w:pPr>
        <w:pStyle w:val="EndNoteBibliography"/>
        <w:spacing w:after="0" w:line="480" w:lineRule="auto"/>
        <w:ind w:left="720" w:hanging="720"/>
      </w:pPr>
      <w:bookmarkStart w:id="24" w:name="_ENREF_24"/>
      <w:r w:rsidRPr="00CE32E2">
        <w:t xml:space="preserve">Tannen, A., Dassen, T. &amp; Halfens, R. 2008. Differences in prevalence of pressure ulcers between the Netherlands and Germany – associations between risk, prevention and occurrence of pressure ulcers in hospitals and nursing homes. </w:t>
      </w:r>
      <w:r w:rsidRPr="00CE32E2">
        <w:rPr>
          <w:i/>
        </w:rPr>
        <w:t>Journal of Clinical Nursing,</w:t>
      </w:r>
      <w:r w:rsidRPr="00CE32E2">
        <w:t xml:space="preserve"> 17</w:t>
      </w:r>
      <w:r w:rsidRPr="00CE32E2">
        <w:rPr>
          <w:b/>
        </w:rPr>
        <w:t>,</w:t>
      </w:r>
      <w:r w:rsidRPr="00CE32E2">
        <w:t xml:space="preserve"> 1237-1244.</w:t>
      </w:r>
      <w:bookmarkEnd w:id="24"/>
    </w:p>
    <w:p w14:paraId="5E3CBAE7" w14:textId="77777777" w:rsidR="00CE32E2" w:rsidRPr="00CE32E2" w:rsidRDefault="00CE32E2" w:rsidP="00CE32E2">
      <w:pPr>
        <w:pStyle w:val="EndNoteBibliography"/>
        <w:spacing w:after="0" w:line="480" w:lineRule="auto"/>
        <w:ind w:left="720" w:hanging="720"/>
      </w:pPr>
      <w:bookmarkStart w:id="25" w:name="_ENREF_25"/>
      <w:r w:rsidRPr="00CE32E2">
        <w:t xml:space="preserve">Theisen, S., Drabik, A. &amp; Stock, S. 2012. Pressure ulcers in older hospitalised patients and its impact on length of stay: a retrospective observational study. </w:t>
      </w:r>
      <w:r w:rsidRPr="00CE32E2">
        <w:rPr>
          <w:i/>
        </w:rPr>
        <w:t>Journal of Clinical Nursing,</w:t>
      </w:r>
      <w:r w:rsidRPr="00CE32E2">
        <w:t xml:space="preserve"> 21</w:t>
      </w:r>
      <w:r w:rsidRPr="00CE32E2">
        <w:rPr>
          <w:b/>
        </w:rPr>
        <w:t>,</w:t>
      </w:r>
      <w:r w:rsidRPr="00CE32E2">
        <w:t xml:space="preserve"> 380-387.</w:t>
      </w:r>
      <w:bookmarkEnd w:id="25"/>
    </w:p>
    <w:p w14:paraId="08CC5A02" w14:textId="77777777" w:rsidR="00CE32E2" w:rsidRPr="00CE32E2" w:rsidRDefault="00CE32E2" w:rsidP="00CE32E2">
      <w:pPr>
        <w:pStyle w:val="EndNoteBibliography"/>
        <w:spacing w:after="0" w:line="480" w:lineRule="auto"/>
        <w:ind w:left="720" w:hanging="720"/>
      </w:pPr>
      <w:bookmarkStart w:id="26" w:name="_ENREF_26"/>
      <w:r w:rsidRPr="00CE32E2">
        <w:t xml:space="preserve">Vanderwee, K., Defloor, T., Beeckman, D., Demarré, L., Verhaeghe, S., Van Durme, T. &amp; Gobert, M. 2011. Assessing the adequacy of pressure ulcer prevention in hospitals: a nationwide prevalence survey. </w:t>
      </w:r>
      <w:r w:rsidRPr="00CE32E2">
        <w:rPr>
          <w:i/>
        </w:rPr>
        <w:t>BMJ Quality &amp; Safety,</w:t>
      </w:r>
      <w:r w:rsidRPr="00CE32E2">
        <w:t xml:space="preserve"> 20</w:t>
      </w:r>
      <w:r w:rsidRPr="00CE32E2">
        <w:rPr>
          <w:b/>
        </w:rPr>
        <w:t>,</w:t>
      </w:r>
      <w:r w:rsidRPr="00CE32E2">
        <w:t xml:space="preserve"> 260-267.</w:t>
      </w:r>
      <w:bookmarkEnd w:id="26"/>
    </w:p>
    <w:p w14:paraId="5562F7A3" w14:textId="77777777" w:rsidR="00CE32E2" w:rsidRPr="00CE32E2" w:rsidRDefault="00CE32E2" w:rsidP="00CE32E2">
      <w:pPr>
        <w:pStyle w:val="EndNoteBibliography"/>
        <w:spacing w:line="480" w:lineRule="auto"/>
        <w:ind w:left="720" w:hanging="720"/>
      </w:pPr>
      <w:bookmarkStart w:id="27" w:name="_ENREF_27"/>
      <w:r w:rsidRPr="00CE32E2">
        <w:t xml:space="preserve">Vangilder, C., Amlung, S., Harrison, P. &amp; Meyer, S. 2009. Results of the 2008 – 2009 Internationa Pressure Ulcer Prevalence™ Survey and a 3-Year, Acute Care, Unit-Specific Analysis. </w:t>
      </w:r>
      <w:r w:rsidRPr="00CE32E2">
        <w:rPr>
          <w:i/>
        </w:rPr>
        <w:t>Ostomy Wound Management,</w:t>
      </w:r>
      <w:r w:rsidRPr="00CE32E2">
        <w:t xml:space="preserve"> 55</w:t>
      </w:r>
      <w:r w:rsidRPr="00CE32E2">
        <w:rPr>
          <w:b/>
        </w:rPr>
        <w:t>,</w:t>
      </w:r>
      <w:r w:rsidRPr="00CE32E2">
        <w:t xml:space="preserve"> 39-45.</w:t>
      </w:r>
      <w:bookmarkEnd w:id="27"/>
    </w:p>
    <w:p w14:paraId="743EBE74" w14:textId="494ACB38" w:rsidR="00884BA3" w:rsidRPr="004C6ED7" w:rsidRDefault="00E24772" w:rsidP="00CE32E2">
      <w:pPr>
        <w:widowControl w:val="0"/>
        <w:autoSpaceDE w:val="0"/>
        <w:autoSpaceDN w:val="0"/>
        <w:adjustRightInd w:val="0"/>
        <w:spacing w:after="560" w:line="480" w:lineRule="auto"/>
        <w:ind w:right="560"/>
        <w:rPr>
          <w:rFonts w:cs="Arial"/>
          <w:b/>
          <w:bCs/>
          <w:lang w:val="en-US"/>
        </w:rPr>
      </w:pPr>
      <w:r w:rsidRPr="004C6ED7">
        <w:rPr>
          <w:rFonts w:cs="Arial"/>
          <w:b/>
          <w:bCs/>
          <w:lang w:val="en-US"/>
        </w:rPr>
        <w:fldChar w:fldCharType="end"/>
      </w:r>
    </w:p>
    <w:p w14:paraId="26570471" w14:textId="77777777" w:rsidR="00C349F7" w:rsidRDefault="00C349F7" w:rsidP="00C6012B">
      <w:pPr>
        <w:widowControl w:val="0"/>
        <w:autoSpaceDE w:val="0"/>
        <w:autoSpaceDN w:val="0"/>
        <w:adjustRightInd w:val="0"/>
        <w:spacing w:after="560" w:line="480" w:lineRule="auto"/>
        <w:ind w:right="560"/>
        <w:rPr>
          <w:rFonts w:cs="Arial"/>
          <w:b/>
          <w:bCs/>
        </w:rPr>
      </w:pPr>
    </w:p>
    <w:p w14:paraId="303F24D5" w14:textId="55123E76" w:rsidR="00F40301" w:rsidRDefault="00F40301" w:rsidP="00CD64EB">
      <w:pPr>
        <w:widowControl w:val="0"/>
        <w:autoSpaceDE w:val="0"/>
        <w:autoSpaceDN w:val="0"/>
        <w:adjustRightInd w:val="0"/>
        <w:spacing w:after="560" w:line="480" w:lineRule="auto"/>
        <w:ind w:right="560"/>
        <w:rPr>
          <w:rFonts w:cs="Arial"/>
          <w:b/>
          <w:bCs/>
        </w:rPr>
      </w:pPr>
    </w:p>
    <w:sectPr w:rsidR="00F40301" w:rsidSect="007A1245">
      <w:pgSz w:w="11906" w:h="16838"/>
      <w:pgMar w:top="1440" w:right="1440" w:bottom="1440" w:left="1440"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8F88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A69C3" w14:textId="77777777" w:rsidR="00063C6C" w:rsidRDefault="00063C6C" w:rsidP="00DB5477">
      <w:pPr>
        <w:spacing w:after="0" w:line="240" w:lineRule="auto"/>
      </w:pPr>
      <w:r>
        <w:separator/>
      </w:r>
    </w:p>
  </w:endnote>
  <w:endnote w:type="continuationSeparator" w:id="0">
    <w:p w14:paraId="7C50212C" w14:textId="77777777" w:rsidR="00063C6C" w:rsidRDefault="00063C6C" w:rsidP="00DB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363376"/>
      <w:docPartObj>
        <w:docPartGallery w:val="Page Numbers (Bottom of Page)"/>
        <w:docPartUnique/>
      </w:docPartObj>
    </w:sdtPr>
    <w:sdtEndPr>
      <w:rPr>
        <w:noProof/>
      </w:rPr>
    </w:sdtEndPr>
    <w:sdtContent>
      <w:p w14:paraId="6176F40B" w14:textId="7D66DCCC" w:rsidR="007C19D1" w:rsidRDefault="007C19D1">
        <w:pPr>
          <w:pStyle w:val="Footer"/>
          <w:jc w:val="right"/>
        </w:pPr>
        <w:r>
          <w:fldChar w:fldCharType="begin"/>
        </w:r>
        <w:r>
          <w:instrText xml:space="preserve"> PAGE   \* MERGEFORMAT </w:instrText>
        </w:r>
        <w:r>
          <w:fldChar w:fldCharType="separate"/>
        </w:r>
        <w:r w:rsidR="00B5157D">
          <w:rPr>
            <w:noProof/>
          </w:rPr>
          <w:t>3</w:t>
        </w:r>
        <w:r>
          <w:rPr>
            <w:noProof/>
          </w:rPr>
          <w:fldChar w:fldCharType="end"/>
        </w:r>
      </w:p>
    </w:sdtContent>
  </w:sdt>
  <w:p w14:paraId="13548DAF" w14:textId="77777777" w:rsidR="007C19D1" w:rsidRDefault="007C19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53DC5" w14:textId="77777777" w:rsidR="00063C6C" w:rsidRDefault="00063C6C" w:rsidP="00DB5477">
      <w:pPr>
        <w:spacing w:after="0" w:line="240" w:lineRule="auto"/>
      </w:pPr>
      <w:r>
        <w:separator/>
      </w:r>
    </w:p>
  </w:footnote>
  <w:footnote w:type="continuationSeparator" w:id="0">
    <w:p w14:paraId="779A4CDD" w14:textId="77777777" w:rsidR="00063C6C" w:rsidRDefault="00063C6C" w:rsidP="00DB54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B3E91"/>
    <w:multiLevelType w:val="hybridMultilevel"/>
    <w:tmpl w:val="3C8AE10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C877F0"/>
    <w:multiLevelType w:val="multilevel"/>
    <w:tmpl w:val="5E5EAAB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C054963"/>
    <w:multiLevelType w:val="multilevel"/>
    <w:tmpl w:val="25708CC2"/>
    <w:lvl w:ilvl="0">
      <w:start w:val="2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A3775CF"/>
    <w:multiLevelType w:val="multilevel"/>
    <w:tmpl w:val="95F8DFF8"/>
    <w:lvl w:ilvl="0">
      <w:start w:val="21"/>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DA9109A"/>
    <w:multiLevelType w:val="hybridMultilevel"/>
    <w:tmpl w:val="260C1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212FFB"/>
    <w:multiLevelType w:val="hybridMultilevel"/>
    <w:tmpl w:val="F0707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4B7593"/>
    <w:multiLevelType w:val="multilevel"/>
    <w:tmpl w:val="C83AF432"/>
    <w:lvl w:ilvl="0">
      <w:start w:val="2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D482B6E"/>
    <w:multiLevelType w:val="multilevel"/>
    <w:tmpl w:val="B51A235A"/>
    <w:lvl w:ilvl="0">
      <w:start w:val="2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F847993"/>
    <w:multiLevelType w:val="hybridMultilevel"/>
    <w:tmpl w:val="2048C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683197"/>
    <w:multiLevelType w:val="hybridMultilevel"/>
    <w:tmpl w:val="3F9E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0037A"/>
    <w:multiLevelType w:val="multilevel"/>
    <w:tmpl w:val="A582DA94"/>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49E4063C"/>
    <w:multiLevelType w:val="hybridMultilevel"/>
    <w:tmpl w:val="BF5E257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DB41B8"/>
    <w:multiLevelType w:val="hybridMultilevel"/>
    <w:tmpl w:val="D5BA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425E7"/>
    <w:multiLevelType w:val="multilevel"/>
    <w:tmpl w:val="A582DA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AF47EF1"/>
    <w:multiLevelType w:val="hybridMultilevel"/>
    <w:tmpl w:val="80C2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28300C"/>
    <w:multiLevelType w:val="multilevel"/>
    <w:tmpl w:val="A582DA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3D826F9"/>
    <w:multiLevelType w:val="multilevel"/>
    <w:tmpl w:val="A582DA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6EC13231"/>
    <w:multiLevelType w:val="multilevel"/>
    <w:tmpl w:val="6BE83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171362"/>
    <w:multiLevelType w:val="hybridMultilevel"/>
    <w:tmpl w:val="A9104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9A504FB"/>
    <w:multiLevelType w:val="multilevel"/>
    <w:tmpl w:val="8B5E151E"/>
    <w:lvl w:ilvl="0">
      <w:start w:val="2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AA72ECB"/>
    <w:multiLevelType w:val="hybridMultilevel"/>
    <w:tmpl w:val="8E5E3E7C"/>
    <w:lvl w:ilvl="0" w:tplc="39862AC0">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
  </w:num>
  <w:num w:numId="3">
    <w:abstractNumId w:val="10"/>
  </w:num>
  <w:num w:numId="4">
    <w:abstractNumId w:val="13"/>
  </w:num>
  <w:num w:numId="5">
    <w:abstractNumId w:val="16"/>
  </w:num>
  <w:num w:numId="6">
    <w:abstractNumId w:val="14"/>
  </w:num>
  <w:num w:numId="7">
    <w:abstractNumId w:val="11"/>
  </w:num>
  <w:num w:numId="8">
    <w:abstractNumId w:val="3"/>
  </w:num>
  <w:num w:numId="9">
    <w:abstractNumId w:val="8"/>
  </w:num>
  <w:num w:numId="10">
    <w:abstractNumId w:val="4"/>
  </w:num>
  <w:num w:numId="11">
    <w:abstractNumId w:val="20"/>
  </w:num>
  <w:num w:numId="12">
    <w:abstractNumId w:val="7"/>
  </w:num>
  <w:num w:numId="13">
    <w:abstractNumId w:val="0"/>
  </w:num>
  <w:num w:numId="14">
    <w:abstractNumId w:val="18"/>
  </w:num>
  <w:num w:numId="15">
    <w:abstractNumId w:val="2"/>
  </w:num>
  <w:num w:numId="16">
    <w:abstractNumId w:val="17"/>
  </w:num>
  <w:num w:numId="17">
    <w:abstractNumId w:val="6"/>
  </w:num>
  <w:num w:numId="18">
    <w:abstractNumId w:val="12"/>
  </w:num>
  <w:num w:numId="19">
    <w:abstractNumId w:val="19"/>
  </w:num>
  <w:num w:numId="20">
    <w:abstractNumId w:val="5"/>
  </w:num>
  <w:num w:numId="21">
    <w:abstractNumId w:val="15"/>
  </w:num>
  <w:num w:numId="2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Editor">
    <w15:presenceInfo w15:providerId="Windows Live" w15:userId="b4dd179aabbc8d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rvprze5a95tvoe59pjpvw5gezttve9wxvfs&quot;&gt;research&lt;record-ids&gt;&lt;item&gt;1820&lt;/item&gt;&lt;item&gt;1831&lt;/item&gt;&lt;item&gt;1864&lt;/item&gt;&lt;item&gt;1881&lt;/item&gt;&lt;item&gt;1984&lt;/item&gt;&lt;item&gt;2070&lt;/item&gt;&lt;item&gt;2084&lt;/item&gt;&lt;item&gt;2146&lt;/item&gt;&lt;item&gt;4309&lt;/item&gt;&lt;item&gt;4310&lt;/item&gt;&lt;item&gt;4416&lt;/item&gt;&lt;item&gt;4417&lt;/item&gt;&lt;item&gt;4418&lt;/item&gt;&lt;item&gt;4419&lt;/item&gt;&lt;item&gt;4425&lt;/item&gt;&lt;item&gt;4441&lt;/item&gt;&lt;item&gt;4442&lt;/item&gt;&lt;item&gt;4443&lt;/item&gt;&lt;item&gt;4444&lt;/item&gt;&lt;item&gt;4446&lt;/item&gt;&lt;item&gt;4447&lt;/item&gt;&lt;item&gt;4468&lt;/item&gt;&lt;item&gt;4480&lt;/item&gt;&lt;item&gt;4481&lt;/item&gt;&lt;item&gt;4482&lt;/item&gt;&lt;item&gt;4485&lt;/item&gt;&lt;item&gt;4486&lt;/item&gt;&lt;/record-ids&gt;&lt;/item&gt;&lt;/Libraries&gt;"/>
  </w:docVars>
  <w:rsids>
    <w:rsidRoot w:val="00BE10BB"/>
    <w:rsid w:val="00002CCE"/>
    <w:rsid w:val="00011543"/>
    <w:rsid w:val="000132E1"/>
    <w:rsid w:val="000139CE"/>
    <w:rsid w:val="000166B7"/>
    <w:rsid w:val="0002381E"/>
    <w:rsid w:val="000264E2"/>
    <w:rsid w:val="00026A2E"/>
    <w:rsid w:val="000279D3"/>
    <w:rsid w:val="0003149F"/>
    <w:rsid w:val="000371ED"/>
    <w:rsid w:val="000457B4"/>
    <w:rsid w:val="00046D21"/>
    <w:rsid w:val="00052420"/>
    <w:rsid w:val="00052D4D"/>
    <w:rsid w:val="00053C46"/>
    <w:rsid w:val="00060165"/>
    <w:rsid w:val="00063C6C"/>
    <w:rsid w:val="00066710"/>
    <w:rsid w:val="00070BC6"/>
    <w:rsid w:val="00072A9A"/>
    <w:rsid w:val="00075120"/>
    <w:rsid w:val="000777B7"/>
    <w:rsid w:val="00084987"/>
    <w:rsid w:val="00087D55"/>
    <w:rsid w:val="00091F63"/>
    <w:rsid w:val="000934FB"/>
    <w:rsid w:val="0009560B"/>
    <w:rsid w:val="000A09C9"/>
    <w:rsid w:val="000A0CC6"/>
    <w:rsid w:val="000A3818"/>
    <w:rsid w:val="000A5357"/>
    <w:rsid w:val="000A547E"/>
    <w:rsid w:val="000A5F63"/>
    <w:rsid w:val="000B54A7"/>
    <w:rsid w:val="000B5EE2"/>
    <w:rsid w:val="000C19A2"/>
    <w:rsid w:val="000C3F3F"/>
    <w:rsid w:val="000D04A0"/>
    <w:rsid w:val="000D04B7"/>
    <w:rsid w:val="000D1596"/>
    <w:rsid w:val="000E242A"/>
    <w:rsid w:val="000E2DCB"/>
    <w:rsid w:val="000E5640"/>
    <w:rsid w:val="000E63E3"/>
    <w:rsid w:val="000F0B7A"/>
    <w:rsid w:val="000F1616"/>
    <w:rsid w:val="000F2618"/>
    <w:rsid w:val="00100776"/>
    <w:rsid w:val="00107675"/>
    <w:rsid w:val="001105CF"/>
    <w:rsid w:val="001216BE"/>
    <w:rsid w:val="00122545"/>
    <w:rsid w:val="00122B08"/>
    <w:rsid w:val="00127D2B"/>
    <w:rsid w:val="00130719"/>
    <w:rsid w:val="001331C5"/>
    <w:rsid w:val="00135AD3"/>
    <w:rsid w:val="00145D1D"/>
    <w:rsid w:val="00150517"/>
    <w:rsid w:val="001637D0"/>
    <w:rsid w:val="00164327"/>
    <w:rsid w:val="00166281"/>
    <w:rsid w:val="00174011"/>
    <w:rsid w:val="00175994"/>
    <w:rsid w:val="001775D4"/>
    <w:rsid w:val="00184590"/>
    <w:rsid w:val="00184D2F"/>
    <w:rsid w:val="00186913"/>
    <w:rsid w:val="0019026D"/>
    <w:rsid w:val="001A3686"/>
    <w:rsid w:val="001A546C"/>
    <w:rsid w:val="001A69B2"/>
    <w:rsid w:val="001B6B94"/>
    <w:rsid w:val="001B6CA5"/>
    <w:rsid w:val="001B6DC3"/>
    <w:rsid w:val="001C6192"/>
    <w:rsid w:val="001C6598"/>
    <w:rsid w:val="001D5208"/>
    <w:rsid w:val="001D530E"/>
    <w:rsid w:val="001F11A1"/>
    <w:rsid w:val="001F3695"/>
    <w:rsid w:val="001F4F43"/>
    <w:rsid w:val="00201675"/>
    <w:rsid w:val="00201C7A"/>
    <w:rsid w:val="00206E71"/>
    <w:rsid w:val="00207500"/>
    <w:rsid w:val="00207DBA"/>
    <w:rsid w:val="0021197E"/>
    <w:rsid w:val="00216509"/>
    <w:rsid w:val="00217CA1"/>
    <w:rsid w:val="00220CA6"/>
    <w:rsid w:val="0022567C"/>
    <w:rsid w:val="00232595"/>
    <w:rsid w:val="00236040"/>
    <w:rsid w:val="00236F77"/>
    <w:rsid w:val="00237EDA"/>
    <w:rsid w:val="002449F7"/>
    <w:rsid w:val="002460E3"/>
    <w:rsid w:val="002464DB"/>
    <w:rsid w:val="00246695"/>
    <w:rsid w:val="002549DD"/>
    <w:rsid w:val="00254B6E"/>
    <w:rsid w:val="00255474"/>
    <w:rsid w:val="00262395"/>
    <w:rsid w:val="00263A52"/>
    <w:rsid w:val="00264526"/>
    <w:rsid w:val="00264E3F"/>
    <w:rsid w:val="00265ED4"/>
    <w:rsid w:val="00277C47"/>
    <w:rsid w:val="00282EBA"/>
    <w:rsid w:val="00283A83"/>
    <w:rsid w:val="00285541"/>
    <w:rsid w:val="00291E78"/>
    <w:rsid w:val="00296DAE"/>
    <w:rsid w:val="00296DC3"/>
    <w:rsid w:val="002A090E"/>
    <w:rsid w:val="002A0DF1"/>
    <w:rsid w:val="002A11A8"/>
    <w:rsid w:val="002A5FFC"/>
    <w:rsid w:val="002A6A78"/>
    <w:rsid w:val="002A7DB1"/>
    <w:rsid w:val="002B2403"/>
    <w:rsid w:val="002B259D"/>
    <w:rsid w:val="002B53F9"/>
    <w:rsid w:val="002C1846"/>
    <w:rsid w:val="002C584C"/>
    <w:rsid w:val="002D4447"/>
    <w:rsid w:val="002D7619"/>
    <w:rsid w:val="002E555B"/>
    <w:rsid w:val="002E792E"/>
    <w:rsid w:val="002F281F"/>
    <w:rsid w:val="002F2CDC"/>
    <w:rsid w:val="002F3015"/>
    <w:rsid w:val="002F3365"/>
    <w:rsid w:val="002F5C84"/>
    <w:rsid w:val="002F7641"/>
    <w:rsid w:val="003001E7"/>
    <w:rsid w:val="00301692"/>
    <w:rsid w:val="003043B4"/>
    <w:rsid w:val="00306BAE"/>
    <w:rsid w:val="00311C4F"/>
    <w:rsid w:val="00330701"/>
    <w:rsid w:val="00332C5D"/>
    <w:rsid w:val="00332E28"/>
    <w:rsid w:val="00335161"/>
    <w:rsid w:val="00340C2C"/>
    <w:rsid w:val="00341C88"/>
    <w:rsid w:val="0034537C"/>
    <w:rsid w:val="00346412"/>
    <w:rsid w:val="00353028"/>
    <w:rsid w:val="00356669"/>
    <w:rsid w:val="003655E1"/>
    <w:rsid w:val="00365A3A"/>
    <w:rsid w:val="00367260"/>
    <w:rsid w:val="0037453E"/>
    <w:rsid w:val="00374AA9"/>
    <w:rsid w:val="003769FA"/>
    <w:rsid w:val="00381053"/>
    <w:rsid w:val="00384F3A"/>
    <w:rsid w:val="00386BD8"/>
    <w:rsid w:val="00387DD3"/>
    <w:rsid w:val="00396C7F"/>
    <w:rsid w:val="00396F3B"/>
    <w:rsid w:val="00397EAA"/>
    <w:rsid w:val="003A252A"/>
    <w:rsid w:val="003A4B50"/>
    <w:rsid w:val="003A64E3"/>
    <w:rsid w:val="003A7E3F"/>
    <w:rsid w:val="003B2147"/>
    <w:rsid w:val="003B259F"/>
    <w:rsid w:val="003B4693"/>
    <w:rsid w:val="003B50E1"/>
    <w:rsid w:val="003B5315"/>
    <w:rsid w:val="003C19C1"/>
    <w:rsid w:val="003C292F"/>
    <w:rsid w:val="003C2DA6"/>
    <w:rsid w:val="003C6514"/>
    <w:rsid w:val="003C74E3"/>
    <w:rsid w:val="003D1A83"/>
    <w:rsid w:val="003D2F32"/>
    <w:rsid w:val="003D3A6E"/>
    <w:rsid w:val="003D52E2"/>
    <w:rsid w:val="003E0A7D"/>
    <w:rsid w:val="003E112E"/>
    <w:rsid w:val="003E1901"/>
    <w:rsid w:val="003E1FD9"/>
    <w:rsid w:val="003E2252"/>
    <w:rsid w:val="003E2A5C"/>
    <w:rsid w:val="003E3B36"/>
    <w:rsid w:val="003E6FBB"/>
    <w:rsid w:val="003E7FB6"/>
    <w:rsid w:val="003F2320"/>
    <w:rsid w:val="003F6262"/>
    <w:rsid w:val="003F6BF7"/>
    <w:rsid w:val="0040185D"/>
    <w:rsid w:val="00402B7A"/>
    <w:rsid w:val="0040347B"/>
    <w:rsid w:val="00404A46"/>
    <w:rsid w:val="004072E6"/>
    <w:rsid w:val="00410F78"/>
    <w:rsid w:val="004126A8"/>
    <w:rsid w:val="00425699"/>
    <w:rsid w:val="004369AD"/>
    <w:rsid w:val="00442C45"/>
    <w:rsid w:val="004466B3"/>
    <w:rsid w:val="00454AA2"/>
    <w:rsid w:val="00455F90"/>
    <w:rsid w:val="0045718C"/>
    <w:rsid w:val="004575A1"/>
    <w:rsid w:val="00457872"/>
    <w:rsid w:val="00471A7A"/>
    <w:rsid w:val="00474DC8"/>
    <w:rsid w:val="00482E80"/>
    <w:rsid w:val="00490D4F"/>
    <w:rsid w:val="00496A97"/>
    <w:rsid w:val="004A21E9"/>
    <w:rsid w:val="004A4D9E"/>
    <w:rsid w:val="004A5430"/>
    <w:rsid w:val="004B14B2"/>
    <w:rsid w:val="004B1BE1"/>
    <w:rsid w:val="004B1E36"/>
    <w:rsid w:val="004B24D3"/>
    <w:rsid w:val="004B25BE"/>
    <w:rsid w:val="004B2707"/>
    <w:rsid w:val="004B3948"/>
    <w:rsid w:val="004B69B6"/>
    <w:rsid w:val="004C0E5E"/>
    <w:rsid w:val="004C35AB"/>
    <w:rsid w:val="004C4210"/>
    <w:rsid w:val="004C567F"/>
    <w:rsid w:val="004C613B"/>
    <w:rsid w:val="004C6ED7"/>
    <w:rsid w:val="004C7F85"/>
    <w:rsid w:val="004D132C"/>
    <w:rsid w:val="004D2145"/>
    <w:rsid w:val="004D6A52"/>
    <w:rsid w:val="004D7003"/>
    <w:rsid w:val="004E0289"/>
    <w:rsid w:val="004E1D78"/>
    <w:rsid w:val="004E622E"/>
    <w:rsid w:val="004F03E9"/>
    <w:rsid w:val="004F6945"/>
    <w:rsid w:val="004F6C02"/>
    <w:rsid w:val="00504DB8"/>
    <w:rsid w:val="005079CF"/>
    <w:rsid w:val="00510250"/>
    <w:rsid w:val="00511BDB"/>
    <w:rsid w:val="00512FB6"/>
    <w:rsid w:val="005232E6"/>
    <w:rsid w:val="00526A70"/>
    <w:rsid w:val="00535FB8"/>
    <w:rsid w:val="005409BE"/>
    <w:rsid w:val="00541FCE"/>
    <w:rsid w:val="00542D4A"/>
    <w:rsid w:val="005431E1"/>
    <w:rsid w:val="0054534F"/>
    <w:rsid w:val="005528FD"/>
    <w:rsid w:val="00553801"/>
    <w:rsid w:val="00555DFC"/>
    <w:rsid w:val="0055645C"/>
    <w:rsid w:val="00557B6D"/>
    <w:rsid w:val="00560815"/>
    <w:rsid w:val="00560E9F"/>
    <w:rsid w:val="00562BEA"/>
    <w:rsid w:val="00564B6B"/>
    <w:rsid w:val="005702B3"/>
    <w:rsid w:val="00571C8B"/>
    <w:rsid w:val="005769CC"/>
    <w:rsid w:val="00577157"/>
    <w:rsid w:val="005818D3"/>
    <w:rsid w:val="00586565"/>
    <w:rsid w:val="005871B8"/>
    <w:rsid w:val="0059023A"/>
    <w:rsid w:val="005A1CF8"/>
    <w:rsid w:val="005A38B4"/>
    <w:rsid w:val="005B1648"/>
    <w:rsid w:val="005B21CE"/>
    <w:rsid w:val="005B2534"/>
    <w:rsid w:val="005B2F7F"/>
    <w:rsid w:val="005B3F2F"/>
    <w:rsid w:val="005B5A2D"/>
    <w:rsid w:val="005C3ABC"/>
    <w:rsid w:val="005C4518"/>
    <w:rsid w:val="005C6C8D"/>
    <w:rsid w:val="005D058F"/>
    <w:rsid w:val="005D1198"/>
    <w:rsid w:val="005D4E27"/>
    <w:rsid w:val="005D6845"/>
    <w:rsid w:val="005E3479"/>
    <w:rsid w:val="005E4D84"/>
    <w:rsid w:val="005F2761"/>
    <w:rsid w:val="005F64CB"/>
    <w:rsid w:val="005F6992"/>
    <w:rsid w:val="005F7CFF"/>
    <w:rsid w:val="006027A9"/>
    <w:rsid w:val="00603E76"/>
    <w:rsid w:val="0061637A"/>
    <w:rsid w:val="0062206C"/>
    <w:rsid w:val="006223C1"/>
    <w:rsid w:val="00622757"/>
    <w:rsid w:val="00623D4B"/>
    <w:rsid w:val="006255FD"/>
    <w:rsid w:val="006336E7"/>
    <w:rsid w:val="00634D6D"/>
    <w:rsid w:val="00634DBF"/>
    <w:rsid w:val="00641AFE"/>
    <w:rsid w:val="0064260E"/>
    <w:rsid w:val="0064279A"/>
    <w:rsid w:val="00646252"/>
    <w:rsid w:val="00651FA1"/>
    <w:rsid w:val="00655F3C"/>
    <w:rsid w:val="006579CD"/>
    <w:rsid w:val="00660015"/>
    <w:rsid w:val="00661195"/>
    <w:rsid w:val="00665D6A"/>
    <w:rsid w:val="00673B70"/>
    <w:rsid w:val="0067585E"/>
    <w:rsid w:val="00675F27"/>
    <w:rsid w:val="00677B87"/>
    <w:rsid w:val="00681920"/>
    <w:rsid w:val="00683F5E"/>
    <w:rsid w:val="00686F9D"/>
    <w:rsid w:val="00686FCC"/>
    <w:rsid w:val="00687014"/>
    <w:rsid w:val="006900CB"/>
    <w:rsid w:val="0069026D"/>
    <w:rsid w:val="00691CE5"/>
    <w:rsid w:val="006923BF"/>
    <w:rsid w:val="006A0637"/>
    <w:rsid w:val="006A11D0"/>
    <w:rsid w:val="006A329F"/>
    <w:rsid w:val="006A568A"/>
    <w:rsid w:val="006B2967"/>
    <w:rsid w:val="006C06CE"/>
    <w:rsid w:val="006C1253"/>
    <w:rsid w:val="006C3853"/>
    <w:rsid w:val="006C3862"/>
    <w:rsid w:val="006C5288"/>
    <w:rsid w:val="006C5AE3"/>
    <w:rsid w:val="006D6A6E"/>
    <w:rsid w:val="006D6B88"/>
    <w:rsid w:val="006D7F51"/>
    <w:rsid w:val="006E07BB"/>
    <w:rsid w:val="006E5576"/>
    <w:rsid w:val="006E55DA"/>
    <w:rsid w:val="006E7FE7"/>
    <w:rsid w:val="006F00A8"/>
    <w:rsid w:val="006F0AD7"/>
    <w:rsid w:val="006F1C56"/>
    <w:rsid w:val="006F1EA8"/>
    <w:rsid w:val="0070012F"/>
    <w:rsid w:val="00701B27"/>
    <w:rsid w:val="007037C2"/>
    <w:rsid w:val="0071064F"/>
    <w:rsid w:val="00712CE8"/>
    <w:rsid w:val="00714747"/>
    <w:rsid w:val="007159E5"/>
    <w:rsid w:val="00723635"/>
    <w:rsid w:val="00734532"/>
    <w:rsid w:val="00736195"/>
    <w:rsid w:val="00736749"/>
    <w:rsid w:val="00737995"/>
    <w:rsid w:val="00742305"/>
    <w:rsid w:val="00744C94"/>
    <w:rsid w:val="00746034"/>
    <w:rsid w:val="0074638A"/>
    <w:rsid w:val="00747521"/>
    <w:rsid w:val="00747638"/>
    <w:rsid w:val="00751BC1"/>
    <w:rsid w:val="00753C31"/>
    <w:rsid w:val="007567D5"/>
    <w:rsid w:val="007602DD"/>
    <w:rsid w:val="007613AE"/>
    <w:rsid w:val="007615B0"/>
    <w:rsid w:val="007623CC"/>
    <w:rsid w:val="00762F02"/>
    <w:rsid w:val="00763228"/>
    <w:rsid w:val="00763732"/>
    <w:rsid w:val="00763A0E"/>
    <w:rsid w:val="007728E5"/>
    <w:rsid w:val="0078307D"/>
    <w:rsid w:val="00792C29"/>
    <w:rsid w:val="00793AF0"/>
    <w:rsid w:val="007942B5"/>
    <w:rsid w:val="00795C43"/>
    <w:rsid w:val="007A1245"/>
    <w:rsid w:val="007A1B0E"/>
    <w:rsid w:val="007A7F64"/>
    <w:rsid w:val="007B7DCB"/>
    <w:rsid w:val="007C0128"/>
    <w:rsid w:val="007C19D1"/>
    <w:rsid w:val="007C6483"/>
    <w:rsid w:val="007C6C2F"/>
    <w:rsid w:val="007D59C1"/>
    <w:rsid w:val="007E278E"/>
    <w:rsid w:val="007E5B2A"/>
    <w:rsid w:val="007E7A17"/>
    <w:rsid w:val="007F140F"/>
    <w:rsid w:val="007F4C36"/>
    <w:rsid w:val="007F64EE"/>
    <w:rsid w:val="007F7A39"/>
    <w:rsid w:val="007F7EE5"/>
    <w:rsid w:val="008029C3"/>
    <w:rsid w:val="0080718A"/>
    <w:rsid w:val="0081110B"/>
    <w:rsid w:val="008112FB"/>
    <w:rsid w:val="00814565"/>
    <w:rsid w:val="00814E9E"/>
    <w:rsid w:val="00814FC1"/>
    <w:rsid w:val="00815E0E"/>
    <w:rsid w:val="00816470"/>
    <w:rsid w:val="008219E5"/>
    <w:rsid w:val="00830630"/>
    <w:rsid w:val="00835786"/>
    <w:rsid w:val="00835796"/>
    <w:rsid w:val="0083657E"/>
    <w:rsid w:val="008373D7"/>
    <w:rsid w:val="00841810"/>
    <w:rsid w:val="00842536"/>
    <w:rsid w:val="00842F4D"/>
    <w:rsid w:val="0084655A"/>
    <w:rsid w:val="00846D9C"/>
    <w:rsid w:val="00851BDA"/>
    <w:rsid w:val="008542B0"/>
    <w:rsid w:val="008545B9"/>
    <w:rsid w:val="008566BF"/>
    <w:rsid w:val="00864CFD"/>
    <w:rsid w:val="00876BCB"/>
    <w:rsid w:val="008840D0"/>
    <w:rsid w:val="00884BA3"/>
    <w:rsid w:val="00886067"/>
    <w:rsid w:val="008869CA"/>
    <w:rsid w:val="008874F7"/>
    <w:rsid w:val="008876F0"/>
    <w:rsid w:val="008A3064"/>
    <w:rsid w:val="008A53DB"/>
    <w:rsid w:val="008A6AF4"/>
    <w:rsid w:val="008B14FF"/>
    <w:rsid w:val="008B3861"/>
    <w:rsid w:val="008B404B"/>
    <w:rsid w:val="008B5101"/>
    <w:rsid w:val="008C7F2F"/>
    <w:rsid w:val="008D2A30"/>
    <w:rsid w:val="008D3964"/>
    <w:rsid w:val="008D4F33"/>
    <w:rsid w:val="008D5C04"/>
    <w:rsid w:val="008E044D"/>
    <w:rsid w:val="008E26D3"/>
    <w:rsid w:val="008E4EB0"/>
    <w:rsid w:val="008F0BE0"/>
    <w:rsid w:val="008F1D28"/>
    <w:rsid w:val="008F2104"/>
    <w:rsid w:val="00900C43"/>
    <w:rsid w:val="00902289"/>
    <w:rsid w:val="00905DD6"/>
    <w:rsid w:val="00907DF6"/>
    <w:rsid w:val="009104E2"/>
    <w:rsid w:val="009111BA"/>
    <w:rsid w:val="00915253"/>
    <w:rsid w:val="00915A80"/>
    <w:rsid w:val="00915EAB"/>
    <w:rsid w:val="00925A74"/>
    <w:rsid w:val="0093225E"/>
    <w:rsid w:val="0093281A"/>
    <w:rsid w:val="0093430D"/>
    <w:rsid w:val="00934826"/>
    <w:rsid w:val="009431F4"/>
    <w:rsid w:val="00945554"/>
    <w:rsid w:val="00950919"/>
    <w:rsid w:val="009514AE"/>
    <w:rsid w:val="00952CB5"/>
    <w:rsid w:val="009565B1"/>
    <w:rsid w:val="00957C3B"/>
    <w:rsid w:val="00960CC3"/>
    <w:rsid w:val="00962037"/>
    <w:rsid w:val="00967B99"/>
    <w:rsid w:val="00976BE9"/>
    <w:rsid w:val="00976E7E"/>
    <w:rsid w:val="00977AFA"/>
    <w:rsid w:val="0098188B"/>
    <w:rsid w:val="00990976"/>
    <w:rsid w:val="00991DEF"/>
    <w:rsid w:val="009948E7"/>
    <w:rsid w:val="009962D6"/>
    <w:rsid w:val="009A092A"/>
    <w:rsid w:val="009A44F3"/>
    <w:rsid w:val="009A52F7"/>
    <w:rsid w:val="009B28D8"/>
    <w:rsid w:val="009B3B01"/>
    <w:rsid w:val="009C0B39"/>
    <w:rsid w:val="009C280C"/>
    <w:rsid w:val="009C5258"/>
    <w:rsid w:val="009C5AC8"/>
    <w:rsid w:val="009D0A79"/>
    <w:rsid w:val="009D0E9A"/>
    <w:rsid w:val="009D21E6"/>
    <w:rsid w:val="009D2647"/>
    <w:rsid w:val="009D42C3"/>
    <w:rsid w:val="009D6E3F"/>
    <w:rsid w:val="009D70D7"/>
    <w:rsid w:val="009E025B"/>
    <w:rsid w:val="009E11B3"/>
    <w:rsid w:val="009E157F"/>
    <w:rsid w:val="009E1F41"/>
    <w:rsid w:val="009E277A"/>
    <w:rsid w:val="009E61B5"/>
    <w:rsid w:val="009F3E08"/>
    <w:rsid w:val="009F4F4A"/>
    <w:rsid w:val="009F5612"/>
    <w:rsid w:val="009F7714"/>
    <w:rsid w:val="00A02D34"/>
    <w:rsid w:val="00A05C01"/>
    <w:rsid w:val="00A1101E"/>
    <w:rsid w:val="00A12235"/>
    <w:rsid w:val="00A20A0F"/>
    <w:rsid w:val="00A2209D"/>
    <w:rsid w:val="00A22742"/>
    <w:rsid w:val="00A2408D"/>
    <w:rsid w:val="00A24488"/>
    <w:rsid w:val="00A249CD"/>
    <w:rsid w:val="00A26EC4"/>
    <w:rsid w:val="00A30656"/>
    <w:rsid w:val="00A31B1E"/>
    <w:rsid w:val="00A36B93"/>
    <w:rsid w:val="00A402CB"/>
    <w:rsid w:val="00A47F93"/>
    <w:rsid w:val="00A50EDE"/>
    <w:rsid w:val="00A56BDE"/>
    <w:rsid w:val="00A603F6"/>
    <w:rsid w:val="00A63F13"/>
    <w:rsid w:val="00A706EC"/>
    <w:rsid w:val="00A71696"/>
    <w:rsid w:val="00A7431A"/>
    <w:rsid w:val="00A83B2B"/>
    <w:rsid w:val="00A91110"/>
    <w:rsid w:val="00A933AC"/>
    <w:rsid w:val="00A93CDD"/>
    <w:rsid w:val="00A97172"/>
    <w:rsid w:val="00AA3790"/>
    <w:rsid w:val="00AA446A"/>
    <w:rsid w:val="00AA63F3"/>
    <w:rsid w:val="00AA7858"/>
    <w:rsid w:val="00AA7CEB"/>
    <w:rsid w:val="00AB0297"/>
    <w:rsid w:val="00AD44A8"/>
    <w:rsid w:val="00AD70DA"/>
    <w:rsid w:val="00AE1CC6"/>
    <w:rsid w:val="00AE5558"/>
    <w:rsid w:val="00AE6AED"/>
    <w:rsid w:val="00AE7A80"/>
    <w:rsid w:val="00AF044B"/>
    <w:rsid w:val="00AF6460"/>
    <w:rsid w:val="00AF7394"/>
    <w:rsid w:val="00B01AE6"/>
    <w:rsid w:val="00B04864"/>
    <w:rsid w:val="00B10880"/>
    <w:rsid w:val="00B157F4"/>
    <w:rsid w:val="00B158C6"/>
    <w:rsid w:val="00B15A7D"/>
    <w:rsid w:val="00B345AC"/>
    <w:rsid w:val="00B3686C"/>
    <w:rsid w:val="00B44043"/>
    <w:rsid w:val="00B4462D"/>
    <w:rsid w:val="00B44DFB"/>
    <w:rsid w:val="00B50E84"/>
    <w:rsid w:val="00B5157D"/>
    <w:rsid w:val="00B53D7E"/>
    <w:rsid w:val="00B54443"/>
    <w:rsid w:val="00B60CEB"/>
    <w:rsid w:val="00B61290"/>
    <w:rsid w:val="00B64C47"/>
    <w:rsid w:val="00B65165"/>
    <w:rsid w:val="00B66BAF"/>
    <w:rsid w:val="00B7302A"/>
    <w:rsid w:val="00B749EB"/>
    <w:rsid w:val="00B75FF5"/>
    <w:rsid w:val="00B761BB"/>
    <w:rsid w:val="00B77A35"/>
    <w:rsid w:val="00B912EE"/>
    <w:rsid w:val="00B929AD"/>
    <w:rsid w:val="00B95451"/>
    <w:rsid w:val="00B95DFD"/>
    <w:rsid w:val="00BA050F"/>
    <w:rsid w:val="00BA44A5"/>
    <w:rsid w:val="00BA4EC1"/>
    <w:rsid w:val="00BA6A7E"/>
    <w:rsid w:val="00BB2BDC"/>
    <w:rsid w:val="00BB6362"/>
    <w:rsid w:val="00BB72BC"/>
    <w:rsid w:val="00BB72E7"/>
    <w:rsid w:val="00BC04F1"/>
    <w:rsid w:val="00BC1D57"/>
    <w:rsid w:val="00BC2114"/>
    <w:rsid w:val="00BC3499"/>
    <w:rsid w:val="00BC635C"/>
    <w:rsid w:val="00BD1D78"/>
    <w:rsid w:val="00BD356A"/>
    <w:rsid w:val="00BD3570"/>
    <w:rsid w:val="00BD4816"/>
    <w:rsid w:val="00BE1077"/>
    <w:rsid w:val="00BE10BB"/>
    <w:rsid w:val="00BE3467"/>
    <w:rsid w:val="00BE3617"/>
    <w:rsid w:val="00BF2228"/>
    <w:rsid w:val="00BF39FF"/>
    <w:rsid w:val="00C00E7F"/>
    <w:rsid w:val="00C01486"/>
    <w:rsid w:val="00C036A0"/>
    <w:rsid w:val="00C072E5"/>
    <w:rsid w:val="00C116B6"/>
    <w:rsid w:val="00C11C46"/>
    <w:rsid w:val="00C15A32"/>
    <w:rsid w:val="00C254CD"/>
    <w:rsid w:val="00C306D0"/>
    <w:rsid w:val="00C349F7"/>
    <w:rsid w:val="00C35230"/>
    <w:rsid w:val="00C3654A"/>
    <w:rsid w:val="00C36E4F"/>
    <w:rsid w:val="00C40A8F"/>
    <w:rsid w:val="00C422EC"/>
    <w:rsid w:val="00C42A4F"/>
    <w:rsid w:val="00C43247"/>
    <w:rsid w:val="00C447C8"/>
    <w:rsid w:val="00C45AE0"/>
    <w:rsid w:val="00C45DD1"/>
    <w:rsid w:val="00C51297"/>
    <w:rsid w:val="00C5324C"/>
    <w:rsid w:val="00C537D9"/>
    <w:rsid w:val="00C55793"/>
    <w:rsid w:val="00C6012B"/>
    <w:rsid w:val="00C60AFC"/>
    <w:rsid w:val="00C622DF"/>
    <w:rsid w:val="00C8369E"/>
    <w:rsid w:val="00C93C66"/>
    <w:rsid w:val="00C9702C"/>
    <w:rsid w:val="00CA2E19"/>
    <w:rsid w:val="00CA441C"/>
    <w:rsid w:val="00CA4B81"/>
    <w:rsid w:val="00CA5426"/>
    <w:rsid w:val="00CA5CAF"/>
    <w:rsid w:val="00CA79D8"/>
    <w:rsid w:val="00CB048D"/>
    <w:rsid w:val="00CB147E"/>
    <w:rsid w:val="00CB17E5"/>
    <w:rsid w:val="00CB3903"/>
    <w:rsid w:val="00CB458C"/>
    <w:rsid w:val="00CB7306"/>
    <w:rsid w:val="00CC0818"/>
    <w:rsid w:val="00CD03B7"/>
    <w:rsid w:val="00CD1267"/>
    <w:rsid w:val="00CD355D"/>
    <w:rsid w:val="00CD3F0C"/>
    <w:rsid w:val="00CD64EB"/>
    <w:rsid w:val="00CD6A9C"/>
    <w:rsid w:val="00CE32E2"/>
    <w:rsid w:val="00CF0760"/>
    <w:rsid w:val="00CF0C08"/>
    <w:rsid w:val="00CF205F"/>
    <w:rsid w:val="00CF4637"/>
    <w:rsid w:val="00D0008B"/>
    <w:rsid w:val="00D037A6"/>
    <w:rsid w:val="00D04D56"/>
    <w:rsid w:val="00D07760"/>
    <w:rsid w:val="00D13313"/>
    <w:rsid w:val="00D14531"/>
    <w:rsid w:val="00D14F7F"/>
    <w:rsid w:val="00D230BC"/>
    <w:rsid w:val="00D25B73"/>
    <w:rsid w:val="00D265BF"/>
    <w:rsid w:val="00D278A0"/>
    <w:rsid w:val="00D27982"/>
    <w:rsid w:val="00D31B3F"/>
    <w:rsid w:val="00D32E80"/>
    <w:rsid w:val="00D3412F"/>
    <w:rsid w:val="00D35A68"/>
    <w:rsid w:val="00D35F3D"/>
    <w:rsid w:val="00D3697B"/>
    <w:rsid w:val="00D426DB"/>
    <w:rsid w:val="00D4532C"/>
    <w:rsid w:val="00D47530"/>
    <w:rsid w:val="00D50C8E"/>
    <w:rsid w:val="00D525F6"/>
    <w:rsid w:val="00D532F4"/>
    <w:rsid w:val="00D562A6"/>
    <w:rsid w:val="00D56F7E"/>
    <w:rsid w:val="00D577F4"/>
    <w:rsid w:val="00D600E9"/>
    <w:rsid w:val="00D614BE"/>
    <w:rsid w:val="00D66BDF"/>
    <w:rsid w:val="00D66D0A"/>
    <w:rsid w:val="00D66E25"/>
    <w:rsid w:val="00D75561"/>
    <w:rsid w:val="00D7657B"/>
    <w:rsid w:val="00D77EFC"/>
    <w:rsid w:val="00D86C71"/>
    <w:rsid w:val="00D875E4"/>
    <w:rsid w:val="00D9010C"/>
    <w:rsid w:val="00D90EBA"/>
    <w:rsid w:val="00D91294"/>
    <w:rsid w:val="00D976E9"/>
    <w:rsid w:val="00DA1B26"/>
    <w:rsid w:val="00DA1BD5"/>
    <w:rsid w:val="00DA21ED"/>
    <w:rsid w:val="00DA3DEE"/>
    <w:rsid w:val="00DA5354"/>
    <w:rsid w:val="00DA7532"/>
    <w:rsid w:val="00DB4F10"/>
    <w:rsid w:val="00DB5477"/>
    <w:rsid w:val="00DB7A82"/>
    <w:rsid w:val="00DC5825"/>
    <w:rsid w:val="00DC6BF9"/>
    <w:rsid w:val="00DD5501"/>
    <w:rsid w:val="00DD7BD4"/>
    <w:rsid w:val="00DE3055"/>
    <w:rsid w:val="00DE5D2B"/>
    <w:rsid w:val="00DF05A6"/>
    <w:rsid w:val="00DF48AA"/>
    <w:rsid w:val="00E015A4"/>
    <w:rsid w:val="00E0300D"/>
    <w:rsid w:val="00E06D4C"/>
    <w:rsid w:val="00E07FDB"/>
    <w:rsid w:val="00E144F6"/>
    <w:rsid w:val="00E20AC5"/>
    <w:rsid w:val="00E23969"/>
    <w:rsid w:val="00E23EDF"/>
    <w:rsid w:val="00E24772"/>
    <w:rsid w:val="00E30ED5"/>
    <w:rsid w:val="00E314B4"/>
    <w:rsid w:val="00E3185E"/>
    <w:rsid w:val="00E36369"/>
    <w:rsid w:val="00E40492"/>
    <w:rsid w:val="00E43FCC"/>
    <w:rsid w:val="00E44CB0"/>
    <w:rsid w:val="00E44EE6"/>
    <w:rsid w:val="00E462B4"/>
    <w:rsid w:val="00E514D3"/>
    <w:rsid w:val="00E60052"/>
    <w:rsid w:val="00E60909"/>
    <w:rsid w:val="00E61D0F"/>
    <w:rsid w:val="00E641E2"/>
    <w:rsid w:val="00E64FE6"/>
    <w:rsid w:val="00E74C29"/>
    <w:rsid w:val="00E77B97"/>
    <w:rsid w:val="00E812A2"/>
    <w:rsid w:val="00E82F8C"/>
    <w:rsid w:val="00E868A1"/>
    <w:rsid w:val="00E9675D"/>
    <w:rsid w:val="00E96AE1"/>
    <w:rsid w:val="00E9729A"/>
    <w:rsid w:val="00EA0F5B"/>
    <w:rsid w:val="00EA1097"/>
    <w:rsid w:val="00EA16B5"/>
    <w:rsid w:val="00EA3D3C"/>
    <w:rsid w:val="00EA4F77"/>
    <w:rsid w:val="00EA79BA"/>
    <w:rsid w:val="00EB19B3"/>
    <w:rsid w:val="00EC2860"/>
    <w:rsid w:val="00EC33EE"/>
    <w:rsid w:val="00ED0991"/>
    <w:rsid w:val="00ED0A0C"/>
    <w:rsid w:val="00ED0A1F"/>
    <w:rsid w:val="00ED6A4C"/>
    <w:rsid w:val="00ED7D48"/>
    <w:rsid w:val="00EE06C3"/>
    <w:rsid w:val="00EE14DD"/>
    <w:rsid w:val="00EE414F"/>
    <w:rsid w:val="00EE4F95"/>
    <w:rsid w:val="00EF3BD2"/>
    <w:rsid w:val="00EF7F7C"/>
    <w:rsid w:val="00F00664"/>
    <w:rsid w:val="00F01DA7"/>
    <w:rsid w:val="00F05AE7"/>
    <w:rsid w:val="00F12E57"/>
    <w:rsid w:val="00F14257"/>
    <w:rsid w:val="00F23847"/>
    <w:rsid w:val="00F27139"/>
    <w:rsid w:val="00F27384"/>
    <w:rsid w:val="00F275F7"/>
    <w:rsid w:val="00F31634"/>
    <w:rsid w:val="00F3369C"/>
    <w:rsid w:val="00F34BD0"/>
    <w:rsid w:val="00F34F91"/>
    <w:rsid w:val="00F35E2B"/>
    <w:rsid w:val="00F40301"/>
    <w:rsid w:val="00F4391A"/>
    <w:rsid w:val="00F452D5"/>
    <w:rsid w:val="00F53727"/>
    <w:rsid w:val="00F542D4"/>
    <w:rsid w:val="00F56DC7"/>
    <w:rsid w:val="00F61DA3"/>
    <w:rsid w:val="00F64550"/>
    <w:rsid w:val="00F65284"/>
    <w:rsid w:val="00F671D8"/>
    <w:rsid w:val="00F74F58"/>
    <w:rsid w:val="00F753EA"/>
    <w:rsid w:val="00F75908"/>
    <w:rsid w:val="00F75D83"/>
    <w:rsid w:val="00F77701"/>
    <w:rsid w:val="00F83EF0"/>
    <w:rsid w:val="00F861F4"/>
    <w:rsid w:val="00F865FC"/>
    <w:rsid w:val="00F86B51"/>
    <w:rsid w:val="00F90940"/>
    <w:rsid w:val="00F93443"/>
    <w:rsid w:val="00F93EAC"/>
    <w:rsid w:val="00F97100"/>
    <w:rsid w:val="00FA347F"/>
    <w:rsid w:val="00FA5A0F"/>
    <w:rsid w:val="00FA6B71"/>
    <w:rsid w:val="00FA6FC5"/>
    <w:rsid w:val="00FA7EC8"/>
    <w:rsid w:val="00FB05A8"/>
    <w:rsid w:val="00FB461B"/>
    <w:rsid w:val="00FC156C"/>
    <w:rsid w:val="00FC4DA7"/>
    <w:rsid w:val="00FC5B43"/>
    <w:rsid w:val="00FD1F81"/>
    <w:rsid w:val="00FD5AD4"/>
    <w:rsid w:val="00FD7094"/>
    <w:rsid w:val="00FD7ADB"/>
    <w:rsid w:val="00FE1621"/>
    <w:rsid w:val="00FE1B1B"/>
    <w:rsid w:val="00FE5187"/>
    <w:rsid w:val="00FF15B8"/>
    <w:rsid w:val="00FF2A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37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25E"/>
  </w:style>
  <w:style w:type="paragraph" w:styleId="Heading1">
    <w:name w:val="heading 1"/>
    <w:basedOn w:val="Normal"/>
    <w:link w:val="Heading1Char"/>
    <w:uiPriority w:val="9"/>
    <w:qFormat/>
    <w:rsid w:val="00D614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90D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0BB"/>
    <w:pPr>
      <w:ind w:left="720"/>
      <w:contextualSpacing/>
    </w:pPr>
  </w:style>
  <w:style w:type="table" w:styleId="TableGrid">
    <w:name w:val="Table Grid"/>
    <w:basedOn w:val="TableNormal"/>
    <w:uiPriority w:val="59"/>
    <w:rsid w:val="00B6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5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CAF"/>
    <w:rPr>
      <w:rFonts w:ascii="Tahoma" w:hAnsi="Tahoma" w:cs="Tahoma"/>
      <w:sz w:val="16"/>
      <w:szCs w:val="16"/>
    </w:rPr>
  </w:style>
  <w:style w:type="character" w:styleId="Hyperlink">
    <w:name w:val="Hyperlink"/>
    <w:basedOn w:val="DefaultParagraphFont"/>
    <w:uiPriority w:val="99"/>
    <w:unhideWhenUsed/>
    <w:rsid w:val="00164327"/>
    <w:rPr>
      <w:color w:val="0000FF" w:themeColor="hyperlink"/>
      <w:u w:val="single"/>
    </w:rPr>
  </w:style>
  <w:style w:type="paragraph" w:styleId="NormalWeb">
    <w:name w:val="Normal (Web)"/>
    <w:basedOn w:val="Normal"/>
    <w:link w:val="NormalWebChar"/>
    <w:uiPriority w:val="99"/>
    <w:unhideWhenUsed/>
    <w:rsid w:val="00FA5A0F"/>
    <w:pPr>
      <w:spacing w:before="100" w:beforeAutospacing="1" w:after="100" w:afterAutospacing="1" w:line="240" w:lineRule="auto"/>
    </w:pPr>
    <w:rPr>
      <w:rFonts w:ascii="Times" w:hAnsi="Times" w:cs="Times New Roman"/>
      <w:sz w:val="20"/>
      <w:szCs w:val="20"/>
      <w:lang w:eastAsia="en-US"/>
    </w:rPr>
  </w:style>
  <w:style w:type="paragraph" w:customStyle="1" w:styleId="EndNoteBibliographyTitle">
    <w:name w:val="EndNote Bibliography Title"/>
    <w:basedOn w:val="Normal"/>
    <w:link w:val="EndNoteBibliographyTitleChar"/>
    <w:rsid w:val="00E24772"/>
    <w:pPr>
      <w:spacing w:after="0"/>
      <w:jc w:val="center"/>
    </w:pPr>
    <w:rPr>
      <w:rFonts w:ascii="Calibri" w:hAnsi="Calibri"/>
      <w:noProof/>
    </w:rPr>
  </w:style>
  <w:style w:type="character" w:customStyle="1" w:styleId="NormalWebChar">
    <w:name w:val="Normal (Web) Char"/>
    <w:basedOn w:val="DefaultParagraphFont"/>
    <w:link w:val="NormalWeb"/>
    <w:uiPriority w:val="99"/>
    <w:rsid w:val="00E24772"/>
    <w:rPr>
      <w:rFonts w:ascii="Times" w:hAnsi="Times" w:cs="Times New Roman"/>
      <w:sz w:val="20"/>
      <w:szCs w:val="20"/>
      <w:lang w:eastAsia="en-US"/>
    </w:rPr>
  </w:style>
  <w:style w:type="character" w:customStyle="1" w:styleId="EndNoteBibliographyTitleChar">
    <w:name w:val="EndNote Bibliography Title Char"/>
    <w:basedOn w:val="NormalWebChar"/>
    <w:link w:val="EndNoteBibliographyTitle"/>
    <w:rsid w:val="00E24772"/>
    <w:rPr>
      <w:rFonts w:ascii="Calibri" w:hAnsi="Calibri" w:cs="Times New Roman"/>
      <w:noProof/>
      <w:sz w:val="20"/>
      <w:szCs w:val="20"/>
      <w:lang w:eastAsia="en-US"/>
    </w:rPr>
  </w:style>
  <w:style w:type="paragraph" w:customStyle="1" w:styleId="EndNoteBibliography">
    <w:name w:val="EndNote Bibliography"/>
    <w:basedOn w:val="Normal"/>
    <w:link w:val="EndNoteBibliographyChar"/>
    <w:rsid w:val="00E24772"/>
    <w:pPr>
      <w:spacing w:line="240" w:lineRule="auto"/>
    </w:pPr>
    <w:rPr>
      <w:rFonts w:ascii="Calibri" w:hAnsi="Calibri"/>
      <w:noProof/>
    </w:rPr>
  </w:style>
  <w:style w:type="character" w:customStyle="1" w:styleId="EndNoteBibliographyChar">
    <w:name w:val="EndNote Bibliography Char"/>
    <w:basedOn w:val="NormalWebChar"/>
    <w:link w:val="EndNoteBibliography"/>
    <w:rsid w:val="00E24772"/>
    <w:rPr>
      <w:rFonts w:ascii="Calibri" w:hAnsi="Calibri" w:cs="Times New Roman"/>
      <w:noProof/>
      <w:sz w:val="20"/>
      <w:szCs w:val="20"/>
      <w:lang w:eastAsia="en-US"/>
    </w:rPr>
  </w:style>
  <w:style w:type="character" w:styleId="Emphasis">
    <w:name w:val="Emphasis"/>
    <w:basedOn w:val="DefaultParagraphFont"/>
    <w:uiPriority w:val="20"/>
    <w:qFormat/>
    <w:rsid w:val="00E77B97"/>
    <w:rPr>
      <w:i/>
      <w:iCs/>
    </w:rPr>
  </w:style>
  <w:style w:type="character" w:customStyle="1" w:styleId="Heading1Char">
    <w:name w:val="Heading 1 Char"/>
    <w:basedOn w:val="DefaultParagraphFont"/>
    <w:link w:val="Heading1"/>
    <w:uiPriority w:val="9"/>
    <w:rsid w:val="00D614BE"/>
    <w:rPr>
      <w:rFonts w:ascii="Times New Roman" w:eastAsia="Times New Roman" w:hAnsi="Times New Roman" w:cs="Times New Roman"/>
      <w:b/>
      <w:bCs/>
      <w:kern w:val="36"/>
      <w:sz w:val="48"/>
      <w:szCs w:val="48"/>
    </w:rPr>
  </w:style>
  <w:style w:type="character" w:customStyle="1" w:styleId="st">
    <w:name w:val="st"/>
    <w:basedOn w:val="DefaultParagraphFont"/>
    <w:rsid w:val="00D614BE"/>
  </w:style>
  <w:style w:type="character" w:styleId="LineNumber">
    <w:name w:val="line number"/>
    <w:basedOn w:val="DefaultParagraphFont"/>
    <w:uiPriority w:val="99"/>
    <w:semiHidden/>
    <w:unhideWhenUsed/>
    <w:rsid w:val="004B1E36"/>
  </w:style>
  <w:style w:type="character" w:styleId="CommentReference">
    <w:name w:val="annotation reference"/>
    <w:basedOn w:val="DefaultParagraphFont"/>
    <w:uiPriority w:val="99"/>
    <w:semiHidden/>
    <w:unhideWhenUsed/>
    <w:rsid w:val="00490D4F"/>
    <w:rPr>
      <w:sz w:val="16"/>
      <w:szCs w:val="16"/>
    </w:rPr>
  </w:style>
  <w:style w:type="paragraph" w:styleId="CommentText">
    <w:name w:val="annotation text"/>
    <w:basedOn w:val="Normal"/>
    <w:link w:val="CommentTextChar"/>
    <w:uiPriority w:val="99"/>
    <w:semiHidden/>
    <w:unhideWhenUsed/>
    <w:rsid w:val="00490D4F"/>
    <w:pPr>
      <w:spacing w:line="240" w:lineRule="auto"/>
    </w:pPr>
    <w:rPr>
      <w:sz w:val="20"/>
      <w:szCs w:val="20"/>
    </w:rPr>
  </w:style>
  <w:style w:type="character" w:customStyle="1" w:styleId="CommentTextChar">
    <w:name w:val="Comment Text Char"/>
    <w:basedOn w:val="DefaultParagraphFont"/>
    <w:link w:val="CommentText"/>
    <w:uiPriority w:val="99"/>
    <w:semiHidden/>
    <w:rsid w:val="00490D4F"/>
    <w:rPr>
      <w:sz w:val="20"/>
      <w:szCs w:val="20"/>
    </w:rPr>
  </w:style>
  <w:style w:type="paragraph" w:styleId="CommentSubject">
    <w:name w:val="annotation subject"/>
    <w:basedOn w:val="CommentText"/>
    <w:next w:val="CommentText"/>
    <w:link w:val="CommentSubjectChar"/>
    <w:uiPriority w:val="99"/>
    <w:semiHidden/>
    <w:unhideWhenUsed/>
    <w:rsid w:val="00490D4F"/>
    <w:rPr>
      <w:b/>
      <w:bCs/>
    </w:rPr>
  </w:style>
  <w:style w:type="character" w:customStyle="1" w:styleId="CommentSubjectChar">
    <w:name w:val="Comment Subject Char"/>
    <w:basedOn w:val="CommentTextChar"/>
    <w:link w:val="CommentSubject"/>
    <w:uiPriority w:val="99"/>
    <w:semiHidden/>
    <w:rsid w:val="00490D4F"/>
    <w:rPr>
      <w:b/>
      <w:bCs/>
      <w:sz w:val="20"/>
      <w:szCs w:val="20"/>
    </w:rPr>
  </w:style>
  <w:style w:type="character" w:customStyle="1" w:styleId="Heading2Char">
    <w:name w:val="Heading 2 Char"/>
    <w:basedOn w:val="DefaultParagraphFont"/>
    <w:link w:val="Heading2"/>
    <w:uiPriority w:val="9"/>
    <w:semiHidden/>
    <w:rsid w:val="00490D4F"/>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C5B43"/>
    <w:pPr>
      <w:spacing w:after="0" w:line="240" w:lineRule="auto"/>
    </w:pPr>
  </w:style>
  <w:style w:type="paragraph" w:styleId="Header">
    <w:name w:val="header"/>
    <w:basedOn w:val="Normal"/>
    <w:link w:val="HeaderChar"/>
    <w:uiPriority w:val="99"/>
    <w:unhideWhenUsed/>
    <w:rsid w:val="00DB5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477"/>
  </w:style>
  <w:style w:type="paragraph" w:styleId="Footer">
    <w:name w:val="footer"/>
    <w:basedOn w:val="Normal"/>
    <w:link w:val="FooterChar"/>
    <w:uiPriority w:val="99"/>
    <w:unhideWhenUsed/>
    <w:rsid w:val="00DB5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477"/>
  </w:style>
  <w:style w:type="character" w:customStyle="1" w:styleId="override-xref-content-element">
    <w:name w:val="override-xref-content-element"/>
    <w:basedOn w:val="DefaultParagraphFont"/>
    <w:rsid w:val="00976B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25E"/>
  </w:style>
  <w:style w:type="paragraph" w:styleId="Heading1">
    <w:name w:val="heading 1"/>
    <w:basedOn w:val="Normal"/>
    <w:link w:val="Heading1Char"/>
    <w:uiPriority w:val="9"/>
    <w:qFormat/>
    <w:rsid w:val="00D614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90D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0BB"/>
    <w:pPr>
      <w:ind w:left="720"/>
      <w:contextualSpacing/>
    </w:pPr>
  </w:style>
  <w:style w:type="table" w:styleId="TableGrid">
    <w:name w:val="Table Grid"/>
    <w:basedOn w:val="TableNormal"/>
    <w:uiPriority w:val="59"/>
    <w:rsid w:val="00B64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5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CAF"/>
    <w:rPr>
      <w:rFonts w:ascii="Tahoma" w:hAnsi="Tahoma" w:cs="Tahoma"/>
      <w:sz w:val="16"/>
      <w:szCs w:val="16"/>
    </w:rPr>
  </w:style>
  <w:style w:type="character" w:styleId="Hyperlink">
    <w:name w:val="Hyperlink"/>
    <w:basedOn w:val="DefaultParagraphFont"/>
    <w:uiPriority w:val="99"/>
    <w:unhideWhenUsed/>
    <w:rsid w:val="00164327"/>
    <w:rPr>
      <w:color w:val="0000FF" w:themeColor="hyperlink"/>
      <w:u w:val="single"/>
    </w:rPr>
  </w:style>
  <w:style w:type="paragraph" w:styleId="NormalWeb">
    <w:name w:val="Normal (Web)"/>
    <w:basedOn w:val="Normal"/>
    <w:link w:val="NormalWebChar"/>
    <w:uiPriority w:val="99"/>
    <w:unhideWhenUsed/>
    <w:rsid w:val="00FA5A0F"/>
    <w:pPr>
      <w:spacing w:before="100" w:beforeAutospacing="1" w:after="100" w:afterAutospacing="1" w:line="240" w:lineRule="auto"/>
    </w:pPr>
    <w:rPr>
      <w:rFonts w:ascii="Times" w:hAnsi="Times" w:cs="Times New Roman"/>
      <w:sz w:val="20"/>
      <w:szCs w:val="20"/>
      <w:lang w:eastAsia="en-US"/>
    </w:rPr>
  </w:style>
  <w:style w:type="paragraph" w:customStyle="1" w:styleId="EndNoteBibliographyTitle">
    <w:name w:val="EndNote Bibliography Title"/>
    <w:basedOn w:val="Normal"/>
    <w:link w:val="EndNoteBibliographyTitleChar"/>
    <w:rsid w:val="00E24772"/>
    <w:pPr>
      <w:spacing w:after="0"/>
      <w:jc w:val="center"/>
    </w:pPr>
    <w:rPr>
      <w:rFonts w:ascii="Calibri" w:hAnsi="Calibri"/>
      <w:noProof/>
    </w:rPr>
  </w:style>
  <w:style w:type="character" w:customStyle="1" w:styleId="NormalWebChar">
    <w:name w:val="Normal (Web) Char"/>
    <w:basedOn w:val="DefaultParagraphFont"/>
    <w:link w:val="NormalWeb"/>
    <w:uiPriority w:val="99"/>
    <w:rsid w:val="00E24772"/>
    <w:rPr>
      <w:rFonts w:ascii="Times" w:hAnsi="Times" w:cs="Times New Roman"/>
      <w:sz w:val="20"/>
      <w:szCs w:val="20"/>
      <w:lang w:eastAsia="en-US"/>
    </w:rPr>
  </w:style>
  <w:style w:type="character" w:customStyle="1" w:styleId="EndNoteBibliographyTitleChar">
    <w:name w:val="EndNote Bibliography Title Char"/>
    <w:basedOn w:val="NormalWebChar"/>
    <w:link w:val="EndNoteBibliographyTitle"/>
    <w:rsid w:val="00E24772"/>
    <w:rPr>
      <w:rFonts w:ascii="Calibri" w:hAnsi="Calibri" w:cs="Times New Roman"/>
      <w:noProof/>
      <w:sz w:val="20"/>
      <w:szCs w:val="20"/>
      <w:lang w:eastAsia="en-US"/>
    </w:rPr>
  </w:style>
  <w:style w:type="paragraph" w:customStyle="1" w:styleId="EndNoteBibliography">
    <w:name w:val="EndNote Bibliography"/>
    <w:basedOn w:val="Normal"/>
    <w:link w:val="EndNoteBibliographyChar"/>
    <w:rsid w:val="00E24772"/>
    <w:pPr>
      <w:spacing w:line="240" w:lineRule="auto"/>
    </w:pPr>
    <w:rPr>
      <w:rFonts w:ascii="Calibri" w:hAnsi="Calibri"/>
      <w:noProof/>
    </w:rPr>
  </w:style>
  <w:style w:type="character" w:customStyle="1" w:styleId="EndNoteBibliographyChar">
    <w:name w:val="EndNote Bibliography Char"/>
    <w:basedOn w:val="NormalWebChar"/>
    <w:link w:val="EndNoteBibliography"/>
    <w:rsid w:val="00E24772"/>
    <w:rPr>
      <w:rFonts w:ascii="Calibri" w:hAnsi="Calibri" w:cs="Times New Roman"/>
      <w:noProof/>
      <w:sz w:val="20"/>
      <w:szCs w:val="20"/>
      <w:lang w:eastAsia="en-US"/>
    </w:rPr>
  </w:style>
  <w:style w:type="character" w:styleId="Emphasis">
    <w:name w:val="Emphasis"/>
    <w:basedOn w:val="DefaultParagraphFont"/>
    <w:uiPriority w:val="20"/>
    <w:qFormat/>
    <w:rsid w:val="00E77B97"/>
    <w:rPr>
      <w:i/>
      <w:iCs/>
    </w:rPr>
  </w:style>
  <w:style w:type="character" w:customStyle="1" w:styleId="Heading1Char">
    <w:name w:val="Heading 1 Char"/>
    <w:basedOn w:val="DefaultParagraphFont"/>
    <w:link w:val="Heading1"/>
    <w:uiPriority w:val="9"/>
    <w:rsid w:val="00D614BE"/>
    <w:rPr>
      <w:rFonts w:ascii="Times New Roman" w:eastAsia="Times New Roman" w:hAnsi="Times New Roman" w:cs="Times New Roman"/>
      <w:b/>
      <w:bCs/>
      <w:kern w:val="36"/>
      <w:sz w:val="48"/>
      <w:szCs w:val="48"/>
    </w:rPr>
  </w:style>
  <w:style w:type="character" w:customStyle="1" w:styleId="st">
    <w:name w:val="st"/>
    <w:basedOn w:val="DefaultParagraphFont"/>
    <w:rsid w:val="00D614BE"/>
  </w:style>
  <w:style w:type="character" w:styleId="LineNumber">
    <w:name w:val="line number"/>
    <w:basedOn w:val="DefaultParagraphFont"/>
    <w:uiPriority w:val="99"/>
    <w:semiHidden/>
    <w:unhideWhenUsed/>
    <w:rsid w:val="004B1E36"/>
  </w:style>
  <w:style w:type="character" w:styleId="CommentReference">
    <w:name w:val="annotation reference"/>
    <w:basedOn w:val="DefaultParagraphFont"/>
    <w:uiPriority w:val="99"/>
    <w:semiHidden/>
    <w:unhideWhenUsed/>
    <w:rsid w:val="00490D4F"/>
    <w:rPr>
      <w:sz w:val="16"/>
      <w:szCs w:val="16"/>
    </w:rPr>
  </w:style>
  <w:style w:type="paragraph" w:styleId="CommentText">
    <w:name w:val="annotation text"/>
    <w:basedOn w:val="Normal"/>
    <w:link w:val="CommentTextChar"/>
    <w:uiPriority w:val="99"/>
    <w:semiHidden/>
    <w:unhideWhenUsed/>
    <w:rsid w:val="00490D4F"/>
    <w:pPr>
      <w:spacing w:line="240" w:lineRule="auto"/>
    </w:pPr>
    <w:rPr>
      <w:sz w:val="20"/>
      <w:szCs w:val="20"/>
    </w:rPr>
  </w:style>
  <w:style w:type="character" w:customStyle="1" w:styleId="CommentTextChar">
    <w:name w:val="Comment Text Char"/>
    <w:basedOn w:val="DefaultParagraphFont"/>
    <w:link w:val="CommentText"/>
    <w:uiPriority w:val="99"/>
    <w:semiHidden/>
    <w:rsid w:val="00490D4F"/>
    <w:rPr>
      <w:sz w:val="20"/>
      <w:szCs w:val="20"/>
    </w:rPr>
  </w:style>
  <w:style w:type="paragraph" w:styleId="CommentSubject">
    <w:name w:val="annotation subject"/>
    <w:basedOn w:val="CommentText"/>
    <w:next w:val="CommentText"/>
    <w:link w:val="CommentSubjectChar"/>
    <w:uiPriority w:val="99"/>
    <w:semiHidden/>
    <w:unhideWhenUsed/>
    <w:rsid w:val="00490D4F"/>
    <w:rPr>
      <w:b/>
      <w:bCs/>
    </w:rPr>
  </w:style>
  <w:style w:type="character" w:customStyle="1" w:styleId="CommentSubjectChar">
    <w:name w:val="Comment Subject Char"/>
    <w:basedOn w:val="CommentTextChar"/>
    <w:link w:val="CommentSubject"/>
    <w:uiPriority w:val="99"/>
    <w:semiHidden/>
    <w:rsid w:val="00490D4F"/>
    <w:rPr>
      <w:b/>
      <w:bCs/>
      <w:sz w:val="20"/>
      <w:szCs w:val="20"/>
    </w:rPr>
  </w:style>
  <w:style w:type="character" w:customStyle="1" w:styleId="Heading2Char">
    <w:name w:val="Heading 2 Char"/>
    <w:basedOn w:val="DefaultParagraphFont"/>
    <w:link w:val="Heading2"/>
    <w:uiPriority w:val="9"/>
    <w:semiHidden/>
    <w:rsid w:val="00490D4F"/>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FC5B43"/>
    <w:pPr>
      <w:spacing w:after="0" w:line="240" w:lineRule="auto"/>
    </w:pPr>
  </w:style>
  <w:style w:type="paragraph" w:styleId="Header">
    <w:name w:val="header"/>
    <w:basedOn w:val="Normal"/>
    <w:link w:val="HeaderChar"/>
    <w:uiPriority w:val="99"/>
    <w:unhideWhenUsed/>
    <w:rsid w:val="00DB5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477"/>
  </w:style>
  <w:style w:type="paragraph" w:styleId="Footer">
    <w:name w:val="footer"/>
    <w:basedOn w:val="Normal"/>
    <w:link w:val="FooterChar"/>
    <w:uiPriority w:val="99"/>
    <w:unhideWhenUsed/>
    <w:rsid w:val="00DB5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477"/>
  </w:style>
  <w:style w:type="character" w:customStyle="1" w:styleId="override-xref-content-element">
    <w:name w:val="override-xref-content-element"/>
    <w:basedOn w:val="DefaultParagraphFont"/>
    <w:rsid w:val="00976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4613">
      <w:bodyDiv w:val="1"/>
      <w:marLeft w:val="0"/>
      <w:marRight w:val="0"/>
      <w:marTop w:val="0"/>
      <w:marBottom w:val="0"/>
      <w:divBdr>
        <w:top w:val="none" w:sz="0" w:space="0" w:color="auto"/>
        <w:left w:val="none" w:sz="0" w:space="0" w:color="auto"/>
        <w:bottom w:val="none" w:sz="0" w:space="0" w:color="auto"/>
        <w:right w:val="none" w:sz="0" w:space="0" w:color="auto"/>
      </w:divBdr>
    </w:div>
    <w:div w:id="80029401">
      <w:bodyDiv w:val="1"/>
      <w:marLeft w:val="0"/>
      <w:marRight w:val="0"/>
      <w:marTop w:val="0"/>
      <w:marBottom w:val="0"/>
      <w:divBdr>
        <w:top w:val="none" w:sz="0" w:space="0" w:color="auto"/>
        <w:left w:val="none" w:sz="0" w:space="0" w:color="auto"/>
        <w:bottom w:val="none" w:sz="0" w:space="0" w:color="auto"/>
        <w:right w:val="none" w:sz="0" w:space="0" w:color="auto"/>
      </w:divBdr>
    </w:div>
    <w:div w:id="103576776">
      <w:bodyDiv w:val="1"/>
      <w:marLeft w:val="0"/>
      <w:marRight w:val="0"/>
      <w:marTop w:val="0"/>
      <w:marBottom w:val="0"/>
      <w:divBdr>
        <w:top w:val="none" w:sz="0" w:space="0" w:color="auto"/>
        <w:left w:val="none" w:sz="0" w:space="0" w:color="auto"/>
        <w:bottom w:val="none" w:sz="0" w:space="0" w:color="auto"/>
        <w:right w:val="none" w:sz="0" w:space="0" w:color="auto"/>
      </w:divBdr>
      <w:divsChild>
        <w:div w:id="673606357">
          <w:marLeft w:val="0"/>
          <w:marRight w:val="0"/>
          <w:marTop w:val="0"/>
          <w:marBottom w:val="0"/>
          <w:divBdr>
            <w:top w:val="none" w:sz="0" w:space="0" w:color="auto"/>
            <w:left w:val="none" w:sz="0" w:space="0" w:color="auto"/>
            <w:bottom w:val="none" w:sz="0" w:space="0" w:color="auto"/>
            <w:right w:val="none" w:sz="0" w:space="0" w:color="auto"/>
          </w:divBdr>
          <w:divsChild>
            <w:div w:id="172501746">
              <w:marLeft w:val="0"/>
              <w:marRight w:val="0"/>
              <w:marTop w:val="0"/>
              <w:marBottom w:val="0"/>
              <w:divBdr>
                <w:top w:val="none" w:sz="0" w:space="0" w:color="auto"/>
                <w:left w:val="none" w:sz="0" w:space="0" w:color="auto"/>
                <w:bottom w:val="none" w:sz="0" w:space="0" w:color="auto"/>
                <w:right w:val="none" w:sz="0" w:space="0" w:color="auto"/>
              </w:divBdr>
              <w:divsChild>
                <w:div w:id="457604358">
                  <w:marLeft w:val="0"/>
                  <w:marRight w:val="0"/>
                  <w:marTop w:val="0"/>
                  <w:marBottom w:val="0"/>
                  <w:divBdr>
                    <w:top w:val="none" w:sz="0" w:space="0" w:color="auto"/>
                    <w:left w:val="none" w:sz="0" w:space="0" w:color="auto"/>
                    <w:bottom w:val="none" w:sz="0" w:space="0" w:color="auto"/>
                    <w:right w:val="none" w:sz="0" w:space="0" w:color="auto"/>
                  </w:divBdr>
                </w:div>
              </w:divsChild>
            </w:div>
            <w:div w:id="848372442">
              <w:marLeft w:val="0"/>
              <w:marRight w:val="0"/>
              <w:marTop w:val="0"/>
              <w:marBottom w:val="0"/>
              <w:divBdr>
                <w:top w:val="none" w:sz="0" w:space="0" w:color="auto"/>
                <w:left w:val="none" w:sz="0" w:space="0" w:color="auto"/>
                <w:bottom w:val="none" w:sz="0" w:space="0" w:color="auto"/>
                <w:right w:val="none" w:sz="0" w:space="0" w:color="auto"/>
              </w:divBdr>
              <w:divsChild>
                <w:div w:id="1107384064">
                  <w:marLeft w:val="0"/>
                  <w:marRight w:val="0"/>
                  <w:marTop w:val="0"/>
                  <w:marBottom w:val="0"/>
                  <w:divBdr>
                    <w:top w:val="none" w:sz="0" w:space="0" w:color="auto"/>
                    <w:left w:val="none" w:sz="0" w:space="0" w:color="auto"/>
                    <w:bottom w:val="none" w:sz="0" w:space="0" w:color="auto"/>
                    <w:right w:val="none" w:sz="0" w:space="0" w:color="auto"/>
                  </w:divBdr>
                </w:div>
              </w:divsChild>
            </w:div>
            <w:div w:id="1124427244">
              <w:marLeft w:val="0"/>
              <w:marRight w:val="0"/>
              <w:marTop w:val="0"/>
              <w:marBottom w:val="0"/>
              <w:divBdr>
                <w:top w:val="none" w:sz="0" w:space="0" w:color="auto"/>
                <w:left w:val="none" w:sz="0" w:space="0" w:color="auto"/>
                <w:bottom w:val="none" w:sz="0" w:space="0" w:color="auto"/>
                <w:right w:val="none" w:sz="0" w:space="0" w:color="auto"/>
              </w:divBdr>
              <w:divsChild>
                <w:div w:id="38750144">
                  <w:marLeft w:val="0"/>
                  <w:marRight w:val="0"/>
                  <w:marTop w:val="0"/>
                  <w:marBottom w:val="0"/>
                  <w:divBdr>
                    <w:top w:val="none" w:sz="0" w:space="0" w:color="auto"/>
                    <w:left w:val="none" w:sz="0" w:space="0" w:color="auto"/>
                    <w:bottom w:val="none" w:sz="0" w:space="0" w:color="auto"/>
                    <w:right w:val="none" w:sz="0" w:space="0" w:color="auto"/>
                  </w:divBdr>
                </w:div>
                <w:div w:id="581180029">
                  <w:marLeft w:val="0"/>
                  <w:marRight w:val="0"/>
                  <w:marTop w:val="0"/>
                  <w:marBottom w:val="0"/>
                  <w:divBdr>
                    <w:top w:val="none" w:sz="0" w:space="0" w:color="auto"/>
                    <w:left w:val="none" w:sz="0" w:space="0" w:color="auto"/>
                    <w:bottom w:val="none" w:sz="0" w:space="0" w:color="auto"/>
                    <w:right w:val="none" w:sz="0" w:space="0" w:color="auto"/>
                  </w:divBdr>
                </w:div>
                <w:div w:id="1569653700">
                  <w:marLeft w:val="0"/>
                  <w:marRight w:val="0"/>
                  <w:marTop w:val="0"/>
                  <w:marBottom w:val="0"/>
                  <w:divBdr>
                    <w:top w:val="none" w:sz="0" w:space="0" w:color="auto"/>
                    <w:left w:val="none" w:sz="0" w:space="0" w:color="auto"/>
                    <w:bottom w:val="none" w:sz="0" w:space="0" w:color="auto"/>
                    <w:right w:val="none" w:sz="0" w:space="0" w:color="auto"/>
                  </w:divBdr>
                </w:div>
              </w:divsChild>
            </w:div>
            <w:div w:id="2122337894">
              <w:marLeft w:val="0"/>
              <w:marRight w:val="0"/>
              <w:marTop w:val="0"/>
              <w:marBottom w:val="0"/>
              <w:divBdr>
                <w:top w:val="none" w:sz="0" w:space="0" w:color="auto"/>
                <w:left w:val="none" w:sz="0" w:space="0" w:color="auto"/>
                <w:bottom w:val="none" w:sz="0" w:space="0" w:color="auto"/>
                <w:right w:val="none" w:sz="0" w:space="0" w:color="auto"/>
              </w:divBdr>
              <w:divsChild>
                <w:div w:id="11001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944">
      <w:bodyDiv w:val="1"/>
      <w:marLeft w:val="0"/>
      <w:marRight w:val="0"/>
      <w:marTop w:val="0"/>
      <w:marBottom w:val="0"/>
      <w:divBdr>
        <w:top w:val="none" w:sz="0" w:space="0" w:color="auto"/>
        <w:left w:val="none" w:sz="0" w:space="0" w:color="auto"/>
        <w:bottom w:val="none" w:sz="0" w:space="0" w:color="auto"/>
        <w:right w:val="none" w:sz="0" w:space="0" w:color="auto"/>
      </w:divBdr>
    </w:div>
    <w:div w:id="339310643">
      <w:bodyDiv w:val="1"/>
      <w:marLeft w:val="0"/>
      <w:marRight w:val="0"/>
      <w:marTop w:val="0"/>
      <w:marBottom w:val="0"/>
      <w:divBdr>
        <w:top w:val="none" w:sz="0" w:space="0" w:color="auto"/>
        <w:left w:val="none" w:sz="0" w:space="0" w:color="auto"/>
        <w:bottom w:val="none" w:sz="0" w:space="0" w:color="auto"/>
        <w:right w:val="none" w:sz="0" w:space="0" w:color="auto"/>
      </w:divBdr>
    </w:div>
    <w:div w:id="350496791">
      <w:bodyDiv w:val="1"/>
      <w:marLeft w:val="0"/>
      <w:marRight w:val="0"/>
      <w:marTop w:val="0"/>
      <w:marBottom w:val="0"/>
      <w:divBdr>
        <w:top w:val="none" w:sz="0" w:space="0" w:color="auto"/>
        <w:left w:val="none" w:sz="0" w:space="0" w:color="auto"/>
        <w:bottom w:val="none" w:sz="0" w:space="0" w:color="auto"/>
        <w:right w:val="none" w:sz="0" w:space="0" w:color="auto"/>
      </w:divBdr>
      <w:divsChild>
        <w:div w:id="1048258590">
          <w:marLeft w:val="0"/>
          <w:marRight w:val="0"/>
          <w:marTop w:val="150"/>
          <w:marBottom w:val="0"/>
          <w:divBdr>
            <w:top w:val="none" w:sz="0" w:space="0" w:color="auto"/>
            <w:left w:val="single" w:sz="6" w:space="0" w:color="999999"/>
            <w:bottom w:val="none" w:sz="0" w:space="0" w:color="auto"/>
            <w:right w:val="single" w:sz="6" w:space="0" w:color="999999"/>
          </w:divBdr>
          <w:divsChild>
            <w:div w:id="1079525125">
              <w:marLeft w:val="0"/>
              <w:marRight w:val="0"/>
              <w:marTop w:val="0"/>
              <w:marBottom w:val="0"/>
              <w:divBdr>
                <w:top w:val="single" w:sz="6" w:space="0" w:color="999999"/>
                <w:left w:val="none" w:sz="0" w:space="0" w:color="auto"/>
                <w:bottom w:val="single" w:sz="6" w:space="0" w:color="999999"/>
                <w:right w:val="none" w:sz="0" w:space="0" w:color="auto"/>
              </w:divBdr>
              <w:divsChild>
                <w:div w:id="131991104">
                  <w:marLeft w:val="0"/>
                  <w:marRight w:val="0"/>
                  <w:marTop w:val="0"/>
                  <w:marBottom w:val="0"/>
                  <w:divBdr>
                    <w:top w:val="none" w:sz="0" w:space="0" w:color="auto"/>
                    <w:left w:val="none" w:sz="0" w:space="0" w:color="auto"/>
                    <w:bottom w:val="none" w:sz="0" w:space="0" w:color="auto"/>
                    <w:right w:val="none" w:sz="0" w:space="0" w:color="auto"/>
                  </w:divBdr>
                  <w:divsChild>
                    <w:div w:id="1532524476">
                      <w:marLeft w:val="0"/>
                      <w:marRight w:val="0"/>
                      <w:marTop w:val="0"/>
                      <w:marBottom w:val="0"/>
                      <w:divBdr>
                        <w:top w:val="none" w:sz="0" w:space="0" w:color="auto"/>
                        <w:left w:val="none" w:sz="0" w:space="0" w:color="auto"/>
                        <w:bottom w:val="none" w:sz="0" w:space="0" w:color="auto"/>
                        <w:right w:val="none" w:sz="0" w:space="0" w:color="auto"/>
                      </w:divBdr>
                      <w:divsChild>
                        <w:div w:id="729036816">
                          <w:marLeft w:val="600"/>
                          <w:marRight w:val="0"/>
                          <w:marTop w:val="150"/>
                          <w:marBottom w:val="375"/>
                          <w:divBdr>
                            <w:top w:val="none" w:sz="0" w:space="0" w:color="auto"/>
                            <w:left w:val="none" w:sz="0" w:space="0" w:color="auto"/>
                            <w:bottom w:val="none" w:sz="0" w:space="0" w:color="auto"/>
                            <w:right w:val="none" w:sz="0" w:space="0" w:color="auto"/>
                          </w:divBdr>
                          <w:divsChild>
                            <w:div w:id="450056750">
                              <w:marLeft w:val="0"/>
                              <w:marRight w:val="450"/>
                              <w:marTop w:val="0"/>
                              <w:marBottom w:val="0"/>
                              <w:divBdr>
                                <w:top w:val="none" w:sz="0" w:space="0" w:color="auto"/>
                                <w:left w:val="none" w:sz="0" w:space="0" w:color="auto"/>
                                <w:bottom w:val="none" w:sz="0" w:space="0" w:color="auto"/>
                                <w:right w:val="none" w:sz="0" w:space="0" w:color="auto"/>
                              </w:divBdr>
                              <w:divsChild>
                                <w:div w:id="1774129036">
                                  <w:marLeft w:val="0"/>
                                  <w:marRight w:val="0"/>
                                  <w:marTop w:val="0"/>
                                  <w:marBottom w:val="0"/>
                                  <w:divBdr>
                                    <w:top w:val="none" w:sz="0" w:space="0" w:color="auto"/>
                                    <w:left w:val="none" w:sz="0" w:space="0" w:color="auto"/>
                                    <w:bottom w:val="none" w:sz="0" w:space="0" w:color="auto"/>
                                    <w:right w:val="none" w:sz="0" w:space="0" w:color="auto"/>
                                  </w:divBdr>
                                  <w:divsChild>
                                    <w:div w:id="1683362830">
                                      <w:marLeft w:val="0"/>
                                      <w:marRight w:val="0"/>
                                      <w:marTop w:val="0"/>
                                      <w:marBottom w:val="0"/>
                                      <w:divBdr>
                                        <w:top w:val="none" w:sz="0" w:space="0" w:color="auto"/>
                                        <w:left w:val="none" w:sz="0" w:space="0" w:color="auto"/>
                                        <w:bottom w:val="none" w:sz="0" w:space="0" w:color="auto"/>
                                        <w:right w:val="none" w:sz="0" w:space="0" w:color="auto"/>
                                      </w:divBdr>
                                      <w:divsChild>
                                        <w:div w:id="1275207057">
                                          <w:marLeft w:val="0"/>
                                          <w:marRight w:val="0"/>
                                          <w:marTop w:val="0"/>
                                          <w:marBottom w:val="0"/>
                                          <w:divBdr>
                                            <w:top w:val="none" w:sz="0" w:space="0" w:color="auto"/>
                                            <w:left w:val="none" w:sz="0" w:space="0" w:color="auto"/>
                                            <w:bottom w:val="none" w:sz="0" w:space="0" w:color="auto"/>
                                            <w:right w:val="none" w:sz="0" w:space="0" w:color="auto"/>
                                          </w:divBdr>
                                          <w:divsChild>
                                            <w:div w:id="7648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090067">
      <w:bodyDiv w:val="1"/>
      <w:marLeft w:val="0"/>
      <w:marRight w:val="0"/>
      <w:marTop w:val="0"/>
      <w:marBottom w:val="0"/>
      <w:divBdr>
        <w:top w:val="none" w:sz="0" w:space="0" w:color="auto"/>
        <w:left w:val="none" w:sz="0" w:space="0" w:color="auto"/>
        <w:bottom w:val="none" w:sz="0" w:space="0" w:color="auto"/>
        <w:right w:val="none" w:sz="0" w:space="0" w:color="auto"/>
      </w:divBdr>
      <w:divsChild>
        <w:div w:id="1755085780">
          <w:marLeft w:val="0"/>
          <w:marRight w:val="0"/>
          <w:marTop w:val="0"/>
          <w:marBottom w:val="0"/>
          <w:divBdr>
            <w:top w:val="none" w:sz="0" w:space="0" w:color="auto"/>
            <w:left w:val="none" w:sz="0" w:space="0" w:color="auto"/>
            <w:bottom w:val="none" w:sz="0" w:space="0" w:color="auto"/>
            <w:right w:val="none" w:sz="0" w:space="0" w:color="auto"/>
          </w:divBdr>
          <w:divsChild>
            <w:div w:id="37053316">
              <w:marLeft w:val="0"/>
              <w:marRight w:val="0"/>
              <w:marTop w:val="0"/>
              <w:marBottom w:val="0"/>
              <w:divBdr>
                <w:top w:val="none" w:sz="0" w:space="0" w:color="auto"/>
                <w:left w:val="none" w:sz="0" w:space="0" w:color="auto"/>
                <w:bottom w:val="none" w:sz="0" w:space="0" w:color="auto"/>
                <w:right w:val="none" w:sz="0" w:space="0" w:color="auto"/>
              </w:divBdr>
              <w:divsChild>
                <w:div w:id="7645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01471">
      <w:bodyDiv w:val="1"/>
      <w:marLeft w:val="0"/>
      <w:marRight w:val="0"/>
      <w:marTop w:val="0"/>
      <w:marBottom w:val="0"/>
      <w:divBdr>
        <w:top w:val="none" w:sz="0" w:space="0" w:color="auto"/>
        <w:left w:val="none" w:sz="0" w:space="0" w:color="auto"/>
        <w:bottom w:val="none" w:sz="0" w:space="0" w:color="auto"/>
        <w:right w:val="none" w:sz="0" w:space="0" w:color="auto"/>
      </w:divBdr>
      <w:divsChild>
        <w:div w:id="1315060191">
          <w:marLeft w:val="0"/>
          <w:marRight w:val="0"/>
          <w:marTop w:val="0"/>
          <w:marBottom w:val="0"/>
          <w:divBdr>
            <w:top w:val="none" w:sz="0" w:space="0" w:color="auto"/>
            <w:left w:val="none" w:sz="0" w:space="0" w:color="auto"/>
            <w:bottom w:val="none" w:sz="0" w:space="0" w:color="auto"/>
            <w:right w:val="none" w:sz="0" w:space="0" w:color="auto"/>
          </w:divBdr>
          <w:divsChild>
            <w:div w:id="20327122">
              <w:marLeft w:val="0"/>
              <w:marRight w:val="0"/>
              <w:marTop w:val="0"/>
              <w:marBottom w:val="0"/>
              <w:divBdr>
                <w:top w:val="none" w:sz="0" w:space="0" w:color="auto"/>
                <w:left w:val="none" w:sz="0" w:space="0" w:color="auto"/>
                <w:bottom w:val="none" w:sz="0" w:space="0" w:color="auto"/>
                <w:right w:val="none" w:sz="0" w:space="0" w:color="auto"/>
              </w:divBdr>
              <w:divsChild>
                <w:div w:id="1318143521">
                  <w:marLeft w:val="0"/>
                  <w:marRight w:val="0"/>
                  <w:marTop w:val="0"/>
                  <w:marBottom w:val="0"/>
                  <w:divBdr>
                    <w:top w:val="none" w:sz="0" w:space="0" w:color="auto"/>
                    <w:left w:val="none" w:sz="0" w:space="0" w:color="auto"/>
                    <w:bottom w:val="none" w:sz="0" w:space="0" w:color="auto"/>
                    <w:right w:val="none" w:sz="0" w:space="0" w:color="auto"/>
                  </w:divBdr>
                </w:div>
                <w:div w:id="15893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1647">
      <w:bodyDiv w:val="1"/>
      <w:marLeft w:val="0"/>
      <w:marRight w:val="0"/>
      <w:marTop w:val="0"/>
      <w:marBottom w:val="0"/>
      <w:divBdr>
        <w:top w:val="none" w:sz="0" w:space="0" w:color="auto"/>
        <w:left w:val="none" w:sz="0" w:space="0" w:color="auto"/>
        <w:bottom w:val="none" w:sz="0" w:space="0" w:color="auto"/>
        <w:right w:val="none" w:sz="0" w:space="0" w:color="auto"/>
      </w:divBdr>
      <w:divsChild>
        <w:div w:id="134759470">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3483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187">
      <w:bodyDiv w:val="1"/>
      <w:marLeft w:val="0"/>
      <w:marRight w:val="0"/>
      <w:marTop w:val="0"/>
      <w:marBottom w:val="0"/>
      <w:divBdr>
        <w:top w:val="none" w:sz="0" w:space="0" w:color="auto"/>
        <w:left w:val="none" w:sz="0" w:space="0" w:color="auto"/>
        <w:bottom w:val="none" w:sz="0" w:space="0" w:color="auto"/>
        <w:right w:val="none" w:sz="0" w:space="0" w:color="auto"/>
      </w:divBdr>
      <w:divsChild>
        <w:div w:id="159001908">
          <w:marLeft w:val="0"/>
          <w:marRight w:val="0"/>
          <w:marTop w:val="0"/>
          <w:marBottom w:val="0"/>
          <w:divBdr>
            <w:top w:val="none" w:sz="0" w:space="0" w:color="auto"/>
            <w:left w:val="none" w:sz="0" w:space="0" w:color="auto"/>
            <w:bottom w:val="none" w:sz="0" w:space="0" w:color="auto"/>
            <w:right w:val="none" w:sz="0" w:space="0" w:color="auto"/>
          </w:divBdr>
        </w:div>
        <w:div w:id="695078127">
          <w:marLeft w:val="0"/>
          <w:marRight w:val="0"/>
          <w:marTop w:val="0"/>
          <w:marBottom w:val="0"/>
          <w:divBdr>
            <w:top w:val="none" w:sz="0" w:space="0" w:color="auto"/>
            <w:left w:val="none" w:sz="0" w:space="0" w:color="auto"/>
            <w:bottom w:val="none" w:sz="0" w:space="0" w:color="auto"/>
            <w:right w:val="none" w:sz="0" w:space="0" w:color="auto"/>
          </w:divBdr>
        </w:div>
        <w:div w:id="755175371">
          <w:marLeft w:val="0"/>
          <w:marRight w:val="0"/>
          <w:marTop w:val="0"/>
          <w:marBottom w:val="0"/>
          <w:divBdr>
            <w:top w:val="none" w:sz="0" w:space="0" w:color="auto"/>
            <w:left w:val="none" w:sz="0" w:space="0" w:color="auto"/>
            <w:bottom w:val="none" w:sz="0" w:space="0" w:color="auto"/>
            <w:right w:val="none" w:sz="0" w:space="0" w:color="auto"/>
          </w:divBdr>
        </w:div>
        <w:div w:id="855463187">
          <w:marLeft w:val="0"/>
          <w:marRight w:val="0"/>
          <w:marTop w:val="0"/>
          <w:marBottom w:val="0"/>
          <w:divBdr>
            <w:top w:val="none" w:sz="0" w:space="0" w:color="auto"/>
            <w:left w:val="none" w:sz="0" w:space="0" w:color="auto"/>
            <w:bottom w:val="none" w:sz="0" w:space="0" w:color="auto"/>
            <w:right w:val="none" w:sz="0" w:space="0" w:color="auto"/>
          </w:divBdr>
        </w:div>
        <w:div w:id="943272247">
          <w:marLeft w:val="0"/>
          <w:marRight w:val="0"/>
          <w:marTop w:val="0"/>
          <w:marBottom w:val="0"/>
          <w:divBdr>
            <w:top w:val="none" w:sz="0" w:space="0" w:color="auto"/>
            <w:left w:val="none" w:sz="0" w:space="0" w:color="auto"/>
            <w:bottom w:val="none" w:sz="0" w:space="0" w:color="auto"/>
            <w:right w:val="none" w:sz="0" w:space="0" w:color="auto"/>
          </w:divBdr>
        </w:div>
        <w:div w:id="1052925024">
          <w:marLeft w:val="0"/>
          <w:marRight w:val="0"/>
          <w:marTop w:val="0"/>
          <w:marBottom w:val="0"/>
          <w:divBdr>
            <w:top w:val="none" w:sz="0" w:space="0" w:color="auto"/>
            <w:left w:val="none" w:sz="0" w:space="0" w:color="auto"/>
            <w:bottom w:val="none" w:sz="0" w:space="0" w:color="auto"/>
            <w:right w:val="none" w:sz="0" w:space="0" w:color="auto"/>
          </w:divBdr>
        </w:div>
        <w:div w:id="1342852009">
          <w:marLeft w:val="0"/>
          <w:marRight w:val="0"/>
          <w:marTop w:val="0"/>
          <w:marBottom w:val="0"/>
          <w:divBdr>
            <w:top w:val="none" w:sz="0" w:space="0" w:color="auto"/>
            <w:left w:val="none" w:sz="0" w:space="0" w:color="auto"/>
            <w:bottom w:val="none" w:sz="0" w:space="0" w:color="auto"/>
            <w:right w:val="none" w:sz="0" w:space="0" w:color="auto"/>
          </w:divBdr>
        </w:div>
        <w:div w:id="1358702677">
          <w:marLeft w:val="0"/>
          <w:marRight w:val="0"/>
          <w:marTop w:val="0"/>
          <w:marBottom w:val="0"/>
          <w:divBdr>
            <w:top w:val="none" w:sz="0" w:space="0" w:color="auto"/>
            <w:left w:val="none" w:sz="0" w:space="0" w:color="auto"/>
            <w:bottom w:val="none" w:sz="0" w:space="0" w:color="auto"/>
            <w:right w:val="none" w:sz="0" w:space="0" w:color="auto"/>
          </w:divBdr>
        </w:div>
        <w:div w:id="1611355233">
          <w:marLeft w:val="0"/>
          <w:marRight w:val="0"/>
          <w:marTop w:val="0"/>
          <w:marBottom w:val="0"/>
          <w:divBdr>
            <w:top w:val="none" w:sz="0" w:space="0" w:color="auto"/>
            <w:left w:val="none" w:sz="0" w:space="0" w:color="auto"/>
            <w:bottom w:val="none" w:sz="0" w:space="0" w:color="auto"/>
            <w:right w:val="none" w:sz="0" w:space="0" w:color="auto"/>
          </w:divBdr>
        </w:div>
        <w:div w:id="1715882231">
          <w:marLeft w:val="0"/>
          <w:marRight w:val="0"/>
          <w:marTop w:val="0"/>
          <w:marBottom w:val="0"/>
          <w:divBdr>
            <w:top w:val="none" w:sz="0" w:space="0" w:color="auto"/>
            <w:left w:val="none" w:sz="0" w:space="0" w:color="auto"/>
            <w:bottom w:val="none" w:sz="0" w:space="0" w:color="auto"/>
            <w:right w:val="none" w:sz="0" w:space="0" w:color="auto"/>
          </w:divBdr>
        </w:div>
        <w:div w:id="1791197129">
          <w:marLeft w:val="0"/>
          <w:marRight w:val="0"/>
          <w:marTop w:val="0"/>
          <w:marBottom w:val="0"/>
          <w:divBdr>
            <w:top w:val="none" w:sz="0" w:space="0" w:color="auto"/>
            <w:left w:val="none" w:sz="0" w:space="0" w:color="auto"/>
            <w:bottom w:val="none" w:sz="0" w:space="0" w:color="auto"/>
            <w:right w:val="none" w:sz="0" w:space="0" w:color="auto"/>
          </w:divBdr>
        </w:div>
      </w:divsChild>
    </w:div>
    <w:div w:id="1380664398">
      <w:bodyDiv w:val="1"/>
      <w:marLeft w:val="0"/>
      <w:marRight w:val="0"/>
      <w:marTop w:val="0"/>
      <w:marBottom w:val="0"/>
      <w:divBdr>
        <w:top w:val="none" w:sz="0" w:space="0" w:color="auto"/>
        <w:left w:val="none" w:sz="0" w:space="0" w:color="auto"/>
        <w:bottom w:val="none" w:sz="0" w:space="0" w:color="auto"/>
        <w:right w:val="none" w:sz="0" w:space="0" w:color="auto"/>
      </w:divBdr>
      <w:divsChild>
        <w:div w:id="1073549175">
          <w:marLeft w:val="0"/>
          <w:marRight w:val="0"/>
          <w:marTop w:val="0"/>
          <w:marBottom w:val="0"/>
          <w:divBdr>
            <w:top w:val="none" w:sz="0" w:space="0" w:color="auto"/>
            <w:left w:val="none" w:sz="0" w:space="0" w:color="auto"/>
            <w:bottom w:val="none" w:sz="0" w:space="0" w:color="auto"/>
            <w:right w:val="none" w:sz="0" w:space="0" w:color="auto"/>
          </w:divBdr>
          <w:divsChild>
            <w:div w:id="1964143165">
              <w:marLeft w:val="0"/>
              <w:marRight w:val="0"/>
              <w:marTop w:val="0"/>
              <w:marBottom w:val="0"/>
              <w:divBdr>
                <w:top w:val="none" w:sz="0" w:space="0" w:color="auto"/>
                <w:left w:val="none" w:sz="0" w:space="0" w:color="auto"/>
                <w:bottom w:val="none" w:sz="0" w:space="0" w:color="auto"/>
                <w:right w:val="none" w:sz="0" w:space="0" w:color="auto"/>
              </w:divBdr>
              <w:divsChild>
                <w:div w:id="18869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5553">
      <w:bodyDiv w:val="1"/>
      <w:marLeft w:val="0"/>
      <w:marRight w:val="0"/>
      <w:marTop w:val="0"/>
      <w:marBottom w:val="0"/>
      <w:divBdr>
        <w:top w:val="none" w:sz="0" w:space="0" w:color="auto"/>
        <w:left w:val="none" w:sz="0" w:space="0" w:color="auto"/>
        <w:bottom w:val="none" w:sz="0" w:space="0" w:color="auto"/>
        <w:right w:val="none" w:sz="0" w:space="0" w:color="auto"/>
      </w:divBdr>
    </w:div>
    <w:div w:id="1885409419">
      <w:bodyDiv w:val="1"/>
      <w:marLeft w:val="0"/>
      <w:marRight w:val="0"/>
      <w:marTop w:val="0"/>
      <w:marBottom w:val="0"/>
      <w:divBdr>
        <w:top w:val="none" w:sz="0" w:space="0" w:color="auto"/>
        <w:left w:val="none" w:sz="0" w:space="0" w:color="auto"/>
        <w:bottom w:val="none" w:sz="0" w:space="0" w:color="auto"/>
        <w:right w:val="none" w:sz="0" w:space="0" w:color="auto"/>
      </w:divBdr>
      <w:divsChild>
        <w:div w:id="323239930">
          <w:marLeft w:val="0"/>
          <w:marRight w:val="0"/>
          <w:marTop w:val="0"/>
          <w:marBottom w:val="0"/>
          <w:divBdr>
            <w:top w:val="none" w:sz="0" w:space="0" w:color="auto"/>
            <w:left w:val="none" w:sz="0" w:space="0" w:color="auto"/>
            <w:bottom w:val="none" w:sz="0" w:space="0" w:color="auto"/>
            <w:right w:val="none" w:sz="0" w:space="0" w:color="auto"/>
          </w:divBdr>
          <w:divsChild>
            <w:div w:id="1614047997">
              <w:marLeft w:val="0"/>
              <w:marRight w:val="0"/>
              <w:marTop w:val="0"/>
              <w:marBottom w:val="0"/>
              <w:divBdr>
                <w:top w:val="none" w:sz="0" w:space="0" w:color="auto"/>
                <w:left w:val="none" w:sz="0" w:space="0" w:color="auto"/>
                <w:bottom w:val="none" w:sz="0" w:space="0" w:color="auto"/>
                <w:right w:val="none" w:sz="0" w:space="0" w:color="auto"/>
              </w:divBdr>
              <w:divsChild>
                <w:div w:id="14833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2060">
      <w:bodyDiv w:val="1"/>
      <w:marLeft w:val="0"/>
      <w:marRight w:val="0"/>
      <w:marTop w:val="0"/>
      <w:marBottom w:val="0"/>
      <w:divBdr>
        <w:top w:val="none" w:sz="0" w:space="0" w:color="auto"/>
        <w:left w:val="none" w:sz="0" w:space="0" w:color="auto"/>
        <w:bottom w:val="none" w:sz="0" w:space="0" w:color="auto"/>
        <w:right w:val="none" w:sz="0" w:space="0" w:color="auto"/>
      </w:divBdr>
      <w:divsChild>
        <w:div w:id="248582145">
          <w:marLeft w:val="0"/>
          <w:marRight w:val="0"/>
          <w:marTop w:val="0"/>
          <w:marBottom w:val="0"/>
          <w:divBdr>
            <w:top w:val="none" w:sz="0" w:space="0" w:color="auto"/>
            <w:left w:val="none" w:sz="0" w:space="0" w:color="auto"/>
            <w:bottom w:val="none" w:sz="0" w:space="0" w:color="auto"/>
            <w:right w:val="none" w:sz="0" w:space="0" w:color="auto"/>
          </w:divBdr>
          <w:divsChild>
            <w:div w:id="41485076">
              <w:marLeft w:val="0"/>
              <w:marRight w:val="0"/>
              <w:marTop w:val="0"/>
              <w:marBottom w:val="0"/>
              <w:divBdr>
                <w:top w:val="none" w:sz="0" w:space="0" w:color="auto"/>
                <w:left w:val="none" w:sz="0" w:space="0" w:color="auto"/>
                <w:bottom w:val="none" w:sz="0" w:space="0" w:color="auto"/>
                <w:right w:val="none" w:sz="0" w:space="0" w:color="auto"/>
              </w:divBdr>
              <w:divsChild>
                <w:div w:id="1082752869">
                  <w:marLeft w:val="0"/>
                  <w:marRight w:val="0"/>
                  <w:marTop w:val="0"/>
                  <w:marBottom w:val="0"/>
                  <w:divBdr>
                    <w:top w:val="none" w:sz="0" w:space="0" w:color="auto"/>
                    <w:left w:val="none" w:sz="0" w:space="0" w:color="auto"/>
                    <w:bottom w:val="none" w:sz="0" w:space="0" w:color="auto"/>
                    <w:right w:val="none" w:sz="0" w:space="0" w:color="auto"/>
                  </w:divBdr>
                  <w:divsChild>
                    <w:div w:id="4398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ED1C9-24F6-4888-BF58-A611792B1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8166</Words>
  <Characters>46552</Characters>
  <Application>Microsoft Office Word</Application>
  <DocSecurity>0</DocSecurity>
  <Lines>387</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54609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Worsley P.R.</dc:creator>
  <cp:lastModifiedBy>Worsley P.R.</cp:lastModifiedBy>
  <cp:revision>4</cp:revision>
  <cp:lastPrinted>2015-07-20T13:09:00Z</cp:lastPrinted>
  <dcterms:created xsi:type="dcterms:W3CDTF">2016-03-03T09:13:00Z</dcterms:created>
  <dcterms:modified xsi:type="dcterms:W3CDTF">2016-03-03T09:14:00Z</dcterms:modified>
</cp:coreProperties>
</file>