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6B" w:rsidRDefault="009D696B" w:rsidP="009D696B">
      <w:pPr>
        <w:pStyle w:val="Heading1"/>
      </w:pPr>
      <w:bookmarkStart w:id="0" w:name="_GoBack"/>
      <w:bookmarkEnd w:id="0"/>
      <w:r>
        <w:t xml:space="preserve">TRENDS IN MORTALITY FROM OCCUPATIONAL HAZARDS </w:t>
      </w:r>
      <w:r w:rsidR="008E0F58">
        <w:t xml:space="preserve">AMONG MEN </w:t>
      </w:r>
      <w:r>
        <w:t>IN ENGLAND AND WALES DURING 1979-2010</w:t>
      </w:r>
    </w:p>
    <w:p w:rsidR="009D696B" w:rsidRDefault="009D696B" w:rsidP="009D696B">
      <w:pPr>
        <w:pStyle w:val="Heading1"/>
      </w:pPr>
    </w:p>
    <w:p w:rsidR="00DA7539" w:rsidRPr="00DA7539" w:rsidRDefault="00DA7539" w:rsidP="00DA7539"/>
    <w:p w:rsidR="009D696B" w:rsidRPr="009D696B" w:rsidRDefault="009D696B" w:rsidP="009D696B">
      <w:pPr>
        <w:jc w:val="center"/>
        <w:rPr>
          <w:b/>
          <w:vertAlign w:val="superscript"/>
        </w:rPr>
      </w:pPr>
      <w:r w:rsidRPr="009D696B">
        <w:rPr>
          <w:b/>
        </w:rPr>
        <w:t>E Clare Harris</w:t>
      </w:r>
      <w:r>
        <w:rPr>
          <w:b/>
          <w:vertAlign w:val="superscript"/>
        </w:rPr>
        <w:t>1</w:t>
      </w:r>
    </w:p>
    <w:p w:rsidR="009D696B" w:rsidRPr="009D696B" w:rsidRDefault="009D696B" w:rsidP="009D696B">
      <w:pPr>
        <w:jc w:val="center"/>
        <w:rPr>
          <w:b/>
        </w:rPr>
      </w:pPr>
      <w:r w:rsidRPr="009D696B">
        <w:rPr>
          <w:b/>
        </w:rPr>
        <w:t>Keith T Palmer</w:t>
      </w:r>
      <w:r w:rsidRPr="009D696B">
        <w:rPr>
          <w:b/>
          <w:vertAlign w:val="superscript"/>
        </w:rPr>
        <w:t>1</w:t>
      </w:r>
    </w:p>
    <w:p w:rsidR="009D696B" w:rsidRPr="009D696B" w:rsidRDefault="009D696B" w:rsidP="009D696B">
      <w:pPr>
        <w:jc w:val="center"/>
        <w:rPr>
          <w:b/>
          <w:vertAlign w:val="superscript"/>
        </w:rPr>
      </w:pPr>
      <w:r w:rsidRPr="009D696B">
        <w:rPr>
          <w:b/>
        </w:rPr>
        <w:t>Vanessa Cox</w:t>
      </w:r>
      <w:r>
        <w:rPr>
          <w:b/>
          <w:vertAlign w:val="superscript"/>
        </w:rPr>
        <w:t>1</w:t>
      </w:r>
    </w:p>
    <w:p w:rsidR="009D696B" w:rsidRPr="009D696B" w:rsidRDefault="009D696B" w:rsidP="009D696B">
      <w:pPr>
        <w:jc w:val="center"/>
        <w:rPr>
          <w:b/>
          <w:vertAlign w:val="superscript"/>
        </w:rPr>
      </w:pPr>
      <w:r w:rsidRPr="009D696B">
        <w:rPr>
          <w:b/>
        </w:rPr>
        <w:t>Andrew Darnton</w:t>
      </w:r>
      <w:r>
        <w:rPr>
          <w:b/>
          <w:vertAlign w:val="superscript"/>
        </w:rPr>
        <w:t>2</w:t>
      </w:r>
    </w:p>
    <w:p w:rsidR="009D696B" w:rsidRPr="009D696B" w:rsidRDefault="009D696B" w:rsidP="009D696B">
      <w:pPr>
        <w:jc w:val="center"/>
        <w:rPr>
          <w:b/>
          <w:vertAlign w:val="superscript"/>
        </w:rPr>
      </w:pPr>
      <w:r w:rsidRPr="009D696B">
        <w:rPr>
          <w:b/>
        </w:rPr>
        <w:t>John Osman</w:t>
      </w:r>
      <w:r>
        <w:rPr>
          <w:b/>
          <w:vertAlign w:val="superscript"/>
        </w:rPr>
        <w:t>3</w:t>
      </w:r>
    </w:p>
    <w:p w:rsidR="009D696B" w:rsidRDefault="009D696B" w:rsidP="009D696B">
      <w:pPr>
        <w:jc w:val="center"/>
        <w:rPr>
          <w:b/>
          <w:vertAlign w:val="superscript"/>
        </w:rPr>
      </w:pPr>
      <w:r w:rsidRPr="009D696B">
        <w:rPr>
          <w:b/>
        </w:rPr>
        <w:t>David Coggon</w:t>
      </w:r>
      <w:r>
        <w:rPr>
          <w:b/>
          <w:vertAlign w:val="superscript"/>
        </w:rPr>
        <w:t>1</w:t>
      </w:r>
    </w:p>
    <w:p w:rsidR="009D696B" w:rsidRDefault="009D696B" w:rsidP="009D696B">
      <w:pPr>
        <w:jc w:val="center"/>
        <w:rPr>
          <w:b/>
          <w:vertAlign w:val="superscript"/>
        </w:rPr>
      </w:pPr>
    </w:p>
    <w:p w:rsidR="009D696B" w:rsidRDefault="009D696B" w:rsidP="009D696B">
      <w:pPr>
        <w:jc w:val="center"/>
        <w:rPr>
          <w:b/>
          <w:vertAlign w:val="superscript"/>
        </w:rPr>
      </w:pPr>
    </w:p>
    <w:p w:rsidR="009D696B" w:rsidRDefault="009D696B" w:rsidP="009D696B">
      <w:pPr>
        <w:jc w:val="center"/>
        <w:rPr>
          <w:b/>
          <w:vertAlign w:val="superscript"/>
        </w:rPr>
      </w:pPr>
    </w:p>
    <w:p w:rsidR="009D696B" w:rsidRPr="009D696B" w:rsidRDefault="009D696B" w:rsidP="009D696B">
      <w:pPr>
        <w:jc w:val="center"/>
        <w:rPr>
          <w:b/>
        </w:rPr>
      </w:pPr>
    </w:p>
    <w:p w:rsidR="009D696B" w:rsidRDefault="009D696B" w:rsidP="009D696B">
      <w:r w:rsidRPr="009D696B">
        <w:rPr>
          <w:vertAlign w:val="superscript"/>
        </w:rPr>
        <w:t>1</w:t>
      </w:r>
      <w:r>
        <w:t>MRC Lifecourse Epidemiology Unit, University of Southampton, Southampton, UK</w:t>
      </w:r>
    </w:p>
    <w:p w:rsidR="009D696B" w:rsidRPr="009D696B" w:rsidRDefault="009D696B" w:rsidP="009D696B">
      <w:r w:rsidRPr="009D696B">
        <w:rPr>
          <w:vertAlign w:val="superscript"/>
        </w:rPr>
        <w:t>2</w:t>
      </w:r>
      <w:r w:rsidR="00CA3A54">
        <w:t>Statistics and Epidemiology Unit, Science Directorate, Health and Safety Executive, UK</w:t>
      </w:r>
    </w:p>
    <w:p w:rsidR="00066FA6" w:rsidRDefault="009D696B" w:rsidP="00066FA6">
      <w:r w:rsidRPr="009D696B">
        <w:rPr>
          <w:vertAlign w:val="superscript"/>
        </w:rPr>
        <w:t>3</w:t>
      </w:r>
      <w:r w:rsidR="00066FA6">
        <w:t>Centre for Occupational and Environmental Health, University of Manchester, Manchester, UK</w:t>
      </w:r>
    </w:p>
    <w:p w:rsidR="009D696B" w:rsidRDefault="009D696B" w:rsidP="009D696B"/>
    <w:p w:rsidR="009D696B" w:rsidRDefault="009D696B" w:rsidP="009D696B"/>
    <w:p w:rsidR="00DA7539" w:rsidRDefault="00DA7539" w:rsidP="009D696B"/>
    <w:p w:rsidR="00DA7539" w:rsidRDefault="00DA7539" w:rsidP="009D696B"/>
    <w:p w:rsidR="009D696B" w:rsidRDefault="009D696B" w:rsidP="009D696B"/>
    <w:p w:rsidR="009D696B" w:rsidRDefault="009D696B" w:rsidP="009D696B">
      <w:pPr>
        <w:rPr>
          <w:b/>
        </w:rPr>
      </w:pPr>
      <w:r>
        <w:rPr>
          <w:b/>
        </w:rPr>
        <w:t>Correspondence to:</w:t>
      </w:r>
    </w:p>
    <w:p w:rsidR="009D696B" w:rsidRDefault="009D696B" w:rsidP="009D696B">
      <w:r>
        <w:t>Professor David Coggon</w:t>
      </w:r>
    </w:p>
    <w:p w:rsidR="009D696B" w:rsidRDefault="009D696B" w:rsidP="009D696B">
      <w:r>
        <w:t>MRC Lifecourse Epidemiology Unit</w:t>
      </w:r>
    </w:p>
    <w:p w:rsidR="009D696B" w:rsidRDefault="009D696B" w:rsidP="009D696B">
      <w:r>
        <w:t>Southampton General Hospital</w:t>
      </w:r>
    </w:p>
    <w:p w:rsidR="009D696B" w:rsidRDefault="009D696B" w:rsidP="009D696B">
      <w:r>
        <w:t xml:space="preserve">Southampton </w:t>
      </w:r>
    </w:p>
    <w:p w:rsidR="009D696B" w:rsidRDefault="009D696B" w:rsidP="009D696B">
      <w:r>
        <w:t>SO16 6YD</w:t>
      </w:r>
    </w:p>
    <w:p w:rsidR="009D696B" w:rsidRDefault="009D696B" w:rsidP="009D696B">
      <w:r>
        <w:t>UK</w:t>
      </w:r>
    </w:p>
    <w:p w:rsidR="009D696B" w:rsidRDefault="009D696B" w:rsidP="009D696B"/>
    <w:p w:rsidR="009D696B" w:rsidRDefault="009D696B" w:rsidP="009D696B">
      <w:pPr>
        <w:rPr>
          <w:vertAlign w:val="superscript"/>
        </w:rPr>
      </w:pPr>
      <w:r>
        <w:rPr>
          <w:b/>
        </w:rPr>
        <w:t xml:space="preserve">Tel: </w:t>
      </w:r>
      <w:r w:rsidRPr="009D696B">
        <w:t xml:space="preserve"> #44 2380 777624</w:t>
      </w:r>
    </w:p>
    <w:p w:rsidR="00DA7539" w:rsidRDefault="00DA7539" w:rsidP="009D696B">
      <w:pPr>
        <w:rPr>
          <w:vertAlign w:val="superscript"/>
        </w:rPr>
      </w:pPr>
      <w:r>
        <w:rPr>
          <w:b/>
        </w:rPr>
        <w:t xml:space="preserve">Fax:  </w:t>
      </w:r>
      <w:r w:rsidRPr="00DA7539">
        <w:t>#44 2380 704021</w:t>
      </w:r>
    </w:p>
    <w:p w:rsidR="009D696B" w:rsidRPr="009D696B" w:rsidRDefault="00DA7539" w:rsidP="009D696B">
      <w:pPr>
        <w:rPr>
          <w:vertAlign w:val="superscript"/>
        </w:rPr>
      </w:pPr>
      <w:r w:rsidRPr="00DA7539">
        <w:rPr>
          <w:b/>
        </w:rPr>
        <w:t>Email:</w:t>
      </w:r>
      <w:r>
        <w:t xml:space="preserve">  dnc@mrc.soton.ac.uk</w:t>
      </w:r>
      <w:r w:rsidR="009D696B" w:rsidRPr="009D696B">
        <w:rPr>
          <w:vertAlign w:val="superscript"/>
        </w:rPr>
        <w:br w:type="page"/>
      </w:r>
    </w:p>
    <w:p w:rsidR="00C74A0F" w:rsidRDefault="00C74A0F">
      <w:pPr>
        <w:spacing w:after="200"/>
        <w:rPr>
          <w:b/>
        </w:rPr>
      </w:pPr>
      <w:r w:rsidRPr="00C74A0F">
        <w:rPr>
          <w:rFonts w:ascii="Arial Narrow" w:hAnsi="Arial Narrow"/>
          <w:b/>
          <w:sz w:val="24"/>
        </w:rPr>
        <w:lastRenderedPageBreak/>
        <w:t>Abstract</w:t>
      </w:r>
    </w:p>
    <w:p w:rsidR="00C74A0F" w:rsidRPr="00C74A0F" w:rsidRDefault="00C74A0F" w:rsidP="00C74A0F">
      <w:pPr>
        <w:spacing w:line="360" w:lineRule="auto"/>
        <w:jc w:val="both"/>
      </w:pPr>
      <w:r w:rsidRPr="00C74A0F">
        <w:rPr>
          <w:b/>
        </w:rPr>
        <w:t xml:space="preserve">Objectives: </w:t>
      </w:r>
      <w:r w:rsidRPr="00C74A0F">
        <w:t>To monitor the impact of health and safety provisions and inform future preventive strategies, we investigated trends in mortality from established occupational hazards in England and Wales.</w:t>
      </w:r>
    </w:p>
    <w:p w:rsidR="00C74A0F" w:rsidRPr="00C74A0F" w:rsidRDefault="00C74A0F" w:rsidP="00C74A0F">
      <w:pPr>
        <w:spacing w:line="240" w:lineRule="auto"/>
        <w:jc w:val="both"/>
        <w:rPr>
          <w:rFonts w:cstheme="minorBidi"/>
          <w:lang w:eastAsia="en-GB"/>
        </w:rPr>
      </w:pPr>
    </w:p>
    <w:p w:rsidR="00C74A0F" w:rsidRPr="00C74A0F" w:rsidRDefault="00C74A0F" w:rsidP="00C74A0F">
      <w:pPr>
        <w:spacing w:line="360" w:lineRule="auto"/>
        <w:jc w:val="both"/>
      </w:pPr>
      <w:r w:rsidRPr="00C74A0F">
        <w:rPr>
          <w:b/>
        </w:rPr>
        <w:t xml:space="preserve">Methods:  </w:t>
      </w:r>
      <w:r w:rsidRPr="00C74A0F">
        <w:t>We analysed data from death certificates on underlying cause of death and last full-time occupation for 3,688,916 deaths among men aged 20-74 years in England and Wales during 1979-2010 (excluding 1981 when records were incomplete).  Proportional mortality ratios (PMRs), standardised for age and social class, were calculated for occupations at risk of specified hazards.  Observed and expected numbers of deaths for each hazard were summed across occupations, and the differences summarised as average annual excesses.</w:t>
      </w:r>
    </w:p>
    <w:p w:rsidR="00C74A0F" w:rsidRPr="00C74A0F" w:rsidRDefault="00C74A0F" w:rsidP="00C74A0F">
      <w:pPr>
        <w:spacing w:line="360" w:lineRule="auto"/>
      </w:pPr>
    </w:p>
    <w:p w:rsidR="00C74A0F" w:rsidRPr="00C74A0F" w:rsidRDefault="00C74A0F" w:rsidP="00C74A0F">
      <w:pPr>
        <w:spacing w:line="360" w:lineRule="auto"/>
        <w:jc w:val="both"/>
        <w:rPr>
          <w:rFonts w:cstheme="minorBidi"/>
          <w:lang w:eastAsia="en-GB"/>
        </w:rPr>
      </w:pPr>
      <w:r w:rsidRPr="00C74A0F">
        <w:rPr>
          <w:rFonts w:cstheme="minorBidi"/>
          <w:b/>
          <w:lang w:eastAsia="en-GB"/>
        </w:rPr>
        <w:t xml:space="preserve">Results:  </w:t>
      </w:r>
      <w:r w:rsidR="005D2054">
        <w:rPr>
          <w:rFonts w:cstheme="minorBidi"/>
          <w:lang w:eastAsia="en-GB"/>
        </w:rPr>
        <w:t>Excess</w:t>
      </w:r>
      <w:r w:rsidR="005D2054" w:rsidRPr="00C74A0F">
        <w:rPr>
          <w:rFonts w:cstheme="minorBidi"/>
          <w:lang w:eastAsia="en-GB"/>
        </w:rPr>
        <w:t xml:space="preserve"> </w:t>
      </w:r>
      <w:r w:rsidRPr="00C74A0F">
        <w:rPr>
          <w:rFonts w:cstheme="minorBidi"/>
          <w:lang w:eastAsia="en-GB"/>
        </w:rPr>
        <w:t xml:space="preserve">mortality declined substantially for most hazards.  For example, the annual excess of deaths from chronic bronchitis and emphysema fell from 170.7 during </w:t>
      </w:r>
      <w:r w:rsidR="00066FA6">
        <w:rPr>
          <w:rFonts w:cstheme="minorBidi"/>
          <w:lang w:eastAsia="en-GB"/>
        </w:rPr>
        <w:t>1979-90</w:t>
      </w:r>
      <w:r w:rsidRPr="00C74A0F">
        <w:rPr>
          <w:rFonts w:cstheme="minorBidi"/>
          <w:lang w:eastAsia="en-GB"/>
        </w:rPr>
        <w:t xml:space="preserve"> to 36.0 in 2001-10, and that for deaths from injury and poisoning from 237.</w:t>
      </w:r>
      <w:r w:rsidR="001E08E0">
        <w:rPr>
          <w:rFonts w:cstheme="minorBidi"/>
          <w:lang w:eastAsia="en-GB"/>
        </w:rPr>
        <w:t>0</w:t>
      </w:r>
      <w:r w:rsidRPr="00C74A0F">
        <w:rPr>
          <w:rFonts w:cstheme="minorBidi"/>
          <w:lang w:eastAsia="en-GB"/>
        </w:rPr>
        <w:t xml:space="preserve"> to 87.5.  In many cases the improvements were associated with </w:t>
      </w:r>
      <w:r w:rsidR="00DA7539">
        <w:rPr>
          <w:rFonts w:cstheme="minorBidi"/>
          <w:lang w:eastAsia="en-GB"/>
        </w:rPr>
        <w:t>falling</w:t>
      </w:r>
      <w:r w:rsidRPr="00C74A0F">
        <w:rPr>
          <w:rFonts w:cstheme="minorBidi"/>
          <w:lang w:eastAsia="en-GB"/>
        </w:rPr>
        <w:t xml:space="preserve"> PMRs</w:t>
      </w:r>
      <w:r w:rsidR="001E08E0">
        <w:rPr>
          <w:rFonts w:cstheme="minorBidi"/>
          <w:lang w:eastAsia="en-GB"/>
        </w:rPr>
        <w:t xml:space="preserve"> (</w:t>
      </w:r>
      <w:r w:rsidR="00F9438C">
        <w:rPr>
          <w:rFonts w:cstheme="minorBidi"/>
          <w:lang w:eastAsia="en-GB"/>
        </w:rPr>
        <w:t xml:space="preserve">suggesting </w:t>
      </w:r>
      <w:r w:rsidR="001E08E0">
        <w:rPr>
          <w:rFonts w:cstheme="minorBidi"/>
          <w:lang w:eastAsia="en-GB"/>
        </w:rPr>
        <w:t>safer working practices)</w:t>
      </w:r>
      <w:r w:rsidRPr="00C74A0F">
        <w:rPr>
          <w:rFonts w:cstheme="minorBidi"/>
          <w:lang w:eastAsia="en-GB"/>
        </w:rPr>
        <w:t xml:space="preserve">, but they also reflected reductions in the numbers of men employed in more hazardous jobs, and </w:t>
      </w:r>
      <w:r w:rsidR="00DA7539">
        <w:rPr>
          <w:rFonts w:cstheme="minorBidi"/>
          <w:lang w:eastAsia="en-GB"/>
        </w:rPr>
        <w:t>declining</w:t>
      </w:r>
      <w:r w:rsidRPr="00C74A0F">
        <w:rPr>
          <w:rFonts w:cstheme="minorBidi"/>
          <w:lang w:eastAsia="en-GB"/>
        </w:rPr>
        <w:t xml:space="preserve"> mortality from some diseases across the whole population.  Notable exceptions to the general improvement were diseases caused by asbestos, especially in some construction trades</w:t>
      </w:r>
      <w:r w:rsidR="00384A81">
        <w:rPr>
          <w:rFonts w:cstheme="minorBidi"/>
          <w:lang w:eastAsia="en-GB"/>
        </w:rPr>
        <w:t xml:space="preserve"> and</w:t>
      </w:r>
      <w:r w:rsidR="00384A81" w:rsidRPr="00C74A0F">
        <w:rPr>
          <w:rFonts w:cstheme="minorBidi"/>
          <w:lang w:eastAsia="en-GB"/>
        </w:rPr>
        <w:t xml:space="preserve"> </w:t>
      </w:r>
      <w:r w:rsidRPr="00C74A0F">
        <w:rPr>
          <w:rFonts w:cstheme="minorBidi"/>
          <w:lang w:eastAsia="en-GB"/>
        </w:rPr>
        <w:t>sinonasal cancer in woodworkers.</w:t>
      </w:r>
    </w:p>
    <w:p w:rsidR="00C74A0F" w:rsidRPr="00C74A0F" w:rsidRDefault="00C74A0F" w:rsidP="00C74A0F"/>
    <w:p w:rsidR="00C74A0F" w:rsidRPr="00C74A0F" w:rsidRDefault="00C74A0F" w:rsidP="001E08E0">
      <w:pPr>
        <w:spacing w:line="360" w:lineRule="auto"/>
        <w:jc w:val="both"/>
      </w:pPr>
      <w:r w:rsidRPr="00C74A0F">
        <w:rPr>
          <w:b/>
        </w:rPr>
        <w:t>Conclusions</w:t>
      </w:r>
      <w:r w:rsidR="00DA7539">
        <w:rPr>
          <w:b/>
        </w:rPr>
        <w:t xml:space="preserve">:  </w:t>
      </w:r>
      <w:r w:rsidRPr="00C74A0F">
        <w:t>The highest priority for future prevent</w:t>
      </w:r>
      <w:r w:rsidR="00066FA6">
        <w:t>ion of work-related fat</w:t>
      </w:r>
      <w:r w:rsidR="00A73B63">
        <w:t>a</w:t>
      </w:r>
      <w:r w:rsidR="00066FA6">
        <w:t>lities</w:t>
      </w:r>
      <w:r w:rsidRPr="00C74A0F">
        <w:t xml:space="preserve"> is the minority of occupational disorders </w:t>
      </w:r>
      <w:r w:rsidR="00066FA6">
        <w:t>for which excess mortality</w:t>
      </w:r>
      <w:r w:rsidRPr="00C74A0F">
        <w:t xml:space="preserve"> remains static or is increasing, in particular asbestos-related disease among certain occupations in the construction industry and sinonasal cancer in woodworkers. </w:t>
      </w:r>
    </w:p>
    <w:p w:rsidR="00C74A0F" w:rsidRDefault="00C74A0F">
      <w:pPr>
        <w:spacing w:after="200"/>
        <w:rPr>
          <w:b/>
        </w:rPr>
      </w:pPr>
    </w:p>
    <w:p w:rsidR="00C74A0F" w:rsidRDefault="00C74A0F">
      <w:pPr>
        <w:spacing w:after="200"/>
        <w:rPr>
          <w:b/>
        </w:rPr>
      </w:pPr>
    </w:p>
    <w:p w:rsidR="00C74A0F" w:rsidRDefault="00C74A0F">
      <w:pPr>
        <w:spacing w:after="200"/>
        <w:rPr>
          <w:b/>
        </w:rPr>
      </w:pPr>
    </w:p>
    <w:p w:rsidR="00F9438C" w:rsidRDefault="00EE274D" w:rsidP="001F20F3">
      <w:pPr>
        <w:spacing w:after="200" w:line="360" w:lineRule="auto"/>
      </w:pPr>
      <w:r>
        <w:rPr>
          <w:rFonts w:ascii="Arial Narrow" w:hAnsi="Arial Narrow"/>
          <w:b/>
          <w:sz w:val="24"/>
        </w:rPr>
        <w:t xml:space="preserve">Key words:  </w:t>
      </w:r>
      <w:r>
        <w:t>Occupation</w:t>
      </w:r>
      <w:r w:rsidR="00F9438C">
        <w:t>,</w:t>
      </w:r>
      <w:r>
        <w:t xml:space="preserve"> mortality, trends</w:t>
      </w:r>
      <w:r w:rsidR="00F9438C" w:rsidDel="00F9438C">
        <w:t xml:space="preserve"> </w:t>
      </w:r>
    </w:p>
    <w:p w:rsidR="00F9438C" w:rsidRDefault="00F9438C" w:rsidP="00813615">
      <w:r>
        <w:br w:type="page"/>
      </w:r>
    </w:p>
    <w:p w:rsidR="00F9438C" w:rsidRDefault="00F9438C" w:rsidP="00813615">
      <w:pPr>
        <w:pStyle w:val="Heading4"/>
        <w:spacing w:line="360" w:lineRule="auto"/>
        <w:jc w:val="both"/>
      </w:pPr>
      <w:r>
        <w:lastRenderedPageBreak/>
        <w:t>What this paper adds</w:t>
      </w:r>
    </w:p>
    <w:p w:rsidR="00532CD4" w:rsidRDefault="00242D22" w:rsidP="00813615">
      <w:pPr>
        <w:pStyle w:val="ListParagraph"/>
        <w:numPr>
          <w:ilvl w:val="0"/>
          <w:numId w:val="4"/>
        </w:numPr>
        <w:spacing w:line="360" w:lineRule="auto"/>
        <w:ind w:left="567" w:hanging="425"/>
        <w:jc w:val="both"/>
      </w:pPr>
      <w:r>
        <w:t>It has been unclear to what extent improve</w:t>
      </w:r>
      <w:r w:rsidR="00B4133A">
        <w:t xml:space="preserve">d </w:t>
      </w:r>
      <w:r>
        <w:t>working conditions in Britain over recent decades have reduced the burden of serious occupational disease, and wh</w:t>
      </w:r>
      <w:r w:rsidR="00B4133A">
        <w:t>ich</w:t>
      </w:r>
      <w:r>
        <w:t xml:space="preserve"> should </w:t>
      </w:r>
      <w:r w:rsidR="00B4133A">
        <w:t xml:space="preserve">now </w:t>
      </w:r>
      <w:r>
        <w:t xml:space="preserve">be the </w:t>
      </w:r>
      <w:r w:rsidR="00B4133A">
        <w:t xml:space="preserve">highest </w:t>
      </w:r>
      <w:r>
        <w:t xml:space="preserve">priorities for </w:t>
      </w:r>
      <w:r w:rsidR="00B4133A">
        <w:t>prevention.</w:t>
      </w:r>
    </w:p>
    <w:p w:rsidR="00242D22" w:rsidRDefault="00242D22" w:rsidP="00813615">
      <w:pPr>
        <w:spacing w:line="360" w:lineRule="auto"/>
        <w:ind w:left="567" w:hanging="425"/>
        <w:jc w:val="both"/>
      </w:pPr>
    </w:p>
    <w:p w:rsidR="00242D22" w:rsidRPr="00B4133A" w:rsidRDefault="00242D22" w:rsidP="00813615">
      <w:pPr>
        <w:pStyle w:val="ListParagraph"/>
        <w:numPr>
          <w:ilvl w:val="0"/>
          <w:numId w:val="4"/>
        </w:numPr>
        <w:spacing w:line="360" w:lineRule="auto"/>
        <w:ind w:left="567" w:hanging="425"/>
        <w:jc w:val="both"/>
        <w:rPr>
          <w:rFonts w:cstheme="minorBidi"/>
          <w:lang w:eastAsia="en-GB"/>
        </w:rPr>
      </w:pPr>
      <w:r>
        <w:t>Analysis of d</w:t>
      </w:r>
      <w:r w:rsidR="00532CD4" w:rsidRPr="00C74A0F">
        <w:t xml:space="preserve">ata from death certificates </w:t>
      </w:r>
      <w:r>
        <w:t>indicates that</w:t>
      </w:r>
      <w:r w:rsidR="00532CD4" w:rsidRPr="00C74A0F">
        <w:t xml:space="preserve"> during 1979-2010</w:t>
      </w:r>
      <w:r w:rsidR="00532CD4">
        <w:t xml:space="preserve"> excess mortality from most established occupational hazards</w:t>
      </w:r>
      <w:r w:rsidR="00532CD4" w:rsidRPr="00B4133A">
        <w:rPr>
          <w:rFonts w:cstheme="minorBidi"/>
          <w:lang w:eastAsia="en-GB"/>
        </w:rPr>
        <w:t xml:space="preserve"> declined substantially, </w:t>
      </w:r>
      <w:r w:rsidR="00AB7B4D">
        <w:rPr>
          <w:rFonts w:cstheme="minorBidi"/>
          <w:lang w:eastAsia="en-GB"/>
        </w:rPr>
        <w:t xml:space="preserve">most likely </w:t>
      </w:r>
      <w:r w:rsidRPr="00B4133A">
        <w:rPr>
          <w:rFonts w:cstheme="minorBidi"/>
          <w:lang w:eastAsia="en-GB"/>
        </w:rPr>
        <w:t>reflect</w:t>
      </w:r>
      <w:r w:rsidR="00B4133A" w:rsidRPr="00B4133A">
        <w:rPr>
          <w:rFonts w:cstheme="minorBidi"/>
          <w:lang w:eastAsia="en-GB"/>
        </w:rPr>
        <w:t>ing</w:t>
      </w:r>
      <w:r w:rsidR="00532CD4" w:rsidRPr="00B4133A">
        <w:rPr>
          <w:rFonts w:cstheme="minorBidi"/>
          <w:lang w:eastAsia="en-GB"/>
        </w:rPr>
        <w:t xml:space="preserve"> </w:t>
      </w:r>
      <w:r w:rsidR="00AB7B4D">
        <w:rPr>
          <w:rFonts w:cstheme="minorBidi"/>
          <w:lang w:eastAsia="en-GB"/>
        </w:rPr>
        <w:t xml:space="preserve">a combined effect of </w:t>
      </w:r>
      <w:r w:rsidR="00532CD4" w:rsidRPr="00B4133A">
        <w:rPr>
          <w:rFonts w:cstheme="minorBidi"/>
          <w:lang w:eastAsia="en-GB"/>
        </w:rPr>
        <w:t>reduced employment in more hazardous jobs</w:t>
      </w:r>
      <w:r w:rsidR="00AB7B4D">
        <w:rPr>
          <w:rFonts w:cstheme="minorBidi"/>
          <w:lang w:eastAsia="en-GB"/>
        </w:rPr>
        <w:t>,</w:t>
      </w:r>
      <w:r w:rsidR="00532CD4" w:rsidRPr="00B4133A">
        <w:rPr>
          <w:rFonts w:cstheme="minorBidi"/>
          <w:lang w:eastAsia="en-GB"/>
        </w:rPr>
        <w:t xml:space="preserve"> </w:t>
      </w:r>
      <w:r w:rsidRPr="00B4133A">
        <w:rPr>
          <w:rFonts w:cstheme="minorBidi"/>
          <w:lang w:eastAsia="en-GB"/>
        </w:rPr>
        <w:t>improved health across the population</w:t>
      </w:r>
      <w:r w:rsidR="00B4133A" w:rsidRPr="00B4133A">
        <w:rPr>
          <w:rFonts w:cstheme="minorBidi"/>
          <w:lang w:eastAsia="en-GB"/>
        </w:rPr>
        <w:t xml:space="preserve"> as a whole</w:t>
      </w:r>
      <w:r w:rsidRPr="00B4133A">
        <w:rPr>
          <w:rFonts w:cstheme="minorBidi"/>
          <w:lang w:eastAsia="en-GB"/>
        </w:rPr>
        <w:t xml:space="preserve">, </w:t>
      </w:r>
      <w:r w:rsidR="00AB7B4D">
        <w:rPr>
          <w:rFonts w:cstheme="minorBidi"/>
          <w:lang w:eastAsia="en-GB"/>
        </w:rPr>
        <w:t>and</w:t>
      </w:r>
      <w:r w:rsidR="00B4133A" w:rsidRPr="00B4133A">
        <w:rPr>
          <w:rFonts w:cstheme="minorBidi"/>
          <w:lang w:eastAsia="en-GB"/>
        </w:rPr>
        <w:t xml:space="preserve"> safer work</w:t>
      </w:r>
      <w:r w:rsidR="00B4133A">
        <w:rPr>
          <w:rFonts w:cstheme="minorBidi"/>
          <w:lang w:eastAsia="en-GB"/>
        </w:rPr>
        <w:t>ing conditions</w:t>
      </w:r>
      <w:r w:rsidR="00B4133A" w:rsidRPr="00B4133A">
        <w:rPr>
          <w:rFonts w:cstheme="minorBidi"/>
          <w:lang w:eastAsia="en-GB"/>
        </w:rPr>
        <w:t>.</w:t>
      </w:r>
      <w:r w:rsidRPr="00B4133A">
        <w:rPr>
          <w:rFonts w:cstheme="minorBidi"/>
          <w:lang w:eastAsia="en-GB"/>
        </w:rPr>
        <w:t xml:space="preserve"> </w:t>
      </w:r>
    </w:p>
    <w:p w:rsidR="00242D22" w:rsidRDefault="00242D22" w:rsidP="00813615">
      <w:pPr>
        <w:spacing w:line="360" w:lineRule="auto"/>
        <w:ind w:left="567" w:hanging="425"/>
        <w:jc w:val="both"/>
        <w:rPr>
          <w:rFonts w:cstheme="minorBidi"/>
          <w:lang w:eastAsia="en-GB"/>
        </w:rPr>
      </w:pPr>
    </w:p>
    <w:p w:rsidR="00532CD4" w:rsidRPr="00813615" w:rsidRDefault="00532CD4" w:rsidP="00813615">
      <w:pPr>
        <w:pStyle w:val="ListParagraph"/>
        <w:numPr>
          <w:ilvl w:val="0"/>
          <w:numId w:val="4"/>
        </w:numPr>
        <w:spacing w:line="360" w:lineRule="auto"/>
        <w:ind w:left="567" w:hanging="425"/>
        <w:jc w:val="both"/>
        <w:rPr>
          <w:rFonts w:cstheme="minorBidi"/>
          <w:lang w:eastAsia="en-GB"/>
        </w:rPr>
      </w:pPr>
      <w:r w:rsidRPr="0061773C">
        <w:rPr>
          <w:rFonts w:cstheme="minorBidi"/>
          <w:lang w:eastAsia="en-GB"/>
        </w:rPr>
        <w:t xml:space="preserve">Notable exceptions to the general improvement </w:t>
      </w:r>
      <w:r w:rsidR="00B4133A" w:rsidRPr="00813615">
        <w:rPr>
          <w:rFonts w:cstheme="minorBidi"/>
          <w:lang w:eastAsia="en-GB"/>
        </w:rPr>
        <w:t>a</w:t>
      </w:r>
      <w:r w:rsidRPr="00813615">
        <w:rPr>
          <w:rFonts w:cstheme="minorBidi"/>
          <w:lang w:eastAsia="en-GB"/>
        </w:rPr>
        <w:t>re diseases caused by asbestos, especially in some construction trades and sinonasal cancer in woodworkers.</w:t>
      </w:r>
    </w:p>
    <w:p w:rsidR="00532CD4" w:rsidRDefault="00532CD4" w:rsidP="00813615">
      <w:pPr>
        <w:spacing w:line="360" w:lineRule="auto"/>
        <w:ind w:left="567" w:hanging="425"/>
        <w:jc w:val="both"/>
      </w:pPr>
    </w:p>
    <w:p w:rsidR="00532CD4" w:rsidRPr="00C74A0F" w:rsidRDefault="00B4133A" w:rsidP="00813615">
      <w:pPr>
        <w:pStyle w:val="ListParagraph"/>
        <w:numPr>
          <w:ilvl w:val="0"/>
          <w:numId w:val="4"/>
        </w:numPr>
        <w:spacing w:line="360" w:lineRule="auto"/>
        <w:ind w:left="567" w:hanging="425"/>
        <w:jc w:val="both"/>
      </w:pPr>
      <w:r>
        <w:t>A</w:t>
      </w:r>
      <w:r w:rsidR="00532CD4" w:rsidRPr="00C74A0F">
        <w:t xml:space="preserve">sbestos-related disease </w:t>
      </w:r>
      <w:r w:rsidR="00532CD4">
        <w:t>in</w:t>
      </w:r>
      <w:r w:rsidR="00532CD4" w:rsidRPr="00C74A0F">
        <w:t xml:space="preserve"> the construction industry and sinonasal cancer in woodworkers</w:t>
      </w:r>
      <w:r w:rsidR="00532CD4">
        <w:t xml:space="preserve"> </w:t>
      </w:r>
      <w:r w:rsidR="00D86DA5">
        <w:t>remain</w:t>
      </w:r>
      <w:r w:rsidR="00532CD4" w:rsidRPr="00C74A0F">
        <w:t xml:space="preserve"> priorit</w:t>
      </w:r>
      <w:r w:rsidR="00532CD4">
        <w:t>ies</w:t>
      </w:r>
      <w:r w:rsidR="00532CD4" w:rsidRPr="00C74A0F">
        <w:t xml:space="preserve"> for future prevent</w:t>
      </w:r>
      <w:r w:rsidR="00532CD4">
        <w:t>ion of work-related mortality.</w:t>
      </w:r>
    </w:p>
    <w:p w:rsidR="00C74A0F" w:rsidRPr="00C74A0F" w:rsidRDefault="00C74A0F" w:rsidP="00813615">
      <w:pPr>
        <w:rPr>
          <w:b/>
          <w:bCs/>
          <w:iCs/>
        </w:rPr>
      </w:pPr>
      <w:r w:rsidRPr="00C74A0F">
        <w:rPr>
          <w:b/>
        </w:rPr>
        <w:br w:type="page"/>
      </w:r>
    </w:p>
    <w:p w:rsidR="007B3646" w:rsidRDefault="00A41E1E" w:rsidP="00B7290E">
      <w:pPr>
        <w:pStyle w:val="Heading4"/>
        <w:spacing w:line="360" w:lineRule="auto"/>
        <w:jc w:val="both"/>
      </w:pPr>
      <w:r>
        <w:lastRenderedPageBreak/>
        <w:t>Introduction</w:t>
      </w:r>
    </w:p>
    <w:p w:rsidR="00FB3345" w:rsidRDefault="00A41E1E" w:rsidP="00B7290E">
      <w:pPr>
        <w:spacing w:line="360" w:lineRule="auto"/>
        <w:jc w:val="both"/>
      </w:pPr>
      <w:r>
        <w:t>Monitoring trends in the burden of illness and injury attributable to work is an important element in the control of occupational health hazards</w:t>
      </w:r>
      <w:r w:rsidR="00D86DA5">
        <w:t xml:space="preserve"> [1]</w:t>
      </w:r>
      <w:r>
        <w:t xml:space="preserve">.  It enables evaluation of the effectiveness of measures to reduce risk, and informs the prioritisation of future preventive </w:t>
      </w:r>
      <w:r w:rsidR="00B7290E">
        <w:t>strateg</w:t>
      </w:r>
      <w:r>
        <w:t>ies.</w:t>
      </w:r>
      <w:r w:rsidR="00FB3345">
        <w:t xml:space="preserve">  </w:t>
      </w:r>
      <w:r>
        <w:t xml:space="preserve">The best methods for such monitoring </w:t>
      </w:r>
      <w:r w:rsidR="00C72ED0">
        <w:t>vary</w:t>
      </w:r>
      <w:r>
        <w:t xml:space="preserve"> according to the nature of the health outcome (e.g. </w:t>
      </w:r>
      <w:r w:rsidR="008F7642">
        <w:t>whether it is</w:t>
      </w:r>
      <w:r>
        <w:t xml:space="preserve"> frequently fatal) and the confidence with which it can be ascribed to work in the individual case.  </w:t>
      </w:r>
    </w:p>
    <w:p w:rsidR="00FB3345" w:rsidRDefault="00FB3345" w:rsidP="00B7290E">
      <w:pPr>
        <w:spacing w:line="360" w:lineRule="auto"/>
        <w:jc w:val="both"/>
      </w:pPr>
    </w:p>
    <w:p w:rsidR="00A41E1E" w:rsidRDefault="00A41E1E" w:rsidP="00B7290E">
      <w:pPr>
        <w:spacing w:line="360" w:lineRule="auto"/>
        <w:jc w:val="both"/>
      </w:pPr>
      <w:r>
        <w:t xml:space="preserve">For some </w:t>
      </w:r>
      <w:r w:rsidR="008F7642">
        <w:t>outcomes</w:t>
      </w:r>
      <w:r>
        <w:t xml:space="preserve">, the link to occupation can readily be established in the individual because they are specific to </w:t>
      </w:r>
      <w:r w:rsidR="00090896">
        <w:t xml:space="preserve">exposures in the </w:t>
      </w:r>
      <w:r>
        <w:t>work</w:t>
      </w:r>
      <w:r w:rsidR="00090896">
        <w:t>place (e.g. byssinosis, coal workers’ pneumoconiosis), occur with very high relative risk in people who have undertaken certain jobs (e.g. adenocarcinoma of the nose and nasal sinuses in furniture makers using hardwoods), or have distinctive clinical features when caused by work (e.g. the temporal relationship of an injury to an occupational activity, demonstrable dermal sensitisation to a</w:t>
      </w:r>
      <w:r w:rsidR="008F7642">
        <w:t>n allergen encountered</w:t>
      </w:r>
      <w:r w:rsidR="00090896">
        <w:t xml:space="preserve"> in the workplace).  In these circumstances, the resultant burden can be assessed simply by counting attributable cases.</w:t>
      </w:r>
    </w:p>
    <w:p w:rsidR="00090896" w:rsidRDefault="00090896" w:rsidP="00B7290E">
      <w:pPr>
        <w:spacing w:line="360" w:lineRule="auto"/>
        <w:jc w:val="both"/>
      </w:pPr>
    </w:p>
    <w:p w:rsidR="00090896" w:rsidRDefault="00BE15DC" w:rsidP="00B7290E">
      <w:pPr>
        <w:spacing w:line="360" w:lineRule="auto"/>
        <w:jc w:val="both"/>
      </w:pPr>
      <w:r>
        <w:t>For other health outcomes</w:t>
      </w:r>
      <w:r w:rsidR="00090896">
        <w:t xml:space="preserve">, the relation to work </w:t>
      </w:r>
      <w:r w:rsidR="008F7642">
        <w:t>is</w:t>
      </w:r>
      <w:r w:rsidR="00090896">
        <w:t xml:space="preserve"> less specific, </w:t>
      </w:r>
      <w:r>
        <w:t>and</w:t>
      </w:r>
      <w:r w:rsidR="00090896">
        <w:t xml:space="preserve"> </w:t>
      </w:r>
      <w:r>
        <w:t xml:space="preserve">cases that are caused by occupation </w:t>
      </w:r>
      <w:r w:rsidR="0017438F">
        <w:t xml:space="preserve">are </w:t>
      </w:r>
      <w:r>
        <w:t>clinically indistinguishable from those that are not</w:t>
      </w:r>
      <w:r w:rsidR="00FB3345">
        <w:t>.  For example, there are no distinctive clinical features of</w:t>
      </w:r>
      <w:r>
        <w:t xml:space="preserve"> lung cancer </w:t>
      </w:r>
      <w:r w:rsidR="00FB3345">
        <w:t xml:space="preserve">that is </w:t>
      </w:r>
      <w:r>
        <w:t xml:space="preserve">caused by asbestos.  In this situation, the </w:t>
      </w:r>
      <w:r w:rsidR="00FB3345">
        <w:t xml:space="preserve">attributable </w:t>
      </w:r>
      <w:r>
        <w:t xml:space="preserve">population burden can only be established epidemiologically </w:t>
      </w:r>
      <w:r w:rsidR="0017438F">
        <w:t xml:space="preserve">– </w:t>
      </w:r>
      <w:r>
        <w:t xml:space="preserve">by comparing risks in people with and without the relevant exposure.  Estimates may </w:t>
      </w:r>
      <w:r w:rsidR="00C72ED0">
        <w:t xml:space="preserve">be </w:t>
      </w:r>
      <w:r>
        <w:t xml:space="preserve">derived by direct assessment of attributable fractions in representative populations, or indirectly by applying estimates of relative risk </w:t>
      </w:r>
      <w:r w:rsidR="00C72ED0">
        <w:t xml:space="preserve">from one source </w:t>
      </w:r>
      <w:r>
        <w:t>to data collected separately on the distribution of exposures in the population of interest.</w:t>
      </w:r>
    </w:p>
    <w:p w:rsidR="00BE15DC" w:rsidRDefault="00BE15DC" w:rsidP="00B7290E">
      <w:pPr>
        <w:spacing w:line="360" w:lineRule="auto"/>
        <w:jc w:val="both"/>
      </w:pPr>
    </w:p>
    <w:p w:rsidR="00BE15DC" w:rsidRDefault="00BE15DC" w:rsidP="00B7290E">
      <w:pPr>
        <w:spacing w:line="360" w:lineRule="auto"/>
        <w:jc w:val="both"/>
      </w:pPr>
      <w:r>
        <w:t>National analyses of occupational mortality contribute importantly to this endeavour</w:t>
      </w:r>
      <w:r w:rsidR="00C72ED0">
        <w:t xml:space="preserve"> because they incorporate data on exposures and health outcomes for an entire population</w:t>
      </w:r>
      <w:r>
        <w:t>.  They are particularly useful in the assessment of diseases and injuries with high fatality, but even where case-fatality is lower they may still provide helpful insights into trends over time, especially when there is little change in the proportion of cases tha</w:t>
      </w:r>
      <w:r w:rsidR="00C72ED0">
        <w:t>t</w:t>
      </w:r>
      <w:r>
        <w:t xml:space="preserve"> </w:t>
      </w:r>
      <w:r w:rsidR="00C72ED0">
        <w:t>lead to</w:t>
      </w:r>
      <w:r>
        <w:t xml:space="preserve"> death.</w:t>
      </w:r>
    </w:p>
    <w:p w:rsidR="00BE15DC" w:rsidRDefault="00BE15DC" w:rsidP="00B7290E">
      <w:pPr>
        <w:spacing w:line="360" w:lineRule="auto"/>
        <w:jc w:val="both"/>
      </w:pPr>
    </w:p>
    <w:p w:rsidR="008E11BC" w:rsidRDefault="00BE15DC" w:rsidP="00B7290E">
      <w:pPr>
        <w:spacing w:line="360" w:lineRule="auto"/>
        <w:jc w:val="both"/>
      </w:pPr>
      <w:r>
        <w:t>We have previously reported a national analysis of occupational mortality in England and Wales over two consecutive periods</w:t>
      </w:r>
      <w:r w:rsidR="008E11BC">
        <w:t xml:space="preserve"> (1979-90 and 1991-2000)</w:t>
      </w:r>
      <w:r w:rsidR="00BB3C14">
        <w:t xml:space="preserve"> [</w:t>
      </w:r>
      <w:r w:rsidR="00D86DA5">
        <w:t>2</w:t>
      </w:r>
      <w:r w:rsidR="00BB3C14">
        <w:t>]</w:t>
      </w:r>
      <w:r w:rsidR="007261D2">
        <w:t>, and</w:t>
      </w:r>
      <w:r w:rsidR="008E11BC">
        <w:t xml:space="preserve"> have now extended that investigation with addition of data from 2001-10.  Our aim was to evaluate trends across the </w:t>
      </w:r>
      <w:r w:rsidR="00C72ED0">
        <w:t xml:space="preserve">three </w:t>
      </w:r>
      <w:r w:rsidR="008E11BC">
        <w:t xml:space="preserve">time periods in mortality from established occupational hazards, and the extent to which changes reflected altered levels of risk in relevant occupations as opposed to changes </w:t>
      </w:r>
      <w:r w:rsidR="008E11BC">
        <w:lastRenderedPageBreak/>
        <w:t>in the numbers at risk in those jobs</w:t>
      </w:r>
      <w:r w:rsidR="00BB3C14">
        <w:t xml:space="preserve">, or an overall decline in mortality across all occupations (e.g. because of improved </w:t>
      </w:r>
      <w:r w:rsidR="008C3E71">
        <w:t>medical care</w:t>
      </w:r>
      <w:r w:rsidR="00BB3C14">
        <w:t>)</w:t>
      </w:r>
      <w:r w:rsidR="008E11BC">
        <w:t>.</w:t>
      </w:r>
      <w:r w:rsidR="00D86DA5">
        <w:t xml:space="preserve">  Of particular interest was whether </w:t>
      </w:r>
      <w:r w:rsidR="008E0F58">
        <w:t xml:space="preserve">previously persistent </w:t>
      </w:r>
      <w:r w:rsidR="00D86DA5">
        <w:t xml:space="preserve">excess mortality </w:t>
      </w:r>
      <w:r w:rsidR="008E0F58">
        <w:t>attributable to asbestos and wood dust [2] had now started to fall.</w:t>
      </w:r>
    </w:p>
    <w:p w:rsidR="008E11BC" w:rsidRDefault="008E11BC" w:rsidP="00B7290E">
      <w:pPr>
        <w:spacing w:line="360" w:lineRule="auto"/>
        <w:jc w:val="both"/>
      </w:pPr>
    </w:p>
    <w:p w:rsidR="00671770" w:rsidRDefault="00671770" w:rsidP="00B7290E">
      <w:pPr>
        <w:pStyle w:val="Heading4"/>
        <w:spacing w:line="360" w:lineRule="auto"/>
        <w:jc w:val="both"/>
      </w:pPr>
      <w:r>
        <w:t>Methods</w:t>
      </w:r>
    </w:p>
    <w:p w:rsidR="000A57C9" w:rsidRDefault="00671770" w:rsidP="00B7290E">
      <w:pPr>
        <w:spacing w:line="360" w:lineRule="auto"/>
        <w:jc w:val="both"/>
      </w:pPr>
      <w:r>
        <w:t xml:space="preserve">The analysis used data supplied by the Office for National Statistics </w:t>
      </w:r>
      <w:r w:rsidR="000A57C9">
        <w:t xml:space="preserve">(ONS) </w:t>
      </w:r>
      <w:r>
        <w:t>(previously the Office of Population Censuses and Surveys</w:t>
      </w:r>
      <w:r w:rsidR="000A57C9">
        <w:t xml:space="preserve"> (OPCS)</w:t>
      </w:r>
      <w:r>
        <w:t>) on all deaths among men aged 20-74 years in England and Wales during 1979-2010 (but excluding 1981 when records were incomplete).</w:t>
      </w:r>
      <w:r w:rsidR="008E11BC">
        <w:t xml:space="preserve"> </w:t>
      </w:r>
      <w:r>
        <w:t xml:space="preserve"> Information from death certificates on age at death, underlying cause of death, and last full-time occupation was used to derive proportional mortality ratios (PMRs) with associated 95% confidence intervals (CIs) for combina</w:t>
      </w:r>
      <w:r w:rsidR="000A57C9">
        <w:t>ti</w:t>
      </w:r>
      <w:r>
        <w:t xml:space="preserve">ons of </w:t>
      </w:r>
      <w:r w:rsidR="000A57C9">
        <w:t>occupation and cause of death, the expected numbers being calculated with stratification by 5-year age band and social class (determined f</w:t>
      </w:r>
      <w:r w:rsidR="00BB3C14">
        <w:t>ro</w:t>
      </w:r>
      <w:r w:rsidR="000A57C9">
        <w:t xml:space="preserve">m the last </w:t>
      </w:r>
      <w:r w:rsidR="00BB3C14">
        <w:t xml:space="preserve">full-time </w:t>
      </w:r>
      <w:r w:rsidR="000A57C9">
        <w:t>occupation and class</w:t>
      </w:r>
      <w:r w:rsidR="007261D2">
        <w:t>ifi</w:t>
      </w:r>
      <w:r w:rsidR="000A57C9">
        <w:t xml:space="preserve">ed to </w:t>
      </w:r>
      <w:r w:rsidR="00A6182E">
        <w:t>seven</w:t>
      </w:r>
      <w:r w:rsidR="000A57C9">
        <w:t xml:space="preserve"> levels)</w:t>
      </w:r>
      <w:r w:rsidR="00F91F51">
        <w:t>, taking all occupations combined as the standard</w:t>
      </w:r>
      <w:r w:rsidR="000A57C9">
        <w:t>.</w:t>
      </w:r>
    </w:p>
    <w:p w:rsidR="000A57C9" w:rsidRDefault="000A57C9" w:rsidP="00B7290E">
      <w:pPr>
        <w:spacing w:line="360" w:lineRule="auto"/>
        <w:jc w:val="both"/>
      </w:pPr>
    </w:p>
    <w:p w:rsidR="00A97F3C" w:rsidRDefault="00DE5EAE" w:rsidP="00B7290E">
      <w:pPr>
        <w:spacing w:line="360" w:lineRule="auto"/>
        <w:jc w:val="both"/>
      </w:pPr>
      <w:r>
        <w:t xml:space="preserve">For this purpose, </w:t>
      </w:r>
      <w:r w:rsidR="000A57C9">
        <w:t xml:space="preserve">occupations </w:t>
      </w:r>
      <w:r>
        <w:t xml:space="preserve">were assigned </w:t>
      </w:r>
      <w:r w:rsidR="000A57C9">
        <w:t xml:space="preserve">to “job groups” </w:t>
      </w:r>
      <w:r>
        <w:t>in a classification similar to</w:t>
      </w:r>
      <w:r w:rsidR="000A57C9">
        <w:t xml:space="preserve"> that which had been used in our earlier analysis [</w:t>
      </w:r>
      <w:r w:rsidR="008E0F58">
        <w:t>2</w:t>
      </w:r>
      <w:r w:rsidR="000A57C9">
        <w:t xml:space="preserve">].  However, the coding schemes that were </w:t>
      </w:r>
      <w:r w:rsidR="00C72ED0">
        <w:t>employed</w:t>
      </w:r>
      <w:r w:rsidR="000A57C9">
        <w:t xml:space="preserve"> by ONS and OPCS had changed over time, </w:t>
      </w:r>
      <w:r w:rsidR="00BB3C14">
        <w:t xml:space="preserve">and </w:t>
      </w:r>
      <w:r w:rsidR="000A57C9">
        <w:t xml:space="preserve">a few occupational categories that were distinguished from each other in one period were merged in another.  To </w:t>
      </w:r>
      <w:r w:rsidR="00627D6B">
        <w:t>achieve</w:t>
      </w:r>
      <w:r w:rsidR="000A57C9">
        <w:t xml:space="preserve"> compa</w:t>
      </w:r>
      <w:r w:rsidR="00627D6B">
        <w:t>ti</w:t>
      </w:r>
      <w:r w:rsidR="000A57C9">
        <w:t xml:space="preserve">bility across </w:t>
      </w:r>
      <w:r w:rsidR="00C72ED0">
        <w:t>all</w:t>
      </w:r>
      <w:r w:rsidR="000A57C9">
        <w:t xml:space="preserve"> period</w:t>
      </w:r>
      <w:r w:rsidR="00C72ED0">
        <w:t>s</w:t>
      </w:r>
      <w:r w:rsidR="000A57C9">
        <w:t xml:space="preserve">, analyses for these occupations were based on the merged grouping, and </w:t>
      </w:r>
      <w:r w:rsidR="00A97F3C">
        <w:t>for</w:t>
      </w:r>
      <w:r w:rsidR="000A57C9">
        <w:t xml:space="preserve"> the period</w:t>
      </w:r>
      <w:r w:rsidR="00C72ED0">
        <w:t>(</w:t>
      </w:r>
      <w:r w:rsidR="000A57C9">
        <w:t>s</w:t>
      </w:r>
      <w:r w:rsidR="00C72ED0">
        <w:t>)</w:t>
      </w:r>
      <w:r w:rsidR="000A57C9">
        <w:t xml:space="preserve"> </w:t>
      </w:r>
      <w:r w:rsidR="00C72ED0">
        <w:t>in</w:t>
      </w:r>
      <w:r w:rsidR="00A97F3C">
        <w:t xml:space="preserve"> which the finer classification </w:t>
      </w:r>
      <w:r w:rsidR="00A6182E">
        <w:t>had been</w:t>
      </w:r>
      <w:r w:rsidR="00A97F3C">
        <w:t xml:space="preserve"> used, observed and expected numbers of deaths were derived separately for the sub-categories and then summed to give combined </w:t>
      </w:r>
      <w:r w:rsidR="00C72ED0">
        <w:t>values</w:t>
      </w:r>
      <w:r w:rsidR="00A97F3C">
        <w:t xml:space="preserve"> for the merged </w:t>
      </w:r>
      <w:r w:rsidR="00BB3C14">
        <w:t>job group</w:t>
      </w:r>
      <w:r w:rsidR="00A97F3C">
        <w:t>.  Supplementary Table S1 sets out the definitions of the job groups analysed, according to the coding schemes that were applied in each period.</w:t>
      </w:r>
    </w:p>
    <w:p w:rsidR="00A97F3C" w:rsidRDefault="00A97F3C" w:rsidP="00B7290E">
      <w:pPr>
        <w:spacing w:line="360" w:lineRule="auto"/>
        <w:jc w:val="both"/>
      </w:pPr>
    </w:p>
    <w:p w:rsidR="00BE15DC" w:rsidRDefault="00A97F3C" w:rsidP="00B7290E">
      <w:pPr>
        <w:spacing w:line="360" w:lineRule="auto"/>
        <w:jc w:val="both"/>
      </w:pPr>
      <w:r>
        <w:t xml:space="preserve">Similarly, cause of death categories were </w:t>
      </w:r>
      <w:r w:rsidR="00D237F0">
        <w:t>mostly as had been analysed previously [</w:t>
      </w:r>
      <w:r w:rsidR="008E0F58">
        <w:t>2</w:t>
      </w:r>
      <w:r w:rsidR="00D237F0">
        <w:t>], but with a few adjustments because of changes between the ninth and tenth revisions of the International Classification</w:t>
      </w:r>
      <w:r>
        <w:t xml:space="preserve"> </w:t>
      </w:r>
      <w:r w:rsidR="00D237F0">
        <w:t>of Diseases (ICD</w:t>
      </w:r>
      <w:r w:rsidR="007261D2">
        <w:t>-</w:t>
      </w:r>
      <w:r w:rsidR="00D237F0">
        <w:t>9 and ICD</w:t>
      </w:r>
      <w:r w:rsidR="007261D2">
        <w:t>-</w:t>
      </w:r>
      <w:r w:rsidR="00D237F0">
        <w:t>10) (Supplementary Table S2).  Again</w:t>
      </w:r>
      <w:r w:rsidR="00BB3C14">
        <w:t>,</w:t>
      </w:r>
      <w:r w:rsidR="00D237F0">
        <w:t xml:space="preserve"> where</w:t>
      </w:r>
      <w:r w:rsidR="00BB3C14">
        <w:t xml:space="preserve"> for consistency</w:t>
      </w:r>
      <w:r w:rsidR="00D237F0">
        <w:t xml:space="preserve"> </w:t>
      </w:r>
      <w:r w:rsidR="00BB3C14">
        <w:t xml:space="preserve">it was necessary to merge </w:t>
      </w:r>
      <w:r w:rsidR="00D237F0">
        <w:t xml:space="preserve">cause of death categories </w:t>
      </w:r>
      <w:r w:rsidR="00BB3C14">
        <w:t xml:space="preserve">that had not been </w:t>
      </w:r>
      <w:r w:rsidR="00D237F0">
        <w:t xml:space="preserve">distinguished in </w:t>
      </w:r>
      <w:r w:rsidR="00BB3C14">
        <w:t>all</w:t>
      </w:r>
      <w:r w:rsidR="00D237F0">
        <w:t xml:space="preserve"> time period</w:t>
      </w:r>
      <w:r w:rsidR="00BB3C14">
        <w:t>s</w:t>
      </w:r>
      <w:r w:rsidR="00D237F0">
        <w:t xml:space="preserve">, observed and expected numbers of deaths were derived separately for each </w:t>
      </w:r>
      <w:r w:rsidR="00BB3C14">
        <w:t>sub-</w:t>
      </w:r>
      <w:r w:rsidR="00D237F0">
        <w:t xml:space="preserve">category and then </w:t>
      </w:r>
      <w:r w:rsidR="00056F7A">
        <w:t>aggregat</w:t>
      </w:r>
      <w:r w:rsidR="00D237F0">
        <w:t>ed to give values for the merged grouping.  One important category in ICD</w:t>
      </w:r>
      <w:r w:rsidR="007261D2">
        <w:t>-</w:t>
      </w:r>
      <w:r w:rsidR="00D237F0">
        <w:t>10, mesothelioma</w:t>
      </w:r>
      <w:r w:rsidR="00A33661">
        <w:t xml:space="preserve"> unspecified, had </w:t>
      </w:r>
      <w:r w:rsidR="009D64E0">
        <w:t xml:space="preserve">been included </w:t>
      </w:r>
      <w:r w:rsidR="007261D2">
        <w:t xml:space="preserve">in ICD-9 </w:t>
      </w:r>
      <w:r w:rsidR="00A33661">
        <w:t>with all unspecified neoplasms (which were much more numerous), and therefore could not be considered in our analysis of trends.</w:t>
      </w:r>
      <w:r w:rsidR="000A57C9">
        <w:t xml:space="preserve">  </w:t>
      </w:r>
    </w:p>
    <w:p w:rsidR="00A33661" w:rsidRDefault="00A33661" w:rsidP="00B7290E">
      <w:pPr>
        <w:spacing w:line="360" w:lineRule="auto"/>
        <w:jc w:val="both"/>
      </w:pPr>
    </w:p>
    <w:p w:rsidR="006B7E57" w:rsidRDefault="00A33661" w:rsidP="00B7290E">
      <w:pPr>
        <w:spacing w:line="360" w:lineRule="auto"/>
        <w:jc w:val="both"/>
      </w:pPr>
      <w:r>
        <w:lastRenderedPageBreak/>
        <w:t>For each cause of death that was considered an established occupational hazard, we listed those job groups in which excess mortality might plausibly be expected</w:t>
      </w:r>
      <w:r w:rsidR="000E005C">
        <w:t xml:space="preserve"> </w:t>
      </w:r>
      <w:r w:rsidR="00D67B71">
        <w:t xml:space="preserve">– </w:t>
      </w:r>
      <w:r w:rsidR="000E005C">
        <w:t>e.g. cancer of the pleura in carpenters and joiners</w:t>
      </w:r>
      <w:r w:rsidR="00D67B71">
        <w:t xml:space="preserve"> (as a consequence of exposure to asbestos)</w:t>
      </w:r>
      <w:r w:rsidR="000E005C">
        <w:t>; railway accidents in rail construction and maintenance workers</w:t>
      </w:r>
      <w:r>
        <w:t xml:space="preserve">.  </w:t>
      </w:r>
      <w:r w:rsidR="00685C01">
        <w:t>We started with</w:t>
      </w:r>
      <w:r w:rsidR="009D64E0">
        <w:t xml:space="preserve"> the </w:t>
      </w:r>
      <w:r w:rsidR="00685C01">
        <w:t xml:space="preserve">hazards and </w:t>
      </w:r>
      <w:r w:rsidR="007261D2">
        <w:t xml:space="preserve">the </w:t>
      </w:r>
      <w:r w:rsidR="009D64E0">
        <w:t xml:space="preserve">job groups that had been </w:t>
      </w:r>
      <w:r w:rsidR="00A6182E">
        <w:t xml:space="preserve">classed </w:t>
      </w:r>
      <w:r w:rsidR="009D64E0">
        <w:t>as at-risk in our previous analysis [</w:t>
      </w:r>
      <w:r w:rsidR="008E0F58">
        <w:t>2</w:t>
      </w:r>
      <w:r w:rsidR="009D64E0">
        <w:t>]</w:t>
      </w:r>
      <w:r w:rsidR="00685C01">
        <w:t>, and</w:t>
      </w:r>
      <w:r>
        <w:t xml:space="preserve"> reviewed the observed and expected numbers of deaths for </w:t>
      </w:r>
      <w:r w:rsidR="008E0F58">
        <w:t xml:space="preserve">those </w:t>
      </w:r>
      <w:r>
        <w:t>combinations of cause of death and job group during each of the three periods, 1979-90, 1991-2000 and 2001-10</w:t>
      </w:r>
      <w:r w:rsidR="009D64E0">
        <w:t>, and overall</w:t>
      </w:r>
      <w:r>
        <w:t xml:space="preserve">.  </w:t>
      </w:r>
      <w:r w:rsidR="00D62018">
        <w:t>For injury and poisoning (</w:t>
      </w:r>
      <w:r w:rsidR="006B7E57">
        <w:t>fatality from which is</w:t>
      </w:r>
      <w:r w:rsidR="00D62018">
        <w:t xml:space="preserve"> likely to be acute) and </w:t>
      </w:r>
      <w:r w:rsidR="006B7E57">
        <w:t xml:space="preserve">pneumonia in occupations exposed to metal fume (for which the excess risk resolves following cessation of exposure), we considered only deaths at normal working ages (20-64 years).  For other hazards, we included deaths at 20-74 years.  </w:t>
      </w:r>
      <w:r w:rsidR="009D64E0">
        <w:t>A few of the</w:t>
      </w:r>
      <w:r w:rsidR="00391F11">
        <w:t xml:space="preserve"> </w:t>
      </w:r>
      <w:r w:rsidR="00685C01">
        <w:t>combinations of hazard and job group</w:t>
      </w:r>
      <w:r w:rsidR="00391F11">
        <w:t xml:space="preserve"> were excluded from further analysis</w:t>
      </w:r>
      <w:r w:rsidR="009D64E0">
        <w:t xml:space="preserve"> because </w:t>
      </w:r>
      <w:r w:rsidR="00685C01">
        <w:t>changes in classification meant that they could not be examined meaningfully, or there was no excess mortality in any of the three periods of study</w:t>
      </w:r>
      <w:r w:rsidR="009D64E0">
        <w:t xml:space="preserve"> (</w:t>
      </w:r>
      <w:r w:rsidR="00CC3A77">
        <w:t xml:space="preserve">Supplementary </w:t>
      </w:r>
      <w:r w:rsidR="009D64E0">
        <w:t>Tabl</w:t>
      </w:r>
      <w:r w:rsidR="00CC3A77">
        <w:t>e S3)</w:t>
      </w:r>
      <w:r w:rsidR="00391F11">
        <w:t xml:space="preserve">.  </w:t>
      </w:r>
    </w:p>
    <w:p w:rsidR="006B7E57" w:rsidRDefault="006B7E57" w:rsidP="00B7290E">
      <w:pPr>
        <w:spacing w:line="360" w:lineRule="auto"/>
        <w:jc w:val="both"/>
      </w:pPr>
    </w:p>
    <w:p w:rsidR="00A33661" w:rsidRDefault="00391F11" w:rsidP="00B7290E">
      <w:pPr>
        <w:spacing w:line="360" w:lineRule="auto"/>
        <w:jc w:val="both"/>
      </w:pPr>
      <w:r>
        <w:t xml:space="preserve">For </w:t>
      </w:r>
      <w:r w:rsidR="00E71A1B">
        <w:t>each hazard and time period</w:t>
      </w:r>
      <w:r>
        <w:t xml:space="preserve">, we summed the observed and expected numbers of deaths across </w:t>
      </w:r>
      <w:r w:rsidR="00E71A1B">
        <w:t>the</w:t>
      </w:r>
      <w:r w:rsidR="00D67B71">
        <w:t xml:space="preserve"> </w:t>
      </w:r>
      <w:r>
        <w:t>job groups</w:t>
      </w:r>
      <w:r w:rsidR="00E71A1B">
        <w:t xml:space="preserve"> designated as being at risk</w:t>
      </w:r>
      <w:r>
        <w:t xml:space="preserve">, and divided the difference between </w:t>
      </w:r>
      <w:r w:rsidR="00E71A1B">
        <w:t xml:space="preserve">the total </w:t>
      </w:r>
      <w:r>
        <w:t xml:space="preserve">observed and expected </w:t>
      </w:r>
      <w:r w:rsidR="00E71A1B">
        <w:t xml:space="preserve">numbers </w:t>
      </w:r>
      <w:r>
        <w:t xml:space="preserve">by the length of the observation period to </w:t>
      </w:r>
      <w:r w:rsidR="00D53A4A">
        <w:t xml:space="preserve">derive </w:t>
      </w:r>
      <w:r w:rsidR="00E71A1B">
        <w:t xml:space="preserve">an </w:t>
      </w:r>
      <w:r>
        <w:t xml:space="preserve">estimate of annual excess mortality in </w:t>
      </w:r>
      <w:r w:rsidR="00E77477">
        <w:t xml:space="preserve">the relevant </w:t>
      </w:r>
      <w:r>
        <w:t>period.</w:t>
      </w:r>
      <w:r w:rsidR="00056F7A">
        <w:t xml:space="preserve">  To avoid bias, we applied this approach even where</w:t>
      </w:r>
      <w:r w:rsidR="006B7E57">
        <w:t>,</w:t>
      </w:r>
      <w:r w:rsidR="00056F7A">
        <w:t xml:space="preserve"> in a particular job group</w:t>
      </w:r>
      <w:r w:rsidR="00627D6B">
        <w:t xml:space="preserve"> and time period</w:t>
      </w:r>
      <w:r w:rsidR="00056F7A">
        <w:t>, the number of deaths observed was fewer than the number expected</w:t>
      </w:r>
      <w:r w:rsidR="00654A56">
        <w:t xml:space="preserve"> (i.e</w:t>
      </w:r>
      <w:r w:rsidR="00E77477">
        <w:t>.</w:t>
      </w:r>
      <w:r w:rsidR="00654A56">
        <w:t xml:space="preserve"> the excess was negative)</w:t>
      </w:r>
      <w:r w:rsidR="00056F7A">
        <w:t>.</w:t>
      </w:r>
      <w:r>
        <w:t xml:space="preserve">  </w:t>
      </w:r>
      <w:r w:rsidR="003E3DFC">
        <w:t xml:space="preserve">For diseases that could occur only as a consequence of occupational exposures (e.g. pneumoconiosis, farmers’ lung disease), we counted also the deaths in occupations that were not designated as being at risk, and included them in our estimate of excess mortality.  </w:t>
      </w:r>
      <w:r>
        <w:t xml:space="preserve">Where </w:t>
      </w:r>
      <w:r w:rsidR="00685C01">
        <w:t xml:space="preserve">a </w:t>
      </w:r>
      <w:r>
        <w:t>major excess of deaths w</w:t>
      </w:r>
      <w:r w:rsidR="00685C01">
        <w:t>as</w:t>
      </w:r>
      <w:r>
        <w:t xml:space="preserve"> observed</w:t>
      </w:r>
      <w:r w:rsidR="00056F7A">
        <w:t xml:space="preserve"> for a hazard</w:t>
      </w:r>
      <w:r>
        <w:t xml:space="preserve">, we </w:t>
      </w:r>
      <w:r w:rsidR="00CC3A77">
        <w:t>noted</w:t>
      </w:r>
      <w:r>
        <w:t xml:space="preserve"> the main job groups that contributed, and where there was a substantial change in excess mortality over the </w:t>
      </w:r>
      <w:r w:rsidR="00056F7A">
        <w:t xml:space="preserve">duration of the </w:t>
      </w:r>
      <w:r>
        <w:t xml:space="preserve">study, we </w:t>
      </w:r>
      <w:r w:rsidR="001E4F98">
        <w:t>checked to which job groups it applied, and whether it was driven more by changes in their PMRs</w:t>
      </w:r>
      <w:r w:rsidR="00CC3A77">
        <w:t>,</w:t>
      </w:r>
      <w:r w:rsidR="001E4F98">
        <w:t xml:space="preserve"> in the numbers of men at risk (indicated by the number of deaths from all causes in the job group</w:t>
      </w:r>
      <w:r w:rsidR="00056F7A">
        <w:t>s concerned</w:t>
      </w:r>
      <w:r w:rsidR="001E4F98">
        <w:t>)</w:t>
      </w:r>
      <w:r w:rsidR="00CC3A77">
        <w:t>, or in mortality from that cause across all occupations</w:t>
      </w:r>
      <w:r w:rsidR="001E4F98">
        <w:t>.</w:t>
      </w:r>
    </w:p>
    <w:p w:rsidR="00627D6B" w:rsidRDefault="00627D6B" w:rsidP="00B7290E">
      <w:pPr>
        <w:spacing w:line="360" w:lineRule="auto"/>
        <w:jc w:val="both"/>
      </w:pPr>
    </w:p>
    <w:p w:rsidR="00F513CF" w:rsidRDefault="002D1C8F" w:rsidP="00B7290E">
      <w:pPr>
        <w:spacing w:line="360" w:lineRule="auto"/>
        <w:jc w:val="both"/>
      </w:pPr>
      <w:r>
        <w:t>As in our previous analysis [</w:t>
      </w:r>
      <w:r w:rsidR="006B6EAC">
        <w:t>2</w:t>
      </w:r>
      <w:r>
        <w:t>], we did not attempt to evaluate trends in excess mortality from lung cancer that might be attributable to work.  This was because of the major potential for confounding by smoking, the prevalence of which was expected to vary importantly between job groups and over time.</w:t>
      </w:r>
      <w:r w:rsidR="007261D2">
        <w:t xml:space="preserve"> </w:t>
      </w:r>
      <w:r w:rsidR="006B6EAC">
        <w:t xml:space="preserve"> Nor did we examine mortality from coronary heart disease since although it has been linked with both shift work [</w:t>
      </w:r>
      <w:r w:rsidR="00260596">
        <w:t>3</w:t>
      </w:r>
      <w:r w:rsidR="006B6EAC">
        <w:t>] and occupational stress [</w:t>
      </w:r>
      <w:r w:rsidR="00260596">
        <w:t>4</w:t>
      </w:r>
      <w:r w:rsidR="006B6EAC">
        <w:t xml:space="preserve">], there were no job groups in which an excess of deaths could confidently be ascribed to such exposures.  </w:t>
      </w:r>
    </w:p>
    <w:p w:rsidR="007261D2" w:rsidRDefault="007261D2" w:rsidP="00B7290E">
      <w:pPr>
        <w:spacing w:line="360" w:lineRule="auto"/>
        <w:jc w:val="both"/>
      </w:pPr>
    </w:p>
    <w:p w:rsidR="00F513CF" w:rsidRDefault="00F513CF" w:rsidP="006331E5">
      <w:pPr>
        <w:pStyle w:val="Heading4"/>
        <w:spacing w:line="360" w:lineRule="auto"/>
        <w:jc w:val="both"/>
      </w:pPr>
      <w:r>
        <w:t>Results</w:t>
      </w:r>
    </w:p>
    <w:p w:rsidR="006331E5" w:rsidRDefault="00F513CF" w:rsidP="006331E5">
      <w:pPr>
        <w:spacing w:line="360" w:lineRule="auto"/>
        <w:jc w:val="both"/>
      </w:pPr>
      <w:r>
        <w:t xml:space="preserve">The analysis was based on a total on </w:t>
      </w:r>
      <w:r w:rsidR="00E9368F">
        <w:t>3</w:t>
      </w:r>
      <w:r w:rsidR="00A80E86">
        <w:t>,</w:t>
      </w:r>
      <w:r w:rsidR="00E9368F">
        <w:t>688</w:t>
      </w:r>
      <w:r w:rsidR="00A80E86">
        <w:t>,</w:t>
      </w:r>
      <w:r w:rsidR="00E9368F">
        <w:t xml:space="preserve">916 </w:t>
      </w:r>
      <w:r>
        <w:t xml:space="preserve">deaths, of which </w:t>
      </w:r>
      <w:r w:rsidR="00E9368F">
        <w:t>1</w:t>
      </w:r>
      <w:r w:rsidR="00A80E86">
        <w:t>,</w:t>
      </w:r>
      <w:r w:rsidR="00E9368F">
        <w:t>564</w:t>
      </w:r>
      <w:r w:rsidR="00A80E86">
        <w:t>,</w:t>
      </w:r>
      <w:r w:rsidR="00E9368F">
        <w:t xml:space="preserve">981 </w:t>
      </w:r>
      <w:r>
        <w:t xml:space="preserve">occurred during 1979-90, </w:t>
      </w:r>
      <w:r w:rsidR="00E9368F">
        <w:t>1</w:t>
      </w:r>
      <w:r w:rsidR="00A80E86">
        <w:t>,</w:t>
      </w:r>
      <w:r w:rsidR="00E9368F">
        <w:t>199</w:t>
      </w:r>
      <w:r w:rsidR="00A80E86">
        <w:t>,</w:t>
      </w:r>
      <w:r w:rsidR="00E9368F">
        <w:t xml:space="preserve">234 </w:t>
      </w:r>
      <w:r>
        <w:t xml:space="preserve">in 1991-2000, and </w:t>
      </w:r>
      <w:r w:rsidR="00E9368F">
        <w:t>924</w:t>
      </w:r>
      <w:r w:rsidR="00A80E86">
        <w:t>,</w:t>
      </w:r>
      <w:r w:rsidR="00E9368F">
        <w:t xml:space="preserve">701 </w:t>
      </w:r>
      <w:r>
        <w:t xml:space="preserve">in 2001-2010.  Table 1 </w:t>
      </w:r>
      <w:r w:rsidR="00D948EF">
        <w:t>sets out the numbers of deaths in each time period</w:t>
      </w:r>
      <w:r w:rsidR="006331E5">
        <w:t>,</w:t>
      </w:r>
      <w:r w:rsidR="00D948EF">
        <w:t xml:space="preserve"> </w:t>
      </w:r>
      <w:r w:rsidR="006331E5">
        <w:t xml:space="preserve">across all job groups combined, </w:t>
      </w:r>
      <w:r w:rsidR="00D948EF">
        <w:t xml:space="preserve">from the causes of death that were </w:t>
      </w:r>
      <w:r w:rsidR="006331E5">
        <w:t>examined</w:t>
      </w:r>
      <w:r w:rsidR="00D948EF">
        <w:t xml:space="preserve"> as occupational hazards</w:t>
      </w:r>
      <w:r w:rsidR="006331E5">
        <w:t xml:space="preserve">.  </w:t>
      </w:r>
      <w:r w:rsidR="009265F6">
        <w:t xml:space="preserve">There were </w:t>
      </w:r>
      <w:r w:rsidR="0020348D">
        <w:t>marked</w:t>
      </w:r>
      <w:r w:rsidR="009265F6">
        <w:t xml:space="preserve"> declines in mortality from some causes including tuberculosis, </w:t>
      </w:r>
      <w:r w:rsidR="0020348D">
        <w:t>cancer of the scrotum, asthma, farmers’ lung disease, most types of pneumoconiosis, byssinosis and many categories of injury.  On the other hand, increases were observed in deaths from viral hepatitis, cancer of the liver, other alcohol-related diseases, other an</w:t>
      </w:r>
      <w:r w:rsidR="00654A56">
        <w:t>d</w:t>
      </w:r>
      <w:r w:rsidR="0020348D">
        <w:t xml:space="preserve"> unspecified allergic pneumonitis and asbestosis. </w:t>
      </w:r>
    </w:p>
    <w:p w:rsidR="006331E5" w:rsidRDefault="006331E5" w:rsidP="006331E5">
      <w:pPr>
        <w:spacing w:line="360" w:lineRule="auto"/>
        <w:jc w:val="both"/>
      </w:pPr>
    </w:p>
    <w:p w:rsidR="00F513CF" w:rsidRDefault="006331E5" w:rsidP="006331E5">
      <w:pPr>
        <w:spacing w:line="360" w:lineRule="auto"/>
        <w:jc w:val="both"/>
      </w:pPr>
      <w:r>
        <w:t xml:space="preserve">Table 2 lists the job groups that were considered </w:t>
      </w:r>
      <w:r w:rsidR="00E77477">
        <w:t xml:space="preserve">a priori </w:t>
      </w:r>
      <w:r>
        <w:t>to be at risk of one or more of the identified occupational hazards, and gives the total number of deaths in each job group by time period.</w:t>
      </w:r>
      <w:r w:rsidR="00D948EF">
        <w:t xml:space="preserve"> </w:t>
      </w:r>
      <w:r>
        <w:t xml:space="preserve"> </w:t>
      </w:r>
      <w:r w:rsidR="000053B8">
        <w:t xml:space="preserve">In most job groups, the number of deaths declined over </w:t>
      </w:r>
      <w:r w:rsidR="00582430">
        <w:t xml:space="preserve">the period of study, the fall being most marked in traditional manufacturing occupations, and in rail travel assistants and dockers.  There was, however, a notable increase in </w:t>
      </w:r>
      <w:r w:rsidR="00D67B71">
        <w:t xml:space="preserve">deaths in </w:t>
      </w:r>
      <w:r w:rsidR="00582430">
        <w:t>professional athletes and sports officials.  A reduction in deaths among electrical, energy, boiler operatives and attendants was largely offset by an increase for other transport, plant and machine operatives.</w:t>
      </w:r>
    </w:p>
    <w:p w:rsidR="006331E5" w:rsidRDefault="006331E5" w:rsidP="006331E5">
      <w:pPr>
        <w:spacing w:line="360" w:lineRule="auto"/>
        <w:jc w:val="both"/>
      </w:pPr>
    </w:p>
    <w:p w:rsidR="006331E5" w:rsidRDefault="006331E5" w:rsidP="006331E5">
      <w:pPr>
        <w:spacing w:line="360" w:lineRule="auto"/>
        <w:jc w:val="both"/>
      </w:pPr>
      <w:r w:rsidRPr="006331E5">
        <w:t>Table 3 s</w:t>
      </w:r>
      <w:r>
        <w:t>ummarises the</w:t>
      </w:r>
      <w:r w:rsidRPr="006331E5">
        <w:t xml:space="preserve"> </w:t>
      </w:r>
      <w:r>
        <w:t>trends in</w:t>
      </w:r>
      <w:r w:rsidR="00336E87">
        <w:t xml:space="preserve"> excess</w:t>
      </w:r>
      <w:r w:rsidRPr="006331E5">
        <w:t xml:space="preserve"> mortality from diseases caused by occupational exposure to dusts and fumes</w:t>
      </w:r>
      <w:r w:rsidR="0006638F">
        <w:t xml:space="preserve"> (here and in Tables 4 and 5, </w:t>
      </w:r>
      <w:r w:rsidR="00745D04">
        <w:t>some of the results</w:t>
      </w:r>
      <w:r w:rsidR="0006638F">
        <w:t xml:space="preserve"> for 1979-90 and 1991-2000</w:t>
      </w:r>
      <w:r w:rsidR="00745D04">
        <w:t xml:space="preserve"> differ slightly from those in our earlier paper [2] because of the aggregation of job groups that was necessary to achieve compatibility across the three time periods</w:t>
      </w:r>
      <w:r w:rsidR="00260596">
        <w:t>, and because in this study, deficits of observed vs. expected deaths were counted as negative numbers rather than zero</w:t>
      </w:r>
      <w:r w:rsidR="00745D04">
        <w:t>)</w:t>
      </w:r>
      <w:r w:rsidRPr="006331E5">
        <w:t>.  The overall excess of deaths declined from an annual average of 41</w:t>
      </w:r>
      <w:r w:rsidR="00582430">
        <w:t>4</w:t>
      </w:r>
      <w:r>
        <w:t>.</w:t>
      </w:r>
      <w:r w:rsidR="00582430">
        <w:t>8</w:t>
      </w:r>
      <w:r w:rsidRPr="006331E5">
        <w:t xml:space="preserve"> during 1979-90 to 27</w:t>
      </w:r>
      <w:r w:rsidR="00582430">
        <w:t>2</w:t>
      </w:r>
      <w:r w:rsidRPr="006331E5">
        <w:t>.</w:t>
      </w:r>
      <w:r w:rsidR="00582430">
        <w:t>6</w:t>
      </w:r>
      <w:r w:rsidRPr="006331E5">
        <w:t xml:space="preserve"> in 1991-2000.  </w:t>
      </w:r>
      <w:r w:rsidR="009265F6">
        <w:t>The</w:t>
      </w:r>
      <w:r w:rsidRPr="006331E5">
        <w:t xml:space="preserve"> new category of deaths from mesothelioma at unspecified sites, which </w:t>
      </w:r>
      <w:r w:rsidR="009265F6">
        <w:t xml:space="preserve">was distinguished </w:t>
      </w:r>
      <w:r w:rsidR="00582430">
        <w:t xml:space="preserve">only </w:t>
      </w:r>
      <w:r w:rsidR="009265F6">
        <w:t xml:space="preserve">during 2001-10, </w:t>
      </w:r>
      <w:r w:rsidRPr="006331E5">
        <w:t>accounted for 13</w:t>
      </w:r>
      <w:r w:rsidR="00582430">
        <w:t>5</w:t>
      </w:r>
      <w:r w:rsidRPr="006331E5">
        <w:t>.</w:t>
      </w:r>
      <w:r w:rsidR="00582430">
        <w:t>9</w:t>
      </w:r>
      <w:r w:rsidRPr="006331E5">
        <w:t xml:space="preserve"> </w:t>
      </w:r>
      <w:r w:rsidR="009458B1">
        <w:t>excess</w:t>
      </w:r>
      <w:r w:rsidR="009458B1" w:rsidRPr="006331E5">
        <w:t xml:space="preserve"> </w:t>
      </w:r>
      <w:r w:rsidRPr="006331E5">
        <w:t xml:space="preserve">deaths per year.  </w:t>
      </w:r>
      <w:r w:rsidR="00654A56">
        <w:t>In the same period, t</w:t>
      </w:r>
      <w:r w:rsidRPr="006331E5">
        <w:t xml:space="preserve">otal </w:t>
      </w:r>
      <w:r w:rsidR="009458B1">
        <w:t>excess</w:t>
      </w:r>
      <w:r w:rsidR="009458B1" w:rsidRPr="006331E5">
        <w:t xml:space="preserve"> </w:t>
      </w:r>
      <w:r w:rsidRPr="006331E5">
        <w:t>mortality from the other causes of death showed a further decrease to 31</w:t>
      </w:r>
      <w:r w:rsidR="00582430">
        <w:t>2</w:t>
      </w:r>
      <w:r w:rsidRPr="006331E5">
        <w:t>.</w:t>
      </w:r>
      <w:r w:rsidR="00582430">
        <w:t>8</w:t>
      </w:r>
      <w:r w:rsidRPr="006331E5">
        <w:t xml:space="preserve"> – 13</w:t>
      </w:r>
      <w:r w:rsidR="00582430">
        <w:t>5.9</w:t>
      </w:r>
      <w:r w:rsidRPr="006331E5">
        <w:t xml:space="preserve"> = 17</w:t>
      </w:r>
      <w:r w:rsidR="00582430">
        <w:t>6</w:t>
      </w:r>
      <w:r w:rsidRPr="006331E5">
        <w:t>.</w:t>
      </w:r>
      <w:r w:rsidR="00582430">
        <w:t>9</w:t>
      </w:r>
      <w:r w:rsidRPr="006331E5">
        <w:t xml:space="preserve"> deaths per year.</w:t>
      </w:r>
    </w:p>
    <w:p w:rsidR="006331E5" w:rsidRPr="006331E5" w:rsidRDefault="006331E5" w:rsidP="006331E5">
      <w:pPr>
        <w:spacing w:line="360" w:lineRule="auto"/>
        <w:jc w:val="both"/>
      </w:pPr>
    </w:p>
    <w:p w:rsidR="006331E5" w:rsidRDefault="006331E5" w:rsidP="006331E5">
      <w:pPr>
        <w:spacing w:line="360" w:lineRule="auto"/>
        <w:jc w:val="both"/>
      </w:pPr>
      <w:r w:rsidRPr="006331E5">
        <w:t xml:space="preserve">The main contributors to the progressive decline in </w:t>
      </w:r>
      <w:r w:rsidR="009458B1">
        <w:t>excess</w:t>
      </w:r>
      <w:r w:rsidR="009458B1" w:rsidRPr="006331E5">
        <w:t xml:space="preserve"> </w:t>
      </w:r>
      <w:r w:rsidRPr="006331E5">
        <w:t xml:space="preserve">mortality were </w:t>
      </w:r>
      <w:r w:rsidR="00DE5789">
        <w:t>chronic bronchitis and emphysema,</w:t>
      </w:r>
      <w:r w:rsidRPr="006331E5">
        <w:t xml:space="preserve"> and coal workers’ pneumoconiosis, for which the annual excess</w:t>
      </w:r>
      <w:r w:rsidR="00DE5789">
        <w:t>es</w:t>
      </w:r>
      <w:r w:rsidRPr="006331E5">
        <w:t xml:space="preserve"> of deaths fell from 170.</w:t>
      </w:r>
      <w:r w:rsidR="009E1CC5">
        <w:t>7</w:t>
      </w:r>
      <w:r w:rsidRPr="006331E5">
        <w:t xml:space="preserve"> to 36.0 and 85.6 to 21.0 respectively.  These reductions were driven largely by the fall in the population of coal miners, as evidenced by a decrease in all-cause mortality from 47,249 deaths during 1979-90 to 14,208 in 2001-10 (Table 2).  However, as </w:t>
      </w:r>
      <w:r w:rsidRPr="006331E5">
        <w:lastRenderedPageBreak/>
        <w:t>illustrated in Supplementary Table S</w:t>
      </w:r>
      <w:r>
        <w:t>4</w:t>
      </w:r>
      <w:r w:rsidRPr="006331E5">
        <w:t xml:space="preserve">, which shows a detailed breakdown of excess mortality for individual job groups, there was in addition, a small decrease in the PMR for </w:t>
      </w:r>
      <w:r w:rsidR="00DE5789">
        <w:t>chronic bronchitis and emphysema</w:t>
      </w:r>
      <w:r w:rsidRPr="006331E5">
        <w:t xml:space="preserve"> in coal miners from </w:t>
      </w:r>
      <w:r w:rsidRPr="00DE5789">
        <w:t>144 to 128</w:t>
      </w:r>
      <w:r w:rsidRPr="006331E5">
        <w:t xml:space="preserve">.  For silicosis, farmers’ lung disease and pneumonia, the decrease in </w:t>
      </w:r>
      <w:r w:rsidR="009458B1">
        <w:t>excess</w:t>
      </w:r>
      <w:r w:rsidR="009458B1" w:rsidRPr="006331E5">
        <w:t xml:space="preserve"> </w:t>
      </w:r>
      <w:r w:rsidRPr="006331E5">
        <w:t xml:space="preserve">mortality was also beyond that which could be explained by a fall in the numbers at risk.  The lowering in excess occupational mortality from tuberculosis and asthma coincided with falls in </w:t>
      </w:r>
      <w:r w:rsidR="00384A81">
        <w:t xml:space="preserve">the annual numbers of </w:t>
      </w:r>
      <w:r w:rsidRPr="006331E5">
        <w:t xml:space="preserve">deaths from those diseases across all occupations </w:t>
      </w:r>
      <w:r w:rsidR="00066FA6">
        <w:t xml:space="preserve">by </w:t>
      </w:r>
      <w:r w:rsidR="00D53A4A">
        <w:t>66</w:t>
      </w:r>
      <w:r w:rsidR="00066FA6">
        <w:t xml:space="preserve">% and </w:t>
      </w:r>
      <w:r w:rsidR="00D53A4A">
        <w:t>68</w:t>
      </w:r>
      <w:r w:rsidR="00066FA6">
        <w:t xml:space="preserve">% respectively </w:t>
      </w:r>
      <w:r w:rsidRPr="006331E5">
        <w:t xml:space="preserve">(Table 1), but there was also a reduction in the PMRs of the job group at highest risk of tuberculosis – mine (excluding coal) and quarry workers – from </w:t>
      </w:r>
      <w:r w:rsidRPr="003D3EAD">
        <w:t>431 to 172.</w:t>
      </w:r>
    </w:p>
    <w:p w:rsidR="00A01A40" w:rsidRPr="006331E5" w:rsidRDefault="00A01A40" w:rsidP="006331E5">
      <w:pPr>
        <w:spacing w:line="360" w:lineRule="auto"/>
        <w:jc w:val="both"/>
      </w:pPr>
    </w:p>
    <w:p w:rsidR="006331E5" w:rsidRDefault="006331E5" w:rsidP="006331E5">
      <w:pPr>
        <w:spacing w:line="360" w:lineRule="auto"/>
        <w:jc w:val="both"/>
      </w:pPr>
      <w:r w:rsidRPr="006331E5">
        <w:t>In contrast to the improving picture for most diseases caused by dusts and fumes, excess mortality from sinonasal cancer and from diseases caused by asbestos remained fairly constant, or in the case of asbestosis, increased.  The main job groups contributing to the rise in mortality from asbestosis were carpenters and joiners</w:t>
      </w:r>
      <w:r w:rsidR="00384A81">
        <w:t xml:space="preserve"> (18.9 excess dea</w:t>
      </w:r>
      <w:r w:rsidR="000A1FD7">
        <w:t>th</w:t>
      </w:r>
      <w:r w:rsidR="00384A81">
        <w:t>s in 2001-10 vs. 3.8 in 1979-91)</w:t>
      </w:r>
      <w:r w:rsidRPr="006331E5">
        <w:t xml:space="preserve">, plumbers </w:t>
      </w:r>
      <w:r w:rsidR="000A1FD7">
        <w:t xml:space="preserve">(23.1 vs. 9.8) </w:t>
      </w:r>
      <w:r w:rsidRPr="006331E5">
        <w:t xml:space="preserve">and platers </w:t>
      </w:r>
      <w:r w:rsidR="000A1FD7">
        <w:t xml:space="preserve">(13.4 vs. 1.9) </w:t>
      </w:r>
      <w:r w:rsidRPr="006331E5">
        <w:t>(Supplementary Table S</w:t>
      </w:r>
      <w:r w:rsidR="00A01A40">
        <w:t>4</w:t>
      </w:r>
      <w:r w:rsidRPr="006331E5">
        <w:t xml:space="preserve">).  Mesothelioma at unspecified sites was only distinguished as a separate diagnostic category in ICD 10, but PMRs for the asbestos-exposed occupations during 2001-10 correlated closely with those for cancer of the pleura </w:t>
      </w:r>
      <w:r w:rsidRPr="00FE3D1E">
        <w:t>(correlation coefficient</w:t>
      </w:r>
      <w:r w:rsidRPr="00813615">
        <w:t xml:space="preserve"> </w:t>
      </w:r>
      <w:r w:rsidR="00FE3D1E">
        <w:t>0.81</w:t>
      </w:r>
      <w:r w:rsidRPr="006331E5">
        <w:t xml:space="preserve">, </w:t>
      </w:r>
      <w:r w:rsidR="00D53A4A">
        <w:t xml:space="preserve">Supplementary </w:t>
      </w:r>
      <w:r w:rsidRPr="006331E5">
        <w:t xml:space="preserve">Figure </w:t>
      </w:r>
      <w:r w:rsidR="00D53A4A">
        <w:t>S</w:t>
      </w:r>
      <w:r w:rsidRPr="006331E5">
        <w:t>1).</w:t>
      </w:r>
    </w:p>
    <w:p w:rsidR="00A01A40" w:rsidRPr="006331E5" w:rsidRDefault="00A01A40" w:rsidP="006331E5">
      <w:pPr>
        <w:spacing w:line="360" w:lineRule="auto"/>
        <w:jc w:val="both"/>
      </w:pPr>
    </w:p>
    <w:p w:rsidR="006331E5" w:rsidRDefault="006331E5" w:rsidP="006331E5">
      <w:pPr>
        <w:spacing w:line="360" w:lineRule="auto"/>
        <w:jc w:val="both"/>
      </w:pPr>
      <w:r w:rsidRPr="006331E5">
        <w:t xml:space="preserve">Over the entire study period, the calculated excess mortality among occupations </w:t>
      </w:r>
      <w:r w:rsidR="00D53A4A">
        <w:t xml:space="preserve">designated as being </w:t>
      </w:r>
      <w:r w:rsidRPr="006331E5">
        <w:t xml:space="preserve">at risk accounted for </w:t>
      </w:r>
      <w:r w:rsidR="00BA6F11" w:rsidRPr="00FE3D1E">
        <w:t>88</w:t>
      </w:r>
      <w:r w:rsidRPr="00FE3D1E">
        <w:t xml:space="preserve">% of the 1650 deaths from coal workers’ pneumoconiosis, </w:t>
      </w:r>
      <w:r w:rsidR="00BA6F11" w:rsidRPr="00FE3D1E">
        <w:t>5</w:t>
      </w:r>
      <w:r w:rsidR="00FE3D1E" w:rsidRPr="00FE3D1E">
        <w:t>8</w:t>
      </w:r>
      <w:r w:rsidRPr="00FE3D1E">
        <w:t xml:space="preserve">% of 1019 deaths from asbestosis, </w:t>
      </w:r>
      <w:r w:rsidR="00BA6F11" w:rsidRPr="00FE3D1E">
        <w:t>65</w:t>
      </w:r>
      <w:r w:rsidRPr="00FE3D1E">
        <w:t xml:space="preserve">% of 252 deaths from silicosis, </w:t>
      </w:r>
      <w:r w:rsidR="00BA6F11" w:rsidRPr="00FE3D1E">
        <w:t>85</w:t>
      </w:r>
      <w:r w:rsidRPr="00FE3D1E">
        <w:t xml:space="preserve">% of 117 deaths from farmers’ lung disease, and </w:t>
      </w:r>
      <w:r w:rsidR="00BA6F11" w:rsidRPr="00FE3D1E">
        <w:t>5</w:t>
      </w:r>
      <w:r w:rsidR="00FE3D1E" w:rsidRPr="00FE3D1E">
        <w:t>2</w:t>
      </w:r>
      <w:r w:rsidRPr="00FE3D1E">
        <w:t xml:space="preserve">% of </w:t>
      </w:r>
      <w:r w:rsidR="00BA6F11" w:rsidRPr="00FE3D1E">
        <w:t>9</w:t>
      </w:r>
      <w:r w:rsidR="00A80E86" w:rsidRPr="00FE3D1E">
        <w:t>,</w:t>
      </w:r>
      <w:r w:rsidR="00BA6F11" w:rsidRPr="00FE3D1E">
        <w:t xml:space="preserve">146 </w:t>
      </w:r>
      <w:r w:rsidRPr="00FE3D1E">
        <w:t>deaths from cancers of the peritoneum and pleura</w:t>
      </w:r>
      <w:r w:rsidR="00BA6F11" w:rsidRPr="00FE3D1E">
        <w:t xml:space="preserve"> combined</w:t>
      </w:r>
      <w:r w:rsidR="00FE3D1E">
        <w:t xml:space="preserve"> (Supplementary Table S4)</w:t>
      </w:r>
      <w:r w:rsidRPr="00FE3D1E">
        <w:t>.</w:t>
      </w:r>
    </w:p>
    <w:p w:rsidR="00A01A40" w:rsidRPr="006331E5" w:rsidRDefault="00A01A40" w:rsidP="006331E5">
      <w:pPr>
        <w:spacing w:line="360" w:lineRule="auto"/>
        <w:jc w:val="both"/>
      </w:pPr>
    </w:p>
    <w:p w:rsidR="006331E5" w:rsidRDefault="006331E5" w:rsidP="006331E5">
      <w:pPr>
        <w:spacing w:line="360" w:lineRule="auto"/>
        <w:jc w:val="both"/>
      </w:pPr>
      <w:r w:rsidRPr="006331E5">
        <w:t xml:space="preserve">Trends in </w:t>
      </w:r>
      <w:r w:rsidR="009458B1">
        <w:t>excess</w:t>
      </w:r>
      <w:r w:rsidR="009458B1" w:rsidRPr="006331E5">
        <w:t xml:space="preserve"> </w:t>
      </w:r>
      <w:r w:rsidRPr="006331E5">
        <w:t xml:space="preserve">mortality from other diseases caused by work are summarised in Table 4.  Reductions in excess deaths were observed for non-melanoma skin cancer in occupations particularly exposed to sunlight, and for cancer of the scrotum in those with exposure to mineral oils, while for viral hepatitis in doctors and urothelial cancer in chemical workers, </w:t>
      </w:r>
      <w:r w:rsidR="000A1FD7">
        <w:t xml:space="preserve">excess mortality was small with </w:t>
      </w:r>
      <w:r w:rsidRPr="006331E5">
        <w:t>no clear trends across the study period</w:t>
      </w:r>
      <w:r w:rsidR="003E3DFC">
        <w:t xml:space="preserve"> (Supplementary Table S5)</w:t>
      </w:r>
      <w:r w:rsidRPr="006331E5">
        <w:t xml:space="preserve">.  Publicans and bar staff </w:t>
      </w:r>
      <w:r w:rsidR="00EC2065">
        <w:t xml:space="preserve">(in the UK, publicans own or manage “public houses” that are licensed to sell alcoholic drinks for consumption on the premises) </w:t>
      </w:r>
      <w:r w:rsidRPr="006331E5">
        <w:t xml:space="preserve">experienced consistently elevated mortality from diseases caused by alcohol, but their </w:t>
      </w:r>
      <w:r w:rsidR="000A1FD7">
        <w:t xml:space="preserve">annual </w:t>
      </w:r>
      <w:r w:rsidRPr="006331E5">
        <w:t>excess of deaths from cirrhosis and pancreatitis declined over time, whereas that from cancers of the pharynx and liver increased</w:t>
      </w:r>
      <w:r w:rsidR="003E3DFC">
        <w:t xml:space="preserve"> (</w:t>
      </w:r>
      <w:r w:rsidR="00931E46">
        <w:t xml:space="preserve">Table 4 and </w:t>
      </w:r>
      <w:r w:rsidR="003E3DFC">
        <w:t>Supplementary Table S5)</w:t>
      </w:r>
      <w:r w:rsidRPr="006331E5">
        <w:t xml:space="preserve">.  There was a parallel </w:t>
      </w:r>
      <w:r w:rsidRPr="006331E5">
        <w:lastRenderedPageBreak/>
        <w:t xml:space="preserve">rise in deaths from cancer of the liver in all occupations combined, but </w:t>
      </w:r>
      <w:r w:rsidR="0059778E">
        <w:t xml:space="preserve">total </w:t>
      </w:r>
      <w:r w:rsidRPr="006331E5">
        <w:t>mortality from cirrhosis and pancreatitis showed no overall decline across the study period (Table 1).</w:t>
      </w:r>
    </w:p>
    <w:p w:rsidR="00A01A40" w:rsidRPr="006331E5" w:rsidRDefault="00A01A40" w:rsidP="006331E5">
      <w:pPr>
        <w:spacing w:line="360" w:lineRule="auto"/>
        <w:jc w:val="both"/>
      </w:pPr>
    </w:p>
    <w:p w:rsidR="006331E5" w:rsidRDefault="006331E5" w:rsidP="006331E5">
      <w:pPr>
        <w:spacing w:line="360" w:lineRule="auto"/>
        <w:jc w:val="both"/>
      </w:pPr>
      <w:r w:rsidRPr="006331E5">
        <w:t xml:space="preserve">Table 5 </w:t>
      </w:r>
      <w:r w:rsidR="00E91C81">
        <w:t xml:space="preserve">and Supplementary Table S6 </w:t>
      </w:r>
      <w:r w:rsidRPr="006331E5">
        <w:t>summarise patterns of mortality from injury and poisoning.  The overall annual excess of deaths in occupations at risk fell from 237.</w:t>
      </w:r>
      <w:r w:rsidR="007568F8">
        <w:t>0</w:t>
      </w:r>
      <w:r w:rsidRPr="006331E5">
        <w:t xml:space="preserve"> during 1979-90 to 13</w:t>
      </w:r>
      <w:r w:rsidR="00E91C81">
        <w:t>7.</w:t>
      </w:r>
      <w:r w:rsidR="001B1EC6">
        <w:t>4</w:t>
      </w:r>
      <w:r w:rsidRPr="006331E5">
        <w:t xml:space="preserve"> in 1991-2000, and 87.</w:t>
      </w:r>
      <w:r w:rsidR="001B1EC6">
        <w:t>5</w:t>
      </w:r>
      <w:r w:rsidRPr="006331E5">
        <w:t xml:space="preserve"> in 2001-10.  This substantial decline was driven by reductions in most of the major categories of injury, including a notable fall in the excess of deaths from railway accidents among railway workers from 11</w:t>
      </w:r>
      <w:r w:rsidR="00A01A40">
        <w:t>.</w:t>
      </w:r>
      <w:r w:rsidRPr="006331E5">
        <w:t>7 per year in 1979-90 to 0.4 deaths per year during 2001-10.  One exception to the general downward trend was excess mortality from injury by animals and plants in farmers, which remained fairly constant</w:t>
      </w:r>
      <w:r w:rsidR="00931E46">
        <w:t xml:space="preserve"> at 1.0 to 1.4 deaths per year</w:t>
      </w:r>
      <w:r w:rsidR="001F7927">
        <w:t xml:space="preserve"> (Supplementary Table S6)</w:t>
      </w:r>
      <w:r w:rsidRPr="006331E5">
        <w:t>.</w:t>
      </w:r>
    </w:p>
    <w:p w:rsidR="00A01A40" w:rsidRPr="006331E5" w:rsidRDefault="00A01A40" w:rsidP="006331E5">
      <w:pPr>
        <w:spacing w:line="360" w:lineRule="auto"/>
        <w:jc w:val="both"/>
      </w:pPr>
    </w:p>
    <w:p w:rsidR="006331E5" w:rsidRPr="006331E5" w:rsidRDefault="006331E5" w:rsidP="00A01A40">
      <w:pPr>
        <w:pStyle w:val="Heading4"/>
        <w:spacing w:line="360" w:lineRule="auto"/>
      </w:pPr>
      <w:r w:rsidRPr="006331E5">
        <w:t>Discussion</w:t>
      </w:r>
    </w:p>
    <w:p w:rsidR="006331E5" w:rsidRDefault="006331E5" w:rsidP="00A01A40">
      <w:pPr>
        <w:spacing w:line="360" w:lineRule="auto"/>
        <w:jc w:val="both"/>
      </w:pPr>
      <w:r w:rsidRPr="006331E5">
        <w:t xml:space="preserve">Our findings indicate that over recent decades, there has been a large </w:t>
      </w:r>
      <w:r w:rsidR="001F7927">
        <w:t xml:space="preserve">and continuing </w:t>
      </w:r>
      <w:r w:rsidRPr="006331E5">
        <w:t xml:space="preserve">fall in mortality from most of the occupational </w:t>
      </w:r>
      <w:r w:rsidR="00A01A40">
        <w:t xml:space="preserve">hazards </w:t>
      </w:r>
      <w:r w:rsidRPr="006331E5">
        <w:t xml:space="preserve">considered.  In </w:t>
      </w:r>
      <w:r w:rsidR="00A01A40">
        <w:t>many</w:t>
      </w:r>
      <w:r w:rsidRPr="006331E5">
        <w:t xml:space="preserve"> cases this appears to have come about through improved safety, but it also reflects reductions in the numbers of men employed in more hazardous jobs such as coal mining, and falling mortality </w:t>
      </w:r>
      <w:r w:rsidR="002C56EB">
        <w:t>from</w:t>
      </w:r>
      <w:r w:rsidR="002C56EB" w:rsidRPr="006331E5">
        <w:t xml:space="preserve"> </w:t>
      </w:r>
      <w:r w:rsidRPr="006331E5">
        <w:t>some diseases across the whole population.  Notable exceptions to the general improvement are diseases caused by asbestos, especially in some construction trades, sinonasal cancer in woodworkers, and injuries by animals and plants in farmworkers</w:t>
      </w:r>
      <w:r w:rsidR="00462285">
        <w:t xml:space="preserve">, for which there was still no clear decline in </w:t>
      </w:r>
      <w:r w:rsidR="009458B1">
        <w:t>excess</w:t>
      </w:r>
      <w:r w:rsidR="00462285">
        <w:t xml:space="preserve"> mortality</w:t>
      </w:r>
      <w:r w:rsidRPr="006331E5">
        <w:t>.</w:t>
      </w:r>
    </w:p>
    <w:p w:rsidR="00462285" w:rsidRDefault="00462285" w:rsidP="00A01A40">
      <w:pPr>
        <w:spacing w:line="360" w:lineRule="auto"/>
        <w:jc w:val="both"/>
      </w:pPr>
    </w:p>
    <w:p w:rsidR="00462285" w:rsidRDefault="00462285" w:rsidP="00A01A40">
      <w:pPr>
        <w:spacing w:line="360" w:lineRule="auto"/>
        <w:jc w:val="both"/>
      </w:pPr>
      <w:r>
        <w:t xml:space="preserve">As in our previous report [2], we limited our analysis </w:t>
      </w:r>
      <w:r w:rsidR="006D15E7">
        <w:t>of trends</w:t>
      </w:r>
      <w:r>
        <w:t xml:space="preserve"> to men.  This was because </w:t>
      </w:r>
      <w:r w:rsidR="006D15E7">
        <w:t xml:space="preserve">in the early part of the study period, </w:t>
      </w:r>
      <w:r>
        <w:t xml:space="preserve">most women </w:t>
      </w:r>
      <w:r w:rsidR="00600F2F">
        <w:t xml:space="preserve">who died </w:t>
      </w:r>
      <w:r w:rsidR="006D15E7">
        <w:t xml:space="preserve">at age 20-74 years </w:t>
      </w:r>
      <w:r>
        <w:t xml:space="preserve">had </w:t>
      </w:r>
      <w:r w:rsidR="0073421B">
        <w:t>spent only limited time</w:t>
      </w:r>
      <w:r>
        <w:t xml:space="preserve"> </w:t>
      </w:r>
      <w:r w:rsidR="0073421B">
        <w:t xml:space="preserve">in paid work, </w:t>
      </w:r>
      <w:r w:rsidR="00600F2F">
        <w:t xml:space="preserve">and </w:t>
      </w:r>
      <w:r w:rsidR="0073421B">
        <w:t>during 1979-90, only 30% had occupations recorded on their death certificates</w:t>
      </w:r>
      <w:r w:rsidR="00600F2F">
        <w:t xml:space="preserve"> [</w:t>
      </w:r>
      <w:r w:rsidR="007C4951">
        <w:t>5</w:t>
      </w:r>
      <w:r w:rsidR="00600F2F">
        <w:t xml:space="preserve">].  Furthermore, </w:t>
      </w:r>
      <w:r w:rsidR="006D15E7">
        <w:t>with a few notable exceptions (e.g. production of asbestos textiles [</w:t>
      </w:r>
      <w:r w:rsidR="007C4951">
        <w:t>6]</w:t>
      </w:r>
      <w:r w:rsidR="006D15E7">
        <w:t xml:space="preserve">), </w:t>
      </w:r>
      <w:r w:rsidR="00600F2F">
        <w:t xml:space="preserve">the jobs in which they </w:t>
      </w:r>
      <w:r w:rsidR="006D15E7">
        <w:t xml:space="preserve">been employed were not those </w:t>
      </w:r>
      <w:r w:rsidR="004D3A2B">
        <w:t>in which excess mortality</w:t>
      </w:r>
      <w:r w:rsidR="006D15E7">
        <w:t xml:space="preserve"> </w:t>
      </w:r>
      <w:r w:rsidR="004D3A2B">
        <w:t>could confidently be attributed to occupational</w:t>
      </w:r>
      <w:r w:rsidR="006D15E7">
        <w:t xml:space="preserve"> hazards.  We plan to report on occupational mortality among women during 2001-10 in a separate paper.  </w:t>
      </w:r>
      <w:r>
        <w:t xml:space="preserve"> </w:t>
      </w:r>
    </w:p>
    <w:p w:rsidR="00A01A40" w:rsidRPr="006331E5" w:rsidRDefault="00A01A40" w:rsidP="00A01A40">
      <w:pPr>
        <w:spacing w:line="360" w:lineRule="auto"/>
        <w:jc w:val="both"/>
      </w:pPr>
    </w:p>
    <w:p w:rsidR="006331E5" w:rsidRDefault="006D15E7" w:rsidP="006331E5">
      <w:pPr>
        <w:spacing w:line="360" w:lineRule="auto"/>
        <w:jc w:val="both"/>
      </w:pPr>
      <w:r>
        <w:t>Our</w:t>
      </w:r>
      <w:r w:rsidRPr="006331E5">
        <w:t xml:space="preserve"> </w:t>
      </w:r>
      <w:r w:rsidR="006331E5" w:rsidRPr="006331E5">
        <w:t>analysis had the advantage of covering all deaths nationally among men of working age over a prolonged period, which allowed trends to be evaluated with maximal statistical confidence.  Against this, however, must be set a number of methodological limitations, which relate principally to the accuracy with which causes of death and occupational exposures could be determined, and the potential for confounding by non-occupational factors.</w:t>
      </w:r>
    </w:p>
    <w:p w:rsidR="006615E1" w:rsidRPr="006331E5" w:rsidRDefault="006615E1" w:rsidP="006331E5">
      <w:pPr>
        <w:spacing w:line="360" w:lineRule="auto"/>
        <w:jc w:val="both"/>
      </w:pPr>
    </w:p>
    <w:p w:rsidR="006331E5" w:rsidRDefault="006331E5" w:rsidP="006331E5">
      <w:pPr>
        <w:spacing w:line="360" w:lineRule="auto"/>
        <w:jc w:val="both"/>
      </w:pPr>
      <w:r w:rsidRPr="006331E5">
        <w:t>Cause of death was ascertained f</w:t>
      </w:r>
      <w:r w:rsidR="002B0658">
        <w:t>ro</w:t>
      </w:r>
      <w:r w:rsidRPr="006331E5">
        <w:t xml:space="preserve">m death certificates, a source that is known </w:t>
      </w:r>
      <w:r w:rsidR="002B0658">
        <w:t xml:space="preserve">not always </w:t>
      </w:r>
      <w:r w:rsidRPr="006331E5">
        <w:t xml:space="preserve">to be </w:t>
      </w:r>
      <w:r w:rsidR="002B0658">
        <w:t>accurate</w:t>
      </w:r>
      <w:r w:rsidRPr="006331E5">
        <w:t xml:space="preserve"> [</w:t>
      </w:r>
      <w:r w:rsidR="0053571E">
        <w:t>7</w:t>
      </w:r>
      <w:r w:rsidRPr="006331E5">
        <w:t xml:space="preserve">].   </w:t>
      </w:r>
      <w:r w:rsidR="006D15E7">
        <w:t>Fewer e</w:t>
      </w:r>
      <w:r w:rsidRPr="006331E5">
        <w:t xml:space="preserve">rrors </w:t>
      </w:r>
      <w:r w:rsidR="006D15E7">
        <w:t>might be expected</w:t>
      </w:r>
      <w:r w:rsidRPr="006331E5">
        <w:t xml:space="preserve"> for established occupational diseases such as pneumoconiosis, and for injury and poisoning, all of which are classed as unnatural causes of death and therefore are subject to more detailed investigation.  However, </w:t>
      </w:r>
      <w:r w:rsidR="0053571E">
        <w:t>diagnostic errors</w:t>
      </w:r>
      <w:r w:rsidR="0053571E" w:rsidRPr="006331E5">
        <w:t xml:space="preserve"> </w:t>
      </w:r>
      <w:r w:rsidRPr="006331E5">
        <w:t xml:space="preserve">may have had a greater impact on, for example, cancer of the liver, which can be difficult to distinguish from hepatic metastasis of malignancies arising </w:t>
      </w:r>
      <w:r w:rsidR="00194D56">
        <w:t>in</w:t>
      </w:r>
      <w:r w:rsidRPr="006331E5">
        <w:t xml:space="preserve"> other </w:t>
      </w:r>
      <w:r w:rsidR="00194D56">
        <w:t>tissue</w:t>
      </w:r>
      <w:r w:rsidRPr="006331E5">
        <w:t>s.  In general, misclassification of causes of death is likely to have been non-differential with respect to job group, biasing PMRs towards the null.</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A further problem in </w:t>
      </w:r>
      <w:r w:rsidR="00F81770">
        <w:t>assessing</w:t>
      </w:r>
      <w:r w:rsidRPr="006331E5">
        <w:t xml:space="preserve"> causes of death was the lack of specificity of some ICD categories.  This applied particularly to mesothelioma at unspecified sites, which in ICD</w:t>
      </w:r>
      <w:r w:rsidR="003C7DE5">
        <w:t>-</w:t>
      </w:r>
      <w:r w:rsidRPr="006331E5">
        <w:t>9 was classed alon</w:t>
      </w:r>
      <w:r w:rsidR="006615E1">
        <w:t>g</w:t>
      </w:r>
      <w:r w:rsidRPr="006331E5">
        <w:t xml:space="preserve"> with other cancers of unknown origin that were much more numerous.  Analysis of data from 2001-10, when ICD</w:t>
      </w:r>
      <w:r w:rsidR="003C7DE5">
        <w:t>-</w:t>
      </w:r>
      <w:r w:rsidRPr="006331E5">
        <w:t>10 was used, indicated that PMRs from unspecified mesothelioma correlated closely with those for pleural cancer (</w:t>
      </w:r>
      <w:r w:rsidR="000A558D">
        <w:t xml:space="preserve">Supplementary </w:t>
      </w:r>
      <w:r w:rsidRPr="006331E5">
        <w:t xml:space="preserve">Figure </w:t>
      </w:r>
      <w:r w:rsidR="000A558D">
        <w:t>S</w:t>
      </w:r>
      <w:r w:rsidRPr="006331E5">
        <w:t xml:space="preserve">1), and that </w:t>
      </w:r>
      <w:r w:rsidR="006615E1">
        <w:t xml:space="preserve">excess </w:t>
      </w:r>
      <w:r w:rsidRPr="006331E5">
        <w:t xml:space="preserve">numbers of deaths were some </w:t>
      </w:r>
      <w:r w:rsidR="00F81770">
        <w:t>2.5</w:t>
      </w:r>
      <w:r w:rsidRPr="006331E5">
        <w:t xml:space="preserve"> times higher</w:t>
      </w:r>
      <w:r w:rsidR="00F81770">
        <w:t xml:space="preserve"> (</w:t>
      </w:r>
      <w:r w:rsidR="007568F8">
        <w:t>S</w:t>
      </w:r>
      <w:r w:rsidR="00F81770">
        <w:t>upplementary Table S4)</w:t>
      </w:r>
      <w:r w:rsidRPr="006331E5">
        <w:t xml:space="preserve">.    </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Incomplete diagnostic specificity was also a problem for deaths caused by injury and poisoning, the detailed circumstances of which were unknown.  As a consequence, attribution to work could only be made with reasonable confidence when the category of injury was likely to be a particular hazard in a job group.  Other injuries resulting from work will have been missed, and this explains why the </w:t>
      </w:r>
      <w:r w:rsidR="009458B1">
        <w:t>annual</w:t>
      </w:r>
      <w:r w:rsidRPr="006331E5">
        <w:t xml:space="preserve"> </w:t>
      </w:r>
      <w:r w:rsidR="009458B1">
        <w:t>excess</w:t>
      </w:r>
      <w:r w:rsidR="009458B1" w:rsidRPr="006331E5">
        <w:t xml:space="preserve"> </w:t>
      </w:r>
      <w:r w:rsidRPr="006331E5">
        <w:t xml:space="preserve">deaths </w:t>
      </w:r>
      <w:r w:rsidR="009458B1">
        <w:t>is</w:t>
      </w:r>
      <w:r w:rsidR="009458B1" w:rsidRPr="006331E5">
        <w:t xml:space="preserve"> </w:t>
      </w:r>
      <w:r w:rsidRPr="006331E5">
        <w:t>substantially lower than the incidence of fatal occupational injuries assessed from closer investigation of individual cases</w:t>
      </w:r>
      <w:r w:rsidR="0060711B">
        <w:t xml:space="preserve">.  During 2001-10, the UK Health and Safety Executive (HSE) recorded in excess of 200 fatal injuries per year to workers </w:t>
      </w:r>
      <w:r w:rsidRPr="006331E5">
        <w:t>[</w:t>
      </w:r>
      <w:r w:rsidR="0053571E">
        <w:t>8</w:t>
      </w:r>
      <w:r w:rsidRPr="006331E5">
        <w:t>].</w:t>
      </w:r>
      <w:r w:rsidR="0060711B">
        <w:t xml:space="preserve">  Our estimate of 87.8 was limited to men, but unlike the HSE statistics, it included deaths from road traffic accidents and in the armed forces.</w:t>
      </w:r>
    </w:p>
    <w:p w:rsidR="006615E1" w:rsidRPr="006331E5" w:rsidRDefault="006615E1" w:rsidP="006331E5">
      <w:pPr>
        <w:spacing w:line="360" w:lineRule="auto"/>
        <w:jc w:val="both"/>
      </w:pPr>
    </w:p>
    <w:p w:rsidR="006331E5" w:rsidRDefault="006331E5" w:rsidP="006331E5">
      <w:pPr>
        <w:spacing w:line="360" w:lineRule="auto"/>
        <w:jc w:val="both"/>
      </w:pPr>
      <w:r w:rsidRPr="006331E5">
        <w:t>Data on occupation were also derived from death certificates, and again will not have been completely accurate [</w:t>
      </w:r>
      <w:r w:rsidR="0053571E">
        <w:t>9</w:t>
      </w:r>
      <w:r w:rsidRPr="006331E5">
        <w:t xml:space="preserve">].  Analysis of proportional mortality avoided the biases that can occur when different sources of occupational information are used for the numerator and denominator of death rates, but at the expense of possible bias if mortality in a job group from all causes combined was unusually low or high.  In addition, as with causes of death, some occupational categories lacked desirable specificity.  For example, because of changes in occupational classification, stone masons (who can have high exposures to </w:t>
      </w:r>
      <w:r w:rsidRPr="006331E5">
        <w:lastRenderedPageBreak/>
        <w:t xml:space="preserve">silica) were grouped with bricklayers.  The resultant “dilution” will have led to lower PMRs, although it should not have biased estimates of </w:t>
      </w:r>
      <w:r w:rsidR="009458B1">
        <w:t>excess</w:t>
      </w:r>
      <w:r w:rsidR="009458B1" w:rsidRPr="006331E5">
        <w:t xml:space="preserve"> </w:t>
      </w:r>
      <w:r w:rsidRPr="006331E5">
        <w:t>numbers of deaths.</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More important was the potential to miss long-term effects of hazardous exposures where men had changed employment and the last full-time occupation as recorded on the death certificate was not that in which the relevant exposure occurred.  </w:t>
      </w:r>
      <w:r w:rsidR="00EA0652">
        <w:t xml:space="preserve">For example, as they approach retirement, some manual workers may move to jobs that are less physically demanding, and others may have changed their employment as some of the more hazardous industries contracted.  </w:t>
      </w:r>
      <w:r w:rsidRPr="006331E5">
        <w:t xml:space="preserve">Some indication of magnitude of this under-ascertainment can be gleaned from the findings for disease that are specific to occupational exposures.  For example, coal mining occupations were reported for only </w:t>
      </w:r>
      <w:r w:rsidR="00D22F44">
        <w:t>88</w:t>
      </w:r>
      <w:r w:rsidRPr="006331E5">
        <w:t xml:space="preserve">% of deaths from coal workers’ pneumoconiosis, and only </w:t>
      </w:r>
      <w:r w:rsidR="00D22F44">
        <w:t>65</w:t>
      </w:r>
      <w:r w:rsidRPr="006331E5">
        <w:t xml:space="preserve">% of deaths from silicosis occurred in men whose last occupation was classed as potentially exposed to silica.  For mesothelioma, which can develop as a consequence of relatively short exposures to asbestos many years in the past, the under-ascertainment because of changes in employment </w:t>
      </w:r>
      <w:r w:rsidR="002A2C78">
        <w:t>may</w:t>
      </w:r>
      <w:r w:rsidR="002A1B3B">
        <w:t xml:space="preserve"> have</w:t>
      </w:r>
      <w:r w:rsidRPr="006331E5">
        <w:t xml:space="preserve"> been even greater.</w:t>
      </w:r>
      <w:r w:rsidR="002A1B3B">
        <w:t xml:space="preserve">  Over the full study period, excess mortality in the occupations designated as being at risk accounted for only 5</w:t>
      </w:r>
      <w:r w:rsidR="0035023B">
        <w:t>2</w:t>
      </w:r>
      <w:r w:rsidR="002A1B3B" w:rsidRPr="006331E5">
        <w:t xml:space="preserve">% of </w:t>
      </w:r>
      <w:r w:rsidR="002A1B3B">
        <w:t>all</w:t>
      </w:r>
      <w:r w:rsidR="002A1B3B" w:rsidRPr="006331E5">
        <w:t xml:space="preserve"> deaths from cancers of the peritoneum and pleura</w:t>
      </w:r>
      <w:r w:rsidR="002A2C78">
        <w:t>, whereas the true attributable fraction is likely to have been closer to 85% [</w:t>
      </w:r>
      <w:r w:rsidR="0033623F">
        <w:t>10</w:t>
      </w:r>
      <w:r w:rsidR="002A2C78">
        <w:t>]</w:t>
      </w:r>
      <w:r w:rsidR="002A1B3B" w:rsidRPr="006331E5">
        <w:t>.</w:t>
      </w:r>
      <w:r w:rsidR="002A1B3B">
        <w:t xml:space="preserve"> </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Confounding by non-occupational factors will have been reduced by the adjustment of expected numbers of deaths for social class.  However, it remains a potential problem for diseases caused by smoking, the prevalence of which can vary importantly between occupations, even within the same social class.  The relative risk from smoking, and therefore the scope for confounding, is particularly high for lung cancer, and trends in occupational lung cancer, which require more complex assessment, will be considered in a separate report.  Confounding may also have caused us to overestimate the burden of alcohol-related diseases attributable to work in bars.  </w:t>
      </w:r>
      <w:r w:rsidR="00870760">
        <w:t xml:space="preserve">Some of the diseases (notably cancers of the oral cavity, pharynx and larynx) are </w:t>
      </w:r>
      <w:r w:rsidR="000F4CF7">
        <w:t>also</w:t>
      </w:r>
      <w:r w:rsidR="00870760">
        <w:t xml:space="preserve"> caused by smoking, which may be more prevalent in bar workers.  Furthermore, w</w:t>
      </w:r>
      <w:r w:rsidR="00870760" w:rsidRPr="006331E5">
        <w:t xml:space="preserve">hile </w:t>
      </w:r>
      <w:r w:rsidRPr="006331E5">
        <w:t>ready access to alcohol poses an important hazard in such employment, there may also be a tendency for heavy drinkers to take on jobs in bars selectively.</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Overall, the effect of the various limitations discussed will have been </w:t>
      </w:r>
      <w:r w:rsidR="006615E1">
        <w:t xml:space="preserve">a </w:t>
      </w:r>
      <w:r w:rsidRPr="006331E5">
        <w:t xml:space="preserve">net under-ascertainment of the burden of mortality attributable to occupation.  However, </w:t>
      </w:r>
      <w:r w:rsidR="00DC461B">
        <w:t>we think it</w:t>
      </w:r>
      <w:r w:rsidRPr="006331E5">
        <w:t xml:space="preserve"> unlikely that many of the estimates </w:t>
      </w:r>
      <w:r w:rsidR="00484A92">
        <w:t xml:space="preserve">for occupational diseases </w:t>
      </w:r>
      <w:r w:rsidRPr="006331E5">
        <w:t xml:space="preserve">will have been out </w:t>
      </w:r>
      <w:r w:rsidR="00DC461B">
        <w:t xml:space="preserve">by </w:t>
      </w:r>
      <w:r w:rsidRPr="006331E5">
        <w:t xml:space="preserve">a factor of </w:t>
      </w:r>
      <w:r w:rsidR="006615E1">
        <w:t xml:space="preserve">greater than </w:t>
      </w:r>
      <w:r w:rsidR="00CA5E8A">
        <w:t>three</w:t>
      </w:r>
      <w:r w:rsidRPr="006331E5">
        <w:t xml:space="preserve">.  </w:t>
      </w:r>
      <w:r w:rsidR="00484A92">
        <w:t xml:space="preserve">Bearing in mind this scope for error, the estimates for sinonasal cancer in workers exposed to wood and leather dust can be compared with those derived by </w:t>
      </w:r>
      <w:r w:rsidR="00484A92">
        <w:lastRenderedPageBreak/>
        <w:t>Slack and colleagues using different methodology [</w:t>
      </w:r>
      <w:r w:rsidR="0033623F">
        <w:t>1</w:t>
      </w:r>
      <w:r w:rsidR="009F3DBF">
        <w:t>1</w:t>
      </w:r>
      <w:r w:rsidR="00484A92">
        <w:t xml:space="preserve">].  </w:t>
      </w:r>
      <w:r w:rsidR="004A5C55">
        <w:t xml:space="preserve">Applying risk estimates derived from published studies to estimates of the proportion of the national population ever exposed, they calculated population attributable fractions </w:t>
      </w:r>
      <w:r w:rsidR="00016456">
        <w:t xml:space="preserve">for mortality from sinonasal cancer in men during 2005 </w:t>
      </w:r>
      <w:r w:rsidR="004A5C55">
        <w:t>of 0.1533 (95%CI 0.0594-0.2912) for wood dust and 0.0668</w:t>
      </w:r>
      <w:r w:rsidR="00484A92">
        <w:t xml:space="preserve"> </w:t>
      </w:r>
      <w:r w:rsidR="004A5C55">
        <w:t xml:space="preserve">(95%CI 0.0328-0.1231) for leather dust.  If applied to the </w:t>
      </w:r>
      <w:r w:rsidR="00016456">
        <w:t xml:space="preserve">average </w:t>
      </w:r>
      <w:r w:rsidR="004A5C55">
        <w:t xml:space="preserve">annual number </w:t>
      </w:r>
      <w:r w:rsidR="007568F8">
        <w:t xml:space="preserve">of </w:t>
      </w:r>
      <w:r w:rsidR="00016456">
        <w:t>deaths from sinonasal cancer among men aged 20-74 during 2001-2010</w:t>
      </w:r>
      <w:r w:rsidR="00DC461B">
        <w:t xml:space="preserve">, which was </w:t>
      </w:r>
      <w:r w:rsidR="00016456">
        <w:t xml:space="preserve">40 </w:t>
      </w:r>
      <w:r w:rsidR="00DC461B">
        <w:t>(</w:t>
      </w:r>
      <w:r w:rsidR="00016456">
        <w:t>see Table 1), th</w:t>
      </w:r>
      <w:r w:rsidR="00CA69A7">
        <w:t>ese figures</w:t>
      </w:r>
      <w:r w:rsidR="00016456">
        <w:t xml:space="preserve"> give </w:t>
      </w:r>
      <w:r w:rsidR="00BE40E9">
        <w:t xml:space="preserve">annual </w:t>
      </w:r>
      <w:r w:rsidR="00CA69A7">
        <w:t xml:space="preserve">excess </w:t>
      </w:r>
      <w:r w:rsidR="00BE40E9">
        <w:t xml:space="preserve">numbers of deaths of </w:t>
      </w:r>
      <w:r w:rsidR="00CA69A7">
        <w:t>6.1 (95%CI 2.4-11.6) for wood dust and 2.7 (95%CI 1.3-4.8) for leather dust.</w:t>
      </w:r>
      <w:r w:rsidR="00016456">
        <w:t xml:space="preserve"> </w:t>
      </w:r>
      <w:r w:rsidR="00484A92">
        <w:t xml:space="preserve"> </w:t>
      </w:r>
      <w:r w:rsidR="00CA69A7">
        <w:t xml:space="preserve">In comparison, we estimated annual excesses of </w:t>
      </w:r>
      <w:r w:rsidR="004D10B2">
        <w:t>1.9</w:t>
      </w:r>
      <w:r w:rsidR="00CA69A7">
        <w:t xml:space="preserve"> deaths for all wood workers combined, and </w:t>
      </w:r>
      <w:r w:rsidR="004D10B2">
        <w:t>zero</w:t>
      </w:r>
      <w:r w:rsidR="00CA69A7">
        <w:t xml:space="preserve"> for leather workers.</w:t>
      </w:r>
      <w:r w:rsidR="004D10B2">
        <w:t xml:space="preserve">  Moreover, across all of 1979-2010, the annual excess of deaths in</w:t>
      </w:r>
      <w:r w:rsidR="00CA69A7">
        <w:t xml:space="preserve"> </w:t>
      </w:r>
      <w:r w:rsidR="004D10B2">
        <w:t xml:space="preserve">leather workers was less than 0.1.  </w:t>
      </w:r>
      <w:r w:rsidR="00BA5369">
        <w:t>If extrapolated to this period, t</w:t>
      </w:r>
      <w:r w:rsidR="00FA4FD8" w:rsidRPr="00FA4FD8">
        <w:t xml:space="preserve">he lower 95% confidence limit of Slack’s estimate </w:t>
      </w:r>
      <w:r w:rsidR="00BA5369">
        <w:t>would correspond to</w:t>
      </w:r>
      <w:r w:rsidR="00FA4FD8" w:rsidRPr="00FA4FD8">
        <w:t xml:space="preserve"> </w:t>
      </w:r>
      <w:r w:rsidR="00204976">
        <w:t xml:space="preserve">a cumulative excess of </w:t>
      </w:r>
      <w:r w:rsidR="00FA4FD8" w:rsidRPr="00FA4FD8">
        <w:t xml:space="preserve">1.3 x 31 = 40.3 </w:t>
      </w:r>
      <w:r w:rsidR="00204976">
        <w:t>deaths</w:t>
      </w:r>
      <w:r w:rsidR="00FA4FD8" w:rsidRPr="00FA4FD8">
        <w:t>, whereas we observed only eight deaths in total with 5.1 expected (Supplementary Table S4).</w:t>
      </w:r>
      <w:r w:rsidR="00FA4FD8">
        <w:t xml:space="preserve">  </w:t>
      </w:r>
      <w:r w:rsidR="004D10B2">
        <w:t>While the two estimates for wood dust might be compatible, those for leather dust are not, and call into question the accuracy of the figure calculated by Slack.</w:t>
      </w:r>
    </w:p>
    <w:p w:rsidR="006615E1" w:rsidRPr="006331E5" w:rsidRDefault="006615E1" w:rsidP="006331E5">
      <w:pPr>
        <w:spacing w:line="360" w:lineRule="auto"/>
        <w:jc w:val="both"/>
      </w:pPr>
    </w:p>
    <w:p w:rsidR="006331E5" w:rsidRDefault="006331E5" w:rsidP="006331E5">
      <w:pPr>
        <w:spacing w:line="360" w:lineRule="auto"/>
        <w:jc w:val="both"/>
      </w:pPr>
      <w:r w:rsidRPr="006331E5">
        <w:t xml:space="preserve">While the inevitable shortcomings of our method are a source of uncertainty when estimating the absolute burden of mortality caused by work, the resultant biases are unlikely to have varied much over the 32 year period of study.  Thus, </w:t>
      </w:r>
      <w:r w:rsidR="00850D5E">
        <w:t>we can be fairly confident</w:t>
      </w:r>
      <w:r w:rsidRPr="006331E5">
        <w:t xml:space="preserve"> that </w:t>
      </w:r>
      <w:r w:rsidR="00F909A7">
        <w:t xml:space="preserve">overall, excess </w:t>
      </w:r>
      <w:r w:rsidRPr="006331E5">
        <w:t xml:space="preserve">mortality </w:t>
      </w:r>
      <w:r w:rsidR="00F909A7">
        <w:t>from the occupa</w:t>
      </w:r>
      <w:r w:rsidR="00AA73AE">
        <w:t>ti</w:t>
      </w:r>
      <w:r w:rsidR="00F909A7">
        <w:t>onal hazards examined</w:t>
      </w:r>
      <w:r w:rsidRPr="006331E5">
        <w:t xml:space="preserve"> declined substantially in England and </w:t>
      </w:r>
      <w:r w:rsidR="004C505D">
        <w:t>W</w:t>
      </w:r>
      <w:r w:rsidR="004C505D" w:rsidRPr="006331E5">
        <w:t xml:space="preserve">ales </w:t>
      </w:r>
      <w:r w:rsidRPr="006331E5">
        <w:t>between 1979 and 2010.  For deaths from injury and poisoning, this conclusion is supported by other data collected independently [</w:t>
      </w:r>
      <w:r w:rsidR="0033623F">
        <w:t>8</w:t>
      </w:r>
      <w:r w:rsidRPr="006331E5">
        <w:t>].  For some hazards, the fall in mortality has been a consequence of changing patterns of employment or a general reduction in mortality across all occupations.  However, there is strong evidence also of improvements in safety.</w:t>
      </w:r>
    </w:p>
    <w:p w:rsidR="00850D5E" w:rsidRPr="006331E5" w:rsidRDefault="00850D5E" w:rsidP="006331E5">
      <w:pPr>
        <w:spacing w:line="360" w:lineRule="auto"/>
        <w:jc w:val="both"/>
      </w:pPr>
    </w:p>
    <w:p w:rsidR="006331E5" w:rsidRPr="006331E5" w:rsidRDefault="009928E7" w:rsidP="006331E5">
      <w:pPr>
        <w:spacing w:line="360" w:lineRule="auto"/>
        <w:jc w:val="both"/>
      </w:pPr>
      <w:r w:rsidRPr="00C74A0F">
        <w:t>The highest priority for future prevent</w:t>
      </w:r>
      <w:r>
        <w:t>ion of work-related fatalities</w:t>
      </w:r>
      <w:r w:rsidRPr="00C74A0F">
        <w:t xml:space="preserve"> is the minority of occupational disorders </w:t>
      </w:r>
      <w:r>
        <w:t>for which excess mortality</w:t>
      </w:r>
      <w:r w:rsidRPr="00C74A0F">
        <w:t xml:space="preserve"> remains static or is increasing</w:t>
      </w:r>
      <w:r w:rsidR="006331E5" w:rsidRPr="006331E5">
        <w:t>.  The continuing burden of disease caused by asbestos has been noted before [</w:t>
      </w:r>
      <w:r w:rsidR="00F909A7">
        <w:t>2</w:t>
      </w:r>
      <w:r w:rsidR="006331E5" w:rsidRPr="006331E5">
        <w:t>], and patterns of risk by birth cohort, including for asbestosis, suggest that reductions in exposure to asbestos since the 1970s have brought benefits [</w:t>
      </w:r>
      <w:r w:rsidR="00B241DF">
        <w:t>12</w:t>
      </w:r>
      <w:r w:rsidR="006331E5" w:rsidRPr="006331E5">
        <w:t xml:space="preserve">].  However, there is </w:t>
      </w:r>
      <w:r w:rsidR="00F909A7">
        <w:t xml:space="preserve">still </w:t>
      </w:r>
      <w:r w:rsidR="006331E5" w:rsidRPr="006331E5">
        <w:t xml:space="preserve">more to be achieved, with a special focus needed on certain trades in the construction industry.  A useful starting point in planning further action might be to analyse patterns of incidence or mortality by birth cohort separately for </w:t>
      </w:r>
      <w:r w:rsidR="00850D5E">
        <w:t>relevant</w:t>
      </w:r>
      <w:r w:rsidR="006331E5" w:rsidRPr="006331E5">
        <w:t xml:space="preserve"> occupations.  An absence of decline in more recent birth cohorts would be a particular cause for concern.  Also a priority is the persistent excess of sinonasal cancer in woodworkers.  This </w:t>
      </w:r>
      <w:r w:rsidR="00264B7F">
        <w:t xml:space="preserve">was highlighted in our previous report, and data for the most recent 10-year period again show no improvement.  It </w:t>
      </w:r>
      <w:r w:rsidR="006331E5" w:rsidRPr="006331E5">
        <w:t xml:space="preserve">is a well-established hazard, </w:t>
      </w:r>
      <w:r w:rsidR="006331E5" w:rsidRPr="006331E5">
        <w:lastRenderedPageBreak/>
        <w:t>and should be manageable through controls on exposure to hardwood dust</w:t>
      </w:r>
      <w:r w:rsidR="00850D5E">
        <w:t>, particularly in the furniture industry</w:t>
      </w:r>
      <w:r w:rsidR="006331E5" w:rsidRPr="006331E5">
        <w:t xml:space="preserve">.  </w:t>
      </w:r>
    </w:p>
    <w:p w:rsidR="006331E5" w:rsidRDefault="006331E5" w:rsidP="006331E5">
      <w:pPr>
        <w:spacing w:line="360" w:lineRule="auto"/>
        <w:jc w:val="both"/>
      </w:pPr>
    </w:p>
    <w:p w:rsidR="0057559C" w:rsidRDefault="0057559C" w:rsidP="005F7E7F">
      <w:pPr>
        <w:pStyle w:val="Heading4"/>
        <w:spacing w:line="360" w:lineRule="auto"/>
        <w:jc w:val="both"/>
      </w:pPr>
    </w:p>
    <w:p w:rsidR="0057559C" w:rsidRDefault="0057559C" w:rsidP="005F7E7F">
      <w:pPr>
        <w:pStyle w:val="Heading4"/>
        <w:spacing w:line="360" w:lineRule="auto"/>
        <w:jc w:val="both"/>
      </w:pPr>
    </w:p>
    <w:p w:rsidR="005F7E7F" w:rsidRDefault="005F7E7F" w:rsidP="005F7E7F">
      <w:pPr>
        <w:pStyle w:val="Heading4"/>
        <w:spacing w:line="360" w:lineRule="auto"/>
        <w:jc w:val="both"/>
      </w:pPr>
      <w:r>
        <w:t>Acknowledgements</w:t>
      </w:r>
    </w:p>
    <w:p w:rsidR="005F7E7F" w:rsidRDefault="005F7E7F" w:rsidP="005F7E7F">
      <w:pPr>
        <w:spacing w:line="360" w:lineRule="auto"/>
        <w:jc w:val="both"/>
      </w:pPr>
      <w:r>
        <w:t xml:space="preserve">We thank the staff of the Office for National Statistics, who provided us with the data files for our analysis, and Stefania </w:t>
      </w:r>
      <w:r w:rsidR="007568F8">
        <w:t>d’Angelo</w:t>
      </w:r>
      <w:r>
        <w:t xml:space="preserve">, who helped with </w:t>
      </w:r>
      <w:r w:rsidR="00DA6452">
        <w:t>part</w:t>
      </w:r>
      <w:r>
        <w:t xml:space="preserve"> of the statistical analysis.</w:t>
      </w:r>
      <w:r>
        <w:br w:type="page"/>
      </w:r>
    </w:p>
    <w:p w:rsidR="00DC461B" w:rsidRDefault="00DC461B" w:rsidP="00DC461B">
      <w:pPr>
        <w:pStyle w:val="Heading4"/>
      </w:pPr>
      <w:r>
        <w:lastRenderedPageBreak/>
        <w:t>References</w:t>
      </w:r>
    </w:p>
    <w:p w:rsidR="00DC461B" w:rsidRDefault="00DC461B" w:rsidP="00DC461B"/>
    <w:p w:rsidR="00D86DA5" w:rsidRDefault="00D86DA5" w:rsidP="0057559C">
      <w:pPr>
        <w:pStyle w:val="ListParagraph"/>
        <w:numPr>
          <w:ilvl w:val="0"/>
          <w:numId w:val="3"/>
        </w:numPr>
        <w:ind w:left="426" w:hanging="720"/>
      </w:pPr>
      <w:r>
        <w:t>‘t Mannetje A, Pearce N.  Occupational mortality studies: still relevant in the 21</w:t>
      </w:r>
      <w:r w:rsidRPr="00280056">
        <w:rPr>
          <w:vertAlign w:val="superscript"/>
        </w:rPr>
        <w:t>st</w:t>
      </w:r>
      <w:r>
        <w:t xml:space="preserve"> century.  Occup Environ Med 2010;67:802-3.</w:t>
      </w:r>
    </w:p>
    <w:p w:rsidR="00D86DA5" w:rsidRDefault="00D86DA5" w:rsidP="00280056">
      <w:pPr>
        <w:pStyle w:val="ListParagraph"/>
        <w:ind w:left="426"/>
      </w:pPr>
    </w:p>
    <w:p w:rsidR="00DC461B" w:rsidRDefault="00DC461B" w:rsidP="0057559C">
      <w:pPr>
        <w:pStyle w:val="ListParagraph"/>
        <w:numPr>
          <w:ilvl w:val="0"/>
          <w:numId w:val="3"/>
        </w:numPr>
        <w:ind w:left="426" w:hanging="720"/>
      </w:pPr>
      <w:r>
        <w:t>Coggon D, Harris EC, Brown T, Rice S, Palmer KT.  Work-related mortality in England and Wales, 1979-2000.  Occup Environ Med 2010;67:</w:t>
      </w:r>
      <w:r w:rsidR="007568F8">
        <w:t>8</w:t>
      </w:r>
      <w:r>
        <w:t>16-22.</w:t>
      </w:r>
    </w:p>
    <w:p w:rsidR="00DC461B" w:rsidRDefault="00DC461B" w:rsidP="0057559C">
      <w:pPr>
        <w:ind w:left="426" w:hanging="720"/>
      </w:pPr>
    </w:p>
    <w:p w:rsidR="0033623F" w:rsidRDefault="006A33E1" w:rsidP="0057559C">
      <w:pPr>
        <w:pStyle w:val="ListParagraph"/>
        <w:numPr>
          <w:ilvl w:val="0"/>
          <w:numId w:val="3"/>
        </w:numPr>
        <w:ind w:left="426" w:hanging="720"/>
      </w:pPr>
      <w:r>
        <w:t>V</w:t>
      </w:r>
      <w:r w:rsidR="0033623F">
        <w:t>yas MV, Garg AX, Iansavichus AV, Costella J, Donner A, Laugsand LE et al.  Shift work and vascular events: systematic review and meta-analysis.  Br Med J 2012;345:e4800.</w:t>
      </w:r>
    </w:p>
    <w:p w:rsidR="0033623F" w:rsidRDefault="0033623F" w:rsidP="00280056">
      <w:pPr>
        <w:pStyle w:val="ListParagraph"/>
      </w:pPr>
    </w:p>
    <w:p w:rsidR="0033623F" w:rsidRDefault="0033623F" w:rsidP="0057559C">
      <w:pPr>
        <w:pStyle w:val="ListParagraph"/>
        <w:numPr>
          <w:ilvl w:val="0"/>
          <w:numId w:val="3"/>
        </w:numPr>
        <w:ind w:left="426" w:hanging="720"/>
      </w:pPr>
      <w:r>
        <w:t>Glozier N, Tofler GH, Colquhoun DM, Bunker SJ, Clarke DM, Hare DL et al.  Psychosocial risk factors for coronary heart disease</w:t>
      </w:r>
      <w:r w:rsidR="009F3DBF">
        <w:t>.  Med J Aust 2013;199:179-80.</w:t>
      </w:r>
    </w:p>
    <w:p w:rsidR="009F3DBF" w:rsidRDefault="009F3DBF" w:rsidP="00280056">
      <w:pPr>
        <w:pStyle w:val="ListParagraph"/>
      </w:pPr>
    </w:p>
    <w:p w:rsidR="009F3DBF" w:rsidRDefault="009F3DBF" w:rsidP="0057559C">
      <w:pPr>
        <w:pStyle w:val="ListParagraph"/>
        <w:numPr>
          <w:ilvl w:val="0"/>
          <w:numId w:val="3"/>
        </w:numPr>
        <w:ind w:left="426" w:hanging="720"/>
      </w:pPr>
      <w:r>
        <w:t xml:space="preserve">Inskip H, Coggon D, Winter P, Pannett B.  Occupational mortality </w:t>
      </w:r>
      <w:r w:rsidR="006A33E1">
        <w:t>of</w:t>
      </w:r>
      <w:r>
        <w:t xml:space="preserve"> women. In Drever F (ed).  Occupational Health: Decennial Supplement.  London:HMSO,</w:t>
      </w:r>
      <w:r w:rsidR="006A33E1">
        <w:t xml:space="preserve"> </w:t>
      </w:r>
      <w:r>
        <w:t>1995  pp 44-61.</w:t>
      </w:r>
    </w:p>
    <w:p w:rsidR="009F3DBF" w:rsidRDefault="009F3DBF" w:rsidP="00280056">
      <w:pPr>
        <w:pStyle w:val="ListParagraph"/>
      </w:pPr>
    </w:p>
    <w:p w:rsidR="009F3DBF" w:rsidRDefault="009F3DBF" w:rsidP="0057559C">
      <w:pPr>
        <w:pStyle w:val="ListParagraph"/>
        <w:numPr>
          <w:ilvl w:val="0"/>
          <w:numId w:val="3"/>
        </w:numPr>
        <w:ind w:left="426" w:hanging="720"/>
      </w:pPr>
      <w:r>
        <w:t>Newhouse ML, Berry G, Wagner JC.  Mortality of factory workers in east London 1933-80.  Br J Indust Med 1985;42:4-11.</w:t>
      </w:r>
    </w:p>
    <w:p w:rsidR="0033623F" w:rsidRDefault="0033623F" w:rsidP="00280056">
      <w:pPr>
        <w:pStyle w:val="ListParagraph"/>
      </w:pPr>
    </w:p>
    <w:p w:rsidR="00DC461B" w:rsidRDefault="00DC461B" w:rsidP="0057559C">
      <w:pPr>
        <w:pStyle w:val="ListParagraph"/>
        <w:numPr>
          <w:ilvl w:val="0"/>
          <w:numId w:val="3"/>
        </w:numPr>
        <w:ind w:left="426" w:hanging="720"/>
      </w:pPr>
      <w:r>
        <w:t>Swift B, West K.  Death certification: an audit of practice entering the 21</w:t>
      </w:r>
      <w:r w:rsidRPr="00C5565C">
        <w:rPr>
          <w:vertAlign w:val="superscript"/>
        </w:rPr>
        <w:t>st</w:t>
      </w:r>
      <w:r>
        <w:t xml:space="preserve"> century.  J Clin Pathol 2002;55:275-9.</w:t>
      </w:r>
    </w:p>
    <w:p w:rsidR="00DC461B" w:rsidRDefault="00DC461B" w:rsidP="0057559C">
      <w:pPr>
        <w:pStyle w:val="ListParagraph"/>
        <w:ind w:left="426" w:hanging="720"/>
      </w:pPr>
    </w:p>
    <w:p w:rsidR="00DC461B" w:rsidRDefault="00DC461B" w:rsidP="0057559C">
      <w:pPr>
        <w:pStyle w:val="ListParagraph"/>
        <w:numPr>
          <w:ilvl w:val="0"/>
          <w:numId w:val="3"/>
        </w:numPr>
        <w:ind w:left="426" w:hanging="720"/>
      </w:pPr>
      <w:r>
        <w:t xml:space="preserve">Health and Safety Executive.  Statistics on fatal injuries in the workplace in Great Britain 2015.  </w:t>
      </w:r>
      <w:hyperlink r:id="rId9" w:history="1">
        <w:r w:rsidRPr="007C7859">
          <w:rPr>
            <w:rStyle w:val="Hyperlink"/>
          </w:rPr>
          <w:t>http://www.hse.gov.uk/statistics/pdf/fatalinjuries.pdf</w:t>
        </w:r>
      </w:hyperlink>
    </w:p>
    <w:p w:rsidR="00DC461B" w:rsidRDefault="00DC461B" w:rsidP="0057559C">
      <w:pPr>
        <w:pStyle w:val="ListParagraph"/>
        <w:ind w:left="426" w:hanging="720"/>
      </w:pPr>
    </w:p>
    <w:p w:rsidR="00DC461B" w:rsidRDefault="00DC461B" w:rsidP="0057559C">
      <w:pPr>
        <w:pStyle w:val="ListParagraph"/>
        <w:numPr>
          <w:ilvl w:val="0"/>
          <w:numId w:val="3"/>
        </w:numPr>
        <w:ind w:left="426" w:hanging="720"/>
      </w:pPr>
      <w:r>
        <w:t>Alderson MR.  Some sources of error in British occupational mortality data.  Br J Indust Med 1972;29:245-54.</w:t>
      </w:r>
    </w:p>
    <w:p w:rsidR="00DC461B" w:rsidRDefault="00DC461B" w:rsidP="0057559C">
      <w:pPr>
        <w:pStyle w:val="ListParagraph"/>
        <w:ind w:left="426" w:hanging="720"/>
      </w:pPr>
    </w:p>
    <w:p w:rsidR="00DC461B" w:rsidRDefault="00DC461B" w:rsidP="0057559C">
      <w:pPr>
        <w:pStyle w:val="ListParagraph"/>
        <w:numPr>
          <w:ilvl w:val="0"/>
          <w:numId w:val="3"/>
        </w:numPr>
        <w:ind w:left="426" w:hanging="720"/>
      </w:pPr>
      <w:r>
        <w:t xml:space="preserve">Rake C, Gilham C, Hatch J, Darnton A, Hodgson J, Peto J.  Occupational, domestic and environmental </w:t>
      </w:r>
      <w:r w:rsidR="007568F8">
        <w:t>mesothelioma</w:t>
      </w:r>
      <w:r>
        <w:t xml:space="preserve"> risks in the British population: a case-control study.  Br J Cancer 2009;100:1175-83.</w:t>
      </w:r>
    </w:p>
    <w:p w:rsidR="00DC461B" w:rsidRDefault="00DC461B" w:rsidP="0057559C">
      <w:pPr>
        <w:pStyle w:val="ListParagraph"/>
        <w:ind w:left="426" w:hanging="720"/>
      </w:pPr>
    </w:p>
    <w:p w:rsidR="00B241DF" w:rsidRDefault="00B241DF" w:rsidP="00B241DF">
      <w:pPr>
        <w:pStyle w:val="ListParagraph"/>
        <w:numPr>
          <w:ilvl w:val="0"/>
          <w:numId w:val="3"/>
        </w:numPr>
        <w:ind w:left="426" w:hanging="720"/>
      </w:pPr>
      <w:r>
        <w:t>Slack R, Young C, Rushton L with the British Occupational Cancer Burden Study Group.  Occupational cancer in Britain: nasopharynx and sinonasal cancers.  Br J Cancer 2012;107:S49-S55.</w:t>
      </w:r>
    </w:p>
    <w:p w:rsidR="00B241DF" w:rsidRPr="004A4443" w:rsidRDefault="00B241DF" w:rsidP="00280056"/>
    <w:p w:rsidR="00DC461B" w:rsidRPr="00E439C3" w:rsidRDefault="00DC461B" w:rsidP="0057559C">
      <w:pPr>
        <w:pStyle w:val="ListParagraph"/>
        <w:numPr>
          <w:ilvl w:val="0"/>
          <w:numId w:val="3"/>
        </w:numPr>
        <w:ind w:left="426" w:hanging="720"/>
      </w:pPr>
      <w:r w:rsidRPr="00A75C2B">
        <w:rPr>
          <w:bCs/>
        </w:rPr>
        <w:t>Darnton A, Hodgson J, Benson P</w:t>
      </w:r>
      <w:r w:rsidRPr="00B265DA">
        <w:rPr>
          <w:bCs/>
        </w:rPr>
        <w:t>, Coggon D.</w:t>
      </w:r>
      <w:r w:rsidRPr="00A75C2B">
        <w:rPr>
          <w:bCs/>
        </w:rPr>
        <w:t xml:space="preserve">  Mortality from asbestosis and mesothelioma in Britain by birth cohort</w:t>
      </w:r>
      <w:r w:rsidRPr="007568F8">
        <w:rPr>
          <w:bCs/>
        </w:rPr>
        <w:t>.  Occup Med</w:t>
      </w:r>
      <w:r w:rsidRPr="00A75C2B">
        <w:rPr>
          <w:bCs/>
        </w:rPr>
        <w:t xml:space="preserve">  2012;62:549-52.</w:t>
      </w:r>
    </w:p>
    <w:p w:rsidR="00DC461B" w:rsidRDefault="00DC461B" w:rsidP="0057559C">
      <w:pPr>
        <w:pStyle w:val="ListParagraph"/>
        <w:ind w:left="426" w:hanging="720"/>
      </w:pPr>
    </w:p>
    <w:p w:rsidR="00DD009D" w:rsidRDefault="00DD009D" w:rsidP="006331E5">
      <w:pPr>
        <w:spacing w:line="360" w:lineRule="auto"/>
        <w:jc w:val="both"/>
        <w:sectPr w:rsidR="00DD009D">
          <w:footerReference w:type="default" r:id="rId10"/>
          <w:pgSz w:w="11906" w:h="16838"/>
          <w:pgMar w:top="1440" w:right="1440" w:bottom="1440" w:left="1440" w:header="708" w:footer="708" w:gutter="0"/>
          <w:cols w:space="708"/>
          <w:docGrid w:linePitch="360"/>
        </w:sectPr>
      </w:pPr>
    </w:p>
    <w:p w:rsidR="00AA5FB8" w:rsidRDefault="00AA5FB8" w:rsidP="00AA5FB8">
      <w:pPr>
        <w:ind w:left="1134" w:hanging="1134"/>
        <w:rPr>
          <w:b/>
          <w:szCs w:val="20"/>
        </w:rPr>
      </w:pPr>
      <w:r w:rsidRPr="00DD009D">
        <w:rPr>
          <w:b/>
          <w:szCs w:val="20"/>
        </w:rPr>
        <w:lastRenderedPageBreak/>
        <w:t>Table 1</w:t>
      </w:r>
      <w:r w:rsidRPr="00DD009D">
        <w:rPr>
          <w:b/>
          <w:szCs w:val="20"/>
        </w:rPr>
        <w:tab/>
        <w:t>Causes of death analysed and numbers of deaths by time period in all job groups combined, men aged 20-74 years, England and Wales, 1979-2010</w:t>
      </w:r>
    </w:p>
    <w:p w:rsidR="00AA5FB8" w:rsidRPr="00DD009D" w:rsidRDefault="00AA5FB8" w:rsidP="00AA5FB8">
      <w:pPr>
        <w:ind w:left="1134" w:hanging="1134"/>
        <w:rPr>
          <w:b/>
          <w:szCs w:val="20"/>
        </w:rPr>
      </w:pPr>
    </w:p>
    <w:tbl>
      <w:tblPr>
        <w:tblW w:w="9688" w:type="dxa"/>
        <w:tblInd w:w="93" w:type="dxa"/>
        <w:tblLayout w:type="fixed"/>
        <w:tblLook w:val="04A0" w:firstRow="1" w:lastRow="0" w:firstColumn="1" w:lastColumn="0" w:noHBand="0" w:noVBand="1"/>
      </w:tblPr>
      <w:tblGrid>
        <w:gridCol w:w="5177"/>
        <w:gridCol w:w="967"/>
        <w:gridCol w:w="851"/>
        <w:gridCol w:w="992"/>
        <w:gridCol w:w="1701"/>
      </w:tblGrid>
      <w:tr w:rsidR="00AA5FB8" w:rsidRPr="00DD009D" w:rsidTr="00AA5FB8">
        <w:trPr>
          <w:trHeight w:val="600"/>
        </w:trPr>
        <w:tc>
          <w:tcPr>
            <w:tcW w:w="5177" w:type="dxa"/>
            <w:vMerge w:val="restart"/>
            <w:tcBorders>
              <w:top w:val="single" w:sz="12" w:space="0" w:color="auto"/>
              <w:bottom w:val="single" w:sz="4" w:space="0" w:color="auto"/>
            </w:tcBorders>
            <w:shd w:val="clear" w:color="auto" w:fill="auto"/>
            <w:noWrap/>
            <w:vAlign w:val="bottom"/>
            <w:hideMark/>
          </w:tcPr>
          <w:p w:rsidR="00AA5FB8" w:rsidRPr="00DD009D" w:rsidRDefault="00AA5FB8" w:rsidP="003D04E9">
            <w:pPr>
              <w:spacing w:line="240" w:lineRule="auto"/>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Cause of Death</w:t>
            </w:r>
          </w:p>
        </w:tc>
        <w:tc>
          <w:tcPr>
            <w:tcW w:w="2810" w:type="dxa"/>
            <w:gridSpan w:val="3"/>
            <w:tcBorders>
              <w:top w:val="single" w:sz="12" w:space="0" w:color="auto"/>
              <w:left w:val="nil"/>
              <w:bottom w:val="single" w:sz="12" w:space="0" w:color="auto"/>
            </w:tcBorders>
            <w:shd w:val="clear" w:color="auto" w:fill="auto"/>
            <w:vAlign w:val="bottom"/>
            <w:hideMark/>
          </w:tcPr>
          <w:p w:rsidR="00AA5FB8" w:rsidRPr="00DD009D" w:rsidRDefault="00AA5FB8" w:rsidP="003D04E9">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Number of deaths in all job groups combined at ages 20-74 years</w:t>
            </w:r>
            <w:r w:rsidRPr="00DD009D">
              <w:rPr>
                <w:rFonts w:ascii="Calibri" w:eastAsia="Times New Roman" w:hAnsi="Calibri" w:cs="Times New Roman"/>
                <w:b/>
                <w:bCs/>
                <w:color w:val="000000"/>
                <w:vertAlign w:val="superscript"/>
                <w:lang w:eastAsia="en-GB"/>
              </w:rPr>
              <w:t>a</w:t>
            </w:r>
          </w:p>
        </w:tc>
        <w:tc>
          <w:tcPr>
            <w:tcW w:w="1701" w:type="dxa"/>
            <w:vMerge w:val="restart"/>
            <w:tcBorders>
              <w:top w:val="single" w:sz="12" w:space="0" w:color="auto"/>
              <w:left w:val="nil"/>
            </w:tcBorders>
          </w:tcPr>
          <w:p w:rsidR="00AA5FB8" w:rsidRDefault="00AA5FB8" w:rsidP="00AA5FB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change in annual number of deaths</w:t>
            </w:r>
          </w:p>
          <w:p w:rsidR="00AA5FB8" w:rsidRDefault="00AA5FB8" w:rsidP="00AA5FB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1979-90 to </w:t>
            </w:r>
          </w:p>
          <w:p w:rsidR="00AA5FB8" w:rsidRPr="00DD009D" w:rsidRDefault="00AA5FB8" w:rsidP="00AA5FB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2000-10</w:t>
            </w:r>
          </w:p>
        </w:tc>
      </w:tr>
      <w:tr w:rsidR="00AA5FB8" w:rsidRPr="00DD009D" w:rsidTr="00240D37">
        <w:trPr>
          <w:trHeight w:val="300"/>
        </w:trPr>
        <w:tc>
          <w:tcPr>
            <w:tcW w:w="5177" w:type="dxa"/>
            <w:vMerge/>
            <w:tcBorders>
              <w:bottom w:val="single" w:sz="12" w:space="0" w:color="auto"/>
            </w:tcBorders>
            <w:vAlign w:val="center"/>
            <w:hideMark/>
          </w:tcPr>
          <w:p w:rsidR="00AA5FB8" w:rsidRPr="00DD009D" w:rsidRDefault="00AA5FB8" w:rsidP="003D04E9">
            <w:pPr>
              <w:spacing w:line="240" w:lineRule="auto"/>
              <w:rPr>
                <w:rFonts w:ascii="Calibri" w:eastAsia="Times New Roman" w:hAnsi="Calibri" w:cs="Times New Roman"/>
                <w:b/>
                <w:bCs/>
                <w:color w:val="000000"/>
                <w:lang w:eastAsia="en-GB"/>
              </w:rPr>
            </w:pPr>
          </w:p>
        </w:tc>
        <w:tc>
          <w:tcPr>
            <w:tcW w:w="967" w:type="dxa"/>
            <w:tcBorders>
              <w:top w:val="single" w:sz="12" w:space="0" w:color="auto"/>
              <w:left w:val="nil"/>
              <w:bottom w:val="single" w:sz="12" w:space="0" w:color="auto"/>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1979-80 1982-90</w:t>
            </w:r>
          </w:p>
        </w:tc>
        <w:tc>
          <w:tcPr>
            <w:tcW w:w="851" w:type="dxa"/>
            <w:tcBorders>
              <w:top w:val="single" w:sz="12" w:space="0" w:color="auto"/>
              <w:left w:val="nil"/>
              <w:bottom w:val="single" w:sz="12" w:space="0" w:color="auto"/>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1991-2000</w:t>
            </w:r>
          </w:p>
        </w:tc>
        <w:tc>
          <w:tcPr>
            <w:tcW w:w="992" w:type="dxa"/>
            <w:tcBorders>
              <w:top w:val="single" w:sz="12" w:space="0" w:color="auto"/>
              <w:left w:val="nil"/>
              <w:bottom w:val="single" w:sz="12" w:space="0" w:color="auto"/>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2000-</w:t>
            </w:r>
            <w:r>
              <w:rPr>
                <w:rFonts w:ascii="Calibri" w:eastAsia="Times New Roman" w:hAnsi="Calibri" w:cs="Times New Roman"/>
                <w:b/>
                <w:bCs/>
                <w:color w:val="000000"/>
                <w:lang w:eastAsia="en-GB"/>
              </w:rPr>
              <w:t>10</w:t>
            </w:r>
          </w:p>
        </w:tc>
        <w:tc>
          <w:tcPr>
            <w:tcW w:w="1701" w:type="dxa"/>
            <w:vMerge/>
            <w:tcBorders>
              <w:left w:val="nil"/>
              <w:bottom w:val="single" w:sz="12" w:space="0" w:color="auto"/>
            </w:tcBorders>
          </w:tcPr>
          <w:p w:rsidR="00AA5FB8" w:rsidRPr="00DD009D" w:rsidRDefault="00AA5FB8" w:rsidP="003D04E9">
            <w:pPr>
              <w:spacing w:line="240" w:lineRule="auto"/>
              <w:jc w:val="center"/>
              <w:rPr>
                <w:rFonts w:ascii="Calibri" w:eastAsia="Times New Roman" w:hAnsi="Calibri" w:cs="Times New Roman"/>
                <w:b/>
                <w:bCs/>
                <w:color w:val="000000"/>
                <w:lang w:eastAsia="en-GB"/>
              </w:rPr>
            </w:pPr>
          </w:p>
        </w:tc>
      </w:tr>
      <w:tr w:rsidR="00240D37" w:rsidRPr="00DD009D" w:rsidTr="00240D37">
        <w:trPr>
          <w:trHeight w:val="454"/>
        </w:trPr>
        <w:tc>
          <w:tcPr>
            <w:tcW w:w="5177" w:type="dxa"/>
            <w:tcBorders>
              <w:top w:val="single" w:sz="12" w:space="0" w:color="auto"/>
            </w:tcBorders>
            <w:shd w:val="clear" w:color="auto" w:fill="auto"/>
            <w:vAlign w:val="bottom"/>
          </w:tcPr>
          <w:p w:rsidR="00240D37" w:rsidRPr="00240D37" w:rsidRDefault="00240D37" w:rsidP="00240D37">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Infectious diseases</w:t>
            </w:r>
          </w:p>
        </w:tc>
        <w:tc>
          <w:tcPr>
            <w:tcW w:w="967" w:type="dxa"/>
            <w:tcBorders>
              <w:top w:val="single" w:sz="12" w:space="0" w:color="auto"/>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tcBorders>
              <w:top w:val="single" w:sz="12" w:space="0" w:color="auto"/>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tcBorders>
              <w:top w:val="single" w:sz="12" w:space="0" w:color="auto"/>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Borders>
              <w:top w:val="single" w:sz="12" w:space="0" w:color="auto"/>
            </w:tcBorders>
          </w:tcPr>
          <w:p w:rsidR="00240D37" w:rsidRDefault="00240D37" w:rsidP="003D04E9">
            <w:pPr>
              <w:spacing w:line="240" w:lineRule="auto"/>
              <w:jc w:val="center"/>
              <w:rPr>
                <w:rFonts w:ascii="Calibri" w:hAnsi="Calibri"/>
                <w:color w:val="000000"/>
              </w:rPr>
            </w:pPr>
          </w:p>
        </w:tc>
      </w:tr>
      <w:tr w:rsidR="00AA5FB8" w:rsidRPr="00DD009D" w:rsidTr="00240D37">
        <w:trPr>
          <w:trHeight w:val="300"/>
        </w:trPr>
        <w:tc>
          <w:tcPr>
            <w:tcW w:w="5177" w:type="dxa"/>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Tuberculosis</w:t>
            </w:r>
          </w:p>
        </w:tc>
        <w:tc>
          <w:tcPr>
            <w:tcW w:w="967"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3019</w:t>
            </w:r>
          </w:p>
        </w:tc>
        <w:tc>
          <w:tcPr>
            <w:tcW w:w="851"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1433</w:t>
            </w:r>
          </w:p>
        </w:tc>
        <w:tc>
          <w:tcPr>
            <w:tcW w:w="992"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945</w:t>
            </w:r>
          </w:p>
        </w:tc>
        <w:tc>
          <w:tcPr>
            <w:tcW w:w="1701" w:type="dxa"/>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-66</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Viral hepatitis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592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998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102</w:t>
            </w:r>
          </w:p>
        </w:tc>
      </w:tr>
      <w:tr w:rsidR="00240D37" w:rsidRPr="00DD009D" w:rsidTr="00240D37">
        <w:trPr>
          <w:trHeight w:val="454"/>
        </w:trPr>
        <w:tc>
          <w:tcPr>
            <w:tcW w:w="5177" w:type="dxa"/>
            <w:tcBorders>
              <w:top w:val="nil"/>
            </w:tcBorders>
            <w:shd w:val="clear" w:color="auto" w:fill="auto"/>
            <w:vAlign w:val="bottom"/>
          </w:tcPr>
          <w:p w:rsidR="00240D37" w:rsidRPr="00240D37" w:rsidRDefault="00240D37" w:rsidP="00240D37">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Cancers</w:t>
            </w:r>
          </w:p>
        </w:tc>
        <w:tc>
          <w:tcPr>
            <w:tcW w:w="967"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Borders>
              <w:top w:val="nil"/>
            </w:tcBorders>
          </w:tcPr>
          <w:p w:rsidR="00240D37" w:rsidRDefault="00240D37" w:rsidP="003D04E9">
            <w:pPr>
              <w:spacing w:line="240" w:lineRule="auto"/>
              <w:jc w:val="center"/>
              <w:rPr>
                <w:rFonts w:ascii="Calibri" w:hAnsi="Calibri"/>
                <w:color w:val="000000"/>
              </w:rPr>
            </w:pP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oral cavity</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3687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3283</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3533</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pharynx (specified)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2830</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2566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3064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19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liver</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5339</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6472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8678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peritoneum</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362</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365</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363</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10</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nose and nasal sinuses and middle ear</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839</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518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-48</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larynx</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4832</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3962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3213</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-27</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pleura</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2848</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2894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2314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-11</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Mesothelioma at other sites and unspecified combined</w:t>
            </w:r>
          </w:p>
        </w:tc>
        <w:tc>
          <w:tcPr>
            <w:tcW w:w="967" w:type="dxa"/>
            <w:tcBorders>
              <w:top w:val="nil"/>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color w:val="000000"/>
                <w:lang w:eastAsia="en-GB"/>
              </w:rPr>
            </w:pPr>
          </w:p>
        </w:tc>
        <w:tc>
          <w:tcPr>
            <w:tcW w:w="851" w:type="dxa"/>
            <w:tcBorders>
              <w:top w:val="nil"/>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color w:val="000000"/>
                <w:lang w:eastAsia="en-GB"/>
              </w:rPr>
            </w:pP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6114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p>
        </w:tc>
      </w:tr>
      <w:tr w:rsidR="00AA5FB8" w:rsidRPr="00DD009D" w:rsidTr="003D04E9">
        <w:trPr>
          <w:trHeight w:val="300"/>
        </w:trPr>
        <w:tc>
          <w:tcPr>
            <w:tcW w:w="5177" w:type="dxa"/>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cancer of skin (excluding  melanoma)</w:t>
            </w:r>
          </w:p>
        </w:tc>
        <w:tc>
          <w:tcPr>
            <w:tcW w:w="967"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1219</w:t>
            </w:r>
          </w:p>
        </w:tc>
        <w:tc>
          <w:tcPr>
            <w:tcW w:w="851"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910</w:t>
            </w:r>
          </w:p>
        </w:tc>
        <w:tc>
          <w:tcPr>
            <w:tcW w:w="992"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722</w:t>
            </w:r>
          </w:p>
        </w:tc>
        <w:tc>
          <w:tcPr>
            <w:tcW w:w="1701" w:type="dxa"/>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-35</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Cancer of the scrotum</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85</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Urothelial cancer</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18403</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14184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10691</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-36</w:t>
            </w:r>
          </w:p>
        </w:tc>
      </w:tr>
      <w:tr w:rsidR="00240D37" w:rsidRPr="00DD009D" w:rsidTr="00240D37">
        <w:trPr>
          <w:trHeight w:val="454"/>
        </w:trPr>
        <w:tc>
          <w:tcPr>
            <w:tcW w:w="5177" w:type="dxa"/>
            <w:tcBorders>
              <w:top w:val="nil"/>
            </w:tcBorders>
            <w:shd w:val="clear" w:color="auto" w:fill="auto"/>
            <w:vAlign w:val="bottom"/>
          </w:tcPr>
          <w:p w:rsidR="00240D37" w:rsidRPr="00240D37" w:rsidRDefault="009412D1" w:rsidP="00240D37">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Other alcohol-related diseases</w:t>
            </w:r>
          </w:p>
        </w:tc>
        <w:tc>
          <w:tcPr>
            <w:tcW w:w="967"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Borders>
              <w:top w:val="nil"/>
            </w:tcBorders>
          </w:tcPr>
          <w:p w:rsidR="00240D37" w:rsidRDefault="00240D37" w:rsidP="003D04E9">
            <w:pPr>
              <w:spacing w:line="240" w:lineRule="auto"/>
              <w:jc w:val="center"/>
              <w:rPr>
                <w:rFonts w:ascii="Calibri" w:hAnsi="Calibri"/>
                <w:color w:val="000000"/>
              </w:rPr>
            </w:pPr>
          </w:p>
        </w:tc>
      </w:tr>
      <w:tr w:rsidR="00AA5FB8" w:rsidRPr="00DD009D" w:rsidTr="003D04E9">
        <w:trPr>
          <w:trHeight w:val="6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alcohol-related diseases (excluding alcohol poisoning)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8216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14530</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26701</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257</w:t>
            </w:r>
          </w:p>
        </w:tc>
      </w:tr>
      <w:tr w:rsidR="00240D37" w:rsidRPr="00DD009D" w:rsidTr="009412D1">
        <w:trPr>
          <w:trHeight w:val="454"/>
        </w:trPr>
        <w:tc>
          <w:tcPr>
            <w:tcW w:w="5177" w:type="dxa"/>
            <w:tcBorders>
              <w:top w:val="nil"/>
            </w:tcBorders>
            <w:shd w:val="clear" w:color="auto" w:fill="auto"/>
            <w:vAlign w:val="bottom"/>
          </w:tcPr>
          <w:p w:rsidR="00240D37" w:rsidRPr="009412D1" w:rsidRDefault="009412D1" w:rsidP="009412D1">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Respiratory diseases</w:t>
            </w:r>
          </w:p>
        </w:tc>
        <w:tc>
          <w:tcPr>
            <w:tcW w:w="967" w:type="dxa"/>
            <w:tcBorders>
              <w:top w:val="nil"/>
            </w:tcBorders>
            <w:shd w:val="clear" w:color="auto" w:fill="auto"/>
            <w:noWrap/>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tcBorders>
              <w:top w:val="nil"/>
            </w:tcBorders>
            <w:shd w:val="clear" w:color="auto" w:fill="auto"/>
            <w:noWrap/>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tcBorders>
              <w:top w:val="nil"/>
              <w:right w:val="nil"/>
            </w:tcBorders>
            <w:shd w:val="clear" w:color="auto" w:fill="auto"/>
            <w:noWrap/>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Borders>
              <w:top w:val="nil"/>
              <w:right w:val="nil"/>
            </w:tcBorders>
          </w:tcPr>
          <w:p w:rsidR="00240D37" w:rsidRDefault="00240D37" w:rsidP="003D04E9">
            <w:pPr>
              <w:spacing w:line="240" w:lineRule="auto"/>
              <w:jc w:val="center"/>
              <w:rPr>
                <w:rFonts w:ascii="Calibri" w:hAnsi="Calibri"/>
                <w:color w:val="000000"/>
              </w:rPr>
            </w:pP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Combined pneumonia (excluding bronchopnuemonia)</w:t>
            </w:r>
          </w:p>
        </w:tc>
        <w:tc>
          <w:tcPr>
            <w:tcW w:w="967" w:type="dxa"/>
            <w:tcBorders>
              <w:top w:val="nil"/>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3672</w:t>
            </w:r>
          </w:p>
        </w:tc>
        <w:tc>
          <w:tcPr>
            <w:tcW w:w="851" w:type="dxa"/>
            <w:tcBorders>
              <w:top w:val="nil"/>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4410</w:t>
            </w:r>
          </w:p>
        </w:tc>
        <w:tc>
          <w:tcPr>
            <w:tcW w:w="992" w:type="dxa"/>
            <w:tcBorders>
              <w:top w:val="nil"/>
              <w:right w:val="nil"/>
            </w:tcBorders>
            <w:shd w:val="clear" w:color="auto" w:fill="auto"/>
            <w:noWrap/>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4191</w:t>
            </w:r>
          </w:p>
        </w:tc>
        <w:tc>
          <w:tcPr>
            <w:tcW w:w="1701" w:type="dxa"/>
            <w:tcBorders>
              <w:top w:val="nil"/>
              <w:right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26</w:t>
            </w:r>
          </w:p>
        </w:tc>
      </w:tr>
      <w:tr w:rsidR="00AA5FB8" w:rsidRPr="00DD009D" w:rsidTr="003D04E9">
        <w:trPr>
          <w:trHeight w:val="300"/>
        </w:trPr>
        <w:tc>
          <w:tcPr>
            <w:tcW w:w="5177" w:type="dxa"/>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Chronic bronchitis and emphysema</w:t>
            </w:r>
          </w:p>
        </w:tc>
        <w:tc>
          <w:tcPr>
            <w:tcW w:w="967"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85096</w:t>
            </w:r>
          </w:p>
        </w:tc>
        <w:tc>
          <w:tcPr>
            <w:tcW w:w="851"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54941</w:t>
            </w:r>
          </w:p>
        </w:tc>
        <w:tc>
          <w:tcPr>
            <w:tcW w:w="992"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38955</w:t>
            </w:r>
          </w:p>
        </w:tc>
        <w:tc>
          <w:tcPr>
            <w:tcW w:w="1701" w:type="dxa"/>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-50</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Asthma</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5586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3441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1630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-68</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Farmer's lung disease</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and unspecified allergic pneumonitis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212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Coal worker's pneumoconiosis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942</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-75</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Asbestosis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281</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407</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Silicosis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163</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50</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39</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-74</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pneumoconiosis combined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-78</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Byssinosis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39</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-97</w:t>
            </w:r>
          </w:p>
        </w:tc>
      </w:tr>
      <w:tr w:rsidR="00240D37" w:rsidRPr="00DD009D" w:rsidTr="009412D1">
        <w:trPr>
          <w:trHeight w:val="454"/>
        </w:trPr>
        <w:tc>
          <w:tcPr>
            <w:tcW w:w="5177" w:type="dxa"/>
            <w:tcBorders>
              <w:top w:val="nil"/>
            </w:tcBorders>
            <w:shd w:val="clear" w:color="auto" w:fill="auto"/>
            <w:vAlign w:val="bottom"/>
          </w:tcPr>
          <w:p w:rsidR="00240D37" w:rsidRPr="009412D1" w:rsidRDefault="009412D1" w:rsidP="009412D1">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Digestive diseases</w:t>
            </w:r>
          </w:p>
        </w:tc>
        <w:tc>
          <w:tcPr>
            <w:tcW w:w="967"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tcBorders>
              <w:top w:val="nil"/>
            </w:tcBorders>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Borders>
              <w:top w:val="nil"/>
            </w:tcBorders>
          </w:tcPr>
          <w:p w:rsidR="00240D37" w:rsidRDefault="00240D37" w:rsidP="003D04E9">
            <w:pPr>
              <w:spacing w:line="240" w:lineRule="auto"/>
              <w:jc w:val="center"/>
              <w:rPr>
                <w:rFonts w:ascii="Calibri" w:hAnsi="Calibri"/>
                <w:color w:val="000000"/>
              </w:rPr>
            </w:pP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Cirrhosis (not specified as biliary)</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5327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5533</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6469</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34</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Pancreatitis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2785</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2718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2758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9</w:t>
            </w:r>
          </w:p>
        </w:tc>
      </w:tr>
      <w:tr w:rsidR="00240D37" w:rsidRPr="00DD009D" w:rsidTr="009412D1">
        <w:trPr>
          <w:trHeight w:val="454"/>
        </w:trPr>
        <w:tc>
          <w:tcPr>
            <w:tcW w:w="5177" w:type="dxa"/>
            <w:shd w:val="clear" w:color="auto" w:fill="auto"/>
            <w:vAlign w:val="bottom"/>
          </w:tcPr>
          <w:p w:rsidR="00240D37" w:rsidRPr="009412D1" w:rsidRDefault="009412D1" w:rsidP="009412D1">
            <w:pPr>
              <w:spacing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Injury and poisoning</w:t>
            </w:r>
          </w:p>
        </w:tc>
        <w:tc>
          <w:tcPr>
            <w:tcW w:w="967" w:type="dxa"/>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851" w:type="dxa"/>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992" w:type="dxa"/>
            <w:shd w:val="clear" w:color="auto" w:fill="auto"/>
          </w:tcPr>
          <w:p w:rsidR="00240D37" w:rsidRPr="00DD009D" w:rsidRDefault="00240D37" w:rsidP="003D04E9">
            <w:pPr>
              <w:spacing w:line="240" w:lineRule="auto"/>
              <w:jc w:val="center"/>
              <w:rPr>
                <w:rFonts w:ascii="Calibri" w:eastAsia="Times New Roman" w:hAnsi="Calibri" w:cs="Times New Roman"/>
                <w:color w:val="000000"/>
                <w:lang w:eastAsia="en-GB"/>
              </w:rPr>
            </w:pPr>
          </w:p>
        </w:tc>
        <w:tc>
          <w:tcPr>
            <w:tcW w:w="1701" w:type="dxa"/>
          </w:tcPr>
          <w:p w:rsidR="00240D37" w:rsidRDefault="00240D37" w:rsidP="003D04E9">
            <w:pPr>
              <w:spacing w:line="240" w:lineRule="auto"/>
              <w:jc w:val="center"/>
              <w:rPr>
                <w:rFonts w:ascii="Calibri" w:hAnsi="Calibri"/>
                <w:color w:val="000000"/>
              </w:rPr>
            </w:pPr>
          </w:p>
        </w:tc>
      </w:tr>
      <w:tr w:rsidR="00AA5FB8" w:rsidRPr="00DD009D" w:rsidTr="003D04E9">
        <w:trPr>
          <w:trHeight w:val="300"/>
        </w:trPr>
        <w:tc>
          <w:tcPr>
            <w:tcW w:w="5177" w:type="dxa"/>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Railway accidents combined</w:t>
            </w:r>
          </w:p>
        </w:tc>
        <w:tc>
          <w:tcPr>
            <w:tcW w:w="967"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562</w:t>
            </w:r>
          </w:p>
        </w:tc>
        <w:tc>
          <w:tcPr>
            <w:tcW w:w="851"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239</w:t>
            </w:r>
          </w:p>
        </w:tc>
        <w:tc>
          <w:tcPr>
            <w:tcW w:w="992" w:type="dxa"/>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142</w:t>
            </w:r>
          </w:p>
        </w:tc>
        <w:tc>
          <w:tcPr>
            <w:tcW w:w="1701" w:type="dxa"/>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Motor vehicle traffic accidents combined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20428</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11952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10154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-45</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Off-road motor vehicle traffic accidents combined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476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132</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Animal transport accidents rider/passenger</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53</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-58</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Water transport accidents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499</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173</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126</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Air transport accident</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427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92</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-76</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lastRenderedPageBreak/>
              <w:t>Pesticide poisoning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-50</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Poisoning by other gases and vapours combined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617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263</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177</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-68</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Fall from ladder or scaffolding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606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Fall from building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900</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416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358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Fall into hole</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96</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35</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115</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fall</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428</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171</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Slipping and tripping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121</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-33</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Fall unspecified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1040</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877</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1230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30</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Injured by fire</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1202</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871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577</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-47</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Heat injury</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-61</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animals and plants combined</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41</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46</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23</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lightning</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-73</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falling, thrown or projected object</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647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263</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160</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-73</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being caught between objects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-51</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machinery</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907</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341</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89</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-89</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cutting and piercing instruments or objects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88</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-64</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explosion of pressure vessel</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30</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-82</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firearms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95</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44</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-80</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explosive material</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148</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52</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-91</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hot substances</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-74</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Injury by electric current</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452</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255</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144</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-65</w:t>
            </w:r>
          </w:p>
        </w:tc>
      </w:tr>
      <w:tr w:rsidR="00AA5FB8" w:rsidRPr="00DD009D" w:rsidTr="003D04E9">
        <w:trPr>
          <w:trHeight w:val="300"/>
        </w:trPr>
        <w:tc>
          <w:tcPr>
            <w:tcW w:w="5177" w:type="dxa"/>
            <w:tcBorders>
              <w:top w:val="nil"/>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Homicide</w:t>
            </w:r>
          </w:p>
        </w:tc>
        <w:tc>
          <w:tcPr>
            <w:tcW w:w="967"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1234</w:t>
            </w:r>
          </w:p>
        </w:tc>
        <w:tc>
          <w:tcPr>
            <w:tcW w:w="851"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1038</w:t>
            </w:r>
          </w:p>
        </w:tc>
        <w:tc>
          <w:tcPr>
            <w:tcW w:w="992" w:type="dxa"/>
            <w:tcBorders>
              <w:top w:val="nil"/>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1098</w:t>
            </w:r>
          </w:p>
        </w:tc>
        <w:tc>
          <w:tcPr>
            <w:tcW w:w="1701" w:type="dxa"/>
            <w:tcBorders>
              <w:top w:val="nil"/>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-2</w:t>
            </w:r>
          </w:p>
        </w:tc>
      </w:tr>
      <w:tr w:rsidR="00AA5FB8" w:rsidRPr="00DD009D" w:rsidTr="003D04E9">
        <w:trPr>
          <w:trHeight w:val="300"/>
        </w:trPr>
        <w:tc>
          <w:tcPr>
            <w:tcW w:w="5177" w:type="dxa"/>
            <w:tcBorders>
              <w:top w:val="nil"/>
              <w:bottom w:val="single" w:sz="12" w:space="0" w:color="auto"/>
            </w:tcBorders>
            <w:shd w:val="clear" w:color="auto" w:fill="auto"/>
            <w:hideMark/>
          </w:tcPr>
          <w:p w:rsidR="00AA5FB8" w:rsidRPr="00DD009D" w:rsidRDefault="00AA5FB8" w:rsidP="003D04E9">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War</w:t>
            </w:r>
          </w:p>
        </w:tc>
        <w:tc>
          <w:tcPr>
            <w:tcW w:w="967" w:type="dxa"/>
            <w:tcBorders>
              <w:top w:val="nil"/>
              <w:bottom w:val="single" w:sz="12" w:space="0" w:color="auto"/>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w:t>
            </w:r>
          </w:p>
        </w:tc>
        <w:tc>
          <w:tcPr>
            <w:tcW w:w="851" w:type="dxa"/>
            <w:tcBorders>
              <w:top w:val="nil"/>
              <w:bottom w:val="single" w:sz="12" w:space="0" w:color="auto"/>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w:t>
            </w:r>
          </w:p>
        </w:tc>
        <w:tc>
          <w:tcPr>
            <w:tcW w:w="992" w:type="dxa"/>
            <w:tcBorders>
              <w:top w:val="nil"/>
              <w:bottom w:val="single" w:sz="12" w:space="0" w:color="auto"/>
            </w:tcBorders>
            <w:shd w:val="clear" w:color="auto" w:fill="auto"/>
            <w:hideMark/>
          </w:tcPr>
          <w:p w:rsidR="00AA5FB8" w:rsidRPr="00DD009D" w:rsidRDefault="00AA5FB8" w:rsidP="003D04E9">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w:t>
            </w:r>
          </w:p>
        </w:tc>
        <w:tc>
          <w:tcPr>
            <w:tcW w:w="1701" w:type="dxa"/>
            <w:tcBorders>
              <w:top w:val="nil"/>
              <w:bottom w:val="single" w:sz="12" w:space="0" w:color="auto"/>
            </w:tcBorders>
          </w:tcPr>
          <w:p w:rsidR="00AA5FB8" w:rsidRPr="00DD009D" w:rsidRDefault="00AA5FB8" w:rsidP="003D04E9">
            <w:pPr>
              <w:spacing w:line="240" w:lineRule="auto"/>
              <w:jc w:val="center"/>
              <w:rPr>
                <w:rFonts w:ascii="Calibri" w:eastAsia="Times New Roman" w:hAnsi="Calibri" w:cs="Times New Roman"/>
                <w:color w:val="000000"/>
                <w:lang w:eastAsia="en-GB"/>
              </w:rPr>
            </w:pPr>
            <w:r>
              <w:rPr>
                <w:rFonts w:ascii="Calibri" w:hAnsi="Calibri"/>
                <w:color w:val="000000"/>
              </w:rPr>
              <w:t>-96</w:t>
            </w:r>
          </w:p>
        </w:tc>
      </w:tr>
    </w:tbl>
    <w:p w:rsidR="00AA5FB8" w:rsidRDefault="00AA5FB8">
      <w:pPr>
        <w:spacing w:after="200"/>
        <w:rPr>
          <w:b/>
          <w:szCs w:val="20"/>
        </w:rPr>
      </w:pPr>
    </w:p>
    <w:p w:rsidR="0057559C" w:rsidRDefault="00AA5FB8">
      <w:pPr>
        <w:spacing w:after="200"/>
        <w:rPr>
          <w:b/>
          <w:szCs w:val="20"/>
        </w:rPr>
      </w:pPr>
      <w:r w:rsidRPr="00DD009D">
        <w:rPr>
          <w:rFonts w:ascii="Calibri" w:eastAsia="Times New Roman" w:hAnsi="Calibri" w:cs="Times New Roman"/>
          <w:color w:val="000000"/>
          <w:vertAlign w:val="superscript"/>
          <w:lang w:eastAsia="en-GB"/>
        </w:rPr>
        <w:t>a</w:t>
      </w:r>
      <w:r w:rsidRPr="00DD009D">
        <w:rPr>
          <w:rFonts w:ascii="Calibri" w:eastAsia="Times New Roman" w:hAnsi="Calibri" w:cs="Times New Roman"/>
          <w:color w:val="000000"/>
          <w:lang w:eastAsia="en-GB"/>
        </w:rPr>
        <w:t>For pneumonia, injury and poisoning, the numbers of deaths are at ages 20-64 years</w:t>
      </w:r>
      <w:r>
        <w:rPr>
          <w:b/>
          <w:szCs w:val="20"/>
        </w:rPr>
        <w:t xml:space="preserve"> </w:t>
      </w:r>
      <w:r w:rsidR="0057559C">
        <w:rPr>
          <w:b/>
          <w:szCs w:val="20"/>
        </w:rPr>
        <w:br w:type="page"/>
      </w:r>
    </w:p>
    <w:p w:rsidR="00DD009D" w:rsidRPr="00DD009D" w:rsidRDefault="00DD009D" w:rsidP="0057559C">
      <w:pPr>
        <w:spacing w:after="200"/>
        <w:ind w:left="1134" w:hanging="1134"/>
        <w:rPr>
          <w:b/>
          <w:szCs w:val="20"/>
        </w:rPr>
      </w:pPr>
      <w:r w:rsidRPr="00DD009D">
        <w:rPr>
          <w:b/>
          <w:szCs w:val="20"/>
        </w:rPr>
        <w:lastRenderedPageBreak/>
        <w:t>Table 2</w:t>
      </w:r>
      <w:r w:rsidRPr="00DD009D">
        <w:rPr>
          <w:b/>
          <w:szCs w:val="20"/>
        </w:rPr>
        <w:tab/>
        <w:t>Job groups analysed and numbers of deaths from all causes by time period, men aged 20-74 years, England and Wales, 1979-2010</w:t>
      </w:r>
    </w:p>
    <w:tbl>
      <w:tblPr>
        <w:tblW w:w="9857" w:type="dxa"/>
        <w:tblInd w:w="316" w:type="dxa"/>
        <w:tblLayout w:type="fixed"/>
        <w:tblLook w:val="04A0" w:firstRow="1" w:lastRow="0" w:firstColumn="1" w:lastColumn="0" w:noHBand="0" w:noVBand="1"/>
      </w:tblPr>
      <w:tblGrid>
        <w:gridCol w:w="5260"/>
        <w:gridCol w:w="1053"/>
        <w:gridCol w:w="850"/>
        <w:gridCol w:w="993"/>
        <w:gridCol w:w="1701"/>
      </w:tblGrid>
      <w:tr w:rsidR="007E7320" w:rsidRPr="00DD009D" w:rsidTr="0081108C">
        <w:trPr>
          <w:trHeight w:val="600"/>
        </w:trPr>
        <w:tc>
          <w:tcPr>
            <w:tcW w:w="5260" w:type="dxa"/>
            <w:vMerge w:val="restart"/>
            <w:tcBorders>
              <w:top w:val="single" w:sz="12" w:space="0" w:color="auto"/>
              <w:bottom w:val="single" w:sz="4" w:space="0" w:color="auto"/>
            </w:tcBorders>
            <w:shd w:val="clear" w:color="auto" w:fill="auto"/>
            <w:noWrap/>
            <w:hideMark/>
          </w:tcPr>
          <w:p w:rsidR="007E7320" w:rsidRPr="00DD009D" w:rsidRDefault="007E7320" w:rsidP="007E7320">
            <w:pPr>
              <w:spacing w:line="240" w:lineRule="auto"/>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Job group</w:t>
            </w:r>
          </w:p>
        </w:tc>
        <w:tc>
          <w:tcPr>
            <w:tcW w:w="2896" w:type="dxa"/>
            <w:gridSpan w:val="3"/>
            <w:tcBorders>
              <w:top w:val="single" w:sz="12" w:space="0" w:color="auto"/>
              <w:left w:val="nil"/>
              <w:bottom w:val="single" w:sz="12" w:space="0" w:color="auto"/>
            </w:tcBorders>
            <w:shd w:val="clear" w:color="auto" w:fill="auto"/>
            <w:vAlign w:val="bottom"/>
            <w:hideMark/>
          </w:tcPr>
          <w:p w:rsidR="007E7320" w:rsidRDefault="007E7320" w:rsidP="007E7320">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Number of deaths from all causes combined at ages</w:t>
            </w:r>
          </w:p>
          <w:p w:rsidR="007E7320" w:rsidRPr="00DD009D" w:rsidRDefault="007E7320" w:rsidP="007E7320">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20-74 years</w:t>
            </w:r>
          </w:p>
        </w:tc>
        <w:tc>
          <w:tcPr>
            <w:tcW w:w="1701" w:type="dxa"/>
            <w:vMerge w:val="restart"/>
            <w:tcBorders>
              <w:top w:val="single" w:sz="12" w:space="0" w:color="auto"/>
              <w:left w:val="nil"/>
            </w:tcBorders>
          </w:tcPr>
          <w:p w:rsidR="007E7320" w:rsidRDefault="007E7320" w:rsidP="007E7320">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change in annual number of deaths</w:t>
            </w:r>
          </w:p>
          <w:p w:rsidR="007E7320" w:rsidRDefault="007E7320" w:rsidP="007E7320">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1979-90 to </w:t>
            </w:r>
          </w:p>
          <w:p w:rsidR="007E7320" w:rsidRPr="00DD009D" w:rsidRDefault="007E7320" w:rsidP="007E7320">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2000-10</w:t>
            </w:r>
          </w:p>
        </w:tc>
      </w:tr>
      <w:tr w:rsidR="007E7320" w:rsidRPr="00DD009D" w:rsidTr="0081108C">
        <w:trPr>
          <w:trHeight w:val="300"/>
        </w:trPr>
        <w:tc>
          <w:tcPr>
            <w:tcW w:w="5260" w:type="dxa"/>
            <w:vMerge/>
            <w:tcBorders>
              <w:bottom w:val="single" w:sz="12" w:space="0" w:color="auto"/>
            </w:tcBorders>
            <w:vAlign w:val="center"/>
            <w:hideMark/>
          </w:tcPr>
          <w:p w:rsidR="007E7320" w:rsidRPr="00DD009D" w:rsidRDefault="007E7320" w:rsidP="00DD009D">
            <w:pPr>
              <w:spacing w:line="240" w:lineRule="auto"/>
              <w:rPr>
                <w:rFonts w:ascii="Calibri" w:eastAsia="Times New Roman" w:hAnsi="Calibri" w:cs="Times New Roman"/>
                <w:b/>
                <w:bCs/>
                <w:color w:val="000000"/>
                <w:lang w:eastAsia="en-GB"/>
              </w:rPr>
            </w:pPr>
          </w:p>
        </w:tc>
        <w:tc>
          <w:tcPr>
            <w:tcW w:w="1053" w:type="dxa"/>
            <w:tcBorders>
              <w:top w:val="single" w:sz="12" w:space="0" w:color="auto"/>
              <w:left w:val="nil"/>
              <w:bottom w:val="single" w:sz="12" w:space="0" w:color="auto"/>
            </w:tcBorders>
            <w:shd w:val="clear" w:color="auto" w:fill="auto"/>
            <w:noWrap/>
            <w:vAlign w:val="center"/>
            <w:hideMark/>
          </w:tcPr>
          <w:p w:rsidR="007E7320" w:rsidRPr="00DD009D" w:rsidRDefault="007E7320" w:rsidP="007E7320">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1979-80 1982-90</w:t>
            </w:r>
          </w:p>
        </w:tc>
        <w:tc>
          <w:tcPr>
            <w:tcW w:w="850" w:type="dxa"/>
            <w:tcBorders>
              <w:top w:val="single" w:sz="12" w:space="0" w:color="auto"/>
              <w:left w:val="nil"/>
              <w:bottom w:val="single" w:sz="12" w:space="0" w:color="auto"/>
            </w:tcBorders>
            <w:shd w:val="clear" w:color="auto" w:fill="auto"/>
            <w:noWrap/>
            <w:vAlign w:val="center"/>
            <w:hideMark/>
          </w:tcPr>
          <w:p w:rsidR="007E7320" w:rsidRPr="00DD009D" w:rsidRDefault="007E7320" w:rsidP="007E7320">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1991-2000</w:t>
            </w:r>
          </w:p>
        </w:tc>
        <w:tc>
          <w:tcPr>
            <w:tcW w:w="993" w:type="dxa"/>
            <w:tcBorders>
              <w:top w:val="single" w:sz="12" w:space="0" w:color="auto"/>
              <w:left w:val="nil"/>
              <w:bottom w:val="single" w:sz="12" w:space="0" w:color="auto"/>
            </w:tcBorders>
            <w:shd w:val="clear" w:color="auto" w:fill="auto"/>
            <w:noWrap/>
            <w:vAlign w:val="center"/>
            <w:hideMark/>
          </w:tcPr>
          <w:p w:rsidR="007E7320" w:rsidRPr="00DD009D" w:rsidRDefault="007E7320" w:rsidP="007E7320">
            <w:pPr>
              <w:spacing w:line="240" w:lineRule="auto"/>
              <w:jc w:val="center"/>
              <w:rPr>
                <w:rFonts w:ascii="Calibri" w:eastAsia="Times New Roman" w:hAnsi="Calibri" w:cs="Times New Roman"/>
                <w:b/>
                <w:bCs/>
                <w:color w:val="000000"/>
                <w:lang w:eastAsia="en-GB"/>
              </w:rPr>
            </w:pPr>
            <w:r w:rsidRPr="00DD009D">
              <w:rPr>
                <w:rFonts w:ascii="Calibri" w:eastAsia="Times New Roman" w:hAnsi="Calibri" w:cs="Times New Roman"/>
                <w:b/>
                <w:bCs/>
                <w:color w:val="000000"/>
                <w:lang w:eastAsia="en-GB"/>
              </w:rPr>
              <w:t>2000-2010</w:t>
            </w:r>
          </w:p>
        </w:tc>
        <w:tc>
          <w:tcPr>
            <w:tcW w:w="1701" w:type="dxa"/>
            <w:vMerge/>
            <w:tcBorders>
              <w:left w:val="nil"/>
              <w:bottom w:val="single" w:sz="12" w:space="0" w:color="auto"/>
            </w:tcBorders>
          </w:tcPr>
          <w:p w:rsidR="007E7320" w:rsidRPr="00DD009D" w:rsidRDefault="007E7320" w:rsidP="007E7320">
            <w:pPr>
              <w:spacing w:line="240" w:lineRule="auto"/>
              <w:jc w:val="center"/>
              <w:rPr>
                <w:rFonts w:ascii="Calibri" w:eastAsia="Times New Roman" w:hAnsi="Calibri" w:cs="Times New Roman"/>
                <w:b/>
                <w:bCs/>
                <w:color w:val="000000"/>
                <w:lang w:eastAsia="en-GB"/>
              </w:rPr>
            </w:pPr>
          </w:p>
        </w:tc>
      </w:tr>
      <w:tr w:rsidR="0027678A" w:rsidRPr="00DD009D" w:rsidTr="0081108C">
        <w:trPr>
          <w:trHeight w:val="300"/>
        </w:trPr>
        <w:tc>
          <w:tcPr>
            <w:tcW w:w="5260" w:type="dxa"/>
            <w:tcBorders>
              <w:top w:val="single" w:sz="12" w:space="0" w:color="auto"/>
            </w:tcBorders>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Marketing &amp; Sales managers combined</w:t>
            </w:r>
          </w:p>
        </w:tc>
        <w:tc>
          <w:tcPr>
            <w:tcW w:w="1053" w:type="dxa"/>
            <w:tcBorders>
              <w:top w:val="single" w:sz="12" w:space="0" w:color="auto"/>
            </w:tcBorders>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14454</w:t>
            </w:r>
          </w:p>
        </w:tc>
        <w:tc>
          <w:tcPr>
            <w:tcW w:w="850" w:type="dxa"/>
            <w:tcBorders>
              <w:top w:val="single" w:sz="12" w:space="0" w:color="auto"/>
            </w:tcBorders>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14132</w:t>
            </w:r>
          </w:p>
        </w:tc>
        <w:tc>
          <w:tcPr>
            <w:tcW w:w="993" w:type="dxa"/>
            <w:tcBorders>
              <w:top w:val="single" w:sz="12" w:space="0" w:color="auto"/>
            </w:tcBorders>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19105</w:t>
            </w:r>
          </w:p>
        </w:tc>
        <w:tc>
          <w:tcPr>
            <w:tcW w:w="1701" w:type="dxa"/>
            <w:tcBorders>
              <w:top w:val="single" w:sz="12" w:space="0" w:color="auto"/>
            </w:tcBorders>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Vocational trainers, Social scientists etc</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3828</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3855</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3415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Doctors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4086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3263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2807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health professions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2360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2431</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1962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Professional athletes, sports officials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482</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624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1068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144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Chemical Engineers and Scientists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2554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2539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2018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Professional Engineers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16766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17230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14787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Draughtspersons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6057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5076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3365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Laboratory Technicians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5795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3325</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2331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Aircraft Flight Deck Officers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619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814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574</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Seafarers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8600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6963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4780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Technicians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4593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6308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6276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50</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Production and maintenance managers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27591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21689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14224</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Managers in Construction</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7036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5578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5465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Managers in Transport, Mining and Energy Industries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16247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13517</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9562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Butchers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9739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6364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4087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Publicans and Bar staff</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17415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12446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10346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Farming and fishing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58113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40782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30071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Armed Forces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10037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8204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8266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Police</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7273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7426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6812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Fire Service Personnel</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2805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2643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1920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Sales Representatives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24234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15869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10839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-51</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service personnel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40181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34143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23204</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Rail travel assistants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9749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6331</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1032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-88</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Forestry Workers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1459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1090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675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Leather and related trades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6108</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3189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1078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-81</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Weavers and knitters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3386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1782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860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-72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textile processing operatives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10185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2339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1419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-85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Chemical workers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18146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9821</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5117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Bakers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5371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4020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1950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-60</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food drink and tobacco process operatives nec combined</w:t>
            </w:r>
          </w:p>
        </w:tc>
        <w:tc>
          <w:tcPr>
            <w:tcW w:w="1053"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10391</w:t>
            </w:r>
          </w:p>
        </w:tc>
        <w:tc>
          <w:tcPr>
            <w:tcW w:w="850"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7330</w:t>
            </w:r>
          </w:p>
        </w:tc>
        <w:tc>
          <w:tcPr>
            <w:tcW w:w="993" w:type="dxa"/>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5886</w:t>
            </w:r>
          </w:p>
        </w:tc>
        <w:tc>
          <w:tcPr>
            <w:tcW w:w="1701" w:type="dxa"/>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-38</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Paper and wood machine operatives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8882</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4946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3104</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Glass and ceramic workers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7846</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4422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2628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Coal miners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47249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27896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14208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Upholsterers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2620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1574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1265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Carpenters &amp; Joiners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25914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22049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20817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Cabinet makers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3972</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2822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2276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Smiths &amp; Forge workers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2633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1570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836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Moulders, Core Makers, Die Casters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4607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2198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909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-78</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Electroplaters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1273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849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509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metal manufacturers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12224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7613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3825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Metal machining setters and setter-operators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11349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10482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4582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lastRenderedPageBreak/>
              <w:t>Metal working machine operatives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54442</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34154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24181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-51</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Production fitters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49781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38535</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23220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Motor Mechanics, Auto Engineers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14788</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13162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11536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Electricians, electrical maintenance fitters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20719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18381</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21253</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Cable Jointers, Lines Repairers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1728</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1362</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824</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-48</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Radio, TV &amp; Video Engineers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2025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1698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1220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Electrical engineers (not professional)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7803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6753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4836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Plumbers, Heating &amp; Ventilating Engineers &amp; Related Trades</w:t>
            </w:r>
          </w:p>
        </w:tc>
        <w:tc>
          <w:tcPr>
            <w:tcW w:w="1053"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16019</w:t>
            </w:r>
          </w:p>
        </w:tc>
        <w:tc>
          <w:tcPr>
            <w:tcW w:w="850"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14797</w:t>
            </w:r>
          </w:p>
        </w:tc>
        <w:tc>
          <w:tcPr>
            <w:tcW w:w="993" w:type="dxa"/>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14046</w:t>
            </w:r>
          </w:p>
        </w:tc>
        <w:tc>
          <w:tcPr>
            <w:tcW w:w="1701" w:type="dxa"/>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Sheet Metal Workers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7529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4806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2919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Metal Plate Workers, Shipwrights, Riveters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5560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4120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2151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Steel Erectors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3517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3675</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1837</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Scaffolders, Riggers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3321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3484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2898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Welding Trades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11783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10414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8140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Coach and vehicle body builders and repairers combined</w:t>
            </w:r>
          </w:p>
        </w:tc>
        <w:tc>
          <w:tcPr>
            <w:tcW w:w="1053"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2122</w:t>
            </w:r>
          </w:p>
        </w:tc>
        <w:tc>
          <w:tcPr>
            <w:tcW w:w="850"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2324</w:t>
            </w:r>
          </w:p>
        </w:tc>
        <w:tc>
          <w:tcPr>
            <w:tcW w:w="993" w:type="dxa"/>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2006</w:t>
            </w:r>
          </w:p>
        </w:tc>
        <w:tc>
          <w:tcPr>
            <w:tcW w:w="1701" w:type="dxa"/>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Painters &amp; Decorators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28103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21241</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18661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Assemblers/Lineworkers (electrical/electronic goods)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1031</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1903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1363</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Packers, sorters and testers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7947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15376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8563</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Bricklayers, Masons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17359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11288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8412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-47</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Roofers and Glaziers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3267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3908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5610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89</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Rail Construction &amp; Maintenance Workers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3020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1590</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761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-72</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Road Construction Workers and Paviors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4947</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3329</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2979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construction workers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48602</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45154</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59230</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34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Mine (excluding coal) &amp; Quarry Workers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2580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1658</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1279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-45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Rail transport operatives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2994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1707</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3415</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25</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Railway engine drivers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4179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3836</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1682</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-56</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Lorry drivers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58475</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54545</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48106</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-10</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Mechanical Plant Drivers &amp; Operatives (earth moving &amp; civil engineering)</w:t>
            </w:r>
          </w:p>
        </w:tc>
        <w:tc>
          <w:tcPr>
            <w:tcW w:w="1053"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2805</w:t>
            </w:r>
          </w:p>
        </w:tc>
        <w:tc>
          <w:tcPr>
            <w:tcW w:w="850"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3736</w:t>
            </w:r>
          </w:p>
        </w:tc>
        <w:tc>
          <w:tcPr>
            <w:tcW w:w="993" w:type="dxa"/>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3673</w:t>
            </w:r>
          </w:p>
        </w:tc>
        <w:tc>
          <w:tcPr>
            <w:tcW w:w="1701" w:type="dxa"/>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44</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Crane Drivers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8153</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4887</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2713</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-63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Fork Lift &amp; Mechanical Truck Drivers</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6330</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6967</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6771</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18</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Storekeepers &amp; warehousemen/women</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46739</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28467</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19928</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-53</w:t>
            </w:r>
          </w:p>
        </w:tc>
      </w:tr>
      <w:tr w:rsidR="0027678A" w:rsidRPr="00DD009D" w:rsidTr="0081108C">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Dockers goods porters and slingers combined</w:t>
            </w:r>
          </w:p>
        </w:tc>
        <w:tc>
          <w:tcPr>
            <w:tcW w:w="105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14154</w:t>
            </w:r>
          </w:p>
        </w:tc>
        <w:tc>
          <w:tcPr>
            <w:tcW w:w="850"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9443</w:t>
            </w:r>
          </w:p>
        </w:tc>
        <w:tc>
          <w:tcPr>
            <w:tcW w:w="993" w:type="dxa"/>
            <w:shd w:val="clear" w:color="auto" w:fill="auto"/>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2829</w:t>
            </w:r>
          </w:p>
        </w:tc>
        <w:tc>
          <w:tcPr>
            <w:tcW w:w="1701" w:type="dxa"/>
            <w:vAlign w:val="center"/>
          </w:tcPr>
          <w:p w:rsidR="0027678A" w:rsidRPr="00DD009D" w:rsidRDefault="0027678A" w:rsidP="007E7320">
            <w:pPr>
              <w:spacing w:line="240" w:lineRule="auto"/>
              <w:jc w:val="center"/>
              <w:rPr>
                <w:rFonts w:ascii="Calibri" w:eastAsia="Times New Roman" w:hAnsi="Calibri" w:cs="Times New Roman"/>
                <w:color w:val="000000"/>
                <w:lang w:eastAsia="en-GB"/>
              </w:rPr>
            </w:pPr>
            <w:r>
              <w:rPr>
                <w:rFonts w:ascii="Calibri" w:hAnsi="Calibri"/>
                <w:color w:val="000000"/>
              </w:rPr>
              <w:t>-78</w:t>
            </w:r>
          </w:p>
        </w:tc>
      </w:tr>
      <w:tr w:rsidR="0027678A" w:rsidRPr="00DD009D" w:rsidTr="003D04E9">
        <w:trPr>
          <w:trHeight w:val="300"/>
        </w:trPr>
        <w:tc>
          <w:tcPr>
            <w:tcW w:w="5260" w:type="dxa"/>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Electrical, Energy, Boiler Operatives &amp; Attendants combined</w:t>
            </w:r>
          </w:p>
        </w:tc>
        <w:tc>
          <w:tcPr>
            <w:tcW w:w="1053"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9428</w:t>
            </w:r>
          </w:p>
        </w:tc>
        <w:tc>
          <w:tcPr>
            <w:tcW w:w="850" w:type="dxa"/>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4393</w:t>
            </w:r>
          </w:p>
        </w:tc>
        <w:tc>
          <w:tcPr>
            <w:tcW w:w="993" w:type="dxa"/>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1818</w:t>
            </w:r>
          </w:p>
        </w:tc>
        <w:tc>
          <w:tcPr>
            <w:tcW w:w="1701" w:type="dxa"/>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-79</w:t>
            </w:r>
          </w:p>
        </w:tc>
      </w:tr>
      <w:tr w:rsidR="0027678A" w:rsidRPr="00DD009D" w:rsidTr="003D04E9">
        <w:trPr>
          <w:trHeight w:val="300"/>
        </w:trPr>
        <w:tc>
          <w:tcPr>
            <w:tcW w:w="5260" w:type="dxa"/>
            <w:tcBorders>
              <w:bottom w:val="single" w:sz="12" w:space="0" w:color="auto"/>
            </w:tcBorders>
            <w:shd w:val="clear" w:color="auto" w:fill="auto"/>
            <w:vAlign w:val="center"/>
          </w:tcPr>
          <w:p w:rsidR="0027678A" w:rsidRPr="00DD009D" w:rsidRDefault="0027678A" w:rsidP="00DD009D">
            <w:pPr>
              <w:spacing w:line="240" w:lineRule="auto"/>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Other transport, plant and machine operatives combined</w:t>
            </w:r>
          </w:p>
        </w:tc>
        <w:tc>
          <w:tcPr>
            <w:tcW w:w="1053" w:type="dxa"/>
            <w:tcBorders>
              <w:bottom w:val="single" w:sz="12" w:space="0" w:color="auto"/>
            </w:tcBorders>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3146</w:t>
            </w:r>
          </w:p>
        </w:tc>
        <w:tc>
          <w:tcPr>
            <w:tcW w:w="850" w:type="dxa"/>
            <w:tcBorders>
              <w:bottom w:val="single" w:sz="12" w:space="0" w:color="auto"/>
            </w:tcBorders>
            <w:shd w:val="clear" w:color="auto" w:fill="auto"/>
          </w:tcPr>
          <w:p w:rsidR="0027678A" w:rsidRPr="00DD009D" w:rsidRDefault="0027678A" w:rsidP="007E7320">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12523</w:t>
            </w:r>
          </w:p>
        </w:tc>
        <w:tc>
          <w:tcPr>
            <w:tcW w:w="993" w:type="dxa"/>
            <w:tcBorders>
              <w:bottom w:val="single" w:sz="12" w:space="0" w:color="auto"/>
            </w:tcBorders>
            <w:shd w:val="clear" w:color="auto" w:fill="auto"/>
          </w:tcPr>
          <w:p w:rsidR="0027678A" w:rsidRPr="00DD009D" w:rsidRDefault="0027678A" w:rsidP="0027678A">
            <w:pPr>
              <w:spacing w:line="240" w:lineRule="auto"/>
              <w:jc w:val="center"/>
              <w:rPr>
                <w:rFonts w:ascii="Calibri" w:eastAsia="Times New Roman" w:hAnsi="Calibri" w:cs="Times New Roman"/>
                <w:color w:val="000000"/>
                <w:lang w:eastAsia="en-GB"/>
              </w:rPr>
            </w:pPr>
            <w:r w:rsidRPr="00DD009D">
              <w:rPr>
                <w:rFonts w:ascii="Calibri" w:eastAsia="Times New Roman" w:hAnsi="Calibri" w:cs="Times New Roman"/>
                <w:color w:val="000000"/>
                <w:lang w:eastAsia="en-GB"/>
              </w:rPr>
              <w:t>9418</w:t>
            </w:r>
          </w:p>
        </w:tc>
        <w:tc>
          <w:tcPr>
            <w:tcW w:w="1701" w:type="dxa"/>
            <w:tcBorders>
              <w:bottom w:val="single" w:sz="12" w:space="0" w:color="auto"/>
            </w:tcBorders>
          </w:tcPr>
          <w:p w:rsidR="0027678A" w:rsidRPr="00DD009D" w:rsidRDefault="0027678A">
            <w:pPr>
              <w:spacing w:line="240" w:lineRule="auto"/>
              <w:jc w:val="center"/>
              <w:rPr>
                <w:rFonts w:ascii="Calibri" w:eastAsia="Times New Roman" w:hAnsi="Calibri" w:cs="Times New Roman"/>
                <w:color w:val="000000"/>
                <w:lang w:eastAsia="en-GB"/>
              </w:rPr>
            </w:pPr>
            <w:r>
              <w:rPr>
                <w:rFonts w:ascii="Calibri" w:hAnsi="Calibri"/>
                <w:color w:val="000000"/>
              </w:rPr>
              <w:t>229</w:t>
            </w:r>
          </w:p>
        </w:tc>
      </w:tr>
    </w:tbl>
    <w:p w:rsidR="00DD009D" w:rsidRPr="00DD009D" w:rsidRDefault="00DD009D" w:rsidP="00DD009D">
      <w:pPr>
        <w:spacing w:after="200"/>
        <w:rPr>
          <w:b/>
          <w:sz w:val="20"/>
          <w:szCs w:val="20"/>
        </w:rPr>
        <w:sectPr w:rsidR="00DD009D" w:rsidRPr="00DD009D" w:rsidSect="00E47E61">
          <w:footerReference w:type="default" r:id="rId11"/>
          <w:pgSz w:w="11906" w:h="16838"/>
          <w:pgMar w:top="720" w:right="737" w:bottom="737" w:left="737" w:header="709" w:footer="709" w:gutter="0"/>
          <w:cols w:space="708"/>
          <w:docGrid w:linePitch="360"/>
        </w:sectPr>
      </w:pPr>
    </w:p>
    <w:p w:rsidR="00DD009D" w:rsidRPr="00DD009D" w:rsidRDefault="00DD009D" w:rsidP="00DD009D">
      <w:pPr>
        <w:spacing w:after="200"/>
        <w:rPr>
          <w:b/>
          <w:sz w:val="20"/>
          <w:szCs w:val="20"/>
        </w:rPr>
      </w:pPr>
      <w:r w:rsidRPr="00DD009D">
        <w:rPr>
          <w:b/>
          <w:sz w:val="20"/>
          <w:szCs w:val="20"/>
        </w:rPr>
        <w:lastRenderedPageBreak/>
        <w:t xml:space="preserve">Table 3: </w:t>
      </w:r>
      <w:r w:rsidRPr="00DD009D">
        <w:rPr>
          <w:rFonts w:eastAsia="Times New Roman"/>
          <w:b/>
          <w:bCs/>
          <w:color w:val="000000"/>
          <w:sz w:val="20"/>
          <w:szCs w:val="20"/>
          <w:lang w:eastAsia="en-GB"/>
        </w:rPr>
        <w:t>Excess mortality from diseases caused by occupational exposure to dusts and fumes, men aged 20-74 years</w:t>
      </w:r>
      <w:r w:rsidRPr="00DD009D">
        <w:rPr>
          <w:rFonts w:eastAsia="Times New Roman"/>
          <w:b/>
          <w:bCs/>
          <w:color w:val="000000"/>
          <w:sz w:val="20"/>
          <w:szCs w:val="20"/>
          <w:vertAlign w:val="superscript"/>
          <w:lang w:eastAsia="en-GB"/>
        </w:rPr>
        <w:t>a</w:t>
      </w:r>
      <w:r w:rsidRPr="00DD009D">
        <w:rPr>
          <w:rFonts w:eastAsia="Times New Roman"/>
          <w:b/>
          <w:bCs/>
          <w:color w:val="000000"/>
          <w:sz w:val="20"/>
          <w:szCs w:val="20"/>
          <w:lang w:eastAsia="en-GB"/>
        </w:rPr>
        <w:t xml:space="preserve">, England and Wales, 1979-2010 </w:t>
      </w:r>
    </w:p>
    <w:tbl>
      <w:tblPr>
        <w:tblW w:w="15608" w:type="dxa"/>
        <w:tblInd w:w="93" w:type="dxa"/>
        <w:tblLook w:val="04A0" w:firstRow="1" w:lastRow="0" w:firstColumn="1" w:lastColumn="0" w:noHBand="0" w:noVBand="1"/>
      </w:tblPr>
      <w:tblGrid>
        <w:gridCol w:w="2992"/>
        <w:gridCol w:w="2688"/>
        <w:gridCol w:w="1185"/>
        <w:gridCol w:w="1163"/>
        <w:gridCol w:w="1076"/>
        <w:gridCol w:w="1362"/>
        <w:gridCol w:w="1163"/>
        <w:gridCol w:w="963"/>
        <w:gridCol w:w="1185"/>
        <w:gridCol w:w="1163"/>
        <w:gridCol w:w="1042"/>
      </w:tblGrid>
      <w:tr w:rsidR="00DD009D" w:rsidRPr="00DD009D" w:rsidTr="00E47E61">
        <w:trPr>
          <w:trHeight w:val="300"/>
        </w:trPr>
        <w:tc>
          <w:tcPr>
            <w:tcW w:w="2992" w:type="dxa"/>
            <w:vMerge w:val="restart"/>
            <w:tcBorders>
              <w:top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b/>
                <w:bCs/>
                <w:color w:val="000000"/>
                <w:sz w:val="20"/>
                <w:szCs w:val="20"/>
                <w:lang w:eastAsia="en-GB"/>
              </w:rPr>
              <w:t>Cause of death</w:t>
            </w:r>
          </w:p>
        </w:tc>
        <w:tc>
          <w:tcPr>
            <w:tcW w:w="2688" w:type="dxa"/>
            <w:vMerge w:val="restart"/>
            <w:tcBorders>
              <w:top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b/>
                <w:bCs/>
                <w:color w:val="000000"/>
                <w:sz w:val="20"/>
                <w:szCs w:val="20"/>
                <w:lang w:eastAsia="en-GB"/>
              </w:rPr>
              <w:t>Exposure</w:t>
            </w:r>
          </w:p>
        </w:tc>
        <w:tc>
          <w:tcPr>
            <w:tcW w:w="3266" w:type="dxa"/>
            <w:gridSpan w:val="3"/>
            <w:tcBorders>
              <w:top w:val="single" w:sz="12" w:space="0" w:color="auto"/>
            </w:tcBorders>
            <w:shd w:val="clear" w:color="auto" w:fill="auto"/>
            <w:noWrap/>
            <w:vAlign w:val="bottom"/>
            <w:hideMark/>
          </w:tcPr>
          <w:p w:rsidR="00DD009D" w:rsidRPr="00DD009D" w:rsidRDefault="00DD009D" w:rsidP="003D04E9">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 xml:space="preserve">1979-80, </w:t>
            </w:r>
            <w:r w:rsidR="003D04E9" w:rsidRPr="00DD009D">
              <w:rPr>
                <w:rFonts w:eastAsia="Times New Roman"/>
                <w:b/>
                <w:color w:val="000000"/>
                <w:sz w:val="20"/>
                <w:szCs w:val="20"/>
                <w:lang w:eastAsia="en-GB"/>
              </w:rPr>
              <w:t>198</w:t>
            </w:r>
            <w:r w:rsidR="003D04E9">
              <w:rPr>
                <w:rFonts w:eastAsia="Times New Roman"/>
                <w:b/>
                <w:color w:val="000000"/>
                <w:sz w:val="20"/>
                <w:szCs w:val="20"/>
                <w:lang w:eastAsia="en-GB"/>
              </w:rPr>
              <w:t>2</w:t>
            </w:r>
            <w:r w:rsidRPr="00DD009D">
              <w:rPr>
                <w:rFonts w:eastAsia="Times New Roman"/>
                <w:b/>
                <w:color w:val="000000"/>
                <w:sz w:val="20"/>
                <w:szCs w:val="20"/>
                <w:lang w:eastAsia="en-GB"/>
              </w:rPr>
              <w:t>-1990</w:t>
            </w:r>
          </w:p>
        </w:tc>
        <w:tc>
          <w:tcPr>
            <w:tcW w:w="3402" w:type="dxa"/>
            <w:gridSpan w:val="3"/>
            <w:tcBorders>
              <w:top w:val="single" w:sz="12" w:space="0" w:color="auto"/>
            </w:tcBorders>
            <w:shd w:val="clear" w:color="auto" w:fill="auto"/>
            <w:noWrap/>
            <w:vAlign w:val="bottom"/>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1991-2000</w:t>
            </w:r>
          </w:p>
        </w:tc>
        <w:tc>
          <w:tcPr>
            <w:tcW w:w="3260" w:type="dxa"/>
            <w:gridSpan w:val="3"/>
            <w:tcBorders>
              <w:top w:val="single" w:sz="12" w:space="0" w:color="auto"/>
            </w:tcBorders>
            <w:shd w:val="clear" w:color="auto" w:fill="auto"/>
            <w:noWrap/>
            <w:vAlign w:val="bottom"/>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2001-2010</w:t>
            </w:r>
          </w:p>
        </w:tc>
      </w:tr>
      <w:tr w:rsidR="00DD009D" w:rsidRPr="00DD009D" w:rsidTr="00E47E61">
        <w:trPr>
          <w:trHeight w:val="589"/>
        </w:trPr>
        <w:tc>
          <w:tcPr>
            <w:tcW w:w="2992" w:type="dxa"/>
            <w:vMerge/>
            <w:tcBorders>
              <w:bottom w:val="single" w:sz="12" w:space="0" w:color="auto"/>
            </w:tcBorders>
            <w:shd w:val="clear" w:color="C0C0C0" w:fill="C0C0C0"/>
            <w:noWrap/>
            <w:vAlign w:val="center"/>
            <w:hideMark/>
          </w:tcPr>
          <w:p w:rsidR="00DD009D" w:rsidRPr="00DD009D" w:rsidRDefault="00DD009D" w:rsidP="00DD009D">
            <w:pPr>
              <w:spacing w:line="240" w:lineRule="auto"/>
              <w:rPr>
                <w:rFonts w:eastAsia="Times New Roman"/>
                <w:b/>
                <w:bCs/>
                <w:color w:val="000000"/>
                <w:sz w:val="20"/>
                <w:szCs w:val="20"/>
                <w:lang w:eastAsia="en-GB"/>
              </w:rPr>
            </w:pPr>
          </w:p>
        </w:tc>
        <w:tc>
          <w:tcPr>
            <w:tcW w:w="2688" w:type="dxa"/>
            <w:vMerge/>
            <w:tcBorders>
              <w:bottom w:val="single" w:sz="12" w:space="0" w:color="auto"/>
            </w:tcBorders>
            <w:shd w:val="clear" w:color="C0C0C0" w:fill="C0C0C0"/>
            <w:noWrap/>
            <w:vAlign w:val="center"/>
            <w:hideMark/>
          </w:tcPr>
          <w:p w:rsidR="00DD009D" w:rsidRPr="00DD009D" w:rsidRDefault="00DD009D" w:rsidP="00DD009D">
            <w:pPr>
              <w:spacing w:line="240" w:lineRule="auto"/>
              <w:rPr>
                <w:rFonts w:eastAsia="Times New Roman"/>
                <w:b/>
                <w:bCs/>
                <w:color w:val="000000"/>
                <w:sz w:val="20"/>
                <w:szCs w:val="20"/>
                <w:lang w:eastAsia="en-GB"/>
              </w:rPr>
            </w:pPr>
          </w:p>
        </w:tc>
        <w:tc>
          <w:tcPr>
            <w:tcW w:w="110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8A7DE9">
              <w:rPr>
                <w:rFonts w:eastAsia="Times New Roman"/>
                <w:b/>
                <w:bCs/>
                <w:color w:val="000000"/>
                <w:sz w:val="20"/>
                <w:szCs w:val="20"/>
                <w:vertAlign w:val="superscript"/>
                <w:lang w:eastAsia="en-GB"/>
              </w:rPr>
              <w:t>b</w:t>
            </w:r>
          </w:p>
        </w:tc>
        <w:tc>
          <w:tcPr>
            <w:tcW w:w="1084"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8A7DE9">
              <w:rPr>
                <w:rFonts w:eastAsia="Times New Roman"/>
                <w:b/>
                <w:bCs/>
                <w:color w:val="000000"/>
                <w:sz w:val="20"/>
                <w:szCs w:val="20"/>
                <w:vertAlign w:val="superscript"/>
                <w:lang w:eastAsia="en-GB"/>
              </w:rPr>
              <w:t>b</w:t>
            </w:r>
          </w:p>
        </w:tc>
        <w:tc>
          <w:tcPr>
            <w:tcW w:w="1076"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Pr="00DD009D">
              <w:rPr>
                <w:rFonts w:eastAsia="Times New Roman"/>
                <w:b/>
                <w:bCs/>
                <w:color w:val="000000"/>
                <w:sz w:val="20"/>
                <w:szCs w:val="20"/>
                <w:vertAlign w:val="superscript"/>
                <w:lang w:eastAsia="en-GB"/>
              </w:rPr>
              <w:t>b</w:t>
            </w:r>
          </w:p>
        </w:tc>
        <w:tc>
          <w:tcPr>
            <w:tcW w:w="1362"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8A7DE9">
              <w:rPr>
                <w:rFonts w:eastAsia="Times New Roman"/>
                <w:b/>
                <w:bCs/>
                <w:color w:val="000000"/>
                <w:sz w:val="20"/>
                <w:szCs w:val="20"/>
                <w:vertAlign w:val="superscript"/>
                <w:lang w:eastAsia="en-GB"/>
              </w:rPr>
              <w:t>b</w:t>
            </w:r>
          </w:p>
        </w:tc>
        <w:tc>
          <w:tcPr>
            <w:tcW w:w="1084"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8A7DE9">
              <w:rPr>
                <w:rFonts w:eastAsia="Times New Roman"/>
                <w:b/>
                <w:bCs/>
                <w:color w:val="000000"/>
                <w:sz w:val="20"/>
                <w:szCs w:val="20"/>
                <w:vertAlign w:val="superscript"/>
                <w:lang w:eastAsia="en-GB"/>
              </w:rPr>
              <w:t>b</w:t>
            </w:r>
          </w:p>
        </w:tc>
        <w:tc>
          <w:tcPr>
            <w:tcW w:w="956"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Pr="00DD009D">
              <w:rPr>
                <w:rFonts w:eastAsia="Times New Roman"/>
                <w:b/>
                <w:bCs/>
                <w:color w:val="000000"/>
                <w:sz w:val="20"/>
                <w:szCs w:val="20"/>
                <w:vertAlign w:val="superscript"/>
                <w:lang w:eastAsia="en-GB"/>
              </w:rPr>
              <w:t>b</w:t>
            </w:r>
          </w:p>
        </w:tc>
        <w:tc>
          <w:tcPr>
            <w:tcW w:w="1134"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8A7DE9">
              <w:rPr>
                <w:rFonts w:eastAsia="Times New Roman"/>
                <w:b/>
                <w:bCs/>
                <w:color w:val="000000"/>
                <w:sz w:val="20"/>
                <w:szCs w:val="20"/>
                <w:vertAlign w:val="superscript"/>
                <w:lang w:eastAsia="en-GB"/>
              </w:rPr>
              <w:t>b</w:t>
            </w:r>
          </w:p>
        </w:tc>
        <w:tc>
          <w:tcPr>
            <w:tcW w:w="1084"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8A7DE9">
              <w:rPr>
                <w:rFonts w:eastAsia="Times New Roman"/>
                <w:b/>
                <w:bCs/>
                <w:color w:val="000000"/>
                <w:sz w:val="20"/>
                <w:szCs w:val="20"/>
                <w:vertAlign w:val="superscript"/>
                <w:lang w:eastAsia="en-GB"/>
              </w:rPr>
              <w:t>b</w:t>
            </w:r>
          </w:p>
        </w:tc>
        <w:tc>
          <w:tcPr>
            <w:tcW w:w="1042"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Pr="00DD009D">
              <w:rPr>
                <w:rFonts w:eastAsia="Times New Roman"/>
                <w:b/>
                <w:bCs/>
                <w:color w:val="000000"/>
                <w:sz w:val="20"/>
                <w:szCs w:val="20"/>
                <w:vertAlign w:val="superscript"/>
                <w:lang w:eastAsia="en-GB"/>
              </w:rPr>
              <w:t>b</w:t>
            </w:r>
          </w:p>
        </w:tc>
      </w:tr>
      <w:tr w:rsidR="00DD009D" w:rsidRPr="00DD009D" w:rsidTr="008A7DE9">
        <w:trPr>
          <w:trHeight w:val="150"/>
        </w:trPr>
        <w:tc>
          <w:tcPr>
            <w:tcW w:w="2992" w:type="dxa"/>
            <w:tcBorders>
              <w:top w:val="single" w:sz="12" w:space="0" w:color="auto"/>
            </w:tcBorders>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2688" w:type="dxa"/>
            <w:tcBorders>
              <w:top w:val="single" w:sz="12" w:space="0" w:color="auto"/>
            </w:tcBorders>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110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362"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5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134"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Coal workers’ pneumoconiosis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Coal mine dust</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942</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85.6</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49.8</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210</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21.0</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Asbestosis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Asbestos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281</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25.5</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331</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33.1</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407</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40.7</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peritoneum</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Asbestos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94.7</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7.6</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93.6</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7.4</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173</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100.3</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7.3</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pleura</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Asbestos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1491</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792.5</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63.5</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1495</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836.5</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65.8</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1239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681.4</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55.8</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Mesothelioma at unspecified and other sites combined</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Asbestos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3149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1790.3</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135.9</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Silicosis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Silica dust</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163</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14.8</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50</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5.0</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3.9</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Tuberculosis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Silica dust</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60.8</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2.5</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42</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24.5</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15.0</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Other pneumoconiosis combined</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Various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244</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22.2</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9.8</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Byssinosis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Textile dust</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3.5</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Farmers’ lung disease</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Spores in mouldy hay</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66</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6.0</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Other and unspecified allergic pneumonitis</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Various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nose and nasal sinuses and middle ear</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Leather dust, wood dust</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50</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25.4</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35</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15.4</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11.7</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Combined pneumonia (excluding bronchopneumonia)</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Metal fume</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164</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87.0</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7.0</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122</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80.2</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4.2</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75.6</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r>
      <w:tr w:rsidR="00DD009D" w:rsidRPr="00DD009D" w:rsidTr="00E47E61">
        <w:trPr>
          <w:trHeight w:val="56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Chronic bronchitis and emphysema</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Coal mine dust, silica dust, metal fume</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7391</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5513.8</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170.7</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3889</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3041.7</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84.7</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2063</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1702.6</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36.0</w:t>
            </w:r>
          </w:p>
        </w:tc>
      </w:tr>
      <w:tr w:rsidR="00DD009D" w:rsidRPr="00DD009D" w:rsidTr="00E47E61">
        <w:trPr>
          <w:trHeight w:val="397"/>
        </w:trPr>
        <w:tc>
          <w:tcPr>
            <w:tcW w:w="2992"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Asthma</w:t>
            </w:r>
          </w:p>
        </w:tc>
        <w:tc>
          <w:tcPr>
            <w:tcW w:w="268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Various</w:t>
            </w:r>
          </w:p>
        </w:tc>
        <w:tc>
          <w:tcPr>
            <w:tcW w:w="110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156</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122.1</w:t>
            </w:r>
          </w:p>
        </w:tc>
        <w:tc>
          <w:tcPr>
            <w:tcW w:w="10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w:t>
            </w:r>
          </w:p>
        </w:tc>
        <w:tc>
          <w:tcPr>
            <w:tcW w:w="136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142</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93.7</w:t>
            </w:r>
          </w:p>
        </w:tc>
        <w:tc>
          <w:tcPr>
            <w:tcW w:w="95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4.8</w:t>
            </w:r>
          </w:p>
        </w:tc>
        <w:tc>
          <w:tcPr>
            <w:tcW w:w="113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44</w:t>
            </w:r>
          </w:p>
        </w:tc>
        <w:tc>
          <w:tcPr>
            <w:tcW w:w="1084"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34.3</w:t>
            </w:r>
          </w:p>
        </w:tc>
        <w:tc>
          <w:tcPr>
            <w:tcW w:w="104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r>
      <w:tr w:rsidR="00DD009D" w:rsidRPr="00DD009D" w:rsidTr="008A7DE9">
        <w:trPr>
          <w:trHeight w:val="144"/>
        </w:trPr>
        <w:tc>
          <w:tcPr>
            <w:tcW w:w="2992" w:type="dxa"/>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2688" w:type="dxa"/>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110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362"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5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134"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84"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42"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DD009D" w:rsidRPr="00DD009D" w:rsidTr="00E47E61">
        <w:trPr>
          <w:trHeight w:val="397"/>
        </w:trPr>
        <w:tc>
          <w:tcPr>
            <w:tcW w:w="2992" w:type="dxa"/>
            <w:tcBorders>
              <w:bottom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Total</w:t>
            </w:r>
          </w:p>
        </w:tc>
        <w:tc>
          <w:tcPr>
            <w:tcW w:w="2688" w:type="dxa"/>
            <w:tcBorders>
              <w:bottom w:val="single" w:sz="12" w:space="0" w:color="auto"/>
            </w:tcBorders>
            <w:shd w:val="clear" w:color="auto" w:fill="auto"/>
            <w:noWrap/>
            <w:vAlign w:val="bottom"/>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 </w:t>
            </w:r>
          </w:p>
        </w:tc>
        <w:tc>
          <w:tcPr>
            <w:tcW w:w="110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11260</w:t>
            </w:r>
          </w:p>
        </w:tc>
        <w:tc>
          <w:tcPr>
            <w:tcW w:w="1084"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6697.2</w:t>
            </w:r>
          </w:p>
        </w:tc>
        <w:tc>
          <w:tcPr>
            <w:tcW w:w="10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414.8</w:t>
            </w:r>
          </w:p>
        </w:tc>
        <w:tc>
          <w:tcPr>
            <w:tcW w:w="1362"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6913</w:t>
            </w:r>
          </w:p>
        </w:tc>
        <w:tc>
          <w:tcPr>
            <w:tcW w:w="1084"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4186.7</w:t>
            </w:r>
          </w:p>
        </w:tc>
        <w:tc>
          <w:tcPr>
            <w:tcW w:w="95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272.6</w:t>
            </w:r>
          </w:p>
        </w:tc>
        <w:tc>
          <w:tcPr>
            <w:tcW w:w="1134"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7541</w:t>
            </w:r>
          </w:p>
        </w:tc>
        <w:tc>
          <w:tcPr>
            <w:tcW w:w="1084"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4413.0</w:t>
            </w:r>
          </w:p>
        </w:tc>
        <w:tc>
          <w:tcPr>
            <w:tcW w:w="1042"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312.8</w:t>
            </w:r>
          </w:p>
        </w:tc>
      </w:tr>
    </w:tbl>
    <w:p w:rsidR="008A7DE9" w:rsidRDefault="008A7DE9" w:rsidP="00DD009D">
      <w:pPr>
        <w:spacing w:after="200"/>
        <w:rPr>
          <w:sz w:val="20"/>
          <w:szCs w:val="20"/>
          <w:vertAlign w:val="superscript"/>
        </w:rPr>
      </w:pPr>
    </w:p>
    <w:p w:rsidR="008A7DE9" w:rsidRDefault="00DD009D" w:rsidP="00DD009D">
      <w:pPr>
        <w:spacing w:after="200"/>
        <w:rPr>
          <w:sz w:val="20"/>
          <w:szCs w:val="20"/>
        </w:rPr>
      </w:pPr>
      <w:r w:rsidRPr="00DD009D">
        <w:rPr>
          <w:sz w:val="20"/>
          <w:szCs w:val="20"/>
          <w:vertAlign w:val="superscript"/>
        </w:rPr>
        <w:t>a</w:t>
      </w:r>
      <w:r w:rsidRPr="00DD009D">
        <w:rPr>
          <w:sz w:val="20"/>
          <w:szCs w:val="20"/>
        </w:rPr>
        <w:t xml:space="preserve">Deaths from pneumonia in relation to metal fume are at ages 20-64 years  </w:t>
      </w:r>
    </w:p>
    <w:p w:rsidR="00DD009D" w:rsidRPr="00DD009D" w:rsidRDefault="00DD009D" w:rsidP="00DD009D">
      <w:pPr>
        <w:spacing w:after="200"/>
        <w:rPr>
          <w:sz w:val="20"/>
          <w:szCs w:val="20"/>
        </w:rPr>
      </w:pPr>
      <w:r w:rsidRPr="00DD009D">
        <w:rPr>
          <w:sz w:val="20"/>
          <w:szCs w:val="20"/>
          <w:vertAlign w:val="superscript"/>
        </w:rPr>
        <w:t>b</w:t>
      </w:r>
      <w:r w:rsidRPr="00DD009D">
        <w:rPr>
          <w:sz w:val="20"/>
          <w:szCs w:val="20"/>
        </w:rPr>
        <w:t xml:space="preserve">For coal workers’ pneumoconiosis, asbestosis, silicosis, other pneumoconiosis combined, byssinosis and farmers’ lung disease, </w:t>
      </w:r>
      <w:r w:rsidR="0057559C">
        <w:rPr>
          <w:sz w:val="20"/>
          <w:szCs w:val="20"/>
        </w:rPr>
        <w:t xml:space="preserve">the </w:t>
      </w:r>
      <w:r w:rsidR="008A7DE9">
        <w:rPr>
          <w:sz w:val="20"/>
          <w:szCs w:val="20"/>
        </w:rPr>
        <w:t xml:space="preserve">number of deaths observed is for all occupations combined, and was used to calculate the annual excess.  For all other hazards, the numbers of deaths observed and expected </w:t>
      </w:r>
      <w:r w:rsidR="00E47E61">
        <w:rPr>
          <w:sz w:val="20"/>
          <w:szCs w:val="20"/>
        </w:rPr>
        <w:t>a</w:t>
      </w:r>
      <w:r w:rsidR="008A7DE9">
        <w:rPr>
          <w:sz w:val="20"/>
          <w:szCs w:val="20"/>
        </w:rPr>
        <w:t xml:space="preserve">re for </w:t>
      </w:r>
      <w:r w:rsidR="002B1FE3">
        <w:rPr>
          <w:sz w:val="20"/>
          <w:szCs w:val="20"/>
        </w:rPr>
        <w:t>job groups</w:t>
      </w:r>
      <w:r w:rsidR="008A7DE9">
        <w:rPr>
          <w:sz w:val="20"/>
          <w:szCs w:val="20"/>
        </w:rPr>
        <w:t xml:space="preserve"> designated as being at risk</w:t>
      </w:r>
      <w:r w:rsidR="00CF0A50">
        <w:rPr>
          <w:sz w:val="20"/>
          <w:szCs w:val="20"/>
        </w:rPr>
        <w:t xml:space="preserve"> (see text on methods</w:t>
      </w:r>
      <w:r w:rsidR="000614BA">
        <w:rPr>
          <w:sz w:val="20"/>
          <w:szCs w:val="20"/>
        </w:rPr>
        <w:t xml:space="preserve"> and Supplementary Table S4</w:t>
      </w:r>
      <w:r w:rsidR="00CF0A50">
        <w:rPr>
          <w:sz w:val="20"/>
          <w:szCs w:val="20"/>
        </w:rPr>
        <w:t>)</w:t>
      </w:r>
      <w:r w:rsidR="00E47E61">
        <w:rPr>
          <w:sz w:val="20"/>
          <w:szCs w:val="20"/>
        </w:rPr>
        <w:t>,</w:t>
      </w:r>
      <w:r w:rsidR="008A7DE9">
        <w:rPr>
          <w:sz w:val="20"/>
          <w:szCs w:val="20"/>
        </w:rPr>
        <w:t xml:space="preserve"> and the </w:t>
      </w:r>
      <w:r w:rsidR="0057559C">
        <w:rPr>
          <w:sz w:val="20"/>
          <w:szCs w:val="20"/>
        </w:rPr>
        <w:t xml:space="preserve">excess rate was based on </w:t>
      </w:r>
      <w:r w:rsidR="008A7DE9">
        <w:rPr>
          <w:sz w:val="20"/>
          <w:szCs w:val="20"/>
        </w:rPr>
        <w:t>the difference between observed and expected.</w:t>
      </w:r>
      <w:r w:rsidRPr="00DD009D">
        <w:rPr>
          <w:sz w:val="20"/>
          <w:szCs w:val="20"/>
        </w:rPr>
        <w:br w:type="page"/>
      </w:r>
    </w:p>
    <w:p w:rsidR="00DD009D" w:rsidRPr="00DD009D" w:rsidRDefault="00DD009D" w:rsidP="00DD009D">
      <w:pPr>
        <w:spacing w:after="200"/>
        <w:rPr>
          <w:b/>
          <w:sz w:val="20"/>
          <w:szCs w:val="20"/>
        </w:rPr>
      </w:pPr>
      <w:r w:rsidRPr="00DD009D">
        <w:rPr>
          <w:b/>
          <w:sz w:val="20"/>
          <w:szCs w:val="20"/>
        </w:rPr>
        <w:t xml:space="preserve">Table 4: </w:t>
      </w:r>
      <w:r w:rsidRPr="00DD009D">
        <w:rPr>
          <w:rFonts w:eastAsia="Times New Roman"/>
          <w:b/>
          <w:bCs/>
          <w:color w:val="000000"/>
          <w:sz w:val="20"/>
          <w:szCs w:val="20"/>
          <w:lang w:eastAsia="en-GB"/>
        </w:rPr>
        <w:t xml:space="preserve">Excess mortality from diseases with other occupational causes: men aged 20-74 years, England and Wales 1979-2010 </w:t>
      </w:r>
    </w:p>
    <w:tbl>
      <w:tblPr>
        <w:tblW w:w="15750" w:type="dxa"/>
        <w:tblInd w:w="-185" w:type="dxa"/>
        <w:tblLayout w:type="fixed"/>
        <w:tblLook w:val="04A0" w:firstRow="1" w:lastRow="0" w:firstColumn="1" w:lastColumn="0" w:noHBand="0" w:noVBand="1"/>
      </w:tblPr>
      <w:tblGrid>
        <w:gridCol w:w="3134"/>
        <w:gridCol w:w="1984"/>
        <w:gridCol w:w="1276"/>
        <w:gridCol w:w="1276"/>
        <w:gridCol w:w="992"/>
        <w:gridCol w:w="1276"/>
        <w:gridCol w:w="1248"/>
        <w:gridCol w:w="1020"/>
        <w:gridCol w:w="1276"/>
        <w:gridCol w:w="1275"/>
        <w:gridCol w:w="993"/>
      </w:tblGrid>
      <w:tr w:rsidR="00E47E61" w:rsidRPr="00DD009D" w:rsidTr="00E47E61">
        <w:trPr>
          <w:trHeight w:val="300"/>
        </w:trPr>
        <w:tc>
          <w:tcPr>
            <w:tcW w:w="3134" w:type="dxa"/>
            <w:vMerge w:val="restart"/>
            <w:tcBorders>
              <w:top w:val="single" w:sz="12" w:space="0" w:color="auto"/>
            </w:tcBorders>
            <w:shd w:val="clear" w:color="auto" w:fill="auto"/>
            <w:noWrap/>
            <w:vAlign w:val="bottom"/>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b/>
                <w:bCs/>
                <w:color w:val="000000"/>
                <w:sz w:val="20"/>
                <w:szCs w:val="20"/>
                <w:lang w:eastAsia="en-GB"/>
              </w:rPr>
              <w:t>Cause of death</w:t>
            </w:r>
          </w:p>
        </w:tc>
        <w:tc>
          <w:tcPr>
            <w:tcW w:w="1984" w:type="dxa"/>
            <w:vMerge w:val="restart"/>
            <w:tcBorders>
              <w:top w:val="single" w:sz="12" w:space="0" w:color="auto"/>
            </w:tcBorders>
            <w:shd w:val="clear" w:color="auto" w:fill="auto"/>
            <w:noWrap/>
            <w:vAlign w:val="bottom"/>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 </w:t>
            </w:r>
          </w:p>
          <w:p w:rsidR="00DD009D" w:rsidRPr="00DD009D" w:rsidRDefault="00DD009D" w:rsidP="00DD009D">
            <w:pPr>
              <w:spacing w:line="240" w:lineRule="auto"/>
              <w:rPr>
                <w:rFonts w:eastAsia="Times New Roman"/>
                <w:color w:val="000000"/>
                <w:sz w:val="20"/>
                <w:szCs w:val="20"/>
                <w:lang w:eastAsia="en-GB"/>
              </w:rPr>
            </w:pPr>
            <w:r w:rsidRPr="00DD009D">
              <w:rPr>
                <w:rFonts w:eastAsia="Times New Roman"/>
                <w:b/>
                <w:bCs/>
                <w:color w:val="000000"/>
                <w:sz w:val="20"/>
                <w:szCs w:val="20"/>
                <w:lang w:eastAsia="en-GB"/>
              </w:rPr>
              <w:t>Exposure</w:t>
            </w:r>
          </w:p>
        </w:tc>
        <w:tc>
          <w:tcPr>
            <w:tcW w:w="3544" w:type="dxa"/>
            <w:gridSpan w:val="3"/>
            <w:tcBorders>
              <w:top w:val="single" w:sz="12" w:space="0" w:color="auto"/>
            </w:tcBorders>
            <w:shd w:val="clear" w:color="auto" w:fill="auto"/>
            <w:noWrap/>
            <w:vAlign w:val="bottom"/>
            <w:hideMark/>
          </w:tcPr>
          <w:p w:rsidR="00DD009D" w:rsidRPr="00DD009D" w:rsidRDefault="00DD009D" w:rsidP="003D04E9">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 xml:space="preserve">1979-80, </w:t>
            </w:r>
            <w:r w:rsidR="003D04E9" w:rsidRPr="00DD009D">
              <w:rPr>
                <w:rFonts w:eastAsia="Times New Roman"/>
                <w:b/>
                <w:color w:val="000000"/>
                <w:sz w:val="20"/>
                <w:szCs w:val="20"/>
                <w:lang w:eastAsia="en-GB"/>
              </w:rPr>
              <w:t>198</w:t>
            </w:r>
            <w:r w:rsidR="003D04E9">
              <w:rPr>
                <w:rFonts w:eastAsia="Times New Roman"/>
                <w:b/>
                <w:color w:val="000000"/>
                <w:sz w:val="20"/>
                <w:szCs w:val="20"/>
                <w:lang w:eastAsia="en-GB"/>
              </w:rPr>
              <w:t>2</w:t>
            </w:r>
            <w:r w:rsidRPr="00DD009D">
              <w:rPr>
                <w:rFonts w:eastAsia="Times New Roman"/>
                <w:b/>
                <w:color w:val="000000"/>
                <w:sz w:val="20"/>
                <w:szCs w:val="20"/>
                <w:lang w:eastAsia="en-GB"/>
              </w:rPr>
              <w:t>-1990</w:t>
            </w:r>
          </w:p>
        </w:tc>
        <w:tc>
          <w:tcPr>
            <w:tcW w:w="3544" w:type="dxa"/>
            <w:gridSpan w:val="3"/>
            <w:tcBorders>
              <w:top w:val="single" w:sz="12" w:space="0" w:color="auto"/>
            </w:tcBorders>
            <w:shd w:val="clear" w:color="auto" w:fill="auto"/>
            <w:noWrap/>
            <w:vAlign w:val="bottom"/>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1991-2000</w:t>
            </w:r>
          </w:p>
        </w:tc>
        <w:tc>
          <w:tcPr>
            <w:tcW w:w="3544" w:type="dxa"/>
            <w:gridSpan w:val="3"/>
            <w:tcBorders>
              <w:top w:val="single" w:sz="12" w:space="0" w:color="auto"/>
            </w:tcBorders>
            <w:shd w:val="clear" w:color="auto" w:fill="auto"/>
            <w:noWrap/>
            <w:vAlign w:val="bottom"/>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2001-2010</w:t>
            </w:r>
          </w:p>
        </w:tc>
      </w:tr>
      <w:tr w:rsidR="00E47E61" w:rsidRPr="00DD009D" w:rsidTr="00E47E61">
        <w:trPr>
          <w:trHeight w:val="600"/>
        </w:trPr>
        <w:tc>
          <w:tcPr>
            <w:tcW w:w="3134" w:type="dxa"/>
            <w:vMerge/>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rPr>
                <w:rFonts w:eastAsia="Times New Roman"/>
                <w:b/>
                <w:bCs/>
                <w:color w:val="000000"/>
                <w:sz w:val="20"/>
                <w:szCs w:val="20"/>
                <w:lang w:eastAsia="en-GB"/>
              </w:rPr>
            </w:pPr>
          </w:p>
        </w:tc>
        <w:tc>
          <w:tcPr>
            <w:tcW w:w="1984" w:type="dxa"/>
            <w:vMerge/>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rPr>
                <w:rFonts w:eastAsia="Times New Roman"/>
                <w:b/>
                <w:bCs/>
                <w:color w:val="000000"/>
                <w:sz w:val="20"/>
                <w:szCs w:val="20"/>
                <w:lang w:eastAsia="en-GB"/>
              </w:rPr>
            </w:pP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992"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48"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1020"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75"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993"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r>
      <w:tr w:rsidR="00E47E61" w:rsidRPr="00DD009D" w:rsidTr="00E47E61">
        <w:trPr>
          <w:trHeight w:val="300"/>
        </w:trPr>
        <w:tc>
          <w:tcPr>
            <w:tcW w:w="3134" w:type="dxa"/>
            <w:tcBorders>
              <w:top w:val="single" w:sz="12" w:space="0" w:color="auto"/>
            </w:tcBorders>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1984" w:type="dxa"/>
            <w:tcBorders>
              <w:top w:val="single" w:sz="12" w:space="0" w:color="auto"/>
            </w:tcBorders>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48"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20"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5"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3"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Viral hepatitis</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Hepatitis infection</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2.7</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oral cavity</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42.6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110</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35.3</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109</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6.6</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pharynx</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67</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28.2</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83</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38.7</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4.4</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liver</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69.1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125</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81.8</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107.6</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5.7</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larynx</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100</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36.1</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34.6</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4.0</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Cirrhosis (not specified as biliary)</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80.9</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170</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72.0</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79.9</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6.5</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Pancreatitis</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33.6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32</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31.4</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30.5</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r>
      <w:tr w:rsidR="00E47E61" w:rsidRPr="00DD009D" w:rsidTr="00E47E61">
        <w:trPr>
          <w:trHeight w:val="56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Other alcohol-related diseases (excluding alcohol poisoning)</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Alcohol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125.4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449</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185.9</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26.3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662</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319.0</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34.3</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Non-melanoma skin cancer</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Sunlight</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83.8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70</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60.6</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63.8</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Urothelial cancer</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Aromatic amines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208.8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145</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116.8</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68.7</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r>
      <w:tr w:rsidR="00E47E61" w:rsidRPr="00DD009D" w:rsidTr="00E47E61">
        <w:trPr>
          <w:trHeight w:val="397"/>
        </w:trPr>
        <w:tc>
          <w:tcPr>
            <w:tcW w:w="313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Cancer of the scrotum</w:t>
            </w:r>
          </w:p>
        </w:tc>
        <w:tc>
          <w:tcPr>
            <w:tcW w:w="1984"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Mineral oils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w:t>
            </w:r>
          </w:p>
        </w:tc>
        <w:tc>
          <w:tcPr>
            <w:tcW w:w="1248"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w:t>
            </w:r>
          </w:p>
        </w:tc>
        <w:tc>
          <w:tcPr>
            <w:tcW w:w="1020"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E47E61" w:rsidRPr="00DD009D" w:rsidTr="00E47E61">
        <w:trPr>
          <w:trHeight w:val="300"/>
        </w:trPr>
        <w:tc>
          <w:tcPr>
            <w:tcW w:w="3134" w:type="dxa"/>
            <w:shd w:val="clear" w:color="auto" w:fill="auto"/>
            <w:noWrap/>
            <w:vAlign w:val="center"/>
          </w:tcPr>
          <w:p w:rsidR="00DD009D" w:rsidRPr="00DD009D" w:rsidRDefault="00DD009D" w:rsidP="00DD009D">
            <w:pPr>
              <w:spacing w:line="240" w:lineRule="auto"/>
              <w:rPr>
                <w:rFonts w:eastAsia="Times New Roman"/>
                <w:color w:val="000000"/>
                <w:sz w:val="20"/>
                <w:szCs w:val="20"/>
                <w:lang w:eastAsia="en-GB"/>
              </w:rPr>
            </w:pPr>
          </w:p>
        </w:tc>
        <w:tc>
          <w:tcPr>
            <w:tcW w:w="1984" w:type="dxa"/>
            <w:shd w:val="clear" w:color="auto" w:fill="auto"/>
            <w:noWrap/>
            <w:vAlign w:val="center"/>
          </w:tcPr>
          <w:p w:rsidR="00DD009D" w:rsidRPr="00DD009D" w:rsidRDefault="00DD009D" w:rsidP="00DD009D">
            <w:pPr>
              <w:spacing w:line="240" w:lineRule="auto"/>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48"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020"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5"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3"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E47E61" w:rsidRPr="00DD009D" w:rsidTr="00E47E61">
        <w:trPr>
          <w:trHeight w:val="397"/>
        </w:trPr>
        <w:tc>
          <w:tcPr>
            <w:tcW w:w="3134" w:type="dxa"/>
            <w:tcBorders>
              <w:bottom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Total</w:t>
            </w:r>
          </w:p>
        </w:tc>
        <w:tc>
          <w:tcPr>
            <w:tcW w:w="1984" w:type="dxa"/>
            <w:tcBorders>
              <w:bottom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 </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1526</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731.1</w:t>
            </w:r>
          </w:p>
        </w:tc>
        <w:tc>
          <w:tcPr>
            <w:tcW w:w="992"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72.3</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1283</w:t>
            </w:r>
          </w:p>
        </w:tc>
        <w:tc>
          <w:tcPr>
            <w:tcW w:w="1248"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653.0</w:t>
            </w:r>
          </w:p>
        </w:tc>
        <w:tc>
          <w:tcPr>
            <w:tcW w:w="1020"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63.0</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1438</w:t>
            </w:r>
          </w:p>
        </w:tc>
        <w:tc>
          <w:tcPr>
            <w:tcW w:w="1275"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789.8</w:t>
            </w:r>
          </w:p>
        </w:tc>
        <w:tc>
          <w:tcPr>
            <w:tcW w:w="993"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64.8</w:t>
            </w:r>
          </w:p>
        </w:tc>
      </w:tr>
    </w:tbl>
    <w:p w:rsidR="00DD009D" w:rsidRPr="00DD009D" w:rsidRDefault="00DD009D" w:rsidP="00DD009D">
      <w:pPr>
        <w:spacing w:after="200"/>
        <w:rPr>
          <w:sz w:val="20"/>
          <w:szCs w:val="20"/>
        </w:rPr>
      </w:pPr>
    </w:p>
    <w:p w:rsidR="00DD009D" w:rsidRPr="00DD009D" w:rsidRDefault="00E47E61" w:rsidP="00DD009D">
      <w:pPr>
        <w:spacing w:after="200"/>
        <w:rPr>
          <w:sz w:val="20"/>
          <w:szCs w:val="20"/>
        </w:rPr>
      </w:pPr>
      <w:r w:rsidRPr="00E47E61">
        <w:rPr>
          <w:sz w:val="20"/>
          <w:szCs w:val="20"/>
          <w:vertAlign w:val="superscript"/>
        </w:rPr>
        <w:t>a</w:t>
      </w:r>
      <w:r>
        <w:rPr>
          <w:sz w:val="20"/>
          <w:szCs w:val="20"/>
        </w:rPr>
        <w:t xml:space="preserve">The numbers of deaths observed and expected are for </w:t>
      </w:r>
      <w:r w:rsidR="002B1FE3">
        <w:rPr>
          <w:sz w:val="20"/>
          <w:szCs w:val="20"/>
        </w:rPr>
        <w:t>job groups</w:t>
      </w:r>
      <w:r>
        <w:rPr>
          <w:sz w:val="20"/>
          <w:szCs w:val="20"/>
        </w:rPr>
        <w:t xml:space="preserve"> designated as being at risk</w:t>
      </w:r>
      <w:r w:rsidR="000614BA">
        <w:rPr>
          <w:sz w:val="20"/>
          <w:szCs w:val="20"/>
        </w:rPr>
        <w:t xml:space="preserve"> (listed in Supplementary Table S5)</w:t>
      </w:r>
      <w:r>
        <w:rPr>
          <w:sz w:val="20"/>
          <w:szCs w:val="20"/>
        </w:rPr>
        <w:t>, and the excess rate was based on the difference between observed and expected.</w:t>
      </w:r>
      <w:r w:rsidR="00DD009D" w:rsidRPr="00DD009D">
        <w:rPr>
          <w:sz w:val="20"/>
          <w:szCs w:val="20"/>
        </w:rPr>
        <w:br w:type="page"/>
      </w:r>
    </w:p>
    <w:p w:rsidR="00DD009D" w:rsidRPr="00DD009D" w:rsidRDefault="00DD009D" w:rsidP="00DD009D">
      <w:pPr>
        <w:spacing w:after="200"/>
        <w:rPr>
          <w:rFonts w:eastAsia="Times New Roman"/>
          <w:b/>
          <w:bCs/>
          <w:color w:val="000000"/>
          <w:sz w:val="20"/>
          <w:szCs w:val="20"/>
          <w:lang w:eastAsia="en-GB"/>
        </w:rPr>
      </w:pPr>
      <w:r w:rsidRPr="00DD009D">
        <w:rPr>
          <w:b/>
          <w:sz w:val="20"/>
          <w:szCs w:val="20"/>
        </w:rPr>
        <w:t xml:space="preserve">Table 5: </w:t>
      </w:r>
      <w:r w:rsidRPr="00DD009D">
        <w:rPr>
          <w:rFonts w:eastAsia="Times New Roman"/>
          <w:b/>
          <w:bCs/>
          <w:color w:val="000000"/>
          <w:sz w:val="20"/>
          <w:szCs w:val="20"/>
          <w:lang w:eastAsia="en-GB"/>
        </w:rPr>
        <w:t>Excess mortality from occupational injuries and poisoning: men aged 20-64 years, England and Wales 1979-2010</w:t>
      </w:r>
    </w:p>
    <w:tbl>
      <w:tblPr>
        <w:tblW w:w="15750" w:type="dxa"/>
        <w:tblInd w:w="-186" w:type="dxa"/>
        <w:tblLayout w:type="fixed"/>
        <w:tblLook w:val="04A0" w:firstRow="1" w:lastRow="0" w:firstColumn="1" w:lastColumn="0" w:noHBand="0" w:noVBand="1"/>
      </w:tblPr>
      <w:tblGrid>
        <w:gridCol w:w="5118"/>
        <w:gridCol w:w="1276"/>
        <w:gridCol w:w="1276"/>
        <w:gridCol w:w="992"/>
        <w:gridCol w:w="1276"/>
        <w:gridCol w:w="1276"/>
        <w:gridCol w:w="992"/>
        <w:gridCol w:w="1276"/>
        <w:gridCol w:w="1275"/>
        <w:gridCol w:w="993"/>
      </w:tblGrid>
      <w:tr w:rsidR="00DD009D" w:rsidRPr="00DD009D" w:rsidTr="001C6B67">
        <w:trPr>
          <w:trHeight w:val="300"/>
        </w:trPr>
        <w:tc>
          <w:tcPr>
            <w:tcW w:w="5118" w:type="dxa"/>
            <w:vMerge w:val="restart"/>
            <w:tcBorders>
              <w:top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 </w:t>
            </w:r>
          </w:p>
          <w:p w:rsidR="00DD009D" w:rsidRPr="00DD009D" w:rsidRDefault="00DD009D" w:rsidP="00DD009D">
            <w:pPr>
              <w:spacing w:line="240" w:lineRule="auto"/>
              <w:rPr>
                <w:rFonts w:eastAsia="Times New Roman"/>
                <w:color w:val="000000"/>
                <w:sz w:val="20"/>
                <w:szCs w:val="20"/>
                <w:lang w:eastAsia="en-GB"/>
              </w:rPr>
            </w:pPr>
            <w:r w:rsidRPr="00DD009D">
              <w:rPr>
                <w:rFonts w:eastAsia="Times New Roman"/>
                <w:b/>
                <w:bCs/>
                <w:color w:val="000000"/>
                <w:sz w:val="20"/>
                <w:szCs w:val="20"/>
                <w:lang w:eastAsia="en-GB"/>
              </w:rPr>
              <w:t>Cause of death</w:t>
            </w:r>
          </w:p>
        </w:tc>
        <w:tc>
          <w:tcPr>
            <w:tcW w:w="3544" w:type="dxa"/>
            <w:gridSpan w:val="3"/>
            <w:tcBorders>
              <w:top w:val="single" w:sz="12" w:space="0" w:color="auto"/>
            </w:tcBorders>
            <w:shd w:val="clear" w:color="auto" w:fill="auto"/>
            <w:noWrap/>
            <w:vAlign w:val="center"/>
            <w:hideMark/>
          </w:tcPr>
          <w:p w:rsidR="00DD009D" w:rsidRPr="00DD009D" w:rsidRDefault="00DD009D" w:rsidP="003D04E9">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 xml:space="preserve">1979-80, </w:t>
            </w:r>
            <w:r w:rsidR="003D04E9" w:rsidRPr="00DD009D">
              <w:rPr>
                <w:rFonts w:eastAsia="Times New Roman"/>
                <w:b/>
                <w:color w:val="000000"/>
                <w:sz w:val="20"/>
                <w:szCs w:val="20"/>
                <w:lang w:eastAsia="en-GB"/>
              </w:rPr>
              <w:t>198</w:t>
            </w:r>
            <w:r w:rsidR="003D04E9">
              <w:rPr>
                <w:rFonts w:eastAsia="Times New Roman"/>
                <w:b/>
                <w:color w:val="000000"/>
                <w:sz w:val="20"/>
                <w:szCs w:val="20"/>
                <w:lang w:eastAsia="en-GB"/>
              </w:rPr>
              <w:t>2</w:t>
            </w:r>
            <w:r w:rsidRPr="00DD009D">
              <w:rPr>
                <w:rFonts w:eastAsia="Times New Roman"/>
                <w:b/>
                <w:color w:val="000000"/>
                <w:sz w:val="20"/>
                <w:szCs w:val="20"/>
                <w:lang w:eastAsia="en-GB"/>
              </w:rPr>
              <w:t>-1990</w:t>
            </w:r>
          </w:p>
        </w:tc>
        <w:tc>
          <w:tcPr>
            <w:tcW w:w="3544" w:type="dxa"/>
            <w:gridSpan w:val="3"/>
            <w:tcBorders>
              <w:top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1991-2000</w:t>
            </w:r>
          </w:p>
        </w:tc>
        <w:tc>
          <w:tcPr>
            <w:tcW w:w="3544" w:type="dxa"/>
            <w:gridSpan w:val="3"/>
            <w:tcBorders>
              <w:top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b/>
                <w:color w:val="000000"/>
                <w:sz w:val="20"/>
                <w:szCs w:val="20"/>
                <w:lang w:eastAsia="en-GB"/>
              </w:rPr>
            </w:pPr>
            <w:r w:rsidRPr="00DD009D">
              <w:rPr>
                <w:rFonts w:eastAsia="Times New Roman"/>
                <w:b/>
                <w:color w:val="000000"/>
                <w:sz w:val="20"/>
                <w:szCs w:val="20"/>
                <w:lang w:eastAsia="en-GB"/>
              </w:rPr>
              <w:t>2001-2010</w:t>
            </w:r>
          </w:p>
        </w:tc>
      </w:tr>
      <w:tr w:rsidR="00DD009D" w:rsidRPr="00DD009D" w:rsidTr="001C6B67">
        <w:trPr>
          <w:trHeight w:val="447"/>
        </w:trPr>
        <w:tc>
          <w:tcPr>
            <w:tcW w:w="5118" w:type="dxa"/>
            <w:vMerge/>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rPr>
                <w:rFonts w:eastAsia="Times New Roman"/>
                <w:b/>
                <w:bCs/>
                <w:color w:val="000000"/>
                <w:sz w:val="20"/>
                <w:szCs w:val="20"/>
                <w:lang w:eastAsia="en-GB"/>
              </w:rPr>
            </w:pP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992"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992"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c>
          <w:tcPr>
            <w:tcW w:w="1276"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observed</w:t>
            </w:r>
            <w:r w:rsidR="00E47E61">
              <w:rPr>
                <w:rFonts w:eastAsia="Times New Roman"/>
                <w:b/>
                <w:bCs/>
                <w:color w:val="000000"/>
                <w:sz w:val="20"/>
                <w:szCs w:val="20"/>
                <w:vertAlign w:val="superscript"/>
                <w:lang w:eastAsia="en-GB"/>
              </w:rPr>
              <w:t>a</w:t>
            </w:r>
          </w:p>
        </w:tc>
        <w:tc>
          <w:tcPr>
            <w:tcW w:w="1275" w:type="dxa"/>
            <w:tcBorders>
              <w:bottom w:val="single" w:sz="12" w:space="0" w:color="auto"/>
            </w:tcBorders>
            <w:shd w:val="clear" w:color="auto" w:fill="FFFFFF" w:themeFill="background1"/>
            <w:noWrap/>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Deaths expected</w:t>
            </w:r>
            <w:r w:rsidR="00E47E61">
              <w:rPr>
                <w:rFonts w:eastAsia="Times New Roman"/>
                <w:b/>
                <w:bCs/>
                <w:color w:val="000000"/>
                <w:sz w:val="20"/>
                <w:szCs w:val="20"/>
                <w:vertAlign w:val="superscript"/>
                <w:lang w:eastAsia="en-GB"/>
              </w:rPr>
              <w:t>a</w:t>
            </w:r>
          </w:p>
        </w:tc>
        <w:tc>
          <w:tcPr>
            <w:tcW w:w="993" w:type="dxa"/>
            <w:tcBorders>
              <w:bottom w:val="single" w:sz="12" w:space="0" w:color="auto"/>
            </w:tcBorders>
            <w:shd w:val="clear" w:color="auto" w:fill="FFFFFF" w:themeFill="background1"/>
            <w:vAlign w:val="center"/>
            <w:hideMark/>
          </w:tcPr>
          <w:p w:rsidR="00DD009D" w:rsidRPr="00DD009D" w:rsidRDefault="00DD009D" w:rsidP="00DD009D">
            <w:pPr>
              <w:spacing w:line="240" w:lineRule="auto"/>
              <w:jc w:val="center"/>
              <w:rPr>
                <w:rFonts w:eastAsia="Times New Roman"/>
                <w:b/>
                <w:bCs/>
                <w:color w:val="000000"/>
                <w:sz w:val="20"/>
                <w:szCs w:val="20"/>
                <w:vertAlign w:val="superscript"/>
                <w:lang w:eastAsia="en-GB"/>
              </w:rPr>
            </w:pPr>
            <w:r w:rsidRPr="00DD009D">
              <w:rPr>
                <w:rFonts w:eastAsia="Times New Roman"/>
                <w:b/>
                <w:bCs/>
                <w:color w:val="000000"/>
                <w:sz w:val="20"/>
                <w:szCs w:val="20"/>
                <w:lang w:eastAsia="en-GB"/>
              </w:rPr>
              <w:t>Annual excess</w:t>
            </w:r>
            <w:r w:rsidR="00E47E61">
              <w:rPr>
                <w:rFonts w:eastAsia="Times New Roman"/>
                <w:b/>
                <w:bCs/>
                <w:color w:val="000000"/>
                <w:sz w:val="20"/>
                <w:szCs w:val="20"/>
                <w:vertAlign w:val="superscript"/>
                <w:lang w:eastAsia="en-GB"/>
              </w:rPr>
              <w:t>a</w:t>
            </w:r>
          </w:p>
        </w:tc>
      </w:tr>
      <w:tr w:rsidR="00DD009D" w:rsidRPr="00DD009D" w:rsidTr="001C6B67">
        <w:trPr>
          <w:trHeight w:val="300"/>
        </w:trPr>
        <w:tc>
          <w:tcPr>
            <w:tcW w:w="5118" w:type="dxa"/>
            <w:tcBorders>
              <w:top w:val="single" w:sz="12" w:space="0" w:color="auto"/>
            </w:tcBorders>
            <w:shd w:val="clear" w:color="auto" w:fill="auto"/>
            <w:vAlign w:val="center"/>
          </w:tcPr>
          <w:p w:rsidR="00DD009D" w:rsidRPr="00DD009D" w:rsidRDefault="00DD009D" w:rsidP="00DD009D">
            <w:pPr>
              <w:spacing w:line="240" w:lineRule="auto"/>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5"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3" w:type="dxa"/>
            <w:tcBorders>
              <w:top w:val="single" w:sz="12" w:space="0" w:color="auto"/>
            </w:tcBorders>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Railway accidents combined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Motor vehicle traffic accidents combined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2358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1561.8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1655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1034.1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62.1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1547</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991.1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55.6</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Off-road motor vehicle traffic accidents combined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190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76.6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21.4</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5.4</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Animal transport accidents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Water transport accidents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31.0</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27</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Air transport accidents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6.9</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Pesticide poisoning</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Poisoning by other gases and vapours combined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14.2</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Fall from ladder or scaffolding</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321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96.7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55.0</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90</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46.5</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4.3</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Fall from building</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416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143.1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71.0</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140</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90.8</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Fall into hole</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8.2</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Other fall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26.9</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16.6</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Slipping and tripping</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2.9</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Fall unspecified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78.6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75.3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162</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138.7</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Injured by fire</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Heat injury</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animals and plants combined</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lightning</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falling, thrown or projected object</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121.5</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49.9</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63</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35.1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being caught between objects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7.0</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machinery</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521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201.8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29.0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73.3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21.4</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cutting and piercing instruments or objects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9</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5.3</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explosion of pressure vessel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firearms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5.4</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explosive material</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20.7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7.0</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hot substances</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3.7</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0.8</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Injury by electric current</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61.6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34.6</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4.5</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28.2</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Homicide</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16</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5.8</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7</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6.2</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4.6</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97"/>
        </w:trPr>
        <w:tc>
          <w:tcPr>
            <w:tcW w:w="5118" w:type="dxa"/>
            <w:shd w:val="clear" w:color="auto" w:fill="auto"/>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War</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10</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0.3</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0.9</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c>
          <w:tcPr>
            <w:tcW w:w="992"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0.2</w:t>
            </w:r>
          </w:p>
        </w:tc>
        <w:tc>
          <w:tcPr>
            <w:tcW w:w="1276"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w:t>
            </w:r>
          </w:p>
        </w:tc>
        <w:tc>
          <w:tcPr>
            <w:tcW w:w="1275"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0.0</w:t>
            </w:r>
          </w:p>
        </w:tc>
        <w:tc>
          <w:tcPr>
            <w:tcW w:w="993" w:type="dxa"/>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0.1</w:t>
            </w:r>
          </w:p>
        </w:tc>
      </w:tr>
      <w:tr w:rsidR="00DD009D" w:rsidRPr="00DD009D" w:rsidTr="001C6B67">
        <w:trPr>
          <w:trHeight w:val="300"/>
        </w:trPr>
        <w:tc>
          <w:tcPr>
            <w:tcW w:w="5118" w:type="dxa"/>
            <w:shd w:val="clear" w:color="auto" w:fill="auto"/>
            <w:noWrap/>
            <w:vAlign w:val="center"/>
          </w:tcPr>
          <w:p w:rsidR="00DD009D" w:rsidRPr="00DD009D" w:rsidRDefault="00DD009D" w:rsidP="00DD009D">
            <w:pPr>
              <w:spacing w:line="240" w:lineRule="auto"/>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2"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6"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1275"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c>
          <w:tcPr>
            <w:tcW w:w="993" w:type="dxa"/>
            <w:shd w:val="clear" w:color="auto" w:fill="auto"/>
            <w:noWrap/>
            <w:vAlign w:val="center"/>
          </w:tcPr>
          <w:p w:rsidR="00DD009D" w:rsidRPr="00DD009D" w:rsidRDefault="00DD009D" w:rsidP="00DD009D">
            <w:pPr>
              <w:spacing w:line="240" w:lineRule="auto"/>
              <w:jc w:val="center"/>
              <w:rPr>
                <w:rFonts w:eastAsia="Times New Roman"/>
                <w:color w:val="000000"/>
                <w:sz w:val="20"/>
                <w:szCs w:val="20"/>
                <w:lang w:eastAsia="en-GB"/>
              </w:rPr>
            </w:pPr>
          </w:p>
        </w:tc>
      </w:tr>
      <w:tr w:rsidR="00DD009D" w:rsidRPr="00DD009D" w:rsidTr="001C6B67">
        <w:trPr>
          <w:trHeight w:val="397"/>
        </w:trPr>
        <w:tc>
          <w:tcPr>
            <w:tcW w:w="5118" w:type="dxa"/>
            <w:tcBorders>
              <w:bottom w:val="single" w:sz="12" w:space="0" w:color="auto"/>
            </w:tcBorders>
            <w:shd w:val="clear" w:color="auto" w:fill="auto"/>
            <w:noWrap/>
            <w:vAlign w:val="center"/>
            <w:hideMark/>
          </w:tcPr>
          <w:p w:rsidR="00DD009D" w:rsidRPr="00DD009D" w:rsidRDefault="00DD009D" w:rsidP="00DD009D">
            <w:pPr>
              <w:spacing w:line="240" w:lineRule="auto"/>
              <w:rPr>
                <w:rFonts w:eastAsia="Times New Roman"/>
                <w:color w:val="000000"/>
                <w:sz w:val="20"/>
                <w:szCs w:val="20"/>
                <w:lang w:eastAsia="en-GB"/>
              </w:rPr>
            </w:pPr>
            <w:r w:rsidRPr="00DD009D">
              <w:rPr>
                <w:rFonts w:eastAsia="Times New Roman"/>
                <w:color w:val="000000"/>
                <w:sz w:val="20"/>
                <w:szCs w:val="20"/>
                <w:lang w:eastAsia="en-GB"/>
              </w:rPr>
              <w:t>Total</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5151</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2544.5</w:t>
            </w:r>
          </w:p>
        </w:tc>
        <w:tc>
          <w:tcPr>
            <w:tcW w:w="992"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237.0</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2910</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1535.9</w:t>
            </w:r>
          </w:p>
        </w:tc>
        <w:tc>
          <w:tcPr>
            <w:tcW w:w="992"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137.4</w:t>
            </w:r>
          </w:p>
        </w:tc>
        <w:tc>
          <w:tcPr>
            <w:tcW w:w="1276"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2315</w:t>
            </w:r>
          </w:p>
        </w:tc>
        <w:tc>
          <w:tcPr>
            <w:tcW w:w="1275"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1440.0</w:t>
            </w:r>
          </w:p>
        </w:tc>
        <w:tc>
          <w:tcPr>
            <w:tcW w:w="993" w:type="dxa"/>
            <w:tcBorders>
              <w:bottom w:val="single" w:sz="12" w:space="0" w:color="auto"/>
            </w:tcBorders>
            <w:shd w:val="clear" w:color="auto" w:fill="auto"/>
            <w:noWrap/>
            <w:vAlign w:val="center"/>
            <w:hideMark/>
          </w:tcPr>
          <w:p w:rsidR="00DD009D" w:rsidRPr="00DD009D" w:rsidRDefault="00DD009D" w:rsidP="00DD009D">
            <w:pPr>
              <w:spacing w:line="240" w:lineRule="auto"/>
              <w:jc w:val="center"/>
              <w:rPr>
                <w:rFonts w:eastAsia="Times New Roman"/>
                <w:color w:val="000000"/>
                <w:sz w:val="20"/>
                <w:szCs w:val="20"/>
                <w:lang w:eastAsia="en-GB"/>
              </w:rPr>
            </w:pPr>
            <w:r w:rsidRPr="00DD009D">
              <w:rPr>
                <w:rFonts w:eastAsia="Times New Roman"/>
                <w:color w:val="000000"/>
                <w:sz w:val="20"/>
                <w:szCs w:val="20"/>
                <w:lang w:eastAsia="en-GB"/>
              </w:rPr>
              <w:t>87.5</w:t>
            </w:r>
          </w:p>
        </w:tc>
      </w:tr>
    </w:tbl>
    <w:p w:rsidR="00DD009D" w:rsidRPr="00DD009D" w:rsidRDefault="00DD009D" w:rsidP="00DD009D">
      <w:pPr>
        <w:spacing w:after="200"/>
        <w:rPr>
          <w:sz w:val="20"/>
          <w:szCs w:val="20"/>
        </w:rPr>
      </w:pPr>
    </w:p>
    <w:p w:rsidR="00DD009D" w:rsidRDefault="00DD009D" w:rsidP="00DD009D">
      <w:pPr>
        <w:spacing w:after="200"/>
        <w:rPr>
          <w:sz w:val="20"/>
          <w:szCs w:val="20"/>
        </w:rPr>
      </w:pPr>
    </w:p>
    <w:p w:rsidR="00DD009D" w:rsidRPr="00F513CF" w:rsidRDefault="001C6B67" w:rsidP="00A96CA5">
      <w:pPr>
        <w:spacing w:after="200"/>
      </w:pPr>
      <w:r w:rsidRPr="001C6B67">
        <w:rPr>
          <w:sz w:val="20"/>
          <w:szCs w:val="20"/>
          <w:vertAlign w:val="superscript"/>
        </w:rPr>
        <w:t>a</w:t>
      </w:r>
      <w:r>
        <w:rPr>
          <w:sz w:val="20"/>
          <w:szCs w:val="20"/>
        </w:rPr>
        <w:t xml:space="preserve">The numbers of deaths observed and expected are for </w:t>
      </w:r>
      <w:r w:rsidR="002B1FE3">
        <w:rPr>
          <w:sz w:val="20"/>
          <w:szCs w:val="20"/>
        </w:rPr>
        <w:t>job group</w:t>
      </w:r>
      <w:r>
        <w:rPr>
          <w:sz w:val="20"/>
          <w:szCs w:val="20"/>
        </w:rPr>
        <w:t>s designated as being at risk</w:t>
      </w:r>
      <w:r w:rsidR="000614BA">
        <w:rPr>
          <w:sz w:val="20"/>
          <w:szCs w:val="20"/>
        </w:rPr>
        <w:t xml:space="preserve"> (listed in Supplementary Table S6)</w:t>
      </w:r>
      <w:r>
        <w:rPr>
          <w:sz w:val="20"/>
          <w:szCs w:val="20"/>
        </w:rPr>
        <w:t>, and the excess rate was based on the difference between observed and expected.</w:t>
      </w:r>
    </w:p>
    <w:sectPr w:rsidR="00DD009D" w:rsidRPr="00F513CF" w:rsidSect="00E47E6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5D" w:rsidRDefault="0019655D" w:rsidP="00CE1D78">
      <w:pPr>
        <w:spacing w:line="240" w:lineRule="auto"/>
      </w:pPr>
      <w:r>
        <w:separator/>
      </w:r>
    </w:p>
  </w:endnote>
  <w:endnote w:type="continuationSeparator" w:id="0">
    <w:p w:rsidR="0019655D" w:rsidRDefault="0019655D" w:rsidP="00CE1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3962"/>
      <w:docPartObj>
        <w:docPartGallery w:val="Page Numbers (Bottom of Page)"/>
        <w:docPartUnique/>
      </w:docPartObj>
    </w:sdtPr>
    <w:sdtEndPr>
      <w:rPr>
        <w:noProof/>
      </w:rPr>
    </w:sdtEndPr>
    <w:sdtContent>
      <w:p w:rsidR="00870760" w:rsidRDefault="00870760">
        <w:pPr>
          <w:pStyle w:val="Footer"/>
          <w:jc w:val="center"/>
        </w:pPr>
        <w:r>
          <w:fldChar w:fldCharType="begin"/>
        </w:r>
        <w:r>
          <w:instrText xml:space="preserve"> PAGE   \* MERGEFORMAT </w:instrText>
        </w:r>
        <w:r>
          <w:fldChar w:fldCharType="separate"/>
        </w:r>
        <w:r w:rsidR="001265DD">
          <w:rPr>
            <w:noProof/>
          </w:rPr>
          <w:t>1</w:t>
        </w:r>
        <w:r>
          <w:rPr>
            <w:noProof/>
          </w:rPr>
          <w:fldChar w:fldCharType="end"/>
        </w:r>
      </w:p>
    </w:sdtContent>
  </w:sdt>
  <w:p w:rsidR="00870760" w:rsidRDefault="00870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60" w:rsidRDefault="0087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5D" w:rsidRDefault="0019655D" w:rsidP="00CE1D78">
      <w:pPr>
        <w:spacing w:line="240" w:lineRule="auto"/>
      </w:pPr>
      <w:r>
        <w:separator/>
      </w:r>
    </w:p>
  </w:footnote>
  <w:footnote w:type="continuationSeparator" w:id="0">
    <w:p w:rsidR="0019655D" w:rsidRDefault="0019655D" w:rsidP="00CE1D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B4C"/>
    <w:multiLevelType w:val="hybridMultilevel"/>
    <w:tmpl w:val="25D2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381C82"/>
    <w:multiLevelType w:val="hybridMultilevel"/>
    <w:tmpl w:val="B768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31FF5"/>
    <w:multiLevelType w:val="hybridMultilevel"/>
    <w:tmpl w:val="62304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963983"/>
    <w:multiLevelType w:val="hybridMultilevel"/>
    <w:tmpl w:val="8D8EF682"/>
    <w:lvl w:ilvl="0" w:tplc="4C4C9018">
      <w:start w:val="3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1E"/>
    <w:rsid w:val="000053B8"/>
    <w:rsid w:val="00016456"/>
    <w:rsid w:val="00056F7A"/>
    <w:rsid w:val="000614BA"/>
    <w:rsid w:val="0006638F"/>
    <w:rsid w:val="00066FA6"/>
    <w:rsid w:val="00090896"/>
    <w:rsid w:val="000A1FD7"/>
    <w:rsid w:val="000A558D"/>
    <w:rsid w:val="000A57C9"/>
    <w:rsid w:val="000B7DDC"/>
    <w:rsid w:val="000C7DD6"/>
    <w:rsid w:val="000D1CD9"/>
    <w:rsid w:val="000E005C"/>
    <w:rsid w:val="000F4CF7"/>
    <w:rsid w:val="000F4DD4"/>
    <w:rsid w:val="001000BB"/>
    <w:rsid w:val="001265DD"/>
    <w:rsid w:val="0017438F"/>
    <w:rsid w:val="00184491"/>
    <w:rsid w:val="0019221C"/>
    <w:rsid w:val="00194D56"/>
    <w:rsid w:val="0019655D"/>
    <w:rsid w:val="001B1EC6"/>
    <w:rsid w:val="001C6B67"/>
    <w:rsid w:val="001E08E0"/>
    <w:rsid w:val="001E2748"/>
    <w:rsid w:val="001E319B"/>
    <w:rsid w:val="001E4F98"/>
    <w:rsid w:val="001F20F3"/>
    <w:rsid w:val="001F7927"/>
    <w:rsid w:val="0020348D"/>
    <w:rsid w:val="00204976"/>
    <w:rsid w:val="0023054E"/>
    <w:rsid w:val="00240D37"/>
    <w:rsid w:val="00242D22"/>
    <w:rsid w:val="0025050E"/>
    <w:rsid w:val="00260596"/>
    <w:rsid w:val="00264B7F"/>
    <w:rsid w:val="0027678A"/>
    <w:rsid w:val="00280056"/>
    <w:rsid w:val="0029674F"/>
    <w:rsid w:val="0029729B"/>
    <w:rsid w:val="002A1B3B"/>
    <w:rsid w:val="002A2C78"/>
    <w:rsid w:val="002B0658"/>
    <w:rsid w:val="002B1FE3"/>
    <w:rsid w:val="002C56EB"/>
    <w:rsid w:val="002D1C8F"/>
    <w:rsid w:val="00300CF0"/>
    <w:rsid w:val="0033623F"/>
    <w:rsid w:val="00336C51"/>
    <w:rsid w:val="00336E87"/>
    <w:rsid w:val="0035023B"/>
    <w:rsid w:val="00384A81"/>
    <w:rsid w:val="00391F11"/>
    <w:rsid w:val="003C204C"/>
    <w:rsid w:val="003C7DE5"/>
    <w:rsid w:val="003D04E9"/>
    <w:rsid w:val="003D3EAD"/>
    <w:rsid w:val="003E3DFC"/>
    <w:rsid w:val="00404F7D"/>
    <w:rsid w:val="00462285"/>
    <w:rsid w:val="004841BF"/>
    <w:rsid w:val="00484A92"/>
    <w:rsid w:val="004944C0"/>
    <w:rsid w:val="004A5C55"/>
    <w:rsid w:val="004B4BB6"/>
    <w:rsid w:val="004C505D"/>
    <w:rsid w:val="004D10B2"/>
    <w:rsid w:val="004D3A2B"/>
    <w:rsid w:val="00523AE6"/>
    <w:rsid w:val="00532CD4"/>
    <w:rsid w:val="0053571E"/>
    <w:rsid w:val="00574F17"/>
    <w:rsid w:val="0057559C"/>
    <w:rsid w:val="00582430"/>
    <w:rsid w:val="00584DDE"/>
    <w:rsid w:val="0059778E"/>
    <w:rsid w:val="005A7C7B"/>
    <w:rsid w:val="005D2054"/>
    <w:rsid w:val="005D4A2F"/>
    <w:rsid w:val="005F412C"/>
    <w:rsid w:val="005F7E7F"/>
    <w:rsid w:val="00600F2F"/>
    <w:rsid w:val="0060711B"/>
    <w:rsid w:val="00616943"/>
    <w:rsid w:val="0061773C"/>
    <w:rsid w:val="00627D6B"/>
    <w:rsid w:val="00630C10"/>
    <w:rsid w:val="0063306E"/>
    <w:rsid w:val="006331E5"/>
    <w:rsid w:val="006440CB"/>
    <w:rsid w:val="00654A56"/>
    <w:rsid w:val="006615E1"/>
    <w:rsid w:val="00670CF5"/>
    <w:rsid w:val="00671770"/>
    <w:rsid w:val="00685C01"/>
    <w:rsid w:val="006A33E1"/>
    <w:rsid w:val="006B6EAC"/>
    <w:rsid w:val="006B7E57"/>
    <w:rsid w:val="006D15E0"/>
    <w:rsid w:val="006D15E7"/>
    <w:rsid w:val="006F533C"/>
    <w:rsid w:val="00722329"/>
    <w:rsid w:val="007261D2"/>
    <w:rsid w:val="0073421B"/>
    <w:rsid w:val="00745D04"/>
    <w:rsid w:val="00746509"/>
    <w:rsid w:val="0075581F"/>
    <w:rsid w:val="007568F8"/>
    <w:rsid w:val="007711CC"/>
    <w:rsid w:val="00785406"/>
    <w:rsid w:val="00795347"/>
    <w:rsid w:val="007B3646"/>
    <w:rsid w:val="007B67F5"/>
    <w:rsid w:val="007C4951"/>
    <w:rsid w:val="007E3535"/>
    <w:rsid w:val="007E7320"/>
    <w:rsid w:val="0081108C"/>
    <w:rsid w:val="00813615"/>
    <w:rsid w:val="00836C6E"/>
    <w:rsid w:val="00846A6F"/>
    <w:rsid w:val="00850D5E"/>
    <w:rsid w:val="008533B7"/>
    <w:rsid w:val="00854222"/>
    <w:rsid w:val="00870760"/>
    <w:rsid w:val="008A7DE9"/>
    <w:rsid w:val="008C1265"/>
    <w:rsid w:val="008C3E71"/>
    <w:rsid w:val="008E0F58"/>
    <w:rsid w:val="008E11BC"/>
    <w:rsid w:val="008F4B17"/>
    <w:rsid w:val="008F7642"/>
    <w:rsid w:val="009265F6"/>
    <w:rsid w:val="00930056"/>
    <w:rsid w:val="00931E46"/>
    <w:rsid w:val="009412D1"/>
    <w:rsid w:val="009458B1"/>
    <w:rsid w:val="0096753D"/>
    <w:rsid w:val="009928E7"/>
    <w:rsid w:val="009D64E0"/>
    <w:rsid w:val="009D696B"/>
    <w:rsid w:val="009E18C6"/>
    <w:rsid w:val="009E1CC5"/>
    <w:rsid w:val="009F3DBF"/>
    <w:rsid w:val="00A01A40"/>
    <w:rsid w:val="00A13FFC"/>
    <w:rsid w:val="00A23E94"/>
    <w:rsid w:val="00A33661"/>
    <w:rsid w:val="00A37FB2"/>
    <w:rsid w:val="00A41E1E"/>
    <w:rsid w:val="00A5418F"/>
    <w:rsid w:val="00A6182E"/>
    <w:rsid w:val="00A73B63"/>
    <w:rsid w:val="00A80E86"/>
    <w:rsid w:val="00A85BF7"/>
    <w:rsid w:val="00A96CA5"/>
    <w:rsid w:val="00A97F3C"/>
    <w:rsid w:val="00AA5FB8"/>
    <w:rsid w:val="00AA73AE"/>
    <w:rsid w:val="00AB71ED"/>
    <w:rsid w:val="00AB7B4D"/>
    <w:rsid w:val="00AC4BF5"/>
    <w:rsid w:val="00B241DF"/>
    <w:rsid w:val="00B305F0"/>
    <w:rsid w:val="00B4133A"/>
    <w:rsid w:val="00B7290E"/>
    <w:rsid w:val="00B96094"/>
    <w:rsid w:val="00BA5369"/>
    <w:rsid w:val="00BA6F11"/>
    <w:rsid w:val="00BB3C14"/>
    <w:rsid w:val="00BE15DC"/>
    <w:rsid w:val="00BE40E9"/>
    <w:rsid w:val="00C014AA"/>
    <w:rsid w:val="00C16B39"/>
    <w:rsid w:val="00C40A17"/>
    <w:rsid w:val="00C572C6"/>
    <w:rsid w:val="00C72ED0"/>
    <w:rsid w:val="00C74A0F"/>
    <w:rsid w:val="00C86CE0"/>
    <w:rsid w:val="00CA3A54"/>
    <w:rsid w:val="00CA5E8A"/>
    <w:rsid w:val="00CA69A7"/>
    <w:rsid w:val="00CC3A77"/>
    <w:rsid w:val="00CE1D78"/>
    <w:rsid w:val="00CF0A50"/>
    <w:rsid w:val="00CF5BD6"/>
    <w:rsid w:val="00D22F44"/>
    <w:rsid w:val="00D237F0"/>
    <w:rsid w:val="00D53A4A"/>
    <w:rsid w:val="00D62018"/>
    <w:rsid w:val="00D67B71"/>
    <w:rsid w:val="00D86DA5"/>
    <w:rsid w:val="00D90978"/>
    <w:rsid w:val="00D94350"/>
    <w:rsid w:val="00D948EF"/>
    <w:rsid w:val="00DA6452"/>
    <w:rsid w:val="00DA7539"/>
    <w:rsid w:val="00DB3D7D"/>
    <w:rsid w:val="00DC1607"/>
    <w:rsid w:val="00DC461B"/>
    <w:rsid w:val="00DD009D"/>
    <w:rsid w:val="00DD5E63"/>
    <w:rsid w:val="00DE503F"/>
    <w:rsid w:val="00DE5789"/>
    <w:rsid w:val="00DE5EAE"/>
    <w:rsid w:val="00E10E09"/>
    <w:rsid w:val="00E11ECD"/>
    <w:rsid w:val="00E37FA3"/>
    <w:rsid w:val="00E47E61"/>
    <w:rsid w:val="00E53929"/>
    <w:rsid w:val="00E71A1B"/>
    <w:rsid w:val="00E74DF4"/>
    <w:rsid w:val="00E77477"/>
    <w:rsid w:val="00E91C81"/>
    <w:rsid w:val="00E9368F"/>
    <w:rsid w:val="00EA0652"/>
    <w:rsid w:val="00EC2065"/>
    <w:rsid w:val="00EE274D"/>
    <w:rsid w:val="00F0630E"/>
    <w:rsid w:val="00F513CF"/>
    <w:rsid w:val="00F728E8"/>
    <w:rsid w:val="00F81770"/>
    <w:rsid w:val="00F845CD"/>
    <w:rsid w:val="00F909A7"/>
    <w:rsid w:val="00F91F51"/>
    <w:rsid w:val="00F9438C"/>
    <w:rsid w:val="00F9481C"/>
    <w:rsid w:val="00FA05D0"/>
    <w:rsid w:val="00FA4FD8"/>
    <w:rsid w:val="00FB3345"/>
    <w:rsid w:val="00FC6D1A"/>
    <w:rsid w:val="00FD6EB4"/>
    <w:rsid w:val="00FE3D1E"/>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CommentReference">
    <w:name w:val="annotation reference"/>
    <w:basedOn w:val="DefaultParagraphFont"/>
    <w:uiPriority w:val="99"/>
    <w:semiHidden/>
    <w:unhideWhenUsed/>
    <w:rsid w:val="0063306E"/>
    <w:rPr>
      <w:sz w:val="16"/>
      <w:szCs w:val="16"/>
    </w:rPr>
  </w:style>
  <w:style w:type="paragraph" w:styleId="CommentText">
    <w:name w:val="annotation text"/>
    <w:basedOn w:val="Normal"/>
    <w:link w:val="CommentTextChar"/>
    <w:uiPriority w:val="99"/>
    <w:semiHidden/>
    <w:unhideWhenUsed/>
    <w:rsid w:val="0063306E"/>
    <w:pPr>
      <w:spacing w:line="240" w:lineRule="auto"/>
    </w:pPr>
    <w:rPr>
      <w:sz w:val="20"/>
      <w:szCs w:val="20"/>
    </w:rPr>
  </w:style>
  <w:style w:type="character" w:customStyle="1" w:styleId="CommentTextChar">
    <w:name w:val="Comment Text Char"/>
    <w:basedOn w:val="DefaultParagraphFont"/>
    <w:link w:val="CommentText"/>
    <w:uiPriority w:val="99"/>
    <w:semiHidden/>
    <w:rsid w:val="006330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306E"/>
    <w:rPr>
      <w:b/>
      <w:bCs/>
    </w:rPr>
  </w:style>
  <w:style w:type="character" w:customStyle="1" w:styleId="CommentSubjectChar">
    <w:name w:val="Comment Subject Char"/>
    <w:basedOn w:val="CommentTextChar"/>
    <w:link w:val="CommentSubject"/>
    <w:uiPriority w:val="99"/>
    <w:semiHidden/>
    <w:rsid w:val="0063306E"/>
    <w:rPr>
      <w:rFonts w:ascii="Arial" w:hAnsi="Arial" w:cs="Arial"/>
      <w:b/>
      <w:bCs/>
      <w:sz w:val="20"/>
      <w:szCs w:val="20"/>
    </w:rPr>
  </w:style>
  <w:style w:type="paragraph" w:styleId="BalloonText">
    <w:name w:val="Balloon Text"/>
    <w:basedOn w:val="Normal"/>
    <w:link w:val="BalloonTextChar"/>
    <w:uiPriority w:val="99"/>
    <w:semiHidden/>
    <w:unhideWhenUsed/>
    <w:rsid w:val="0063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06E"/>
    <w:rPr>
      <w:rFonts w:ascii="Tahoma" w:hAnsi="Tahoma" w:cs="Tahoma"/>
      <w:sz w:val="16"/>
      <w:szCs w:val="16"/>
    </w:rPr>
  </w:style>
  <w:style w:type="paragraph" w:styleId="ListParagraph">
    <w:name w:val="List Paragraph"/>
    <w:basedOn w:val="Normal"/>
    <w:uiPriority w:val="34"/>
    <w:qFormat/>
    <w:rsid w:val="00DC461B"/>
    <w:pPr>
      <w:ind w:left="720"/>
      <w:contextualSpacing/>
    </w:pPr>
  </w:style>
  <w:style w:type="character" w:styleId="Hyperlink">
    <w:name w:val="Hyperlink"/>
    <w:basedOn w:val="DefaultParagraphFont"/>
    <w:uiPriority w:val="99"/>
    <w:unhideWhenUsed/>
    <w:rsid w:val="00DC461B"/>
    <w:rPr>
      <w:color w:val="0000FF" w:themeColor="hyperlink"/>
      <w:u w:val="single"/>
    </w:rPr>
  </w:style>
  <w:style w:type="numbering" w:customStyle="1" w:styleId="NoList1">
    <w:name w:val="No List1"/>
    <w:next w:val="NoList"/>
    <w:uiPriority w:val="99"/>
    <w:semiHidden/>
    <w:unhideWhenUsed/>
    <w:rsid w:val="00DD009D"/>
  </w:style>
  <w:style w:type="paragraph" w:styleId="Header">
    <w:name w:val="header"/>
    <w:basedOn w:val="Normal"/>
    <w:link w:val="HeaderChar"/>
    <w:uiPriority w:val="99"/>
    <w:unhideWhenUsed/>
    <w:rsid w:val="00DD009D"/>
    <w:pPr>
      <w:tabs>
        <w:tab w:val="center" w:pos="4513"/>
        <w:tab w:val="right" w:pos="9026"/>
      </w:tabs>
      <w:spacing w:line="240" w:lineRule="auto"/>
    </w:pPr>
    <w:rPr>
      <w:rFonts w:asciiTheme="minorHAnsi" w:hAnsiTheme="minorHAnsi" w:cstheme="minorBidi"/>
    </w:r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513"/>
        <w:tab w:val="right" w:pos="9026"/>
      </w:tabs>
      <w:spacing w:line="240" w:lineRule="auto"/>
    </w:pPr>
    <w:rPr>
      <w:rFonts w:asciiTheme="minorHAnsi" w:hAnsiTheme="minorHAnsi" w:cstheme="minorBidi"/>
    </w:rPr>
  </w:style>
  <w:style w:type="character" w:customStyle="1" w:styleId="FooterChar">
    <w:name w:val="Footer Char"/>
    <w:basedOn w:val="DefaultParagraphFont"/>
    <w:link w:val="Footer"/>
    <w:uiPriority w:val="99"/>
    <w:rsid w:val="00DD009D"/>
  </w:style>
  <w:style w:type="table" w:styleId="TableGrid">
    <w:name w:val="Table Grid"/>
    <w:basedOn w:val="TableNormal"/>
    <w:uiPriority w:val="59"/>
    <w:rsid w:val="00D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D009D"/>
  </w:style>
  <w:style w:type="numbering" w:customStyle="1" w:styleId="NoList3">
    <w:name w:val="No List3"/>
    <w:next w:val="NoList"/>
    <w:uiPriority w:val="99"/>
    <w:semiHidden/>
    <w:unhideWhenUsed/>
    <w:rsid w:val="00DD009D"/>
  </w:style>
  <w:style w:type="numbering" w:customStyle="1" w:styleId="NoList4">
    <w:name w:val="No List4"/>
    <w:next w:val="NoList"/>
    <w:uiPriority w:val="99"/>
    <w:semiHidden/>
    <w:unhideWhenUsed/>
    <w:rsid w:val="00DD009D"/>
  </w:style>
  <w:style w:type="character" w:styleId="FollowedHyperlink">
    <w:name w:val="FollowedHyperlink"/>
    <w:basedOn w:val="DefaultParagraphFont"/>
    <w:uiPriority w:val="99"/>
    <w:semiHidden/>
    <w:unhideWhenUsed/>
    <w:rsid w:val="00E774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CommentReference">
    <w:name w:val="annotation reference"/>
    <w:basedOn w:val="DefaultParagraphFont"/>
    <w:uiPriority w:val="99"/>
    <w:semiHidden/>
    <w:unhideWhenUsed/>
    <w:rsid w:val="0063306E"/>
    <w:rPr>
      <w:sz w:val="16"/>
      <w:szCs w:val="16"/>
    </w:rPr>
  </w:style>
  <w:style w:type="paragraph" w:styleId="CommentText">
    <w:name w:val="annotation text"/>
    <w:basedOn w:val="Normal"/>
    <w:link w:val="CommentTextChar"/>
    <w:uiPriority w:val="99"/>
    <w:semiHidden/>
    <w:unhideWhenUsed/>
    <w:rsid w:val="0063306E"/>
    <w:pPr>
      <w:spacing w:line="240" w:lineRule="auto"/>
    </w:pPr>
    <w:rPr>
      <w:sz w:val="20"/>
      <w:szCs w:val="20"/>
    </w:rPr>
  </w:style>
  <w:style w:type="character" w:customStyle="1" w:styleId="CommentTextChar">
    <w:name w:val="Comment Text Char"/>
    <w:basedOn w:val="DefaultParagraphFont"/>
    <w:link w:val="CommentText"/>
    <w:uiPriority w:val="99"/>
    <w:semiHidden/>
    <w:rsid w:val="006330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306E"/>
    <w:rPr>
      <w:b/>
      <w:bCs/>
    </w:rPr>
  </w:style>
  <w:style w:type="character" w:customStyle="1" w:styleId="CommentSubjectChar">
    <w:name w:val="Comment Subject Char"/>
    <w:basedOn w:val="CommentTextChar"/>
    <w:link w:val="CommentSubject"/>
    <w:uiPriority w:val="99"/>
    <w:semiHidden/>
    <w:rsid w:val="0063306E"/>
    <w:rPr>
      <w:rFonts w:ascii="Arial" w:hAnsi="Arial" w:cs="Arial"/>
      <w:b/>
      <w:bCs/>
      <w:sz w:val="20"/>
      <w:szCs w:val="20"/>
    </w:rPr>
  </w:style>
  <w:style w:type="paragraph" w:styleId="BalloonText">
    <w:name w:val="Balloon Text"/>
    <w:basedOn w:val="Normal"/>
    <w:link w:val="BalloonTextChar"/>
    <w:uiPriority w:val="99"/>
    <w:semiHidden/>
    <w:unhideWhenUsed/>
    <w:rsid w:val="0063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06E"/>
    <w:rPr>
      <w:rFonts w:ascii="Tahoma" w:hAnsi="Tahoma" w:cs="Tahoma"/>
      <w:sz w:val="16"/>
      <w:szCs w:val="16"/>
    </w:rPr>
  </w:style>
  <w:style w:type="paragraph" w:styleId="ListParagraph">
    <w:name w:val="List Paragraph"/>
    <w:basedOn w:val="Normal"/>
    <w:uiPriority w:val="34"/>
    <w:qFormat/>
    <w:rsid w:val="00DC461B"/>
    <w:pPr>
      <w:ind w:left="720"/>
      <w:contextualSpacing/>
    </w:pPr>
  </w:style>
  <w:style w:type="character" w:styleId="Hyperlink">
    <w:name w:val="Hyperlink"/>
    <w:basedOn w:val="DefaultParagraphFont"/>
    <w:uiPriority w:val="99"/>
    <w:unhideWhenUsed/>
    <w:rsid w:val="00DC461B"/>
    <w:rPr>
      <w:color w:val="0000FF" w:themeColor="hyperlink"/>
      <w:u w:val="single"/>
    </w:rPr>
  </w:style>
  <w:style w:type="numbering" w:customStyle="1" w:styleId="NoList1">
    <w:name w:val="No List1"/>
    <w:next w:val="NoList"/>
    <w:uiPriority w:val="99"/>
    <w:semiHidden/>
    <w:unhideWhenUsed/>
    <w:rsid w:val="00DD009D"/>
  </w:style>
  <w:style w:type="paragraph" w:styleId="Header">
    <w:name w:val="header"/>
    <w:basedOn w:val="Normal"/>
    <w:link w:val="HeaderChar"/>
    <w:uiPriority w:val="99"/>
    <w:unhideWhenUsed/>
    <w:rsid w:val="00DD009D"/>
    <w:pPr>
      <w:tabs>
        <w:tab w:val="center" w:pos="4513"/>
        <w:tab w:val="right" w:pos="9026"/>
      </w:tabs>
      <w:spacing w:line="240" w:lineRule="auto"/>
    </w:pPr>
    <w:rPr>
      <w:rFonts w:asciiTheme="minorHAnsi" w:hAnsiTheme="minorHAnsi" w:cstheme="minorBidi"/>
    </w:r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513"/>
        <w:tab w:val="right" w:pos="9026"/>
      </w:tabs>
      <w:spacing w:line="240" w:lineRule="auto"/>
    </w:pPr>
    <w:rPr>
      <w:rFonts w:asciiTheme="minorHAnsi" w:hAnsiTheme="minorHAnsi" w:cstheme="minorBidi"/>
    </w:rPr>
  </w:style>
  <w:style w:type="character" w:customStyle="1" w:styleId="FooterChar">
    <w:name w:val="Footer Char"/>
    <w:basedOn w:val="DefaultParagraphFont"/>
    <w:link w:val="Footer"/>
    <w:uiPriority w:val="99"/>
    <w:rsid w:val="00DD009D"/>
  </w:style>
  <w:style w:type="table" w:styleId="TableGrid">
    <w:name w:val="Table Grid"/>
    <w:basedOn w:val="TableNormal"/>
    <w:uiPriority w:val="59"/>
    <w:rsid w:val="00D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D009D"/>
  </w:style>
  <w:style w:type="numbering" w:customStyle="1" w:styleId="NoList3">
    <w:name w:val="No List3"/>
    <w:next w:val="NoList"/>
    <w:uiPriority w:val="99"/>
    <w:semiHidden/>
    <w:unhideWhenUsed/>
    <w:rsid w:val="00DD009D"/>
  </w:style>
  <w:style w:type="numbering" w:customStyle="1" w:styleId="NoList4">
    <w:name w:val="No List4"/>
    <w:next w:val="NoList"/>
    <w:uiPriority w:val="99"/>
    <w:semiHidden/>
    <w:unhideWhenUsed/>
    <w:rsid w:val="00DD009D"/>
  </w:style>
  <w:style w:type="character" w:styleId="FollowedHyperlink">
    <w:name w:val="FollowedHyperlink"/>
    <w:basedOn w:val="DefaultParagraphFont"/>
    <w:uiPriority w:val="99"/>
    <w:semiHidden/>
    <w:unhideWhenUsed/>
    <w:rsid w:val="00E77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se.gov.uk/statistics/pdf/fatalinju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572E-CE48-4A7B-B658-4A14D452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6551</Words>
  <Characters>37345</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dcterms:created xsi:type="dcterms:W3CDTF">2016-03-17T11:52:00Z</dcterms:created>
  <dcterms:modified xsi:type="dcterms:W3CDTF">2016-03-17T11:52:00Z</dcterms:modified>
</cp:coreProperties>
</file>