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4184E" w14:textId="31C3DE51" w:rsidR="00D051DA" w:rsidRPr="00D07C12" w:rsidRDefault="00D051DA" w:rsidP="00D051DA">
      <w:pPr>
        <w:pStyle w:val="OSATitle"/>
      </w:pPr>
      <w:r>
        <w:rPr>
          <w:noProof/>
        </w:rPr>
        <w:t xml:space="preserve">Thermal poling of silica optical fibers </w:t>
      </w:r>
      <w:r w:rsidR="006C2437">
        <w:rPr>
          <w:noProof/>
        </w:rPr>
        <w:t>using</w:t>
      </w:r>
      <w:r>
        <w:rPr>
          <w:noProof/>
        </w:rPr>
        <w:t xml:space="preserve"> novel liquid electrodes</w:t>
      </w:r>
    </w:p>
    <w:p w14:paraId="5A853D14" w14:textId="523C1631" w:rsidR="00D051DA" w:rsidRPr="00E97D86" w:rsidRDefault="00D051DA" w:rsidP="00D051DA">
      <w:pPr>
        <w:pStyle w:val="OSAAuthor"/>
        <w:rPr>
          <w:vertAlign w:val="superscript"/>
          <w:lang w:val="it-IT"/>
        </w:rPr>
      </w:pPr>
      <w:r w:rsidRPr="00E97D86">
        <w:rPr>
          <w:lang w:val="it-IT"/>
        </w:rPr>
        <w:t>F. De Lucia,</w:t>
      </w:r>
      <w:r w:rsidRPr="00E97D86">
        <w:rPr>
          <w:vertAlign w:val="superscript"/>
          <w:lang w:val="it-IT"/>
        </w:rPr>
        <w:t>1</w:t>
      </w:r>
      <w:r w:rsidRPr="00E97D86">
        <w:rPr>
          <w:lang w:val="it-IT"/>
        </w:rPr>
        <w:t xml:space="preserve"> D.</w:t>
      </w:r>
      <w:r w:rsidR="007A66D6">
        <w:rPr>
          <w:lang w:val="it-IT"/>
        </w:rPr>
        <w:t>W.</w:t>
      </w:r>
      <w:r w:rsidRPr="00E97D86">
        <w:rPr>
          <w:lang w:val="it-IT"/>
        </w:rPr>
        <w:t xml:space="preserve"> Keefer,</w:t>
      </w:r>
      <w:r w:rsidRPr="00E97D86">
        <w:rPr>
          <w:vertAlign w:val="superscript"/>
          <w:lang w:val="it-IT"/>
        </w:rPr>
        <w:t>2</w:t>
      </w:r>
      <w:r w:rsidRPr="00E97D86">
        <w:rPr>
          <w:lang w:val="it-IT"/>
        </w:rPr>
        <w:t xml:space="preserve"> C. Corbari,</w:t>
      </w:r>
      <w:r w:rsidRPr="00E97D86">
        <w:rPr>
          <w:vertAlign w:val="superscript"/>
          <w:lang w:val="it-IT"/>
        </w:rPr>
        <w:t>3</w:t>
      </w:r>
      <w:r w:rsidRPr="00E97D86">
        <w:rPr>
          <w:lang w:val="it-IT"/>
        </w:rPr>
        <w:t xml:space="preserve"> P. J. A. Sazio</w:t>
      </w:r>
      <w:r>
        <w:rPr>
          <w:vertAlign w:val="superscript"/>
          <w:lang w:val="it-IT"/>
        </w:rPr>
        <w:t>1,*</w:t>
      </w:r>
    </w:p>
    <w:p w14:paraId="448512D0" w14:textId="77777777" w:rsidR="00D051DA" w:rsidRDefault="00D051DA" w:rsidP="00D051DA">
      <w:pPr>
        <w:pStyle w:val="OSAAuthorAffliation"/>
        <w:rPr>
          <w:vertAlign w:val="superscript"/>
        </w:rPr>
      </w:pPr>
      <w:r w:rsidRPr="00090E6C">
        <w:rPr>
          <w:vertAlign w:val="superscript"/>
        </w:rPr>
        <w:t>1</w:t>
      </w:r>
      <w:r w:rsidRPr="00E97D86">
        <w:t xml:space="preserve"> </w:t>
      </w:r>
      <w:r>
        <w:t>Optoelectronics Research Centre, University of Southampton, SO17 1BJ, UK</w:t>
      </w:r>
      <w:r w:rsidRPr="00090E6C">
        <w:rPr>
          <w:vertAlign w:val="superscript"/>
        </w:rPr>
        <w:t xml:space="preserve"> </w:t>
      </w:r>
    </w:p>
    <w:p w14:paraId="402F9AA4" w14:textId="77777777" w:rsidR="00D051DA" w:rsidRPr="002760DB" w:rsidRDefault="00D051DA" w:rsidP="00D051DA">
      <w:pPr>
        <w:pStyle w:val="OSAAuthorAffliation"/>
      </w:pPr>
      <w:r w:rsidRPr="00090E6C">
        <w:rPr>
          <w:vertAlign w:val="superscript"/>
        </w:rPr>
        <w:t>2</w:t>
      </w:r>
      <w:r>
        <w:rPr>
          <w:i w:val="0"/>
          <w:iCs/>
        </w:rPr>
        <w:t xml:space="preserve"> </w:t>
      </w:r>
      <w:r>
        <w:t>Department of Chemistry, Pennsylvania State University, University Park, PA 16802, USA</w:t>
      </w:r>
    </w:p>
    <w:p w14:paraId="7D4C60B0" w14:textId="77777777" w:rsidR="00D051DA" w:rsidRPr="00E97D86" w:rsidRDefault="00D051DA" w:rsidP="00D051DA">
      <w:pPr>
        <w:pStyle w:val="OSAAuthorAffliation"/>
        <w:rPr>
          <w:vertAlign w:val="superscript"/>
        </w:rPr>
      </w:pPr>
      <w:r>
        <w:rPr>
          <w:vertAlign w:val="superscript"/>
        </w:rPr>
        <w:t>3</w:t>
      </w:r>
      <w:r>
        <w:t xml:space="preserve"> </w:t>
      </w:r>
      <w:r w:rsidRPr="00E97D86">
        <w:t>Renishaw</w:t>
      </w:r>
      <w:r>
        <w:rPr>
          <w:i w:val="0"/>
          <w:iCs/>
        </w:rPr>
        <w:t xml:space="preserve"> </w:t>
      </w:r>
      <w:r w:rsidRPr="00E97D86">
        <w:t>plc, New Mills, Wotton-under-Edge, Gloucestershire</w:t>
      </w:r>
      <w:r>
        <w:t>, GL12 8JR, UK</w:t>
      </w:r>
    </w:p>
    <w:p w14:paraId="76263B57" w14:textId="77777777" w:rsidR="00D051DA" w:rsidRPr="008052CF" w:rsidRDefault="00D051DA" w:rsidP="00D051DA">
      <w:pPr>
        <w:pStyle w:val="OSACorrespondingAuthorEmail"/>
      </w:pPr>
      <w:r w:rsidRPr="00090E6C">
        <w:t>*</w:t>
      </w:r>
      <w:r w:rsidRPr="008052CF">
        <w:t xml:space="preserve"> </w:t>
      </w:r>
      <w:r w:rsidRPr="00090E6C">
        <w:t xml:space="preserve">Corresponding author: </w:t>
      </w:r>
      <w:r>
        <w:t>pjas@soton.ac.uk</w:t>
      </w:r>
    </w:p>
    <w:p w14:paraId="33BF7F1A" w14:textId="77777777" w:rsidR="00D051DA" w:rsidRPr="00002075" w:rsidRDefault="00D051DA" w:rsidP="00D051DA">
      <w:pPr>
        <w:pStyle w:val="OSAHistory"/>
      </w:pPr>
      <w:r w:rsidRPr="00002075">
        <w:t xml:space="preserve">Received XX Month XXXX; </w:t>
      </w:r>
      <w:r w:rsidRPr="00813273">
        <w:t>revised</w:t>
      </w:r>
      <w:r w:rsidRPr="00002075">
        <w:t xml:space="preserve"> XX Month, XXXX; accepted XX Month XXXX; posted XX Month XXXX (Doc. ID XXXXX); published XX Month XXXX</w:t>
      </w:r>
    </w:p>
    <w:p w14:paraId="547BE415" w14:textId="77777777" w:rsidR="00AD35C2" w:rsidRDefault="00AD35C2" w:rsidP="0014689D">
      <w:pPr>
        <w:pStyle w:val="OSAAuthor"/>
      </w:pPr>
    </w:p>
    <w:p w14:paraId="2FE9D917" w14:textId="77777777" w:rsidR="00A90FBE" w:rsidRDefault="00A90FBE" w:rsidP="00AA1E2B">
      <w:pPr>
        <w:pStyle w:val="OSABodyIndent"/>
        <w:sectPr w:rsidR="00A90FBE" w:rsidSect="00C73180">
          <w:type w:val="continuous"/>
          <w:pgSz w:w="12240" w:h="15840" w:code="1"/>
          <w:pgMar w:top="1080" w:right="994" w:bottom="1260" w:left="994" w:header="720" w:footer="720" w:gutter="0"/>
          <w:lnNumType w:countBy="1" w:restart="continuous"/>
          <w:cols w:space="446"/>
          <w:docGrid w:linePitch="360"/>
        </w:sectPr>
      </w:pPr>
    </w:p>
    <w:p w14:paraId="393A0A91" w14:textId="37CC88BC" w:rsidR="0001388B" w:rsidRPr="0014689D" w:rsidRDefault="00EA236C" w:rsidP="00AF7D7B">
      <w:pPr>
        <w:pStyle w:val="OSAAbstract"/>
      </w:pPr>
      <w:r>
        <w:lastRenderedPageBreak/>
        <w:t xml:space="preserve">Thermal poling is a well-known technique for inducing second-order nonlinearities in centrosymmetric silica optical fibers. However, some 25 years since its discovery, there still remain a number of </w:t>
      </w:r>
      <w:r w:rsidR="00326200">
        <w:t>issues</w:t>
      </w:r>
      <w:r>
        <w:t xml:space="preserve"> that prevent the realization of very long length, highly efficient all-fiber nonlinear device applications that includes frequency conversion or sources of polarization-entangled photon pairs. In this paper we report a thermal poling method that utilizes a novel range of liquid </w:t>
      </w:r>
      <w:r w:rsidR="00EB0D93">
        <w:t xml:space="preserve">metal and aqueous </w:t>
      </w:r>
      <w:r>
        <w:t xml:space="preserve">electrodes embedded into the optical fibers. We demonstrate that it is possible to pole samples that are potentially meters in length, characterized by very low losses for efficient SHG processes. </w:t>
      </w:r>
      <w:r w:rsidRPr="00AA1E2B">
        <w:t>The</w:t>
      </w:r>
      <w:r w:rsidR="00DE28D6" w:rsidRPr="00AA1E2B">
        <w:t xml:space="preserve"> </w:t>
      </w:r>
      <w:r w:rsidR="005970BC" w:rsidRPr="00AA1E2B">
        <w:t>maximum</w:t>
      </w:r>
      <w:r w:rsidRPr="00AA1E2B">
        <w:t xml:space="preserve"> estimated effective </w:t>
      </w:r>
      <w:r w:rsidR="00456B24" w:rsidRPr="00AA1E2B">
        <w:t xml:space="preserve">value of </w:t>
      </w:r>
      <w:r w:rsidRPr="00AA1E2B">
        <w:t>χ</w:t>
      </w:r>
      <w:r w:rsidRPr="00AA1E2B">
        <w:rPr>
          <w:vertAlign w:val="superscript"/>
        </w:rPr>
        <w:t>(2)</w:t>
      </w:r>
      <w:r w:rsidRPr="00AA1E2B">
        <w:t xml:space="preserve"> (0.1</w:t>
      </w:r>
      <w:r w:rsidR="00DE28D6" w:rsidRPr="00AA1E2B">
        <w:t>2</w:t>
      </w:r>
      <w:r w:rsidRPr="00AA1E2B">
        <w:t xml:space="preserve"> pm/V)</w:t>
      </w:r>
      <w:r>
        <w:t xml:space="preserve"> </w:t>
      </w:r>
      <w:r w:rsidR="00456B24">
        <w:t>obtained using</w:t>
      </w:r>
      <w:r w:rsidR="00EB0D93">
        <w:t xml:space="preserve"> Mercury electrode</w:t>
      </w:r>
      <w:r w:rsidR="00456B24">
        <w:t>s</w:t>
      </w:r>
      <w:r w:rsidR="00EB0D93">
        <w:t xml:space="preserve"> </w:t>
      </w:r>
      <w:r>
        <w:t xml:space="preserve">is the highest reported in periodically poled silica fibers.  </w:t>
      </w:r>
      <w:r w:rsidR="0001388B">
        <w:t>© 2016</w:t>
      </w:r>
      <w:r w:rsidR="0001388B" w:rsidRPr="0014689D">
        <w:t xml:space="preserve"> Optical Society of America</w:t>
      </w:r>
    </w:p>
    <w:p w14:paraId="02B433E5" w14:textId="77777777" w:rsidR="0001388B" w:rsidRPr="0014689D" w:rsidRDefault="0001388B" w:rsidP="0001388B">
      <w:pPr>
        <w:pStyle w:val="OSAOCISCodes"/>
      </w:pPr>
      <w:r w:rsidRPr="0014689D">
        <w:rPr>
          <w:b/>
        </w:rPr>
        <w:t>OCIS codes:</w:t>
      </w:r>
      <w:r w:rsidRPr="0014689D">
        <w:t xml:space="preserve"> </w:t>
      </w:r>
      <w:r>
        <w:t>(19</w:t>
      </w:r>
      <w:r w:rsidRPr="0014689D">
        <w:t>0.</w:t>
      </w:r>
      <w:r>
        <w:t>4370</w:t>
      </w:r>
      <w:r w:rsidRPr="0014689D">
        <w:t xml:space="preserve">) </w:t>
      </w:r>
      <w:r>
        <w:t>Nonlinear optics</w:t>
      </w:r>
      <w:r w:rsidRPr="0014689D">
        <w:t>,</w:t>
      </w:r>
      <w:r>
        <w:t xml:space="preserve"> fibers</w:t>
      </w:r>
      <w:r w:rsidRPr="0014689D">
        <w:t>; (</w:t>
      </w:r>
      <w:r>
        <w:t>230.4320</w:t>
      </w:r>
      <w:r w:rsidRPr="0014689D">
        <w:t xml:space="preserve">) </w:t>
      </w:r>
      <w:r>
        <w:t>Nonlinear optical devices</w:t>
      </w:r>
      <w:r w:rsidRPr="0014689D">
        <w:t>; (</w:t>
      </w:r>
      <w:r>
        <w:t>190.2620</w:t>
      </w:r>
      <w:r w:rsidRPr="0014689D">
        <w:t xml:space="preserve">) </w:t>
      </w:r>
      <w:r>
        <w:t>Harmonic generation and mixing</w:t>
      </w:r>
      <w:r w:rsidRPr="0014689D">
        <w:t>; (</w:t>
      </w:r>
      <w:r>
        <w:t>230.1150</w:t>
      </w:r>
      <w:r w:rsidRPr="0014689D">
        <w:t xml:space="preserve">) </w:t>
      </w:r>
      <w:r>
        <w:t>All-optical devices.</w:t>
      </w:r>
    </w:p>
    <w:p w14:paraId="56379C26" w14:textId="77777777" w:rsidR="0014689D" w:rsidRPr="0014689D" w:rsidRDefault="0014689D" w:rsidP="00002075">
      <w:pPr>
        <w:pStyle w:val="OSADOI"/>
      </w:pPr>
    </w:p>
    <w:p w14:paraId="6DDA5E5F" w14:textId="69E46E32" w:rsidR="009A2D45" w:rsidRDefault="00DD2E05" w:rsidP="008E3405">
      <w:pPr>
        <w:pStyle w:val="OSABody"/>
        <w:rPr>
          <w:lang w:val="en-GB"/>
        </w:rPr>
      </w:pPr>
      <w:r w:rsidRPr="00E57C62">
        <w:t>T</w:t>
      </w:r>
      <w:r>
        <w:t xml:space="preserve">hermal poling is a </w:t>
      </w:r>
      <w:r w:rsidR="00C30292">
        <w:t>well-established</w:t>
      </w:r>
      <w:r w:rsidR="00956ABF">
        <w:t xml:space="preserve"> technique</w:t>
      </w:r>
      <w:r>
        <w:t xml:space="preserve"> [1] </w:t>
      </w:r>
      <w:r w:rsidR="00956ABF">
        <w:t xml:space="preserve">used </w:t>
      </w:r>
      <w:r>
        <w:t xml:space="preserve">to generate effective second-order susceptibility in centro-symmetric materials such as bulk glasses by freezing a static electric field </w:t>
      </w:r>
      <w:r w:rsidR="00956ABF">
        <w:t>inside</w:t>
      </w:r>
      <w:r>
        <w:t xml:space="preserve">. The technique </w:t>
      </w:r>
      <w:r w:rsidR="00646D1F">
        <w:t>has been</w:t>
      </w:r>
      <w:r w:rsidR="00956ABF">
        <w:t xml:space="preserve"> used in </w:t>
      </w:r>
      <w:r>
        <w:t>silica</w:t>
      </w:r>
      <w:r w:rsidR="00956ABF">
        <w:t xml:space="preserve"> optical </w:t>
      </w:r>
      <w:r>
        <w:t>fibers [2] and improved in</w:t>
      </w:r>
      <w:r w:rsidR="00956ABF">
        <w:t xml:space="preserve"> terms of nonlinear performance</w:t>
      </w:r>
      <w:r>
        <w:t xml:space="preserve"> by Margulis et al. [3], who developed a cathode-less configuration to pole the samples. Despite the</w:t>
      </w:r>
      <w:r w:rsidR="00956ABF">
        <w:t>se</w:t>
      </w:r>
      <w:r>
        <w:t xml:space="preserve"> efforts, thermal poling i</w:t>
      </w:r>
      <w:r w:rsidR="00EE4D51">
        <w:t xml:space="preserve">s still </w:t>
      </w:r>
      <w:r w:rsidR="00956ABF">
        <w:t>compromised</w:t>
      </w:r>
      <w:r w:rsidR="00EE4D51">
        <w:t xml:space="preserve"> by</w:t>
      </w:r>
      <w:r>
        <w:t xml:space="preserve"> </w:t>
      </w:r>
      <w:r w:rsidR="00BE1ACB">
        <w:t>issues</w:t>
      </w:r>
      <w:r w:rsidR="00A846B5">
        <w:t xml:space="preserve"> which</w:t>
      </w:r>
      <w:r>
        <w:t xml:space="preserve"> prevent </w:t>
      </w:r>
      <w:r w:rsidR="00B82269">
        <w:t>the realization of long</w:t>
      </w:r>
      <w:r w:rsidR="00A846B5">
        <w:t xml:space="preserve">, </w:t>
      </w:r>
      <w:r>
        <w:t xml:space="preserve">low loss </w:t>
      </w:r>
      <w:r w:rsidR="00A846B5">
        <w:t xml:space="preserve">and efficient all-fiber nonlinear devices </w:t>
      </w:r>
      <w:r w:rsidR="00A846B5" w:rsidRPr="00F05FCB">
        <w:t>[</w:t>
      </w:r>
      <w:r w:rsidR="00944427" w:rsidRPr="00F05FCB">
        <w:t>4</w:t>
      </w:r>
      <w:r w:rsidR="00F05FCB">
        <w:t xml:space="preserve">, </w:t>
      </w:r>
      <w:r w:rsidR="00B31264">
        <w:t>5</w:t>
      </w:r>
      <w:r w:rsidR="00A846B5" w:rsidRPr="00F05FCB">
        <w:t>].</w:t>
      </w:r>
      <w:r w:rsidR="00A846B5">
        <w:t xml:space="preserve"> Recently however,</w:t>
      </w:r>
      <w:r w:rsidR="00B31264">
        <w:t xml:space="preserve"> De Lucia et al. [6</w:t>
      </w:r>
      <w:r>
        <w:t xml:space="preserve">] developed a new technique to pole optical fibers by means of </w:t>
      </w:r>
      <w:r w:rsidR="00A846B5">
        <w:t xml:space="preserve">an </w:t>
      </w:r>
      <w:r>
        <w:t>electrostatic induction mechanism</w:t>
      </w:r>
      <w:r w:rsidR="00A846B5">
        <w:t>.</w:t>
      </w:r>
      <w:r>
        <w:t xml:space="preserve"> </w:t>
      </w:r>
      <w:r w:rsidR="00BE1ACB">
        <w:t>This innovation</w:t>
      </w:r>
      <w:r>
        <w:t xml:space="preserve"> </w:t>
      </w:r>
      <w:r w:rsidR="00A846B5">
        <w:t>overcomes</w:t>
      </w:r>
      <w:r>
        <w:t xml:space="preserve"> some of </w:t>
      </w:r>
      <w:r w:rsidR="00BE1ACB">
        <w:t xml:space="preserve">the otherwise intractable </w:t>
      </w:r>
      <w:r w:rsidR="00646D1F">
        <w:t xml:space="preserve">fabrication </w:t>
      </w:r>
      <w:r w:rsidR="00BE1ACB">
        <w:t>issues</w:t>
      </w:r>
      <w:r w:rsidR="00646D1F">
        <w:t xml:space="preserve"> encountered with creating</w:t>
      </w:r>
      <w:r w:rsidR="00A972D0">
        <w:t xml:space="preserve"> electrodes inside silica fibers</w:t>
      </w:r>
      <w:r w:rsidR="00E75950">
        <w:t xml:space="preserve">. Simple manual wire insertion methods for example, are both length restricted and unreliable, whereas molten metal filled fibers require a number of </w:t>
      </w:r>
      <w:r w:rsidR="00E75950">
        <w:lastRenderedPageBreak/>
        <w:t xml:space="preserve">processing steps in order to establish direct electrical contact to the internal electrodes, which if left in-situ </w:t>
      </w:r>
      <w:r w:rsidR="009A55E7">
        <w:t>after poling</w:t>
      </w:r>
      <w:r w:rsidR="009C66D5">
        <w:t>,</w:t>
      </w:r>
      <w:r w:rsidR="009A55E7">
        <w:t xml:space="preserve"> </w:t>
      </w:r>
      <w:r w:rsidR="00E75950">
        <w:t>can result in very l</w:t>
      </w:r>
      <w:r w:rsidR="009C66D5">
        <w:t xml:space="preserve">arge optical absorption losses. In </w:t>
      </w:r>
      <w:r w:rsidR="00B31264">
        <w:t>contrast, poling by induction [6</w:t>
      </w:r>
      <w:r w:rsidR="009C66D5">
        <w:t>]</w:t>
      </w:r>
      <w:r w:rsidR="00FC7821">
        <w:t xml:space="preserve"> avoids any physical contact to </w:t>
      </w:r>
      <w:r w:rsidR="00224233">
        <w:t>the</w:t>
      </w:r>
      <w:r w:rsidR="00FC7821">
        <w:t xml:space="preserve"> electrodes</w:t>
      </w:r>
      <w:r w:rsidR="00BB1D09">
        <w:t>;</w:t>
      </w:r>
      <w:r w:rsidR="00224233">
        <w:t xml:space="preserve"> </w:t>
      </w:r>
      <w:r w:rsidR="00BB1D09">
        <w:t xml:space="preserve">these are </w:t>
      </w:r>
      <w:r w:rsidR="00224233">
        <w:t xml:space="preserve">typically </w:t>
      </w:r>
      <w:r w:rsidR="00A1436D">
        <w:t>comprised of</w:t>
      </w:r>
      <w:r w:rsidR="00224233">
        <w:t xml:space="preserve"> conductive liquid</w:t>
      </w:r>
      <w:r w:rsidR="00A1436D">
        <w:t>s</w:t>
      </w:r>
      <w:r w:rsidR="00224233">
        <w:t xml:space="preserve"> for facile removal after poling has been completed</w:t>
      </w:r>
      <w:r w:rsidR="00D86645">
        <w:t xml:space="preserve"> to minimize optical loss</w:t>
      </w:r>
      <w:r w:rsidR="00224233">
        <w:t>.</w:t>
      </w:r>
      <w:r w:rsidR="0067268C">
        <w:t xml:space="preserve"> </w:t>
      </w:r>
      <w:r w:rsidR="00A60359">
        <w:t xml:space="preserve">Not only does this </w:t>
      </w:r>
      <w:r w:rsidR="0067268C">
        <w:t>advantageous</w:t>
      </w:r>
      <w:r w:rsidR="00A60359">
        <w:t xml:space="preserve"> combination allow</w:t>
      </w:r>
      <w:r w:rsidR="0067268C">
        <w:t xml:space="preserve"> for the </w:t>
      </w:r>
      <w:r w:rsidR="00AE584F">
        <w:t xml:space="preserve">poling of </w:t>
      </w:r>
      <w:r w:rsidR="00A60359">
        <w:t xml:space="preserve">very long (meter scale) samples, but </w:t>
      </w:r>
      <w:r w:rsidR="00D86645">
        <w:t xml:space="preserve">also </w:t>
      </w:r>
      <w:r w:rsidR="00DF197C">
        <w:t xml:space="preserve">within any complex geometry. This </w:t>
      </w:r>
      <w:r w:rsidR="009A2D45">
        <w:t>could include</w:t>
      </w:r>
      <w:r w:rsidR="00E15E85" w:rsidRPr="00E31121">
        <w:t>,</w:t>
      </w:r>
      <w:r w:rsidR="00DF197C" w:rsidRPr="00E31121">
        <w:t xml:space="preserve"> for example,</w:t>
      </w:r>
      <w:r w:rsidR="00DF197C">
        <w:t xml:space="preserve"> </w:t>
      </w:r>
      <w:r w:rsidR="00237FAD">
        <w:t xml:space="preserve">induction poling of </w:t>
      </w:r>
      <w:r w:rsidR="00DF197C">
        <w:t>microstructured optical fibers where contacting multiple internal electrodes would otherw</w:t>
      </w:r>
      <w:r w:rsidR="00237FAD">
        <w:t xml:space="preserve">ise be a prohibitive challenge. In addition, </w:t>
      </w:r>
      <w:r w:rsidR="00731DB4">
        <w:t xml:space="preserve">selective filling of such geometries both radially and longitudinally </w:t>
      </w:r>
      <w:r w:rsidR="00D66A18">
        <w:t>will allow</w:t>
      </w:r>
      <w:r w:rsidR="00731DB4">
        <w:t xml:space="preserve"> </w:t>
      </w:r>
      <w:r w:rsidR="00FE7330">
        <w:t xml:space="preserve">liquid </w:t>
      </w:r>
      <w:r w:rsidR="00237FAD">
        <w:t xml:space="preserve">electrodes </w:t>
      </w:r>
      <w:r w:rsidR="00731DB4">
        <w:t xml:space="preserve">to be inserted (and then removed) in any configuration in order to optimize the effective </w:t>
      </w:r>
      <w:r w:rsidR="00731DB4">
        <w:rPr>
          <w:rFonts w:ascii="Calibri" w:hAnsi="Calibri"/>
          <w:lang w:val="en-GB"/>
        </w:rPr>
        <w:t>χ</w:t>
      </w:r>
      <w:r w:rsidR="00731DB4">
        <w:rPr>
          <w:vertAlign w:val="superscript"/>
          <w:lang w:val="en-GB"/>
        </w:rPr>
        <w:t>(2)</w:t>
      </w:r>
      <w:r w:rsidR="00731DB4">
        <w:rPr>
          <w:lang w:val="en-GB"/>
        </w:rPr>
        <w:t xml:space="preserve"> for novel device applications.</w:t>
      </w:r>
      <w:r w:rsidR="00EB5014">
        <w:rPr>
          <w:lang w:val="en-GB"/>
        </w:rPr>
        <w:t xml:space="preserve"> </w:t>
      </w:r>
    </w:p>
    <w:p w14:paraId="42742461" w14:textId="0FA99B21" w:rsidR="00C8455D" w:rsidRDefault="00EE4D51" w:rsidP="00AA1E2B">
      <w:pPr>
        <w:pStyle w:val="OSABodyIndent"/>
        <w:rPr>
          <w:lang w:val="en-GB"/>
        </w:rPr>
      </w:pPr>
      <w:r>
        <w:rPr>
          <w:lang w:val="en-GB"/>
        </w:rPr>
        <w:t xml:space="preserve">In this paper we </w:t>
      </w:r>
      <w:r w:rsidR="00F91D86">
        <w:rPr>
          <w:lang w:val="en-GB"/>
        </w:rPr>
        <w:t>employ</w:t>
      </w:r>
      <w:r w:rsidR="00EB5014">
        <w:rPr>
          <w:lang w:val="en-GB"/>
        </w:rPr>
        <w:t xml:space="preserve"> the cathode-less </w:t>
      </w:r>
      <w:r w:rsidR="009A2D45">
        <w:rPr>
          <w:lang w:val="en-GB"/>
        </w:rPr>
        <w:t xml:space="preserve">[3] </w:t>
      </w:r>
      <w:r w:rsidR="00EB5014">
        <w:rPr>
          <w:lang w:val="en-GB"/>
        </w:rPr>
        <w:t>poling configuration in order to examine</w:t>
      </w:r>
      <w:r w:rsidR="00365743">
        <w:rPr>
          <w:lang w:val="en-GB"/>
        </w:rPr>
        <w:t xml:space="preserve"> the </w:t>
      </w:r>
      <w:r w:rsidR="00EB5014">
        <w:rPr>
          <w:lang w:val="en-GB"/>
        </w:rPr>
        <w:t>performance</w:t>
      </w:r>
      <w:r w:rsidR="00365743">
        <w:rPr>
          <w:lang w:val="en-GB"/>
        </w:rPr>
        <w:t xml:space="preserve"> of a number of </w:t>
      </w:r>
      <w:r w:rsidR="00DD2E05">
        <w:rPr>
          <w:lang w:val="en-GB"/>
        </w:rPr>
        <w:t>diff</w:t>
      </w:r>
      <w:r w:rsidR="00EB5014">
        <w:rPr>
          <w:lang w:val="en-GB"/>
        </w:rPr>
        <w:t xml:space="preserve">erent </w:t>
      </w:r>
      <w:r>
        <w:rPr>
          <w:lang w:val="en-GB"/>
        </w:rPr>
        <w:t xml:space="preserve">liquid electrodes. </w:t>
      </w:r>
      <w:r w:rsidR="00EB5014">
        <w:rPr>
          <w:lang w:val="en-GB"/>
        </w:rPr>
        <w:t xml:space="preserve">The resulting fiber devices were </w:t>
      </w:r>
      <w:r w:rsidR="008E3405">
        <w:rPr>
          <w:lang w:val="en-GB"/>
        </w:rPr>
        <w:t xml:space="preserve">initially </w:t>
      </w:r>
      <w:r w:rsidR="00EB5014">
        <w:rPr>
          <w:lang w:val="en-GB"/>
        </w:rPr>
        <w:t xml:space="preserve">characterised in terms of </w:t>
      </w:r>
      <w:r w:rsidR="008E3405">
        <w:rPr>
          <w:lang w:val="en-GB"/>
        </w:rPr>
        <w:t xml:space="preserve">their </w:t>
      </w:r>
      <w:r w:rsidR="00EB5014">
        <w:rPr>
          <w:lang w:val="en-GB"/>
        </w:rPr>
        <w:t xml:space="preserve">linear transmission losses and </w:t>
      </w:r>
      <w:r w:rsidR="008E3405">
        <w:rPr>
          <w:lang w:val="en-GB"/>
        </w:rPr>
        <w:t xml:space="preserve">tested </w:t>
      </w:r>
      <w:r w:rsidR="00EB5014">
        <w:rPr>
          <w:lang w:val="en-GB"/>
        </w:rPr>
        <w:t>for evidence of depletion region formation</w:t>
      </w:r>
      <w:r w:rsidR="008E3405">
        <w:rPr>
          <w:lang w:val="en-GB"/>
        </w:rPr>
        <w:t>. The eff</w:t>
      </w:r>
      <w:r w:rsidR="007B31BA">
        <w:rPr>
          <w:lang w:val="en-GB"/>
        </w:rPr>
        <w:t>ective second order nonlinearities</w:t>
      </w:r>
      <w:r w:rsidR="008E3405">
        <w:rPr>
          <w:lang w:val="en-GB"/>
        </w:rPr>
        <w:t xml:space="preserve"> </w:t>
      </w:r>
      <w:r w:rsidR="007B31BA">
        <w:rPr>
          <w:lang w:val="en-GB"/>
        </w:rPr>
        <w:t>were</w:t>
      </w:r>
      <w:r w:rsidR="008E3405">
        <w:rPr>
          <w:lang w:val="en-GB"/>
        </w:rPr>
        <w:t xml:space="preserve"> </w:t>
      </w:r>
      <w:r w:rsidR="009A2D45">
        <w:rPr>
          <w:lang w:val="en-GB"/>
        </w:rPr>
        <w:t xml:space="preserve">then </w:t>
      </w:r>
      <w:r w:rsidR="008E3405">
        <w:rPr>
          <w:lang w:val="en-GB"/>
        </w:rPr>
        <w:t>evaluated by quasi</w:t>
      </w:r>
      <w:r w:rsidR="00DD2E05">
        <w:rPr>
          <w:lang w:val="en-GB"/>
        </w:rPr>
        <w:t xml:space="preserve">-phase matching (QPM) </w:t>
      </w:r>
      <w:r w:rsidR="007B31BA">
        <w:rPr>
          <w:lang w:val="en-GB"/>
        </w:rPr>
        <w:t xml:space="preserve">a 1550nm </w:t>
      </w:r>
      <w:r w:rsidR="00F05CCC">
        <w:rPr>
          <w:lang w:val="en-GB"/>
        </w:rPr>
        <w:t xml:space="preserve">laser </w:t>
      </w:r>
      <w:r w:rsidR="007B31BA">
        <w:rPr>
          <w:lang w:val="en-GB"/>
        </w:rPr>
        <w:t xml:space="preserve">pump wavelength </w:t>
      </w:r>
      <w:r w:rsidR="00A27DDA">
        <w:rPr>
          <w:lang w:val="en-GB"/>
        </w:rPr>
        <w:t>via</w:t>
      </w:r>
      <w:r w:rsidR="00B31264">
        <w:rPr>
          <w:lang w:val="en-GB"/>
        </w:rPr>
        <w:t xml:space="preserve"> the UV erasure technique [7</w:t>
      </w:r>
      <w:r w:rsidR="007B31BA">
        <w:rPr>
          <w:lang w:val="en-GB"/>
        </w:rPr>
        <w:t>] and</w:t>
      </w:r>
      <w:r w:rsidR="00A27DDA">
        <w:rPr>
          <w:lang w:val="en-GB"/>
        </w:rPr>
        <w:t xml:space="preserve"> </w:t>
      </w:r>
      <w:r w:rsidR="007B31BA">
        <w:rPr>
          <w:lang w:val="en-GB"/>
        </w:rPr>
        <w:t xml:space="preserve">measuring the </w:t>
      </w:r>
      <w:r w:rsidR="00DD2E05">
        <w:rPr>
          <w:lang w:val="en-GB"/>
        </w:rPr>
        <w:t xml:space="preserve">second harmonic generation (SHG) </w:t>
      </w:r>
      <w:r w:rsidR="00F05CCC">
        <w:rPr>
          <w:lang w:val="en-GB"/>
        </w:rPr>
        <w:t>output</w:t>
      </w:r>
      <w:r w:rsidR="009A2D45" w:rsidRPr="009A2D45">
        <w:rPr>
          <w:lang w:val="en-GB"/>
        </w:rPr>
        <w:t xml:space="preserve"> </w:t>
      </w:r>
      <w:r w:rsidR="009A2D45">
        <w:rPr>
          <w:lang w:val="en-GB"/>
        </w:rPr>
        <w:t>power</w:t>
      </w:r>
      <w:r w:rsidR="007B31BA">
        <w:rPr>
          <w:lang w:val="en-GB"/>
        </w:rPr>
        <w:t>.</w:t>
      </w:r>
      <w:r w:rsidR="00DD2E05">
        <w:rPr>
          <w:lang w:val="en-GB"/>
        </w:rPr>
        <w:t xml:space="preserve"> </w:t>
      </w:r>
      <w:r w:rsidR="00A27DDA">
        <w:rPr>
          <w:lang w:val="en-GB"/>
        </w:rPr>
        <w:t>By comparing these</w:t>
      </w:r>
      <w:r w:rsidR="00DD721C">
        <w:rPr>
          <w:lang w:val="en-GB"/>
        </w:rPr>
        <w:t xml:space="preserve"> </w:t>
      </w:r>
      <w:r w:rsidR="00A27DDA">
        <w:rPr>
          <w:lang w:val="en-GB"/>
        </w:rPr>
        <w:t>different electrode types and their respective optical fiber device performa</w:t>
      </w:r>
      <w:r w:rsidR="009A2D45">
        <w:rPr>
          <w:lang w:val="en-GB"/>
        </w:rPr>
        <w:t>nce parameters, we can</w:t>
      </w:r>
      <w:r w:rsidR="00A27DDA">
        <w:rPr>
          <w:lang w:val="en-GB"/>
        </w:rPr>
        <w:t xml:space="preserve"> identify new routes t</w:t>
      </w:r>
      <w:r w:rsidR="00D4120F">
        <w:rPr>
          <w:lang w:val="en-GB"/>
        </w:rPr>
        <w:t xml:space="preserve">owards the realisation of </w:t>
      </w:r>
      <w:r w:rsidR="00B82269">
        <w:rPr>
          <w:lang w:val="en-GB"/>
        </w:rPr>
        <w:t>highly efficient and robust</w:t>
      </w:r>
      <w:r w:rsidR="00B82269" w:rsidRPr="00B82269">
        <w:t xml:space="preserve"> </w:t>
      </w:r>
      <w:r w:rsidR="00B82269">
        <w:rPr>
          <w:rFonts w:ascii="Calibri" w:hAnsi="Calibri"/>
          <w:lang w:val="en-GB"/>
        </w:rPr>
        <w:t>χ</w:t>
      </w:r>
      <w:r w:rsidR="00B82269">
        <w:rPr>
          <w:vertAlign w:val="superscript"/>
          <w:lang w:val="en-GB"/>
        </w:rPr>
        <w:t>(2)</w:t>
      </w:r>
      <w:r w:rsidR="00B82269">
        <w:rPr>
          <w:lang w:val="en-GB"/>
        </w:rPr>
        <w:t xml:space="preserve"> </w:t>
      </w:r>
      <w:r w:rsidR="00682215">
        <w:rPr>
          <w:lang w:val="en-GB"/>
        </w:rPr>
        <w:t xml:space="preserve"> fiber</w:t>
      </w:r>
      <w:r w:rsidR="00B82269">
        <w:rPr>
          <w:lang w:val="en-GB"/>
        </w:rPr>
        <w:t xml:space="preserve"> waveguides.</w:t>
      </w:r>
    </w:p>
    <w:p w14:paraId="7EF983FA" w14:textId="4F983951" w:rsidR="00DD2E05" w:rsidRDefault="00C8455D" w:rsidP="00AA1E2B">
      <w:pPr>
        <w:pStyle w:val="OSABodyIndent"/>
      </w:pPr>
      <w:r>
        <w:rPr>
          <w:lang w:val="en-GB"/>
        </w:rPr>
        <w:t xml:space="preserve">In order to ensure reproducibility, four identical, </w:t>
      </w:r>
      <w:r>
        <w:t>twin-hole Germania doped</w:t>
      </w:r>
      <w:r w:rsidR="003724EA">
        <w:t>,</w:t>
      </w:r>
      <w:r>
        <w:t xml:space="preserve"> fused silica </w:t>
      </w:r>
      <w:r w:rsidR="00DD2E05">
        <w:t>fiber</w:t>
      </w:r>
      <w:r w:rsidR="000A381D">
        <w:t>s</w:t>
      </w:r>
      <w:r>
        <w:t xml:space="preserve"> sourced from Acreo Fiberlab (OD = 125 </w:t>
      </w:r>
      <w:r>
        <w:rPr>
          <w:rFonts w:ascii="Calibri" w:hAnsi="Calibri"/>
        </w:rPr>
        <w:t>μ</w:t>
      </w:r>
      <w:r>
        <w:t xml:space="preserve">m, NA = 0.17, electrodes holes diameter = 30 </w:t>
      </w:r>
      <w:r>
        <w:rPr>
          <w:rFonts w:ascii="Calibri" w:hAnsi="Calibri"/>
        </w:rPr>
        <w:t>μ</w:t>
      </w:r>
      <w:r>
        <w:t xml:space="preserve">m, core diameter = 4 </w:t>
      </w:r>
      <w:r>
        <w:rPr>
          <w:rFonts w:ascii="Calibri" w:hAnsi="Calibri"/>
        </w:rPr>
        <w:t>μ</w:t>
      </w:r>
      <w:r>
        <w:t>m) were u</w:t>
      </w:r>
      <w:r w:rsidR="00037219">
        <w:t>sed. The schematic in Fig. 1 shows the experimental setup consisting</w:t>
      </w:r>
      <w:r w:rsidR="00DD2E05">
        <w:t xml:space="preserve"> of a m</w:t>
      </w:r>
      <w:r w:rsidR="00C80627">
        <w:t>etallic heater (which</w:t>
      </w:r>
      <w:r w:rsidR="005F2D2F">
        <w:t xml:space="preserve"> also</w:t>
      </w:r>
      <w:r w:rsidR="00C80627">
        <w:t xml:space="preserve"> acts</w:t>
      </w:r>
      <w:r w:rsidR="00DD2E05">
        <w:t xml:space="preserve"> </w:t>
      </w:r>
      <w:r w:rsidR="00C80627">
        <w:t xml:space="preserve">as </w:t>
      </w:r>
      <w:r w:rsidR="00D5219C">
        <w:t xml:space="preserve">the electrical </w:t>
      </w:r>
      <w:r w:rsidR="00C80627">
        <w:t xml:space="preserve">ground-plane </w:t>
      </w:r>
      <w:r w:rsidR="00D5219C">
        <w:t>for this poling configuration) on</w:t>
      </w:r>
      <w:r w:rsidR="00DD2E05">
        <w:t xml:space="preserve"> top </w:t>
      </w:r>
      <w:r w:rsidR="00C80627">
        <w:t xml:space="preserve">of which </w:t>
      </w:r>
      <w:r w:rsidR="00D5219C">
        <w:t xml:space="preserve">is placed </w:t>
      </w:r>
      <w:r w:rsidR="00C80627">
        <w:t xml:space="preserve">a </w:t>
      </w:r>
      <w:r w:rsidR="00D5219C">
        <w:t xml:space="preserve">10mm thick borosilicate glass strip in order </w:t>
      </w:r>
      <w:r w:rsidR="00DD2E05">
        <w:t xml:space="preserve">to </w:t>
      </w:r>
      <w:r w:rsidR="00D5219C">
        <w:t>ensure</w:t>
      </w:r>
      <w:r w:rsidR="00DD2E05">
        <w:t xml:space="preserve"> </w:t>
      </w:r>
      <w:r w:rsidR="00D5219C">
        <w:t xml:space="preserve">adequate electrical </w:t>
      </w:r>
      <w:r w:rsidR="00DD2E05">
        <w:t>insulation between the electrodes embedded into the sample and the grounded surface of the hotplate</w:t>
      </w:r>
      <w:r w:rsidR="00CA6F7C">
        <w:t xml:space="preserve"> </w:t>
      </w:r>
      <w:r w:rsidR="00A33680">
        <w:t xml:space="preserve">whilst simultaneously </w:t>
      </w:r>
      <w:r w:rsidR="00CA6F7C">
        <w:t>maintaining a good thermal contact</w:t>
      </w:r>
      <w:r w:rsidR="00DD2E05">
        <w:t xml:space="preserve">. This </w:t>
      </w:r>
      <w:r w:rsidR="00D5219C">
        <w:t xml:space="preserve">particular </w:t>
      </w:r>
      <w:r w:rsidR="00DD2E05">
        <w:t xml:space="preserve">setup allows for </w:t>
      </w:r>
      <w:r w:rsidR="00A33680">
        <w:t xml:space="preserve">thermal </w:t>
      </w:r>
      <w:r w:rsidR="00DD2E05">
        <w:t xml:space="preserve">poling </w:t>
      </w:r>
      <w:r w:rsidR="00D5219C">
        <w:t xml:space="preserve">of </w:t>
      </w:r>
      <w:r w:rsidR="00DD2E05">
        <w:t xml:space="preserve">samples </w:t>
      </w:r>
      <w:r w:rsidR="00D5219C">
        <w:t>up to</w:t>
      </w:r>
      <w:r w:rsidR="00DD2E05">
        <w:t xml:space="preserve"> 60 cm </w:t>
      </w:r>
      <w:r w:rsidR="00CA6F7C">
        <w:t>in length, but much longer lengths can easily be</w:t>
      </w:r>
      <w:r w:rsidR="00DC6C46">
        <w:t xml:space="preserve"> </w:t>
      </w:r>
    </w:p>
    <w:p w14:paraId="45490435" w14:textId="1DD9E98D" w:rsidR="00DD2E05" w:rsidRDefault="000B04D8" w:rsidP="00DD2E05">
      <w:pPr>
        <w:pStyle w:val="OSAFigure"/>
      </w:pPr>
      <w:r>
        <w:rPr>
          <w:noProof/>
          <w:lang w:val="en-GB" w:eastAsia="en-GB"/>
        </w:rPr>
        <w:lastRenderedPageBreak/>
        <w:drawing>
          <wp:inline distT="0" distB="0" distL="0" distR="0" wp14:anchorId="50BA559D" wp14:editId="740B664B">
            <wp:extent cx="3113405" cy="1196175"/>
            <wp:effectExtent l="0" t="0" r="10795" b="0"/>
            <wp:docPr id="2"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3405" cy="1196175"/>
                    </a:xfrm>
                    <a:prstGeom prst="rect">
                      <a:avLst/>
                    </a:prstGeom>
                    <a:noFill/>
                    <a:ln>
                      <a:noFill/>
                    </a:ln>
                  </pic:spPr>
                </pic:pic>
              </a:graphicData>
            </a:graphic>
          </wp:inline>
        </w:drawing>
      </w:r>
    </w:p>
    <w:p w14:paraId="1D333ECC" w14:textId="666AB0D6" w:rsidR="00DD2E05" w:rsidRPr="00DD2E05" w:rsidRDefault="005F2D2F" w:rsidP="00DD2E05">
      <w:pPr>
        <w:pStyle w:val="OSAFigureCaption"/>
      </w:pPr>
      <w:r>
        <w:t xml:space="preserve">Fig. 1. </w:t>
      </w:r>
      <w:r w:rsidR="005E7FF7">
        <w:t>S</w:t>
      </w:r>
      <w:r>
        <w:t xml:space="preserve">chematic of </w:t>
      </w:r>
      <w:r w:rsidR="00DD2E05">
        <w:t>setup</w:t>
      </w:r>
      <w:r>
        <w:t xml:space="preserve"> used</w:t>
      </w:r>
      <w:r w:rsidR="00DD2E05">
        <w:t xml:space="preserve"> for thermal poling of optical fibers </w:t>
      </w:r>
      <w:r>
        <w:t>with</w:t>
      </w:r>
      <w:r w:rsidR="00DD2E05">
        <w:t xml:space="preserve"> </w:t>
      </w:r>
      <w:r>
        <w:t>internal liquid electrodes.</w:t>
      </w:r>
    </w:p>
    <w:p w14:paraId="6A742727" w14:textId="3D305C5F" w:rsidR="00BA2428" w:rsidRPr="00AB6AD4" w:rsidRDefault="00F02CE5" w:rsidP="00CB1B9D">
      <w:pPr>
        <w:pStyle w:val="OSABody"/>
      </w:pPr>
      <w:r>
        <w:t xml:space="preserve">accommodated using the Petri dish setup previously used in [6] provided the optimum poling temperature is maintained along the entire sample. The electrode liquids used to fill the twin-hole fiber samples were Gallium, Mercury, HCl solution </w:t>
      </w:r>
      <w:r w:rsidRPr="00B42984">
        <w:t>diluted at 20%</w:t>
      </w:r>
      <w:r>
        <w:t xml:space="preserve"> in DI water and finally ordinary tap water. The liquid metals were introduced into the samples using pressurization techniques [4] whereas the aqueous solutions could be inserted via normal capillary action. After filling, tungsten wires were inserted into the twin holes at one end of the samples, ensuring electrical contact with the liquid. Both ends were then sealed with epoxy or superglue and all four samples poled under the same experimental conditions, with an applied voltage of +5 kV, a hotplate temperature of 300 </w:t>
      </w:r>
      <w:r>
        <w:rPr>
          <w:rFonts w:ascii="Calibri" w:hAnsi="Calibri"/>
        </w:rPr>
        <w:t>°</w:t>
      </w:r>
      <w:r>
        <w:t xml:space="preserve">C, a heating time of 120 mins followed by a cooling time of 45 mins to room temperature with the HV constantly applied. </w:t>
      </w:r>
      <w:r w:rsidR="00AB6AD4">
        <w:t>The second-order nonlinearity i</w:t>
      </w:r>
      <w:r w:rsidR="00BA2428" w:rsidRPr="00BA2428">
        <w:rPr>
          <w:lang w:val="en-GB"/>
        </w:rPr>
        <w:t>nduced by thermal poling is defined by the following equation [1]:</w:t>
      </w:r>
    </w:p>
    <w:p w14:paraId="050EF643" w14:textId="62C80EED" w:rsidR="00DD2E05" w:rsidRPr="00DD2E05" w:rsidRDefault="00CB1AB1" w:rsidP="00BA2428">
      <w:pPr>
        <w:pStyle w:val="OSAEquations"/>
      </w:pPr>
      <m:oMath>
        <m:sSup>
          <m:sSupPr>
            <m:ctrlPr>
              <w:rPr>
                <w:rFonts w:ascii="Cambria Math" w:hAnsi="Cambria Math"/>
                <w:i/>
              </w:rPr>
            </m:ctrlPr>
          </m:sSupPr>
          <m:e>
            <m:r>
              <m:rPr>
                <m:sty m:val="bi"/>
              </m:rPr>
              <w:rPr>
                <w:rFonts w:ascii="Cambria Math" w:hAnsi="Cambria Math"/>
              </w:rPr>
              <m:t>χ</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3</m:t>
            </m:r>
            <m:r>
              <m:rPr>
                <m:sty m:val="bi"/>
              </m:rPr>
              <w:rPr>
                <w:rFonts w:ascii="Cambria Math" w:hAnsi="Cambria Math"/>
              </w:rPr>
              <m:t>χ</m:t>
            </m:r>
          </m:e>
          <m:sup>
            <m:r>
              <m:rPr>
                <m:sty m:val="bi"/>
              </m:rPr>
              <w:rPr>
                <w:rFonts w:ascii="Cambria Math" w:hAnsi="Cambria Math"/>
              </w:rPr>
              <m:t>(3)</m:t>
            </m:r>
          </m:sup>
        </m:sSup>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rec</m:t>
            </m:r>
          </m:sub>
        </m:sSub>
      </m:oMath>
      <w:r w:rsidR="00BA2428">
        <w:t xml:space="preserve">                           </w:t>
      </w:r>
      <w:r w:rsidR="00BA2428" w:rsidRPr="00BA2428">
        <w:rPr>
          <w:sz w:val="18"/>
          <w:szCs w:val="18"/>
        </w:rPr>
        <w:t>(1)</w:t>
      </w:r>
    </w:p>
    <w:p w14:paraId="60D9F299" w14:textId="2997281F" w:rsidR="00BA2428" w:rsidRPr="00AF7D7B" w:rsidRDefault="00AB6AD4" w:rsidP="00AA1E2B">
      <w:pPr>
        <w:pStyle w:val="OSABodyIndent"/>
      </w:pPr>
      <w:r>
        <w:rPr>
          <w:lang w:val="en-GB"/>
        </w:rPr>
        <w:t xml:space="preserve">where </w:t>
      </w:r>
      <w:r>
        <w:rPr>
          <w:rFonts w:ascii="Calibri" w:hAnsi="Calibri"/>
          <w:lang w:val="en-GB"/>
        </w:rPr>
        <w:t>χ</w:t>
      </w:r>
      <w:r>
        <w:rPr>
          <w:vertAlign w:val="superscript"/>
          <w:lang w:val="en-GB"/>
        </w:rPr>
        <w:t>(3)</w:t>
      </w:r>
      <w:r w:rsidR="00BA2428" w:rsidRPr="00BA2428">
        <w:t xml:space="preserve"> </w:t>
      </w:r>
      <w:r w:rsidR="00F91D86">
        <w:t xml:space="preserve">is </w:t>
      </w:r>
      <w:r w:rsidR="00BA2428" w:rsidRPr="00BA2428">
        <w:t xml:space="preserve">the third-order susceptibility, which is a property of the glass used to </w:t>
      </w:r>
      <w:r w:rsidR="003A06AF">
        <w:t>make</w:t>
      </w:r>
      <w:r w:rsidR="00F91D86">
        <w:t xml:space="preserve"> the fiber </w:t>
      </w:r>
      <w:r w:rsidR="00BA2428" w:rsidRPr="00BA2428">
        <w:t xml:space="preserve">and </w:t>
      </w:r>
      <w:r w:rsidR="00BA2428" w:rsidRPr="00BA2428">
        <w:rPr>
          <w:i/>
        </w:rPr>
        <w:t>E</w:t>
      </w:r>
      <w:r w:rsidR="00BA2428" w:rsidRPr="00BA2428">
        <w:rPr>
          <w:i/>
          <w:vertAlign w:val="subscript"/>
        </w:rPr>
        <w:t>rec</w:t>
      </w:r>
      <w:r w:rsidR="00BA2428" w:rsidRPr="00BA2428">
        <w:t xml:space="preserve"> is the electric field frozen into the optical fiber </w:t>
      </w:r>
      <w:r w:rsidR="003A06AF">
        <w:t>due to</w:t>
      </w:r>
      <w:r w:rsidR="00BA2428" w:rsidRPr="00BA2428">
        <w:t xml:space="preserve"> space charge regio</w:t>
      </w:r>
      <w:r w:rsidR="003A06AF">
        <w:t xml:space="preserve">n formation. This effect arises </w:t>
      </w:r>
      <w:r w:rsidR="00BA2428" w:rsidRPr="00BA2428">
        <w:t xml:space="preserve">due to electromigration of impurity ions already present </w:t>
      </w:r>
      <w:r w:rsidR="003A06AF">
        <w:t>in</w:t>
      </w:r>
      <w:r w:rsidR="00BA2428" w:rsidRPr="00BA2428">
        <w:t xml:space="preserve"> the glass, </w:t>
      </w:r>
      <w:r w:rsidR="003A06AF">
        <w:t>due to an applied</w:t>
      </w:r>
      <w:r w:rsidR="00BA2428" w:rsidRPr="00BA2428">
        <w:t xml:space="preserve"> electric field </w:t>
      </w:r>
      <w:r w:rsidR="003A06AF">
        <w:t>at elevated (~</w:t>
      </w:r>
      <w:r w:rsidR="003A06AF" w:rsidRPr="00BA2428">
        <w:t>300 °C</w:t>
      </w:r>
      <w:r w:rsidR="003A06AF">
        <w:t>) temperatures</w:t>
      </w:r>
      <w:r w:rsidR="00B31264">
        <w:t xml:space="preserve"> [8</w:t>
      </w:r>
      <w:r w:rsidR="00BA2428" w:rsidRPr="00BA2428">
        <w:t>]. Th</w:t>
      </w:r>
      <w:r w:rsidR="00E16663">
        <w:t>is</w:t>
      </w:r>
      <w:r w:rsidR="003A06AF">
        <w:t xml:space="preserve"> depletion region formation is strong evidence </w:t>
      </w:r>
      <w:r w:rsidR="00BA2428" w:rsidRPr="00BA2428">
        <w:t xml:space="preserve">of </w:t>
      </w:r>
      <w:r w:rsidR="003A06AF">
        <w:t>an</w:t>
      </w:r>
      <w:r w:rsidR="00BA2428" w:rsidRPr="00BA2428">
        <w:t xml:space="preserve"> electric field </w:t>
      </w:r>
      <w:r w:rsidR="003A06AF">
        <w:t xml:space="preserve">frozen into the glass </w:t>
      </w:r>
      <w:r w:rsidR="00BA2428" w:rsidRPr="00BA2428">
        <w:t xml:space="preserve">and </w:t>
      </w:r>
      <w:r w:rsidR="003A06AF">
        <w:t>thus</w:t>
      </w:r>
      <w:r w:rsidR="00BA2428" w:rsidRPr="00BA2428">
        <w:t xml:space="preserve"> of an effective second-order nonlinearity </w:t>
      </w:r>
      <w:r w:rsidR="003A06AF">
        <w:t>created in the fiber.</w:t>
      </w:r>
      <w:r w:rsidR="00F91D86">
        <w:t xml:space="preserve"> </w:t>
      </w:r>
      <w:r w:rsidR="00E16663">
        <w:t>A very useful method for</w:t>
      </w:r>
      <w:r w:rsidR="00BA2428" w:rsidRPr="00BA2428">
        <w:t xml:space="preserve"> direct visualization of the space charge region</w:t>
      </w:r>
      <w:r w:rsidR="00E16663">
        <w:t xml:space="preserve"> formation</w:t>
      </w:r>
      <w:r w:rsidR="00BA2428" w:rsidRPr="00BA2428">
        <w:t xml:space="preserve"> is the HF acid</w:t>
      </w:r>
      <w:r w:rsidR="00631DC5">
        <w:t xml:space="preserve"> </w:t>
      </w:r>
      <w:r w:rsidR="00B31264">
        <w:t>decorative etching technique [9</w:t>
      </w:r>
      <w:r w:rsidR="00BA2428" w:rsidRPr="00BA2428">
        <w:t>]. In Fig. 2</w:t>
      </w:r>
      <w:r w:rsidR="00F91D86">
        <w:t>, micrograph cross-</w:t>
      </w:r>
      <w:r w:rsidR="00BA2428" w:rsidRPr="00BA2428">
        <w:t xml:space="preserve">sections of </w:t>
      </w:r>
      <w:r w:rsidR="00F91D86">
        <w:t xml:space="preserve">the </w:t>
      </w:r>
      <w:r w:rsidR="00BA2428" w:rsidRPr="00BA2428">
        <w:t xml:space="preserve">samples poled </w:t>
      </w:r>
      <w:r w:rsidR="00F91D86">
        <w:t>using these four different electrode types are shown</w:t>
      </w:r>
      <w:r w:rsidR="00BA2428" w:rsidRPr="00BA2428">
        <w:t xml:space="preserve"> after being e</w:t>
      </w:r>
      <w:r w:rsidR="003801FA">
        <w:t>tc</w:t>
      </w:r>
      <w:r w:rsidR="00C30292">
        <w:t>hed for 1 min in HF buffered solution</w:t>
      </w:r>
      <w:r w:rsidR="00F91D86">
        <w:t>. The</w:t>
      </w:r>
      <w:r w:rsidR="003A7746">
        <w:t>se</w:t>
      </w:r>
      <w:r w:rsidR="003801FA">
        <w:t xml:space="preserve"> etched </w:t>
      </w:r>
      <w:r w:rsidR="00BA2428" w:rsidRPr="00BA2428">
        <w:t xml:space="preserve">sections </w:t>
      </w:r>
      <w:r w:rsidR="003A7746">
        <w:t>are taken from</w:t>
      </w:r>
      <w:r w:rsidR="003801FA">
        <w:t xml:space="preserve"> a region </w:t>
      </w:r>
      <w:r w:rsidR="003A7746">
        <w:t>halfway along the length of each fiber.</w:t>
      </w:r>
      <w:r w:rsidR="003801FA">
        <w:t xml:space="preserve"> </w:t>
      </w:r>
      <w:r w:rsidR="00BC495F">
        <w:t xml:space="preserve">As expected, </w:t>
      </w:r>
      <w:r w:rsidR="00E357D2">
        <w:t xml:space="preserve">under the large applied bias and temperature of 300 </w:t>
      </w:r>
      <w:r w:rsidR="00E357D2">
        <w:rPr>
          <w:rFonts w:ascii="Calibri" w:hAnsi="Calibri"/>
        </w:rPr>
        <w:t>°</w:t>
      </w:r>
      <w:r w:rsidR="00E357D2">
        <w:t xml:space="preserve">C, </w:t>
      </w:r>
      <w:r w:rsidR="00BC495F">
        <w:t xml:space="preserve">the non-volatile liquid metal electrodes </w:t>
      </w:r>
      <w:r w:rsidR="00E357D2">
        <w:t xml:space="preserve">generated depletion regions </w:t>
      </w:r>
      <w:r w:rsidR="00E424B8">
        <w:t>throughout</w:t>
      </w:r>
      <w:r w:rsidR="00E357D2">
        <w:t xml:space="preserve"> the fiber samples as shown in Fig. 2</w:t>
      </w:r>
      <w:r w:rsidR="00B90343">
        <w:t xml:space="preserve">. </w:t>
      </w:r>
      <w:r w:rsidR="00E357D2">
        <w:t xml:space="preserve">Remarkably, </w:t>
      </w:r>
      <w:r w:rsidR="00E424B8">
        <w:t>given</w:t>
      </w:r>
      <w:r w:rsidR="00E357D2">
        <w:t xml:space="preserve"> these extreme conditions, the embedded aqueous electrodes also yielded well-defined depletion regions (shown in Fig. 2) </w:t>
      </w:r>
      <w:r w:rsidR="00E424B8">
        <w:t xml:space="preserve">throughout the entire 60 cm length of the </w:t>
      </w:r>
      <w:r w:rsidR="00F45AAF">
        <w:t>test devices and to our knowledge, is the first time that optical fibers have been thermally poled using aqueous electrolytic electrodes.</w:t>
      </w:r>
      <w:r w:rsidR="00F45AAF" w:rsidRPr="00BA2428">
        <w:t xml:space="preserve"> </w:t>
      </w:r>
      <w:r w:rsidR="00F45AAF">
        <w:t>This highly counterintuitive result is currently under further investigation, as it is not yet fully understood how electrical continuity is maintained during poling while the fiber is held well above the boiling points of these aqueous solutions for extended</w:t>
      </w:r>
      <w:r w:rsidR="00F45AAF" w:rsidRPr="00F45AAF">
        <w:t xml:space="preserve"> </w:t>
      </w:r>
      <w:r w:rsidR="00F45AAF">
        <w:t>periods. D</w:t>
      </w:r>
      <w:r w:rsidR="00F45AAF" w:rsidRPr="00BA2428">
        <w:t xml:space="preserve">epletion region formation </w:t>
      </w:r>
      <w:r w:rsidR="00F45AAF">
        <w:t>throughout</w:t>
      </w:r>
      <w:r w:rsidR="00F45AAF" w:rsidRPr="00BA2428">
        <w:t xml:space="preserve"> </w:t>
      </w:r>
      <w:r w:rsidR="00F45AAF">
        <w:t>the entire sample is unequivocal evidence that</w:t>
      </w:r>
      <w:r w:rsidR="00F45AAF" w:rsidRPr="00BA2428">
        <w:t xml:space="preserve"> electrical continuity </w:t>
      </w:r>
      <w:r w:rsidR="00F45AAF">
        <w:t xml:space="preserve">was not </w:t>
      </w:r>
      <w:r w:rsidR="00B90343">
        <w:t>compromised during the experiment.</w:t>
      </w:r>
    </w:p>
    <w:p w14:paraId="243CB0F9" w14:textId="77777777" w:rsidR="00BA2428" w:rsidRPr="00AF7D7B" w:rsidRDefault="00BA2428" w:rsidP="00BA2428">
      <w:pPr>
        <w:pStyle w:val="OSAFigure"/>
      </w:pPr>
      <w:r w:rsidRPr="00AF7D7B">
        <w:rPr>
          <w:noProof/>
          <w:lang w:val="en-GB" w:eastAsia="en-GB"/>
        </w:rPr>
        <w:lastRenderedPageBreak/>
        <w:drawing>
          <wp:inline distT="0" distB="0" distL="0" distR="0" wp14:anchorId="212BEEAA" wp14:editId="7BD5BC4C">
            <wp:extent cx="2995200" cy="3297600"/>
            <wp:effectExtent l="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9">
                      <a:extLst>
                        <a:ext uri="{28A0092B-C50C-407E-A947-70E740481C1C}">
                          <a14:useLocalDpi xmlns:a14="http://schemas.microsoft.com/office/drawing/2010/main" val="0"/>
                        </a:ext>
                      </a:extLst>
                    </a:blip>
                    <a:stretch>
                      <a:fillRect/>
                    </a:stretch>
                  </pic:blipFill>
                  <pic:spPr>
                    <a:xfrm>
                      <a:off x="0" y="0"/>
                      <a:ext cx="2995200" cy="3297600"/>
                    </a:xfrm>
                    <a:prstGeom prst="rect">
                      <a:avLst/>
                    </a:prstGeom>
                  </pic:spPr>
                </pic:pic>
              </a:graphicData>
            </a:graphic>
          </wp:inline>
        </w:drawing>
      </w:r>
    </w:p>
    <w:p w14:paraId="475E0EAF" w14:textId="46FD91D1" w:rsidR="00BA2428" w:rsidRPr="00AF7D7B" w:rsidRDefault="005E7FF7" w:rsidP="00655F74">
      <w:pPr>
        <w:pStyle w:val="OSAFigureCaption"/>
        <w:rPr>
          <w:color w:val="FF0000"/>
        </w:rPr>
      </w:pPr>
      <w:r w:rsidRPr="00AF7D7B">
        <w:t>Fig. 2.</w:t>
      </w:r>
      <w:r w:rsidR="00BA2428" w:rsidRPr="00AF7D7B">
        <w:t xml:space="preserve"> </w:t>
      </w:r>
      <w:r w:rsidR="009F201D" w:rsidRPr="00AF7D7B">
        <w:t xml:space="preserve">Cross-sectional micrographs of the HF etched samples poled using novel liquid electrode types. The </w:t>
      </w:r>
      <w:r w:rsidR="00EF214B" w:rsidRPr="00AF7D7B">
        <w:t xml:space="preserve">HF </w:t>
      </w:r>
      <w:r w:rsidR="009F201D" w:rsidRPr="00AF7D7B">
        <w:t>dec</w:t>
      </w:r>
      <w:r w:rsidR="00EF214B" w:rsidRPr="00AF7D7B">
        <w:t>orative etching process reveals t</w:t>
      </w:r>
      <w:r w:rsidR="00DC6786">
        <w:t xml:space="preserve">he presence of depletion regions </w:t>
      </w:r>
      <w:r w:rsidR="00EF214B" w:rsidRPr="00AF7D7B">
        <w:t xml:space="preserve">in all four </w:t>
      </w:r>
      <w:r w:rsidR="00BA2428" w:rsidRPr="00AF7D7B">
        <w:t xml:space="preserve">twin-hole Ge-doped </w:t>
      </w:r>
      <w:r w:rsidR="00EF214B" w:rsidRPr="00AF7D7B">
        <w:t>core, fused silica fibers</w:t>
      </w:r>
      <w:r w:rsidR="00EF214B" w:rsidRPr="00AA1E2B">
        <w:t>.</w:t>
      </w:r>
      <w:r w:rsidR="00DC6786" w:rsidRPr="00AA1E2B">
        <w:t xml:space="preserve"> The observed dual concentric depletion region formation</w:t>
      </w:r>
      <w:r w:rsidR="00655F74" w:rsidRPr="00AA1E2B">
        <w:t xml:space="preserve"> (highlighted by means of the red and blue dotted lines</w:t>
      </w:r>
      <w:r w:rsidR="00C804EB" w:rsidRPr="00AA1E2B">
        <w:t xml:space="preserve"> as a guide for the eye</w:t>
      </w:r>
      <w:r w:rsidR="00655F74" w:rsidRPr="00AA1E2B">
        <w:t>)</w:t>
      </w:r>
      <w:r w:rsidR="00DC6786" w:rsidRPr="00AA1E2B">
        <w:t xml:space="preserve"> </w:t>
      </w:r>
      <w:r w:rsidR="00DC6786">
        <w:t>is likely to be du</w:t>
      </w:r>
      <w:r w:rsidR="00940CF6">
        <w:t>e to the Na</w:t>
      </w:r>
      <w:r w:rsidR="00940CF6" w:rsidRPr="00DC6786">
        <w:rPr>
          <w:vertAlign w:val="superscript"/>
        </w:rPr>
        <w:t>+</w:t>
      </w:r>
      <w:r w:rsidR="00940CF6">
        <w:t xml:space="preserve"> and Li</w:t>
      </w:r>
      <w:r w:rsidR="00940CF6" w:rsidRPr="00DC6786">
        <w:rPr>
          <w:vertAlign w:val="superscript"/>
        </w:rPr>
        <w:t>+</w:t>
      </w:r>
      <w:r w:rsidR="00940CF6">
        <w:t xml:space="preserve"> </w:t>
      </w:r>
      <w:r w:rsidR="00DC6786">
        <w:t>impurity charges involved in the electromigration process</w:t>
      </w:r>
      <w:r w:rsidR="00940CF6">
        <w:t xml:space="preserve">, </w:t>
      </w:r>
      <w:r w:rsidR="00DC6786">
        <w:t>typically characterized by differing ion mobilities in the glass [10].</w:t>
      </w:r>
    </w:p>
    <w:p w14:paraId="7E661B53" w14:textId="26EAF618" w:rsidR="00BA2428" w:rsidRPr="00AF7D7B" w:rsidRDefault="00F02CE5" w:rsidP="00AA1E2B">
      <w:pPr>
        <w:pStyle w:val="OSABodyIndent"/>
      </w:pPr>
      <w:r w:rsidRPr="00AF7D7B">
        <w:t xml:space="preserve">Some insight can be gained into this unusual phenomenon by observing the fiber using a </w:t>
      </w:r>
      <w:r w:rsidR="00932587" w:rsidRPr="00AF7D7B">
        <w:t>stereomicroscope during the heating phase of the poling, but before the application of the high voltage.</w:t>
      </w:r>
      <w:r w:rsidR="00932587">
        <w:t xml:space="preserve"> </w:t>
      </w:r>
      <w:r w:rsidR="00BA2428" w:rsidRPr="00BA2428">
        <w:t xml:space="preserve">The </w:t>
      </w:r>
      <w:r w:rsidR="00F15B1D">
        <w:t xml:space="preserve">fiber was </w:t>
      </w:r>
      <w:r w:rsidR="00203C7F">
        <w:t>monitored</w:t>
      </w:r>
      <w:r w:rsidR="00941175">
        <w:t xml:space="preserve"> </w:t>
      </w:r>
      <w:r w:rsidR="00F15B1D">
        <w:t>both in the center</w:t>
      </w:r>
      <w:r w:rsidR="00BA2428" w:rsidRPr="00BA2428">
        <w:t xml:space="preserve"> and on each of the of the</w:t>
      </w:r>
      <w:r w:rsidR="00F15B1D">
        <w:t xml:space="preserve"> end</w:t>
      </w:r>
      <w:r w:rsidR="00BA2428" w:rsidRPr="00BA2428">
        <w:t xml:space="preserve"> caps created to seal </w:t>
      </w:r>
      <w:r w:rsidR="00F15B1D">
        <w:t xml:space="preserve">the fiber. </w:t>
      </w:r>
      <w:r w:rsidR="00BA2428" w:rsidRPr="00BA2428">
        <w:t>Each cap consists of a piece</w:t>
      </w:r>
      <w:r w:rsidR="00F15B1D">
        <w:t xml:space="preserve"> of</w:t>
      </w:r>
      <w:r w:rsidR="00BA2428" w:rsidRPr="00BA2428">
        <w:t xml:space="preserve"> </w:t>
      </w:r>
      <w:r w:rsidR="00F15B1D">
        <w:t xml:space="preserve">silica </w:t>
      </w:r>
      <w:r w:rsidR="00BA2428" w:rsidRPr="00BA2428">
        <w:t xml:space="preserve">capillary </w:t>
      </w:r>
      <w:r w:rsidR="00F15B1D">
        <w:t xml:space="preserve">with an internal diameter larger than the OD of the fiber sample, into which </w:t>
      </w:r>
      <w:r w:rsidR="00BA2428" w:rsidRPr="00BA2428">
        <w:t xml:space="preserve">the </w:t>
      </w:r>
      <w:r w:rsidR="00F15B1D">
        <w:t>end of</w:t>
      </w:r>
      <w:r w:rsidR="00BA2428" w:rsidRPr="00BA2428">
        <w:t xml:space="preserve"> the fiber </w:t>
      </w:r>
      <w:r w:rsidR="00E03D65">
        <w:t>is</w:t>
      </w:r>
      <w:r w:rsidR="00BA2428" w:rsidRPr="00BA2428">
        <w:t xml:space="preserve"> partially inserted and filled with an epoxy resin. </w:t>
      </w:r>
      <w:r w:rsidR="00F15B1D">
        <w:t xml:space="preserve">Once it had reached </w:t>
      </w:r>
      <w:r w:rsidR="00203C7F">
        <w:t>~</w:t>
      </w:r>
      <w:r w:rsidR="008F0615">
        <w:t xml:space="preserve">100 °C, some bubbles were observed </w:t>
      </w:r>
      <w:r w:rsidR="00203C7F">
        <w:t xml:space="preserve">in the center of the fiber which push the aqueous solution </w:t>
      </w:r>
      <w:r w:rsidR="00BA2428" w:rsidRPr="00BA2428">
        <w:t xml:space="preserve">towards </w:t>
      </w:r>
      <w:r w:rsidR="00203C7F">
        <w:t xml:space="preserve">the </w:t>
      </w:r>
      <w:r w:rsidR="00BA2428" w:rsidRPr="00BA2428">
        <w:t xml:space="preserve">ends. </w:t>
      </w:r>
      <w:r w:rsidR="00203C7F">
        <w:t>At</w:t>
      </w:r>
      <w:r w:rsidR="00BA2428" w:rsidRPr="00BA2428">
        <w:t xml:space="preserve"> 300 °C, </w:t>
      </w:r>
      <w:r w:rsidR="008F0615">
        <w:t xml:space="preserve">before applying the external voltage, </w:t>
      </w:r>
      <w:r w:rsidR="00BA2428" w:rsidRPr="00BA2428">
        <w:t>the fiber</w:t>
      </w:r>
      <w:r w:rsidR="00203C7F">
        <w:t xml:space="preserve"> sample</w:t>
      </w:r>
      <w:r w:rsidR="00BA2428" w:rsidRPr="00BA2428">
        <w:t xml:space="preserve"> appears </w:t>
      </w:r>
      <w:r w:rsidR="00203C7F">
        <w:t>to be</w:t>
      </w:r>
      <w:r w:rsidR="00BA2428" w:rsidRPr="00BA2428">
        <w:t xml:space="preserve"> completely em</w:t>
      </w:r>
      <w:r w:rsidR="008F0615">
        <w:t>pty in the 60 cm of length placed</w:t>
      </w:r>
      <w:r w:rsidR="00203C7F">
        <w:t xml:space="preserve"> on top of the hotplate, with some liquid remaining in the</w:t>
      </w:r>
      <w:r w:rsidR="00BA2428" w:rsidRPr="00BA2428">
        <w:t xml:space="preserve"> parts of the fiber located close to the </w:t>
      </w:r>
      <w:r w:rsidR="00203C7F">
        <w:t xml:space="preserve">end </w:t>
      </w:r>
      <w:r w:rsidR="00BA2428" w:rsidRPr="00BA2428">
        <w:t xml:space="preserve">caps. </w:t>
      </w:r>
      <w:r w:rsidR="0011039A">
        <w:t xml:space="preserve">We hypothesize that </w:t>
      </w:r>
      <w:r w:rsidR="00F009B8">
        <w:t>at high temperature</w:t>
      </w:r>
      <w:r w:rsidR="00B06E1B">
        <w:t xml:space="preserve">, the aqueous solution is close to its supercritical </w:t>
      </w:r>
      <w:r w:rsidR="00B72410">
        <w:t xml:space="preserve">fluid </w:t>
      </w:r>
      <w:r w:rsidR="00B06E1B">
        <w:t>point (which for water, is at 374</w:t>
      </w:r>
      <w:r w:rsidR="00B06E1B" w:rsidRPr="00BA2428">
        <w:t xml:space="preserve"> °C</w:t>
      </w:r>
      <w:r w:rsidR="00BA204C">
        <w:t xml:space="preserve"> and 221.1 Bar).</w:t>
      </w:r>
      <w:r w:rsidR="0052743D">
        <w:t xml:space="preserve"> </w:t>
      </w:r>
      <w:r w:rsidR="00BA204C">
        <w:t xml:space="preserve">Under these conditions, it is expected that the conductance of the fluid </w:t>
      </w:r>
      <w:r w:rsidR="0052743D">
        <w:t>will rapidly increase</w:t>
      </w:r>
      <w:r w:rsidR="00BA204C">
        <w:t xml:space="preserve"> [</w:t>
      </w:r>
      <w:r w:rsidR="00365788">
        <w:t>11</w:t>
      </w:r>
      <w:r w:rsidR="00B31264">
        <w:t>]</w:t>
      </w:r>
      <w:r w:rsidR="00BA204C">
        <w:t xml:space="preserve"> and indeed can exhibit conductance values orders of magnitude higher compared with standard t</w:t>
      </w:r>
      <w:r w:rsidR="00941175">
        <w:t xml:space="preserve">emperature and pressure values. </w:t>
      </w:r>
      <w:r w:rsidR="00B72410">
        <w:t xml:space="preserve">This near-critical operating point </w:t>
      </w:r>
      <w:r w:rsidR="006E54F4">
        <w:t xml:space="preserve">could </w:t>
      </w:r>
      <w:r w:rsidR="00B72410">
        <w:t xml:space="preserve">therefore allow the </w:t>
      </w:r>
      <w:r w:rsidR="006E54F4">
        <w:t xml:space="preserve">high pressure/temperature/conductance </w:t>
      </w:r>
      <w:r w:rsidR="00B72410">
        <w:t xml:space="preserve">fluid </w:t>
      </w:r>
      <w:r w:rsidR="00B72410" w:rsidRPr="00BA2428">
        <w:t xml:space="preserve">created </w:t>
      </w:r>
      <w:r w:rsidR="00A427F9">
        <w:t>with</w:t>
      </w:r>
      <w:r w:rsidR="00B72410" w:rsidRPr="00BA2428">
        <w:t>i</w:t>
      </w:r>
      <w:r w:rsidR="00B80B2C">
        <w:t xml:space="preserve">n the </w:t>
      </w:r>
      <w:r w:rsidR="00A427F9">
        <w:t>twin-hole fiber to act as</w:t>
      </w:r>
      <w:r w:rsidR="006E54F4">
        <w:t xml:space="preserve"> </w:t>
      </w:r>
      <w:r w:rsidR="00A427F9">
        <w:t xml:space="preserve">an </w:t>
      </w:r>
      <w:r w:rsidR="006E54F4">
        <w:t>efficient electrode</w:t>
      </w:r>
      <w:r w:rsidR="00F72958">
        <w:t>. E</w:t>
      </w:r>
      <w:r w:rsidR="00BA2428" w:rsidRPr="00BA2428">
        <w:t>lectrical continuity</w:t>
      </w:r>
      <w:r w:rsidR="00F72958">
        <w:t xml:space="preserve"> is completed</w:t>
      </w:r>
      <w:r w:rsidR="00BA2428" w:rsidRPr="00BA2428">
        <w:t xml:space="preserve"> </w:t>
      </w:r>
      <w:r w:rsidR="00F72958">
        <w:t xml:space="preserve">via </w:t>
      </w:r>
      <w:r w:rsidR="00C729DC">
        <w:t xml:space="preserve">the liquid regions </w:t>
      </w:r>
      <w:r w:rsidR="00F72958">
        <w:t xml:space="preserve">located at the end caps </w:t>
      </w:r>
      <w:r w:rsidR="00C729DC">
        <w:t xml:space="preserve">and </w:t>
      </w:r>
      <w:r w:rsidR="00BA2428" w:rsidRPr="00BA2428">
        <w:t xml:space="preserve">the tungsten wires inserted </w:t>
      </w:r>
      <w:r w:rsidR="00C729DC">
        <w:t>inside</w:t>
      </w:r>
      <w:r w:rsidR="00BA2428" w:rsidRPr="00BA2428">
        <w:t xml:space="preserve">. </w:t>
      </w:r>
      <w:r w:rsidR="00BA2428" w:rsidRPr="00AF7D7B">
        <w:t xml:space="preserve">Further investigations </w:t>
      </w:r>
      <w:r w:rsidR="00C729DC" w:rsidRPr="00AF7D7B">
        <w:t>to confirm this hypothesis will be addressed in future work</w:t>
      </w:r>
      <w:r w:rsidR="00D92CBF" w:rsidRPr="00AF7D7B">
        <w:t>, focusing on in-situ optical spectroscopic studies [</w:t>
      </w:r>
      <w:r w:rsidR="00365788" w:rsidRPr="00AF7D7B">
        <w:t>12</w:t>
      </w:r>
      <w:r w:rsidR="00E31BF4" w:rsidRPr="00AF7D7B">
        <w:t>]</w:t>
      </w:r>
      <w:r w:rsidR="00D92CBF" w:rsidRPr="00AF7D7B">
        <w:t xml:space="preserve"> for </w:t>
      </w:r>
      <w:r w:rsidR="00A427F9" w:rsidRPr="00AF7D7B">
        <w:t xml:space="preserve">which </w:t>
      </w:r>
      <w:r w:rsidR="00D92CBF" w:rsidRPr="00AF7D7B">
        <w:t>the optical fiber platform is inherently well suited</w:t>
      </w:r>
      <w:r w:rsidR="00C729DC" w:rsidRPr="00AF7D7B">
        <w:t xml:space="preserve">. </w:t>
      </w:r>
    </w:p>
    <w:p w14:paraId="2E33317F" w14:textId="19EFB915" w:rsidR="00BA2428" w:rsidRPr="00A427F9" w:rsidRDefault="00626508" w:rsidP="00AA1E2B">
      <w:pPr>
        <w:pStyle w:val="OSABodyIndent"/>
        <w:rPr>
          <w:lang w:val="en-GB"/>
        </w:rPr>
      </w:pPr>
      <w:r w:rsidRPr="00AF7D7B">
        <w:lastRenderedPageBreak/>
        <w:t xml:space="preserve">As previously described, the </w:t>
      </w:r>
      <w:r w:rsidR="00BA2428" w:rsidRPr="00AF7D7B">
        <w:t xml:space="preserve">HF decorative etching procedure </w:t>
      </w:r>
      <w:r w:rsidR="00B31264" w:rsidRPr="00AF7D7B">
        <w:t>[9</w:t>
      </w:r>
      <w:r w:rsidRPr="00AF7D7B">
        <w:t xml:space="preserve">] is strongly indicative, but not a rigorously quantitative measurement </w:t>
      </w:r>
      <w:r w:rsidR="00AE0D8D" w:rsidRPr="00AF7D7B">
        <w:t>of the induced</w:t>
      </w:r>
      <w:r w:rsidR="00BA2428" w:rsidRPr="00AF7D7B">
        <w:t xml:space="preserve"> nonlinearity.</w:t>
      </w:r>
      <w:r w:rsidR="00BA2428">
        <w:t xml:space="preserve"> In order to obtain a </w:t>
      </w:r>
      <w:r w:rsidR="007D1482">
        <w:t>comprehensive evaluation</w:t>
      </w:r>
      <w:r w:rsidR="00BA2428">
        <w:t xml:space="preserve"> of the induced</w:t>
      </w:r>
      <w:r w:rsidR="007D1482">
        <w:t xml:space="preserve"> </w:t>
      </w:r>
      <w:r w:rsidR="007D1482">
        <w:rPr>
          <w:rFonts w:ascii="Calibri" w:hAnsi="Calibri"/>
          <w:lang w:val="en-GB"/>
        </w:rPr>
        <w:t>χ</w:t>
      </w:r>
      <w:r w:rsidR="007D1482">
        <w:rPr>
          <w:vertAlign w:val="superscript"/>
          <w:lang w:val="en-GB"/>
        </w:rPr>
        <w:t>(2)</w:t>
      </w:r>
      <w:r w:rsidR="007D1482">
        <w:rPr>
          <w:lang w:val="en-GB"/>
        </w:rPr>
        <w:t xml:space="preserve"> </w:t>
      </w:r>
      <w:r w:rsidR="007D1482">
        <w:t>value</w:t>
      </w:r>
      <w:r w:rsidR="00E70731">
        <w:t>, the SHG response can be measured</w:t>
      </w:r>
      <w:r w:rsidR="00A427F9">
        <w:t xml:space="preserve"> by </w:t>
      </w:r>
      <w:r w:rsidR="00A427F9">
        <w:rPr>
          <w:lang w:val="en-GB"/>
        </w:rPr>
        <w:t xml:space="preserve">modulating </w:t>
      </w:r>
      <w:r w:rsidR="00904C8E">
        <w:rPr>
          <w:lang w:val="en-GB"/>
        </w:rPr>
        <w:t>the</w:t>
      </w:r>
      <w:r w:rsidR="00A427F9" w:rsidRPr="00255AC9">
        <w:rPr>
          <w:lang w:val="en-GB"/>
        </w:rPr>
        <w:t xml:space="preserve"> nonlinearity</w:t>
      </w:r>
      <w:r w:rsidR="00B31264">
        <w:rPr>
          <w:lang w:val="en-GB"/>
        </w:rPr>
        <w:t xml:space="preserve"> via UV erasure techniques [7</w:t>
      </w:r>
      <w:r w:rsidR="00A3400B">
        <w:rPr>
          <w:lang w:val="en-GB"/>
        </w:rPr>
        <w:t xml:space="preserve">] </w:t>
      </w:r>
      <w:r w:rsidR="008F768A">
        <w:rPr>
          <w:lang w:val="en-GB"/>
        </w:rPr>
        <w:t>which allows for</w:t>
      </w:r>
      <w:r w:rsidR="00A427F9">
        <w:rPr>
          <w:lang w:val="en-GB"/>
        </w:rPr>
        <w:t xml:space="preserve"> </w:t>
      </w:r>
      <w:r w:rsidR="00A427F9">
        <w:t>quasi-phase match</w:t>
      </w:r>
      <w:r w:rsidR="008F768A">
        <w:t>ing</w:t>
      </w:r>
      <w:r w:rsidR="00365788">
        <w:t xml:space="preserve"> [13</w:t>
      </w:r>
      <w:r w:rsidR="00A427F9">
        <w:t xml:space="preserve">] </w:t>
      </w:r>
      <w:r w:rsidR="00BA2428">
        <w:rPr>
          <w:lang w:val="en-GB"/>
        </w:rPr>
        <w:t xml:space="preserve">the phase velocity </w:t>
      </w:r>
      <w:r w:rsidR="001B262E">
        <w:rPr>
          <w:lang w:val="en-GB"/>
        </w:rPr>
        <w:t xml:space="preserve">disparity </w:t>
      </w:r>
      <w:r w:rsidR="00BA2428" w:rsidRPr="00255AC9">
        <w:rPr>
          <w:lang w:val="en-GB"/>
        </w:rPr>
        <w:t>in dispersive media</w:t>
      </w:r>
      <w:r w:rsidR="00BA2428">
        <w:rPr>
          <w:lang w:val="en-GB"/>
        </w:rPr>
        <w:t xml:space="preserve"> </w:t>
      </w:r>
      <w:r w:rsidR="00904C8E">
        <w:rPr>
          <w:lang w:val="en-GB"/>
        </w:rPr>
        <w:t>present</w:t>
      </w:r>
      <w:r w:rsidR="00A427F9">
        <w:rPr>
          <w:lang w:val="en-GB"/>
        </w:rPr>
        <w:t xml:space="preserve"> </w:t>
      </w:r>
      <w:r w:rsidR="00BA2428">
        <w:rPr>
          <w:lang w:val="en-GB"/>
        </w:rPr>
        <w:t xml:space="preserve">between </w:t>
      </w:r>
      <w:r w:rsidR="00A427F9">
        <w:rPr>
          <w:lang w:val="en-GB"/>
        </w:rPr>
        <w:t xml:space="preserve">the </w:t>
      </w:r>
      <w:r w:rsidR="00BA2428">
        <w:rPr>
          <w:lang w:val="en-GB"/>
        </w:rPr>
        <w:t xml:space="preserve">pump </w:t>
      </w:r>
      <w:r w:rsidR="00A427F9">
        <w:rPr>
          <w:lang w:val="en-GB"/>
        </w:rPr>
        <w:t>wavelength and the SHG.</w:t>
      </w:r>
      <w:r w:rsidR="00BA2428">
        <w:rPr>
          <w:lang w:val="en-GB"/>
        </w:rPr>
        <w:t xml:space="preserve"> The relationship between the period of the grating written by UV erasure and the wavelength of the pump where the second harmonic</w:t>
      </w:r>
      <w:r w:rsidR="008F768A">
        <w:rPr>
          <w:lang w:val="en-GB"/>
        </w:rPr>
        <w:t xml:space="preserve"> is phase-matched (to</w:t>
      </w:r>
      <w:r w:rsidR="00BA2428">
        <w:rPr>
          <w:lang w:val="en-GB"/>
        </w:rPr>
        <w:t xml:space="preserve"> first order</w:t>
      </w:r>
      <w:r w:rsidR="002614B1">
        <w:rPr>
          <w:lang w:val="en-GB"/>
        </w:rPr>
        <w:t xml:space="preserve"> of approximation</w:t>
      </w:r>
      <w:r w:rsidR="00BA2428">
        <w:rPr>
          <w:lang w:val="en-GB"/>
        </w:rPr>
        <w:t xml:space="preserve">) is expressed </w:t>
      </w:r>
      <w:r w:rsidR="008F768A">
        <w:rPr>
          <w:lang w:val="en-GB"/>
        </w:rPr>
        <w:t>in</w:t>
      </w:r>
      <w:r w:rsidR="00BA2428">
        <w:rPr>
          <w:lang w:val="en-GB"/>
        </w:rPr>
        <w:t xml:space="preserve"> Eq. 2:</w:t>
      </w:r>
    </w:p>
    <w:p w14:paraId="7CFE8FCD" w14:textId="77777777" w:rsidR="00BA2428" w:rsidRDefault="00CB1AB1" w:rsidP="00BA2428">
      <w:pPr>
        <w:pStyle w:val="OSAEquations"/>
        <w:rPr>
          <w:lang w:val="en-GB"/>
        </w:rPr>
      </w:pPr>
      <m:oMath>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QPM</m:t>
            </m:r>
          </m:sub>
        </m:sSub>
        <m:r>
          <m:rPr>
            <m:sty m:val="bi"/>
          </m:rPr>
          <w:rPr>
            <w:rFonts w:ascii="Cambria Math" w:hAnsi="Cambria Math"/>
          </w:rPr>
          <m:t>=</m:t>
        </m:r>
        <m:f>
          <m:fPr>
            <m:ctrlPr>
              <w:rPr>
                <w:rFonts w:ascii="Cambria Math" w:hAnsi="Cambria Math"/>
                <w:i/>
              </w:rPr>
            </m:ctrlPr>
          </m:fPr>
          <m:num>
            <m:r>
              <m:rPr>
                <m:sty m:val="bi"/>
              </m:rPr>
              <w:rPr>
                <w:rFonts w:ascii="Cambria Math" w:hAnsi="Cambria Math"/>
              </w:rPr>
              <m:t>λ</m:t>
            </m:r>
          </m:num>
          <m:den>
            <m:r>
              <m:rPr>
                <m:sty m:val="bi"/>
              </m:rPr>
              <w:rPr>
                <w:rFonts w:ascii="Cambria Math" w:hAnsi="Cambria Math"/>
              </w:rPr>
              <m:t>2</m:t>
            </m:r>
            <m:d>
              <m:dPr>
                <m:ctrlPr>
                  <w:rPr>
                    <w:rFonts w:ascii="Cambria Math" w:hAnsi="Cambria Math"/>
                    <w:i/>
                  </w:rPr>
                </m:ctrlPr>
              </m:dPr>
              <m:e>
                <m:sSubSup>
                  <m:sSubSupPr>
                    <m:ctrlPr>
                      <w:rPr>
                        <w:rFonts w:ascii="Cambria Math" w:hAnsi="Cambria Math"/>
                        <w:i/>
                      </w:rPr>
                    </m:ctrlPr>
                  </m:sSubSupPr>
                  <m:e>
                    <m:r>
                      <m:rPr>
                        <m:sty m:val="bi"/>
                      </m:rPr>
                      <w:rPr>
                        <w:rFonts w:ascii="Cambria Math" w:hAnsi="Cambria Math"/>
                      </w:rPr>
                      <m:t>n</m:t>
                    </m:r>
                  </m:e>
                  <m:sub>
                    <m:r>
                      <m:rPr>
                        <m:sty m:val="bi"/>
                      </m:rPr>
                      <w:rPr>
                        <w:rFonts w:ascii="Cambria Math" w:hAnsi="Cambria Math"/>
                      </w:rPr>
                      <m:t>eff</m:t>
                    </m:r>
                  </m:sub>
                  <m:sup>
                    <m:r>
                      <m:rPr>
                        <m:sty m:val="bi"/>
                      </m:rPr>
                      <w:rPr>
                        <w:rFonts w:ascii="Cambria Math" w:hAnsi="Cambria Math"/>
                      </w:rPr>
                      <m:t>2</m:t>
                    </m:r>
                    <m:r>
                      <m:rPr>
                        <m:sty m:val="bi"/>
                      </m:rPr>
                      <w:rPr>
                        <w:rFonts w:ascii="Cambria Math" w:hAnsi="Cambria Math"/>
                      </w:rPr>
                      <m:t>ω</m:t>
                    </m:r>
                  </m:sup>
                </m:sSubSup>
                <m:r>
                  <m:rPr>
                    <m:sty m:val="bi"/>
                  </m:rPr>
                  <w:rPr>
                    <w:rFonts w:ascii="Cambria Math" w:hAnsi="Cambria Math"/>
                  </w:rPr>
                  <m:t>-</m:t>
                </m:r>
                <m:sSubSup>
                  <m:sSubSupPr>
                    <m:ctrlPr>
                      <w:rPr>
                        <w:rFonts w:ascii="Cambria Math" w:hAnsi="Cambria Math"/>
                        <w:i/>
                      </w:rPr>
                    </m:ctrlPr>
                  </m:sSubSupPr>
                  <m:e>
                    <m:r>
                      <m:rPr>
                        <m:sty m:val="bi"/>
                      </m:rPr>
                      <w:rPr>
                        <w:rFonts w:ascii="Cambria Math" w:hAnsi="Cambria Math"/>
                      </w:rPr>
                      <m:t>n</m:t>
                    </m:r>
                  </m:e>
                  <m:sub>
                    <m:r>
                      <m:rPr>
                        <m:sty m:val="bi"/>
                      </m:rPr>
                      <w:rPr>
                        <w:rFonts w:ascii="Cambria Math" w:hAnsi="Cambria Math"/>
                      </w:rPr>
                      <m:t>eff</m:t>
                    </m:r>
                  </m:sub>
                  <m:sup>
                    <m:r>
                      <m:rPr>
                        <m:sty m:val="bi"/>
                      </m:rPr>
                      <w:rPr>
                        <w:rFonts w:ascii="Cambria Math" w:hAnsi="Cambria Math"/>
                      </w:rPr>
                      <m:t>ω</m:t>
                    </m:r>
                  </m:sup>
                </m:sSubSup>
              </m:e>
            </m:d>
          </m:den>
        </m:f>
      </m:oMath>
      <w:r w:rsidR="00BA2428">
        <w:rPr>
          <w:lang w:val="en-GB"/>
        </w:rPr>
        <w:t xml:space="preserve">         </w:t>
      </w:r>
      <w:r w:rsidR="005A0BC0">
        <w:rPr>
          <w:lang w:val="en-GB"/>
        </w:rPr>
        <w:t xml:space="preserve">  </w:t>
      </w:r>
      <w:r w:rsidR="00BA2428">
        <w:rPr>
          <w:lang w:val="en-GB"/>
        </w:rPr>
        <w:t xml:space="preserve">               </w:t>
      </w:r>
      <w:r w:rsidR="00BA2428" w:rsidRPr="00BA2428">
        <w:rPr>
          <w:sz w:val="18"/>
          <w:szCs w:val="18"/>
          <w:lang w:val="en-GB"/>
        </w:rPr>
        <w:t>(2)</w:t>
      </w:r>
    </w:p>
    <w:p w14:paraId="7B4A6B56" w14:textId="2DC4BF0D" w:rsidR="00136672" w:rsidRPr="00AA1E2B" w:rsidRDefault="00136672" w:rsidP="00AA1E2B">
      <w:pPr>
        <w:pStyle w:val="OSABodyIndent"/>
      </w:pPr>
      <w:r w:rsidRPr="00AA1E2B">
        <w:t xml:space="preserve">where </w:t>
      </w:r>
      <m:oMath>
        <m:sSub>
          <m:sSubPr>
            <m:ctrlPr>
              <w:rPr>
                <w:rFonts w:ascii="Cambria Math" w:hAnsi="Cambria Math"/>
                <w:i/>
              </w:rPr>
            </m:ctrlPr>
          </m:sSubPr>
          <m:e>
            <m:r>
              <w:rPr>
                <w:rFonts w:ascii="Cambria Math" w:hAnsi="Cambria Math"/>
              </w:rPr>
              <m:t>n</m:t>
            </m:r>
          </m:e>
          <m:sub>
            <m:r>
              <w:rPr>
                <w:rFonts w:ascii="Cambria Math" w:hAnsi="Cambria Math"/>
              </w:rPr>
              <m:t>eff</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eff</m:t>
            </m:r>
          </m:sub>
        </m:sSub>
        <m:d>
          <m:dPr>
            <m:ctrlPr>
              <w:rPr>
                <w:rFonts w:ascii="Cambria Math" w:hAnsi="Cambria Math"/>
                <w:i/>
              </w:rPr>
            </m:ctrlPr>
          </m:dPr>
          <m:e>
            <m:r>
              <w:rPr>
                <w:rFonts w:ascii="Cambria Math" w:hAnsi="Cambria Math"/>
              </w:rPr>
              <m:t>λ, NA, a</m:t>
            </m:r>
          </m:e>
        </m:d>
      </m:oMath>
      <w:r w:rsidRPr="00AA1E2B">
        <w:t xml:space="preserve"> is the effective refractive index of the propagating modes and depends on the wavelength of the fundamental mode, the NA of the fiber and the diameter of the fiber core (a).</w:t>
      </w:r>
    </w:p>
    <w:p w14:paraId="4CDFB44B" w14:textId="33869F6E" w:rsidR="0096734B" w:rsidRDefault="00435A52" w:rsidP="00AA1E2B">
      <w:pPr>
        <w:pStyle w:val="OSABodyIndent"/>
      </w:pPr>
      <w:r>
        <w:t>Prior to the grating writing process, it is necessary to completely remove the electrodes from the fiber samples in order to minimize linear loss. This is particularly true for the liquid metal electrodes as these exhibit very high optical absorption loss</w:t>
      </w:r>
      <w:r w:rsidR="00E42147">
        <w:t>es</w:t>
      </w:r>
      <w:r>
        <w:t xml:space="preserve"> [</w:t>
      </w:r>
      <w:r w:rsidR="00B31264">
        <w:t>6</w:t>
      </w:r>
      <w:r w:rsidR="00E42147">
        <w:t xml:space="preserve">]. These metals (i.e., Gallium and Mercury) can be removed by </w:t>
      </w:r>
      <w:r w:rsidR="00DB3178">
        <w:t>using</w:t>
      </w:r>
      <w:r w:rsidR="00E42147">
        <w:t xml:space="preserve"> the same pressurization system initial</w:t>
      </w:r>
      <w:r w:rsidR="00427FEA">
        <w:t>ly used to fill the fibers [4</w:t>
      </w:r>
      <w:r w:rsidR="00E42147">
        <w:t xml:space="preserve">]. However, we note that </w:t>
      </w:r>
      <w:r w:rsidR="00BA2428" w:rsidRPr="00BA2428">
        <w:t>the samples poled by means o</w:t>
      </w:r>
      <w:r w:rsidR="0096734B">
        <w:t>f electrolytic solutions do not</w:t>
      </w:r>
      <w:r w:rsidR="00E42147">
        <w:t xml:space="preserve"> need to be purged and emptied as</w:t>
      </w:r>
      <w:r w:rsidR="00BA2428" w:rsidRPr="00BA2428">
        <w:t xml:space="preserve"> the aqueous </w:t>
      </w:r>
      <w:r w:rsidR="00E42147">
        <w:t>electrodes</w:t>
      </w:r>
      <w:r w:rsidR="0096734B">
        <w:t xml:space="preserve"> at 300 °C </w:t>
      </w:r>
      <w:r w:rsidR="00BA2428" w:rsidRPr="00BA2428">
        <w:t>in the part of the fibers located on top of the heater</w:t>
      </w:r>
      <w:r w:rsidR="0096734B">
        <w:t xml:space="preserve"> </w:t>
      </w:r>
      <w:r w:rsidR="00110212">
        <w:t>are already</w:t>
      </w:r>
      <w:r w:rsidR="00E42147">
        <w:t xml:space="preserve"> completely void once thermal poling is completed</w:t>
      </w:r>
      <w:r w:rsidR="0096734B">
        <w:t>.</w:t>
      </w:r>
      <w:r w:rsidR="00BA2428">
        <w:t xml:space="preserve"> </w:t>
      </w:r>
    </w:p>
    <w:p w14:paraId="64C31F95" w14:textId="015C1E52" w:rsidR="00327DC2" w:rsidRDefault="00BA2428" w:rsidP="00AA1E2B">
      <w:pPr>
        <w:pStyle w:val="OSABodyIndent"/>
      </w:pPr>
      <w:r w:rsidRPr="00BA2428">
        <w:t xml:space="preserve">The experimental setup used to write the </w:t>
      </w:r>
      <w:r w:rsidR="00FF5515" w:rsidRPr="00BA2428">
        <w:t xml:space="preserve">QPM </w:t>
      </w:r>
      <w:r w:rsidRPr="00BA2428">
        <w:t>grating</w:t>
      </w:r>
      <w:r w:rsidR="00E42147">
        <w:t>s</w:t>
      </w:r>
      <w:r w:rsidRPr="00BA2428">
        <w:t xml:space="preserve"> is the same </w:t>
      </w:r>
      <w:r w:rsidR="00FF5515">
        <w:t xml:space="preserve">as </w:t>
      </w:r>
      <w:r w:rsidR="00B31264">
        <w:t>reported in [6</w:t>
      </w:r>
      <w:r w:rsidRPr="00BA2428">
        <w:t xml:space="preserve">], </w:t>
      </w:r>
      <w:r w:rsidR="00FF5515">
        <w:t>in which</w:t>
      </w:r>
      <w:r w:rsidRPr="00BA2428">
        <w:t xml:space="preserve"> 355 nm </w:t>
      </w:r>
      <w:r w:rsidR="00FF5515">
        <w:t xml:space="preserve">laser </w:t>
      </w:r>
      <w:r w:rsidRPr="00BA2428">
        <w:t xml:space="preserve">radiation </w:t>
      </w:r>
      <w:r w:rsidR="00110212">
        <w:t xml:space="preserve">is </w:t>
      </w:r>
      <w:r w:rsidRPr="00BA2428">
        <w:t>delivered as a 200-kH</w:t>
      </w:r>
      <w:r w:rsidR="00CD7825">
        <w:t>z train of 8-ps pulses,</w:t>
      </w:r>
      <w:r w:rsidR="00FF5515">
        <w:t xml:space="preserve"> </w:t>
      </w:r>
      <w:r w:rsidRPr="00BA2428">
        <w:t xml:space="preserve">focused to a 10 μm×100 μm spot size </w:t>
      </w:r>
      <w:r w:rsidR="00110212">
        <w:t xml:space="preserve">onto the fiber </w:t>
      </w:r>
      <w:r w:rsidRPr="00BA2428">
        <w:t>with</w:t>
      </w:r>
      <w:r w:rsidR="00FF5515">
        <w:t xml:space="preserve"> a total fluence of 200 J/cm</w:t>
      </w:r>
      <w:r w:rsidR="00FF5515" w:rsidRPr="00CD7825">
        <w:rPr>
          <w:vertAlign w:val="superscript"/>
        </w:rPr>
        <w:t>2</w:t>
      </w:r>
      <w:r w:rsidR="00630B5B">
        <w:t>. The</w:t>
      </w:r>
      <w:r w:rsidR="00FF5515">
        <w:t xml:space="preserve"> periodically poled </w:t>
      </w:r>
      <w:r w:rsidRPr="00BA2428">
        <w:t>sa</w:t>
      </w:r>
      <w:r w:rsidR="00C67EEB">
        <w:t xml:space="preserve">mples were </w:t>
      </w:r>
      <w:r w:rsidR="00630B5B">
        <w:t xml:space="preserve">then </w:t>
      </w:r>
      <w:r w:rsidR="00C67EEB">
        <w:t>characterized</w:t>
      </w:r>
      <w:r w:rsidRPr="00BA2428">
        <w:t xml:space="preserve"> </w:t>
      </w:r>
      <w:r w:rsidR="00630B5B">
        <w:t xml:space="preserve">using the setup shown </w:t>
      </w:r>
      <w:r w:rsidR="006668C9">
        <w:t xml:space="preserve">schematically </w:t>
      </w:r>
      <w:r w:rsidR="00630B5B">
        <w:t>in Fig. 3 and th</w:t>
      </w:r>
      <w:r w:rsidR="004E0E7E" w:rsidRPr="004E0E7E">
        <w:t xml:space="preserve">e </w:t>
      </w:r>
      <w:r w:rsidR="00327DC2">
        <w:t xml:space="preserve">resultant </w:t>
      </w:r>
      <w:r w:rsidR="004E0E7E" w:rsidRPr="004E0E7E">
        <w:t xml:space="preserve">tuning curves </w:t>
      </w:r>
      <w:r w:rsidR="00C67EEB">
        <w:t>of</w:t>
      </w:r>
      <w:r w:rsidR="004E0E7E" w:rsidRPr="004E0E7E">
        <w:t xml:space="preserve"> the </w:t>
      </w:r>
      <w:r w:rsidR="00630B5B">
        <w:t>fibers</w:t>
      </w:r>
      <w:r w:rsidR="004E0E7E" w:rsidRPr="004E0E7E">
        <w:t xml:space="preserve"> poled with metallic </w:t>
      </w:r>
      <w:r w:rsidR="0073480E">
        <w:t xml:space="preserve">liquid </w:t>
      </w:r>
      <w:r w:rsidR="004E0E7E" w:rsidRPr="004E0E7E">
        <w:t xml:space="preserve">electrodes are </w:t>
      </w:r>
      <w:r w:rsidR="00327DC2">
        <w:t>shown</w:t>
      </w:r>
      <w:r w:rsidR="00E9355D">
        <w:t xml:space="preserve"> in Fig. 4, demonstrating the </w:t>
      </w:r>
      <w:r w:rsidR="00E9355D" w:rsidRPr="00E9355D">
        <w:t xml:space="preserve">expected </w:t>
      </w:r>
      <w:r w:rsidR="00E9355D">
        <w:t>Sinc</w:t>
      </w:r>
      <w:r w:rsidR="00E9355D" w:rsidRPr="006A755A">
        <w:rPr>
          <w:vertAlign w:val="superscript"/>
        </w:rPr>
        <w:t>2</w:t>
      </w:r>
      <w:r w:rsidR="00E9355D">
        <w:t xml:space="preserve"> transfer</w:t>
      </w:r>
      <w:r w:rsidR="00E9355D" w:rsidRPr="00E9355D">
        <w:t xml:space="preserve"> function</w:t>
      </w:r>
      <w:r w:rsidR="00E9355D">
        <w:t xml:space="preserve">, </w:t>
      </w:r>
      <w:r w:rsidR="00E9355D" w:rsidRPr="00E9355D">
        <w:t xml:space="preserve">i.e. the Fourier transform of the square </w:t>
      </w:r>
      <w:r w:rsidR="00E9355D">
        <w:t xml:space="preserve">QPM </w:t>
      </w:r>
      <w:r w:rsidR="00E9355D" w:rsidRPr="00E9355D">
        <w:t>grating</w:t>
      </w:r>
      <w:r w:rsidR="00E9355D">
        <w:t>.</w:t>
      </w:r>
      <w:r w:rsidR="00AD6EC0">
        <w:t xml:space="preserve"> In order to provide a quantitative value for the </w:t>
      </w:r>
      <w:r w:rsidR="00AD6EC0">
        <w:rPr>
          <w:rFonts w:ascii="Calibri" w:hAnsi="Calibri"/>
          <w:lang w:val="en-GB"/>
        </w:rPr>
        <w:t>χ</w:t>
      </w:r>
      <w:r w:rsidR="00AD6EC0">
        <w:rPr>
          <w:vertAlign w:val="superscript"/>
          <w:lang w:val="en-GB"/>
        </w:rPr>
        <w:t>(2)</w:t>
      </w:r>
      <w:r w:rsidR="00AD6EC0">
        <w:rPr>
          <w:lang w:val="en-GB"/>
        </w:rPr>
        <w:t xml:space="preserve"> </w:t>
      </w:r>
      <w:r w:rsidR="00AD6EC0">
        <w:t>values</w:t>
      </w:r>
      <w:r w:rsidR="008921DE">
        <w:t xml:space="preserve"> according to the analysis </w:t>
      </w:r>
      <w:r w:rsidR="008921DE" w:rsidRPr="0050076C">
        <w:t xml:space="preserve">of </w:t>
      </w:r>
      <w:r w:rsidR="00365788">
        <w:t>Pruneri et al., [14</w:t>
      </w:r>
      <w:r w:rsidR="008921DE" w:rsidRPr="0050076C">
        <w:t>] for a periodically poled fiber, the sample shown in 4(a), i.e. using Gallium electrodes</w:t>
      </w:r>
      <w:r w:rsidR="001F5C59" w:rsidRPr="0050076C">
        <w:t>,</w:t>
      </w:r>
      <w:r w:rsidR="009514E6" w:rsidRPr="0050076C">
        <w:t xml:space="preserve"> </w:t>
      </w:r>
      <w:r w:rsidR="001F5C59" w:rsidRPr="0050076C">
        <w:t>has a</w:t>
      </w:r>
      <w:r w:rsidR="009514E6" w:rsidRPr="0050076C">
        <w:t xml:space="preserve"> </w:t>
      </w:r>
      <w:r w:rsidR="0092503B" w:rsidRPr="0050076C">
        <w:t xml:space="preserve">fabricated </w:t>
      </w:r>
      <w:r w:rsidR="009514E6" w:rsidRPr="0050076C">
        <w:t xml:space="preserve">device length of </w:t>
      </w:r>
      <w:r w:rsidR="0050076C" w:rsidRPr="0050076C">
        <w:t>28.5</w:t>
      </w:r>
      <w:r w:rsidR="009514E6" w:rsidRPr="0050076C">
        <w:t xml:space="preserve"> cm and a moda</w:t>
      </w:r>
      <w:r w:rsidR="0059335F" w:rsidRPr="0050076C">
        <w:t>l overlap area of 49</w:t>
      </w:r>
      <w:r w:rsidR="0050076C" w:rsidRPr="0050076C">
        <w:t>.43</w:t>
      </w:r>
      <w:r w:rsidR="0059335F" w:rsidRPr="0050076C">
        <w:t xml:space="preserve"> μ</w:t>
      </w:r>
      <w:r w:rsidR="00427FEA" w:rsidRPr="0050076C">
        <w:t>m</w:t>
      </w:r>
      <w:r w:rsidR="008A563F">
        <w:rPr>
          <w:vertAlign w:val="superscript"/>
        </w:rPr>
        <w:t>2</w:t>
      </w:r>
      <w:r w:rsidR="00427FEA" w:rsidRPr="0050076C">
        <w:t xml:space="preserve"> at 1550</w:t>
      </w:r>
      <w:r w:rsidR="009514E6" w:rsidRPr="0050076C">
        <w:t xml:space="preserve"> nm </w:t>
      </w:r>
      <w:r w:rsidR="00DC31D5" w:rsidRPr="0050076C">
        <w:t xml:space="preserve">CW </w:t>
      </w:r>
      <w:r w:rsidR="009514E6" w:rsidRPr="0050076C">
        <w:t>pump wavelength</w:t>
      </w:r>
      <w:r w:rsidR="001F5C59" w:rsidRPr="0050076C">
        <w:t xml:space="preserve">. In 4(b) the sample using Mercury electrodes has a device length </w:t>
      </w:r>
      <w:r w:rsidR="0050076C" w:rsidRPr="0050076C">
        <w:t>of 20</w:t>
      </w:r>
      <w:r w:rsidR="001F5C59" w:rsidRPr="0050076C">
        <w:t xml:space="preserve"> cm and a moda</w:t>
      </w:r>
      <w:r w:rsidR="00077855" w:rsidRPr="0050076C">
        <w:t>l overlap area of 49</w:t>
      </w:r>
      <w:r w:rsidR="0050076C" w:rsidRPr="0050076C">
        <w:t>.43</w:t>
      </w:r>
      <w:r w:rsidR="00DB0606">
        <w:t xml:space="preserve"> </w:t>
      </w:r>
      <w:r w:rsidR="00DB0606">
        <w:rPr>
          <w:rFonts w:ascii="Calibri" w:hAnsi="Calibri"/>
        </w:rPr>
        <w:t>µ</w:t>
      </w:r>
      <w:r w:rsidR="00077855" w:rsidRPr="0050076C">
        <w:t>m</w:t>
      </w:r>
      <w:r w:rsidR="00DB0606">
        <w:rPr>
          <w:vertAlign w:val="superscript"/>
        </w:rPr>
        <w:t>2</w:t>
      </w:r>
      <w:r w:rsidR="00077855" w:rsidRPr="0050076C">
        <w:t xml:space="preserve"> at 1550</w:t>
      </w:r>
      <w:r w:rsidR="001F5C59" w:rsidRPr="0050076C">
        <w:t xml:space="preserve"> nm </w:t>
      </w:r>
      <w:r w:rsidR="00DC31D5" w:rsidRPr="0050076C">
        <w:t xml:space="preserve">CW </w:t>
      </w:r>
      <w:r w:rsidR="001F5C59" w:rsidRPr="0050076C">
        <w:t>pump wavelength.</w:t>
      </w:r>
      <w:r w:rsidR="001F5C59">
        <w:t xml:space="preserve"> </w:t>
      </w:r>
    </w:p>
    <w:p w14:paraId="53EB61DF" w14:textId="59067734" w:rsidR="00BA2428" w:rsidRPr="002523FB" w:rsidRDefault="00D3616C" w:rsidP="00AA1E2B">
      <w:pPr>
        <w:pStyle w:val="OSABodyIndent"/>
        <w:rPr>
          <w:iCs/>
          <w:lang w:val="en-GB"/>
        </w:rPr>
      </w:pPr>
      <w:r>
        <w:t>The periodically poled silica fiber (PPSF) device itself consists of two SM980 Thorlabs fiber</w:t>
      </w:r>
      <w:r w:rsidR="00445EDE">
        <w:t>s</w:t>
      </w:r>
      <w:r w:rsidR="00C2160D">
        <w:t xml:space="preserve"> (manufacturer </w:t>
      </w:r>
      <w:r w:rsidR="00DB4675">
        <w:t>datasheet</w:t>
      </w:r>
      <w:r w:rsidR="00C2160D">
        <w:t xml:space="preserve"> parameters; </w:t>
      </w:r>
      <w:r w:rsidR="009B60D2" w:rsidRPr="00C2160D">
        <w:t>OD 125 µm</w:t>
      </w:r>
      <w:r w:rsidR="00C2160D">
        <w:t>,</w:t>
      </w:r>
      <w:r w:rsidR="009B60D2" w:rsidRPr="00C2160D">
        <w:t xml:space="preserve"> 5.3-6.4 µm</w:t>
      </w:r>
      <w:r w:rsidR="00445EDE" w:rsidRPr="00C2160D">
        <w:t xml:space="preserve"> mode field diameter</w:t>
      </w:r>
      <w:r w:rsidR="009B60D2" w:rsidRPr="00C2160D">
        <w:t>@980 nm</w:t>
      </w:r>
      <w:r w:rsidR="00445EDE" w:rsidRPr="00C2160D">
        <w:t xml:space="preserve">, NA = </w:t>
      </w:r>
      <w:r w:rsidR="009B60D2" w:rsidRPr="00C2160D">
        <w:t>0.13-</w:t>
      </w:r>
      <w:r w:rsidR="00445EDE" w:rsidRPr="00C2160D">
        <w:t>0.1</w:t>
      </w:r>
      <w:r w:rsidR="00DB4675">
        <w:t>5)</w:t>
      </w:r>
      <w:r>
        <w:t xml:space="preserve"> spliced to either end of </w:t>
      </w:r>
      <w:r w:rsidR="002523FB">
        <w:t>a</w:t>
      </w:r>
      <w:r>
        <w:t xml:space="preserve"> PPSF to act as buffers </w:t>
      </w:r>
      <w:r w:rsidR="00445EDE">
        <w:t xml:space="preserve">that facilitate optical launch and pumping. </w:t>
      </w:r>
      <w:r>
        <w:t xml:space="preserve">An important aspect of the </w:t>
      </w:r>
      <w:r w:rsidR="002523FB">
        <w:t>measured</w:t>
      </w:r>
      <w:r w:rsidR="00B1505B">
        <w:t xml:space="preserve"> </w:t>
      </w:r>
      <w:r w:rsidR="00B1505B">
        <w:rPr>
          <w:rFonts w:ascii="Calibri" w:hAnsi="Calibri"/>
          <w:lang w:val="en-GB"/>
        </w:rPr>
        <w:t>χ</w:t>
      </w:r>
      <w:r w:rsidR="00B1505B">
        <w:rPr>
          <w:vertAlign w:val="superscript"/>
          <w:lang w:val="en-GB"/>
        </w:rPr>
        <w:t>(2)</w:t>
      </w:r>
      <w:r w:rsidR="00B1505B">
        <w:rPr>
          <w:lang w:val="en-GB"/>
        </w:rPr>
        <w:t xml:space="preserve"> </w:t>
      </w:r>
      <w:r w:rsidR="00B1505B">
        <w:t xml:space="preserve">values, which </w:t>
      </w:r>
      <w:r w:rsidR="002523FB">
        <w:t xml:space="preserve">as well as being </w:t>
      </w:r>
      <w:r>
        <w:rPr>
          <w:iCs/>
          <w:lang w:val="en-GB"/>
        </w:rPr>
        <w:t>depend</w:t>
      </w:r>
      <w:r w:rsidR="002523FB">
        <w:rPr>
          <w:iCs/>
          <w:lang w:val="en-GB"/>
        </w:rPr>
        <w:t>ent</w:t>
      </w:r>
      <w:r>
        <w:rPr>
          <w:iCs/>
          <w:lang w:val="en-GB"/>
        </w:rPr>
        <w:t xml:space="preserve"> </w:t>
      </w:r>
      <w:r w:rsidR="004E0E7E" w:rsidRPr="004E0E7E">
        <w:rPr>
          <w:iCs/>
          <w:lang w:val="en-GB"/>
        </w:rPr>
        <w:t>on the</w:t>
      </w:r>
      <w:r w:rsidR="004E0E7E">
        <w:rPr>
          <w:iCs/>
          <w:lang w:val="en-GB"/>
        </w:rPr>
        <w:t xml:space="preserve"> thermal poling conditions and </w:t>
      </w:r>
      <w:r>
        <w:rPr>
          <w:iCs/>
          <w:lang w:val="en-GB"/>
        </w:rPr>
        <w:t>the</w:t>
      </w:r>
      <w:r w:rsidR="004E0E7E">
        <w:rPr>
          <w:iCs/>
          <w:lang w:val="en-GB"/>
        </w:rPr>
        <w:t xml:space="preserve"> quality </w:t>
      </w:r>
      <w:r>
        <w:rPr>
          <w:iCs/>
          <w:lang w:val="en-GB"/>
        </w:rPr>
        <w:t xml:space="preserve">and accuracy </w:t>
      </w:r>
      <w:r w:rsidR="004E0E7E">
        <w:rPr>
          <w:iCs/>
          <w:lang w:val="en-GB"/>
        </w:rPr>
        <w:t xml:space="preserve">of the </w:t>
      </w:r>
      <w:r>
        <w:rPr>
          <w:iCs/>
          <w:lang w:val="en-GB"/>
        </w:rPr>
        <w:t>QPM grating</w:t>
      </w:r>
      <w:r w:rsidR="004E0E7E">
        <w:rPr>
          <w:iCs/>
          <w:lang w:val="en-GB"/>
        </w:rPr>
        <w:t xml:space="preserve"> writing process, </w:t>
      </w:r>
      <w:r w:rsidR="002523FB">
        <w:rPr>
          <w:iCs/>
          <w:lang w:val="en-GB"/>
        </w:rPr>
        <w:t xml:space="preserve">is the strong influence of the overall device insertion losses, which </w:t>
      </w:r>
      <w:r w:rsidR="004E0E7E">
        <w:rPr>
          <w:iCs/>
          <w:lang w:val="en-GB"/>
        </w:rPr>
        <w:t xml:space="preserve">include the </w:t>
      </w:r>
      <w:r w:rsidR="00A150B4">
        <w:rPr>
          <w:iCs/>
          <w:lang w:val="en-GB"/>
        </w:rPr>
        <w:t>splice and</w:t>
      </w:r>
      <w:r w:rsidR="00C67EEB">
        <w:rPr>
          <w:iCs/>
          <w:lang w:val="en-GB"/>
        </w:rPr>
        <w:t xml:space="preserve"> transmission losses</w:t>
      </w:r>
      <w:r w:rsidR="004E0E7E">
        <w:rPr>
          <w:iCs/>
          <w:lang w:val="en-GB"/>
        </w:rPr>
        <w:t xml:space="preserve">. </w:t>
      </w:r>
      <w:r w:rsidR="002523FB">
        <w:rPr>
          <w:iCs/>
          <w:lang w:val="en-GB"/>
        </w:rPr>
        <w:t xml:space="preserve">Mercury electrodes tend to be </w:t>
      </w:r>
      <w:r w:rsidR="00BC7E55">
        <w:rPr>
          <w:iCs/>
          <w:lang w:val="en-GB"/>
        </w:rPr>
        <w:t xml:space="preserve">superior to Gallium in this respect as they leave few residues after poling and purging, resulting in overall losses of </w:t>
      </w:r>
      <w:r w:rsidR="007B7F4C">
        <w:rPr>
          <w:iCs/>
          <w:lang w:val="en-GB"/>
        </w:rPr>
        <w:t xml:space="preserve">the entire device of </w:t>
      </w:r>
      <w:r w:rsidR="00BC7E55">
        <w:rPr>
          <w:iCs/>
          <w:lang w:val="en-GB"/>
        </w:rPr>
        <w:t>approximately 1 dB</w:t>
      </w:r>
      <w:r w:rsidR="00E31121">
        <w:rPr>
          <w:iCs/>
          <w:lang w:val="en-GB"/>
        </w:rPr>
        <w:t>.</w:t>
      </w:r>
      <w:r w:rsidR="0013108F">
        <w:rPr>
          <w:iCs/>
          <w:lang w:val="en-GB"/>
        </w:rPr>
        <w:t xml:space="preserve"> </w:t>
      </w:r>
      <w:r w:rsidR="00BC7E55">
        <w:rPr>
          <w:iCs/>
          <w:lang w:val="en-GB"/>
        </w:rPr>
        <w:t xml:space="preserve">To our </w:t>
      </w:r>
      <w:r w:rsidR="00BB12EF">
        <w:rPr>
          <w:iCs/>
          <w:lang w:val="en-GB"/>
        </w:rPr>
        <w:t xml:space="preserve">knowledge, the effective </w:t>
      </w:r>
      <w:r w:rsidR="00BB12EF">
        <w:rPr>
          <w:rFonts w:ascii="Calibri" w:hAnsi="Calibri"/>
          <w:lang w:val="en-GB"/>
        </w:rPr>
        <w:t>χ</w:t>
      </w:r>
      <w:r w:rsidR="00BB12EF">
        <w:rPr>
          <w:vertAlign w:val="superscript"/>
          <w:lang w:val="en-GB"/>
        </w:rPr>
        <w:t>(2)</w:t>
      </w:r>
      <w:r w:rsidR="00BB12EF">
        <w:rPr>
          <w:lang w:val="en-GB"/>
        </w:rPr>
        <w:t xml:space="preserve"> </w:t>
      </w:r>
      <w:r w:rsidR="00136672" w:rsidRPr="00AA1E2B">
        <w:rPr>
          <w:iCs/>
          <w:lang w:val="en-GB"/>
        </w:rPr>
        <w:t xml:space="preserve">of </w:t>
      </w:r>
      <w:r w:rsidR="00BB12EF" w:rsidRPr="00AA1E2B">
        <w:rPr>
          <w:iCs/>
          <w:lang w:val="en-GB"/>
        </w:rPr>
        <w:t>0.1</w:t>
      </w:r>
      <w:r w:rsidR="00136672" w:rsidRPr="00AA1E2B">
        <w:rPr>
          <w:iCs/>
          <w:lang w:val="en-GB"/>
        </w:rPr>
        <w:t>2</w:t>
      </w:r>
      <w:r w:rsidR="00BB12EF" w:rsidRPr="00AA1E2B">
        <w:rPr>
          <w:iCs/>
          <w:lang w:val="en-GB"/>
        </w:rPr>
        <w:t xml:space="preserve"> pm/V </w:t>
      </w:r>
      <w:r w:rsidR="00BB12EF">
        <w:rPr>
          <w:iCs/>
          <w:lang w:val="en-GB"/>
        </w:rPr>
        <w:t xml:space="preserve">shown in Fig. 4(b) is the highest value for a PPSF published to date. As a direct comparison, </w:t>
      </w:r>
      <w:r w:rsidR="00BB12EF">
        <w:t>t</w:t>
      </w:r>
      <w:r w:rsidR="00BB12EF" w:rsidRPr="00402C88">
        <w:t xml:space="preserve">he two samples poled </w:t>
      </w:r>
      <w:r w:rsidR="00BB12EF">
        <w:t>using</w:t>
      </w:r>
      <w:r w:rsidR="00BB12EF" w:rsidRPr="00402C88">
        <w:t xml:space="preserve"> aqueous </w:t>
      </w:r>
      <w:r w:rsidR="00BB12EF">
        <w:t>electrodes</w:t>
      </w:r>
      <w:r w:rsidR="00BB12EF" w:rsidRPr="00402C88">
        <w:t xml:space="preserve">, </w:t>
      </w:r>
      <w:r w:rsidR="00BB12EF">
        <w:t xml:space="preserve">which as shown </w:t>
      </w:r>
    </w:p>
    <w:p w14:paraId="08169915" w14:textId="77777777" w:rsidR="004E0E7E" w:rsidRDefault="004E0E7E" w:rsidP="004E0E7E">
      <w:pPr>
        <w:pStyle w:val="OSAFigure"/>
      </w:pPr>
      <w:r>
        <w:rPr>
          <w:noProof/>
          <w:lang w:val="en-GB" w:eastAsia="en-GB"/>
        </w:rPr>
        <w:lastRenderedPageBreak/>
        <w:drawing>
          <wp:inline distT="0" distB="0" distL="0" distR="0" wp14:anchorId="31206C16" wp14:editId="43DF64AE">
            <wp:extent cx="3103245" cy="13716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245" cy="1371600"/>
                    </a:xfrm>
                    <a:prstGeom prst="rect">
                      <a:avLst/>
                    </a:prstGeom>
                    <a:noFill/>
                  </pic:spPr>
                </pic:pic>
              </a:graphicData>
            </a:graphic>
          </wp:inline>
        </w:drawing>
      </w:r>
    </w:p>
    <w:p w14:paraId="65FB71C6" w14:textId="054BC95A" w:rsidR="004E0E7E" w:rsidRPr="004E0E7E" w:rsidRDefault="005E7FF7" w:rsidP="004E0E7E">
      <w:pPr>
        <w:pStyle w:val="OSAFigureCaption"/>
      </w:pPr>
      <w:r>
        <w:t>Fig. 3.</w:t>
      </w:r>
      <w:r w:rsidR="004E0E7E" w:rsidRPr="004E0E7E">
        <w:t xml:space="preserve"> </w:t>
      </w:r>
      <w:r w:rsidR="004E0E7E" w:rsidRPr="004E0E7E">
        <w:rPr>
          <w:lang w:val="en-GB"/>
        </w:rPr>
        <w:t xml:space="preserve">Setup for SHG measurements for PPSF. The source is a tunable diode laser emitting at 1550 nm </w:t>
      </w:r>
      <w:r w:rsidR="00630B5B">
        <w:rPr>
          <w:lang w:val="en-GB"/>
        </w:rPr>
        <w:t>(Photonetics, model 3542 HE CL,</w:t>
      </w:r>
      <w:r w:rsidR="004E0E7E" w:rsidRPr="004E0E7E">
        <w:rPr>
          <w:bCs/>
          <w:lang w:val="en-GB"/>
        </w:rPr>
        <w:t xml:space="preserve"> linewidth (FWHM) = 100 kHz), CW power </w:t>
      </w:r>
      <w:r w:rsidR="00630B5B">
        <w:rPr>
          <w:bCs/>
          <w:lang w:val="en-GB"/>
        </w:rPr>
        <w:t xml:space="preserve">of </w:t>
      </w:r>
      <w:r w:rsidR="004E0E7E" w:rsidRPr="004E0E7E">
        <w:rPr>
          <w:bCs/>
          <w:lang w:val="en-GB"/>
        </w:rPr>
        <w:t>6 mW</w:t>
      </w:r>
      <w:r w:rsidR="00630B5B">
        <w:rPr>
          <w:lang w:val="en-GB"/>
        </w:rPr>
        <w:t>). T</w:t>
      </w:r>
      <w:r w:rsidR="004E0E7E" w:rsidRPr="004E0E7E">
        <w:rPr>
          <w:lang w:val="en-GB"/>
        </w:rPr>
        <w:t>he polarization controller allows for changing the polarizat</w:t>
      </w:r>
      <w:r w:rsidR="00630B5B">
        <w:rPr>
          <w:lang w:val="en-GB"/>
        </w:rPr>
        <w:t>ion state of the pump radiation</w:t>
      </w:r>
      <w:r w:rsidR="004E0E7E" w:rsidRPr="004E0E7E">
        <w:rPr>
          <w:lang w:val="en-GB"/>
        </w:rPr>
        <w:t xml:space="preserve"> and a </w:t>
      </w:r>
      <w:r w:rsidR="00630B5B">
        <w:t>low-p</w:t>
      </w:r>
      <w:r w:rsidR="004E0E7E" w:rsidRPr="004E0E7E">
        <w:t>ower calibrated photodiode sensor (Newport, model 918D-UV-OD3) is used to measure the SH</w:t>
      </w:r>
      <w:r w:rsidR="00630B5B">
        <w:t>G optical</w:t>
      </w:r>
      <w:r w:rsidR="004E0E7E" w:rsidRPr="004E0E7E">
        <w:t xml:space="preserve"> power. </w:t>
      </w:r>
      <w:r w:rsidR="00630B5B">
        <w:t>The</w:t>
      </w:r>
      <w:r w:rsidR="004E0E7E" w:rsidRPr="004E0E7E">
        <w:t xml:space="preserve"> inset </w:t>
      </w:r>
      <w:r w:rsidR="00630B5B">
        <w:t>shows the cross-</w:t>
      </w:r>
      <w:r w:rsidR="004E0E7E" w:rsidRPr="004E0E7E">
        <w:t>section</w:t>
      </w:r>
      <w:r w:rsidR="00630B5B">
        <w:t xml:space="preserve"> of the twin-hole silica fiber. </w:t>
      </w:r>
      <w:r w:rsidR="004E0E7E" w:rsidRPr="004E0E7E">
        <w:t xml:space="preserve">The principal polarization axes of the fiber are assumed aligned along the two orthogonal axes </w:t>
      </w:r>
      <m:oMath>
        <m:r>
          <w:rPr>
            <w:rFonts w:ascii="Cambria Math" w:hAnsi="Cambria Math"/>
          </w:rPr>
          <m:t>x</m:t>
        </m:r>
      </m:oMath>
      <w:r w:rsidR="004E0E7E" w:rsidRPr="004E0E7E">
        <w:t xml:space="preserve"> and</w:t>
      </w:r>
      <m:oMath>
        <m:r>
          <w:rPr>
            <w:rFonts w:ascii="Cambria Math" w:hAnsi="Cambria Math"/>
          </w:rPr>
          <m:t xml:space="preserve"> y</m:t>
        </m:r>
      </m:oMath>
      <w:r w:rsidR="004E0E7E" w:rsidRPr="004E0E7E">
        <w:t xml:space="preserve">, where </w:t>
      </w:r>
      <m:oMath>
        <m:r>
          <w:rPr>
            <w:rFonts w:ascii="Cambria Math" w:hAnsi="Cambria Math"/>
          </w:rPr>
          <m:t>x</m:t>
        </m:r>
      </m:oMath>
      <w:r w:rsidR="004E0E7E" w:rsidRPr="004E0E7E">
        <w:t xml:space="preserve"> is the direction of the frozen-in electric field.</w:t>
      </w:r>
    </w:p>
    <w:p w14:paraId="7A48AD24" w14:textId="77777777" w:rsidR="004E0E7E" w:rsidRDefault="00B21AA5" w:rsidP="004E0E7E">
      <w:pPr>
        <w:pStyle w:val="OSAFigure"/>
      </w:pPr>
      <w:r>
        <w:rPr>
          <w:noProof/>
          <w:lang w:val="en-GB" w:eastAsia="en-GB"/>
        </w:rPr>
        <w:drawing>
          <wp:inline distT="0" distB="0" distL="0" distR="0" wp14:anchorId="6C263522" wp14:editId="26620104">
            <wp:extent cx="3049200" cy="96480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4.png"/>
                    <pic:cNvPicPr/>
                  </pic:nvPicPr>
                  <pic:blipFill rotWithShape="1">
                    <a:blip r:embed="rId11">
                      <a:extLst>
                        <a:ext uri="{28A0092B-C50C-407E-A947-70E740481C1C}">
                          <a14:useLocalDpi xmlns:a14="http://schemas.microsoft.com/office/drawing/2010/main" val="0"/>
                        </a:ext>
                      </a:extLst>
                    </a:blip>
                    <a:srcRect l="1122" r="1331"/>
                    <a:stretch/>
                  </pic:blipFill>
                  <pic:spPr bwMode="auto">
                    <a:xfrm>
                      <a:off x="0" y="0"/>
                      <a:ext cx="3049200" cy="964800"/>
                    </a:xfrm>
                    <a:prstGeom prst="rect">
                      <a:avLst/>
                    </a:prstGeom>
                    <a:ln>
                      <a:noFill/>
                    </a:ln>
                    <a:extLst>
                      <a:ext uri="{53640926-AAD7-44D8-BBD7-CCE9431645EC}">
                        <a14:shadowObscured xmlns:a14="http://schemas.microsoft.com/office/drawing/2010/main"/>
                      </a:ext>
                    </a:extLst>
                  </pic:spPr>
                </pic:pic>
              </a:graphicData>
            </a:graphic>
          </wp:inline>
        </w:drawing>
      </w:r>
    </w:p>
    <w:p w14:paraId="512733B7" w14:textId="17C1CE44" w:rsidR="00885C79" w:rsidRPr="00885C79" w:rsidRDefault="00885C79" w:rsidP="00885C79">
      <w:pPr>
        <w:pStyle w:val="OSAFigureCaption"/>
      </w:pPr>
      <w:r>
        <w:t>Fig. 4</w:t>
      </w:r>
      <w:r w:rsidR="005E7FF7">
        <w:t>. T</w:t>
      </w:r>
      <w:r>
        <w:t>uning curves of the two samples poled b</w:t>
      </w:r>
      <w:r w:rsidR="00244A9A">
        <w:t xml:space="preserve">y means of metallic electrodes for </w:t>
      </w:r>
      <w:r>
        <w:t xml:space="preserve">(a) </w:t>
      </w:r>
      <w:r w:rsidR="0014046F">
        <w:t>Gallium (insertion loss@</w:t>
      </w:r>
      <w:r w:rsidR="00244A9A">
        <w:t>1550 nm</w:t>
      </w:r>
      <w:r w:rsidR="00DE28D6">
        <w:t xml:space="preserve"> = 1.8 dB, </w:t>
      </w:r>
      <w:r w:rsidR="00DE28D6" w:rsidRPr="00AA1E2B">
        <w:rPr>
          <w:rFonts w:ascii="Calibri" w:hAnsi="Calibri"/>
          <w:lang w:val="en-GB"/>
        </w:rPr>
        <w:t>χ</w:t>
      </w:r>
      <w:r w:rsidR="00DE28D6" w:rsidRPr="00AA1E2B">
        <w:rPr>
          <w:vertAlign w:val="superscript"/>
          <w:lang w:val="en-GB"/>
        </w:rPr>
        <w:t>(2)</w:t>
      </w:r>
      <w:r w:rsidR="00DE28D6" w:rsidRPr="00AA1E2B">
        <w:rPr>
          <w:lang w:val="en-GB"/>
        </w:rPr>
        <w:t xml:space="preserve"> </w:t>
      </w:r>
      <w:r w:rsidR="00244A9A" w:rsidRPr="00AA1E2B">
        <w:t xml:space="preserve"> estimated at</w:t>
      </w:r>
      <w:r w:rsidRPr="00AA1E2B">
        <w:t xml:space="preserve"> 0.056 pm/V, </w:t>
      </w:r>
      <w:r w:rsidRPr="00AA1E2B">
        <w:rPr>
          <w:sz w:val="19"/>
          <w:szCs w:val="19"/>
        </w:rPr>
        <w:t>Λ</w:t>
      </w:r>
      <w:r w:rsidRPr="00AA1E2B">
        <w:rPr>
          <w:vertAlign w:val="subscript"/>
        </w:rPr>
        <w:t>QPM</w:t>
      </w:r>
      <w:r w:rsidRPr="00AA1E2B">
        <w:t xml:space="preserve"> = 57.3072</w:t>
      </w:r>
      <w:r w:rsidR="00C67EEB" w:rsidRPr="00AA1E2B">
        <w:t xml:space="preserve"> </w:t>
      </w:r>
      <w:r w:rsidR="00C67EEB" w:rsidRPr="00AA1E2B">
        <w:rPr>
          <w:rFonts w:ascii="Calibri" w:hAnsi="Calibri"/>
        </w:rPr>
        <w:t>µ</w:t>
      </w:r>
      <w:r w:rsidR="00C67EEB" w:rsidRPr="00AA1E2B">
        <w:t>m</w:t>
      </w:r>
      <w:r w:rsidRPr="00AA1E2B">
        <w:t>) and (b) Mercury (</w:t>
      </w:r>
      <w:r w:rsidR="00244A9A" w:rsidRPr="00AA1E2B">
        <w:t>insertion loss</w:t>
      </w:r>
      <w:r w:rsidR="0014046F" w:rsidRPr="00AA1E2B">
        <w:t>@</w:t>
      </w:r>
      <w:r w:rsidRPr="00AA1E2B">
        <w:t>1550 nm</w:t>
      </w:r>
      <w:r w:rsidR="00DE28D6" w:rsidRPr="00AA1E2B">
        <w:t xml:space="preserve"> = 1 dB, </w:t>
      </w:r>
      <w:r w:rsidR="00DE28D6" w:rsidRPr="00AA1E2B">
        <w:rPr>
          <w:rFonts w:ascii="Calibri" w:hAnsi="Calibri"/>
          <w:lang w:val="en-GB"/>
        </w:rPr>
        <w:t>χ</w:t>
      </w:r>
      <w:r w:rsidR="00DE28D6" w:rsidRPr="00AA1E2B">
        <w:rPr>
          <w:vertAlign w:val="superscript"/>
          <w:lang w:val="en-GB"/>
        </w:rPr>
        <w:t>(2)</w:t>
      </w:r>
      <w:r w:rsidR="00DE28D6" w:rsidRPr="00AA1E2B">
        <w:t xml:space="preserve"> estimated at </w:t>
      </w:r>
      <w:r w:rsidR="00CF1CAB" w:rsidRPr="00AA1E2B">
        <w:t>0.1</w:t>
      </w:r>
      <w:r w:rsidR="00DE28D6" w:rsidRPr="00AA1E2B">
        <w:t>2</w:t>
      </w:r>
      <w:r w:rsidRPr="00AA1E2B">
        <w:t xml:space="preserve"> pm/V, </w:t>
      </w:r>
      <w:r w:rsidR="00C67EEB" w:rsidRPr="00AA1E2B">
        <w:rPr>
          <w:sz w:val="19"/>
          <w:szCs w:val="19"/>
        </w:rPr>
        <w:t>Λ</w:t>
      </w:r>
      <w:r w:rsidR="00C67EEB" w:rsidRPr="00AA1E2B">
        <w:rPr>
          <w:vertAlign w:val="subscript"/>
        </w:rPr>
        <w:t>QP</w:t>
      </w:r>
      <w:r w:rsidR="00C67EEB">
        <w:rPr>
          <w:vertAlign w:val="subscript"/>
        </w:rPr>
        <w:t>M</w:t>
      </w:r>
      <w:r>
        <w:t xml:space="preserve"> = </w:t>
      </w:r>
      <w:r w:rsidRPr="00C21D90">
        <w:t>57.1937</w:t>
      </w:r>
      <w:r w:rsidR="00C67EEB">
        <w:t xml:space="preserve"> </w:t>
      </w:r>
      <w:r w:rsidR="00C67EEB">
        <w:rPr>
          <w:rFonts w:ascii="Calibri" w:hAnsi="Calibri"/>
        </w:rPr>
        <w:t>µ</w:t>
      </w:r>
      <w:r w:rsidR="00C67EEB">
        <w:t>m</w:t>
      </w:r>
      <w:r>
        <w:t>) and characterized using the setup shown in Fig. 3. The curves represent the SHG p</w:t>
      </w:r>
      <w:r w:rsidR="00C67EEB">
        <w:t>ower measured by a photodiode while the</w:t>
      </w:r>
      <w:r>
        <w:t xml:space="preserve"> wavelength </w:t>
      </w:r>
      <w:r w:rsidR="00C67EEB">
        <w:t xml:space="preserve">of the pump light </w:t>
      </w:r>
      <w:r>
        <w:t xml:space="preserve">emitted by the </w:t>
      </w:r>
      <w:r w:rsidR="00244A9A">
        <w:t xml:space="preserve">tunable </w:t>
      </w:r>
      <w:r>
        <w:t xml:space="preserve">narrowband </w:t>
      </w:r>
      <w:r w:rsidR="00D006C6">
        <w:t xml:space="preserve">CW </w:t>
      </w:r>
      <w:r>
        <w:t xml:space="preserve">source </w:t>
      </w:r>
      <w:r w:rsidR="00C67EEB">
        <w:t>is changed step by step over a range centered at</w:t>
      </w:r>
      <w:r>
        <w:t xml:space="preserve"> 1550 nm.</w:t>
      </w:r>
      <w:r w:rsidR="00AE1FD9">
        <w:t xml:space="preserve"> </w:t>
      </w:r>
    </w:p>
    <w:p w14:paraId="67F7D436" w14:textId="6FF23168" w:rsidR="00402C88" w:rsidRPr="00402C88" w:rsidRDefault="00FE7DB3" w:rsidP="00AA1E2B">
      <w:pPr>
        <w:pStyle w:val="OSABodyIndent"/>
        <w:rPr>
          <w:lang w:val="en-GB"/>
        </w:rPr>
      </w:pPr>
      <w:r>
        <w:t>i</w:t>
      </w:r>
      <w:bookmarkStart w:id="0" w:name="_GoBack"/>
      <w:bookmarkEnd w:id="0"/>
      <w:r w:rsidR="00F023CC">
        <w:t xml:space="preserve">n Fig. 2 also yielded the well-defined depletion regions indicative of induced second order nonlinearity, were optically </w:t>
      </w:r>
      <w:r w:rsidR="00F023CC" w:rsidRPr="00402C88">
        <w:t xml:space="preserve">characterized </w:t>
      </w:r>
      <w:r w:rsidR="00F023CC">
        <w:t>with exactly the same setup used for the metallic electrode samples. In contrast however,</w:t>
      </w:r>
      <w:r w:rsidR="00F023CC" w:rsidRPr="00060A51">
        <w:t xml:space="preserve"> </w:t>
      </w:r>
      <w:r w:rsidR="00F023CC">
        <w:t>the SHG power</w:t>
      </w:r>
      <w:r w:rsidR="00F023CC">
        <w:rPr>
          <w:lang w:val="en-GB"/>
        </w:rPr>
        <w:t xml:space="preserve"> </w:t>
      </w:r>
      <w:r w:rsidR="00F023CC">
        <w:rPr>
          <w:iCs/>
          <w:lang w:val="en-GB"/>
        </w:rPr>
        <w:t xml:space="preserve">measured by </w:t>
      </w:r>
      <w:r w:rsidR="00F023CC" w:rsidRPr="00402C88">
        <w:rPr>
          <w:iCs/>
          <w:lang w:val="en-GB"/>
        </w:rPr>
        <w:t>the photodiode</w:t>
      </w:r>
      <w:r w:rsidR="00F023CC">
        <w:rPr>
          <w:iCs/>
          <w:lang w:val="en-GB"/>
        </w:rPr>
        <w:t xml:space="preserve"> in Fig. 3 was too low t</w:t>
      </w:r>
      <w:r w:rsidR="00F023CC" w:rsidRPr="00402C88">
        <w:rPr>
          <w:iCs/>
          <w:lang w:val="en-GB"/>
        </w:rPr>
        <w:t xml:space="preserve">o be </w:t>
      </w:r>
      <w:r w:rsidR="00F023CC">
        <w:rPr>
          <w:iCs/>
          <w:lang w:val="en-GB"/>
        </w:rPr>
        <w:t xml:space="preserve">accurately </w:t>
      </w:r>
      <w:r w:rsidR="00F023CC" w:rsidRPr="00402C88">
        <w:rPr>
          <w:iCs/>
          <w:lang w:val="en-GB"/>
        </w:rPr>
        <w:t>quantified</w:t>
      </w:r>
      <w:r w:rsidR="00F023CC" w:rsidRPr="008E7920">
        <w:rPr>
          <w:iCs/>
          <w:lang w:val="en-GB"/>
        </w:rPr>
        <w:t xml:space="preserve"> </w:t>
      </w:r>
      <w:r w:rsidR="00F023CC">
        <w:rPr>
          <w:iCs/>
          <w:lang w:val="en-GB"/>
        </w:rPr>
        <w:t>in these samples using the low power CW pumping setup</w:t>
      </w:r>
      <w:r w:rsidR="00F023CC" w:rsidRPr="00402C88">
        <w:rPr>
          <w:iCs/>
          <w:lang w:val="en-GB"/>
        </w:rPr>
        <w:t xml:space="preserve">, </w:t>
      </w:r>
      <w:r w:rsidR="00F023CC">
        <w:rPr>
          <w:iCs/>
          <w:lang w:val="en-GB"/>
        </w:rPr>
        <w:t>as it</w:t>
      </w:r>
      <w:r w:rsidR="00F023CC" w:rsidRPr="00402C88">
        <w:rPr>
          <w:iCs/>
          <w:lang w:val="en-GB"/>
        </w:rPr>
        <w:t xml:space="preserve"> </w:t>
      </w:r>
      <w:r w:rsidR="00F023CC">
        <w:rPr>
          <w:iCs/>
          <w:lang w:val="en-GB"/>
        </w:rPr>
        <w:t>could not be resolved from the noise floor of the photodiode sensor</w:t>
      </w:r>
      <w:r w:rsidR="00F023CC" w:rsidRPr="00402C88">
        <w:rPr>
          <w:iCs/>
          <w:lang w:val="en-GB"/>
        </w:rPr>
        <w:t xml:space="preserve">. </w:t>
      </w:r>
      <w:r w:rsidR="006668C9">
        <w:rPr>
          <w:lang w:val="en-GB"/>
        </w:rPr>
        <w:t>In</w:t>
      </w:r>
      <w:r w:rsidR="00402C88" w:rsidRPr="00402C88">
        <w:rPr>
          <w:lang w:val="en-GB"/>
        </w:rPr>
        <w:t xml:space="preserve"> order </w:t>
      </w:r>
      <w:r w:rsidR="006668C9">
        <w:rPr>
          <w:lang w:val="en-GB"/>
        </w:rPr>
        <w:t xml:space="preserve">to find </w:t>
      </w:r>
      <w:r w:rsidR="008E7920">
        <w:rPr>
          <w:lang w:val="en-GB"/>
        </w:rPr>
        <w:t xml:space="preserve">conclusive </w:t>
      </w:r>
      <w:r w:rsidR="006668C9">
        <w:rPr>
          <w:lang w:val="en-GB"/>
        </w:rPr>
        <w:t>evidence of SHG in these samples</w:t>
      </w:r>
      <w:r w:rsidR="00402C88" w:rsidRPr="00402C88">
        <w:rPr>
          <w:lang w:val="en-GB"/>
        </w:rPr>
        <w:t xml:space="preserve"> and exclude </w:t>
      </w:r>
      <w:r w:rsidR="006668C9">
        <w:rPr>
          <w:lang w:val="en-GB"/>
        </w:rPr>
        <w:t>the possibility that</w:t>
      </w:r>
      <w:r w:rsidR="00402C88" w:rsidRPr="00402C88">
        <w:rPr>
          <w:lang w:val="en-GB"/>
        </w:rPr>
        <w:t xml:space="preserve"> the </w:t>
      </w:r>
      <w:r w:rsidR="006668C9">
        <w:rPr>
          <w:lang w:val="en-GB"/>
        </w:rPr>
        <w:t>etched</w:t>
      </w:r>
      <w:r w:rsidR="00402C88" w:rsidRPr="00402C88">
        <w:rPr>
          <w:lang w:val="en-GB"/>
        </w:rPr>
        <w:t xml:space="preserve"> regions shown in Fig. 2 were due to some other </w:t>
      </w:r>
      <w:r w:rsidR="006668C9" w:rsidRPr="00402C88">
        <w:rPr>
          <w:lang w:val="en-GB"/>
        </w:rPr>
        <w:t xml:space="preserve">unknown </w:t>
      </w:r>
      <w:r w:rsidR="00402C88" w:rsidRPr="00402C88">
        <w:rPr>
          <w:lang w:val="en-GB"/>
        </w:rPr>
        <w:t>effect, the SH</w:t>
      </w:r>
      <w:r w:rsidR="006668C9">
        <w:rPr>
          <w:lang w:val="en-GB"/>
        </w:rPr>
        <w:t>G</w:t>
      </w:r>
      <w:r w:rsidR="00402C88" w:rsidRPr="00402C88">
        <w:rPr>
          <w:lang w:val="en-GB"/>
        </w:rPr>
        <w:t xml:space="preserve"> of </w:t>
      </w:r>
      <w:r w:rsidR="006668C9">
        <w:rPr>
          <w:lang w:val="en-GB"/>
        </w:rPr>
        <w:t>the aqueous electrode</w:t>
      </w:r>
      <w:r w:rsidR="00402C88" w:rsidRPr="00402C88">
        <w:rPr>
          <w:lang w:val="en-GB"/>
        </w:rPr>
        <w:t xml:space="preserve"> samples </w:t>
      </w:r>
      <w:r w:rsidR="008E7920">
        <w:rPr>
          <w:lang w:val="en-GB"/>
        </w:rPr>
        <w:t>were characterized using</w:t>
      </w:r>
      <w:r w:rsidR="00402C88" w:rsidRPr="00402C88">
        <w:rPr>
          <w:lang w:val="en-GB"/>
        </w:rPr>
        <w:t xml:space="preserve"> the setup</w:t>
      </w:r>
      <w:r w:rsidR="006668C9">
        <w:rPr>
          <w:lang w:val="en-GB"/>
        </w:rPr>
        <w:t xml:space="preserve"> shown</w:t>
      </w:r>
      <w:r w:rsidR="00402C88" w:rsidRPr="00402C88">
        <w:rPr>
          <w:lang w:val="en-GB"/>
        </w:rPr>
        <w:t xml:space="preserve"> </w:t>
      </w:r>
      <w:r w:rsidR="006668C9">
        <w:rPr>
          <w:lang w:val="en-GB"/>
        </w:rPr>
        <w:t xml:space="preserve">schematically </w:t>
      </w:r>
      <w:r w:rsidR="00402C88" w:rsidRPr="00402C88">
        <w:rPr>
          <w:lang w:val="en-GB"/>
        </w:rPr>
        <w:t>in Fig. 5.</w:t>
      </w:r>
      <w:r w:rsidR="008E7920">
        <w:rPr>
          <w:lang w:val="en-GB"/>
        </w:rPr>
        <w:t xml:space="preserve"> Here, a</w:t>
      </w:r>
      <w:r w:rsidR="00402C88" w:rsidRPr="00402C88">
        <w:rPr>
          <w:lang w:val="en-GB"/>
        </w:rPr>
        <w:t xml:space="preserve"> high power laser (second harmonic of a mode-locked amplified Nd:YVO4 solid state laser, pulse duration 8 ps, repetition rate 250 kHz, average power 2.5 W), </w:t>
      </w:r>
      <w:r w:rsidR="008E7920" w:rsidRPr="00402C88">
        <w:rPr>
          <w:lang w:val="en-GB"/>
        </w:rPr>
        <w:t xml:space="preserve">is used </w:t>
      </w:r>
      <w:r w:rsidR="008E7920">
        <w:rPr>
          <w:lang w:val="en-GB"/>
        </w:rPr>
        <w:t>to pump</w:t>
      </w:r>
      <w:r w:rsidR="00402C88" w:rsidRPr="00402C88">
        <w:rPr>
          <w:lang w:val="en-GB"/>
        </w:rPr>
        <w:t xml:space="preserve"> an optical parametric generator (OPG), </w:t>
      </w:r>
      <w:r w:rsidR="008E7920">
        <w:rPr>
          <w:lang w:val="en-GB"/>
        </w:rPr>
        <w:t>thus producing</w:t>
      </w:r>
      <w:r w:rsidR="00402C88" w:rsidRPr="00402C88">
        <w:rPr>
          <w:lang w:val="en-GB"/>
        </w:rPr>
        <w:t xml:space="preserve"> a </w:t>
      </w:r>
      <w:r w:rsidR="003C4342">
        <w:rPr>
          <w:lang w:val="en-GB"/>
        </w:rPr>
        <w:t>high peak power</w:t>
      </w:r>
      <w:r w:rsidR="00DC31D5">
        <w:rPr>
          <w:lang w:val="en-GB"/>
        </w:rPr>
        <w:t xml:space="preserve"> </w:t>
      </w:r>
      <w:r w:rsidR="00402C88" w:rsidRPr="00402C88">
        <w:rPr>
          <w:lang w:val="en-GB"/>
        </w:rPr>
        <w:t xml:space="preserve">broadband infrared idler output (3 dB bandwidth approx. 80 nm, average power of 50 mW) that is temperature tunable between 1100 and 2500 nm. A long-wave pass filter in the optical setup rejects all radiation below the cut-on wavelength (900 nm) associated with the source. This ensures that </w:t>
      </w:r>
    </w:p>
    <w:p w14:paraId="29950891" w14:textId="77777777" w:rsidR="00402C88" w:rsidRDefault="00402C88" w:rsidP="00402C88">
      <w:pPr>
        <w:pStyle w:val="OSAFigure"/>
      </w:pPr>
      <w:r>
        <w:rPr>
          <w:noProof/>
          <w:lang w:val="en-GB" w:eastAsia="en-GB"/>
        </w:rPr>
        <w:lastRenderedPageBreak/>
        <w:drawing>
          <wp:inline distT="0" distB="0" distL="0" distR="0" wp14:anchorId="49DB748A" wp14:editId="0312B87D">
            <wp:extent cx="3113405" cy="14535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3405" cy="1453515"/>
                    </a:xfrm>
                    <a:prstGeom prst="rect">
                      <a:avLst/>
                    </a:prstGeom>
                  </pic:spPr>
                </pic:pic>
              </a:graphicData>
            </a:graphic>
          </wp:inline>
        </w:drawing>
      </w:r>
    </w:p>
    <w:p w14:paraId="55765A32" w14:textId="611D1973" w:rsidR="00402C88" w:rsidRPr="00402C88" w:rsidRDefault="005E7FF7" w:rsidP="00402C88">
      <w:pPr>
        <w:pStyle w:val="OSAFigureCaption"/>
      </w:pPr>
      <w:r>
        <w:t xml:space="preserve">Fig. 5. </w:t>
      </w:r>
      <w:r w:rsidR="007143D4">
        <w:t>High power pulsed laser pump s</w:t>
      </w:r>
      <w:r w:rsidR="00402C88">
        <w:t>etup for</w:t>
      </w:r>
      <w:r w:rsidR="00877730">
        <w:t xml:space="preserve"> the</w:t>
      </w:r>
      <w:r w:rsidR="00402C88">
        <w:t xml:space="preserve"> nonlinear characterization of </w:t>
      </w:r>
      <w:r w:rsidR="00877730">
        <w:t>PPSF</w:t>
      </w:r>
      <w:r w:rsidR="00402C88">
        <w:t xml:space="preserve"> </w:t>
      </w:r>
      <w:r w:rsidR="00877730">
        <w:t xml:space="preserve">devices poled using </w:t>
      </w:r>
      <w:r w:rsidR="00402C88">
        <w:t xml:space="preserve">aqueous </w:t>
      </w:r>
      <w:r w:rsidR="00877730">
        <w:t>electrodes</w:t>
      </w:r>
      <w:r w:rsidR="00402C88">
        <w:t>.</w:t>
      </w:r>
    </w:p>
    <w:p w14:paraId="386F20DB" w14:textId="77777777" w:rsidR="00AD2A79" w:rsidRDefault="00AD2A79" w:rsidP="00AD2A79">
      <w:pPr>
        <w:pStyle w:val="OSAFigure"/>
      </w:pPr>
      <w:r>
        <w:rPr>
          <w:noProof/>
          <w:lang w:val="en-GB" w:eastAsia="en-GB"/>
        </w:rPr>
        <w:drawing>
          <wp:inline distT="0" distB="0" distL="0" distR="0" wp14:anchorId="003C4B89" wp14:editId="60025E66">
            <wp:extent cx="3164400" cy="196200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6.png"/>
                    <pic:cNvPicPr/>
                  </pic:nvPicPr>
                  <pic:blipFill rotWithShape="1">
                    <a:blip r:embed="rId13">
                      <a:extLst>
                        <a:ext uri="{28A0092B-C50C-407E-A947-70E740481C1C}">
                          <a14:useLocalDpi xmlns:a14="http://schemas.microsoft.com/office/drawing/2010/main" val="0"/>
                        </a:ext>
                      </a:extLst>
                    </a:blip>
                    <a:srcRect r="1172"/>
                    <a:stretch/>
                  </pic:blipFill>
                  <pic:spPr bwMode="auto">
                    <a:xfrm>
                      <a:off x="0" y="0"/>
                      <a:ext cx="3164400" cy="1962000"/>
                    </a:xfrm>
                    <a:prstGeom prst="rect">
                      <a:avLst/>
                    </a:prstGeom>
                    <a:ln>
                      <a:noFill/>
                    </a:ln>
                    <a:extLst>
                      <a:ext uri="{53640926-AAD7-44D8-BBD7-CCE9431645EC}">
                        <a14:shadowObscured xmlns:a14="http://schemas.microsoft.com/office/drawing/2010/main"/>
                      </a:ext>
                    </a:extLst>
                  </pic:spPr>
                </pic:pic>
              </a:graphicData>
            </a:graphic>
          </wp:inline>
        </w:drawing>
      </w:r>
    </w:p>
    <w:p w14:paraId="1A4C5298" w14:textId="4F4F71C8" w:rsidR="00AD2A79" w:rsidRPr="00AD2A79" w:rsidRDefault="005E7FF7" w:rsidP="00AD2A79">
      <w:pPr>
        <w:pStyle w:val="OSAFigureCaption"/>
      </w:pPr>
      <w:r>
        <w:t>Fig. 6.</w:t>
      </w:r>
      <w:r w:rsidR="00AD2A79">
        <w:t xml:space="preserve"> SHG </w:t>
      </w:r>
      <w:r w:rsidR="007143D4">
        <w:t xml:space="preserve">output </w:t>
      </w:r>
      <w:r w:rsidR="00AD2A79">
        <w:t xml:space="preserve">spectra of optical fibers poled </w:t>
      </w:r>
      <w:r w:rsidR="00632A1A">
        <w:t>using</w:t>
      </w:r>
      <w:r w:rsidR="00AD2A79">
        <w:t xml:space="preserve"> </w:t>
      </w:r>
      <w:r w:rsidR="005A581D">
        <w:t xml:space="preserve">HCl solution as well as ordinary tap water, </w:t>
      </w:r>
      <w:r w:rsidR="00632A1A">
        <w:t>characterized using the setup shown in Fig. 5.</w:t>
      </w:r>
      <w:r w:rsidR="0014046F">
        <w:t xml:space="preserve"> Insertion loss@1550nm = 0.7 dB for water and </w:t>
      </w:r>
      <w:r w:rsidR="00136672">
        <w:t xml:space="preserve">0.5 dB for HCl solution. </w:t>
      </w:r>
      <w:r w:rsidR="00136672" w:rsidRPr="00AA1E2B">
        <w:t xml:space="preserve">The induced </w:t>
      </w:r>
      <w:r w:rsidR="00136672" w:rsidRPr="00AA1E2B">
        <w:rPr>
          <w:rFonts w:ascii="Calibri" w:hAnsi="Calibri"/>
          <w:lang w:val="en-GB"/>
        </w:rPr>
        <w:t>χ</w:t>
      </w:r>
      <w:r w:rsidR="00136672" w:rsidRPr="00AA1E2B">
        <w:rPr>
          <w:vertAlign w:val="superscript"/>
          <w:lang w:val="en-GB"/>
        </w:rPr>
        <w:t>(2)</w:t>
      </w:r>
      <w:r w:rsidR="0014046F" w:rsidRPr="00AA1E2B">
        <w:t xml:space="preserve"> </w:t>
      </w:r>
      <w:r w:rsidR="0014046F">
        <w:t>for both aqueous solutions</w:t>
      </w:r>
      <w:r w:rsidR="00A326EF">
        <w:t xml:space="preserve"> </w:t>
      </w:r>
      <w:r w:rsidR="0014046F">
        <w:t>is estimated</w:t>
      </w:r>
      <w:r w:rsidR="00365788">
        <w:t xml:space="preserve"> [14</w:t>
      </w:r>
      <w:r w:rsidR="003348C7">
        <w:t>]</w:t>
      </w:r>
      <w:r w:rsidR="006E406C">
        <w:t xml:space="preserve"> at ≤0.001</w:t>
      </w:r>
      <w:r w:rsidR="0014046F">
        <w:t xml:space="preserve"> pm/V</w:t>
      </w:r>
      <w:r w:rsidR="003348C7">
        <w:t xml:space="preserve">, assuming </w:t>
      </w:r>
      <w:r w:rsidR="003348C7" w:rsidRPr="00105141">
        <w:t>a</w:t>
      </w:r>
      <w:r w:rsidR="00105141" w:rsidRPr="00105141">
        <w:t xml:space="preserve"> fabricated device length of 20</w:t>
      </w:r>
      <w:r w:rsidR="003348C7" w:rsidRPr="00105141">
        <w:t xml:space="preserve"> c</w:t>
      </w:r>
      <w:r w:rsidR="0050076C" w:rsidRPr="00105141">
        <w:t xml:space="preserve">m and a modal overlap area of  49.43 </w:t>
      </w:r>
      <w:r w:rsidR="0050076C" w:rsidRPr="00105141">
        <w:rPr>
          <w:rFonts w:ascii="Calibri" w:hAnsi="Calibri"/>
        </w:rPr>
        <w:t>µ</w:t>
      </w:r>
      <w:r w:rsidR="0050076C" w:rsidRPr="00105141">
        <w:t>m</w:t>
      </w:r>
      <w:r w:rsidR="00DB0606">
        <w:rPr>
          <w:vertAlign w:val="superscript"/>
        </w:rPr>
        <w:t>2</w:t>
      </w:r>
      <w:r w:rsidR="0050076C" w:rsidRPr="00105141">
        <w:t xml:space="preserve"> at 1550</w:t>
      </w:r>
      <w:r w:rsidR="003348C7" w:rsidRPr="00105141">
        <w:t xml:space="preserve"> nm pump wavelength</w:t>
      </w:r>
      <w:r w:rsidR="00DA5873">
        <w:t>.</w:t>
      </w:r>
    </w:p>
    <w:p w14:paraId="7D094D4F" w14:textId="1FFBDD9C" w:rsidR="00AD2A79" w:rsidRPr="00BB12EF" w:rsidRDefault="001A0E88" w:rsidP="001A0E88">
      <w:pPr>
        <w:pStyle w:val="OSABody"/>
        <w:rPr>
          <w:iCs/>
          <w:color w:val="FF0000"/>
          <w:lang w:val="en-GB"/>
        </w:rPr>
      </w:pPr>
      <w:r w:rsidRPr="00402C88">
        <w:rPr>
          <w:lang w:val="en-GB"/>
        </w:rPr>
        <w:t xml:space="preserve">any spectra observed at wavelengths shorter than 900 nm is due only to nonlinear processes occurring within the </w:t>
      </w:r>
      <w:r>
        <w:rPr>
          <w:lang w:val="en-GB"/>
        </w:rPr>
        <w:t xml:space="preserve">PPSF. </w:t>
      </w:r>
      <w:r w:rsidR="00860991">
        <w:t xml:space="preserve">Fig. 6 shows the SHG spectra obtained for two samples </w:t>
      </w:r>
      <w:r w:rsidR="00BA0DA9">
        <w:t>poled under identical experimental conditions using</w:t>
      </w:r>
      <w:r w:rsidR="00860991">
        <w:t xml:space="preserve"> HCl </w:t>
      </w:r>
      <w:r w:rsidR="00C75299">
        <w:t xml:space="preserve">aqueous </w:t>
      </w:r>
      <w:r w:rsidR="00860991">
        <w:t>electrode</w:t>
      </w:r>
      <w:r w:rsidR="00BA0DA9">
        <w:t>s</w:t>
      </w:r>
      <w:r w:rsidR="00860991">
        <w:t xml:space="preserve"> and with </w:t>
      </w:r>
      <w:r w:rsidR="00BA0DA9">
        <w:t xml:space="preserve">different </w:t>
      </w:r>
      <w:r w:rsidR="00860991">
        <w:t xml:space="preserve">grating </w:t>
      </w:r>
      <w:r w:rsidR="00BA0DA9">
        <w:t>periods.</w:t>
      </w:r>
      <w:r w:rsidR="00860991">
        <w:t xml:space="preserve"> </w:t>
      </w:r>
      <w:r w:rsidR="00BA0DA9">
        <w:t>The</w:t>
      </w:r>
      <w:r w:rsidR="00860991">
        <w:t xml:space="preserve"> </w:t>
      </w:r>
      <w:r w:rsidR="00BA0DA9">
        <w:t>spectrum</w:t>
      </w:r>
      <w:r w:rsidR="00860991">
        <w:t xml:space="preserve"> of a sample poled </w:t>
      </w:r>
      <w:r w:rsidR="00BA0DA9">
        <w:t>using</w:t>
      </w:r>
      <w:r w:rsidR="00860991">
        <w:t xml:space="preserve"> tap water</w:t>
      </w:r>
      <w:r w:rsidR="00BA0DA9">
        <w:t xml:space="preserve"> electrodes is also shown</w:t>
      </w:r>
      <w:r w:rsidR="00860991">
        <w:t xml:space="preserve">. </w:t>
      </w:r>
      <w:r w:rsidR="00971BAF">
        <w:t>Here, e</w:t>
      </w:r>
      <w:r w:rsidR="00BA0DA9">
        <w:t>ach</w:t>
      </w:r>
      <w:r w:rsidR="00860991">
        <w:t xml:space="preserve"> SHG spectrum consists of three</w:t>
      </w:r>
      <w:r w:rsidR="00971BAF">
        <w:t xml:space="preserve"> </w:t>
      </w:r>
      <w:r w:rsidR="00AD2A79">
        <w:t>peaks, correspond</w:t>
      </w:r>
      <w:r w:rsidR="00C75299">
        <w:t>ing</w:t>
      </w:r>
      <w:r w:rsidR="00AD2A79">
        <w:t xml:space="preserve"> to different combinations of the polarization states of the two pump photons </w:t>
      </w:r>
      <w:r w:rsidR="00AE104A">
        <w:t>producing</w:t>
      </w:r>
      <w:r w:rsidR="00AD2A79">
        <w:t xml:space="preserve"> the SHG. This degeneracy of the polarization is due to the birefringence of the fiber along the </w:t>
      </w:r>
      <w:r w:rsidR="00C75299">
        <w:t xml:space="preserve">x and y </w:t>
      </w:r>
      <w:r w:rsidR="00365788">
        <w:t>axes [15</w:t>
      </w:r>
      <w:r w:rsidR="00AD2A79">
        <w:t xml:space="preserve">]. The presence of the three peaks instead of </w:t>
      </w:r>
      <w:r w:rsidR="00C75299">
        <w:t xml:space="preserve">just </w:t>
      </w:r>
      <w:r w:rsidR="00AD2A79">
        <w:t xml:space="preserve">one observed </w:t>
      </w:r>
      <w:r w:rsidR="00C75299">
        <w:t>in</w:t>
      </w:r>
      <w:r w:rsidR="00AD2A79">
        <w:t xml:space="preserve"> the SHG tuning curves </w:t>
      </w:r>
      <w:r w:rsidR="00C75299">
        <w:t>shown</w:t>
      </w:r>
      <w:r w:rsidR="00AD2A79">
        <w:t xml:space="preserve"> in Fig. 4, is due to the fact that </w:t>
      </w:r>
      <w:r w:rsidR="007143D4">
        <w:t>for the</w:t>
      </w:r>
      <w:r w:rsidR="00A63CF5">
        <w:t xml:space="preserve"> setup in Fig. 3, the </w:t>
      </w:r>
      <w:r w:rsidR="00C75299">
        <w:t xml:space="preserve">CW </w:t>
      </w:r>
      <w:r w:rsidR="00A63CF5">
        <w:t>pump</w:t>
      </w:r>
      <w:r w:rsidR="007143D4">
        <w:t xml:space="preserve"> output</w:t>
      </w:r>
      <w:r w:rsidR="00A63CF5">
        <w:t xml:space="preserve"> is linearly polarized and can be adjusted by means of </w:t>
      </w:r>
      <w:r w:rsidR="00C75299">
        <w:t>a</w:t>
      </w:r>
      <w:r w:rsidR="00A63CF5">
        <w:t xml:space="preserve"> polarization controller</w:t>
      </w:r>
      <w:r w:rsidR="00AD2A79">
        <w:t xml:space="preserve"> to pr</w:t>
      </w:r>
      <w:r w:rsidR="00C75299">
        <w:t>oduce QPM of type I (XX –&gt; X)</w:t>
      </w:r>
      <w:r w:rsidR="00856A12">
        <w:t xml:space="preserve">. </w:t>
      </w:r>
      <w:r w:rsidR="00A93D85">
        <w:t xml:space="preserve">In contrast, </w:t>
      </w:r>
      <w:r w:rsidR="00A63CF5">
        <w:t xml:space="preserve">the </w:t>
      </w:r>
      <w:r w:rsidR="008F41C5">
        <w:t xml:space="preserve">pulsed </w:t>
      </w:r>
      <w:r w:rsidR="007143D4">
        <w:t xml:space="preserve">high power </w:t>
      </w:r>
      <w:r w:rsidR="00A63CF5">
        <w:t>pump used to characterize the</w:t>
      </w:r>
      <w:r w:rsidR="00AD2A79">
        <w:t xml:space="preserve"> samples poled </w:t>
      </w:r>
      <w:r w:rsidR="007143D4">
        <w:t>using</w:t>
      </w:r>
      <w:r w:rsidR="00A63CF5">
        <w:t xml:space="preserve"> aqueous </w:t>
      </w:r>
      <w:r w:rsidR="007143D4">
        <w:t xml:space="preserve">electrodes is not linearly polarized, </w:t>
      </w:r>
      <w:r w:rsidR="00AD2A79">
        <w:t xml:space="preserve">so it </w:t>
      </w:r>
      <w:r w:rsidR="007143D4">
        <w:t xml:space="preserve">always </w:t>
      </w:r>
      <w:r w:rsidR="00AD2A79">
        <w:t xml:space="preserve">contains </w:t>
      </w:r>
      <w:r w:rsidR="00A63CF5">
        <w:t xml:space="preserve">both </w:t>
      </w:r>
      <w:r w:rsidR="00AD2A79">
        <w:t xml:space="preserve">components of polarization along the </w:t>
      </w:r>
      <w:r w:rsidR="007143D4">
        <w:t>x and y axes</w:t>
      </w:r>
      <w:r w:rsidR="00A63CF5">
        <w:t>. Nevertheless</w:t>
      </w:r>
      <w:r w:rsidR="007143D4">
        <w:t>,</w:t>
      </w:r>
      <w:r w:rsidR="00AD2A79">
        <w:t xml:space="preserve"> the observation </w:t>
      </w:r>
      <w:r w:rsidR="008F41C5">
        <w:t>of</w:t>
      </w:r>
      <w:r w:rsidR="00A63CF5">
        <w:t xml:space="preserve"> </w:t>
      </w:r>
      <w:r w:rsidR="008F41C5">
        <w:t xml:space="preserve">distinct </w:t>
      </w:r>
      <w:r w:rsidR="00A63CF5">
        <w:t xml:space="preserve">peaks at </w:t>
      </w:r>
      <w:r w:rsidR="00415D86">
        <w:t>second harmonic</w:t>
      </w:r>
      <w:r w:rsidR="00AD2A79">
        <w:t xml:space="preserve"> wavelengths</w:t>
      </w:r>
      <w:r w:rsidR="00415D86">
        <w:t xml:space="preserve"> corresponding to</w:t>
      </w:r>
      <w:r w:rsidR="00A63CF5">
        <w:t xml:space="preserve"> two different </w:t>
      </w:r>
      <w:r w:rsidR="00D6235C">
        <w:t xml:space="preserve">QPM grating periods that accurately follow the linear relationship expressed in Eq. (2) </w:t>
      </w:r>
      <w:r w:rsidR="00A326EF">
        <w:t>provide convincing evidence of the formation of an effective</w:t>
      </w:r>
      <w:r w:rsidR="00D6235C" w:rsidRPr="00D6235C">
        <w:rPr>
          <w:iCs/>
          <w:lang w:val="en-GB"/>
        </w:rPr>
        <w:t xml:space="preserve"> </w:t>
      </w:r>
      <w:r w:rsidR="00D6235C">
        <w:rPr>
          <w:rFonts w:ascii="Calibri" w:hAnsi="Calibri"/>
          <w:lang w:val="en-GB"/>
        </w:rPr>
        <w:t>χ</w:t>
      </w:r>
      <w:r w:rsidR="00D6235C">
        <w:rPr>
          <w:vertAlign w:val="superscript"/>
          <w:lang w:val="en-GB"/>
        </w:rPr>
        <w:t>(2)</w:t>
      </w:r>
      <w:r w:rsidR="00D6235C">
        <w:rPr>
          <w:lang w:val="en-GB"/>
        </w:rPr>
        <w:t xml:space="preserve"> </w:t>
      </w:r>
      <w:r w:rsidR="00D6235C">
        <w:t>in these</w:t>
      </w:r>
      <w:r w:rsidR="00AD2A79">
        <w:t xml:space="preserve"> </w:t>
      </w:r>
      <w:r w:rsidR="00D6235C">
        <w:t>novel aqueous electrode PPSFs</w:t>
      </w:r>
      <w:r w:rsidR="008111BB">
        <w:t>, which exhibit very low optical insertion losses compared with the metallic liquid electrode samples. However,</w:t>
      </w:r>
      <w:r w:rsidR="00EE5A2D">
        <w:t xml:space="preserve"> despite</w:t>
      </w:r>
      <w:r w:rsidR="008111BB">
        <w:t xml:space="preserve"> the </w:t>
      </w:r>
      <w:r w:rsidR="001B6967">
        <w:t xml:space="preserve">potential </w:t>
      </w:r>
      <w:r w:rsidR="00EE5A2D">
        <w:lastRenderedPageBreak/>
        <w:t>improvement in</w:t>
      </w:r>
      <w:r w:rsidR="008111BB">
        <w:t xml:space="preserve"> nonlinear </w:t>
      </w:r>
      <w:r w:rsidR="00EE5A2D">
        <w:t>process efficiency</w:t>
      </w:r>
      <w:r w:rsidR="008111BB">
        <w:t xml:space="preserve"> </w:t>
      </w:r>
      <w:r w:rsidR="00EE5A2D">
        <w:t xml:space="preserve">conferred by </w:t>
      </w:r>
      <w:r w:rsidR="008111BB">
        <w:t>this desirable characteristic</w:t>
      </w:r>
      <w:r w:rsidR="00EE5A2D">
        <w:t>, it comes at a cost, as the effective</w:t>
      </w:r>
      <w:r w:rsidR="00EE5A2D" w:rsidRPr="00D6235C">
        <w:rPr>
          <w:iCs/>
          <w:lang w:val="en-GB"/>
        </w:rPr>
        <w:t xml:space="preserve"> </w:t>
      </w:r>
      <w:r w:rsidR="00EE5A2D">
        <w:rPr>
          <w:rFonts w:ascii="Calibri" w:hAnsi="Calibri"/>
          <w:lang w:val="en-GB"/>
        </w:rPr>
        <w:t>χ</w:t>
      </w:r>
      <w:r w:rsidR="00EE5A2D">
        <w:rPr>
          <w:vertAlign w:val="superscript"/>
          <w:lang w:val="en-GB"/>
        </w:rPr>
        <w:t>(2)</w:t>
      </w:r>
      <w:r w:rsidR="00EE5A2D">
        <w:rPr>
          <w:lang w:val="en-GB"/>
        </w:rPr>
        <w:t xml:space="preserve"> values </w:t>
      </w:r>
      <w:r w:rsidR="00EE5A2D">
        <w:t xml:space="preserve">in the aqueous electrode samples </w:t>
      </w:r>
      <w:r w:rsidR="005C3427">
        <w:t xml:space="preserve">is clearly </w:t>
      </w:r>
      <w:r w:rsidR="00035A8B">
        <w:t xml:space="preserve">inferior to </w:t>
      </w:r>
      <w:r w:rsidR="00E82820">
        <w:t xml:space="preserve"> those with </w:t>
      </w:r>
      <w:r w:rsidR="00035A8B">
        <w:t>Galllium and Mercury</w:t>
      </w:r>
      <w:r w:rsidR="00E82820">
        <w:t xml:space="preserve">. We believe this is due to higher resistivity of the electrolytic solutions compared with pure metals, thus potentially reducing the magnitude of electric field that can be frozen into the glass fiber, which in turn leads to a decrease in induced </w:t>
      </w:r>
      <w:r w:rsidR="00E82820">
        <w:rPr>
          <w:rFonts w:ascii="Calibri" w:hAnsi="Calibri"/>
          <w:lang w:val="en-GB"/>
        </w:rPr>
        <w:t>χ</w:t>
      </w:r>
      <w:r w:rsidR="00E82820">
        <w:rPr>
          <w:vertAlign w:val="superscript"/>
          <w:lang w:val="en-GB"/>
        </w:rPr>
        <w:t>(2)</w:t>
      </w:r>
      <w:r w:rsidR="00E82820">
        <w:rPr>
          <w:lang w:val="en-GB"/>
        </w:rPr>
        <w:t xml:space="preserve"> nonlinearity. </w:t>
      </w:r>
    </w:p>
    <w:p w14:paraId="1E427823" w14:textId="1FF00555" w:rsidR="00AD2A79" w:rsidRDefault="00E86EBC" w:rsidP="00AA1E2B">
      <w:pPr>
        <w:pStyle w:val="OSABodyIndent"/>
      </w:pPr>
      <w:r>
        <w:t xml:space="preserve">In summary, this work </w:t>
      </w:r>
      <w:r w:rsidR="00AD2A79">
        <w:t xml:space="preserve">presents the first successful attempt </w:t>
      </w:r>
      <w:r>
        <w:t>at</w:t>
      </w:r>
      <w:r w:rsidR="00AD2A79">
        <w:t xml:space="preserve"> optical fiber</w:t>
      </w:r>
      <w:r>
        <w:t xml:space="preserve"> thermal poling</w:t>
      </w:r>
      <w:r w:rsidR="00AD2A79">
        <w:t xml:space="preserve"> </w:t>
      </w:r>
      <w:r>
        <w:t xml:space="preserve">using </w:t>
      </w:r>
      <w:r w:rsidR="00AD2A79">
        <w:t xml:space="preserve">non-metallic </w:t>
      </w:r>
      <w:r>
        <w:t xml:space="preserve">internal </w:t>
      </w:r>
      <w:r w:rsidR="00AD2A79">
        <w:t>electrode</w:t>
      </w:r>
      <w:r>
        <w:t>s</w:t>
      </w:r>
      <w:r w:rsidR="003814EE">
        <w:t>. This</w:t>
      </w:r>
      <w:r w:rsidR="00AD2A79">
        <w:t xml:space="preserve"> result</w:t>
      </w:r>
      <w:r w:rsidR="003814EE">
        <w:t>, in combination with</w:t>
      </w:r>
      <w:r w:rsidR="00A63CF5">
        <w:t xml:space="preserve"> </w:t>
      </w:r>
      <w:r w:rsidR="003814EE">
        <w:t>our</w:t>
      </w:r>
      <w:r w:rsidR="00A63CF5">
        <w:t xml:space="preserve"> induction pol</w:t>
      </w:r>
      <w:r w:rsidR="006E406C">
        <w:t>ing technique demonstrated in [6</w:t>
      </w:r>
      <w:r w:rsidR="00A63CF5">
        <w:t>],</w:t>
      </w:r>
      <w:r w:rsidR="00AD2A79">
        <w:t xml:space="preserve"> </w:t>
      </w:r>
      <w:r w:rsidR="00DB1B36">
        <w:t>offers</w:t>
      </w:r>
      <w:r w:rsidR="003814EE">
        <w:t xml:space="preserve"> a </w:t>
      </w:r>
      <w:r w:rsidR="00DB1B36">
        <w:t>significant</w:t>
      </w:r>
      <w:r w:rsidR="003814EE">
        <w:t xml:space="preserve"> advance </w:t>
      </w:r>
      <w:r w:rsidR="00AD2A79">
        <w:t xml:space="preserve">towards the implementation of a </w:t>
      </w:r>
      <w:r w:rsidR="00DB1B36">
        <w:t xml:space="preserve">generalized </w:t>
      </w:r>
      <w:r w:rsidR="00AD2A79">
        <w:t>method for</w:t>
      </w:r>
      <w:r w:rsidR="000158F6">
        <w:t xml:space="preserve"> the thermal</w:t>
      </w:r>
      <w:r w:rsidR="00A63CF5">
        <w:t xml:space="preserve"> poling </w:t>
      </w:r>
      <w:r w:rsidR="000158F6">
        <w:t xml:space="preserve">of </w:t>
      </w:r>
      <w:r w:rsidR="00AD2A79">
        <w:t xml:space="preserve">any complex </w:t>
      </w:r>
      <w:r w:rsidR="000158F6">
        <w:t xml:space="preserve">fiber </w:t>
      </w:r>
      <w:r w:rsidR="00AD2A79">
        <w:t>geometry an</w:t>
      </w:r>
      <w:r w:rsidR="00A63CF5">
        <w:t xml:space="preserve">d length. </w:t>
      </w:r>
      <w:r w:rsidR="000158F6">
        <w:t>This could include</w:t>
      </w:r>
      <w:r w:rsidR="00AD2A79">
        <w:t xml:space="preserve"> microstructured </w:t>
      </w:r>
      <w:r w:rsidR="000158F6">
        <w:t xml:space="preserve">optical </w:t>
      </w:r>
      <w:r w:rsidR="00AD2A79">
        <w:t xml:space="preserve">fibers that </w:t>
      </w:r>
      <w:r w:rsidR="000158F6">
        <w:t xml:space="preserve">potentially allow up to four order of magnitude improvements of second order nonlinear </w:t>
      </w:r>
      <w:r w:rsidR="00F77881">
        <w:t xml:space="preserve">processes compared with conventional twin-hole, step-index Germania doped fused silica </w:t>
      </w:r>
      <w:r w:rsidR="00365788">
        <w:t>fibers [16</w:t>
      </w:r>
      <w:r w:rsidR="00F77881">
        <w:t>].</w:t>
      </w:r>
      <w:r w:rsidR="000158F6">
        <w:t xml:space="preserve"> </w:t>
      </w:r>
    </w:p>
    <w:p w14:paraId="560959C8" w14:textId="77777777" w:rsidR="00DA5873" w:rsidRDefault="00DA5873" w:rsidP="00AA1E2B">
      <w:pPr>
        <w:pStyle w:val="OSABodyIndent"/>
      </w:pPr>
    </w:p>
    <w:p w14:paraId="77078A43" w14:textId="77777777" w:rsidR="00AD2A79" w:rsidRDefault="00AD2A79" w:rsidP="00AD2A79">
      <w:pPr>
        <w:pStyle w:val="OSABody"/>
        <w:rPr>
          <w:lang w:val="en-GB"/>
        </w:rPr>
      </w:pPr>
      <w:r w:rsidRPr="00AD2A79">
        <w:rPr>
          <w:b/>
        </w:rPr>
        <w:t>Funding.</w:t>
      </w:r>
      <w:r>
        <w:t xml:space="preserve">  </w:t>
      </w:r>
      <w:r w:rsidRPr="00AD2A79">
        <w:rPr>
          <w:lang w:val="en-GB"/>
        </w:rPr>
        <w:t>EPSRC EP/I035307/1</w:t>
      </w:r>
    </w:p>
    <w:p w14:paraId="77502B57" w14:textId="77777777" w:rsidR="00AD2A79" w:rsidRDefault="00AD2A79" w:rsidP="00AA1E2B">
      <w:pPr>
        <w:pStyle w:val="OSABodyIndent"/>
        <w:rPr>
          <w:lang w:val="en-GB"/>
        </w:rPr>
      </w:pPr>
    </w:p>
    <w:p w14:paraId="599BA450" w14:textId="3309C816" w:rsidR="00AD2A79" w:rsidRPr="00AD2A79" w:rsidRDefault="00AD2A79" w:rsidP="00AD2A79">
      <w:pPr>
        <w:pStyle w:val="OSABody"/>
        <w:rPr>
          <w:lang w:val="en-GB"/>
        </w:rPr>
      </w:pPr>
      <w:r w:rsidRPr="00AE5BD9">
        <w:rPr>
          <w:b/>
        </w:rPr>
        <w:t>Acknowledgment</w:t>
      </w:r>
      <w:r w:rsidR="00F06A77">
        <w:rPr>
          <w:b/>
        </w:rPr>
        <w:t>s</w:t>
      </w:r>
      <w:r>
        <w:t>. We thank Oleksandr Tarasenko and Walter Margulis from Acreo Fiberlab who manufactured the fiber periodically poled and Peter Kazansky for access to the necessary technical facilities. F. De Lucia thanks Andrea Ravagli for interesting discussions abou</w:t>
      </w:r>
      <w:r w:rsidR="00541942">
        <w:t xml:space="preserve">t the chemistry of superfluids. Under the EPSRC research data management scheme, </w:t>
      </w:r>
      <w:r w:rsidR="00541942">
        <w:rPr>
          <w:lang w:val="en-GB"/>
        </w:rPr>
        <w:t>d</w:t>
      </w:r>
      <w:r>
        <w:rPr>
          <w:lang w:val="en-GB"/>
        </w:rPr>
        <w:t>atasets of the figures</w:t>
      </w:r>
      <w:r w:rsidR="00541942">
        <w:rPr>
          <w:lang w:val="en-GB"/>
        </w:rPr>
        <w:t xml:space="preserve"> in this paper</w:t>
      </w:r>
      <w:r>
        <w:rPr>
          <w:lang w:val="en-GB"/>
        </w:rPr>
        <w:t xml:space="preserve"> can be found at </w:t>
      </w:r>
      <w:hyperlink r:id="rId14" w:history="1">
        <w:r w:rsidRPr="006654D0">
          <w:rPr>
            <w:rStyle w:val="Hyperlink"/>
            <w:lang w:val="en-GB"/>
          </w:rPr>
          <w:t>http://dx.doi.org/10.5258/SOTON/386825</w:t>
        </w:r>
      </w:hyperlink>
    </w:p>
    <w:p w14:paraId="42FB66B5" w14:textId="77777777" w:rsidR="00AD2A79" w:rsidRDefault="00AD2A79" w:rsidP="00AD2A79">
      <w:pPr>
        <w:pStyle w:val="12Head1"/>
      </w:pPr>
      <w:r>
        <w:t>References</w:t>
      </w:r>
    </w:p>
    <w:p w14:paraId="419FF8D5" w14:textId="7780E2E7" w:rsidR="0066235C" w:rsidRDefault="0066235C" w:rsidP="0066235C">
      <w:pPr>
        <w:pStyle w:val="OSAReference"/>
        <w:numPr>
          <w:ilvl w:val="0"/>
          <w:numId w:val="28"/>
        </w:numPr>
        <w:ind w:left="215" w:hanging="215"/>
      </w:pPr>
      <w:r>
        <w:t>R. A.</w:t>
      </w:r>
      <w:r w:rsidRPr="0086173F">
        <w:t xml:space="preserve"> </w:t>
      </w:r>
      <w:r w:rsidR="004813B7">
        <w:t>Myers, N. Mukherjee</w:t>
      </w:r>
      <w:r>
        <w:t xml:space="preserve"> and S. R. J. Brueck, Opt. Lett. </w:t>
      </w:r>
      <w:r w:rsidRPr="003007FB">
        <w:rPr>
          <w:b/>
        </w:rPr>
        <w:t>16</w:t>
      </w:r>
      <w:r>
        <w:t>, 1732 (1991).</w:t>
      </w:r>
    </w:p>
    <w:p w14:paraId="3119DD5E" w14:textId="2525574A" w:rsidR="0066235C" w:rsidRDefault="0066235C" w:rsidP="0066235C">
      <w:pPr>
        <w:pStyle w:val="OSAReference"/>
        <w:numPr>
          <w:ilvl w:val="0"/>
          <w:numId w:val="28"/>
        </w:numPr>
        <w:ind w:left="215" w:hanging="215"/>
      </w:pPr>
      <w:r>
        <w:t>D. Wo</w:t>
      </w:r>
      <w:r w:rsidR="004813B7">
        <w:t>ng, W. Xu, S. Fleming, M. Janos</w:t>
      </w:r>
      <w:r>
        <w:t xml:space="preserve"> and K-M Lo, Opt. Fib. Tech. </w:t>
      </w:r>
      <w:r>
        <w:rPr>
          <w:b/>
        </w:rPr>
        <w:t>5</w:t>
      </w:r>
      <w:r>
        <w:t>, 235 (1999).</w:t>
      </w:r>
    </w:p>
    <w:p w14:paraId="484E3EC2" w14:textId="77777777" w:rsidR="0066235C" w:rsidRDefault="0066235C" w:rsidP="0066235C">
      <w:pPr>
        <w:pStyle w:val="OSAReference"/>
        <w:numPr>
          <w:ilvl w:val="0"/>
          <w:numId w:val="28"/>
        </w:numPr>
        <w:ind w:left="215" w:hanging="215"/>
      </w:pPr>
      <w:r>
        <w:t xml:space="preserve">W. </w:t>
      </w:r>
      <w:r w:rsidRPr="006D7931">
        <w:t>Margulis,</w:t>
      </w:r>
      <w:r>
        <w:t xml:space="preserve"> O. Tarasenko and N. Myrén, Opt. Exp.</w:t>
      </w:r>
      <w:r w:rsidRPr="006D7931">
        <w:t xml:space="preserve"> </w:t>
      </w:r>
      <w:r w:rsidRPr="006D7931">
        <w:rPr>
          <w:b/>
        </w:rPr>
        <w:t>17</w:t>
      </w:r>
      <w:r>
        <w:t>, 15534</w:t>
      </w:r>
      <w:r w:rsidRPr="006D7931">
        <w:t xml:space="preserve"> (2009)</w:t>
      </w:r>
      <w:r>
        <w:t>.</w:t>
      </w:r>
    </w:p>
    <w:p w14:paraId="650B4453" w14:textId="0B1C2187" w:rsidR="00912852" w:rsidRPr="00171FCA" w:rsidRDefault="00912852" w:rsidP="00912852">
      <w:pPr>
        <w:pStyle w:val="OSAReference"/>
        <w:numPr>
          <w:ilvl w:val="0"/>
          <w:numId w:val="28"/>
        </w:numPr>
        <w:ind w:left="215" w:hanging="215"/>
      </w:pPr>
      <w:r w:rsidRPr="00A650C3">
        <w:rPr>
          <w:lang w:val="en-GB"/>
        </w:rPr>
        <w:t xml:space="preserve">M. Fokine, L.E. Nilsson, A.A. Claesson, D. Berlemont, L. Kjellberg, </w:t>
      </w:r>
      <w:r w:rsidR="00C33780">
        <w:rPr>
          <w:lang w:val="en-GB"/>
        </w:rPr>
        <w:t>L. Krummenacher and W. Margulis</w:t>
      </w:r>
      <w:r w:rsidRPr="00A650C3">
        <w:rPr>
          <w:lang w:val="en-GB"/>
        </w:rPr>
        <w:t>, Opt. Lett.</w:t>
      </w:r>
      <w:r>
        <w:rPr>
          <w:lang w:val="en-GB"/>
        </w:rPr>
        <w:t xml:space="preserve"> </w:t>
      </w:r>
      <w:r w:rsidRPr="004A4DF3">
        <w:rPr>
          <w:b/>
          <w:lang w:val="en-GB"/>
        </w:rPr>
        <w:t>27</w:t>
      </w:r>
      <w:r>
        <w:rPr>
          <w:bCs/>
          <w:lang w:val="en-GB"/>
        </w:rPr>
        <w:t xml:space="preserve">, </w:t>
      </w:r>
      <w:r w:rsidRPr="00A650C3">
        <w:rPr>
          <w:bCs/>
          <w:lang w:val="en-GB"/>
        </w:rPr>
        <w:t>1643</w:t>
      </w:r>
      <w:r w:rsidRPr="00A650C3">
        <w:rPr>
          <w:lang w:val="en-GB"/>
        </w:rPr>
        <w:t xml:space="preserve"> (2002)</w:t>
      </w:r>
      <w:r>
        <w:rPr>
          <w:lang w:val="en-GB"/>
        </w:rPr>
        <w:t>.</w:t>
      </w:r>
    </w:p>
    <w:p w14:paraId="654A64DC" w14:textId="77777777" w:rsidR="00B31264" w:rsidRPr="00F05FCB" w:rsidRDefault="00B31264" w:rsidP="00B31264">
      <w:pPr>
        <w:pStyle w:val="OSAReference"/>
        <w:numPr>
          <w:ilvl w:val="0"/>
          <w:numId w:val="28"/>
        </w:numPr>
        <w:ind w:left="215" w:hanging="215"/>
      </w:pPr>
      <w:r w:rsidRPr="00F05FCB">
        <w:t>A. Canagasabey, C. Corbari,</w:t>
      </w:r>
      <w:r w:rsidRPr="00F05FCB">
        <w:rPr>
          <w:lang w:val="en-GB"/>
        </w:rPr>
        <w:t xml:space="preserve"> A. V. </w:t>
      </w:r>
      <w:r w:rsidRPr="00F05FCB">
        <w:t xml:space="preserve"> Gladyshev, F. Liegeois, S. Guillemet, Y. Hernandez, M. V. Yashkov, A. Kosolapov, E. M. Dianov, M. Ibsen </w:t>
      </w:r>
      <w:r w:rsidRPr="00F05FCB">
        <w:rPr>
          <w:lang w:val="en-GB"/>
        </w:rPr>
        <w:t>and P. G. Kazansky</w:t>
      </w:r>
      <w:r w:rsidRPr="00F05FCB">
        <w:t xml:space="preserve">, Opt. Lett. </w:t>
      </w:r>
      <w:r w:rsidRPr="00F05FCB">
        <w:rPr>
          <w:b/>
        </w:rPr>
        <w:t>34</w:t>
      </w:r>
      <w:r w:rsidRPr="00F05FCB">
        <w:t xml:space="preserve">, 2483 (2009). </w:t>
      </w:r>
    </w:p>
    <w:p w14:paraId="7CCA699F" w14:textId="77777777" w:rsidR="0066235C" w:rsidRDefault="0066235C" w:rsidP="0066235C">
      <w:pPr>
        <w:pStyle w:val="OSAReference"/>
        <w:numPr>
          <w:ilvl w:val="0"/>
          <w:numId w:val="28"/>
        </w:numPr>
        <w:ind w:left="215" w:hanging="215"/>
      </w:pPr>
      <w:r>
        <w:t>F</w:t>
      </w:r>
      <w:r w:rsidRPr="006D7931">
        <w:t>. De Lucia, D. Huang, C. Corba</w:t>
      </w:r>
      <w:r>
        <w:t xml:space="preserve">ri, N. Healy and P. Sazio, Opt. Lett. </w:t>
      </w:r>
      <w:r w:rsidRPr="0076351B">
        <w:rPr>
          <w:b/>
        </w:rPr>
        <w:t>39</w:t>
      </w:r>
      <w:r>
        <w:t>, 6513</w:t>
      </w:r>
      <w:r w:rsidRPr="006D7931">
        <w:t xml:space="preserve"> (2014)</w:t>
      </w:r>
      <w:r>
        <w:t>.</w:t>
      </w:r>
    </w:p>
    <w:p w14:paraId="118D43C0" w14:textId="1F89691F" w:rsidR="002500B6" w:rsidRPr="002500B6" w:rsidRDefault="002500B6" w:rsidP="002500B6">
      <w:pPr>
        <w:pStyle w:val="OSAReference"/>
        <w:numPr>
          <w:ilvl w:val="0"/>
          <w:numId w:val="28"/>
        </w:numPr>
        <w:ind w:left="215" w:hanging="215"/>
        <w:rPr>
          <w:lang w:val="en-GB"/>
        </w:rPr>
      </w:pPr>
      <w:r>
        <w:rPr>
          <w:lang w:val="en-GB"/>
        </w:rPr>
        <w:t xml:space="preserve">A. </w:t>
      </w:r>
      <w:r w:rsidR="00171FCA" w:rsidRPr="00731767">
        <w:rPr>
          <w:lang w:val="en-GB"/>
        </w:rPr>
        <w:t>Canagasabey, M. Ibsen, K</w:t>
      </w:r>
      <w:r w:rsidR="00171FCA">
        <w:rPr>
          <w:lang w:val="en-GB"/>
        </w:rPr>
        <w:t xml:space="preserve">. Gallo, A. V. Gladishev, E. M. </w:t>
      </w:r>
      <w:r w:rsidR="004813B7">
        <w:rPr>
          <w:lang w:val="en-GB"/>
        </w:rPr>
        <w:t>Dianov, C. Corbari</w:t>
      </w:r>
      <w:r w:rsidR="00171FCA" w:rsidRPr="00731767">
        <w:rPr>
          <w:lang w:val="en-GB"/>
        </w:rPr>
        <w:t xml:space="preserve"> and P. G. Kazansky, Opt. Lett. </w:t>
      </w:r>
      <w:r w:rsidR="00171FCA" w:rsidRPr="00A85671">
        <w:rPr>
          <w:b/>
          <w:lang w:val="en-GB"/>
        </w:rPr>
        <w:t>35</w:t>
      </w:r>
      <w:r w:rsidR="00171FCA">
        <w:rPr>
          <w:lang w:val="en-GB"/>
        </w:rPr>
        <w:t xml:space="preserve">, 724 </w:t>
      </w:r>
      <w:r w:rsidR="00171FCA" w:rsidRPr="00731767">
        <w:rPr>
          <w:lang w:val="en-GB"/>
        </w:rPr>
        <w:t>(2010).</w:t>
      </w:r>
    </w:p>
    <w:p w14:paraId="17E9AECB" w14:textId="302D8CF9" w:rsidR="005058FF" w:rsidRPr="00867DCE" w:rsidRDefault="005058FF" w:rsidP="005058FF">
      <w:pPr>
        <w:pStyle w:val="OSAReference"/>
        <w:numPr>
          <w:ilvl w:val="0"/>
          <w:numId w:val="28"/>
        </w:numPr>
        <w:ind w:left="215" w:hanging="215"/>
        <w:rPr>
          <w:lang w:val="en-GB"/>
        </w:rPr>
      </w:pPr>
      <w:r>
        <w:rPr>
          <w:lang w:val="en-GB"/>
        </w:rPr>
        <w:t>N</w:t>
      </w:r>
      <w:r w:rsidR="00646F62">
        <w:t>. Mukherjee, R. A. Myers</w:t>
      </w:r>
      <w:r>
        <w:t xml:space="preserve"> and S. R. J. Brueck, J. Opt. Soc. Am. B </w:t>
      </w:r>
      <w:r w:rsidRPr="00355D70">
        <w:rPr>
          <w:b/>
        </w:rPr>
        <w:t>11</w:t>
      </w:r>
      <w:r>
        <w:t>, 665 (1994).</w:t>
      </w:r>
    </w:p>
    <w:p w14:paraId="76B6315D" w14:textId="115BF1ED" w:rsidR="00631DC5" w:rsidRPr="00EA34F3" w:rsidRDefault="00631DC5" w:rsidP="00631DC5">
      <w:pPr>
        <w:pStyle w:val="OSAReference"/>
        <w:numPr>
          <w:ilvl w:val="0"/>
          <w:numId w:val="28"/>
        </w:numPr>
        <w:ind w:left="215" w:hanging="215"/>
        <w:rPr>
          <w:lang w:val="en-GB"/>
        </w:rPr>
      </w:pPr>
      <w:r>
        <w:t>T</w:t>
      </w:r>
      <w:r w:rsidRPr="00A70915">
        <w:t xml:space="preserve">. </w:t>
      </w:r>
      <w:r w:rsidR="00646F62">
        <w:t>G. Alley</w:t>
      </w:r>
      <w:r>
        <w:t xml:space="preserve"> and S. R. J. Brueck, Opt. Lett.</w:t>
      </w:r>
      <w:r w:rsidRPr="00A70915">
        <w:t xml:space="preserve"> </w:t>
      </w:r>
      <w:r w:rsidRPr="00AA7F01">
        <w:rPr>
          <w:b/>
        </w:rPr>
        <w:t>23</w:t>
      </w:r>
      <w:r>
        <w:t xml:space="preserve">, 1170 </w:t>
      </w:r>
      <w:r w:rsidRPr="00A70915">
        <w:t>(1998)</w:t>
      </w:r>
      <w:r>
        <w:t>.</w:t>
      </w:r>
    </w:p>
    <w:p w14:paraId="233472E6" w14:textId="5A4C376A" w:rsidR="00EA34F3" w:rsidRPr="00EA34F3" w:rsidRDefault="00EA34F3" w:rsidP="00EA34F3">
      <w:pPr>
        <w:pStyle w:val="OSAReference"/>
        <w:numPr>
          <w:ilvl w:val="0"/>
          <w:numId w:val="28"/>
        </w:numPr>
        <w:ind w:left="215" w:hanging="215"/>
        <w:rPr>
          <w:lang w:val="en-GB"/>
        </w:rPr>
      </w:pPr>
      <w:r w:rsidRPr="00EA34F3">
        <w:rPr>
          <w:lang w:val="en-GB"/>
        </w:rPr>
        <w:t>T. G. Alley, S. R</w:t>
      </w:r>
      <w:r w:rsidR="00365788">
        <w:rPr>
          <w:lang w:val="en-GB"/>
        </w:rPr>
        <w:t>. J. Brueck, and M. Wiedenbeck,</w:t>
      </w:r>
      <w:r w:rsidRPr="00EA34F3">
        <w:rPr>
          <w:lang w:val="en-GB"/>
        </w:rPr>
        <w:t xml:space="preserve"> J. Appl. Phys. </w:t>
      </w:r>
      <w:r w:rsidRPr="00EA34F3">
        <w:rPr>
          <w:b/>
          <w:bCs/>
          <w:lang w:val="en-GB"/>
        </w:rPr>
        <w:t>86</w:t>
      </w:r>
      <w:r w:rsidRPr="00EA34F3">
        <w:rPr>
          <w:lang w:val="en-GB"/>
        </w:rPr>
        <w:t>, 6634 (1999).</w:t>
      </w:r>
    </w:p>
    <w:p w14:paraId="3BBCB29A" w14:textId="55212B45" w:rsidR="0066647D" w:rsidRPr="0066647D" w:rsidRDefault="00532117" w:rsidP="00171FCA">
      <w:pPr>
        <w:pStyle w:val="OSAReference"/>
        <w:numPr>
          <w:ilvl w:val="0"/>
          <w:numId w:val="28"/>
        </w:numPr>
        <w:ind w:left="215" w:hanging="215"/>
      </w:pPr>
      <w:r>
        <w:t xml:space="preserve">W. L. Marshall, J. Chem. Eng. Data </w:t>
      </w:r>
      <w:r>
        <w:rPr>
          <w:b/>
          <w:bCs/>
        </w:rPr>
        <w:t>32</w:t>
      </w:r>
      <w:r>
        <w:t>, 221 (1987).</w:t>
      </w:r>
    </w:p>
    <w:p w14:paraId="511CA0C6" w14:textId="474D89BD" w:rsidR="0066647D" w:rsidRPr="00E31BF4" w:rsidRDefault="00E31BF4" w:rsidP="00171FCA">
      <w:pPr>
        <w:pStyle w:val="OSAReference"/>
        <w:numPr>
          <w:ilvl w:val="0"/>
          <w:numId w:val="28"/>
        </w:numPr>
        <w:ind w:left="215" w:hanging="215"/>
        <w:rPr>
          <w:lang w:val="en-GB"/>
        </w:rPr>
      </w:pPr>
      <w:r w:rsidRPr="00E31BF4">
        <w:rPr>
          <w:lang w:val="en-GB"/>
        </w:rPr>
        <w:t xml:space="preserve">D. A. Masten, B. R. Foy, D. </w:t>
      </w:r>
      <w:r>
        <w:rPr>
          <w:lang w:val="en-GB"/>
        </w:rPr>
        <w:t xml:space="preserve">M. Harradine and R. B. Dyer, J. Phys. Chem. </w:t>
      </w:r>
      <w:r>
        <w:rPr>
          <w:b/>
          <w:bCs/>
          <w:lang w:val="en-GB"/>
        </w:rPr>
        <w:t>97</w:t>
      </w:r>
      <w:r>
        <w:rPr>
          <w:lang w:val="en-GB"/>
        </w:rPr>
        <w:t>, 8557 (1993).</w:t>
      </w:r>
    </w:p>
    <w:p w14:paraId="579C96FF" w14:textId="370BABEC" w:rsidR="00D828D9" w:rsidRDefault="00D828D9" w:rsidP="00D828D9">
      <w:pPr>
        <w:pStyle w:val="OSAReference"/>
        <w:numPr>
          <w:ilvl w:val="0"/>
          <w:numId w:val="28"/>
        </w:numPr>
        <w:ind w:left="215" w:hanging="215"/>
        <w:rPr>
          <w:lang w:val="en-GB"/>
        </w:rPr>
      </w:pPr>
      <w:r w:rsidRPr="00255AC9">
        <w:rPr>
          <w:lang w:val="en-GB"/>
        </w:rPr>
        <w:t>J. A. Armstr</w:t>
      </w:r>
      <w:r w:rsidR="00646F62">
        <w:rPr>
          <w:lang w:val="en-GB"/>
        </w:rPr>
        <w:t>ong, N. Bloembergen, J. Ducuing</w:t>
      </w:r>
      <w:r w:rsidRPr="00255AC9">
        <w:rPr>
          <w:lang w:val="en-GB"/>
        </w:rPr>
        <w:t xml:space="preserve"> and P. S. Pershan, Phys. Rev. </w:t>
      </w:r>
      <w:r w:rsidRPr="00255AC9">
        <w:rPr>
          <w:b/>
          <w:bCs/>
          <w:lang w:val="en-GB"/>
        </w:rPr>
        <w:t>127</w:t>
      </w:r>
      <w:r w:rsidRPr="00255AC9">
        <w:rPr>
          <w:lang w:val="en-GB"/>
        </w:rPr>
        <w:t>, 1918 (1962).</w:t>
      </w:r>
    </w:p>
    <w:p w14:paraId="6B5404FE" w14:textId="6A045389" w:rsidR="00515FC9" w:rsidRPr="00515FC9" w:rsidRDefault="00515FC9" w:rsidP="00515FC9">
      <w:pPr>
        <w:pStyle w:val="OSAReference"/>
        <w:numPr>
          <w:ilvl w:val="0"/>
          <w:numId w:val="28"/>
        </w:numPr>
        <w:ind w:left="215" w:hanging="215"/>
        <w:rPr>
          <w:lang w:val="en-GB"/>
        </w:rPr>
      </w:pPr>
      <w:r w:rsidRPr="00515FC9">
        <w:t xml:space="preserve">V. Pruneri, G. Bonfrate, P. G. Kazansky, D. J. Richardson, N. G. Broderick, J. P. de Sandro, C. Simonneau, P. Vidakovic and J. A. Levenson, Opt. Lett. </w:t>
      </w:r>
      <w:r w:rsidRPr="00515FC9">
        <w:rPr>
          <w:b/>
        </w:rPr>
        <w:t>24</w:t>
      </w:r>
      <w:r>
        <w:t>,</w:t>
      </w:r>
      <w:r w:rsidRPr="00515FC9">
        <w:t xml:space="preserve"> 208 (1999).</w:t>
      </w:r>
    </w:p>
    <w:p w14:paraId="08F6285D" w14:textId="28042086" w:rsidR="005C1C5B" w:rsidRDefault="005C1C5B" w:rsidP="005C1C5B">
      <w:pPr>
        <w:pStyle w:val="OSAReference"/>
        <w:numPr>
          <w:ilvl w:val="0"/>
          <w:numId w:val="28"/>
        </w:numPr>
        <w:ind w:left="215" w:hanging="215"/>
        <w:rPr>
          <w:lang w:val="en-GB"/>
        </w:rPr>
      </w:pPr>
      <w:r w:rsidRPr="007F06A8">
        <w:rPr>
          <w:lang w:val="en-GB"/>
        </w:rPr>
        <w:t>E. Y. Zhu, L. Qian, L. G. Helt, M. Liscid</w:t>
      </w:r>
      <w:r>
        <w:rPr>
          <w:lang w:val="en-GB"/>
        </w:rPr>
        <w:t xml:space="preserve">ini, J. E. Sipe, C. Corbari, A. </w:t>
      </w:r>
      <w:r w:rsidR="00FE05D0">
        <w:rPr>
          <w:lang w:val="en-GB"/>
        </w:rPr>
        <w:t>Canagasabey, M. Ibsen</w:t>
      </w:r>
      <w:r w:rsidRPr="007F06A8">
        <w:rPr>
          <w:lang w:val="en-GB"/>
        </w:rPr>
        <w:t xml:space="preserve"> and P. G. Kazansky, </w:t>
      </w:r>
      <w:r>
        <w:rPr>
          <w:lang w:val="en-GB"/>
        </w:rPr>
        <w:t xml:space="preserve">Opt. Lett. </w:t>
      </w:r>
      <w:r w:rsidRPr="007F06A8">
        <w:rPr>
          <w:b/>
          <w:lang w:val="en-GB"/>
        </w:rPr>
        <w:t>35</w:t>
      </w:r>
      <w:r>
        <w:rPr>
          <w:lang w:val="en-GB"/>
        </w:rPr>
        <w:t xml:space="preserve">, </w:t>
      </w:r>
      <w:r w:rsidRPr="007F06A8">
        <w:rPr>
          <w:lang w:val="en-GB"/>
        </w:rPr>
        <w:t>1530 (2010)</w:t>
      </w:r>
      <w:r>
        <w:rPr>
          <w:lang w:val="en-GB"/>
        </w:rPr>
        <w:t>.</w:t>
      </w:r>
    </w:p>
    <w:p w14:paraId="18E8F7F9" w14:textId="7CC49E98" w:rsidR="006E406C" w:rsidRDefault="0066235C" w:rsidP="00E77F67">
      <w:pPr>
        <w:pStyle w:val="OSAReference"/>
        <w:numPr>
          <w:ilvl w:val="0"/>
          <w:numId w:val="28"/>
        </w:numPr>
        <w:ind w:left="215" w:hanging="215"/>
      </w:pPr>
      <w:r w:rsidRPr="00171FCA">
        <w:rPr>
          <w:bCs/>
        </w:rPr>
        <w:t xml:space="preserve">T. M. Monro, V. Pruneri, N. G. R. Broderick, D. Faccio, P. G. Kazansky and D. J. Richardson, IEEE Photon. Tech. Lett. </w:t>
      </w:r>
      <w:r w:rsidRPr="00171FCA">
        <w:rPr>
          <w:b/>
          <w:bCs/>
        </w:rPr>
        <w:t>13</w:t>
      </w:r>
      <w:r w:rsidRPr="00171FCA">
        <w:rPr>
          <w:bCs/>
        </w:rPr>
        <w:t>, 981 (2001).</w:t>
      </w:r>
    </w:p>
    <w:p w14:paraId="3C7DCCCC" w14:textId="77777777" w:rsidR="006E406C" w:rsidRPr="00031ED7" w:rsidRDefault="006E406C" w:rsidP="00105141">
      <w:pPr>
        <w:pStyle w:val="OSAReference"/>
        <w:numPr>
          <w:ilvl w:val="0"/>
          <w:numId w:val="0"/>
        </w:numPr>
        <w:ind w:left="215"/>
      </w:pPr>
    </w:p>
    <w:p w14:paraId="7C3E127B" w14:textId="77777777" w:rsidR="0066235C" w:rsidRDefault="0066235C" w:rsidP="0066235C">
      <w:pPr>
        <w:pStyle w:val="12Head1"/>
      </w:pPr>
      <w:r>
        <w:lastRenderedPageBreak/>
        <w:t>References</w:t>
      </w:r>
    </w:p>
    <w:p w14:paraId="74580459" w14:textId="50FE50FB" w:rsidR="0066235C" w:rsidRPr="00171FCA" w:rsidRDefault="0066235C" w:rsidP="00171FCA">
      <w:pPr>
        <w:pStyle w:val="OSAReference"/>
        <w:numPr>
          <w:ilvl w:val="0"/>
          <w:numId w:val="30"/>
        </w:numPr>
        <w:ind w:left="215" w:hanging="215"/>
        <w:rPr>
          <w:lang w:val="en-GB"/>
        </w:rPr>
      </w:pPr>
      <w:r>
        <w:t>R. A.</w:t>
      </w:r>
      <w:r w:rsidRPr="0086173F">
        <w:t xml:space="preserve"> </w:t>
      </w:r>
      <w:r>
        <w:t xml:space="preserve">Myers, N. Mukherjee, and S. R. J. Brueck, </w:t>
      </w:r>
      <w:r w:rsidR="00171FCA" w:rsidRPr="00171FCA">
        <w:t>“Large second-order non</w:t>
      </w:r>
      <w:r w:rsidR="004813B7">
        <w:t>linearity in poled fused silica</w:t>
      </w:r>
      <w:r w:rsidR="00171FCA" w:rsidRPr="00171FCA">
        <w:t>”</w:t>
      </w:r>
      <w:r w:rsidR="004813B7">
        <w:t>,</w:t>
      </w:r>
      <w:r w:rsidR="00171FCA" w:rsidRPr="00171FCA">
        <w:t xml:space="preserve"> Opt.</w:t>
      </w:r>
      <w:r w:rsidR="008C5258">
        <w:t xml:space="preserve"> Lett.</w:t>
      </w:r>
      <w:r w:rsidR="00171FCA" w:rsidRPr="00171FCA">
        <w:t xml:space="preserve"> </w:t>
      </w:r>
      <w:r w:rsidR="00171FCA" w:rsidRPr="008C5258">
        <w:rPr>
          <w:b/>
          <w:bCs/>
        </w:rPr>
        <w:t>16</w:t>
      </w:r>
      <w:r w:rsidR="00171FCA" w:rsidRPr="00171FCA">
        <w:t>, no. 22 (1991): 1732 - 1734.</w:t>
      </w:r>
    </w:p>
    <w:p w14:paraId="6FABBA59" w14:textId="77777777" w:rsidR="00171FCA" w:rsidRDefault="0066235C" w:rsidP="00C507FE">
      <w:pPr>
        <w:pStyle w:val="OSAReference"/>
        <w:numPr>
          <w:ilvl w:val="0"/>
          <w:numId w:val="30"/>
        </w:numPr>
        <w:ind w:left="215" w:hanging="215"/>
      </w:pPr>
      <w:r>
        <w:t xml:space="preserve">D. Wong, W. Xu, S. Fleming, M. Janos, and K-M Lo, </w:t>
      </w:r>
      <w:r w:rsidR="00171FCA">
        <w:t>“</w:t>
      </w:r>
      <w:r w:rsidR="00171FCA" w:rsidRPr="00B55723">
        <w:t>Frozen-in electrical field in thermally poled fibers”, Opt. Fi</w:t>
      </w:r>
      <w:r w:rsidR="00171FCA">
        <w:t xml:space="preserve">b. Tech. </w:t>
      </w:r>
      <w:r w:rsidR="00171FCA" w:rsidRPr="00B55723">
        <w:rPr>
          <w:b/>
          <w:bCs/>
        </w:rPr>
        <w:t>5</w:t>
      </w:r>
      <w:r w:rsidR="00171FCA">
        <w:t xml:space="preserve"> (1999): 235 – 241.</w:t>
      </w:r>
    </w:p>
    <w:p w14:paraId="2A18D774" w14:textId="3E3A9F20" w:rsidR="0066235C" w:rsidRDefault="0066235C" w:rsidP="00C507FE">
      <w:pPr>
        <w:pStyle w:val="OSAReference"/>
        <w:numPr>
          <w:ilvl w:val="0"/>
          <w:numId w:val="30"/>
        </w:numPr>
        <w:ind w:left="215" w:hanging="215"/>
      </w:pPr>
      <w:r>
        <w:t xml:space="preserve">W. </w:t>
      </w:r>
      <w:r w:rsidRPr="006D7931">
        <w:t>Margulis,</w:t>
      </w:r>
      <w:r>
        <w:t xml:space="preserve"> O. Tarasenko and N. Myrén, </w:t>
      </w:r>
      <w:r w:rsidR="00171FCA">
        <w:t>“</w:t>
      </w:r>
      <w:r w:rsidR="00171FCA" w:rsidRPr="00CF2C20">
        <w:t>Who needs a cathode? Creating a second-order nonlinearity by charging glass fiber with two anodes</w:t>
      </w:r>
      <w:r w:rsidR="00171FCA">
        <w:t>”</w:t>
      </w:r>
      <w:r w:rsidR="004813B7">
        <w:t xml:space="preserve">, </w:t>
      </w:r>
      <w:r w:rsidR="00171FCA" w:rsidRPr="00CF2C20">
        <w:t>Opt. Exp.</w:t>
      </w:r>
      <w:r w:rsidR="00171FCA">
        <w:t xml:space="preserve"> </w:t>
      </w:r>
      <w:r w:rsidR="00171FCA" w:rsidRPr="00CF2C20">
        <w:rPr>
          <w:b/>
          <w:bCs/>
        </w:rPr>
        <w:t>17</w:t>
      </w:r>
      <w:r w:rsidR="00171FCA">
        <w:t xml:space="preserve">, no. 18 (2009): </w:t>
      </w:r>
      <w:r w:rsidR="00171FCA" w:rsidRPr="00CF2C20">
        <w:t xml:space="preserve">15534 </w:t>
      </w:r>
      <w:r w:rsidR="00171FCA">
        <w:t>–</w:t>
      </w:r>
      <w:r w:rsidR="00171FCA" w:rsidRPr="00CF2C20">
        <w:t xml:space="preserve"> 15540</w:t>
      </w:r>
      <w:r w:rsidR="00171FCA">
        <w:t>.</w:t>
      </w:r>
    </w:p>
    <w:p w14:paraId="3B93D63E" w14:textId="77777777" w:rsidR="00171FCA" w:rsidRDefault="0066235C" w:rsidP="00171FCA">
      <w:pPr>
        <w:pStyle w:val="OSAReference"/>
        <w:numPr>
          <w:ilvl w:val="0"/>
          <w:numId w:val="30"/>
        </w:numPr>
        <w:ind w:left="215" w:hanging="215"/>
      </w:pPr>
      <w:r w:rsidRPr="00171FCA">
        <w:rPr>
          <w:lang w:val="en-GB"/>
        </w:rPr>
        <w:t xml:space="preserve">M. Fokine, L.E. Nilsson, A.A. Claesson, D. Berlemont, L. Kjellberg, </w:t>
      </w:r>
      <w:r w:rsidR="00E674CF">
        <w:rPr>
          <w:lang w:val="en-GB"/>
        </w:rPr>
        <w:t>L. Krummenacher and W. Margulis</w:t>
      </w:r>
      <w:r w:rsidRPr="00171FCA">
        <w:rPr>
          <w:lang w:val="en-GB"/>
        </w:rPr>
        <w:t xml:space="preserve">, </w:t>
      </w:r>
      <w:r w:rsidR="00171FCA" w:rsidRPr="00171FCA">
        <w:t>“Integrated fiber Mach-Zehnder interferometer for electro-</w:t>
      </w:r>
      <w:r w:rsidR="008C5258">
        <w:t>optic switching”, Opt. Lett.</w:t>
      </w:r>
      <w:r w:rsidR="00171FCA" w:rsidRPr="00171FCA">
        <w:t xml:space="preserve"> </w:t>
      </w:r>
      <w:r w:rsidR="008C5258">
        <w:rPr>
          <w:b/>
        </w:rPr>
        <w:t>27</w:t>
      </w:r>
      <w:r w:rsidR="008C5258">
        <w:t xml:space="preserve"> (2002): 1643-1645</w:t>
      </w:r>
      <w:r w:rsidR="00171FCA" w:rsidRPr="00171FCA">
        <w:t>.</w:t>
      </w:r>
    </w:p>
    <w:p w14:paraId="45AD240D" w14:textId="77777777" w:rsidR="006E406C" w:rsidRPr="00F05FCB" w:rsidRDefault="006E406C" w:rsidP="006E406C">
      <w:pPr>
        <w:pStyle w:val="OSAReference"/>
        <w:numPr>
          <w:ilvl w:val="0"/>
          <w:numId w:val="30"/>
        </w:numPr>
        <w:ind w:left="215" w:hanging="215"/>
      </w:pPr>
      <w:r w:rsidRPr="00F05FCB">
        <w:t>A. Canagasabey, C. Corbari,</w:t>
      </w:r>
      <w:r w:rsidRPr="00F05FCB">
        <w:rPr>
          <w:lang w:val="en-GB"/>
        </w:rPr>
        <w:t xml:space="preserve"> A. V. </w:t>
      </w:r>
      <w:r w:rsidRPr="00F05FCB">
        <w:t xml:space="preserve"> Gladyshev, F. Liegeois, S. Guillemet, Y. Hernandez, M. V. Yashkov, A. Kosolapov, E. M. Dianov, M. Ibsen </w:t>
      </w:r>
      <w:r w:rsidRPr="00F05FCB">
        <w:rPr>
          <w:lang w:val="en-GB"/>
        </w:rPr>
        <w:t>and P. G. Kazansky</w:t>
      </w:r>
      <w:r w:rsidRPr="00F05FCB">
        <w:t xml:space="preserve">, “High-average-power second-harmonic generation from periodically poled silica fibers.” Opt. Lett. </w:t>
      </w:r>
      <w:r w:rsidRPr="00F05FCB">
        <w:rPr>
          <w:b/>
        </w:rPr>
        <w:t>34</w:t>
      </w:r>
      <w:r w:rsidRPr="00F05FCB">
        <w:t>, no. 16 (2009): 2483-2485.</w:t>
      </w:r>
    </w:p>
    <w:p w14:paraId="7AB96F4C" w14:textId="77777777" w:rsidR="006E406C" w:rsidRDefault="006E406C" w:rsidP="006E406C">
      <w:pPr>
        <w:pStyle w:val="OSAReference"/>
        <w:numPr>
          <w:ilvl w:val="0"/>
          <w:numId w:val="30"/>
        </w:numPr>
        <w:ind w:left="215" w:hanging="215"/>
      </w:pPr>
      <w:r>
        <w:t>F</w:t>
      </w:r>
      <w:r w:rsidRPr="006D7931">
        <w:t>. De Lucia, D. Huang, C. Corba</w:t>
      </w:r>
      <w:r>
        <w:t xml:space="preserve">ri, N. Healy and P. Sazio, </w:t>
      </w:r>
      <w:r w:rsidRPr="00171FCA">
        <w:t>“</w:t>
      </w:r>
      <w:r w:rsidRPr="00171FCA">
        <w:rPr>
          <w:lang w:val="en-GB"/>
        </w:rPr>
        <w:t>Op</w:t>
      </w:r>
      <w:r>
        <w:rPr>
          <w:lang w:val="en-GB"/>
        </w:rPr>
        <w:t>tical fiber poling by induction</w:t>
      </w:r>
      <w:r w:rsidRPr="00171FCA">
        <w:rPr>
          <w:lang w:val="en-GB"/>
        </w:rPr>
        <w:t>”</w:t>
      </w:r>
      <w:r>
        <w:rPr>
          <w:lang w:val="en-GB"/>
        </w:rPr>
        <w:t>,</w:t>
      </w:r>
      <w:r w:rsidRPr="00171FCA">
        <w:rPr>
          <w:lang w:val="en-GB"/>
        </w:rPr>
        <w:t xml:space="preserve"> </w:t>
      </w:r>
      <w:r w:rsidRPr="00171FCA">
        <w:t xml:space="preserve">Opt. Lett. </w:t>
      </w:r>
      <w:r w:rsidRPr="00171FCA">
        <w:rPr>
          <w:b/>
        </w:rPr>
        <w:t>39</w:t>
      </w:r>
      <w:r w:rsidRPr="00171FCA">
        <w:t>, no. 22 (2014): 6513-6516.</w:t>
      </w:r>
    </w:p>
    <w:p w14:paraId="226AFC29" w14:textId="77777777" w:rsidR="006E406C" w:rsidRDefault="006E406C" w:rsidP="006E406C">
      <w:pPr>
        <w:pStyle w:val="OSAReference"/>
        <w:numPr>
          <w:ilvl w:val="0"/>
          <w:numId w:val="30"/>
        </w:numPr>
        <w:ind w:left="215" w:hanging="215"/>
      </w:pPr>
      <w:r>
        <w:rPr>
          <w:lang w:val="en-GB"/>
        </w:rPr>
        <w:t xml:space="preserve">A. </w:t>
      </w:r>
      <w:r w:rsidRPr="00171FCA">
        <w:rPr>
          <w:lang w:val="en-GB"/>
        </w:rPr>
        <w:t>Canagasabey, M. Ibsen, K. Gallo, A. V. Glad</w:t>
      </w:r>
      <w:r>
        <w:rPr>
          <w:lang w:val="en-GB"/>
        </w:rPr>
        <w:t>ishev, E. M. Dianov, C. Corbari</w:t>
      </w:r>
      <w:r w:rsidRPr="00171FCA">
        <w:rPr>
          <w:lang w:val="en-GB"/>
        </w:rPr>
        <w:t xml:space="preserve"> and P. G. Kazansky, </w:t>
      </w:r>
      <w:r>
        <w:t xml:space="preserve">“Aperiodically poled silica fibers for bandwidth control of quasi-phased-matched second-harmonic generation”, </w:t>
      </w:r>
      <w:r w:rsidRPr="00171FCA">
        <w:rPr>
          <w:lang w:val="en-GB"/>
        </w:rPr>
        <w:t xml:space="preserve">Opt. Lett. </w:t>
      </w:r>
      <w:r w:rsidRPr="008C5258">
        <w:rPr>
          <w:b/>
          <w:lang w:val="en-GB"/>
        </w:rPr>
        <w:t>35</w:t>
      </w:r>
      <w:r>
        <w:rPr>
          <w:lang w:val="en-GB"/>
        </w:rPr>
        <w:t xml:space="preserve"> (2010): 724-726</w:t>
      </w:r>
      <w:r w:rsidRPr="00171FCA">
        <w:rPr>
          <w:lang w:val="en-GB"/>
        </w:rPr>
        <w:t>.</w:t>
      </w:r>
    </w:p>
    <w:p w14:paraId="12EC4BBD" w14:textId="2DD6CD54" w:rsidR="006D2E2C" w:rsidRPr="00171FCA" w:rsidRDefault="006D2E2C" w:rsidP="00913772">
      <w:pPr>
        <w:pStyle w:val="OSAReference"/>
        <w:numPr>
          <w:ilvl w:val="0"/>
          <w:numId w:val="30"/>
        </w:numPr>
        <w:ind w:left="215" w:hanging="215"/>
        <w:rPr>
          <w:lang w:val="en-GB"/>
        </w:rPr>
      </w:pPr>
      <w:r w:rsidRPr="00171FCA">
        <w:rPr>
          <w:lang w:val="en-GB"/>
        </w:rPr>
        <w:t>N</w:t>
      </w:r>
      <w:r w:rsidR="00646F62">
        <w:t>. Mukherjee, R. A. Myers</w:t>
      </w:r>
      <w:r>
        <w:t xml:space="preserve"> and S. R. J. Brueck, “Dynamics of second-harmonic generation in fused silica”, </w:t>
      </w:r>
      <w:r w:rsidR="00913772">
        <w:t>J. Opt. Soc. Am. B</w:t>
      </w:r>
      <w:r>
        <w:t xml:space="preserve"> </w:t>
      </w:r>
      <w:r w:rsidRPr="00F817AA">
        <w:rPr>
          <w:b/>
        </w:rPr>
        <w:t>11</w:t>
      </w:r>
      <w:r>
        <w:t xml:space="preserve"> (1994)</w:t>
      </w:r>
      <w:r>
        <w:rPr>
          <w:b/>
        </w:rPr>
        <w:t>:</w:t>
      </w:r>
      <w:r>
        <w:t xml:space="preserve"> 665-669.</w:t>
      </w:r>
    </w:p>
    <w:p w14:paraId="573599AF" w14:textId="47CBBCAE" w:rsidR="006D2E2C" w:rsidRDefault="006D2E2C" w:rsidP="006D2E2C">
      <w:pPr>
        <w:pStyle w:val="OSAReference"/>
        <w:numPr>
          <w:ilvl w:val="0"/>
          <w:numId w:val="30"/>
        </w:numPr>
        <w:ind w:left="215" w:hanging="215"/>
      </w:pPr>
      <w:r>
        <w:t>T</w:t>
      </w:r>
      <w:r w:rsidRPr="00A70915">
        <w:t xml:space="preserve">. </w:t>
      </w:r>
      <w:r>
        <w:t xml:space="preserve">G. Alley and S. R. J. Brueck, </w:t>
      </w:r>
      <w:r w:rsidRPr="008C5258">
        <w:t>“Visualization of the nonlinear optical space-charge region of bulk thermally poled fus</w:t>
      </w:r>
      <w:r>
        <w:t xml:space="preserve">ed-silica glass”, Opt. Lett. </w:t>
      </w:r>
      <w:r>
        <w:rPr>
          <w:b/>
        </w:rPr>
        <w:t>23</w:t>
      </w:r>
      <w:r>
        <w:t xml:space="preserve"> (1998): 1170-1172</w:t>
      </w:r>
      <w:r w:rsidR="00EA34F3">
        <w:t>.</w:t>
      </w:r>
    </w:p>
    <w:p w14:paraId="6E1230F5" w14:textId="66F7C0C2" w:rsidR="00EA34F3" w:rsidRDefault="00EA34F3" w:rsidP="006D2E2C">
      <w:pPr>
        <w:pStyle w:val="OSAReference"/>
        <w:numPr>
          <w:ilvl w:val="0"/>
          <w:numId w:val="30"/>
        </w:numPr>
        <w:ind w:left="215" w:hanging="215"/>
      </w:pPr>
      <w:r>
        <w:t xml:space="preserve">T. G. Alley, S. R. J. Brueck, </w:t>
      </w:r>
      <w:r w:rsidR="00365788">
        <w:t xml:space="preserve">and M. Wiedenbeck, “Secondary ion mass spectrometry study of space-charge formation in thermally poled fused silica”, J. Appl. Phys. </w:t>
      </w:r>
      <w:r w:rsidR="00365788">
        <w:rPr>
          <w:b/>
        </w:rPr>
        <w:t>86</w:t>
      </w:r>
      <w:r w:rsidR="00365788">
        <w:t xml:space="preserve"> (1999): 6634-6640.</w:t>
      </w:r>
    </w:p>
    <w:p w14:paraId="5250BC2C" w14:textId="3A26C3F5" w:rsidR="0066647D" w:rsidRDefault="00532117" w:rsidP="00913772">
      <w:pPr>
        <w:pStyle w:val="OSAReference"/>
        <w:numPr>
          <w:ilvl w:val="0"/>
          <w:numId w:val="30"/>
        </w:numPr>
        <w:ind w:left="215" w:hanging="215"/>
        <w:rPr>
          <w:bCs/>
        </w:rPr>
      </w:pPr>
      <w:r>
        <w:rPr>
          <w:bCs/>
        </w:rPr>
        <w:t xml:space="preserve">W. L. Marshall, “Electrical conductance of liquid and supercritical water evaluated from 0 °C and 0.1 MPa to high temperatures and pressures. </w:t>
      </w:r>
      <w:r w:rsidR="00913772">
        <w:rPr>
          <w:bCs/>
        </w:rPr>
        <w:t xml:space="preserve">Reduced-sate relationships”, </w:t>
      </w:r>
      <w:r w:rsidR="00913772">
        <w:t xml:space="preserve">J. Chem. Eng. Data </w:t>
      </w:r>
      <w:r w:rsidR="00913772">
        <w:rPr>
          <w:b/>
          <w:bCs/>
        </w:rPr>
        <w:t>32</w:t>
      </w:r>
      <w:r w:rsidR="00913772">
        <w:t xml:space="preserve"> (1987): 221-226.</w:t>
      </w:r>
    </w:p>
    <w:p w14:paraId="7E4FC191" w14:textId="71E90314" w:rsidR="0066647D" w:rsidRDefault="00E31BF4" w:rsidP="00171FCA">
      <w:pPr>
        <w:pStyle w:val="OSAReference"/>
        <w:numPr>
          <w:ilvl w:val="0"/>
          <w:numId w:val="30"/>
        </w:numPr>
        <w:ind w:left="215" w:hanging="215"/>
        <w:rPr>
          <w:bCs/>
        </w:rPr>
      </w:pPr>
      <w:r w:rsidRPr="00E31BF4">
        <w:rPr>
          <w:lang w:val="en-GB"/>
        </w:rPr>
        <w:t xml:space="preserve">D. A. Masten, B. R. Foy, D. </w:t>
      </w:r>
      <w:r>
        <w:rPr>
          <w:lang w:val="en-GB"/>
        </w:rPr>
        <w:t xml:space="preserve">M. Harradine and R. </w:t>
      </w:r>
      <w:r w:rsidR="00C30292">
        <w:rPr>
          <w:lang w:val="en-GB"/>
        </w:rPr>
        <w:t>B. Dyer, “In Situ Raman spectros</w:t>
      </w:r>
      <w:r>
        <w:rPr>
          <w:lang w:val="en-GB"/>
        </w:rPr>
        <w:t xml:space="preserve">copy of reactions in supercritical water”, J. Phys. Chem. </w:t>
      </w:r>
      <w:r>
        <w:rPr>
          <w:b/>
          <w:bCs/>
          <w:lang w:val="en-GB"/>
        </w:rPr>
        <w:t>97</w:t>
      </w:r>
      <w:r>
        <w:rPr>
          <w:lang w:val="en-GB"/>
        </w:rPr>
        <w:t xml:space="preserve"> (1993): 8557-8559.</w:t>
      </w:r>
    </w:p>
    <w:p w14:paraId="545C4555" w14:textId="70EC0E16" w:rsidR="008C5258" w:rsidRDefault="0066235C" w:rsidP="008C5258">
      <w:pPr>
        <w:pStyle w:val="OSAReference"/>
        <w:numPr>
          <w:ilvl w:val="0"/>
          <w:numId w:val="30"/>
        </w:numPr>
        <w:ind w:left="215" w:hanging="215"/>
      </w:pPr>
      <w:r w:rsidRPr="008C5258">
        <w:rPr>
          <w:lang w:val="en-GB"/>
        </w:rPr>
        <w:t>J. A. Armstr</w:t>
      </w:r>
      <w:r w:rsidR="00646F62">
        <w:rPr>
          <w:lang w:val="en-GB"/>
        </w:rPr>
        <w:t>ong, N. Bloembergen, J. Ducuing</w:t>
      </w:r>
      <w:r w:rsidRPr="008C5258">
        <w:rPr>
          <w:lang w:val="en-GB"/>
        </w:rPr>
        <w:t xml:space="preserve"> and P. S. Pershan, </w:t>
      </w:r>
      <w:r w:rsidR="008C5258" w:rsidRPr="008C5258">
        <w:t xml:space="preserve">“Interactions between light waves in a nonlinear dielectric”, Physical Review </w:t>
      </w:r>
      <w:r w:rsidR="008C5258" w:rsidRPr="008C5258">
        <w:rPr>
          <w:b/>
        </w:rPr>
        <w:t>127</w:t>
      </w:r>
      <w:r w:rsidR="008C5258">
        <w:t xml:space="preserve"> (1962): 1918-1939</w:t>
      </w:r>
      <w:r w:rsidR="008C5258" w:rsidRPr="008C5258">
        <w:t>.</w:t>
      </w:r>
    </w:p>
    <w:p w14:paraId="6208461C" w14:textId="012A15B0" w:rsidR="00515FC9" w:rsidRDefault="00515FC9" w:rsidP="00515FC9">
      <w:pPr>
        <w:pStyle w:val="OSAReference"/>
        <w:numPr>
          <w:ilvl w:val="0"/>
          <w:numId w:val="30"/>
        </w:numPr>
        <w:ind w:left="215" w:hanging="215"/>
      </w:pPr>
      <w:r w:rsidRPr="00515FC9">
        <w:t>V. Pruneri, G. Bonfrate, P. G. Kazansky, D. J. Richardson, N. G. Broderick, J. P. de Sandro, C. Simonneau, P. Vidakovic and J. A. Levenson, “Greater than 20% efficient frequency doubling of 1532 nm nanosecond pulses in quasi-phase-matched germanosilicate optica</w:t>
      </w:r>
      <w:r>
        <w:t xml:space="preserve">l fibers”, Optics Letters </w:t>
      </w:r>
      <w:r>
        <w:rPr>
          <w:b/>
        </w:rPr>
        <w:t>24</w:t>
      </w:r>
      <w:r>
        <w:t xml:space="preserve"> (1999): 208-210</w:t>
      </w:r>
      <w:r w:rsidRPr="00515FC9">
        <w:t>.</w:t>
      </w:r>
    </w:p>
    <w:p w14:paraId="2EB179AD" w14:textId="3BDEFB17" w:rsidR="00A740BF" w:rsidRPr="00A740BF" w:rsidRDefault="00A740BF" w:rsidP="00A740BF">
      <w:pPr>
        <w:pStyle w:val="OSAReference"/>
        <w:numPr>
          <w:ilvl w:val="0"/>
          <w:numId w:val="30"/>
        </w:numPr>
        <w:ind w:left="215" w:hanging="215"/>
        <w:rPr>
          <w:lang w:val="en-GB"/>
        </w:rPr>
      </w:pPr>
      <w:r w:rsidRPr="008C5258">
        <w:rPr>
          <w:lang w:val="en-GB"/>
        </w:rPr>
        <w:t>E. Y. Zhu, L. Qian, L. G. Helt, M. Liscidini, J. E. Sipe, C. Co</w:t>
      </w:r>
      <w:r>
        <w:rPr>
          <w:lang w:val="en-GB"/>
        </w:rPr>
        <w:t>rbari, A. Canagasabey, M. Ibsen</w:t>
      </w:r>
      <w:r w:rsidRPr="008C5258">
        <w:rPr>
          <w:lang w:val="en-GB"/>
        </w:rPr>
        <w:t xml:space="preserve"> and P. G. Kazansky, “Measurement of </w:t>
      </w:r>
      <w:r w:rsidRPr="007F06A8">
        <w:rPr>
          <w:lang w:val="en-GB"/>
        </w:rPr>
        <w:sym w:font="Symbol" w:char="F063"/>
      </w:r>
      <w:r w:rsidRPr="008C5258">
        <w:rPr>
          <w:vertAlign w:val="superscript"/>
          <w:lang w:val="en-GB"/>
        </w:rPr>
        <w:t>(2)</w:t>
      </w:r>
      <w:r w:rsidRPr="008C5258">
        <w:rPr>
          <w:lang w:val="en-GB"/>
        </w:rPr>
        <w:t xml:space="preserve"> symmetry in a poled fiber”, Opt. Lett. </w:t>
      </w:r>
      <w:r w:rsidRPr="008C5258">
        <w:rPr>
          <w:b/>
          <w:lang w:val="en-GB"/>
        </w:rPr>
        <w:t>35</w:t>
      </w:r>
      <w:r>
        <w:rPr>
          <w:lang w:val="en-GB"/>
        </w:rPr>
        <w:t xml:space="preserve"> (2010): 1530-1532</w:t>
      </w:r>
      <w:r w:rsidRPr="008C5258">
        <w:rPr>
          <w:lang w:val="en-GB"/>
        </w:rPr>
        <w:t>.</w:t>
      </w:r>
    </w:p>
    <w:p w14:paraId="6208F57B" w14:textId="1DA45FCA" w:rsidR="00D828D9" w:rsidRPr="00171FCA" w:rsidRDefault="00D828D9" w:rsidP="00D828D9">
      <w:pPr>
        <w:pStyle w:val="OSAReference"/>
        <w:numPr>
          <w:ilvl w:val="0"/>
          <w:numId w:val="30"/>
        </w:numPr>
        <w:ind w:left="215" w:hanging="215"/>
        <w:rPr>
          <w:bCs/>
        </w:rPr>
      </w:pPr>
      <w:r w:rsidRPr="00171FCA">
        <w:rPr>
          <w:bCs/>
        </w:rPr>
        <w:t>T. M. Monro, V. Pruneri, N. G. R. Broderick, D. Faccio, P. G. Kazansky and D. J. Richardson, “Broad-Band Second-Harmonic Gen</w:t>
      </w:r>
      <w:r w:rsidR="00A740BF">
        <w:rPr>
          <w:bCs/>
        </w:rPr>
        <w:t>eration in Holey Optical Fibers</w:t>
      </w:r>
      <w:r w:rsidRPr="00171FCA">
        <w:rPr>
          <w:bCs/>
        </w:rPr>
        <w:t>”</w:t>
      </w:r>
      <w:r w:rsidR="00A740BF">
        <w:rPr>
          <w:bCs/>
        </w:rPr>
        <w:t>,</w:t>
      </w:r>
      <w:r w:rsidRPr="00171FCA">
        <w:rPr>
          <w:bCs/>
        </w:rPr>
        <w:t xml:space="preserve"> IEEE Photon. Tech. Lett. </w:t>
      </w:r>
      <w:r w:rsidRPr="00171FCA">
        <w:rPr>
          <w:b/>
          <w:bCs/>
        </w:rPr>
        <w:t>13</w:t>
      </w:r>
      <w:r w:rsidRPr="00171FCA">
        <w:rPr>
          <w:bCs/>
        </w:rPr>
        <w:t>, no. 9 (2001): 981-983.</w:t>
      </w:r>
    </w:p>
    <w:p w14:paraId="18097946" w14:textId="77777777" w:rsidR="0066235C" w:rsidRPr="00731767" w:rsidRDefault="0066235C" w:rsidP="0066235C">
      <w:pPr>
        <w:pStyle w:val="OSAReference"/>
        <w:numPr>
          <w:ilvl w:val="0"/>
          <w:numId w:val="0"/>
        </w:numPr>
        <w:ind w:left="215"/>
        <w:rPr>
          <w:lang w:val="en-GB"/>
        </w:rPr>
      </w:pPr>
    </w:p>
    <w:p w14:paraId="3E7E39B0" w14:textId="77777777" w:rsidR="00AD2A79" w:rsidRDefault="00AD2A79" w:rsidP="0066235C">
      <w:pPr>
        <w:pStyle w:val="OSAReference"/>
        <w:numPr>
          <w:ilvl w:val="0"/>
          <w:numId w:val="0"/>
        </w:numPr>
      </w:pPr>
    </w:p>
    <w:sectPr w:rsidR="00AD2A79" w:rsidSect="00C73180">
      <w:type w:val="continuous"/>
      <w:pgSz w:w="12240" w:h="15840" w:code="1"/>
      <w:pgMar w:top="1080" w:right="994" w:bottom="1260" w:left="994" w:header="720" w:footer="720" w:gutter="0"/>
      <w:lnNumType w:countBy="1" w:restart="continuous"/>
      <w:cols w:num="2" w:space="446"/>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F8436" w14:textId="77777777" w:rsidR="00CB1AB1" w:rsidRPr="00A81FCC" w:rsidRDefault="00CB1AB1" w:rsidP="00A81FCC">
      <w:r>
        <w:separator/>
      </w:r>
    </w:p>
  </w:endnote>
  <w:endnote w:type="continuationSeparator" w:id="0">
    <w:p w14:paraId="7A1EB8B2" w14:textId="77777777" w:rsidR="00CB1AB1" w:rsidRPr="00A81FCC" w:rsidRDefault="00CB1AB1"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algun Gothic">
    <w:panose1 w:val="020B0503020000020004"/>
    <w:charset w:val="81"/>
    <w:family w:val="auto"/>
    <w:pitch w:val="variable"/>
    <w:sig w:usb0="9000002F" w:usb1="29D77CFB" w:usb2="00000012" w:usb3="00000000" w:csb0="00080001" w:csb1="00000000"/>
  </w:font>
  <w:font w:name="AdvOTdbe06fba">
    <w:altName w:val="Times New Roman"/>
    <w:charset w:val="01"/>
    <w:family w:val="roman"/>
    <w:pitch w:val="variable"/>
    <w:sig w:usb0="00000003" w:usb1="00000000" w:usb2="00000000" w:usb3="00000000" w:csb0="00000001" w:csb1="00000000"/>
  </w:font>
  <w:font w:name="AdvOT9cb306be.B">
    <w:altName w:val="Calibri"/>
    <w:panose1 w:val="00000000000000000000"/>
    <w:charset w:val="00"/>
    <w:family w:val="swiss"/>
    <w:notTrueType/>
    <w:pitch w:val="default"/>
    <w:sig w:usb0="00000003" w:usb1="00000000" w:usb2="00000000" w:usb3="00000000" w:csb0="00000001" w:csb1="00000000"/>
  </w:font>
  <w:font w:name="AdvOT8910dd71">
    <w:panose1 w:val="00000000000000000000"/>
    <w:charset w:val="00"/>
    <w:family w:val="swiss"/>
    <w:notTrueType/>
    <w:pitch w:val="default"/>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81C17" w14:textId="77777777" w:rsidR="00CB1AB1" w:rsidRPr="00A81FCC" w:rsidRDefault="00CB1AB1" w:rsidP="00A81FCC">
      <w:r>
        <w:separator/>
      </w:r>
    </w:p>
  </w:footnote>
  <w:footnote w:type="continuationSeparator" w:id="0">
    <w:p w14:paraId="26F253AA" w14:textId="77777777" w:rsidR="00CB1AB1" w:rsidRPr="00A81FCC" w:rsidRDefault="00CB1AB1" w:rsidP="00A81FC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A2485C8"/>
    <w:lvl w:ilvl="0">
      <w:start w:val="1"/>
      <w:numFmt w:val="decimal"/>
      <w:lvlText w:val="%1."/>
      <w:lvlJc w:val="left"/>
      <w:pPr>
        <w:tabs>
          <w:tab w:val="num" w:pos="1800"/>
        </w:tabs>
        <w:ind w:left="1800" w:hanging="360"/>
      </w:pPr>
    </w:lvl>
  </w:abstractNum>
  <w:abstractNum w:abstractNumId="1">
    <w:nsid w:val="FFFFFF7D"/>
    <w:multiLevelType w:val="singleLevel"/>
    <w:tmpl w:val="8182C0DC"/>
    <w:lvl w:ilvl="0">
      <w:start w:val="1"/>
      <w:numFmt w:val="decimal"/>
      <w:lvlText w:val="%1."/>
      <w:lvlJc w:val="left"/>
      <w:pPr>
        <w:tabs>
          <w:tab w:val="num" w:pos="1440"/>
        </w:tabs>
        <w:ind w:left="1440" w:hanging="360"/>
      </w:pPr>
    </w:lvl>
  </w:abstractNum>
  <w:abstractNum w:abstractNumId="2">
    <w:nsid w:val="FFFFFF7E"/>
    <w:multiLevelType w:val="singleLevel"/>
    <w:tmpl w:val="CF64E912"/>
    <w:lvl w:ilvl="0">
      <w:start w:val="1"/>
      <w:numFmt w:val="decimal"/>
      <w:lvlText w:val="%1."/>
      <w:lvlJc w:val="left"/>
      <w:pPr>
        <w:tabs>
          <w:tab w:val="num" w:pos="1080"/>
        </w:tabs>
        <w:ind w:left="1080" w:hanging="360"/>
      </w:pPr>
    </w:lvl>
  </w:abstractNum>
  <w:abstractNum w:abstractNumId="3">
    <w:nsid w:val="FFFFFF7F"/>
    <w:multiLevelType w:val="singleLevel"/>
    <w:tmpl w:val="215C225E"/>
    <w:lvl w:ilvl="0">
      <w:start w:val="1"/>
      <w:numFmt w:val="decimal"/>
      <w:lvlText w:val="%1."/>
      <w:lvlJc w:val="left"/>
      <w:pPr>
        <w:tabs>
          <w:tab w:val="num" w:pos="720"/>
        </w:tabs>
        <w:ind w:left="720" w:hanging="360"/>
      </w:pPr>
    </w:lvl>
  </w:abstractNum>
  <w:abstractNum w:abstractNumId="4">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5606B5C"/>
    <w:lvl w:ilvl="0">
      <w:start w:val="1"/>
      <w:numFmt w:val="decimal"/>
      <w:lvlText w:val="%1."/>
      <w:lvlJc w:val="left"/>
      <w:pPr>
        <w:tabs>
          <w:tab w:val="num" w:pos="360"/>
        </w:tabs>
        <w:ind w:left="360" w:hanging="360"/>
      </w:pPr>
    </w:lvl>
  </w:abstractNum>
  <w:abstractNum w:abstractNumId="9">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nsid w:val="03017EF2"/>
    <w:multiLevelType w:val="hybridMultilevel"/>
    <w:tmpl w:val="46746304"/>
    <w:lvl w:ilvl="0" w:tplc="1409000F">
      <w:start w:val="1"/>
      <w:numFmt w:val="decimal"/>
      <w:pStyle w:val="OSAReference"/>
      <w:lvlText w:val="%1."/>
      <w:lvlJc w:val="left"/>
      <w:pPr>
        <w:ind w:left="360" w:hanging="216"/>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307F26"/>
    <w:multiLevelType w:val="hybridMultilevel"/>
    <w:tmpl w:val="7602A558"/>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06C90396"/>
    <w:multiLevelType w:val="hybridMultilevel"/>
    <w:tmpl w:val="63B22D3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6B7381"/>
    <w:multiLevelType w:val="hybridMultilevel"/>
    <w:tmpl w:val="C0E49F5A"/>
    <w:lvl w:ilvl="0" w:tplc="8EFE374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177F0E0B"/>
    <w:multiLevelType w:val="multilevel"/>
    <w:tmpl w:val="0409001D"/>
    <w:numStyleLink w:val="12References"/>
  </w:abstractNum>
  <w:abstractNum w:abstractNumId="16">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5A31DEC"/>
    <w:multiLevelType w:val="hybridMultilevel"/>
    <w:tmpl w:val="39B650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38E32E0D"/>
    <w:multiLevelType w:val="hybridMultilevel"/>
    <w:tmpl w:val="15BE6190"/>
    <w:lvl w:ilvl="0" w:tplc="9326ACEA">
      <w:start w:val="1"/>
      <w:numFmt w:val="decimal"/>
      <w:lvlText w:val="%1."/>
      <w:lvlJc w:val="left"/>
      <w:pPr>
        <w:ind w:left="576" w:hanging="360"/>
      </w:pPr>
      <w:rPr>
        <w:rFonts w:hint="default"/>
      </w:rPr>
    </w:lvl>
    <w:lvl w:ilvl="1" w:tplc="14090019" w:tentative="1">
      <w:start w:val="1"/>
      <w:numFmt w:val="lowerLetter"/>
      <w:lvlText w:val="%2."/>
      <w:lvlJc w:val="left"/>
      <w:pPr>
        <w:ind w:left="1296" w:hanging="360"/>
      </w:pPr>
    </w:lvl>
    <w:lvl w:ilvl="2" w:tplc="1409001B" w:tentative="1">
      <w:start w:val="1"/>
      <w:numFmt w:val="lowerRoman"/>
      <w:lvlText w:val="%3."/>
      <w:lvlJc w:val="right"/>
      <w:pPr>
        <w:ind w:left="2016" w:hanging="180"/>
      </w:pPr>
    </w:lvl>
    <w:lvl w:ilvl="3" w:tplc="1409000F" w:tentative="1">
      <w:start w:val="1"/>
      <w:numFmt w:val="decimal"/>
      <w:lvlText w:val="%4."/>
      <w:lvlJc w:val="left"/>
      <w:pPr>
        <w:ind w:left="2736" w:hanging="360"/>
      </w:pPr>
    </w:lvl>
    <w:lvl w:ilvl="4" w:tplc="14090019" w:tentative="1">
      <w:start w:val="1"/>
      <w:numFmt w:val="lowerLetter"/>
      <w:lvlText w:val="%5."/>
      <w:lvlJc w:val="left"/>
      <w:pPr>
        <w:ind w:left="3456" w:hanging="360"/>
      </w:pPr>
    </w:lvl>
    <w:lvl w:ilvl="5" w:tplc="1409001B" w:tentative="1">
      <w:start w:val="1"/>
      <w:numFmt w:val="lowerRoman"/>
      <w:lvlText w:val="%6."/>
      <w:lvlJc w:val="right"/>
      <w:pPr>
        <w:ind w:left="4176" w:hanging="180"/>
      </w:pPr>
    </w:lvl>
    <w:lvl w:ilvl="6" w:tplc="1409000F" w:tentative="1">
      <w:start w:val="1"/>
      <w:numFmt w:val="decimal"/>
      <w:lvlText w:val="%7."/>
      <w:lvlJc w:val="left"/>
      <w:pPr>
        <w:ind w:left="4896" w:hanging="360"/>
      </w:pPr>
    </w:lvl>
    <w:lvl w:ilvl="7" w:tplc="14090019" w:tentative="1">
      <w:start w:val="1"/>
      <w:numFmt w:val="lowerLetter"/>
      <w:lvlText w:val="%8."/>
      <w:lvlJc w:val="left"/>
      <w:pPr>
        <w:ind w:left="5616" w:hanging="360"/>
      </w:pPr>
    </w:lvl>
    <w:lvl w:ilvl="8" w:tplc="1409001B" w:tentative="1">
      <w:start w:val="1"/>
      <w:numFmt w:val="lowerRoman"/>
      <w:lvlText w:val="%9."/>
      <w:lvlJc w:val="right"/>
      <w:pPr>
        <w:ind w:left="6336" w:hanging="180"/>
      </w:pPr>
    </w:lvl>
  </w:abstractNum>
  <w:abstractNum w:abstractNumId="20">
    <w:nsid w:val="39E23FD6"/>
    <w:multiLevelType w:val="hybridMultilevel"/>
    <w:tmpl w:val="F16A290E"/>
    <w:lvl w:ilvl="0" w:tplc="0EF64DF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BE5A4D"/>
    <w:multiLevelType w:val="multilevel"/>
    <w:tmpl w:val="0409001D"/>
    <w:numStyleLink w:val="12Refereces"/>
  </w:abstractNum>
  <w:abstractNum w:abstractNumId="22">
    <w:nsid w:val="4DFD1894"/>
    <w:multiLevelType w:val="hybridMultilevel"/>
    <w:tmpl w:val="4AE00BEA"/>
    <w:lvl w:ilvl="0" w:tplc="1409000F">
      <w:start w:val="1"/>
      <w:numFmt w:val="decimal"/>
      <w:lvlText w:val="%1."/>
      <w:lvlJc w:val="left"/>
      <w:pPr>
        <w:ind w:left="864" w:hanging="360"/>
      </w:pPr>
    </w:lvl>
    <w:lvl w:ilvl="1" w:tplc="14090019" w:tentative="1">
      <w:start w:val="1"/>
      <w:numFmt w:val="lowerLetter"/>
      <w:lvlText w:val="%2."/>
      <w:lvlJc w:val="left"/>
      <w:pPr>
        <w:ind w:left="1584" w:hanging="360"/>
      </w:pPr>
    </w:lvl>
    <w:lvl w:ilvl="2" w:tplc="1409001B" w:tentative="1">
      <w:start w:val="1"/>
      <w:numFmt w:val="lowerRoman"/>
      <w:lvlText w:val="%3."/>
      <w:lvlJc w:val="right"/>
      <w:pPr>
        <w:ind w:left="2304" w:hanging="180"/>
      </w:pPr>
    </w:lvl>
    <w:lvl w:ilvl="3" w:tplc="1409000F" w:tentative="1">
      <w:start w:val="1"/>
      <w:numFmt w:val="decimal"/>
      <w:lvlText w:val="%4."/>
      <w:lvlJc w:val="left"/>
      <w:pPr>
        <w:ind w:left="3024" w:hanging="360"/>
      </w:pPr>
    </w:lvl>
    <w:lvl w:ilvl="4" w:tplc="14090019" w:tentative="1">
      <w:start w:val="1"/>
      <w:numFmt w:val="lowerLetter"/>
      <w:lvlText w:val="%5."/>
      <w:lvlJc w:val="left"/>
      <w:pPr>
        <w:ind w:left="3744" w:hanging="360"/>
      </w:pPr>
    </w:lvl>
    <w:lvl w:ilvl="5" w:tplc="1409001B" w:tentative="1">
      <w:start w:val="1"/>
      <w:numFmt w:val="lowerRoman"/>
      <w:lvlText w:val="%6."/>
      <w:lvlJc w:val="right"/>
      <w:pPr>
        <w:ind w:left="4464" w:hanging="180"/>
      </w:pPr>
    </w:lvl>
    <w:lvl w:ilvl="6" w:tplc="1409000F" w:tentative="1">
      <w:start w:val="1"/>
      <w:numFmt w:val="decimal"/>
      <w:lvlText w:val="%7."/>
      <w:lvlJc w:val="left"/>
      <w:pPr>
        <w:ind w:left="5184" w:hanging="360"/>
      </w:pPr>
    </w:lvl>
    <w:lvl w:ilvl="7" w:tplc="14090019" w:tentative="1">
      <w:start w:val="1"/>
      <w:numFmt w:val="lowerLetter"/>
      <w:lvlText w:val="%8."/>
      <w:lvlJc w:val="left"/>
      <w:pPr>
        <w:ind w:left="5904" w:hanging="360"/>
      </w:pPr>
    </w:lvl>
    <w:lvl w:ilvl="8" w:tplc="1409001B" w:tentative="1">
      <w:start w:val="1"/>
      <w:numFmt w:val="lowerRoman"/>
      <w:lvlText w:val="%9."/>
      <w:lvlJc w:val="right"/>
      <w:pPr>
        <w:ind w:left="6624" w:hanging="180"/>
      </w:pPr>
    </w:lvl>
  </w:abstractNum>
  <w:abstractNum w:abstractNumId="23">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DEC3EF2"/>
    <w:multiLevelType w:val="hybridMultilevel"/>
    <w:tmpl w:val="461637F4"/>
    <w:lvl w:ilvl="0" w:tplc="C73AA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87157C0"/>
    <w:multiLevelType w:val="hybridMultilevel"/>
    <w:tmpl w:val="743EE6EC"/>
    <w:lvl w:ilvl="0" w:tplc="1409000F">
      <w:start w:val="1"/>
      <w:numFmt w:val="decimal"/>
      <w:lvlText w:val="%1."/>
      <w:lvlJc w:val="left"/>
      <w:pPr>
        <w:ind w:left="864" w:hanging="360"/>
      </w:pPr>
    </w:lvl>
    <w:lvl w:ilvl="1" w:tplc="14090019" w:tentative="1">
      <w:start w:val="1"/>
      <w:numFmt w:val="lowerLetter"/>
      <w:lvlText w:val="%2."/>
      <w:lvlJc w:val="left"/>
      <w:pPr>
        <w:ind w:left="1584" w:hanging="360"/>
      </w:pPr>
    </w:lvl>
    <w:lvl w:ilvl="2" w:tplc="1409001B" w:tentative="1">
      <w:start w:val="1"/>
      <w:numFmt w:val="lowerRoman"/>
      <w:lvlText w:val="%3."/>
      <w:lvlJc w:val="right"/>
      <w:pPr>
        <w:ind w:left="2304" w:hanging="180"/>
      </w:pPr>
    </w:lvl>
    <w:lvl w:ilvl="3" w:tplc="1409000F" w:tentative="1">
      <w:start w:val="1"/>
      <w:numFmt w:val="decimal"/>
      <w:lvlText w:val="%4."/>
      <w:lvlJc w:val="left"/>
      <w:pPr>
        <w:ind w:left="3024" w:hanging="360"/>
      </w:pPr>
    </w:lvl>
    <w:lvl w:ilvl="4" w:tplc="14090019" w:tentative="1">
      <w:start w:val="1"/>
      <w:numFmt w:val="lowerLetter"/>
      <w:lvlText w:val="%5."/>
      <w:lvlJc w:val="left"/>
      <w:pPr>
        <w:ind w:left="3744" w:hanging="360"/>
      </w:pPr>
    </w:lvl>
    <w:lvl w:ilvl="5" w:tplc="1409001B" w:tentative="1">
      <w:start w:val="1"/>
      <w:numFmt w:val="lowerRoman"/>
      <w:lvlText w:val="%6."/>
      <w:lvlJc w:val="right"/>
      <w:pPr>
        <w:ind w:left="4464" w:hanging="180"/>
      </w:pPr>
    </w:lvl>
    <w:lvl w:ilvl="6" w:tplc="1409000F" w:tentative="1">
      <w:start w:val="1"/>
      <w:numFmt w:val="decimal"/>
      <w:lvlText w:val="%7."/>
      <w:lvlJc w:val="left"/>
      <w:pPr>
        <w:ind w:left="5184" w:hanging="360"/>
      </w:pPr>
    </w:lvl>
    <w:lvl w:ilvl="7" w:tplc="14090019" w:tentative="1">
      <w:start w:val="1"/>
      <w:numFmt w:val="lowerLetter"/>
      <w:lvlText w:val="%8."/>
      <w:lvlJc w:val="left"/>
      <w:pPr>
        <w:ind w:left="5904" w:hanging="360"/>
      </w:pPr>
    </w:lvl>
    <w:lvl w:ilvl="8" w:tplc="1409001B" w:tentative="1">
      <w:start w:val="1"/>
      <w:numFmt w:val="lowerRoman"/>
      <w:lvlText w:val="%9."/>
      <w:lvlJc w:val="right"/>
      <w:pPr>
        <w:ind w:left="6624" w:hanging="180"/>
      </w:pPr>
    </w:lvl>
  </w:abstractNum>
  <w:num w:numId="1">
    <w:abstractNumId w:val="23"/>
  </w:num>
  <w:num w:numId="2">
    <w:abstractNumId w:val="21"/>
  </w:num>
  <w:num w:numId="3">
    <w:abstractNumId w:val="13"/>
  </w:num>
  <w:num w:numId="4">
    <w:abstractNumId w:val="26"/>
  </w:num>
  <w:num w:numId="5">
    <w:abstractNumId w:val="17"/>
  </w:num>
  <w:num w:numId="6">
    <w:abstractNumId w:val="1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10"/>
  </w:num>
  <w:num w:numId="19">
    <w:abstractNumId w:val="25"/>
  </w:num>
  <w:num w:numId="20">
    <w:abstractNumId w:val="20"/>
  </w:num>
  <w:num w:numId="21">
    <w:abstractNumId w:val="24"/>
  </w:num>
  <w:num w:numId="22">
    <w:abstractNumId w:val="10"/>
  </w:num>
  <w:num w:numId="23">
    <w:abstractNumId w:val="10"/>
    <w:lvlOverride w:ilvl="0">
      <w:startOverride w:val="1"/>
    </w:lvlOverride>
  </w:num>
  <w:num w:numId="24">
    <w:abstractNumId w:val="19"/>
  </w:num>
  <w:num w:numId="25">
    <w:abstractNumId w:val="27"/>
  </w:num>
  <w:num w:numId="26">
    <w:abstractNumId w:val="22"/>
  </w:num>
  <w:num w:numId="27">
    <w:abstractNumId w:val="18"/>
  </w:num>
  <w:num w:numId="28">
    <w:abstractNumId w:val="12"/>
  </w:num>
  <w:num w:numId="29">
    <w:abstractNumId w:val="1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71B"/>
    <w:rsid w:val="00002075"/>
    <w:rsid w:val="00011C57"/>
    <w:rsid w:val="000125B9"/>
    <w:rsid w:val="0001388B"/>
    <w:rsid w:val="000158F6"/>
    <w:rsid w:val="00021609"/>
    <w:rsid w:val="0002292E"/>
    <w:rsid w:val="00031ED7"/>
    <w:rsid w:val="00035A8B"/>
    <w:rsid w:val="00036A6B"/>
    <w:rsid w:val="00037219"/>
    <w:rsid w:val="0004025B"/>
    <w:rsid w:val="0004113D"/>
    <w:rsid w:val="00046CD2"/>
    <w:rsid w:val="00060A51"/>
    <w:rsid w:val="00077855"/>
    <w:rsid w:val="00082A79"/>
    <w:rsid w:val="000868B4"/>
    <w:rsid w:val="00090E6C"/>
    <w:rsid w:val="00092B95"/>
    <w:rsid w:val="00092EDB"/>
    <w:rsid w:val="00097B01"/>
    <w:rsid w:val="000A381D"/>
    <w:rsid w:val="000A56C9"/>
    <w:rsid w:val="000B04D8"/>
    <w:rsid w:val="000B3412"/>
    <w:rsid w:val="000B48D3"/>
    <w:rsid w:val="000C5E58"/>
    <w:rsid w:val="000D0604"/>
    <w:rsid w:val="000D656F"/>
    <w:rsid w:val="000F0353"/>
    <w:rsid w:val="00105141"/>
    <w:rsid w:val="00110212"/>
    <w:rsid w:val="0011039A"/>
    <w:rsid w:val="00111C19"/>
    <w:rsid w:val="001122DA"/>
    <w:rsid w:val="00122070"/>
    <w:rsid w:val="00124C3C"/>
    <w:rsid w:val="001253C0"/>
    <w:rsid w:val="0013108F"/>
    <w:rsid w:val="0013203E"/>
    <w:rsid w:val="00132097"/>
    <w:rsid w:val="00133559"/>
    <w:rsid w:val="00136672"/>
    <w:rsid w:val="0014046F"/>
    <w:rsid w:val="001422FA"/>
    <w:rsid w:val="00143BF0"/>
    <w:rsid w:val="0014689D"/>
    <w:rsid w:val="00171FCA"/>
    <w:rsid w:val="00174153"/>
    <w:rsid w:val="00180F77"/>
    <w:rsid w:val="001900DE"/>
    <w:rsid w:val="001A0E88"/>
    <w:rsid w:val="001A2592"/>
    <w:rsid w:val="001A5A7B"/>
    <w:rsid w:val="001A6AF9"/>
    <w:rsid w:val="001B262E"/>
    <w:rsid w:val="001B54BC"/>
    <w:rsid w:val="001B5847"/>
    <w:rsid w:val="001B6967"/>
    <w:rsid w:val="001B74F2"/>
    <w:rsid w:val="001B7C21"/>
    <w:rsid w:val="001C2848"/>
    <w:rsid w:val="001C4A45"/>
    <w:rsid w:val="001D29BD"/>
    <w:rsid w:val="001D2BEB"/>
    <w:rsid w:val="001E1F52"/>
    <w:rsid w:val="001E35C1"/>
    <w:rsid w:val="001E75D8"/>
    <w:rsid w:val="001F4A37"/>
    <w:rsid w:val="001F5C59"/>
    <w:rsid w:val="001F657A"/>
    <w:rsid w:val="002028FE"/>
    <w:rsid w:val="00203C7F"/>
    <w:rsid w:val="002070D5"/>
    <w:rsid w:val="0021556D"/>
    <w:rsid w:val="00224233"/>
    <w:rsid w:val="002246D2"/>
    <w:rsid w:val="00224F08"/>
    <w:rsid w:val="00227498"/>
    <w:rsid w:val="0023169E"/>
    <w:rsid w:val="002330F0"/>
    <w:rsid w:val="00237FAD"/>
    <w:rsid w:val="00244A9A"/>
    <w:rsid w:val="00245015"/>
    <w:rsid w:val="00245614"/>
    <w:rsid w:val="002500B6"/>
    <w:rsid w:val="002523FB"/>
    <w:rsid w:val="00255DD1"/>
    <w:rsid w:val="002614B1"/>
    <w:rsid w:val="00262D85"/>
    <w:rsid w:val="00275149"/>
    <w:rsid w:val="00280759"/>
    <w:rsid w:val="0029104D"/>
    <w:rsid w:val="002A2B44"/>
    <w:rsid w:val="002C0706"/>
    <w:rsid w:val="002D0C2C"/>
    <w:rsid w:val="002D451F"/>
    <w:rsid w:val="002E3FB4"/>
    <w:rsid w:val="002E5FB1"/>
    <w:rsid w:val="002F05E1"/>
    <w:rsid w:val="002F43E7"/>
    <w:rsid w:val="003003BB"/>
    <w:rsid w:val="0030069A"/>
    <w:rsid w:val="00313BBF"/>
    <w:rsid w:val="00313FF5"/>
    <w:rsid w:val="00323712"/>
    <w:rsid w:val="00326200"/>
    <w:rsid w:val="00327DC2"/>
    <w:rsid w:val="003348C7"/>
    <w:rsid w:val="00343AD7"/>
    <w:rsid w:val="0035356C"/>
    <w:rsid w:val="003575A3"/>
    <w:rsid w:val="00361609"/>
    <w:rsid w:val="00365743"/>
    <w:rsid w:val="00365788"/>
    <w:rsid w:val="00371EBA"/>
    <w:rsid w:val="003724EA"/>
    <w:rsid w:val="00375E25"/>
    <w:rsid w:val="003801FA"/>
    <w:rsid w:val="003814EE"/>
    <w:rsid w:val="003819A5"/>
    <w:rsid w:val="00382E4D"/>
    <w:rsid w:val="00386929"/>
    <w:rsid w:val="003871DF"/>
    <w:rsid w:val="00390706"/>
    <w:rsid w:val="00392C6D"/>
    <w:rsid w:val="003A06AF"/>
    <w:rsid w:val="003A101C"/>
    <w:rsid w:val="003A7746"/>
    <w:rsid w:val="003B1E47"/>
    <w:rsid w:val="003B36FE"/>
    <w:rsid w:val="003C29C1"/>
    <w:rsid w:val="003C3187"/>
    <w:rsid w:val="003C385F"/>
    <w:rsid w:val="003C4342"/>
    <w:rsid w:val="003D1862"/>
    <w:rsid w:val="003F0509"/>
    <w:rsid w:val="003F5B1E"/>
    <w:rsid w:val="003F662B"/>
    <w:rsid w:val="00400A5B"/>
    <w:rsid w:val="00402C88"/>
    <w:rsid w:val="00407BEF"/>
    <w:rsid w:val="00412FE8"/>
    <w:rsid w:val="004155A7"/>
    <w:rsid w:val="00415D86"/>
    <w:rsid w:val="004212EC"/>
    <w:rsid w:val="00427FEA"/>
    <w:rsid w:val="00430AF0"/>
    <w:rsid w:val="00435A52"/>
    <w:rsid w:val="00445EDE"/>
    <w:rsid w:val="004476E1"/>
    <w:rsid w:val="00451D9F"/>
    <w:rsid w:val="00456B24"/>
    <w:rsid w:val="00457A8D"/>
    <w:rsid w:val="00465CE1"/>
    <w:rsid w:val="0047092E"/>
    <w:rsid w:val="00473766"/>
    <w:rsid w:val="004813B7"/>
    <w:rsid w:val="0049247D"/>
    <w:rsid w:val="00492749"/>
    <w:rsid w:val="004937EE"/>
    <w:rsid w:val="004942CD"/>
    <w:rsid w:val="00497322"/>
    <w:rsid w:val="004A34E3"/>
    <w:rsid w:val="004A34E6"/>
    <w:rsid w:val="004B02A5"/>
    <w:rsid w:val="004B0E20"/>
    <w:rsid w:val="004B3584"/>
    <w:rsid w:val="004C1F74"/>
    <w:rsid w:val="004C3728"/>
    <w:rsid w:val="004D27E2"/>
    <w:rsid w:val="004D40F5"/>
    <w:rsid w:val="004D79C9"/>
    <w:rsid w:val="004E0E7E"/>
    <w:rsid w:val="004E31E8"/>
    <w:rsid w:val="004E4685"/>
    <w:rsid w:val="004E556D"/>
    <w:rsid w:val="004E567E"/>
    <w:rsid w:val="004F06BF"/>
    <w:rsid w:val="0050076C"/>
    <w:rsid w:val="00504F4A"/>
    <w:rsid w:val="005058FF"/>
    <w:rsid w:val="0051099D"/>
    <w:rsid w:val="005148DE"/>
    <w:rsid w:val="00515FC9"/>
    <w:rsid w:val="0052743D"/>
    <w:rsid w:val="0052755A"/>
    <w:rsid w:val="00532117"/>
    <w:rsid w:val="00541942"/>
    <w:rsid w:val="0056094E"/>
    <w:rsid w:val="005625E9"/>
    <w:rsid w:val="005876E3"/>
    <w:rsid w:val="0059171B"/>
    <w:rsid w:val="0059335F"/>
    <w:rsid w:val="00593FF9"/>
    <w:rsid w:val="005970BC"/>
    <w:rsid w:val="00597C7E"/>
    <w:rsid w:val="00597D30"/>
    <w:rsid w:val="005A0BC0"/>
    <w:rsid w:val="005A581D"/>
    <w:rsid w:val="005B5A17"/>
    <w:rsid w:val="005B634F"/>
    <w:rsid w:val="005B7199"/>
    <w:rsid w:val="005C1C5B"/>
    <w:rsid w:val="005C3427"/>
    <w:rsid w:val="005D070D"/>
    <w:rsid w:val="005D643C"/>
    <w:rsid w:val="005E7FF7"/>
    <w:rsid w:val="005F08E3"/>
    <w:rsid w:val="005F08E7"/>
    <w:rsid w:val="005F17D5"/>
    <w:rsid w:val="005F2D2F"/>
    <w:rsid w:val="005F37CE"/>
    <w:rsid w:val="006000AF"/>
    <w:rsid w:val="006009F7"/>
    <w:rsid w:val="006225F8"/>
    <w:rsid w:val="00626508"/>
    <w:rsid w:val="00630B5B"/>
    <w:rsid w:val="00631DC5"/>
    <w:rsid w:val="00632A1A"/>
    <w:rsid w:val="00633E4D"/>
    <w:rsid w:val="00637463"/>
    <w:rsid w:val="0064245D"/>
    <w:rsid w:val="006440AD"/>
    <w:rsid w:val="00645A84"/>
    <w:rsid w:val="00646D1F"/>
    <w:rsid w:val="00646D40"/>
    <w:rsid w:val="00646F62"/>
    <w:rsid w:val="00653F3F"/>
    <w:rsid w:val="00654BE6"/>
    <w:rsid w:val="00655F74"/>
    <w:rsid w:val="0066054A"/>
    <w:rsid w:val="0066235C"/>
    <w:rsid w:val="0066647D"/>
    <w:rsid w:val="0066672F"/>
    <w:rsid w:val="006668C9"/>
    <w:rsid w:val="0067268C"/>
    <w:rsid w:val="00672A5E"/>
    <w:rsid w:val="0067352B"/>
    <w:rsid w:val="00682215"/>
    <w:rsid w:val="00684FDB"/>
    <w:rsid w:val="00693F8E"/>
    <w:rsid w:val="006A1E04"/>
    <w:rsid w:val="006A30E7"/>
    <w:rsid w:val="006A755A"/>
    <w:rsid w:val="006C0B61"/>
    <w:rsid w:val="006C2437"/>
    <w:rsid w:val="006D2E2C"/>
    <w:rsid w:val="006D4A52"/>
    <w:rsid w:val="006D4A99"/>
    <w:rsid w:val="006D6AA3"/>
    <w:rsid w:val="006D7B87"/>
    <w:rsid w:val="006E12E6"/>
    <w:rsid w:val="006E406C"/>
    <w:rsid w:val="006E54F4"/>
    <w:rsid w:val="006E6FC7"/>
    <w:rsid w:val="006E7542"/>
    <w:rsid w:val="007006DF"/>
    <w:rsid w:val="007012AE"/>
    <w:rsid w:val="007107A9"/>
    <w:rsid w:val="007143D4"/>
    <w:rsid w:val="00731DB4"/>
    <w:rsid w:val="0073480E"/>
    <w:rsid w:val="00734A56"/>
    <w:rsid w:val="007442AF"/>
    <w:rsid w:val="00764CD9"/>
    <w:rsid w:val="007672EA"/>
    <w:rsid w:val="00786E36"/>
    <w:rsid w:val="00793C81"/>
    <w:rsid w:val="007A3348"/>
    <w:rsid w:val="007A60C4"/>
    <w:rsid w:val="007A66D6"/>
    <w:rsid w:val="007A6F09"/>
    <w:rsid w:val="007B31BA"/>
    <w:rsid w:val="007B4B0A"/>
    <w:rsid w:val="007B70FB"/>
    <w:rsid w:val="007B7F4C"/>
    <w:rsid w:val="007D0234"/>
    <w:rsid w:val="007D1482"/>
    <w:rsid w:val="007D4A2D"/>
    <w:rsid w:val="007F3799"/>
    <w:rsid w:val="007F3E22"/>
    <w:rsid w:val="007F4F31"/>
    <w:rsid w:val="008007B4"/>
    <w:rsid w:val="00803B0A"/>
    <w:rsid w:val="008044B5"/>
    <w:rsid w:val="008111BB"/>
    <w:rsid w:val="00813273"/>
    <w:rsid w:val="00814955"/>
    <w:rsid w:val="00815FD7"/>
    <w:rsid w:val="008162A0"/>
    <w:rsid w:val="008240B2"/>
    <w:rsid w:val="008441D1"/>
    <w:rsid w:val="008501CE"/>
    <w:rsid w:val="00856A12"/>
    <w:rsid w:val="00860991"/>
    <w:rsid w:val="00870167"/>
    <w:rsid w:val="00877730"/>
    <w:rsid w:val="00885C79"/>
    <w:rsid w:val="008921DE"/>
    <w:rsid w:val="00894D4B"/>
    <w:rsid w:val="00897D77"/>
    <w:rsid w:val="008A2552"/>
    <w:rsid w:val="008A275E"/>
    <w:rsid w:val="008A563F"/>
    <w:rsid w:val="008C5258"/>
    <w:rsid w:val="008E0E7A"/>
    <w:rsid w:val="008E3405"/>
    <w:rsid w:val="008E50C7"/>
    <w:rsid w:val="008E7920"/>
    <w:rsid w:val="008F0615"/>
    <w:rsid w:val="008F0C65"/>
    <w:rsid w:val="008F2CB6"/>
    <w:rsid w:val="008F41C5"/>
    <w:rsid w:val="008F768A"/>
    <w:rsid w:val="00904C8E"/>
    <w:rsid w:val="00912852"/>
    <w:rsid w:val="00913772"/>
    <w:rsid w:val="00921E75"/>
    <w:rsid w:val="009226C3"/>
    <w:rsid w:val="0092503B"/>
    <w:rsid w:val="00932587"/>
    <w:rsid w:val="009360C2"/>
    <w:rsid w:val="009405FD"/>
    <w:rsid w:val="009407BF"/>
    <w:rsid w:val="00940CF6"/>
    <w:rsid w:val="00941175"/>
    <w:rsid w:val="00944427"/>
    <w:rsid w:val="009456E2"/>
    <w:rsid w:val="00947280"/>
    <w:rsid w:val="009514E6"/>
    <w:rsid w:val="009538D8"/>
    <w:rsid w:val="00956ABF"/>
    <w:rsid w:val="00962638"/>
    <w:rsid w:val="0096294F"/>
    <w:rsid w:val="0096734B"/>
    <w:rsid w:val="00971BAF"/>
    <w:rsid w:val="009732F2"/>
    <w:rsid w:val="00976513"/>
    <w:rsid w:val="00977F16"/>
    <w:rsid w:val="0099089B"/>
    <w:rsid w:val="00994110"/>
    <w:rsid w:val="009966FF"/>
    <w:rsid w:val="009A2D45"/>
    <w:rsid w:val="009A55E7"/>
    <w:rsid w:val="009A57A2"/>
    <w:rsid w:val="009B3A95"/>
    <w:rsid w:val="009B60D2"/>
    <w:rsid w:val="009C66D5"/>
    <w:rsid w:val="009C6D0F"/>
    <w:rsid w:val="009D0DD4"/>
    <w:rsid w:val="009D2FEF"/>
    <w:rsid w:val="009D701B"/>
    <w:rsid w:val="009F201D"/>
    <w:rsid w:val="009F7CC3"/>
    <w:rsid w:val="00A00931"/>
    <w:rsid w:val="00A114F8"/>
    <w:rsid w:val="00A1436D"/>
    <w:rsid w:val="00A150B4"/>
    <w:rsid w:val="00A20999"/>
    <w:rsid w:val="00A229A2"/>
    <w:rsid w:val="00A27DDA"/>
    <w:rsid w:val="00A326EF"/>
    <w:rsid w:val="00A33680"/>
    <w:rsid w:val="00A3400B"/>
    <w:rsid w:val="00A34A18"/>
    <w:rsid w:val="00A36106"/>
    <w:rsid w:val="00A41B48"/>
    <w:rsid w:val="00A422D8"/>
    <w:rsid w:val="00A427F9"/>
    <w:rsid w:val="00A42887"/>
    <w:rsid w:val="00A445EF"/>
    <w:rsid w:val="00A449A5"/>
    <w:rsid w:val="00A45F7B"/>
    <w:rsid w:val="00A512D7"/>
    <w:rsid w:val="00A60359"/>
    <w:rsid w:val="00A63CF5"/>
    <w:rsid w:val="00A740BF"/>
    <w:rsid w:val="00A81FCC"/>
    <w:rsid w:val="00A82B3C"/>
    <w:rsid w:val="00A846B5"/>
    <w:rsid w:val="00A85264"/>
    <w:rsid w:val="00A85671"/>
    <w:rsid w:val="00A90FBE"/>
    <w:rsid w:val="00A939FB"/>
    <w:rsid w:val="00A93D85"/>
    <w:rsid w:val="00A972D0"/>
    <w:rsid w:val="00AA1E2B"/>
    <w:rsid w:val="00AB6AD4"/>
    <w:rsid w:val="00AC2479"/>
    <w:rsid w:val="00AC6FAC"/>
    <w:rsid w:val="00AC704A"/>
    <w:rsid w:val="00AD2A79"/>
    <w:rsid w:val="00AD35C2"/>
    <w:rsid w:val="00AD6EC0"/>
    <w:rsid w:val="00AE0D8D"/>
    <w:rsid w:val="00AE104A"/>
    <w:rsid w:val="00AE15CF"/>
    <w:rsid w:val="00AE1FD9"/>
    <w:rsid w:val="00AE584F"/>
    <w:rsid w:val="00AE5BD9"/>
    <w:rsid w:val="00AE66F0"/>
    <w:rsid w:val="00AF2E7F"/>
    <w:rsid w:val="00AF7D7B"/>
    <w:rsid w:val="00B00732"/>
    <w:rsid w:val="00B06E1B"/>
    <w:rsid w:val="00B129C5"/>
    <w:rsid w:val="00B13B4D"/>
    <w:rsid w:val="00B1505B"/>
    <w:rsid w:val="00B161C7"/>
    <w:rsid w:val="00B21AA5"/>
    <w:rsid w:val="00B235E3"/>
    <w:rsid w:val="00B24F23"/>
    <w:rsid w:val="00B31264"/>
    <w:rsid w:val="00B367C4"/>
    <w:rsid w:val="00B36B9E"/>
    <w:rsid w:val="00B37F00"/>
    <w:rsid w:val="00B37F7C"/>
    <w:rsid w:val="00B41B21"/>
    <w:rsid w:val="00B42016"/>
    <w:rsid w:val="00B42984"/>
    <w:rsid w:val="00B455A8"/>
    <w:rsid w:val="00B57679"/>
    <w:rsid w:val="00B603BB"/>
    <w:rsid w:val="00B63B84"/>
    <w:rsid w:val="00B669C6"/>
    <w:rsid w:val="00B72410"/>
    <w:rsid w:val="00B80B2C"/>
    <w:rsid w:val="00B82269"/>
    <w:rsid w:val="00B82CDE"/>
    <w:rsid w:val="00B90343"/>
    <w:rsid w:val="00B97E60"/>
    <w:rsid w:val="00BA0DA9"/>
    <w:rsid w:val="00BA204C"/>
    <w:rsid w:val="00BA2428"/>
    <w:rsid w:val="00BA4276"/>
    <w:rsid w:val="00BA5D9D"/>
    <w:rsid w:val="00BB12EF"/>
    <w:rsid w:val="00BB1D09"/>
    <w:rsid w:val="00BB200E"/>
    <w:rsid w:val="00BC2EF7"/>
    <w:rsid w:val="00BC495F"/>
    <w:rsid w:val="00BC5029"/>
    <w:rsid w:val="00BC7E55"/>
    <w:rsid w:val="00BD21CF"/>
    <w:rsid w:val="00BD239E"/>
    <w:rsid w:val="00BE1ACB"/>
    <w:rsid w:val="00BE7AAA"/>
    <w:rsid w:val="00BF12D4"/>
    <w:rsid w:val="00BF1690"/>
    <w:rsid w:val="00BF3E33"/>
    <w:rsid w:val="00C01F7F"/>
    <w:rsid w:val="00C113D5"/>
    <w:rsid w:val="00C2160D"/>
    <w:rsid w:val="00C21D90"/>
    <w:rsid w:val="00C2449B"/>
    <w:rsid w:val="00C30292"/>
    <w:rsid w:val="00C32C98"/>
    <w:rsid w:val="00C33780"/>
    <w:rsid w:val="00C35410"/>
    <w:rsid w:val="00C3783B"/>
    <w:rsid w:val="00C37C78"/>
    <w:rsid w:val="00C4260F"/>
    <w:rsid w:val="00C507FE"/>
    <w:rsid w:val="00C57EA9"/>
    <w:rsid w:val="00C67EEB"/>
    <w:rsid w:val="00C729DC"/>
    <w:rsid w:val="00C73180"/>
    <w:rsid w:val="00C74E2F"/>
    <w:rsid w:val="00C75299"/>
    <w:rsid w:val="00C804EB"/>
    <w:rsid w:val="00C80627"/>
    <w:rsid w:val="00C81992"/>
    <w:rsid w:val="00C8455D"/>
    <w:rsid w:val="00C92409"/>
    <w:rsid w:val="00C95F29"/>
    <w:rsid w:val="00C97B7E"/>
    <w:rsid w:val="00CA32F4"/>
    <w:rsid w:val="00CA66E7"/>
    <w:rsid w:val="00CA6799"/>
    <w:rsid w:val="00CA6F7C"/>
    <w:rsid w:val="00CB1AB1"/>
    <w:rsid w:val="00CB1B9D"/>
    <w:rsid w:val="00CB67FC"/>
    <w:rsid w:val="00CC134E"/>
    <w:rsid w:val="00CD216F"/>
    <w:rsid w:val="00CD4A9B"/>
    <w:rsid w:val="00CD7825"/>
    <w:rsid w:val="00CE0A58"/>
    <w:rsid w:val="00CE0C3F"/>
    <w:rsid w:val="00CE17CF"/>
    <w:rsid w:val="00CE1A0A"/>
    <w:rsid w:val="00CE2D99"/>
    <w:rsid w:val="00CE2E11"/>
    <w:rsid w:val="00CF1CAB"/>
    <w:rsid w:val="00CF5C15"/>
    <w:rsid w:val="00D006C6"/>
    <w:rsid w:val="00D01ED3"/>
    <w:rsid w:val="00D051DA"/>
    <w:rsid w:val="00D0760B"/>
    <w:rsid w:val="00D07C12"/>
    <w:rsid w:val="00D11892"/>
    <w:rsid w:val="00D1463B"/>
    <w:rsid w:val="00D168B3"/>
    <w:rsid w:val="00D35539"/>
    <w:rsid w:val="00D3616C"/>
    <w:rsid w:val="00D4120F"/>
    <w:rsid w:val="00D41C85"/>
    <w:rsid w:val="00D41D04"/>
    <w:rsid w:val="00D5219C"/>
    <w:rsid w:val="00D53C15"/>
    <w:rsid w:val="00D54D1C"/>
    <w:rsid w:val="00D6235C"/>
    <w:rsid w:val="00D66A18"/>
    <w:rsid w:val="00D75433"/>
    <w:rsid w:val="00D828D9"/>
    <w:rsid w:val="00D86645"/>
    <w:rsid w:val="00D91CB5"/>
    <w:rsid w:val="00D926DC"/>
    <w:rsid w:val="00D92CBF"/>
    <w:rsid w:val="00D97BC8"/>
    <w:rsid w:val="00DA2462"/>
    <w:rsid w:val="00DA5873"/>
    <w:rsid w:val="00DB0606"/>
    <w:rsid w:val="00DB1B36"/>
    <w:rsid w:val="00DB3178"/>
    <w:rsid w:val="00DB3B48"/>
    <w:rsid w:val="00DB4675"/>
    <w:rsid w:val="00DC0CC2"/>
    <w:rsid w:val="00DC105E"/>
    <w:rsid w:val="00DC31D5"/>
    <w:rsid w:val="00DC5B71"/>
    <w:rsid w:val="00DC6786"/>
    <w:rsid w:val="00DC6C46"/>
    <w:rsid w:val="00DD2749"/>
    <w:rsid w:val="00DD2E05"/>
    <w:rsid w:val="00DD4428"/>
    <w:rsid w:val="00DD721C"/>
    <w:rsid w:val="00DE0ADD"/>
    <w:rsid w:val="00DE28D6"/>
    <w:rsid w:val="00DF197C"/>
    <w:rsid w:val="00E00559"/>
    <w:rsid w:val="00E03D65"/>
    <w:rsid w:val="00E06196"/>
    <w:rsid w:val="00E1326E"/>
    <w:rsid w:val="00E15E85"/>
    <w:rsid w:val="00E16663"/>
    <w:rsid w:val="00E167D0"/>
    <w:rsid w:val="00E31121"/>
    <w:rsid w:val="00E31BF4"/>
    <w:rsid w:val="00E357D2"/>
    <w:rsid w:val="00E36548"/>
    <w:rsid w:val="00E3717D"/>
    <w:rsid w:val="00E42147"/>
    <w:rsid w:val="00E4217F"/>
    <w:rsid w:val="00E424B8"/>
    <w:rsid w:val="00E53BBC"/>
    <w:rsid w:val="00E57C62"/>
    <w:rsid w:val="00E607BA"/>
    <w:rsid w:val="00E61E3A"/>
    <w:rsid w:val="00E650F5"/>
    <w:rsid w:val="00E674CF"/>
    <w:rsid w:val="00E70731"/>
    <w:rsid w:val="00E74294"/>
    <w:rsid w:val="00E75950"/>
    <w:rsid w:val="00E75C0F"/>
    <w:rsid w:val="00E77F67"/>
    <w:rsid w:val="00E811E8"/>
    <w:rsid w:val="00E81ACF"/>
    <w:rsid w:val="00E82820"/>
    <w:rsid w:val="00E833D1"/>
    <w:rsid w:val="00E86EBC"/>
    <w:rsid w:val="00E90499"/>
    <w:rsid w:val="00E909F1"/>
    <w:rsid w:val="00E9355D"/>
    <w:rsid w:val="00E94621"/>
    <w:rsid w:val="00EA236C"/>
    <w:rsid w:val="00EA34F3"/>
    <w:rsid w:val="00EA4A04"/>
    <w:rsid w:val="00EA520C"/>
    <w:rsid w:val="00EA6F8E"/>
    <w:rsid w:val="00EB0D93"/>
    <w:rsid w:val="00EB42EF"/>
    <w:rsid w:val="00EB5014"/>
    <w:rsid w:val="00EC0BD6"/>
    <w:rsid w:val="00EC6C46"/>
    <w:rsid w:val="00EC7165"/>
    <w:rsid w:val="00EE4D51"/>
    <w:rsid w:val="00EE5A2D"/>
    <w:rsid w:val="00EF214B"/>
    <w:rsid w:val="00F009B8"/>
    <w:rsid w:val="00F023CC"/>
    <w:rsid w:val="00F02CE5"/>
    <w:rsid w:val="00F0361F"/>
    <w:rsid w:val="00F05CCC"/>
    <w:rsid w:val="00F05FCB"/>
    <w:rsid w:val="00F06A77"/>
    <w:rsid w:val="00F12336"/>
    <w:rsid w:val="00F13B91"/>
    <w:rsid w:val="00F14D3F"/>
    <w:rsid w:val="00F15B1D"/>
    <w:rsid w:val="00F17884"/>
    <w:rsid w:val="00F204BE"/>
    <w:rsid w:val="00F23EE4"/>
    <w:rsid w:val="00F32FB5"/>
    <w:rsid w:val="00F45AAF"/>
    <w:rsid w:val="00F471F3"/>
    <w:rsid w:val="00F507AF"/>
    <w:rsid w:val="00F51977"/>
    <w:rsid w:val="00F554D2"/>
    <w:rsid w:val="00F72958"/>
    <w:rsid w:val="00F751AB"/>
    <w:rsid w:val="00F77881"/>
    <w:rsid w:val="00F82443"/>
    <w:rsid w:val="00F8292F"/>
    <w:rsid w:val="00F866A8"/>
    <w:rsid w:val="00F8684C"/>
    <w:rsid w:val="00F914A3"/>
    <w:rsid w:val="00F91D86"/>
    <w:rsid w:val="00F936C0"/>
    <w:rsid w:val="00FA5A34"/>
    <w:rsid w:val="00FA737C"/>
    <w:rsid w:val="00FB0F1F"/>
    <w:rsid w:val="00FB12D6"/>
    <w:rsid w:val="00FB1547"/>
    <w:rsid w:val="00FC0282"/>
    <w:rsid w:val="00FC2798"/>
    <w:rsid w:val="00FC4F52"/>
    <w:rsid w:val="00FC6746"/>
    <w:rsid w:val="00FC7821"/>
    <w:rsid w:val="00FE05D0"/>
    <w:rsid w:val="00FE40B5"/>
    <w:rsid w:val="00FE6109"/>
    <w:rsid w:val="00FE7330"/>
    <w:rsid w:val="00FE7DB3"/>
    <w:rsid w:val="00FF55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52630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F0361F"/>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SATitle">
    <w:name w:val="OSA Title"/>
    <w:basedOn w:val="Normal"/>
    <w:next w:val="OSAAuthor"/>
    <w:qFormat/>
    <w:rsid w:val="00D07C12"/>
    <w:pPr>
      <w:spacing w:before="1200" w:after="200"/>
    </w:pPr>
    <w:rPr>
      <w:b/>
      <w:spacing w:val="6"/>
      <w:kern w:val="16"/>
      <w:position w:val="2"/>
      <w:sz w:val="44"/>
    </w:rPr>
  </w:style>
  <w:style w:type="paragraph" w:customStyle="1" w:styleId="OSAAuthor">
    <w:name w:val="OSA Author"/>
    <w:basedOn w:val="Normal"/>
    <w:next w:val="OSAAuthorAffliation"/>
    <w:link w:val="OSAAuthorChar"/>
    <w:qFormat/>
    <w:rsid w:val="0014689D"/>
    <w:pPr>
      <w:spacing w:after="120"/>
      <w:ind w:right="432"/>
    </w:pPr>
    <w:rPr>
      <w:b/>
      <w:smallCaps/>
      <w:color w:val="1F497D"/>
      <w:spacing w:val="6"/>
      <w:sz w:val="32"/>
    </w:rPr>
  </w:style>
  <w:style w:type="paragraph" w:customStyle="1" w:styleId="OSAAuthorAffliation">
    <w:name w:val="OSA Author Affliation"/>
    <w:basedOn w:val="OSAAuthor"/>
    <w:link w:val="OSAAuthorAffliationChar"/>
    <w:qFormat/>
    <w:rsid w:val="002E5FB1"/>
    <w:pPr>
      <w:spacing w:after="0"/>
    </w:pPr>
    <w:rPr>
      <w:b w:val="0"/>
      <w:i/>
      <w:smallCaps w:val="0"/>
      <w:color w:val="auto"/>
      <w:spacing w:val="0"/>
      <w:sz w:val="17"/>
    </w:rPr>
  </w:style>
  <w:style w:type="character" w:styleId="PlaceholderText">
    <w:name w:val="Placeholder Text"/>
    <w:uiPriority w:val="99"/>
    <w:semiHidden/>
    <w:rsid w:val="00803B0A"/>
    <w:rPr>
      <w:color w:val="808080"/>
    </w:rPr>
  </w:style>
  <w:style w:type="paragraph" w:styleId="BalloonText">
    <w:name w:val="Balloon Text"/>
    <w:basedOn w:val="Normal"/>
    <w:link w:val="BalloonTextChar"/>
    <w:uiPriority w:val="99"/>
    <w:semiHidden/>
    <w:unhideWhenUsed/>
    <w:rsid w:val="00803B0A"/>
    <w:rPr>
      <w:rFonts w:ascii="Tahoma" w:hAnsi="Tahoma" w:cs="Tahoma"/>
    </w:rPr>
  </w:style>
  <w:style w:type="character" w:customStyle="1" w:styleId="BalloonTextChar">
    <w:name w:val="Balloon Text Char"/>
    <w:link w:val="BalloonText"/>
    <w:uiPriority w:val="99"/>
    <w:semiHidden/>
    <w:rsid w:val="00803B0A"/>
    <w:rPr>
      <w:rFonts w:ascii="Tahoma" w:hAnsi="Tahoma" w:cs="Tahoma"/>
      <w:sz w:val="16"/>
      <w:szCs w:val="16"/>
    </w:rPr>
  </w:style>
  <w:style w:type="paragraph" w:customStyle="1" w:styleId="OSACorrespondingAuthorEmail">
    <w:name w:val="OSA Corresponding Author Email"/>
    <w:basedOn w:val="OSAAuthorAffliation"/>
    <w:next w:val="OSAHistory"/>
    <w:link w:val="OSACorrespondingAuthorEmailChar"/>
    <w:qFormat/>
    <w:rsid w:val="008F2CB6"/>
    <w:pPr>
      <w:spacing w:after="80"/>
    </w:pPr>
  </w:style>
  <w:style w:type="paragraph" w:customStyle="1" w:styleId="OSAHistory">
    <w:name w:val="OSA History"/>
    <w:basedOn w:val="OSACorrespondingAuthorEmail"/>
    <w:next w:val="OSAAbstract"/>
    <w:link w:val="OSAHistoryChar"/>
    <w:autoRedefine/>
    <w:qFormat/>
    <w:rsid w:val="00813273"/>
    <w:pPr>
      <w:pBdr>
        <w:bottom w:val="single" w:sz="4" w:space="4" w:color="auto"/>
      </w:pBdr>
      <w:spacing w:before="120" w:after="0"/>
      <w:ind w:right="0"/>
    </w:pPr>
    <w:rPr>
      <w:i w:val="0"/>
    </w:rPr>
  </w:style>
  <w:style w:type="paragraph" w:customStyle="1" w:styleId="OSAAbstract">
    <w:name w:val="OSA Abstract"/>
    <w:basedOn w:val="OSAHistory"/>
    <w:next w:val="OSAOCISCodes"/>
    <w:link w:val="OSAAbstractChar"/>
    <w:autoRedefine/>
    <w:qFormat/>
    <w:rsid w:val="00002075"/>
    <w:pPr>
      <w:pBdr>
        <w:bottom w:val="none" w:sz="0" w:space="0" w:color="auto"/>
      </w:pBdr>
      <w:spacing w:before="0" w:after="120"/>
      <w:jc w:val="both"/>
    </w:pPr>
    <w:rPr>
      <w:rFonts w:ascii="Cambria" w:hAnsi="Cambria"/>
      <w:b/>
      <w:spacing w:val="-2"/>
      <w:sz w:val="19"/>
    </w:rPr>
  </w:style>
  <w:style w:type="paragraph" w:customStyle="1" w:styleId="OSAOCISCodes">
    <w:name w:val="OSA OCIS Codes"/>
    <w:basedOn w:val="OSAAbstract"/>
    <w:next w:val="OSADOI"/>
    <w:link w:val="OSAOCISCodesChar"/>
    <w:qFormat/>
    <w:rsid w:val="008F2CB6"/>
    <w:pPr>
      <w:spacing w:before="120"/>
      <w:jc w:val="left"/>
    </w:pPr>
    <w:rPr>
      <w:rFonts w:ascii="Calibri" w:hAnsi="Calibri"/>
      <w:b w:val="0"/>
      <w:i/>
      <w:sz w:val="17"/>
    </w:rPr>
  </w:style>
  <w:style w:type="paragraph" w:customStyle="1" w:styleId="OSABody">
    <w:name w:val="OSA Body"/>
    <w:basedOn w:val="Normal"/>
    <w:next w:val="OSABodyIndent"/>
    <w:link w:val="OSABodyChar"/>
    <w:autoRedefine/>
    <w:qFormat/>
    <w:rsid w:val="00DB3B48"/>
    <w:pPr>
      <w:jc w:val="both"/>
    </w:pPr>
    <w:rPr>
      <w:rFonts w:ascii="Cambria" w:hAnsi="Cambria"/>
      <w:spacing w:val="-8"/>
      <w:sz w:val="19"/>
    </w:rPr>
  </w:style>
  <w:style w:type="paragraph" w:customStyle="1" w:styleId="OSABodyIndent">
    <w:name w:val="OSA Body Indent"/>
    <w:basedOn w:val="OSABody"/>
    <w:link w:val="OSABodyIndentChar"/>
    <w:autoRedefine/>
    <w:qFormat/>
    <w:rsid w:val="00AA1E2B"/>
    <w:pPr>
      <w:tabs>
        <w:tab w:val="left" w:pos="1350"/>
      </w:tabs>
      <w:autoSpaceDE w:val="0"/>
      <w:autoSpaceDN w:val="0"/>
      <w:adjustRightInd w:val="0"/>
      <w:ind w:firstLine="187"/>
    </w:pPr>
    <w:rPr>
      <w:rFonts w:eastAsia="Malgun Gothic"/>
    </w:rPr>
  </w:style>
  <w:style w:type="paragraph" w:customStyle="1" w:styleId="OSAAcknowledgments">
    <w:name w:val="OSA Acknowledgments"/>
    <w:basedOn w:val="OSABodyIndent"/>
    <w:autoRedefine/>
    <w:rsid w:val="00EB42EF"/>
    <w:pPr>
      <w:spacing w:before="120"/>
    </w:pPr>
    <w:rPr>
      <w:rFonts w:cs="AdvOTdbe06fba"/>
      <w:color w:val="000000"/>
      <w:szCs w:val="20"/>
    </w:rPr>
  </w:style>
  <w:style w:type="paragraph" w:customStyle="1" w:styleId="12Head1">
    <w:name w:val="12 Head1"/>
    <w:basedOn w:val="Normal"/>
    <w:link w:val="12Head1Char"/>
    <w:qFormat/>
    <w:rsid w:val="008F2CB6"/>
    <w:pPr>
      <w:autoSpaceDE w:val="0"/>
      <w:autoSpaceDN w:val="0"/>
      <w:adjustRightInd w:val="0"/>
      <w:spacing w:before="240" w:after="40"/>
      <w:jc w:val="both"/>
    </w:pPr>
    <w:rPr>
      <w:rFonts w:cs="AdvOT9cb306be.B"/>
      <w:b/>
      <w:sz w:val="22"/>
      <w:szCs w:val="18"/>
    </w:rPr>
  </w:style>
  <w:style w:type="numbering" w:customStyle="1" w:styleId="12Refereces">
    <w:name w:val="12 Refereces"/>
    <w:basedOn w:val="NoList"/>
    <w:uiPriority w:val="99"/>
    <w:rsid w:val="00EB42EF"/>
    <w:pPr>
      <w:numPr>
        <w:numId w:val="1"/>
      </w:numPr>
    </w:pPr>
  </w:style>
  <w:style w:type="numbering" w:customStyle="1" w:styleId="12References">
    <w:name w:val="12 References"/>
    <w:basedOn w:val="NoList"/>
    <w:uiPriority w:val="99"/>
    <w:rsid w:val="00EB42EF"/>
    <w:pPr>
      <w:numPr>
        <w:numId w:val="5"/>
      </w:numPr>
    </w:pPr>
  </w:style>
  <w:style w:type="paragraph" w:customStyle="1" w:styleId="OSAFigure">
    <w:name w:val="OSA Figure"/>
    <w:basedOn w:val="OSABody"/>
    <w:next w:val="OSAFigureCaption"/>
    <w:link w:val="OSAFigureChar"/>
    <w:autoRedefine/>
    <w:qFormat/>
    <w:rsid w:val="002028FE"/>
    <w:pPr>
      <w:spacing w:before="480" w:after="180"/>
      <w:jc w:val="center"/>
    </w:pPr>
    <w:rPr>
      <w:rFonts w:cs="AdvOT8910dd71"/>
      <w:sz w:val="17"/>
      <w:szCs w:val="14"/>
    </w:rPr>
  </w:style>
  <w:style w:type="paragraph" w:customStyle="1" w:styleId="OSAFigureCaption">
    <w:name w:val="OSA Figure Caption"/>
    <w:basedOn w:val="OSAFigure"/>
    <w:next w:val="OSABody"/>
    <w:autoRedefine/>
    <w:qFormat/>
    <w:rsid w:val="002E5FB1"/>
    <w:pPr>
      <w:pBdr>
        <w:bottom w:val="single" w:sz="4" w:space="2" w:color="auto"/>
      </w:pBdr>
      <w:spacing w:before="120" w:after="120"/>
      <w:jc w:val="both"/>
    </w:pPr>
    <w:rPr>
      <w:sz w:val="18"/>
    </w:rPr>
  </w:style>
  <w:style w:type="paragraph" w:customStyle="1" w:styleId="OSAReference">
    <w:name w:val="OSA Reference"/>
    <w:basedOn w:val="12Head1"/>
    <w:qFormat/>
    <w:rsid w:val="00002075"/>
    <w:pPr>
      <w:numPr>
        <w:numId w:val="22"/>
      </w:numPr>
      <w:spacing w:before="0" w:after="0"/>
      <w:jc w:val="left"/>
    </w:pPr>
    <w:rPr>
      <w:b w:val="0"/>
      <w:spacing w:val="-6"/>
      <w:sz w:val="17"/>
    </w:rPr>
  </w:style>
  <w:style w:type="table" w:styleId="TableGrid">
    <w:name w:val="Table Grid"/>
    <w:basedOn w:val="TableNormal"/>
    <w:uiPriority w:val="59"/>
    <w:rsid w:val="00897D7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SATableTitle">
    <w:name w:val="OSA Table Title"/>
    <w:basedOn w:val="OSABodyIndent"/>
    <w:qFormat/>
    <w:rsid w:val="00E90499"/>
    <w:pPr>
      <w:spacing w:before="240"/>
      <w:ind w:firstLine="0"/>
      <w:jc w:val="center"/>
    </w:pPr>
    <w:rPr>
      <w:b/>
      <w:szCs w:val="18"/>
    </w:rPr>
  </w:style>
  <w:style w:type="paragraph" w:customStyle="1" w:styleId="OSATableHeading">
    <w:name w:val="OSA Table Heading"/>
    <w:basedOn w:val="OSABodyIndent"/>
    <w:qFormat/>
    <w:rsid w:val="003819A5"/>
    <w:pPr>
      <w:ind w:firstLine="0"/>
      <w:jc w:val="center"/>
    </w:pPr>
    <w:rPr>
      <w:szCs w:val="18"/>
    </w:rPr>
  </w:style>
  <w:style w:type="paragraph" w:customStyle="1" w:styleId="OSATableBody">
    <w:name w:val="OSA Table Body"/>
    <w:basedOn w:val="OSABodyIndent"/>
    <w:qFormat/>
    <w:rsid w:val="008F2CB6"/>
    <w:pPr>
      <w:ind w:firstLine="0"/>
      <w:jc w:val="center"/>
    </w:pPr>
    <w:rPr>
      <w:szCs w:val="18"/>
    </w:rPr>
  </w:style>
  <w:style w:type="paragraph" w:customStyle="1" w:styleId="MTDisplayEquation">
    <w:name w:val="MTDisplayEquation"/>
    <w:basedOn w:val="OSABodyIndent"/>
    <w:next w:val="Normal"/>
    <w:link w:val="MTDisplayEquationChar"/>
    <w:rsid w:val="00E74294"/>
    <w:pPr>
      <w:tabs>
        <w:tab w:val="center" w:pos="2480"/>
        <w:tab w:val="right" w:pos="4940"/>
      </w:tabs>
      <w:spacing w:before="240" w:after="120"/>
      <w:ind w:firstLine="0"/>
    </w:pPr>
  </w:style>
  <w:style w:type="character" w:customStyle="1" w:styleId="OSABodyChar">
    <w:name w:val="OSA Body Char"/>
    <w:link w:val="OSABody"/>
    <w:rsid w:val="00DB3B48"/>
    <w:rPr>
      <w:rFonts w:ascii="Cambria" w:hAnsi="Cambria"/>
      <w:spacing w:val="-8"/>
      <w:sz w:val="19"/>
      <w:szCs w:val="16"/>
    </w:rPr>
  </w:style>
  <w:style w:type="character" w:customStyle="1" w:styleId="OSABodyIndentChar">
    <w:name w:val="OSA Body Indent Char"/>
    <w:link w:val="OSABodyIndent"/>
    <w:rsid w:val="00AA1E2B"/>
    <w:rPr>
      <w:rFonts w:ascii="Cambria" w:eastAsia="Malgun Gothic" w:hAnsi="Cambria"/>
      <w:spacing w:val="-8"/>
      <w:sz w:val="19"/>
      <w:szCs w:val="16"/>
    </w:rPr>
  </w:style>
  <w:style w:type="character" w:customStyle="1" w:styleId="MTDisplayEquationChar">
    <w:name w:val="MTDisplayEquation Char"/>
    <w:link w:val="MTDisplayEquation"/>
    <w:rsid w:val="00E74294"/>
    <w:rPr>
      <w:rFonts w:ascii="Century" w:eastAsia="Malgun Gothic" w:hAnsi="Century"/>
      <w:spacing w:val="-8"/>
      <w:szCs w:val="22"/>
    </w:rPr>
  </w:style>
  <w:style w:type="character" w:styleId="Hyperlink">
    <w:name w:val="Hyperlink"/>
    <w:uiPriority w:val="99"/>
    <w:unhideWhenUsed/>
    <w:rsid w:val="00FE40B5"/>
    <w:rPr>
      <w:color w:val="0000FF"/>
      <w:u w:val="single"/>
    </w:rPr>
  </w:style>
  <w:style w:type="paragraph" w:customStyle="1" w:styleId="11Equations">
    <w:name w:val="11 Equations"/>
    <w:autoRedefine/>
    <w:rsid w:val="008F0C65"/>
    <w:pPr>
      <w:spacing w:before="100" w:after="100"/>
      <w:jc w:val="both"/>
    </w:pPr>
    <w:rPr>
      <w:rFonts w:ascii="Garamond" w:hAnsi="Garamond"/>
      <w:sz w:val="16"/>
      <w:szCs w:val="22"/>
    </w:rPr>
  </w:style>
  <w:style w:type="character" w:customStyle="1" w:styleId="MTEquationSection">
    <w:name w:val="MTEquationSection"/>
    <w:rsid w:val="006009F7"/>
    <w:rPr>
      <w:vanish/>
    </w:rPr>
  </w:style>
  <w:style w:type="paragraph" w:customStyle="1" w:styleId="OEFigureCaption">
    <w:name w:val="OE Figure Caption"/>
    <w:basedOn w:val="Normal"/>
    <w:next w:val="OEBodySP"/>
    <w:rsid w:val="00CA32F4"/>
    <w:pPr>
      <w:spacing w:before="120"/>
      <w:ind w:left="720" w:right="720"/>
      <w:jc w:val="both"/>
    </w:pPr>
    <w:rPr>
      <w:rFonts w:ascii="Times New Roman" w:hAnsi="Times New Roman"/>
      <w:szCs w:val="20"/>
    </w:rPr>
  </w:style>
  <w:style w:type="paragraph" w:customStyle="1" w:styleId="OEBodySP">
    <w:name w:val="OE Body SP"/>
    <w:basedOn w:val="Normal"/>
    <w:uiPriority w:val="99"/>
    <w:rsid w:val="00CA32F4"/>
    <w:pPr>
      <w:ind w:firstLine="360"/>
      <w:jc w:val="both"/>
    </w:pPr>
    <w:rPr>
      <w:rFonts w:ascii="Times New Roman" w:hAnsi="Times New Roman"/>
      <w:sz w:val="20"/>
      <w:szCs w:val="20"/>
    </w:rPr>
  </w:style>
  <w:style w:type="paragraph" w:styleId="Header">
    <w:name w:val="header"/>
    <w:basedOn w:val="Normal"/>
    <w:link w:val="HeaderChar"/>
    <w:uiPriority w:val="99"/>
    <w:unhideWhenUsed/>
    <w:rsid w:val="00A81FCC"/>
    <w:pPr>
      <w:tabs>
        <w:tab w:val="center" w:pos="4680"/>
        <w:tab w:val="right" w:pos="9360"/>
      </w:tabs>
    </w:pPr>
  </w:style>
  <w:style w:type="character" w:customStyle="1" w:styleId="HeaderChar">
    <w:name w:val="Header Char"/>
    <w:link w:val="Header"/>
    <w:uiPriority w:val="99"/>
    <w:rsid w:val="00A81FCC"/>
    <w:rPr>
      <w:sz w:val="22"/>
      <w:szCs w:val="22"/>
    </w:rPr>
  </w:style>
  <w:style w:type="paragraph" w:styleId="Footer">
    <w:name w:val="footer"/>
    <w:basedOn w:val="Normal"/>
    <w:link w:val="FooterChar"/>
    <w:uiPriority w:val="99"/>
    <w:unhideWhenUsed/>
    <w:rsid w:val="00A81FCC"/>
    <w:pPr>
      <w:tabs>
        <w:tab w:val="center" w:pos="4680"/>
        <w:tab w:val="right" w:pos="9360"/>
      </w:tabs>
    </w:pPr>
  </w:style>
  <w:style w:type="character" w:customStyle="1" w:styleId="FooterChar">
    <w:name w:val="Footer Char"/>
    <w:link w:val="Footer"/>
    <w:uiPriority w:val="99"/>
    <w:rsid w:val="00A81FCC"/>
    <w:rPr>
      <w:sz w:val="22"/>
      <w:szCs w:val="22"/>
    </w:rPr>
  </w:style>
  <w:style w:type="paragraph" w:customStyle="1" w:styleId="OSADOI">
    <w:name w:val="OSA DOI"/>
    <w:basedOn w:val="OSAOCISCodes"/>
    <w:next w:val="OSABody"/>
    <w:link w:val="OSADOIChar"/>
    <w:qFormat/>
    <w:rsid w:val="00FC4F52"/>
    <w:pPr>
      <w:pBdr>
        <w:bottom w:val="single" w:sz="4" w:space="6" w:color="auto"/>
      </w:pBdr>
      <w:spacing w:after="360"/>
    </w:pPr>
    <w:rPr>
      <w:i w:val="0"/>
    </w:rPr>
  </w:style>
  <w:style w:type="character" w:customStyle="1" w:styleId="OSAAuthorChar">
    <w:name w:val="OSA Author Char"/>
    <w:link w:val="OSAAuthor"/>
    <w:rsid w:val="0014689D"/>
    <w:rPr>
      <w:b/>
      <w:smallCaps/>
      <w:color w:val="1F497D"/>
      <w:spacing w:val="6"/>
      <w:sz w:val="32"/>
      <w:szCs w:val="16"/>
    </w:rPr>
  </w:style>
  <w:style w:type="character" w:customStyle="1" w:styleId="OSAAuthorAffliationChar">
    <w:name w:val="OSA Author Affliation Char"/>
    <w:link w:val="OSAAuthorAffliation"/>
    <w:rsid w:val="002E5FB1"/>
    <w:rPr>
      <w:i/>
      <w:sz w:val="17"/>
      <w:szCs w:val="16"/>
    </w:rPr>
  </w:style>
  <w:style w:type="character" w:customStyle="1" w:styleId="OSACorrespondingAuthorEmailChar">
    <w:name w:val="OSA Corresponding Author Email Char"/>
    <w:link w:val="OSACorrespondingAuthorEmail"/>
    <w:rsid w:val="008F2CB6"/>
    <w:rPr>
      <w:i/>
      <w:sz w:val="18"/>
      <w:szCs w:val="16"/>
    </w:rPr>
  </w:style>
  <w:style w:type="character" w:customStyle="1" w:styleId="OSAHistoryChar">
    <w:name w:val="OSA History Char"/>
    <w:link w:val="OSAHistory"/>
    <w:rsid w:val="00813273"/>
    <w:rPr>
      <w:sz w:val="17"/>
      <w:szCs w:val="16"/>
    </w:rPr>
  </w:style>
  <w:style w:type="character" w:customStyle="1" w:styleId="OSAAbstractChar">
    <w:name w:val="OSA Abstract Char"/>
    <w:link w:val="OSAAbstract"/>
    <w:rsid w:val="00002075"/>
    <w:rPr>
      <w:rFonts w:ascii="Cambria" w:hAnsi="Cambria"/>
      <w:b/>
      <w:spacing w:val="-2"/>
      <w:sz w:val="19"/>
      <w:szCs w:val="16"/>
    </w:rPr>
  </w:style>
  <w:style w:type="character" w:customStyle="1" w:styleId="OSAOCISCodesChar">
    <w:name w:val="OSA OCIS Codes Char"/>
    <w:link w:val="OSAOCISCodes"/>
    <w:rsid w:val="008F2CB6"/>
    <w:rPr>
      <w:i/>
      <w:spacing w:val="-2"/>
      <w:sz w:val="17"/>
      <w:szCs w:val="16"/>
    </w:rPr>
  </w:style>
  <w:style w:type="character" w:customStyle="1" w:styleId="OSADOIChar">
    <w:name w:val="OSA DOI Char"/>
    <w:link w:val="OSADOI"/>
    <w:rsid w:val="00FC4F52"/>
    <w:rPr>
      <w:spacing w:val="-2"/>
      <w:sz w:val="17"/>
      <w:szCs w:val="16"/>
    </w:rPr>
  </w:style>
  <w:style w:type="character" w:styleId="CommentReference">
    <w:name w:val="annotation reference"/>
    <w:uiPriority w:val="99"/>
    <w:semiHidden/>
    <w:unhideWhenUsed/>
    <w:rsid w:val="00FB12D6"/>
    <w:rPr>
      <w:sz w:val="16"/>
      <w:szCs w:val="16"/>
    </w:rPr>
  </w:style>
  <w:style w:type="paragraph" w:styleId="CommentText">
    <w:name w:val="annotation text"/>
    <w:basedOn w:val="Normal"/>
    <w:link w:val="CommentTextChar"/>
    <w:uiPriority w:val="99"/>
    <w:semiHidden/>
    <w:unhideWhenUsed/>
    <w:rsid w:val="00FB12D6"/>
    <w:rPr>
      <w:sz w:val="20"/>
      <w:szCs w:val="20"/>
    </w:rPr>
  </w:style>
  <w:style w:type="character" w:customStyle="1" w:styleId="CommentTextChar">
    <w:name w:val="Comment Text Char"/>
    <w:basedOn w:val="DefaultParagraphFont"/>
    <w:link w:val="CommentText"/>
    <w:uiPriority w:val="99"/>
    <w:semiHidden/>
    <w:rsid w:val="00FB12D6"/>
  </w:style>
  <w:style w:type="paragraph" w:styleId="CommentSubject">
    <w:name w:val="annotation subject"/>
    <w:basedOn w:val="CommentText"/>
    <w:next w:val="CommentText"/>
    <w:link w:val="CommentSubjectChar"/>
    <w:uiPriority w:val="99"/>
    <w:semiHidden/>
    <w:unhideWhenUsed/>
    <w:rsid w:val="00FB12D6"/>
    <w:rPr>
      <w:b/>
      <w:bCs/>
    </w:rPr>
  </w:style>
  <w:style w:type="character" w:customStyle="1" w:styleId="CommentSubjectChar">
    <w:name w:val="Comment Subject Char"/>
    <w:link w:val="CommentSubject"/>
    <w:uiPriority w:val="99"/>
    <w:semiHidden/>
    <w:rsid w:val="00FB12D6"/>
    <w:rPr>
      <w:b/>
      <w:bCs/>
    </w:rPr>
  </w:style>
  <w:style w:type="paragraph" w:customStyle="1" w:styleId="13Head2">
    <w:name w:val="13 Head2"/>
    <w:basedOn w:val="12Head1"/>
    <w:link w:val="13Head2Char"/>
    <w:qFormat/>
    <w:rsid w:val="0035356C"/>
    <w:rPr>
      <w:sz w:val="18"/>
      <w:szCs w:val="20"/>
    </w:rPr>
  </w:style>
  <w:style w:type="paragraph" w:customStyle="1" w:styleId="14Head3">
    <w:name w:val="14 Head3"/>
    <w:basedOn w:val="13Head2"/>
    <w:link w:val="14Head3Char"/>
    <w:qFormat/>
    <w:rsid w:val="0035356C"/>
    <w:rPr>
      <w:b w:val="0"/>
      <w:i/>
    </w:rPr>
  </w:style>
  <w:style w:type="character" w:customStyle="1" w:styleId="12Head1Char">
    <w:name w:val="12 Head1 Char"/>
    <w:link w:val="12Head1"/>
    <w:rsid w:val="008F2CB6"/>
    <w:rPr>
      <w:rFonts w:cs="AdvOT9cb306be.B"/>
      <w:b/>
      <w:sz w:val="22"/>
      <w:szCs w:val="18"/>
    </w:rPr>
  </w:style>
  <w:style w:type="character" w:customStyle="1" w:styleId="13Head2Char">
    <w:name w:val="13 Head2 Char"/>
    <w:link w:val="13Head2"/>
    <w:rsid w:val="0035356C"/>
    <w:rPr>
      <w:rFonts w:cs="AdvOT9cb306be.B"/>
      <w:b/>
      <w:sz w:val="18"/>
      <w:szCs w:val="18"/>
    </w:rPr>
  </w:style>
  <w:style w:type="paragraph" w:customStyle="1" w:styleId="OSAEquations">
    <w:name w:val="OSA Equations"/>
    <w:next w:val="11Equations"/>
    <w:autoRedefine/>
    <w:qFormat/>
    <w:rsid w:val="00786E36"/>
    <w:pPr>
      <w:spacing w:before="100" w:after="100"/>
      <w:jc w:val="right"/>
    </w:pPr>
    <w:rPr>
      <w:rFonts w:ascii="Arial" w:hAnsi="Arial"/>
      <w:b/>
      <w:szCs w:val="22"/>
    </w:rPr>
  </w:style>
  <w:style w:type="character" w:customStyle="1" w:styleId="14Head3Char">
    <w:name w:val="14 Head3 Char"/>
    <w:link w:val="14Head3"/>
    <w:rsid w:val="0035356C"/>
    <w:rPr>
      <w:rFonts w:cs="AdvOT9cb306be.B"/>
      <w:b w:val="0"/>
      <w:i/>
      <w:sz w:val="18"/>
      <w:szCs w:val="18"/>
    </w:rPr>
  </w:style>
  <w:style w:type="character" w:customStyle="1" w:styleId="OSAFigureChar">
    <w:name w:val="OSA Figure Char"/>
    <w:link w:val="OSAFigure"/>
    <w:rsid w:val="002028FE"/>
    <w:rPr>
      <w:rFonts w:ascii="Cambria" w:hAnsi="Cambria" w:cs="AdvOT8910dd71"/>
      <w:spacing w:val="-8"/>
      <w:sz w:val="17"/>
      <w:szCs w:val="14"/>
    </w:rPr>
  </w:style>
  <w:style w:type="character" w:styleId="IntenseReference">
    <w:name w:val="Intense Reference"/>
    <w:basedOn w:val="DefaultParagraphFont"/>
    <w:uiPriority w:val="32"/>
    <w:qFormat/>
    <w:rsid w:val="0066235C"/>
    <w:rPr>
      <w:b/>
      <w:bCs/>
      <w:smallCaps/>
      <w:color w:val="4F81BD" w:themeColor="accent1"/>
      <w:spacing w:val="5"/>
    </w:rPr>
  </w:style>
  <w:style w:type="paragraph" w:styleId="ListParagraph">
    <w:name w:val="List Paragraph"/>
    <w:basedOn w:val="Normal"/>
    <w:uiPriority w:val="34"/>
    <w:qFormat/>
    <w:rsid w:val="0066235C"/>
    <w:pPr>
      <w:ind w:left="720"/>
      <w:contextualSpacing/>
    </w:pPr>
  </w:style>
  <w:style w:type="paragraph" w:customStyle="1" w:styleId="MCBodySP">
    <w:name w:val="MC Body SP"/>
    <w:basedOn w:val="Normal"/>
    <w:rsid w:val="00A34A18"/>
    <w:pPr>
      <w:ind w:firstLine="288"/>
    </w:pPr>
    <w:rPr>
      <w:rFonts w:ascii="Times New Roman" w:hAnsi="Times New Roman"/>
      <w:sz w:val="20"/>
      <w:szCs w:val="20"/>
    </w:rPr>
  </w:style>
  <w:style w:type="character" w:styleId="LineNumber">
    <w:name w:val="line number"/>
    <w:basedOn w:val="DefaultParagraphFont"/>
    <w:uiPriority w:val="99"/>
    <w:semiHidden/>
    <w:unhideWhenUsed/>
    <w:rsid w:val="00C73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242544">
      <w:bodyDiv w:val="1"/>
      <w:marLeft w:val="0"/>
      <w:marRight w:val="0"/>
      <w:marTop w:val="0"/>
      <w:marBottom w:val="0"/>
      <w:divBdr>
        <w:top w:val="none" w:sz="0" w:space="0" w:color="auto"/>
        <w:left w:val="none" w:sz="0" w:space="0" w:color="auto"/>
        <w:bottom w:val="none" w:sz="0" w:space="0" w:color="auto"/>
        <w:right w:val="none" w:sz="0" w:space="0" w:color="auto"/>
      </w:divBdr>
      <w:divsChild>
        <w:div w:id="1745758940">
          <w:marLeft w:val="0"/>
          <w:marRight w:val="0"/>
          <w:marTop w:val="0"/>
          <w:marBottom w:val="0"/>
          <w:divBdr>
            <w:top w:val="none" w:sz="0" w:space="0" w:color="auto"/>
            <w:left w:val="none" w:sz="0" w:space="0" w:color="auto"/>
            <w:bottom w:val="none" w:sz="0" w:space="0" w:color="auto"/>
            <w:right w:val="none" w:sz="0" w:space="0" w:color="auto"/>
          </w:divBdr>
          <w:divsChild>
            <w:div w:id="976225673">
              <w:marLeft w:val="0"/>
              <w:marRight w:val="0"/>
              <w:marTop w:val="0"/>
              <w:marBottom w:val="0"/>
              <w:divBdr>
                <w:top w:val="none" w:sz="0" w:space="0" w:color="auto"/>
                <w:left w:val="none" w:sz="0" w:space="0" w:color="auto"/>
                <w:bottom w:val="none" w:sz="0" w:space="0" w:color="auto"/>
                <w:right w:val="none" w:sz="0" w:space="0" w:color="auto"/>
              </w:divBdr>
              <w:divsChild>
                <w:div w:id="365912479">
                  <w:marLeft w:val="-300"/>
                  <w:marRight w:val="-300"/>
                  <w:marTop w:val="0"/>
                  <w:marBottom w:val="0"/>
                  <w:divBdr>
                    <w:top w:val="none" w:sz="0" w:space="0" w:color="auto"/>
                    <w:left w:val="none" w:sz="0" w:space="0" w:color="auto"/>
                    <w:bottom w:val="none" w:sz="0" w:space="0" w:color="auto"/>
                    <w:right w:val="none" w:sz="0" w:space="0" w:color="auto"/>
                  </w:divBdr>
                  <w:divsChild>
                    <w:div w:id="5109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44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dx.doi.org/10.5258/SOTON/386825"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co\Downloads\OL%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9525BBA-2758-3F40-9AAC-BD12D2A25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C:\Users\Francesco\Downloads\OL (2).dotx</Template>
  <TotalTime>1</TotalTime>
  <Pages>5</Pages>
  <Words>3712</Words>
  <Characters>21160</Characters>
  <Application>Microsoft Macintosh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Optical Society of America</Company>
  <LinksUpToDate>false</LinksUpToDate>
  <CharactersWithSpaces>24823</CharactersWithSpaces>
  <SharedDoc>false</SharedDoc>
  <HLinks>
    <vt:vector size="12" baseType="variant">
      <vt:variant>
        <vt:i4>2818118</vt:i4>
      </vt:variant>
      <vt:variant>
        <vt:i4>3</vt:i4>
      </vt:variant>
      <vt:variant>
        <vt:i4>0</vt:i4>
      </vt:variant>
      <vt:variant>
        <vt:i4>5</vt:i4>
      </vt:variant>
      <vt:variant>
        <vt:lpwstr>http://www.opticsinfobase.org/submit/style/jrnls_style.cfm</vt:lpwstr>
      </vt:variant>
      <vt:variant>
        <vt:lpwstr/>
      </vt:variant>
      <vt:variant>
        <vt:i4>2687088</vt:i4>
      </vt:variant>
      <vt:variant>
        <vt:i4>0</vt:i4>
      </vt:variant>
      <vt:variant>
        <vt:i4>0</vt:i4>
      </vt:variant>
      <vt:variant>
        <vt:i4>5</vt:i4>
      </vt:variant>
      <vt:variant>
        <vt:lpwstr>mailto:author_three@uni-jena.de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De Lucia</dc:creator>
  <cp:lastModifiedBy>Microsoft Office User</cp:lastModifiedBy>
  <cp:revision>3</cp:revision>
  <cp:lastPrinted>2016-09-09T14:43:00Z</cp:lastPrinted>
  <dcterms:created xsi:type="dcterms:W3CDTF">2016-10-20T13:06:00Z</dcterms:created>
  <dcterms:modified xsi:type="dcterms:W3CDTF">2016-10-20T13:41:00Z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PAPERS2_INFO_01">
    <vt:lpwstr>&lt;info&gt;&lt;style id="http://www.zotero.org/styles/apa"/&gt;&lt;format class="1"/&gt;&lt;/info&gt;PAPERS2_INFO_END</vt:lpwstr>
  </property>
</Properties>
</file>