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CB527" w14:textId="77777777" w:rsidR="003F1A7C" w:rsidRDefault="00AE7B95" w:rsidP="00501987">
      <w:pPr>
        <w:spacing w:line="360" w:lineRule="auto"/>
        <w:contextualSpacing/>
        <w:jc w:val="center"/>
        <w:rPr>
          <w:rFonts w:ascii="Times New Roman" w:hAnsi="Times New Roman" w:cs="Times New Roman"/>
          <w:sz w:val="24"/>
          <w:szCs w:val="24"/>
        </w:rPr>
      </w:pPr>
      <w:r>
        <w:rPr>
          <w:rFonts w:ascii="Times New Roman" w:hAnsi="Times New Roman" w:cs="Times New Roman"/>
          <w:b/>
          <w:sz w:val="24"/>
          <w:szCs w:val="24"/>
        </w:rPr>
        <w:t>Still an Error: Relational Theories of Art</w:t>
      </w:r>
    </w:p>
    <w:p w14:paraId="5B3E8A4F" w14:textId="77777777" w:rsidR="00AE7B95" w:rsidRDefault="00AE7B95" w:rsidP="00501987">
      <w:pPr>
        <w:spacing w:line="360" w:lineRule="auto"/>
        <w:contextualSpacing/>
        <w:rPr>
          <w:rFonts w:ascii="Times New Roman" w:hAnsi="Times New Roman" w:cs="Times New Roman"/>
          <w:sz w:val="24"/>
          <w:szCs w:val="24"/>
        </w:rPr>
      </w:pPr>
    </w:p>
    <w:p w14:paraId="094CDD2F" w14:textId="77777777" w:rsidR="00AE7B95" w:rsidRDefault="00AE7B95"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In our 2012 paper,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we offered a critique of relational t</w:t>
      </w:r>
      <w:r w:rsidR="009F3341">
        <w:rPr>
          <w:rFonts w:ascii="Times New Roman" w:hAnsi="Times New Roman" w:cs="Times New Roman"/>
          <w:sz w:val="24"/>
          <w:szCs w:val="24"/>
        </w:rPr>
        <w:t>heories of art, comparing them u</w:t>
      </w:r>
      <w:r>
        <w:rPr>
          <w:rFonts w:ascii="Times New Roman" w:hAnsi="Times New Roman" w:cs="Times New Roman"/>
          <w:sz w:val="24"/>
          <w:szCs w:val="24"/>
        </w:rPr>
        <w:t>nfavourably to family resemblance accounts.  Our paradigm examples of relational theories were Maurice Mandelbaum’s (an artwork is something ‘created by someone for some actual or possible audience’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and George Dickie’s (‘A work of art is an artifact of a kind created to be presented to an artworld public’</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We called these positions ‘theories’ because they offer to specify the necessary and sufficient conditions of something’</w:t>
      </w:r>
      <w:r w:rsidR="005035E7">
        <w:rPr>
          <w:rFonts w:ascii="Times New Roman" w:hAnsi="Times New Roman" w:cs="Times New Roman"/>
          <w:sz w:val="24"/>
          <w:szCs w:val="24"/>
        </w:rPr>
        <w:t>s counting as art:</w:t>
      </w:r>
      <w:r>
        <w:rPr>
          <w:rFonts w:ascii="Times New Roman" w:hAnsi="Times New Roman" w:cs="Times New Roman"/>
          <w:sz w:val="24"/>
          <w:szCs w:val="24"/>
        </w:rPr>
        <w:t xml:space="preserve"> here we were following Morris Weitz, with whom we began our paper, and in reaction </w:t>
      </w:r>
      <w:r w:rsidR="009F3341">
        <w:rPr>
          <w:rFonts w:ascii="Times New Roman" w:hAnsi="Times New Roman" w:cs="Times New Roman"/>
          <w:sz w:val="24"/>
          <w:szCs w:val="24"/>
        </w:rPr>
        <w:t>against</w:t>
      </w:r>
      <w:r>
        <w:rPr>
          <w:rFonts w:ascii="Times New Roman" w:hAnsi="Times New Roman" w:cs="Times New Roman"/>
          <w:sz w:val="24"/>
          <w:szCs w:val="24"/>
        </w:rPr>
        <w:t xml:space="preserve"> whom relational theorizing about art itself began.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And we called them ‘relational’ theories because the conditions that they specify refer exclusively to the relational properties of the objects in question.  Any theory of art that specifies conditions referring to a mixture of relational and non-relational properties was therefore not a relational theory of art as we understood that term, and so was not a part of the target that our critique was directed against.</w:t>
      </w:r>
    </w:p>
    <w:p w14:paraId="64CDF770" w14:textId="77777777" w:rsidR="00EC302A" w:rsidRDefault="00EC302A"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their response to our paper, </w:t>
      </w:r>
      <w:r w:rsidR="00590584">
        <w:rPr>
          <w:rFonts w:ascii="Times New Roman" w:hAnsi="Times New Roman" w:cs="Times New Roman"/>
          <w:sz w:val="24"/>
          <w:szCs w:val="24"/>
        </w:rPr>
        <w:t xml:space="preserve">Aaron </w:t>
      </w:r>
      <w:r>
        <w:rPr>
          <w:rFonts w:ascii="Times New Roman" w:hAnsi="Times New Roman" w:cs="Times New Roman"/>
          <w:sz w:val="24"/>
          <w:szCs w:val="24"/>
        </w:rPr>
        <w:t xml:space="preserve">Meskin and </w:t>
      </w:r>
      <w:r w:rsidR="00590584">
        <w:rPr>
          <w:rFonts w:ascii="Times New Roman" w:hAnsi="Times New Roman" w:cs="Times New Roman"/>
          <w:sz w:val="24"/>
          <w:szCs w:val="24"/>
        </w:rPr>
        <w:t xml:space="preserve">Simon </w:t>
      </w:r>
      <w:r>
        <w:rPr>
          <w:rFonts w:ascii="Times New Roman" w:hAnsi="Times New Roman" w:cs="Times New Roman"/>
          <w:sz w:val="24"/>
          <w:szCs w:val="24"/>
        </w:rPr>
        <w:t>Fokt seem not to have fully appreciated this.  As a would-be corrective to us, they describe and commend a theory of art that combines ‘“weak proceduralism” (the view that ... satisfying [an] institutional [i.e. a relational] condition is necessary for acquiring art status</w:t>
      </w:r>
      <w:r w:rsidR="005F7FE6">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322E15">
        <w:rPr>
          <w:rFonts w:ascii="Times New Roman" w:hAnsi="Times New Roman" w:cs="Times New Roman"/>
          <w:sz w:val="24"/>
          <w:szCs w:val="24"/>
        </w:rPr>
        <w:t xml:space="preserve"> with the requirement that ‘artworld members have good reasons to justify’ presenting their artifacts ‘to the artworld’,</w:t>
      </w:r>
      <w:r w:rsidR="00322E15">
        <w:rPr>
          <w:rStyle w:val="FootnoteReference"/>
          <w:rFonts w:ascii="Times New Roman" w:hAnsi="Times New Roman" w:cs="Times New Roman"/>
          <w:sz w:val="24"/>
          <w:szCs w:val="24"/>
        </w:rPr>
        <w:footnoteReference w:id="6"/>
      </w:r>
      <w:r w:rsidR="00322E15">
        <w:rPr>
          <w:rFonts w:ascii="Times New Roman" w:hAnsi="Times New Roman" w:cs="Times New Roman"/>
          <w:sz w:val="24"/>
          <w:szCs w:val="24"/>
        </w:rPr>
        <w:t xml:space="preserve"> where these reasons refer to such non-relational properties as ‘</w:t>
      </w:r>
      <w:r w:rsidR="00322E15">
        <w:rPr>
          <w:rFonts w:ascii="Times New Roman" w:hAnsi="Times New Roman" w:cs="Times New Roman"/>
          <w:i/>
          <w:sz w:val="24"/>
          <w:szCs w:val="24"/>
        </w:rPr>
        <w:t>beautifully and faithfully representing</w:t>
      </w:r>
      <w:r w:rsidR="00322E15">
        <w:rPr>
          <w:rFonts w:ascii="Times New Roman" w:hAnsi="Times New Roman" w:cs="Times New Roman"/>
          <w:sz w:val="24"/>
          <w:szCs w:val="24"/>
        </w:rPr>
        <w:t>’ some particular subject matter.</w:t>
      </w:r>
      <w:r w:rsidR="00322E15">
        <w:rPr>
          <w:rStyle w:val="FootnoteReference"/>
          <w:rFonts w:ascii="Times New Roman" w:hAnsi="Times New Roman" w:cs="Times New Roman"/>
          <w:sz w:val="24"/>
          <w:szCs w:val="24"/>
        </w:rPr>
        <w:footnoteReference w:id="7"/>
      </w:r>
      <w:r w:rsidR="00322E15">
        <w:rPr>
          <w:rFonts w:ascii="Times New Roman" w:hAnsi="Times New Roman" w:cs="Times New Roman"/>
          <w:sz w:val="24"/>
          <w:szCs w:val="24"/>
        </w:rPr>
        <w:t xml:space="preserve">  Such a theory is therefore not, in our sense, a relational theory of art.</w:t>
      </w:r>
    </w:p>
    <w:p w14:paraId="4C9A79B3" w14:textId="77777777" w:rsidR="00322E15" w:rsidRDefault="00322E15"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More puzzling, though, is the fact that </w:t>
      </w:r>
      <w:r w:rsidR="009F3341">
        <w:rPr>
          <w:rFonts w:ascii="Times New Roman" w:hAnsi="Times New Roman" w:cs="Times New Roman"/>
          <w:sz w:val="24"/>
          <w:szCs w:val="24"/>
        </w:rPr>
        <w:t>the position that they describe</w:t>
      </w:r>
      <w:r>
        <w:rPr>
          <w:rFonts w:ascii="Times New Roman" w:hAnsi="Times New Roman" w:cs="Times New Roman"/>
          <w:sz w:val="24"/>
          <w:szCs w:val="24"/>
        </w:rPr>
        <w:t xml:space="preserve"> does appear to be a family resemblance account.</w:t>
      </w:r>
      <w:r w:rsidR="003E34CD">
        <w:rPr>
          <w:rFonts w:ascii="Times New Roman" w:hAnsi="Times New Roman" w:cs="Times New Roman"/>
          <w:sz w:val="24"/>
          <w:szCs w:val="24"/>
        </w:rPr>
        <w:t xml:space="preserve">  Whereas ‘weak proceduralism’ states a (merely) necessary condition of something’s counting as art – a condition that we described as a ‘platitude</w:t>
      </w:r>
      <w:r w:rsidR="005035E7">
        <w:rPr>
          <w:rFonts w:ascii="Times New Roman" w:hAnsi="Times New Roman" w:cs="Times New Roman"/>
          <w:sz w:val="24"/>
          <w:szCs w:val="24"/>
        </w:rPr>
        <w:t>’, one</w:t>
      </w:r>
      <w:r w:rsidR="003E34CD">
        <w:rPr>
          <w:rFonts w:ascii="Times New Roman" w:hAnsi="Times New Roman" w:cs="Times New Roman"/>
          <w:sz w:val="24"/>
          <w:szCs w:val="24"/>
        </w:rPr>
        <w:t xml:space="preserve"> </w:t>
      </w:r>
      <w:r w:rsidR="005035E7">
        <w:rPr>
          <w:rFonts w:ascii="Times New Roman" w:hAnsi="Times New Roman" w:cs="Times New Roman"/>
          <w:sz w:val="24"/>
          <w:szCs w:val="24"/>
        </w:rPr>
        <w:t>‘</w:t>
      </w:r>
      <w:r w:rsidR="003E34CD">
        <w:rPr>
          <w:rFonts w:ascii="Times New Roman" w:hAnsi="Times New Roman" w:cs="Times New Roman"/>
          <w:sz w:val="24"/>
          <w:szCs w:val="24"/>
        </w:rPr>
        <w:t>wholly compatible with the claim that art is ... a family resemblance concept’</w:t>
      </w:r>
      <w:r w:rsidR="003E34CD">
        <w:rPr>
          <w:rStyle w:val="FootnoteReference"/>
          <w:rFonts w:ascii="Times New Roman" w:hAnsi="Times New Roman" w:cs="Times New Roman"/>
          <w:sz w:val="24"/>
          <w:szCs w:val="24"/>
        </w:rPr>
        <w:footnoteReference w:id="8"/>
      </w:r>
      <w:r w:rsidR="005516D1">
        <w:rPr>
          <w:rFonts w:ascii="Times New Roman" w:hAnsi="Times New Roman" w:cs="Times New Roman"/>
          <w:sz w:val="24"/>
          <w:szCs w:val="24"/>
        </w:rPr>
        <w:t xml:space="preserve"> – the </w:t>
      </w:r>
      <w:r w:rsidR="005516D1">
        <w:rPr>
          <w:rFonts w:ascii="Times New Roman" w:hAnsi="Times New Roman" w:cs="Times New Roman"/>
          <w:sz w:val="24"/>
          <w:szCs w:val="24"/>
        </w:rPr>
        <w:lastRenderedPageBreak/>
        <w:t>requirement concerning reasons is not merely compatible with the family resemblance account, but can only be understood as a version of it.  For these ‘good reasons’ will exhibit among themselves only that ‘complicated network of similarities overlapping and criss-crossing’ that family resemblances consist in.</w:t>
      </w:r>
      <w:r w:rsidR="005516D1">
        <w:rPr>
          <w:rStyle w:val="FootnoteReference"/>
          <w:rFonts w:ascii="Times New Roman" w:hAnsi="Times New Roman" w:cs="Times New Roman"/>
          <w:sz w:val="24"/>
          <w:szCs w:val="24"/>
        </w:rPr>
        <w:footnoteReference w:id="9"/>
      </w:r>
      <w:r w:rsidR="005516D1">
        <w:rPr>
          <w:rFonts w:ascii="Times New Roman" w:hAnsi="Times New Roman" w:cs="Times New Roman"/>
          <w:sz w:val="24"/>
          <w:szCs w:val="24"/>
        </w:rPr>
        <w:t xml:space="preserve">  And, more puzzlingly still, Meskin and Fokt seem actually to agree with this.  They explicitly connect the reasons requirement that they describe to Berys Gaut’s ‘cluster account’ of art,</w:t>
      </w:r>
      <w:r w:rsidR="005516D1">
        <w:rPr>
          <w:rStyle w:val="FootnoteReference"/>
          <w:rFonts w:ascii="Times New Roman" w:hAnsi="Times New Roman" w:cs="Times New Roman"/>
          <w:sz w:val="24"/>
          <w:szCs w:val="24"/>
        </w:rPr>
        <w:footnoteReference w:id="10"/>
      </w:r>
      <w:r w:rsidR="005516D1">
        <w:rPr>
          <w:rFonts w:ascii="Times New Roman" w:hAnsi="Times New Roman" w:cs="Times New Roman"/>
          <w:sz w:val="24"/>
          <w:szCs w:val="24"/>
        </w:rPr>
        <w:t xml:space="preserve"> an account that Gaut himself regards as an update to the family resemblance account</w:t>
      </w:r>
      <w:r w:rsidR="005035E7">
        <w:rPr>
          <w:rStyle w:val="FootnoteReference"/>
          <w:rFonts w:ascii="Times New Roman" w:hAnsi="Times New Roman" w:cs="Times New Roman"/>
          <w:sz w:val="24"/>
          <w:szCs w:val="24"/>
        </w:rPr>
        <w:footnoteReference w:id="11"/>
      </w:r>
      <w:r w:rsidR="005516D1">
        <w:rPr>
          <w:rFonts w:ascii="Times New Roman" w:hAnsi="Times New Roman" w:cs="Times New Roman"/>
          <w:sz w:val="24"/>
          <w:szCs w:val="24"/>
        </w:rPr>
        <w:t xml:space="preserve"> and which we referred to supportively and under that head in our opening pages.</w:t>
      </w:r>
      <w:r w:rsidR="005516D1">
        <w:rPr>
          <w:rStyle w:val="FootnoteReference"/>
          <w:rFonts w:ascii="Times New Roman" w:hAnsi="Times New Roman" w:cs="Times New Roman"/>
          <w:sz w:val="24"/>
          <w:szCs w:val="24"/>
        </w:rPr>
        <w:footnoteReference w:id="12"/>
      </w:r>
    </w:p>
    <w:p w14:paraId="5D3BA516" w14:textId="77777777" w:rsidR="00C664B1" w:rsidRDefault="00C664B1"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So what has gone wrong with Meskin and Fokt’s reply to us?  They make two mistakes, </w:t>
      </w:r>
      <w:r w:rsidRPr="00284C6F">
        <w:rPr>
          <w:rFonts w:ascii="Times New Roman" w:hAnsi="Times New Roman" w:cs="Times New Roman"/>
          <w:sz w:val="24"/>
          <w:szCs w:val="24"/>
        </w:rPr>
        <w:t>one global, the other local</w:t>
      </w:r>
      <w:r>
        <w:rPr>
          <w:rFonts w:ascii="Times New Roman" w:hAnsi="Times New Roman" w:cs="Times New Roman"/>
          <w:sz w:val="24"/>
          <w:szCs w:val="24"/>
        </w:rPr>
        <w:t>.</w:t>
      </w:r>
    </w:p>
    <w:p w14:paraId="54392DC2" w14:textId="77777777" w:rsidR="00C664B1" w:rsidRDefault="00C664B1"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global mistake is to imagine that Weitz (or we) would regard as a ‘theory’ of art an account that specifies as necessary and sufficient conditions a platitude plus a condition that can only be cashed out as referring to a family resemblance concept – in this case the concept of a good reason.  If </w:t>
      </w:r>
      <w:r w:rsidR="005035E7">
        <w:rPr>
          <w:rFonts w:ascii="Times New Roman" w:hAnsi="Times New Roman" w:cs="Times New Roman"/>
          <w:sz w:val="24"/>
          <w:szCs w:val="24"/>
        </w:rPr>
        <w:t xml:space="preserve">it were </w:t>
      </w:r>
      <w:r>
        <w:rPr>
          <w:rFonts w:ascii="Times New Roman" w:hAnsi="Times New Roman" w:cs="Times New Roman"/>
          <w:i/>
          <w:sz w:val="24"/>
          <w:szCs w:val="24"/>
        </w:rPr>
        <w:t>that</w:t>
      </w:r>
      <w:r w:rsidR="005035E7">
        <w:rPr>
          <w:rFonts w:ascii="Times New Roman" w:hAnsi="Times New Roman" w:cs="Times New Roman"/>
          <w:sz w:val="24"/>
          <w:szCs w:val="24"/>
        </w:rPr>
        <w:t xml:space="preserve"> </w:t>
      </w:r>
      <w:r>
        <w:rPr>
          <w:rFonts w:ascii="Times New Roman" w:hAnsi="Times New Roman" w:cs="Times New Roman"/>
          <w:sz w:val="24"/>
          <w:szCs w:val="24"/>
        </w:rPr>
        <w:t>e</w:t>
      </w:r>
      <w:r w:rsidR="005035E7">
        <w:rPr>
          <w:rFonts w:ascii="Times New Roman" w:hAnsi="Times New Roman" w:cs="Times New Roman"/>
          <w:sz w:val="24"/>
          <w:szCs w:val="24"/>
        </w:rPr>
        <w:t>asy</w:t>
      </w:r>
      <w:r>
        <w:rPr>
          <w:rFonts w:ascii="Times New Roman" w:hAnsi="Times New Roman" w:cs="Times New Roman"/>
          <w:sz w:val="24"/>
          <w:szCs w:val="24"/>
        </w:rPr>
        <w:t>, we’d scarcely have bothered to write our paper in the first place.  (And Weitz</w:t>
      </w:r>
      <w:r w:rsidR="005035E7">
        <w:rPr>
          <w:rFonts w:ascii="Times New Roman" w:hAnsi="Times New Roman" w:cs="Times New Roman"/>
          <w:sz w:val="24"/>
          <w:szCs w:val="24"/>
        </w:rPr>
        <w:t xml:space="preserve"> – or indeed</w:t>
      </w:r>
      <w:r>
        <w:rPr>
          <w:rFonts w:ascii="Times New Roman" w:hAnsi="Times New Roman" w:cs="Times New Roman"/>
          <w:sz w:val="24"/>
          <w:szCs w:val="24"/>
        </w:rPr>
        <w:t xml:space="preserve"> Wittgenstein</w:t>
      </w:r>
      <w:r w:rsidR="005035E7">
        <w:rPr>
          <w:rFonts w:ascii="Times New Roman" w:hAnsi="Times New Roman" w:cs="Times New Roman"/>
          <w:sz w:val="24"/>
          <w:szCs w:val="24"/>
        </w:rPr>
        <w:t xml:space="preserve"> – w</w:t>
      </w:r>
      <w:r>
        <w:rPr>
          <w:rFonts w:ascii="Times New Roman" w:hAnsi="Times New Roman" w:cs="Times New Roman"/>
          <w:sz w:val="24"/>
          <w:szCs w:val="24"/>
        </w:rPr>
        <w:t xml:space="preserve">ould already have had </w:t>
      </w:r>
      <w:r w:rsidR="005F7FE6">
        <w:rPr>
          <w:rFonts w:ascii="Times New Roman" w:hAnsi="Times New Roman" w:cs="Times New Roman"/>
          <w:sz w:val="24"/>
          <w:szCs w:val="24"/>
        </w:rPr>
        <w:t>his</w:t>
      </w:r>
      <w:r>
        <w:rPr>
          <w:rFonts w:ascii="Times New Roman" w:hAnsi="Times New Roman" w:cs="Times New Roman"/>
          <w:sz w:val="24"/>
          <w:szCs w:val="24"/>
        </w:rPr>
        <w:t xml:space="preserve"> ‘theor</w:t>
      </w:r>
      <w:r w:rsidR="005F7FE6">
        <w:rPr>
          <w:rFonts w:ascii="Times New Roman" w:hAnsi="Times New Roman" w:cs="Times New Roman"/>
          <w:sz w:val="24"/>
          <w:szCs w:val="24"/>
        </w:rPr>
        <w:t>y</w:t>
      </w:r>
      <w:r>
        <w:rPr>
          <w:rFonts w:ascii="Times New Roman" w:hAnsi="Times New Roman" w:cs="Times New Roman"/>
          <w:sz w:val="24"/>
          <w:szCs w:val="24"/>
        </w:rPr>
        <w:t>’ for free.)</w:t>
      </w:r>
    </w:p>
    <w:p w14:paraId="309D537A" w14:textId="5EA4355B" w:rsidR="00C664B1" w:rsidRDefault="00C664B1" w:rsidP="009E310F">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other mistake, </w:t>
      </w:r>
      <w:r w:rsidRPr="00284C6F">
        <w:rPr>
          <w:rFonts w:ascii="Times New Roman" w:hAnsi="Times New Roman" w:cs="Times New Roman"/>
          <w:sz w:val="24"/>
          <w:szCs w:val="24"/>
        </w:rPr>
        <w:t xml:space="preserve">which may perhaps have </w:t>
      </w:r>
      <w:r w:rsidR="00284C6F">
        <w:rPr>
          <w:rFonts w:ascii="Times New Roman" w:hAnsi="Times New Roman" w:cs="Times New Roman"/>
          <w:sz w:val="24"/>
          <w:szCs w:val="24"/>
        </w:rPr>
        <w:t>led</w:t>
      </w:r>
      <w:r w:rsidR="00284C6F" w:rsidRPr="00284C6F">
        <w:rPr>
          <w:rFonts w:ascii="Times New Roman" w:hAnsi="Times New Roman" w:cs="Times New Roman"/>
          <w:sz w:val="24"/>
          <w:szCs w:val="24"/>
        </w:rPr>
        <w:t xml:space="preserve"> </w:t>
      </w:r>
      <w:r w:rsidRPr="00284C6F">
        <w:rPr>
          <w:rFonts w:ascii="Times New Roman" w:hAnsi="Times New Roman" w:cs="Times New Roman"/>
          <w:sz w:val="24"/>
          <w:szCs w:val="24"/>
        </w:rPr>
        <w:t>them to</w:t>
      </w:r>
      <w:r w:rsidR="009E310F">
        <w:rPr>
          <w:rFonts w:ascii="Times New Roman" w:hAnsi="Times New Roman" w:cs="Times New Roman"/>
          <w:sz w:val="24"/>
          <w:szCs w:val="24"/>
        </w:rPr>
        <w:t xml:space="preserve"> make </w:t>
      </w:r>
      <w:r w:rsidRPr="00284C6F">
        <w:rPr>
          <w:rFonts w:ascii="Times New Roman" w:hAnsi="Times New Roman" w:cs="Times New Roman"/>
          <w:sz w:val="24"/>
          <w:szCs w:val="24"/>
        </w:rPr>
        <w:t>the first</w:t>
      </w:r>
      <w:r>
        <w:rPr>
          <w:rFonts w:ascii="Times New Roman" w:hAnsi="Times New Roman" w:cs="Times New Roman"/>
          <w:sz w:val="24"/>
          <w:szCs w:val="24"/>
        </w:rPr>
        <w:t>, is that they misunderstand the falsification condition</w:t>
      </w:r>
      <w:r w:rsidR="00152AC1">
        <w:rPr>
          <w:rFonts w:ascii="Times New Roman" w:hAnsi="Times New Roman" w:cs="Times New Roman"/>
          <w:sz w:val="24"/>
          <w:szCs w:val="24"/>
        </w:rPr>
        <w:t>s</w:t>
      </w:r>
      <w:r>
        <w:rPr>
          <w:rFonts w:ascii="Times New Roman" w:hAnsi="Times New Roman" w:cs="Times New Roman"/>
          <w:sz w:val="24"/>
          <w:szCs w:val="24"/>
        </w:rPr>
        <w:t xml:space="preserve"> of a </w:t>
      </w:r>
      <w:r w:rsidR="005035E7">
        <w:rPr>
          <w:rFonts w:ascii="Times New Roman" w:hAnsi="Times New Roman" w:cs="Times New Roman"/>
          <w:sz w:val="24"/>
          <w:szCs w:val="24"/>
        </w:rPr>
        <w:t>statement</w:t>
      </w:r>
      <w:r>
        <w:rPr>
          <w:rFonts w:ascii="Times New Roman" w:hAnsi="Times New Roman" w:cs="Times New Roman"/>
          <w:sz w:val="24"/>
          <w:szCs w:val="24"/>
        </w:rPr>
        <w:t xml:space="preserve"> </w:t>
      </w:r>
      <w:r w:rsidR="00EB3314">
        <w:rPr>
          <w:rFonts w:ascii="Times New Roman" w:hAnsi="Times New Roman" w:cs="Times New Roman"/>
          <w:sz w:val="24"/>
          <w:szCs w:val="24"/>
        </w:rPr>
        <w:t xml:space="preserve">to the effect </w:t>
      </w:r>
      <w:r>
        <w:rPr>
          <w:rFonts w:ascii="Times New Roman" w:hAnsi="Times New Roman" w:cs="Times New Roman"/>
          <w:sz w:val="24"/>
          <w:szCs w:val="24"/>
        </w:rPr>
        <w:t>that such-and-such is a family resemblance concept.</w:t>
      </w:r>
    </w:p>
    <w:p w14:paraId="1E984DA8" w14:textId="77777777" w:rsidR="005035E7" w:rsidRDefault="005035E7"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Our claim was this.  When something appears to be a family resemblance concept – i.e. can plausibly be identified as such – this identification may well survive the discovery of a feature that all of the objects referred to by that concept have in common.  For this feature may be incidental, in the sense that it fails to account for the </w:t>
      </w:r>
      <w:r>
        <w:rPr>
          <w:rFonts w:ascii="Times New Roman" w:hAnsi="Times New Roman" w:cs="Times New Roman"/>
          <w:i/>
          <w:sz w:val="24"/>
          <w:szCs w:val="24"/>
        </w:rPr>
        <w:t>unity</w:t>
      </w:r>
      <w:r>
        <w:rPr>
          <w:rFonts w:ascii="Times New Roman" w:hAnsi="Times New Roman" w:cs="Times New Roman"/>
          <w:sz w:val="24"/>
          <w:szCs w:val="24"/>
        </w:rPr>
        <w:t xml:space="preserve"> of the concept – for the fact, as we put it, that we have </w:t>
      </w:r>
      <w:r>
        <w:rPr>
          <w:rFonts w:ascii="Times New Roman" w:hAnsi="Times New Roman" w:cs="Times New Roman"/>
          <w:i/>
          <w:sz w:val="24"/>
          <w:szCs w:val="24"/>
        </w:rPr>
        <w:t>a</w:t>
      </w:r>
      <w:r>
        <w:rPr>
          <w:rFonts w:ascii="Times New Roman" w:hAnsi="Times New Roman" w:cs="Times New Roman"/>
          <w:sz w:val="24"/>
          <w:szCs w:val="24"/>
        </w:rPr>
        <w:t xml:space="preserve"> concept of such-and-such ‘rather than just a rag-bag of homophonous uses.’  So, we said, if one wants to show that something isn’t the family resemblance concept that it appears to be, one must both discover a common feature </w:t>
      </w:r>
      <w:r>
        <w:rPr>
          <w:rFonts w:ascii="Times New Roman" w:hAnsi="Times New Roman" w:cs="Times New Roman"/>
          <w:i/>
          <w:sz w:val="24"/>
          <w:szCs w:val="24"/>
        </w:rPr>
        <w:t>and</w:t>
      </w:r>
      <w:r>
        <w:rPr>
          <w:rFonts w:ascii="Times New Roman" w:hAnsi="Times New Roman" w:cs="Times New Roman"/>
          <w:sz w:val="24"/>
          <w:szCs w:val="24"/>
        </w:rPr>
        <w:t xml:space="preserve"> show ‘how that feature is responsible for [i.e. explains] the patterns of similarity</w:t>
      </w:r>
      <w:r w:rsidR="005F7FE6">
        <w:rPr>
          <w:rFonts w:ascii="Times New Roman" w:hAnsi="Times New Roman" w:cs="Times New Roman"/>
          <w:sz w:val="24"/>
          <w:szCs w:val="24"/>
        </w:rPr>
        <w:t>’</w:t>
      </w:r>
      <w:r>
        <w:rPr>
          <w:rFonts w:ascii="Times New Roman" w:hAnsi="Times New Roman" w:cs="Times New Roman"/>
          <w:sz w:val="24"/>
          <w:szCs w:val="24"/>
        </w:rPr>
        <w:t xml:space="preserve"> to which the proponent of the family resemblance account appeals, otherwise the unity of the relevant concept will not have been established </w:t>
      </w:r>
      <w:r>
        <w:rPr>
          <w:rFonts w:ascii="Times New Roman" w:hAnsi="Times New Roman" w:cs="Times New Roman"/>
          <w:i/>
          <w:sz w:val="24"/>
          <w:szCs w:val="24"/>
        </w:rPr>
        <w:t>except</w:t>
      </w:r>
      <w:r>
        <w:rPr>
          <w:rFonts w:ascii="Times New Roman" w:hAnsi="Times New Roman" w:cs="Times New Roman"/>
          <w:sz w:val="24"/>
          <w:szCs w:val="24"/>
        </w:rPr>
        <w:t xml:space="preserve"> by pointing to the resemblances that the items referred to by that concept exhibit among themselves.  We called this the ‘explanatory requirement.’</w:t>
      </w:r>
      <w:r>
        <w:rPr>
          <w:rStyle w:val="FootnoteReference"/>
          <w:rFonts w:ascii="Times New Roman" w:hAnsi="Times New Roman" w:cs="Times New Roman"/>
          <w:sz w:val="24"/>
          <w:szCs w:val="24"/>
        </w:rPr>
        <w:footnoteReference w:id="13"/>
      </w:r>
    </w:p>
    <w:p w14:paraId="53E7F3CE" w14:textId="7B3C7DCE" w:rsidR="005035E7" w:rsidRDefault="005035E7" w:rsidP="00501987">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Meskin and Fokt wish to reject this requirement.  The</w:t>
      </w:r>
      <w:r w:rsidR="00891031">
        <w:rPr>
          <w:rFonts w:ascii="Times New Roman" w:hAnsi="Times New Roman" w:cs="Times New Roman"/>
          <w:sz w:val="24"/>
          <w:szCs w:val="24"/>
        </w:rPr>
        <w:t>ir</w:t>
      </w:r>
      <w:r>
        <w:rPr>
          <w:rFonts w:ascii="Times New Roman" w:hAnsi="Times New Roman" w:cs="Times New Roman"/>
          <w:sz w:val="24"/>
          <w:szCs w:val="24"/>
        </w:rPr>
        <w:t xml:space="preserve"> attempt to do so, however, </w:t>
      </w:r>
      <w:r w:rsidR="00891031" w:rsidRPr="00891031">
        <w:rPr>
          <w:rFonts w:ascii="Times New Roman" w:hAnsi="Times New Roman" w:cs="Times New Roman"/>
          <w:sz w:val="24"/>
          <w:szCs w:val="24"/>
        </w:rPr>
        <w:t>is unconvincing</w:t>
      </w:r>
      <w:r w:rsidR="00152AC1">
        <w:rPr>
          <w:rFonts w:ascii="Times New Roman" w:hAnsi="Times New Roman" w:cs="Times New Roman"/>
          <w:sz w:val="24"/>
          <w:szCs w:val="24"/>
        </w:rPr>
        <w:t>.  They</w:t>
      </w:r>
      <w:r>
        <w:rPr>
          <w:rFonts w:ascii="Times New Roman" w:hAnsi="Times New Roman" w:cs="Times New Roman"/>
          <w:sz w:val="24"/>
          <w:szCs w:val="24"/>
        </w:rPr>
        <w:t xml:space="preserve"> argu</w:t>
      </w:r>
      <w:r w:rsidR="00152AC1">
        <w:rPr>
          <w:rFonts w:ascii="Times New Roman" w:hAnsi="Times New Roman" w:cs="Times New Roman"/>
          <w:sz w:val="24"/>
          <w:szCs w:val="24"/>
        </w:rPr>
        <w:t>e</w:t>
      </w:r>
      <w:r w:rsidR="004736C7">
        <w:rPr>
          <w:rFonts w:ascii="Times New Roman" w:hAnsi="Times New Roman" w:cs="Times New Roman"/>
          <w:sz w:val="24"/>
          <w:szCs w:val="24"/>
        </w:rPr>
        <w:t xml:space="preserve"> that the relational feature that all of those who have been, say, Vice-Chancellor of the University of Southampton share – namely, having been appointed by University Council – need not account for any (further) similarities that those individuals might happen to exhibit to one another.</w:t>
      </w:r>
      <w:r w:rsidR="004736C7">
        <w:rPr>
          <w:rStyle w:val="FootnoteReference"/>
          <w:rFonts w:ascii="Times New Roman" w:hAnsi="Times New Roman" w:cs="Times New Roman"/>
          <w:sz w:val="24"/>
          <w:szCs w:val="24"/>
        </w:rPr>
        <w:footnoteReference w:id="14"/>
      </w:r>
      <w:r w:rsidR="00441D86">
        <w:rPr>
          <w:rFonts w:ascii="Times New Roman" w:hAnsi="Times New Roman" w:cs="Times New Roman"/>
          <w:sz w:val="24"/>
          <w:szCs w:val="24"/>
        </w:rPr>
        <w:t xml:space="preserve">  Which is of course true.  But this is because the concept ‘Vice-Chancellor of the University of Southampton’ is </w:t>
      </w:r>
      <w:r w:rsidR="005F7FE6">
        <w:rPr>
          <w:rFonts w:ascii="Times New Roman" w:hAnsi="Times New Roman" w:cs="Times New Roman"/>
          <w:sz w:val="24"/>
          <w:szCs w:val="24"/>
        </w:rPr>
        <w:t xml:space="preserve">very obviously </w:t>
      </w:r>
      <w:r w:rsidR="00441D86">
        <w:rPr>
          <w:rFonts w:ascii="Times New Roman" w:hAnsi="Times New Roman" w:cs="Times New Roman"/>
          <w:sz w:val="24"/>
          <w:szCs w:val="24"/>
        </w:rPr>
        <w:t>a relational or institutional concept</w:t>
      </w:r>
      <w:r w:rsidR="005F7FE6">
        <w:rPr>
          <w:rFonts w:ascii="Times New Roman" w:hAnsi="Times New Roman" w:cs="Times New Roman"/>
          <w:sz w:val="24"/>
          <w:szCs w:val="24"/>
        </w:rPr>
        <w:t>,</w:t>
      </w:r>
      <w:r w:rsidR="00441D86">
        <w:rPr>
          <w:rFonts w:ascii="Times New Roman" w:hAnsi="Times New Roman" w:cs="Times New Roman"/>
          <w:sz w:val="24"/>
          <w:szCs w:val="24"/>
        </w:rPr>
        <w:t xml:space="preserve"> from top to bottom.  The unity of the concept is secured, precisely, by the relational feature that all vice-chancellors of that university share</w:t>
      </w:r>
      <w:r w:rsidR="00152AC1">
        <w:rPr>
          <w:rFonts w:ascii="Times New Roman" w:hAnsi="Times New Roman" w:cs="Times New Roman"/>
          <w:sz w:val="24"/>
          <w:szCs w:val="24"/>
        </w:rPr>
        <w:t xml:space="preserve"> (and so there is no further </w:t>
      </w:r>
      <w:r w:rsidR="00EB3314">
        <w:rPr>
          <w:rFonts w:ascii="Times New Roman" w:hAnsi="Times New Roman" w:cs="Times New Roman"/>
          <w:sz w:val="24"/>
          <w:szCs w:val="24"/>
        </w:rPr>
        <w:t xml:space="preserve">explanatory </w:t>
      </w:r>
      <w:r w:rsidR="00152AC1">
        <w:rPr>
          <w:rFonts w:ascii="Times New Roman" w:hAnsi="Times New Roman" w:cs="Times New Roman"/>
          <w:sz w:val="24"/>
          <w:szCs w:val="24"/>
        </w:rPr>
        <w:t xml:space="preserve">work </w:t>
      </w:r>
      <w:r w:rsidR="00EB3314">
        <w:rPr>
          <w:rFonts w:ascii="Times New Roman" w:hAnsi="Times New Roman" w:cs="Times New Roman"/>
          <w:sz w:val="24"/>
          <w:szCs w:val="24"/>
        </w:rPr>
        <w:t>that</w:t>
      </w:r>
      <w:r w:rsidR="00152AC1">
        <w:rPr>
          <w:rFonts w:ascii="Times New Roman" w:hAnsi="Times New Roman" w:cs="Times New Roman"/>
          <w:sz w:val="24"/>
          <w:szCs w:val="24"/>
        </w:rPr>
        <w:t xml:space="preserve"> that feature</w:t>
      </w:r>
      <w:r w:rsidR="00EB3314">
        <w:rPr>
          <w:rFonts w:ascii="Times New Roman" w:hAnsi="Times New Roman" w:cs="Times New Roman"/>
          <w:sz w:val="24"/>
          <w:szCs w:val="24"/>
        </w:rPr>
        <w:t xml:space="preserve"> is called upon</w:t>
      </w:r>
      <w:r w:rsidR="00152AC1">
        <w:rPr>
          <w:rFonts w:ascii="Times New Roman" w:hAnsi="Times New Roman" w:cs="Times New Roman"/>
          <w:sz w:val="24"/>
          <w:szCs w:val="24"/>
        </w:rPr>
        <w:t xml:space="preserve"> to do)</w:t>
      </w:r>
      <w:r w:rsidR="00441D86">
        <w:rPr>
          <w:rFonts w:ascii="Times New Roman" w:hAnsi="Times New Roman" w:cs="Times New Roman"/>
          <w:sz w:val="24"/>
          <w:szCs w:val="24"/>
        </w:rPr>
        <w:t>.  Whereas, when the concept in question is apparently a family resemblance one – as nobody, including Meskin and Fokt,</w:t>
      </w:r>
      <w:r w:rsidR="00160A28">
        <w:rPr>
          <w:rStyle w:val="FootnoteReference"/>
          <w:rFonts w:ascii="Times New Roman" w:hAnsi="Times New Roman" w:cs="Times New Roman"/>
          <w:sz w:val="24"/>
          <w:szCs w:val="24"/>
        </w:rPr>
        <w:footnoteReference w:id="15"/>
      </w:r>
      <w:r w:rsidR="00441D86">
        <w:rPr>
          <w:rFonts w:ascii="Times New Roman" w:hAnsi="Times New Roman" w:cs="Times New Roman"/>
          <w:sz w:val="24"/>
          <w:szCs w:val="24"/>
        </w:rPr>
        <w:t xml:space="preserve"> would think was true of ‘Vice-Chancellor of the University of Southampton’ – the task for the would-be ‘theorist’ is to show that the similarities that the proponent of the family resemblance account appeals to are in fact </w:t>
      </w:r>
      <w:r w:rsidR="00441D86">
        <w:rPr>
          <w:rFonts w:ascii="Times New Roman" w:hAnsi="Times New Roman" w:cs="Times New Roman"/>
          <w:i/>
          <w:sz w:val="24"/>
          <w:szCs w:val="24"/>
        </w:rPr>
        <w:t>explicable</w:t>
      </w:r>
      <w:r w:rsidR="00441D86">
        <w:rPr>
          <w:rFonts w:ascii="Times New Roman" w:hAnsi="Times New Roman" w:cs="Times New Roman"/>
          <w:sz w:val="24"/>
          <w:szCs w:val="24"/>
        </w:rPr>
        <w:t xml:space="preserve"> by reference to the common feature that he or she has discovered.  The ‘theorist’s task, in short, is to establish the unity of a concept that had appeared to be held together merely by patterns of criss-crossing similarity, etc., in some other way – a way that </w:t>
      </w:r>
      <w:r w:rsidR="00441D86">
        <w:rPr>
          <w:rFonts w:ascii="Times New Roman" w:hAnsi="Times New Roman" w:cs="Times New Roman"/>
          <w:i/>
          <w:sz w:val="24"/>
          <w:szCs w:val="24"/>
        </w:rPr>
        <w:t>explains</w:t>
      </w:r>
      <w:r w:rsidR="00441D86">
        <w:rPr>
          <w:rFonts w:ascii="Times New Roman" w:hAnsi="Times New Roman" w:cs="Times New Roman"/>
          <w:sz w:val="24"/>
          <w:szCs w:val="24"/>
        </w:rPr>
        <w:t xml:space="preserve"> </w:t>
      </w:r>
      <w:r w:rsidR="005F7FE6">
        <w:rPr>
          <w:rFonts w:ascii="Times New Roman" w:hAnsi="Times New Roman" w:cs="Times New Roman"/>
          <w:sz w:val="24"/>
          <w:szCs w:val="24"/>
        </w:rPr>
        <w:t>how</w:t>
      </w:r>
      <w:r w:rsidR="00441D86">
        <w:rPr>
          <w:rFonts w:ascii="Times New Roman" w:hAnsi="Times New Roman" w:cs="Times New Roman"/>
          <w:sz w:val="24"/>
          <w:szCs w:val="24"/>
        </w:rPr>
        <w:t xml:space="preserve"> those patterns are only, as it were, the surface </w:t>
      </w:r>
      <w:r w:rsidR="005F7FE6">
        <w:rPr>
          <w:rFonts w:ascii="Times New Roman" w:hAnsi="Times New Roman" w:cs="Times New Roman"/>
          <w:sz w:val="24"/>
          <w:szCs w:val="24"/>
        </w:rPr>
        <w:t>symptoms</w:t>
      </w:r>
      <w:r w:rsidR="00441D86">
        <w:rPr>
          <w:rFonts w:ascii="Times New Roman" w:hAnsi="Times New Roman" w:cs="Times New Roman"/>
          <w:sz w:val="24"/>
          <w:szCs w:val="24"/>
        </w:rPr>
        <w:t xml:space="preserve"> of a unity that cuts deeper.</w:t>
      </w:r>
      <w:r w:rsidR="0001277E">
        <w:rPr>
          <w:rStyle w:val="FootnoteReference"/>
          <w:rFonts w:ascii="Times New Roman" w:hAnsi="Times New Roman" w:cs="Times New Roman"/>
          <w:sz w:val="24"/>
          <w:szCs w:val="24"/>
        </w:rPr>
        <w:footnoteReference w:id="16"/>
      </w:r>
    </w:p>
    <w:p w14:paraId="04811482" w14:textId="3587C5E8" w:rsidR="005D6470" w:rsidRPr="00441D86" w:rsidRDefault="005D6470" w:rsidP="00160A28">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Meskin and Fokt </w:t>
      </w:r>
      <w:r w:rsidR="00891031" w:rsidRPr="002F0350">
        <w:rPr>
          <w:rFonts w:ascii="Times New Roman" w:hAnsi="Times New Roman" w:cs="Times New Roman"/>
          <w:sz w:val="24"/>
          <w:szCs w:val="24"/>
        </w:rPr>
        <w:t xml:space="preserve">seem to have missed our point here, </w:t>
      </w:r>
      <w:r w:rsidR="00FA257C" w:rsidRPr="002F0350">
        <w:rPr>
          <w:rFonts w:ascii="Times New Roman" w:hAnsi="Times New Roman" w:cs="Times New Roman"/>
          <w:sz w:val="24"/>
          <w:szCs w:val="24"/>
        </w:rPr>
        <w:t xml:space="preserve">which may have </w:t>
      </w:r>
      <w:r w:rsidR="00160A28">
        <w:rPr>
          <w:rFonts w:ascii="Times New Roman" w:hAnsi="Times New Roman" w:cs="Times New Roman"/>
          <w:sz w:val="24"/>
          <w:szCs w:val="24"/>
        </w:rPr>
        <w:t>contributed to their making</w:t>
      </w:r>
      <w:r w:rsidR="00271E5D">
        <w:rPr>
          <w:rFonts w:ascii="Times New Roman" w:hAnsi="Times New Roman" w:cs="Times New Roman"/>
          <w:sz w:val="24"/>
          <w:szCs w:val="24"/>
        </w:rPr>
        <w:t xml:space="preserve"> </w:t>
      </w:r>
      <w:r w:rsidR="00942E15">
        <w:rPr>
          <w:rFonts w:ascii="Times New Roman" w:hAnsi="Times New Roman" w:cs="Times New Roman"/>
          <w:sz w:val="24"/>
          <w:szCs w:val="24"/>
        </w:rPr>
        <w:t xml:space="preserve">the global mistake </w:t>
      </w:r>
      <w:r w:rsidR="00160A28">
        <w:rPr>
          <w:rFonts w:ascii="Times New Roman" w:hAnsi="Times New Roman" w:cs="Times New Roman"/>
          <w:sz w:val="24"/>
          <w:szCs w:val="24"/>
        </w:rPr>
        <w:t xml:space="preserve">that </w:t>
      </w:r>
      <w:bookmarkStart w:id="0" w:name="_GoBack"/>
      <w:bookmarkEnd w:id="0"/>
      <w:r w:rsidR="00FA257C">
        <w:rPr>
          <w:rFonts w:ascii="Times New Roman" w:hAnsi="Times New Roman" w:cs="Times New Roman"/>
          <w:sz w:val="24"/>
          <w:szCs w:val="24"/>
        </w:rPr>
        <w:t>we referred to a moment ago</w:t>
      </w:r>
      <w:r w:rsidR="00942E15">
        <w:rPr>
          <w:rFonts w:ascii="Times New Roman" w:hAnsi="Times New Roman" w:cs="Times New Roman"/>
          <w:sz w:val="24"/>
          <w:szCs w:val="24"/>
        </w:rPr>
        <w:t xml:space="preserve">, </w:t>
      </w:r>
      <w:r w:rsidR="00FA257C">
        <w:rPr>
          <w:rFonts w:ascii="Times New Roman" w:hAnsi="Times New Roman" w:cs="Times New Roman"/>
          <w:sz w:val="24"/>
          <w:szCs w:val="24"/>
        </w:rPr>
        <w:t xml:space="preserve">and may explain </w:t>
      </w:r>
      <w:r w:rsidR="00942E15">
        <w:rPr>
          <w:rFonts w:ascii="Times New Roman" w:hAnsi="Times New Roman" w:cs="Times New Roman"/>
          <w:sz w:val="24"/>
          <w:szCs w:val="24"/>
        </w:rPr>
        <w:t xml:space="preserve">the </w:t>
      </w:r>
      <w:r w:rsidR="00942E15" w:rsidRPr="00FA257C">
        <w:rPr>
          <w:rFonts w:ascii="Times New Roman" w:hAnsi="Times New Roman" w:cs="Times New Roman"/>
          <w:sz w:val="24"/>
          <w:szCs w:val="24"/>
        </w:rPr>
        <w:t>puzzling</w:t>
      </w:r>
      <w:r w:rsidR="00942E15">
        <w:rPr>
          <w:rFonts w:ascii="Times New Roman" w:hAnsi="Times New Roman" w:cs="Times New Roman"/>
          <w:sz w:val="24"/>
          <w:szCs w:val="24"/>
        </w:rPr>
        <w:t xml:space="preserve"> features of their response to us that we </w:t>
      </w:r>
      <w:r w:rsidR="00FA257C">
        <w:rPr>
          <w:rFonts w:ascii="Times New Roman" w:hAnsi="Times New Roman" w:cs="Times New Roman"/>
          <w:sz w:val="24"/>
          <w:szCs w:val="24"/>
        </w:rPr>
        <w:t xml:space="preserve">have </w:t>
      </w:r>
      <w:r w:rsidR="00942E15">
        <w:rPr>
          <w:rFonts w:ascii="Times New Roman" w:hAnsi="Times New Roman" w:cs="Times New Roman"/>
          <w:sz w:val="24"/>
          <w:szCs w:val="24"/>
        </w:rPr>
        <w:t xml:space="preserve">detailed </w:t>
      </w:r>
      <w:r w:rsidR="00FA257C">
        <w:rPr>
          <w:rFonts w:ascii="Times New Roman" w:hAnsi="Times New Roman" w:cs="Times New Roman"/>
          <w:sz w:val="24"/>
          <w:szCs w:val="24"/>
        </w:rPr>
        <w:t>above</w:t>
      </w:r>
      <w:r w:rsidR="00942E15">
        <w:rPr>
          <w:rFonts w:ascii="Times New Roman" w:hAnsi="Times New Roman" w:cs="Times New Roman"/>
          <w:sz w:val="24"/>
          <w:szCs w:val="24"/>
        </w:rPr>
        <w:t>.  As far as we can see, then, our case against relational theories of art – which we haven’t rehearsed here – stands.</w:t>
      </w:r>
    </w:p>
    <w:sectPr w:rsidR="005D6470" w:rsidRPr="00441D86" w:rsidSect="00864A97">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F0F03" w14:textId="77777777" w:rsidR="00891031" w:rsidRDefault="00891031" w:rsidP="00AE7B95">
      <w:pPr>
        <w:spacing w:after="0" w:line="240" w:lineRule="auto"/>
      </w:pPr>
      <w:r>
        <w:separator/>
      </w:r>
    </w:p>
  </w:endnote>
  <w:endnote w:type="continuationSeparator" w:id="0">
    <w:p w14:paraId="4FBA968A" w14:textId="77777777" w:rsidR="00891031" w:rsidRDefault="00891031" w:rsidP="00AE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A024F" w14:textId="77777777" w:rsidR="00891031" w:rsidRDefault="00891031" w:rsidP="00AE7B95">
      <w:pPr>
        <w:spacing w:after="0" w:line="240" w:lineRule="auto"/>
      </w:pPr>
      <w:r>
        <w:separator/>
      </w:r>
    </w:p>
  </w:footnote>
  <w:footnote w:type="continuationSeparator" w:id="0">
    <w:p w14:paraId="6B4D86AA" w14:textId="77777777" w:rsidR="00891031" w:rsidRDefault="00891031" w:rsidP="00AE7B95">
      <w:pPr>
        <w:spacing w:after="0" w:line="240" w:lineRule="auto"/>
      </w:pPr>
      <w:r>
        <w:continuationSeparator/>
      </w:r>
    </w:p>
  </w:footnote>
  <w:footnote w:id="1">
    <w:p w14:paraId="10E01ADA" w14:textId="77777777" w:rsidR="00891031" w:rsidRPr="00590584" w:rsidRDefault="00891031">
      <w:pPr>
        <w:pStyle w:val="FootnoteText"/>
        <w:rPr>
          <w:rFonts w:ascii="Times New Roman" w:hAnsi="Times New Roman" w:cs="Times New Roman"/>
        </w:rPr>
      </w:pPr>
      <w:r w:rsidRPr="00322E15">
        <w:rPr>
          <w:rStyle w:val="FootnoteReference"/>
          <w:rFonts w:ascii="Times New Roman" w:hAnsi="Times New Roman" w:cs="Times New Roman"/>
        </w:rPr>
        <w:footnoteRef/>
      </w:r>
      <w:r w:rsidRPr="00322E15">
        <w:rPr>
          <w:rFonts w:ascii="Times New Roman" w:hAnsi="Times New Roman" w:cs="Times New Roman"/>
        </w:rPr>
        <w:t xml:space="preserve"> </w:t>
      </w:r>
      <w:r>
        <w:rPr>
          <w:rFonts w:ascii="Times New Roman" w:hAnsi="Times New Roman" w:cs="Times New Roman"/>
        </w:rPr>
        <w:t xml:space="preserve">Neill and Ridley, ‘Relational Theories of Art: the History of an Error’, </w:t>
      </w:r>
      <w:r>
        <w:rPr>
          <w:rFonts w:ascii="Times New Roman" w:hAnsi="Times New Roman" w:cs="Times New Roman"/>
          <w:i/>
        </w:rPr>
        <w:t>BJA</w:t>
      </w:r>
      <w:r>
        <w:rPr>
          <w:rFonts w:ascii="Times New Roman" w:hAnsi="Times New Roman" w:cs="Times New Roman"/>
        </w:rPr>
        <w:t xml:space="preserve"> 52 (2012), 141-51.</w:t>
      </w:r>
    </w:p>
  </w:footnote>
  <w:footnote w:id="2">
    <w:p w14:paraId="0072CFB4" w14:textId="77777777" w:rsidR="00891031" w:rsidRPr="00590584" w:rsidRDefault="00891031">
      <w:pPr>
        <w:pStyle w:val="FootnoteText"/>
        <w:rPr>
          <w:rFonts w:ascii="Times New Roman" w:hAnsi="Times New Roman" w:cs="Times New Roman"/>
        </w:rPr>
      </w:pPr>
      <w:r w:rsidRPr="00322E15">
        <w:rPr>
          <w:rStyle w:val="FootnoteReference"/>
          <w:rFonts w:ascii="Times New Roman" w:hAnsi="Times New Roman" w:cs="Times New Roman"/>
        </w:rPr>
        <w:footnoteRef/>
      </w:r>
      <w:r w:rsidRPr="00322E15">
        <w:rPr>
          <w:rFonts w:ascii="Times New Roman" w:hAnsi="Times New Roman" w:cs="Times New Roman"/>
        </w:rPr>
        <w:t xml:space="preserve"> </w:t>
      </w:r>
      <w:r>
        <w:rPr>
          <w:rFonts w:ascii="Times New Roman" w:hAnsi="Times New Roman" w:cs="Times New Roman"/>
        </w:rPr>
        <w:t xml:space="preserve">Mandelbaum, ‘Family Resemblances and Generalizations Concerning the Arts’, </w:t>
      </w:r>
      <w:r>
        <w:rPr>
          <w:rFonts w:ascii="Times New Roman" w:hAnsi="Times New Roman" w:cs="Times New Roman"/>
          <w:i/>
        </w:rPr>
        <w:t>American Philosophical Quarterly</w:t>
      </w:r>
      <w:r>
        <w:rPr>
          <w:rFonts w:ascii="Times New Roman" w:hAnsi="Times New Roman" w:cs="Times New Roman"/>
        </w:rPr>
        <w:t xml:space="preserve"> 2 (1965), 219-28.</w:t>
      </w:r>
    </w:p>
  </w:footnote>
  <w:footnote w:id="3">
    <w:p w14:paraId="4F96C9D6" w14:textId="77777777" w:rsidR="00891031" w:rsidRPr="00590584" w:rsidRDefault="00891031">
      <w:pPr>
        <w:pStyle w:val="FootnoteText"/>
        <w:rPr>
          <w:rFonts w:ascii="Times New Roman" w:hAnsi="Times New Roman" w:cs="Times New Roman"/>
        </w:rPr>
      </w:pPr>
      <w:r w:rsidRPr="00322E15">
        <w:rPr>
          <w:rStyle w:val="FootnoteReference"/>
          <w:rFonts w:ascii="Times New Roman" w:hAnsi="Times New Roman" w:cs="Times New Roman"/>
        </w:rPr>
        <w:footnoteRef/>
      </w:r>
      <w:r w:rsidRPr="00322E15">
        <w:rPr>
          <w:rFonts w:ascii="Times New Roman" w:hAnsi="Times New Roman" w:cs="Times New Roman"/>
        </w:rPr>
        <w:t xml:space="preserve"> </w:t>
      </w:r>
      <w:r>
        <w:rPr>
          <w:rFonts w:ascii="Times New Roman" w:hAnsi="Times New Roman" w:cs="Times New Roman"/>
        </w:rPr>
        <w:t xml:space="preserve">Dickie, </w:t>
      </w:r>
      <w:r>
        <w:rPr>
          <w:rFonts w:ascii="Times New Roman" w:hAnsi="Times New Roman" w:cs="Times New Roman"/>
          <w:i/>
        </w:rPr>
        <w:t>Art Circle: A Theory of Art</w:t>
      </w:r>
      <w:r>
        <w:rPr>
          <w:rFonts w:ascii="Times New Roman" w:hAnsi="Times New Roman" w:cs="Times New Roman"/>
        </w:rPr>
        <w:t xml:space="preserve"> (New York: Haven Publications, 1984), 80.</w:t>
      </w:r>
    </w:p>
  </w:footnote>
  <w:footnote w:id="4">
    <w:p w14:paraId="66C9FF57" w14:textId="77777777" w:rsidR="00891031" w:rsidRPr="00590584" w:rsidRDefault="00891031">
      <w:pPr>
        <w:pStyle w:val="FootnoteText"/>
        <w:rPr>
          <w:rFonts w:ascii="Times New Roman" w:hAnsi="Times New Roman" w:cs="Times New Roman"/>
        </w:rPr>
      </w:pPr>
      <w:r w:rsidRPr="00322E15">
        <w:rPr>
          <w:rStyle w:val="FootnoteReference"/>
          <w:rFonts w:ascii="Times New Roman" w:hAnsi="Times New Roman" w:cs="Times New Roman"/>
        </w:rPr>
        <w:footnoteRef/>
      </w:r>
      <w:r w:rsidRPr="00322E15">
        <w:rPr>
          <w:rFonts w:ascii="Times New Roman" w:hAnsi="Times New Roman" w:cs="Times New Roman"/>
        </w:rPr>
        <w:t xml:space="preserve"> </w:t>
      </w:r>
      <w:r>
        <w:rPr>
          <w:rFonts w:ascii="Times New Roman" w:hAnsi="Times New Roman" w:cs="Times New Roman"/>
        </w:rPr>
        <w:t xml:space="preserve">Weitz, ‘The Role of Theory in Aesthetics’, </w:t>
      </w:r>
      <w:r>
        <w:rPr>
          <w:rFonts w:ascii="Times New Roman" w:hAnsi="Times New Roman" w:cs="Times New Roman"/>
          <w:i/>
        </w:rPr>
        <w:t>JAAC</w:t>
      </w:r>
      <w:r>
        <w:rPr>
          <w:rFonts w:ascii="Times New Roman" w:hAnsi="Times New Roman" w:cs="Times New Roman"/>
        </w:rPr>
        <w:t xml:space="preserve"> 15 (1956), 27-35.</w:t>
      </w:r>
    </w:p>
  </w:footnote>
  <w:footnote w:id="5">
    <w:p w14:paraId="6E55A7C9" w14:textId="77777777" w:rsidR="00891031" w:rsidRPr="00233F8B" w:rsidRDefault="00891031">
      <w:pPr>
        <w:pStyle w:val="FootnoteText"/>
        <w:rPr>
          <w:rFonts w:ascii="Times New Roman" w:hAnsi="Times New Roman" w:cs="Times New Roman"/>
        </w:rPr>
      </w:pPr>
      <w:r w:rsidRPr="00322E15">
        <w:rPr>
          <w:rStyle w:val="FootnoteReference"/>
          <w:rFonts w:ascii="Times New Roman" w:hAnsi="Times New Roman" w:cs="Times New Roman"/>
        </w:rPr>
        <w:footnoteRef/>
      </w:r>
      <w:r w:rsidRPr="00322E15">
        <w:rPr>
          <w:rFonts w:ascii="Times New Roman" w:hAnsi="Times New Roman" w:cs="Times New Roman"/>
        </w:rPr>
        <w:t xml:space="preserve"> </w:t>
      </w:r>
      <w:r>
        <w:rPr>
          <w:rFonts w:ascii="Times New Roman" w:hAnsi="Times New Roman" w:cs="Times New Roman"/>
        </w:rPr>
        <w:t xml:space="preserve">Meskin and Fokt, ‘Errors in “The History of an Error”’, </w:t>
      </w:r>
      <w:r>
        <w:rPr>
          <w:rFonts w:ascii="Times New Roman" w:hAnsi="Times New Roman" w:cs="Times New Roman"/>
          <w:i/>
        </w:rPr>
        <w:t>BJA</w:t>
      </w:r>
      <w:r>
        <w:rPr>
          <w:rFonts w:ascii="Times New Roman" w:hAnsi="Times New Roman" w:cs="Times New Roman"/>
        </w:rPr>
        <w:t xml:space="preserve"> x (2016), </w:t>
      </w:r>
      <w:r w:rsidRPr="00322E15">
        <w:rPr>
          <w:rFonts w:ascii="Times New Roman" w:hAnsi="Times New Roman" w:cs="Times New Roman"/>
        </w:rPr>
        <w:t>9</w:t>
      </w:r>
      <w:r>
        <w:rPr>
          <w:rFonts w:ascii="Times New Roman" w:hAnsi="Times New Roman" w:cs="Times New Roman"/>
        </w:rPr>
        <w:t xml:space="preserve">.  The idea of ‘weak proceduralism’ is taken from Derek Matravers, ‘The Institutional Theory: A Protean Creature’, </w:t>
      </w:r>
      <w:r>
        <w:rPr>
          <w:rFonts w:ascii="Times New Roman" w:hAnsi="Times New Roman" w:cs="Times New Roman"/>
          <w:i/>
        </w:rPr>
        <w:t>BJA</w:t>
      </w:r>
      <w:r>
        <w:rPr>
          <w:rFonts w:ascii="Times New Roman" w:hAnsi="Times New Roman" w:cs="Times New Roman"/>
        </w:rPr>
        <w:t xml:space="preserve"> 40 (2000), 244.</w:t>
      </w:r>
    </w:p>
  </w:footnote>
  <w:footnote w:id="6">
    <w:p w14:paraId="6712BB89" w14:textId="77777777" w:rsidR="00891031" w:rsidRPr="005516D1" w:rsidRDefault="00891031">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Pr>
          <w:rFonts w:ascii="Times New Roman" w:hAnsi="Times New Roman" w:cs="Times New Roman"/>
        </w:rPr>
        <w:t xml:space="preserve">Meskin and Fokt </w:t>
      </w:r>
      <w:r>
        <w:rPr>
          <w:rFonts w:ascii="Times New Roman" w:hAnsi="Times New Roman" w:cs="Times New Roman"/>
          <w:i/>
        </w:rPr>
        <w:t xml:space="preserve">op. </w:t>
      </w:r>
      <w:r w:rsidRPr="00233F8B">
        <w:rPr>
          <w:rFonts w:ascii="Times New Roman" w:hAnsi="Times New Roman" w:cs="Times New Roman"/>
          <w:i/>
        </w:rPr>
        <w:t>cit</w:t>
      </w:r>
      <w:r>
        <w:rPr>
          <w:rFonts w:ascii="Times New Roman" w:hAnsi="Times New Roman" w:cs="Times New Roman"/>
        </w:rPr>
        <w:t xml:space="preserve">., </w:t>
      </w:r>
      <w:r w:rsidRPr="00233F8B">
        <w:rPr>
          <w:rFonts w:ascii="Times New Roman" w:hAnsi="Times New Roman" w:cs="Times New Roman"/>
        </w:rPr>
        <w:t>p</w:t>
      </w:r>
      <w:r w:rsidRPr="005516D1">
        <w:rPr>
          <w:rFonts w:ascii="Times New Roman" w:hAnsi="Times New Roman" w:cs="Times New Roman"/>
        </w:rPr>
        <w:t>.10</w:t>
      </w:r>
      <w:r>
        <w:rPr>
          <w:rFonts w:ascii="Times New Roman" w:hAnsi="Times New Roman" w:cs="Times New Roman"/>
        </w:rPr>
        <w:t>.</w:t>
      </w:r>
    </w:p>
  </w:footnote>
  <w:footnote w:id="7">
    <w:p w14:paraId="54B157CD" w14:textId="77777777" w:rsidR="00891031" w:rsidRPr="005516D1" w:rsidRDefault="00891031">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sidRPr="005516D1">
        <w:rPr>
          <w:rFonts w:ascii="Times New Roman" w:hAnsi="Times New Roman" w:cs="Times New Roman"/>
          <w:i/>
        </w:rPr>
        <w:t>ibid</w:t>
      </w:r>
      <w:r w:rsidRPr="005516D1">
        <w:rPr>
          <w:rFonts w:ascii="Times New Roman" w:hAnsi="Times New Roman" w:cs="Times New Roman"/>
        </w:rPr>
        <w:t xml:space="preserve">. </w:t>
      </w:r>
      <w:r>
        <w:rPr>
          <w:rFonts w:ascii="Times New Roman" w:hAnsi="Times New Roman" w:cs="Times New Roman"/>
        </w:rPr>
        <w:t xml:space="preserve"> Italics in original.</w:t>
      </w:r>
    </w:p>
  </w:footnote>
  <w:footnote w:id="8">
    <w:p w14:paraId="328235EE" w14:textId="77777777" w:rsidR="00891031" w:rsidRPr="005516D1" w:rsidRDefault="00891031">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Pr>
          <w:rFonts w:ascii="Times New Roman" w:hAnsi="Times New Roman" w:cs="Times New Roman"/>
        </w:rPr>
        <w:t xml:space="preserve">Neill and Ridley, </w:t>
      </w:r>
      <w:r>
        <w:rPr>
          <w:rFonts w:ascii="Times New Roman" w:hAnsi="Times New Roman" w:cs="Times New Roman"/>
          <w:i/>
        </w:rPr>
        <w:t>op. cit.</w:t>
      </w:r>
      <w:r>
        <w:rPr>
          <w:rFonts w:ascii="Times New Roman" w:hAnsi="Times New Roman" w:cs="Times New Roman"/>
        </w:rPr>
        <w:t xml:space="preserve">, </w:t>
      </w:r>
      <w:r w:rsidRPr="005516D1">
        <w:rPr>
          <w:rFonts w:ascii="Times New Roman" w:hAnsi="Times New Roman" w:cs="Times New Roman"/>
        </w:rPr>
        <w:t xml:space="preserve">p.147.  ‘It cannot be controversial,’ we said, ‘to say that ... artworks depend for their possibility on a rich context or background of practices, institutions, histories and what have you ... [Indeed one might say] that it is </w:t>
      </w:r>
      <w:r w:rsidRPr="005516D1">
        <w:rPr>
          <w:rFonts w:ascii="Times New Roman" w:hAnsi="Times New Roman" w:cs="Times New Roman"/>
          <w:i/>
        </w:rPr>
        <w:t>of the very nature</w:t>
      </w:r>
      <w:r w:rsidRPr="005516D1">
        <w:rPr>
          <w:rFonts w:ascii="Times New Roman" w:hAnsi="Times New Roman" w:cs="Times New Roman"/>
        </w:rPr>
        <w:t xml:space="preserve"> of artworks that they be related to these relata’ (p</w:t>
      </w:r>
      <w:r>
        <w:rPr>
          <w:rFonts w:ascii="Times New Roman" w:hAnsi="Times New Roman" w:cs="Times New Roman"/>
        </w:rPr>
        <w:t>p</w:t>
      </w:r>
      <w:r w:rsidRPr="005516D1">
        <w:rPr>
          <w:rFonts w:ascii="Times New Roman" w:hAnsi="Times New Roman" w:cs="Times New Roman"/>
        </w:rPr>
        <w:t>.146-7).</w:t>
      </w:r>
    </w:p>
  </w:footnote>
  <w:footnote w:id="9">
    <w:p w14:paraId="485BB8DD" w14:textId="77777777" w:rsidR="00891031" w:rsidRPr="00995AF7" w:rsidRDefault="00891031">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Pr>
          <w:rFonts w:ascii="Times New Roman" w:hAnsi="Times New Roman" w:cs="Times New Roman"/>
        </w:rPr>
        <w:t xml:space="preserve">Ludwig Wittgenstein, </w:t>
      </w:r>
      <w:r>
        <w:rPr>
          <w:rFonts w:ascii="Times New Roman" w:hAnsi="Times New Roman" w:cs="Times New Roman"/>
          <w:i/>
        </w:rPr>
        <w:t>Philosophical Investigations</w:t>
      </w:r>
      <w:r>
        <w:rPr>
          <w:rFonts w:ascii="Times New Roman" w:hAnsi="Times New Roman" w:cs="Times New Roman"/>
        </w:rPr>
        <w:t>, trans. G.E.M. Anscombe (Oxford: Blackwell, 1952), §66.</w:t>
      </w:r>
    </w:p>
  </w:footnote>
  <w:footnote w:id="10">
    <w:p w14:paraId="01CFC21E" w14:textId="77777777" w:rsidR="00891031" w:rsidRPr="005516D1" w:rsidRDefault="00891031">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Pr>
          <w:rFonts w:ascii="Times New Roman" w:hAnsi="Times New Roman" w:cs="Times New Roman"/>
        </w:rPr>
        <w:t xml:space="preserve">Meskin and Fokt, </w:t>
      </w:r>
      <w:r>
        <w:rPr>
          <w:rFonts w:ascii="Times New Roman" w:hAnsi="Times New Roman" w:cs="Times New Roman"/>
          <w:i/>
        </w:rPr>
        <w:t>op. cit</w:t>
      </w:r>
      <w:r>
        <w:rPr>
          <w:rFonts w:ascii="Times New Roman" w:hAnsi="Times New Roman" w:cs="Times New Roman"/>
        </w:rPr>
        <w:t>.,</w:t>
      </w:r>
      <w:r>
        <w:rPr>
          <w:rFonts w:ascii="Times New Roman" w:hAnsi="Times New Roman" w:cs="Times New Roman"/>
          <w:i/>
        </w:rPr>
        <w:t xml:space="preserve"> </w:t>
      </w:r>
      <w:r w:rsidRPr="005516D1">
        <w:rPr>
          <w:rFonts w:ascii="Times New Roman" w:hAnsi="Times New Roman" w:cs="Times New Roman"/>
        </w:rPr>
        <w:t>p.10</w:t>
      </w:r>
      <w:r>
        <w:rPr>
          <w:rFonts w:ascii="Times New Roman" w:hAnsi="Times New Roman" w:cs="Times New Roman"/>
        </w:rPr>
        <w:t>.</w:t>
      </w:r>
    </w:p>
  </w:footnote>
  <w:footnote w:id="11">
    <w:p w14:paraId="1A56A57C" w14:textId="77777777" w:rsidR="00891031" w:rsidRPr="00995AF7" w:rsidRDefault="00891031" w:rsidP="005035E7">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Pr>
          <w:rFonts w:ascii="Times New Roman" w:hAnsi="Times New Roman" w:cs="Times New Roman"/>
        </w:rPr>
        <w:t xml:space="preserve">Gaut, ‘“Art” as a Cluster Concept’, in N. Carroll (ed.), </w:t>
      </w:r>
      <w:r>
        <w:rPr>
          <w:rFonts w:ascii="Times New Roman" w:hAnsi="Times New Roman" w:cs="Times New Roman"/>
          <w:i/>
        </w:rPr>
        <w:t>Theories of Art Today</w:t>
      </w:r>
      <w:r>
        <w:rPr>
          <w:rFonts w:ascii="Times New Roman" w:hAnsi="Times New Roman" w:cs="Times New Roman"/>
        </w:rPr>
        <w:t xml:space="preserve"> (Madison: University of Wisconsin Press, 2000), 25-44.</w:t>
      </w:r>
    </w:p>
  </w:footnote>
  <w:footnote w:id="12">
    <w:p w14:paraId="09173C73" w14:textId="77777777" w:rsidR="00891031" w:rsidRPr="005516D1" w:rsidRDefault="00891031">
      <w:pPr>
        <w:pStyle w:val="FootnoteText"/>
        <w:rPr>
          <w:rFonts w:ascii="Times New Roman" w:hAnsi="Times New Roman" w:cs="Times New Roman"/>
        </w:rPr>
      </w:pPr>
      <w:r w:rsidRPr="005516D1">
        <w:rPr>
          <w:rStyle w:val="FootnoteReference"/>
          <w:rFonts w:ascii="Times New Roman" w:hAnsi="Times New Roman" w:cs="Times New Roman"/>
        </w:rPr>
        <w:footnoteRef/>
      </w:r>
      <w:r w:rsidRPr="005516D1">
        <w:rPr>
          <w:rFonts w:ascii="Times New Roman" w:hAnsi="Times New Roman" w:cs="Times New Roman"/>
        </w:rPr>
        <w:t xml:space="preserve"> </w:t>
      </w:r>
      <w:r>
        <w:rPr>
          <w:rFonts w:ascii="Times New Roman" w:hAnsi="Times New Roman" w:cs="Times New Roman"/>
        </w:rPr>
        <w:t xml:space="preserve">Neill and Ridley, </w:t>
      </w:r>
      <w:r>
        <w:rPr>
          <w:rFonts w:ascii="Times New Roman" w:hAnsi="Times New Roman" w:cs="Times New Roman"/>
          <w:i/>
        </w:rPr>
        <w:t>op. cit.</w:t>
      </w:r>
      <w:r>
        <w:rPr>
          <w:rFonts w:ascii="Times New Roman" w:hAnsi="Times New Roman" w:cs="Times New Roman"/>
        </w:rPr>
        <w:t xml:space="preserve">, </w:t>
      </w:r>
      <w:r w:rsidRPr="005516D1">
        <w:rPr>
          <w:rFonts w:ascii="Times New Roman" w:hAnsi="Times New Roman" w:cs="Times New Roman"/>
        </w:rPr>
        <w:t>pp.142-3</w:t>
      </w:r>
      <w:r>
        <w:rPr>
          <w:rFonts w:ascii="Times New Roman" w:hAnsi="Times New Roman" w:cs="Times New Roman"/>
        </w:rPr>
        <w:t>.</w:t>
      </w:r>
    </w:p>
  </w:footnote>
  <w:footnote w:id="13">
    <w:p w14:paraId="5B76CD4F" w14:textId="77777777" w:rsidR="00891031" w:rsidRPr="005035E7" w:rsidRDefault="00891031">
      <w:pPr>
        <w:pStyle w:val="FootnoteText"/>
        <w:rPr>
          <w:rFonts w:ascii="Times New Roman" w:hAnsi="Times New Roman" w:cs="Times New Roman"/>
        </w:rPr>
      </w:pPr>
      <w:r w:rsidRPr="005035E7">
        <w:rPr>
          <w:rStyle w:val="FootnoteReference"/>
          <w:rFonts w:ascii="Times New Roman" w:hAnsi="Times New Roman" w:cs="Times New Roman"/>
        </w:rPr>
        <w:footnoteRef/>
      </w:r>
      <w:r w:rsidRPr="005035E7">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 xml:space="preserve">., </w:t>
      </w:r>
      <w:r w:rsidRPr="005035E7">
        <w:rPr>
          <w:rFonts w:ascii="Times New Roman" w:hAnsi="Times New Roman" w:cs="Times New Roman"/>
        </w:rPr>
        <w:t>pp. 145-6, 148.</w:t>
      </w:r>
    </w:p>
  </w:footnote>
  <w:footnote w:id="14">
    <w:p w14:paraId="77AF3F1D" w14:textId="77777777" w:rsidR="00891031" w:rsidRPr="0001277E" w:rsidRDefault="00891031">
      <w:pPr>
        <w:pStyle w:val="FootnoteText"/>
        <w:rPr>
          <w:rFonts w:ascii="Times New Roman" w:hAnsi="Times New Roman" w:cs="Times New Roman"/>
        </w:rPr>
      </w:pPr>
      <w:r w:rsidRPr="0001277E">
        <w:rPr>
          <w:rStyle w:val="FootnoteReference"/>
          <w:rFonts w:ascii="Times New Roman" w:hAnsi="Times New Roman" w:cs="Times New Roman"/>
        </w:rPr>
        <w:footnoteRef/>
      </w:r>
      <w:r w:rsidRPr="0001277E">
        <w:rPr>
          <w:rFonts w:ascii="Times New Roman" w:hAnsi="Times New Roman" w:cs="Times New Roman"/>
        </w:rPr>
        <w:t xml:space="preserve"> </w:t>
      </w:r>
      <w:r>
        <w:rPr>
          <w:rFonts w:ascii="Times New Roman" w:hAnsi="Times New Roman" w:cs="Times New Roman"/>
        </w:rPr>
        <w:t xml:space="preserve">Meskin and Fokt, </w:t>
      </w:r>
      <w:r>
        <w:rPr>
          <w:rFonts w:ascii="Times New Roman" w:hAnsi="Times New Roman" w:cs="Times New Roman"/>
          <w:i/>
        </w:rPr>
        <w:t>op. cit.</w:t>
      </w:r>
      <w:r>
        <w:rPr>
          <w:rFonts w:ascii="Times New Roman" w:hAnsi="Times New Roman" w:cs="Times New Roman"/>
        </w:rPr>
        <w:t xml:space="preserve">, </w:t>
      </w:r>
      <w:r w:rsidRPr="0001277E">
        <w:rPr>
          <w:rFonts w:ascii="Times New Roman" w:hAnsi="Times New Roman" w:cs="Times New Roman"/>
        </w:rPr>
        <w:t>p.7</w:t>
      </w:r>
      <w:r>
        <w:rPr>
          <w:rFonts w:ascii="Times New Roman" w:hAnsi="Times New Roman" w:cs="Times New Roman"/>
        </w:rPr>
        <w:t>.</w:t>
      </w:r>
    </w:p>
  </w:footnote>
  <w:footnote w:id="15">
    <w:p w14:paraId="5AB336F4" w14:textId="61716235" w:rsidR="00160A28" w:rsidRPr="00160A28" w:rsidRDefault="00160A28">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They make this clear: </w:t>
      </w:r>
      <w:r>
        <w:rPr>
          <w:rFonts w:asciiTheme="majorBidi" w:hAnsiTheme="majorBidi" w:cstheme="majorBidi"/>
          <w:i/>
          <w:iCs/>
        </w:rPr>
        <w:t>ibid</w:t>
      </w:r>
      <w:r>
        <w:rPr>
          <w:rFonts w:asciiTheme="majorBidi" w:hAnsiTheme="majorBidi" w:cstheme="majorBidi"/>
        </w:rPr>
        <w:t>.</w:t>
      </w:r>
    </w:p>
  </w:footnote>
  <w:footnote w:id="16">
    <w:p w14:paraId="19153F90" w14:textId="77777777" w:rsidR="00891031" w:rsidRPr="0001277E" w:rsidRDefault="00891031">
      <w:pPr>
        <w:pStyle w:val="FootnoteText"/>
        <w:rPr>
          <w:rFonts w:ascii="Times New Roman" w:hAnsi="Times New Roman" w:cs="Times New Roman"/>
        </w:rPr>
      </w:pPr>
      <w:r w:rsidRPr="0001277E">
        <w:rPr>
          <w:rStyle w:val="FootnoteReference"/>
          <w:rFonts w:ascii="Times New Roman" w:hAnsi="Times New Roman" w:cs="Times New Roman"/>
        </w:rPr>
        <w:footnoteRef/>
      </w:r>
      <w:r w:rsidRPr="0001277E">
        <w:rPr>
          <w:rFonts w:ascii="Times New Roman" w:hAnsi="Times New Roman" w:cs="Times New Roman"/>
        </w:rPr>
        <w:t xml:space="preserve"> We thought that we had underlined this point in our remark about H</w:t>
      </w:r>
      <w:r w:rsidRPr="0001277E">
        <w:rPr>
          <w:rFonts w:ascii="Times New Roman" w:hAnsi="Times New Roman" w:cs="Times New Roman"/>
          <w:vertAlign w:val="subscript"/>
        </w:rPr>
        <w:t>2</w:t>
      </w:r>
      <w:r w:rsidRPr="0001277E">
        <w:rPr>
          <w:rFonts w:ascii="Times New Roman" w:hAnsi="Times New Roman" w:cs="Times New Roman"/>
        </w:rPr>
        <w:t xml:space="preserve">O: see Neill and Ridley, </w:t>
      </w:r>
      <w:r w:rsidRPr="0001277E">
        <w:rPr>
          <w:rFonts w:ascii="Times New Roman" w:hAnsi="Times New Roman" w:cs="Times New Roman"/>
          <w:i/>
        </w:rPr>
        <w:t>op. cit.</w:t>
      </w:r>
      <w:r>
        <w:rPr>
          <w:rFonts w:ascii="Times New Roman" w:hAnsi="Times New Roman" w:cs="Times New Roman"/>
        </w:rPr>
        <w:t>,</w:t>
      </w:r>
      <w:r w:rsidRPr="0001277E">
        <w:rPr>
          <w:rFonts w:ascii="Times New Roman" w:hAnsi="Times New Roman" w:cs="Times New Roman"/>
        </w:rPr>
        <w:t xml:space="preserve"> p.146, n.18.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315193"/>
      <w:docPartObj>
        <w:docPartGallery w:val="Page Numbers (Top of Page)"/>
        <w:docPartUnique/>
      </w:docPartObj>
    </w:sdtPr>
    <w:sdtEndPr/>
    <w:sdtContent>
      <w:p w14:paraId="3723368C" w14:textId="77777777" w:rsidR="00891031" w:rsidRDefault="00891031">
        <w:pPr>
          <w:pStyle w:val="Header"/>
          <w:jc w:val="right"/>
        </w:pPr>
        <w:r>
          <w:fldChar w:fldCharType="begin"/>
        </w:r>
        <w:r>
          <w:instrText xml:space="preserve"> PAGE   \* MERGEFORMAT </w:instrText>
        </w:r>
        <w:r>
          <w:fldChar w:fldCharType="separate"/>
        </w:r>
        <w:r w:rsidR="00160A28">
          <w:rPr>
            <w:noProof/>
          </w:rPr>
          <w:t>3</w:t>
        </w:r>
        <w:r>
          <w:rPr>
            <w:noProof/>
          </w:rPr>
          <w:fldChar w:fldCharType="end"/>
        </w:r>
      </w:p>
    </w:sdtContent>
  </w:sdt>
  <w:p w14:paraId="5CF07C36" w14:textId="77777777" w:rsidR="00891031" w:rsidRDefault="00891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95"/>
    <w:rsid w:val="000028E0"/>
    <w:rsid w:val="0001277E"/>
    <w:rsid w:val="00152AC1"/>
    <w:rsid w:val="00160A28"/>
    <w:rsid w:val="00181A84"/>
    <w:rsid w:val="0019233C"/>
    <w:rsid w:val="00233F8B"/>
    <w:rsid w:val="002422A4"/>
    <w:rsid w:val="00271E5D"/>
    <w:rsid w:val="00284C6F"/>
    <w:rsid w:val="002868B5"/>
    <w:rsid w:val="002F0350"/>
    <w:rsid w:val="00322E15"/>
    <w:rsid w:val="003E34CD"/>
    <w:rsid w:val="003F1A7C"/>
    <w:rsid w:val="00441D86"/>
    <w:rsid w:val="00443FFF"/>
    <w:rsid w:val="004736C7"/>
    <w:rsid w:val="0050070E"/>
    <w:rsid w:val="00501987"/>
    <w:rsid w:val="005035E7"/>
    <w:rsid w:val="005516D1"/>
    <w:rsid w:val="00590584"/>
    <w:rsid w:val="005D6470"/>
    <w:rsid w:val="005F7FE6"/>
    <w:rsid w:val="00726D55"/>
    <w:rsid w:val="00864A97"/>
    <w:rsid w:val="00871A22"/>
    <w:rsid w:val="00891031"/>
    <w:rsid w:val="00902F1D"/>
    <w:rsid w:val="00942E15"/>
    <w:rsid w:val="00995AF7"/>
    <w:rsid w:val="009E310F"/>
    <w:rsid w:val="009F3341"/>
    <w:rsid w:val="00AE7B95"/>
    <w:rsid w:val="00C64197"/>
    <w:rsid w:val="00C664B1"/>
    <w:rsid w:val="00D50732"/>
    <w:rsid w:val="00EB3314"/>
    <w:rsid w:val="00EC302A"/>
    <w:rsid w:val="00FA25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A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7B95"/>
    <w:pPr>
      <w:spacing w:after="0" w:line="240" w:lineRule="auto"/>
    </w:pPr>
    <w:rPr>
      <w:sz w:val="20"/>
      <w:szCs w:val="20"/>
    </w:rPr>
  </w:style>
  <w:style w:type="character" w:customStyle="1" w:styleId="FootnoteTextChar">
    <w:name w:val="Footnote Text Char"/>
    <w:basedOn w:val="DefaultParagraphFont"/>
    <w:link w:val="FootnoteText"/>
    <w:uiPriority w:val="99"/>
    <w:rsid w:val="00AE7B95"/>
    <w:rPr>
      <w:sz w:val="20"/>
      <w:szCs w:val="20"/>
    </w:rPr>
  </w:style>
  <w:style w:type="character" w:styleId="FootnoteReference">
    <w:name w:val="footnote reference"/>
    <w:basedOn w:val="DefaultParagraphFont"/>
    <w:uiPriority w:val="99"/>
    <w:semiHidden/>
    <w:unhideWhenUsed/>
    <w:rsid w:val="00AE7B95"/>
    <w:rPr>
      <w:vertAlign w:val="superscript"/>
    </w:rPr>
  </w:style>
  <w:style w:type="paragraph" w:styleId="Header">
    <w:name w:val="header"/>
    <w:basedOn w:val="Normal"/>
    <w:link w:val="HeaderChar"/>
    <w:uiPriority w:val="99"/>
    <w:unhideWhenUsed/>
    <w:rsid w:val="0086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A97"/>
  </w:style>
  <w:style w:type="paragraph" w:styleId="Footer">
    <w:name w:val="footer"/>
    <w:basedOn w:val="Normal"/>
    <w:link w:val="FooterChar"/>
    <w:uiPriority w:val="99"/>
    <w:semiHidden/>
    <w:unhideWhenUsed/>
    <w:rsid w:val="00864A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4A97"/>
  </w:style>
  <w:style w:type="paragraph" w:styleId="BalloonText">
    <w:name w:val="Balloon Text"/>
    <w:basedOn w:val="Normal"/>
    <w:link w:val="BalloonTextChar"/>
    <w:uiPriority w:val="99"/>
    <w:semiHidden/>
    <w:unhideWhenUsed/>
    <w:rsid w:val="00284C6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84C6F"/>
    <w:rPr>
      <w:rFonts w:ascii="Lucida Grande" w:hAnsi="Lucida Grande"/>
      <w:sz w:val="18"/>
      <w:szCs w:val="18"/>
    </w:rPr>
  </w:style>
  <w:style w:type="character" w:styleId="CommentReference">
    <w:name w:val="annotation reference"/>
    <w:basedOn w:val="DefaultParagraphFont"/>
    <w:uiPriority w:val="99"/>
    <w:semiHidden/>
    <w:unhideWhenUsed/>
    <w:rsid w:val="00891031"/>
    <w:rPr>
      <w:sz w:val="18"/>
      <w:szCs w:val="18"/>
    </w:rPr>
  </w:style>
  <w:style w:type="paragraph" w:styleId="CommentText">
    <w:name w:val="annotation text"/>
    <w:basedOn w:val="Normal"/>
    <w:link w:val="CommentTextChar"/>
    <w:uiPriority w:val="99"/>
    <w:semiHidden/>
    <w:unhideWhenUsed/>
    <w:rsid w:val="00891031"/>
    <w:pPr>
      <w:spacing w:line="240" w:lineRule="auto"/>
    </w:pPr>
    <w:rPr>
      <w:sz w:val="24"/>
      <w:szCs w:val="24"/>
    </w:rPr>
  </w:style>
  <w:style w:type="character" w:customStyle="1" w:styleId="CommentTextChar">
    <w:name w:val="Comment Text Char"/>
    <w:basedOn w:val="DefaultParagraphFont"/>
    <w:link w:val="CommentText"/>
    <w:uiPriority w:val="99"/>
    <w:semiHidden/>
    <w:rsid w:val="00891031"/>
    <w:rPr>
      <w:sz w:val="24"/>
      <w:szCs w:val="24"/>
    </w:rPr>
  </w:style>
  <w:style w:type="paragraph" w:styleId="CommentSubject">
    <w:name w:val="annotation subject"/>
    <w:basedOn w:val="CommentText"/>
    <w:next w:val="CommentText"/>
    <w:link w:val="CommentSubjectChar"/>
    <w:uiPriority w:val="99"/>
    <w:semiHidden/>
    <w:unhideWhenUsed/>
    <w:rsid w:val="00891031"/>
    <w:rPr>
      <w:b/>
      <w:bCs/>
      <w:sz w:val="20"/>
      <w:szCs w:val="20"/>
    </w:rPr>
  </w:style>
  <w:style w:type="character" w:customStyle="1" w:styleId="CommentSubjectChar">
    <w:name w:val="Comment Subject Char"/>
    <w:basedOn w:val="CommentTextChar"/>
    <w:link w:val="CommentSubject"/>
    <w:uiPriority w:val="99"/>
    <w:semiHidden/>
    <w:rsid w:val="008910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7B95"/>
    <w:pPr>
      <w:spacing w:after="0" w:line="240" w:lineRule="auto"/>
    </w:pPr>
    <w:rPr>
      <w:sz w:val="20"/>
      <w:szCs w:val="20"/>
    </w:rPr>
  </w:style>
  <w:style w:type="character" w:customStyle="1" w:styleId="FootnoteTextChar">
    <w:name w:val="Footnote Text Char"/>
    <w:basedOn w:val="DefaultParagraphFont"/>
    <w:link w:val="FootnoteText"/>
    <w:uiPriority w:val="99"/>
    <w:rsid w:val="00AE7B95"/>
    <w:rPr>
      <w:sz w:val="20"/>
      <w:szCs w:val="20"/>
    </w:rPr>
  </w:style>
  <w:style w:type="character" w:styleId="FootnoteReference">
    <w:name w:val="footnote reference"/>
    <w:basedOn w:val="DefaultParagraphFont"/>
    <w:uiPriority w:val="99"/>
    <w:semiHidden/>
    <w:unhideWhenUsed/>
    <w:rsid w:val="00AE7B95"/>
    <w:rPr>
      <w:vertAlign w:val="superscript"/>
    </w:rPr>
  </w:style>
  <w:style w:type="paragraph" w:styleId="Header">
    <w:name w:val="header"/>
    <w:basedOn w:val="Normal"/>
    <w:link w:val="HeaderChar"/>
    <w:uiPriority w:val="99"/>
    <w:unhideWhenUsed/>
    <w:rsid w:val="0086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A97"/>
  </w:style>
  <w:style w:type="paragraph" w:styleId="Footer">
    <w:name w:val="footer"/>
    <w:basedOn w:val="Normal"/>
    <w:link w:val="FooterChar"/>
    <w:uiPriority w:val="99"/>
    <w:semiHidden/>
    <w:unhideWhenUsed/>
    <w:rsid w:val="00864A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4A97"/>
  </w:style>
  <w:style w:type="paragraph" w:styleId="BalloonText">
    <w:name w:val="Balloon Text"/>
    <w:basedOn w:val="Normal"/>
    <w:link w:val="BalloonTextChar"/>
    <w:uiPriority w:val="99"/>
    <w:semiHidden/>
    <w:unhideWhenUsed/>
    <w:rsid w:val="00284C6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84C6F"/>
    <w:rPr>
      <w:rFonts w:ascii="Lucida Grande" w:hAnsi="Lucida Grande"/>
      <w:sz w:val="18"/>
      <w:szCs w:val="18"/>
    </w:rPr>
  </w:style>
  <w:style w:type="character" w:styleId="CommentReference">
    <w:name w:val="annotation reference"/>
    <w:basedOn w:val="DefaultParagraphFont"/>
    <w:uiPriority w:val="99"/>
    <w:semiHidden/>
    <w:unhideWhenUsed/>
    <w:rsid w:val="00891031"/>
    <w:rPr>
      <w:sz w:val="18"/>
      <w:szCs w:val="18"/>
    </w:rPr>
  </w:style>
  <w:style w:type="paragraph" w:styleId="CommentText">
    <w:name w:val="annotation text"/>
    <w:basedOn w:val="Normal"/>
    <w:link w:val="CommentTextChar"/>
    <w:uiPriority w:val="99"/>
    <w:semiHidden/>
    <w:unhideWhenUsed/>
    <w:rsid w:val="00891031"/>
    <w:pPr>
      <w:spacing w:line="240" w:lineRule="auto"/>
    </w:pPr>
    <w:rPr>
      <w:sz w:val="24"/>
      <w:szCs w:val="24"/>
    </w:rPr>
  </w:style>
  <w:style w:type="character" w:customStyle="1" w:styleId="CommentTextChar">
    <w:name w:val="Comment Text Char"/>
    <w:basedOn w:val="DefaultParagraphFont"/>
    <w:link w:val="CommentText"/>
    <w:uiPriority w:val="99"/>
    <w:semiHidden/>
    <w:rsid w:val="00891031"/>
    <w:rPr>
      <w:sz w:val="24"/>
      <w:szCs w:val="24"/>
    </w:rPr>
  </w:style>
  <w:style w:type="paragraph" w:styleId="CommentSubject">
    <w:name w:val="annotation subject"/>
    <w:basedOn w:val="CommentText"/>
    <w:next w:val="CommentText"/>
    <w:link w:val="CommentSubjectChar"/>
    <w:uiPriority w:val="99"/>
    <w:semiHidden/>
    <w:unhideWhenUsed/>
    <w:rsid w:val="00891031"/>
    <w:rPr>
      <w:b/>
      <w:bCs/>
      <w:sz w:val="20"/>
      <w:szCs w:val="20"/>
    </w:rPr>
  </w:style>
  <w:style w:type="character" w:customStyle="1" w:styleId="CommentSubjectChar">
    <w:name w:val="Comment Subject Char"/>
    <w:basedOn w:val="CommentTextChar"/>
    <w:link w:val="CommentSubject"/>
    <w:uiPriority w:val="99"/>
    <w:semiHidden/>
    <w:rsid w:val="00891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3191C-79A7-40C5-A776-6181FE77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2791</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Ridley A.M.</cp:lastModifiedBy>
  <cp:revision>5</cp:revision>
  <cp:lastPrinted>2015-12-03T17:16:00Z</cp:lastPrinted>
  <dcterms:created xsi:type="dcterms:W3CDTF">2015-12-03T16:14:00Z</dcterms:created>
  <dcterms:modified xsi:type="dcterms:W3CDTF">2015-12-05T15:43:00Z</dcterms:modified>
</cp:coreProperties>
</file>