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5ADD" w:rsidRPr="00D63A5A" w:rsidRDefault="008C5ADD">
      <w:pPr>
        <w:rPr>
          <w:rFonts w:ascii="Times New Roman" w:hAnsi="Times New Roman" w:cs="Times New Roman"/>
          <w:b/>
          <w:sz w:val="24"/>
          <w:szCs w:val="24"/>
        </w:rPr>
      </w:pPr>
      <w:r w:rsidRPr="00D63A5A">
        <w:rPr>
          <w:rFonts w:ascii="Times New Roman" w:hAnsi="Times New Roman" w:cs="Times New Roman"/>
          <w:b/>
          <w:sz w:val="24"/>
          <w:szCs w:val="24"/>
        </w:rPr>
        <w:t xml:space="preserve">The </w:t>
      </w:r>
      <w:proofErr w:type="spellStart"/>
      <w:r w:rsidRPr="00D63A5A">
        <w:rPr>
          <w:rFonts w:ascii="Times New Roman" w:hAnsi="Times New Roman" w:cs="Times New Roman"/>
          <w:b/>
          <w:sz w:val="24"/>
          <w:szCs w:val="24"/>
        </w:rPr>
        <w:t>Marketisation</w:t>
      </w:r>
      <w:proofErr w:type="spellEnd"/>
      <w:r w:rsidRPr="00D63A5A">
        <w:rPr>
          <w:rFonts w:ascii="Times New Roman" w:hAnsi="Times New Roman" w:cs="Times New Roman"/>
          <w:b/>
          <w:sz w:val="24"/>
          <w:szCs w:val="24"/>
        </w:rPr>
        <w:t xml:space="preserve"> of Charities in England and Wales</w:t>
      </w:r>
    </w:p>
    <w:p w:rsidR="0093770C" w:rsidRPr="00D63A5A" w:rsidRDefault="008C5ADD">
      <w:pPr>
        <w:rPr>
          <w:rFonts w:ascii="Times New Roman" w:hAnsi="Times New Roman" w:cs="Times New Roman"/>
          <w:sz w:val="24"/>
          <w:szCs w:val="24"/>
        </w:rPr>
      </w:pPr>
      <w:r w:rsidRPr="00D63A5A">
        <w:rPr>
          <w:rFonts w:ascii="Times New Roman" w:hAnsi="Times New Roman" w:cs="Times New Roman"/>
          <w:b/>
          <w:sz w:val="24"/>
          <w:szCs w:val="24"/>
        </w:rPr>
        <w:t>Abstract</w:t>
      </w:r>
    </w:p>
    <w:p w:rsidR="008C5ADD" w:rsidRPr="00D63A5A" w:rsidRDefault="008C5ADD" w:rsidP="00490E01">
      <w:pPr>
        <w:spacing w:line="360" w:lineRule="auto"/>
        <w:rPr>
          <w:rFonts w:ascii="Times New Roman" w:hAnsi="Times New Roman" w:cs="Times New Roman"/>
          <w:sz w:val="24"/>
          <w:szCs w:val="24"/>
        </w:rPr>
      </w:pPr>
      <w:r w:rsidRPr="00D63A5A">
        <w:rPr>
          <w:rFonts w:ascii="Times New Roman" w:hAnsi="Times New Roman" w:cs="Times New Roman"/>
          <w:sz w:val="24"/>
          <w:szCs w:val="24"/>
        </w:rPr>
        <w:t xml:space="preserve">Much has been written about the reasons for and impact of </w:t>
      </w:r>
      <w:proofErr w:type="spellStart"/>
      <w:r w:rsidRPr="00D63A5A">
        <w:rPr>
          <w:rFonts w:ascii="Times New Roman" w:hAnsi="Times New Roman" w:cs="Times New Roman"/>
          <w:sz w:val="24"/>
          <w:szCs w:val="24"/>
        </w:rPr>
        <w:t>marketisation</w:t>
      </w:r>
      <w:proofErr w:type="spellEnd"/>
      <w:r w:rsidRPr="00D63A5A">
        <w:rPr>
          <w:rFonts w:ascii="Times New Roman" w:hAnsi="Times New Roman" w:cs="Times New Roman"/>
          <w:sz w:val="24"/>
          <w:szCs w:val="24"/>
        </w:rPr>
        <w:t xml:space="preserve"> on charities, their clients, and wider civil society. A central component of the </w:t>
      </w:r>
      <w:proofErr w:type="spellStart"/>
      <w:r w:rsidRPr="00D63A5A">
        <w:rPr>
          <w:rFonts w:ascii="Times New Roman" w:hAnsi="Times New Roman" w:cs="Times New Roman"/>
          <w:sz w:val="24"/>
          <w:szCs w:val="24"/>
        </w:rPr>
        <w:t>marketisation</w:t>
      </w:r>
      <w:proofErr w:type="spellEnd"/>
      <w:r w:rsidRPr="00D63A5A">
        <w:rPr>
          <w:rFonts w:ascii="Times New Roman" w:hAnsi="Times New Roman" w:cs="Times New Roman"/>
          <w:sz w:val="24"/>
          <w:szCs w:val="24"/>
        </w:rPr>
        <w:t xml:space="preserve"> thesis is that charities are substituting grants and donations with commercial revenue. However there is no consensus in the existing literature as to whether the two sources of revenue are substitutes or complementary. This paper shows that between 2003 and 2007 there was a significant increase in the proportion of overall revenue attracted from commercial sources by charities in England and Wales. Using our preferred Generalised Method of Moments (GMM) estimation model we show that the annual persistence of commercial revenue over time was 44%. In particular, a +10% change in grants and donations was associated with a -3.1% change in commercial revenue.</w:t>
      </w:r>
      <w:r w:rsidR="00731FA6">
        <w:rPr>
          <w:rFonts w:ascii="Times New Roman" w:hAnsi="Times New Roman" w:cs="Times New Roman"/>
          <w:sz w:val="24"/>
          <w:szCs w:val="24"/>
        </w:rPr>
        <w:t xml:space="preserve"> </w:t>
      </w:r>
    </w:p>
    <w:p w:rsidR="008C5ADD" w:rsidRPr="00D63A5A" w:rsidRDefault="008C5ADD" w:rsidP="00490E01">
      <w:pPr>
        <w:spacing w:line="360" w:lineRule="auto"/>
        <w:rPr>
          <w:rFonts w:ascii="Times New Roman" w:hAnsi="Times New Roman" w:cs="Times New Roman"/>
          <w:sz w:val="24"/>
          <w:szCs w:val="24"/>
        </w:rPr>
      </w:pPr>
      <w:r w:rsidRPr="00D63A5A">
        <w:rPr>
          <w:rFonts w:ascii="Times New Roman" w:hAnsi="Times New Roman" w:cs="Times New Roman"/>
          <w:b/>
          <w:sz w:val="24"/>
          <w:szCs w:val="24"/>
        </w:rPr>
        <w:t>Keywords</w:t>
      </w:r>
      <w:r w:rsidRPr="00D63A5A">
        <w:rPr>
          <w:rFonts w:ascii="Times New Roman" w:hAnsi="Times New Roman" w:cs="Times New Roman"/>
          <w:sz w:val="24"/>
          <w:szCs w:val="24"/>
        </w:rPr>
        <w:t xml:space="preserve"> Charities, crowding out, </w:t>
      </w:r>
      <w:proofErr w:type="spellStart"/>
      <w:r w:rsidRPr="00D63A5A">
        <w:rPr>
          <w:rFonts w:ascii="Times New Roman" w:hAnsi="Times New Roman" w:cs="Times New Roman"/>
          <w:sz w:val="24"/>
          <w:szCs w:val="24"/>
        </w:rPr>
        <w:t>marketisation</w:t>
      </w:r>
      <w:proofErr w:type="spellEnd"/>
      <w:r w:rsidRPr="00D63A5A">
        <w:rPr>
          <w:rFonts w:ascii="Times New Roman" w:hAnsi="Times New Roman" w:cs="Times New Roman"/>
          <w:sz w:val="24"/>
          <w:szCs w:val="24"/>
        </w:rPr>
        <w:t xml:space="preserve">, models with Panel Data, </w:t>
      </w:r>
      <w:proofErr w:type="spellStart"/>
      <w:r w:rsidRPr="00D63A5A">
        <w:rPr>
          <w:rFonts w:ascii="Times New Roman" w:hAnsi="Times New Roman" w:cs="Times New Roman"/>
          <w:sz w:val="24"/>
          <w:szCs w:val="24"/>
        </w:rPr>
        <w:t>nonprofit</w:t>
      </w:r>
      <w:proofErr w:type="spellEnd"/>
      <w:r w:rsidRPr="00D63A5A">
        <w:rPr>
          <w:rFonts w:ascii="Times New Roman" w:hAnsi="Times New Roman" w:cs="Times New Roman"/>
          <w:sz w:val="24"/>
          <w:szCs w:val="24"/>
        </w:rPr>
        <w:t>, revenue mix, substitution effect</w:t>
      </w:r>
    </w:p>
    <w:p w:rsidR="008C5ADD" w:rsidRPr="00D63A5A" w:rsidRDefault="008C5ADD">
      <w:pPr>
        <w:rPr>
          <w:rFonts w:ascii="Times New Roman" w:hAnsi="Times New Roman" w:cs="Times New Roman"/>
          <w:b/>
          <w:sz w:val="24"/>
          <w:szCs w:val="24"/>
        </w:rPr>
      </w:pPr>
      <w:r w:rsidRPr="00D63A5A">
        <w:rPr>
          <w:rFonts w:ascii="Times New Roman" w:hAnsi="Times New Roman" w:cs="Times New Roman"/>
          <w:b/>
          <w:sz w:val="24"/>
          <w:szCs w:val="24"/>
        </w:rPr>
        <w:t>Introduction</w:t>
      </w:r>
    </w:p>
    <w:p w:rsidR="008C5ADD" w:rsidRPr="00D63A5A" w:rsidRDefault="008C5ADD" w:rsidP="00490E01">
      <w:pPr>
        <w:pStyle w:val="TSRCFirstBody"/>
        <w:rPr>
          <w:rFonts w:ascii="Times New Roman" w:hAnsi="Times New Roman" w:cs="Times New Roman"/>
          <w:sz w:val="24"/>
          <w:szCs w:val="24"/>
        </w:rPr>
      </w:pPr>
      <w:r w:rsidRPr="00D63A5A">
        <w:rPr>
          <w:rFonts w:ascii="Times New Roman" w:hAnsi="Times New Roman" w:cs="Times New Roman"/>
          <w:sz w:val="24"/>
          <w:szCs w:val="24"/>
        </w:rPr>
        <w:t>Charitable activity has traditionally caused much anguish for neoclassical economists as philanthropy, volunteering and co-operative behaviour fall outside of the scope of rational choice behaviour. Indeed, the very existence of charities poses fundamental questions to neoclassical econ</w:t>
      </w:r>
      <w:r w:rsidR="007252A3">
        <w:rPr>
          <w:rFonts w:ascii="Times New Roman" w:hAnsi="Times New Roman" w:cs="Times New Roman"/>
          <w:sz w:val="24"/>
          <w:szCs w:val="24"/>
        </w:rPr>
        <w:t>omic theory (Halfpenny and Reid</w:t>
      </w:r>
      <w:r w:rsidRPr="00D63A5A">
        <w:rPr>
          <w:rFonts w:ascii="Times New Roman" w:hAnsi="Times New Roman" w:cs="Times New Roman"/>
          <w:sz w:val="24"/>
          <w:szCs w:val="24"/>
        </w:rPr>
        <w:t xml:space="preserve"> 2002) which sees the world as bound by market exchange, rational choice and self-interested utility</w:t>
      </w:r>
      <w:r w:rsidR="007252A3">
        <w:rPr>
          <w:rFonts w:ascii="Times New Roman" w:hAnsi="Times New Roman" w:cs="Times New Roman"/>
          <w:sz w:val="24"/>
          <w:szCs w:val="24"/>
        </w:rPr>
        <w:t xml:space="preserve"> maximisation (</w:t>
      </w:r>
      <w:proofErr w:type="spellStart"/>
      <w:r w:rsidR="007252A3">
        <w:rPr>
          <w:rFonts w:ascii="Times New Roman" w:hAnsi="Times New Roman" w:cs="Times New Roman"/>
          <w:sz w:val="24"/>
          <w:szCs w:val="24"/>
        </w:rPr>
        <w:t>Adaman</w:t>
      </w:r>
      <w:proofErr w:type="spellEnd"/>
      <w:r w:rsidR="007252A3">
        <w:rPr>
          <w:rFonts w:ascii="Times New Roman" w:hAnsi="Times New Roman" w:cs="Times New Roman"/>
          <w:sz w:val="24"/>
          <w:szCs w:val="24"/>
        </w:rPr>
        <w:t xml:space="preserve"> and </w:t>
      </w:r>
      <w:proofErr w:type="spellStart"/>
      <w:r w:rsidR="007252A3">
        <w:rPr>
          <w:rFonts w:ascii="Times New Roman" w:hAnsi="Times New Roman" w:cs="Times New Roman"/>
          <w:sz w:val="24"/>
          <w:szCs w:val="24"/>
        </w:rPr>
        <w:t>Madra</w:t>
      </w:r>
      <w:proofErr w:type="spellEnd"/>
      <w:r w:rsidRPr="00D63A5A">
        <w:rPr>
          <w:rFonts w:ascii="Times New Roman" w:hAnsi="Times New Roman" w:cs="Times New Roman"/>
          <w:sz w:val="24"/>
          <w:szCs w:val="24"/>
        </w:rPr>
        <w:t xml:space="preserve"> 2002). The economic explanation is to imply that charities exist because of imperfect or underdeveloped mar</w:t>
      </w:r>
      <w:r w:rsidR="007252A3">
        <w:rPr>
          <w:rFonts w:ascii="Times New Roman" w:hAnsi="Times New Roman" w:cs="Times New Roman"/>
          <w:sz w:val="24"/>
          <w:szCs w:val="24"/>
        </w:rPr>
        <w:t>kets for public goods (</w:t>
      </w:r>
      <w:proofErr w:type="spellStart"/>
      <w:r w:rsidR="007252A3">
        <w:rPr>
          <w:rFonts w:ascii="Times New Roman" w:hAnsi="Times New Roman" w:cs="Times New Roman"/>
          <w:sz w:val="24"/>
          <w:szCs w:val="24"/>
        </w:rPr>
        <w:t>Weisbrod</w:t>
      </w:r>
      <w:proofErr w:type="spellEnd"/>
      <w:r w:rsidRPr="00D63A5A">
        <w:rPr>
          <w:rFonts w:ascii="Times New Roman" w:hAnsi="Times New Roman" w:cs="Times New Roman"/>
          <w:sz w:val="24"/>
          <w:szCs w:val="24"/>
        </w:rPr>
        <w:t xml:space="preserve"> 1975). However they are productively inefficient when compared to the private firm due to their ‘non-distribution constraint.’ Effectively managers of charities have no incent</w:t>
      </w:r>
      <w:r w:rsidR="007252A3">
        <w:rPr>
          <w:rFonts w:ascii="Times New Roman" w:hAnsi="Times New Roman" w:cs="Times New Roman"/>
          <w:sz w:val="24"/>
          <w:szCs w:val="24"/>
        </w:rPr>
        <w:t>ive to minimise costs (</w:t>
      </w:r>
      <w:proofErr w:type="spellStart"/>
      <w:r w:rsidR="007252A3">
        <w:rPr>
          <w:rFonts w:ascii="Times New Roman" w:hAnsi="Times New Roman" w:cs="Times New Roman"/>
          <w:sz w:val="24"/>
          <w:szCs w:val="24"/>
        </w:rPr>
        <w:t>Hansmann</w:t>
      </w:r>
      <w:proofErr w:type="spellEnd"/>
      <w:r w:rsidRPr="00D63A5A">
        <w:rPr>
          <w:rFonts w:ascii="Times New Roman" w:hAnsi="Times New Roman" w:cs="Times New Roman"/>
          <w:sz w:val="24"/>
          <w:szCs w:val="24"/>
        </w:rPr>
        <w:t xml:space="preserve"> 1987), and so are ‘crowded-out’ in fields where markets are well developed, but are over-represented in fields such as health and social services where many consumers are unable to pay a market rate for t</w:t>
      </w:r>
      <w:r w:rsidR="007252A3">
        <w:rPr>
          <w:rFonts w:ascii="Times New Roman" w:hAnsi="Times New Roman" w:cs="Times New Roman"/>
          <w:sz w:val="24"/>
          <w:szCs w:val="24"/>
        </w:rPr>
        <w:t>he goods they consume (</w:t>
      </w:r>
      <w:proofErr w:type="spellStart"/>
      <w:r w:rsidR="007252A3">
        <w:rPr>
          <w:rFonts w:ascii="Times New Roman" w:hAnsi="Times New Roman" w:cs="Times New Roman"/>
          <w:sz w:val="24"/>
          <w:szCs w:val="24"/>
        </w:rPr>
        <w:t>Hansmann</w:t>
      </w:r>
      <w:proofErr w:type="spellEnd"/>
      <w:r w:rsidRPr="00D63A5A">
        <w:rPr>
          <w:rFonts w:ascii="Times New Roman" w:hAnsi="Times New Roman" w:cs="Times New Roman"/>
          <w:sz w:val="24"/>
          <w:szCs w:val="24"/>
        </w:rPr>
        <w:t xml:space="preserve"> 1987). If conventional economic theory treats charities as an inefficient anomaly then the ‘solution’ is to propose that they behave as private firms in efficient markets. Achieving this ‘solution’ necessitates improving the operation of markets for public goods, and introducing market disc</w:t>
      </w:r>
      <w:r w:rsidR="007252A3">
        <w:rPr>
          <w:rFonts w:ascii="Times New Roman" w:hAnsi="Times New Roman" w:cs="Times New Roman"/>
          <w:sz w:val="24"/>
          <w:szCs w:val="24"/>
        </w:rPr>
        <w:t>ipline to charities (</w:t>
      </w:r>
      <w:proofErr w:type="spellStart"/>
      <w:r w:rsidR="007252A3">
        <w:rPr>
          <w:rFonts w:ascii="Times New Roman" w:hAnsi="Times New Roman" w:cs="Times New Roman"/>
          <w:sz w:val="24"/>
          <w:szCs w:val="24"/>
        </w:rPr>
        <w:t>Tsakalotos</w:t>
      </w:r>
      <w:proofErr w:type="spellEnd"/>
      <w:r w:rsidRPr="00D63A5A">
        <w:rPr>
          <w:rFonts w:ascii="Times New Roman" w:hAnsi="Times New Roman" w:cs="Times New Roman"/>
          <w:sz w:val="24"/>
          <w:szCs w:val="24"/>
        </w:rPr>
        <w:t xml:space="preserve"> 2005). </w:t>
      </w:r>
    </w:p>
    <w:p w:rsidR="008C5ADD" w:rsidRPr="00D63A5A" w:rsidRDefault="008C5ADD" w:rsidP="00490E01">
      <w:pPr>
        <w:pStyle w:val="TSRCBody"/>
        <w:ind w:firstLine="720"/>
        <w:rPr>
          <w:rFonts w:ascii="Times New Roman" w:hAnsi="Times New Roman" w:cs="Times New Roman"/>
          <w:sz w:val="24"/>
          <w:szCs w:val="24"/>
        </w:rPr>
      </w:pPr>
      <w:r w:rsidRPr="00D63A5A">
        <w:rPr>
          <w:rFonts w:ascii="Times New Roman" w:hAnsi="Times New Roman" w:cs="Times New Roman"/>
          <w:sz w:val="24"/>
          <w:szCs w:val="24"/>
        </w:rPr>
        <w:lastRenderedPageBreak/>
        <w:t xml:space="preserve">It would </w:t>
      </w:r>
      <w:r w:rsidRPr="00D63A5A">
        <w:rPr>
          <w:rFonts w:ascii="Times New Roman" w:hAnsi="Times New Roman" w:cs="Times New Roman"/>
          <w:i/>
          <w:sz w:val="24"/>
          <w:szCs w:val="24"/>
        </w:rPr>
        <w:t>appear</w:t>
      </w:r>
      <w:r w:rsidRPr="00D63A5A">
        <w:rPr>
          <w:rFonts w:ascii="Times New Roman" w:hAnsi="Times New Roman" w:cs="Times New Roman"/>
          <w:sz w:val="24"/>
          <w:szCs w:val="24"/>
        </w:rPr>
        <w:t xml:space="preserve"> that this neo-classical ‘solution’ is occurring in some countries. Since the 1980s Governments of both major parties in the United Kingdom have attempted to create more efficient markets for public goods through opening up the market for delivery of public services to providers from private and third sectors </w:t>
      </w:r>
      <w:r w:rsidR="007252A3">
        <w:rPr>
          <w:rFonts w:ascii="Times New Roman" w:hAnsi="Times New Roman" w:cs="Times New Roman"/>
          <w:sz w:val="24"/>
          <w:szCs w:val="24"/>
        </w:rPr>
        <w:t>on a ‘best value’ basis (Newman</w:t>
      </w:r>
      <w:r w:rsidRPr="00D63A5A">
        <w:rPr>
          <w:rFonts w:ascii="Times New Roman" w:hAnsi="Times New Roman" w:cs="Times New Roman"/>
          <w:sz w:val="24"/>
          <w:szCs w:val="24"/>
        </w:rPr>
        <w:t xml:space="preserve"> 2007). This process accelerated under the recent New Labour government as charities were given an enhanced role in ec</w:t>
      </w:r>
      <w:r w:rsidR="007252A3">
        <w:rPr>
          <w:rFonts w:ascii="Times New Roman" w:hAnsi="Times New Roman" w:cs="Times New Roman"/>
          <w:sz w:val="24"/>
          <w:szCs w:val="24"/>
        </w:rPr>
        <w:t>onomic policy (</w:t>
      </w:r>
      <w:proofErr w:type="spellStart"/>
      <w:r w:rsidR="007252A3">
        <w:rPr>
          <w:rFonts w:ascii="Times New Roman" w:hAnsi="Times New Roman" w:cs="Times New Roman"/>
          <w:sz w:val="24"/>
          <w:szCs w:val="24"/>
        </w:rPr>
        <w:t>Haugh</w:t>
      </w:r>
      <w:proofErr w:type="spellEnd"/>
      <w:r w:rsidR="007252A3">
        <w:rPr>
          <w:rFonts w:ascii="Times New Roman" w:hAnsi="Times New Roman" w:cs="Times New Roman"/>
          <w:sz w:val="24"/>
          <w:szCs w:val="24"/>
        </w:rPr>
        <w:t xml:space="preserve"> and </w:t>
      </w:r>
      <w:proofErr w:type="spellStart"/>
      <w:r w:rsidR="007252A3">
        <w:rPr>
          <w:rFonts w:ascii="Times New Roman" w:hAnsi="Times New Roman" w:cs="Times New Roman"/>
          <w:sz w:val="24"/>
          <w:szCs w:val="24"/>
        </w:rPr>
        <w:t>Kitson</w:t>
      </w:r>
      <w:proofErr w:type="spellEnd"/>
      <w:r w:rsidRPr="00D63A5A">
        <w:rPr>
          <w:rFonts w:ascii="Times New Roman" w:hAnsi="Times New Roman" w:cs="Times New Roman"/>
          <w:sz w:val="24"/>
          <w:szCs w:val="24"/>
        </w:rPr>
        <w:t xml:space="preserve"> 2007). Another increasingly important aspect to this </w:t>
      </w:r>
      <w:proofErr w:type="spellStart"/>
      <w:r w:rsidRPr="00D63A5A">
        <w:rPr>
          <w:rFonts w:ascii="Times New Roman" w:hAnsi="Times New Roman" w:cs="Times New Roman"/>
          <w:i/>
          <w:sz w:val="24"/>
          <w:szCs w:val="24"/>
        </w:rPr>
        <w:t>marketisation</w:t>
      </w:r>
      <w:proofErr w:type="spellEnd"/>
      <w:r w:rsidRPr="00D63A5A">
        <w:rPr>
          <w:rFonts w:ascii="Times New Roman" w:hAnsi="Times New Roman" w:cs="Times New Roman"/>
          <w:sz w:val="24"/>
          <w:szCs w:val="24"/>
        </w:rPr>
        <w:t xml:space="preserve"> of the </w:t>
      </w:r>
      <w:proofErr w:type="spellStart"/>
      <w:r w:rsidRPr="00D63A5A">
        <w:rPr>
          <w:rFonts w:ascii="Times New Roman" w:hAnsi="Times New Roman" w:cs="Times New Roman"/>
          <w:sz w:val="24"/>
          <w:szCs w:val="24"/>
        </w:rPr>
        <w:t>nonprofit</w:t>
      </w:r>
      <w:proofErr w:type="spellEnd"/>
      <w:r w:rsidRPr="00D63A5A">
        <w:rPr>
          <w:rFonts w:ascii="Times New Roman" w:hAnsi="Times New Roman" w:cs="Times New Roman"/>
          <w:sz w:val="24"/>
          <w:szCs w:val="24"/>
        </w:rPr>
        <w:t xml:space="preserve"> sector</w:t>
      </w:r>
      <w:r w:rsidRPr="00D63A5A">
        <w:rPr>
          <w:rFonts w:ascii="Times New Roman" w:hAnsi="Times New Roman" w:cs="Times New Roman"/>
          <w:i/>
          <w:sz w:val="24"/>
          <w:szCs w:val="24"/>
        </w:rPr>
        <w:t xml:space="preserve"> </w:t>
      </w:r>
      <w:r w:rsidRPr="00D63A5A">
        <w:rPr>
          <w:rFonts w:ascii="Times New Roman" w:hAnsi="Times New Roman" w:cs="Times New Roman"/>
          <w:sz w:val="24"/>
          <w:szCs w:val="24"/>
        </w:rPr>
        <w:t>involves the direct sale of goods and services by charities to c</w:t>
      </w:r>
      <w:r w:rsidR="007252A3">
        <w:rPr>
          <w:rFonts w:ascii="Times New Roman" w:hAnsi="Times New Roman" w:cs="Times New Roman"/>
          <w:sz w:val="24"/>
          <w:szCs w:val="24"/>
        </w:rPr>
        <w:t>onsumers (</w:t>
      </w:r>
      <w:proofErr w:type="spellStart"/>
      <w:r w:rsidR="007252A3">
        <w:rPr>
          <w:rFonts w:ascii="Times New Roman" w:hAnsi="Times New Roman" w:cs="Times New Roman"/>
          <w:sz w:val="24"/>
          <w:szCs w:val="24"/>
        </w:rPr>
        <w:t>Eikenberry</w:t>
      </w:r>
      <w:proofErr w:type="spellEnd"/>
      <w:r w:rsidR="007252A3">
        <w:rPr>
          <w:rFonts w:ascii="Times New Roman" w:hAnsi="Times New Roman" w:cs="Times New Roman"/>
          <w:sz w:val="24"/>
          <w:szCs w:val="24"/>
        </w:rPr>
        <w:t xml:space="preserve"> and </w:t>
      </w:r>
      <w:proofErr w:type="spellStart"/>
      <w:r w:rsidR="007252A3">
        <w:rPr>
          <w:rFonts w:ascii="Times New Roman" w:hAnsi="Times New Roman" w:cs="Times New Roman"/>
          <w:sz w:val="24"/>
          <w:szCs w:val="24"/>
        </w:rPr>
        <w:t>Kluver</w:t>
      </w:r>
      <w:proofErr w:type="spellEnd"/>
      <w:r w:rsidRPr="00D63A5A">
        <w:rPr>
          <w:rFonts w:ascii="Times New Roman" w:hAnsi="Times New Roman" w:cs="Times New Roman"/>
          <w:sz w:val="24"/>
          <w:szCs w:val="24"/>
        </w:rPr>
        <w:t xml:space="preserve"> 2004), and a more recent innovation, the creation of subsidiary social enterprises with the primary aim of providing </w:t>
      </w:r>
      <w:r w:rsidR="007252A3">
        <w:rPr>
          <w:rFonts w:ascii="Times New Roman" w:hAnsi="Times New Roman" w:cs="Times New Roman"/>
          <w:sz w:val="24"/>
          <w:szCs w:val="24"/>
        </w:rPr>
        <w:t>employment to clients (</w:t>
      </w:r>
      <w:r w:rsidR="006407C2">
        <w:rPr>
          <w:rFonts w:ascii="Times New Roman" w:hAnsi="Times New Roman" w:cs="Times New Roman"/>
          <w:sz w:val="24"/>
          <w:szCs w:val="24"/>
        </w:rPr>
        <w:t>Teasdale</w:t>
      </w:r>
      <w:r w:rsidRPr="00D63A5A">
        <w:rPr>
          <w:rFonts w:ascii="Times New Roman" w:hAnsi="Times New Roman" w:cs="Times New Roman"/>
          <w:sz w:val="24"/>
          <w:szCs w:val="24"/>
        </w:rPr>
        <w:t xml:space="preserve"> 2010). Business and management scholars have turned their attention to nonprofits en masse to help them adapt to their new commercia</w:t>
      </w:r>
      <w:r w:rsidR="007252A3">
        <w:rPr>
          <w:rFonts w:ascii="Times New Roman" w:hAnsi="Times New Roman" w:cs="Times New Roman"/>
          <w:sz w:val="24"/>
          <w:szCs w:val="24"/>
        </w:rPr>
        <w:t>l environment (</w:t>
      </w:r>
      <w:proofErr w:type="spellStart"/>
      <w:r w:rsidR="007252A3">
        <w:rPr>
          <w:rFonts w:ascii="Times New Roman" w:hAnsi="Times New Roman" w:cs="Times New Roman"/>
          <w:sz w:val="24"/>
          <w:szCs w:val="24"/>
        </w:rPr>
        <w:t>Dey</w:t>
      </w:r>
      <w:proofErr w:type="spellEnd"/>
      <w:r w:rsidR="007252A3">
        <w:rPr>
          <w:rFonts w:ascii="Times New Roman" w:hAnsi="Times New Roman" w:cs="Times New Roman"/>
          <w:sz w:val="24"/>
          <w:szCs w:val="24"/>
        </w:rPr>
        <w:t xml:space="preserve"> and </w:t>
      </w:r>
      <w:proofErr w:type="spellStart"/>
      <w:r w:rsidR="007252A3">
        <w:rPr>
          <w:rFonts w:ascii="Times New Roman" w:hAnsi="Times New Roman" w:cs="Times New Roman"/>
          <w:sz w:val="24"/>
          <w:szCs w:val="24"/>
        </w:rPr>
        <w:t>Steyaert</w:t>
      </w:r>
      <w:proofErr w:type="spellEnd"/>
      <w:r w:rsidRPr="00D63A5A">
        <w:rPr>
          <w:rFonts w:ascii="Times New Roman" w:hAnsi="Times New Roman" w:cs="Times New Roman"/>
          <w:sz w:val="24"/>
          <w:szCs w:val="24"/>
        </w:rPr>
        <w:t xml:space="preserve"> 2010). A range of ‘how to’ texts set out simple steps for nonprofits to follow in order to avoid </w:t>
      </w:r>
      <w:r w:rsidRPr="00D63A5A">
        <w:rPr>
          <w:rFonts w:ascii="Times New Roman" w:hAnsi="Times New Roman" w:cs="Times New Roman"/>
          <w:i/>
          <w:sz w:val="24"/>
          <w:szCs w:val="24"/>
        </w:rPr>
        <w:t>dependence</w:t>
      </w:r>
      <w:r w:rsidRPr="00D63A5A">
        <w:rPr>
          <w:rFonts w:ascii="Times New Roman" w:hAnsi="Times New Roman" w:cs="Times New Roman"/>
          <w:sz w:val="24"/>
          <w:szCs w:val="24"/>
        </w:rPr>
        <w:t xml:space="preserve"> on grants and donations by increasing their share of commercial revenue, and to become more </w:t>
      </w:r>
      <w:r w:rsidRPr="00D63A5A">
        <w:rPr>
          <w:rFonts w:ascii="Times New Roman" w:hAnsi="Times New Roman" w:cs="Times New Roman"/>
          <w:i/>
          <w:sz w:val="24"/>
          <w:szCs w:val="24"/>
        </w:rPr>
        <w:t>efficient</w:t>
      </w:r>
      <w:r w:rsidRPr="00D63A5A">
        <w:rPr>
          <w:rFonts w:ascii="Times New Roman" w:hAnsi="Times New Roman" w:cs="Times New Roman"/>
          <w:sz w:val="24"/>
          <w:szCs w:val="24"/>
        </w:rPr>
        <w:t xml:space="preserve"> through the imposition of market discipline (see for example Dees et al. 2001). </w:t>
      </w:r>
    </w:p>
    <w:p w:rsidR="00D63A5A" w:rsidRPr="00D63A5A" w:rsidRDefault="008C5ADD" w:rsidP="00490E01">
      <w:pPr>
        <w:pStyle w:val="TSRCBody"/>
        <w:ind w:firstLine="720"/>
        <w:rPr>
          <w:rFonts w:ascii="Times New Roman" w:hAnsi="Times New Roman" w:cs="Times New Roman"/>
          <w:sz w:val="24"/>
          <w:szCs w:val="24"/>
        </w:rPr>
      </w:pPr>
      <w:r w:rsidRPr="00D63A5A">
        <w:rPr>
          <w:rFonts w:ascii="Times New Roman" w:hAnsi="Times New Roman" w:cs="Times New Roman"/>
          <w:sz w:val="24"/>
          <w:szCs w:val="24"/>
        </w:rPr>
        <w:t>A counter discourse warns of the dangers of this ‘economic fallacy’. In seeing things through a neoclassical lens that excludes the possibility of behaviour not bound by market exchange and ra</w:t>
      </w:r>
      <w:r w:rsidR="007252A3">
        <w:rPr>
          <w:rFonts w:ascii="Times New Roman" w:hAnsi="Times New Roman" w:cs="Times New Roman"/>
          <w:sz w:val="24"/>
          <w:szCs w:val="24"/>
        </w:rPr>
        <w:t>tional choice (</w:t>
      </w:r>
      <w:proofErr w:type="spellStart"/>
      <w:r w:rsidR="007252A3">
        <w:rPr>
          <w:rFonts w:ascii="Times New Roman" w:hAnsi="Times New Roman" w:cs="Times New Roman"/>
          <w:sz w:val="24"/>
          <w:szCs w:val="24"/>
        </w:rPr>
        <w:t>Adaman</w:t>
      </w:r>
      <w:proofErr w:type="spellEnd"/>
      <w:r w:rsidR="007252A3">
        <w:rPr>
          <w:rFonts w:ascii="Times New Roman" w:hAnsi="Times New Roman" w:cs="Times New Roman"/>
          <w:sz w:val="24"/>
          <w:szCs w:val="24"/>
        </w:rPr>
        <w:t xml:space="preserve"> and </w:t>
      </w:r>
      <w:proofErr w:type="spellStart"/>
      <w:r w:rsidR="007252A3">
        <w:rPr>
          <w:rFonts w:ascii="Times New Roman" w:hAnsi="Times New Roman" w:cs="Times New Roman"/>
          <w:sz w:val="24"/>
          <w:szCs w:val="24"/>
        </w:rPr>
        <w:t>Madra</w:t>
      </w:r>
      <w:proofErr w:type="spellEnd"/>
      <w:r w:rsidRPr="00D63A5A">
        <w:rPr>
          <w:rFonts w:ascii="Times New Roman" w:hAnsi="Times New Roman" w:cs="Times New Roman"/>
          <w:sz w:val="24"/>
          <w:szCs w:val="24"/>
        </w:rPr>
        <w:t xml:space="preserve"> 2002) we risk creating a world which loses sight of those values such as reciprocity, philant</w:t>
      </w:r>
      <w:r w:rsidR="007252A3">
        <w:rPr>
          <w:rFonts w:ascii="Times New Roman" w:hAnsi="Times New Roman" w:cs="Times New Roman"/>
          <w:sz w:val="24"/>
          <w:szCs w:val="24"/>
        </w:rPr>
        <w:t>hropy and democracy (</w:t>
      </w:r>
      <w:proofErr w:type="spellStart"/>
      <w:r w:rsidR="007252A3">
        <w:rPr>
          <w:rFonts w:ascii="Times New Roman" w:hAnsi="Times New Roman" w:cs="Times New Roman"/>
          <w:sz w:val="24"/>
          <w:szCs w:val="24"/>
        </w:rPr>
        <w:t>Tsakalotos</w:t>
      </w:r>
      <w:proofErr w:type="spellEnd"/>
      <w:r w:rsidRPr="00D63A5A">
        <w:rPr>
          <w:rFonts w:ascii="Times New Roman" w:hAnsi="Times New Roman" w:cs="Times New Roman"/>
          <w:sz w:val="24"/>
          <w:szCs w:val="24"/>
        </w:rPr>
        <w:t xml:space="preserve"> 2005). The study of nonprofits through this lens has valorised a particular income source – commercial revenue (Eikenberry, 2009), and a particular form – the soc</w:t>
      </w:r>
      <w:r w:rsidR="007252A3">
        <w:rPr>
          <w:rFonts w:ascii="Times New Roman" w:hAnsi="Times New Roman" w:cs="Times New Roman"/>
          <w:sz w:val="24"/>
          <w:szCs w:val="24"/>
        </w:rPr>
        <w:t>ial enterprise (</w:t>
      </w:r>
      <w:proofErr w:type="spellStart"/>
      <w:r w:rsidR="007252A3">
        <w:rPr>
          <w:rFonts w:ascii="Times New Roman" w:hAnsi="Times New Roman" w:cs="Times New Roman"/>
          <w:sz w:val="24"/>
          <w:szCs w:val="24"/>
        </w:rPr>
        <w:t>Dey</w:t>
      </w:r>
      <w:proofErr w:type="spellEnd"/>
      <w:r w:rsidR="007252A3">
        <w:rPr>
          <w:rFonts w:ascii="Times New Roman" w:hAnsi="Times New Roman" w:cs="Times New Roman"/>
          <w:sz w:val="24"/>
          <w:szCs w:val="24"/>
        </w:rPr>
        <w:t xml:space="preserve"> and </w:t>
      </w:r>
      <w:proofErr w:type="spellStart"/>
      <w:r w:rsidR="007252A3">
        <w:rPr>
          <w:rFonts w:ascii="Times New Roman" w:hAnsi="Times New Roman" w:cs="Times New Roman"/>
          <w:sz w:val="24"/>
          <w:szCs w:val="24"/>
        </w:rPr>
        <w:t>Steyaert</w:t>
      </w:r>
      <w:proofErr w:type="spellEnd"/>
      <w:r w:rsidRPr="00D63A5A">
        <w:rPr>
          <w:rFonts w:ascii="Times New Roman" w:hAnsi="Times New Roman" w:cs="Times New Roman"/>
          <w:sz w:val="24"/>
          <w:szCs w:val="24"/>
        </w:rPr>
        <w:t xml:space="preserve"> 2010). As a consequence it is argued that nonprofits are behaving more like businesses in replacing traditional sources of revenue with commercial</w:t>
      </w:r>
      <w:r w:rsidR="00D63A5A" w:rsidRPr="00D63A5A">
        <w:rPr>
          <w:rFonts w:ascii="Times New Roman" w:hAnsi="Times New Roman" w:cs="Times New Roman"/>
          <w:sz w:val="24"/>
          <w:szCs w:val="24"/>
        </w:rPr>
        <w:t xml:space="preserve"> revenue because they are expected, or even compelled to do so, rather than any rational assessment of the financia</w:t>
      </w:r>
      <w:r w:rsidR="007252A3">
        <w:rPr>
          <w:rFonts w:ascii="Times New Roman" w:hAnsi="Times New Roman" w:cs="Times New Roman"/>
          <w:sz w:val="24"/>
          <w:szCs w:val="24"/>
        </w:rPr>
        <w:t xml:space="preserve">l and social implications (Dart 2004; </w:t>
      </w:r>
      <w:proofErr w:type="spellStart"/>
      <w:r w:rsidR="007252A3">
        <w:rPr>
          <w:rFonts w:ascii="Times New Roman" w:hAnsi="Times New Roman" w:cs="Times New Roman"/>
          <w:sz w:val="24"/>
          <w:szCs w:val="24"/>
        </w:rPr>
        <w:t>Eikenberry</w:t>
      </w:r>
      <w:proofErr w:type="spellEnd"/>
      <w:r w:rsidR="007252A3">
        <w:rPr>
          <w:rFonts w:ascii="Times New Roman" w:hAnsi="Times New Roman" w:cs="Times New Roman"/>
          <w:sz w:val="24"/>
          <w:szCs w:val="24"/>
        </w:rPr>
        <w:t xml:space="preserve"> and </w:t>
      </w:r>
      <w:proofErr w:type="spellStart"/>
      <w:r w:rsidR="007252A3">
        <w:rPr>
          <w:rFonts w:ascii="Times New Roman" w:hAnsi="Times New Roman" w:cs="Times New Roman"/>
          <w:sz w:val="24"/>
          <w:szCs w:val="24"/>
        </w:rPr>
        <w:t>Kluver</w:t>
      </w:r>
      <w:proofErr w:type="spellEnd"/>
      <w:r w:rsidR="00D63A5A" w:rsidRPr="00D63A5A">
        <w:rPr>
          <w:rFonts w:ascii="Times New Roman" w:hAnsi="Times New Roman" w:cs="Times New Roman"/>
          <w:sz w:val="24"/>
          <w:szCs w:val="24"/>
        </w:rPr>
        <w:t xml:space="preserve"> 2004). </w:t>
      </w:r>
    </w:p>
    <w:p w:rsidR="002E69C1" w:rsidRPr="00796D05" w:rsidRDefault="00D63A5A" w:rsidP="00490E01">
      <w:pPr>
        <w:pStyle w:val="TSRCBody"/>
        <w:ind w:firstLine="720"/>
        <w:rPr>
          <w:rFonts w:ascii="Times New Roman" w:hAnsi="Times New Roman" w:cs="Times New Roman"/>
          <w:sz w:val="24"/>
          <w:szCs w:val="24"/>
        </w:rPr>
      </w:pPr>
      <w:r w:rsidRPr="00D63A5A">
        <w:rPr>
          <w:rFonts w:ascii="Times New Roman" w:hAnsi="Times New Roman" w:cs="Times New Roman"/>
          <w:sz w:val="24"/>
          <w:szCs w:val="24"/>
        </w:rPr>
        <w:t xml:space="preserve">The purpose of this paper is not to further develop the literature explaining </w:t>
      </w:r>
      <w:proofErr w:type="spellStart"/>
      <w:r w:rsidRPr="00D63A5A">
        <w:rPr>
          <w:rFonts w:ascii="Times New Roman" w:hAnsi="Times New Roman" w:cs="Times New Roman"/>
          <w:sz w:val="24"/>
          <w:szCs w:val="24"/>
        </w:rPr>
        <w:t>marketisation</w:t>
      </w:r>
      <w:proofErr w:type="spellEnd"/>
      <w:r w:rsidRPr="00D63A5A">
        <w:rPr>
          <w:rFonts w:ascii="Times New Roman" w:hAnsi="Times New Roman" w:cs="Times New Roman"/>
          <w:sz w:val="24"/>
          <w:szCs w:val="24"/>
        </w:rPr>
        <w:t xml:space="preserve"> and its consequences. For while much has been written about the reasons for, and implications of, charities succumbing to market forces, rather less attention has been paid </w:t>
      </w:r>
      <w:r w:rsidRPr="00796D05">
        <w:rPr>
          <w:rFonts w:ascii="Times New Roman" w:hAnsi="Times New Roman" w:cs="Times New Roman"/>
          <w:sz w:val="24"/>
          <w:szCs w:val="24"/>
        </w:rPr>
        <w:t xml:space="preserve">to developing the evidence base to support (or deny) the underlying assumptions upon which the </w:t>
      </w:r>
      <w:proofErr w:type="spellStart"/>
      <w:r w:rsidRPr="00796D05">
        <w:rPr>
          <w:rFonts w:ascii="Times New Roman" w:hAnsi="Times New Roman" w:cs="Times New Roman"/>
          <w:sz w:val="24"/>
          <w:szCs w:val="24"/>
        </w:rPr>
        <w:t>marketisation</w:t>
      </w:r>
      <w:proofErr w:type="spellEnd"/>
      <w:r w:rsidRPr="00796D05">
        <w:rPr>
          <w:rFonts w:ascii="Times New Roman" w:hAnsi="Times New Roman" w:cs="Times New Roman"/>
          <w:sz w:val="24"/>
          <w:szCs w:val="24"/>
        </w:rPr>
        <w:t xml:space="preserve"> thesis rests. In this paper we address this deficit by answering the critical question: </w:t>
      </w:r>
      <w:r w:rsidRPr="00796D05">
        <w:rPr>
          <w:rFonts w:ascii="Times New Roman" w:hAnsi="Times New Roman" w:cs="Times New Roman"/>
          <w:i/>
          <w:sz w:val="24"/>
          <w:szCs w:val="24"/>
        </w:rPr>
        <w:t>are</w:t>
      </w:r>
      <w:r w:rsidRPr="00796D05">
        <w:rPr>
          <w:rFonts w:ascii="Times New Roman" w:hAnsi="Times New Roman" w:cs="Times New Roman"/>
          <w:sz w:val="24"/>
          <w:szCs w:val="24"/>
        </w:rPr>
        <w:t xml:space="preserve"> charities substituting commercial revenue for grants and donations, or are the two income sources in fact complementary? To do this we constructed a large panel data set derived from registered general charities’ annual returns to the Charity Commission for England and Wales for the period 2002-2008.</w:t>
      </w:r>
      <w:r w:rsidR="002E69C1" w:rsidRPr="00796D05">
        <w:rPr>
          <w:rStyle w:val="EndnoteReference"/>
          <w:rFonts w:cs="Times New Roman"/>
          <w:sz w:val="24"/>
          <w:szCs w:val="24"/>
        </w:rPr>
        <w:endnoteReference w:id="1"/>
      </w:r>
      <w:r w:rsidR="002E69C1" w:rsidRPr="00796D05">
        <w:rPr>
          <w:rFonts w:ascii="Times New Roman" w:hAnsi="Times New Roman" w:cs="Times New Roman"/>
          <w:sz w:val="24"/>
          <w:szCs w:val="24"/>
        </w:rPr>
        <w:t xml:space="preserve"> These returns were each analysed to determine </w:t>
      </w:r>
      <w:r w:rsidR="002E69C1" w:rsidRPr="00796D05">
        <w:rPr>
          <w:rFonts w:ascii="Times New Roman" w:hAnsi="Times New Roman" w:cs="Times New Roman"/>
          <w:sz w:val="24"/>
          <w:szCs w:val="24"/>
        </w:rPr>
        <w:lastRenderedPageBreak/>
        <w:t>the proportion of revenue attracted through commercial sources (fees for goods and services; and surplus generated from subsidiary trading operations), and voluntary income (grant and private donations).</w:t>
      </w:r>
      <w:r w:rsidR="002E69C1" w:rsidRPr="00796D05">
        <w:rPr>
          <w:rStyle w:val="EndnoteReference"/>
          <w:rFonts w:cs="Times New Roman"/>
          <w:sz w:val="24"/>
          <w:szCs w:val="24"/>
        </w:rPr>
        <w:endnoteReference w:id="2"/>
      </w:r>
      <w:r w:rsidR="002E69C1" w:rsidRPr="00796D05">
        <w:rPr>
          <w:rFonts w:ascii="Times New Roman" w:hAnsi="Times New Roman" w:cs="Times New Roman"/>
          <w:sz w:val="24"/>
          <w:szCs w:val="24"/>
        </w:rPr>
        <w:t xml:space="preserve"> All charities were classified according to the International Classification of </w:t>
      </w:r>
      <w:proofErr w:type="spellStart"/>
      <w:r w:rsidR="002E69C1" w:rsidRPr="00796D05">
        <w:rPr>
          <w:rFonts w:ascii="Times New Roman" w:hAnsi="Times New Roman" w:cs="Times New Roman"/>
          <w:sz w:val="24"/>
          <w:szCs w:val="24"/>
        </w:rPr>
        <w:t>Nonprofit</w:t>
      </w:r>
      <w:proofErr w:type="spellEnd"/>
      <w:r w:rsidR="002E69C1" w:rsidRPr="00796D05">
        <w:rPr>
          <w:rFonts w:ascii="Times New Roman" w:hAnsi="Times New Roman" w:cs="Times New Roman"/>
          <w:sz w:val="24"/>
          <w:szCs w:val="24"/>
        </w:rPr>
        <w:t xml:space="preserve"> Organisations (ICNPO) system. Using our preferred Generalised Method of Moments (GMM) estimation model we found that commercial revenue was an inelastic substitute for grants and donations. Hence we conclude that </w:t>
      </w:r>
      <w:proofErr w:type="spellStart"/>
      <w:r w:rsidR="002E69C1" w:rsidRPr="00796D05">
        <w:rPr>
          <w:rFonts w:ascii="Times New Roman" w:hAnsi="Times New Roman" w:cs="Times New Roman"/>
          <w:sz w:val="24"/>
          <w:szCs w:val="24"/>
        </w:rPr>
        <w:t>marketisation</w:t>
      </w:r>
      <w:proofErr w:type="spellEnd"/>
      <w:r w:rsidR="002E69C1" w:rsidRPr="00796D05">
        <w:rPr>
          <w:rFonts w:ascii="Times New Roman" w:hAnsi="Times New Roman" w:cs="Times New Roman"/>
          <w:sz w:val="24"/>
          <w:szCs w:val="24"/>
        </w:rPr>
        <w:t xml:space="preserve"> of charities in England and Wales is occurring to a limited extent.</w:t>
      </w:r>
    </w:p>
    <w:p w:rsidR="002E69C1" w:rsidRPr="00796D05" w:rsidRDefault="002E69C1" w:rsidP="00490E01">
      <w:pPr>
        <w:pStyle w:val="TSRCBody"/>
        <w:ind w:firstLine="0"/>
        <w:rPr>
          <w:rFonts w:ascii="Times New Roman" w:hAnsi="Times New Roman" w:cs="Times New Roman"/>
          <w:b/>
          <w:sz w:val="24"/>
          <w:szCs w:val="24"/>
        </w:rPr>
      </w:pPr>
      <w:r w:rsidRPr="00796D05">
        <w:rPr>
          <w:rFonts w:ascii="Times New Roman" w:hAnsi="Times New Roman" w:cs="Times New Roman"/>
          <w:b/>
          <w:sz w:val="24"/>
          <w:szCs w:val="24"/>
        </w:rPr>
        <w:t xml:space="preserve">The </w:t>
      </w:r>
      <w:proofErr w:type="spellStart"/>
      <w:r w:rsidRPr="00796D05">
        <w:rPr>
          <w:rFonts w:ascii="Times New Roman" w:hAnsi="Times New Roman" w:cs="Times New Roman"/>
          <w:b/>
          <w:sz w:val="24"/>
          <w:szCs w:val="24"/>
        </w:rPr>
        <w:t>Marketisation</w:t>
      </w:r>
      <w:proofErr w:type="spellEnd"/>
      <w:r w:rsidRPr="00796D05">
        <w:rPr>
          <w:rFonts w:ascii="Times New Roman" w:hAnsi="Times New Roman" w:cs="Times New Roman"/>
          <w:b/>
          <w:sz w:val="24"/>
          <w:szCs w:val="24"/>
        </w:rPr>
        <w:t xml:space="preserve"> Thesis</w:t>
      </w:r>
    </w:p>
    <w:p w:rsidR="002E69C1" w:rsidRPr="00796D05" w:rsidRDefault="002E69C1" w:rsidP="00490E01">
      <w:pPr>
        <w:pStyle w:val="TSRCFirstBody"/>
        <w:rPr>
          <w:rFonts w:ascii="Times New Roman" w:hAnsi="Times New Roman" w:cs="Times New Roman"/>
          <w:sz w:val="24"/>
          <w:szCs w:val="24"/>
        </w:rPr>
      </w:pPr>
      <w:r w:rsidRPr="00796D05">
        <w:rPr>
          <w:rFonts w:ascii="Times New Roman" w:hAnsi="Times New Roman" w:cs="Times New Roman"/>
          <w:sz w:val="24"/>
          <w:szCs w:val="24"/>
        </w:rPr>
        <w:t xml:space="preserve">The term </w:t>
      </w:r>
      <w:proofErr w:type="spellStart"/>
      <w:r w:rsidRPr="00796D05">
        <w:rPr>
          <w:rFonts w:ascii="Times New Roman" w:hAnsi="Times New Roman" w:cs="Times New Roman"/>
          <w:sz w:val="24"/>
          <w:szCs w:val="24"/>
        </w:rPr>
        <w:t>marketisation</w:t>
      </w:r>
      <w:proofErr w:type="spellEnd"/>
      <w:r w:rsidRPr="00796D05">
        <w:rPr>
          <w:rFonts w:ascii="Times New Roman" w:hAnsi="Times New Roman" w:cs="Times New Roman"/>
          <w:sz w:val="24"/>
          <w:szCs w:val="24"/>
        </w:rPr>
        <w:t xml:space="preserve"> is used to refer to nonprofits becoming “more market driven, client driven, self-sufficient, com</w:t>
      </w:r>
      <w:r>
        <w:rPr>
          <w:rFonts w:ascii="Times New Roman" w:hAnsi="Times New Roman" w:cs="Times New Roman"/>
          <w:sz w:val="24"/>
          <w:szCs w:val="24"/>
        </w:rPr>
        <w:t>mercial or business like” (Dart</w:t>
      </w:r>
      <w:r w:rsidRPr="00796D05">
        <w:rPr>
          <w:rFonts w:ascii="Times New Roman" w:hAnsi="Times New Roman" w:cs="Times New Roman"/>
          <w:sz w:val="24"/>
          <w:szCs w:val="24"/>
        </w:rPr>
        <w:t xml:space="preserve"> 2004, p. 414) that is, adopting the languages, practices and funding mechanisms of the private sector. It is possible to distinguish between two broad but overlapping aspects of </w:t>
      </w:r>
      <w:proofErr w:type="spellStart"/>
      <w:r w:rsidRPr="00796D05">
        <w:rPr>
          <w:rFonts w:ascii="Times New Roman" w:hAnsi="Times New Roman" w:cs="Times New Roman"/>
          <w:sz w:val="24"/>
          <w:szCs w:val="24"/>
        </w:rPr>
        <w:t>marketisation</w:t>
      </w:r>
      <w:proofErr w:type="spellEnd"/>
      <w:r w:rsidRPr="00796D05">
        <w:rPr>
          <w:rFonts w:ascii="Times New Roman" w:hAnsi="Times New Roman" w:cs="Times New Roman"/>
          <w:sz w:val="24"/>
          <w:szCs w:val="24"/>
        </w:rPr>
        <w:t>. The first involves nonprofits seeking to mimic the organisational structures, practices and languages of the private sector. To some extent this trend also involves the re-labelling of charitable activity as social entrepreneurship, and there is a wide literature developing that follows this tradition, particularly in business a</w:t>
      </w:r>
      <w:r>
        <w:rPr>
          <w:rFonts w:ascii="Times New Roman" w:hAnsi="Times New Roman" w:cs="Times New Roman"/>
          <w:sz w:val="24"/>
          <w:szCs w:val="24"/>
        </w:rPr>
        <w:t>nd management schools (see Dees</w:t>
      </w:r>
      <w:r w:rsidRPr="00796D05">
        <w:rPr>
          <w:rFonts w:ascii="Times New Roman" w:hAnsi="Times New Roman" w:cs="Times New Roman"/>
          <w:sz w:val="24"/>
          <w:szCs w:val="24"/>
        </w:rPr>
        <w:t xml:space="preserve"> 2007). The second aspect of </w:t>
      </w:r>
      <w:proofErr w:type="spellStart"/>
      <w:r w:rsidRPr="00796D05">
        <w:rPr>
          <w:rFonts w:ascii="Times New Roman" w:hAnsi="Times New Roman" w:cs="Times New Roman"/>
          <w:sz w:val="24"/>
          <w:szCs w:val="24"/>
        </w:rPr>
        <w:t>marketisation</w:t>
      </w:r>
      <w:proofErr w:type="spellEnd"/>
      <w:r w:rsidRPr="00796D05">
        <w:rPr>
          <w:rFonts w:ascii="Times New Roman" w:hAnsi="Times New Roman" w:cs="Times New Roman"/>
          <w:sz w:val="24"/>
          <w:szCs w:val="24"/>
        </w:rPr>
        <w:t xml:space="preserve"> which particularly concerns us in this paper focuses more narrowly on the ways in which nonprofits are funded. That is a supposed transfer from grants and donations to commercial revenue. </w:t>
      </w:r>
    </w:p>
    <w:p w:rsidR="002E69C1" w:rsidRPr="00796D05" w:rsidRDefault="002E69C1" w:rsidP="00490E01">
      <w:pPr>
        <w:pStyle w:val="TSRCBody"/>
        <w:ind w:firstLine="720"/>
        <w:rPr>
          <w:rFonts w:ascii="Times New Roman" w:hAnsi="Times New Roman" w:cs="Times New Roman"/>
          <w:sz w:val="24"/>
          <w:szCs w:val="24"/>
        </w:rPr>
      </w:pPr>
      <w:r w:rsidRPr="00796D05">
        <w:rPr>
          <w:rFonts w:ascii="Times New Roman" w:hAnsi="Times New Roman" w:cs="Times New Roman"/>
          <w:sz w:val="24"/>
          <w:szCs w:val="24"/>
        </w:rPr>
        <w:t>Commercial revenue is itself a broad category (See Table 1) which is generally used to include program service fees; the sale of products not directly associated with the charitable activity; contracts to deliver services on behalf of a third party; profits from for-profit subsidiaries; and fe</w:t>
      </w:r>
      <w:r>
        <w:rPr>
          <w:rFonts w:ascii="Times New Roman" w:hAnsi="Times New Roman" w:cs="Times New Roman"/>
          <w:sz w:val="24"/>
          <w:szCs w:val="24"/>
        </w:rPr>
        <w:t xml:space="preserve">es for endorsing products (Dart 2004; </w:t>
      </w:r>
      <w:proofErr w:type="spellStart"/>
      <w:r>
        <w:rPr>
          <w:rFonts w:ascii="Times New Roman" w:hAnsi="Times New Roman" w:cs="Times New Roman"/>
          <w:sz w:val="24"/>
          <w:szCs w:val="24"/>
        </w:rPr>
        <w:t>Eikenberry</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Kluver</w:t>
      </w:r>
      <w:proofErr w:type="spellEnd"/>
      <w:r w:rsidRPr="00796D05">
        <w:rPr>
          <w:rFonts w:ascii="Times New Roman" w:hAnsi="Times New Roman" w:cs="Times New Roman"/>
          <w:sz w:val="24"/>
          <w:szCs w:val="24"/>
        </w:rPr>
        <w:t xml:space="preserve"> 2004; </w:t>
      </w:r>
      <w:proofErr w:type="spellStart"/>
      <w:r w:rsidRPr="00796D05">
        <w:rPr>
          <w:rFonts w:ascii="Times New Roman" w:hAnsi="Times New Roman" w:cs="Times New Roman"/>
          <w:sz w:val="24"/>
          <w:szCs w:val="24"/>
        </w:rPr>
        <w:t>K</w:t>
      </w:r>
      <w:r>
        <w:rPr>
          <w:rFonts w:ascii="Times New Roman" w:hAnsi="Times New Roman" w:cs="Times New Roman"/>
          <w:sz w:val="24"/>
          <w:szCs w:val="24"/>
        </w:rPr>
        <w:t>erlin</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Pollak</w:t>
      </w:r>
      <w:proofErr w:type="spellEnd"/>
      <w:r>
        <w:rPr>
          <w:rFonts w:ascii="Times New Roman" w:hAnsi="Times New Roman" w:cs="Times New Roman"/>
          <w:sz w:val="24"/>
          <w:szCs w:val="24"/>
        </w:rPr>
        <w:t xml:space="preserve"> 2011</w:t>
      </w:r>
      <w:r w:rsidRPr="00796D05">
        <w:rPr>
          <w:rFonts w:ascii="Times New Roman" w:hAnsi="Times New Roman" w:cs="Times New Roman"/>
          <w:sz w:val="24"/>
          <w:szCs w:val="24"/>
        </w:rPr>
        <w:t xml:space="preserve">). </w:t>
      </w:r>
    </w:p>
    <w:p w:rsidR="002E69C1" w:rsidRPr="00796D05" w:rsidRDefault="002E69C1" w:rsidP="00490E01">
      <w:pPr>
        <w:pStyle w:val="TSRCBody"/>
        <w:ind w:firstLine="0"/>
        <w:rPr>
          <w:rFonts w:ascii="Times New Roman" w:hAnsi="Times New Roman" w:cs="Times New Roman"/>
          <w:b/>
          <w:sz w:val="24"/>
          <w:szCs w:val="24"/>
        </w:rPr>
      </w:pPr>
      <w:r w:rsidRPr="00796D05">
        <w:rPr>
          <w:rFonts w:ascii="Times New Roman" w:hAnsi="Times New Roman" w:cs="Times New Roman"/>
          <w:b/>
          <w:sz w:val="24"/>
          <w:szCs w:val="24"/>
        </w:rPr>
        <w:t>Table 1 Here</w:t>
      </w:r>
    </w:p>
    <w:p w:rsidR="00CB588F" w:rsidRDefault="00CB588F" w:rsidP="00E5458B">
      <w:pPr>
        <w:pStyle w:val="TSRCBody"/>
        <w:ind w:firstLine="0"/>
        <w:rPr>
          <w:rFonts w:ascii="Times New Roman" w:hAnsi="Times New Roman" w:cs="Times New Roman"/>
          <w:sz w:val="24"/>
          <w:szCs w:val="24"/>
        </w:rPr>
      </w:pPr>
    </w:p>
    <w:p w:rsidR="00CB588F" w:rsidRPr="00E5458B" w:rsidRDefault="00CB588F" w:rsidP="00E5458B">
      <w:pPr>
        <w:pStyle w:val="TSRCBody"/>
        <w:ind w:firstLine="0"/>
        <w:rPr>
          <w:rFonts w:ascii="Times New Roman" w:hAnsi="Times New Roman" w:cs="Times New Roman"/>
          <w:i/>
          <w:sz w:val="24"/>
          <w:szCs w:val="24"/>
        </w:rPr>
      </w:pPr>
      <w:r w:rsidRPr="00E5458B">
        <w:rPr>
          <w:rFonts w:ascii="Times New Roman" w:hAnsi="Times New Roman" w:cs="Times New Roman"/>
          <w:i/>
          <w:sz w:val="24"/>
          <w:szCs w:val="24"/>
        </w:rPr>
        <w:t>Aggregate trends</w:t>
      </w:r>
      <w:r>
        <w:rPr>
          <w:rFonts w:ascii="Times New Roman" w:hAnsi="Times New Roman" w:cs="Times New Roman"/>
          <w:i/>
          <w:sz w:val="24"/>
          <w:szCs w:val="24"/>
        </w:rPr>
        <w:t xml:space="preserve"> in </w:t>
      </w:r>
      <w:proofErr w:type="spellStart"/>
      <w:r>
        <w:rPr>
          <w:rFonts w:ascii="Times New Roman" w:hAnsi="Times New Roman" w:cs="Times New Roman"/>
          <w:i/>
          <w:sz w:val="24"/>
          <w:szCs w:val="24"/>
        </w:rPr>
        <w:t>marketisation</w:t>
      </w:r>
      <w:proofErr w:type="spellEnd"/>
    </w:p>
    <w:p w:rsidR="002E69C1" w:rsidRPr="00796D05" w:rsidRDefault="002E69C1" w:rsidP="00E5458B">
      <w:pPr>
        <w:pStyle w:val="TSRCBody"/>
        <w:ind w:firstLine="0"/>
        <w:rPr>
          <w:rFonts w:ascii="Times New Roman" w:hAnsi="Times New Roman" w:cs="Times New Roman"/>
          <w:bCs/>
          <w:iCs/>
          <w:sz w:val="24"/>
          <w:szCs w:val="24"/>
        </w:rPr>
      </w:pPr>
      <w:r w:rsidRPr="00796D05">
        <w:rPr>
          <w:rFonts w:ascii="Times New Roman" w:hAnsi="Times New Roman" w:cs="Times New Roman"/>
          <w:sz w:val="24"/>
          <w:szCs w:val="24"/>
        </w:rPr>
        <w:t>While charities attracting commercial revenue is</w:t>
      </w:r>
      <w:r>
        <w:rPr>
          <w:rFonts w:ascii="Times New Roman" w:hAnsi="Times New Roman" w:cs="Times New Roman"/>
          <w:sz w:val="24"/>
          <w:szCs w:val="24"/>
        </w:rPr>
        <w:t xml:space="preserve"> not a new phenomenon (</w:t>
      </w:r>
      <w:r w:rsidR="002279CF">
        <w:rPr>
          <w:rFonts w:ascii="Times New Roman" w:hAnsi="Times New Roman" w:cs="Times New Roman"/>
          <w:sz w:val="24"/>
          <w:szCs w:val="24"/>
        </w:rPr>
        <w:t>Teasdale</w:t>
      </w:r>
      <w:r w:rsidR="00094F2A">
        <w:rPr>
          <w:rFonts w:ascii="Times New Roman" w:hAnsi="Times New Roman" w:cs="Times New Roman"/>
          <w:sz w:val="24"/>
          <w:szCs w:val="24"/>
        </w:rPr>
        <w:t xml:space="preserve"> </w:t>
      </w:r>
      <w:r w:rsidRPr="00796D05">
        <w:rPr>
          <w:rFonts w:ascii="Times New Roman" w:hAnsi="Times New Roman" w:cs="Times New Roman"/>
          <w:sz w:val="24"/>
          <w:szCs w:val="24"/>
        </w:rPr>
        <w:t>2010), it is widely accepted that their reliance on commercial sources has increased significantly since the 1970s, and now makes up the largest source of revenue in</w:t>
      </w:r>
      <w:r>
        <w:rPr>
          <w:rFonts w:ascii="Times New Roman" w:hAnsi="Times New Roman" w:cs="Times New Roman"/>
          <w:sz w:val="24"/>
          <w:szCs w:val="24"/>
        </w:rPr>
        <w:t xml:space="preserve"> both the US (</w:t>
      </w:r>
      <w:proofErr w:type="spellStart"/>
      <w:r>
        <w:rPr>
          <w:rFonts w:ascii="Times New Roman" w:hAnsi="Times New Roman" w:cs="Times New Roman"/>
          <w:sz w:val="24"/>
          <w:szCs w:val="24"/>
        </w:rPr>
        <w:t>Kerlin</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Pollak</w:t>
      </w:r>
      <w:proofErr w:type="spellEnd"/>
      <w:r w:rsidRPr="00796D05">
        <w:rPr>
          <w:rFonts w:ascii="Times New Roman" w:hAnsi="Times New Roman" w:cs="Times New Roman"/>
          <w:sz w:val="24"/>
          <w:szCs w:val="24"/>
        </w:rPr>
        <w:t xml:space="preserve"> 20</w:t>
      </w:r>
      <w:r>
        <w:rPr>
          <w:rFonts w:ascii="Times New Roman" w:hAnsi="Times New Roman" w:cs="Times New Roman"/>
          <w:sz w:val="24"/>
          <w:szCs w:val="24"/>
        </w:rPr>
        <w:t>11) and England and Wales (NCVO</w:t>
      </w:r>
      <w:r w:rsidRPr="00796D05">
        <w:rPr>
          <w:rFonts w:ascii="Times New Roman" w:hAnsi="Times New Roman" w:cs="Times New Roman"/>
          <w:sz w:val="24"/>
          <w:szCs w:val="24"/>
        </w:rPr>
        <w:t xml:space="preserve"> 2010). This trend is widely attributed in the United States to a decline in government grants and private contributions in the 1970s and 1980s leading nonprofits to p</w:t>
      </w:r>
      <w:r>
        <w:rPr>
          <w:rFonts w:ascii="Times New Roman" w:hAnsi="Times New Roman" w:cs="Times New Roman"/>
          <w:sz w:val="24"/>
          <w:szCs w:val="24"/>
        </w:rPr>
        <w:t xml:space="preserve">ursue new revenue sources (Dees 1998; </w:t>
      </w:r>
      <w:proofErr w:type="spellStart"/>
      <w:r>
        <w:rPr>
          <w:rFonts w:ascii="Times New Roman" w:hAnsi="Times New Roman" w:cs="Times New Roman"/>
          <w:sz w:val="24"/>
          <w:szCs w:val="24"/>
        </w:rPr>
        <w:t>Eikenberry</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Kluver</w:t>
      </w:r>
      <w:proofErr w:type="spellEnd"/>
      <w:r>
        <w:rPr>
          <w:rFonts w:ascii="Times New Roman" w:hAnsi="Times New Roman" w:cs="Times New Roman"/>
          <w:sz w:val="24"/>
          <w:szCs w:val="24"/>
        </w:rPr>
        <w:t xml:space="preserve"> 2004; </w:t>
      </w:r>
      <w:proofErr w:type="spellStart"/>
      <w:r>
        <w:rPr>
          <w:rFonts w:ascii="Times New Roman" w:hAnsi="Times New Roman" w:cs="Times New Roman"/>
          <w:sz w:val="24"/>
          <w:szCs w:val="24"/>
        </w:rPr>
        <w:t>Froelich</w:t>
      </w:r>
      <w:proofErr w:type="spellEnd"/>
      <w:r>
        <w:rPr>
          <w:rFonts w:ascii="Times New Roman" w:hAnsi="Times New Roman" w:cs="Times New Roman"/>
          <w:sz w:val="24"/>
          <w:szCs w:val="24"/>
        </w:rPr>
        <w:t xml:space="preserve"> 1999; </w:t>
      </w:r>
      <w:proofErr w:type="spellStart"/>
      <w:r>
        <w:rPr>
          <w:rFonts w:ascii="Times New Roman" w:hAnsi="Times New Roman" w:cs="Times New Roman"/>
          <w:sz w:val="24"/>
          <w:szCs w:val="24"/>
        </w:rPr>
        <w:t>Salamon</w:t>
      </w:r>
      <w:proofErr w:type="spellEnd"/>
      <w:r>
        <w:rPr>
          <w:rFonts w:ascii="Times New Roman" w:hAnsi="Times New Roman" w:cs="Times New Roman"/>
          <w:sz w:val="24"/>
          <w:szCs w:val="24"/>
        </w:rPr>
        <w:t xml:space="preserve"> 1993,</w:t>
      </w:r>
      <w:r w:rsidRPr="00796D05">
        <w:rPr>
          <w:rFonts w:ascii="Times New Roman" w:hAnsi="Times New Roman" w:cs="Times New Roman"/>
          <w:sz w:val="24"/>
          <w:szCs w:val="24"/>
        </w:rPr>
        <w:t xml:space="preserve"> 1997). </w:t>
      </w:r>
      <w:r w:rsidRPr="00796D05">
        <w:rPr>
          <w:rFonts w:ascii="Times New Roman" w:hAnsi="Times New Roman" w:cs="Times New Roman"/>
          <w:bCs/>
          <w:iCs/>
          <w:sz w:val="24"/>
          <w:szCs w:val="24"/>
        </w:rPr>
        <w:t>When counter posed with an aggregate increase</w:t>
      </w:r>
      <w:r>
        <w:rPr>
          <w:rFonts w:ascii="Times New Roman" w:hAnsi="Times New Roman" w:cs="Times New Roman"/>
          <w:bCs/>
          <w:iCs/>
          <w:sz w:val="24"/>
          <w:szCs w:val="24"/>
        </w:rPr>
        <w:t xml:space="preserve"> in </w:t>
      </w:r>
      <w:r>
        <w:rPr>
          <w:rFonts w:ascii="Times New Roman" w:hAnsi="Times New Roman" w:cs="Times New Roman"/>
          <w:bCs/>
          <w:iCs/>
          <w:sz w:val="24"/>
          <w:szCs w:val="24"/>
        </w:rPr>
        <w:lastRenderedPageBreak/>
        <w:t>commercial revenue (</w:t>
      </w:r>
      <w:proofErr w:type="spellStart"/>
      <w:r>
        <w:rPr>
          <w:rFonts w:ascii="Times New Roman" w:hAnsi="Times New Roman" w:cs="Times New Roman"/>
          <w:bCs/>
          <w:iCs/>
          <w:sz w:val="24"/>
          <w:szCs w:val="24"/>
        </w:rPr>
        <w:t>Salamon</w:t>
      </w:r>
      <w:proofErr w:type="spellEnd"/>
      <w:r w:rsidRPr="00796D05">
        <w:rPr>
          <w:rFonts w:ascii="Times New Roman" w:hAnsi="Times New Roman" w:cs="Times New Roman"/>
          <w:bCs/>
          <w:iCs/>
          <w:sz w:val="24"/>
          <w:szCs w:val="24"/>
        </w:rPr>
        <w:t xml:space="preserve"> 1997), an assumption is made that commercial revenue was (and more importantly, remained) a substitute for grants and donations for th</w:t>
      </w:r>
      <w:r>
        <w:rPr>
          <w:rFonts w:ascii="Times New Roman" w:hAnsi="Times New Roman" w:cs="Times New Roman"/>
          <w:bCs/>
          <w:iCs/>
          <w:sz w:val="24"/>
          <w:szCs w:val="24"/>
        </w:rPr>
        <w:t>e sector as a whole (Eikenberry</w:t>
      </w:r>
      <w:r w:rsidRPr="00796D05">
        <w:rPr>
          <w:rFonts w:ascii="Times New Roman" w:hAnsi="Times New Roman" w:cs="Times New Roman"/>
          <w:bCs/>
          <w:iCs/>
          <w:sz w:val="24"/>
          <w:szCs w:val="24"/>
        </w:rPr>
        <w:t xml:space="preserve"> 2009).</w:t>
      </w:r>
    </w:p>
    <w:p w:rsidR="002E69C1" w:rsidRPr="00796D05" w:rsidRDefault="002E69C1" w:rsidP="00490E01">
      <w:pPr>
        <w:pStyle w:val="TSRCBody"/>
        <w:ind w:firstLine="720"/>
        <w:rPr>
          <w:rFonts w:ascii="Times New Roman" w:hAnsi="Times New Roman" w:cs="Times New Roman"/>
          <w:sz w:val="24"/>
          <w:szCs w:val="24"/>
        </w:rPr>
      </w:pPr>
      <w:r w:rsidRPr="00796D05">
        <w:rPr>
          <w:rFonts w:ascii="Times New Roman" w:hAnsi="Times New Roman" w:cs="Times New Roman"/>
          <w:sz w:val="24"/>
          <w:szCs w:val="24"/>
        </w:rPr>
        <w:t xml:space="preserve">However, a systematic analysis of trends in </w:t>
      </w:r>
      <w:proofErr w:type="spellStart"/>
      <w:r w:rsidRPr="00796D05">
        <w:rPr>
          <w:rFonts w:ascii="Times New Roman" w:hAnsi="Times New Roman" w:cs="Times New Roman"/>
          <w:sz w:val="24"/>
          <w:szCs w:val="24"/>
        </w:rPr>
        <w:t>nonprofit</w:t>
      </w:r>
      <w:proofErr w:type="spellEnd"/>
      <w:r w:rsidRPr="00796D05">
        <w:rPr>
          <w:rFonts w:ascii="Times New Roman" w:hAnsi="Times New Roman" w:cs="Times New Roman"/>
          <w:sz w:val="24"/>
          <w:szCs w:val="24"/>
        </w:rPr>
        <w:t xml:space="preserve"> commercial activity in the US between 1982 and 2002 shows that while commercial revenue rose by 219% over the period, private donations and government grants also rose (by 197% and 169% r</w:t>
      </w:r>
      <w:r>
        <w:rPr>
          <w:rFonts w:ascii="Times New Roman" w:hAnsi="Times New Roman" w:cs="Times New Roman"/>
          <w:sz w:val="24"/>
          <w:szCs w:val="24"/>
        </w:rPr>
        <w:t>espectively) (</w:t>
      </w:r>
      <w:proofErr w:type="spellStart"/>
      <w:r>
        <w:rPr>
          <w:rFonts w:ascii="Times New Roman" w:hAnsi="Times New Roman" w:cs="Times New Roman"/>
          <w:sz w:val="24"/>
          <w:szCs w:val="24"/>
        </w:rPr>
        <w:t>Kerlin</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Pollak</w:t>
      </w:r>
      <w:proofErr w:type="spellEnd"/>
      <w:r>
        <w:rPr>
          <w:rFonts w:ascii="Times New Roman" w:hAnsi="Times New Roman" w:cs="Times New Roman"/>
          <w:sz w:val="24"/>
          <w:szCs w:val="24"/>
        </w:rPr>
        <w:t xml:space="preserve"> 2011</w:t>
      </w:r>
      <w:r w:rsidRPr="00796D05">
        <w:rPr>
          <w:rFonts w:ascii="Times New Roman" w:hAnsi="Times New Roman" w:cs="Times New Roman"/>
          <w:sz w:val="24"/>
          <w:szCs w:val="24"/>
        </w:rPr>
        <w:t>). Other studies are inconclusive, and have</w:t>
      </w:r>
      <w:r>
        <w:rPr>
          <w:rFonts w:ascii="Times New Roman" w:hAnsi="Times New Roman" w:cs="Times New Roman"/>
          <w:sz w:val="24"/>
          <w:szCs w:val="24"/>
        </w:rPr>
        <w:t xml:space="preserve"> drawn on small samples (</w:t>
      </w:r>
      <w:proofErr w:type="spellStart"/>
      <w:r>
        <w:rPr>
          <w:rFonts w:ascii="Times New Roman" w:hAnsi="Times New Roman" w:cs="Times New Roman"/>
          <w:sz w:val="24"/>
          <w:szCs w:val="24"/>
        </w:rPr>
        <w:t>LeRoux</w:t>
      </w:r>
      <w:proofErr w:type="spellEnd"/>
      <w:r w:rsidRPr="00796D05">
        <w:rPr>
          <w:rFonts w:ascii="Times New Roman" w:hAnsi="Times New Roman" w:cs="Times New Roman"/>
          <w:sz w:val="24"/>
          <w:szCs w:val="24"/>
        </w:rPr>
        <w:t xml:space="preserve"> 2005), focused on limited subfields within the se</w:t>
      </w:r>
      <w:r>
        <w:rPr>
          <w:rFonts w:ascii="Times New Roman" w:hAnsi="Times New Roman" w:cs="Times New Roman"/>
          <w:sz w:val="24"/>
          <w:szCs w:val="24"/>
        </w:rPr>
        <w:t>ctor (</w:t>
      </w:r>
      <w:proofErr w:type="spellStart"/>
      <w:r>
        <w:rPr>
          <w:rFonts w:ascii="Times New Roman" w:hAnsi="Times New Roman" w:cs="Times New Roman"/>
          <w:sz w:val="24"/>
          <w:szCs w:val="24"/>
        </w:rPr>
        <w:t>Guo</w:t>
      </w:r>
      <w:proofErr w:type="spellEnd"/>
      <w:r>
        <w:rPr>
          <w:rFonts w:ascii="Times New Roman" w:hAnsi="Times New Roman" w:cs="Times New Roman"/>
          <w:sz w:val="24"/>
          <w:szCs w:val="24"/>
        </w:rPr>
        <w:t xml:space="preserve"> 2006; </w:t>
      </w:r>
      <w:proofErr w:type="spellStart"/>
      <w:r>
        <w:rPr>
          <w:rFonts w:ascii="Times New Roman" w:hAnsi="Times New Roman" w:cs="Times New Roman"/>
          <w:sz w:val="24"/>
          <w:szCs w:val="24"/>
        </w:rPr>
        <w:t>Kingma</w:t>
      </w:r>
      <w:proofErr w:type="spellEnd"/>
      <w:r w:rsidRPr="00796D05">
        <w:rPr>
          <w:rFonts w:ascii="Times New Roman" w:hAnsi="Times New Roman" w:cs="Times New Roman"/>
          <w:sz w:val="24"/>
          <w:szCs w:val="24"/>
        </w:rPr>
        <w:t xml:space="preserve"> 1995), or relied on changes between two time points rather than attempting to </w:t>
      </w:r>
      <w:r>
        <w:rPr>
          <w:rFonts w:ascii="Times New Roman" w:hAnsi="Times New Roman" w:cs="Times New Roman"/>
          <w:sz w:val="24"/>
          <w:szCs w:val="24"/>
        </w:rPr>
        <w:t xml:space="preserve">show trends (Foster and </w:t>
      </w:r>
      <w:proofErr w:type="spellStart"/>
      <w:r>
        <w:rPr>
          <w:rFonts w:ascii="Times New Roman" w:hAnsi="Times New Roman" w:cs="Times New Roman"/>
          <w:sz w:val="24"/>
          <w:szCs w:val="24"/>
        </w:rPr>
        <w:t>Bradach</w:t>
      </w:r>
      <w:proofErr w:type="spellEnd"/>
      <w:r w:rsidRPr="00796D05">
        <w:rPr>
          <w:rFonts w:ascii="Times New Roman" w:hAnsi="Times New Roman" w:cs="Times New Roman"/>
          <w:sz w:val="24"/>
          <w:szCs w:val="24"/>
        </w:rPr>
        <w:t xml:space="preserve"> 2005</w:t>
      </w:r>
      <w:r w:rsidR="002279CF">
        <w:rPr>
          <w:rFonts w:ascii="Times New Roman" w:hAnsi="Times New Roman" w:cs="Times New Roman"/>
          <w:sz w:val="24"/>
          <w:szCs w:val="24"/>
        </w:rPr>
        <w:t>; Teasdale et al. 2013</w:t>
      </w:r>
      <w:r w:rsidRPr="00796D05">
        <w:rPr>
          <w:rFonts w:ascii="Times New Roman" w:hAnsi="Times New Roman" w:cs="Times New Roman"/>
          <w:sz w:val="24"/>
          <w:szCs w:val="24"/>
        </w:rPr>
        <w:t>). Thus the only reliable evidence we have is that in the US there has been a gradual increase in the proportion of revenue attracted from commercial sources by nonprofits. This has been accompanied by a real increase in government grants and private giving to nonprofits over the</w:t>
      </w:r>
      <w:r>
        <w:rPr>
          <w:rFonts w:ascii="Times New Roman" w:hAnsi="Times New Roman" w:cs="Times New Roman"/>
          <w:sz w:val="24"/>
          <w:szCs w:val="24"/>
        </w:rPr>
        <w:t xml:space="preserve"> same period (</w:t>
      </w:r>
      <w:proofErr w:type="spellStart"/>
      <w:r>
        <w:rPr>
          <w:rFonts w:ascii="Times New Roman" w:hAnsi="Times New Roman" w:cs="Times New Roman"/>
          <w:sz w:val="24"/>
          <w:szCs w:val="24"/>
        </w:rPr>
        <w:t>Kerlin</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Pollak</w:t>
      </w:r>
      <w:proofErr w:type="spellEnd"/>
      <w:r>
        <w:rPr>
          <w:rFonts w:ascii="Times New Roman" w:hAnsi="Times New Roman" w:cs="Times New Roman"/>
          <w:sz w:val="24"/>
          <w:szCs w:val="24"/>
        </w:rPr>
        <w:t xml:space="preserve"> 2011</w:t>
      </w:r>
      <w:r w:rsidRPr="00796D05">
        <w:rPr>
          <w:rFonts w:ascii="Times New Roman" w:hAnsi="Times New Roman" w:cs="Times New Roman"/>
          <w:sz w:val="24"/>
          <w:szCs w:val="24"/>
        </w:rPr>
        <w:t xml:space="preserve">). But the </w:t>
      </w:r>
      <w:proofErr w:type="spellStart"/>
      <w:r w:rsidRPr="00796D05">
        <w:rPr>
          <w:rFonts w:ascii="Times New Roman" w:hAnsi="Times New Roman" w:cs="Times New Roman"/>
          <w:sz w:val="24"/>
          <w:szCs w:val="24"/>
        </w:rPr>
        <w:t>marketisation</w:t>
      </w:r>
      <w:proofErr w:type="spellEnd"/>
      <w:r w:rsidRPr="00796D05">
        <w:rPr>
          <w:rFonts w:ascii="Times New Roman" w:hAnsi="Times New Roman" w:cs="Times New Roman"/>
          <w:sz w:val="24"/>
          <w:szCs w:val="24"/>
        </w:rPr>
        <w:t xml:space="preserve"> thesis implies more than a gradual trend for charities to increase the proportion of their income attracted from commercial revenue. The term </w:t>
      </w:r>
      <w:proofErr w:type="spellStart"/>
      <w:r w:rsidRPr="00796D05">
        <w:rPr>
          <w:rFonts w:ascii="Times New Roman" w:hAnsi="Times New Roman" w:cs="Times New Roman"/>
          <w:i/>
          <w:sz w:val="24"/>
          <w:szCs w:val="24"/>
        </w:rPr>
        <w:t>marketisation</w:t>
      </w:r>
      <w:proofErr w:type="spellEnd"/>
      <w:r w:rsidRPr="00796D05">
        <w:rPr>
          <w:rFonts w:ascii="Times New Roman" w:hAnsi="Times New Roman" w:cs="Times New Roman"/>
          <w:i/>
          <w:sz w:val="24"/>
          <w:szCs w:val="24"/>
        </w:rPr>
        <w:t xml:space="preserve"> </w:t>
      </w:r>
      <w:r w:rsidRPr="00796D05">
        <w:rPr>
          <w:rFonts w:ascii="Times New Roman" w:hAnsi="Times New Roman" w:cs="Times New Roman"/>
          <w:sz w:val="24"/>
          <w:szCs w:val="24"/>
        </w:rPr>
        <w:t>is used explicitly to refer to the</w:t>
      </w:r>
      <w:r w:rsidRPr="00796D05">
        <w:rPr>
          <w:rFonts w:ascii="Times New Roman" w:hAnsi="Times New Roman" w:cs="Times New Roman"/>
          <w:i/>
          <w:sz w:val="24"/>
          <w:szCs w:val="24"/>
        </w:rPr>
        <w:t xml:space="preserve"> substitution</w:t>
      </w:r>
      <w:r w:rsidRPr="00796D05">
        <w:rPr>
          <w:rFonts w:ascii="Times New Roman" w:hAnsi="Times New Roman" w:cs="Times New Roman"/>
          <w:sz w:val="24"/>
          <w:szCs w:val="24"/>
        </w:rPr>
        <w:t xml:space="preserve"> of traditional sources of </w:t>
      </w:r>
      <w:proofErr w:type="spellStart"/>
      <w:r w:rsidRPr="00796D05">
        <w:rPr>
          <w:rFonts w:ascii="Times New Roman" w:hAnsi="Times New Roman" w:cs="Times New Roman"/>
          <w:sz w:val="24"/>
          <w:szCs w:val="24"/>
        </w:rPr>
        <w:t>nonprofit</w:t>
      </w:r>
      <w:proofErr w:type="spellEnd"/>
      <w:r w:rsidRPr="00796D05">
        <w:rPr>
          <w:rFonts w:ascii="Times New Roman" w:hAnsi="Times New Roman" w:cs="Times New Roman"/>
          <w:sz w:val="24"/>
          <w:szCs w:val="24"/>
        </w:rPr>
        <w:t xml:space="preserve"> </w:t>
      </w:r>
      <w:proofErr w:type="gramStart"/>
      <w:r w:rsidRPr="00796D05">
        <w:rPr>
          <w:rFonts w:ascii="Times New Roman" w:hAnsi="Times New Roman" w:cs="Times New Roman"/>
          <w:sz w:val="24"/>
          <w:szCs w:val="24"/>
        </w:rPr>
        <w:t>funding, that is grants and donations,</w:t>
      </w:r>
      <w:proofErr w:type="gramEnd"/>
      <w:r w:rsidRPr="00796D05">
        <w:rPr>
          <w:rFonts w:ascii="Times New Roman" w:hAnsi="Times New Roman" w:cs="Times New Roman"/>
          <w:sz w:val="24"/>
          <w:szCs w:val="24"/>
        </w:rPr>
        <w:t xml:space="preserve"> by commercial </w:t>
      </w:r>
      <w:r>
        <w:rPr>
          <w:rFonts w:ascii="Times New Roman" w:hAnsi="Times New Roman" w:cs="Times New Roman"/>
          <w:sz w:val="24"/>
          <w:szCs w:val="24"/>
        </w:rPr>
        <w:t>revenues (</w:t>
      </w:r>
      <w:proofErr w:type="spellStart"/>
      <w:r>
        <w:rPr>
          <w:rFonts w:ascii="Times New Roman" w:hAnsi="Times New Roman" w:cs="Times New Roman"/>
          <w:sz w:val="24"/>
          <w:szCs w:val="24"/>
        </w:rPr>
        <w:t>Eikenberry</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Kluver</w:t>
      </w:r>
      <w:proofErr w:type="spellEnd"/>
      <w:r w:rsidRPr="00796D05">
        <w:rPr>
          <w:rFonts w:ascii="Times New Roman" w:hAnsi="Times New Roman" w:cs="Times New Roman"/>
          <w:sz w:val="24"/>
          <w:szCs w:val="24"/>
        </w:rPr>
        <w:t xml:space="preserve"> 2004).</w:t>
      </w:r>
    </w:p>
    <w:p w:rsidR="002E69C1" w:rsidRPr="00796D05" w:rsidRDefault="002E69C1" w:rsidP="00490E01">
      <w:pPr>
        <w:pStyle w:val="TSRCBody"/>
        <w:ind w:firstLine="720"/>
        <w:rPr>
          <w:rFonts w:ascii="Times New Roman" w:hAnsi="Times New Roman" w:cs="Times New Roman"/>
          <w:bCs/>
          <w:iCs/>
          <w:sz w:val="24"/>
          <w:szCs w:val="24"/>
        </w:rPr>
      </w:pPr>
      <w:r w:rsidRPr="00796D05">
        <w:rPr>
          <w:rFonts w:ascii="Times New Roman" w:hAnsi="Times New Roman" w:cs="Times New Roman"/>
          <w:bCs/>
          <w:iCs/>
          <w:sz w:val="24"/>
          <w:szCs w:val="24"/>
        </w:rPr>
        <w:t xml:space="preserve">In England and Wales the changing political and economic environment during the period of Labour government between 1997 and 2009 are likely to have impacted upon charities’ revenue streams. Nicholls (2010) shows that in the US foundations, such as the </w:t>
      </w:r>
      <w:proofErr w:type="spellStart"/>
      <w:r w:rsidRPr="00796D05">
        <w:rPr>
          <w:rFonts w:ascii="Times New Roman" w:hAnsi="Times New Roman" w:cs="Times New Roman"/>
          <w:bCs/>
          <w:iCs/>
          <w:sz w:val="24"/>
          <w:szCs w:val="24"/>
        </w:rPr>
        <w:t>Ashoka</w:t>
      </w:r>
      <w:proofErr w:type="spellEnd"/>
      <w:r w:rsidRPr="00796D05">
        <w:rPr>
          <w:rFonts w:ascii="Times New Roman" w:hAnsi="Times New Roman" w:cs="Times New Roman"/>
          <w:bCs/>
          <w:iCs/>
          <w:sz w:val="24"/>
          <w:szCs w:val="24"/>
        </w:rPr>
        <w:t xml:space="preserve"> and the </w:t>
      </w:r>
      <w:proofErr w:type="spellStart"/>
      <w:r w:rsidRPr="00796D05">
        <w:rPr>
          <w:rFonts w:ascii="Times New Roman" w:hAnsi="Times New Roman" w:cs="Times New Roman"/>
          <w:bCs/>
          <w:iCs/>
          <w:sz w:val="24"/>
          <w:szCs w:val="24"/>
        </w:rPr>
        <w:t>Skoll</w:t>
      </w:r>
      <w:proofErr w:type="spellEnd"/>
      <w:r w:rsidRPr="00796D05">
        <w:rPr>
          <w:rFonts w:ascii="Times New Roman" w:hAnsi="Times New Roman" w:cs="Times New Roman"/>
          <w:bCs/>
          <w:iCs/>
          <w:sz w:val="24"/>
          <w:szCs w:val="24"/>
        </w:rPr>
        <w:t xml:space="preserve"> Foundation, funded by the private sector, and promoting the market logics of that sector, are the dominant drivers of the commercialisation of nonprofits. He notes that a major difference in England and Wales is the enhanced role played by government in coercing charities to become more business-like. For example, major grant programmes designed to facilitate charities becoming more sustainable through attracting commercial revenues, and the government’s creation and funding of umbrella bodies to provide support to nonprofits attracting tra</w:t>
      </w:r>
      <w:r>
        <w:rPr>
          <w:rFonts w:ascii="Times New Roman" w:hAnsi="Times New Roman" w:cs="Times New Roman"/>
          <w:bCs/>
          <w:iCs/>
          <w:sz w:val="24"/>
          <w:szCs w:val="24"/>
        </w:rPr>
        <w:t xml:space="preserve">ding income (Carmel and </w:t>
      </w:r>
      <w:proofErr w:type="spellStart"/>
      <w:r>
        <w:rPr>
          <w:rFonts w:ascii="Times New Roman" w:hAnsi="Times New Roman" w:cs="Times New Roman"/>
          <w:bCs/>
          <w:iCs/>
          <w:sz w:val="24"/>
          <w:szCs w:val="24"/>
        </w:rPr>
        <w:t>Harlock</w:t>
      </w:r>
      <w:proofErr w:type="spellEnd"/>
      <w:r>
        <w:rPr>
          <w:rFonts w:ascii="Times New Roman" w:hAnsi="Times New Roman" w:cs="Times New Roman"/>
          <w:bCs/>
          <w:iCs/>
          <w:sz w:val="24"/>
          <w:szCs w:val="24"/>
        </w:rPr>
        <w:t xml:space="preserve"> 2008; </w:t>
      </w:r>
      <w:proofErr w:type="spellStart"/>
      <w:r>
        <w:rPr>
          <w:rFonts w:ascii="Times New Roman" w:hAnsi="Times New Roman" w:cs="Times New Roman"/>
          <w:bCs/>
          <w:iCs/>
          <w:sz w:val="24"/>
          <w:szCs w:val="24"/>
        </w:rPr>
        <w:t>Haugh</w:t>
      </w:r>
      <w:proofErr w:type="spellEnd"/>
      <w:r>
        <w:rPr>
          <w:rFonts w:ascii="Times New Roman" w:hAnsi="Times New Roman" w:cs="Times New Roman"/>
          <w:bCs/>
          <w:iCs/>
          <w:sz w:val="24"/>
          <w:szCs w:val="24"/>
        </w:rPr>
        <w:t xml:space="preserve"> and </w:t>
      </w:r>
      <w:proofErr w:type="spellStart"/>
      <w:r>
        <w:rPr>
          <w:rFonts w:ascii="Times New Roman" w:hAnsi="Times New Roman" w:cs="Times New Roman"/>
          <w:bCs/>
          <w:iCs/>
          <w:sz w:val="24"/>
          <w:szCs w:val="24"/>
        </w:rPr>
        <w:t>Kitson</w:t>
      </w:r>
      <w:proofErr w:type="spellEnd"/>
      <w:r w:rsidRPr="00796D05">
        <w:rPr>
          <w:rFonts w:ascii="Times New Roman" w:hAnsi="Times New Roman" w:cs="Times New Roman"/>
          <w:bCs/>
          <w:iCs/>
          <w:sz w:val="24"/>
          <w:szCs w:val="24"/>
        </w:rPr>
        <w:t xml:space="preserve"> 2007). </w:t>
      </w:r>
    </w:p>
    <w:p w:rsidR="00BE74AB" w:rsidRDefault="002E69C1" w:rsidP="00490E01">
      <w:pPr>
        <w:pStyle w:val="TSRCBody"/>
        <w:ind w:firstLine="720"/>
        <w:rPr>
          <w:rFonts w:ascii="Times New Roman" w:hAnsi="Times New Roman" w:cs="Times New Roman"/>
          <w:bCs/>
          <w:iCs/>
          <w:sz w:val="24"/>
          <w:szCs w:val="24"/>
        </w:rPr>
      </w:pPr>
      <w:r w:rsidRPr="00796D05">
        <w:rPr>
          <w:rFonts w:ascii="Times New Roman" w:hAnsi="Times New Roman" w:cs="Times New Roman"/>
          <w:bCs/>
          <w:iCs/>
          <w:sz w:val="24"/>
          <w:szCs w:val="24"/>
        </w:rPr>
        <w:t>A second institutional driver is the changing way in which government funds nonprofits in England and Wales. Under the recent New Labour government there was a pervasive belief that charities and other third sector organisations were best placed to deliver public services due to their responsiveness to</w:t>
      </w:r>
      <w:r>
        <w:rPr>
          <w:rFonts w:ascii="Times New Roman" w:hAnsi="Times New Roman" w:cs="Times New Roman"/>
          <w:bCs/>
          <w:iCs/>
          <w:sz w:val="24"/>
          <w:szCs w:val="24"/>
        </w:rPr>
        <w:t xml:space="preserve"> the consumer (</w:t>
      </w:r>
      <w:proofErr w:type="spellStart"/>
      <w:r>
        <w:rPr>
          <w:rFonts w:ascii="Times New Roman" w:hAnsi="Times New Roman" w:cs="Times New Roman"/>
          <w:bCs/>
          <w:iCs/>
          <w:sz w:val="24"/>
          <w:szCs w:val="24"/>
        </w:rPr>
        <w:t>Haugh</w:t>
      </w:r>
      <w:proofErr w:type="spellEnd"/>
      <w:r>
        <w:rPr>
          <w:rFonts w:ascii="Times New Roman" w:hAnsi="Times New Roman" w:cs="Times New Roman"/>
          <w:bCs/>
          <w:iCs/>
          <w:sz w:val="24"/>
          <w:szCs w:val="24"/>
        </w:rPr>
        <w:t xml:space="preserve"> and </w:t>
      </w:r>
      <w:proofErr w:type="spellStart"/>
      <w:r>
        <w:rPr>
          <w:rFonts w:ascii="Times New Roman" w:hAnsi="Times New Roman" w:cs="Times New Roman"/>
          <w:bCs/>
          <w:iCs/>
          <w:sz w:val="24"/>
          <w:szCs w:val="24"/>
        </w:rPr>
        <w:t>Kitson</w:t>
      </w:r>
      <w:proofErr w:type="spellEnd"/>
      <w:r w:rsidRPr="00796D05">
        <w:rPr>
          <w:rFonts w:ascii="Times New Roman" w:hAnsi="Times New Roman" w:cs="Times New Roman"/>
          <w:bCs/>
          <w:iCs/>
          <w:sz w:val="24"/>
          <w:szCs w:val="24"/>
        </w:rPr>
        <w:t xml:space="preserve"> 2007). As the process of opening up public service delivery to a wider range of private and non-profit providers gathered pace in the new millennium, many charities saw increasing shares of their </w:t>
      </w:r>
      <w:r w:rsidRPr="00796D05">
        <w:rPr>
          <w:rFonts w:ascii="Times New Roman" w:hAnsi="Times New Roman" w:cs="Times New Roman"/>
          <w:bCs/>
          <w:iCs/>
          <w:sz w:val="24"/>
          <w:szCs w:val="24"/>
        </w:rPr>
        <w:lastRenderedPageBreak/>
        <w:t>income derived through governmen</w:t>
      </w:r>
      <w:r>
        <w:rPr>
          <w:rFonts w:ascii="Times New Roman" w:hAnsi="Times New Roman" w:cs="Times New Roman"/>
          <w:bCs/>
          <w:iCs/>
          <w:sz w:val="24"/>
          <w:szCs w:val="24"/>
        </w:rPr>
        <w:t xml:space="preserve">t contracts (Carmel and </w:t>
      </w:r>
      <w:proofErr w:type="spellStart"/>
      <w:r>
        <w:rPr>
          <w:rFonts w:ascii="Times New Roman" w:hAnsi="Times New Roman" w:cs="Times New Roman"/>
          <w:bCs/>
          <w:iCs/>
          <w:sz w:val="24"/>
          <w:szCs w:val="24"/>
        </w:rPr>
        <w:t>Horlock</w:t>
      </w:r>
      <w:proofErr w:type="spellEnd"/>
      <w:r w:rsidRPr="00796D05">
        <w:rPr>
          <w:rFonts w:ascii="Times New Roman" w:hAnsi="Times New Roman" w:cs="Times New Roman"/>
          <w:bCs/>
          <w:iCs/>
          <w:sz w:val="24"/>
          <w:szCs w:val="24"/>
        </w:rPr>
        <w:t xml:space="preserve"> 2008). Together these institutional drivers would suggest that under New Labour, charities in England and Wales have been ‘encouraged’ to replace grants and donations with commercial income, whether through the delivery of government contracts or the private sale of goods and services.</w:t>
      </w:r>
      <w:r w:rsidR="00F37CB5">
        <w:rPr>
          <w:rFonts w:ascii="Times New Roman" w:hAnsi="Times New Roman" w:cs="Times New Roman"/>
          <w:bCs/>
          <w:iCs/>
          <w:sz w:val="24"/>
          <w:szCs w:val="24"/>
        </w:rPr>
        <w:t xml:space="preserve"> </w:t>
      </w:r>
      <w:r w:rsidR="00BE74AB">
        <w:rPr>
          <w:rFonts w:ascii="Times New Roman" w:hAnsi="Times New Roman" w:cs="Times New Roman"/>
          <w:bCs/>
          <w:iCs/>
          <w:sz w:val="24"/>
          <w:szCs w:val="24"/>
        </w:rPr>
        <w:t xml:space="preserve">This policy trend has been continued, or even accelerated under a Conservative led coalition government. The Public Services (Social Value) Act was originally intended to enable charities and social enterprises to play an even greater role in the delivery of publicly funded services (Teasdale, </w:t>
      </w:r>
      <w:proofErr w:type="spellStart"/>
      <w:r w:rsidR="00BE74AB">
        <w:rPr>
          <w:rFonts w:ascii="Times New Roman" w:hAnsi="Times New Roman" w:cs="Times New Roman"/>
          <w:bCs/>
          <w:iCs/>
          <w:sz w:val="24"/>
          <w:szCs w:val="24"/>
        </w:rPr>
        <w:t>Alcock</w:t>
      </w:r>
      <w:proofErr w:type="spellEnd"/>
      <w:r w:rsidR="00BE74AB">
        <w:rPr>
          <w:rFonts w:ascii="Times New Roman" w:hAnsi="Times New Roman" w:cs="Times New Roman"/>
          <w:bCs/>
          <w:iCs/>
          <w:sz w:val="24"/>
          <w:szCs w:val="24"/>
        </w:rPr>
        <w:t xml:space="preserve"> and Smith 2012). Policy measures such as Big Society Capital aim to encourage social investment into charities and social enterprises enabling them to behave more like private firms and scale up in order to repay loan finance. </w:t>
      </w:r>
    </w:p>
    <w:p w:rsidR="002E69C1" w:rsidRPr="00796D05" w:rsidRDefault="00F37CB5" w:rsidP="00490E01">
      <w:pPr>
        <w:pStyle w:val="TSRCBody"/>
        <w:ind w:firstLine="720"/>
        <w:rPr>
          <w:rFonts w:ascii="Times New Roman" w:hAnsi="Times New Roman" w:cs="Times New Roman"/>
          <w:bCs/>
          <w:iCs/>
          <w:sz w:val="24"/>
          <w:szCs w:val="24"/>
        </w:rPr>
      </w:pPr>
      <w:r>
        <w:rPr>
          <w:rFonts w:ascii="Times New Roman" w:hAnsi="Times New Roman" w:cs="Times New Roman"/>
          <w:bCs/>
          <w:iCs/>
          <w:sz w:val="24"/>
          <w:szCs w:val="24"/>
        </w:rPr>
        <w:t xml:space="preserve">However there are also </w:t>
      </w:r>
      <w:r w:rsidR="00C95DF5">
        <w:rPr>
          <w:rFonts w:ascii="Times New Roman" w:hAnsi="Times New Roman" w:cs="Times New Roman"/>
          <w:bCs/>
          <w:iCs/>
          <w:sz w:val="24"/>
          <w:szCs w:val="24"/>
        </w:rPr>
        <w:t>opposing</w:t>
      </w:r>
      <w:r>
        <w:rPr>
          <w:rFonts w:ascii="Times New Roman" w:hAnsi="Times New Roman" w:cs="Times New Roman"/>
          <w:bCs/>
          <w:iCs/>
          <w:sz w:val="24"/>
          <w:szCs w:val="24"/>
        </w:rPr>
        <w:t xml:space="preserve"> (or even complementary) trends </w:t>
      </w:r>
      <w:r w:rsidR="00BE74AB">
        <w:rPr>
          <w:rFonts w:ascii="Times New Roman" w:hAnsi="Times New Roman" w:cs="Times New Roman"/>
          <w:bCs/>
          <w:iCs/>
          <w:sz w:val="24"/>
          <w:szCs w:val="24"/>
        </w:rPr>
        <w:t xml:space="preserve">which aim to encourage more traditional civil society logics such as self-help, community development, and philanthropy. </w:t>
      </w:r>
      <w:r w:rsidR="00C95DF5">
        <w:rPr>
          <w:rFonts w:ascii="Times New Roman" w:hAnsi="Times New Roman" w:cs="Times New Roman"/>
          <w:bCs/>
          <w:iCs/>
          <w:sz w:val="24"/>
          <w:szCs w:val="24"/>
        </w:rPr>
        <w:t xml:space="preserve">At the level of the European Union a recent policy focus on social innovation </w:t>
      </w:r>
      <w:r w:rsidR="006B777B">
        <w:rPr>
          <w:rFonts w:ascii="Times New Roman" w:hAnsi="Times New Roman" w:cs="Times New Roman"/>
          <w:bCs/>
          <w:iCs/>
          <w:sz w:val="24"/>
          <w:szCs w:val="24"/>
        </w:rPr>
        <w:t>sometimes goes beyond marketization to stress</w:t>
      </w:r>
      <w:r w:rsidR="00C95DF5">
        <w:rPr>
          <w:rFonts w:ascii="Times New Roman" w:hAnsi="Times New Roman" w:cs="Times New Roman"/>
          <w:bCs/>
          <w:iCs/>
          <w:sz w:val="24"/>
          <w:szCs w:val="24"/>
        </w:rPr>
        <w:t xml:space="preserve"> the role of citizen engagement (Davies and Simon 2013) and new approaches to increase charitable giving such as crowd funding (</w:t>
      </w:r>
      <w:proofErr w:type="spellStart"/>
      <w:r w:rsidR="00C95DF5">
        <w:rPr>
          <w:rFonts w:ascii="Times New Roman" w:hAnsi="Times New Roman" w:cs="Times New Roman"/>
          <w:bCs/>
          <w:iCs/>
          <w:sz w:val="24"/>
          <w:szCs w:val="24"/>
        </w:rPr>
        <w:t>Caulier</w:t>
      </w:r>
      <w:proofErr w:type="spellEnd"/>
      <w:r w:rsidR="00C95DF5">
        <w:rPr>
          <w:rFonts w:ascii="Times New Roman" w:hAnsi="Times New Roman" w:cs="Times New Roman"/>
          <w:bCs/>
          <w:iCs/>
          <w:sz w:val="24"/>
          <w:szCs w:val="24"/>
        </w:rPr>
        <w:t xml:space="preserve">-Grice et al. 2013). </w:t>
      </w:r>
      <w:r w:rsidR="00C95DF5">
        <w:rPr>
          <w:rFonts w:ascii="Times New Roman" w:hAnsi="Times New Roman" w:cs="Times New Roman"/>
          <w:sz w:val="24"/>
          <w:szCs w:val="24"/>
        </w:rPr>
        <w:t>Similarly one</w:t>
      </w:r>
      <w:r w:rsidR="00C95DF5" w:rsidRPr="00BD6D47">
        <w:rPr>
          <w:rFonts w:ascii="Times New Roman" w:hAnsi="Times New Roman" w:cs="Times New Roman"/>
          <w:sz w:val="24"/>
          <w:szCs w:val="24"/>
        </w:rPr>
        <w:t xml:space="preserve"> aspect of the Big Society emphasised in the </w:t>
      </w:r>
      <w:r w:rsidR="00C95DF5" w:rsidRPr="000856B2">
        <w:rPr>
          <w:rFonts w:ascii="Times New Roman" w:hAnsi="Times New Roman" w:cs="Times New Roman"/>
          <w:i/>
          <w:sz w:val="24"/>
          <w:szCs w:val="24"/>
        </w:rPr>
        <w:t>Giving</w:t>
      </w:r>
      <w:r w:rsidR="00C95DF5" w:rsidRPr="00BD6D47">
        <w:rPr>
          <w:rFonts w:ascii="Times New Roman" w:hAnsi="Times New Roman" w:cs="Times New Roman"/>
          <w:sz w:val="24"/>
          <w:szCs w:val="24"/>
        </w:rPr>
        <w:t xml:space="preserve"> White Paper released by the Cabinet Office (2011) involves encouraging greater giving to charities. An implicit assumption </w:t>
      </w:r>
      <w:r w:rsidR="00C95DF5">
        <w:rPr>
          <w:rFonts w:ascii="Times New Roman" w:hAnsi="Times New Roman" w:cs="Times New Roman"/>
          <w:sz w:val="24"/>
          <w:szCs w:val="24"/>
        </w:rPr>
        <w:t xml:space="preserve">of this dual approach to increasing funds available to non-profits through commercial revenue and philanthropy </w:t>
      </w:r>
      <w:r w:rsidR="00C95DF5" w:rsidRPr="00BD6D47">
        <w:rPr>
          <w:rFonts w:ascii="Times New Roman" w:hAnsi="Times New Roman" w:cs="Times New Roman"/>
          <w:sz w:val="24"/>
          <w:szCs w:val="24"/>
        </w:rPr>
        <w:t xml:space="preserve">is </w:t>
      </w:r>
      <w:r w:rsidR="00C95DF5">
        <w:rPr>
          <w:rFonts w:ascii="Times New Roman" w:hAnsi="Times New Roman" w:cs="Times New Roman"/>
          <w:sz w:val="24"/>
          <w:szCs w:val="24"/>
        </w:rPr>
        <w:t xml:space="preserve">that for individual charities, </w:t>
      </w:r>
      <w:r w:rsidR="00C95DF5" w:rsidRPr="00BD6D47">
        <w:rPr>
          <w:rFonts w:ascii="Times New Roman" w:hAnsi="Times New Roman" w:cs="Times New Roman"/>
          <w:sz w:val="24"/>
          <w:szCs w:val="24"/>
        </w:rPr>
        <w:t>commercial revenue and priv</w:t>
      </w:r>
      <w:r w:rsidR="00C95DF5">
        <w:rPr>
          <w:rFonts w:ascii="Times New Roman" w:hAnsi="Times New Roman" w:cs="Times New Roman"/>
          <w:sz w:val="24"/>
          <w:szCs w:val="24"/>
        </w:rPr>
        <w:t>ate donations are complementary.</w:t>
      </w:r>
    </w:p>
    <w:p w:rsidR="002E69C1" w:rsidRPr="00796D05" w:rsidRDefault="002E69C1" w:rsidP="00490E01">
      <w:pPr>
        <w:pStyle w:val="TSRCBody"/>
        <w:ind w:firstLine="720"/>
        <w:rPr>
          <w:rFonts w:ascii="Times New Roman" w:hAnsi="Times New Roman" w:cs="Times New Roman"/>
          <w:sz w:val="24"/>
          <w:szCs w:val="24"/>
        </w:rPr>
      </w:pPr>
      <w:r w:rsidRPr="00796D05">
        <w:rPr>
          <w:rFonts w:ascii="Times New Roman" w:hAnsi="Times New Roman" w:cs="Times New Roman"/>
          <w:sz w:val="24"/>
          <w:szCs w:val="24"/>
        </w:rPr>
        <w:t xml:space="preserve">In England and Wales the annual Almanacs produced by NCVO (see NCVO, 2010) do demonstrate a gradual increase in reliance on commercial sources of revenue by charities since 2001 (see Figure 1). As in the US this increase in commercial revenue has been accompanied by a slightly smaller real terms increase in government and private giving to nonprofits. It would appear then that for the aggregate population of charities, commercial revenue and grants and donations are complementary as both sources have risen in tandem. </w:t>
      </w:r>
    </w:p>
    <w:p w:rsidR="002E69C1" w:rsidRDefault="002E69C1" w:rsidP="00490E01">
      <w:pPr>
        <w:pStyle w:val="TSRCBody"/>
        <w:ind w:firstLine="0"/>
        <w:rPr>
          <w:rFonts w:ascii="Times New Roman" w:hAnsi="Times New Roman" w:cs="Times New Roman"/>
          <w:b/>
          <w:sz w:val="24"/>
          <w:szCs w:val="24"/>
        </w:rPr>
      </w:pPr>
      <w:r w:rsidRPr="00796D05">
        <w:rPr>
          <w:rFonts w:ascii="Times New Roman" w:hAnsi="Times New Roman" w:cs="Times New Roman"/>
          <w:b/>
          <w:sz w:val="24"/>
          <w:szCs w:val="24"/>
        </w:rPr>
        <w:t>Figure 1 Here</w:t>
      </w:r>
    </w:p>
    <w:p w:rsidR="00CB588F" w:rsidRPr="00E5458B" w:rsidRDefault="00CB588F" w:rsidP="00490E01">
      <w:pPr>
        <w:pStyle w:val="TSRCBody"/>
        <w:ind w:firstLine="0"/>
        <w:rPr>
          <w:rFonts w:ascii="Times New Roman" w:hAnsi="Times New Roman" w:cs="Times New Roman"/>
          <w:i/>
          <w:sz w:val="24"/>
          <w:szCs w:val="24"/>
        </w:rPr>
      </w:pPr>
      <w:r w:rsidRPr="00E5458B">
        <w:rPr>
          <w:rFonts w:ascii="Times New Roman" w:hAnsi="Times New Roman" w:cs="Times New Roman"/>
          <w:i/>
          <w:sz w:val="24"/>
          <w:szCs w:val="24"/>
        </w:rPr>
        <w:t>What is happening at the organisational level?</w:t>
      </w:r>
    </w:p>
    <w:p w:rsidR="002E69C1" w:rsidRPr="00796D05" w:rsidRDefault="002E69C1" w:rsidP="00E5458B">
      <w:pPr>
        <w:pStyle w:val="TSRCFirstBody"/>
        <w:rPr>
          <w:rFonts w:ascii="Times New Roman" w:hAnsi="Times New Roman" w:cs="Times New Roman"/>
          <w:sz w:val="24"/>
          <w:szCs w:val="24"/>
        </w:rPr>
      </w:pPr>
      <w:r w:rsidRPr="00796D05">
        <w:rPr>
          <w:rFonts w:ascii="Times New Roman" w:hAnsi="Times New Roman" w:cs="Times New Roman"/>
          <w:sz w:val="24"/>
          <w:szCs w:val="24"/>
        </w:rPr>
        <w:t>However it is not clear how the different income sources interact at the level of the individual charity. This is in part because, as in the U</w:t>
      </w:r>
      <w:r>
        <w:rPr>
          <w:rFonts w:ascii="Times New Roman" w:hAnsi="Times New Roman" w:cs="Times New Roman"/>
          <w:sz w:val="24"/>
          <w:szCs w:val="24"/>
        </w:rPr>
        <w:t>nited States (</w:t>
      </w:r>
      <w:proofErr w:type="spellStart"/>
      <w:r>
        <w:rPr>
          <w:rFonts w:ascii="Times New Roman" w:hAnsi="Times New Roman" w:cs="Times New Roman"/>
          <w:sz w:val="24"/>
          <w:szCs w:val="24"/>
        </w:rPr>
        <w:t>Kerlin</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Pollak</w:t>
      </w:r>
      <w:proofErr w:type="spellEnd"/>
      <w:r>
        <w:rPr>
          <w:rFonts w:ascii="Times New Roman" w:hAnsi="Times New Roman" w:cs="Times New Roman"/>
          <w:sz w:val="24"/>
          <w:szCs w:val="24"/>
        </w:rPr>
        <w:t xml:space="preserve"> 2011</w:t>
      </w:r>
      <w:r w:rsidRPr="00796D05">
        <w:rPr>
          <w:rFonts w:ascii="Times New Roman" w:hAnsi="Times New Roman" w:cs="Times New Roman"/>
          <w:sz w:val="24"/>
          <w:szCs w:val="24"/>
        </w:rPr>
        <w:t>), the number of charities has also increased over the same t</w:t>
      </w:r>
      <w:r>
        <w:rPr>
          <w:rFonts w:ascii="Times New Roman" w:hAnsi="Times New Roman" w:cs="Times New Roman"/>
          <w:sz w:val="24"/>
          <w:szCs w:val="24"/>
        </w:rPr>
        <w:t>ime period.</w:t>
      </w:r>
      <w:r w:rsidRPr="00796D05">
        <w:rPr>
          <w:rFonts w:ascii="Times New Roman" w:hAnsi="Times New Roman" w:cs="Times New Roman"/>
          <w:sz w:val="24"/>
          <w:szCs w:val="24"/>
        </w:rPr>
        <w:t xml:space="preserve"> </w:t>
      </w:r>
      <w:r>
        <w:rPr>
          <w:rFonts w:ascii="Times New Roman" w:hAnsi="Times New Roman" w:cs="Times New Roman"/>
          <w:sz w:val="24"/>
          <w:szCs w:val="24"/>
        </w:rPr>
        <w:t>Thus</w:t>
      </w:r>
      <w:r w:rsidRPr="00796D05">
        <w:rPr>
          <w:rFonts w:ascii="Times New Roman" w:hAnsi="Times New Roman" w:cs="Times New Roman"/>
          <w:sz w:val="24"/>
          <w:szCs w:val="24"/>
        </w:rPr>
        <w:t xml:space="preserve"> demand for grants and donations (and indeed commercial revenue) may have risen faster than supply. Moreover, the period for which data is available has seen a dramatic increase in the aggregate funding available to charities, much of which came from statutory sources at a time when charities </w:t>
      </w:r>
      <w:r w:rsidRPr="00796D05">
        <w:rPr>
          <w:rFonts w:ascii="Times New Roman" w:hAnsi="Times New Roman" w:cs="Times New Roman"/>
          <w:sz w:val="24"/>
          <w:szCs w:val="24"/>
        </w:rPr>
        <w:lastRenderedPageBreak/>
        <w:t>became a significant player in social and economic policy for</w:t>
      </w:r>
      <w:r>
        <w:rPr>
          <w:rFonts w:ascii="Times New Roman" w:hAnsi="Times New Roman" w:cs="Times New Roman"/>
          <w:sz w:val="24"/>
          <w:szCs w:val="24"/>
        </w:rPr>
        <w:t xml:space="preserve"> the first time (Clifford et al. 2010; </w:t>
      </w:r>
      <w:proofErr w:type="spellStart"/>
      <w:r>
        <w:rPr>
          <w:rFonts w:ascii="Times New Roman" w:hAnsi="Times New Roman" w:cs="Times New Roman"/>
          <w:sz w:val="24"/>
          <w:szCs w:val="24"/>
        </w:rPr>
        <w:t>Haugh</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Kitson</w:t>
      </w:r>
      <w:proofErr w:type="spellEnd"/>
      <w:r w:rsidRPr="00796D05">
        <w:rPr>
          <w:rFonts w:ascii="Times New Roman" w:hAnsi="Times New Roman" w:cs="Times New Roman"/>
          <w:sz w:val="24"/>
          <w:szCs w:val="24"/>
        </w:rPr>
        <w:t xml:space="preserve"> 2007). </w:t>
      </w:r>
    </w:p>
    <w:p w:rsidR="002E69C1" w:rsidRPr="00796D05" w:rsidRDefault="002E69C1" w:rsidP="00490E01">
      <w:pPr>
        <w:pStyle w:val="TSRCBody"/>
        <w:ind w:firstLine="720"/>
        <w:rPr>
          <w:rFonts w:ascii="Times New Roman" w:hAnsi="Times New Roman" w:cs="Times New Roman"/>
          <w:sz w:val="24"/>
          <w:szCs w:val="24"/>
        </w:rPr>
      </w:pPr>
      <w:r w:rsidRPr="00796D05">
        <w:rPr>
          <w:rFonts w:ascii="Times New Roman" w:hAnsi="Times New Roman" w:cs="Times New Roman"/>
          <w:sz w:val="24"/>
          <w:szCs w:val="24"/>
        </w:rPr>
        <w:t xml:space="preserve">Nonetheless, it might be that diversification of revenue streams offers net benefits to charities. </w:t>
      </w:r>
      <w:proofErr w:type="spellStart"/>
      <w:r w:rsidRPr="00796D05">
        <w:rPr>
          <w:rFonts w:ascii="Times New Roman" w:hAnsi="Times New Roman" w:cs="Times New Roman"/>
          <w:sz w:val="24"/>
          <w:szCs w:val="24"/>
        </w:rPr>
        <w:t>Froelich</w:t>
      </w:r>
      <w:proofErr w:type="spellEnd"/>
      <w:r w:rsidRPr="00796D05">
        <w:rPr>
          <w:rFonts w:ascii="Times New Roman" w:hAnsi="Times New Roman" w:cs="Times New Roman"/>
          <w:sz w:val="24"/>
          <w:szCs w:val="24"/>
        </w:rPr>
        <w:t xml:space="preserve"> (1999) argues that commercial income shows only moderate revenue volatili</w:t>
      </w:r>
      <w:r>
        <w:rPr>
          <w:rFonts w:ascii="Times New Roman" w:hAnsi="Times New Roman" w:cs="Times New Roman"/>
          <w:sz w:val="24"/>
          <w:szCs w:val="24"/>
        </w:rPr>
        <w:t xml:space="preserve">ty (see also Carroll and </w:t>
      </w:r>
      <w:proofErr w:type="spellStart"/>
      <w:r>
        <w:rPr>
          <w:rFonts w:ascii="Times New Roman" w:hAnsi="Times New Roman" w:cs="Times New Roman"/>
          <w:sz w:val="24"/>
          <w:szCs w:val="24"/>
        </w:rPr>
        <w:t>Stater</w:t>
      </w:r>
      <w:proofErr w:type="spellEnd"/>
      <w:r w:rsidRPr="00796D05">
        <w:rPr>
          <w:rFonts w:ascii="Times New Roman" w:hAnsi="Times New Roman" w:cs="Times New Roman"/>
          <w:sz w:val="24"/>
          <w:szCs w:val="24"/>
        </w:rPr>
        <w:t xml:space="preserve"> 2009), and is the most flexible and least restrictive source of income available to nonprofits. From this perspective, pursuing commercial revenue is a rational diversification to reduc</w:t>
      </w:r>
      <w:r>
        <w:rPr>
          <w:rFonts w:ascii="Times New Roman" w:hAnsi="Times New Roman" w:cs="Times New Roman"/>
          <w:sz w:val="24"/>
          <w:szCs w:val="24"/>
        </w:rPr>
        <w:t>e resource dependence (</w:t>
      </w:r>
      <w:proofErr w:type="spellStart"/>
      <w:r>
        <w:rPr>
          <w:rFonts w:ascii="Times New Roman" w:hAnsi="Times New Roman" w:cs="Times New Roman"/>
          <w:sz w:val="24"/>
          <w:szCs w:val="24"/>
        </w:rPr>
        <w:t>Froelich</w:t>
      </w:r>
      <w:proofErr w:type="spellEnd"/>
      <w:r>
        <w:rPr>
          <w:rFonts w:ascii="Times New Roman" w:hAnsi="Times New Roman" w:cs="Times New Roman"/>
          <w:sz w:val="24"/>
          <w:szCs w:val="24"/>
        </w:rPr>
        <w:t xml:space="preserve"> 1999; </w:t>
      </w:r>
      <w:proofErr w:type="spellStart"/>
      <w:r>
        <w:rPr>
          <w:rFonts w:ascii="Times New Roman" w:hAnsi="Times New Roman" w:cs="Times New Roman"/>
          <w:sz w:val="24"/>
          <w:szCs w:val="24"/>
        </w:rPr>
        <w:t>Caroll</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Stater</w:t>
      </w:r>
      <w:proofErr w:type="spellEnd"/>
      <w:r w:rsidRPr="00796D05">
        <w:rPr>
          <w:rFonts w:ascii="Times New Roman" w:hAnsi="Times New Roman" w:cs="Times New Roman"/>
          <w:sz w:val="24"/>
          <w:szCs w:val="24"/>
        </w:rPr>
        <w:t xml:space="preserve"> 2009), as the two sources of income may be complementary (</w:t>
      </w:r>
      <w:proofErr w:type="spellStart"/>
      <w:r w:rsidRPr="00796D05">
        <w:rPr>
          <w:rFonts w:ascii="Times New Roman" w:hAnsi="Times New Roman" w:cs="Times New Roman"/>
          <w:sz w:val="24"/>
          <w:szCs w:val="24"/>
        </w:rPr>
        <w:t>Yetman</w:t>
      </w:r>
      <w:proofErr w:type="spellEnd"/>
      <w:r w:rsidRPr="00796D05">
        <w:rPr>
          <w:rFonts w:ascii="Times New Roman" w:hAnsi="Times New Roman" w:cs="Times New Roman"/>
          <w:sz w:val="24"/>
          <w:szCs w:val="24"/>
        </w:rPr>
        <w:t xml:space="preserve"> et al. 2009). This </w:t>
      </w:r>
      <w:r>
        <w:rPr>
          <w:rFonts w:ascii="Times New Roman" w:hAnsi="Times New Roman" w:cs="Times New Roman"/>
          <w:sz w:val="24"/>
          <w:szCs w:val="24"/>
        </w:rPr>
        <w:t>may be explained by reputational effects whereby individuals, private firms and governments prefer to buy services from organisations whose high levels of voluntary income indicates legitimacy</w:t>
      </w:r>
      <w:r w:rsidRPr="00796D05">
        <w:rPr>
          <w:rFonts w:ascii="Times New Roman" w:hAnsi="Times New Roman" w:cs="Times New Roman"/>
          <w:sz w:val="24"/>
          <w:szCs w:val="24"/>
        </w:rPr>
        <w:t xml:space="preserve">. Thus as grants and donations increase so does commercial revenue. </w:t>
      </w:r>
    </w:p>
    <w:p w:rsidR="002E69C1" w:rsidRPr="00796D05" w:rsidRDefault="002E69C1" w:rsidP="00490E01">
      <w:pPr>
        <w:spacing w:after="0" w:line="360" w:lineRule="auto"/>
        <w:ind w:firstLine="720"/>
        <w:rPr>
          <w:rFonts w:ascii="Times New Roman" w:hAnsi="Times New Roman" w:cs="Times New Roman"/>
          <w:bCs/>
          <w:i/>
          <w:iCs/>
          <w:sz w:val="24"/>
          <w:szCs w:val="24"/>
        </w:rPr>
      </w:pPr>
      <w:r w:rsidRPr="00796D05">
        <w:rPr>
          <w:rFonts w:ascii="Times New Roman" w:hAnsi="Times New Roman" w:cs="Times New Roman"/>
          <w:sz w:val="24"/>
          <w:szCs w:val="24"/>
        </w:rPr>
        <w:t>To the best of our knowledge there are no studies in England and Wales which draw upon large scale data sets to determine whether commercial income is a substitute or complementary to grants and donations at the level of the individual charity. In the United States where data is available to conduct this analysis, most studies have treated grants and donations as the dependent variable (see</w:t>
      </w:r>
      <w:r>
        <w:rPr>
          <w:rFonts w:ascii="Times New Roman" w:hAnsi="Times New Roman" w:cs="Times New Roman"/>
          <w:sz w:val="24"/>
          <w:szCs w:val="24"/>
        </w:rPr>
        <w:t xml:space="preserve"> for example </w:t>
      </w:r>
      <w:proofErr w:type="spellStart"/>
      <w:r>
        <w:rPr>
          <w:rFonts w:ascii="Times New Roman" w:hAnsi="Times New Roman" w:cs="Times New Roman"/>
          <w:sz w:val="24"/>
          <w:szCs w:val="24"/>
        </w:rPr>
        <w:t>Okten</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Weisbrod</w:t>
      </w:r>
      <w:proofErr w:type="spellEnd"/>
      <w:r>
        <w:rPr>
          <w:rFonts w:ascii="Times New Roman" w:hAnsi="Times New Roman" w:cs="Times New Roman"/>
          <w:sz w:val="24"/>
          <w:szCs w:val="24"/>
        </w:rPr>
        <w:t xml:space="preserve"> 2000; </w:t>
      </w:r>
      <w:proofErr w:type="spellStart"/>
      <w:proofErr w:type="gramStart"/>
      <w:r>
        <w:rPr>
          <w:rFonts w:ascii="Times New Roman" w:hAnsi="Times New Roman" w:cs="Times New Roman"/>
          <w:sz w:val="24"/>
          <w:szCs w:val="24"/>
        </w:rPr>
        <w:t>Yetman</w:t>
      </w:r>
      <w:proofErr w:type="spellEnd"/>
      <w:r>
        <w:rPr>
          <w:rFonts w:ascii="Times New Roman" w:hAnsi="Times New Roman" w:cs="Times New Roman"/>
          <w:sz w:val="24"/>
          <w:szCs w:val="24"/>
        </w:rPr>
        <w:t xml:space="preserve">  and</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Yetman</w:t>
      </w:r>
      <w:proofErr w:type="spellEnd"/>
      <w:r w:rsidRPr="00796D05">
        <w:rPr>
          <w:rFonts w:ascii="Times New Roman" w:hAnsi="Times New Roman" w:cs="Times New Roman"/>
          <w:sz w:val="24"/>
          <w:szCs w:val="24"/>
        </w:rPr>
        <w:t xml:space="preserve"> 2003). Even here the evidence is mixed. This is in part due to the methods employed, which are largely descriptive, or unable to incorporate a dynamic model which can control for ti</w:t>
      </w:r>
      <w:r>
        <w:rPr>
          <w:rFonts w:ascii="Times New Roman" w:hAnsi="Times New Roman" w:cs="Times New Roman"/>
          <w:sz w:val="24"/>
          <w:szCs w:val="24"/>
        </w:rPr>
        <w:t>me effects (</w:t>
      </w:r>
      <w:proofErr w:type="spellStart"/>
      <w:r>
        <w:rPr>
          <w:rFonts w:ascii="Times New Roman" w:hAnsi="Times New Roman" w:cs="Times New Roman"/>
          <w:sz w:val="24"/>
          <w:szCs w:val="24"/>
        </w:rPr>
        <w:t>Tinkelman</w:t>
      </w:r>
      <w:proofErr w:type="spellEnd"/>
      <w:r>
        <w:rPr>
          <w:rFonts w:ascii="Times New Roman" w:hAnsi="Times New Roman" w:cs="Times New Roman"/>
          <w:sz w:val="24"/>
          <w:szCs w:val="24"/>
        </w:rPr>
        <w:t xml:space="preserve"> and Neely 2011</w:t>
      </w:r>
      <w:r w:rsidRPr="00796D05">
        <w:rPr>
          <w:rFonts w:ascii="Times New Roman" w:hAnsi="Times New Roman" w:cs="Times New Roman"/>
          <w:sz w:val="24"/>
          <w:szCs w:val="24"/>
        </w:rPr>
        <w:t xml:space="preserve">). Where studies have investigated the impact of a change in grants and donations upon commercial revenue the evidence is inconclusive. Segal and </w:t>
      </w:r>
      <w:proofErr w:type="spellStart"/>
      <w:r w:rsidRPr="00796D05">
        <w:rPr>
          <w:rFonts w:ascii="Times New Roman" w:hAnsi="Times New Roman" w:cs="Times New Roman"/>
          <w:sz w:val="24"/>
          <w:szCs w:val="24"/>
        </w:rPr>
        <w:t>Wisbrod</w:t>
      </w:r>
      <w:proofErr w:type="spellEnd"/>
      <w:r w:rsidRPr="00796D05">
        <w:rPr>
          <w:rFonts w:ascii="Times New Roman" w:hAnsi="Times New Roman" w:cs="Times New Roman"/>
          <w:sz w:val="24"/>
          <w:szCs w:val="24"/>
        </w:rPr>
        <w:t xml:space="preserve"> (1998) draw upon a relatively small sample of 2,679 nonprofits observed between 1985 and 1993 and showed that after controlling for field and time effects there was a substitution effect in some industries but a complementary effect in others. The overall effect (-0.02) on the log of program service revenues (approximating to commercial revenue) of a one percent change in donations for the whole sample was not statistically significant. Segal and </w:t>
      </w:r>
      <w:proofErr w:type="spellStart"/>
      <w:r w:rsidRPr="00796D05">
        <w:rPr>
          <w:rFonts w:ascii="Times New Roman" w:hAnsi="Times New Roman" w:cs="Times New Roman"/>
          <w:sz w:val="24"/>
          <w:szCs w:val="24"/>
        </w:rPr>
        <w:t>Wesibrod</w:t>
      </w:r>
      <w:proofErr w:type="spellEnd"/>
      <w:r w:rsidRPr="00796D05">
        <w:rPr>
          <w:rFonts w:ascii="Times New Roman" w:hAnsi="Times New Roman" w:cs="Times New Roman"/>
          <w:sz w:val="24"/>
          <w:szCs w:val="24"/>
        </w:rPr>
        <w:t xml:space="preserve"> used a fixed effects model, probably the most appropriate technique at the time. However we show in our methodology section that econometric advances since their study mean that statisticians would not choose the same model today.  Moreover technological advances in the processing power of computers now permit similar analyses to be carried out using larger samples, or even the full population of charities. Therefore it remains unclear in the United States, and to the best of our knowledge has never been shown in England and Wales, whether charities are succumbing to market forces. Confirming (or denying) the </w:t>
      </w:r>
      <w:proofErr w:type="spellStart"/>
      <w:r w:rsidRPr="00796D05">
        <w:rPr>
          <w:rFonts w:ascii="Times New Roman" w:hAnsi="Times New Roman" w:cs="Times New Roman"/>
          <w:sz w:val="24"/>
          <w:szCs w:val="24"/>
        </w:rPr>
        <w:t>marketisation</w:t>
      </w:r>
      <w:proofErr w:type="spellEnd"/>
      <w:r w:rsidRPr="00796D05">
        <w:rPr>
          <w:rFonts w:ascii="Times New Roman" w:hAnsi="Times New Roman" w:cs="Times New Roman"/>
          <w:sz w:val="24"/>
          <w:szCs w:val="24"/>
        </w:rPr>
        <w:t xml:space="preserve"> thesis thus requires revisiting the research</w:t>
      </w:r>
      <w:r>
        <w:rPr>
          <w:rFonts w:ascii="Times New Roman" w:hAnsi="Times New Roman" w:cs="Times New Roman"/>
          <w:sz w:val="24"/>
          <w:szCs w:val="24"/>
        </w:rPr>
        <w:t xml:space="preserve"> </w:t>
      </w:r>
      <w:r w:rsidRPr="00796D05">
        <w:rPr>
          <w:rFonts w:ascii="Times New Roman" w:hAnsi="Times New Roman" w:cs="Times New Roman"/>
          <w:sz w:val="24"/>
          <w:szCs w:val="24"/>
        </w:rPr>
        <w:t>question:</w:t>
      </w:r>
      <w:r>
        <w:rPr>
          <w:rFonts w:ascii="Times New Roman" w:hAnsi="Times New Roman" w:cs="Times New Roman"/>
          <w:sz w:val="24"/>
          <w:szCs w:val="24"/>
        </w:rPr>
        <w:t xml:space="preserve"> </w:t>
      </w:r>
      <w:r w:rsidRPr="00796D05">
        <w:rPr>
          <w:rFonts w:ascii="Times New Roman" w:hAnsi="Times New Roman" w:cs="Times New Roman"/>
          <w:bCs/>
          <w:iCs/>
          <w:sz w:val="24"/>
          <w:szCs w:val="24"/>
        </w:rPr>
        <w:t>Is commercial revenue a substitute for grants and donations among charities?</w:t>
      </w:r>
    </w:p>
    <w:p w:rsidR="002E69C1" w:rsidRDefault="002E69C1" w:rsidP="00490E01">
      <w:pPr>
        <w:pStyle w:val="TSRCBody"/>
        <w:ind w:firstLine="0"/>
        <w:rPr>
          <w:rFonts w:ascii="Times New Roman" w:hAnsi="Times New Roman" w:cs="Times New Roman"/>
          <w:sz w:val="24"/>
          <w:szCs w:val="24"/>
        </w:rPr>
      </w:pPr>
    </w:p>
    <w:p w:rsidR="002E69C1" w:rsidRPr="00796D05" w:rsidRDefault="002E69C1" w:rsidP="00490E01">
      <w:pPr>
        <w:pStyle w:val="TSRCBody"/>
        <w:ind w:firstLine="0"/>
        <w:rPr>
          <w:rFonts w:ascii="Times New Roman" w:hAnsi="Times New Roman" w:cs="Times New Roman"/>
          <w:b/>
          <w:sz w:val="24"/>
          <w:szCs w:val="24"/>
        </w:rPr>
      </w:pPr>
      <w:r w:rsidRPr="00796D05">
        <w:rPr>
          <w:rFonts w:ascii="Times New Roman" w:hAnsi="Times New Roman" w:cs="Times New Roman"/>
          <w:b/>
          <w:sz w:val="24"/>
          <w:szCs w:val="24"/>
        </w:rPr>
        <w:t>Data</w:t>
      </w:r>
    </w:p>
    <w:p w:rsidR="002E69C1" w:rsidRPr="00796D05" w:rsidRDefault="002E69C1" w:rsidP="00490E01">
      <w:pPr>
        <w:pStyle w:val="TSRCFirstBody"/>
        <w:rPr>
          <w:rFonts w:ascii="Times New Roman" w:hAnsi="Times New Roman" w:cs="Times New Roman"/>
          <w:sz w:val="24"/>
          <w:szCs w:val="24"/>
        </w:rPr>
      </w:pPr>
      <w:r w:rsidRPr="00796D05">
        <w:rPr>
          <w:rFonts w:ascii="Times New Roman" w:hAnsi="Times New Roman" w:cs="Times New Roman"/>
          <w:sz w:val="24"/>
          <w:szCs w:val="24"/>
        </w:rPr>
        <w:t xml:space="preserve">In order to determine whether commercial revenue is a substitute for grants and donations, in charities, we constructed a large panel data set using data collated by </w:t>
      </w:r>
      <w:proofErr w:type="spellStart"/>
      <w:r w:rsidRPr="00796D05">
        <w:rPr>
          <w:rFonts w:ascii="Times New Roman" w:hAnsi="Times New Roman" w:cs="Times New Roman"/>
          <w:sz w:val="24"/>
          <w:szCs w:val="24"/>
        </w:rPr>
        <w:t>Guidestar</w:t>
      </w:r>
      <w:proofErr w:type="spellEnd"/>
      <w:r w:rsidRPr="00796D05">
        <w:rPr>
          <w:rFonts w:ascii="Times New Roman" w:hAnsi="Times New Roman" w:cs="Times New Roman"/>
          <w:sz w:val="24"/>
          <w:szCs w:val="24"/>
        </w:rPr>
        <w:t xml:space="preserve"> UK from registered charities’ annual returns to the Charity Commission in England and Wales. This covered the period 2002-2007. We included only general charities in our analysis. Thus our findings exclude public schools, NHS administered charities, independent hospitals, churches, housing associations, and grant making trusts. Our initial panel consisted of 277,537 observations for all 80,589 general charities providing accounts to the Charity Commission between 2002 and 2007 (i.e. each charity provided an average of 3.4 observations). </w:t>
      </w:r>
    </w:p>
    <w:p w:rsidR="002E69C1" w:rsidRPr="00796D05" w:rsidRDefault="002E69C1" w:rsidP="00490E01">
      <w:pPr>
        <w:pStyle w:val="TSRCBody"/>
        <w:ind w:firstLine="720"/>
        <w:rPr>
          <w:rFonts w:ascii="Times New Roman" w:hAnsi="Times New Roman" w:cs="Times New Roman"/>
          <w:sz w:val="24"/>
          <w:szCs w:val="24"/>
        </w:rPr>
      </w:pPr>
      <w:r w:rsidRPr="00796D05">
        <w:rPr>
          <w:rFonts w:ascii="Times New Roman" w:hAnsi="Times New Roman" w:cs="Times New Roman"/>
          <w:sz w:val="24"/>
          <w:szCs w:val="24"/>
        </w:rPr>
        <w:t xml:space="preserve">To enable analysis by field of activity we matched all charities on our panel to the International Classification of </w:t>
      </w:r>
      <w:proofErr w:type="spellStart"/>
      <w:r w:rsidRPr="00796D05">
        <w:rPr>
          <w:rFonts w:ascii="Times New Roman" w:hAnsi="Times New Roman" w:cs="Times New Roman"/>
          <w:sz w:val="24"/>
          <w:szCs w:val="24"/>
        </w:rPr>
        <w:t>Nonprofit</w:t>
      </w:r>
      <w:proofErr w:type="spellEnd"/>
      <w:r w:rsidRPr="00796D05">
        <w:rPr>
          <w:rFonts w:ascii="Times New Roman" w:hAnsi="Times New Roman" w:cs="Times New Roman"/>
          <w:sz w:val="24"/>
          <w:szCs w:val="24"/>
        </w:rPr>
        <w:t xml:space="preserve"> Organisations (ICNPO) system originally developed by </w:t>
      </w:r>
      <w:proofErr w:type="spellStart"/>
      <w:r w:rsidRPr="00796D05">
        <w:rPr>
          <w:rFonts w:ascii="Times New Roman" w:hAnsi="Times New Roman" w:cs="Times New Roman"/>
          <w:sz w:val="24"/>
          <w:szCs w:val="24"/>
        </w:rPr>
        <w:t>Salamon</w:t>
      </w:r>
      <w:proofErr w:type="spellEnd"/>
      <w:r w:rsidRPr="00796D05">
        <w:rPr>
          <w:rFonts w:ascii="Times New Roman" w:hAnsi="Times New Roman" w:cs="Times New Roman"/>
          <w:sz w:val="24"/>
          <w:szCs w:val="24"/>
        </w:rPr>
        <w:t xml:space="preserve"> and </w:t>
      </w:r>
      <w:proofErr w:type="spellStart"/>
      <w:r w:rsidRPr="00796D05">
        <w:rPr>
          <w:rFonts w:ascii="Times New Roman" w:hAnsi="Times New Roman" w:cs="Times New Roman"/>
          <w:sz w:val="24"/>
          <w:szCs w:val="24"/>
        </w:rPr>
        <w:t>Anheier</w:t>
      </w:r>
      <w:proofErr w:type="spellEnd"/>
      <w:r w:rsidRPr="00796D05">
        <w:rPr>
          <w:rFonts w:ascii="Times New Roman" w:hAnsi="Times New Roman" w:cs="Times New Roman"/>
          <w:sz w:val="24"/>
          <w:szCs w:val="24"/>
        </w:rPr>
        <w:t xml:space="preserve"> (1998) to enable cross-national comparison between nonprofits operating in similar fields, using the ICNPO classification variable derived by NCVO</w:t>
      </w:r>
      <w:r w:rsidRPr="00796D05">
        <w:rPr>
          <w:rFonts w:ascii="Times New Roman" w:hAnsi="Times New Roman" w:cs="Times New Roman"/>
          <w:sz w:val="24"/>
          <w:szCs w:val="24"/>
          <w:vertAlign w:val="superscript"/>
        </w:rPr>
        <w:endnoteReference w:id="3"/>
      </w:r>
      <w:r w:rsidRPr="00796D05">
        <w:rPr>
          <w:rFonts w:ascii="Times New Roman" w:hAnsi="Times New Roman" w:cs="Times New Roman"/>
          <w:sz w:val="24"/>
          <w:szCs w:val="24"/>
        </w:rPr>
        <w:t xml:space="preserve"> for all general charities in England and Wales.</w:t>
      </w:r>
    </w:p>
    <w:p w:rsidR="002E69C1" w:rsidRPr="00796D05" w:rsidRDefault="002E69C1" w:rsidP="00490E01">
      <w:pPr>
        <w:pStyle w:val="TSRCBody"/>
        <w:ind w:firstLine="720"/>
        <w:rPr>
          <w:rFonts w:ascii="Times New Roman" w:hAnsi="Times New Roman" w:cs="Times New Roman"/>
          <w:sz w:val="24"/>
          <w:szCs w:val="24"/>
        </w:rPr>
      </w:pPr>
      <w:r w:rsidRPr="00796D05">
        <w:rPr>
          <w:rFonts w:ascii="Times New Roman" w:hAnsi="Times New Roman" w:cs="Times New Roman"/>
          <w:sz w:val="24"/>
          <w:szCs w:val="24"/>
        </w:rPr>
        <w:t>Our main variables of interest are organisational size (</w:t>
      </w:r>
      <w:r w:rsidRPr="00796D05">
        <w:rPr>
          <w:rFonts w:ascii="Times New Roman" w:hAnsi="Times New Roman" w:cs="Times New Roman"/>
          <w:i/>
          <w:sz w:val="24"/>
          <w:szCs w:val="24"/>
        </w:rPr>
        <w:t>size</w:t>
      </w:r>
      <w:r w:rsidRPr="00796D05">
        <w:rPr>
          <w:rFonts w:ascii="Times New Roman" w:hAnsi="Times New Roman" w:cs="Times New Roman"/>
          <w:sz w:val="24"/>
          <w:szCs w:val="24"/>
        </w:rPr>
        <w:t>) (using overall income as an indicator); field of activity (ICNPO); overall income (</w:t>
      </w:r>
      <w:proofErr w:type="spellStart"/>
      <w:r w:rsidRPr="00796D05">
        <w:rPr>
          <w:rFonts w:ascii="Times New Roman" w:hAnsi="Times New Roman" w:cs="Times New Roman"/>
          <w:i/>
          <w:sz w:val="24"/>
          <w:szCs w:val="24"/>
        </w:rPr>
        <w:t>i</w:t>
      </w:r>
      <w:proofErr w:type="spellEnd"/>
      <w:r w:rsidRPr="00796D05">
        <w:rPr>
          <w:rFonts w:ascii="Times New Roman" w:hAnsi="Times New Roman" w:cs="Times New Roman"/>
          <w:sz w:val="24"/>
          <w:szCs w:val="24"/>
        </w:rPr>
        <w:t>); voluntary income (</w:t>
      </w:r>
      <w:proofErr w:type="gramStart"/>
      <w:r w:rsidRPr="00796D05">
        <w:rPr>
          <w:rFonts w:ascii="Times New Roman" w:hAnsi="Times New Roman" w:cs="Times New Roman"/>
          <w:i/>
          <w:sz w:val="24"/>
          <w:szCs w:val="24"/>
        </w:rPr>
        <w:t>iv</w:t>
      </w:r>
      <w:proofErr w:type="gramEnd"/>
      <w:r w:rsidRPr="00796D05">
        <w:rPr>
          <w:rFonts w:ascii="Times New Roman" w:hAnsi="Times New Roman" w:cs="Times New Roman"/>
          <w:sz w:val="24"/>
          <w:szCs w:val="24"/>
        </w:rPr>
        <w:t>); and commercial revenue (</w:t>
      </w:r>
      <w:r w:rsidRPr="00796D05">
        <w:rPr>
          <w:rFonts w:ascii="Times New Roman" w:hAnsi="Times New Roman" w:cs="Times New Roman"/>
          <w:i/>
          <w:sz w:val="24"/>
          <w:szCs w:val="24"/>
        </w:rPr>
        <w:t>is</w:t>
      </w:r>
      <w:r w:rsidRPr="00796D05">
        <w:rPr>
          <w:rFonts w:ascii="Times New Roman" w:hAnsi="Times New Roman" w:cs="Times New Roman"/>
          <w:sz w:val="24"/>
          <w:szCs w:val="24"/>
        </w:rPr>
        <w:t>). Commercial revenue provides our main dependent variable. Voluntary income (</w:t>
      </w:r>
      <w:proofErr w:type="gramStart"/>
      <w:r w:rsidRPr="00796D05">
        <w:rPr>
          <w:rFonts w:ascii="Times New Roman" w:hAnsi="Times New Roman" w:cs="Times New Roman"/>
          <w:i/>
          <w:sz w:val="24"/>
          <w:szCs w:val="24"/>
        </w:rPr>
        <w:t>iv</w:t>
      </w:r>
      <w:proofErr w:type="gramEnd"/>
      <w:r w:rsidRPr="00796D05">
        <w:rPr>
          <w:rFonts w:ascii="Times New Roman" w:hAnsi="Times New Roman" w:cs="Times New Roman"/>
          <w:sz w:val="24"/>
          <w:szCs w:val="24"/>
        </w:rPr>
        <w:t>) was derived from the sub-categories of legacies; individual gift aid donations; individual non-tax effective donations; individual other donations; unspecified individual giving; and grants from other organisations (statutory and private). Commercial revenue (</w:t>
      </w:r>
      <w:r w:rsidRPr="00796D05">
        <w:rPr>
          <w:rFonts w:ascii="Times New Roman" w:hAnsi="Times New Roman" w:cs="Times New Roman"/>
          <w:i/>
          <w:sz w:val="24"/>
          <w:szCs w:val="24"/>
        </w:rPr>
        <w:t>is</w:t>
      </w:r>
      <w:r w:rsidRPr="00796D05">
        <w:rPr>
          <w:rFonts w:ascii="Times New Roman" w:hAnsi="Times New Roman" w:cs="Times New Roman"/>
          <w:sz w:val="24"/>
          <w:szCs w:val="24"/>
        </w:rPr>
        <w:t>) was derived from the sub-categories of: activities in furtherance of the charity’s objects; activities for generating funds; income from trading subsidiaries (gross) and associated expenditure; and unspecified sales and fees from operating activities. In this analysis we did not use investment income and other income. Although our original panel had observations for overall income (</w:t>
      </w:r>
      <w:proofErr w:type="spellStart"/>
      <w:r w:rsidRPr="00796D05">
        <w:rPr>
          <w:rFonts w:ascii="Times New Roman" w:hAnsi="Times New Roman" w:cs="Times New Roman"/>
          <w:i/>
          <w:sz w:val="24"/>
          <w:szCs w:val="24"/>
        </w:rPr>
        <w:t>i</w:t>
      </w:r>
      <w:proofErr w:type="spellEnd"/>
      <w:r w:rsidRPr="00796D05">
        <w:rPr>
          <w:rFonts w:ascii="Times New Roman" w:hAnsi="Times New Roman" w:cs="Times New Roman"/>
          <w:sz w:val="24"/>
          <w:szCs w:val="24"/>
        </w:rPr>
        <w:t xml:space="preserve">) for each organisation in the population, for many organisations </w:t>
      </w:r>
      <w:proofErr w:type="spellStart"/>
      <w:r w:rsidRPr="00796D05">
        <w:rPr>
          <w:rFonts w:ascii="Times New Roman" w:hAnsi="Times New Roman" w:cs="Times New Roman"/>
          <w:sz w:val="24"/>
          <w:szCs w:val="24"/>
        </w:rPr>
        <w:t>Guidestar</w:t>
      </w:r>
      <w:proofErr w:type="spellEnd"/>
      <w:r w:rsidRPr="00796D05">
        <w:rPr>
          <w:rFonts w:ascii="Times New Roman" w:hAnsi="Times New Roman" w:cs="Times New Roman"/>
          <w:sz w:val="24"/>
          <w:szCs w:val="24"/>
        </w:rPr>
        <w:t xml:space="preserve"> UK was unable to separate commercial revenue (</w:t>
      </w:r>
      <w:r w:rsidRPr="00796D05">
        <w:rPr>
          <w:rFonts w:ascii="Times New Roman" w:hAnsi="Times New Roman" w:cs="Times New Roman"/>
          <w:i/>
          <w:sz w:val="24"/>
          <w:szCs w:val="24"/>
        </w:rPr>
        <w:t>is</w:t>
      </w:r>
      <w:r w:rsidRPr="00796D05">
        <w:rPr>
          <w:rFonts w:ascii="Times New Roman" w:hAnsi="Times New Roman" w:cs="Times New Roman"/>
          <w:sz w:val="24"/>
          <w:szCs w:val="24"/>
        </w:rPr>
        <w:t>) from voluntary income (</w:t>
      </w:r>
      <w:proofErr w:type="gramStart"/>
      <w:r w:rsidRPr="00796D05">
        <w:rPr>
          <w:rFonts w:ascii="Times New Roman" w:hAnsi="Times New Roman" w:cs="Times New Roman"/>
          <w:i/>
          <w:sz w:val="24"/>
          <w:szCs w:val="24"/>
        </w:rPr>
        <w:t>iv</w:t>
      </w:r>
      <w:proofErr w:type="gramEnd"/>
      <w:r w:rsidRPr="00796D05">
        <w:rPr>
          <w:rFonts w:ascii="Times New Roman" w:hAnsi="Times New Roman" w:cs="Times New Roman"/>
          <w:sz w:val="24"/>
          <w:szCs w:val="24"/>
        </w:rPr>
        <w:t xml:space="preserve">). These cases were treated as missing, and so many (predominately smaller) charities were excluded from our analysis. </w:t>
      </w:r>
    </w:p>
    <w:p w:rsidR="002E69C1" w:rsidRPr="00796D05" w:rsidRDefault="002E69C1" w:rsidP="00490E01">
      <w:pPr>
        <w:pStyle w:val="TSRCBody"/>
        <w:ind w:firstLine="720"/>
        <w:rPr>
          <w:rFonts w:ascii="Times New Roman" w:hAnsi="Times New Roman" w:cs="Times New Roman"/>
          <w:sz w:val="24"/>
          <w:szCs w:val="24"/>
        </w:rPr>
      </w:pPr>
      <w:r w:rsidRPr="00796D05">
        <w:rPr>
          <w:rFonts w:ascii="Times New Roman" w:hAnsi="Times New Roman" w:cs="Times New Roman"/>
          <w:sz w:val="24"/>
          <w:szCs w:val="24"/>
        </w:rPr>
        <w:t>Some commentators have warned of using English charity accounts to differentiate between income streams particularly for sma</w:t>
      </w:r>
      <w:r>
        <w:rPr>
          <w:rFonts w:ascii="Times New Roman" w:hAnsi="Times New Roman" w:cs="Times New Roman"/>
          <w:sz w:val="24"/>
          <w:szCs w:val="24"/>
        </w:rPr>
        <w:t>ller charities (Clifford et al. 2010; Morgan</w:t>
      </w:r>
      <w:r w:rsidRPr="00796D05">
        <w:rPr>
          <w:rFonts w:ascii="Times New Roman" w:hAnsi="Times New Roman" w:cs="Times New Roman"/>
          <w:sz w:val="24"/>
          <w:szCs w:val="24"/>
        </w:rPr>
        <w:t xml:space="preserve"> 2010). This is because only those charities with an income of £100,000</w:t>
      </w:r>
      <w:r w:rsidRPr="00796D05">
        <w:rPr>
          <w:rStyle w:val="EndnoteReference"/>
          <w:rFonts w:cs="Times New Roman"/>
          <w:sz w:val="24"/>
          <w:szCs w:val="24"/>
        </w:rPr>
        <w:endnoteReference w:id="4"/>
      </w:r>
      <w:r w:rsidRPr="00796D05">
        <w:rPr>
          <w:rFonts w:ascii="Times New Roman" w:hAnsi="Times New Roman" w:cs="Times New Roman"/>
          <w:sz w:val="24"/>
          <w:szCs w:val="24"/>
        </w:rPr>
        <w:t xml:space="preserve"> or more are required to publish accounts to the standards set out in the </w:t>
      </w:r>
      <w:r w:rsidRPr="00796D05">
        <w:rPr>
          <w:rFonts w:ascii="Times New Roman" w:hAnsi="Times New Roman" w:cs="Times New Roman"/>
          <w:i/>
          <w:sz w:val="24"/>
          <w:szCs w:val="24"/>
        </w:rPr>
        <w:t xml:space="preserve">Statement of Recommended Practice </w:t>
      </w:r>
      <w:r w:rsidRPr="00796D05">
        <w:rPr>
          <w:rFonts w:ascii="Times New Roman" w:hAnsi="Times New Roman" w:cs="Times New Roman"/>
          <w:sz w:val="24"/>
          <w:szCs w:val="24"/>
        </w:rPr>
        <w:lastRenderedPageBreak/>
        <w:t>(SORP) produced by the Accounting stan</w:t>
      </w:r>
      <w:r>
        <w:rPr>
          <w:rFonts w:ascii="Times New Roman" w:hAnsi="Times New Roman" w:cs="Times New Roman"/>
          <w:sz w:val="24"/>
          <w:szCs w:val="24"/>
        </w:rPr>
        <w:t>dards Board (Charity Commission</w:t>
      </w:r>
      <w:r w:rsidRPr="00796D05">
        <w:rPr>
          <w:rFonts w:ascii="Times New Roman" w:hAnsi="Times New Roman" w:cs="Times New Roman"/>
          <w:sz w:val="24"/>
          <w:szCs w:val="24"/>
        </w:rPr>
        <w:t xml:space="preserve"> 2005). SORP standards provide detailed instructions for classifying different income sources. Therefore for those larger charities with an income of £100,000 or more, data pertaining to commercial revenue and voluntary income are expected to be relatively robust. </w:t>
      </w:r>
    </w:p>
    <w:p w:rsidR="002E69C1" w:rsidRPr="00796D05" w:rsidRDefault="002E69C1" w:rsidP="00490E01">
      <w:pPr>
        <w:pStyle w:val="TSRCBody"/>
        <w:ind w:firstLine="720"/>
        <w:rPr>
          <w:rFonts w:ascii="Times New Roman" w:hAnsi="Times New Roman" w:cs="Times New Roman"/>
          <w:sz w:val="24"/>
          <w:szCs w:val="24"/>
        </w:rPr>
      </w:pPr>
      <w:r w:rsidRPr="00796D05">
        <w:rPr>
          <w:rFonts w:ascii="Times New Roman" w:hAnsi="Times New Roman" w:cs="Times New Roman"/>
          <w:sz w:val="24"/>
          <w:szCs w:val="24"/>
        </w:rPr>
        <w:t xml:space="preserve">We considered further restricting our analysis only to charities with an income of £100,000 or more in each year of the study. However when we ran our model using only these charities we found that results were virtually identical to those obtained using all charities. Many smaller charities also prepare accounts to SORP standards, although they are not required to do so by law. It may be that the smaller charities in our panel are biased towards those that prepare accounts to SORP standards, as </w:t>
      </w:r>
      <w:proofErr w:type="spellStart"/>
      <w:r w:rsidRPr="00796D05">
        <w:rPr>
          <w:rFonts w:ascii="Times New Roman" w:hAnsi="Times New Roman" w:cs="Times New Roman"/>
          <w:sz w:val="24"/>
          <w:szCs w:val="24"/>
        </w:rPr>
        <w:t>Guidestar</w:t>
      </w:r>
      <w:proofErr w:type="spellEnd"/>
      <w:r w:rsidRPr="00796D05">
        <w:rPr>
          <w:rFonts w:ascii="Times New Roman" w:hAnsi="Times New Roman" w:cs="Times New Roman"/>
          <w:sz w:val="24"/>
          <w:szCs w:val="24"/>
        </w:rPr>
        <w:t xml:space="preserve"> UK would have found it easier to separate commercial revenue from grants and donations for these charities. </w:t>
      </w:r>
    </w:p>
    <w:p w:rsidR="002E69C1" w:rsidRPr="00796D05" w:rsidRDefault="002E69C1" w:rsidP="00490E01">
      <w:pPr>
        <w:pStyle w:val="TSRCBody"/>
        <w:ind w:firstLine="720"/>
        <w:rPr>
          <w:rFonts w:ascii="Times New Roman" w:hAnsi="Times New Roman" w:cs="Times New Roman"/>
          <w:sz w:val="24"/>
          <w:szCs w:val="24"/>
        </w:rPr>
      </w:pPr>
      <w:r w:rsidRPr="00796D05">
        <w:rPr>
          <w:rFonts w:ascii="Times New Roman" w:hAnsi="Times New Roman" w:cs="Times New Roman"/>
          <w:sz w:val="24"/>
          <w:szCs w:val="24"/>
        </w:rPr>
        <w:t xml:space="preserve">Our econometric analysis was conducted only using those organisations for which we have figures for total, commercial and voluntary income. It is important to note the bias in our sample towards larger organisations which is to be expected given the reasons pertaining to SORP outlined above. </w:t>
      </w:r>
    </w:p>
    <w:p w:rsidR="002E69C1" w:rsidRPr="00796D05" w:rsidRDefault="002E69C1" w:rsidP="00490E01">
      <w:pPr>
        <w:pStyle w:val="TSRCBody"/>
        <w:ind w:firstLine="720"/>
        <w:rPr>
          <w:rFonts w:ascii="Times New Roman" w:hAnsi="Times New Roman" w:cs="Times New Roman"/>
          <w:sz w:val="24"/>
          <w:szCs w:val="24"/>
        </w:rPr>
      </w:pPr>
      <w:r w:rsidRPr="00796D05">
        <w:rPr>
          <w:rFonts w:ascii="Times New Roman" w:hAnsi="Times New Roman" w:cs="Times New Roman"/>
          <w:sz w:val="24"/>
          <w:szCs w:val="24"/>
        </w:rPr>
        <w:t xml:space="preserve">Figure 2 presents graphically the rise in commercial revenue for the different fields of activity for all charities in our panel where we have an observation for </w:t>
      </w:r>
      <w:r w:rsidRPr="00796D05">
        <w:rPr>
          <w:rFonts w:ascii="Times New Roman" w:hAnsi="Times New Roman" w:cs="Times New Roman"/>
          <w:b/>
          <w:i/>
          <w:sz w:val="24"/>
          <w:szCs w:val="24"/>
        </w:rPr>
        <w:t>is</w:t>
      </w:r>
      <w:r w:rsidRPr="00796D05">
        <w:rPr>
          <w:rFonts w:ascii="Times New Roman" w:hAnsi="Times New Roman" w:cs="Times New Roman"/>
          <w:sz w:val="24"/>
          <w:szCs w:val="24"/>
        </w:rPr>
        <w:t xml:space="preserve"> and </w:t>
      </w:r>
      <w:proofErr w:type="gramStart"/>
      <w:r w:rsidRPr="00796D05">
        <w:rPr>
          <w:rFonts w:ascii="Times New Roman" w:hAnsi="Times New Roman" w:cs="Times New Roman"/>
          <w:b/>
          <w:i/>
          <w:sz w:val="24"/>
          <w:szCs w:val="24"/>
        </w:rPr>
        <w:t>iv</w:t>
      </w:r>
      <w:proofErr w:type="gramEnd"/>
      <w:r w:rsidRPr="00796D05">
        <w:rPr>
          <w:rFonts w:ascii="Times New Roman" w:hAnsi="Times New Roman" w:cs="Times New Roman"/>
          <w:sz w:val="24"/>
          <w:szCs w:val="24"/>
        </w:rPr>
        <w:t>, in both 2003 and 2007. First we note that reliance on commercial revenue has increased across (almost) all fields of activity.</w:t>
      </w:r>
    </w:p>
    <w:p w:rsidR="002E69C1" w:rsidRPr="00796D05" w:rsidRDefault="002E69C1" w:rsidP="00490E01">
      <w:pPr>
        <w:pStyle w:val="TSRCBody"/>
        <w:ind w:firstLine="0"/>
        <w:rPr>
          <w:rFonts w:ascii="Times New Roman" w:hAnsi="Times New Roman" w:cs="Times New Roman"/>
          <w:b/>
          <w:sz w:val="24"/>
          <w:szCs w:val="24"/>
        </w:rPr>
      </w:pPr>
      <w:r w:rsidRPr="00796D05">
        <w:rPr>
          <w:rFonts w:ascii="Times New Roman" w:hAnsi="Times New Roman" w:cs="Times New Roman"/>
          <w:b/>
          <w:sz w:val="24"/>
          <w:szCs w:val="24"/>
        </w:rPr>
        <w:t>Figure 2 Here</w:t>
      </w:r>
    </w:p>
    <w:p w:rsidR="002E69C1" w:rsidRDefault="002E69C1" w:rsidP="00490E01">
      <w:pPr>
        <w:pStyle w:val="TSRCFirstBody"/>
        <w:ind w:firstLine="720"/>
        <w:rPr>
          <w:rFonts w:ascii="Times New Roman" w:hAnsi="Times New Roman" w:cs="Times New Roman"/>
          <w:iCs/>
          <w:sz w:val="24"/>
          <w:szCs w:val="24"/>
        </w:rPr>
      </w:pPr>
      <w:r w:rsidRPr="00796D05">
        <w:rPr>
          <w:rFonts w:ascii="Times New Roman" w:hAnsi="Times New Roman" w:cs="Times New Roman"/>
          <w:sz w:val="24"/>
          <w:szCs w:val="24"/>
        </w:rPr>
        <w:t>Table 2 begins to draw out the longitudinal element to our data. Here we see that the proportion of commercial revenue has risen in each year of our study</w:t>
      </w:r>
      <w:r w:rsidR="009D0ED3">
        <w:rPr>
          <w:rStyle w:val="EndnoteReference"/>
          <w:rFonts w:ascii="Times New Roman" w:hAnsi="Times New Roman" w:cs="Times New Roman"/>
          <w:sz w:val="24"/>
          <w:szCs w:val="24"/>
        </w:rPr>
        <w:endnoteReference w:id="5"/>
      </w:r>
      <w:r w:rsidRPr="00796D05">
        <w:rPr>
          <w:rFonts w:ascii="Times New Roman" w:hAnsi="Times New Roman" w:cs="Times New Roman"/>
          <w:sz w:val="24"/>
          <w:szCs w:val="24"/>
        </w:rPr>
        <w:t xml:space="preserve">, and that this appears to be partly, although not wholly associated with a decline in the proportion of voluntary income. This confirms existing findings from NCVO (2010) that </w:t>
      </w:r>
      <w:r w:rsidRPr="00796D05">
        <w:rPr>
          <w:rFonts w:ascii="Times New Roman" w:hAnsi="Times New Roman" w:cs="Times New Roman"/>
          <w:iCs/>
          <w:sz w:val="24"/>
          <w:szCs w:val="24"/>
        </w:rPr>
        <w:t>charities’ reliance on earned income has increased relative to other revenue sources since 2001 in England and Wales. The lower means for all income sources in 2006 shown in Table 2 are probably due to us having more observations from smaller organisations in this year.</w:t>
      </w:r>
    </w:p>
    <w:p w:rsidR="002E69C1" w:rsidRDefault="002E69C1" w:rsidP="00490E01">
      <w:pPr>
        <w:pStyle w:val="TSRCFirstBody"/>
        <w:rPr>
          <w:rFonts w:ascii="Times New Roman" w:hAnsi="Times New Roman" w:cs="Times New Roman"/>
          <w:b/>
          <w:iCs/>
          <w:sz w:val="24"/>
          <w:szCs w:val="24"/>
        </w:rPr>
      </w:pPr>
      <w:r w:rsidRPr="00796D05">
        <w:rPr>
          <w:rFonts w:ascii="Times New Roman" w:hAnsi="Times New Roman" w:cs="Times New Roman"/>
          <w:b/>
          <w:iCs/>
          <w:sz w:val="24"/>
          <w:szCs w:val="24"/>
        </w:rPr>
        <w:t>Table 2 Here</w:t>
      </w:r>
    </w:p>
    <w:p w:rsidR="002E69C1" w:rsidRDefault="002E69C1" w:rsidP="00490E01">
      <w:pPr>
        <w:pStyle w:val="TSRCFirstBody"/>
        <w:ind w:firstLine="720"/>
        <w:rPr>
          <w:rFonts w:ascii="Times New Roman" w:hAnsi="Times New Roman" w:cs="Times New Roman"/>
          <w:sz w:val="24"/>
          <w:szCs w:val="24"/>
        </w:rPr>
      </w:pPr>
      <w:r w:rsidRPr="00796D05">
        <w:rPr>
          <w:rFonts w:ascii="Times New Roman" w:hAnsi="Times New Roman" w:cs="Times New Roman"/>
          <w:sz w:val="24"/>
          <w:szCs w:val="24"/>
        </w:rPr>
        <w:t>Table 3 largely confirms findings from the US that larger nonprofits attract a higher proportion of income from commercial sources than smaller nonprofit</w:t>
      </w:r>
      <w:r>
        <w:rPr>
          <w:rFonts w:ascii="Times New Roman" w:hAnsi="Times New Roman" w:cs="Times New Roman"/>
          <w:sz w:val="24"/>
          <w:szCs w:val="24"/>
        </w:rPr>
        <w:t xml:space="preserve">s (Fischer et al. 2007; </w:t>
      </w:r>
      <w:proofErr w:type="spellStart"/>
      <w:r>
        <w:rPr>
          <w:rFonts w:ascii="Times New Roman" w:hAnsi="Times New Roman" w:cs="Times New Roman"/>
          <w:sz w:val="24"/>
          <w:szCs w:val="24"/>
        </w:rPr>
        <w:t>Guo</w:t>
      </w:r>
      <w:proofErr w:type="spellEnd"/>
      <w:r w:rsidRPr="00796D05">
        <w:rPr>
          <w:rFonts w:ascii="Times New Roman" w:hAnsi="Times New Roman" w:cs="Times New Roman"/>
          <w:sz w:val="24"/>
          <w:szCs w:val="24"/>
        </w:rPr>
        <w:t xml:space="preserve"> 2006). A relatively small number of observations for organisations with an income above £100,000,000 means findings for this group (which over-represent medical research charities, and organisations not elsewhere classified) should be treated with some caution. </w:t>
      </w:r>
    </w:p>
    <w:p w:rsidR="002E69C1" w:rsidRPr="00796D05" w:rsidRDefault="002E69C1" w:rsidP="00490E01">
      <w:pPr>
        <w:pStyle w:val="TSRCFirstBody"/>
        <w:rPr>
          <w:rFonts w:ascii="Times New Roman" w:hAnsi="Times New Roman" w:cs="Times New Roman"/>
          <w:b/>
          <w:sz w:val="24"/>
          <w:szCs w:val="24"/>
        </w:rPr>
      </w:pPr>
      <w:r w:rsidRPr="00796D05">
        <w:rPr>
          <w:rFonts w:ascii="Times New Roman" w:hAnsi="Times New Roman" w:cs="Times New Roman"/>
          <w:b/>
          <w:sz w:val="24"/>
          <w:szCs w:val="24"/>
        </w:rPr>
        <w:t>Table 3 Here</w:t>
      </w:r>
    </w:p>
    <w:p w:rsidR="002E69C1" w:rsidRPr="00796D05" w:rsidRDefault="002E69C1" w:rsidP="00490E01">
      <w:pPr>
        <w:pStyle w:val="TSRCFirstBody"/>
        <w:rPr>
          <w:rFonts w:ascii="Times New Roman" w:hAnsi="Times New Roman" w:cs="Times New Roman"/>
          <w:b/>
          <w:sz w:val="24"/>
          <w:szCs w:val="24"/>
        </w:rPr>
      </w:pPr>
      <w:r w:rsidRPr="00796D05">
        <w:rPr>
          <w:rFonts w:ascii="Times New Roman" w:hAnsi="Times New Roman" w:cs="Times New Roman"/>
          <w:b/>
          <w:sz w:val="24"/>
          <w:szCs w:val="24"/>
        </w:rPr>
        <w:lastRenderedPageBreak/>
        <w:t>Econometric Strategy</w:t>
      </w:r>
    </w:p>
    <w:p w:rsidR="002E69C1" w:rsidRPr="00796D05" w:rsidRDefault="002E69C1" w:rsidP="00490E01">
      <w:pPr>
        <w:pStyle w:val="TSRCFirstBody"/>
        <w:rPr>
          <w:rFonts w:ascii="Times New Roman" w:hAnsi="Times New Roman" w:cs="Times New Roman"/>
          <w:sz w:val="24"/>
          <w:szCs w:val="24"/>
        </w:rPr>
      </w:pPr>
      <w:r w:rsidRPr="00796D05">
        <w:rPr>
          <w:rFonts w:ascii="Times New Roman" w:hAnsi="Times New Roman" w:cs="Times New Roman"/>
          <w:sz w:val="24"/>
          <w:szCs w:val="24"/>
        </w:rPr>
        <w:t>In table 4 we show the correlations (all in log scale) between commercial revenue (</w:t>
      </w:r>
      <m:oMath>
        <m:sSub>
          <m:sSubPr>
            <m:ctrlPr>
              <w:rPr>
                <w:rFonts w:ascii="Cambria Math" w:hAnsi="Times New Roman" w:cs="Times New Roman"/>
                <w:i/>
                <w:sz w:val="24"/>
                <w:szCs w:val="24"/>
              </w:rPr>
            </m:ctrlPr>
          </m:sSubPr>
          <m:e>
            <m:r>
              <w:rPr>
                <w:rFonts w:ascii="Cambria Math" w:hAnsi="Cambria Math" w:cs="Times New Roman"/>
                <w:sz w:val="24"/>
                <w:szCs w:val="24"/>
              </w:rPr>
              <m:t>is</m:t>
            </m:r>
          </m:e>
          <m:sub>
            <m:r>
              <w:rPr>
                <w:rFonts w:ascii="Cambria Math" w:hAnsi="Cambria Math" w:cs="Times New Roman"/>
                <w:sz w:val="24"/>
                <w:szCs w:val="24"/>
              </w:rPr>
              <m:t>i</m:t>
            </m:r>
            <m:r>
              <w:rPr>
                <w:rFonts w:ascii="Cambria Math" w:hAnsi="Times New Roman" w:cs="Times New Roman"/>
                <w:sz w:val="24"/>
                <w:szCs w:val="24"/>
              </w:rPr>
              <m:t>,</m:t>
            </m:r>
            <m:r>
              <w:rPr>
                <w:rFonts w:ascii="Cambria Math" w:hAnsi="Cambria Math" w:cs="Times New Roman"/>
                <w:sz w:val="24"/>
                <w:szCs w:val="24"/>
              </w:rPr>
              <m:t>t</m:t>
            </m:r>
          </m:sub>
        </m:sSub>
      </m:oMath>
      <w:r w:rsidRPr="00796D05">
        <w:rPr>
          <w:rFonts w:ascii="Times New Roman" w:hAnsi="Times New Roman" w:cs="Times New Roman"/>
          <w:sz w:val="24"/>
          <w:szCs w:val="24"/>
        </w:rPr>
        <w:t>),</w:t>
      </w:r>
      <w:r w:rsidRPr="00796D05">
        <w:rPr>
          <w:rStyle w:val="Strong"/>
          <w:rFonts w:ascii="Times New Roman" w:hAnsi="Times New Roman" w:cs="Times New Roman"/>
          <w:sz w:val="24"/>
          <w:szCs w:val="24"/>
        </w:rPr>
        <w:t xml:space="preserve"> </w:t>
      </w:r>
      <w:r w:rsidRPr="00796D05">
        <w:rPr>
          <w:rFonts w:ascii="Times New Roman" w:hAnsi="Times New Roman" w:cs="Times New Roman"/>
          <w:sz w:val="24"/>
          <w:szCs w:val="24"/>
        </w:rPr>
        <w:t>total income (</w:t>
      </w:r>
      <m:oMath>
        <m:sSub>
          <m:sSubPr>
            <m:ctrlPr>
              <w:rPr>
                <w:rFonts w:ascii="Cambria Math" w:hAnsi="Times New Roman" w:cs="Times New Roman"/>
                <w:i/>
                <w:sz w:val="24"/>
                <w:szCs w:val="24"/>
              </w:rPr>
            </m:ctrlPr>
          </m:sSubPr>
          <m:e>
            <m:r>
              <w:rPr>
                <w:rFonts w:ascii="Cambria Math" w:hAnsi="Cambria Math" w:cs="Times New Roman"/>
                <w:sz w:val="24"/>
                <w:szCs w:val="24"/>
              </w:rPr>
              <m:t>i</m:t>
            </m:r>
          </m:e>
          <m:sub>
            <m:r>
              <w:rPr>
                <w:rFonts w:ascii="Cambria Math" w:hAnsi="Cambria Math" w:cs="Times New Roman"/>
                <w:sz w:val="24"/>
                <w:szCs w:val="24"/>
              </w:rPr>
              <m:t>i</m:t>
            </m:r>
            <m:r>
              <w:rPr>
                <w:rFonts w:ascii="Cambria Math" w:hAnsi="Times New Roman" w:cs="Times New Roman"/>
                <w:sz w:val="24"/>
                <w:szCs w:val="24"/>
              </w:rPr>
              <m:t>,</m:t>
            </m:r>
            <m:r>
              <w:rPr>
                <w:rFonts w:ascii="Cambria Math" w:hAnsi="Cambria Math" w:cs="Times New Roman"/>
                <w:sz w:val="24"/>
                <w:szCs w:val="24"/>
              </w:rPr>
              <m:t>t</m:t>
            </m:r>
          </m:sub>
        </m:sSub>
      </m:oMath>
      <w:r w:rsidRPr="00796D05">
        <w:rPr>
          <w:rFonts w:ascii="Times New Roman" w:hAnsi="Times New Roman" w:cs="Times New Roman"/>
          <w:sz w:val="24"/>
          <w:szCs w:val="24"/>
        </w:rPr>
        <w:t>) and voluntary income (</w:t>
      </w:r>
      <m:oMath>
        <m:sSub>
          <m:sSubPr>
            <m:ctrlPr>
              <w:rPr>
                <w:rFonts w:ascii="Cambria Math" w:hAnsi="Times New Roman" w:cs="Times New Roman"/>
                <w:i/>
                <w:sz w:val="24"/>
                <w:szCs w:val="24"/>
              </w:rPr>
            </m:ctrlPr>
          </m:sSubPr>
          <m:e>
            <m:r>
              <w:rPr>
                <w:rFonts w:ascii="Cambria Math" w:hAnsi="Cambria Math" w:cs="Times New Roman"/>
                <w:sz w:val="24"/>
                <w:szCs w:val="24"/>
              </w:rPr>
              <m:t>iv</m:t>
            </m:r>
          </m:e>
          <m:sub>
            <m:r>
              <w:rPr>
                <w:rFonts w:ascii="Cambria Math" w:hAnsi="Cambria Math" w:cs="Times New Roman"/>
                <w:sz w:val="24"/>
                <w:szCs w:val="24"/>
              </w:rPr>
              <m:t>i</m:t>
            </m:r>
            <m:r>
              <w:rPr>
                <w:rFonts w:ascii="Cambria Math" w:hAnsi="Times New Roman" w:cs="Times New Roman"/>
                <w:sz w:val="24"/>
                <w:szCs w:val="24"/>
              </w:rPr>
              <m:t>,</m:t>
            </m:r>
            <m:r>
              <w:rPr>
                <w:rFonts w:ascii="Cambria Math" w:hAnsi="Cambria Math" w:cs="Times New Roman"/>
                <w:sz w:val="24"/>
                <w:szCs w:val="24"/>
              </w:rPr>
              <m:t>t</m:t>
            </m:r>
          </m:sub>
        </m:sSub>
      </m:oMath>
      <w:r w:rsidRPr="00796D05">
        <w:rPr>
          <w:rFonts w:ascii="Times New Roman" w:hAnsi="Times New Roman" w:cs="Times New Roman"/>
          <w:sz w:val="24"/>
          <w:szCs w:val="24"/>
        </w:rPr>
        <w:t xml:space="preserve">). As can been seen, the bivariate relationships between all the variables are all positive, and are all statistically significant. This largely confirms the data presented by NCVO (2010) showing that for the population of charities before controlling for time and field effects, commercial revenue is complementary to grants and donations.  It is worth noting the high association between commercial revenue in consecutive years within organisations, with a 0.86 correlation. This lends support to </w:t>
      </w:r>
      <w:proofErr w:type="spellStart"/>
      <w:r w:rsidRPr="00796D05">
        <w:rPr>
          <w:rFonts w:ascii="Times New Roman" w:hAnsi="Times New Roman" w:cs="Times New Roman"/>
          <w:sz w:val="24"/>
          <w:szCs w:val="24"/>
        </w:rPr>
        <w:t>Froelich’s</w:t>
      </w:r>
      <w:proofErr w:type="spellEnd"/>
      <w:r w:rsidRPr="00796D05">
        <w:rPr>
          <w:rFonts w:ascii="Times New Roman" w:hAnsi="Times New Roman" w:cs="Times New Roman"/>
          <w:sz w:val="24"/>
          <w:szCs w:val="24"/>
        </w:rPr>
        <w:t xml:space="preserve"> (1999) argument that commercial revenue is relatively stable over time.</w:t>
      </w:r>
    </w:p>
    <w:p w:rsidR="002E69C1" w:rsidRPr="00796D05" w:rsidRDefault="002E69C1" w:rsidP="00490E01">
      <w:pPr>
        <w:pStyle w:val="TSRCFirstBody"/>
        <w:rPr>
          <w:rFonts w:ascii="Times New Roman" w:hAnsi="Times New Roman" w:cs="Times New Roman"/>
          <w:b/>
          <w:sz w:val="24"/>
          <w:szCs w:val="24"/>
        </w:rPr>
      </w:pPr>
      <w:r w:rsidRPr="00796D05">
        <w:rPr>
          <w:rFonts w:ascii="Times New Roman" w:hAnsi="Times New Roman" w:cs="Times New Roman"/>
          <w:b/>
          <w:sz w:val="24"/>
          <w:szCs w:val="24"/>
        </w:rPr>
        <w:t>Table 4 Here</w:t>
      </w:r>
    </w:p>
    <w:p w:rsidR="002E69C1" w:rsidRPr="00796D05" w:rsidRDefault="002E69C1" w:rsidP="00490E01">
      <w:pPr>
        <w:pStyle w:val="TSRCFirstBody"/>
        <w:ind w:firstLine="720"/>
        <w:rPr>
          <w:rFonts w:ascii="Times New Roman" w:hAnsi="Times New Roman" w:cs="Times New Roman"/>
          <w:sz w:val="24"/>
          <w:szCs w:val="24"/>
        </w:rPr>
      </w:pPr>
      <w:r w:rsidRPr="00796D05">
        <w:rPr>
          <w:rFonts w:ascii="Times New Roman" w:hAnsi="Times New Roman" w:cs="Times New Roman"/>
          <w:sz w:val="24"/>
          <w:szCs w:val="24"/>
        </w:rPr>
        <w:t>In table 5 we describe how much income varies between organisations, and how much income occurs within them over time. The ‘between’ variation shows the variation between the average values in each organisation, the ‘within’ variation shows the degree of change for individual organisations over time compared to their own mean. For total income, around 77 per cent of the total variation is between organisations, and 23 per cent within organisations. These figures imply that the grouped nature of the organisational data needs to be captured in any statistical approach, as the observations are clearly not independent of each other.</w:t>
      </w:r>
    </w:p>
    <w:p w:rsidR="002E69C1" w:rsidRDefault="002E69C1" w:rsidP="00490E01">
      <w:pPr>
        <w:pStyle w:val="TSRCFirstBody"/>
        <w:rPr>
          <w:rFonts w:ascii="Times New Roman" w:hAnsi="Times New Roman" w:cs="Times New Roman"/>
          <w:b/>
          <w:iCs/>
          <w:sz w:val="24"/>
          <w:szCs w:val="24"/>
        </w:rPr>
      </w:pPr>
      <w:r>
        <w:rPr>
          <w:rFonts w:ascii="Times New Roman" w:hAnsi="Times New Roman" w:cs="Times New Roman"/>
          <w:b/>
          <w:iCs/>
          <w:sz w:val="24"/>
          <w:szCs w:val="24"/>
        </w:rPr>
        <w:t>Table 5 Here</w:t>
      </w:r>
    </w:p>
    <w:p w:rsidR="002E69C1" w:rsidRPr="00896CE2" w:rsidRDefault="002E69C1" w:rsidP="00490E01">
      <w:pPr>
        <w:pStyle w:val="TSRCFirstBody"/>
        <w:rPr>
          <w:rFonts w:ascii="Times New Roman" w:hAnsi="Times New Roman" w:cs="Times New Roman"/>
          <w:i/>
          <w:iCs/>
          <w:sz w:val="24"/>
          <w:szCs w:val="24"/>
        </w:rPr>
      </w:pPr>
      <w:r w:rsidRPr="00896CE2">
        <w:rPr>
          <w:rFonts w:ascii="Times New Roman" w:hAnsi="Times New Roman" w:cs="Times New Roman"/>
          <w:i/>
          <w:iCs/>
          <w:sz w:val="24"/>
          <w:szCs w:val="24"/>
        </w:rPr>
        <w:t>Methodology</w:t>
      </w:r>
    </w:p>
    <w:p w:rsidR="002E69C1" w:rsidRPr="00896CE2" w:rsidRDefault="002E69C1" w:rsidP="00F81C14">
      <w:pPr>
        <w:pStyle w:val="TSRCFirstBody"/>
        <w:rPr>
          <w:rFonts w:ascii="Times New Roman" w:hAnsi="Times New Roman" w:cs="Times New Roman"/>
          <w:sz w:val="24"/>
          <w:szCs w:val="24"/>
        </w:rPr>
      </w:pPr>
      <w:r w:rsidRPr="00896CE2">
        <w:rPr>
          <w:rFonts w:ascii="Times New Roman" w:hAnsi="Times New Roman" w:cs="Times New Roman"/>
          <w:sz w:val="24"/>
          <w:szCs w:val="24"/>
        </w:rPr>
        <w:t xml:space="preserve">In order to determine whether commercial revenue is a substitute for grants and donations, and to estimate the strength of any substitution effect, we developed a multivariate analysis which captures the dynamic composition of charities’ income over the period covered by our dataset. </w:t>
      </w:r>
    </w:p>
    <w:p w:rsidR="002E69C1" w:rsidRPr="00896CE2" w:rsidRDefault="002E69C1" w:rsidP="00490E01">
      <w:pPr>
        <w:pStyle w:val="TSRCBody"/>
        <w:ind w:firstLine="720"/>
        <w:rPr>
          <w:rFonts w:ascii="Times New Roman" w:hAnsi="Times New Roman" w:cs="Times New Roman"/>
          <w:sz w:val="24"/>
          <w:szCs w:val="24"/>
        </w:rPr>
      </w:pPr>
      <w:r w:rsidRPr="00896CE2">
        <w:rPr>
          <w:rFonts w:ascii="Times New Roman" w:hAnsi="Times New Roman" w:cs="Times New Roman"/>
          <w:sz w:val="24"/>
          <w:szCs w:val="24"/>
        </w:rPr>
        <w:t>All monetary variables are expressed at 2008 constant prices. We use the following specification (1) for charities (</w:t>
      </w:r>
      <w:proofErr w:type="spellStart"/>
      <w:r w:rsidRPr="00896CE2">
        <w:rPr>
          <w:rFonts w:ascii="Times New Roman" w:hAnsi="Times New Roman" w:cs="Times New Roman"/>
          <w:i/>
          <w:sz w:val="24"/>
          <w:szCs w:val="24"/>
        </w:rPr>
        <w:t>i</w:t>
      </w:r>
      <w:proofErr w:type="spellEnd"/>
      <w:r w:rsidRPr="00896CE2">
        <w:rPr>
          <w:rFonts w:ascii="Times New Roman" w:hAnsi="Times New Roman" w:cs="Times New Roman"/>
          <w:sz w:val="24"/>
          <w:szCs w:val="24"/>
        </w:rPr>
        <w:t>) over time (</w:t>
      </w:r>
      <w:r w:rsidRPr="00896CE2">
        <w:rPr>
          <w:rFonts w:ascii="Times New Roman" w:hAnsi="Times New Roman" w:cs="Times New Roman"/>
          <w:i/>
          <w:sz w:val="24"/>
          <w:szCs w:val="24"/>
        </w:rPr>
        <w:t>t</w:t>
      </w:r>
      <w:r w:rsidRPr="00896CE2">
        <w:rPr>
          <w:rFonts w:ascii="Times New Roman" w:hAnsi="Times New Roman" w:cs="Times New Roman"/>
          <w:sz w:val="24"/>
          <w:szCs w:val="24"/>
        </w:rPr>
        <w:t>).  Variables are expressed in natural logarithms and denote: commercial revenue (</w:t>
      </w:r>
      <m:oMath>
        <m:sSub>
          <m:sSubPr>
            <m:ctrlPr>
              <w:rPr>
                <w:rFonts w:ascii="Cambria Math" w:hAnsi="Times New Roman" w:cs="Times New Roman"/>
                <w:i/>
                <w:sz w:val="24"/>
                <w:szCs w:val="24"/>
              </w:rPr>
            </m:ctrlPr>
          </m:sSubPr>
          <m:e>
            <m:r>
              <m:rPr>
                <m:sty m:val="bi"/>
              </m:rPr>
              <w:rPr>
                <w:rFonts w:ascii="Cambria Math" w:hAnsi="Cambria Math" w:cs="Times New Roman"/>
                <w:sz w:val="24"/>
                <w:szCs w:val="24"/>
              </w:rPr>
              <m:t>is</m:t>
            </m:r>
          </m:e>
          <m:sub>
            <m:r>
              <m:rPr>
                <m:sty m:val="bi"/>
              </m:rPr>
              <w:rPr>
                <w:rFonts w:ascii="Cambria Math" w:hAnsi="Cambria Math" w:cs="Times New Roman"/>
                <w:sz w:val="24"/>
                <w:szCs w:val="24"/>
              </w:rPr>
              <m:t>i</m:t>
            </m:r>
            <m:r>
              <m:rPr>
                <m:sty m:val="bi"/>
              </m:rPr>
              <w:rPr>
                <w:rFonts w:ascii="Cambria Math" w:hAnsi="Times New Roman" w:cs="Times New Roman"/>
                <w:sz w:val="24"/>
                <w:szCs w:val="24"/>
              </w:rPr>
              <m:t>,</m:t>
            </m:r>
            <m:r>
              <m:rPr>
                <m:sty m:val="bi"/>
              </m:rPr>
              <w:rPr>
                <w:rFonts w:ascii="Cambria Math" w:hAnsi="Cambria Math" w:cs="Times New Roman"/>
                <w:sz w:val="24"/>
                <w:szCs w:val="24"/>
              </w:rPr>
              <m:t>t</m:t>
            </m:r>
          </m:sub>
        </m:sSub>
      </m:oMath>
      <w:r w:rsidRPr="00896CE2">
        <w:rPr>
          <w:rFonts w:ascii="Times New Roman" w:hAnsi="Times New Roman" w:cs="Times New Roman"/>
          <w:sz w:val="24"/>
          <w:szCs w:val="24"/>
        </w:rPr>
        <w:t>) and</w:t>
      </w:r>
      <w:r w:rsidRPr="00896CE2">
        <w:rPr>
          <w:rStyle w:val="Strong"/>
          <w:rFonts w:ascii="Times New Roman" w:hAnsi="Times New Roman" w:cs="Times New Roman"/>
          <w:sz w:val="24"/>
          <w:szCs w:val="24"/>
        </w:rPr>
        <w:t xml:space="preserve"> </w:t>
      </w:r>
      <w:r w:rsidRPr="00896CE2">
        <w:rPr>
          <w:rFonts w:ascii="Times New Roman" w:hAnsi="Times New Roman" w:cs="Times New Roman"/>
          <w:sz w:val="24"/>
          <w:szCs w:val="24"/>
        </w:rPr>
        <w:t>voluntary income (</w:t>
      </w:r>
      <m:oMath>
        <m:sSub>
          <m:sSubPr>
            <m:ctrlPr>
              <w:rPr>
                <w:rFonts w:ascii="Cambria Math" w:hAnsi="Times New Roman" w:cs="Times New Roman"/>
                <w:i/>
                <w:sz w:val="24"/>
                <w:szCs w:val="24"/>
              </w:rPr>
            </m:ctrlPr>
          </m:sSubPr>
          <m:e>
            <m:r>
              <m:rPr>
                <m:sty m:val="bi"/>
              </m:rPr>
              <w:rPr>
                <w:rFonts w:ascii="Cambria Math" w:hAnsi="Cambria Math" w:cs="Times New Roman"/>
                <w:sz w:val="24"/>
                <w:szCs w:val="24"/>
              </w:rPr>
              <m:t>iv</m:t>
            </m:r>
          </m:e>
          <m:sub>
            <m:r>
              <m:rPr>
                <m:sty m:val="bi"/>
              </m:rPr>
              <w:rPr>
                <w:rFonts w:ascii="Cambria Math" w:hAnsi="Cambria Math" w:cs="Times New Roman"/>
                <w:sz w:val="24"/>
                <w:szCs w:val="24"/>
              </w:rPr>
              <m:t>i</m:t>
            </m:r>
            <m:r>
              <m:rPr>
                <m:sty m:val="bi"/>
              </m:rPr>
              <w:rPr>
                <w:rFonts w:ascii="Cambria Math" w:hAnsi="Times New Roman" w:cs="Times New Roman"/>
                <w:sz w:val="24"/>
                <w:szCs w:val="24"/>
              </w:rPr>
              <m:t>,</m:t>
            </m:r>
            <m:r>
              <m:rPr>
                <m:sty m:val="bi"/>
              </m:rPr>
              <w:rPr>
                <w:rFonts w:ascii="Cambria Math" w:hAnsi="Cambria Math" w:cs="Times New Roman"/>
                <w:sz w:val="24"/>
                <w:szCs w:val="24"/>
              </w:rPr>
              <m:t>t</m:t>
            </m:r>
          </m:sub>
        </m:sSub>
      </m:oMath>
      <w:r w:rsidRPr="00896CE2">
        <w:rPr>
          <w:rFonts w:ascii="Times New Roman" w:hAnsi="Times New Roman" w:cs="Times New Roman"/>
          <w:sz w:val="24"/>
          <w:szCs w:val="24"/>
        </w:rPr>
        <w:t>). S is a set of sector dummy variables to control for possible effects of different areas of activity (ICNPO classification)</w:t>
      </w:r>
      <w:r w:rsidR="00D9559B">
        <w:rPr>
          <w:rFonts w:ascii="Times New Roman" w:hAnsi="Times New Roman" w:cs="Times New Roman"/>
          <w:sz w:val="24"/>
          <w:szCs w:val="24"/>
        </w:rPr>
        <w:t>.</w:t>
      </w:r>
      <w:r w:rsidRPr="00896CE2">
        <w:rPr>
          <w:rFonts w:ascii="Times New Roman" w:hAnsi="Times New Roman" w:cs="Times New Roman"/>
          <w:sz w:val="24"/>
          <w:szCs w:val="24"/>
        </w:rPr>
        <w:t xml:space="preserve"> T is a set of time dummies (yearly) to capture both the economic business cycle and the commercialisation effect over time. The last two terms</w:t>
      </w:r>
      <w:r w:rsidR="00D9559B">
        <w:rPr>
          <w:rFonts w:ascii="Times New Roman" w:hAnsi="Times New Roman" w:cs="Times New Roman"/>
          <w:sz w:val="24"/>
          <w:szCs w:val="24"/>
        </w:rPr>
        <w:t xml:space="preserve"> in the equation</w:t>
      </w:r>
      <w:r w:rsidRPr="00896CE2">
        <w:rPr>
          <w:rFonts w:ascii="Times New Roman" w:hAnsi="Times New Roman" w:cs="Times New Roman"/>
          <w:sz w:val="24"/>
          <w:szCs w:val="24"/>
        </w:rPr>
        <w:t xml:space="preserve"> are the components of the error term (with </w:t>
      </w:r>
      <w:proofErr w:type="spellStart"/>
      <w:r w:rsidRPr="00896CE2">
        <w:rPr>
          <w:rFonts w:ascii="Times New Roman" w:hAnsi="Times New Roman" w:cs="Times New Roman"/>
          <w:sz w:val="24"/>
          <w:szCs w:val="24"/>
        </w:rPr>
        <w:t>u</w:t>
      </w:r>
      <w:r w:rsidRPr="00896CE2">
        <w:rPr>
          <w:rFonts w:ascii="Times New Roman" w:hAnsi="Times New Roman" w:cs="Times New Roman"/>
          <w:sz w:val="24"/>
          <w:szCs w:val="24"/>
          <w:vertAlign w:val="subscript"/>
        </w:rPr>
        <w:t>i</w:t>
      </w:r>
      <w:proofErr w:type="spellEnd"/>
      <w:r w:rsidRPr="00896CE2">
        <w:rPr>
          <w:rFonts w:ascii="Times New Roman" w:hAnsi="Times New Roman" w:cs="Times New Roman"/>
          <w:sz w:val="24"/>
          <w:szCs w:val="24"/>
        </w:rPr>
        <w:t xml:space="preserve"> capturing charity-specific so-called ‘fixed effects’</w:t>
      </w:r>
      <w:r w:rsidR="00D9559B">
        <w:rPr>
          <w:rFonts w:ascii="Times New Roman" w:hAnsi="Times New Roman" w:cs="Times New Roman"/>
          <w:sz w:val="24"/>
          <w:szCs w:val="24"/>
        </w:rPr>
        <w:t xml:space="preserve"> and </w:t>
      </w:r>
      <m:oMath>
        <m:sSub>
          <m:sSubPr>
            <m:ctrlPr>
              <w:rPr>
                <w:rFonts w:ascii="Cambria Math" w:hAnsi="Times New Roman" w:cs="Times New Roman"/>
                <w:i/>
                <w:sz w:val="24"/>
                <w:szCs w:val="24"/>
              </w:rPr>
            </m:ctrlPr>
          </m:sSubPr>
          <m:e>
            <m:r>
              <w:rPr>
                <w:rFonts w:ascii="Cambria Math" w:hAnsi="Cambria Math" w:cs="Times New Roman"/>
                <w:sz w:val="24"/>
                <w:szCs w:val="24"/>
              </w:rPr>
              <m:t>ε</m:t>
            </m:r>
          </m:e>
          <m:sub>
            <m:r>
              <w:rPr>
                <w:rFonts w:ascii="Cambria Math" w:hAnsi="Cambria Math" w:cs="Times New Roman"/>
                <w:sz w:val="24"/>
                <w:szCs w:val="24"/>
              </w:rPr>
              <m:t>i</m:t>
            </m:r>
            <m:r>
              <w:rPr>
                <w:rFonts w:ascii="Cambria Math" w:hAnsi="Times New Roman" w:cs="Times New Roman"/>
                <w:sz w:val="24"/>
                <w:szCs w:val="24"/>
              </w:rPr>
              <m:t>,</m:t>
            </m:r>
            <m:r>
              <w:rPr>
                <w:rFonts w:ascii="Cambria Math" w:hAnsi="Cambria Math" w:cs="Times New Roman"/>
                <w:sz w:val="24"/>
                <w:szCs w:val="24"/>
              </w:rPr>
              <m:t>t</m:t>
            </m:r>
          </m:sub>
        </m:sSub>
        <m:r>
          <w:rPr>
            <w:rFonts w:ascii="Cambria Math" w:hAnsi="Times New Roman" w:cs="Times New Roman"/>
            <w:sz w:val="24"/>
            <w:szCs w:val="24"/>
          </w:rPr>
          <m:t xml:space="preserve"> </m:t>
        </m:r>
      </m:oMath>
      <w:r w:rsidR="00D9559B">
        <w:rPr>
          <w:rFonts w:ascii="Times New Roman" w:hAnsi="Times New Roman" w:cs="Times New Roman"/>
          <w:sz w:val="24"/>
          <w:szCs w:val="24"/>
        </w:rPr>
        <w:t>being the other part of the error term</w:t>
      </w:r>
      <w:r w:rsidRPr="00896CE2">
        <w:rPr>
          <w:rFonts w:ascii="Times New Roman" w:hAnsi="Times New Roman" w:cs="Times New Roman"/>
          <w:sz w:val="24"/>
          <w:szCs w:val="24"/>
        </w:rPr>
        <w:t>).</w:t>
      </w:r>
    </w:p>
    <w:p w:rsidR="002E69C1" w:rsidRDefault="002E69C1">
      <w:pPr>
        <w:rPr>
          <w:rFonts w:ascii="Times New Roman" w:eastAsia="Times New Roman" w:hAnsi="Times New Roman" w:cs="Times New Roman"/>
          <w:b/>
          <w:sz w:val="24"/>
          <w:szCs w:val="24"/>
        </w:rPr>
      </w:pPr>
    </w:p>
    <w:p w:rsidR="002E69C1" w:rsidRPr="00896CE2" w:rsidRDefault="002E69C1" w:rsidP="00896CE2">
      <w:pPr>
        <w:pStyle w:val="TSRCFirstBody"/>
        <w:spacing w:after="80"/>
        <w:rPr>
          <w:rFonts w:ascii="Times New Roman" w:hAnsi="Times New Roman" w:cs="Times New Roman"/>
          <w:sz w:val="24"/>
          <w:szCs w:val="24"/>
        </w:rPr>
      </w:pPr>
      <w:proofErr w:type="gramStart"/>
      <w:r w:rsidRPr="00896CE2">
        <w:rPr>
          <w:rFonts w:ascii="Times New Roman" w:hAnsi="Times New Roman" w:cs="Times New Roman"/>
          <w:b/>
          <w:sz w:val="24"/>
          <w:szCs w:val="24"/>
        </w:rPr>
        <w:t>Equation 1.</w:t>
      </w:r>
      <w:proofErr w:type="gramEnd"/>
      <w:r w:rsidRPr="00896CE2">
        <w:rPr>
          <w:rFonts w:ascii="Times New Roman" w:hAnsi="Times New Roman" w:cs="Times New Roman"/>
          <w:sz w:val="24"/>
          <w:szCs w:val="24"/>
        </w:rPr>
        <w:t xml:space="preserve"> Specification of our model</w:t>
      </w:r>
    </w:p>
    <w:p w:rsidR="002E69C1" w:rsidRPr="00896CE2" w:rsidRDefault="00D854D9" w:rsidP="00896CE2">
      <w:pPr>
        <w:spacing w:line="480" w:lineRule="auto"/>
        <w:rPr>
          <w:rFonts w:ascii="Times New Roman" w:hAnsi="Times New Roman" w:cs="Times New Roman"/>
          <w:b/>
          <w:bCs/>
          <w:sz w:val="24"/>
          <w:szCs w:val="24"/>
        </w:rPr>
      </w:pPr>
      <m:oMathPara>
        <m:oMath>
          <m:func>
            <m:funcPr>
              <m:ctrlPr>
                <w:rPr>
                  <w:rFonts w:ascii="Cambria Math" w:hAnsi="Times New Roman" w:cs="Times New Roman"/>
                  <w:sz w:val="24"/>
                  <w:szCs w:val="24"/>
                </w:rPr>
              </m:ctrlPr>
            </m:funcPr>
            <m:fName>
              <m:r>
                <m:rPr>
                  <m:sty m:val="p"/>
                </m:rPr>
                <w:rPr>
                  <w:rFonts w:ascii="Cambria Math" w:hAnsi="Times New Roman" w:cs="Times New Roman"/>
                  <w:sz w:val="24"/>
                  <w:szCs w:val="24"/>
                </w:rPr>
                <m:t>ln</m:t>
              </m:r>
            </m:fName>
            <m:e>
              <m:d>
                <m:dPr>
                  <m:ctrlPr>
                    <w:rPr>
                      <w:rFonts w:ascii="Cambria Math" w:hAnsi="Times New Roman" w:cs="Times New Roman"/>
                      <w:i/>
                      <w:sz w:val="24"/>
                      <w:szCs w:val="24"/>
                    </w:rPr>
                  </m:ctrlPr>
                </m:dPr>
                <m:e>
                  <m:sSub>
                    <m:sSubPr>
                      <m:ctrlPr>
                        <w:rPr>
                          <w:rFonts w:ascii="Cambria Math" w:hAnsi="Times New Roman" w:cs="Times New Roman"/>
                          <w:i/>
                          <w:sz w:val="24"/>
                          <w:szCs w:val="24"/>
                        </w:rPr>
                      </m:ctrlPr>
                    </m:sSubPr>
                    <m:e>
                      <m:r>
                        <w:rPr>
                          <w:rFonts w:ascii="Cambria Math" w:hAnsi="Cambria Math" w:cs="Times New Roman"/>
                          <w:sz w:val="24"/>
                          <w:szCs w:val="24"/>
                        </w:rPr>
                        <m:t>is</m:t>
                      </m:r>
                    </m:e>
                    <m:sub>
                      <m:r>
                        <w:rPr>
                          <w:rFonts w:ascii="Cambria Math" w:hAnsi="Cambria Math" w:cs="Times New Roman"/>
                          <w:sz w:val="24"/>
                          <w:szCs w:val="24"/>
                        </w:rPr>
                        <m:t>i</m:t>
                      </m:r>
                      <m:r>
                        <w:rPr>
                          <w:rFonts w:ascii="Cambria Math" w:hAnsi="Times New Roman" w:cs="Times New Roman"/>
                          <w:sz w:val="24"/>
                          <w:szCs w:val="24"/>
                        </w:rPr>
                        <m:t>,</m:t>
                      </m:r>
                      <m:r>
                        <w:rPr>
                          <w:rFonts w:ascii="Cambria Math" w:hAnsi="Cambria Math" w:cs="Times New Roman"/>
                          <w:sz w:val="24"/>
                          <w:szCs w:val="24"/>
                        </w:rPr>
                        <m:t>t</m:t>
                      </m:r>
                    </m:sub>
                  </m:sSub>
                </m:e>
              </m:d>
              <m:ctrlPr>
                <w:rPr>
                  <w:rFonts w:ascii="Cambria Math" w:hAnsi="Times New Roman" w:cs="Times New Roman"/>
                  <w:i/>
                  <w:sz w:val="24"/>
                  <w:szCs w:val="24"/>
                </w:rPr>
              </m:ctrlPr>
            </m:e>
          </m:func>
          <m:r>
            <w:rPr>
              <w:rFonts w:ascii="Cambria Math" w:hAnsi="Times New Roman" w:cs="Times New Roman"/>
              <w:sz w:val="24"/>
              <w:szCs w:val="24"/>
            </w:rPr>
            <m:t>=</m:t>
          </m:r>
          <m:sSub>
            <m:sSubPr>
              <m:ctrlPr>
                <w:rPr>
                  <w:rFonts w:ascii="Cambria Math" w:hAnsi="Times New Roman" w:cs="Times New Roman"/>
                  <w:i/>
                  <w:sz w:val="24"/>
                  <w:szCs w:val="24"/>
                </w:rPr>
              </m:ctrlPr>
            </m:sSubPr>
            <m:e>
              <m:r>
                <w:rPr>
                  <w:rFonts w:ascii="Cambria Math" w:hAnsi="Cambria Math" w:cs="Times New Roman"/>
                  <w:sz w:val="24"/>
                  <w:szCs w:val="24"/>
                </w:rPr>
                <m:t>α</m:t>
              </m:r>
            </m:e>
            <m:sub>
              <m:r>
                <w:rPr>
                  <w:rFonts w:ascii="Cambria Math" w:hAnsi="Times New Roman" w:cs="Times New Roman"/>
                  <w:sz w:val="24"/>
                  <w:szCs w:val="24"/>
                </w:rPr>
                <m:t>0</m:t>
              </m:r>
            </m:sub>
          </m:sSub>
          <m:r>
            <w:rPr>
              <w:rFonts w:ascii="Cambria Math" w:hAnsi="Times New Roman" w:cs="Times New Roman"/>
              <w:sz w:val="24"/>
              <w:szCs w:val="24"/>
            </w:rPr>
            <m:t>+</m:t>
          </m:r>
          <m:func>
            <m:funcPr>
              <m:ctrlPr>
                <w:rPr>
                  <w:rFonts w:ascii="Cambria Math" w:hAnsi="Times New Roman" w:cs="Times New Roman"/>
                  <w:sz w:val="24"/>
                  <w:szCs w:val="24"/>
                </w:rPr>
              </m:ctrlPr>
            </m:funcPr>
            <m:fName>
              <m:sSub>
                <m:sSubPr>
                  <m:ctrlPr>
                    <w:rPr>
                      <w:rFonts w:ascii="Cambria Math" w:hAnsi="Times New Roman" w:cs="Times New Roman"/>
                      <w:i/>
                      <w:sz w:val="24"/>
                      <w:szCs w:val="24"/>
                    </w:rPr>
                  </m:ctrlPr>
                </m:sSubPr>
                <m:e>
                  <m:r>
                    <w:rPr>
                      <w:rFonts w:ascii="Cambria Math" w:hAnsi="Cambria Math" w:cs="Times New Roman"/>
                      <w:sz w:val="24"/>
                      <w:szCs w:val="24"/>
                    </w:rPr>
                    <m:t>α</m:t>
                  </m:r>
                </m:e>
                <m:sub>
                  <m:r>
                    <w:rPr>
                      <w:rFonts w:ascii="Cambria Math" w:hAnsi="Times New Roman" w:cs="Times New Roman"/>
                      <w:sz w:val="24"/>
                      <w:szCs w:val="24"/>
                    </w:rPr>
                    <m:t>1</m:t>
                  </m:r>
                </m:sub>
              </m:sSub>
              <m:r>
                <m:rPr>
                  <m:sty m:val="p"/>
                </m:rPr>
                <w:rPr>
                  <w:rFonts w:ascii="Cambria Math" w:hAnsi="Times New Roman" w:cs="Times New Roman"/>
                  <w:sz w:val="24"/>
                  <w:szCs w:val="24"/>
                </w:rPr>
                <m:t xml:space="preserve">ln </m:t>
              </m:r>
            </m:fName>
            <m:e>
              <m:d>
                <m:dPr>
                  <m:ctrlPr>
                    <w:rPr>
                      <w:rFonts w:ascii="Cambria Math" w:hAnsi="Times New Roman" w:cs="Times New Roman"/>
                      <w:i/>
                      <w:sz w:val="24"/>
                      <w:szCs w:val="24"/>
                    </w:rPr>
                  </m:ctrlPr>
                </m:dPr>
                <m:e>
                  <m:sSub>
                    <m:sSubPr>
                      <m:ctrlPr>
                        <w:rPr>
                          <w:rFonts w:ascii="Cambria Math" w:hAnsi="Times New Roman" w:cs="Times New Roman"/>
                          <w:i/>
                          <w:sz w:val="24"/>
                          <w:szCs w:val="24"/>
                        </w:rPr>
                      </m:ctrlPr>
                    </m:sSubPr>
                    <m:e>
                      <m:r>
                        <w:rPr>
                          <w:rFonts w:ascii="Cambria Math" w:hAnsi="Cambria Math" w:cs="Times New Roman"/>
                          <w:sz w:val="24"/>
                          <w:szCs w:val="24"/>
                        </w:rPr>
                        <m:t>is</m:t>
                      </m:r>
                    </m:e>
                    <m:sub>
                      <m:r>
                        <w:rPr>
                          <w:rFonts w:ascii="Cambria Math" w:hAnsi="Cambria Math" w:cs="Times New Roman"/>
                          <w:sz w:val="24"/>
                          <w:szCs w:val="24"/>
                        </w:rPr>
                        <m:t>i</m:t>
                      </m:r>
                      <m:r>
                        <w:rPr>
                          <w:rFonts w:ascii="Cambria Math" w:hAnsi="Times New Roman" w:cs="Times New Roman"/>
                          <w:sz w:val="24"/>
                          <w:szCs w:val="24"/>
                        </w:rPr>
                        <m:t>,</m:t>
                      </m:r>
                      <m:r>
                        <w:rPr>
                          <w:rFonts w:ascii="Cambria Math" w:hAnsi="Cambria Math" w:cs="Times New Roman"/>
                          <w:sz w:val="24"/>
                          <w:szCs w:val="24"/>
                        </w:rPr>
                        <m:t>t</m:t>
                      </m:r>
                      <m:r>
                        <w:rPr>
                          <w:rFonts w:ascii="Times New Roman" w:hAnsi="Times New Roman" w:cs="Times New Roman"/>
                          <w:sz w:val="24"/>
                          <w:szCs w:val="24"/>
                        </w:rPr>
                        <m:t>-</m:t>
                      </m:r>
                      <m:r>
                        <w:rPr>
                          <w:rFonts w:ascii="Cambria Math" w:hAnsi="Times New Roman" w:cs="Times New Roman"/>
                          <w:sz w:val="24"/>
                          <w:szCs w:val="24"/>
                        </w:rPr>
                        <m:t>1</m:t>
                      </m:r>
                    </m:sub>
                  </m:sSub>
                </m:e>
              </m:d>
              <m:ctrlPr>
                <w:rPr>
                  <w:rFonts w:ascii="Cambria Math" w:hAnsi="Times New Roman" w:cs="Times New Roman"/>
                  <w:i/>
                  <w:sz w:val="24"/>
                  <w:szCs w:val="24"/>
                </w:rPr>
              </m:ctrlPr>
            </m:e>
          </m:func>
          <m:r>
            <w:rPr>
              <w:rFonts w:ascii="Cambria Math" w:hAnsi="Times New Roman" w:cs="Times New Roman"/>
              <w:sz w:val="24"/>
              <w:szCs w:val="24"/>
            </w:rPr>
            <m:t>+</m:t>
          </m:r>
          <m:func>
            <m:funcPr>
              <m:ctrlPr>
                <w:rPr>
                  <w:rFonts w:ascii="Cambria Math" w:hAnsi="Times New Roman" w:cs="Times New Roman"/>
                  <w:sz w:val="24"/>
                  <w:szCs w:val="24"/>
                </w:rPr>
              </m:ctrlPr>
            </m:funcPr>
            <m:fName>
              <m:sSub>
                <m:sSubPr>
                  <m:ctrlPr>
                    <w:rPr>
                      <w:rFonts w:ascii="Cambria Math" w:hAnsi="Times New Roman" w:cs="Times New Roman"/>
                      <w:i/>
                      <w:sz w:val="24"/>
                      <w:szCs w:val="24"/>
                    </w:rPr>
                  </m:ctrlPr>
                </m:sSubPr>
                <m:e>
                  <m:r>
                    <w:rPr>
                      <w:rFonts w:ascii="Cambria Math" w:hAnsi="Cambria Math" w:cs="Times New Roman"/>
                      <w:sz w:val="24"/>
                      <w:szCs w:val="24"/>
                    </w:rPr>
                    <m:t>α</m:t>
                  </m:r>
                </m:e>
                <m:sub>
                  <m:r>
                    <w:rPr>
                      <w:rFonts w:ascii="Cambria Math" w:hAnsi="Times New Roman" w:cs="Times New Roman"/>
                      <w:sz w:val="24"/>
                      <w:szCs w:val="24"/>
                    </w:rPr>
                    <m:t>2</m:t>
                  </m:r>
                </m:sub>
              </m:sSub>
              <m:r>
                <w:rPr>
                  <w:rFonts w:ascii="Cambria Math" w:hAnsi="Cambria Math" w:cs="Times New Roman"/>
                  <w:sz w:val="24"/>
                  <w:szCs w:val="24"/>
                </w:rPr>
                <m:t>ln</m:t>
              </m:r>
            </m:fName>
            <m:e>
              <m:d>
                <m:dPr>
                  <m:ctrlPr>
                    <w:rPr>
                      <w:rFonts w:ascii="Cambria Math" w:hAnsi="Times New Roman" w:cs="Times New Roman"/>
                      <w:i/>
                      <w:sz w:val="24"/>
                      <w:szCs w:val="24"/>
                    </w:rPr>
                  </m:ctrlPr>
                </m:dPr>
                <m:e>
                  <m:sSub>
                    <m:sSubPr>
                      <m:ctrlPr>
                        <w:rPr>
                          <w:rFonts w:ascii="Cambria Math" w:hAnsi="Times New Roman" w:cs="Times New Roman"/>
                          <w:i/>
                          <w:sz w:val="24"/>
                          <w:szCs w:val="24"/>
                        </w:rPr>
                      </m:ctrlPr>
                    </m:sSubPr>
                    <m:e>
                      <m:r>
                        <w:rPr>
                          <w:rFonts w:ascii="Cambria Math" w:hAnsi="Cambria Math" w:cs="Times New Roman"/>
                          <w:sz w:val="24"/>
                          <w:szCs w:val="24"/>
                        </w:rPr>
                        <m:t>iv</m:t>
                      </m:r>
                    </m:e>
                    <m:sub>
                      <m:r>
                        <w:rPr>
                          <w:rFonts w:ascii="Cambria Math" w:hAnsi="Cambria Math" w:cs="Times New Roman"/>
                          <w:sz w:val="24"/>
                          <w:szCs w:val="24"/>
                        </w:rPr>
                        <m:t>i</m:t>
                      </m:r>
                      <m:r>
                        <w:rPr>
                          <w:rFonts w:ascii="Cambria Math" w:hAnsi="Times New Roman" w:cs="Times New Roman"/>
                          <w:sz w:val="24"/>
                          <w:szCs w:val="24"/>
                        </w:rPr>
                        <m:t>,</m:t>
                      </m:r>
                      <m:r>
                        <w:rPr>
                          <w:rFonts w:ascii="Cambria Math" w:hAnsi="Cambria Math" w:cs="Times New Roman"/>
                          <w:sz w:val="24"/>
                          <w:szCs w:val="24"/>
                        </w:rPr>
                        <m:t>t</m:t>
                      </m:r>
                    </m:sub>
                  </m:sSub>
                </m:e>
              </m:d>
              <m:ctrlPr>
                <w:rPr>
                  <w:rFonts w:ascii="Cambria Math" w:hAnsi="Times New Roman" w:cs="Times New Roman"/>
                  <w:i/>
                  <w:sz w:val="24"/>
                  <w:szCs w:val="24"/>
                </w:rPr>
              </m:ctrlPr>
            </m:e>
          </m:func>
          <m:r>
            <w:rPr>
              <w:rFonts w:ascii="Cambria Math" w:hAnsi="Times New Roman" w:cs="Times New Roman"/>
              <w:sz w:val="24"/>
              <w:szCs w:val="24"/>
            </w:rPr>
            <m:t>+</m:t>
          </m:r>
          <m:sSup>
            <m:sSupPr>
              <m:ctrlPr>
                <w:rPr>
                  <w:rFonts w:ascii="Cambria Math" w:hAnsi="Times New Roman" w:cs="Times New Roman"/>
                  <w:i/>
                  <w:sz w:val="24"/>
                  <w:szCs w:val="24"/>
                </w:rPr>
              </m:ctrlPr>
            </m:sSupPr>
            <m:e>
              <m:r>
                <w:rPr>
                  <w:rFonts w:ascii="Cambria Math" w:hAnsi="Cambria Math" w:cs="Times New Roman"/>
                  <w:sz w:val="24"/>
                  <w:szCs w:val="24"/>
                </w:rPr>
                <m:t>β</m:t>
              </m:r>
            </m:e>
            <m:sup>
              <m:r>
                <w:rPr>
                  <w:rFonts w:ascii="Cambria Math" w:hAnsi="Times New Roman" w:cs="Times New Roman"/>
                  <w:sz w:val="24"/>
                  <w:szCs w:val="24"/>
                </w:rPr>
                <m:t>'</m:t>
              </m:r>
            </m:sup>
          </m:sSup>
          <m:r>
            <w:rPr>
              <w:rFonts w:ascii="Cambria Math" w:hAnsi="Cambria Math" w:cs="Times New Roman"/>
              <w:sz w:val="24"/>
              <w:szCs w:val="24"/>
            </w:rPr>
            <m:t>S</m:t>
          </m:r>
          <m:r>
            <w:rPr>
              <w:rFonts w:ascii="Cambria Math" w:hAnsi="Times New Roman" w:cs="Times New Roman"/>
              <w:sz w:val="24"/>
              <w:szCs w:val="24"/>
            </w:rPr>
            <m:t>+</m:t>
          </m:r>
          <m:sSup>
            <m:sSupPr>
              <m:ctrlPr>
                <w:rPr>
                  <w:rFonts w:ascii="Cambria Math" w:hAnsi="Times New Roman" w:cs="Times New Roman"/>
                  <w:i/>
                  <w:sz w:val="24"/>
                  <w:szCs w:val="24"/>
                </w:rPr>
              </m:ctrlPr>
            </m:sSupPr>
            <m:e>
              <m:r>
                <w:rPr>
                  <w:rFonts w:ascii="Cambria Math" w:hAnsi="Cambria Math" w:cs="Times New Roman"/>
                  <w:sz w:val="24"/>
                  <w:szCs w:val="24"/>
                </w:rPr>
                <m:t>γ</m:t>
              </m:r>
            </m:e>
            <m:sup>
              <m:r>
                <w:rPr>
                  <w:rFonts w:ascii="Cambria Math" w:hAnsi="Times New Roman" w:cs="Times New Roman"/>
                  <w:sz w:val="24"/>
                  <w:szCs w:val="24"/>
                </w:rPr>
                <m:t>'</m:t>
              </m:r>
            </m:sup>
          </m:sSup>
          <m:r>
            <w:rPr>
              <w:rFonts w:ascii="Cambria Math" w:hAnsi="Cambria Math" w:cs="Times New Roman"/>
              <w:sz w:val="24"/>
              <w:szCs w:val="24"/>
            </w:rPr>
            <m:t>T</m:t>
          </m:r>
          <m:r>
            <m:rPr>
              <m:sty m:val="p"/>
            </m:rPr>
            <w:rPr>
              <w:rFonts w:ascii="Cambria Math" w:hAnsi="Times New Roman" w:cs="Times New Roman"/>
              <w:sz w:val="24"/>
              <w:szCs w:val="24"/>
            </w:rPr>
            <m:t>+</m:t>
          </m:r>
          <m:sSub>
            <m:sSubPr>
              <m:ctrlPr>
                <w:rPr>
                  <w:rFonts w:ascii="Cambria Math" w:hAnsi="Times New Roman" w:cs="Times New Roman"/>
                  <w:i/>
                  <w:sz w:val="24"/>
                  <w:szCs w:val="24"/>
                </w:rPr>
              </m:ctrlPr>
            </m:sSubPr>
            <m:e>
              <m:r>
                <w:rPr>
                  <w:rFonts w:ascii="Cambria Math" w:hAnsi="Cambria Math" w:cs="Times New Roman"/>
                  <w:sz w:val="24"/>
                  <w:szCs w:val="24"/>
                </w:rPr>
                <m:t>u</m:t>
              </m:r>
            </m:e>
            <m:sub>
              <m:r>
                <w:rPr>
                  <w:rFonts w:ascii="Cambria Math" w:hAnsi="Cambria Math" w:cs="Times New Roman"/>
                  <w:sz w:val="24"/>
                  <w:szCs w:val="24"/>
                </w:rPr>
                <m:t>i</m:t>
              </m:r>
            </m:sub>
          </m:sSub>
          <m:r>
            <w:rPr>
              <w:rFonts w:ascii="Cambria Math" w:hAnsi="Times New Roman" w:cs="Times New Roman"/>
              <w:sz w:val="24"/>
              <w:szCs w:val="24"/>
            </w:rPr>
            <m:t>+</m:t>
          </m:r>
          <m:sSub>
            <m:sSubPr>
              <m:ctrlPr>
                <w:rPr>
                  <w:rFonts w:ascii="Cambria Math" w:hAnsi="Times New Roman" w:cs="Times New Roman"/>
                  <w:i/>
                  <w:sz w:val="24"/>
                  <w:szCs w:val="24"/>
                </w:rPr>
              </m:ctrlPr>
            </m:sSubPr>
            <m:e>
              <m:r>
                <w:rPr>
                  <w:rFonts w:ascii="Cambria Math" w:hAnsi="Cambria Math" w:cs="Times New Roman"/>
                  <w:sz w:val="24"/>
                  <w:szCs w:val="24"/>
                </w:rPr>
                <m:t>ε</m:t>
              </m:r>
            </m:e>
            <m:sub>
              <m:r>
                <w:rPr>
                  <w:rFonts w:ascii="Cambria Math" w:hAnsi="Cambria Math" w:cs="Times New Roman"/>
                  <w:sz w:val="24"/>
                  <w:szCs w:val="24"/>
                </w:rPr>
                <m:t>i</m:t>
              </m:r>
              <m:r>
                <w:rPr>
                  <w:rFonts w:ascii="Cambria Math" w:hAnsi="Times New Roman" w:cs="Times New Roman"/>
                  <w:sz w:val="24"/>
                  <w:szCs w:val="24"/>
                </w:rPr>
                <m:t>,</m:t>
              </m:r>
              <m:r>
                <w:rPr>
                  <w:rFonts w:ascii="Cambria Math" w:hAnsi="Cambria Math" w:cs="Times New Roman"/>
                  <w:sz w:val="24"/>
                  <w:szCs w:val="24"/>
                </w:rPr>
                <m:t>t</m:t>
              </m:r>
            </m:sub>
          </m:sSub>
          <m:r>
            <w:rPr>
              <w:rFonts w:ascii="Cambria Math" w:hAnsi="Times New Roman" w:cs="Times New Roman"/>
              <w:sz w:val="24"/>
              <w:szCs w:val="24"/>
            </w:rPr>
            <m:t xml:space="preserve"> (1)</m:t>
          </m:r>
        </m:oMath>
      </m:oMathPara>
    </w:p>
    <w:p w:rsidR="002E69C1" w:rsidRPr="00896CE2" w:rsidRDefault="002E69C1" w:rsidP="00896CE2">
      <w:pPr>
        <w:spacing w:line="480" w:lineRule="auto"/>
        <w:rPr>
          <w:rStyle w:val="Strong"/>
          <w:rFonts w:ascii="Times New Roman" w:hAnsi="Times New Roman" w:cs="Times New Roman"/>
          <w:sz w:val="24"/>
          <w:szCs w:val="24"/>
        </w:rPr>
      </w:pPr>
      <m:oMathPara>
        <m:oMath>
          <m:r>
            <w:rPr>
              <w:rFonts w:ascii="Cambria Math" w:hAnsi="Cambria Math" w:cs="Times New Roman"/>
              <w:sz w:val="24"/>
              <w:szCs w:val="24"/>
            </w:rPr>
            <m:t>i</m:t>
          </m:r>
          <m:r>
            <w:rPr>
              <w:rFonts w:ascii="Cambria Math" w:hAnsi="Times New Roman" w:cs="Times New Roman"/>
              <w:sz w:val="24"/>
              <w:szCs w:val="24"/>
            </w:rPr>
            <m:t>=1,</m:t>
          </m:r>
          <m:r>
            <w:rPr>
              <w:rFonts w:ascii="Cambria Math" w:hAnsi="Times New Roman" w:cs="Times New Roman"/>
              <w:sz w:val="24"/>
              <w:szCs w:val="24"/>
            </w:rPr>
            <m:t>…</m:t>
          </m:r>
          <m:r>
            <w:rPr>
              <w:rFonts w:ascii="Cambria Math" w:hAnsi="Times New Roman" w:cs="Times New Roman"/>
              <w:sz w:val="24"/>
              <w:szCs w:val="24"/>
            </w:rPr>
            <m:t>,</m:t>
          </m:r>
          <m:r>
            <w:rPr>
              <w:rFonts w:ascii="Cambria Math" w:hAnsi="Cambria Math" w:cs="Times New Roman"/>
              <w:sz w:val="24"/>
              <w:szCs w:val="24"/>
            </w:rPr>
            <m:t>N</m:t>
          </m:r>
          <m:r>
            <w:rPr>
              <w:rFonts w:ascii="Cambria Math" w:hAnsi="Times New Roman" w:cs="Times New Roman"/>
              <w:sz w:val="24"/>
              <w:szCs w:val="24"/>
            </w:rPr>
            <m:t>;</m:t>
          </m:r>
          <m:r>
            <w:rPr>
              <w:rFonts w:ascii="Cambria Math" w:hAnsi="Cambria Math" w:cs="Times New Roman"/>
              <w:sz w:val="24"/>
              <w:szCs w:val="24"/>
            </w:rPr>
            <m:t>t</m:t>
          </m:r>
          <m:r>
            <w:rPr>
              <w:rFonts w:ascii="Cambria Math" w:hAnsi="Times New Roman" w:cs="Times New Roman"/>
              <w:sz w:val="24"/>
              <w:szCs w:val="24"/>
            </w:rPr>
            <m:t>=1,</m:t>
          </m:r>
          <m:r>
            <w:rPr>
              <w:rFonts w:ascii="Cambria Math" w:hAnsi="Times New Roman" w:cs="Times New Roman"/>
              <w:sz w:val="24"/>
              <w:szCs w:val="24"/>
            </w:rPr>
            <m:t>…</m:t>
          </m:r>
          <m:r>
            <w:rPr>
              <w:rFonts w:ascii="Cambria Math" w:hAnsi="Times New Roman" w:cs="Times New Roman"/>
              <w:sz w:val="24"/>
              <w:szCs w:val="24"/>
            </w:rPr>
            <m:t>,</m:t>
          </m:r>
          <m:r>
            <w:rPr>
              <w:rFonts w:ascii="Cambria Math" w:hAnsi="Cambria Math" w:cs="Times New Roman"/>
              <w:sz w:val="24"/>
              <w:szCs w:val="24"/>
            </w:rPr>
            <m:t>T</m:t>
          </m:r>
        </m:oMath>
      </m:oMathPara>
    </w:p>
    <w:p w:rsidR="00B00185" w:rsidRPr="00E5458B" w:rsidRDefault="002E69C1" w:rsidP="00B00185">
      <w:pPr>
        <w:pStyle w:val="TSRCFirstBody"/>
        <w:spacing w:line="336" w:lineRule="auto"/>
        <w:rPr>
          <w:rFonts w:ascii="Times New Roman" w:hAnsi="Times New Roman" w:cs="Times New Roman"/>
          <w:sz w:val="24"/>
          <w:szCs w:val="24"/>
        </w:rPr>
      </w:pPr>
      <w:r w:rsidRPr="00E5458B">
        <w:rPr>
          <w:rStyle w:val="Strong"/>
          <w:rFonts w:ascii="Times New Roman" w:hAnsi="Times New Roman" w:cs="Times New Roman"/>
          <w:b w:val="0"/>
          <w:sz w:val="24"/>
          <w:szCs w:val="24"/>
        </w:rPr>
        <w:t xml:space="preserve">In this equation </w:t>
      </w:r>
      <w:proofErr w:type="spellStart"/>
      <w:r w:rsidRPr="00E5458B">
        <w:rPr>
          <w:rStyle w:val="Strong"/>
          <w:rFonts w:ascii="Times New Roman" w:hAnsi="Times New Roman" w:cs="Times New Roman"/>
          <w:b w:val="0"/>
          <w:i/>
          <w:sz w:val="24"/>
          <w:szCs w:val="24"/>
        </w:rPr>
        <w:t>i</w:t>
      </w:r>
      <w:proofErr w:type="spellEnd"/>
      <w:r w:rsidRPr="00E5458B">
        <w:rPr>
          <w:rStyle w:val="Strong"/>
          <w:rFonts w:ascii="Times New Roman" w:hAnsi="Times New Roman" w:cs="Times New Roman"/>
          <w:b w:val="0"/>
          <w:sz w:val="24"/>
          <w:szCs w:val="24"/>
        </w:rPr>
        <w:t xml:space="preserve"> and </w:t>
      </w:r>
      <w:r w:rsidRPr="00E5458B">
        <w:rPr>
          <w:rStyle w:val="Strong"/>
          <w:rFonts w:ascii="Times New Roman" w:hAnsi="Times New Roman" w:cs="Times New Roman"/>
          <w:b w:val="0"/>
          <w:i/>
          <w:sz w:val="24"/>
          <w:szCs w:val="24"/>
        </w:rPr>
        <w:t>t</w:t>
      </w:r>
      <w:r w:rsidRPr="00E5458B">
        <w:rPr>
          <w:rStyle w:val="Strong"/>
          <w:rFonts w:ascii="Times New Roman" w:hAnsi="Times New Roman" w:cs="Times New Roman"/>
          <w:b w:val="0"/>
          <w:sz w:val="24"/>
          <w:szCs w:val="24"/>
        </w:rPr>
        <w:t xml:space="preserve"> label charities and years respectively</w:t>
      </w:r>
      <w:r w:rsidR="00B00185" w:rsidRPr="00E5458B">
        <w:rPr>
          <w:rStyle w:val="Strong"/>
          <w:rFonts w:ascii="Times New Roman" w:hAnsi="Times New Roman" w:cs="Times New Roman"/>
          <w:b w:val="0"/>
          <w:sz w:val="24"/>
          <w:szCs w:val="24"/>
        </w:rPr>
        <w:t xml:space="preserve">. </w:t>
      </w:r>
      <w:r w:rsidR="00B00185" w:rsidRPr="00E5458B">
        <w:rPr>
          <w:rStyle w:val="Strong"/>
          <w:rFonts w:ascii="Times New Roman" w:hAnsi="Times New Roman" w:cs="Times New Roman"/>
          <w:sz w:val="24"/>
          <w:szCs w:val="24"/>
        </w:rPr>
        <w:t>We have N charities observed over T years.</w:t>
      </w:r>
      <w:r w:rsidRPr="00E5458B">
        <w:rPr>
          <w:rStyle w:val="Strong"/>
          <w:rFonts w:ascii="Times New Roman" w:hAnsi="Times New Roman" w:cs="Times New Roman"/>
          <w:b w:val="0"/>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is</m:t>
            </m:r>
          </m:e>
          <m:sub>
            <m:r>
              <w:rPr>
                <w:rFonts w:ascii="Cambria Math" w:hAnsi="Cambria Math" w:cs="Times New Roman"/>
                <w:sz w:val="24"/>
                <w:szCs w:val="24"/>
              </w:rPr>
              <m:t>i,t-1</m:t>
            </m:r>
          </m:sub>
        </m:sSub>
      </m:oMath>
      <w:r w:rsidRPr="00E5458B">
        <w:rPr>
          <w:rFonts w:ascii="Times New Roman" w:hAnsi="Times New Roman" w:cs="Times New Roman"/>
          <w:sz w:val="24"/>
          <w:szCs w:val="24"/>
        </w:rPr>
        <w:t xml:space="preserve"> </w:t>
      </w:r>
      <w:proofErr w:type="gramStart"/>
      <w:r w:rsidRPr="00E5458B">
        <w:rPr>
          <w:rFonts w:ascii="Times New Roman" w:hAnsi="Times New Roman" w:cs="Times New Roman"/>
          <w:sz w:val="24"/>
          <w:szCs w:val="24"/>
        </w:rPr>
        <w:t>is</w:t>
      </w:r>
      <w:proofErr w:type="gramEnd"/>
      <w:r w:rsidRPr="00E5458B">
        <w:rPr>
          <w:rFonts w:ascii="Times New Roman" w:hAnsi="Times New Roman" w:cs="Times New Roman"/>
          <w:sz w:val="24"/>
          <w:szCs w:val="24"/>
        </w:rPr>
        <w:t xml:space="preserve"> the one-period lag of the charity’s (log) commercial revenue</w:t>
      </w:r>
      <w:r w:rsidR="00B00185" w:rsidRPr="00E5458B">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iv</m:t>
            </m:r>
          </m:e>
          <m:sub>
            <m:r>
              <w:rPr>
                <w:rFonts w:ascii="Cambria Math" w:hAnsi="Cambria Math" w:cs="Times New Roman"/>
                <w:sz w:val="24"/>
                <w:szCs w:val="24"/>
              </w:rPr>
              <m:t>i,1</m:t>
            </m:r>
          </m:sub>
        </m:sSub>
      </m:oMath>
      <w:r w:rsidR="00B00185" w:rsidRPr="00E5458B">
        <w:rPr>
          <w:rFonts w:ascii="Times New Roman" w:hAnsi="Times New Roman" w:cs="Times New Roman"/>
          <w:sz w:val="24"/>
          <w:szCs w:val="24"/>
        </w:rPr>
        <w:t xml:space="preserve"> </w:t>
      </w:r>
      <w:proofErr w:type="gramStart"/>
      <w:r w:rsidR="00B00185" w:rsidRPr="00E5458B">
        <w:rPr>
          <w:rFonts w:ascii="Times New Roman" w:hAnsi="Times New Roman" w:cs="Times New Roman"/>
          <w:sz w:val="24"/>
          <w:szCs w:val="24"/>
        </w:rPr>
        <w:t>is</w:t>
      </w:r>
      <w:proofErr w:type="gramEnd"/>
      <w:r w:rsidR="00B00185" w:rsidRPr="00E5458B">
        <w:rPr>
          <w:rFonts w:ascii="Times New Roman" w:hAnsi="Times New Roman" w:cs="Times New Roman"/>
          <w:sz w:val="24"/>
          <w:szCs w:val="24"/>
        </w:rPr>
        <w:t xml:space="preserve"> the charity’s (log) voluntary income (grants and donations) in the current period. Then </w:t>
      </w:r>
      <m:oMath>
        <m:r>
          <w:rPr>
            <w:rFonts w:ascii="Cambria Math" w:hAnsi="Cambria Math" w:cs="Times New Roman"/>
            <w:sz w:val="24"/>
            <w:szCs w:val="24"/>
          </w:rPr>
          <m:t>S</m:t>
        </m:r>
      </m:oMath>
      <w:r w:rsidR="00B00185" w:rsidRPr="00E5458B">
        <w:rPr>
          <w:rFonts w:ascii="Times New Roman" w:eastAsiaTheme="minorEastAsia" w:hAnsi="Times New Roman" w:cs="Times New Roman"/>
          <w:sz w:val="24"/>
          <w:szCs w:val="24"/>
        </w:rPr>
        <w:t xml:space="preserve"> </w:t>
      </w:r>
      <w:r w:rsidR="00B00185" w:rsidRPr="00E5458B">
        <w:rPr>
          <w:rFonts w:ascii="Times New Roman" w:hAnsi="Times New Roman" w:cs="Times New Roman"/>
          <w:sz w:val="24"/>
          <w:szCs w:val="24"/>
        </w:rPr>
        <w:t xml:space="preserve">represents a set of dummy variables to capture the field of activity specific effect, while </w:t>
      </w:r>
      <m:oMath>
        <m:r>
          <w:rPr>
            <w:rFonts w:ascii="Cambria Math" w:hAnsi="Cambria Math" w:cs="Times New Roman"/>
            <w:sz w:val="24"/>
            <w:szCs w:val="24"/>
          </w:rPr>
          <m:t>T</m:t>
        </m:r>
      </m:oMath>
      <w:r w:rsidR="00B00185" w:rsidRPr="00E5458B">
        <w:rPr>
          <w:rFonts w:ascii="Times New Roman" w:eastAsiaTheme="minorEastAsia" w:hAnsi="Times New Roman" w:cs="Times New Roman"/>
          <w:sz w:val="24"/>
          <w:szCs w:val="24"/>
        </w:rPr>
        <w:t xml:space="preserve"> is set of time dummy variables.</w:t>
      </w:r>
      <w:r w:rsidRPr="00E5458B">
        <w:rPr>
          <w:rFonts w:ascii="Times New Roman" w:hAnsi="Times New Roman" w:cs="Times New Roman"/>
          <w:sz w:val="24"/>
          <w:szCs w:val="24"/>
        </w:rPr>
        <w:t xml:space="preserve"> </w:t>
      </w:r>
      <w:r w:rsidR="00B00185" w:rsidRPr="00E5458B">
        <w:rPr>
          <w:rFonts w:ascii="Times New Roman" w:eastAsiaTheme="minorEastAsia" w:hAnsi="Times New Roman" w:cs="Times New Roman"/>
          <w:sz w:val="24"/>
          <w:szCs w:val="24"/>
        </w:rPr>
        <w:t xml:space="preserve">With regard to error terms the structure of panel allows us to include: </w:t>
      </w:r>
      <m:oMath>
        <m:sSub>
          <m:sSubPr>
            <m:ctrlPr>
              <w:rPr>
                <w:rFonts w:ascii="Cambria Math" w:hAnsi="Cambria Math" w:cs="Times New Roman"/>
                <w:i/>
                <w:sz w:val="24"/>
                <w:szCs w:val="24"/>
              </w:rPr>
            </m:ctrlPr>
          </m:sSubPr>
          <m:e>
            <m:r>
              <w:rPr>
                <w:rFonts w:ascii="Cambria Math" w:hAnsi="Cambria Math" w:cs="Times New Roman"/>
                <w:sz w:val="24"/>
                <w:szCs w:val="24"/>
              </w:rPr>
              <m:t>u</m:t>
            </m:r>
          </m:e>
          <m:sub>
            <m:r>
              <w:rPr>
                <w:rFonts w:ascii="Cambria Math" w:hAnsi="Cambria Math" w:cs="Times New Roman"/>
                <w:sz w:val="24"/>
                <w:szCs w:val="24"/>
              </w:rPr>
              <m:t>i</m:t>
            </m:r>
          </m:sub>
        </m:sSub>
      </m:oMath>
      <w:r w:rsidR="00B00185" w:rsidRPr="00E5458B">
        <w:rPr>
          <w:rFonts w:ascii="Times New Roman" w:eastAsiaTheme="minorEastAsia" w:hAnsi="Times New Roman" w:cs="Times New Roman"/>
          <w:sz w:val="24"/>
          <w:szCs w:val="24"/>
        </w:rPr>
        <w:t xml:space="preserve"> </w:t>
      </w:r>
      <w:r w:rsidR="00B00185" w:rsidRPr="00E5458B">
        <w:rPr>
          <w:rFonts w:ascii="Times New Roman" w:hAnsi="Times New Roman" w:cs="Times New Roman"/>
          <w:sz w:val="24"/>
          <w:szCs w:val="24"/>
        </w:rPr>
        <w:t xml:space="preserve"> which captures any charity-specific unobservable characteristics, while </w:t>
      </w:r>
      <m:oMath>
        <m:sSub>
          <m:sSubPr>
            <m:ctrlPr>
              <w:rPr>
                <w:rFonts w:ascii="Cambria Math" w:hAnsi="Cambria Math" w:cs="Times New Roman"/>
                <w:i/>
                <w:sz w:val="24"/>
                <w:szCs w:val="24"/>
              </w:rPr>
            </m:ctrlPr>
          </m:sSubPr>
          <m:e>
            <m:r>
              <w:rPr>
                <w:rFonts w:ascii="Cambria Math" w:hAnsi="Cambria Math" w:cs="Times New Roman"/>
                <w:sz w:val="24"/>
                <w:szCs w:val="24"/>
              </w:rPr>
              <m:t>ε</m:t>
            </m:r>
          </m:e>
          <m:sub>
            <m:r>
              <w:rPr>
                <w:rFonts w:ascii="Cambria Math" w:hAnsi="Cambria Math" w:cs="Times New Roman"/>
                <w:sz w:val="24"/>
                <w:szCs w:val="24"/>
              </w:rPr>
              <m:t>i,t</m:t>
            </m:r>
          </m:sub>
        </m:sSub>
      </m:oMath>
      <w:r w:rsidR="00B00185" w:rsidRPr="00E5458B">
        <w:rPr>
          <w:rFonts w:ascii="Times New Roman" w:hAnsi="Times New Roman" w:cs="Times New Roman"/>
          <w:sz w:val="24"/>
          <w:szCs w:val="24"/>
        </w:rPr>
        <w:t xml:space="preserve"> is the normal error term (allowing for the charity specific term).</w:t>
      </w:r>
    </w:p>
    <w:p w:rsidR="002E69C1" w:rsidRPr="00E5458B" w:rsidRDefault="002E69C1" w:rsidP="00490E01">
      <w:pPr>
        <w:pStyle w:val="TSRCFirstBody"/>
        <w:rPr>
          <w:rStyle w:val="Strong"/>
          <w:rFonts w:ascii="Times New Roman" w:hAnsi="Times New Roman" w:cs="Times New Roman"/>
          <w:bCs w:val="0"/>
          <w:sz w:val="24"/>
          <w:szCs w:val="24"/>
        </w:rPr>
      </w:pPr>
      <w:r w:rsidRPr="00E5458B">
        <w:rPr>
          <w:rStyle w:val="Strong"/>
          <w:rFonts w:ascii="Times New Roman" w:hAnsi="Times New Roman" w:cs="Times New Roman"/>
          <w:b w:val="0"/>
          <w:sz w:val="24"/>
          <w:szCs w:val="24"/>
        </w:rPr>
        <w:t xml:space="preserve">A negative </w:t>
      </w:r>
      <w:proofErr w:type="gramStart"/>
      <w:r w:rsidRPr="00E5458B">
        <w:rPr>
          <w:rStyle w:val="Strong"/>
          <w:rFonts w:ascii="Times New Roman" w:hAnsi="Times New Roman" w:cs="Times New Roman"/>
          <w:b w:val="0"/>
          <w:sz w:val="24"/>
          <w:szCs w:val="24"/>
        </w:rPr>
        <w:t>α</w:t>
      </w:r>
      <w:r w:rsidRPr="00E5458B">
        <w:rPr>
          <w:rStyle w:val="Strong"/>
          <w:rFonts w:ascii="Times New Roman" w:hAnsi="Times New Roman" w:cs="Times New Roman"/>
          <w:b w:val="0"/>
          <w:sz w:val="24"/>
          <w:szCs w:val="24"/>
          <w:vertAlign w:val="subscript"/>
        </w:rPr>
        <w:t>2</w:t>
      </w:r>
      <w:r w:rsidRPr="00E5458B">
        <w:rPr>
          <w:rStyle w:val="Strong"/>
          <w:rFonts w:ascii="Times New Roman" w:hAnsi="Times New Roman" w:cs="Times New Roman"/>
          <w:b w:val="0"/>
          <w:sz w:val="24"/>
          <w:szCs w:val="24"/>
        </w:rPr>
        <w:t>,</w:t>
      </w:r>
      <w:proofErr w:type="gramEnd"/>
      <w:r w:rsidRPr="00E5458B">
        <w:rPr>
          <w:rStyle w:val="Strong"/>
          <w:rFonts w:ascii="Times New Roman" w:hAnsi="Times New Roman" w:cs="Times New Roman"/>
          <w:b w:val="0"/>
          <w:sz w:val="24"/>
          <w:szCs w:val="24"/>
        </w:rPr>
        <w:t xml:space="preserve"> would demonstrate that commercial revenue is a substitute for grants and donations, while a positive</w:t>
      </w:r>
      <w:r w:rsidRPr="00E5458B">
        <w:rPr>
          <w:rStyle w:val="Strong"/>
          <w:rFonts w:ascii="Times New Roman" w:hAnsi="Times New Roman" w:cs="Times New Roman"/>
          <w:sz w:val="24"/>
          <w:szCs w:val="24"/>
        </w:rPr>
        <w:t xml:space="preserve"> </w:t>
      </w:r>
      <w:r w:rsidRPr="00E5458B">
        <w:rPr>
          <w:rFonts w:ascii="Times New Roman" w:hAnsi="Times New Roman" w:cs="Times New Roman"/>
          <w:sz w:val="24"/>
          <w:szCs w:val="24"/>
        </w:rPr>
        <w:t>α</w:t>
      </w:r>
      <w:r w:rsidRPr="00E5458B">
        <w:rPr>
          <w:rFonts w:ascii="Times New Roman" w:hAnsi="Times New Roman" w:cs="Times New Roman"/>
          <w:sz w:val="24"/>
          <w:szCs w:val="24"/>
          <w:vertAlign w:val="subscript"/>
        </w:rPr>
        <w:t>2</w:t>
      </w:r>
      <w:r w:rsidRPr="00E5458B">
        <w:rPr>
          <w:rFonts w:ascii="Times New Roman" w:hAnsi="Times New Roman" w:cs="Times New Roman"/>
          <w:sz w:val="24"/>
          <w:szCs w:val="24"/>
        </w:rPr>
        <w:t>, would demonstrate a crowding in or complementary effect.</w:t>
      </w:r>
    </w:p>
    <w:p w:rsidR="002E69C1" w:rsidRPr="00896CE2" w:rsidRDefault="002E69C1" w:rsidP="00490E01">
      <w:pPr>
        <w:pStyle w:val="TSRCBody"/>
        <w:ind w:firstLine="720"/>
        <w:rPr>
          <w:rStyle w:val="Strong"/>
          <w:rFonts w:ascii="Times New Roman" w:hAnsi="Times New Roman" w:cs="Times New Roman"/>
          <w:b w:val="0"/>
          <w:sz w:val="24"/>
          <w:szCs w:val="24"/>
        </w:rPr>
      </w:pPr>
      <w:r w:rsidRPr="00896CE2">
        <w:rPr>
          <w:rStyle w:val="Strong"/>
          <w:rFonts w:ascii="Times New Roman" w:hAnsi="Times New Roman" w:cs="Times New Roman"/>
          <w:b w:val="0"/>
          <w:sz w:val="24"/>
          <w:szCs w:val="24"/>
        </w:rPr>
        <w:t xml:space="preserve">The reasons for including the lagged dependent variable </w:t>
      </w:r>
      <m:oMath>
        <m:sSub>
          <m:sSubPr>
            <m:ctrlPr>
              <w:rPr>
                <w:rFonts w:ascii="Cambria Math" w:hAnsi="Times New Roman" w:cs="Times New Roman"/>
                <w:i/>
                <w:sz w:val="24"/>
                <w:szCs w:val="24"/>
              </w:rPr>
            </m:ctrlPr>
          </m:sSubPr>
          <m:e>
            <m:r>
              <w:rPr>
                <w:rFonts w:ascii="Cambria Math" w:hAnsi="Times New Roman" w:cs="Times New Roman"/>
                <w:sz w:val="24"/>
                <w:szCs w:val="24"/>
              </w:rPr>
              <m:t>is</m:t>
            </m:r>
          </m:e>
          <m:sub>
            <m:r>
              <w:rPr>
                <w:rFonts w:ascii="Cambria Math" w:hAnsi="Times New Roman" w:cs="Times New Roman"/>
                <w:sz w:val="24"/>
                <w:szCs w:val="24"/>
              </w:rPr>
              <m:t>i,t</m:t>
            </m:r>
            <m:r>
              <w:rPr>
                <w:rFonts w:ascii="Cambria Math" w:hAnsi="Times New Roman" w:cs="Times New Roman"/>
                <w:sz w:val="24"/>
                <w:szCs w:val="24"/>
              </w:rPr>
              <m:t>-</m:t>
            </m:r>
            <m:r>
              <w:rPr>
                <w:rFonts w:ascii="Cambria Math" w:hAnsi="Times New Roman" w:cs="Times New Roman"/>
                <w:sz w:val="24"/>
                <w:szCs w:val="24"/>
              </w:rPr>
              <m:t>1</m:t>
            </m:r>
          </m:sub>
        </m:sSub>
      </m:oMath>
      <w:r w:rsidRPr="00896CE2">
        <w:rPr>
          <w:rStyle w:val="Strong"/>
          <w:rFonts w:ascii="Times New Roman" w:hAnsi="Times New Roman" w:cs="Times New Roman"/>
          <w:i/>
          <w:sz w:val="24"/>
          <w:szCs w:val="24"/>
        </w:rPr>
        <w:t xml:space="preserve"> </w:t>
      </w:r>
      <w:r w:rsidRPr="00896CE2">
        <w:rPr>
          <w:rStyle w:val="Strong"/>
          <w:rFonts w:ascii="Times New Roman" w:hAnsi="Times New Roman" w:cs="Times New Roman"/>
          <w:b w:val="0"/>
          <w:sz w:val="24"/>
          <w:szCs w:val="24"/>
        </w:rPr>
        <w:t>as an independent variable are both econometric and interpretative. From a methodological point of view, the persistence of commercial revenue is very high (ρ=</w:t>
      </w:r>
      <w:r w:rsidRPr="00896CE2">
        <w:rPr>
          <w:rFonts w:ascii="Times New Roman" w:hAnsi="Times New Roman" w:cs="Times New Roman"/>
          <w:sz w:val="24"/>
          <w:szCs w:val="24"/>
        </w:rPr>
        <w:t>0.86</w:t>
      </w:r>
      <w:r w:rsidRPr="00896CE2">
        <w:rPr>
          <w:rStyle w:val="Strong"/>
          <w:rFonts w:ascii="Times New Roman" w:hAnsi="Times New Roman" w:cs="Times New Roman"/>
          <w:sz w:val="24"/>
          <w:szCs w:val="24"/>
        </w:rPr>
        <w:t>)</w:t>
      </w:r>
      <w:r w:rsidRPr="00896CE2">
        <w:rPr>
          <w:rStyle w:val="Strong"/>
          <w:rFonts w:ascii="Times New Roman" w:hAnsi="Times New Roman" w:cs="Times New Roman"/>
          <w:b w:val="0"/>
          <w:sz w:val="24"/>
          <w:szCs w:val="24"/>
        </w:rPr>
        <w:t xml:space="preserve"> (see Table 4). From an interpretative point of view any explanation of present commercial revenue necessarily involves considering the role of previous commercial revenue </w:t>
      </w:r>
      <w:r>
        <w:rPr>
          <w:rFonts w:ascii="Times New Roman" w:eastAsia="Calibri" w:hAnsi="Times New Roman" w:cs="Times New Roman"/>
          <w:sz w:val="24"/>
          <w:szCs w:val="24"/>
        </w:rPr>
        <w:t>(</w:t>
      </w:r>
      <w:proofErr w:type="spellStart"/>
      <w:r>
        <w:rPr>
          <w:rFonts w:ascii="Times New Roman" w:eastAsia="Calibri" w:hAnsi="Times New Roman" w:cs="Times New Roman"/>
          <w:sz w:val="24"/>
          <w:szCs w:val="24"/>
        </w:rPr>
        <w:t>Tinkelman</w:t>
      </w:r>
      <w:proofErr w:type="spellEnd"/>
      <w:r>
        <w:rPr>
          <w:rFonts w:ascii="Times New Roman" w:eastAsia="Calibri" w:hAnsi="Times New Roman" w:cs="Times New Roman"/>
          <w:sz w:val="24"/>
          <w:szCs w:val="24"/>
        </w:rPr>
        <w:t xml:space="preserve"> and </w:t>
      </w:r>
      <w:proofErr w:type="gramStart"/>
      <w:r>
        <w:rPr>
          <w:rFonts w:ascii="Times New Roman" w:eastAsia="Calibri" w:hAnsi="Times New Roman" w:cs="Times New Roman"/>
          <w:sz w:val="24"/>
          <w:szCs w:val="24"/>
        </w:rPr>
        <w:t>Neely</w:t>
      </w:r>
      <w:proofErr w:type="gramEnd"/>
      <w:r>
        <w:rPr>
          <w:rFonts w:ascii="Times New Roman" w:eastAsia="Calibri" w:hAnsi="Times New Roman" w:cs="Times New Roman"/>
          <w:sz w:val="24"/>
          <w:szCs w:val="24"/>
        </w:rPr>
        <w:t xml:space="preserve"> 2011</w:t>
      </w:r>
      <w:r w:rsidRPr="00896CE2">
        <w:rPr>
          <w:rFonts w:ascii="Times New Roman" w:eastAsia="Calibri" w:hAnsi="Times New Roman" w:cs="Times New Roman"/>
          <w:sz w:val="24"/>
          <w:szCs w:val="24"/>
        </w:rPr>
        <w:t>).</w:t>
      </w:r>
      <w:r w:rsidRPr="00896CE2">
        <w:rPr>
          <w:rFonts w:ascii="Times New Roman" w:eastAsia="Calibri" w:hAnsi="Times New Roman" w:cs="Times New Roman"/>
          <w:b/>
          <w:sz w:val="24"/>
          <w:szCs w:val="24"/>
        </w:rPr>
        <w:t xml:space="preserve"> </w:t>
      </w:r>
    </w:p>
    <w:p w:rsidR="002E69C1" w:rsidRDefault="002E69C1" w:rsidP="00490E01">
      <w:pPr>
        <w:pStyle w:val="TSRCBody"/>
        <w:ind w:firstLine="720"/>
        <w:rPr>
          <w:rStyle w:val="Strong"/>
          <w:rFonts w:ascii="Times New Roman" w:hAnsi="Times New Roman" w:cs="Times New Roman"/>
          <w:b w:val="0"/>
          <w:sz w:val="24"/>
          <w:szCs w:val="24"/>
        </w:rPr>
      </w:pPr>
      <w:r w:rsidRPr="00896CE2">
        <w:rPr>
          <w:rStyle w:val="Strong"/>
          <w:rFonts w:ascii="Times New Roman" w:hAnsi="Times New Roman" w:cs="Times New Roman"/>
          <w:b w:val="0"/>
          <w:sz w:val="24"/>
          <w:szCs w:val="24"/>
        </w:rPr>
        <w:t>There are several econometric issues that need to be considered in the estimation of equati</w:t>
      </w:r>
      <w:r>
        <w:rPr>
          <w:rStyle w:val="Strong"/>
          <w:rFonts w:ascii="Times New Roman" w:hAnsi="Times New Roman" w:cs="Times New Roman"/>
          <w:b w:val="0"/>
          <w:sz w:val="24"/>
          <w:szCs w:val="24"/>
        </w:rPr>
        <w:t>on (1):</w:t>
      </w:r>
    </w:p>
    <w:p w:rsidR="002E69C1" w:rsidRPr="00896CE2" w:rsidRDefault="002E69C1" w:rsidP="00490E01">
      <w:pPr>
        <w:pStyle w:val="TSRCWWBullets"/>
        <w:numPr>
          <w:ilvl w:val="0"/>
          <w:numId w:val="2"/>
        </w:numPr>
        <w:rPr>
          <w:rStyle w:val="Strong"/>
          <w:rFonts w:ascii="Times New Roman" w:hAnsi="Times New Roman" w:cs="Times New Roman"/>
          <w:b w:val="0"/>
          <w:sz w:val="24"/>
          <w:szCs w:val="24"/>
        </w:rPr>
      </w:pPr>
      <w:r w:rsidRPr="00896CE2">
        <w:rPr>
          <w:rStyle w:val="Strong"/>
          <w:rFonts w:ascii="Times New Roman" w:hAnsi="Times New Roman" w:cs="Times New Roman"/>
          <w:b w:val="0"/>
          <w:sz w:val="24"/>
          <w:szCs w:val="24"/>
        </w:rPr>
        <w:t>V</w:t>
      </w:r>
      <w:r w:rsidRPr="00896CE2">
        <w:rPr>
          <w:rFonts w:ascii="Times New Roman" w:hAnsi="Times New Roman" w:cs="Times New Roman"/>
          <w:sz w:val="24"/>
          <w:szCs w:val="24"/>
        </w:rPr>
        <w:t>oluntary income (</w:t>
      </w:r>
      <m:oMath>
        <m:sSub>
          <m:sSubPr>
            <m:ctrlPr>
              <w:rPr>
                <w:rFonts w:ascii="Cambria Math" w:hAnsi="Times New Roman" w:cs="Times New Roman"/>
                <w:i/>
                <w:sz w:val="24"/>
                <w:szCs w:val="24"/>
              </w:rPr>
            </m:ctrlPr>
          </m:sSubPr>
          <m:e>
            <m:r>
              <w:rPr>
                <w:rFonts w:ascii="Cambria Math" w:hAnsi="Cambria Math" w:cs="Times New Roman"/>
                <w:sz w:val="24"/>
                <w:szCs w:val="24"/>
              </w:rPr>
              <m:t>iv</m:t>
            </m:r>
          </m:e>
          <m:sub>
            <m:r>
              <w:rPr>
                <w:rFonts w:ascii="Cambria Math" w:hAnsi="Cambria Math" w:cs="Times New Roman"/>
                <w:sz w:val="24"/>
                <w:szCs w:val="24"/>
              </w:rPr>
              <m:t>i</m:t>
            </m:r>
            <m:r>
              <w:rPr>
                <w:rFonts w:ascii="Cambria Math" w:hAnsi="Times New Roman" w:cs="Times New Roman"/>
                <w:sz w:val="24"/>
                <w:szCs w:val="24"/>
              </w:rPr>
              <m:t>,</m:t>
            </m:r>
            <m:r>
              <w:rPr>
                <w:rFonts w:ascii="Cambria Math" w:hAnsi="Cambria Math" w:cs="Times New Roman"/>
                <w:sz w:val="24"/>
                <w:szCs w:val="24"/>
              </w:rPr>
              <m:t>t</m:t>
            </m:r>
          </m:sub>
        </m:sSub>
      </m:oMath>
      <w:r w:rsidRPr="00896CE2">
        <w:rPr>
          <w:rFonts w:ascii="Times New Roman" w:hAnsi="Times New Roman" w:cs="Times New Roman"/>
          <w:sz w:val="24"/>
          <w:szCs w:val="24"/>
        </w:rPr>
        <w:t xml:space="preserve">), </w:t>
      </w:r>
      <w:r w:rsidRPr="00896CE2">
        <w:rPr>
          <w:rStyle w:val="Strong"/>
          <w:rFonts w:ascii="Times New Roman" w:hAnsi="Times New Roman" w:cs="Times New Roman"/>
          <w:b w:val="0"/>
          <w:sz w:val="24"/>
          <w:szCs w:val="24"/>
        </w:rPr>
        <w:t>is assumed to be endogenous – part of the model rather than externally determined. Causality may run in both directions (commercial revenue affects grants and donations and vice versa), with the potential for voluntary income to be correlated with the error term.</w:t>
      </w:r>
    </w:p>
    <w:p w:rsidR="002E69C1" w:rsidRPr="00896CE2" w:rsidRDefault="002E69C1" w:rsidP="00490E01">
      <w:pPr>
        <w:pStyle w:val="TSRCWWBullets"/>
        <w:numPr>
          <w:ilvl w:val="0"/>
          <w:numId w:val="2"/>
        </w:numPr>
        <w:rPr>
          <w:rStyle w:val="Strong"/>
          <w:rFonts w:ascii="Times New Roman" w:hAnsi="Times New Roman" w:cs="Times New Roman"/>
          <w:b w:val="0"/>
          <w:sz w:val="24"/>
          <w:szCs w:val="24"/>
        </w:rPr>
      </w:pPr>
      <w:r w:rsidRPr="00896CE2">
        <w:rPr>
          <w:rStyle w:val="Strong"/>
          <w:rFonts w:ascii="Times New Roman" w:hAnsi="Times New Roman" w:cs="Times New Roman"/>
          <w:b w:val="0"/>
          <w:sz w:val="24"/>
          <w:szCs w:val="24"/>
        </w:rPr>
        <w:t>Time invariant charity characteristics (‘fixed effects’) may be correlated with the explanatory variables.</w:t>
      </w:r>
    </w:p>
    <w:p w:rsidR="002E69C1" w:rsidRPr="00896CE2" w:rsidRDefault="002E69C1" w:rsidP="00490E01">
      <w:pPr>
        <w:pStyle w:val="TSRCWWBullets"/>
        <w:numPr>
          <w:ilvl w:val="0"/>
          <w:numId w:val="2"/>
        </w:numPr>
        <w:rPr>
          <w:rStyle w:val="Strong"/>
          <w:rFonts w:ascii="Times New Roman" w:hAnsi="Times New Roman" w:cs="Times New Roman"/>
          <w:b w:val="0"/>
          <w:sz w:val="24"/>
          <w:szCs w:val="24"/>
        </w:rPr>
      </w:pPr>
      <w:r w:rsidRPr="00896CE2">
        <w:rPr>
          <w:rStyle w:val="Strong"/>
          <w:rFonts w:ascii="Times New Roman" w:hAnsi="Times New Roman" w:cs="Times New Roman"/>
          <w:b w:val="0"/>
          <w:sz w:val="24"/>
          <w:szCs w:val="24"/>
        </w:rPr>
        <w:t xml:space="preserve">The presence of the lagged dependent variable </w:t>
      </w:r>
      <m:oMath>
        <m:sSub>
          <m:sSubPr>
            <m:ctrlPr>
              <w:rPr>
                <w:rFonts w:ascii="Cambria Math" w:hAnsi="Times New Roman" w:cs="Times New Roman"/>
                <w:i/>
                <w:sz w:val="24"/>
                <w:szCs w:val="24"/>
              </w:rPr>
            </m:ctrlPr>
          </m:sSubPr>
          <m:e>
            <m:r>
              <w:rPr>
                <w:rFonts w:ascii="Cambria Math" w:hAnsi="Cambria Math" w:cs="Times New Roman"/>
                <w:sz w:val="24"/>
                <w:szCs w:val="24"/>
              </w:rPr>
              <m:t>is</m:t>
            </m:r>
          </m:e>
          <m:sub>
            <m:r>
              <w:rPr>
                <w:rFonts w:ascii="Cambria Math" w:hAnsi="Cambria Math" w:cs="Times New Roman"/>
                <w:sz w:val="24"/>
                <w:szCs w:val="24"/>
              </w:rPr>
              <m:t>i</m:t>
            </m:r>
            <m:r>
              <w:rPr>
                <w:rFonts w:ascii="Cambria Math" w:hAnsi="Times New Roman" w:cs="Times New Roman"/>
                <w:sz w:val="24"/>
                <w:szCs w:val="24"/>
              </w:rPr>
              <m:t>,</m:t>
            </m:r>
            <m:r>
              <w:rPr>
                <w:rFonts w:ascii="Cambria Math" w:hAnsi="Cambria Math" w:cs="Times New Roman"/>
                <w:sz w:val="24"/>
                <w:szCs w:val="24"/>
              </w:rPr>
              <m:t>t</m:t>
            </m:r>
            <m:r>
              <w:rPr>
                <w:rFonts w:ascii="Cambria Math" w:hAnsi="Times New Roman" w:cs="Times New Roman"/>
                <w:sz w:val="24"/>
                <w:szCs w:val="24"/>
              </w:rPr>
              <m:t>-</m:t>
            </m:r>
            <m:r>
              <w:rPr>
                <w:rFonts w:ascii="Cambria Math" w:hAnsi="Times New Roman" w:cs="Times New Roman"/>
                <w:sz w:val="24"/>
                <w:szCs w:val="24"/>
              </w:rPr>
              <m:t>1</m:t>
            </m:r>
          </m:sub>
        </m:sSub>
        <m:r>
          <w:rPr>
            <w:rFonts w:ascii="Cambria Math" w:hAnsi="Times New Roman" w:cs="Times New Roman"/>
            <w:sz w:val="24"/>
            <w:szCs w:val="24"/>
          </w:rPr>
          <m:t xml:space="preserve"> </m:t>
        </m:r>
      </m:oMath>
      <w:r w:rsidRPr="00896CE2">
        <w:rPr>
          <w:rStyle w:val="Strong"/>
          <w:rFonts w:ascii="Times New Roman" w:hAnsi="Times New Roman" w:cs="Times New Roman"/>
          <w:b w:val="0"/>
          <w:sz w:val="24"/>
          <w:szCs w:val="24"/>
        </w:rPr>
        <w:t xml:space="preserve">gives rise to a problem of autocorrelation </w:t>
      </w:r>
      <w:r w:rsidRPr="00896CE2">
        <w:rPr>
          <w:rFonts w:ascii="Times New Roman" w:hAnsi="Times New Roman" w:cs="Times New Roman"/>
          <w:sz w:val="24"/>
          <w:szCs w:val="24"/>
        </w:rPr>
        <w:t>in standard linear regression and fixed-effects models.</w:t>
      </w:r>
    </w:p>
    <w:p w:rsidR="002E69C1" w:rsidRPr="00896CE2" w:rsidRDefault="002E69C1" w:rsidP="00490E01">
      <w:pPr>
        <w:pStyle w:val="TSRCWWBullets"/>
        <w:numPr>
          <w:ilvl w:val="0"/>
          <w:numId w:val="2"/>
        </w:numPr>
        <w:rPr>
          <w:rStyle w:val="Strong"/>
          <w:rFonts w:ascii="Times New Roman" w:hAnsi="Times New Roman" w:cs="Times New Roman"/>
          <w:b w:val="0"/>
          <w:sz w:val="24"/>
          <w:szCs w:val="24"/>
        </w:rPr>
      </w:pPr>
      <w:r w:rsidRPr="00896CE2">
        <w:rPr>
          <w:rStyle w:val="Strong"/>
          <w:rFonts w:ascii="Times New Roman" w:hAnsi="Times New Roman" w:cs="Times New Roman"/>
          <w:b w:val="0"/>
          <w:sz w:val="24"/>
          <w:szCs w:val="24"/>
        </w:rPr>
        <w:t>The panel is unbalanced, with some charities having more observations than others. It has also a short time dimension with small T and large N.</w:t>
      </w:r>
    </w:p>
    <w:p w:rsidR="002E69C1" w:rsidRDefault="002E69C1" w:rsidP="00490E01">
      <w:pPr>
        <w:pStyle w:val="TSRCFirstBody"/>
        <w:rPr>
          <w:rStyle w:val="Strong"/>
          <w:rFonts w:ascii="Times New Roman" w:hAnsi="Times New Roman" w:cs="Times New Roman"/>
          <w:b w:val="0"/>
          <w:sz w:val="24"/>
          <w:szCs w:val="24"/>
        </w:rPr>
      </w:pPr>
      <w:r w:rsidRPr="00896CE2">
        <w:rPr>
          <w:rStyle w:val="Strong"/>
          <w:rFonts w:ascii="Times New Roman" w:hAnsi="Times New Roman" w:cs="Times New Roman"/>
          <w:b w:val="0"/>
          <w:sz w:val="24"/>
          <w:szCs w:val="24"/>
        </w:rPr>
        <w:t xml:space="preserve">The above dynamic specification cannot be correctly estimated by a standard pooled linear regression (pooled OLS). The error term is likely to be correlated over time for a given </w:t>
      </w:r>
      <w:r w:rsidRPr="00896CE2">
        <w:rPr>
          <w:rStyle w:val="Strong"/>
          <w:rFonts w:ascii="Times New Roman" w:hAnsi="Times New Roman" w:cs="Times New Roman"/>
          <w:b w:val="0"/>
          <w:sz w:val="24"/>
          <w:szCs w:val="24"/>
        </w:rPr>
        <w:lastRenderedPageBreak/>
        <w:t>charity and this correlation violates an important assumption that is necessary for the consistency of OLS.</w:t>
      </w:r>
    </w:p>
    <w:p w:rsidR="002E69C1" w:rsidRPr="00896CE2" w:rsidRDefault="002E69C1" w:rsidP="00490E01">
      <w:pPr>
        <w:pStyle w:val="TSRCBody"/>
        <w:ind w:firstLine="720"/>
        <w:rPr>
          <w:rStyle w:val="Strong"/>
          <w:rFonts w:ascii="Times New Roman" w:hAnsi="Times New Roman" w:cs="Times New Roman"/>
          <w:b w:val="0"/>
          <w:sz w:val="24"/>
          <w:szCs w:val="24"/>
        </w:rPr>
      </w:pPr>
      <w:r w:rsidRPr="00896CE2">
        <w:rPr>
          <w:rStyle w:val="Strong"/>
          <w:rFonts w:ascii="Times New Roman" w:hAnsi="Times New Roman" w:cs="Times New Roman"/>
          <w:b w:val="0"/>
          <w:sz w:val="24"/>
          <w:szCs w:val="24"/>
        </w:rPr>
        <w:t>An intuitive way to address the fixed effect is to draw out the error term by entering dummy variables for each charity: the Least Squares Dummy Variables approach (LSDV). A similar way to address the same problem is dividing the regression in two steps, first applying a mean-deviation transformation on each variable, than running an OLS on the transformed data. This is the within-group, or just ‘within’ estimator (WG), estimating the same coefficients as LSDV but with a slightly better standard error.</w:t>
      </w:r>
    </w:p>
    <w:p w:rsidR="002E69C1" w:rsidRPr="00896CE2" w:rsidRDefault="002E69C1" w:rsidP="00490E01">
      <w:pPr>
        <w:pStyle w:val="TSRCBody"/>
        <w:ind w:firstLine="720"/>
        <w:rPr>
          <w:rStyle w:val="Strong"/>
          <w:rFonts w:ascii="Times New Roman" w:hAnsi="Times New Roman" w:cs="Times New Roman"/>
          <w:b w:val="0"/>
          <w:sz w:val="24"/>
          <w:szCs w:val="24"/>
        </w:rPr>
      </w:pPr>
      <w:r w:rsidRPr="00896CE2">
        <w:rPr>
          <w:rStyle w:val="Strong"/>
          <w:rFonts w:ascii="Times New Roman" w:hAnsi="Times New Roman" w:cs="Times New Roman"/>
          <w:b w:val="0"/>
          <w:sz w:val="24"/>
          <w:szCs w:val="24"/>
        </w:rPr>
        <w:t>The LSDV and WG estimators are consistent only if there were no lags of the dependent variable (commercial revenue). However, in a dynamic model, the WG and LSDV estimators are biased (</w:t>
      </w:r>
      <w:proofErr w:type="spellStart"/>
      <w:r w:rsidRPr="00896CE2">
        <w:rPr>
          <w:rStyle w:val="Strong"/>
          <w:rFonts w:ascii="Times New Roman" w:hAnsi="Times New Roman" w:cs="Times New Roman"/>
          <w:b w:val="0"/>
          <w:sz w:val="24"/>
          <w:szCs w:val="24"/>
        </w:rPr>
        <w:t>Nickell</w:t>
      </w:r>
      <w:proofErr w:type="spellEnd"/>
      <w:r w:rsidRPr="00896CE2">
        <w:rPr>
          <w:rStyle w:val="Strong"/>
          <w:rFonts w:ascii="Times New Roman" w:hAnsi="Times New Roman" w:cs="Times New Roman"/>
          <w:b w:val="0"/>
          <w:sz w:val="24"/>
          <w:szCs w:val="24"/>
        </w:rPr>
        <w:t xml:space="preserve"> 1981; </w:t>
      </w:r>
      <w:proofErr w:type="spellStart"/>
      <w:r w:rsidRPr="00896CE2">
        <w:rPr>
          <w:rStyle w:val="Strong"/>
          <w:rFonts w:ascii="Times New Roman" w:hAnsi="Times New Roman" w:cs="Times New Roman"/>
          <w:b w:val="0"/>
          <w:sz w:val="24"/>
          <w:szCs w:val="24"/>
        </w:rPr>
        <w:t>Roodman</w:t>
      </w:r>
      <w:proofErr w:type="spellEnd"/>
      <w:r w:rsidRPr="00896CE2">
        <w:rPr>
          <w:rStyle w:val="Strong"/>
          <w:rFonts w:ascii="Times New Roman" w:hAnsi="Times New Roman" w:cs="Times New Roman"/>
          <w:b w:val="0"/>
          <w:sz w:val="24"/>
          <w:szCs w:val="24"/>
        </w:rPr>
        <w:t xml:space="preserve"> 2006). In order to eliminate such problems we use the General Method of Moments (GMM) adopting the approach of Arellano and Bond (1991) and Blundell and Bond (1998).</w:t>
      </w:r>
      <w:r w:rsidRPr="00896CE2">
        <w:rPr>
          <w:rStyle w:val="EndnoteReference"/>
          <w:rFonts w:cs="Times New Roman"/>
          <w:bCs/>
          <w:sz w:val="24"/>
          <w:szCs w:val="24"/>
        </w:rPr>
        <w:endnoteReference w:id="6"/>
      </w:r>
      <w:r w:rsidRPr="00896CE2">
        <w:rPr>
          <w:rStyle w:val="Strong"/>
          <w:rFonts w:ascii="Times New Roman" w:hAnsi="Times New Roman" w:cs="Times New Roman"/>
          <w:b w:val="0"/>
          <w:sz w:val="24"/>
          <w:szCs w:val="24"/>
        </w:rPr>
        <w:t xml:space="preserve"> </w:t>
      </w:r>
    </w:p>
    <w:p w:rsidR="002E69C1" w:rsidRDefault="002E69C1" w:rsidP="00490E01">
      <w:pPr>
        <w:pStyle w:val="TSRCBody"/>
        <w:ind w:firstLine="720"/>
        <w:rPr>
          <w:rStyle w:val="Strong"/>
          <w:rFonts w:ascii="Times New Roman" w:hAnsi="Times New Roman" w:cs="Times New Roman"/>
          <w:b w:val="0"/>
          <w:sz w:val="24"/>
          <w:szCs w:val="24"/>
        </w:rPr>
      </w:pPr>
      <w:r w:rsidRPr="00896CE2">
        <w:rPr>
          <w:rFonts w:ascii="Times New Roman" w:hAnsi="Times New Roman" w:cs="Times New Roman"/>
          <w:sz w:val="24"/>
          <w:szCs w:val="24"/>
        </w:rPr>
        <w:t xml:space="preserve">Two different versions of GMM have been developed to estimate equation (1), based on different approaches to instrumental variables. We estimate both GMM-DIF (differenced – transforming the data) and GMM-SYS (system – instrumenting differenced values with levels). These are intended to deal with the </w:t>
      </w:r>
      <w:proofErr w:type="spellStart"/>
      <w:r w:rsidRPr="00896CE2">
        <w:rPr>
          <w:rFonts w:ascii="Times New Roman" w:hAnsi="Times New Roman" w:cs="Times New Roman"/>
          <w:sz w:val="24"/>
          <w:szCs w:val="24"/>
        </w:rPr>
        <w:t>endogeneity</w:t>
      </w:r>
      <w:proofErr w:type="spellEnd"/>
      <w:r w:rsidRPr="00896CE2">
        <w:rPr>
          <w:rFonts w:ascii="Times New Roman" w:hAnsi="Times New Roman" w:cs="Times New Roman"/>
          <w:sz w:val="24"/>
          <w:szCs w:val="24"/>
        </w:rPr>
        <w:t xml:space="preserve"> of some explanatory variables. </w:t>
      </w:r>
      <w:r>
        <w:rPr>
          <w:rStyle w:val="Strong"/>
          <w:rFonts w:ascii="Times New Roman" w:hAnsi="Times New Roman" w:cs="Times New Roman"/>
          <w:b w:val="0"/>
          <w:sz w:val="24"/>
          <w:szCs w:val="24"/>
        </w:rPr>
        <w:t xml:space="preserve">We use the </w:t>
      </w:r>
      <w:proofErr w:type="spellStart"/>
      <w:r>
        <w:rPr>
          <w:rStyle w:val="Strong"/>
          <w:rFonts w:ascii="Times New Roman" w:hAnsi="Times New Roman" w:cs="Times New Roman"/>
          <w:b w:val="0"/>
          <w:sz w:val="24"/>
          <w:szCs w:val="24"/>
        </w:rPr>
        <w:t>Sargan</w:t>
      </w:r>
      <w:proofErr w:type="spellEnd"/>
      <w:r>
        <w:rPr>
          <w:rStyle w:val="Strong"/>
          <w:rFonts w:ascii="Times New Roman" w:hAnsi="Times New Roman" w:cs="Times New Roman"/>
          <w:b w:val="0"/>
          <w:sz w:val="24"/>
          <w:szCs w:val="24"/>
        </w:rPr>
        <w:t xml:space="preserve"> test (</w:t>
      </w:r>
      <w:proofErr w:type="spellStart"/>
      <w:r>
        <w:rPr>
          <w:rStyle w:val="Strong"/>
          <w:rFonts w:ascii="Times New Roman" w:hAnsi="Times New Roman" w:cs="Times New Roman"/>
          <w:b w:val="0"/>
          <w:sz w:val="24"/>
          <w:szCs w:val="24"/>
        </w:rPr>
        <w:t>Sargan</w:t>
      </w:r>
      <w:proofErr w:type="spellEnd"/>
      <w:r w:rsidRPr="00896CE2">
        <w:rPr>
          <w:rStyle w:val="Strong"/>
          <w:rFonts w:ascii="Times New Roman" w:hAnsi="Times New Roman" w:cs="Times New Roman"/>
          <w:b w:val="0"/>
          <w:sz w:val="24"/>
          <w:szCs w:val="24"/>
        </w:rPr>
        <w:t xml:space="preserve"> 19</w:t>
      </w:r>
      <w:r>
        <w:rPr>
          <w:rStyle w:val="Strong"/>
          <w:rFonts w:ascii="Times New Roman" w:hAnsi="Times New Roman" w:cs="Times New Roman"/>
          <w:b w:val="0"/>
          <w:sz w:val="24"/>
          <w:szCs w:val="24"/>
        </w:rPr>
        <w:t>58) and the Hansen test (Hansen</w:t>
      </w:r>
      <w:r w:rsidRPr="00896CE2">
        <w:rPr>
          <w:rStyle w:val="Strong"/>
          <w:rFonts w:ascii="Times New Roman" w:hAnsi="Times New Roman" w:cs="Times New Roman"/>
          <w:b w:val="0"/>
          <w:sz w:val="24"/>
          <w:szCs w:val="24"/>
        </w:rPr>
        <w:t xml:space="preserve"> 1982) for over-identification of instruments and the first and second order serial correlations to choose our best specification of the model and the best set of instr</w:t>
      </w:r>
      <w:r>
        <w:rPr>
          <w:rStyle w:val="Strong"/>
          <w:rFonts w:ascii="Times New Roman" w:hAnsi="Times New Roman" w:cs="Times New Roman"/>
          <w:b w:val="0"/>
          <w:sz w:val="24"/>
          <w:szCs w:val="24"/>
        </w:rPr>
        <w:t xml:space="preserve">uments. The </w:t>
      </w:r>
      <w:proofErr w:type="spellStart"/>
      <w:r>
        <w:rPr>
          <w:rStyle w:val="Strong"/>
          <w:rFonts w:ascii="Times New Roman" w:hAnsi="Times New Roman" w:cs="Times New Roman"/>
          <w:b w:val="0"/>
          <w:sz w:val="24"/>
          <w:szCs w:val="24"/>
        </w:rPr>
        <w:t>Sargan</w:t>
      </w:r>
      <w:proofErr w:type="spellEnd"/>
      <w:r>
        <w:rPr>
          <w:rStyle w:val="Strong"/>
          <w:rFonts w:ascii="Times New Roman" w:hAnsi="Times New Roman" w:cs="Times New Roman"/>
          <w:b w:val="0"/>
          <w:sz w:val="24"/>
          <w:szCs w:val="24"/>
        </w:rPr>
        <w:t xml:space="preserve"> test (</w:t>
      </w:r>
      <w:proofErr w:type="spellStart"/>
      <w:r>
        <w:rPr>
          <w:rStyle w:val="Strong"/>
          <w:rFonts w:ascii="Times New Roman" w:hAnsi="Times New Roman" w:cs="Times New Roman"/>
          <w:b w:val="0"/>
          <w:sz w:val="24"/>
          <w:szCs w:val="24"/>
        </w:rPr>
        <w:t>Sargan</w:t>
      </w:r>
      <w:proofErr w:type="spellEnd"/>
      <w:r>
        <w:rPr>
          <w:rStyle w:val="Strong"/>
          <w:rFonts w:ascii="Times New Roman" w:hAnsi="Times New Roman" w:cs="Times New Roman"/>
          <w:b w:val="0"/>
          <w:sz w:val="24"/>
          <w:szCs w:val="24"/>
        </w:rPr>
        <w:t xml:space="preserve"> 1958) and Hansen test (Hansen</w:t>
      </w:r>
      <w:r w:rsidRPr="00896CE2">
        <w:rPr>
          <w:rStyle w:val="Strong"/>
          <w:rFonts w:ascii="Times New Roman" w:hAnsi="Times New Roman" w:cs="Times New Roman"/>
          <w:b w:val="0"/>
          <w:sz w:val="24"/>
          <w:szCs w:val="24"/>
        </w:rPr>
        <w:t xml:space="preserve"> 1982) require the non-rejection of the null hypothesis that the instruments are valid. The first and second order serial corre</w:t>
      </w:r>
      <w:r>
        <w:rPr>
          <w:rStyle w:val="Strong"/>
          <w:rFonts w:ascii="Times New Roman" w:hAnsi="Times New Roman" w:cs="Times New Roman"/>
          <w:b w:val="0"/>
          <w:sz w:val="24"/>
          <w:szCs w:val="24"/>
        </w:rPr>
        <w:t>lations test (Arellano and Bond</w:t>
      </w:r>
      <w:r w:rsidRPr="00896CE2">
        <w:rPr>
          <w:rStyle w:val="Strong"/>
          <w:rFonts w:ascii="Times New Roman" w:hAnsi="Times New Roman" w:cs="Times New Roman"/>
          <w:b w:val="0"/>
          <w:sz w:val="24"/>
          <w:szCs w:val="24"/>
        </w:rPr>
        <w:t xml:space="preserve"> 1991) require the rejection of the null hypothesis of  first order serial correlation and at the same time not rejecting the null hypothesis of second order correlation. We compute a robust </w:t>
      </w:r>
      <w:proofErr w:type="spellStart"/>
      <w:r w:rsidRPr="00896CE2">
        <w:rPr>
          <w:rStyle w:val="Strong"/>
          <w:rFonts w:ascii="Times New Roman" w:hAnsi="Times New Roman" w:cs="Times New Roman"/>
          <w:b w:val="0"/>
          <w:sz w:val="24"/>
          <w:szCs w:val="24"/>
        </w:rPr>
        <w:t>Windmeijer</w:t>
      </w:r>
      <w:proofErr w:type="spellEnd"/>
      <w:r w:rsidRPr="00896CE2">
        <w:rPr>
          <w:rStyle w:val="Strong"/>
          <w:rFonts w:ascii="Times New Roman" w:hAnsi="Times New Roman" w:cs="Times New Roman"/>
          <w:b w:val="0"/>
          <w:sz w:val="24"/>
          <w:szCs w:val="24"/>
        </w:rPr>
        <w:t xml:space="preserve"> (finite sample) corrected co</w:t>
      </w:r>
      <w:r>
        <w:rPr>
          <w:rStyle w:val="Strong"/>
          <w:rFonts w:ascii="Times New Roman" w:hAnsi="Times New Roman" w:cs="Times New Roman"/>
          <w:b w:val="0"/>
          <w:sz w:val="24"/>
          <w:szCs w:val="24"/>
        </w:rPr>
        <w:t xml:space="preserve">variance matrix (see </w:t>
      </w:r>
      <w:proofErr w:type="spellStart"/>
      <w:r>
        <w:rPr>
          <w:rStyle w:val="Strong"/>
          <w:rFonts w:ascii="Times New Roman" w:hAnsi="Times New Roman" w:cs="Times New Roman"/>
          <w:b w:val="0"/>
          <w:sz w:val="24"/>
          <w:szCs w:val="24"/>
        </w:rPr>
        <w:t>Windmeijer</w:t>
      </w:r>
      <w:proofErr w:type="spellEnd"/>
      <w:r w:rsidRPr="00896CE2">
        <w:rPr>
          <w:rStyle w:val="Strong"/>
          <w:rFonts w:ascii="Times New Roman" w:hAnsi="Times New Roman" w:cs="Times New Roman"/>
          <w:b w:val="0"/>
          <w:sz w:val="24"/>
          <w:szCs w:val="24"/>
        </w:rPr>
        <w:t xml:space="preserve"> 2005).</w:t>
      </w:r>
    </w:p>
    <w:p w:rsidR="002E69C1" w:rsidRDefault="002E69C1" w:rsidP="00490E01">
      <w:pPr>
        <w:pStyle w:val="TSRCBody"/>
        <w:ind w:firstLine="0"/>
        <w:rPr>
          <w:rStyle w:val="Strong"/>
          <w:rFonts w:ascii="Times New Roman" w:hAnsi="Times New Roman" w:cs="Times New Roman"/>
          <w:b w:val="0"/>
          <w:sz w:val="24"/>
          <w:szCs w:val="24"/>
        </w:rPr>
      </w:pPr>
    </w:p>
    <w:p w:rsidR="002E69C1" w:rsidRPr="00896CE2" w:rsidRDefault="002E69C1" w:rsidP="00490E01">
      <w:pPr>
        <w:pStyle w:val="TSRCBody"/>
        <w:ind w:firstLine="0"/>
        <w:rPr>
          <w:rStyle w:val="Strong"/>
          <w:rFonts w:ascii="Times New Roman" w:hAnsi="Times New Roman" w:cs="Times New Roman"/>
          <w:sz w:val="24"/>
          <w:szCs w:val="24"/>
        </w:rPr>
      </w:pPr>
      <w:r w:rsidRPr="00896CE2">
        <w:rPr>
          <w:rStyle w:val="Strong"/>
          <w:rFonts w:ascii="Times New Roman" w:hAnsi="Times New Roman" w:cs="Times New Roman"/>
          <w:sz w:val="24"/>
          <w:szCs w:val="24"/>
        </w:rPr>
        <w:t>Results and Interpretation</w:t>
      </w:r>
    </w:p>
    <w:p w:rsidR="002E69C1" w:rsidRPr="00896CE2" w:rsidRDefault="002E69C1" w:rsidP="00490E01">
      <w:pPr>
        <w:pStyle w:val="TSRCBody"/>
        <w:ind w:firstLine="0"/>
        <w:rPr>
          <w:rFonts w:ascii="Times New Roman" w:hAnsi="Times New Roman" w:cs="Times New Roman"/>
          <w:iCs/>
          <w:sz w:val="24"/>
          <w:szCs w:val="24"/>
        </w:rPr>
      </w:pPr>
      <w:r w:rsidRPr="00896CE2">
        <w:rPr>
          <w:rStyle w:val="Strong"/>
          <w:rFonts w:ascii="Times New Roman" w:hAnsi="Times New Roman" w:cs="Times New Roman"/>
          <w:b w:val="0"/>
          <w:sz w:val="24"/>
          <w:szCs w:val="24"/>
        </w:rPr>
        <w:t>In estimating equation (1) we anticipate a positive α</w:t>
      </w:r>
      <w:r w:rsidRPr="00896CE2">
        <w:rPr>
          <w:rStyle w:val="Strong"/>
          <w:rFonts w:ascii="Times New Roman" w:hAnsi="Times New Roman" w:cs="Times New Roman"/>
          <w:b w:val="0"/>
          <w:sz w:val="24"/>
          <w:szCs w:val="24"/>
          <w:vertAlign w:val="subscript"/>
        </w:rPr>
        <w:t>1</w:t>
      </w:r>
      <w:r w:rsidRPr="00896CE2">
        <w:rPr>
          <w:rStyle w:val="Strong"/>
          <w:rFonts w:ascii="Times New Roman" w:hAnsi="Times New Roman" w:cs="Times New Roman"/>
          <w:b w:val="0"/>
          <w:sz w:val="24"/>
          <w:szCs w:val="24"/>
        </w:rPr>
        <w:t xml:space="preserve"> capturing the persistence effect of previous commercial revenue. A negative </w:t>
      </w:r>
      <w:proofErr w:type="gramStart"/>
      <w:r w:rsidRPr="00896CE2">
        <w:rPr>
          <w:rStyle w:val="Strong"/>
          <w:rFonts w:ascii="Times New Roman" w:hAnsi="Times New Roman" w:cs="Times New Roman"/>
          <w:b w:val="0"/>
          <w:sz w:val="24"/>
          <w:szCs w:val="24"/>
        </w:rPr>
        <w:t>α</w:t>
      </w:r>
      <w:r w:rsidRPr="00896CE2">
        <w:rPr>
          <w:rStyle w:val="Strong"/>
          <w:rFonts w:ascii="Times New Roman" w:hAnsi="Times New Roman" w:cs="Times New Roman"/>
          <w:b w:val="0"/>
          <w:sz w:val="24"/>
          <w:szCs w:val="24"/>
          <w:vertAlign w:val="subscript"/>
        </w:rPr>
        <w:t>2</w:t>
      </w:r>
      <w:r w:rsidRPr="00896CE2">
        <w:rPr>
          <w:rStyle w:val="Strong"/>
          <w:rFonts w:ascii="Times New Roman" w:hAnsi="Times New Roman" w:cs="Times New Roman"/>
          <w:b w:val="0"/>
          <w:sz w:val="24"/>
          <w:szCs w:val="24"/>
        </w:rPr>
        <w:t>,</w:t>
      </w:r>
      <w:proofErr w:type="gramEnd"/>
      <w:r w:rsidRPr="00896CE2">
        <w:rPr>
          <w:rStyle w:val="Strong"/>
          <w:rFonts w:ascii="Times New Roman" w:hAnsi="Times New Roman" w:cs="Times New Roman"/>
          <w:b w:val="0"/>
          <w:sz w:val="24"/>
          <w:szCs w:val="24"/>
        </w:rPr>
        <w:t xml:space="preserve"> would demonstrate that voluntary and commercial revenue are substitutes, while a positive </w:t>
      </w:r>
      <w:r w:rsidRPr="00896CE2">
        <w:rPr>
          <w:rFonts w:ascii="Times New Roman" w:hAnsi="Times New Roman" w:cs="Times New Roman"/>
          <w:sz w:val="24"/>
          <w:szCs w:val="24"/>
        </w:rPr>
        <w:t>α</w:t>
      </w:r>
      <w:r w:rsidRPr="00896CE2">
        <w:rPr>
          <w:rFonts w:ascii="Times New Roman" w:hAnsi="Times New Roman" w:cs="Times New Roman"/>
          <w:sz w:val="24"/>
          <w:szCs w:val="24"/>
          <w:vertAlign w:val="subscript"/>
        </w:rPr>
        <w:t>2</w:t>
      </w:r>
      <w:r w:rsidRPr="00896CE2">
        <w:rPr>
          <w:rFonts w:ascii="Times New Roman" w:hAnsi="Times New Roman" w:cs="Times New Roman"/>
          <w:sz w:val="24"/>
          <w:szCs w:val="24"/>
        </w:rPr>
        <w:t>, would demonstrate that commercial and voluntary income are complementary. If α</w:t>
      </w:r>
      <w:r w:rsidRPr="00896CE2">
        <w:rPr>
          <w:rFonts w:ascii="Times New Roman" w:hAnsi="Times New Roman" w:cs="Times New Roman"/>
          <w:sz w:val="24"/>
          <w:szCs w:val="24"/>
          <w:vertAlign w:val="subscript"/>
        </w:rPr>
        <w:t>2</w:t>
      </w:r>
      <w:r w:rsidRPr="00896CE2">
        <w:rPr>
          <w:rFonts w:ascii="Times New Roman" w:hAnsi="Times New Roman" w:cs="Times New Roman"/>
          <w:sz w:val="24"/>
          <w:szCs w:val="24"/>
        </w:rPr>
        <w:t xml:space="preserve"> were to vary considerably by field of activity this would show that </w:t>
      </w:r>
      <w:r w:rsidRPr="00896CE2">
        <w:rPr>
          <w:rFonts w:ascii="Times New Roman" w:hAnsi="Times New Roman" w:cs="Times New Roman"/>
          <w:iCs/>
          <w:sz w:val="24"/>
          <w:szCs w:val="24"/>
        </w:rPr>
        <w:t>any substitution effect between voluntary and commercial revenue varies significantly across fields of charitable activity in England and Wales between 2002 and 2007.</w:t>
      </w:r>
    </w:p>
    <w:p w:rsidR="002E69C1" w:rsidRPr="00896CE2" w:rsidRDefault="002E69C1" w:rsidP="00490E01">
      <w:pPr>
        <w:pStyle w:val="TSRCBody"/>
        <w:ind w:firstLine="720"/>
        <w:rPr>
          <w:rStyle w:val="Strong"/>
          <w:rFonts w:ascii="Times New Roman" w:hAnsi="Times New Roman" w:cs="Times New Roman"/>
          <w:b w:val="0"/>
          <w:sz w:val="24"/>
          <w:szCs w:val="24"/>
        </w:rPr>
      </w:pPr>
      <w:r w:rsidRPr="00896CE2">
        <w:rPr>
          <w:rFonts w:ascii="Times New Roman" w:hAnsi="Times New Roman" w:cs="Times New Roman"/>
          <w:sz w:val="24"/>
          <w:szCs w:val="24"/>
        </w:rPr>
        <w:lastRenderedPageBreak/>
        <w:t xml:space="preserve">In table 6 we report the results of the estimation of equation (1) for the whole sample. In columns (1) and (2) we report OLS and fixed effects estimators, while in columns (3) and (4) the random effects and GMM-SYS are reported. Our most reliable benchmark is the last column (4). Since we know that the biases of OLS and fixed effects in estimating the coefficient on the lagged term coefficient are in opposite directions (Bond, 2002, pp. 4-5), the fact that GMM-SYS estimation of this coefficient lies between the two can be considered as confirmation of the adequacy of the chosen estimation methodology </w:t>
      </w:r>
      <w:r w:rsidRPr="00896CE2">
        <w:rPr>
          <w:rStyle w:val="Strong"/>
          <w:rFonts w:ascii="Times New Roman" w:hAnsi="Times New Roman" w:cs="Times New Roman"/>
          <w:b w:val="0"/>
          <w:sz w:val="24"/>
          <w:szCs w:val="24"/>
        </w:rPr>
        <w:t>(</w:t>
      </w:r>
      <w:proofErr w:type="spellStart"/>
      <w:r w:rsidRPr="00896CE2">
        <w:rPr>
          <w:rStyle w:val="Strong"/>
          <w:rFonts w:ascii="Times New Roman" w:hAnsi="Times New Roman" w:cs="Times New Roman"/>
          <w:b w:val="0"/>
          <w:sz w:val="24"/>
          <w:szCs w:val="24"/>
        </w:rPr>
        <w:t>Roodman</w:t>
      </w:r>
      <w:proofErr w:type="spellEnd"/>
      <w:r w:rsidRPr="00896CE2">
        <w:rPr>
          <w:rStyle w:val="Strong"/>
          <w:rFonts w:ascii="Times New Roman" w:hAnsi="Times New Roman" w:cs="Times New Roman"/>
          <w:b w:val="0"/>
          <w:sz w:val="24"/>
          <w:szCs w:val="24"/>
        </w:rPr>
        <w:t>, 2006)</w:t>
      </w:r>
      <w:r w:rsidRPr="00896CE2">
        <w:rPr>
          <w:rFonts w:ascii="Times New Roman" w:hAnsi="Times New Roman" w:cs="Times New Roman"/>
          <w:sz w:val="24"/>
          <w:szCs w:val="24"/>
        </w:rPr>
        <w:t xml:space="preserve">. </w:t>
      </w:r>
      <w:r w:rsidRPr="00896CE2">
        <w:rPr>
          <w:rStyle w:val="Strong"/>
          <w:rFonts w:ascii="Times New Roman" w:hAnsi="Times New Roman" w:cs="Times New Roman"/>
          <w:b w:val="0"/>
          <w:sz w:val="24"/>
          <w:szCs w:val="24"/>
        </w:rPr>
        <w:t xml:space="preserve">In terms of the standard GMM-SYS diagnostic test, the </w:t>
      </w:r>
      <w:proofErr w:type="gramStart"/>
      <w:r w:rsidRPr="00896CE2">
        <w:rPr>
          <w:rStyle w:val="Strong"/>
          <w:rFonts w:ascii="Times New Roman" w:hAnsi="Times New Roman" w:cs="Times New Roman"/>
          <w:b w:val="0"/>
          <w:sz w:val="24"/>
          <w:szCs w:val="24"/>
        </w:rPr>
        <w:t>AR(</w:t>
      </w:r>
      <w:proofErr w:type="gramEnd"/>
      <w:r w:rsidRPr="00896CE2">
        <w:rPr>
          <w:rStyle w:val="Strong"/>
          <w:rFonts w:ascii="Times New Roman" w:hAnsi="Times New Roman" w:cs="Times New Roman"/>
          <w:b w:val="0"/>
          <w:sz w:val="24"/>
          <w:szCs w:val="24"/>
        </w:rPr>
        <w:t xml:space="preserve">1) and AR(2) tests are both reassuring, while the null hypothesis of correct instrumentation (Hansen test) is rejected at the 1% level. However, we are not overly worried by the failure of the test. Neither the </w:t>
      </w:r>
      <w:proofErr w:type="spellStart"/>
      <w:r w:rsidRPr="00896CE2">
        <w:rPr>
          <w:rStyle w:val="Strong"/>
          <w:rFonts w:ascii="Times New Roman" w:hAnsi="Times New Roman" w:cs="Times New Roman"/>
          <w:b w:val="0"/>
          <w:sz w:val="24"/>
          <w:szCs w:val="24"/>
        </w:rPr>
        <w:t>Sargan</w:t>
      </w:r>
      <w:proofErr w:type="spellEnd"/>
      <w:r w:rsidRPr="00896CE2">
        <w:rPr>
          <w:rStyle w:val="Strong"/>
          <w:rFonts w:ascii="Times New Roman" w:hAnsi="Times New Roman" w:cs="Times New Roman"/>
          <w:b w:val="0"/>
          <w:sz w:val="24"/>
          <w:szCs w:val="24"/>
        </w:rPr>
        <w:t xml:space="preserve"> nor Hansen tests should be relied upon too faithfully, as they</w:t>
      </w:r>
      <w:r>
        <w:rPr>
          <w:rStyle w:val="Strong"/>
          <w:rFonts w:ascii="Times New Roman" w:hAnsi="Times New Roman" w:cs="Times New Roman"/>
          <w:b w:val="0"/>
          <w:sz w:val="24"/>
          <w:szCs w:val="24"/>
        </w:rPr>
        <w:t xml:space="preserve"> are prone to weakness (</w:t>
      </w:r>
      <w:proofErr w:type="spellStart"/>
      <w:r>
        <w:rPr>
          <w:rStyle w:val="Strong"/>
          <w:rFonts w:ascii="Times New Roman" w:hAnsi="Times New Roman" w:cs="Times New Roman"/>
          <w:b w:val="0"/>
          <w:sz w:val="24"/>
          <w:szCs w:val="24"/>
        </w:rPr>
        <w:t>Roodman</w:t>
      </w:r>
      <w:proofErr w:type="spellEnd"/>
      <w:r w:rsidRPr="00896CE2">
        <w:rPr>
          <w:rStyle w:val="Strong"/>
          <w:rFonts w:ascii="Times New Roman" w:hAnsi="Times New Roman" w:cs="Times New Roman"/>
          <w:b w:val="0"/>
          <w:sz w:val="24"/>
          <w:szCs w:val="24"/>
        </w:rPr>
        <w:t xml:space="preserve"> 2006, p. 12). In order to detect possible bias from </w:t>
      </w:r>
      <w:proofErr w:type="spellStart"/>
      <w:r w:rsidRPr="00896CE2">
        <w:rPr>
          <w:rStyle w:val="Strong"/>
          <w:rFonts w:ascii="Times New Roman" w:hAnsi="Times New Roman" w:cs="Times New Roman"/>
          <w:b w:val="0"/>
          <w:sz w:val="24"/>
          <w:szCs w:val="24"/>
        </w:rPr>
        <w:t>multicollinearity</w:t>
      </w:r>
      <w:proofErr w:type="spellEnd"/>
      <w:r w:rsidRPr="00896CE2">
        <w:rPr>
          <w:rStyle w:val="Strong"/>
          <w:rFonts w:ascii="Times New Roman" w:hAnsi="Times New Roman" w:cs="Times New Roman"/>
          <w:b w:val="0"/>
          <w:sz w:val="24"/>
          <w:szCs w:val="24"/>
        </w:rPr>
        <w:t xml:space="preserve"> we have calculated the </w:t>
      </w:r>
      <w:hyperlink r:id="rId9" w:history="1">
        <w:r w:rsidRPr="00896CE2">
          <w:rPr>
            <w:rStyle w:val="Strong"/>
            <w:rFonts w:ascii="Times New Roman" w:hAnsi="Times New Roman" w:cs="Times New Roman"/>
            <w:b w:val="0"/>
            <w:sz w:val="24"/>
            <w:szCs w:val="24"/>
          </w:rPr>
          <w:t>variance inflation factor</w:t>
        </w:r>
      </w:hyperlink>
      <w:r w:rsidRPr="00896CE2">
        <w:rPr>
          <w:rStyle w:val="Strong"/>
          <w:rFonts w:ascii="Times New Roman" w:hAnsi="Times New Roman" w:cs="Times New Roman"/>
          <w:b w:val="0"/>
          <w:sz w:val="24"/>
          <w:szCs w:val="24"/>
        </w:rPr>
        <w:t xml:space="preserve"> (VIF) which ranged from  1 to 2.27, averaged 1.25, and never exceeded the thr</w:t>
      </w:r>
      <w:r>
        <w:rPr>
          <w:rStyle w:val="Strong"/>
          <w:rFonts w:ascii="Times New Roman" w:hAnsi="Times New Roman" w:cs="Times New Roman"/>
          <w:b w:val="0"/>
          <w:sz w:val="24"/>
          <w:szCs w:val="24"/>
        </w:rPr>
        <w:t>eshold value of  5 (see O’Brien</w:t>
      </w:r>
      <w:r w:rsidRPr="00896CE2">
        <w:rPr>
          <w:rStyle w:val="Strong"/>
          <w:rFonts w:ascii="Times New Roman" w:hAnsi="Times New Roman" w:cs="Times New Roman"/>
          <w:b w:val="0"/>
          <w:sz w:val="24"/>
          <w:szCs w:val="24"/>
        </w:rPr>
        <w:t xml:space="preserve"> 2007).   </w:t>
      </w:r>
    </w:p>
    <w:p w:rsidR="002E69C1" w:rsidRDefault="002E69C1" w:rsidP="00490E01">
      <w:pPr>
        <w:pStyle w:val="TSRCBody"/>
        <w:ind w:firstLine="720"/>
        <w:rPr>
          <w:rStyle w:val="Strong"/>
          <w:rFonts w:ascii="Times New Roman" w:hAnsi="Times New Roman" w:cs="Times New Roman"/>
          <w:b w:val="0"/>
          <w:sz w:val="24"/>
          <w:szCs w:val="24"/>
        </w:rPr>
      </w:pPr>
      <w:r w:rsidRPr="00896CE2">
        <w:rPr>
          <w:rFonts w:ascii="Times New Roman" w:hAnsi="Times New Roman" w:cs="Times New Roman"/>
          <w:sz w:val="24"/>
          <w:szCs w:val="24"/>
        </w:rPr>
        <w:t xml:space="preserve">Table 6 shows that there is a lagged effect </w:t>
      </w:r>
      <w:r w:rsidRPr="00896CE2">
        <w:rPr>
          <w:rFonts w:ascii="Times New Roman" w:hAnsi="Times New Roman" w:cs="Times New Roman"/>
          <w:b/>
          <w:sz w:val="24"/>
          <w:szCs w:val="24"/>
        </w:rPr>
        <w:t>(</w:t>
      </w:r>
      <w:r w:rsidRPr="00896CE2">
        <w:rPr>
          <w:rStyle w:val="Strong"/>
          <w:rFonts w:ascii="Times New Roman" w:hAnsi="Times New Roman" w:cs="Times New Roman"/>
          <w:b w:val="0"/>
          <w:sz w:val="24"/>
          <w:szCs w:val="24"/>
        </w:rPr>
        <w:t>α</w:t>
      </w:r>
      <w:r w:rsidRPr="00896CE2">
        <w:rPr>
          <w:rStyle w:val="Strong"/>
          <w:rFonts w:ascii="Times New Roman" w:hAnsi="Times New Roman" w:cs="Times New Roman"/>
          <w:b w:val="0"/>
          <w:sz w:val="24"/>
          <w:szCs w:val="24"/>
          <w:vertAlign w:val="subscript"/>
        </w:rPr>
        <w:t>1</w:t>
      </w:r>
      <w:r w:rsidRPr="00896CE2">
        <w:rPr>
          <w:rFonts w:ascii="Times New Roman" w:hAnsi="Times New Roman" w:cs="Times New Roman"/>
          <w:b/>
          <w:sz w:val="24"/>
          <w:szCs w:val="24"/>
        </w:rPr>
        <w:t>)</w:t>
      </w:r>
      <w:r w:rsidRPr="00896CE2">
        <w:rPr>
          <w:rFonts w:ascii="Times New Roman" w:hAnsi="Times New Roman" w:cs="Times New Roman"/>
          <w:sz w:val="24"/>
          <w:szCs w:val="24"/>
        </w:rPr>
        <w:t xml:space="preserve"> on  </w:t>
      </w:r>
      <m:oMath>
        <m:func>
          <m:funcPr>
            <m:ctrlPr>
              <w:rPr>
                <w:rFonts w:ascii="Cambria Math" w:hAnsi="Times New Roman" w:cs="Times New Roman"/>
                <w:i/>
                <w:sz w:val="24"/>
                <w:szCs w:val="24"/>
              </w:rPr>
            </m:ctrlPr>
          </m:funcPr>
          <m:fName>
            <m:r>
              <w:rPr>
                <w:rFonts w:ascii="Cambria Math" w:hAnsi="Cambria Math" w:cs="Times New Roman"/>
                <w:sz w:val="24"/>
                <w:szCs w:val="24"/>
              </w:rPr>
              <m:t>ln</m:t>
            </m:r>
            <m:r>
              <w:rPr>
                <w:rFonts w:ascii="Cambria Math" w:hAnsi="Times New Roman" w:cs="Times New Roman"/>
                <w:sz w:val="24"/>
                <w:szCs w:val="24"/>
              </w:rPr>
              <m:t xml:space="preserve"> </m:t>
            </m:r>
          </m:fName>
          <m:e>
            <m:d>
              <m:dPr>
                <m:ctrlPr>
                  <w:rPr>
                    <w:rFonts w:ascii="Cambria Math" w:hAnsi="Times New Roman" w:cs="Times New Roman"/>
                    <w:i/>
                    <w:sz w:val="24"/>
                    <w:szCs w:val="24"/>
                  </w:rPr>
                </m:ctrlPr>
              </m:dPr>
              <m:e>
                <m:sSub>
                  <m:sSubPr>
                    <m:ctrlPr>
                      <w:rPr>
                        <w:rFonts w:ascii="Cambria Math" w:hAnsi="Times New Roman" w:cs="Times New Roman"/>
                        <w:i/>
                        <w:sz w:val="24"/>
                        <w:szCs w:val="24"/>
                      </w:rPr>
                    </m:ctrlPr>
                  </m:sSubPr>
                  <m:e>
                    <m:r>
                      <w:rPr>
                        <w:rFonts w:ascii="Cambria Math" w:hAnsi="Cambria Math" w:cs="Times New Roman"/>
                        <w:sz w:val="24"/>
                        <w:szCs w:val="24"/>
                      </w:rPr>
                      <m:t>is</m:t>
                    </m:r>
                  </m:e>
                  <m:sub>
                    <m:r>
                      <w:rPr>
                        <w:rFonts w:ascii="Cambria Math" w:hAnsi="Cambria Math" w:cs="Times New Roman"/>
                        <w:sz w:val="24"/>
                        <w:szCs w:val="24"/>
                      </w:rPr>
                      <m:t>i</m:t>
                    </m:r>
                    <m:r>
                      <w:rPr>
                        <w:rFonts w:ascii="Cambria Math" w:hAnsi="Times New Roman" w:cs="Times New Roman"/>
                        <w:sz w:val="24"/>
                        <w:szCs w:val="24"/>
                      </w:rPr>
                      <m:t>,</m:t>
                    </m:r>
                    <m:r>
                      <w:rPr>
                        <w:rFonts w:ascii="Cambria Math" w:hAnsi="Cambria Math" w:cs="Times New Roman"/>
                        <w:sz w:val="24"/>
                        <w:szCs w:val="24"/>
                      </w:rPr>
                      <m:t>t</m:t>
                    </m:r>
                    <m:r>
                      <w:rPr>
                        <w:rFonts w:ascii="Cambria Math" w:hAnsi="Times New Roman" w:cs="Times New Roman"/>
                        <w:sz w:val="24"/>
                        <w:szCs w:val="24"/>
                      </w:rPr>
                      <m:t>-</m:t>
                    </m:r>
                    <m:r>
                      <w:rPr>
                        <w:rFonts w:ascii="Cambria Math" w:hAnsi="Times New Roman" w:cs="Times New Roman"/>
                        <w:sz w:val="24"/>
                        <w:szCs w:val="24"/>
                      </w:rPr>
                      <m:t>1</m:t>
                    </m:r>
                  </m:sub>
                </m:sSub>
              </m:e>
            </m:d>
          </m:e>
        </m:func>
      </m:oMath>
      <w:r w:rsidRPr="00896CE2">
        <w:rPr>
          <w:rFonts w:ascii="Times New Roman" w:hAnsi="Times New Roman" w:cs="Times New Roman"/>
          <w:sz w:val="24"/>
          <w:szCs w:val="24"/>
        </w:rPr>
        <w:t xml:space="preserve"> of 0.44 in our preferred model. Having controlled for the other variables in the model, this implies that 44% of commercial revenue is ‘explained’ by commercial revenue in the previous year, a strong but not overwhelming level of persistence of commercial revenue in the same organisations over time. This would suggest that previous assumptions in the literature that commercial revenue is stable over time, and thus marks a rational resource diversification for charities (</w:t>
      </w:r>
      <w:proofErr w:type="spellStart"/>
      <w:r w:rsidRPr="00896CE2">
        <w:rPr>
          <w:rFonts w:ascii="Times New Roman" w:hAnsi="Times New Roman" w:cs="Times New Roman"/>
          <w:sz w:val="24"/>
          <w:szCs w:val="24"/>
        </w:rPr>
        <w:t>Froelich</w:t>
      </w:r>
      <w:proofErr w:type="spellEnd"/>
      <w:r w:rsidRPr="00896CE2">
        <w:rPr>
          <w:rFonts w:ascii="Times New Roman" w:hAnsi="Times New Roman" w:cs="Times New Roman"/>
          <w:sz w:val="24"/>
          <w:szCs w:val="24"/>
        </w:rPr>
        <w:t xml:space="preserve">, 1999) should be revisited using up to date models. The sign of the coefficient </w:t>
      </w:r>
      <w:r w:rsidRPr="00896CE2">
        <w:rPr>
          <w:rFonts w:ascii="Times New Roman" w:hAnsi="Times New Roman" w:cs="Times New Roman"/>
          <w:b/>
          <w:i/>
          <w:sz w:val="24"/>
          <w:szCs w:val="24"/>
        </w:rPr>
        <w:t>(</w:t>
      </w:r>
      <w:r w:rsidRPr="00896CE2">
        <w:rPr>
          <w:rStyle w:val="Strong"/>
          <w:rFonts w:ascii="Times New Roman" w:hAnsi="Times New Roman" w:cs="Times New Roman"/>
          <w:b w:val="0"/>
          <w:i/>
          <w:sz w:val="24"/>
          <w:szCs w:val="24"/>
        </w:rPr>
        <w:t>α</w:t>
      </w:r>
      <w:r w:rsidRPr="00896CE2">
        <w:rPr>
          <w:rStyle w:val="Strong"/>
          <w:rFonts w:ascii="Times New Roman" w:hAnsi="Times New Roman" w:cs="Times New Roman"/>
          <w:b w:val="0"/>
          <w:i/>
          <w:sz w:val="24"/>
          <w:szCs w:val="24"/>
          <w:vertAlign w:val="subscript"/>
        </w:rPr>
        <w:t>2</w:t>
      </w:r>
      <w:r w:rsidRPr="00896CE2">
        <w:rPr>
          <w:rFonts w:ascii="Times New Roman" w:hAnsi="Times New Roman" w:cs="Times New Roman"/>
          <w:b/>
          <w:i/>
          <w:sz w:val="24"/>
          <w:szCs w:val="24"/>
        </w:rPr>
        <w:t>)</w:t>
      </w:r>
      <w:r w:rsidRPr="00896CE2">
        <w:rPr>
          <w:rFonts w:ascii="Times New Roman" w:hAnsi="Times New Roman" w:cs="Times New Roman"/>
          <w:sz w:val="24"/>
          <w:szCs w:val="24"/>
        </w:rPr>
        <w:t xml:space="preserve"> dem</w:t>
      </w:r>
      <w:r w:rsidRPr="00896CE2">
        <w:rPr>
          <w:rStyle w:val="Strong"/>
          <w:rFonts w:ascii="Times New Roman" w:hAnsi="Times New Roman" w:cs="Times New Roman"/>
          <w:b w:val="0"/>
          <w:sz w:val="24"/>
          <w:szCs w:val="24"/>
        </w:rPr>
        <w:t xml:space="preserve">onstrates that other things remaining equal a 10% decline in voluntary income </w:t>
      </w:r>
      <w:r w:rsidRPr="00896CE2">
        <w:rPr>
          <w:rFonts w:ascii="Times New Roman" w:hAnsi="Times New Roman" w:cs="Times New Roman"/>
          <w:bCs/>
          <w:sz w:val="24"/>
          <w:szCs w:val="24"/>
        </w:rPr>
        <w:t>is associated with a</w:t>
      </w:r>
      <w:r w:rsidRPr="00896CE2">
        <w:rPr>
          <w:rStyle w:val="Strong"/>
          <w:rFonts w:ascii="Times New Roman" w:hAnsi="Times New Roman" w:cs="Times New Roman"/>
          <w:b w:val="0"/>
          <w:sz w:val="24"/>
          <w:szCs w:val="24"/>
        </w:rPr>
        <w:t xml:space="preserve"> </w:t>
      </w:r>
      <w:r w:rsidRPr="00896CE2">
        <w:rPr>
          <w:rFonts w:ascii="Times New Roman" w:hAnsi="Times New Roman" w:cs="Times New Roman"/>
          <w:bCs/>
          <w:sz w:val="24"/>
          <w:szCs w:val="24"/>
        </w:rPr>
        <w:t xml:space="preserve">3.1% increase in commercial revenue. </w:t>
      </w:r>
      <w:r w:rsidRPr="00896CE2">
        <w:rPr>
          <w:rStyle w:val="Strong"/>
          <w:rFonts w:ascii="Times New Roman" w:hAnsi="Times New Roman" w:cs="Times New Roman"/>
          <w:b w:val="0"/>
          <w:sz w:val="24"/>
          <w:szCs w:val="24"/>
        </w:rPr>
        <w:t>Thus we can say that, at least in a small way, commercial revenue is a substitute for grants and donations.</w:t>
      </w:r>
    </w:p>
    <w:p w:rsidR="002E69C1" w:rsidRPr="00896CE2" w:rsidRDefault="002E69C1" w:rsidP="00490E01">
      <w:pPr>
        <w:pStyle w:val="TSRCBody"/>
        <w:ind w:firstLine="0"/>
        <w:rPr>
          <w:rFonts w:ascii="Times New Roman" w:hAnsi="Times New Roman" w:cs="Times New Roman"/>
          <w:bCs/>
          <w:sz w:val="24"/>
          <w:szCs w:val="24"/>
        </w:rPr>
      </w:pPr>
      <w:r w:rsidRPr="00896CE2">
        <w:rPr>
          <w:rStyle w:val="Strong"/>
          <w:rFonts w:ascii="Times New Roman" w:hAnsi="Times New Roman" w:cs="Times New Roman"/>
          <w:sz w:val="24"/>
          <w:szCs w:val="24"/>
        </w:rPr>
        <w:t>Table 6 Here</w:t>
      </w:r>
    </w:p>
    <w:p w:rsidR="002E69C1" w:rsidRPr="00896CE2" w:rsidRDefault="002E69C1" w:rsidP="00490E01">
      <w:pPr>
        <w:pStyle w:val="TSRCFirstBody"/>
        <w:ind w:firstLine="720"/>
        <w:rPr>
          <w:rFonts w:ascii="Times New Roman" w:hAnsi="Times New Roman" w:cs="Times New Roman"/>
          <w:sz w:val="24"/>
          <w:szCs w:val="24"/>
        </w:rPr>
      </w:pPr>
      <w:r w:rsidRPr="00896CE2">
        <w:rPr>
          <w:rFonts w:ascii="Times New Roman" w:hAnsi="Times New Roman" w:cs="Times New Roman"/>
          <w:sz w:val="24"/>
          <w:szCs w:val="24"/>
        </w:rPr>
        <w:t xml:space="preserve">We repeated the estimation of equation (1) for each of ten broad groupings of ICNPO categories. This allowed us to estimate the persistence and substitution effects for the different </w:t>
      </w:r>
      <w:proofErr w:type="spellStart"/>
      <w:r w:rsidRPr="00896CE2">
        <w:rPr>
          <w:rFonts w:ascii="Times New Roman" w:hAnsi="Times New Roman" w:cs="Times New Roman"/>
          <w:sz w:val="24"/>
          <w:szCs w:val="24"/>
        </w:rPr>
        <w:t>nonprofit</w:t>
      </w:r>
      <w:proofErr w:type="spellEnd"/>
      <w:r w:rsidRPr="00896CE2">
        <w:rPr>
          <w:rFonts w:ascii="Times New Roman" w:hAnsi="Times New Roman" w:cs="Times New Roman"/>
          <w:sz w:val="24"/>
          <w:szCs w:val="24"/>
        </w:rPr>
        <w:t xml:space="preserve"> fields of activity. In table 7 we report the estimation of equation (1) for the five sub-groups, based on ICNPO, where the substitution effect varied significantly from general representative charities. We only report the GMM-SYS estimations, our preferred approach. </w:t>
      </w:r>
    </w:p>
    <w:p w:rsidR="002E69C1" w:rsidRPr="00896CE2" w:rsidRDefault="002E69C1" w:rsidP="00490E01">
      <w:pPr>
        <w:pStyle w:val="TSRCBody"/>
        <w:ind w:firstLine="720"/>
        <w:rPr>
          <w:rFonts w:ascii="Times New Roman" w:hAnsi="Times New Roman" w:cs="Times New Roman"/>
          <w:sz w:val="24"/>
          <w:szCs w:val="24"/>
        </w:rPr>
      </w:pPr>
      <w:r w:rsidRPr="00896CE2">
        <w:rPr>
          <w:rFonts w:ascii="Times New Roman" w:hAnsi="Times New Roman" w:cs="Times New Roman"/>
          <w:sz w:val="24"/>
          <w:szCs w:val="24"/>
        </w:rPr>
        <w:t>We found significant differences in the persistence of commercial revenue (</w:t>
      </w:r>
      <w:r w:rsidRPr="00896CE2">
        <w:rPr>
          <w:rStyle w:val="Strong"/>
          <w:rFonts w:ascii="Times New Roman" w:hAnsi="Times New Roman" w:cs="Times New Roman"/>
          <w:sz w:val="24"/>
          <w:szCs w:val="24"/>
        </w:rPr>
        <w:t>α</w:t>
      </w:r>
      <w:r w:rsidRPr="00896CE2">
        <w:rPr>
          <w:rStyle w:val="Strong"/>
          <w:rFonts w:ascii="Times New Roman" w:hAnsi="Times New Roman" w:cs="Times New Roman"/>
          <w:sz w:val="24"/>
          <w:szCs w:val="24"/>
          <w:vertAlign w:val="subscript"/>
        </w:rPr>
        <w:t>1</w:t>
      </w:r>
      <w:r w:rsidRPr="00896CE2">
        <w:rPr>
          <w:rFonts w:ascii="Times New Roman" w:hAnsi="Times New Roman" w:cs="Times New Roman"/>
          <w:sz w:val="24"/>
          <w:szCs w:val="24"/>
        </w:rPr>
        <w:t xml:space="preserve">) across all fields of activity. This could be explained by the rapid changes in the policy environment </w:t>
      </w:r>
      <w:r w:rsidRPr="00896CE2">
        <w:rPr>
          <w:rFonts w:ascii="Times New Roman" w:hAnsi="Times New Roman" w:cs="Times New Roman"/>
          <w:sz w:val="24"/>
          <w:szCs w:val="24"/>
        </w:rPr>
        <w:lastRenderedPageBreak/>
        <w:t xml:space="preserve">effecting charities in some fields more than others. Certainly there would appear to be some (negative) connections between persistence effects and the extent of any substitution effect. </w:t>
      </w:r>
    </w:p>
    <w:p w:rsidR="002E69C1" w:rsidRPr="00896CE2" w:rsidRDefault="002E69C1" w:rsidP="00490E01">
      <w:pPr>
        <w:pStyle w:val="TSRCBody"/>
        <w:ind w:firstLine="720"/>
        <w:rPr>
          <w:rStyle w:val="Strong"/>
          <w:rFonts w:ascii="Times New Roman" w:hAnsi="Times New Roman" w:cs="Times New Roman"/>
          <w:b w:val="0"/>
          <w:sz w:val="24"/>
          <w:szCs w:val="24"/>
        </w:rPr>
      </w:pPr>
      <w:r w:rsidRPr="00896CE2">
        <w:rPr>
          <w:rFonts w:ascii="Times New Roman" w:hAnsi="Times New Roman" w:cs="Times New Roman"/>
          <w:sz w:val="24"/>
          <w:szCs w:val="24"/>
        </w:rPr>
        <w:t>Of particular interest the substitution effect between voluntary and commercial revenue (</w:t>
      </w:r>
      <w:r w:rsidRPr="00896CE2">
        <w:rPr>
          <w:rStyle w:val="Strong"/>
          <w:rFonts w:ascii="Times New Roman" w:hAnsi="Times New Roman" w:cs="Times New Roman"/>
          <w:sz w:val="24"/>
          <w:szCs w:val="24"/>
        </w:rPr>
        <w:t>α</w:t>
      </w:r>
      <w:r w:rsidRPr="00896CE2">
        <w:rPr>
          <w:rStyle w:val="Strong"/>
          <w:rFonts w:ascii="Times New Roman" w:hAnsi="Times New Roman" w:cs="Times New Roman"/>
          <w:sz w:val="24"/>
          <w:szCs w:val="24"/>
          <w:vertAlign w:val="subscript"/>
        </w:rPr>
        <w:t>2</w:t>
      </w:r>
      <w:r w:rsidRPr="00896CE2">
        <w:rPr>
          <w:rFonts w:ascii="Times New Roman" w:hAnsi="Times New Roman" w:cs="Times New Roman"/>
          <w:sz w:val="24"/>
          <w:szCs w:val="24"/>
        </w:rPr>
        <w:t xml:space="preserve">) </w:t>
      </w:r>
      <w:r w:rsidRPr="00896CE2">
        <w:rPr>
          <w:rStyle w:val="Strong"/>
          <w:rFonts w:ascii="Times New Roman" w:hAnsi="Times New Roman" w:cs="Times New Roman"/>
          <w:b w:val="0"/>
          <w:sz w:val="24"/>
          <w:szCs w:val="24"/>
        </w:rPr>
        <w:t>varies significantly from general representative charities in four of the ten fields (see Table 7). The fields of social services (-0.70) and law, advocacy and politics (-0.56) showed a greater substitution effect than the average for all charities. It may be that these fields in particular saw an increase in government funding through contracts to deliver public services over the period. Of particular interest is that for charities in the international field, commercial revenue is complementary to voluntary income. That is</w:t>
      </w:r>
      <w:r>
        <w:rPr>
          <w:rStyle w:val="Strong"/>
          <w:rFonts w:ascii="Times New Roman" w:hAnsi="Times New Roman" w:cs="Times New Roman"/>
          <w:b w:val="0"/>
          <w:sz w:val="24"/>
          <w:szCs w:val="24"/>
        </w:rPr>
        <w:t>, other things being equal,</w:t>
      </w:r>
      <w:r w:rsidRPr="00896CE2">
        <w:rPr>
          <w:rStyle w:val="Strong"/>
          <w:rFonts w:ascii="Times New Roman" w:hAnsi="Times New Roman" w:cs="Times New Roman"/>
          <w:b w:val="0"/>
          <w:sz w:val="24"/>
          <w:szCs w:val="24"/>
        </w:rPr>
        <w:t xml:space="preserve"> a 10</w:t>
      </w:r>
      <w:r w:rsidRPr="00896CE2">
        <w:rPr>
          <w:rFonts w:ascii="Times New Roman" w:hAnsi="Times New Roman" w:cs="Times New Roman"/>
          <w:bCs/>
          <w:sz w:val="24"/>
          <w:szCs w:val="24"/>
        </w:rPr>
        <w:t xml:space="preserve">% increase in grants and donations </w:t>
      </w:r>
      <w:r w:rsidRPr="00896CE2">
        <w:rPr>
          <w:rStyle w:val="Strong"/>
          <w:rFonts w:ascii="Times New Roman" w:hAnsi="Times New Roman" w:cs="Times New Roman"/>
          <w:b w:val="0"/>
          <w:sz w:val="24"/>
          <w:szCs w:val="24"/>
        </w:rPr>
        <w:t xml:space="preserve">is associated with an 8.6% </w:t>
      </w:r>
      <w:r w:rsidRPr="00896CE2">
        <w:rPr>
          <w:rStyle w:val="Strong"/>
          <w:rFonts w:ascii="Times New Roman" w:hAnsi="Times New Roman" w:cs="Times New Roman"/>
          <w:b w:val="0"/>
          <w:i/>
          <w:sz w:val="24"/>
          <w:szCs w:val="24"/>
        </w:rPr>
        <w:t>increase</w:t>
      </w:r>
      <w:r w:rsidRPr="00896CE2">
        <w:rPr>
          <w:rStyle w:val="Strong"/>
          <w:rFonts w:ascii="Times New Roman" w:hAnsi="Times New Roman" w:cs="Times New Roman"/>
          <w:b w:val="0"/>
          <w:sz w:val="24"/>
          <w:szCs w:val="24"/>
        </w:rPr>
        <w:t xml:space="preserve"> in commercial revenue.</w:t>
      </w:r>
    </w:p>
    <w:p w:rsidR="002E69C1" w:rsidRPr="00896CE2" w:rsidRDefault="002E69C1" w:rsidP="00490E01">
      <w:pPr>
        <w:pStyle w:val="TSRCFirstBody"/>
        <w:rPr>
          <w:rStyle w:val="Strong"/>
          <w:rFonts w:ascii="Times New Roman" w:hAnsi="Times New Roman" w:cs="Times New Roman"/>
          <w:sz w:val="24"/>
          <w:szCs w:val="24"/>
        </w:rPr>
      </w:pPr>
      <w:r w:rsidRPr="00896CE2">
        <w:rPr>
          <w:rStyle w:val="Strong"/>
          <w:rFonts w:ascii="Times New Roman" w:hAnsi="Times New Roman" w:cs="Times New Roman"/>
          <w:sz w:val="24"/>
          <w:szCs w:val="24"/>
        </w:rPr>
        <w:t>Table 7 Here</w:t>
      </w:r>
    </w:p>
    <w:p w:rsidR="002E69C1" w:rsidRPr="00896CE2" w:rsidRDefault="002E69C1" w:rsidP="00490E01">
      <w:pPr>
        <w:pStyle w:val="TSRCFirstBody"/>
        <w:rPr>
          <w:rStyle w:val="Strong"/>
          <w:rFonts w:ascii="Times New Roman" w:hAnsi="Times New Roman" w:cs="Times New Roman"/>
          <w:sz w:val="24"/>
          <w:szCs w:val="24"/>
        </w:rPr>
      </w:pPr>
      <w:r w:rsidRPr="00896CE2">
        <w:rPr>
          <w:rStyle w:val="Strong"/>
          <w:rFonts w:ascii="Times New Roman" w:hAnsi="Times New Roman" w:cs="Times New Roman"/>
          <w:sz w:val="24"/>
          <w:szCs w:val="24"/>
        </w:rPr>
        <w:t>Concluding Remarks</w:t>
      </w:r>
    </w:p>
    <w:p w:rsidR="002E69C1" w:rsidRPr="00896CE2" w:rsidRDefault="002E69C1" w:rsidP="00490E01">
      <w:pPr>
        <w:pStyle w:val="TSRCFirstBody"/>
        <w:rPr>
          <w:rFonts w:ascii="Times New Roman" w:hAnsi="Times New Roman" w:cs="Times New Roman"/>
          <w:bCs/>
          <w:iCs/>
          <w:sz w:val="24"/>
          <w:szCs w:val="24"/>
        </w:rPr>
      </w:pPr>
      <w:r w:rsidRPr="00896CE2">
        <w:rPr>
          <w:rFonts w:ascii="Times New Roman" w:hAnsi="Times New Roman" w:cs="Times New Roman"/>
          <w:sz w:val="24"/>
          <w:szCs w:val="24"/>
        </w:rPr>
        <w:t xml:space="preserve">We set out to explore whether charities in England and Wales were succumbing to market forces. Drawing upon a longitudinal dataset constructed from charities’ annual returns between 2002 and 2007 we have confirmed existing findings that </w:t>
      </w:r>
      <w:r w:rsidRPr="00896CE2">
        <w:rPr>
          <w:rFonts w:ascii="Times New Roman" w:hAnsi="Times New Roman" w:cs="Times New Roman"/>
          <w:bCs/>
          <w:iCs/>
          <w:sz w:val="24"/>
          <w:szCs w:val="24"/>
        </w:rPr>
        <w:t xml:space="preserve">charities’ reliance on earned income has increased relative to other revenue sources in England and Wales. The increase in commercial revenue occurred across almost all fields of activity. </w:t>
      </w:r>
    </w:p>
    <w:p w:rsidR="002E69C1" w:rsidRDefault="002E69C1" w:rsidP="00490E01">
      <w:pPr>
        <w:pStyle w:val="TSRCBody"/>
        <w:ind w:firstLine="720"/>
        <w:rPr>
          <w:rFonts w:ascii="Times New Roman" w:hAnsi="Times New Roman" w:cs="Times New Roman"/>
          <w:sz w:val="24"/>
          <w:szCs w:val="24"/>
        </w:rPr>
      </w:pPr>
      <w:r w:rsidRPr="00896CE2">
        <w:rPr>
          <w:rFonts w:ascii="Times New Roman" w:hAnsi="Times New Roman" w:cs="Times New Roman"/>
          <w:sz w:val="24"/>
          <w:szCs w:val="24"/>
        </w:rPr>
        <w:t xml:space="preserve">Proving the </w:t>
      </w:r>
      <w:proofErr w:type="spellStart"/>
      <w:r w:rsidRPr="00896CE2">
        <w:rPr>
          <w:rFonts w:ascii="Times New Roman" w:hAnsi="Times New Roman" w:cs="Times New Roman"/>
          <w:sz w:val="24"/>
          <w:szCs w:val="24"/>
        </w:rPr>
        <w:t>marketisation</w:t>
      </w:r>
      <w:proofErr w:type="spellEnd"/>
      <w:r w:rsidRPr="00896CE2">
        <w:rPr>
          <w:rFonts w:ascii="Times New Roman" w:hAnsi="Times New Roman" w:cs="Times New Roman"/>
          <w:sz w:val="24"/>
          <w:szCs w:val="24"/>
        </w:rPr>
        <w:t xml:space="preserve"> thesis requires demonstrating that at the level of the individual charity, commercial revenue is a substitute for grants and donations. Using the GMM model to control for time and field effects, we have shown that commercial revenue was a relatively inelastic substitute for grants and donations over the period. Hence we can say with some degree of certainty that charities in England and Wales are increasingly dependent on commercial revenue, and that this is an inelastic substitute for grants and donations. We believe our study is the first to demonstrate and estimate this substitution effect in England and Wales.</w:t>
      </w:r>
      <w:r w:rsidR="00415121">
        <w:rPr>
          <w:rFonts w:ascii="Times New Roman" w:hAnsi="Times New Roman" w:cs="Times New Roman"/>
          <w:sz w:val="24"/>
          <w:szCs w:val="24"/>
        </w:rPr>
        <w:t xml:space="preserve"> Moreover our study is, to the best of our knowledge, the first to demonstrate a statistically significant substitution effect using logged variables (and this controlling for, to some extent, any bias towards larger organisations.</w:t>
      </w:r>
      <w:r w:rsidR="000C0C63">
        <w:rPr>
          <w:rFonts w:ascii="Times New Roman" w:hAnsi="Times New Roman" w:cs="Times New Roman"/>
          <w:sz w:val="24"/>
          <w:szCs w:val="24"/>
        </w:rPr>
        <w:t xml:space="preserve"> </w:t>
      </w:r>
    </w:p>
    <w:p w:rsidR="003518CB" w:rsidRPr="00896CE2" w:rsidRDefault="003518CB" w:rsidP="00490E01">
      <w:pPr>
        <w:pStyle w:val="TSRCBody"/>
        <w:ind w:firstLine="720"/>
        <w:rPr>
          <w:rFonts w:ascii="Times New Roman" w:hAnsi="Times New Roman" w:cs="Times New Roman"/>
          <w:sz w:val="24"/>
          <w:szCs w:val="24"/>
        </w:rPr>
      </w:pPr>
      <w:r>
        <w:rPr>
          <w:rFonts w:ascii="Times New Roman" w:hAnsi="Times New Roman" w:cs="Times New Roman"/>
          <w:sz w:val="24"/>
          <w:szCs w:val="24"/>
        </w:rPr>
        <w:t>However the substitution effect was relatively small</w:t>
      </w:r>
      <w:r w:rsidR="00415121">
        <w:rPr>
          <w:rFonts w:ascii="Times New Roman" w:hAnsi="Times New Roman" w:cs="Times New Roman"/>
          <w:sz w:val="24"/>
          <w:szCs w:val="24"/>
        </w:rPr>
        <w:t xml:space="preserve"> and varied considerably by field of activity. Indeed in the international field the relationship between grants and donations and commercial revenue was complementary. While more work is necessary to begin to unpick the relationship between field of activity and revenue mix, we would tentatively speculate that the substitution effect has been partly driven by a change in the way government funds third sector organisations – from grants to contracts. Future research would ideally compare </w:t>
      </w:r>
      <w:r w:rsidR="00415121">
        <w:rPr>
          <w:rFonts w:ascii="Times New Roman" w:hAnsi="Times New Roman" w:cs="Times New Roman"/>
          <w:sz w:val="24"/>
          <w:szCs w:val="24"/>
        </w:rPr>
        <w:lastRenderedPageBreak/>
        <w:t xml:space="preserve">substitution effects across different time periods. Unfortunately there is no English data collected before 2002 which would allow this, and </w:t>
      </w:r>
      <w:proofErr w:type="spellStart"/>
      <w:r w:rsidR="00415121">
        <w:rPr>
          <w:rFonts w:ascii="Times New Roman" w:hAnsi="Times New Roman" w:cs="Times New Roman"/>
          <w:sz w:val="24"/>
          <w:szCs w:val="24"/>
        </w:rPr>
        <w:t>Guidestar</w:t>
      </w:r>
      <w:proofErr w:type="spellEnd"/>
      <w:r w:rsidR="00415121">
        <w:rPr>
          <w:rFonts w:ascii="Times New Roman" w:hAnsi="Times New Roman" w:cs="Times New Roman"/>
          <w:sz w:val="24"/>
          <w:szCs w:val="24"/>
        </w:rPr>
        <w:t xml:space="preserve"> UK no longer collects the data necessary to repeat our analysis </w:t>
      </w:r>
      <w:r w:rsidR="000C0C63">
        <w:rPr>
          <w:rFonts w:ascii="Times New Roman" w:hAnsi="Times New Roman" w:cs="Times New Roman"/>
          <w:sz w:val="24"/>
          <w:szCs w:val="24"/>
        </w:rPr>
        <w:t xml:space="preserve">in the periods after 2008. Work being undertaken by NCVO and the Third Sector Research Centre on a sample of charities will permit more sophisticated analysis in the future. </w:t>
      </w:r>
      <w:proofErr w:type="gramStart"/>
      <w:r w:rsidR="000C0C63">
        <w:rPr>
          <w:rFonts w:ascii="Times New Roman" w:hAnsi="Times New Roman" w:cs="Times New Roman"/>
          <w:sz w:val="24"/>
          <w:szCs w:val="24"/>
        </w:rPr>
        <w:t>However at the time of writing only two years of data have been collected.</w:t>
      </w:r>
      <w:proofErr w:type="gramEnd"/>
      <w:r w:rsidR="000C0C63">
        <w:rPr>
          <w:rFonts w:ascii="Times New Roman" w:hAnsi="Times New Roman" w:cs="Times New Roman"/>
          <w:sz w:val="24"/>
          <w:szCs w:val="24"/>
        </w:rPr>
        <w:t xml:space="preserve"> An alternative approach would be to compare England and Wales with countries where the move toward contract funding has already occurred (such as the United States). Of course this raises concerns about the comparability of data collected for (slightly) different purposes.</w:t>
      </w:r>
    </w:p>
    <w:p w:rsidR="000C0C63" w:rsidRDefault="002E69C1" w:rsidP="00490E01">
      <w:pPr>
        <w:pStyle w:val="TSRCBody"/>
        <w:ind w:firstLine="720"/>
        <w:rPr>
          <w:rFonts w:ascii="Times New Roman" w:hAnsi="Times New Roman" w:cs="Times New Roman"/>
          <w:sz w:val="24"/>
          <w:szCs w:val="24"/>
        </w:rPr>
      </w:pPr>
      <w:r w:rsidRPr="00896CE2">
        <w:rPr>
          <w:rFonts w:ascii="Times New Roman" w:hAnsi="Times New Roman" w:cs="Times New Roman"/>
          <w:sz w:val="24"/>
          <w:szCs w:val="24"/>
        </w:rPr>
        <w:t xml:space="preserve">Our research has implications beyond providing an underpinning to the theoretical literature on </w:t>
      </w:r>
      <w:proofErr w:type="spellStart"/>
      <w:r w:rsidRPr="00896CE2">
        <w:rPr>
          <w:rFonts w:ascii="Times New Roman" w:hAnsi="Times New Roman" w:cs="Times New Roman"/>
          <w:sz w:val="24"/>
          <w:szCs w:val="24"/>
        </w:rPr>
        <w:t>marketisation</w:t>
      </w:r>
      <w:proofErr w:type="spellEnd"/>
      <w:r w:rsidRPr="00896CE2">
        <w:rPr>
          <w:rFonts w:ascii="Times New Roman" w:hAnsi="Times New Roman" w:cs="Times New Roman"/>
          <w:sz w:val="24"/>
          <w:szCs w:val="24"/>
        </w:rPr>
        <w:t>. One part of the existing literature posits that turning to commercial revenue is a rational diversification for nonprofits as this revenue source is more stable than, and complementary to,</w:t>
      </w:r>
      <w:r>
        <w:rPr>
          <w:rFonts w:ascii="Times New Roman" w:hAnsi="Times New Roman" w:cs="Times New Roman"/>
          <w:sz w:val="24"/>
          <w:szCs w:val="24"/>
        </w:rPr>
        <w:t xml:space="preserve"> grants and donations (</w:t>
      </w:r>
      <w:proofErr w:type="spellStart"/>
      <w:r>
        <w:rPr>
          <w:rFonts w:ascii="Times New Roman" w:hAnsi="Times New Roman" w:cs="Times New Roman"/>
          <w:sz w:val="24"/>
          <w:szCs w:val="24"/>
        </w:rPr>
        <w:t>Froelich</w:t>
      </w:r>
      <w:proofErr w:type="spellEnd"/>
      <w:r w:rsidRPr="00896CE2">
        <w:rPr>
          <w:rFonts w:ascii="Times New Roman" w:hAnsi="Times New Roman" w:cs="Times New Roman"/>
          <w:sz w:val="24"/>
          <w:szCs w:val="24"/>
        </w:rPr>
        <w:t xml:space="preserve"> 1999). </w:t>
      </w:r>
      <w:r w:rsidR="000C0C63">
        <w:rPr>
          <w:rFonts w:ascii="Times New Roman" w:hAnsi="Times New Roman" w:cs="Times New Roman"/>
          <w:sz w:val="24"/>
          <w:szCs w:val="24"/>
        </w:rPr>
        <w:t xml:space="preserve">It would seem that this prevailing mode of thought has influenced policy makers in England, at least in terms of the coalition government’s Big Society agenda, with a dual emphasis on encouraging the commercialisation of third sector organisations </w:t>
      </w:r>
      <w:r w:rsidR="00DB6BCE">
        <w:rPr>
          <w:rFonts w:ascii="Times New Roman" w:hAnsi="Times New Roman" w:cs="Times New Roman"/>
          <w:sz w:val="24"/>
          <w:szCs w:val="24"/>
        </w:rPr>
        <w:t xml:space="preserve">while also encouraging philanthropic giving. </w:t>
      </w:r>
    </w:p>
    <w:p w:rsidR="002E69C1" w:rsidRPr="00896CE2" w:rsidRDefault="00DB6BCE" w:rsidP="00490E01">
      <w:pPr>
        <w:pStyle w:val="TSRCBody"/>
        <w:ind w:firstLine="720"/>
        <w:rPr>
          <w:rFonts w:ascii="Times New Roman" w:hAnsi="Times New Roman" w:cs="Times New Roman"/>
          <w:sz w:val="24"/>
          <w:szCs w:val="24"/>
        </w:rPr>
      </w:pPr>
      <w:r>
        <w:rPr>
          <w:rFonts w:ascii="Times New Roman" w:hAnsi="Times New Roman" w:cs="Times New Roman"/>
          <w:sz w:val="24"/>
          <w:szCs w:val="24"/>
        </w:rPr>
        <w:t>However as this paper has demonstrated, for the “average” third sector organisation</w:t>
      </w:r>
      <w:r w:rsidR="002E69C1" w:rsidRPr="00896CE2">
        <w:rPr>
          <w:rFonts w:ascii="Times New Roman" w:hAnsi="Times New Roman" w:cs="Times New Roman"/>
          <w:sz w:val="24"/>
          <w:szCs w:val="24"/>
        </w:rPr>
        <w:t xml:space="preserve"> commercial revenue is a partial substitute for grants and donations</w:t>
      </w:r>
      <w:r>
        <w:rPr>
          <w:rFonts w:ascii="Times New Roman" w:hAnsi="Times New Roman" w:cs="Times New Roman"/>
          <w:sz w:val="24"/>
          <w:szCs w:val="24"/>
        </w:rPr>
        <w:t xml:space="preserve"> and</w:t>
      </w:r>
      <w:r w:rsidR="002E69C1" w:rsidRPr="00896CE2">
        <w:rPr>
          <w:rFonts w:ascii="Times New Roman" w:hAnsi="Times New Roman" w:cs="Times New Roman"/>
          <w:sz w:val="24"/>
          <w:szCs w:val="24"/>
        </w:rPr>
        <w:t xml:space="preserve"> </w:t>
      </w:r>
      <w:r>
        <w:rPr>
          <w:rFonts w:ascii="Times New Roman" w:hAnsi="Times New Roman" w:cs="Times New Roman"/>
          <w:sz w:val="24"/>
          <w:szCs w:val="24"/>
        </w:rPr>
        <w:t>t</w:t>
      </w:r>
      <w:r w:rsidR="002E69C1" w:rsidRPr="00896CE2">
        <w:rPr>
          <w:rFonts w:ascii="Times New Roman" w:hAnsi="Times New Roman" w:cs="Times New Roman"/>
          <w:sz w:val="24"/>
          <w:szCs w:val="24"/>
        </w:rPr>
        <w:t>he stability of commercial revenue may also be lower than has previously been assumed.</w:t>
      </w:r>
      <w:r w:rsidR="006E7A4C">
        <w:rPr>
          <w:rFonts w:ascii="Times New Roman" w:hAnsi="Times New Roman" w:cs="Times New Roman"/>
          <w:sz w:val="24"/>
          <w:szCs w:val="24"/>
        </w:rPr>
        <w:t xml:space="preserve"> Thus while it may be possible for governments to both change the ways third sector organisations are funded AND to stimulate an increase in aggregate giving, at the organisational level it would appear that trade-offs are made between commercial revenue and grants and donations.</w:t>
      </w:r>
      <w:r w:rsidR="00D854D9">
        <w:rPr>
          <w:rFonts w:ascii="Times New Roman" w:hAnsi="Times New Roman" w:cs="Times New Roman"/>
          <w:sz w:val="24"/>
          <w:szCs w:val="24"/>
        </w:rPr>
        <w:t xml:space="preserve"> </w:t>
      </w:r>
      <w:r w:rsidR="006E7A4C">
        <w:rPr>
          <w:rFonts w:ascii="Times New Roman" w:hAnsi="Times New Roman" w:cs="Times New Roman"/>
          <w:sz w:val="24"/>
          <w:szCs w:val="24"/>
        </w:rPr>
        <w:t>It is plausible that rather than creating a Big Society, the policy mechanisms put in place could actually create a split in civil society between organisations funded by commercial revenue to deliver goods and services, and more traditional civil society organisations funded through philanthropy and voluntary effort. M</w:t>
      </w:r>
      <w:r w:rsidR="002E69C1" w:rsidRPr="00896CE2">
        <w:rPr>
          <w:rFonts w:ascii="Times New Roman" w:hAnsi="Times New Roman" w:cs="Times New Roman"/>
          <w:sz w:val="24"/>
          <w:szCs w:val="24"/>
        </w:rPr>
        <w:t xml:space="preserve">ore careful consideration of potential revenue sources may </w:t>
      </w:r>
      <w:r w:rsidR="006E7A4C">
        <w:rPr>
          <w:rFonts w:ascii="Times New Roman" w:hAnsi="Times New Roman" w:cs="Times New Roman"/>
          <w:sz w:val="24"/>
          <w:szCs w:val="24"/>
        </w:rPr>
        <w:t xml:space="preserve">therefore </w:t>
      </w:r>
      <w:r w:rsidR="002E69C1" w:rsidRPr="00896CE2">
        <w:rPr>
          <w:rFonts w:ascii="Times New Roman" w:hAnsi="Times New Roman" w:cs="Times New Roman"/>
          <w:sz w:val="24"/>
          <w:szCs w:val="24"/>
        </w:rPr>
        <w:t xml:space="preserve">be required by charities in different fields. To better enable charities to make these choices, foundations, governments and academics across the world should once more turn their attention to the interaction between different revenue sources available to nonprofits, particularly now that the tools to permit more intricate analyses are available. </w:t>
      </w:r>
    </w:p>
    <w:p w:rsidR="002E69C1" w:rsidRPr="00896CE2" w:rsidRDefault="002E69C1" w:rsidP="00896CE2">
      <w:pPr>
        <w:pStyle w:val="TSRCFirstBody"/>
        <w:spacing w:line="336" w:lineRule="auto"/>
        <w:rPr>
          <w:rStyle w:val="Strong"/>
          <w:rFonts w:ascii="Times New Roman" w:hAnsi="Times New Roman" w:cs="Times New Roman"/>
          <w:b w:val="0"/>
          <w:sz w:val="24"/>
          <w:szCs w:val="24"/>
        </w:rPr>
      </w:pPr>
    </w:p>
    <w:p w:rsidR="002E69C1" w:rsidRPr="00E91507" w:rsidRDefault="002E69C1" w:rsidP="00896CE2">
      <w:pPr>
        <w:pStyle w:val="TSRCBody"/>
        <w:spacing w:line="336" w:lineRule="auto"/>
        <w:ind w:firstLine="0"/>
        <w:rPr>
          <w:rStyle w:val="Strong"/>
          <w:rFonts w:ascii="Times New Roman" w:hAnsi="Times New Roman" w:cs="Times New Roman"/>
          <w:sz w:val="24"/>
          <w:szCs w:val="24"/>
        </w:rPr>
      </w:pPr>
      <w:r w:rsidRPr="00E91507">
        <w:rPr>
          <w:rStyle w:val="Strong"/>
          <w:rFonts w:ascii="Times New Roman" w:hAnsi="Times New Roman" w:cs="Times New Roman"/>
          <w:sz w:val="24"/>
          <w:szCs w:val="24"/>
        </w:rPr>
        <w:t>References</w:t>
      </w:r>
    </w:p>
    <w:p w:rsidR="002E69C1" w:rsidRDefault="002E69C1" w:rsidP="00896CE2">
      <w:pPr>
        <w:pStyle w:val="TSRCBody"/>
        <w:spacing w:line="336" w:lineRule="auto"/>
        <w:ind w:firstLine="0"/>
        <w:rPr>
          <w:rStyle w:val="Strong"/>
          <w:rFonts w:ascii="Times New Roman" w:hAnsi="Times New Roman" w:cs="Times New Roman"/>
          <w:b w:val="0"/>
          <w:sz w:val="24"/>
          <w:szCs w:val="24"/>
        </w:rPr>
      </w:pPr>
    </w:p>
    <w:p w:rsidR="002E69C1" w:rsidRPr="003058B2" w:rsidRDefault="002E69C1" w:rsidP="003058B2">
      <w:pPr>
        <w:pStyle w:val="TSRCreferences"/>
        <w:ind w:left="720" w:hanging="720"/>
        <w:rPr>
          <w:rFonts w:ascii="Times New Roman" w:hAnsi="Times New Roman" w:cs="Times New Roman"/>
          <w:sz w:val="24"/>
          <w:szCs w:val="24"/>
        </w:rPr>
      </w:pPr>
      <w:proofErr w:type="spellStart"/>
      <w:proofErr w:type="gramStart"/>
      <w:r w:rsidRPr="003058B2">
        <w:rPr>
          <w:rFonts w:ascii="Times New Roman" w:hAnsi="Times New Roman" w:cs="Times New Roman"/>
          <w:sz w:val="24"/>
          <w:szCs w:val="24"/>
        </w:rPr>
        <w:lastRenderedPageBreak/>
        <w:t>Adaman</w:t>
      </w:r>
      <w:proofErr w:type="spellEnd"/>
      <w:r w:rsidRPr="003058B2">
        <w:rPr>
          <w:rFonts w:ascii="Times New Roman" w:hAnsi="Times New Roman" w:cs="Times New Roman"/>
          <w:sz w:val="24"/>
          <w:szCs w:val="24"/>
        </w:rPr>
        <w:t>, F.</w:t>
      </w:r>
      <w:r>
        <w:rPr>
          <w:rFonts w:ascii="Times New Roman" w:hAnsi="Times New Roman" w:cs="Times New Roman"/>
          <w:sz w:val="24"/>
          <w:szCs w:val="24"/>
        </w:rPr>
        <w:t>,</w:t>
      </w:r>
      <w:r w:rsidRPr="003058B2">
        <w:rPr>
          <w:rFonts w:ascii="Times New Roman" w:hAnsi="Times New Roman" w:cs="Times New Roman"/>
          <w:sz w:val="24"/>
          <w:szCs w:val="24"/>
        </w:rPr>
        <w:t xml:space="preserve"> </w:t>
      </w:r>
      <w:r>
        <w:rPr>
          <w:rFonts w:ascii="Times New Roman" w:hAnsi="Times New Roman" w:cs="Times New Roman"/>
          <w:sz w:val="24"/>
          <w:szCs w:val="24"/>
        </w:rPr>
        <w:t>&amp;</w:t>
      </w:r>
      <w:r w:rsidRPr="003058B2">
        <w:rPr>
          <w:rFonts w:ascii="Times New Roman" w:hAnsi="Times New Roman" w:cs="Times New Roman"/>
          <w:sz w:val="24"/>
          <w:szCs w:val="24"/>
        </w:rPr>
        <w:t xml:space="preserve"> </w:t>
      </w:r>
      <w:proofErr w:type="spellStart"/>
      <w:r w:rsidRPr="003058B2">
        <w:rPr>
          <w:rFonts w:ascii="Times New Roman" w:hAnsi="Times New Roman" w:cs="Times New Roman"/>
          <w:sz w:val="24"/>
          <w:szCs w:val="24"/>
        </w:rPr>
        <w:t>Madra</w:t>
      </w:r>
      <w:proofErr w:type="spellEnd"/>
      <w:r w:rsidRPr="003058B2">
        <w:rPr>
          <w:rFonts w:ascii="Times New Roman" w:hAnsi="Times New Roman" w:cs="Times New Roman"/>
          <w:sz w:val="24"/>
          <w:szCs w:val="24"/>
        </w:rPr>
        <w:t>, Y. (2002</w:t>
      </w:r>
      <w:r>
        <w:rPr>
          <w:rFonts w:ascii="Times New Roman" w:hAnsi="Times New Roman" w:cs="Times New Roman"/>
          <w:sz w:val="24"/>
          <w:szCs w:val="24"/>
        </w:rPr>
        <w:t>).</w:t>
      </w:r>
      <w:proofErr w:type="gramEnd"/>
      <w:r w:rsidRPr="003058B2">
        <w:rPr>
          <w:rFonts w:ascii="Times New Roman" w:hAnsi="Times New Roman" w:cs="Times New Roman"/>
          <w:sz w:val="24"/>
          <w:szCs w:val="24"/>
        </w:rPr>
        <w:t xml:space="preserve"> </w:t>
      </w:r>
      <w:proofErr w:type="gramStart"/>
      <w:r w:rsidRPr="003058B2">
        <w:rPr>
          <w:rFonts w:ascii="Times New Roman" w:hAnsi="Times New Roman" w:cs="Times New Roman"/>
          <w:sz w:val="24"/>
          <w:szCs w:val="24"/>
        </w:rPr>
        <w:t>Theorising the ‘third sphere’: A critique of the persisten</w:t>
      </w:r>
      <w:r>
        <w:rPr>
          <w:rFonts w:ascii="Times New Roman" w:hAnsi="Times New Roman" w:cs="Times New Roman"/>
          <w:sz w:val="24"/>
          <w:szCs w:val="24"/>
        </w:rPr>
        <w:t>ce of the ‘economistic fallacy.’</w:t>
      </w:r>
      <w:proofErr w:type="gramEnd"/>
      <w:r w:rsidRPr="003058B2">
        <w:rPr>
          <w:rFonts w:ascii="Times New Roman" w:hAnsi="Times New Roman" w:cs="Times New Roman"/>
          <w:sz w:val="24"/>
          <w:szCs w:val="24"/>
        </w:rPr>
        <w:t xml:space="preserve"> </w:t>
      </w:r>
      <w:r w:rsidRPr="003058B2">
        <w:rPr>
          <w:rFonts w:ascii="Times New Roman" w:hAnsi="Times New Roman" w:cs="Times New Roman"/>
          <w:i/>
          <w:sz w:val="24"/>
          <w:szCs w:val="24"/>
        </w:rPr>
        <w:t>Journal of Economic Issues,</w:t>
      </w:r>
      <w:r w:rsidRPr="003058B2">
        <w:rPr>
          <w:rFonts w:ascii="Times New Roman" w:hAnsi="Times New Roman" w:cs="Times New Roman"/>
          <w:sz w:val="24"/>
          <w:szCs w:val="24"/>
        </w:rPr>
        <w:t xml:space="preserve"> </w:t>
      </w:r>
      <w:r>
        <w:rPr>
          <w:rFonts w:ascii="Times New Roman" w:hAnsi="Times New Roman" w:cs="Times New Roman"/>
          <w:sz w:val="24"/>
          <w:szCs w:val="24"/>
        </w:rPr>
        <w:t>36(4),</w:t>
      </w:r>
      <w:r w:rsidRPr="003058B2">
        <w:rPr>
          <w:rFonts w:ascii="Times New Roman" w:hAnsi="Times New Roman" w:cs="Times New Roman"/>
          <w:sz w:val="24"/>
          <w:szCs w:val="24"/>
        </w:rPr>
        <w:t xml:space="preserve"> 1045-78.</w:t>
      </w:r>
    </w:p>
    <w:p w:rsidR="002E69C1" w:rsidRPr="003058B2" w:rsidRDefault="002E69C1" w:rsidP="003058B2">
      <w:pPr>
        <w:pStyle w:val="TSRCreferences"/>
        <w:ind w:left="720" w:hanging="720"/>
        <w:rPr>
          <w:rFonts w:ascii="Times New Roman" w:hAnsi="Times New Roman" w:cs="Times New Roman"/>
          <w:sz w:val="24"/>
          <w:szCs w:val="24"/>
        </w:rPr>
      </w:pPr>
      <w:proofErr w:type="gramStart"/>
      <w:r>
        <w:rPr>
          <w:rFonts w:ascii="Times New Roman" w:hAnsi="Times New Roman" w:cs="Times New Roman"/>
          <w:sz w:val="24"/>
          <w:szCs w:val="24"/>
        </w:rPr>
        <w:t>Arellano, M., &amp;</w:t>
      </w:r>
      <w:r w:rsidRPr="003058B2">
        <w:rPr>
          <w:rFonts w:ascii="Times New Roman" w:hAnsi="Times New Roman" w:cs="Times New Roman"/>
          <w:sz w:val="24"/>
          <w:szCs w:val="24"/>
        </w:rPr>
        <w:t xml:space="preserve"> Bond, S. (1991</w:t>
      </w:r>
      <w:r>
        <w:rPr>
          <w:rFonts w:ascii="Times New Roman" w:hAnsi="Times New Roman" w:cs="Times New Roman"/>
          <w:sz w:val="24"/>
          <w:szCs w:val="24"/>
        </w:rPr>
        <w:t>).</w:t>
      </w:r>
      <w:proofErr w:type="gramEnd"/>
      <w:r w:rsidRPr="003058B2">
        <w:rPr>
          <w:rFonts w:ascii="Times New Roman" w:hAnsi="Times New Roman" w:cs="Times New Roman"/>
          <w:sz w:val="24"/>
          <w:szCs w:val="24"/>
        </w:rPr>
        <w:t xml:space="preserve"> Some tests of specification for panel data: Monte Carlo evidence and an appl</w:t>
      </w:r>
      <w:r>
        <w:rPr>
          <w:rFonts w:ascii="Times New Roman" w:hAnsi="Times New Roman" w:cs="Times New Roman"/>
          <w:sz w:val="24"/>
          <w:szCs w:val="24"/>
        </w:rPr>
        <w:t>ication to employment equations.</w:t>
      </w:r>
      <w:r w:rsidRPr="003058B2">
        <w:rPr>
          <w:rFonts w:ascii="Times New Roman" w:hAnsi="Times New Roman" w:cs="Times New Roman"/>
          <w:sz w:val="24"/>
          <w:szCs w:val="24"/>
        </w:rPr>
        <w:t xml:space="preserve"> </w:t>
      </w:r>
      <w:proofErr w:type="gramStart"/>
      <w:r w:rsidRPr="003058B2">
        <w:rPr>
          <w:rFonts w:ascii="Times New Roman" w:hAnsi="Times New Roman" w:cs="Times New Roman"/>
          <w:i/>
          <w:iCs/>
          <w:sz w:val="24"/>
          <w:szCs w:val="24"/>
        </w:rPr>
        <w:t xml:space="preserve">The Review of Economic Studies, </w:t>
      </w:r>
      <w:r w:rsidRPr="000B1EF6">
        <w:rPr>
          <w:rFonts w:ascii="Times New Roman" w:hAnsi="Times New Roman" w:cs="Times New Roman"/>
          <w:iCs/>
          <w:sz w:val="24"/>
          <w:szCs w:val="24"/>
        </w:rPr>
        <w:t>58,</w:t>
      </w:r>
      <w:r w:rsidRPr="003058B2">
        <w:rPr>
          <w:rFonts w:ascii="Times New Roman" w:hAnsi="Times New Roman" w:cs="Times New Roman"/>
          <w:sz w:val="24"/>
          <w:szCs w:val="24"/>
        </w:rPr>
        <w:t xml:space="preserve"> 277-97.</w:t>
      </w:r>
      <w:proofErr w:type="gramEnd"/>
    </w:p>
    <w:p w:rsidR="002E69C1" w:rsidRPr="003058B2" w:rsidRDefault="002E69C1" w:rsidP="003058B2">
      <w:pPr>
        <w:pStyle w:val="TSRCreferences"/>
        <w:ind w:left="720" w:hanging="720"/>
        <w:rPr>
          <w:rFonts w:ascii="Times New Roman" w:hAnsi="Times New Roman" w:cs="Times New Roman"/>
          <w:sz w:val="24"/>
          <w:szCs w:val="24"/>
        </w:rPr>
      </w:pPr>
      <w:r w:rsidRPr="003058B2">
        <w:rPr>
          <w:rFonts w:ascii="Times New Roman" w:hAnsi="Times New Roman" w:cs="Times New Roman"/>
          <w:sz w:val="24"/>
          <w:szCs w:val="24"/>
        </w:rPr>
        <w:t>Blundell, R.</w:t>
      </w:r>
      <w:r>
        <w:rPr>
          <w:rFonts w:ascii="Times New Roman" w:hAnsi="Times New Roman" w:cs="Times New Roman"/>
          <w:sz w:val="24"/>
          <w:szCs w:val="24"/>
        </w:rPr>
        <w:t>,</w:t>
      </w:r>
      <w:r w:rsidRPr="003058B2">
        <w:rPr>
          <w:rFonts w:ascii="Times New Roman" w:hAnsi="Times New Roman" w:cs="Times New Roman"/>
          <w:sz w:val="24"/>
          <w:szCs w:val="24"/>
        </w:rPr>
        <w:t xml:space="preserve"> </w:t>
      </w:r>
      <w:r>
        <w:rPr>
          <w:rFonts w:ascii="Times New Roman" w:hAnsi="Times New Roman" w:cs="Times New Roman"/>
          <w:sz w:val="24"/>
          <w:szCs w:val="24"/>
        </w:rPr>
        <w:t>&amp;</w:t>
      </w:r>
      <w:r w:rsidRPr="003058B2">
        <w:rPr>
          <w:rFonts w:ascii="Times New Roman" w:hAnsi="Times New Roman" w:cs="Times New Roman"/>
          <w:sz w:val="24"/>
          <w:szCs w:val="24"/>
        </w:rPr>
        <w:t xml:space="preserve"> Bond, S. (1998</w:t>
      </w:r>
      <w:r>
        <w:rPr>
          <w:rFonts w:ascii="Times New Roman" w:hAnsi="Times New Roman" w:cs="Times New Roman"/>
          <w:sz w:val="24"/>
          <w:szCs w:val="24"/>
        </w:rPr>
        <w:t>).</w:t>
      </w:r>
      <w:r w:rsidRPr="003058B2">
        <w:rPr>
          <w:rFonts w:ascii="Times New Roman" w:hAnsi="Times New Roman" w:cs="Times New Roman"/>
          <w:sz w:val="24"/>
          <w:szCs w:val="24"/>
        </w:rPr>
        <w:t xml:space="preserve"> </w:t>
      </w:r>
      <w:proofErr w:type="gramStart"/>
      <w:r w:rsidRPr="003058B2">
        <w:rPr>
          <w:rFonts w:ascii="Times New Roman" w:hAnsi="Times New Roman" w:cs="Times New Roman"/>
          <w:sz w:val="24"/>
          <w:szCs w:val="24"/>
        </w:rPr>
        <w:t>Initial Conditions and Moment Restrictio</w:t>
      </w:r>
      <w:r>
        <w:rPr>
          <w:rFonts w:ascii="Times New Roman" w:hAnsi="Times New Roman" w:cs="Times New Roman"/>
          <w:sz w:val="24"/>
          <w:szCs w:val="24"/>
        </w:rPr>
        <w:t>ns in Dynamic Panel Data models.</w:t>
      </w:r>
      <w:proofErr w:type="gramEnd"/>
      <w:r w:rsidRPr="003058B2">
        <w:rPr>
          <w:rFonts w:ascii="Times New Roman" w:hAnsi="Times New Roman" w:cs="Times New Roman"/>
          <w:sz w:val="24"/>
          <w:szCs w:val="24"/>
        </w:rPr>
        <w:t xml:space="preserve"> </w:t>
      </w:r>
      <w:r w:rsidRPr="003058B2">
        <w:rPr>
          <w:rFonts w:ascii="Times New Roman" w:hAnsi="Times New Roman" w:cs="Times New Roman"/>
          <w:i/>
          <w:sz w:val="24"/>
          <w:szCs w:val="24"/>
        </w:rPr>
        <w:t>Journal of Econometrics</w:t>
      </w:r>
      <w:r w:rsidRPr="003058B2">
        <w:rPr>
          <w:rFonts w:ascii="Times New Roman" w:hAnsi="Times New Roman" w:cs="Times New Roman"/>
          <w:sz w:val="24"/>
          <w:szCs w:val="24"/>
        </w:rPr>
        <w:t xml:space="preserve">, </w:t>
      </w:r>
      <w:r>
        <w:rPr>
          <w:rFonts w:ascii="Times New Roman" w:hAnsi="Times New Roman" w:cs="Times New Roman"/>
          <w:sz w:val="24"/>
          <w:szCs w:val="24"/>
        </w:rPr>
        <w:t>87,</w:t>
      </w:r>
      <w:r w:rsidRPr="003058B2">
        <w:rPr>
          <w:rFonts w:ascii="Times New Roman" w:hAnsi="Times New Roman" w:cs="Times New Roman"/>
          <w:sz w:val="24"/>
          <w:szCs w:val="24"/>
        </w:rPr>
        <w:t xml:space="preserve"> 115-43.</w:t>
      </w:r>
    </w:p>
    <w:p w:rsidR="002E69C1" w:rsidRPr="003058B2" w:rsidRDefault="002E69C1" w:rsidP="003058B2">
      <w:pPr>
        <w:pStyle w:val="TSRCreferences"/>
        <w:ind w:left="720" w:hanging="720"/>
        <w:rPr>
          <w:rFonts w:ascii="Times New Roman" w:hAnsi="Times New Roman" w:cs="Times New Roman"/>
          <w:sz w:val="24"/>
          <w:szCs w:val="24"/>
        </w:rPr>
      </w:pPr>
      <w:r w:rsidRPr="003058B2">
        <w:rPr>
          <w:rFonts w:ascii="Times New Roman" w:hAnsi="Times New Roman" w:cs="Times New Roman"/>
          <w:sz w:val="24"/>
          <w:szCs w:val="24"/>
        </w:rPr>
        <w:t>Bond, S. (2002</w:t>
      </w:r>
      <w:r>
        <w:rPr>
          <w:rFonts w:ascii="Times New Roman" w:hAnsi="Times New Roman" w:cs="Times New Roman"/>
          <w:sz w:val="24"/>
          <w:szCs w:val="24"/>
        </w:rPr>
        <w:t>).</w:t>
      </w:r>
      <w:r w:rsidRPr="003058B2">
        <w:rPr>
          <w:rFonts w:ascii="Times New Roman" w:hAnsi="Times New Roman" w:cs="Times New Roman"/>
          <w:sz w:val="24"/>
          <w:szCs w:val="24"/>
        </w:rPr>
        <w:t xml:space="preserve"> </w:t>
      </w:r>
      <w:r w:rsidRPr="003058B2">
        <w:rPr>
          <w:rFonts w:ascii="Times New Roman" w:hAnsi="Times New Roman" w:cs="Times New Roman"/>
          <w:i/>
          <w:sz w:val="24"/>
          <w:szCs w:val="24"/>
        </w:rPr>
        <w:t xml:space="preserve">Dynamic panel data models: a guide to </w:t>
      </w:r>
      <w:proofErr w:type="spellStart"/>
      <w:r w:rsidRPr="003058B2">
        <w:rPr>
          <w:rFonts w:ascii="Times New Roman" w:hAnsi="Times New Roman" w:cs="Times New Roman"/>
          <w:i/>
          <w:sz w:val="24"/>
          <w:szCs w:val="24"/>
        </w:rPr>
        <w:t>microdata</w:t>
      </w:r>
      <w:proofErr w:type="spellEnd"/>
      <w:r w:rsidRPr="003058B2">
        <w:rPr>
          <w:rFonts w:ascii="Times New Roman" w:hAnsi="Times New Roman" w:cs="Times New Roman"/>
          <w:i/>
          <w:sz w:val="24"/>
          <w:szCs w:val="24"/>
        </w:rPr>
        <w:t xml:space="preserve"> methods and practice</w:t>
      </w:r>
      <w:r>
        <w:rPr>
          <w:rFonts w:ascii="Times New Roman" w:hAnsi="Times New Roman" w:cs="Times New Roman"/>
          <w:i/>
          <w:sz w:val="24"/>
          <w:szCs w:val="24"/>
        </w:rPr>
        <w:t>.</w:t>
      </w:r>
      <w:r w:rsidRPr="003058B2">
        <w:rPr>
          <w:rFonts w:ascii="Times New Roman" w:hAnsi="Times New Roman" w:cs="Times New Roman"/>
          <w:sz w:val="24"/>
          <w:szCs w:val="24"/>
        </w:rPr>
        <w:t xml:space="preserve"> London: </w:t>
      </w:r>
      <w:proofErr w:type="spellStart"/>
      <w:r w:rsidRPr="003058B2">
        <w:rPr>
          <w:rFonts w:ascii="Times New Roman" w:hAnsi="Times New Roman" w:cs="Times New Roman"/>
          <w:sz w:val="24"/>
          <w:szCs w:val="24"/>
        </w:rPr>
        <w:t>Cemmap</w:t>
      </w:r>
      <w:proofErr w:type="spellEnd"/>
      <w:r w:rsidRPr="003058B2">
        <w:rPr>
          <w:rFonts w:ascii="Times New Roman" w:hAnsi="Times New Roman" w:cs="Times New Roman"/>
          <w:sz w:val="24"/>
          <w:szCs w:val="24"/>
        </w:rPr>
        <w:t xml:space="preserve"> Working Papers, CWP09/02.</w:t>
      </w:r>
    </w:p>
    <w:p w:rsidR="002E69C1" w:rsidRPr="003058B2" w:rsidRDefault="002E69C1" w:rsidP="003058B2">
      <w:pPr>
        <w:pStyle w:val="TSRCreferences"/>
        <w:ind w:left="720" w:hanging="720"/>
        <w:rPr>
          <w:rFonts w:ascii="Times New Roman" w:hAnsi="Times New Roman" w:cs="Times New Roman"/>
          <w:sz w:val="24"/>
          <w:szCs w:val="24"/>
        </w:rPr>
      </w:pPr>
      <w:proofErr w:type="gramStart"/>
      <w:r w:rsidRPr="003058B2">
        <w:rPr>
          <w:rFonts w:ascii="Times New Roman" w:hAnsi="Times New Roman" w:cs="Times New Roman"/>
          <w:bCs/>
          <w:sz w:val="24"/>
          <w:szCs w:val="24"/>
        </w:rPr>
        <w:t>Carmel, E.</w:t>
      </w:r>
      <w:r>
        <w:rPr>
          <w:rFonts w:ascii="Times New Roman" w:hAnsi="Times New Roman" w:cs="Times New Roman"/>
          <w:bCs/>
          <w:sz w:val="24"/>
          <w:szCs w:val="24"/>
        </w:rPr>
        <w:t>,</w:t>
      </w:r>
      <w:r w:rsidRPr="003058B2">
        <w:rPr>
          <w:rFonts w:ascii="Times New Roman" w:hAnsi="Times New Roman" w:cs="Times New Roman"/>
          <w:bCs/>
          <w:sz w:val="24"/>
          <w:szCs w:val="24"/>
        </w:rPr>
        <w:t xml:space="preserve"> </w:t>
      </w:r>
      <w:r>
        <w:rPr>
          <w:rFonts w:ascii="Times New Roman" w:hAnsi="Times New Roman" w:cs="Times New Roman"/>
          <w:bCs/>
          <w:sz w:val="24"/>
          <w:szCs w:val="24"/>
        </w:rPr>
        <w:t>&amp;</w:t>
      </w:r>
      <w:r w:rsidRPr="003058B2">
        <w:rPr>
          <w:rFonts w:ascii="Times New Roman" w:hAnsi="Times New Roman" w:cs="Times New Roman"/>
          <w:bCs/>
          <w:sz w:val="24"/>
          <w:szCs w:val="24"/>
        </w:rPr>
        <w:t xml:space="preserve"> </w:t>
      </w:r>
      <w:proofErr w:type="spellStart"/>
      <w:r w:rsidRPr="003058B2">
        <w:rPr>
          <w:rFonts w:ascii="Times New Roman" w:hAnsi="Times New Roman" w:cs="Times New Roman"/>
          <w:bCs/>
          <w:sz w:val="24"/>
          <w:szCs w:val="24"/>
        </w:rPr>
        <w:t>H</w:t>
      </w:r>
      <w:r>
        <w:rPr>
          <w:rFonts w:ascii="Times New Roman" w:hAnsi="Times New Roman" w:cs="Times New Roman"/>
          <w:bCs/>
          <w:sz w:val="24"/>
          <w:szCs w:val="24"/>
        </w:rPr>
        <w:t>a</w:t>
      </w:r>
      <w:r w:rsidRPr="003058B2">
        <w:rPr>
          <w:rFonts w:ascii="Times New Roman" w:hAnsi="Times New Roman" w:cs="Times New Roman"/>
          <w:bCs/>
          <w:sz w:val="24"/>
          <w:szCs w:val="24"/>
        </w:rPr>
        <w:t>rlock</w:t>
      </w:r>
      <w:proofErr w:type="spellEnd"/>
      <w:r w:rsidRPr="003058B2">
        <w:rPr>
          <w:rFonts w:ascii="Times New Roman" w:hAnsi="Times New Roman" w:cs="Times New Roman"/>
          <w:bCs/>
          <w:sz w:val="24"/>
          <w:szCs w:val="24"/>
        </w:rPr>
        <w:t>, J. (2008</w:t>
      </w:r>
      <w:r>
        <w:rPr>
          <w:rFonts w:ascii="Times New Roman" w:hAnsi="Times New Roman" w:cs="Times New Roman"/>
          <w:bCs/>
          <w:sz w:val="24"/>
          <w:szCs w:val="24"/>
        </w:rPr>
        <w:t>).</w:t>
      </w:r>
      <w:proofErr w:type="gramEnd"/>
      <w:r w:rsidRPr="003058B2">
        <w:rPr>
          <w:rFonts w:ascii="Times New Roman" w:hAnsi="Times New Roman" w:cs="Times New Roman"/>
          <w:bCs/>
          <w:sz w:val="24"/>
          <w:szCs w:val="24"/>
        </w:rPr>
        <w:t xml:space="preserve"> </w:t>
      </w:r>
      <w:proofErr w:type="gramStart"/>
      <w:r w:rsidRPr="003058B2">
        <w:rPr>
          <w:rFonts w:ascii="Times New Roman" w:hAnsi="Times New Roman" w:cs="Times New Roman"/>
          <w:sz w:val="24"/>
          <w:szCs w:val="24"/>
        </w:rPr>
        <w:t>Instituting the ‘third sector’ as a governable terrain: Partnership, Perfor</w:t>
      </w:r>
      <w:r>
        <w:rPr>
          <w:rFonts w:ascii="Times New Roman" w:hAnsi="Times New Roman" w:cs="Times New Roman"/>
          <w:sz w:val="24"/>
          <w:szCs w:val="24"/>
        </w:rPr>
        <w:t>mance and Procurement in the UK.</w:t>
      </w:r>
      <w:proofErr w:type="gramEnd"/>
      <w:r w:rsidRPr="003058B2">
        <w:rPr>
          <w:rFonts w:ascii="Times New Roman" w:hAnsi="Times New Roman" w:cs="Times New Roman"/>
          <w:sz w:val="24"/>
          <w:szCs w:val="24"/>
        </w:rPr>
        <w:t xml:space="preserve"> </w:t>
      </w:r>
      <w:proofErr w:type="gramStart"/>
      <w:r w:rsidRPr="003058B2">
        <w:rPr>
          <w:rFonts w:ascii="Times New Roman" w:hAnsi="Times New Roman" w:cs="Times New Roman"/>
          <w:i/>
          <w:iCs/>
          <w:sz w:val="24"/>
          <w:szCs w:val="24"/>
        </w:rPr>
        <w:t xml:space="preserve">Policy and Politics, </w:t>
      </w:r>
      <w:r>
        <w:rPr>
          <w:rFonts w:ascii="Times New Roman" w:hAnsi="Times New Roman" w:cs="Times New Roman"/>
          <w:iCs/>
          <w:sz w:val="24"/>
          <w:szCs w:val="24"/>
        </w:rPr>
        <w:t>36(2),</w:t>
      </w:r>
      <w:r w:rsidRPr="003058B2">
        <w:rPr>
          <w:rFonts w:ascii="Times New Roman" w:hAnsi="Times New Roman" w:cs="Times New Roman"/>
          <w:sz w:val="24"/>
          <w:szCs w:val="24"/>
        </w:rPr>
        <w:t xml:space="preserve"> 155-71.</w:t>
      </w:r>
      <w:proofErr w:type="gramEnd"/>
    </w:p>
    <w:p w:rsidR="002E69C1" w:rsidRPr="003058B2" w:rsidRDefault="002E69C1" w:rsidP="003058B2">
      <w:pPr>
        <w:shd w:val="clear" w:color="auto" w:fill="FFFFFF"/>
        <w:spacing w:after="0" w:line="360" w:lineRule="auto"/>
        <w:ind w:left="720" w:hanging="720"/>
        <w:outlineLvl w:val="1"/>
        <w:rPr>
          <w:rFonts w:ascii="Times New Roman" w:hAnsi="Times New Roman" w:cs="Times New Roman"/>
          <w:bCs/>
          <w:kern w:val="36"/>
          <w:sz w:val="24"/>
          <w:szCs w:val="24"/>
        </w:rPr>
      </w:pPr>
      <w:proofErr w:type="gramStart"/>
      <w:r w:rsidRPr="003058B2">
        <w:rPr>
          <w:rFonts w:ascii="Times New Roman" w:hAnsi="Times New Roman" w:cs="Times New Roman"/>
          <w:sz w:val="24"/>
          <w:szCs w:val="24"/>
        </w:rPr>
        <w:t>Carroll, D</w:t>
      </w:r>
      <w:r>
        <w:rPr>
          <w:rFonts w:ascii="Times New Roman" w:hAnsi="Times New Roman" w:cs="Times New Roman"/>
          <w:sz w:val="24"/>
          <w:szCs w:val="24"/>
        </w:rPr>
        <w:t>.,</w:t>
      </w:r>
      <w:r w:rsidRPr="003058B2">
        <w:rPr>
          <w:rFonts w:ascii="Times New Roman" w:hAnsi="Times New Roman" w:cs="Times New Roman"/>
          <w:sz w:val="24"/>
          <w:szCs w:val="24"/>
        </w:rPr>
        <w:t xml:space="preserve"> </w:t>
      </w:r>
      <w:r>
        <w:rPr>
          <w:rFonts w:ascii="Times New Roman" w:hAnsi="Times New Roman" w:cs="Times New Roman"/>
          <w:sz w:val="24"/>
          <w:szCs w:val="24"/>
        </w:rPr>
        <w:t xml:space="preserve">&amp; </w:t>
      </w:r>
      <w:proofErr w:type="spellStart"/>
      <w:r w:rsidRPr="003058B2">
        <w:rPr>
          <w:rFonts w:ascii="Times New Roman" w:hAnsi="Times New Roman" w:cs="Times New Roman"/>
          <w:sz w:val="24"/>
          <w:szCs w:val="24"/>
        </w:rPr>
        <w:t>Stater</w:t>
      </w:r>
      <w:proofErr w:type="spellEnd"/>
      <w:r w:rsidRPr="003058B2">
        <w:rPr>
          <w:rFonts w:ascii="Times New Roman" w:hAnsi="Times New Roman" w:cs="Times New Roman"/>
          <w:sz w:val="24"/>
          <w:szCs w:val="24"/>
        </w:rPr>
        <w:t>, K. (2009</w:t>
      </w:r>
      <w:r>
        <w:rPr>
          <w:rFonts w:ascii="Times New Roman" w:hAnsi="Times New Roman" w:cs="Times New Roman"/>
          <w:sz w:val="24"/>
          <w:szCs w:val="24"/>
        </w:rPr>
        <w:t>).</w:t>
      </w:r>
      <w:proofErr w:type="gramEnd"/>
      <w:r w:rsidRPr="003058B2">
        <w:rPr>
          <w:rFonts w:ascii="Times New Roman" w:hAnsi="Times New Roman" w:cs="Times New Roman"/>
          <w:sz w:val="24"/>
          <w:szCs w:val="24"/>
        </w:rPr>
        <w:t xml:space="preserve"> </w:t>
      </w:r>
      <w:r w:rsidRPr="003058B2">
        <w:rPr>
          <w:rFonts w:ascii="Times New Roman" w:hAnsi="Times New Roman" w:cs="Times New Roman"/>
          <w:bCs/>
          <w:kern w:val="36"/>
          <w:sz w:val="24"/>
          <w:szCs w:val="24"/>
        </w:rPr>
        <w:t xml:space="preserve">Revenue Diversification in </w:t>
      </w:r>
      <w:proofErr w:type="spellStart"/>
      <w:r w:rsidRPr="003058B2">
        <w:rPr>
          <w:rFonts w:ascii="Times New Roman" w:hAnsi="Times New Roman" w:cs="Times New Roman"/>
          <w:bCs/>
          <w:kern w:val="36"/>
          <w:sz w:val="24"/>
          <w:szCs w:val="24"/>
        </w:rPr>
        <w:t>Nonprofit</w:t>
      </w:r>
      <w:proofErr w:type="spellEnd"/>
      <w:r w:rsidRPr="003058B2">
        <w:rPr>
          <w:rFonts w:ascii="Times New Roman" w:hAnsi="Times New Roman" w:cs="Times New Roman"/>
          <w:bCs/>
          <w:kern w:val="36"/>
          <w:sz w:val="24"/>
          <w:szCs w:val="24"/>
        </w:rPr>
        <w:t xml:space="preserve"> Organizations: Does it </w:t>
      </w:r>
      <w:proofErr w:type="gramStart"/>
      <w:r w:rsidRPr="003058B2">
        <w:rPr>
          <w:rFonts w:ascii="Times New Roman" w:hAnsi="Times New Roman" w:cs="Times New Roman"/>
          <w:bCs/>
          <w:kern w:val="36"/>
          <w:sz w:val="24"/>
          <w:szCs w:val="24"/>
        </w:rPr>
        <w:t>Lead</w:t>
      </w:r>
      <w:proofErr w:type="gramEnd"/>
      <w:r w:rsidRPr="003058B2">
        <w:rPr>
          <w:rFonts w:ascii="Times New Roman" w:hAnsi="Times New Roman" w:cs="Times New Roman"/>
          <w:bCs/>
          <w:kern w:val="36"/>
          <w:sz w:val="24"/>
          <w:szCs w:val="24"/>
        </w:rPr>
        <w:t xml:space="preserve"> to Financial Stability? </w:t>
      </w:r>
      <w:r w:rsidRPr="003058B2">
        <w:rPr>
          <w:rFonts w:ascii="Times New Roman" w:hAnsi="Times New Roman" w:cs="Times New Roman"/>
          <w:bCs/>
          <w:i/>
          <w:kern w:val="36"/>
          <w:sz w:val="24"/>
          <w:szCs w:val="24"/>
        </w:rPr>
        <w:t>Journal of Public Administration Research and Theory</w:t>
      </w:r>
      <w:r w:rsidRPr="003058B2">
        <w:rPr>
          <w:rFonts w:ascii="Times New Roman" w:hAnsi="Times New Roman" w:cs="Times New Roman"/>
          <w:bCs/>
          <w:kern w:val="36"/>
          <w:sz w:val="24"/>
          <w:szCs w:val="24"/>
        </w:rPr>
        <w:t xml:space="preserve">, </w:t>
      </w:r>
      <w:r>
        <w:rPr>
          <w:rFonts w:ascii="Times New Roman" w:hAnsi="Times New Roman" w:cs="Times New Roman"/>
          <w:bCs/>
          <w:kern w:val="36"/>
          <w:sz w:val="24"/>
          <w:szCs w:val="24"/>
        </w:rPr>
        <w:t>19(4),</w:t>
      </w:r>
      <w:r w:rsidRPr="003058B2">
        <w:rPr>
          <w:rFonts w:ascii="Times New Roman" w:hAnsi="Times New Roman" w:cs="Times New Roman"/>
          <w:bCs/>
          <w:kern w:val="36"/>
          <w:sz w:val="24"/>
          <w:szCs w:val="24"/>
        </w:rPr>
        <w:t xml:space="preserve"> 947-966.</w:t>
      </w:r>
    </w:p>
    <w:p w:rsidR="00753FC0" w:rsidRDefault="00753FC0" w:rsidP="003058B2">
      <w:pPr>
        <w:pStyle w:val="TSRCreferences"/>
        <w:ind w:left="720" w:hanging="720"/>
        <w:rPr>
          <w:rFonts w:ascii="Times New Roman" w:hAnsi="Times New Roman" w:cs="Times New Roman"/>
          <w:sz w:val="24"/>
          <w:szCs w:val="24"/>
        </w:rPr>
      </w:pPr>
      <w:proofErr w:type="spellStart"/>
      <w:proofErr w:type="gramStart"/>
      <w:r>
        <w:rPr>
          <w:rFonts w:ascii="Times New Roman" w:hAnsi="Times New Roman" w:cs="Times New Roman"/>
          <w:sz w:val="24"/>
          <w:szCs w:val="24"/>
        </w:rPr>
        <w:t>Caulier</w:t>
      </w:r>
      <w:proofErr w:type="spellEnd"/>
      <w:r>
        <w:rPr>
          <w:rFonts w:ascii="Times New Roman" w:hAnsi="Times New Roman" w:cs="Times New Roman"/>
          <w:sz w:val="24"/>
          <w:szCs w:val="24"/>
        </w:rPr>
        <w:t>-Grice, J., Davies, A., Patrick, R., &amp; Norman, W. (2013).</w:t>
      </w:r>
      <w:proofErr w:type="gramEnd"/>
      <w:r>
        <w:rPr>
          <w:rFonts w:ascii="Times New Roman" w:hAnsi="Times New Roman" w:cs="Times New Roman"/>
          <w:sz w:val="24"/>
          <w:szCs w:val="24"/>
        </w:rPr>
        <w:t xml:space="preserve"> </w:t>
      </w:r>
      <w:r w:rsidRPr="00E5458B">
        <w:rPr>
          <w:rFonts w:ascii="Times New Roman" w:hAnsi="Times New Roman" w:cs="Times New Roman"/>
          <w:i/>
          <w:sz w:val="24"/>
          <w:szCs w:val="24"/>
        </w:rPr>
        <w:t>Social innovation practices and trends part II</w:t>
      </w:r>
      <w:r>
        <w:rPr>
          <w:rFonts w:ascii="Times New Roman" w:hAnsi="Times New Roman" w:cs="Times New Roman"/>
          <w:sz w:val="24"/>
          <w:szCs w:val="24"/>
        </w:rPr>
        <w:t>. Brussels</w:t>
      </w:r>
      <w:r w:rsidR="00B14A3F">
        <w:rPr>
          <w:rFonts w:ascii="Times New Roman" w:hAnsi="Times New Roman" w:cs="Times New Roman"/>
          <w:sz w:val="24"/>
          <w:szCs w:val="24"/>
        </w:rPr>
        <w:t>: European Commission, DG Research.</w:t>
      </w:r>
    </w:p>
    <w:p w:rsidR="002E69C1" w:rsidRPr="003058B2" w:rsidRDefault="002E69C1" w:rsidP="003058B2">
      <w:pPr>
        <w:pStyle w:val="TSRCreferences"/>
        <w:ind w:left="720" w:hanging="720"/>
        <w:rPr>
          <w:rFonts w:ascii="Times New Roman" w:hAnsi="Times New Roman" w:cs="Times New Roman"/>
          <w:sz w:val="24"/>
          <w:szCs w:val="24"/>
        </w:rPr>
      </w:pPr>
      <w:proofErr w:type="gramStart"/>
      <w:r w:rsidRPr="003058B2">
        <w:rPr>
          <w:rFonts w:ascii="Times New Roman" w:hAnsi="Times New Roman" w:cs="Times New Roman"/>
          <w:sz w:val="24"/>
          <w:szCs w:val="24"/>
        </w:rPr>
        <w:t>Charity Commission.</w:t>
      </w:r>
      <w:proofErr w:type="gramEnd"/>
      <w:r w:rsidRPr="003058B2">
        <w:rPr>
          <w:rFonts w:ascii="Times New Roman" w:hAnsi="Times New Roman" w:cs="Times New Roman"/>
          <w:sz w:val="24"/>
          <w:szCs w:val="24"/>
        </w:rPr>
        <w:t xml:space="preserve"> (2005</w:t>
      </w:r>
      <w:r>
        <w:rPr>
          <w:rFonts w:ascii="Times New Roman" w:hAnsi="Times New Roman" w:cs="Times New Roman"/>
          <w:sz w:val="24"/>
          <w:szCs w:val="24"/>
        </w:rPr>
        <w:t>).</w:t>
      </w:r>
      <w:r w:rsidRPr="003058B2">
        <w:rPr>
          <w:rFonts w:ascii="Times New Roman" w:hAnsi="Times New Roman" w:cs="Times New Roman"/>
          <w:sz w:val="24"/>
          <w:szCs w:val="24"/>
        </w:rPr>
        <w:t xml:space="preserve"> </w:t>
      </w:r>
      <w:proofErr w:type="gramStart"/>
      <w:r w:rsidRPr="003058B2">
        <w:rPr>
          <w:rFonts w:ascii="Times New Roman" w:hAnsi="Times New Roman" w:cs="Times New Roman"/>
          <w:i/>
          <w:sz w:val="24"/>
          <w:szCs w:val="24"/>
        </w:rPr>
        <w:t>The</w:t>
      </w:r>
      <w:proofErr w:type="gramEnd"/>
      <w:r w:rsidRPr="003058B2">
        <w:rPr>
          <w:rFonts w:ascii="Times New Roman" w:hAnsi="Times New Roman" w:cs="Times New Roman"/>
          <w:i/>
          <w:sz w:val="24"/>
          <w:szCs w:val="24"/>
        </w:rPr>
        <w:t xml:space="preserve"> Charities SORP 2005</w:t>
      </w:r>
      <w:r>
        <w:rPr>
          <w:rFonts w:ascii="Times New Roman" w:hAnsi="Times New Roman" w:cs="Times New Roman"/>
          <w:sz w:val="24"/>
          <w:szCs w:val="24"/>
        </w:rPr>
        <w:t>. London:</w:t>
      </w:r>
      <w:r w:rsidRPr="003058B2">
        <w:rPr>
          <w:rFonts w:ascii="Times New Roman" w:hAnsi="Times New Roman" w:cs="Times New Roman"/>
          <w:sz w:val="24"/>
          <w:szCs w:val="24"/>
        </w:rPr>
        <w:t xml:space="preserve"> The Charity Commission</w:t>
      </w:r>
      <w:r w:rsidR="003C503A" w:rsidRPr="003058B2">
        <w:rPr>
          <w:rFonts w:ascii="Times New Roman" w:hAnsi="Times New Roman" w:cs="Times New Roman"/>
          <w:sz w:val="24"/>
          <w:szCs w:val="24"/>
        </w:rPr>
        <w:t>002E</w:t>
      </w:r>
    </w:p>
    <w:p w:rsidR="002E69C1" w:rsidRPr="003058B2" w:rsidRDefault="002E69C1" w:rsidP="003058B2">
      <w:pPr>
        <w:pStyle w:val="TSRCreferences"/>
        <w:ind w:left="720" w:hanging="720"/>
        <w:rPr>
          <w:rFonts w:ascii="Times New Roman" w:hAnsi="Times New Roman" w:cs="Times New Roman"/>
          <w:sz w:val="24"/>
          <w:szCs w:val="24"/>
        </w:rPr>
      </w:pPr>
      <w:proofErr w:type="gramStart"/>
      <w:r w:rsidRPr="003058B2">
        <w:rPr>
          <w:rFonts w:ascii="Times New Roman" w:hAnsi="Times New Roman" w:cs="Times New Roman"/>
          <w:sz w:val="24"/>
          <w:szCs w:val="24"/>
        </w:rPr>
        <w:t xml:space="preserve">Clifford, D., </w:t>
      </w:r>
      <w:proofErr w:type="spellStart"/>
      <w:r w:rsidRPr="003058B2">
        <w:rPr>
          <w:rFonts w:ascii="Times New Roman" w:hAnsi="Times New Roman" w:cs="Times New Roman"/>
          <w:sz w:val="24"/>
          <w:szCs w:val="24"/>
        </w:rPr>
        <w:t>Geyne</w:t>
      </w:r>
      <w:proofErr w:type="spellEnd"/>
      <w:r w:rsidRPr="003058B2">
        <w:rPr>
          <w:rFonts w:ascii="Times New Roman" w:hAnsi="Times New Roman" w:cs="Times New Roman"/>
          <w:sz w:val="24"/>
          <w:szCs w:val="24"/>
        </w:rPr>
        <w:t xml:space="preserve"> </w:t>
      </w:r>
      <w:proofErr w:type="spellStart"/>
      <w:r w:rsidRPr="003058B2">
        <w:rPr>
          <w:rFonts w:ascii="Times New Roman" w:hAnsi="Times New Roman" w:cs="Times New Roman"/>
          <w:sz w:val="24"/>
          <w:szCs w:val="24"/>
        </w:rPr>
        <w:t>Rajme</w:t>
      </w:r>
      <w:proofErr w:type="spellEnd"/>
      <w:r>
        <w:rPr>
          <w:rFonts w:ascii="Times New Roman" w:hAnsi="Times New Roman" w:cs="Times New Roman"/>
          <w:sz w:val="24"/>
          <w:szCs w:val="24"/>
        </w:rPr>
        <w:t>.</w:t>
      </w:r>
      <w:r w:rsidRPr="003058B2">
        <w:rPr>
          <w:rFonts w:ascii="Times New Roman" w:hAnsi="Times New Roman" w:cs="Times New Roman"/>
          <w:sz w:val="24"/>
          <w:szCs w:val="24"/>
        </w:rPr>
        <w:t xml:space="preserve">, F. </w:t>
      </w:r>
      <w:r>
        <w:rPr>
          <w:rFonts w:ascii="Times New Roman" w:hAnsi="Times New Roman" w:cs="Times New Roman"/>
          <w:sz w:val="24"/>
          <w:szCs w:val="24"/>
        </w:rPr>
        <w:t>&amp;</w:t>
      </w:r>
      <w:r w:rsidRPr="003058B2">
        <w:rPr>
          <w:rFonts w:ascii="Times New Roman" w:hAnsi="Times New Roman" w:cs="Times New Roman"/>
          <w:sz w:val="24"/>
          <w:szCs w:val="24"/>
        </w:rPr>
        <w:t xml:space="preserve"> Mohan, J. (2010</w:t>
      </w:r>
      <w:r>
        <w:rPr>
          <w:rFonts w:ascii="Times New Roman" w:hAnsi="Times New Roman" w:cs="Times New Roman"/>
          <w:sz w:val="24"/>
          <w:szCs w:val="24"/>
        </w:rPr>
        <w:t>).</w:t>
      </w:r>
      <w:proofErr w:type="gramEnd"/>
      <w:r w:rsidRPr="003058B2">
        <w:rPr>
          <w:rFonts w:ascii="Times New Roman" w:hAnsi="Times New Roman" w:cs="Times New Roman"/>
          <w:sz w:val="24"/>
          <w:szCs w:val="24"/>
        </w:rPr>
        <w:t xml:space="preserve"> How dependent is the third sector on public sector funding? </w:t>
      </w:r>
      <w:r>
        <w:rPr>
          <w:rFonts w:ascii="Times New Roman" w:hAnsi="Times New Roman" w:cs="Times New Roman"/>
          <w:sz w:val="24"/>
          <w:szCs w:val="24"/>
        </w:rPr>
        <w:t xml:space="preserve">Southampton: </w:t>
      </w:r>
      <w:r w:rsidRPr="003058B2">
        <w:rPr>
          <w:rFonts w:ascii="Times New Roman" w:hAnsi="Times New Roman" w:cs="Times New Roman"/>
          <w:sz w:val="24"/>
          <w:szCs w:val="24"/>
        </w:rPr>
        <w:t>T</w:t>
      </w:r>
      <w:r>
        <w:rPr>
          <w:rFonts w:ascii="Times New Roman" w:hAnsi="Times New Roman" w:cs="Times New Roman"/>
          <w:sz w:val="24"/>
          <w:szCs w:val="24"/>
        </w:rPr>
        <w:t xml:space="preserve">hird </w:t>
      </w:r>
      <w:r w:rsidRPr="003058B2">
        <w:rPr>
          <w:rFonts w:ascii="Times New Roman" w:hAnsi="Times New Roman" w:cs="Times New Roman"/>
          <w:sz w:val="24"/>
          <w:szCs w:val="24"/>
        </w:rPr>
        <w:t>S</w:t>
      </w:r>
      <w:r>
        <w:rPr>
          <w:rFonts w:ascii="Times New Roman" w:hAnsi="Times New Roman" w:cs="Times New Roman"/>
          <w:sz w:val="24"/>
          <w:szCs w:val="24"/>
        </w:rPr>
        <w:t xml:space="preserve">ector </w:t>
      </w:r>
      <w:r w:rsidRPr="003058B2">
        <w:rPr>
          <w:rFonts w:ascii="Times New Roman" w:hAnsi="Times New Roman" w:cs="Times New Roman"/>
          <w:sz w:val="24"/>
          <w:szCs w:val="24"/>
        </w:rPr>
        <w:t>R</w:t>
      </w:r>
      <w:r>
        <w:rPr>
          <w:rFonts w:ascii="Times New Roman" w:hAnsi="Times New Roman" w:cs="Times New Roman"/>
          <w:sz w:val="24"/>
          <w:szCs w:val="24"/>
        </w:rPr>
        <w:t xml:space="preserve">esearch </w:t>
      </w:r>
      <w:r w:rsidRPr="003058B2">
        <w:rPr>
          <w:rFonts w:ascii="Times New Roman" w:hAnsi="Times New Roman" w:cs="Times New Roman"/>
          <w:sz w:val="24"/>
          <w:szCs w:val="24"/>
        </w:rPr>
        <w:t>C</w:t>
      </w:r>
      <w:r>
        <w:rPr>
          <w:rFonts w:ascii="Times New Roman" w:hAnsi="Times New Roman" w:cs="Times New Roman"/>
          <w:sz w:val="24"/>
          <w:szCs w:val="24"/>
        </w:rPr>
        <w:t>entre</w:t>
      </w:r>
      <w:r w:rsidRPr="003058B2">
        <w:rPr>
          <w:rFonts w:ascii="Times New Roman" w:hAnsi="Times New Roman" w:cs="Times New Roman"/>
          <w:sz w:val="24"/>
          <w:szCs w:val="24"/>
        </w:rPr>
        <w:t xml:space="preserve"> </w:t>
      </w:r>
      <w:r>
        <w:rPr>
          <w:rFonts w:ascii="Times New Roman" w:hAnsi="Times New Roman" w:cs="Times New Roman"/>
          <w:sz w:val="24"/>
          <w:szCs w:val="24"/>
        </w:rPr>
        <w:t>W</w:t>
      </w:r>
      <w:r w:rsidRPr="003058B2">
        <w:rPr>
          <w:rFonts w:ascii="Times New Roman" w:hAnsi="Times New Roman" w:cs="Times New Roman"/>
          <w:sz w:val="24"/>
          <w:szCs w:val="24"/>
        </w:rPr>
        <w:t xml:space="preserve">orking </w:t>
      </w:r>
      <w:r>
        <w:rPr>
          <w:rFonts w:ascii="Times New Roman" w:hAnsi="Times New Roman" w:cs="Times New Roman"/>
          <w:sz w:val="24"/>
          <w:szCs w:val="24"/>
        </w:rPr>
        <w:t>P</w:t>
      </w:r>
      <w:r w:rsidRPr="003058B2">
        <w:rPr>
          <w:rFonts w:ascii="Times New Roman" w:hAnsi="Times New Roman" w:cs="Times New Roman"/>
          <w:sz w:val="24"/>
          <w:szCs w:val="24"/>
        </w:rPr>
        <w:t>aper 45.</w:t>
      </w:r>
      <w:r>
        <w:rPr>
          <w:rFonts w:ascii="Times New Roman" w:hAnsi="Times New Roman" w:cs="Times New Roman"/>
          <w:sz w:val="24"/>
          <w:szCs w:val="24"/>
        </w:rPr>
        <w:t xml:space="preserve"> </w:t>
      </w:r>
    </w:p>
    <w:p w:rsidR="002E69C1" w:rsidRDefault="002E69C1" w:rsidP="003058B2">
      <w:pPr>
        <w:pStyle w:val="TSRCreferences"/>
        <w:ind w:left="720" w:hanging="720"/>
        <w:rPr>
          <w:rFonts w:ascii="Times New Roman" w:hAnsi="Times New Roman" w:cs="Times New Roman"/>
          <w:sz w:val="24"/>
          <w:szCs w:val="24"/>
        </w:rPr>
      </w:pPr>
      <w:proofErr w:type="gramStart"/>
      <w:r w:rsidRPr="003058B2">
        <w:rPr>
          <w:rFonts w:ascii="Times New Roman" w:hAnsi="Times New Roman" w:cs="Times New Roman"/>
          <w:sz w:val="24"/>
          <w:szCs w:val="24"/>
        </w:rPr>
        <w:t>Dart, R. (2004</w:t>
      </w:r>
      <w:r>
        <w:rPr>
          <w:rFonts w:ascii="Times New Roman" w:hAnsi="Times New Roman" w:cs="Times New Roman"/>
          <w:sz w:val="24"/>
          <w:szCs w:val="24"/>
        </w:rPr>
        <w:t>).</w:t>
      </w:r>
      <w:proofErr w:type="gramEnd"/>
      <w:r w:rsidRPr="003058B2">
        <w:rPr>
          <w:rFonts w:ascii="Times New Roman" w:hAnsi="Times New Roman" w:cs="Times New Roman"/>
          <w:sz w:val="24"/>
          <w:szCs w:val="24"/>
        </w:rPr>
        <w:t xml:space="preserve"> </w:t>
      </w:r>
      <w:proofErr w:type="gramStart"/>
      <w:r w:rsidRPr="003058B2">
        <w:rPr>
          <w:rFonts w:ascii="Times New Roman" w:hAnsi="Times New Roman" w:cs="Times New Roman"/>
          <w:sz w:val="24"/>
          <w:szCs w:val="24"/>
        </w:rPr>
        <w:t xml:space="preserve">The </w:t>
      </w:r>
      <w:r>
        <w:rPr>
          <w:rFonts w:ascii="Times New Roman" w:hAnsi="Times New Roman" w:cs="Times New Roman"/>
          <w:sz w:val="24"/>
          <w:szCs w:val="24"/>
        </w:rPr>
        <w:t>legitimacy of social enterprise.</w:t>
      </w:r>
      <w:proofErr w:type="gramEnd"/>
      <w:r w:rsidRPr="003058B2">
        <w:rPr>
          <w:rFonts w:ascii="Times New Roman" w:hAnsi="Times New Roman" w:cs="Times New Roman"/>
          <w:sz w:val="24"/>
          <w:szCs w:val="24"/>
        </w:rPr>
        <w:t xml:space="preserve"> </w:t>
      </w:r>
      <w:proofErr w:type="spellStart"/>
      <w:r w:rsidRPr="003058B2">
        <w:rPr>
          <w:rFonts w:ascii="Times New Roman" w:hAnsi="Times New Roman" w:cs="Times New Roman"/>
          <w:i/>
          <w:sz w:val="24"/>
          <w:szCs w:val="24"/>
        </w:rPr>
        <w:t>Nonprofit</w:t>
      </w:r>
      <w:proofErr w:type="spellEnd"/>
      <w:r w:rsidRPr="003058B2">
        <w:rPr>
          <w:rFonts w:ascii="Times New Roman" w:hAnsi="Times New Roman" w:cs="Times New Roman"/>
          <w:i/>
          <w:sz w:val="24"/>
          <w:szCs w:val="24"/>
        </w:rPr>
        <w:t xml:space="preserve"> Management and Leadership</w:t>
      </w:r>
      <w:r w:rsidRPr="003058B2">
        <w:rPr>
          <w:rFonts w:ascii="Times New Roman" w:hAnsi="Times New Roman" w:cs="Times New Roman"/>
          <w:sz w:val="24"/>
          <w:szCs w:val="24"/>
        </w:rPr>
        <w:t xml:space="preserve">, </w:t>
      </w:r>
      <w:r>
        <w:rPr>
          <w:rFonts w:ascii="Times New Roman" w:hAnsi="Times New Roman" w:cs="Times New Roman"/>
          <w:sz w:val="24"/>
          <w:szCs w:val="24"/>
        </w:rPr>
        <w:t>14(4),</w:t>
      </w:r>
      <w:r w:rsidRPr="003058B2">
        <w:rPr>
          <w:rFonts w:ascii="Times New Roman" w:hAnsi="Times New Roman" w:cs="Times New Roman"/>
          <w:sz w:val="24"/>
          <w:szCs w:val="24"/>
        </w:rPr>
        <w:t xml:space="preserve"> 411-424.</w:t>
      </w:r>
    </w:p>
    <w:p w:rsidR="00B14A3F" w:rsidRPr="003058B2" w:rsidRDefault="00B14A3F" w:rsidP="00B14A3F">
      <w:pPr>
        <w:pStyle w:val="TSRCreferences"/>
        <w:ind w:left="720" w:hanging="720"/>
        <w:rPr>
          <w:rFonts w:ascii="Times New Roman" w:hAnsi="Times New Roman" w:cs="Times New Roman"/>
          <w:sz w:val="24"/>
          <w:szCs w:val="24"/>
        </w:rPr>
      </w:pPr>
      <w:proofErr w:type="gramStart"/>
      <w:r>
        <w:rPr>
          <w:rFonts w:ascii="Times New Roman" w:hAnsi="Times New Roman" w:cs="Times New Roman"/>
          <w:sz w:val="24"/>
          <w:szCs w:val="24"/>
        </w:rPr>
        <w:t>Davies, A., &amp; Simon, J. (2013).</w:t>
      </w:r>
      <w:proofErr w:type="gramEnd"/>
      <w:r>
        <w:rPr>
          <w:rFonts w:ascii="Times New Roman" w:hAnsi="Times New Roman" w:cs="Times New Roman"/>
          <w:sz w:val="24"/>
          <w:szCs w:val="24"/>
        </w:rPr>
        <w:t xml:space="preserve"> </w:t>
      </w:r>
      <w:proofErr w:type="gramStart"/>
      <w:r w:rsidRPr="00E5458B">
        <w:rPr>
          <w:rFonts w:ascii="Times New Roman" w:hAnsi="Times New Roman" w:cs="Times New Roman"/>
          <w:i/>
          <w:sz w:val="24"/>
          <w:szCs w:val="24"/>
        </w:rPr>
        <w:t>The value and role of citizen engagement in social innovation</w:t>
      </w:r>
      <w:r>
        <w:rPr>
          <w:rFonts w:ascii="Times New Roman" w:hAnsi="Times New Roman" w:cs="Times New Roman"/>
          <w:sz w:val="24"/>
          <w:szCs w:val="24"/>
        </w:rPr>
        <w:t>.</w:t>
      </w:r>
      <w:proofErr w:type="gramEnd"/>
      <w:r>
        <w:rPr>
          <w:rFonts w:ascii="Times New Roman" w:hAnsi="Times New Roman" w:cs="Times New Roman"/>
          <w:sz w:val="24"/>
          <w:szCs w:val="24"/>
        </w:rPr>
        <w:t xml:space="preserve"> Brussels: European Commission, DG Research.</w:t>
      </w:r>
    </w:p>
    <w:p w:rsidR="002E69C1" w:rsidRPr="003058B2" w:rsidRDefault="002E69C1" w:rsidP="003058B2">
      <w:pPr>
        <w:pStyle w:val="TSRCreferences"/>
        <w:ind w:left="720" w:hanging="720"/>
        <w:rPr>
          <w:rFonts w:ascii="Times New Roman" w:hAnsi="Times New Roman" w:cs="Times New Roman"/>
          <w:sz w:val="24"/>
          <w:szCs w:val="24"/>
        </w:rPr>
      </w:pPr>
      <w:r w:rsidRPr="003058B2">
        <w:rPr>
          <w:rFonts w:ascii="Times New Roman" w:hAnsi="Times New Roman" w:cs="Times New Roman"/>
          <w:sz w:val="24"/>
          <w:szCs w:val="24"/>
        </w:rPr>
        <w:t>Dees, J. G. (1998</w:t>
      </w:r>
      <w:r>
        <w:rPr>
          <w:rFonts w:ascii="Times New Roman" w:hAnsi="Times New Roman" w:cs="Times New Roman"/>
          <w:sz w:val="24"/>
          <w:szCs w:val="24"/>
        </w:rPr>
        <w:t xml:space="preserve">). </w:t>
      </w:r>
      <w:proofErr w:type="gramStart"/>
      <w:r>
        <w:rPr>
          <w:rFonts w:ascii="Times New Roman" w:hAnsi="Times New Roman" w:cs="Times New Roman"/>
          <w:sz w:val="24"/>
          <w:szCs w:val="24"/>
        </w:rPr>
        <w:t>Enterprising Nonprofits.</w:t>
      </w:r>
      <w:proofErr w:type="gramEnd"/>
      <w:r w:rsidRPr="003058B2">
        <w:rPr>
          <w:rFonts w:ascii="Times New Roman" w:hAnsi="Times New Roman" w:cs="Times New Roman"/>
          <w:sz w:val="24"/>
          <w:szCs w:val="24"/>
        </w:rPr>
        <w:t xml:space="preserve"> </w:t>
      </w:r>
      <w:r w:rsidRPr="003058B2">
        <w:rPr>
          <w:rFonts w:ascii="Times New Roman" w:hAnsi="Times New Roman" w:cs="Times New Roman"/>
          <w:i/>
          <w:sz w:val="24"/>
          <w:szCs w:val="24"/>
        </w:rPr>
        <w:t>Harvard Business Review,</w:t>
      </w:r>
      <w:r w:rsidRPr="003058B2">
        <w:rPr>
          <w:rFonts w:ascii="Times New Roman" w:hAnsi="Times New Roman" w:cs="Times New Roman"/>
          <w:sz w:val="24"/>
          <w:szCs w:val="24"/>
        </w:rPr>
        <w:t xml:space="preserve"> Jan-Feb, 55-67.</w:t>
      </w:r>
    </w:p>
    <w:p w:rsidR="002E69C1" w:rsidRPr="003058B2" w:rsidRDefault="002E69C1" w:rsidP="003058B2">
      <w:pPr>
        <w:pStyle w:val="TSRCreferences"/>
        <w:ind w:left="720" w:hanging="720"/>
        <w:rPr>
          <w:rFonts w:ascii="Times New Roman" w:hAnsi="Times New Roman" w:cs="Times New Roman"/>
          <w:sz w:val="24"/>
          <w:szCs w:val="24"/>
        </w:rPr>
      </w:pPr>
      <w:r w:rsidRPr="003058B2">
        <w:rPr>
          <w:rFonts w:ascii="Times New Roman" w:hAnsi="Times New Roman" w:cs="Times New Roman"/>
          <w:sz w:val="24"/>
          <w:szCs w:val="24"/>
        </w:rPr>
        <w:t>Dees, J. G. (2007</w:t>
      </w:r>
      <w:r>
        <w:rPr>
          <w:rFonts w:ascii="Times New Roman" w:hAnsi="Times New Roman" w:cs="Times New Roman"/>
          <w:sz w:val="24"/>
          <w:szCs w:val="24"/>
        </w:rPr>
        <w:t>).</w:t>
      </w:r>
      <w:r w:rsidRPr="003058B2">
        <w:rPr>
          <w:rFonts w:ascii="Times New Roman" w:hAnsi="Times New Roman" w:cs="Times New Roman"/>
          <w:sz w:val="24"/>
          <w:szCs w:val="24"/>
        </w:rPr>
        <w:t xml:space="preserve"> </w:t>
      </w:r>
      <w:proofErr w:type="gramStart"/>
      <w:r w:rsidRPr="003058B2">
        <w:rPr>
          <w:rFonts w:ascii="Times New Roman" w:hAnsi="Times New Roman" w:cs="Times New Roman"/>
          <w:sz w:val="24"/>
          <w:szCs w:val="24"/>
        </w:rPr>
        <w:t>Taking so</w:t>
      </w:r>
      <w:r>
        <w:rPr>
          <w:rFonts w:ascii="Times New Roman" w:hAnsi="Times New Roman" w:cs="Times New Roman"/>
          <w:sz w:val="24"/>
          <w:szCs w:val="24"/>
        </w:rPr>
        <w:t>cial entrepreneurship seriously.</w:t>
      </w:r>
      <w:proofErr w:type="gramEnd"/>
      <w:r w:rsidRPr="003058B2">
        <w:rPr>
          <w:rFonts w:ascii="Times New Roman" w:hAnsi="Times New Roman" w:cs="Times New Roman"/>
          <w:sz w:val="24"/>
          <w:szCs w:val="24"/>
        </w:rPr>
        <w:t xml:space="preserve"> </w:t>
      </w:r>
      <w:r w:rsidRPr="003058B2">
        <w:rPr>
          <w:rFonts w:ascii="Times New Roman" w:hAnsi="Times New Roman" w:cs="Times New Roman"/>
          <w:i/>
          <w:sz w:val="24"/>
          <w:szCs w:val="24"/>
        </w:rPr>
        <w:t>Society</w:t>
      </w:r>
      <w:r w:rsidRPr="003058B2">
        <w:rPr>
          <w:rFonts w:ascii="Times New Roman" w:hAnsi="Times New Roman" w:cs="Times New Roman"/>
          <w:sz w:val="24"/>
          <w:szCs w:val="24"/>
        </w:rPr>
        <w:t xml:space="preserve">, </w:t>
      </w:r>
      <w:r>
        <w:rPr>
          <w:rFonts w:ascii="Times New Roman" w:hAnsi="Times New Roman" w:cs="Times New Roman"/>
          <w:sz w:val="24"/>
          <w:szCs w:val="24"/>
        </w:rPr>
        <w:t>44(3),</w:t>
      </w:r>
      <w:r w:rsidRPr="003058B2">
        <w:rPr>
          <w:rFonts w:ascii="Times New Roman" w:hAnsi="Times New Roman" w:cs="Times New Roman"/>
          <w:sz w:val="24"/>
          <w:szCs w:val="24"/>
        </w:rPr>
        <w:t xml:space="preserve"> 24-31.</w:t>
      </w:r>
    </w:p>
    <w:p w:rsidR="002E69C1" w:rsidRPr="003058B2" w:rsidRDefault="002E69C1" w:rsidP="003058B2">
      <w:pPr>
        <w:pStyle w:val="TSRCreferences"/>
        <w:ind w:left="720" w:hanging="720"/>
        <w:rPr>
          <w:rFonts w:ascii="Times New Roman" w:hAnsi="Times New Roman" w:cs="Times New Roman"/>
          <w:sz w:val="24"/>
          <w:szCs w:val="24"/>
        </w:rPr>
      </w:pPr>
      <w:proofErr w:type="gramStart"/>
      <w:r w:rsidRPr="003058B2">
        <w:rPr>
          <w:rFonts w:ascii="Times New Roman" w:hAnsi="Times New Roman" w:cs="Times New Roman"/>
          <w:sz w:val="24"/>
          <w:szCs w:val="24"/>
        </w:rPr>
        <w:t>Dees, J. G., Emerson, J.</w:t>
      </w:r>
      <w:r>
        <w:rPr>
          <w:rFonts w:ascii="Times New Roman" w:hAnsi="Times New Roman" w:cs="Times New Roman"/>
          <w:sz w:val="24"/>
          <w:szCs w:val="24"/>
        </w:rPr>
        <w:t>,</w:t>
      </w:r>
      <w:r w:rsidRPr="003058B2">
        <w:rPr>
          <w:rFonts w:ascii="Times New Roman" w:hAnsi="Times New Roman" w:cs="Times New Roman"/>
          <w:sz w:val="24"/>
          <w:szCs w:val="24"/>
        </w:rPr>
        <w:t xml:space="preserve"> </w:t>
      </w:r>
      <w:r>
        <w:rPr>
          <w:rFonts w:ascii="Times New Roman" w:hAnsi="Times New Roman" w:cs="Times New Roman"/>
          <w:sz w:val="24"/>
          <w:szCs w:val="24"/>
        </w:rPr>
        <w:t>&amp;</w:t>
      </w:r>
      <w:r w:rsidRPr="003058B2">
        <w:rPr>
          <w:rFonts w:ascii="Times New Roman" w:hAnsi="Times New Roman" w:cs="Times New Roman"/>
          <w:sz w:val="24"/>
          <w:szCs w:val="24"/>
        </w:rPr>
        <w:t xml:space="preserve"> Economy, P. (2001</w:t>
      </w:r>
      <w:r>
        <w:rPr>
          <w:rFonts w:ascii="Times New Roman" w:hAnsi="Times New Roman" w:cs="Times New Roman"/>
          <w:sz w:val="24"/>
          <w:szCs w:val="24"/>
        </w:rPr>
        <w:t>).</w:t>
      </w:r>
      <w:proofErr w:type="gramEnd"/>
      <w:r w:rsidRPr="003058B2">
        <w:rPr>
          <w:rFonts w:ascii="Times New Roman" w:hAnsi="Times New Roman" w:cs="Times New Roman"/>
          <w:sz w:val="24"/>
          <w:szCs w:val="24"/>
        </w:rPr>
        <w:t xml:space="preserve"> </w:t>
      </w:r>
      <w:r w:rsidRPr="003058B2">
        <w:rPr>
          <w:rFonts w:ascii="Times New Roman" w:hAnsi="Times New Roman" w:cs="Times New Roman"/>
          <w:i/>
          <w:sz w:val="24"/>
          <w:szCs w:val="24"/>
        </w:rPr>
        <w:t>Enterprising Nonprofits: A Toolkit for Social Entrepreneurs</w:t>
      </w:r>
      <w:r>
        <w:rPr>
          <w:rFonts w:ascii="Times New Roman" w:hAnsi="Times New Roman" w:cs="Times New Roman"/>
          <w:sz w:val="24"/>
          <w:szCs w:val="24"/>
        </w:rPr>
        <w:t>.</w:t>
      </w:r>
      <w:r w:rsidRPr="003058B2">
        <w:rPr>
          <w:rFonts w:ascii="Times New Roman" w:hAnsi="Times New Roman" w:cs="Times New Roman"/>
          <w:sz w:val="24"/>
          <w:szCs w:val="24"/>
        </w:rPr>
        <w:t xml:space="preserve"> </w:t>
      </w:r>
      <w:proofErr w:type="gramStart"/>
      <w:r w:rsidRPr="003058B2">
        <w:rPr>
          <w:rFonts w:ascii="Times New Roman" w:hAnsi="Times New Roman" w:cs="Times New Roman"/>
          <w:sz w:val="24"/>
          <w:szCs w:val="24"/>
        </w:rPr>
        <w:t>Wiley.</w:t>
      </w:r>
      <w:proofErr w:type="gramEnd"/>
    </w:p>
    <w:p w:rsidR="002E69C1" w:rsidRPr="003058B2" w:rsidRDefault="002E69C1" w:rsidP="003058B2">
      <w:pPr>
        <w:pStyle w:val="TSRCreferences"/>
        <w:ind w:left="720" w:hanging="720"/>
        <w:rPr>
          <w:rFonts w:ascii="Times New Roman" w:hAnsi="Times New Roman" w:cs="Times New Roman"/>
          <w:sz w:val="24"/>
          <w:szCs w:val="24"/>
        </w:rPr>
      </w:pPr>
      <w:proofErr w:type="gramStart"/>
      <w:r w:rsidRPr="003058B2">
        <w:rPr>
          <w:rFonts w:ascii="Times New Roman" w:hAnsi="Times New Roman" w:cs="Times New Roman"/>
          <w:sz w:val="24"/>
          <w:szCs w:val="24"/>
        </w:rPr>
        <w:t>Dey, P.</w:t>
      </w:r>
      <w:r>
        <w:rPr>
          <w:rFonts w:ascii="Times New Roman" w:hAnsi="Times New Roman" w:cs="Times New Roman"/>
          <w:sz w:val="24"/>
          <w:szCs w:val="24"/>
        </w:rPr>
        <w:t>,</w:t>
      </w:r>
      <w:r w:rsidRPr="003058B2">
        <w:rPr>
          <w:rFonts w:ascii="Times New Roman" w:hAnsi="Times New Roman" w:cs="Times New Roman"/>
          <w:sz w:val="24"/>
          <w:szCs w:val="24"/>
        </w:rPr>
        <w:t xml:space="preserve"> </w:t>
      </w:r>
      <w:r>
        <w:rPr>
          <w:rFonts w:ascii="Times New Roman" w:hAnsi="Times New Roman" w:cs="Times New Roman"/>
          <w:sz w:val="24"/>
          <w:szCs w:val="24"/>
        </w:rPr>
        <w:t>&amp;</w:t>
      </w:r>
      <w:r w:rsidRPr="003058B2">
        <w:rPr>
          <w:rFonts w:ascii="Times New Roman" w:hAnsi="Times New Roman" w:cs="Times New Roman"/>
          <w:sz w:val="24"/>
          <w:szCs w:val="24"/>
        </w:rPr>
        <w:t xml:space="preserve"> </w:t>
      </w:r>
      <w:proofErr w:type="spellStart"/>
      <w:r w:rsidRPr="003058B2">
        <w:rPr>
          <w:rFonts w:ascii="Times New Roman" w:hAnsi="Times New Roman" w:cs="Times New Roman"/>
          <w:sz w:val="24"/>
          <w:szCs w:val="24"/>
        </w:rPr>
        <w:t>Steyaert</w:t>
      </w:r>
      <w:proofErr w:type="spellEnd"/>
      <w:r w:rsidRPr="003058B2">
        <w:rPr>
          <w:rFonts w:ascii="Times New Roman" w:hAnsi="Times New Roman" w:cs="Times New Roman"/>
          <w:sz w:val="24"/>
          <w:szCs w:val="24"/>
        </w:rPr>
        <w:t>, C. (2010</w:t>
      </w:r>
      <w:r>
        <w:rPr>
          <w:rFonts w:ascii="Times New Roman" w:hAnsi="Times New Roman" w:cs="Times New Roman"/>
          <w:sz w:val="24"/>
          <w:szCs w:val="24"/>
        </w:rPr>
        <w:t>).</w:t>
      </w:r>
      <w:proofErr w:type="gramEnd"/>
      <w:r w:rsidRPr="003058B2">
        <w:rPr>
          <w:rFonts w:ascii="Times New Roman" w:hAnsi="Times New Roman" w:cs="Times New Roman"/>
          <w:sz w:val="24"/>
          <w:szCs w:val="24"/>
        </w:rPr>
        <w:t xml:space="preserve"> </w:t>
      </w:r>
      <w:proofErr w:type="gramStart"/>
      <w:r w:rsidRPr="003058B2">
        <w:rPr>
          <w:rFonts w:ascii="Times New Roman" w:hAnsi="Times New Roman" w:cs="Times New Roman"/>
          <w:sz w:val="24"/>
          <w:szCs w:val="24"/>
        </w:rPr>
        <w:t>‘The Politics of Nar</w:t>
      </w:r>
      <w:r>
        <w:rPr>
          <w:rFonts w:ascii="Times New Roman" w:hAnsi="Times New Roman" w:cs="Times New Roman"/>
          <w:sz w:val="24"/>
          <w:szCs w:val="24"/>
        </w:rPr>
        <w:t>rating Social Entrepreneurship.’</w:t>
      </w:r>
      <w:proofErr w:type="gramEnd"/>
      <w:r w:rsidRPr="003058B2">
        <w:rPr>
          <w:rFonts w:ascii="Times New Roman" w:hAnsi="Times New Roman" w:cs="Times New Roman"/>
          <w:sz w:val="24"/>
          <w:szCs w:val="24"/>
        </w:rPr>
        <w:t xml:space="preserve"> </w:t>
      </w:r>
      <w:proofErr w:type="gramStart"/>
      <w:r w:rsidRPr="003058B2">
        <w:rPr>
          <w:rFonts w:ascii="Times New Roman" w:hAnsi="Times New Roman" w:cs="Times New Roman"/>
          <w:i/>
          <w:sz w:val="24"/>
          <w:szCs w:val="24"/>
        </w:rPr>
        <w:t>Journal of Enterprising Communities</w:t>
      </w:r>
      <w:r>
        <w:rPr>
          <w:rFonts w:ascii="Times New Roman" w:hAnsi="Times New Roman" w:cs="Times New Roman"/>
          <w:sz w:val="24"/>
          <w:szCs w:val="24"/>
        </w:rPr>
        <w:t>,</w:t>
      </w:r>
      <w:r w:rsidRPr="003058B2">
        <w:rPr>
          <w:rFonts w:ascii="Times New Roman" w:hAnsi="Times New Roman" w:cs="Times New Roman"/>
          <w:sz w:val="24"/>
          <w:szCs w:val="24"/>
        </w:rPr>
        <w:t xml:space="preserve"> </w:t>
      </w:r>
      <w:r>
        <w:rPr>
          <w:rFonts w:ascii="Times New Roman" w:hAnsi="Times New Roman" w:cs="Times New Roman"/>
          <w:sz w:val="24"/>
          <w:szCs w:val="24"/>
        </w:rPr>
        <w:t>4(1),</w:t>
      </w:r>
      <w:r w:rsidRPr="003058B2">
        <w:rPr>
          <w:rFonts w:ascii="Times New Roman" w:hAnsi="Times New Roman" w:cs="Times New Roman"/>
          <w:sz w:val="24"/>
          <w:szCs w:val="24"/>
        </w:rPr>
        <w:t xml:space="preserve"> 85-10.</w:t>
      </w:r>
      <w:proofErr w:type="gramEnd"/>
    </w:p>
    <w:p w:rsidR="002E69C1" w:rsidRPr="003058B2" w:rsidRDefault="002E69C1" w:rsidP="003058B2">
      <w:pPr>
        <w:pStyle w:val="TSRCreferences"/>
        <w:ind w:left="720" w:hanging="720"/>
        <w:rPr>
          <w:rFonts w:ascii="Times New Roman" w:hAnsi="Times New Roman" w:cs="Times New Roman"/>
          <w:sz w:val="24"/>
          <w:szCs w:val="24"/>
        </w:rPr>
      </w:pPr>
      <w:r w:rsidRPr="003058B2">
        <w:rPr>
          <w:rFonts w:ascii="Times New Roman" w:hAnsi="Times New Roman" w:cs="Times New Roman"/>
          <w:sz w:val="24"/>
          <w:szCs w:val="24"/>
        </w:rPr>
        <w:t>Eikenberry, A. (2009</w:t>
      </w:r>
      <w:r>
        <w:rPr>
          <w:rFonts w:ascii="Times New Roman" w:hAnsi="Times New Roman" w:cs="Times New Roman"/>
          <w:sz w:val="24"/>
          <w:szCs w:val="24"/>
        </w:rPr>
        <w:t>).</w:t>
      </w:r>
      <w:r w:rsidRPr="003058B2">
        <w:rPr>
          <w:rFonts w:ascii="Times New Roman" w:hAnsi="Times New Roman" w:cs="Times New Roman"/>
          <w:sz w:val="24"/>
          <w:szCs w:val="24"/>
        </w:rPr>
        <w:t xml:space="preserve"> </w:t>
      </w:r>
      <w:proofErr w:type="gramStart"/>
      <w:r w:rsidRPr="003058B2">
        <w:rPr>
          <w:rFonts w:ascii="Times New Roman" w:hAnsi="Times New Roman" w:cs="Times New Roman"/>
          <w:sz w:val="24"/>
          <w:szCs w:val="24"/>
        </w:rPr>
        <w:t xml:space="preserve">Refusing the Market: A Democratic Discourse for Voluntary and </w:t>
      </w:r>
      <w:proofErr w:type="spellStart"/>
      <w:r w:rsidRPr="003058B2">
        <w:rPr>
          <w:rFonts w:ascii="Times New Roman" w:hAnsi="Times New Roman" w:cs="Times New Roman"/>
          <w:sz w:val="24"/>
          <w:szCs w:val="24"/>
        </w:rPr>
        <w:t>Nonprofit</w:t>
      </w:r>
      <w:proofErr w:type="spellEnd"/>
      <w:r w:rsidRPr="003058B2">
        <w:rPr>
          <w:rFonts w:ascii="Times New Roman" w:hAnsi="Times New Roman" w:cs="Times New Roman"/>
          <w:sz w:val="24"/>
          <w:szCs w:val="24"/>
        </w:rPr>
        <w:t xml:space="preserve"> Or</w:t>
      </w:r>
      <w:r>
        <w:rPr>
          <w:rFonts w:ascii="Times New Roman" w:hAnsi="Times New Roman" w:cs="Times New Roman"/>
          <w:sz w:val="24"/>
          <w:szCs w:val="24"/>
        </w:rPr>
        <w:t>ganisations.</w:t>
      </w:r>
      <w:proofErr w:type="gramEnd"/>
      <w:r w:rsidRPr="003058B2">
        <w:rPr>
          <w:rFonts w:ascii="Times New Roman" w:hAnsi="Times New Roman" w:cs="Times New Roman"/>
          <w:sz w:val="24"/>
          <w:szCs w:val="24"/>
        </w:rPr>
        <w:t xml:space="preserve"> </w:t>
      </w:r>
      <w:proofErr w:type="spellStart"/>
      <w:proofErr w:type="gramStart"/>
      <w:r w:rsidRPr="003058B2">
        <w:rPr>
          <w:rFonts w:ascii="Times New Roman" w:hAnsi="Times New Roman" w:cs="Times New Roman"/>
          <w:i/>
          <w:iCs/>
          <w:sz w:val="24"/>
          <w:szCs w:val="24"/>
        </w:rPr>
        <w:t>Nonprofit</w:t>
      </w:r>
      <w:proofErr w:type="spellEnd"/>
      <w:r w:rsidRPr="003058B2">
        <w:rPr>
          <w:rFonts w:ascii="Times New Roman" w:hAnsi="Times New Roman" w:cs="Times New Roman"/>
          <w:i/>
          <w:iCs/>
          <w:sz w:val="24"/>
          <w:szCs w:val="24"/>
        </w:rPr>
        <w:t xml:space="preserve"> and Voluntary Sector Quarterly,</w:t>
      </w:r>
      <w:r w:rsidRPr="003058B2">
        <w:rPr>
          <w:rFonts w:ascii="Times New Roman" w:hAnsi="Times New Roman" w:cs="Times New Roman"/>
          <w:sz w:val="24"/>
          <w:szCs w:val="24"/>
        </w:rPr>
        <w:t xml:space="preserve"> </w:t>
      </w:r>
      <w:r>
        <w:rPr>
          <w:rFonts w:ascii="Times New Roman" w:hAnsi="Times New Roman" w:cs="Times New Roman"/>
          <w:sz w:val="24"/>
          <w:szCs w:val="24"/>
        </w:rPr>
        <w:t>38(4),</w:t>
      </w:r>
      <w:r w:rsidRPr="003058B2">
        <w:rPr>
          <w:rFonts w:ascii="Times New Roman" w:hAnsi="Times New Roman" w:cs="Times New Roman"/>
          <w:sz w:val="24"/>
          <w:szCs w:val="24"/>
        </w:rPr>
        <w:t xml:space="preserve"> 582-96.</w:t>
      </w:r>
      <w:proofErr w:type="gramEnd"/>
    </w:p>
    <w:p w:rsidR="002E69C1" w:rsidRPr="003058B2" w:rsidRDefault="002E69C1" w:rsidP="003058B2">
      <w:pPr>
        <w:pStyle w:val="TSRCreferences"/>
        <w:ind w:left="720" w:hanging="720"/>
        <w:rPr>
          <w:rFonts w:ascii="Times New Roman" w:hAnsi="Times New Roman" w:cs="Times New Roman"/>
          <w:sz w:val="24"/>
          <w:szCs w:val="24"/>
        </w:rPr>
      </w:pPr>
      <w:proofErr w:type="gramStart"/>
      <w:r w:rsidRPr="003058B2">
        <w:rPr>
          <w:rFonts w:ascii="Times New Roman" w:hAnsi="Times New Roman" w:cs="Times New Roman"/>
          <w:sz w:val="24"/>
          <w:szCs w:val="24"/>
        </w:rPr>
        <w:lastRenderedPageBreak/>
        <w:t>Eikenberry, A.</w:t>
      </w:r>
      <w:r>
        <w:rPr>
          <w:rFonts w:ascii="Times New Roman" w:hAnsi="Times New Roman" w:cs="Times New Roman"/>
          <w:sz w:val="24"/>
          <w:szCs w:val="24"/>
        </w:rPr>
        <w:t>,</w:t>
      </w:r>
      <w:r w:rsidRPr="003058B2">
        <w:rPr>
          <w:rFonts w:ascii="Times New Roman" w:hAnsi="Times New Roman" w:cs="Times New Roman"/>
          <w:sz w:val="24"/>
          <w:szCs w:val="24"/>
        </w:rPr>
        <w:t xml:space="preserve"> </w:t>
      </w:r>
      <w:r>
        <w:rPr>
          <w:rFonts w:ascii="Times New Roman" w:hAnsi="Times New Roman" w:cs="Times New Roman"/>
          <w:sz w:val="24"/>
          <w:szCs w:val="24"/>
        </w:rPr>
        <w:t>&amp;</w:t>
      </w:r>
      <w:r w:rsidRPr="003058B2">
        <w:rPr>
          <w:rFonts w:ascii="Times New Roman" w:hAnsi="Times New Roman" w:cs="Times New Roman"/>
          <w:sz w:val="24"/>
          <w:szCs w:val="24"/>
        </w:rPr>
        <w:t xml:space="preserve"> </w:t>
      </w:r>
      <w:proofErr w:type="spellStart"/>
      <w:r w:rsidRPr="003058B2">
        <w:rPr>
          <w:rFonts w:ascii="Times New Roman" w:hAnsi="Times New Roman" w:cs="Times New Roman"/>
          <w:sz w:val="24"/>
          <w:szCs w:val="24"/>
        </w:rPr>
        <w:t>Kluvert</w:t>
      </w:r>
      <w:proofErr w:type="spellEnd"/>
      <w:r w:rsidRPr="003058B2">
        <w:rPr>
          <w:rFonts w:ascii="Times New Roman" w:hAnsi="Times New Roman" w:cs="Times New Roman"/>
          <w:sz w:val="24"/>
          <w:szCs w:val="24"/>
        </w:rPr>
        <w:t>, J. (2004</w:t>
      </w:r>
      <w:r>
        <w:rPr>
          <w:rFonts w:ascii="Times New Roman" w:hAnsi="Times New Roman" w:cs="Times New Roman"/>
          <w:sz w:val="24"/>
          <w:szCs w:val="24"/>
        </w:rPr>
        <w:t>).</w:t>
      </w:r>
      <w:proofErr w:type="gramEnd"/>
      <w:r w:rsidRPr="003058B2">
        <w:rPr>
          <w:rFonts w:ascii="Times New Roman" w:hAnsi="Times New Roman" w:cs="Times New Roman"/>
          <w:sz w:val="24"/>
          <w:szCs w:val="24"/>
        </w:rPr>
        <w:t xml:space="preserve"> The </w:t>
      </w:r>
      <w:proofErr w:type="spellStart"/>
      <w:r w:rsidRPr="003058B2">
        <w:rPr>
          <w:rFonts w:ascii="Times New Roman" w:hAnsi="Times New Roman" w:cs="Times New Roman"/>
          <w:sz w:val="24"/>
          <w:szCs w:val="24"/>
        </w:rPr>
        <w:t>Marketisation</w:t>
      </w:r>
      <w:proofErr w:type="spellEnd"/>
      <w:r w:rsidRPr="003058B2">
        <w:rPr>
          <w:rFonts w:ascii="Times New Roman" w:hAnsi="Times New Roman" w:cs="Times New Roman"/>
          <w:sz w:val="24"/>
          <w:szCs w:val="24"/>
        </w:rPr>
        <w:t xml:space="preserve"> of the </w:t>
      </w:r>
      <w:proofErr w:type="spellStart"/>
      <w:proofErr w:type="gramStart"/>
      <w:r w:rsidRPr="003058B2">
        <w:rPr>
          <w:rFonts w:ascii="Times New Roman" w:hAnsi="Times New Roman" w:cs="Times New Roman"/>
          <w:sz w:val="24"/>
          <w:szCs w:val="24"/>
        </w:rPr>
        <w:t>Nonprofit</w:t>
      </w:r>
      <w:proofErr w:type="spellEnd"/>
      <w:proofErr w:type="gramEnd"/>
      <w:r w:rsidRPr="003058B2">
        <w:rPr>
          <w:rFonts w:ascii="Times New Roman" w:hAnsi="Times New Roman" w:cs="Times New Roman"/>
          <w:sz w:val="24"/>
          <w:szCs w:val="24"/>
        </w:rPr>
        <w:t xml:space="preserve"> sector: Civil society at risk? </w:t>
      </w:r>
      <w:proofErr w:type="gramStart"/>
      <w:r w:rsidRPr="003058B2">
        <w:rPr>
          <w:rFonts w:ascii="Times New Roman" w:hAnsi="Times New Roman" w:cs="Times New Roman"/>
          <w:sz w:val="24"/>
          <w:szCs w:val="24"/>
        </w:rPr>
        <w:t xml:space="preserve">Public Administration Review, </w:t>
      </w:r>
      <w:r>
        <w:rPr>
          <w:rFonts w:ascii="Times New Roman" w:hAnsi="Times New Roman" w:cs="Times New Roman"/>
          <w:sz w:val="24"/>
          <w:szCs w:val="24"/>
        </w:rPr>
        <w:t>64(2),</w:t>
      </w:r>
      <w:r w:rsidRPr="003058B2">
        <w:rPr>
          <w:rFonts w:ascii="Times New Roman" w:hAnsi="Times New Roman" w:cs="Times New Roman"/>
          <w:sz w:val="24"/>
          <w:szCs w:val="24"/>
        </w:rPr>
        <w:t xml:space="preserve"> 132-40.</w:t>
      </w:r>
      <w:proofErr w:type="gramEnd"/>
    </w:p>
    <w:p w:rsidR="002E69C1" w:rsidRPr="003058B2" w:rsidRDefault="002E69C1" w:rsidP="003058B2">
      <w:pPr>
        <w:pStyle w:val="TSRCreferences"/>
        <w:ind w:left="720" w:hanging="720"/>
        <w:rPr>
          <w:rFonts w:ascii="Times New Roman" w:hAnsi="Times New Roman" w:cs="Times New Roman"/>
          <w:sz w:val="24"/>
          <w:szCs w:val="24"/>
        </w:rPr>
      </w:pPr>
      <w:proofErr w:type="gramStart"/>
      <w:r w:rsidRPr="003058B2">
        <w:rPr>
          <w:rFonts w:ascii="Times New Roman" w:hAnsi="Times New Roman" w:cs="Times New Roman"/>
          <w:sz w:val="24"/>
          <w:szCs w:val="24"/>
        </w:rPr>
        <w:t xml:space="preserve">Fischer, R. L., </w:t>
      </w:r>
      <w:proofErr w:type="spellStart"/>
      <w:r w:rsidRPr="003058B2">
        <w:rPr>
          <w:rFonts w:ascii="Times New Roman" w:hAnsi="Times New Roman" w:cs="Times New Roman"/>
          <w:sz w:val="24"/>
          <w:szCs w:val="24"/>
        </w:rPr>
        <w:t>Wilsjer</w:t>
      </w:r>
      <w:proofErr w:type="spellEnd"/>
      <w:r w:rsidRPr="003058B2">
        <w:rPr>
          <w:rFonts w:ascii="Times New Roman" w:hAnsi="Times New Roman" w:cs="Times New Roman"/>
          <w:sz w:val="24"/>
          <w:szCs w:val="24"/>
        </w:rPr>
        <w:t>, A. L.</w:t>
      </w:r>
      <w:r>
        <w:rPr>
          <w:rFonts w:ascii="Times New Roman" w:hAnsi="Times New Roman" w:cs="Times New Roman"/>
          <w:sz w:val="24"/>
          <w:szCs w:val="24"/>
        </w:rPr>
        <w:t>,</w:t>
      </w:r>
      <w:r w:rsidRPr="003058B2">
        <w:rPr>
          <w:rFonts w:ascii="Times New Roman" w:hAnsi="Times New Roman" w:cs="Times New Roman"/>
          <w:sz w:val="24"/>
          <w:szCs w:val="24"/>
        </w:rPr>
        <w:t xml:space="preserve"> </w:t>
      </w:r>
      <w:r>
        <w:rPr>
          <w:rFonts w:ascii="Times New Roman" w:hAnsi="Times New Roman" w:cs="Times New Roman"/>
          <w:sz w:val="24"/>
          <w:szCs w:val="24"/>
        </w:rPr>
        <w:t>&amp;</w:t>
      </w:r>
      <w:r w:rsidRPr="003058B2">
        <w:rPr>
          <w:rFonts w:ascii="Times New Roman" w:hAnsi="Times New Roman" w:cs="Times New Roman"/>
          <w:sz w:val="24"/>
          <w:szCs w:val="24"/>
        </w:rPr>
        <w:t xml:space="preserve"> Young, D. R. (2007</w:t>
      </w:r>
      <w:r>
        <w:rPr>
          <w:rFonts w:ascii="Times New Roman" w:hAnsi="Times New Roman" w:cs="Times New Roman"/>
          <w:sz w:val="24"/>
          <w:szCs w:val="24"/>
        </w:rPr>
        <w:t>).</w:t>
      </w:r>
      <w:proofErr w:type="gramEnd"/>
      <w:r w:rsidRPr="003058B2">
        <w:rPr>
          <w:rFonts w:ascii="Times New Roman" w:hAnsi="Times New Roman" w:cs="Times New Roman"/>
          <w:sz w:val="24"/>
          <w:szCs w:val="24"/>
        </w:rPr>
        <w:t xml:space="preserve"> Exploring the Revenue Mix of </w:t>
      </w:r>
      <w:proofErr w:type="spellStart"/>
      <w:r w:rsidRPr="003058B2">
        <w:rPr>
          <w:rFonts w:ascii="Times New Roman" w:hAnsi="Times New Roman" w:cs="Times New Roman"/>
          <w:sz w:val="24"/>
          <w:szCs w:val="24"/>
        </w:rPr>
        <w:t>Nonprofit</w:t>
      </w:r>
      <w:proofErr w:type="spellEnd"/>
      <w:r w:rsidRPr="003058B2">
        <w:rPr>
          <w:rFonts w:ascii="Times New Roman" w:hAnsi="Times New Roman" w:cs="Times New Roman"/>
          <w:sz w:val="24"/>
          <w:szCs w:val="24"/>
        </w:rPr>
        <w:t xml:space="preserve"> Organisations: Does i</w:t>
      </w:r>
      <w:r>
        <w:rPr>
          <w:rFonts w:ascii="Times New Roman" w:hAnsi="Times New Roman" w:cs="Times New Roman"/>
          <w:sz w:val="24"/>
          <w:szCs w:val="24"/>
        </w:rPr>
        <w:t xml:space="preserve">t relate to </w:t>
      </w:r>
      <w:proofErr w:type="spellStart"/>
      <w:r>
        <w:rPr>
          <w:rFonts w:ascii="Times New Roman" w:hAnsi="Times New Roman" w:cs="Times New Roman"/>
          <w:sz w:val="24"/>
          <w:szCs w:val="24"/>
        </w:rPr>
        <w:t>Publicness</w:t>
      </w:r>
      <w:proofErr w:type="spellEnd"/>
      <w:r>
        <w:rPr>
          <w:rFonts w:ascii="Times New Roman" w:hAnsi="Times New Roman" w:cs="Times New Roman"/>
          <w:sz w:val="24"/>
          <w:szCs w:val="24"/>
        </w:rPr>
        <w:t>? Atlanta:</w:t>
      </w:r>
      <w:r w:rsidRPr="003058B2">
        <w:rPr>
          <w:rFonts w:ascii="Times New Roman" w:hAnsi="Times New Roman" w:cs="Times New Roman"/>
          <w:sz w:val="24"/>
          <w:szCs w:val="24"/>
        </w:rPr>
        <w:t xml:space="preserve"> Andrew Young School of Policy Studies Working Paper 07-32.</w:t>
      </w:r>
    </w:p>
    <w:p w:rsidR="002E69C1" w:rsidRPr="003058B2" w:rsidRDefault="002E69C1" w:rsidP="003058B2">
      <w:pPr>
        <w:pStyle w:val="TSRCreferences"/>
        <w:ind w:left="720" w:hanging="720"/>
        <w:rPr>
          <w:rFonts w:ascii="Times New Roman" w:hAnsi="Times New Roman" w:cs="Times New Roman"/>
          <w:sz w:val="24"/>
          <w:szCs w:val="24"/>
        </w:rPr>
      </w:pPr>
      <w:r w:rsidRPr="003058B2">
        <w:rPr>
          <w:rFonts w:ascii="Times New Roman" w:hAnsi="Times New Roman" w:cs="Times New Roman"/>
          <w:sz w:val="24"/>
          <w:szCs w:val="24"/>
        </w:rPr>
        <w:t>Foster, W.</w:t>
      </w:r>
      <w:r>
        <w:rPr>
          <w:rFonts w:ascii="Times New Roman" w:hAnsi="Times New Roman" w:cs="Times New Roman"/>
          <w:sz w:val="24"/>
          <w:szCs w:val="24"/>
        </w:rPr>
        <w:t>,</w:t>
      </w:r>
      <w:r w:rsidRPr="003058B2">
        <w:rPr>
          <w:rFonts w:ascii="Times New Roman" w:hAnsi="Times New Roman" w:cs="Times New Roman"/>
          <w:sz w:val="24"/>
          <w:szCs w:val="24"/>
        </w:rPr>
        <w:t xml:space="preserve"> </w:t>
      </w:r>
      <w:r>
        <w:rPr>
          <w:rFonts w:ascii="Times New Roman" w:hAnsi="Times New Roman" w:cs="Times New Roman"/>
          <w:sz w:val="24"/>
          <w:szCs w:val="24"/>
        </w:rPr>
        <w:t>&amp;</w:t>
      </w:r>
      <w:r w:rsidRPr="003058B2">
        <w:rPr>
          <w:rFonts w:ascii="Times New Roman" w:hAnsi="Times New Roman" w:cs="Times New Roman"/>
          <w:sz w:val="24"/>
          <w:szCs w:val="24"/>
        </w:rPr>
        <w:t xml:space="preserve"> </w:t>
      </w:r>
      <w:proofErr w:type="spellStart"/>
      <w:r w:rsidRPr="003058B2">
        <w:rPr>
          <w:rFonts w:ascii="Times New Roman" w:hAnsi="Times New Roman" w:cs="Times New Roman"/>
          <w:sz w:val="24"/>
          <w:szCs w:val="24"/>
        </w:rPr>
        <w:t>Bradach</w:t>
      </w:r>
      <w:proofErr w:type="spellEnd"/>
      <w:r w:rsidRPr="003058B2">
        <w:rPr>
          <w:rFonts w:ascii="Times New Roman" w:hAnsi="Times New Roman" w:cs="Times New Roman"/>
          <w:sz w:val="24"/>
          <w:szCs w:val="24"/>
        </w:rPr>
        <w:t>, J. (2005</w:t>
      </w:r>
      <w:r>
        <w:rPr>
          <w:rFonts w:ascii="Times New Roman" w:hAnsi="Times New Roman" w:cs="Times New Roman"/>
          <w:sz w:val="24"/>
          <w:szCs w:val="24"/>
        </w:rPr>
        <w:t>).</w:t>
      </w:r>
      <w:r w:rsidRPr="003058B2">
        <w:rPr>
          <w:rFonts w:ascii="Times New Roman" w:hAnsi="Times New Roman" w:cs="Times New Roman"/>
          <w:sz w:val="24"/>
          <w:szCs w:val="24"/>
        </w:rPr>
        <w:t xml:space="preserve"> Should Nonprofits Seek Profits? Harv</w:t>
      </w:r>
      <w:r>
        <w:rPr>
          <w:rFonts w:ascii="Times New Roman" w:hAnsi="Times New Roman" w:cs="Times New Roman"/>
          <w:sz w:val="24"/>
          <w:szCs w:val="24"/>
        </w:rPr>
        <w:t>ard Business Review, Feb. 2005,</w:t>
      </w:r>
      <w:r w:rsidRPr="003058B2">
        <w:rPr>
          <w:rFonts w:ascii="Times New Roman" w:hAnsi="Times New Roman" w:cs="Times New Roman"/>
          <w:sz w:val="24"/>
          <w:szCs w:val="24"/>
        </w:rPr>
        <w:t xml:space="preserve"> 92-100. </w:t>
      </w:r>
    </w:p>
    <w:p w:rsidR="002E69C1" w:rsidRPr="003058B2" w:rsidRDefault="002E69C1" w:rsidP="003058B2">
      <w:pPr>
        <w:pStyle w:val="TSRCreferences"/>
        <w:ind w:left="720" w:hanging="720"/>
        <w:rPr>
          <w:rFonts w:ascii="Times New Roman" w:hAnsi="Times New Roman" w:cs="Times New Roman"/>
          <w:sz w:val="24"/>
          <w:szCs w:val="24"/>
        </w:rPr>
      </w:pPr>
      <w:proofErr w:type="spellStart"/>
      <w:r w:rsidRPr="003058B2">
        <w:rPr>
          <w:rFonts w:ascii="Times New Roman" w:hAnsi="Times New Roman" w:cs="Times New Roman"/>
          <w:sz w:val="24"/>
          <w:szCs w:val="24"/>
        </w:rPr>
        <w:t>Froelich</w:t>
      </w:r>
      <w:proofErr w:type="spellEnd"/>
      <w:r w:rsidRPr="003058B2">
        <w:rPr>
          <w:rFonts w:ascii="Times New Roman" w:hAnsi="Times New Roman" w:cs="Times New Roman"/>
          <w:sz w:val="24"/>
          <w:szCs w:val="24"/>
        </w:rPr>
        <w:t>, K. (1999</w:t>
      </w:r>
      <w:r>
        <w:rPr>
          <w:rFonts w:ascii="Times New Roman" w:hAnsi="Times New Roman" w:cs="Times New Roman"/>
          <w:sz w:val="24"/>
          <w:szCs w:val="24"/>
        </w:rPr>
        <w:t>).</w:t>
      </w:r>
      <w:r w:rsidRPr="003058B2">
        <w:rPr>
          <w:rFonts w:ascii="Times New Roman" w:hAnsi="Times New Roman" w:cs="Times New Roman"/>
          <w:sz w:val="24"/>
          <w:szCs w:val="24"/>
        </w:rPr>
        <w:t xml:space="preserve"> Diversification of Revenue Strategies: Evolving Resource Depend</w:t>
      </w:r>
      <w:r>
        <w:rPr>
          <w:rFonts w:ascii="Times New Roman" w:hAnsi="Times New Roman" w:cs="Times New Roman"/>
          <w:sz w:val="24"/>
          <w:szCs w:val="24"/>
        </w:rPr>
        <w:t xml:space="preserve">ence in </w:t>
      </w:r>
      <w:proofErr w:type="spellStart"/>
      <w:r>
        <w:rPr>
          <w:rFonts w:ascii="Times New Roman" w:hAnsi="Times New Roman" w:cs="Times New Roman"/>
          <w:sz w:val="24"/>
          <w:szCs w:val="24"/>
        </w:rPr>
        <w:t>Nonprofit</w:t>
      </w:r>
      <w:proofErr w:type="spellEnd"/>
      <w:r>
        <w:rPr>
          <w:rFonts w:ascii="Times New Roman" w:hAnsi="Times New Roman" w:cs="Times New Roman"/>
          <w:sz w:val="24"/>
          <w:szCs w:val="24"/>
        </w:rPr>
        <w:t xml:space="preserve"> Organisations.</w:t>
      </w:r>
      <w:r w:rsidRPr="003058B2">
        <w:rPr>
          <w:rFonts w:ascii="Times New Roman" w:hAnsi="Times New Roman" w:cs="Times New Roman"/>
          <w:sz w:val="24"/>
          <w:szCs w:val="24"/>
        </w:rPr>
        <w:t xml:space="preserve"> </w:t>
      </w:r>
      <w:proofErr w:type="spellStart"/>
      <w:proofErr w:type="gramStart"/>
      <w:r w:rsidRPr="003058B2">
        <w:rPr>
          <w:rFonts w:ascii="Times New Roman" w:hAnsi="Times New Roman" w:cs="Times New Roman"/>
          <w:i/>
          <w:sz w:val="24"/>
          <w:szCs w:val="24"/>
        </w:rPr>
        <w:t>Nonprofit</w:t>
      </w:r>
      <w:proofErr w:type="spellEnd"/>
      <w:r w:rsidRPr="003058B2">
        <w:rPr>
          <w:rFonts w:ascii="Times New Roman" w:hAnsi="Times New Roman" w:cs="Times New Roman"/>
          <w:i/>
          <w:sz w:val="24"/>
          <w:szCs w:val="24"/>
        </w:rPr>
        <w:t xml:space="preserve"> and Voluntary Sector Quarterly</w:t>
      </w:r>
      <w:r w:rsidRPr="003058B2">
        <w:rPr>
          <w:rFonts w:ascii="Times New Roman" w:hAnsi="Times New Roman" w:cs="Times New Roman"/>
          <w:sz w:val="24"/>
          <w:szCs w:val="24"/>
        </w:rPr>
        <w:t xml:space="preserve">, </w:t>
      </w:r>
      <w:r>
        <w:rPr>
          <w:rFonts w:ascii="Times New Roman" w:hAnsi="Times New Roman" w:cs="Times New Roman"/>
          <w:sz w:val="24"/>
          <w:szCs w:val="24"/>
        </w:rPr>
        <w:t>28(3),</w:t>
      </w:r>
      <w:r w:rsidRPr="003058B2">
        <w:rPr>
          <w:rFonts w:ascii="Times New Roman" w:hAnsi="Times New Roman" w:cs="Times New Roman"/>
          <w:sz w:val="24"/>
          <w:szCs w:val="24"/>
        </w:rPr>
        <w:t xml:space="preserve"> 246-68.</w:t>
      </w:r>
      <w:proofErr w:type="gramEnd"/>
    </w:p>
    <w:p w:rsidR="002E69C1" w:rsidRPr="003058B2" w:rsidRDefault="002E69C1" w:rsidP="003058B2">
      <w:pPr>
        <w:pStyle w:val="TSRCreferences"/>
        <w:ind w:left="720" w:hanging="720"/>
        <w:rPr>
          <w:rFonts w:ascii="Times New Roman" w:hAnsi="Times New Roman" w:cs="Times New Roman"/>
          <w:sz w:val="24"/>
          <w:szCs w:val="24"/>
        </w:rPr>
      </w:pPr>
      <w:proofErr w:type="spellStart"/>
      <w:r w:rsidRPr="003058B2">
        <w:rPr>
          <w:rFonts w:ascii="Times New Roman" w:hAnsi="Times New Roman" w:cs="Times New Roman"/>
          <w:sz w:val="24"/>
          <w:szCs w:val="24"/>
        </w:rPr>
        <w:t>Guo</w:t>
      </w:r>
      <w:proofErr w:type="spellEnd"/>
      <w:r w:rsidRPr="003058B2">
        <w:rPr>
          <w:rFonts w:ascii="Times New Roman" w:hAnsi="Times New Roman" w:cs="Times New Roman"/>
          <w:sz w:val="24"/>
          <w:szCs w:val="24"/>
        </w:rPr>
        <w:t>, B. (2006</w:t>
      </w:r>
      <w:r>
        <w:rPr>
          <w:rFonts w:ascii="Times New Roman" w:hAnsi="Times New Roman" w:cs="Times New Roman"/>
          <w:sz w:val="24"/>
          <w:szCs w:val="24"/>
        </w:rPr>
        <w:t>).</w:t>
      </w:r>
      <w:r w:rsidRPr="003058B2">
        <w:rPr>
          <w:rFonts w:ascii="Times New Roman" w:hAnsi="Times New Roman" w:cs="Times New Roman"/>
          <w:sz w:val="24"/>
          <w:szCs w:val="24"/>
        </w:rPr>
        <w:t xml:space="preserve"> Charity for Profit? Exploring Factors Associated with the Commercialisat</w:t>
      </w:r>
      <w:r>
        <w:rPr>
          <w:rFonts w:ascii="Times New Roman" w:hAnsi="Times New Roman" w:cs="Times New Roman"/>
          <w:sz w:val="24"/>
          <w:szCs w:val="24"/>
        </w:rPr>
        <w:t>ion of Human Service Nonprofits.</w:t>
      </w:r>
      <w:r w:rsidRPr="003058B2">
        <w:rPr>
          <w:rFonts w:ascii="Times New Roman" w:hAnsi="Times New Roman" w:cs="Times New Roman"/>
          <w:sz w:val="24"/>
          <w:szCs w:val="24"/>
        </w:rPr>
        <w:t xml:space="preserve"> </w:t>
      </w:r>
      <w:proofErr w:type="spellStart"/>
      <w:proofErr w:type="gramStart"/>
      <w:r w:rsidRPr="003058B2">
        <w:rPr>
          <w:rFonts w:ascii="Times New Roman" w:hAnsi="Times New Roman" w:cs="Times New Roman"/>
          <w:i/>
          <w:sz w:val="24"/>
          <w:szCs w:val="24"/>
        </w:rPr>
        <w:t>Nonprofit</w:t>
      </w:r>
      <w:proofErr w:type="spellEnd"/>
      <w:r w:rsidRPr="003058B2">
        <w:rPr>
          <w:rFonts w:ascii="Times New Roman" w:hAnsi="Times New Roman" w:cs="Times New Roman"/>
          <w:i/>
          <w:sz w:val="24"/>
          <w:szCs w:val="24"/>
        </w:rPr>
        <w:t xml:space="preserve"> and Voluntary Sector Quarterly</w:t>
      </w:r>
      <w:r w:rsidRPr="003058B2">
        <w:rPr>
          <w:rFonts w:ascii="Times New Roman" w:hAnsi="Times New Roman" w:cs="Times New Roman"/>
          <w:sz w:val="24"/>
          <w:szCs w:val="24"/>
        </w:rPr>
        <w:t xml:space="preserve">, </w:t>
      </w:r>
      <w:r>
        <w:rPr>
          <w:rFonts w:ascii="Times New Roman" w:hAnsi="Times New Roman" w:cs="Times New Roman"/>
          <w:sz w:val="24"/>
          <w:szCs w:val="24"/>
        </w:rPr>
        <w:t>35(1),</w:t>
      </w:r>
      <w:r w:rsidRPr="003058B2">
        <w:rPr>
          <w:rFonts w:ascii="Times New Roman" w:hAnsi="Times New Roman" w:cs="Times New Roman"/>
          <w:sz w:val="24"/>
          <w:szCs w:val="24"/>
        </w:rPr>
        <w:t xml:space="preserve"> 123-38.</w:t>
      </w:r>
      <w:proofErr w:type="gramEnd"/>
    </w:p>
    <w:p w:rsidR="002E69C1" w:rsidRPr="003058B2" w:rsidRDefault="002E69C1" w:rsidP="003058B2">
      <w:pPr>
        <w:pStyle w:val="TSRCreferences"/>
        <w:ind w:left="720" w:hanging="720"/>
        <w:rPr>
          <w:rFonts w:ascii="Times New Roman" w:hAnsi="Times New Roman" w:cs="Times New Roman"/>
          <w:sz w:val="24"/>
          <w:szCs w:val="24"/>
        </w:rPr>
      </w:pPr>
      <w:proofErr w:type="gramStart"/>
      <w:r w:rsidRPr="003058B2">
        <w:rPr>
          <w:rFonts w:ascii="Times New Roman" w:hAnsi="Times New Roman" w:cs="Times New Roman"/>
          <w:sz w:val="24"/>
          <w:szCs w:val="24"/>
        </w:rPr>
        <w:t>Halfpenny, P.</w:t>
      </w:r>
      <w:r>
        <w:rPr>
          <w:rFonts w:ascii="Times New Roman" w:hAnsi="Times New Roman" w:cs="Times New Roman"/>
          <w:sz w:val="24"/>
          <w:szCs w:val="24"/>
        </w:rPr>
        <w:t>,</w:t>
      </w:r>
      <w:r w:rsidRPr="003058B2">
        <w:rPr>
          <w:rFonts w:ascii="Times New Roman" w:hAnsi="Times New Roman" w:cs="Times New Roman"/>
          <w:sz w:val="24"/>
          <w:szCs w:val="24"/>
        </w:rPr>
        <w:t xml:space="preserve"> </w:t>
      </w:r>
      <w:r>
        <w:rPr>
          <w:rFonts w:ascii="Times New Roman" w:hAnsi="Times New Roman" w:cs="Times New Roman"/>
          <w:sz w:val="24"/>
          <w:szCs w:val="24"/>
        </w:rPr>
        <w:t>&amp;</w:t>
      </w:r>
      <w:r w:rsidRPr="003058B2">
        <w:rPr>
          <w:rFonts w:ascii="Times New Roman" w:hAnsi="Times New Roman" w:cs="Times New Roman"/>
          <w:sz w:val="24"/>
          <w:szCs w:val="24"/>
        </w:rPr>
        <w:t xml:space="preserve"> Reid, M.</w:t>
      </w:r>
      <w:r>
        <w:rPr>
          <w:rFonts w:ascii="Times New Roman" w:hAnsi="Times New Roman" w:cs="Times New Roman"/>
          <w:sz w:val="24"/>
          <w:szCs w:val="24"/>
        </w:rPr>
        <w:t xml:space="preserve"> </w:t>
      </w:r>
      <w:r w:rsidRPr="003058B2">
        <w:rPr>
          <w:rFonts w:ascii="Times New Roman" w:hAnsi="Times New Roman" w:cs="Times New Roman"/>
          <w:sz w:val="24"/>
          <w:szCs w:val="24"/>
        </w:rPr>
        <w:t>(2002</w:t>
      </w:r>
      <w:r>
        <w:rPr>
          <w:rFonts w:ascii="Times New Roman" w:hAnsi="Times New Roman" w:cs="Times New Roman"/>
          <w:sz w:val="24"/>
          <w:szCs w:val="24"/>
        </w:rPr>
        <w:t>).</w:t>
      </w:r>
      <w:proofErr w:type="gramEnd"/>
      <w:r w:rsidRPr="003058B2">
        <w:rPr>
          <w:rFonts w:ascii="Times New Roman" w:hAnsi="Times New Roman" w:cs="Times New Roman"/>
          <w:sz w:val="24"/>
          <w:szCs w:val="24"/>
        </w:rPr>
        <w:t xml:space="preserve"> Research on th</w:t>
      </w:r>
      <w:r>
        <w:rPr>
          <w:rFonts w:ascii="Times New Roman" w:hAnsi="Times New Roman" w:cs="Times New Roman"/>
          <w:sz w:val="24"/>
          <w:szCs w:val="24"/>
        </w:rPr>
        <w:t>e voluntary sector: An overview.</w:t>
      </w:r>
      <w:r w:rsidRPr="003058B2">
        <w:rPr>
          <w:rFonts w:ascii="Times New Roman" w:hAnsi="Times New Roman" w:cs="Times New Roman"/>
          <w:sz w:val="24"/>
          <w:szCs w:val="24"/>
        </w:rPr>
        <w:t xml:space="preserve"> </w:t>
      </w:r>
      <w:proofErr w:type="gramStart"/>
      <w:r w:rsidRPr="003058B2">
        <w:rPr>
          <w:rFonts w:ascii="Times New Roman" w:hAnsi="Times New Roman" w:cs="Times New Roman"/>
          <w:i/>
          <w:sz w:val="24"/>
          <w:szCs w:val="24"/>
        </w:rPr>
        <w:t>Policy and Politics</w:t>
      </w:r>
      <w:r w:rsidRPr="003058B2">
        <w:rPr>
          <w:rFonts w:ascii="Times New Roman" w:hAnsi="Times New Roman" w:cs="Times New Roman"/>
          <w:sz w:val="24"/>
          <w:szCs w:val="24"/>
        </w:rPr>
        <w:t xml:space="preserve">, </w:t>
      </w:r>
      <w:r>
        <w:rPr>
          <w:rFonts w:ascii="Times New Roman" w:hAnsi="Times New Roman" w:cs="Times New Roman"/>
          <w:sz w:val="24"/>
          <w:szCs w:val="24"/>
        </w:rPr>
        <w:t>30(4),</w:t>
      </w:r>
      <w:r w:rsidRPr="003058B2">
        <w:rPr>
          <w:rFonts w:ascii="Times New Roman" w:hAnsi="Times New Roman" w:cs="Times New Roman"/>
          <w:sz w:val="24"/>
          <w:szCs w:val="24"/>
        </w:rPr>
        <w:t xml:space="preserve"> 533-50.</w:t>
      </w:r>
      <w:proofErr w:type="gramEnd"/>
    </w:p>
    <w:p w:rsidR="002E69C1" w:rsidRPr="003058B2" w:rsidRDefault="002E69C1" w:rsidP="003058B2">
      <w:pPr>
        <w:pStyle w:val="TSRCreferences"/>
        <w:ind w:left="720" w:hanging="720"/>
        <w:rPr>
          <w:rFonts w:ascii="Times New Roman" w:hAnsi="Times New Roman" w:cs="Times New Roman"/>
          <w:sz w:val="24"/>
          <w:szCs w:val="24"/>
        </w:rPr>
      </w:pPr>
      <w:r w:rsidRPr="003058B2">
        <w:rPr>
          <w:rFonts w:ascii="Times New Roman" w:hAnsi="Times New Roman" w:cs="Times New Roman"/>
          <w:sz w:val="24"/>
          <w:szCs w:val="24"/>
        </w:rPr>
        <w:t>Hansen, L. (1982</w:t>
      </w:r>
      <w:r>
        <w:rPr>
          <w:rFonts w:ascii="Times New Roman" w:hAnsi="Times New Roman" w:cs="Times New Roman"/>
          <w:sz w:val="24"/>
          <w:szCs w:val="24"/>
        </w:rPr>
        <w:t>).</w:t>
      </w:r>
      <w:r w:rsidRPr="003058B2">
        <w:rPr>
          <w:rFonts w:ascii="Times New Roman" w:hAnsi="Times New Roman" w:cs="Times New Roman"/>
          <w:sz w:val="24"/>
          <w:szCs w:val="24"/>
        </w:rPr>
        <w:t xml:space="preserve"> </w:t>
      </w:r>
      <w:proofErr w:type="gramStart"/>
      <w:r w:rsidRPr="003058B2">
        <w:rPr>
          <w:rFonts w:ascii="Times New Roman" w:hAnsi="Times New Roman" w:cs="Times New Roman"/>
          <w:sz w:val="24"/>
          <w:szCs w:val="24"/>
        </w:rPr>
        <w:t>Large Sample Properties of Generalis</w:t>
      </w:r>
      <w:r>
        <w:rPr>
          <w:rFonts w:ascii="Times New Roman" w:hAnsi="Times New Roman" w:cs="Times New Roman"/>
          <w:sz w:val="24"/>
          <w:szCs w:val="24"/>
        </w:rPr>
        <w:t>ed Method of Moments Estimators.</w:t>
      </w:r>
      <w:proofErr w:type="gramEnd"/>
      <w:r>
        <w:rPr>
          <w:rFonts w:ascii="Times New Roman" w:hAnsi="Times New Roman" w:cs="Times New Roman"/>
          <w:sz w:val="24"/>
          <w:szCs w:val="24"/>
        </w:rPr>
        <w:t xml:space="preserve"> </w:t>
      </w:r>
      <w:proofErr w:type="spellStart"/>
      <w:r w:rsidRPr="003058B2">
        <w:rPr>
          <w:rFonts w:ascii="Times New Roman" w:hAnsi="Times New Roman" w:cs="Times New Roman"/>
          <w:i/>
          <w:iCs/>
          <w:sz w:val="24"/>
          <w:szCs w:val="24"/>
        </w:rPr>
        <w:t>Econometrica</w:t>
      </w:r>
      <w:proofErr w:type="spellEnd"/>
      <w:r w:rsidRPr="003058B2">
        <w:rPr>
          <w:rFonts w:ascii="Times New Roman" w:hAnsi="Times New Roman" w:cs="Times New Roman"/>
          <w:i/>
          <w:iCs/>
          <w:sz w:val="24"/>
          <w:szCs w:val="24"/>
        </w:rPr>
        <w:t xml:space="preserve">, </w:t>
      </w:r>
      <w:r w:rsidRPr="000B1EF6">
        <w:rPr>
          <w:rFonts w:ascii="Times New Roman" w:hAnsi="Times New Roman" w:cs="Times New Roman"/>
          <w:iCs/>
          <w:sz w:val="24"/>
          <w:szCs w:val="24"/>
        </w:rPr>
        <w:t>50,</w:t>
      </w:r>
      <w:r w:rsidRPr="003058B2">
        <w:rPr>
          <w:rFonts w:ascii="Times New Roman" w:hAnsi="Times New Roman" w:cs="Times New Roman"/>
          <w:sz w:val="24"/>
          <w:szCs w:val="24"/>
        </w:rPr>
        <w:t xml:space="preserve"> 1029-54.</w:t>
      </w:r>
    </w:p>
    <w:p w:rsidR="002E69C1" w:rsidRPr="003058B2" w:rsidRDefault="002E69C1" w:rsidP="003058B2">
      <w:pPr>
        <w:pStyle w:val="TSRCreferences"/>
        <w:ind w:left="720" w:hanging="720"/>
        <w:rPr>
          <w:rFonts w:ascii="Times New Roman" w:hAnsi="Times New Roman" w:cs="Times New Roman"/>
          <w:sz w:val="24"/>
          <w:szCs w:val="24"/>
        </w:rPr>
      </w:pPr>
      <w:proofErr w:type="spellStart"/>
      <w:r w:rsidRPr="003058B2">
        <w:rPr>
          <w:rFonts w:ascii="Times New Roman" w:hAnsi="Times New Roman" w:cs="Times New Roman"/>
          <w:sz w:val="24"/>
          <w:szCs w:val="24"/>
        </w:rPr>
        <w:t>Hansmann</w:t>
      </w:r>
      <w:proofErr w:type="spellEnd"/>
      <w:r w:rsidRPr="003058B2">
        <w:rPr>
          <w:rFonts w:ascii="Times New Roman" w:hAnsi="Times New Roman" w:cs="Times New Roman"/>
          <w:sz w:val="24"/>
          <w:szCs w:val="24"/>
        </w:rPr>
        <w:t>, H. (1987</w:t>
      </w:r>
      <w:r>
        <w:rPr>
          <w:rFonts w:ascii="Times New Roman" w:hAnsi="Times New Roman" w:cs="Times New Roman"/>
          <w:sz w:val="24"/>
          <w:szCs w:val="24"/>
        </w:rPr>
        <w:t>).</w:t>
      </w:r>
      <w:r w:rsidRPr="003058B2">
        <w:rPr>
          <w:rFonts w:ascii="Times New Roman" w:hAnsi="Times New Roman" w:cs="Times New Roman"/>
          <w:sz w:val="24"/>
          <w:szCs w:val="24"/>
        </w:rPr>
        <w:t xml:space="preserve"> </w:t>
      </w:r>
      <w:proofErr w:type="gramStart"/>
      <w:r w:rsidRPr="003058B2">
        <w:rPr>
          <w:rFonts w:ascii="Times New Roman" w:hAnsi="Times New Roman" w:cs="Times New Roman"/>
          <w:sz w:val="24"/>
          <w:szCs w:val="24"/>
        </w:rPr>
        <w:t>Economic the</w:t>
      </w:r>
      <w:r>
        <w:rPr>
          <w:rFonts w:ascii="Times New Roman" w:hAnsi="Times New Roman" w:cs="Times New Roman"/>
          <w:sz w:val="24"/>
          <w:szCs w:val="24"/>
        </w:rPr>
        <w:t xml:space="preserve">ories of </w:t>
      </w:r>
      <w:proofErr w:type="spellStart"/>
      <w:r>
        <w:rPr>
          <w:rFonts w:ascii="Times New Roman" w:hAnsi="Times New Roman" w:cs="Times New Roman"/>
          <w:sz w:val="24"/>
          <w:szCs w:val="24"/>
        </w:rPr>
        <w:t>nonprofit</w:t>
      </w:r>
      <w:proofErr w:type="spellEnd"/>
      <w:r>
        <w:rPr>
          <w:rFonts w:ascii="Times New Roman" w:hAnsi="Times New Roman" w:cs="Times New Roman"/>
          <w:sz w:val="24"/>
          <w:szCs w:val="24"/>
        </w:rPr>
        <w:t xml:space="preserve"> organisation.</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I</w:t>
      </w:r>
      <w:r w:rsidRPr="003058B2">
        <w:rPr>
          <w:rFonts w:ascii="Times New Roman" w:hAnsi="Times New Roman" w:cs="Times New Roman"/>
          <w:sz w:val="24"/>
          <w:szCs w:val="24"/>
        </w:rPr>
        <w:t>n</w:t>
      </w:r>
      <w:r>
        <w:rPr>
          <w:rFonts w:ascii="Times New Roman" w:hAnsi="Times New Roman" w:cs="Times New Roman"/>
          <w:sz w:val="24"/>
          <w:szCs w:val="24"/>
        </w:rPr>
        <w:t xml:space="preserve"> W.</w:t>
      </w:r>
      <w:r w:rsidRPr="003058B2">
        <w:rPr>
          <w:rFonts w:ascii="Times New Roman" w:hAnsi="Times New Roman" w:cs="Times New Roman"/>
          <w:sz w:val="24"/>
          <w:szCs w:val="24"/>
        </w:rPr>
        <w:t xml:space="preserve"> Powell.</w:t>
      </w:r>
      <w:proofErr w:type="gramEnd"/>
      <w:r w:rsidRPr="003058B2">
        <w:rPr>
          <w:rFonts w:ascii="Times New Roman" w:hAnsi="Times New Roman" w:cs="Times New Roman"/>
          <w:sz w:val="24"/>
          <w:szCs w:val="24"/>
        </w:rPr>
        <w:t xml:space="preserve"> (ed.), </w:t>
      </w:r>
      <w:proofErr w:type="gramStart"/>
      <w:r w:rsidRPr="003058B2">
        <w:rPr>
          <w:rFonts w:ascii="Times New Roman" w:hAnsi="Times New Roman" w:cs="Times New Roman"/>
          <w:i/>
          <w:sz w:val="24"/>
          <w:szCs w:val="24"/>
        </w:rPr>
        <w:t>The</w:t>
      </w:r>
      <w:proofErr w:type="gramEnd"/>
      <w:r w:rsidRPr="003058B2">
        <w:rPr>
          <w:rFonts w:ascii="Times New Roman" w:hAnsi="Times New Roman" w:cs="Times New Roman"/>
          <w:i/>
          <w:sz w:val="24"/>
          <w:szCs w:val="24"/>
        </w:rPr>
        <w:t xml:space="preserve"> </w:t>
      </w:r>
      <w:proofErr w:type="spellStart"/>
      <w:r w:rsidRPr="003058B2">
        <w:rPr>
          <w:rFonts w:ascii="Times New Roman" w:hAnsi="Times New Roman" w:cs="Times New Roman"/>
          <w:i/>
          <w:sz w:val="24"/>
          <w:szCs w:val="24"/>
        </w:rPr>
        <w:t>Nonpro</w:t>
      </w:r>
      <w:r>
        <w:rPr>
          <w:rFonts w:ascii="Times New Roman" w:hAnsi="Times New Roman" w:cs="Times New Roman"/>
          <w:i/>
          <w:sz w:val="24"/>
          <w:szCs w:val="24"/>
        </w:rPr>
        <w:t>fit</w:t>
      </w:r>
      <w:proofErr w:type="spellEnd"/>
      <w:r>
        <w:rPr>
          <w:rFonts w:ascii="Times New Roman" w:hAnsi="Times New Roman" w:cs="Times New Roman"/>
          <w:i/>
          <w:sz w:val="24"/>
          <w:szCs w:val="24"/>
        </w:rPr>
        <w:t xml:space="preserve"> Sector: A Research Handbook. </w:t>
      </w:r>
      <w:r w:rsidRPr="00895F05">
        <w:rPr>
          <w:rFonts w:ascii="Times New Roman" w:hAnsi="Times New Roman" w:cs="Times New Roman"/>
          <w:sz w:val="24"/>
          <w:szCs w:val="24"/>
        </w:rPr>
        <w:t>Yale:</w:t>
      </w:r>
      <w:r w:rsidRPr="003058B2">
        <w:rPr>
          <w:rFonts w:ascii="Times New Roman" w:hAnsi="Times New Roman" w:cs="Times New Roman"/>
          <w:i/>
          <w:sz w:val="24"/>
          <w:szCs w:val="24"/>
        </w:rPr>
        <w:t xml:space="preserve"> </w:t>
      </w:r>
      <w:r w:rsidRPr="003058B2">
        <w:rPr>
          <w:rFonts w:ascii="Times New Roman" w:hAnsi="Times New Roman" w:cs="Times New Roman"/>
          <w:sz w:val="24"/>
          <w:szCs w:val="24"/>
        </w:rPr>
        <w:t>Yale University Press.</w:t>
      </w:r>
    </w:p>
    <w:p w:rsidR="002E69C1" w:rsidRPr="003058B2" w:rsidRDefault="002E69C1" w:rsidP="003058B2">
      <w:pPr>
        <w:pStyle w:val="TSRCreferences"/>
        <w:ind w:left="720" w:hanging="720"/>
        <w:rPr>
          <w:rFonts w:ascii="Times New Roman" w:hAnsi="Times New Roman" w:cs="Times New Roman"/>
          <w:sz w:val="24"/>
          <w:szCs w:val="24"/>
        </w:rPr>
      </w:pPr>
      <w:proofErr w:type="spellStart"/>
      <w:proofErr w:type="gramStart"/>
      <w:r w:rsidRPr="003058B2">
        <w:rPr>
          <w:rFonts w:ascii="Times New Roman" w:hAnsi="Times New Roman" w:cs="Times New Roman"/>
          <w:sz w:val="24"/>
          <w:szCs w:val="24"/>
        </w:rPr>
        <w:t>Haugh</w:t>
      </w:r>
      <w:proofErr w:type="spellEnd"/>
      <w:r w:rsidRPr="003058B2">
        <w:rPr>
          <w:rFonts w:ascii="Times New Roman" w:hAnsi="Times New Roman" w:cs="Times New Roman"/>
          <w:sz w:val="24"/>
          <w:szCs w:val="24"/>
        </w:rPr>
        <w:t>, H.</w:t>
      </w:r>
      <w:r>
        <w:rPr>
          <w:rFonts w:ascii="Times New Roman" w:hAnsi="Times New Roman" w:cs="Times New Roman"/>
          <w:sz w:val="24"/>
          <w:szCs w:val="24"/>
        </w:rPr>
        <w:t>,</w:t>
      </w:r>
      <w:r w:rsidRPr="003058B2">
        <w:rPr>
          <w:rFonts w:ascii="Times New Roman" w:hAnsi="Times New Roman" w:cs="Times New Roman"/>
          <w:sz w:val="24"/>
          <w:szCs w:val="24"/>
        </w:rPr>
        <w:t xml:space="preserve"> </w:t>
      </w:r>
      <w:r>
        <w:rPr>
          <w:rFonts w:ascii="Times New Roman" w:hAnsi="Times New Roman" w:cs="Times New Roman"/>
          <w:sz w:val="24"/>
          <w:szCs w:val="24"/>
        </w:rPr>
        <w:t>&amp;</w:t>
      </w:r>
      <w:r w:rsidRPr="003058B2">
        <w:rPr>
          <w:rFonts w:ascii="Times New Roman" w:hAnsi="Times New Roman" w:cs="Times New Roman"/>
          <w:sz w:val="24"/>
          <w:szCs w:val="24"/>
        </w:rPr>
        <w:t xml:space="preserve"> </w:t>
      </w:r>
      <w:proofErr w:type="spellStart"/>
      <w:r w:rsidRPr="003058B2">
        <w:rPr>
          <w:rFonts w:ascii="Times New Roman" w:hAnsi="Times New Roman" w:cs="Times New Roman"/>
          <w:sz w:val="24"/>
          <w:szCs w:val="24"/>
        </w:rPr>
        <w:t>Kitson</w:t>
      </w:r>
      <w:proofErr w:type="spellEnd"/>
      <w:r w:rsidRPr="003058B2">
        <w:rPr>
          <w:rFonts w:ascii="Times New Roman" w:hAnsi="Times New Roman" w:cs="Times New Roman"/>
          <w:sz w:val="24"/>
          <w:szCs w:val="24"/>
        </w:rPr>
        <w:t>, M. (2007).</w:t>
      </w:r>
      <w:proofErr w:type="gramEnd"/>
      <w:r w:rsidRPr="003058B2">
        <w:rPr>
          <w:rFonts w:ascii="Times New Roman" w:hAnsi="Times New Roman" w:cs="Times New Roman"/>
          <w:sz w:val="24"/>
          <w:szCs w:val="24"/>
        </w:rPr>
        <w:t xml:space="preserve"> The Third Way and the third sector: New Labour's economi</w:t>
      </w:r>
      <w:r>
        <w:rPr>
          <w:rFonts w:ascii="Times New Roman" w:hAnsi="Times New Roman" w:cs="Times New Roman"/>
          <w:sz w:val="24"/>
          <w:szCs w:val="24"/>
        </w:rPr>
        <w:t>c policy and the social economy.</w:t>
      </w:r>
      <w:r w:rsidRPr="003058B2">
        <w:rPr>
          <w:rFonts w:ascii="Times New Roman" w:hAnsi="Times New Roman" w:cs="Times New Roman"/>
          <w:sz w:val="24"/>
          <w:szCs w:val="24"/>
        </w:rPr>
        <w:t xml:space="preserve"> </w:t>
      </w:r>
      <w:proofErr w:type="gramStart"/>
      <w:r w:rsidRPr="003058B2">
        <w:rPr>
          <w:rFonts w:ascii="Times New Roman" w:hAnsi="Times New Roman" w:cs="Times New Roman"/>
          <w:i/>
          <w:iCs/>
          <w:sz w:val="24"/>
          <w:szCs w:val="24"/>
        </w:rPr>
        <w:t>Cambridge Journal of Economics</w:t>
      </w:r>
      <w:r w:rsidRPr="003058B2">
        <w:rPr>
          <w:rFonts w:ascii="Times New Roman" w:hAnsi="Times New Roman" w:cs="Times New Roman"/>
          <w:sz w:val="24"/>
          <w:szCs w:val="24"/>
        </w:rPr>
        <w:t xml:space="preserve">, </w:t>
      </w:r>
      <w:r>
        <w:rPr>
          <w:rFonts w:ascii="Times New Roman" w:hAnsi="Times New Roman" w:cs="Times New Roman"/>
          <w:sz w:val="24"/>
          <w:szCs w:val="24"/>
        </w:rPr>
        <w:t>31(6),</w:t>
      </w:r>
      <w:r w:rsidRPr="003058B2">
        <w:rPr>
          <w:rFonts w:ascii="Times New Roman" w:hAnsi="Times New Roman" w:cs="Times New Roman"/>
          <w:sz w:val="24"/>
          <w:szCs w:val="24"/>
        </w:rPr>
        <w:t xml:space="preserve"> 973-94.</w:t>
      </w:r>
      <w:proofErr w:type="gramEnd"/>
    </w:p>
    <w:p w:rsidR="002E69C1" w:rsidRPr="003058B2" w:rsidRDefault="002E69C1" w:rsidP="003058B2">
      <w:pPr>
        <w:pStyle w:val="TSRCreferences"/>
        <w:ind w:left="720" w:hanging="720"/>
        <w:rPr>
          <w:rFonts w:ascii="Times New Roman" w:eastAsia="Calibri" w:hAnsi="Times New Roman" w:cs="Times New Roman"/>
          <w:sz w:val="24"/>
          <w:szCs w:val="24"/>
        </w:rPr>
      </w:pPr>
      <w:proofErr w:type="gramStart"/>
      <w:r w:rsidRPr="003058B2">
        <w:rPr>
          <w:rFonts w:ascii="Times New Roman" w:eastAsia="Calibri" w:hAnsi="Times New Roman" w:cs="Times New Roman"/>
          <w:sz w:val="24"/>
          <w:szCs w:val="24"/>
        </w:rPr>
        <w:t>Kerlin, J.</w:t>
      </w:r>
      <w:r>
        <w:rPr>
          <w:rFonts w:ascii="Times New Roman" w:eastAsia="Calibri" w:hAnsi="Times New Roman" w:cs="Times New Roman"/>
          <w:sz w:val="24"/>
          <w:szCs w:val="24"/>
        </w:rPr>
        <w:t>,</w:t>
      </w:r>
      <w:r w:rsidRPr="003058B2">
        <w:rPr>
          <w:rFonts w:ascii="Times New Roman" w:eastAsia="Calibri" w:hAnsi="Times New Roman" w:cs="Times New Roman"/>
          <w:sz w:val="24"/>
          <w:szCs w:val="24"/>
        </w:rPr>
        <w:t xml:space="preserve"> </w:t>
      </w:r>
      <w:r>
        <w:rPr>
          <w:rFonts w:ascii="Times New Roman" w:eastAsia="Calibri" w:hAnsi="Times New Roman" w:cs="Times New Roman"/>
          <w:sz w:val="24"/>
          <w:szCs w:val="24"/>
        </w:rPr>
        <w:t>&amp;</w:t>
      </w:r>
      <w:r w:rsidRPr="003058B2">
        <w:rPr>
          <w:rFonts w:ascii="Times New Roman" w:eastAsia="Calibri" w:hAnsi="Times New Roman" w:cs="Times New Roman"/>
          <w:sz w:val="24"/>
          <w:szCs w:val="24"/>
        </w:rPr>
        <w:t xml:space="preserve"> </w:t>
      </w:r>
      <w:proofErr w:type="spellStart"/>
      <w:r w:rsidRPr="003058B2">
        <w:rPr>
          <w:rFonts w:ascii="Times New Roman" w:eastAsia="Calibri" w:hAnsi="Times New Roman" w:cs="Times New Roman"/>
          <w:sz w:val="24"/>
          <w:szCs w:val="24"/>
        </w:rPr>
        <w:t>Pollak</w:t>
      </w:r>
      <w:proofErr w:type="spellEnd"/>
      <w:r w:rsidRPr="003058B2">
        <w:rPr>
          <w:rFonts w:ascii="Times New Roman" w:eastAsia="Calibri" w:hAnsi="Times New Roman" w:cs="Times New Roman"/>
          <w:sz w:val="24"/>
          <w:szCs w:val="24"/>
        </w:rPr>
        <w:t>, T. (</w:t>
      </w:r>
      <w:r>
        <w:rPr>
          <w:rFonts w:ascii="Times New Roman" w:hAnsi="Times New Roman" w:cs="Times New Roman"/>
          <w:sz w:val="24"/>
          <w:szCs w:val="24"/>
        </w:rPr>
        <w:t>2011</w:t>
      </w:r>
      <w:r>
        <w:rPr>
          <w:rFonts w:ascii="Times New Roman" w:eastAsia="Calibri" w:hAnsi="Times New Roman" w:cs="Times New Roman"/>
          <w:sz w:val="24"/>
          <w:szCs w:val="24"/>
        </w:rPr>
        <w:t>).</w:t>
      </w:r>
      <w:proofErr w:type="gramEnd"/>
      <w:r w:rsidRPr="003058B2">
        <w:rPr>
          <w:rFonts w:ascii="Times New Roman" w:eastAsia="Calibri" w:hAnsi="Times New Roman" w:cs="Times New Roman"/>
          <w:sz w:val="24"/>
          <w:szCs w:val="24"/>
        </w:rPr>
        <w:t xml:space="preserve"> </w:t>
      </w:r>
      <w:proofErr w:type="spellStart"/>
      <w:r w:rsidRPr="003058B2">
        <w:rPr>
          <w:rFonts w:ascii="Times New Roman" w:eastAsia="Calibri" w:hAnsi="Times New Roman" w:cs="Times New Roman"/>
          <w:sz w:val="24"/>
          <w:szCs w:val="24"/>
        </w:rPr>
        <w:t>Nonprofit</w:t>
      </w:r>
      <w:proofErr w:type="spellEnd"/>
      <w:r w:rsidRPr="003058B2">
        <w:rPr>
          <w:rFonts w:ascii="Times New Roman" w:eastAsia="Calibri" w:hAnsi="Times New Roman" w:cs="Times New Roman"/>
          <w:sz w:val="24"/>
          <w:szCs w:val="24"/>
        </w:rPr>
        <w:t xml:space="preserve"> Commercial Revenue: A Replacement for Declining Government Grants and Contributions? </w:t>
      </w:r>
      <w:r w:rsidRPr="003058B2">
        <w:rPr>
          <w:rFonts w:ascii="Times New Roman" w:eastAsia="Calibri" w:hAnsi="Times New Roman" w:cs="Times New Roman"/>
          <w:i/>
          <w:sz w:val="24"/>
          <w:szCs w:val="24"/>
        </w:rPr>
        <w:t>American Review of Public Administration</w:t>
      </w:r>
      <w:r w:rsidRPr="003058B2">
        <w:rPr>
          <w:rFonts w:ascii="Times New Roman" w:eastAsia="Calibri" w:hAnsi="Times New Roman" w:cs="Times New Roman"/>
          <w:sz w:val="24"/>
          <w:szCs w:val="24"/>
        </w:rPr>
        <w:t xml:space="preserve">, </w:t>
      </w:r>
      <w:r>
        <w:rPr>
          <w:rFonts w:ascii="Times New Roman" w:eastAsia="Calibri" w:hAnsi="Times New Roman" w:cs="Times New Roman"/>
          <w:sz w:val="24"/>
          <w:szCs w:val="24"/>
        </w:rPr>
        <w:t>41(6), 686-704.</w:t>
      </w:r>
    </w:p>
    <w:p w:rsidR="002E69C1" w:rsidRPr="003058B2" w:rsidRDefault="002E69C1" w:rsidP="003058B2">
      <w:pPr>
        <w:pStyle w:val="TSRCreferences"/>
        <w:ind w:left="720" w:hanging="720"/>
        <w:rPr>
          <w:rFonts w:ascii="Times New Roman" w:eastAsia="Calibri" w:hAnsi="Times New Roman" w:cs="Times New Roman"/>
          <w:sz w:val="24"/>
          <w:szCs w:val="24"/>
        </w:rPr>
      </w:pPr>
      <w:proofErr w:type="spellStart"/>
      <w:r w:rsidRPr="003058B2">
        <w:rPr>
          <w:rFonts w:ascii="Times New Roman" w:eastAsia="Calibri" w:hAnsi="Times New Roman" w:cs="Times New Roman"/>
          <w:sz w:val="24"/>
          <w:szCs w:val="24"/>
        </w:rPr>
        <w:t>Kingma</w:t>
      </w:r>
      <w:proofErr w:type="spellEnd"/>
      <w:r w:rsidRPr="003058B2">
        <w:rPr>
          <w:rFonts w:ascii="Times New Roman" w:eastAsia="Calibri" w:hAnsi="Times New Roman" w:cs="Times New Roman"/>
          <w:sz w:val="24"/>
          <w:szCs w:val="24"/>
        </w:rPr>
        <w:t>, B. R. (1995</w:t>
      </w:r>
      <w:r>
        <w:rPr>
          <w:rFonts w:ascii="Times New Roman" w:eastAsia="Calibri" w:hAnsi="Times New Roman" w:cs="Times New Roman"/>
          <w:sz w:val="24"/>
          <w:szCs w:val="24"/>
        </w:rPr>
        <w:t>).</w:t>
      </w:r>
      <w:r w:rsidRPr="003058B2">
        <w:rPr>
          <w:rFonts w:ascii="Times New Roman" w:eastAsia="Calibri" w:hAnsi="Times New Roman" w:cs="Times New Roman"/>
          <w:sz w:val="24"/>
          <w:szCs w:val="24"/>
        </w:rPr>
        <w:t xml:space="preserve"> Do profits crowd out donations, or vice versa? </w:t>
      </w:r>
      <w:proofErr w:type="spellStart"/>
      <w:r w:rsidRPr="003058B2">
        <w:rPr>
          <w:rFonts w:ascii="Times New Roman" w:eastAsia="Calibri" w:hAnsi="Times New Roman" w:cs="Times New Roman"/>
          <w:i/>
          <w:sz w:val="24"/>
          <w:szCs w:val="24"/>
        </w:rPr>
        <w:t>Nonprofit</w:t>
      </w:r>
      <w:proofErr w:type="spellEnd"/>
      <w:r w:rsidRPr="003058B2">
        <w:rPr>
          <w:rFonts w:ascii="Times New Roman" w:eastAsia="Calibri" w:hAnsi="Times New Roman" w:cs="Times New Roman"/>
          <w:i/>
          <w:sz w:val="24"/>
          <w:szCs w:val="24"/>
        </w:rPr>
        <w:t xml:space="preserve"> Management and Leadership</w:t>
      </w:r>
      <w:r w:rsidRPr="003058B2">
        <w:rPr>
          <w:rFonts w:ascii="Times New Roman" w:eastAsia="Calibri" w:hAnsi="Times New Roman" w:cs="Times New Roman"/>
          <w:sz w:val="24"/>
          <w:szCs w:val="24"/>
        </w:rPr>
        <w:t xml:space="preserve">, </w:t>
      </w:r>
      <w:r>
        <w:rPr>
          <w:rFonts w:ascii="Times New Roman" w:eastAsia="Calibri" w:hAnsi="Times New Roman" w:cs="Times New Roman"/>
          <w:sz w:val="24"/>
          <w:szCs w:val="24"/>
        </w:rPr>
        <w:t>6(1),</w:t>
      </w:r>
      <w:r w:rsidRPr="003058B2">
        <w:rPr>
          <w:rFonts w:ascii="Times New Roman" w:eastAsia="Calibri" w:hAnsi="Times New Roman" w:cs="Times New Roman"/>
          <w:sz w:val="24"/>
          <w:szCs w:val="24"/>
        </w:rPr>
        <w:t xml:space="preserve"> 21-38.</w:t>
      </w:r>
    </w:p>
    <w:p w:rsidR="002E69C1" w:rsidRPr="003058B2" w:rsidRDefault="002E69C1" w:rsidP="003058B2">
      <w:pPr>
        <w:pStyle w:val="TSRCreferences"/>
        <w:ind w:left="720" w:hanging="720"/>
        <w:rPr>
          <w:rFonts w:ascii="Times New Roman" w:hAnsi="Times New Roman" w:cs="Times New Roman"/>
          <w:sz w:val="24"/>
          <w:szCs w:val="24"/>
        </w:rPr>
      </w:pPr>
      <w:proofErr w:type="spellStart"/>
      <w:r w:rsidRPr="003058B2">
        <w:rPr>
          <w:rFonts w:ascii="Times New Roman" w:hAnsi="Times New Roman" w:cs="Times New Roman"/>
          <w:sz w:val="24"/>
          <w:szCs w:val="24"/>
        </w:rPr>
        <w:t>LeRoux</w:t>
      </w:r>
      <w:proofErr w:type="spellEnd"/>
      <w:r w:rsidRPr="003058B2">
        <w:rPr>
          <w:rFonts w:ascii="Times New Roman" w:hAnsi="Times New Roman" w:cs="Times New Roman"/>
          <w:sz w:val="24"/>
          <w:szCs w:val="24"/>
        </w:rPr>
        <w:t>, K. (2005</w:t>
      </w:r>
      <w:r>
        <w:rPr>
          <w:rFonts w:ascii="Times New Roman" w:hAnsi="Times New Roman" w:cs="Times New Roman"/>
          <w:sz w:val="24"/>
          <w:szCs w:val="24"/>
        </w:rPr>
        <w:t>).</w:t>
      </w:r>
      <w:r w:rsidRPr="003058B2">
        <w:rPr>
          <w:rFonts w:ascii="Times New Roman" w:hAnsi="Times New Roman" w:cs="Times New Roman"/>
          <w:sz w:val="24"/>
          <w:szCs w:val="24"/>
        </w:rPr>
        <w:t xml:space="preserve"> What Drives </w:t>
      </w:r>
      <w:proofErr w:type="spellStart"/>
      <w:r w:rsidRPr="003058B2">
        <w:rPr>
          <w:rFonts w:ascii="Times New Roman" w:hAnsi="Times New Roman" w:cs="Times New Roman"/>
          <w:sz w:val="24"/>
          <w:szCs w:val="24"/>
        </w:rPr>
        <w:t>Nonprofit</w:t>
      </w:r>
      <w:proofErr w:type="spellEnd"/>
      <w:r w:rsidRPr="003058B2">
        <w:rPr>
          <w:rFonts w:ascii="Times New Roman" w:hAnsi="Times New Roman" w:cs="Times New Roman"/>
          <w:sz w:val="24"/>
          <w:szCs w:val="24"/>
        </w:rPr>
        <w:t xml:space="preserve"> Entrepreneurship? </w:t>
      </w:r>
      <w:proofErr w:type="gramStart"/>
      <w:r w:rsidRPr="003058B2">
        <w:rPr>
          <w:rFonts w:ascii="Times New Roman" w:hAnsi="Times New Roman" w:cs="Times New Roman"/>
          <w:sz w:val="24"/>
          <w:szCs w:val="24"/>
        </w:rPr>
        <w:t xml:space="preserve">A Look at Budget Trends of Metro </w:t>
      </w:r>
      <w:r>
        <w:rPr>
          <w:rFonts w:ascii="Times New Roman" w:hAnsi="Times New Roman" w:cs="Times New Roman"/>
          <w:sz w:val="24"/>
          <w:szCs w:val="24"/>
        </w:rPr>
        <w:t>Detroit Social Service Agencies.</w:t>
      </w:r>
      <w:proofErr w:type="gramEnd"/>
      <w:r w:rsidRPr="003058B2">
        <w:rPr>
          <w:rFonts w:ascii="Times New Roman" w:hAnsi="Times New Roman" w:cs="Times New Roman"/>
          <w:sz w:val="24"/>
          <w:szCs w:val="24"/>
        </w:rPr>
        <w:t xml:space="preserve"> American Review of Public Administration, </w:t>
      </w:r>
      <w:r>
        <w:rPr>
          <w:rFonts w:ascii="Times New Roman" w:hAnsi="Times New Roman" w:cs="Times New Roman"/>
          <w:sz w:val="24"/>
          <w:szCs w:val="24"/>
        </w:rPr>
        <w:t>35(4),</w:t>
      </w:r>
      <w:r w:rsidRPr="003058B2">
        <w:rPr>
          <w:rFonts w:ascii="Times New Roman" w:hAnsi="Times New Roman" w:cs="Times New Roman"/>
          <w:sz w:val="24"/>
          <w:szCs w:val="24"/>
        </w:rPr>
        <w:t xml:space="preserve"> 350-62.</w:t>
      </w:r>
    </w:p>
    <w:p w:rsidR="002E69C1" w:rsidRPr="003058B2" w:rsidRDefault="002E69C1" w:rsidP="003058B2">
      <w:pPr>
        <w:pStyle w:val="TSRCreferences"/>
        <w:ind w:left="720" w:hanging="720"/>
        <w:rPr>
          <w:rFonts w:ascii="Times New Roman" w:hAnsi="Times New Roman" w:cs="Times New Roman"/>
          <w:bCs/>
          <w:sz w:val="24"/>
          <w:szCs w:val="24"/>
        </w:rPr>
      </w:pPr>
      <w:r w:rsidRPr="003058B2">
        <w:rPr>
          <w:rFonts w:ascii="Times New Roman" w:hAnsi="Times New Roman" w:cs="Times New Roman"/>
          <w:sz w:val="24"/>
          <w:szCs w:val="24"/>
        </w:rPr>
        <w:t xml:space="preserve">Morgan, G. (2010). </w:t>
      </w:r>
      <w:proofErr w:type="gramStart"/>
      <w:r w:rsidRPr="003058B2">
        <w:rPr>
          <w:rFonts w:ascii="Times New Roman" w:hAnsi="Times New Roman" w:cs="Times New Roman"/>
          <w:bCs/>
          <w:sz w:val="24"/>
          <w:szCs w:val="24"/>
        </w:rPr>
        <w:t>The use of charitable status as a basis for reg</w:t>
      </w:r>
      <w:r>
        <w:rPr>
          <w:rFonts w:ascii="Times New Roman" w:hAnsi="Times New Roman" w:cs="Times New Roman"/>
          <w:bCs/>
          <w:sz w:val="24"/>
          <w:szCs w:val="24"/>
        </w:rPr>
        <w:t xml:space="preserve">ulation of </w:t>
      </w:r>
      <w:proofErr w:type="spellStart"/>
      <w:r>
        <w:rPr>
          <w:rFonts w:ascii="Times New Roman" w:hAnsi="Times New Roman" w:cs="Times New Roman"/>
          <w:bCs/>
          <w:sz w:val="24"/>
          <w:szCs w:val="24"/>
        </w:rPr>
        <w:t>nonprofit</w:t>
      </w:r>
      <w:proofErr w:type="spellEnd"/>
      <w:r>
        <w:rPr>
          <w:rFonts w:ascii="Times New Roman" w:hAnsi="Times New Roman" w:cs="Times New Roman"/>
          <w:bCs/>
          <w:sz w:val="24"/>
          <w:szCs w:val="24"/>
        </w:rPr>
        <w:t xml:space="preserve"> accounting.</w:t>
      </w:r>
      <w:proofErr w:type="gramEnd"/>
      <w:r w:rsidRPr="003058B2">
        <w:rPr>
          <w:rFonts w:ascii="Times New Roman" w:hAnsi="Times New Roman" w:cs="Times New Roman"/>
          <w:bCs/>
          <w:sz w:val="24"/>
          <w:szCs w:val="24"/>
        </w:rPr>
        <w:t xml:space="preserve"> </w:t>
      </w:r>
      <w:r w:rsidRPr="003058B2">
        <w:rPr>
          <w:rFonts w:ascii="Times New Roman" w:hAnsi="Times New Roman" w:cs="Times New Roman"/>
          <w:bCs/>
          <w:i/>
          <w:sz w:val="24"/>
          <w:szCs w:val="24"/>
        </w:rPr>
        <w:t>Voluntary Sector Review</w:t>
      </w:r>
      <w:r w:rsidRPr="003058B2">
        <w:rPr>
          <w:rFonts w:ascii="Times New Roman" w:hAnsi="Times New Roman" w:cs="Times New Roman"/>
          <w:bCs/>
          <w:sz w:val="24"/>
          <w:szCs w:val="24"/>
        </w:rPr>
        <w:t xml:space="preserve">, </w:t>
      </w:r>
      <w:r>
        <w:rPr>
          <w:rFonts w:ascii="Times New Roman" w:hAnsi="Times New Roman" w:cs="Times New Roman"/>
          <w:bCs/>
          <w:sz w:val="24"/>
          <w:szCs w:val="24"/>
        </w:rPr>
        <w:t>1(2),</w:t>
      </w:r>
      <w:r w:rsidRPr="003058B2">
        <w:rPr>
          <w:rFonts w:ascii="Times New Roman" w:hAnsi="Times New Roman" w:cs="Times New Roman"/>
          <w:bCs/>
          <w:sz w:val="24"/>
          <w:szCs w:val="24"/>
        </w:rPr>
        <w:t xml:space="preserve"> 209-32.</w:t>
      </w:r>
    </w:p>
    <w:p w:rsidR="002E69C1" w:rsidRPr="003058B2" w:rsidRDefault="002E69C1" w:rsidP="003058B2">
      <w:pPr>
        <w:pStyle w:val="TSRCreferences"/>
        <w:ind w:left="720" w:hanging="720"/>
        <w:rPr>
          <w:rFonts w:ascii="Times New Roman" w:hAnsi="Times New Roman" w:cs="Times New Roman"/>
          <w:sz w:val="24"/>
          <w:szCs w:val="24"/>
        </w:rPr>
      </w:pPr>
      <w:r w:rsidRPr="003058B2">
        <w:rPr>
          <w:rFonts w:ascii="Times New Roman" w:eastAsia="Calibri" w:hAnsi="Times New Roman" w:cs="Times New Roman"/>
          <w:sz w:val="24"/>
          <w:szCs w:val="24"/>
        </w:rPr>
        <w:t>Newman, J. (2007). Re-thinking ‘The Public’ in Troubled Times: Unsettling State, Natio</w:t>
      </w:r>
      <w:r>
        <w:rPr>
          <w:rFonts w:ascii="Times New Roman" w:eastAsia="Calibri" w:hAnsi="Times New Roman" w:cs="Times New Roman"/>
          <w:sz w:val="24"/>
          <w:szCs w:val="24"/>
        </w:rPr>
        <w:t>n and the Liberal Public Sphere.</w:t>
      </w:r>
      <w:r w:rsidRPr="003058B2">
        <w:rPr>
          <w:rFonts w:ascii="Times New Roman" w:eastAsia="Calibri" w:hAnsi="Times New Roman" w:cs="Times New Roman"/>
          <w:sz w:val="24"/>
          <w:szCs w:val="24"/>
        </w:rPr>
        <w:t xml:space="preserve"> </w:t>
      </w:r>
      <w:r w:rsidRPr="003058B2">
        <w:rPr>
          <w:rFonts w:ascii="Times New Roman" w:eastAsia="Calibri" w:hAnsi="Times New Roman" w:cs="Times New Roman"/>
          <w:i/>
          <w:sz w:val="24"/>
          <w:szCs w:val="24"/>
        </w:rPr>
        <w:t>Public Policy and Administration,</w:t>
      </w:r>
      <w:r w:rsidRPr="003058B2">
        <w:rPr>
          <w:rFonts w:ascii="Times New Roman" w:eastAsia="Calibri" w:hAnsi="Times New Roman" w:cs="Times New Roman"/>
          <w:sz w:val="24"/>
          <w:szCs w:val="24"/>
        </w:rPr>
        <w:t xml:space="preserve"> </w:t>
      </w:r>
      <w:r>
        <w:rPr>
          <w:rFonts w:ascii="Times New Roman" w:eastAsia="Calibri" w:hAnsi="Times New Roman" w:cs="Times New Roman"/>
          <w:sz w:val="24"/>
          <w:szCs w:val="24"/>
        </w:rPr>
        <w:t>22(1),</w:t>
      </w:r>
      <w:r w:rsidRPr="003058B2">
        <w:rPr>
          <w:rFonts w:ascii="Times New Roman" w:eastAsia="Calibri" w:hAnsi="Times New Roman" w:cs="Times New Roman"/>
          <w:sz w:val="24"/>
          <w:szCs w:val="24"/>
        </w:rPr>
        <w:t xml:space="preserve"> 27-47</w:t>
      </w:r>
      <w:r>
        <w:rPr>
          <w:rFonts w:ascii="Times New Roman" w:eastAsia="Calibri" w:hAnsi="Times New Roman" w:cs="Times New Roman"/>
          <w:sz w:val="24"/>
          <w:szCs w:val="24"/>
        </w:rPr>
        <w:t>.</w:t>
      </w:r>
    </w:p>
    <w:p w:rsidR="002E69C1" w:rsidRPr="003058B2" w:rsidRDefault="002E69C1" w:rsidP="003058B2">
      <w:pPr>
        <w:pStyle w:val="TSRCreferences"/>
        <w:ind w:left="720" w:hanging="720"/>
        <w:rPr>
          <w:rFonts w:ascii="Times New Roman" w:hAnsi="Times New Roman" w:cs="Times New Roman"/>
          <w:sz w:val="24"/>
          <w:szCs w:val="24"/>
        </w:rPr>
      </w:pPr>
      <w:proofErr w:type="gramStart"/>
      <w:r w:rsidRPr="003058B2">
        <w:rPr>
          <w:rFonts w:ascii="Times New Roman" w:hAnsi="Times New Roman" w:cs="Times New Roman"/>
          <w:sz w:val="24"/>
          <w:szCs w:val="24"/>
        </w:rPr>
        <w:lastRenderedPageBreak/>
        <w:t>National Council for Voluntary Organisations (NCVO).</w:t>
      </w:r>
      <w:proofErr w:type="gramEnd"/>
      <w:r w:rsidRPr="003058B2">
        <w:rPr>
          <w:rFonts w:ascii="Times New Roman" w:hAnsi="Times New Roman" w:cs="Times New Roman"/>
          <w:sz w:val="24"/>
          <w:szCs w:val="24"/>
        </w:rPr>
        <w:t xml:space="preserve"> 2010. </w:t>
      </w:r>
      <w:r w:rsidRPr="003058B2">
        <w:rPr>
          <w:rFonts w:ascii="Times New Roman" w:hAnsi="Times New Roman" w:cs="Times New Roman"/>
          <w:i/>
          <w:sz w:val="24"/>
          <w:szCs w:val="24"/>
        </w:rPr>
        <w:t>UK Civil Society Almanac</w:t>
      </w:r>
      <w:r>
        <w:rPr>
          <w:rFonts w:ascii="Times New Roman" w:hAnsi="Times New Roman" w:cs="Times New Roman"/>
          <w:sz w:val="24"/>
          <w:szCs w:val="24"/>
        </w:rPr>
        <w:t xml:space="preserve">. </w:t>
      </w:r>
      <w:proofErr w:type="gramStart"/>
      <w:r w:rsidRPr="003058B2">
        <w:rPr>
          <w:rFonts w:ascii="Times New Roman" w:hAnsi="Times New Roman" w:cs="Times New Roman"/>
          <w:sz w:val="24"/>
          <w:szCs w:val="24"/>
        </w:rPr>
        <w:t>NCVO</w:t>
      </w:r>
      <w:r>
        <w:rPr>
          <w:rFonts w:ascii="Times New Roman" w:hAnsi="Times New Roman" w:cs="Times New Roman"/>
          <w:sz w:val="24"/>
          <w:szCs w:val="24"/>
        </w:rPr>
        <w:t>.</w:t>
      </w:r>
      <w:proofErr w:type="gramEnd"/>
    </w:p>
    <w:p w:rsidR="002E69C1" w:rsidRPr="003058B2" w:rsidRDefault="002E69C1" w:rsidP="003058B2">
      <w:pPr>
        <w:pStyle w:val="TSRCreferences"/>
        <w:ind w:left="720" w:hanging="720"/>
        <w:rPr>
          <w:rFonts w:ascii="Times New Roman" w:hAnsi="Times New Roman" w:cs="Times New Roman"/>
          <w:bCs/>
          <w:color w:val="000000"/>
          <w:sz w:val="24"/>
          <w:szCs w:val="24"/>
        </w:rPr>
      </w:pPr>
      <w:proofErr w:type="gramStart"/>
      <w:r w:rsidRPr="003058B2">
        <w:rPr>
          <w:rFonts w:ascii="Times New Roman" w:hAnsi="Times New Roman" w:cs="Times New Roman"/>
          <w:sz w:val="24"/>
          <w:szCs w:val="24"/>
        </w:rPr>
        <w:t>Nicholls, A. 2010.</w:t>
      </w:r>
      <w:proofErr w:type="gramEnd"/>
      <w:r w:rsidRPr="003058B2">
        <w:rPr>
          <w:rFonts w:ascii="Times New Roman" w:hAnsi="Times New Roman" w:cs="Times New Roman"/>
          <w:sz w:val="24"/>
          <w:szCs w:val="24"/>
        </w:rPr>
        <w:t xml:space="preserve"> </w:t>
      </w:r>
      <w:r w:rsidRPr="003058B2">
        <w:rPr>
          <w:rFonts w:ascii="Times New Roman" w:hAnsi="Times New Roman" w:cs="Times New Roman"/>
          <w:bCs/>
          <w:color w:val="000000"/>
          <w:sz w:val="24"/>
          <w:szCs w:val="24"/>
        </w:rPr>
        <w:t>The Legitimacy of Social Entrepreneurship: Reflexive Isomorph</w:t>
      </w:r>
      <w:r>
        <w:rPr>
          <w:rFonts w:ascii="Times New Roman" w:hAnsi="Times New Roman" w:cs="Times New Roman"/>
          <w:bCs/>
          <w:color w:val="000000"/>
          <w:sz w:val="24"/>
          <w:szCs w:val="24"/>
        </w:rPr>
        <w:t>ism in a Pre-Paradigmatic Field.</w:t>
      </w:r>
      <w:r w:rsidRPr="003058B2">
        <w:rPr>
          <w:rFonts w:ascii="Times New Roman" w:hAnsi="Times New Roman" w:cs="Times New Roman"/>
          <w:bCs/>
          <w:color w:val="000000"/>
          <w:sz w:val="24"/>
          <w:szCs w:val="24"/>
        </w:rPr>
        <w:t xml:space="preserve"> </w:t>
      </w:r>
      <w:proofErr w:type="gramStart"/>
      <w:r w:rsidRPr="003058B2">
        <w:rPr>
          <w:rFonts w:ascii="Times New Roman" w:hAnsi="Times New Roman" w:cs="Times New Roman"/>
          <w:bCs/>
          <w:i/>
          <w:color w:val="000000"/>
          <w:sz w:val="24"/>
          <w:szCs w:val="24"/>
        </w:rPr>
        <w:t>Entrepreneurship, Theory and Practice</w:t>
      </w:r>
      <w:r w:rsidRPr="003058B2">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34(4),</w:t>
      </w:r>
      <w:r w:rsidRPr="003058B2">
        <w:rPr>
          <w:rFonts w:ascii="Times New Roman" w:hAnsi="Times New Roman" w:cs="Times New Roman"/>
          <w:bCs/>
          <w:color w:val="000000"/>
          <w:sz w:val="24"/>
          <w:szCs w:val="24"/>
        </w:rPr>
        <w:t xml:space="preserve"> 611-33.</w:t>
      </w:r>
      <w:proofErr w:type="gramEnd"/>
    </w:p>
    <w:p w:rsidR="002E69C1" w:rsidRPr="003058B2" w:rsidRDefault="002E69C1" w:rsidP="003058B2">
      <w:pPr>
        <w:pStyle w:val="TSRCreferences"/>
        <w:ind w:left="720" w:hanging="720"/>
        <w:rPr>
          <w:rFonts w:ascii="Times New Roman" w:hAnsi="Times New Roman" w:cs="Times New Roman"/>
          <w:bCs/>
          <w:color w:val="000000"/>
          <w:sz w:val="24"/>
          <w:szCs w:val="24"/>
        </w:rPr>
      </w:pPr>
      <w:proofErr w:type="spellStart"/>
      <w:proofErr w:type="gramStart"/>
      <w:r w:rsidRPr="003058B2">
        <w:rPr>
          <w:rFonts w:ascii="Times New Roman" w:hAnsi="Times New Roman" w:cs="Times New Roman"/>
          <w:bCs/>
          <w:color w:val="000000"/>
          <w:sz w:val="24"/>
          <w:szCs w:val="24"/>
        </w:rPr>
        <w:t>Nickell</w:t>
      </w:r>
      <w:proofErr w:type="spellEnd"/>
      <w:r w:rsidRPr="003058B2">
        <w:rPr>
          <w:rFonts w:ascii="Times New Roman" w:hAnsi="Times New Roman" w:cs="Times New Roman"/>
          <w:bCs/>
          <w:color w:val="000000"/>
          <w:sz w:val="24"/>
          <w:szCs w:val="24"/>
        </w:rPr>
        <w:t>, S. (1981</w:t>
      </w:r>
      <w:r>
        <w:rPr>
          <w:rFonts w:ascii="Times New Roman" w:hAnsi="Times New Roman" w:cs="Times New Roman"/>
          <w:bCs/>
          <w:color w:val="000000"/>
          <w:sz w:val="24"/>
          <w:szCs w:val="24"/>
        </w:rPr>
        <w:t>).</w:t>
      </w:r>
      <w:proofErr w:type="gramEnd"/>
      <w:r w:rsidRPr="003058B2">
        <w:rPr>
          <w:rFonts w:ascii="Times New Roman" w:hAnsi="Times New Roman" w:cs="Times New Roman"/>
          <w:bCs/>
          <w:color w:val="000000"/>
          <w:sz w:val="24"/>
          <w:szCs w:val="24"/>
        </w:rPr>
        <w:t xml:space="preserve"> Biases in dy</w:t>
      </w:r>
      <w:r>
        <w:rPr>
          <w:rFonts w:ascii="Times New Roman" w:hAnsi="Times New Roman" w:cs="Times New Roman"/>
          <w:bCs/>
          <w:color w:val="000000"/>
          <w:sz w:val="24"/>
          <w:szCs w:val="24"/>
        </w:rPr>
        <w:t>namic models with fixed effects.</w:t>
      </w:r>
      <w:r w:rsidRPr="003058B2">
        <w:rPr>
          <w:rFonts w:ascii="Times New Roman" w:hAnsi="Times New Roman" w:cs="Times New Roman"/>
          <w:bCs/>
          <w:color w:val="000000"/>
          <w:sz w:val="24"/>
          <w:szCs w:val="24"/>
        </w:rPr>
        <w:t xml:space="preserve"> </w:t>
      </w:r>
      <w:proofErr w:type="spellStart"/>
      <w:r w:rsidRPr="003058B2">
        <w:rPr>
          <w:rFonts w:ascii="Times New Roman" w:hAnsi="Times New Roman" w:cs="Times New Roman"/>
          <w:bCs/>
          <w:i/>
          <w:color w:val="000000"/>
          <w:sz w:val="24"/>
          <w:szCs w:val="24"/>
        </w:rPr>
        <w:t>Econometrica</w:t>
      </w:r>
      <w:proofErr w:type="spellEnd"/>
      <w:r w:rsidRPr="003058B2">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49</w:t>
      </w:r>
      <w:r w:rsidRPr="003058B2">
        <w:rPr>
          <w:rFonts w:ascii="Times New Roman" w:hAnsi="Times New Roman" w:cs="Times New Roman"/>
          <w:bCs/>
          <w:color w:val="000000"/>
          <w:sz w:val="24"/>
          <w:szCs w:val="24"/>
        </w:rPr>
        <w:t>, 1417-26.</w:t>
      </w:r>
    </w:p>
    <w:p w:rsidR="002E69C1" w:rsidRPr="003058B2" w:rsidRDefault="002E69C1" w:rsidP="003058B2">
      <w:pPr>
        <w:pStyle w:val="TSRCreferences"/>
        <w:ind w:left="720" w:hanging="720"/>
        <w:rPr>
          <w:rFonts w:ascii="Times New Roman" w:hAnsi="Times New Roman" w:cs="Times New Roman"/>
          <w:sz w:val="24"/>
          <w:szCs w:val="24"/>
        </w:rPr>
      </w:pPr>
      <w:r w:rsidRPr="003058B2">
        <w:rPr>
          <w:rFonts w:ascii="Times New Roman" w:hAnsi="Times New Roman" w:cs="Times New Roman"/>
          <w:sz w:val="24"/>
          <w:szCs w:val="24"/>
        </w:rPr>
        <w:t>O'Brien, R. M. (2007</w:t>
      </w:r>
      <w:r>
        <w:rPr>
          <w:rFonts w:ascii="Times New Roman" w:hAnsi="Times New Roman" w:cs="Times New Roman"/>
          <w:sz w:val="24"/>
          <w:szCs w:val="24"/>
        </w:rPr>
        <w:t>).</w:t>
      </w:r>
      <w:r w:rsidRPr="003058B2">
        <w:rPr>
          <w:rFonts w:ascii="Times New Roman" w:hAnsi="Times New Roman" w:cs="Times New Roman"/>
          <w:sz w:val="24"/>
          <w:szCs w:val="24"/>
        </w:rPr>
        <w:t xml:space="preserve"> </w:t>
      </w:r>
      <w:proofErr w:type="gramStart"/>
      <w:r w:rsidRPr="003058B2">
        <w:rPr>
          <w:rFonts w:ascii="Times New Roman" w:hAnsi="Times New Roman" w:cs="Times New Roman"/>
          <w:sz w:val="24"/>
          <w:szCs w:val="24"/>
        </w:rPr>
        <w:t>A Caution Regarding Rules of Thumb for Variance Inflation Factors</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Pr="003058B2">
        <w:rPr>
          <w:rFonts w:ascii="Times New Roman" w:hAnsi="Times New Roman" w:cs="Times New Roman"/>
          <w:i/>
          <w:sz w:val="24"/>
          <w:szCs w:val="24"/>
        </w:rPr>
        <w:t>Quality and Quantity,</w:t>
      </w:r>
      <w:r w:rsidRPr="003058B2">
        <w:rPr>
          <w:rFonts w:ascii="Times New Roman" w:hAnsi="Times New Roman" w:cs="Times New Roman"/>
          <w:sz w:val="24"/>
          <w:szCs w:val="24"/>
        </w:rPr>
        <w:t xml:space="preserve"> </w:t>
      </w:r>
      <w:r>
        <w:rPr>
          <w:rFonts w:ascii="Times New Roman" w:hAnsi="Times New Roman" w:cs="Times New Roman"/>
          <w:sz w:val="24"/>
          <w:szCs w:val="24"/>
        </w:rPr>
        <w:t>41(5), 673-690.</w:t>
      </w:r>
    </w:p>
    <w:p w:rsidR="002E69C1" w:rsidRPr="003058B2" w:rsidRDefault="002E69C1" w:rsidP="003058B2">
      <w:pPr>
        <w:pStyle w:val="TSRCreferences"/>
        <w:ind w:left="720" w:hanging="720"/>
        <w:rPr>
          <w:rFonts w:ascii="Times New Roman" w:hAnsi="Times New Roman" w:cs="Times New Roman"/>
          <w:sz w:val="24"/>
          <w:szCs w:val="24"/>
        </w:rPr>
      </w:pPr>
      <w:proofErr w:type="spellStart"/>
      <w:proofErr w:type="gramStart"/>
      <w:r w:rsidRPr="003058B2">
        <w:rPr>
          <w:rFonts w:ascii="Times New Roman" w:hAnsi="Times New Roman" w:cs="Times New Roman"/>
          <w:sz w:val="24"/>
          <w:szCs w:val="24"/>
        </w:rPr>
        <w:t>Okten</w:t>
      </w:r>
      <w:proofErr w:type="spellEnd"/>
      <w:r w:rsidRPr="003058B2">
        <w:rPr>
          <w:rFonts w:ascii="Times New Roman" w:hAnsi="Times New Roman" w:cs="Times New Roman"/>
          <w:sz w:val="24"/>
          <w:szCs w:val="24"/>
        </w:rPr>
        <w:t>, C.</w:t>
      </w:r>
      <w:r>
        <w:rPr>
          <w:rFonts w:ascii="Times New Roman" w:hAnsi="Times New Roman" w:cs="Times New Roman"/>
          <w:sz w:val="24"/>
          <w:szCs w:val="24"/>
        </w:rPr>
        <w:t>,</w:t>
      </w:r>
      <w:r w:rsidRPr="003058B2">
        <w:rPr>
          <w:rFonts w:ascii="Times New Roman" w:hAnsi="Times New Roman" w:cs="Times New Roman"/>
          <w:sz w:val="24"/>
          <w:szCs w:val="24"/>
        </w:rPr>
        <w:t xml:space="preserve"> </w:t>
      </w:r>
      <w:r>
        <w:rPr>
          <w:rFonts w:ascii="Times New Roman" w:hAnsi="Times New Roman" w:cs="Times New Roman"/>
          <w:sz w:val="24"/>
          <w:szCs w:val="24"/>
        </w:rPr>
        <w:t>&amp;</w:t>
      </w:r>
      <w:r w:rsidRPr="003058B2">
        <w:rPr>
          <w:rFonts w:ascii="Times New Roman" w:hAnsi="Times New Roman" w:cs="Times New Roman"/>
          <w:sz w:val="24"/>
          <w:szCs w:val="24"/>
        </w:rPr>
        <w:t xml:space="preserve"> </w:t>
      </w:r>
      <w:proofErr w:type="spellStart"/>
      <w:r w:rsidRPr="003058B2">
        <w:rPr>
          <w:rFonts w:ascii="Times New Roman" w:hAnsi="Times New Roman" w:cs="Times New Roman"/>
          <w:sz w:val="24"/>
          <w:szCs w:val="24"/>
        </w:rPr>
        <w:t>Weisbrod</w:t>
      </w:r>
      <w:proofErr w:type="spellEnd"/>
      <w:r w:rsidRPr="003058B2">
        <w:rPr>
          <w:rFonts w:ascii="Times New Roman" w:hAnsi="Times New Roman" w:cs="Times New Roman"/>
          <w:sz w:val="24"/>
          <w:szCs w:val="24"/>
        </w:rPr>
        <w:t>, B. A. (2000</w:t>
      </w:r>
      <w:r>
        <w:rPr>
          <w:rFonts w:ascii="Times New Roman" w:hAnsi="Times New Roman" w:cs="Times New Roman"/>
          <w:sz w:val="24"/>
          <w:szCs w:val="24"/>
        </w:rPr>
        <w:t>).</w:t>
      </w:r>
      <w:proofErr w:type="gramEnd"/>
      <w:r w:rsidRPr="003058B2">
        <w:rPr>
          <w:rFonts w:ascii="Times New Roman" w:hAnsi="Times New Roman" w:cs="Times New Roman"/>
          <w:sz w:val="24"/>
          <w:szCs w:val="24"/>
        </w:rPr>
        <w:t xml:space="preserve"> </w:t>
      </w:r>
      <w:proofErr w:type="gramStart"/>
      <w:r w:rsidRPr="003058B2">
        <w:rPr>
          <w:rFonts w:ascii="Times New Roman" w:hAnsi="Times New Roman" w:cs="Times New Roman"/>
          <w:sz w:val="24"/>
          <w:szCs w:val="24"/>
        </w:rPr>
        <w:t>Determinants of donatio</w:t>
      </w:r>
      <w:r>
        <w:rPr>
          <w:rFonts w:ascii="Times New Roman" w:hAnsi="Times New Roman" w:cs="Times New Roman"/>
          <w:sz w:val="24"/>
          <w:szCs w:val="24"/>
        </w:rPr>
        <w:t xml:space="preserve">ns in private </w:t>
      </w:r>
      <w:proofErr w:type="spellStart"/>
      <w:r>
        <w:rPr>
          <w:rFonts w:ascii="Times New Roman" w:hAnsi="Times New Roman" w:cs="Times New Roman"/>
          <w:sz w:val="24"/>
          <w:szCs w:val="24"/>
        </w:rPr>
        <w:t>nonprofit</w:t>
      </w:r>
      <w:proofErr w:type="spellEnd"/>
      <w:r>
        <w:rPr>
          <w:rFonts w:ascii="Times New Roman" w:hAnsi="Times New Roman" w:cs="Times New Roman"/>
          <w:sz w:val="24"/>
          <w:szCs w:val="24"/>
        </w:rPr>
        <w:t xml:space="preserve"> markets.</w:t>
      </w:r>
      <w:proofErr w:type="gramEnd"/>
      <w:r w:rsidRPr="003058B2">
        <w:rPr>
          <w:rFonts w:ascii="Times New Roman" w:hAnsi="Times New Roman" w:cs="Times New Roman"/>
          <w:sz w:val="24"/>
          <w:szCs w:val="24"/>
        </w:rPr>
        <w:t xml:space="preserve"> </w:t>
      </w:r>
      <w:r w:rsidRPr="003058B2">
        <w:rPr>
          <w:rFonts w:ascii="Times New Roman" w:hAnsi="Times New Roman" w:cs="Times New Roman"/>
          <w:i/>
          <w:sz w:val="24"/>
          <w:szCs w:val="24"/>
        </w:rPr>
        <w:t>Journal of Public Economics</w:t>
      </w:r>
      <w:r w:rsidRPr="003058B2">
        <w:rPr>
          <w:rFonts w:ascii="Times New Roman" w:hAnsi="Times New Roman" w:cs="Times New Roman"/>
          <w:sz w:val="24"/>
          <w:szCs w:val="24"/>
        </w:rPr>
        <w:t xml:space="preserve">, </w:t>
      </w:r>
      <w:r>
        <w:rPr>
          <w:rFonts w:ascii="Times New Roman" w:hAnsi="Times New Roman" w:cs="Times New Roman"/>
          <w:sz w:val="24"/>
          <w:szCs w:val="24"/>
        </w:rPr>
        <w:t>75(2),</w:t>
      </w:r>
      <w:r w:rsidRPr="003058B2">
        <w:rPr>
          <w:rFonts w:ascii="Times New Roman" w:hAnsi="Times New Roman" w:cs="Times New Roman"/>
          <w:sz w:val="24"/>
          <w:szCs w:val="24"/>
        </w:rPr>
        <w:t xml:space="preserve"> 255-72.</w:t>
      </w:r>
    </w:p>
    <w:p w:rsidR="002E69C1" w:rsidRPr="003058B2" w:rsidRDefault="002E69C1" w:rsidP="003058B2">
      <w:pPr>
        <w:pStyle w:val="TSRCreferences"/>
        <w:ind w:left="720" w:hanging="720"/>
        <w:rPr>
          <w:rFonts w:ascii="Times New Roman" w:hAnsi="Times New Roman" w:cs="Times New Roman"/>
          <w:sz w:val="24"/>
          <w:szCs w:val="24"/>
        </w:rPr>
      </w:pPr>
      <w:proofErr w:type="spellStart"/>
      <w:r w:rsidRPr="003058B2">
        <w:rPr>
          <w:rFonts w:ascii="Times New Roman" w:hAnsi="Times New Roman" w:cs="Times New Roman"/>
          <w:sz w:val="24"/>
          <w:szCs w:val="24"/>
        </w:rPr>
        <w:t>Roodman</w:t>
      </w:r>
      <w:proofErr w:type="spellEnd"/>
      <w:r w:rsidRPr="003058B2">
        <w:rPr>
          <w:rFonts w:ascii="Times New Roman" w:hAnsi="Times New Roman" w:cs="Times New Roman"/>
          <w:sz w:val="24"/>
          <w:szCs w:val="24"/>
        </w:rPr>
        <w:t>, D. (2006</w:t>
      </w:r>
      <w:r>
        <w:rPr>
          <w:rFonts w:ascii="Times New Roman" w:hAnsi="Times New Roman" w:cs="Times New Roman"/>
          <w:sz w:val="24"/>
          <w:szCs w:val="24"/>
        </w:rPr>
        <w:t>).</w:t>
      </w:r>
      <w:r w:rsidRPr="003058B2">
        <w:rPr>
          <w:rFonts w:ascii="Times New Roman" w:hAnsi="Times New Roman" w:cs="Times New Roman"/>
          <w:sz w:val="24"/>
          <w:szCs w:val="24"/>
        </w:rPr>
        <w:t xml:space="preserve"> </w:t>
      </w:r>
      <w:r w:rsidRPr="003058B2">
        <w:rPr>
          <w:rFonts w:ascii="Times New Roman" w:hAnsi="Times New Roman" w:cs="Times New Roman"/>
          <w:i/>
          <w:sz w:val="24"/>
          <w:szCs w:val="24"/>
        </w:rPr>
        <w:t xml:space="preserve">How to do xtabond2: an introduction to “Difference” and “System” GMM in </w:t>
      </w:r>
      <w:proofErr w:type="spellStart"/>
      <w:r w:rsidRPr="003058B2">
        <w:rPr>
          <w:rFonts w:ascii="Times New Roman" w:hAnsi="Times New Roman" w:cs="Times New Roman"/>
          <w:i/>
          <w:sz w:val="24"/>
          <w:szCs w:val="24"/>
        </w:rPr>
        <w:t>Stata</w:t>
      </w:r>
      <w:proofErr w:type="spellEnd"/>
      <w:r>
        <w:rPr>
          <w:rFonts w:ascii="Times New Roman" w:hAnsi="Times New Roman" w:cs="Times New Roman"/>
          <w:sz w:val="24"/>
          <w:szCs w:val="24"/>
        </w:rPr>
        <w:t>.</w:t>
      </w:r>
      <w:r w:rsidRPr="003058B2">
        <w:rPr>
          <w:rFonts w:ascii="Times New Roman" w:hAnsi="Times New Roman" w:cs="Times New Roman"/>
          <w:sz w:val="24"/>
          <w:szCs w:val="24"/>
        </w:rPr>
        <w:t xml:space="preserve"> Centre for Global Development Working Paper Number 103.</w:t>
      </w:r>
    </w:p>
    <w:p w:rsidR="002E69C1" w:rsidRPr="003058B2" w:rsidRDefault="002E69C1" w:rsidP="003058B2">
      <w:pPr>
        <w:pStyle w:val="TSRCreferences"/>
        <w:ind w:left="720" w:hanging="720"/>
        <w:rPr>
          <w:rFonts w:ascii="Times New Roman" w:hAnsi="Times New Roman" w:cs="Times New Roman"/>
          <w:sz w:val="24"/>
          <w:szCs w:val="24"/>
        </w:rPr>
      </w:pPr>
      <w:proofErr w:type="gramStart"/>
      <w:r w:rsidRPr="003058B2">
        <w:rPr>
          <w:rFonts w:ascii="Times New Roman" w:hAnsi="Times New Roman" w:cs="Times New Roman"/>
          <w:sz w:val="24"/>
          <w:szCs w:val="24"/>
        </w:rPr>
        <w:t>Rose-Ackerman, S. (1996).</w:t>
      </w:r>
      <w:proofErr w:type="gramEnd"/>
      <w:r w:rsidRPr="003058B2">
        <w:rPr>
          <w:rFonts w:ascii="Times New Roman" w:hAnsi="Times New Roman" w:cs="Times New Roman"/>
          <w:sz w:val="24"/>
          <w:szCs w:val="24"/>
        </w:rPr>
        <w:t xml:space="preserve"> </w:t>
      </w:r>
      <w:proofErr w:type="gramStart"/>
      <w:r w:rsidRPr="003058B2">
        <w:rPr>
          <w:rFonts w:ascii="Times New Roman" w:hAnsi="Times New Roman" w:cs="Times New Roman"/>
          <w:sz w:val="24"/>
          <w:szCs w:val="24"/>
        </w:rPr>
        <w:t>Altruism,</w:t>
      </w:r>
      <w:r>
        <w:rPr>
          <w:rFonts w:ascii="Times New Roman" w:hAnsi="Times New Roman" w:cs="Times New Roman"/>
          <w:sz w:val="24"/>
          <w:szCs w:val="24"/>
        </w:rPr>
        <w:t xml:space="preserve"> Nonprofits and Economic Theory.</w:t>
      </w:r>
      <w:proofErr w:type="gramEnd"/>
      <w:r w:rsidRPr="003058B2">
        <w:rPr>
          <w:rFonts w:ascii="Times New Roman" w:hAnsi="Times New Roman" w:cs="Times New Roman"/>
          <w:sz w:val="24"/>
          <w:szCs w:val="24"/>
        </w:rPr>
        <w:t xml:space="preserve"> </w:t>
      </w:r>
      <w:r w:rsidRPr="003058B2">
        <w:rPr>
          <w:rFonts w:ascii="Times New Roman" w:hAnsi="Times New Roman" w:cs="Times New Roman"/>
          <w:i/>
          <w:sz w:val="24"/>
          <w:szCs w:val="24"/>
        </w:rPr>
        <w:t>Journal of Economic Literature,</w:t>
      </w:r>
      <w:r w:rsidRPr="003058B2">
        <w:rPr>
          <w:rFonts w:ascii="Times New Roman" w:hAnsi="Times New Roman" w:cs="Times New Roman"/>
          <w:sz w:val="24"/>
          <w:szCs w:val="24"/>
        </w:rPr>
        <w:t xml:space="preserve"> vol. Xxxiv, 701-28.</w:t>
      </w:r>
    </w:p>
    <w:p w:rsidR="002E69C1" w:rsidRPr="003058B2" w:rsidRDefault="002E69C1" w:rsidP="003058B2">
      <w:pPr>
        <w:pStyle w:val="TSRCreferences"/>
        <w:ind w:left="720" w:hanging="720"/>
        <w:rPr>
          <w:rFonts w:ascii="Times New Roman" w:hAnsi="Times New Roman" w:cs="Times New Roman"/>
          <w:sz w:val="24"/>
          <w:szCs w:val="24"/>
        </w:rPr>
      </w:pPr>
      <w:proofErr w:type="spellStart"/>
      <w:r w:rsidRPr="003058B2">
        <w:rPr>
          <w:rFonts w:ascii="Times New Roman" w:hAnsi="Times New Roman" w:cs="Times New Roman"/>
          <w:sz w:val="24"/>
          <w:szCs w:val="24"/>
        </w:rPr>
        <w:t>Salamon</w:t>
      </w:r>
      <w:proofErr w:type="spellEnd"/>
      <w:r w:rsidRPr="003058B2">
        <w:rPr>
          <w:rFonts w:ascii="Times New Roman" w:hAnsi="Times New Roman" w:cs="Times New Roman"/>
          <w:sz w:val="24"/>
          <w:szCs w:val="24"/>
        </w:rPr>
        <w:t xml:space="preserve">, L. (1993). The </w:t>
      </w:r>
      <w:proofErr w:type="spellStart"/>
      <w:r w:rsidRPr="003058B2">
        <w:rPr>
          <w:rFonts w:ascii="Times New Roman" w:hAnsi="Times New Roman" w:cs="Times New Roman"/>
          <w:sz w:val="24"/>
          <w:szCs w:val="24"/>
        </w:rPr>
        <w:t>marketisation</w:t>
      </w:r>
      <w:proofErr w:type="spellEnd"/>
      <w:r w:rsidRPr="003058B2">
        <w:rPr>
          <w:rFonts w:ascii="Times New Roman" w:hAnsi="Times New Roman" w:cs="Times New Roman"/>
          <w:sz w:val="24"/>
          <w:szCs w:val="24"/>
        </w:rPr>
        <w:t xml:space="preserve"> of welfare: Changing </w:t>
      </w:r>
      <w:proofErr w:type="spellStart"/>
      <w:r w:rsidRPr="003058B2">
        <w:rPr>
          <w:rFonts w:ascii="Times New Roman" w:hAnsi="Times New Roman" w:cs="Times New Roman"/>
          <w:sz w:val="24"/>
          <w:szCs w:val="24"/>
        </w:rPr>
        <w:t>nonprofit</w:t>
      </w:r>
      <w:proofErr w:type="spellEnd"/>
      <w:r w:rsidRPr="003058B2">
        <w:rPr>
          <w:rFonts w:ascii="Times New Roman" w:hAnsi="Times New Roman" w:cs="Times New Roman"/>
          <w:sz w:val="24"/>
          <w:szCs w:val="24"/>
        </w:rPr>
        <w:t xml:space="preserve"> and for-profit roles in the American welfare state. </w:t>
      </w:r>
      <w:r w:rsidRPr="003058B2">
        <w:rPr>
          <w:rFonts w:ascii="Times New Roman" w:hAnsi="Times New Roman" w:cs="Times New Roman"/>
          <w:i/>
          <w:iCs/>
          <w:sz w:val="24"/>
          <w:szCs w:val="24"/>
        </w:rPr>
        <w:t>Social Service Review</w:t>
      </w:r>
      <w:r w:rsidRPr="003058B2">
        <w:rPr>
          <w:rFonts w:ascii="Times New Roman" w:hAnsi="Times New Roman" w:cs="Times New Roman"/>
          <w:sz w:val="24"/>
          <w:szCs w:val="24"/>
        </w:rPr>
        <w:t xml:space="preserve">, </w:t>
      </w:r>
      <w:r>
        <w:rPr>
          <w:rFonts w:ascii="Times New Roman" w:hAnsi="Times New Roman" w:cs="Times New Roman"/>
          <w:sz w:val="24"/>
          <w:szCs w:val="24"/>
        </w:rPr>
        <w:t>67(1),</w:t>
      </w:r>
      <w:r w:rsidRPr="003058B2">
        <w:rPr>
          <w:rFonts w:ascii="Times New Roman" w:hAnsi="Times New Roman" w:cs="Times New Roman"/>
          <w:sz w:val="24"/>
          <w:szCs w:val="24"/>
        </w:rPr>
        <w:t xml:space="preserve"> 16-39.</w:t>
      </w:r>
    </w:p>
    <w:p w:rsidR="002E69C1" w:rsidRPr="003058B2" w:rsidRDefault="002E69C1" w:rsidP="003058B2">
      <w:pPr>
        <w:pStyle w:val="TSRCreferences"/>
        <w:ind w:left="720" w:hanging="720"/>
        <w:rPr>
          <w:rFonts w:ascii="Times New Roman" w:hAnsi="Times New Roman" w:cs="Times New Roman"/>
          <w:sz w:val="24"/>
          <w:szCs w:val="24"/>
        </w:rPr>
      </w:pPr>
      <w:proofErr w:type="spellStart"/>
      <w:r w:rsidRPr="003058B2">
        <w:rPr>
          <w:rFonts w:ascii="Times New Roman" w:hAnsi="Times New Roman" w:cs="Times New Roman"/>
          <w:sz w:val="24"/>
          <w:szCs w:val="24"/>
        </w:rPr>
        <w:t>Salamon</w:t>
      </w:r>
      <w:proofErr w:type="spellEnd"/>
      <w:r w:rsidRPr="003058B2">
        <w:rPr>
          <w:rFonts w:ascii="Times New Roman" w:hAnsi="Times New Roman" w:cs="Times New Roman"/>
          <w:sz w:val="24"/>
          <w:szCs w:val="24"/>
        </w:rPr>
        <w:t xml:space="preserve">, L. (1997). </w:t>
      </w:r>
      <w:proofErr w:type="gramStart"/>
      <w:r w:rsidRPr="003058B2">
        <w:rPr>
          <w:rFonts w:ascii="Times New Roman" w:hAnsi="Times New Roman" w:cs="Times New Roman"/>
          <w:i/>
          <w:iCs/>
          <w:sz w:val="24"/>
          <w:szCs w:val="24"/>
        </w:rPr>
        <w:t xml:space="preserve">Holding the centre: America’s </w:t>
      </w:r>
      <w:proofErr w:type="spellStart"/>
      <w:r w:rsidRPr="003058B2">
        <w:rPr>
          <w:rFonts w:ascii="Times New Roman" w:hAnsi="Times New Roman" w:cs="Times New Roman"/>
          <w:i/>
          <w:iCs/>
          <w:sz w:val="24"/>
          <w:szCs w:val="24"/>
        </w:rPr>
        <w:t>nonprofit</w:t>
      </w:r>
      <w:proofErr w:type="spellEnd"/>
      <w:r w:rsidRPr="003058B2">
        <w:rPr>
          <w:rFonts w:ascii="Times New Roman" w:hAnsi="Times New Roman" w:cs="Times New Roman"/>
          <w:i/>
          <w:iCs/>
          <w:sz w:val="24"/>
          <w:szCs w:val="24"/>
        </w:rPr>
        <w:t xml:space="preserve"> sector at a crossroads</w:t>
      </w:r>
      <w:r w:rsidRPr="003058B2">
        <w:rPr>
          <w:rFonts w:ascii="Times New Roman" w:hAnsi="Times New Roman" w:cs="Times New Roman"/>
          <w:sz w:val="24"/>
          <w:szCs w:val="24"/>
        </w:rPr>
        <w:t>.</w:t>
      </w:r>
      <w:proofErr w:type="gramEnd"/>
      <w:r w:rsidRPr="003058B2">
        <w:rPr>
          <w:rFonts w:ascii="Times New Roman" w:hAnsi="Times New Roman" w:cs="Times New Roman"/>
          <w:sz w:val="24"/>
          <w:szCs w:val="24"/>
        </w:rPr>
        <w:t xml:space="preserve"> New York, Nathan Cummings Foundation.</w:t>
      </w:r>
    </w:p>
    <w:p w:rsidR="002E69C1" w:rsidRPr="003058B2" w:rsidRDefault="002E69C1" w:rsidP="003058B2">
      <w:pPr>
        <w:pStyle w:val="TSRCreferences"/>
        <w:ind w:left="720" w:hanging="720"/>
        <w:rPr>
          <w:rFonts w:ascii="Times New Roman" w:hAnsi="Times New Roman" w:cs="Times New Roman"/>
          <w:sz w:val="24"/>
          <w:szCs w:val="24"/>
        </w:rPr>
      </w:pPr>
      <w:proofErr w:type="spellStart"/>
      <w:proofErr w:type="gramStart"/>
      <w:r w:rsidRPr="003058B2">
        <w:rPr>
          <w:rFonts w:ascii="Times New Roman" w:hAnsi="Times New Roman" w:cs="Times New Roman"/>
          <w:sz w:val="24"/>
          <w:szCs w:val="24"/>
        </w:rPr>
        <w:t>Salamon</w:t>
      </w:r>
      <w:proofErr w:type="spellEnd"/>
      <w:r w:rsidRPr="003058B2">
        <w:rPr>
          <w:rFonts w:ascii="Times New Roman" w:hAnsi="Times New Roman" w:cs="Times New Roman"/>
          <w:sz w:val="24"/>
          <w:szCs w:val="24"/>
        </w:rPr>
        <w:t>, L.</w:t>
      </w:r>
      <w:r>
        <w:rPr>
          <w:rFonts w:ascii="Times New Roman" w:hAnsi="Times New Roman" w:cs="Times New Roman"/>
          <w:sz w:val="24"/>
          <w:szCs w:val="24"/>
        </w:rPr>
        <w:t>,</w:t>
      </w:r>
      <w:r w:rsidRPr="003058B2">
        <w:rPr>
          <w:rFonts w:ascii="Times New Roman" w:hAnsi="Times New Roman" w:cs="Times New Roman"/>
          <w:sz w:val="24"/>
          <w:szCs w:val="24"/>
        </w:rPr>
        <w:t xml:space="preserve"> </w:t>
      </w:r>
      <w:r>
        <w:rPr>
          <w:rFonts w:ascii="Times New Roman" w:hAnsi="Times New Roman" w:cs="Times New Roman"/>
          <w:sz w:val="24"/>
          <w:szCs w:val="24"/>
        </w:rPr>
        <w:t>&amp;</w:t>
      </w:r>
      <w:r w:rsidRPr="003058B2">
        <w:rPr>
          <w:rFonts w:ascii="Times New Roman" w:hAnsi="Times New Roman" w:cs="Times New Roman"/>
          <w:sz w:val="24"/>
          <w:szCs w:val="24"/>
        </w:rPr>
        <w:t xml:space="preserve"> </w:t>
      </w:r>
      <w:proofErr w:type="spellStart"/>
      <w:r w:rsidRPr="003058B2">
        <w:rPr>
          <w:rFonts w:ascii="Times New Roman" w:hAnsi="Times New Roman" w:cs="Times New Roman"/>
          <w:sz w:val="24"/>
          <w:szCs w:val="24"/>
        </w:rPr>
        <w:t>Anheier</w:t>
      </w:r>
      <w:proofErr w:type="spellEnd"/>
      <w:r w:rsidRPr="003058B2">
        <w:rPr>
          <w:rFonts w:ascii="Times New Roman" w:hAnsi="Times New Roman" w:cs="Times New Roman"/>
          <w:sz w:val="24"/>
          <w:szCs w:val="24"/>
        </w:rPr>
        <w:t>, H. (1998)</w:t>
      </w:r>
      <w:r>
        <w:rPr>
          <w:rFonts w:ascii="Times New Roman" w:hAnsi="Times New Roman" w:cs="Times New Roman"/>
          <w:sz w:val="24"/>
          <w:szCs w:val="24"/>
        </w:rPr>
        <w:t>.</w:t>
      </w:r>
      <w:proofErr w:type="gramEnd"/>
      <w:r w:rsidRPr="003058B2">
        <w:rPr>
          <w:rFonts w:ascii="Times New Roman" w:hAnsi="Times New Roman" w:cs="Times New Roman"/>
          <w:sz w:val="24"/>
          <w:szCs w:val="24"/>
        </w:rPr>
        <w:t xml:space="preserve"> Social origins of civil society: Explaining the </w:t>
      </w:r>
      <w:proofErr w:type="spellStart"/>
      <w:r w:rsidRPr="003058B2">
        <w:rPr>
          <w:rFonts w:ascii="Times New Roman" w:hAnsi="Times New Roman" w:cs="Times New Roman"/>
          <w:sz w:val="24"/>
          <w:szCs w:val="24"/>
        </w:rPr>
        <w:t>no</w:t>
      </w:r>
      <w:r>
        <w:rPr>
          <w:rFonts w:ascii="Times New Roman" w:hAnsi="Times New Roman" w:cs="Times New Roman"/>
          <w:sz w:val="24"/>
          <w:szCs w:val="24"/>
        </w:rPr>
        <w:t>nprofit</w:t>
      </w:r>
      <w:proofErr w:type="spellEnd"/>
      <w:r>
        <w:rPr>
          <w:rFonts w:ascii="Times New Roman" w:hAnsi="Times New Roman" w:cs="Times New Roman"/>
          <w:sz w:val="24"/>
          <w:szCs w:val="24"/>
        </w:rPr>
        <w:t xml:space="preserve"> sector cross-nationally.</w:t>
      </w:r>
      <w:r w:rsidRPr="003058B2">
        <w:rPr>
          <w:rFonts w:ascii="Times New Roman" w:hAnsi="Times New Roman" w:cs="Times New Roman"/>
          <w:sz w:val="24"/>
          <w:szCs w:val="24"/>
        </w:rPr>
        <w:t xml:space="preserve"> </w:t>
      </w:r>
      <w:proofErr w:type="spellStart"/>
      <w:proofErr w:type="gramStart"/>
      <w:r w:rsidRPr="003058B2">
        <w:rPr>
          <w:rFonts w:ascii="Times New Roman" w:hAnsi="Times New Roman" w:cs="Times New Roman"/>
          <w:i/>
          <w:sz w:val="24"/>
          <w:szCs w:val="24"/>
        </w:rPr>
        <w:t>Voluntas</w:t>
      </w:r>
      <w:proofErr w:type="spellEnd"/>
      <w:r>
        <w:rPr>
          <w:rFonts w:ascii="Times New Roman" w:hAnsi="Times New Roman" w:cs="Times New Roman"/>
          <w:i/>
          <w:sz w:val="24"/>
          <w:szCs w:val="24"/>
        </w:rPr>
        <w:t xml:space="preserve">, </w:t>
      </w:r>
      <w:r>
        <w:rPr>
          <w:rFonts w:ascii="Times New Roman" w:hAnsi="Times New Roman" w:cs="Times New Roman"/>
          <w:sz w:val="24"/>
          <w:szCs w:val="24"/>
        </w:rPr>
        <w:t>9(3),</w:t>
      </w:r>
      <w:r w:rsidRPr="003058B2">
        <w:rPr>
          <w:rFonts w:ascii="Times New Roman" w:hAnsi="Times New Roman" w:cs="Times New Roman"/>
          <w:sz w:val="24"/>
          <w:szCs w:val="24"/>
        </w:rPr>
        <w:t xml:space="preserve"> 213-48.</w:t>
      </w:r>
      <w:proofErr w:type="gramEnd"/>
    </w:p>
    <w:p w:rsidR="002E69C1" w:rsidRPr="003058B2" w:rsidRDefault="002E69C1" w:rsidP="003058B2">
      <w:pPr>
        <w:pStyle w:val="TSRCreferences"/>
        <w:ind w:left="720" w:hanging="720"/>
        <w:rPr>
          <w:rFonts w:ascii="Times New Roman" w:hAnsi="Times New Roman" w:cs="Times New Roman"/>
          <w:sz w:val="24"/>
          <w:szCs w:val="24"/>
        </w:rPr>
      </w:pPr>
      <w:proofErr w:type="spellStart"/>
      <w:r w:rsidRPr="003058B2">
        <w:rPr>
          <w:rFonts w:ascii="Times New Roman" w:hAnsi="Times New Roman" w:cs="Times New Roman"/>
          <w:sz w:val="24"/>
          <w:szCs w:val="24"/>
        </w:rPr>
        <w:t>Sargan</w:t>
      </w:r>
      <w:proofErr w:type="spellEnd"/>
      <w:r w:rsidRPr="003058B2">
        <w:rPr>
          <w:rFonts w:ascii="Times New Roman" w:hAnsi="Times New Roman" w:cs="Times New Roman"/>
          <w:sz w:val="24"/>
          <w:szCs w:val="24"/>
        </w:rPr>
        <w:t xml:space="preserve">, J. D. (1958) </w:t>
      </w:r>
      <w:proofErr w:type="gramStart"/>
      <w:r w:rsidRPr="003058B2">
        <w:rPr>
          <w:rFonts w:ascii="Times New Roman" w:hAnsi="Times New Roman" w:cs="Times New Roman"/>
          <w:sz w:val="24"/>
          <w:szCs w:val="24"/>
        </w:rPr>
        <w:t>The</w:t>
      </w:r>
      <w:proofErr w:type="gramEnd"/>
      <w:r w:rsidRPr="003058B2">
        <w:rPr>
          <w:rFonts w:ascii="Times New Roman" w:hAnsi="Times New Roman" w:cs="Times New Roman"/>
          <w:sz w:val="24"/>
          <w:szCs w:val="24"/>
        </w:rPr>
        <w:t xml:space="preserve"> estimation of economic relationshi</w:t>
      </w:r>
      <w:r>
        <w:rPr>
          <w:rFonts w:ascii="Times New Roman" w:hAnsi="Times New Roman" w:cs="Times New Roman"/>
          <w:sz w:val="24"/>
          <w:szCs w:val="24"/>
        </w:rPr>
        <w:t>ps using instrumental variables.</w:t>
      </w:r>
      <w:r w:rsidRPr="003058B2">
        <w:rPr>
          <w:rFonts w:ascii="Times New Roman" w:hAnsi="Times New Roman" w:cs="Times New Roman"/>
          <w:sz w:val="24"/>
          <w:szCs w:val="24"/>
        </w:rPr>
        <w:t xml:space="preserve"> </w:t>
      </w:r>
      <w:proofErr w:type="spellStart"/>
      <w:r w:rsidRPr="003058B2">
        <w:rPr>
          <w:rFonts w:ascii="Times New Roman" w:hAnsi="Times New Roman" w:cs="Times New Roman"/>
          <w:i/>
          <w:sz w:val="24"/>
          <w:szCs w:val="24"/>
        </w:rPr>
        <w:t>Econometrica</w:t>
      </w:r>
      <w:proofErr w:type="spellEnd"/>
      <w:r w:rsidRPr="003058B2">
        <w:rPr>
          <w:rFonts w:ascii="Times New Roman" w:hAnsi="Times New Roman" w:cs="Times New Roman"/>
          <w:i/>
          <w:sz w:val="24"/>
          <w:szCs w:val="24"/>
        </w:rPr>
        <w:t>,</w:t>
      </w:r>
      <w:r w:rsidRPr="003058B2">
        <w:rPr>
          <w:rFonts w:ascii="Times New Roman" w:hAnsi="Times New Roman" w:cs="Times New Roman"/>
          <w:sz w:val="24"/>
          <w:szCs w:val="24"/>
        </w:rPr>
        <w:t xml:space="preserve"> </w:t>
      </w:r>
      <w:r>
        <w:rPr>
          <w:rFonts w:ascii="Times New Roman" w:hAnsi="Times New Roman" w:cs="Times New Roman"/>
          <w:sz w:val="24"/>
          <w:szCs w:val="24"/>
        </w:rPr>
        <w:t>26(3),</w:t>
      </w:r>
      <w:r w:rsidRPr="003058B2">
        <w:rPr>
          <w:rFonts w:ascii="Times New Roman" w:hAnsi="Times New Roman" w:cs="Times New Roman"/>
          <w:sz w:val="24"/>
          <w:szCs w:val="24"/>
        </w:rPr>
        <w:t xml:space="preserve"> 393–415.</w:t>
      </w:r>
    </w:p>
    <w:p w:rsidR="002E69C1" w:rsidRDefault="002E69C1" w:rsidP="003058B2">
      <w:pPr>
        <w:pStyle w:val="TSRCreferences"/>
        <w:ind w:left="720" w:hanging="720"/>
        <w:rPr>
          <w:rFonts w:ascii="Times New Roman" w:hAnsi="Times New Roman" w:cs="Times New Roman"/>
          <w:sz w:val="24"/>
          <w:szCs w:val="24"/>
        </w:rPr>
      </w:pPr>
      <w:proofErr w:type="gramStart"/>
      <w:r w:rsidRPr="003058B2">
        <w:rPr>
          <w:rFonts w:ascii="Times New Roman" w:hAnsi="Times New Roman" w:cs="Times New Roman"/>
          <w:sz w:val="24"/>
          <w:szCs w:val="24"/>
        </w:rPr>
        <w:t>Segal, L. M.</w:t>
      </w:r>
      <w:r>
        <w:rPr>
          <w:rFonts w:ascii="Times New Roman" w:hAnsi="Times New Roman" w:cs="Times New Roman"/>
          <w:sz w:val="24"/>
          <w:szCs w:val="24"/>
        </w:rPr>
        <w:t>,</w:t>
      </w:r>
      <w:r w:rsidRPr="003058B2">
        <w:rPr>
          <w:rFonts w:ascii="Times New Roman" w:hAnsi="Times New Roman" w:cs="Times New Roman"/>
          <w:sz w:val="24"/>
          <w:szCs w:val="24"/>
        </w:rPr>
        <w:t xml:space="preserve"> </w:t>
      </w:r>
      <w:r>
        <w:rPr>
          <w:rFonts w:ascii="Times New Roman" w:hAnsi="Times New Roman" w:cs="Times New Roman"/>
          <w:sz w:val="24"/>
          <w:szCs w:val="24"/>
        </w:rPr>
        <w:t>&amp;</w:t>
      </w:r>
      <w:r w:rsidRPr="003058B2">
        <w:rPr>
          <w:rFonts w:ascii="Times New Roman" w:hAnsi="Times New Roman" w:cs="Times New Roman"/>
          <w:sz w:val="24"/>
          <w:szCs w:val="24"/>
        </w:rPr>
        <w:t xml:space="preserve"> </w:t>
      </w:r>
      <w:proofErr w:type="spellStart"/>
      <w:r w:rsidRPr="003058B2">
        <w:rPr>
          <w:rFonts w:ascii="Times New Roman" w:hAnsi="Times New Roman" w:cs="Times New Roman"/>
          <w:sz w:val="24"/>
          <w:szCs w:val="24"/>
        </w:rPr>
        <w:t>Weisbrod</w:t>
      </w:r>
      <w:proofErr w:type="spellEnd"/>
      <w:r w:rsidRPr="003058B2">
        <w:rPr>
          <w:rFonts w:ascii="Times New Roman" w:hAnsi="Times New Roman" w:cs="Times New Roman"/>
          <w:sz w:val="24"/>
          <w:szCs w:val="24"/>
        </w:rPr>
        <w:t>, B. A. (1998)</w:t>
      </w:r>
      <w:r>
        <w:rPr>
          <w:rFonts w:ascii="Times New Roman" w:hAnsi="Times New Roman" w:cs="Times New Roman"/>
          <w:sz w:val="24"/>
          <w:szCs w:val="24"/>
        </w:rPr>
        <w:t>.</w:t>
      </w:r>
      <w:proofErr w:type="gramEnd"/>
      <w:r w:rsidRPr="003058B2">
        <w:rPr>
          <w:rFonts w:ascii="Times New Roman" w:hAnsi="Times New Roman" w:cs="Times New Roman"/>
          <w:sz w:val="24"/>
          <w:szCs w:val="24"/>
        </w:rPr>
        <w:t xml:space="preserve"> </w:t>
      </w:r>
      <w:proofErr w:type="gramStart"/>
      <w:r w:rsidRPr="003058B2">
        <w:rPr>
          <w:rFonts w:ascii="Times New Roman" w:hAnsi="Times New Roman" w:cs="Times New Roman"/>
          <w:sz w:val="24"/>
          <w:szCs w:val="24"/>
        </w:rPr>
        <w:t>Interdependence of donative and commercial revenues</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I</w:t>
      </w:r>
      <w:r w:rsidRPr="003058B2">
        <w:rPr>
          <w:rFonts w:ascii="Times New Roman" w:hAnsi="Times New Roman" w:cs="Times New Roman"/>
          <w:sz w:val="24"/>
          <w:szCs w:val="24"/>
        </w:rPr>
        <w:t xml:space="preserve">n A. B. </w:t>
      </w:r>
      <w:proofErr w:type="spellStart"/>
      <w:r w:rsidRPr="003058B2">
        <w:rPr>
          <w:rFonts w:ascii="Times New Roman" w:hAnsi="Times New Roman" w:cs="Times New Roman"/>
          <w:sz w:val="24"/>
          <w:szCs w:val="24"/>
        </w:rPr>
        <w:t>Weisbrod</w:t>
      </w:r>
      <w:proofErr w:type="spellEnd"/>
      <w:r w:rsidRPr="003058B2">
        <w:rPr>
          <w:rFonts w:ascii="Times New Roman" w:hAnsi="Times New Roman" w:cs="Times New Roman"/>
          <w:sz w:val="24"/>
          <w:szCs w:val="24"/>
        </w:rPr>
        <w:t xml:space="preserve"> (ed.), </w:t>
      </w:r>
      <w:r w:rsidRPr="003058B2">
        <w:rPr>
          <w:rFonts w:ascii="Times New Roman" w:hAnsi="Times New Roman" w:cs="Times New Roman"/>
          <w:i/>
          <w:sz w:val="24"/>
          <w:szCs w:val="24"/>
        </w:rPr>
        <w:t>To Profit or Not to Profit?</w:t>
      </w:r>
      <w:proofErr w:type="gramEnd"/>
      <w:r>
        <w:rPr>
          <w:rFonts w:ascii="Times New Roman" w:hAnsi="Times New Roman" w:cs="Times New Roman"/>
          <w:i/>
          <w:sz w:val="24"/>
          <w:szCs w:val="24"/>
        </w:rPr>
        <w:t xml:space="preserve"> </w:t>
      </w:r>
      <w:r w:rsidRPr="00895F05">
        <w:rPr>
          <w:rFonts w:ascii="Times New Roman" w:hAnsi="Times New Roman" w:cs="Times New Roman"/>
          <w:sz w:val="24"/>
          <w:szCs w:val="24"/>
        </w:rPr>
        <w:t>(pp. 105-27)</w:t>
      </w:r>
      <w:r>
        <w:rPr>
          <w:rFonts w:ascii="Times New Roman" w:hAnsi="Times New Roman" w:cs="Times New Roman"/>
          <w:sz w:val="24"/>
          <w:szCs w:val="24"/>
        </w:rPr>
        <w:t>. Cambridge:</w:t>
      </w:r>
      <w:r w:rsidRPr="003058B2">
        <w:rPr>
          <w:rFonts w:ascii="Times New Roman" w:hAnsi="Times New Roman" w:cs="Times New Roman"/>
          <w:sz w:val="24"/>
          <w:szCs w:val="24"/>
        </w:rPr>
        <w:t xml:space="preserve"> Cambridge University Press.</w:t>
      </w:r>
    </w:p>
    <w:p w:rsidR="002279CF" w:rsidRDefault="002279CF" w:rsidP="003058B2">
      <w:pPr>
        <w:pStyle w:val="TSRCreferences"/>
        <w:ind w:left="720" w:hanging="720"/>
        <w:rPr>
          <w:rFonts w:ascii="Times New Roman" w:hAnsi="Times New Roman" w:cs="Times New Roman"/>
          <w:sz w:val="24"/>
          <w:szCs w:val="24"/>
        </w:rPr>
      </w:pPr>
      <w:r>
        <w:rPr>
          <w:rFonts w:ascii="Times New Roman" w:hAnsi="Times New Roman" w:cs="Times New Roman"/>
          <w:sz w:val="24"/>
          <w:szCs w:val="24"/>
        </w:rPr>
        <w:t xml:space="preserve">Teasdale, S. (2010). Models of social enterprise in the homelessness field, </w:t>
      </w:r>
      <w:r w:rsidRPr="00E5458B">
        <w:rPr>
          <w:rFonts w:ascii="Times New Roman" w:hAnsi="Times New Roman" w:cs="Times New Roman"/>
          <w:i/>
          <w:sz w:val="24"/>
          <w:szCs w:val="24"/>
        </w:rPr>
        <w:t>Social Enterprise Journal</w:t>
      </w:r>
      <w:r>
        <w:rPr>
          <w:rFonts w:ascii="Times New Roman" w:hAnsi="Times New Roman" w:cs="Times New Roman"/>
          <w:sz w:val="24"/>
          <w:szCs w:val="24"/>
        </w:rPr>
        <w:t>, 6(1), 23-34.</w:t>
      </w:r>
    </w:p>
    <w:p w:rsidR="00753FC0" w:rsidRPr="003058B2" w:rsidRDefault="00753FC0" w:rsidP="003058B2">
      <w:pPr>
        <w:pStyle w:val="TSRCreferences"/>
        <w:ind w:left="720" w:hanging="720"/>
        <w:rPr>
          <w:rFonts w:ascii="Times New Roman" w:hAnsi="Times New Roman" w:cs="Times New Roman"/>
          <w:sz w:val="24"/>
          <w:szCs w:val="24"/>
        </w:rPr>
      </w:pPr>
      <w:proofErr w:type="gramStart"/>
      <w:r>
        <w:rPr>
          <w:rFonts w:ascii="Times New Roman" w:hAnsi="Times New Roman" w:cs="Times New Roman"/>
          <w:sz w:val="24"/>
          <w:szCs w:val="24"/>
        </w:rPr>
        <w:t xml:space="preserve">Teasdale, S., </w:t>
      </w:r>
      <w:proofErr w:type="spellStart"/>
      <w:r>
        <w:rPr>
          <w:rFonts w:ascii="Times New Roman" w:hAnsi="Times New Roman" w:cs="Times New Roman"/>
          <w:sz w:val="24"/>
          <w:szCs w:val="24"/>
        </w:rPr>
        <w:t>Alcock</w:t>
      </w:r>
      <w:proofErr w:type="spellEnd"/>
      <w:r>
        <w:rPr>
          <w:rFonts w:ascii="Times New Roman" w:hAnsi="Times New Roman" w:cs="Times New Roman"/>
          <w:sz w:val="24"/>
          <w:szCs w:val="24"/>
        </w:rPr>
        <w:t>, P., &amp; Smith, G. (2012).</w:t>
      </w:r>
      <w:proofErr w:type="gramEnd"/>
      <w:r>
        <w:rPr>
          <w:rFonts w:ascii="Times New Roman" w:hAnsi="Times New Roman" w:cs="Times New Roman"/>
          <w:sz w:val="24"/>
          <w:szCs w:val="24"/>
        </w:rPr>
        <w:t xml:space="preserve"> </w:t>
      </w:r>
      <w:proofErr w:type="gramStart"/>
      <w:r w:rsidR="005368A8">
        <w:rPr>
          <w:rFonts w:ascii="Times New Roman" w:hAnsi="Times New Roman" w:cs="Times New Roman"/>
          <w:sz w:val="24"/>
          <w:szCs w:val="24"/>
        </w:rPr>
        <w:t>Legislating for the big society: the case of the Public Services (Social Value) Bill.</w:t>
      </w:r>
      <w:proofErr w:type="gramEnd"/>
      <w:r w:rsidR="005368A8">
        <w:rPr>
          <w:rFonts w:ascii="Times New Roman" w:hAnsi="Times New Roman" w:cs="Times New Roman"/>
          <w:sz w:val="24"/>
          <w:szCs w:val="24"/>
        </w:rPr>
        <w:t xml:space="preserve"> </w:t>
      </w:r>
      <w:r w:rsidR="005368A8" w:rsidRPr="00E5458B">
        <w:rPr>
          <w:rFonts w:ascii="Times New Roman" w:hAnsi="Times New Roman" w:cs="Times New Roman"/>
          <w:i/>
          <w:sz w:val="24"/>
          <w:szCs w:val="24"/>
        </w:rPr>
        <w:t>Public Money and Management</w:t>
      </w:r>
      <w:r w:rsidR="005368A8">
        <w:rPr>
          <w:rFonts w:ascii="Times New Roman" w:hAnsi="Times New Roman" w:cs="Times New Roman"/>
          <w:sz w:val="24"/>
          <w:szCs w:val="24"/>
        </w:rPr>
        <w:t>, 32(3), 201-208.</w:t>
      </w:r>
    </w:p>
    <w:p w:rsidR="002279CF" w:rsidRDefault="002279CF" w:rsidP="003058B2">
      <w:pPr>
        <w:pStyle w:val="TSRCreferences"/>
        <w:ind w:left="720" w:hanging="720"/>
        <w:rPr>
          <w:rFonts w:ascii="Times New Roman" w:hAnsi="Times New Roman" w:cs="Times New Roman"/>
          <w:sz w:val="24"/>
          <w:szCs w:val="24"/>
        </w:rPr>
      </w:pPr>
      <w:proofErr w:type="gramStart"/>
      <w:r>
        <w:rPr>
          <w:rFonts w:ascii="Times New Roman" w:hAnsi="Times New Roman" w:cs="Times New Roman"/>
          <w:sz w:val="24"/>
          <w:szCs w:val="24"/>
        </w:rPr>
        <w:t xml:space="preserve">Teasdale, S., </w:t>
      </w:r>
      <w:proofErr w:type="spellStart"/>
      <w:r>
        <w:rPr>
          <w:rFonts w:ascii="Times New Roman" w:hAnsi="Times New Roman" w:cs="Times New Roman"/>
          <w:sz w:val="24"/>
          <w:szCs w:val="24"/>
        </w:rPr>
        <w:t>Kerlin</w:t>
      </w:r>
      <w:proofErr w:type="spellEnd"/>
      <w:r>
        <w:rPr>
          <w:rFonts w:ascii="Times New Roman" w:hAnsi="Times New Roman" w:cs="Times New Roman"/>
          <w:sz w:val="24"/>
          <w:szCs w:val="24"/>
        </w:rPr>
        <w:t>, J., Young, D., and In-</w:t>
      </w:r>
      <w:proofErr w:type="spellStart"/>
      <w:r>
        <w:rPr>
          <w:rFonts w:ascii="Times New Roman" w:hAnsi="Times New Roman" w:cs="Times New Roman"/>
          <w:sz w:val="24"/>
          <w:szCs w:val="24"/>
        </w:rPr>
        <w:t>Soh</w:t>
      </w:r>
      <w:proofErr w:type="spellEnd"/>
      <w:r>
        <w:rPr>
          <w:rFonts w:ascii="Times New Roman" w:hAnsi="Times New Roman" w:cs="Times New Roman"/>
          <w:sz w:val="24"/>
          <w:szCs w:val="24"/>
        </w:rPr>
        <w:t>, J. (2013).</w:t>
      </w:r>
      <w:proofErr w:type="gramEnd"/>
      <w:r>
        <w:rPr>
          <w:rFonts w:ascii="Times New Roman" w:hAnsi="Times New Roman" w:cs="Times New Roman"/>
          <w:sz w:val="24"/>
          <w:szCs w:val="24"/>
        </w:rPr>
        <w:t xml:space="preserve"> Oil and water rarely mix: exploring the relative stability of non-profit revenue mixes over time, </w:t>
      </w:r>
      <w:r w:rsidRPr="00E5458B">
        <w:rPr>
          <w:rFonts w:ascii="Times New Roman" w:hAnsi="Times New Roman" w:cs="Times New Roman"/>
          <w:i/>
          <w:sz w:val="24"/>
          <w:szCs w:val="24"/>
        </w:rPr>
        <w:t>Journal of Social Entrepreneurship</w:t>
      </w:r>
      <w:r>
        <w:rPr>
          <w:rFonts w:ascii="Times New Roman" w:hAnsi="Times New Roman" w:cs="Times New Roman"/>
          <w:sz w:val="24"/>
          <w:szCs w:val="24"/>
        </w:rPr>
        <w:t xml:space="preserve">, 4(1), 69-87. </w:t>
      </w:r>
    </w:p>
    <w:p w:rsidR="002E69C1" w:rsidRDefault="002E69C1" w:rsidP="003058B2">
      <w:pPr>
        <w:pStyle w:val="TSRCreferences"/>
        <w:ind w:left="720" w:hanging="720"/>
        <w:rPr>
          <w:rFonts w:ascii="Times New Roman" w:hAnsi="Times New Roman" w:cs="Times New Roman"/>
          <w:sz w:val="24"/>
          <w:szCs w:val="24"/>
        </w:rPr>
      </w:pPr>
      <w:proofErr w:type="spellStart"/>
      <w:proofErr w:type="gramStart"/>
      <w:r w:rsidRPr="003058B2">
        <w:rPr>
          <w:rFonts w:ascii="Times New Roman" w:hAnsi="Times New Roman" w:cs="Times New Roman"/>
          <w:sz w:val="24"/>
          <w:szCs w:val="24"/>
        </w:rPr>
        <w:t>Tinkelman</w:t>
      </w:r>
      <w:proofErr w:type="spellEnd"/>
      <w:r w:rsidRPr="003058B2">
        <w:rPr>
          <w:rFonts w:ascii="Times New Roman" w:hAnsi="Times New Roman" w:cs="Times New Roman"/>
          <w:sz w:val="24"/>
          <w:szCs w:val="24"/>
        </w:rPr>
        <w:t>, D.</w:t>
      </w:r>
      <w:r>
        <w:rPr>
          <w:rFonts w:ascii="Times New Roman" w:hAnsi="Times New Roman" w:cs="Times New Roman"/>
          <w:sz w:val="24"/>
          <w:szCs w:val="24"/>
        </w:rPr>
        <w:t>,</w:t>
      </w:r>
      <w:r w:rsidRPr="003058B2">
        <w:rPr>
          <w:rFonts w:ascii="Times New Roman" w:hAnsi="Times New Roman" w:cs="Times New Roman"/>
          <w:sz w:val="24"/>
          <w:szCs w:val="24"/>
        </w:rPr>
        <w:t xml:space="preserve"> </w:t>
      </w:r>
      <w:r>
        <w:rPr>
          <w:rFonts w:ascii="Times New Roman" w:hAnsi="Times New Roman" w:cs="Times New Roman"/>
          <w:sz w:val="24"/>
          <w:szCs w:val="24"/>
        </w:rPr>
        <w:t>&amp;</w:t>
      </w:r>
      <w:r w:rsidRPr="003058B2">
        <w:rPr>
          <w:rFonts w:ascii="Times New Roman" w:hAnsi="Times New Roman" w:cs="Times New Roman"/>
          <w:sz w:val="24"/>
          <w:szCs w:val="24"/>
        </w:rPr>
        <w:t xml:space="preserve"> Neely, D. G. (201</w:t>
      </w:r>
      <w:r>
        <w:rPr>
          <w:rFonts w:ascii="Times New Roman" w:hAnsi="Times New Roman" w:cs="Times New Roman"/>
          <w:sz w:val="24"/>
          <w:szCs w:val="24"/>
        </w:rPr>
        <w:t>1</w:t>
      </w:r>
      <w:r w:rsidRPr="003058B2">
        <w:rPr>
          <w:rFonts w:ascii="Times New Roman" w:hAnsi="Times New Roman" w:cs="Times New Roman"/>
          <w:sz w:val="24"/>
          <w:szCs w:val="24"/>
        </w:rPr>
        <w:t>)</w:t>
      </w:r>
      <w:r>
        <w:rPr>
          <w:rFonts w:ascii="Times New Roman" w:hAnsi="Times New Roman" w:cs="Times New Roman"/>
          <w:sz w:val="24"/>
          <w:szCs w:val="24"/>
        </w:rPr>
        <w:t>.</w:t>
      </w:r>
      <w:proofErr w:type="gramEnd"/>
      <w:r w:rsidRPr="003058B2">
        <w:rPr>
          <w:rFonts w:ascii="Times New Roman" w:hAnsi="Times New Roman" w:cs="Times New Roman"/>
          <w:sz w:val="24"/>
          <w:szCs w:val="24"/>
        </w:rPr>
        <w:t xml:space="preserve"> Research Note: Some Econometric Issues in Studying </w:t>
      </w:r>
      <w:proofErr w:type="spellStart"/>
      <w:r w:rsidRPr="003058B2">
        <w:rPr>
          <w:rFonts w:ascii="Times New Roman" w:hAnsi="Times New Roman" w:cs="Times New Roman"/>
          <w:sz w:val="24"/>
          <w:szCs w:val="24"/>
        </w:rPr>
        <w:t>Nonprofit</w:t>
      </w:r>
      <w:proofErr w:type="spellEnd"/>
      <w:r w:rsidRPr="003058B2">
        <w:rPr>
          <w:rFonts w:ascii="Times New Roman" w:hAnsi="Times New Roman" w:cs="Times New Roman"/>
          <w:sz w:val="24"/>
          <w:szCs w:val="24"/>
        </w:rPr>
        <w:t xml:space="preserve"> Reven</w:t>
      </w:r>
      <w:r>
        <w:rPr>
          <w:rFonts w:ascii="Times New Roman" w:hAnsi="Times New Roman" w:cs="Times New Roman"/>
          <w:sz w:val="24"/>
          <w:szCs w:val="24"/>
        </w:rPr>
        <w:t>ue Interactions Using NCCS Data.</w:t>
      </w:r>
      <w:r w:rsidRPr="003058B2">
        <w:rPr>
          <w:rFonts w:ascii="Times New Roman" w:hAnsi="Times New Roman" w:cs="Times New Roman"/>
          <w:sz w:val="24"/>
          <w:szCs w:val="24"/>
        </w:rPr>
        <w:t xml:space="preserve"> </w:t>
      </w:r>
      <w:proofErr w:type="spellStart"/>
      <w:r w:rsidRPr="003058B2">
        <w:rPr>
          <w:rFonts w:ascii="Times New Roman" w:hAnsi="Times New Roman" w:cs="Times New Roman"/>
          <w:i/>
          <w:sz w:val="24"/>
          <w:szCs w:val="24"/>
        </w:rPr>
        <w:t>Nonprofit</w:t>
      </w:r>
      <w:proofErr w:type="spellEnd"/>
      <w:r w:rsidRPr="003058B2">
        <w:rPr>
          <w:rFonts w:ascii="Times New Roman" w:hAnsi="Times New Roman" w:cs="Times New Roman"/>
          <w:i/>
          <w:sz w:val="24"/>
          <w:szCs w:val="24"/>
        </w:rPr>
        <w:t xml:space="preserve"> and Voluntary Sector Quarterly</w:t>
      </w:r>
      <w:r w:rsidRPr="003058B2">
        <w:rPr>
          <w:rFonts w:ascii="Times New Roman" w:hAnsi="Times New Roman" w:cs="Times New Roman"/>
          <w:sz w:val="24"/>
          <w:szCs w:val="24"/>
        </w:rPr>
        <w:t xml:space="preserve">, </w:t>
      </w:r>
      <w:r>
        <w:rPr>
          <w:rFonts w:ascii="Times New Roman" w:hAnsi="Times New Roman" w:cs="Times New Roman"/>
          <w:sz w:val="24"/>
          <w:szCs w:val="24"/>
        </w:rPr>
        <w:t>40(4), 751-761.</w:t>
      </w:r>
    </w:p>
    <w:p w:rsidR="002E69C1" w:rsidRPr="003058B2" w:rsidRDefault="002E69C1" w:rsidP="003058B2">
      <w:pPr>
        <w:pStyle w:val="TSRCreferences"/>
        <w:ind w:left="720" w:hanging="720"/>
        <w:rPr>
          <w:rFonts w:ascii="Times New Roman" w:hAnsi="Times New Roman" w:cs="Times New Roman"/>
          <w:sz w:val="24"/>
          <w:szCs w:val="24"/>
        </w:rPr>
      </w:pPr>
      <w:proofErr w:type="spellStart"/>
      <w:r w:rsidRPr="003058B2">
        <w:rPr>
          <w:rFonts w:ascii="Times New Roman" w:hAnsi="Times New Roman" w:cs="Times New Roman"/>
          <w:sz w:val="24"/>
          <w:szCs w:val="24"/>
        </w:rPr>
        <w:lastRenderedPageBreak/>
        <w:t>Tsakalotos</w:t>
      </w:r>
      <w:proofErr w:type="spellEnd"/>
      <w:r w:rsidRPr="003058B2">
        <w:rPr>
          <w:rFonts w:ascii="Times New Roman" w:hAnsi="Times New Roman" w:cs="Times New Roman"/>
          <w:sz w:val="24"/>
          <w:szCs w:val="24"/>
        </w:rPr>
        <w:t>, E. (2005)</w:t>
      </w:r>
      <w:r>
        <w:rPr>
          <w:rFonts w:ascii="Times New Roman" w:hAnsi="Times New Roman" w:cs="Times New Roman"/>
          <w:sz w:val="24"/>
          <w:szCs w:val="24"/>
        </w:rPr>
        <w:t>.</w:t>
      </w:r>
      <w:r w:rsidRPr="003058B2">
        <w:rPr>
          <w:rFonts w:ascii="Times New Roman" w:hAnsi="Times New Roman" w:cs="Times New Roman"/>
          <w:sz w:val="24"/>
          <w:szCs w:val="24"/>
        </w:rPr>
        <w:t xml:space="preserve"> Homo </w:t>
      </w:r>
      <w:proofErr w:type="spellStart"/>
      <w:r w:rsidRPr="003058B2">
        <w:rPr>
          <w:rFonts w:ascii="Times New Roman" w:hAnsi="Times New Roman" w:cs="Times New Roman"/>
          <w:sz w:val="24"/>
          <w:szCs w:val="24"/>
        </w:rPr>
        <w:t>economicus</w:t>
      </w:r>
      <w:proofErr w:type="spellEnd"/>
      <w:r w:rsidRPr="003058B2">
        <w:rPr>
          <w:rFonts w:ascii="Times New Roman" w:hAnsi="Times New Roman" w:cs="Times New Roman"/>
          <w:sz w:val="24"/>
          <w:szCs w:val="24"/>
        </w:rPr>
        <w:t xml:space="preserve"> and the reconstruction of political economy: six theses on </w:t>
      </w:r>
      <w:r>
        <w:rPr>
          <w:rFonts w:ascii="Times New Roman" w:hAnsi="Times New Roman" w:cs="Times New Roman"/>
          <w:sz w:val="24"/>
          <w:szCs w:val="24"/>
        </w:rPr>
        <w:t>the role of values in economics.</w:t>
      </w:r>
      <w:r w:rsidRPr="003058B2">
        <w:rPr>
          <w:rFonts w:ascii="Times New Roman" w:hAnsi="Times New Roman" w:cs="Times New Roman"/>
          <w:sz w:val="24"/>
          <w:szCs w:val="24"/>
        </w:rPr>
        <w:t xml:space="preserve"> </w:t>
      </w:r>
      <w:r w:rsidRPr="003058B2">
        <w:rPr>
          <w:rFonts w:ascii="Times New Roman" w:hAnsi="Times New Roman" w:cs="Times New Roman"/>
          <w:i/>
          <w:sz w:val="24"/>
          <w:szCs w:val="24"/>
        </w:rPr>
        <w:t>Cambridge Journal of Economics,</w:t>
      </w:r>
      <w:r w:rsidRPr="003058B2">
        <w:rPr>
          <w:rFonts w:ascii="Times New Roman" w:hAnsi="Times New Roman" w:cs="Times New Roman"/>
          <w:sz w:val="24"/>
          <w:szCs w:val="24"/>
        </w:rPr>
        <w:t xml:space="preserve"> </w:t>
      </w:r>
      <w:r>
        <w:rPr>
          <w:rFonts w:ascii="Times New Roman" w:hAnsi="Times New Roman" w:cs="Times New Roman"/>
          <w:sz w:val="24"/>
          <w:szCs w:val="24"/>
        </w:rPr>
        <w:t>29,</w:t>
      </w:r>
      <w:r w:rsidRPr="003058B2">
        <w:rPr>
          <w:rFonts w:ascii="Times New Roman" w:hAnsi="Times New Roman" w:cs="Times New Roman"/>
          <w:sz w:val="24"/>
          <w:szCs w:val="24"/>
        </w:rPr>
        <w:t xml:space="preserve"> 893-908.</w:t>
      </w:r>
    </w:p>
    <w:p w:rsidR="002E69C1" w:rsidRPr="003058B2" w:rsidRDefault="002E69C1" w:rsidP="003058B2">
      <w:pPr>
        <w:pStyle w:val="TSRCreferences"/>
        <w:ind w:left="720" w:hanging="720"/>
        <w:rPr>
          <w:rFonts w:ascii="Times New Roman" w:hAnsi="Times New Roman" w:cs="Times New Roman"/>
          <w:sz w:val="24"/>
          <w:szCs w:val="24"/>
        </w:rPr>
      </w:pPr>
      <w:proofErr w:type="spellStart"/>
      <w:r w:rsidRPr="003058B2">
        <w:rPr>
          <w:rFonts w:ascii="Times New Roman" w:hAnsi="Times New Roman" w:cs="Times New Roman"/>
          <w:sz w:val="24"/>
          <w:szCs w:val="24"/>
        </w:rPr>
        <w:t>Weisbrod</w:t>
      </w:r>
      <w:proofErr w:type="spellEnd"/>
      <w:r w:rsidRPr="003058B2">
        <w:rPr>
          <w:rFonts w:ascii="Times New Roman" w:hAnsi="Times New Roman" w:cs="Times New Roman"/>
          <w:sz w:val="24"/>
          <w:szCs w:val="24"/>
        </w:rPr>
        <w:t xml:space="preserve">, B. (1975). Toward a theory of the voluntary </w:t>
      </w:r>
      <w:proofErr w:type="spellStart"/>
      <w:r w:rsidRPr="003058B2">
        <w:rPr>
          <w:rFonts w:ascii="Times New Roman" w:hAnsi="Times New Roman" w:cs="Times New Roman"/>
          <w:sz w:val="24"/>
          <w:szCs w:val="24"/>
        </w:rPr>
        <w:t>nonprofit</w:t>
      </w:r>
      <w:proofErr w:type="spellEnd"/>
      <w:r w:rsidRPr="003058B2">
        <w:rPr>
          <w:rFonts w:ascii="Times New Roman" w:hAnsi="Times New Roman" w:cs="Times New Roman"/>
          <w:sz w:val="24"/>
          <w:szCs w:val="24"/>
        </w:rPr>
        <w:t xml:space="preserve"> se</w:t>
      </w:r>
      <w:r>
        <w:rPr>
          <w:rFonts w:ascii="Times New Roman" w:hAnsi="Times New Roman" w:cs="Times New Roman"/>
          <w:sz w:val="24"/>
          <w:szCs w:val="24"/>
        </w:rPr>
        <w:t xml:space="preserve">ctor in a three -sector economy. </w:t>
      </w:r>
      <w:proofErr w:type="gramStart"/>
      <w:r>
        <w:rPr>
          <w:rFonts w:ascii="Times New Roman" w:hAnsi="Times New Roman" w:cs="Times New Roman"/>
          <w:sz w:val="24"/>
          <w:szCs w:val="24"/>
        </w:rPr>
        <w:t>I</w:t>
      </w:r>
      <w:r w:rsidRPr="003058B2">
        <w:rPr>
          <w:rFonts w:ascii="Times New Roman" w:hAnsi="Times New Roman" w:cs="Times New Roman"/>
          <w:sz w:val="24"/>
          <w:szCs w:val="24"/>
        </w:rPr>
        <w:t xml:space="preserve">n E. Phelps (ed.), </w:t>
      </w:r>
      <w:r w:rsidRPr="003058B2">
        <w:rPr>
          <w:rFonts w:ascii="Times New Roman" w:hAnsi="Times New Roman" w:cs="Times New Roman"/>
          <w:i/>
          <w:sz w:val="24"/>
          <w:szCs w:val="24"/>
        </w:rPr>
        <w:t>Altruism, Morality and Economic theory</w:t>
      </w:r>
      <w:r>
        <w:rPr>
          <w:rFonts w:ascii="Times New Roman" w:hAnsi="Times New Roman" w:cs="Times New Roman"/>
          <w:sz w:val="24"/>
          <w:szCs w:val="24"/>
        </w:rPr>
        <w:t>.</w:t>
      </w:r>
      <w:proofErr w:type="gramEnd"/>
      <w:r w:rsidRPr="003058B2">
        <w:rPr>
          <w:rFonts w:ascii="Times New Roman" w:hAnsi="Times New Roman" w:cs="Times New Roman"/>
          <w:sz w:val="24"/>
          <w:szCs w:val="24"/>
        </w:rPr>
        <w:t xml:space="preserve"> Russell</w:t>
      </w:r>
      <w:r>
        <w:rPr>
          <w:rFonts w:ascii="Times New Roman" w:hAnsi="Times New Roman" w:cs="Times New Roman"/>
          <w:sz w:val="24"/>
          <w:szCs w:val="24"/>
        </w:rPr>
        <w:t>:</w:t>
      </w:r>
      <w:r w:rsidRPr="003058B2">
        <w:rPr>
          <w:rFonts w:ascii="Times New Roman" w:hAnsi="Times New Roman" w:cs="Times New Roman"/>
          <w:sz w:val="24"/>
          <w:szCs w:val="24"/>
        </w:rPr>
        <w:t xml:space="preserve"> Sage.</w:t>
      </w:r>
    </w:p>
    <w:p w:rsidR="002E69C1" w:rsidRPr="003058B2" w:rsidRDefault="002E69C1" w:rsidP="003058B2">
      <w:pPr>
        <w:pStyle w:val="TSRCreferences"/>
        <w:ind w:left="720" w:hanging="720"/>
        <w:rPr>
          <w:rFonts w:ascii="Times New Roman" w:hAnsi="Times New Roman" w:cs="Times New Roman"/>
          <w:color w:val="000000"/>
          <w:sz w:val="24"/>
          <w:szCs w:val="24"/>
        </w:rPr>
      </w:pPr>
      <w:proofErr w:type="spellStart"/>
      <w:proofErr w:type="gramStart"/>
      <w:r w:rsidRPr="003058B2">
        <w:rPr>
          <w:rFonts w:ascii="Times New Roman" w:hAnsi="Times New Roman" w:cs="Times New Roman"/>
          <w:color w:val="000000"/>
          <w:sz w:val="24"/>
          <w:szCs w:val="24"/>
        </w:rPr>
        <w:t>Windmeijer</w:t>
      </w:r>
      <w:proofErr w:type="spellEnd"/>
      <w:r w:rsidRPr="003058B2">
        <w:rPr>
          <w:rFonts w:ascii="Times New Roman" w:hAnsi="Times New Roman" w:cs="Times New Roman"/>
          <w:color w:val="000000"/>
          <w:sz w:val="24"/>
          <w:szCs w:val="24"/>
        </w:rPr>
        <w:t>, F. (2005)</w:t>
      </w:r>
      <w:r>
        <w:rPr>
          <w:rFonts w:ascii="Times New Roman" w:hAnsi="Times New Roman" w:cs="Times New Roman"/>
          <w:color w:val="000000"/>
          <w:sz w:val="24"/>
          <w:szCs w:val="24"/>
        </w:rPr>
        <w:t>.</w:t>
      </w:r>
      <w:proofErr w:type="gramEnd"/>
      <w:r w:rsidRPr="003058B2">
        <w:rPr>
          <w:rFonts w:ascii="Times New Roman" w:hAnsi="Times New Roman" w:cs="Times New Roman"/>
          <w:color w:val="000000"/>
          <w:sz w:val="24"/>
          <w:szCs w:val="24"/>
        </w:rPr>
        <w:t xml:space="preserve"> </w:t>
      </w:r>
      <w:proofErr w:type="gramStart"/>
      <w:r w:rsidRPr="003058B2">
        <w:rPr>
          <w:rFonts w:ascii="Times New Roman" w:hAnsi="Times New Roman" w:cs="Times New Roman"/>
          <w:color w:val="000000"/>
          <w:sz w:val="24"/>
          <w:szCs w:val="24"/>
        </w:rPr>
        <w:t>A finite sample correction for the variance of linear efficient two-step GMM estimators</w:t>
      </w:r>
      <w:r>
        <w:rPr>
          <w:rFonts w:ascii="Times New Roman" w:hAnsi="Times New Roman" w:cs="Times New Roman"/>
          <w:i/>
          <w:color w:val="000000"/>
          <w:sz w:val="24"/>
          <w:szCs w:val="24"/>
        </w:rPr>
        <w:t>.</w:t>
      </w:r>
      <w:proofErr w:type="gramEnd"/>
      <w:r w:rsidRPr="003058B2">
        <w:rPr>
          <w:rFonts w:ascii="Times New Roman" w:hAnsi="Times New Roman" w:cs="Times New Roman"/>
          <w:i/>
          <w:color w:val="000000"/>
          <w:sz w:val="24"/>
          <w:szCs w:val="24"/>
        </w:rPr>
        <w:t xml:space="preserve"> Journal of Econometrics</w:t>
      </w:r>
      <w:r>
        <w:rPr>
          <w:rFonts w:ascii="Times New Roman" w:hAnsi="Times New Roman" w:cs="Times New Roman"/>
          <w:i/>
          <w:color w:val="000000"/>
          <w:sz w:val="24"/>
          <w:szCs w:val="24"/>
        </w:rPr>
        <w:t>,</w:t>
      </w:r>
      <w:r w:rsidRPr="003058B2">
        <w:rPr>
          <w:rFonts w:ascii="Times New Roman" w:hAnsi="Times New Roman" w:cs="Times New Roman"/>
          <w:color w:val="000000"/>
          <w:sz w:val="24"/>
          <w:szCs w:val="24"/>
        </w:rPr>
        <w:t xml:space="preserve"> </w:t>
      </w:r>
      <w:r>
        <w:rPr>
          <w:rFonts w:ascii="Times New Roman" w:hAnsi="Times New Roman" w:cs="Times New Roman"/>
          <w:color w:val="000000"/>
          <w:sz w:val="24"/>
          <w:szCs w:val="24"/>
        </w:rPr>
        <w:t>126</w:t>
      </w:r>
      <w:r w:rsidRPr="003058B2">
        <w:rPr>
          <w:rFonts w:ascii="Times New Roman" w:hAnsi="Times New Roman" w:cs="Times New Roman"/>
          <w:color w:val="000000"/>
          <w:sz w:val="24"/>
          <w:szCs w:val="24"/>
        </w:rPr>
        <w:t>, pp. 25-51.</w:t>
      </w:r>
    </w:p>
    <w:p w:rsidR="002E69C1" w:rsidRPr="003058B2" w:rsidRDefault="002E69C1" w:rsidP="003058B2">
      <w:pPr>
        <w:pStyle w:val="TSRCreferences"/>
        <w:ind w:left="720" w:hanging="720"/>
        <w:rPr>
          <w:rFonts w:ascii="Times New Roman" w:hAnsi="Times New Roman" w:cs="Times New Roman"/>
          <w:color w:val="000000"/>
          <w:sz w:val="24"/>
          <w:szCs w:val="24"/>
        </w:rPr>
      </w:pPr>
      <w:proofErr w:type="spellStart"/>
      <w:proofErr w:type="gramStart"/>
      <w:r w:rsidRPr="003058B2">
        <w:rPr>
          <w:rFonts w:ascii="Times New Roman" w:hAnsi="Times New Roman" w:cs="Times New Roman"/>
          <w:color w:val="000000"/>
          <w:sz w:val="24"/>
          <w:szCs w:val="24"/>
        </w:rPr>
        <w:t>Yetman</w:t>
      </w:r>
      <w:proofErr w:type="spellEnd"/>
      <w:r w:rsidRPr="003058B2">
        <w:rPr>
          <w:rFonts w:ascii="Times New Roman" w:hAnsi="Times New Roman" w:cs="Times New Roman"/>
          <w:color w:val="000000"/>
          <w:sz w:val="24"/>
          <w:szCs w:val="24"/>
        </w:rPr>
        <w:t>, M.</w:t>
      </w:r>
      <w:r>
        <w:rPr>
          <w:rFonts w:ascii="Times New Roman" w:hAnsi="Times New Roman" w:cs="Times New Roman"/>
          <w:color w:val="000000"/>
          <w:sz w:val="24"/>
          <w:szCs w:val="24"/>
        </w:rPr>
        <w:t>,</w:t>
      </w:r>
      <w:r w:rsidRPr="003058B2">
        <w:rPr>
          <w:rFonts w:ascii="Times New Roman" w:hAnsi="Times New Roman" w:cs="Times New Roman"/>
          <w:color w:val="000000"/>
          <w:sz w:val="24"/>
          <w:szCs w:val="24"/>
        </w:rPr>
        <w:t xml:space="preserve"> </w:t>
      </w:r>
      <w:r>
        <w:rPr>
          <w:rFonts w:ascii="Times New Roman" w:hAnsi="Times New Roman" w:cs="Times New Roman"/>
          <w:color w:val="000000"/>
          <w:sz w:val="24"/>
          <w:szCs w:val="24"/>
        </w:rPr>
        <w:t>&amp;</w:t>
      </w:r>
      <w:r w:rsidRPr="003058B2">
        <w:rPr>
          <w:rFonts w:ascii="Times New Roman" w:hAnsi="Times New Roman" w:cs="Times New Roman"/>
          <w:color w:val="000000"/>
          <w:sz w:val="24"/>
          <w:szCs w:val="24"/>
        </w:rPr>
        <w:t xml:space="preserve"> </w:t>
      </w:r>
      <w:proofErr w:type="spellStart"/>
      <w:r w:rsidRPr="003058B2">
        <w:rPr>
          <w:rFonts w:ascii="Times New Roman" w:hAnsi="Times New Roman" w:cs="Times New Roman"/>
          <w:color w:val="000000"/>
          <w:sz w:val="24"/>
          <w:szCs w:val="24"/>
        </w:rPr>
        <w:t>Yetman</w:t>
      </w:r>
      <w:proofErr w:type="spellEnd"/>
      <w:r w:rsidRPr="003058B2">
        <w:rPr>
          <w:rFonts w:ascii="Times New Roman" w:hAnsi="Times New Roman" w:cs="Times New Roman"/>
          <w:color w:val="000000"/>
          <w:sz w:val="24"/>
          <w:szCs w:val="24"/>
        </w:rPr>
        <w:t>, R. (2003)</w:t>
      </w:r>
      <w:r>
        <w:rPr>
          <w:rFonts w:ascii="Times New Roman" w:hAnsi="Times New Roman" w:cs="Times New Roman"/>
          <w:color w:val="000000"/>
          <w:sz w:val="24"/>
          <w:szCs w:val="24"/>
        </w:rPr>
        <w:t>.</w:t>
      </w:r>
      <w:proofErr w:type="gramEnd"/>
      <w:r w:rsidRPr="003058B2">
        <w:rPr>
          <w:rFonts w:ascii="Times New Roman" w:hAnsi="Times New Roman" w:cs="Times New Roman"/>
          <w:color w:val="000000"/>
          <w:sz w:val="24"/>
          <w:szCs w:val="24"/>
        </w:rPr>
        <w:t xml:space="preserve"> </w:t>
      </w:r>
      <w:proofErr w:type="gramStart"/>
      <w:r w:rsidRPr="003058B2">
        <w:rPr>
          <w:rFonts w:ascii="Times New Roman" w:hAnsi="Times New Roman" w:cs="Times New Roman"/>
          <w:color w:val="000000"/>
          <w:sz w:val="24"/>
          <w:szCs w:val="24"/>
        </w:rPr>
        <w:t>The effect of nonprofits’ taxable activities on the suppl</w:t>
      </w:r>
      <w:r>
        <w:rPr>
          <w:rFonts w:ascii="Times New Roman" w:hAnsi="Times New Roman" w:cs="Times New Roman"/>
          <w:color w:val="000000"/>
          <w:sz w:val="24"/>
          <w:szCs w:val="24"/>
        </w:rPr>
        <w:t>y of private donations.</w:t>
      </w:r>
      <w:proofErr w:type="gramEnd"/>
      <w:r w:rsidRPr="003058B2">
        <w:rPr>
          <w:rFonts w:ascii="Times New Roman" w:hAnsi="Times New Roman" w:cs="Times New Roman"/>
          <w:color w:val="000000"/>
          <w:sz w:val="24"/>
          <w:szCs w:val="24"/>
        </w:rPr>
        <w:t xml:space="preserve"> </w:t>
      </w:r>
      <w:r w:rsidRPr="003058B2">
        <w:rPr>
          <w:rFonts w:ascii="Times New Roman" w:hAnsi="Times New Roman" w:cs="Times New Roman"/>
          <w:i/>
          <w:color w:val="000000"/>
          <w:sz w:val="24"/>
          <w:szCs w:val="24"/>
        </w:rPr>
        <w:t>National Tax Journal,</w:t>
      </w:r>
      <w:r w:rsidRPr="003058B2">
        <w:rPr>
          <w:rFonts w:ascii="Times New Roman" w:hAnsi="Times New Roman" w:cs="Times New Roman"/>
          <w:color w:val="000000"/>
          <w:sz w:val="24"/>
          <w:szCs w:val="24"/>
        </w:rPr>
        <w:t xml:space="preserve"> </w:t>
      </w:r>
      <w:r>
        <w:rPr>
          <w:rFonts w:ascii="Times New Roman" w:hAnsi="Times New Roman" w:cs="Times New Roman"/>
          <w:color w:val="000000"/>
          <w:sz w:val="24"/>
          <w:szCs w:val="24"/>
        </w:rPr>
        <w:t>56(1),</w:t>
      </w:r>
      <w:r w:rsidRPr="003058B2">
        <w:rPr>
          <w:rFonts w:ascii="Times New Roman" w:hAnsi="Times New Roman" w:cs="Times New Roman"/>
          <w:color w:val="000000"/>
          <w:sz w:val="24"/>
          <w:szCs w:val="24"/>
        </w:rPr>
        <w:t xml:space="preserve"> 243-58.</w:t>
      </w:r>
    </w:p>
    <w:p w:rsidR="002E69C1" w:rsidRPr="003058B2" w:rsidRDefault="002E69C1" w:rsidP="003058B2">
      <w:pPr>
        <w:pStyle w:val="TSRCreferences"/>
        <w:ind w:left="720" w:hanging="720"/>
        <w:rPr>
          <w:rFonts w:ascii="Times New Roman" w:hAnsi="Times New Roman" w:cs="Times New Roman"/>
          <w:color w:val="000000"/>
          <w:sz w:val="24"/>
          <w:szCs w:val="24"/>
        </w:rPr>
      </w:pPr>
      <w:proofErr w:type="spellStart"/>
      <w:proofErr w:type="gramStart"/>
      <w:r w:rsidRPr="003058B2">
        <w:rPr>
          <w:rFonts w:ascii="Times New Roman" w:hAnsi="Times New Roman" w:cs="Times New Roman"/>
          <w:color w:val="000000"/>
          <w:sz w:val="24"/>
          <w:szCs w:val="24"/>
        </w:rPr>
        <w:t>Yetman</w:t>
      </w:r>
      <w:proofErr w:type="spellEnd"/>
      <w:r w:rsidRPr="003058B2">
        <w:rPr>
          <w:rFonts w:ascii="Times New Roman" w:hAnsi="Times New Roman" w:cs="Times New Roman"/>
          <w:color w:val="000000"/>
          <w:sz w:val="24"/>
          <w:szCs w:val="24"/>
        </w:rPr>
        <w:t xml:space="preserve">, M., </w:t>
      </w:r>
      <w:proofErr w:type="spellStart"/>
      <w:r w:rsidRPr="003058B2">
        <w:rPr>
          <w:rFonts w:ascii="Times New Roman" w:hAnsi="Times New Roman" w:cs="Times New Roman"/>
          <w:color w:val="000000"/>
          <w:sz w:val="24"/>
          <w:szCs w:val="24"/>
        </w:rPr>
        <w:t>Yetman</w:t>
      </w:r>
      <w:proofErr w:type="spellEnd"/>
      <w:r w:rsidRPr="003058B2">
        <w:rPr>
          <w:rFonts w:ascii="Times New Roman" w:hAnsi="Times New Roman" w:cs="Times New Roman"/>
          <w:color w:val="000000"/>
          <w:sz w:val="24"/>
          <w:szCs w:val="24"/>
        </w:rPr>
        <w:t>, R.</w:t>
      </w:r>
      <w:r>
        <w:rPr>
          <w:rFonts w:ascii="Times New Roman" w:hAnsi="Times New Roman" w:cs="Times New Roman"/>
          <w:color w:val="000000"/>
          <w:sz w:val="24"/>
          <w:szCs w:val="24"/>
        </w:rPr>
        <w:t>,</w:t>
      </w:r>
      <w:r w:rsidRPr="003058B2">
        <w:rPr>
          <w:rFonts w:ascii="Times New Roman" w:hAnsi="Times New Roman" w:cs="Times New Roman"/>
          <w:color w:val="000000"/>
          <w:sz w:val="24"/>
          <w:szCs w:val="24"/>
        </w:rPr>
        <w:t xml:space="preserve"> </w:t>
      </w:r>
      <w:r>
        <w:rPr>
          <w:rFonts w:ascii="Times New Roman" w:hAnsi="Times New Roman" w:cs="Times New Roman"/>
          <w:color w:val="000000"/>
          <w:sz w:val="24"/>
          <w:szCs w:val="24"/>
        </w:rPr>
        <w:t>&amp;</w:t>
      </w:r>
      <w:r w:rsidRPr="003058B2">
        <w:rPr>
          <w:rFonts w:ascii="Times New Roman" w:hAnsi="Times New Roman" w:cs="Times New Roman"/>
          <w:color w:val="000000"/>
          <w:sz w:val="24"/>
          <w:szCs w:val="24"/>
        </w:rPr>
        <w:t xml:space="preserve"> </w:t>
      </w:r>
      <w:proofErr w:type="spellStart"/>
      <w:r w:rsidRPr="003058B2">
        <w:rPr>
          <w:rFonts w:ascii="Times New Roman" w:hAnsi="Times New Roman" w:cs="Times New Roman"/>
          <w:color w:val="000000"/>
          <w:sz w:val="24"/>
          <w:szCs w:val="24"/>
        </w:rPr>
        <w:t>Badertscher</w:t>
      </w:r>
      <w:proofErr w:type="spellEnd"/>
      <w:r w:rsidRPr="003058B2">
        <w:rPr>
          <w:rFonts w:ascii="Times New Roman" w:hAnsi="Times New Roman" w:cs="Times New Roman"/>
          <w:color w:val="000000"/>
          <w:sz w:val="24"/>
          <w:szCs w:val="24"/>
        </w:rPr>
        <w:t>, B. (2009)</w:t>
      </w:r>
      <w:r>
        <w:rPr>
          <w:rFonts w:ascii="Times New Roman" w:hAnsi="Times New Roman" w:cs="Times New Roman"/>
          <w:color w:val="000000"/>
          <w:sz w:val="24"/>
          <w:szCs w:val="24"/>
        </w:rPr>
        <w:t>.</w:t>
      </w:r>
      <w:proofErr w:type="gramEnd"/>
      <w:r w:rsidRPr="003058B2">
        <w:rPr>
          <w:rFonts w:ascii="Times New Roman" w:hAnsi="Times New Roman" w:cs="Times New Roman"/>
          <w:color w:val="000000"/>
          <w:sz w:val="24"/>
          <w:szCs w:val="24"/>
        </w:rPr>
        <w:t xml:space="preserve"> </w:t>
      </w:r>
      <w:proofErr w:type="gramStart"/>
      <w:r w:rsidRPr="003058B2">
        <w:rPr>
          <w:rFonts w:ascii="Times New Roman" w:hAnsi="Times New Roman" w:cs="Times New Roman"/>
          <w:color w:val="000000"/>
          <w:sz w:val="24"/>
          <w:szCs w:val="24"/>
        </w:rPr>
        <w:t xml:space="preserve">Calibrating the reliability of publicly available </w:t>
      </w:r>
      <w:proofErr w:type="spellStart"/>
      <w:r w:rsidRPr="003058B2">
        <w:rPr>
          <w:rFonts w:ascii="Times New Roman" w:hAnsi="Times New Roman" w:cs="Times New Roman"/>
          <w:color w:val="000000"/>
          <w:sz w:val="24"/>
          <w:szCs w:val="24"/>
        </w:rPr>
        <w:t>nonprofit</w:t>
      </w:r>
      <w:proofErr w:type="spellEnd"/>
      <w:r w:rsidRPr="003058B2">
        <w:rPr>
          <w:rFonts w:ascii="Times New Roman" w:hAnsi="Times New Roman" w:cs="Times New Roman"/>
          <w:color w:val="000000"/>
          <w:sz w:val="24"/>
          <w:szCs w:val="24"/>
        </w:rPr>
        <w:t xml:space="preserve"> taxable activity disclosures: Compar</w:t>
      </w:r>
      <w:r>
        <w:rPr>
          <w:rFonts w:ascii="Times New Roman" w:hAnsi="Times New Roman" w:cs="Times New Roman"/>
          <w:color w:val="000000"/>
          <w:sz w:val="24"/>
          <w:szCs w:val="24"/>
        </w:rPr>
        <w:t>ing IRS 990 and IRS 990- T data.</w:t>
      </w:r>
      <w:proofErr w:type="gramEnd"/>
      <w:r w:rsidRPr="003058B2">
        <w:rPr>
          <w:rFonts w:ascii="Times New Roman" w:hAnsi="Times New Roman" w:cs="Times New Roman"/>
          <w:color w:val="000000"/>
          <w:sz w:val="24"/>
          <w:szCs w:val="24"/>
        </w:rPr>
        <w:t xml:space="preserve"> </w:t>
      </w:r>
      <w:proofErr w:type="spellStart"/>
      <w:r w:rsidRPr="003058B2">
        <w:rPr>
          <w:rFonts w:ascii="Times New Roman" w:hAnsi="Times New Roman" w:cs="Times New Roman"/>
          <w:i/>
          <w:color w:val="000000"/>
          <w:sz w:val="24"/>
          <w:szCs w:val="24"/>
        </w:rPr>
        <w:t>Nonprofit</w:t>
      </w:r>
      <w:proofErr w:type="spellEnd"/>
      <w:r w:rsidRPr="003058B2">
        <w:rPr>
          <w:rFonts w:ascii="Times New Roman" w:hAnsi="Times New Roman" w:cs="Times New Roman"/>
          <w:i/>
          <w:color w:val="000000"/>
          <w:sz w:val="24"/>
          <w:szCs w:val="24"/>
        </w:rPr>
        <w:t xml:space="preserve"> and Voluntary Sector Quarterly</w:t>
      </w:r>
      <w:r w:rsidRPr="003058B2">
        <w:rPr>
          <w:rFonts w:ascii="Times New Roman" w:hAnsi="Times New Roman" w:cs="Times New Roman"/>
          <w:color w:val="000000"/>
          <w:sz w:val="24"/>
          <w:szCs w:val="24"/>
        </w:rPr>
        <w:t xml:space="preserve">, </w:t>
      </w:r>
      <w:r>
        <w:rPr>
          <w:rFonts w:ascii="Times New Roman" w:hAnsi="Times New Roman" w:cs="Times New Roman"/>
          <w:color w:val="000000"/>
          <w:sz w:val="24"/>
          <w:szCs w:val="24"/>
        </w:rPr>
        <w:t>38(1),</w:t>
      </w:r>
      <w:r w:rsidRPr="003058B2">
        <w:rPr>
          <w:rFonts w:ascii="Times New Roman" w:hAnsi="Times New Roman" w:cs="Times New Roman"/>
          <w:color w:val="000000"/>
          <w:sz w:val="24"/>
          <w:szCs w:val="24"/>
        </w:rPr>
        <w:t xml:space="preserve"> 95-116.</w:t>
      </w:r>
    </w:p>
    <w:p w:rsidR="002E69C1" w:rsidRDefault="002E69C1">
      <w:pPr>
        <w:rPr>
          <w:rStyle w:val="Strong"/>
          <w:rFonts w:ascii="Times New Roman" w:eastAsia="Times New Roman" w:hAnsi="Times New Roman" w:cs="Times New Roman"/>
          <w:sz w:val="24"/>
          <w:szCs w:val="24"/>
        </w:rPr>
      </w:pPr>
      <w:r>
        <w:rPr>
          <w:rStyle w:val="Strong"/>
          <w:rFonts w:ascii="Times New Roman" w:hAnsi="Times New Roman" w:cs="Times New Roman"/>
          <w:sz w:val="24"/>
          <w:szCs w:val="24"/>
        </w:rPr>
        <w:br w:type="page"/>
      </w:r>
    </w:p>
    <w:p w:rsidR="002E69C1" w:rsidRPr="00E91507" w:rsidRDefault="002E69C1" w:rsidP="00896CE2">
      <w:pPr>
        <w:pStyle w:val="TSRCBody"/>
        <w:spacing w:line="336" w:lineRule="auto"/>
        <w:ind w:firstLine="0"/>
        <w:rPr>
          <w:rStyle w:val="Strong"/>
          <w:rFonts w:ascii="Times New Roman" w:hAnsi="Times New Roman" w:cs="Times New Roman"/>
          <w:sz w:val="24"/>
          <w:szCs w:val="24"/>
        </w:rPr>
      </w:pPr>
      <w:r w:rsidRPr="00E91507">
        <w:rPr>
          <w:rStyle w:val="Strong"/>
          <w:rFonts w:ascii="Times New Roman" w:hAnsi="Times New Roman" w:cs="Times New Roman"/>
          <w:sz w:val="24"/>
          <w:szCs w:val="24"/>
        </w:rPr>
        <w:lastRenderedPageBreak/>
        <w:t>Figures</w:t>
      </w:r>
    </w:p>
    <w:p w:rsidR="002E69C1" w:rsidRPr="00E91507" w:rsidRDefault="002E69C1" w:rsidP="00E91507">
      <w:pPr>
        <w:pStyle w:val="TSRCtablefigureheading"/>
        <w:rPr>
          <w:rFonts w:ascii="Times New Roman" w:hAnsi="Times New Roman" w:cs="Times New Roman"/>
          <w:sz w:val="24"/>
          <w:szCs w:val="24"/>
          <w:u w:val="none"/>
        </w:rPr>
      </w:pPr>
      <w:proofErr w:type="gramStart"/>
      <w:r w:rsidRPr="00E91507">
        <w:rPr>
          <w:rFonts w:ascii="Times New Roman" w:hAnsi="Times New Roman" w:cs="Times New Roman"/>
          <w:sz w:val="24"/>
          <w:szCs w:val="24"/>
          <w:u w:val="none"/>
        </w:rPr>
        <w:t>Figure 1.</w:t>
      </w:r>
      <w:proofErr w:type="gramEnd"/>
      <w:r w:rsidRPr="00E91507">
        <w:rPr>
          <w:rFonts w:ascii="Times New Roman" w:hAnsi="Times New Roman" w:cs="Times New Roman"/>
          <w:sz w:val="24"/>
          <w:szCs w:val="24"/>
          <w:u w:val="none"/>
        </w:rPr>
        <w:t xml:space="preserve"> </w:t>
      </w:r>
      <w:r w:rsidRPr="00E91507">
        <w:rPr>
          <w:rFonts w:ascii="Times New Roman" w:hAnsi="Times New Roman" w:cs="Times New Roman"/>
          <w:b w:val="0"/>
          <w:sz w:val="24"/>
          <w:szCs w:val="24"/>
          <w:u w:val="none"/>
        </w:rPr>
        <w:t>All general charities, commercial and total income since 2000/01 (£ billions) (derived from NCVO, 2010)</w:t>
      </w:r>
    </w:p>
    <w:p w:rsidR="002E69C1" w:rsidRPr="000247A3" w:rsidRDefault="002E69C1" w:rsidP="00E91507">
      <w:pPr>
        <w:spacing w:line="360" w:lineRule="auto"/>
        <w:rPr>
          <w:rFonts w:cs="Arial"/>
          <w:sz w:val="20"/>
          <w:szCs w:val="20"/>
        </w:rPr>
      </w:pPr>
      <w:r w:rsidRPr="000247A3">
        <w:rPr>
          <w:rFonts w:cs="Arial"/>
          <w:noProof/>
          <w:sz w:val="20"/>
          <w:szCs w:val="20"/>
        </w:rPr>
        <w:drawing>
          <wp:inline distT="0" distB="0" distL="0" distR="0">
            <wp:extent cx="5731510" cy="2980263"/>
            <wp:effectExtent l="19050" t="0" r="21590" b="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2E69C1" w:rsidRDefault="002E69C1">
      <w:pPr>
        <w:rPr>
          <w:rFonts w:ascii="Times New Roman" w:eastAsia="Times New Roman" w:hAnsi="Times New Roman" w:cs="Times New Roman"/>
          <w:b/>
          <w:bCs/>
          <w:sz w:val="24"/>
          <w:szCs w:val="24"/>
        </w:rPr>
      </w:pPr>
      <w:r>
        <w:rPr>
          <w:rFonts w:ascii="Times New Roman" w:hAnsi="Times New Roman" w:cs="Times New Roman"/>
          <w:sz w:val="24"/>
          <w:szCs w:val="24"/>
        </w:rPr>
        <w:br w:type="page"/>
      </w:r>
    </w:p>
    <w:p w:rsidR="002E69C1" w:rsidRPr="00E91507" w:rsidRDefault="002E69C1" w:rsidP="00E91507">
      <w:pPr>
        <w:pStyle w:val="TSRCtablefigureheading"/>
        <w:rPr>
          <w:rFonts w:ascii="Times New Roman" w:hAnsi="Times New Roman" w:cs="Times New Roman"/>
          <w:b w:val="0"/>
          <w:sz w:val="24"/>
          <w:szCs w:val="24"/>
          <w:u w:val="none"/>
        </w:rPr>
      </w:pPr>
      <w:proofErr w:type="gramStart"/>
      <w:r w:rsidRPr="00E91507">
        <w:rPr>
          <w:rFonts w:ascii="Times New Roman" w:hAnsi="Times New Roman" w:cs="Times New Roman"/>
          <w:sz w:val="24"/>
          <w:szCs w:val="24"/>
          <w:u w:val="none"/>
        </w:rPr>
        <w:lastRenderedPageBreak/>
        <w:t>Figure 2.</w:t>
      </w:r>
      <w:proofErr w:type="gramEnd"/>
      <w:r w:rsidRPr="00E91507">
        <w:rPr>
          <w:rFonts w:ascii="Times New Roman" w:hAnsi="Times New Roman" w:cs="Times New Roman"/>
          <w:sz w:val="24"/>
          <w:szCs w:val="24"/>
          <w:u w:val="none"/>
        </w:rPr>
        <w:t xml:space="preserve"> </w:t>
      </w:r>
      <w:r w:rsidRPr="00E91507">
        <w:rPr>
          <w:rFonts w:ascii="Times New Roman" w:hAnsi="Times New Roman" w:cs="Times New Roman"/>
          <w:b w:val="0"/>
          <w:sz w:val="24"/>
          <w:szCs w:val="24"/>
          <w:u w:val="none"/>
        </w:rPr>
        <w:t>Commercial revenue as percentage of total, by field of activity, in 2003 and 2007</w:t>
      </w:r>
    </w:p>
    <w:p w:rsidR="002E69C1" w:rsidRPr="000247A3" w:rsidRDefault="002E69C1" w:rsidP="00E91507">
      <w:pPr>
        <w:spacing w:line="480" w:lineRule="auto"/>
        <w:rPr>
          <w:rFonts w:cs="Arial"/>
          <w:sz w:val="20"/>
          <w:szCs w:val="20"/>
        </w:rPr>
      </w:pPr>
      <w:r w:rsidRPr="000247A3">
        <w:rPr>
          <w:rFonts w:cs="Arial"/>
          <w:noProof/>
          <w:sz w:val="20"/>
          <w:szCs w:val="20"/>
        </w:rPr>
        <w:drawing>
          <wp:inline distT="0" distB="0" distL="0" distR="0">
            <wp:extent cx="5267325" cy="5257800"/>
            <wp:effectExtent l="19050" t="0" r="9525" b="0"/>
            <wp:docPr id="3" name="Picture 1" descr="simon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mon_2"/>
                    <pic:cNvPicPr>
                      <a:picLocks noChangeAspect="1" noChangeArrowheads="1"/>
                    </pic:cNvPicPr>
                  </pic:nvPicPr>
                  <pic:blipFill>
                    <a:blip r:embed="rId11" cstate="print"/>
                    <a:srcRect/>
                    <a:stretch>
                      <a:fillRect/>
                    </a:stretch>
                  </pic:blipFill>
                  <pic:spPr bwMode="auto">
                    <a:xfrm>
                      <a:off x="0" y="0"/>
                      <a:ext cx="5267325" cy="5257800"/>
                    </a:xfrm>
                    <a:prstGeom prst="rect">
                      <a:avLst/>
                    </a:prstGeom>
                    <a:noFill/>
                    <a:ln w="9525">
                      <a:noFill/>
                      <a:miter lim="800000"/>
                      <a:headEnd/>
                      <a:tailEnd/>
                    </a:ln>
                  </pic:spPr>
                </pic:pic>
              </a:graphicData>
            </a:graphic>
          </wp:inline>
        </w:drawing>
      </w:r>
    </w:p>
    <w:p w:rsidR="002E69C1" w:rsidRDefault="002E69C1" w:rsidP="00E91507"/>
    <w:p w:rsidR="002E69C1" w:rsidRDefault="002E69C1" w:rsidP="00E91507"/>
    <w:p w:rsidR="002E69C1" w:rsidRDefault="002E69C1" w:rsidP="00896CE2">
      <w:pPr>
        <w:pStyle w:val="TSRCBody"/>
        <w:spacing w:line="336" w:lineRule="auto"/>
        <w:ind w:firstLine="0"/>
        <w:rPr>
          <w:rStyle w:val="Strong"/>
          <w:rFonts w:ascii="Times New Roman" w:hAnsi="Times New Roman" w:cs="Times New Roman"/>
          <w:b w:val="0"/>
          <w:sz w:val="24"/>
          <w:szCs w:val="24"/>
        </w:rPr>
      </w:pPr>
    </w:p>
    <w:p w:rsidR="002E69C1" w:rsidRDefault="002E69C1">
      <w:pPr>
        <w:rPr>
          <w:rStyle w:val="Strong"/>
          <w:rFonts w:ascii="Times New Roman" w:eastAsia="Times New Roman" w:hAnsi="Times New Roman" w:cs="Times New Roman"/>
          <w:sz w:val="24"/>
          <w:szCs w:val="24"/>
        </w:rPr>
      </w:pPr>
      <w:r>
        <w:rPr>
          <w:rStyle w:val="Strong"/>
          <w:rFonts w:ascii="Times New Roman" w:hAnsi="Times New Roman" w:cs="Times New Roman"/>
          <w:sz w:val="24"/>
          <w:szCs w:val="24"/>
        </w:rPr>
        <w:br w:type="page"/>
      </w:r>
    </w:p>
    <w:p w:rsidR="002E69C1" w:rsidRDefault="002E69C1" w:rsidP="00896CE2">
      <w:pPr>
        <w:pStyle w:val="TSRCBody"/>
        <w:spacing w:line="336" w:lineRule="auto"/>
        <w:ind w:firstLine="0"/>
        <w:rPr>
          <w:rStyle w:val="Strong"/>
          <w:rFonts w:ascii="Times New Roman" w:hAnsi="Times New Roman" w:cs="Times New Roman"/>
          <w:sz w:val="24"/>
          <w:szCs w:val="24"/>
        </w:rPr>
      </w:pPr>
      <w:r w:rsidRPr="00E91507">
        <w:rPr>
          <w:rStyle w:val="Strong"/>
          <w:rFonts w:ascii="Times New Roman" w:hAnsi="Times New Roman" w:cs="Times New Roman"/>
          <w:sz w:val="24"/>
          <w:szCs w:val="24"/>
        </w:rPr>
        <w:lastRenderedPageBreak/>
        <w:t>Tables</w:t>
      </w:r>
    </w:p>
    <w:p w:rsidR="002E69C1" w:rsidRPr="009A08C1" w:rsidRDefault="002E69C1" w:rsidP="00E91507">
      <w:pPr>
        <w:pStyle w:val="TSRCtablefigureheading"/>
      </w:pPr>
    </w:p>
    <w:tbl>
      <w:tblPr>
        <w:tblW w:w="9039" w:type="dxa"/>
        <w:jc w:val="center"/>
        <w:tblBorders>
          <w:top w:val="single" w:sz="4" w:space="0" w:color="auto"/>
          <w:bottom w:val="single" w:sz="4" w:space="0" w:color="auto"/>
        </w:tblBorders>
        <w:tblCellMar>
          <w:top w:w="113" w:type="dxa"/>
        </w:tblCellMar>
        <w:tblLook w:val="04A0" w:firstRow="1" w:lastRow="0" w:firstColumn="1" w:lastColumn="0" w:noHBand="0" w:noVBand="1"/>
      </w:tblPr>
      <w:tblGrid>
        <w:gridCol w:w="3652"/>
        <w:gridCol w:w="5387"/>
      </w:tblGrid>
      <w:tr w:rsidR="002E69C1" w:rsidRPr="000247A3" w:rsidTr="000B1EF6">
        <w:trPr>
          <w:jc w:val="center"/>
        </w:trPr>
        <w:tc>
          <w:tcPr>
            <w:tcW w:w="9039" w:type="dxa"/>
            <w:gridSpan w:val="2"/>
            <w:tcBorders>
              <w:top w:val="single" w:sz="4" w:space="0" w:color="auto"/>
              <w:bottom w:val="single" w:sz="4" w:space="0" w:color="auto"/>
            </w:tcBorders>
          </w:tcPr>
          <w:p w:rsidR="002E69C1" w:rsidRPr="00E91507" w:rsidRDefault="002E69C1" w:rsidP="00E91507">
            <w:pPr>
              <w:pStyle w:val="TSRCtablefigureheading"/>
              <w:rPr>
                <w:rFonts w:ascii="Times New Roman" w:hAnsi="Times New Roman" w:cs="Times New Roman"/>
                <w:sz w:val="24"/>
                <w:szCs w:val="24"/>
                <w:u w:val="none"/>
              </w:rPr>
            </w:pPr>
            <w:r w:rsidRPr="00E91507">
              <w:rPr>
                <w:rFonts w:ascii="Times New Roman" w:hAnsi="Times New Roman" w:cs="Times New Roman"/>
                <w:sz w:val="24"/>
                <w:szCs w:val="24"/>
                <w:u w:val="none"/>
              </w:rPr>
              <w:t xml:space="preserve">Table 1. </w:t>
            </w:r>
            <w:r w:rsidRPr="00E91507">
              <w:rPr>
                <w:rFonts w:ascii="Times New Roman" w:hAnsi="Times New Roman" w:cs="Times New Roman"/>
                <w:b w:val="0"/>
                <w:sz w:val="24"/>
                <w:szCs w:val="24"/>
                <w:u w:val="none"/>
              </w:rPr>
              <w:t>Types of commercial revenue</w:t>
            </w:r>
          </w:p>
        </w:tc>
      </w:tr>
      <w:tr w:rsidR="002E69C1" w:rsidRPr="000247A3" w:rsidTr="000B1EF6">
        <w:trPr>
          <w:jc w:val="center"/>
        </w:trPr>
        <w:tc>
          <w:tcPr>
            <w:tcW w:w="3652" w:type="dxa"/>
            <w:tcBorders>
              <w:top w:val="single" w:sz="4" w:space="0" w:color="auto"/>
              <w:bottom w:val="single" w:sz="4" w:space="0" w:color="auto"/>
            </w:tcBorders>
          </w:tcPr>
          <w:p w:rsidR="002E69C1" w:rsidRPr="00E91507" w:rsidRDefault="002E69C1" w:rsidP="000B1EF6">
            <w:pPr>
              <w:spacing w:line="360" w:lineRule="auto"/>
              <w:rPr>
                <w:rFonts w:ascii="Times New Roman" w:hAnsi="Times New Roman" w:cs="Times New Roman"/>
                <w:sz w:val="24"/>
                <w:szCs w:val="24"/>
              </w:rPr>
            </w:pPr>
            <w:r w:rsidRPr="00E91507">
              <w:rPr>
                <w:rFonts w:ascii="Times New Roman" w:hAnsi="Times New Roman" w:cs="Times New Roman"/>
                <w:sz w:val="24"/>
                <w:szCs w:val="24"/>
              </w:rPr>
              <w:t>Type of Commercial Revenue</w:t>
            </w:r>
          </w:p>
        </w:tc>
        <w:tc>
          <w:tcPr>
            <w:tcW w:w="5387" w:type="dxa"/>
            <w:tcBorders>
              <w:top w:val="single" w:sz="4" w:space="0" w:color="auto"/>
              <w:bottom w:val="single" w:sz="4" w:space="0" w:color="auto"/>
            </w:tcBorders>
          </w:tcPr>
          <w:p w:rsidR="002E69C1" w:rsidRPr="00E91507" w:rsidRDefault="002E69C1" w:rsidP="000B1EF6">
            <w:pPr>
              <w:spacing w:line="360" w:lineRule="auto"/>
              <w:rPr>
                <w:rFonts w:ascii="Times New Roman" w:hAnsi="Times New Roman" w:cs="Times New Roman"/>
                <w:sz w:val="24"/>
                <w:szCs w:val="24"/>
              </w:rPr>
            </w:pPr>
            <w:r w:rsidRPr="00E91507">
              <w:rPr>
                <w:rFonts w:ascii="Times New Roman" w:hAnsi="Times New Roman" w:cs="Times New Roman"/>
                <w:sz w:val="24"/>
                <w:szCs w:val="24"/>
              </w:rPr>
              <w:t>Description</w:t>
            </w:r>
          </w:p>
        </w:tc>
      </w:tr>
      <w:tr w:rsidR="002E69C1" w:rsidRPr="000247A3" w:rsidTr="000B1EF6">
        <w:trPr>
          <w:jc w:val="center"/>
        </w:trPr>
        <w:tc>
          <w:tcPr>
            <w:tcW w:w="3652" w:type="dxa"/>
            <w:tcBorders>
              <w:top w:val="single" w:sz="4" w:space="0" w:color="auto"/>
              <w:bottom w:val="nil"/>
            </w:tcBorders>
          </w:tcPr>
          <w:p w:rsidR="002E69C1" w:rsidRPr="00E91507" w:rsidRDefault="002E69C1" w:rsidP="000B1EF6">
            <w:pPr>
              <w:spacing w:line="312" w:lineRule="auto"/>
              <w:rPr>
                <w:rFonts w:ascii="Times New Roman" w:hAnsi="Times New Roman" w:cs="Times New Roman"/>
                <w:sz w:val="24"/>
                <w:szCs w:val="24"/>
              </w:rPr>
            </w:pPr>
            <w:r w:rsidRPr="00E91507">
              <w:rPr>
                <w:rFonts w:ascii="Times New Roman" w:hAnsi="Times New Roman" w:cs="Times New Roman"/>
                <w:sz w:val="24"/>
                <w:szCs w:val="24"/>
              </w:rPr>
              <w:t>Fees for service</w:t>
            </w:r>
          </w:p>
        </w:tc>
        <w:tc>
          <w:tcPr>
            <w:tcW w:w="5387" w:type="dxa"/>
            <w:tcBorders>
              <w:top w:val="single" w:sz="4" w:space="0" w:color="auto"/>
              <w:bottom w:val="nil"/>
            </w:tcBorders>
          </w:tcPr>
          <w:p w:rsidR="002E69C1" w:rsidRPr="00E91507" w:rsidRDefault="002E69C1" w:rsidP="000B1EF6">
            <w:pPr>
              <w:spacing w:line="312" w:lineRule="auto"/>
              <w:rPr>
                <w:rFonts w:ascii="Times New Roman" w:hAnsi="Times New Roman" w:cs="Times New Roman"/>
                <w:sz w:val="24"/>
                <w:szCs w:val="24"/>
              </w:rPr>
            </w:pPr>
            <w:r w:rsidRPr="00E91507">
              <w:rPr>
                <w:rFonts w:ascii="Times New Roman" w:hAnsi="Times New Roman" w:cs="Times New Roman"/>
                <w:sz w:val="24"/>
                <w:szCs w:val="24"/>
              </w:rPr>
              <w:t>Payments from recipients receiving goods and services directly from the organisations.</w:t>
            </w:r>
          </w:p>
        </w:tc>
      </w:tr>
      <w:tr w:rsidR="002E69C1" w:rsidRPr="000247A3" w:rsidTr="000B1EF6">
        <w:trPr>
          <w:jc w:val="center"/>
        </w:trPr>
        <w:tc>
          <w:tcPr>
            <w:tcW w:w="3652" w:type="dxa"/>
            <w:tcBorders>
              <w:top w:val="nil"/>
            </w:tcBorders>
          </w:tcPr>
          <w:p w:rsidR="002E69C1" w:rsidRPr="00E91507" w:rsidRDefault="002E69C1" w:rsidP="000B1EF6">
            <w:pPr>
              <w:spacing w:line="312" w:lineRule="auto"/>
              <w:rPr>
                <w:rFonts w:ascii="Times New Roman" w:hAnsi="Times New Roman" w:cs="Times New Roman"/>
                <w:sz w:val="24"/>
                <w:szCs w:val="24"/>
              </w:rPr>
            </w:pPr>
            <w:r w:rsidRPr="00E91507">
              <w:rPr>
                <w:rFonts w:ascii="Times New Roman" w:hAnsi="Times New Roman" w:cs="Times New Roman"/>
                <w:sz w:val="24"/>
                <w:szCs w:val="24"/>
              </w:rPr>
              <w:t>Contracts to supply services</w:t>
            </w:r>
          </w:p>
        </w:tc>
        <w:tc>
          <w:tcPr>
            <w:tcW w:w="5387" w:type="dxa"/>
            <w:tcBorders>
              <w:top w:val="nil"/>
            </w:tcBorders>
          </w:tcPr>
          <w:p w:rsidR="002E69C1" w:rsidRPr="00E91507" w:rsidRDefault="002E69C1" w:rsidP="000B1EF6">
            <w:pPr>
              <w:spacing w:line="312" w:lineRule="auto"/>
              <w:rPr>
                <w:rFonts w:ascii="Times New Roman" w:hAnsi="Times New Roman" w:cs="Times New Roman"/>
                <w:sz w:val="24"/>
                <w:szCs w:val="24"/>
              </w:rPr>
            </w:pPr>
            <w:r w:rsidRPr="00E91507">
              <w:rPr>
                <w:rFonts w:ascii="Times New Roman" w:hAnsi="Times New Roman" w:cs="Times New Roman"/>
                <w:sz w:val="24"/>
                <w:szCs w:val="24"/>
              </w:rPr>
              <w:t>Payments from government or other third parties for goods and services supplied.</w:t>
            </w:r>
          </w:p>
        </w:tc>
      </w:tr>
      <w:tr w:rsidR="002E69C1" w:rsidRPr="000247A3" w:rsidTr="000B1EF6">
        <w:trPr>
          <w:jc w:val="center"/>
        </w:trPr>
        <w:tc>
          <w:tcPr>
            <w:tcW w:w="3652" w:type="dxa"/>
          </w:tcPr>
          <w:p w:rsidR="002E69C1" w:rsidRPr="00E91507" w:rsidRDefault="002E69C1" w:rsidP="000B1EF6">
            <w:pPr>
              <w:spacing w:line="312" w:lineRule="auto"/>
              <w:rPr>
                <w:rFonts w:ascii="Times New Roman" w:hAnsi="Times New Roman" w:cs="Times New Roman"/>
                <w:sz w:val="24"/>
                <w:szCs w:val="24"/>
              </w:rPr>
            </w:pPr>
            <w:r w:rsidRPr="00E91507">
              <w:rPr>
                <w:rFonts w:ascii="Times New Roman" w:hAnsi="Times New Roman" w:cs="Times New Roman"/>
                <w:sz w:val="24"/>
                <w:szCs w:val="24"/>
              </w:rPr>
              <w:t>Sales of products not directly associated with charitable activity</w:t>
            </w:r>
          </w:p>
        </w:tc>
        <w:tc>
          <w:tcPr>
            <w:tcW w:w="5387" w:type="dxa"/>
          </w:tcPr>
          <w:p w:rsidR="002E69C1" w:rsidRPr="00E91507" w:rsidRDefault="002E69C1" w:rsidP="000B1EF6">
            <w:pPr>
              <w:spacing w:line="312" w:lineRule="auto"/>
              <w:rPr>
                <w:rFonts w:ascii="Times New Roman" w:hAnsi="Times New Roman" w:cs="Times New Roman"/>
                <w:sz w:val="24"/>
                <w:szCs w:val="24"/>
              </w:rPr>
            </w:pPr>
            <w:r w:rsidRPr="00E91507">
              <w:rPr>
                <w:rFonts w:ascii="Times New Roman" w:hAnsi="Times New Roman" w:cs="Times New Roman"/>
                <w:sz w:val="24"/>
                <w:szCs w:val="24"/>
              </w:rPr>
              <w:t>Payments for products which are additional to the charity’s core mission. For example the sale of Christmas cards.</w:t>
            </w:r>
          </w:p>
        </w:tc>
      </w:tr>
      <w:tr w:rsidR="002E69C1" w:rsidRPr="000247A3" w:rsidTr="000B1EF6">
        <w:trPr>
          <w:jc w:val="center"/>
        </w:trPr>
        <w:tc>
          <w:tcPr>
            <w:tcW w:w="3652" w:type="dxa"/>
          </w:tcPr>
          <w:p w:rsidR="002E69C1" w:rsidRPr="00E91507" w:rsidRDefault="002E69C1" w:rsidP="000B1EF6">
            <w:pPr>
              <w:spacing w:line="312" w:lineRule="auto"/>
              <w:rPr>
                <w:rFonts w:ascii="Times New Roman" w:hAnsi="Times New Roman" w:cs="Times New Roman"/>
                <w:sz w:val="24"/>
                <w:szCs w:val="24"/>
              </w:rPr>
            </w:pPr>
            <w:r w:rsidRPr="00E91507">
              <w:rPr>
                <w:rFonts w:ascii="Times New Roman" w:hAnsi="Times New Roman" w:cs="Times New Roman"/>
                <w:sz w:val="24"/>
                <w:szCs w:val="24"/>
              </w:rPr>
              <w:t>For-profit subsidiaries</w:t>
            </w:r>
          </w:p>
        </w:tc>
        <w:tc>
          <w:tcPr>
            <w:tcW w:w="5387" w:type="dxa"/>
          </w:tcPr>
          <w:p w:rsidR="002E69C1" w:rsidRPr="00E91507" w:rsidRDefault="002E69C1" w:rsidP="000B1EF6">
            <w:pPr>
              <w:spacing w:line="312" w:lineRule="auto"/>
              <w:rPr>
                <w:rFonts w:ascii="Times New Roman" w:hAnsi="Times New Roman" w:cs="Times New Roman"/>
                <w:sz w:val="24"/>
                <w:szCs w:val="24"/>
              </w:rPr>
            </w:pPr>
            <w:r w:rsidRPr="00E91507">
              <w:rPr>
                <w:rFonts w:ascii="Times New Roman" w:hAnsi="Times New Roman" w:cs="Times New Roman"/>
                <w:sz w:val="24"/>
                <w:szCs w:val="24"/>
              </w:rPr>
              <w:t>Profits derived from the activities of commercial organisations owned by the parent charity.</w:t>
            </w:r>
          </w:p>
        </w:tc>
      </w:tr>
      <w:tr w:rsidR="002E69C1" w:rsidRPr="000247A3" w:rsidTr="000B1EF6">
        <w:trPr>
          <w:jc w:val="center"/>
        </w:trPr>
        <w:tc>
          <w:tcPr>
            <w:tcW w:w="3652" w:type="dxa"/>
          </w:tcPr>
          <w:p w:rsidR="002E69C1" w:rsidRPr="00E91507" w:rsidRDefault="002E69C1" w:rsidP="000B1EF6">
            <w:pPr>
              <w:spacing w:line="312" w:lineRule="auto"/>
              <w:rPr>
                <w:rFonts w:ascii="Times New Roman" w:hAnsi="Times New Roman" w:cs="Times New Roman"/>
                <w:sz w:val="24"/>
                <w:szCs w:val="24"/>
              </w:rPr>
            </w:pPr>
            <w:r w:rsidRPr="00E91507">
              <w:rPr>
                <w:rFonts w:ascii="Times New Roman" w:hAnsi="Times New Roman" w:cs="Times New Roman"/>
                <w:sz w:val="24"/>
                <w:szCs w:val="24"/>
              </w:rPr>
              <w:t>Fee for endorsing products (advertising revenues)</w:t>
            </w:r>
          </w:p>
        </w:tc>
        <w:tc>
          <w:tcPr>
            <w:tcW w:w="5387" w:type="dxa"/>
          </w:tcPr>
          <w:p w:rsidR="002E69C1" w:rsidRPr="00E91507" w:rsidRDefault="002E69C1" w:rsidP="000B1EF6">
            <w:pPr>
              <w:spacing w:line="312" w:lineRule="auto"/>
              <w:rPr>
                <w:rFonts w:ascii="Times New Roman" w:hAnsi="Times New Roman" w:cs="Times New Roman"/>
                <w:sz w:val="24"/>
                <w:szCs w:val="24"/>
              </w:rPr>
            </w:pPr>
            <w:r w:rsidRPr="00E91507">
              <w:rPr>
                <w:rFonts w:ascii="Times New Roman" w:hAnsi="Times New Roman" w:cs="Times New Roman"/>
                <w:sz w:val="24"/>
                <w:szCs w:val="24"/>
              </w:rPr>
              <w:t>This relates to a trend in the US for nonprofits to develop commercial relationships with for-profit companies and receive funds for endorsing products.</w:t>
            </w:r>
          </w:p>
        </w:tc>
      </w:tr>
    </w:tbl>
    <w:p w:rsidR="002E69C1" w:rsidRPr="000247A3" w:rsidRDefault="002E69C1" w:rsidP="00E91507">
      <w:pPr>
        <w:tabs>
          <w:tab w:val="left" w:pos="1035"/>
        </w:tabs>
        <w:spacing w:line="360" w:lineRule="auto"/>
        <w:rPr>
          <w:rFonts w:cs="Arial"/>
          <w:sz w:val="20"/>
          <w:szCs w:val="20"/>
        </w:rPr>
      </w:pPr>
      <w:r w:rsidRPr="000247A3">
        <w:rPr>
          <w:rFonts w:cs="Arial"/>
          <w:sz w:val="20"/>
          <w:szCs w:val="20"/>
        </w:rPr>
        <w:tab/>
      </w:r>
    </w:p>
    <w:p w:rsidR="002E69C1" w:rsidRDefault="002E69C1" w:rsidP="00E91507"/>
    <w:p w:rsidR="002E69C1" w:rsidRDefault="002E69C1">
      <w:pPr>
        <w:rPr>
          <w:rFonts w:ascii="Arial" w:eastAsia="Times New Roman" w:hAnsi="Arial" w:cs="Arial"/>
          <w:b/>
          <w:bCs/>
          <w:sz w:val="20"/>
          <w:szCs w:val="20"/>
          <w:u w:val="single"/>
        </w:rPr>
      </w:pPr>
      <w:r>
        <w:br w:type="page"/>
      </w:r>
    </w:p>
    <w:p w:rsidR="002E69C1" w:rsidRPr="000247A3" w:rsidRDefault="002E69C1" w:rsidP="002966DF">
      <w:pPr>
        <w:pStyle w:val="TSRCtablefigureheading"/>
      </w:pPr>
    </w:p>
    <w:tbl>
      <w:tblPr>
        <w:tblW w:w="9242" w:type="dxa"/>
        <w:tblBorders>
          <w:top w:val="single" w:sz="4" w:space="0" w:color="auto"/>
          <w:bottom w:val="single" w:sz="4" w:space="0" w:color="auto"/>
        </w:tblBorders>
        <w:tblCellMar>
          <w:top w:w="85" w:type="dxa"/>
        </w:tblCellMar>
        <w:tblLook w:val="04A0" w:firstRow="1" w:lastRow="0" w:firstColumn="1" w:lastColumn="0" w:noHBand="0" w:noVBand="1"/>
      </w:tblPr>
      <w:tblGrid>
        <w:gridCol w:w="1103"/>
        <w:gridCol w:w="1497"/>
        <w:gridCol w:w="1575"/>
        <w:gridCol w:w="1403"/>
        <w:gridCol w:w="1322"/>
        <w:gridCol w:w="1190"/>
        <w:gridCol w:w="1152"/>
      </w:tblGrid>
      <w:tr w:rsidR="002E69C1" w:rsidRPr="000247A3" w:rsidTr="000B1EF6">
        <w:tc>
          <w:tcPr>
            <w:tcW w:w="9242" w:type="dxa"/>
            <w:gridSpan w:val="7"/>
            <w:tcBorders>
              <w:top w:val="single" w:sz="4" w:space="0" w:color="auto"/>
              <w:bottom w:val="single" w:sz="4" w:space="0" w:color="auto"/>
            </w:tcBorders>
            <w:vAlign w:val="bottom"/>
          </w:tcPr>
          <w:p w:rsidR="002E69C1" w:rsidRPr="002966DF" w:rsidRDefault="002E69C1" w:rsidP="000B1EF6">
            <w:pPr>
              <w:pStyle w:val="TSRCtablefigureheading"/>
              <w:rPr>
                <w:rFonts w:ascii="Times New Roman" w:hAnsi="Times New Roman" w:cs="Times New Roman"/>
                <w:sz w:val="24"/>
                <w:szCs w:val="24"/>
                <w:u w:val="none"/>
              </w:rPr>
            </w:pPr>
            <w:r w:rsidRPr="002966DF">
              <w:rPr>
                <w:rFonts w:ascii="Times New Roman" w:hAnsi="Times New Roman" w:cs="Times New Roman"/>
                <w:sz w:val="24"/>
                <w:szCs w:val="24"/>
                <w:u w:val="none"/>
              </w:rPr>
              <w:t xml:space="preserve">Table 2. </w:t>
            </w:r>
            <w:r w:rsidRPr="002966DF">
              <w:rPr>
                <w:rFonts w:ascii="Times New Roman" w:hAnsi="Times New Roman" w:cs="Times New Roman"/>
                <w:b w:val="0"/>
                <w:sz w:val="24"/>
                <w:szCs w:val="24"/>
                <w:u w:val="none"/>
              </w:rPr>
              <w:t>Changes in our variables of interest over time</w:t>
            </w:r>
          </w:p>
        </w:tc>
      </w:tr>
      <w:tr w:rsidR="002E69C1" w:rsidRPr="000247A3" w:rsidTr="000B1EF6">
        <w:tc>
          <w:tcPr>
            <w:tcW w:w="1178" w:type="dxa"/>
            <w:tcBorders>
              <w:top w:val="single" w:sz="4" w:space="0" w:color="auto"/>
              <w:bottom w:val="single" w:sz="4" w:space="0" w:color="auto"/>
            </w:tcBorders>
            <w:vAlign w:val="bottom"/>
          </w:tcPr>
          <w:p w:rsidR="002E69C1" w:rsidRPr="002966DF" w:rsidRDefault="002E69C1" w:rsidP="000B1EF6">
            <w:pPr>
              <w:keepNext/>
              <w:spacing w:line="324" w:lineRule="auto"/>
              <w:jc w:val="center"/>
              <w:rPr>
                <w:rFonts w:ascii="Times New Roman" w:hAnsi="Times New Roman" w:cs="Times New Roman"/>
                <w:sz w:val="24"/>
                <w:szCs w:val="24"/>
              </w:rPr>
            </w:pPr>
            <w:r w:rsidRPr="002966DF">
              <w:rPr>
                <w:rFonts w:ascii="Times New Roman" w:hAnsi="Times New Roman" w:cs="Times New Roman"/>
                <w:sz w:val="24"/>
                <w:szCs w:val="24"/>
              </w:rPr>
              <w:t>Year</w:t>
            </w:r>
          </w:p>
        </w:tc>
        <w:tc>
          <w:tcPr>
            <w:tcW w:w="1534" w:type="dxa"/>
            <w:tcBorders>
              <w:top w:val="single" w:sz="4" w:space="0" w:color="auto"/>
              <w:bottom w:val="single" w:sz="4" w:space="0" w:color="auto"/>
            </w:tcBorders>
            <w:vAlign w:val="bottom"/>
          </w:tcPr>
          <w:p w:rsidR="002E69C1" w:rsidRPr="002966DF" w:rsidRDefault="002E69C1" w:rsidP="000B1EF6">
            <w:pPr>
              <w:keepNext/>
              <w:spacing w:line="324" w:lineRule="auto"/>
              <w:jc w:val="right"/>
              <w:rPr>
                <w:rFonts w:ascii="Times New Roman" w:hAnsi="Times New Roman" w:cs="Times New Roman"/>
                <w:sz w:val="24"/>
                <w:szCs w:val="24"/>
              </w:rPr>
            </w:pPr>
            <w:r w:rsidRPr="002966DF">
              <w:rPr>
                <w:rFonts w:ascii="Times New Roman" w:hAnsi="Times New Roman" w:cs="Times New Roman"/>
                <w:sz w:val="24"/>
                <w:szCs w:val="24"/>
              </w:rPr>
              <w:t>Mean Income</w:t>
            </w:r>
          </w:p>
        </w:tc>
        <w:tc>
          <w:tcPr>
            <w:tcW w:w="1606" w:type="dxa"/>
            <w:tcBorders>
              <w:top w:val="single" w:sz="4" w:space="0" w:color="auto"/>
              <w:bottom w:val="single" w:sz="4" w:space="0" w:color="auto"/>
            </w:tcBorders>
            <w:vAlign w:val="bottom"/>
          </w:tcPr>
          <w:p w:rsidR="002E69C1" w:rsidRPr="002966DF" w:rsidRDefault="002E69C1" w:rsidP="000B1EF6">
            <w:pPr>
              <w:keepNext/>
              <w:spacing w:line="324" w:lineRule="auto"/>
              <w:jc w:val="center"/>
              <w:rPr>
                <w:rFonts w:ascii="Times New Roman" w:hAnsi="Times New Roman" w:cs="Times New Roman"/>
                <w:sz w:val="24"/>
                <w:szCs w:val="24"/>
              </w:rPr>
            </w:pPr>
            <w:r w:rsidRPr="002966DF">
              <w:rPr>
                <w:rFonts w:ascii="Times New Roman" w:hAnsi="Times New Roman" w:cs="Times New Roman"/>
                <w:sz w:val="24"/>
                <w:szCs w:val="24"/>
              </w:rPr>
              <w:t>Mean Commercial revenue</w:t>
            </w:r>
          </w:p>
        </w:tc>
        <w:tc>
          <w:tcPr>
            <w:tcW w:w="1283" w:type="dxa"/>
            <w:tcBorders>
              <w:top w:val="single" w:sz="4" w:space="0" w:color="auto"/>
              <w:bottom w:val="single" w:sz="4" w:space="0" w:color="auto"/>
            </w:tcBorders>
            <w:vAlign w:val="bottom"/>
          </w:tcPr>
          <w:p w:rsidR="002E69C1" w:rsidRPr="002966DF" w:rsidRDefault="002E69C1" w:rsidP="000B1EF6">
            <w:pPr>
              <w:keepNext/>
              <w:spacing w:line="324" w:lineRule="auto"/>
              <w:jc w:val="center"/>
              <w:rPr>
                <w:rFonts w:ascii="Times New Roman" w:hAnsi="Times New Roman" w:cs="Times New Roman"/>
                <w:sz w:val="24"/>
                <w:szCs w:val="24"/>
              </w:rPr>
            </w:pPr>
            <w:r w:rsidRPr="002966DF">
              <w:rPr>
                <w:rFonts w:ascii="Times New Roman" w:hAnsi="Times New Roman" w:cs="Times New Roman"/>
                <w:sz w:val="24"/>
                <w:szCs w:val="24"/>
              </w:rPr>
              <w:t>% Commercial revenue</w:t>
            </w:r>
          </w:p>
        </w:tc>
        <w:tc>
          <w:tcPr>
            <w:tcW w:w="1346" w:type="dxa"/>
            <w:tcBorders>
              <w:top w:val="single" w:sz="4" w:space="0" w:color="auto"/>
              <w:bottom w:val="single" w:sz="4" w:space="0" w:color="auto"/>
            </w:tcBorders>
            <w:vAlign w:val="bottom"/>
          </w:tcPr>
          <w:p w:rsidR="002E69C1" w:rsidRPr="002966DF" w:rsidRDefault="002E69C1" w:rsidP="000B1EF6">
            <w:pPr>
              <w:keepNext/>
              <w:spacing w:line="324" w:lineRule="auto"/>
              <w:jc w:val="center"/>
              <w:rPr>
                <w:rFonts w:ascii="Times New Roman" w:hAnsi="Times New Roman" w:cs="Times New Roman"/>
                <w:sz w:val="24"/>
                <w:szCs w:val="24"/>
              </w:rPr>
            </w:pPr>
            <w:r w:rsidRPr="002966DF">
              <w:rPr>
                <w:rFonts w:ascii="Times New Roman" w:hAnsi="Times New Roman" w:cs="Times New Roman"/>
                <w:sz w:val="24"/>
                <w:szCs w:val="24"/>
              </w:rPr>
              <w:t>Mean Voluntary income</w:t>
            </w:r>
          </w:p>
        </w:tc>
        <w:tc>
          <w:tcPr>
            <w:tcW w:w="1092" w:type="dxa"/>
            <w:tcBorders>
              <w:top w:val="single" w:sz="4" w:space="0" w:color="auto"/>
              <w:bottom w:val="single" w:sz="4" w:space="0" w:color="auto"/>
            </w:tcBorders>
            <w:vAlign w:val="bottom"/>
          </w:tcPr>
          <w:p w:rsidR="002E69C1" w:rsidRPr="002966DF" w:rsidRDefault="002E69C1" w:rsidP="000B1EF6">
            <w:pPr>
              <w:keepNext/>
              <w:spacing w:line="324" w:lineRule="auto"/>
              <w:jc w:val="center"/>
              <w:rPr>
                <w:rFonts w:ascii="Times New Roman" w:hAnsi="Times New Roman" w:cs="Times New Roman"/>
                <w:sz w:val="24"/>
                <w:szCs w:val="24"/>
              </w:rPr>
            </w:pPr>
            <w:r w:rsidRPr="002966DF">
              <w:rPr>
                <w:rFonts w:ascii="Times New Roman" w:hAnsi="Times New Roman" w:cs="Times New Roman"/>
                <w:sz w:val="24"/>
                <w:szCs w:val="24"/>
              </w:rPr>
              <w:t>% Voluntary income</w:t>
            </w:r>
          </w:p>
        </w:tc>
        <w:tc>
          <w:tcPr>
            <w:tcW w:w="1203" w:type="dxa"/>
            <w:tcBorders>
              <w:top w:val="single" w:sz="4" w:space="0" w:color="auto"/>
              <w:bottom w:val="single" w:sz="4" w:space="0" w:color="auto"/>
            </w:tcBorders>
            <w:vAlign w:val="bottom"/>
          </w:tcPr>
          <w:p w:rsidR="002E69C1" w:rsidRPr="002966DF" w:rsidRDefault="002E69C1" w:rsidP="000B1EF6">
            <w:pPr>
              <w:keepNext/>
              <w:spacing w:line="324" w:lineRule="auto"/>
              <w:jc w:val="center"/>
              <w:rPr>
                <w:rFonts w:ascii="Times New Roman" w:hAnsi="Times New Roman" w:cs="Times New Roman"/>
                <w:sz w:val="24"/>
                <w:szCs w:val="24"/>
              </w:rPr>
            </w:pPr>
            <w:r w:rsidRPr="002966DF">
              <w:rPr>
                <w:rFonts w:ascii="Times New Roman" w:hAnsi="Times New Roman" w:cs="Times New Roman"/>
                <w:sz w:val="24"/>
                <w:szCs w:val="24"/>
              </w:rPr>
              <w:t xml:space="preserve">N. </w:t>
            </w:r>
            <w:proofErr w:type="spellStart"/>
            <w:r w:rsidRPr="002966DF">
              <w:rPr>
                <w:rFonts w:ascii="Times New Roman" w:hAnsi="Times New Roman" w:cs="Times New Roman"/>
                <w:sz w:val="24"/>
                <w:szCs w:val="24"/>
              </w:rPr>
              <w:t>obs</w:t>
            </w:r>
            <w:proofErr w:type="spellEnd"/>
          </w:p>
        </w:tc>
      </w:tr>
      <w:tr w:rsidR="002E69C1" w:rsidRPr="000247A3" w:rsidTr="000B1EF6">
        <w:tc>
          <w:tcPr>
            <w:tcW w:w="1178" w:type="dxa"/>
            <w:tcBorders>
              <w:top w:val="single" w:sz="4" w:space="0" w:color="auto"/>
            </w:tcBorders>
            <w:vAlign w:val="bottom"/>
          </w:tcPr>
          <w:p w:rsidR="002E69C1" w:rsidRPr="002966DF" w:rsidRDefault="002E69C1" w:rsidP="000B1EF6">
            <w:pPr>
              <w:keepNext/>
              <w:spacing w:line="324" w:lineRule="auto"/>
              <w:jc w:val="center"/>
              <w:rPr>
                <w:rFonts w:ascii="Times New Roman" w:hAnsi="Times New Roman" w:cs="Times New Roman"/>
                <w:color w:val="000000"/>
                <w:sz w:val="24"/>
                <w:szCs w:val="24"/>
              </w:rPr>
            </w:pPr>
            <w:r w:rsidRPr="002966DF">
              <w:rPr>
                <w:rFonts w:ascii="Times New Roman" w:hAnsi="Times New Roman" w:cs="Times New Roman"/>
                <w:color w:val="000000"/>
                <w:sz w:val="24"/>
                <w:szCs w:val="24"/>
              </w:rPr>
              <w:t>2003</w:t>
            </w:r>
          </w:p>
        </w:tc>
        <w:tc>
          <w:tcPr>
            <w:tcW w:w="1534" w:type="dxa"/>
            <w:tcBorders>
              <w:top w:val="single" w:sz="4" w:space="0" w:color="auto"/>
            </w:tcBorders>
            <w:vAlign w:val="bottom"/>
          </w:tcPr>
          <w:p w:rsidR="002E69C1" w:rsidRPr="002966DF" w:rsidRDefault="002E69C1" w:rsidP="000B1EF6">
            <w:pPr>
              <w:keepNext/>
              <w:tabs>
                <w:tab w:val="decimal" w:pos="801"/>
              </w:tabs>
              <w:spacing w:line="324" w:lineRule="auto"/>
              <w:jc w:val="right"/>
              <w:rPr>
                <w:rFonts w:ascii="Times New Roman" w:hAnsi="Times New Roman" w:cs="Times New Roman"/>
                <w:color w:val="000000"/>
                <w:sz w:val="24"/>
                <w:szCs w:val="24"/>
              </w:rPr>
            </w:pPr>
            <w:r w:rsidRPr="002966DF">
              <w:rPr>
                <w:rFonts w:ascii="Times New Roman" w:hAnsi="Times New Roman" w:cs="Times New Roman"/>
                <w:color w:val="000000"/>
                <w:sz w:val="24"/>
                <w:szCs w:val="24"/>
              </w:rPr>
              <w:t>£967,272</w:t>
            </w:r>
          </w:p>
        </w:tc>
        <w:tc>
          <w:tcPr>
            <w:tcW w:w="1606" w:type="dxa"/>
            <w:tcBorders>
              <w:top w:val="single" w:sz="4" w:space="0" w:color="auto"/>
            </w:tcBorders>
            <w:vAlign w:val="bottom"/>
          </w:tcPr>
          <w:p w:rsidR="002E69C1" w:rsidRPr="002966DF" w:rsidRDefault="002E69C1" w:rsidP="000B1EF6">
            <w:pPr>
              <w:keepNext/>
              <w:spacing w:line="324" w:lineRule="auto"/>
              <w:jc w:val="center"/>
              <w:rPr>
                <w:rFonts w:ascii="Times New Roman" w:hAnsi="Times New Roman" w:cs="Times New Roman"/>
                <w:color w:val="000000"/>
                <w:sz w:val="24"/>
                <w:szCs w:val="24"/>
              </w:rPr>
            </w:pPr>
            <w:r w:rsidRPr="002966DF">
              <w:rPr>
                <w:rFonts w:ascii="Times New Roman" w:hAnsi="Times New Roman" w:cs="Times New Roman"/>
                <w:color w:val="000000"/>
                <w:sz w:val="24"/>
                <w:szCs w:val="24"/>
              </w:rPr>
              <w:t>£493,221</w:t>
            </w:r>
          </w:p>
        </w:tc>
        <w:tc>
          <w:tcPr>
            <w:tcW w:w="1283" w:type="dxa"/>
            <w:tcBorders>
              <w:top w:val="single" w:sz="4" w:space="0" w:color="auto"/>
            </w:tcBorders>
            <w:vAlign w:val="bottom"/>
          </w:tcPr>
          <w:p w:rsidR="002E69C1" w:rsidRPr="002966DF" w:rsidRDefault="002E69C1" w:rsidP="000B1EF6">
            <w:pPr>
              <w:keepNext/>
              <w:spacing w:line="324" w:lineRule="auto"/>
              <w:jc w:val="center"/>
              <w:rPr>
                <w:rFonts w:ascii="Times New Roman" w:hAnsi="Times New Roman" w:cs="Times New Roman"/>
                <w:color w:val="000000"/>
                <w:sz w:val="24"/>
                <w:szCs w:val="24"/>
              </w:rPr>
            </w:pPr>
            <w:r w:rsidRPr="002966DF">
              <w:rPr>
                <w:rFonts w:ascii="Times New Roman" w:hAnsi="Times New Roman" w:cs="Times New Roman"/>
                <w:color w:val="000000"/>
                <w:sz w:val="24"/>
                <w:szCs w:val="24"/>
              </w:rPr>
              <w:t>51%</w:t>
            </w:r>
          </w:p>
        </w:tc>
        <w:tc>
          <w:tcPr>
            <w:tcW w:w="1346" w:type="dxa"/>
            <w:tcBorders>
              <w:top w:val="single" w:sz="4" w:space="0" w:color="auto"/>
            </w:tcBorders>
            <w:vAlign w:val="bottom"/>
          </w:tcPr>
          <w:p w:rsidR="002E69C1" w:rsidRPr="002966DF" w:rsidRDefault="002E69C1" w:rsidP="000B1EF6">
            <w:pPr>
              <w:keepNext/>
              <w:spacing w:line="324" w:lineRule="auto"/>
              <w:jc w:val="center"/>
              <w:rPr>
                <w:rFonts w:ascii="Times New Roman" w:hAnsi="Times New Roman" w:cs="Times New Roman"/>
                <w:color w:val="000000"/>
                <w:sz w:val="24"/>
                <w:szCs w:val="24"/>
              </w:rPr>
            </w:pPr>
            <w:r w:rsidRPr="002966DF">
              <w:rPr>
                <w:rFonts w:ascii="Times New Roman" w:hAnsi="Times New Roman" w:cs="Times New Roman"/>
                <w:color w:val="000000"/>
                <w:sz w:val="24"/>
                <w:szCs w:val="24"/>
              </w:rPr>
              <w:t>£418,247</w:t>
            </w:r>
          </w:p>
        </w:tc>
        <w:tc>
          <w:tcPr>
            <w:tcW w:w="1092" w:type="dxa"/>
            <w:tcBorders>
              <w:top w:val="single" w:sz="4" w:space="0" w:color="auto"/>
            </w:tcBorders>
            <w:vAlign w:val="bottom"/>
          </w:tcPr>
          <w:p w:rsidR="002E69C1" w:rsidRPr="002966DF" w:rsidRDefault="002E69C1" w:rsidP="000B1EF6">
            <w:pPr>
              <w:keepNext/>
              <w:spacing w:line="324" w:lineRule="auto"/>
              <w:jc w:val="center"/>
              <w:rPr>
                <w:rFonts w:ascii="Times New Roman" w:hAnsi="Times New Roman" w:cs="Times New Roman"/>
                <w:color w:val="000000"/>
                <w:sz w:val="24"/>
                <w:szCs w:val="24"/>
              </w:rPr>
            </w:pPr>
            <w:r w:rsidRPr="002966DF">
              <w:rPr>
                <w:rFonts w:ascii="Times New Roman" w:hAnsi="Times New Roman" w:cs="Times New Roman"/>
                <w:color w:val="000000"/>
                <w:sz w:val="24"/>
                <w:szCs w:val="24"/>
              </w:rPr>
              <w:t>43%</w:t>
            </w:r>
          </w:p>
        </w:tc>
        <w:tc>
          <w:tcPr>
            <w:tcW w:w="1203" w:type="dxa"/>
            <w:tcBorders>
              <w:top w:val="single" w:sz="4" w:space="0" w:color="auto"/>
            </w:tcBorders>
            <w:vAlign w:val="bottom"/>
          </w:tcPr>
          <w:p w:rsidR="002E69C1" w:rsidRPr="002966DF" w:rsidRDefault="002E69C1" w:rsidP="000B1EF6">
            <w:pPr>
              <w:keepNext/>
              <w:spacing w:line="324" w:lineRule="auto"/>
              <w:jc w:val="center"/>
              <w:rPr>
                <w:rFonts w:ascii="Times New Roman" w:hAnsi="Times New Roman" w:cs="Times New Roman"/>
                <w:color w:val="000000"/>
                <w:sz w:val="24"/>
                <w:szCs w:val="24"/>
              </w:rPr>
            </w:pPr>
            <w:r w:rsidRPr="002966DF">
              <w:rPr>
                <w:rFonts w:ascii="Times New Roman" w:hAnsi="Times New Roman" w:cs="Times New Roman"/>
                <w:color w:val="000000"/>
                <w:sz w:val="24"/>
                <w:szCs w:val="24"/>
              </w:rPr>
              <w:t>15,412</w:t>
            </w:r>
          </w:p>
        </w:tc>
      </w:tr>
      <w:tr w:rsidR="002E69C1" w:rsidRPr="000247A3" w:rsidTr="000B1EF6">
        <w:tc>
          <w:tcPr>
            <w:tcW w:w="1178" w:type="dxa"/>
            <w:vAlign w:val="bottom"/>
          </w:tcPr>
          <w:p w:rsidR="002E69C1" w:rsidRPr="002966DF" w:rsidRDefault="002E69C1" w:rsidP="000B1EF6">
            <w:pPr>
              <w:keepNext/>
              <w:spacing w:line="324" w:lineRule="auto"/>
              <w:jc w:val="center"/>
              <w:rPr>
                <w:rFonts w:ascii="Times New Roman" w:hAnsi="Times New Roman" w:cs="Times New Roman"/>
                <w:color w:val="000000"/>
                <w:sz w:val="24"/>
                <w:szCs w:val="24"/>
              </w:rPr>
            </w:pPr>
            <w:r w:rsidRPr="002966DF">
              <w:rPr>
                <w:rFonts w:ascii="Times New Roman" w:hAnsi="Times New Roman" w:cs="Times New Roman"/>
                <w:color w:val="000000"/>
                <w:sz w:val="24"/>
                <w:szCs w:val="24"/>
              </w:rPr>
              <w:t>2004</w:t>
            </w:r>
          </w:p>
        </w:tc>
        <w:tc>
          <w:tcPr>
            <w:tcW w:w="1534" w:type="dxa"/>
            <w:vAlign w:val="bottom"/>
          </w:tcPr>
          <w:p w:rsidR="002E69C1" w:rsidRPr="002966DF" w:rsidRDefault="002E69C1" w:rsidP="000B1EF6">
            <w:pPr>
              <w:keepNext/>
              <w:tabs>
                <w:tab w:val="decimal" w:pos="801"/>
              </w:tabs>
              <w:spacing w:line="324" w:lineRule="auto"/>
              <w:jc w:val="right"/>
              <w:rPr>
                <w:rFonts w:ascii="Times New Roman" w:hAnsi="Times New Roman" w:cs="Times New Roman"/>
                <w:color w:val="000000"/>
                <w:sz w:val="24"/>
                <w:szCs w:val="24"/>
              </w:rPr>
            </w:pPr>
            <w:r w:rsidRPr="002966DF">
              <w:rPr>
                <w:rFonts w:ascii="Times New Roman" w:hAnsi="Times New Roman" w:cs="Times New Roman"/>
                <w:color w:val="000000"/>
                <w:sz w:val="24"/>
                <w:szCs w:val="24"/>
              </w:rPr>
              <w:t>£1,085,852</w:t>
            </w:r>
          </w:p>
        </w:tc>
        <w:tc>
          <w:tcPr>
            <w:tcW w:w="1606" w:type="dxa"/>
            <w:vAlign w:val="bottom"/>
          </w:tcPr>
          <w:p w:rsidR="002E69C1" w:rsidRPr="002966DF" w:rsidRDefault="002E69C1" w:rsidP="000B1EF6">
            <w:pPr>
              <w:keepNext/>
              <w:spacing w:line="324" w:lineRule="auto"/>
              <w:jc w:val="center"/>
              <w:rPr>
                <w:rFonts w:ascii="Times New Roman" w:hAnsi="Times New Roman" w:cs="Times New Roman"/>
                <w:color w:val="000000"/>
                <w:sz w:val="24"/>
                <w:szCs w:val="24"/>
              </w:rPr>
            </w:pPr>
            <w:r w:rsidRPr="002966DF">
              <w:rPr>
                <w:rFonts w:ascii="Times New Roman" w:hAnsi="Times New Roman" w:cs="Times New Roman"/>
                <w:color w:val="000000"/>
                <w:sz w:val="24"/>
                <w:szCs w:val="24"/>
              </w:rPr>
              <w:t>£560,191</w:t>
            </w:r>
          </w:p>
        </w:tc>
        <w:tc>
          <w:tcPr>
            <w:tcW w:w="1283" w:type="dxa"/>
            <w:vAlign w:val="bottom"/>
          </w:tcPr>
          <w:p w:rsidR="002E69C1" w:rsidRPr="002966DF" w:rsidRDefault="002E69C1" w:rsidP="000B1EF6">
            <w:pPr>
              <w:keepNext/>
              <w:spacing w:line="324" w:lineRule="auto"/>
              <w:jc w:val="center"/>
              <w:rPr>
                <w:rFonts w:ascii="Times New Roman" w:hAnsi="Times New Roman" w:cs="Times New Roman"/>
                <w:color w:val="000000"/>
                <w:sz w:val="24"/>
                <w:szCs w:val="24"/>
              </w:rPr>
            </w:pPr>
            <w:r w:rsidRPr="002966DF">
              <w:rPr>
                <w:rFonts w:ascii="Times New Roman" w:hAnsi="Times New Roman" w:cs="Times New Roman"/>
                <w:color w:val="000000"/>
                <w:sz w:val="24"/>
                <w:szCs w:val="24"/>
              </w:rPr>
              <w:t>52%</w:t>
            </w:r>
          </w:p>
        </w:tc>
        <w:tc>
          <w:tcPr>
            <w:tcW w:w="1346" w:type="dxa"/>
            <w:vAlign w:val="bottom"/>
          </w:tcPr>
          <w:p w:rsidR="002E69C1" w:rsidRPr="002966DF" w:rsidRDefault="002E69C1" w:rsidP="000B1EF6">
            <w:pPr>
              <w:keepNext/>
              <w:spacing w:line="324" w:lineRule="auto"/>
              <w:jc w:val="center"/>
              <w:rPr>
                <w:rFonts w:ascii="Times New Roman" w:hAnsi="Times New Roman" w:cs="Times New Roman"/>
                <w:color w:val="000000"/>
                <w:sz w:val="24"/>
                <w:szCs w:val="24"/>
              </w:rPr>
            </w:pPr>
            <w:r w:rsidRPr="002966DF">
              <w:rPr>
                <w:rFonts w:ascii="Times New Roman" w:hAnsi="Times New Roman" w:cs="Times New Roman"/>
                <w:color w:val="000000"/>
                <w:sz w:val="24"/>
                <w:szCs w:val="24"/>
              </w:rPr>
              <w:t>£456,768</w:t>
            </w:r>
          </w:p>
        </w:tc>
        <w:tc>
          <w:tcPr>
            <w:tcW w:w="1092" w:type="dxa"/>
            <w:vAlign w:val="bottom"/>
          </w:tcPr>
          <w:p w:rsidR="002E69C1" w:rsidRPr="002966DF" w:rsidRDefault="002E69C1" w:rsidP="000B1EF6">
            <w:pPr>
              <w:keepNext/>
              <w:spacing w:line="324" w:lineRule="auto"/>
              <w:jc w:val="center"/>
              <w:rPr>
                <w:rFonts w:ascii="Times New Roman" w:hAnsi="Times New Roman" w:cs="Times New Roman"/>
                <w:color w:val="000000"/>
                <w:sz w:val="24"/>
                <w:szCs w:val="24"/>
              </w:rPr>
            </w:pPr>
            <w:r w:rsidRPr="002966DF">
              <w:rPr>
                <w:rFonts w:ascii="Times New Roman" w:hAnsi="Times New Roman" w:cs="Times New Roman"/>
                <w:color w:val="000000"/>
                <w:sz w:val="24"/>
                <w:szCs w:val="24"/>
              </w:rPr>
              <w:t>42%</w:t>
            </w:r>
          </w:p>
        </w:tc>
        <w:tc>
          <w:tcPr>
            <w:tcW w:w="1203" w:type="dxa"/>
            <w:vAlign w:val="bottom"/>
          </w:tcPr>
          <w:p w:rsidR="002E69C1" w:rsidRPr="002966DF" w:rsidRDefault="002E69C1" w:rsidP="000B1EF6">
            <w:pPr>
              <w:keepNext/>
              <w:spacing w:line="324" w:lineRule="auto"/>
              <w:jc w:val="center"/>
              <w:rPr>
                <w:rFonts w:ascii="Times New Roman" w:hAnsi="Times New Roman" w:cs="Times New Roman"/>
                <w:color w:val="000000"/>
                <w:sz w:val="24"/>
                <w:szCs w:val="24"/>
              </w:rPr>
            </w:pPr>
            <w:r w:rsidRPr="002966DF">
              <w:rPr>
                <w:rFonts w:ascii="Times New Roman" w:hAnsi="Times New Roman" w:cs="Times New Roman"/>
                <w:color w:val="000000"/>
                <w:sz w:val="24"/>
                <w:szCs w:val="24"/>
              </w:rPr>
              <w:t>14,317</w:t>
            </w:r>
          </w:p>
        </w:tc>
      </w:tr>
      <w:tr w:rsidR="002E69C1" w:rsidRPr="000247A3" w:rsidTr="000B1EF6">
        <w:tc>
          <w:tcPr>
            <w:tcW w:w="1178" w:type="dxa"/>
            <w:vAlign w:val="bottom"/>
          </w:tcPr>
          <w:p w:rsidR="002E69C1" w:rsidRPr="002966DF" w:rsidRDefault="002E69C1" w:rsidP="000B1EF6">
            <w:pPr>
              <w:keepNext/>
              <w:spacing w:line="324" w:lineRule="auto"/>
              <w:jc w:val="center"/>
              <w:rPr>
                <w:rFonts w:ascii="Times New Roman" w:hAnsi="Times New Roman" w:cs="Times New Roman"/>
                <w:color w:val="000000"/>
                <w:sz w:val="24"/>
                <w:szCs w:val="24"/>
              </w:rPr>
            </w:pPr>
            <w:r w:rsidRPr="002966DF">
              <w:rPr>
                <w:rFonts w:ascii="Times New Roman" w:hAnsi="Times New Roman" w:cs="Times New Roman"/>
                <w:color w:val="000000"/>
                <w:sz w:val="24"/>
                <w:szCs w:val="24"/>
              </w:rPr>
              <w:t>2005</w:t>
            </w:r>
          </w:p>
        </w:tc>
        <w:tc>
          <w:tcPr>
            <w:tcW w:w="1534" w:type="dxa"/>
            <w:vAlign w:val="bottom"/>
          </w:tcPr>
          <w:p w:rsidR="002E69C1" w:rsidRPr="002966DF" w:rsidRDefault="002E69C1" w:rsidP="000B1EF6">
            <w:pPr>
              <w:keepNext/>
              <w:tabs>
                <w:tab w:val="decimal" w:pos="801"/>
              </w:tabs>
              <w:spacing w:line="324" w:lineRule="auto"/>
              <w:jc w:val="right"/>
              <w:rPr>
                <w:rFonts w:ascii="Times New Roman" w:hAnsi="Times New Roman" w:cs="Times New Roman"/>
                <w:color w:val="000000"/>
                <w:sz w:val="24"/>
                <w:szCs w:val="24"/>
              </w:rPr>
            </w:pPr>
            <w:r w:rsidRPr="002966DF">
              <w:rPr>
                <w:rFonts w:ascii="Times New Roman" w:hAnsi="Times New Roman" w:cs="Times New Roman"/>
                <w:color w:val="000000"/>
                <w:sz w:val="24"/>
                <w:szCs w:val="24"/>
              </w:rPr>
              <w:t>£1,195,861</w:t>
            </w:r>
          </w:p>
        </w:tc>
        <w:tc>
          <w:tcPr>
            <w:tcW w:w="1606" w:type="dxa"/>
            <w:vAlign w:val="bottom"/>
          </w:tcPr>
          <w:p w:rsidR="002E69C1" w:rsidRPr="002966DF" w:rsidRDefault="002E69C1" w:rsidP="000B1EF6">
            <w:pPr>
              <w:keepNext/>
              <w:spacing w:line="324" w:lineRule="auto"/>
              <w:jc w:val="center"/>
              <w:rPr>
                <w:rFonts w:ascii="Times New Roman" w:hAnsi="Times New Roman" w:cs="Times New Roman"/>
                <w:color w:val="000000"/>
                <w:sz w:val="24"/>
                <w:szCs w:val="24"/>
              </w:rPr>
            </w:pPr>
            <w:r w:rsidRPr="002966DF">
              <w:rPr>
                <w:rFonts w:ascii="Times New Roman" w:hAnsi="Times New Roman" w:cs="Times New Roman"/>
                <w:color w:val="000000"/>
                <w:sz w:val="24"/>
                <w:szCs w:val="24"/>
              </w:rPr>
              <w:t>£640,839</w:t>
            </w:r>
          </w:p>
        </w:tc>
        <w:tc>
          <w:tcPr>
            <w:tcW w:w="1283" w:type="dxa"/>
            <w:vAlign w:val="bottom"/>
          </w:tcPr>
          <w:p w:rsidR="002E69C1" w:rsidRPr="002966DF" w:rsidRDefault="002E69C1" w:rsidP="000B1EF6">
            <w:pPr>
              <w:keepNext/>
              <w:spacing w:line="324" w:lineRule="auto"/>
              <w:jc w:val="center"/>
              <w:rPr>
                <w:rFonts w:ascii="Times New Roman" w:hAnsi="Times New Roman" w:cs="Times New Roman"/>
                <w:color w:val="000000"/>
                <w:sz w:val="24"/>
                <w:szCs w:val="24"/>
              </w:rPr>
            </w:pPr>
            <w:r w:rsidRPr="002966DF">
              <w:rPr>
                <w:rFonts w:ascii="Times New Roman" w:hAnsi="Times New Roman" w:cs="Times New Roman"/>
                <w:color w:val="000000"/>
                <w:sz w:val="24"/>
                <w:szCs w:val="24"/>
              </w:rPr>
              <w:t>54%</w:t>
            </w:r>
          </w:p>
        </w:tc>
        <w:tc>
          <w:tcPr>
            <w:tcW w:w="1346" w:type="dxa"/>
            <w:vAlign w:val="bottom"/>
          </w:tcPr>
          <w:p w:rsidR="002E69C1" w:rsidRPr="002966DF" w:rsidRDefault="002E69C1" w:rsidP="000B1EF6">
            <w:pPr>
              <w:keepNext/>
              <w:spacing w:line="324" w:lineRule="auto"/>
              <w:jc w:val="center"/>
              <w:rPr>
                <w:rFonts w:ascii="Times New Roman" w:hAnsi="Times New Roman" w:cs="Times New Roman"/>
                <w:color w:val="000000"/>
                <w:sz w:val="24"/>
                <w:szCs w:val="24"/>
              </w:rPr>
            </w:pPr>
            <w:r w:rsidRPr="002966DF">
              <w:rPr>
                <w:rFonts w:ascii="Times New Roman" w:hAnsi="Times New Roman" w:cs="Times New Roman"/>
                <w:color w:val="000000"/>
                <w:sz w:val="24"/>
                <w:szCs w:val="24"/>
              </w:rPr>
              <w:t>£488,959</w:t>
            </w:r>
          </w:p>
        </w:tc>
        <w:tc>
          <w:tcPr>
            <w:tcW w:w="1092" w:type="dxa"/>
            <w:vAlign w:val="bottom"/>
          </w:tcPr>
          <w:p w:rsidR="002E69C1" w:rsidRPr="002966DF" w:rsidRDefault="002E69C1" w:rsidP="000B1EF6">
            <w:pPr>
              <w:keepNext/>
              <w:spacing w:line="324" w:lineRule="auto"/>
              <w:jc w:val="center"/>
              <w:rPr>
                <w:rFonts w:ascii="Times New Roman" w:hAnsi="Times New Roman" w:cs="Times New Roman"/>
                <w:color w:val="000000"/>
                <w:sz w:val="24"/>
                <w:szCs w:val="24"/>
              </w:rPr>
            </w:pPr>
            <w:r w:rsidRPr="002966DF">
              <w:rPr>
                <w:rFonts w:ascii="Times New Roman" w:hAnsi="Times New Roman" w:cs="Times New Roman"/>
                <w:color w:val="000000"/>
                <w:sz w:val="24"/>
                <w:szCs w:val="24"/>
              </w:rPr>
              <w:t>41%</w:t>
            </w:r>
          </w:p>
        </w:tc>
        <w:tc>
          <w:tcPr>
            <w:tcW w:w="1203" w:type="dxa"/>
            <w:vAlign w:val="bottom"/>
          </w:tcPr>
          <w:p w:rsidR="002E69C1" w:rsidRPr="002966DF" w:rsidRDefault="002E69C1" w:rsidP="000B1EF6">
            <w:pPr>
              <w:keepNext/>
              <w:spacing w:line="324" w:lineRule="auto"/>
              <w:jc w:val="center"/>
              <w:rPr>
                <w:rFonts w:ascii="Times New Roman" w:hAnsi="Times New Roman" w:cs="Times New Roman"/>
                <w:color w:val="000000"/>
                <w:sz w:val="24"/>
                <w:szCs w:val="24"/>
              </w:rPr>
            </w:pPr>
            <w:r w:rsidRPr="002966DF">
              <w:rPr>
                <w:rFonts w:ascii="Times New Roman" w:hAnsi="Times New Roman" w:cs="Times New Roman"/>
                <w:color w:val="000000"/>
                <w:sz w:val="24"/>
                <w:szCs w:val="24"/>
              </w:rPr>
              <w:t>14,042</w:t>
            </w:r>
          </w:p>
        </w:tc>
      </w:tr>
      <w:tr w:rsidR="002E69C1" w:rsidRPr="000247A3" w:rsidTr="000B1EF6">
        <w:tc>
          <w:tcPr>
            <w:tcW w:w="1178" w:type="dxa"/>
            <w:vAlign w:val="bottom"/>
          </w:tcPr>
          <w:p w:rsidR="002E69C1" w:rsidRPr="002966DF" w:rsidRDefault="002E69C1" w:rsidP="000B1EF6">
            <w:pPr>
              <w:keepNext/>
              <w:spacing w:line="324" w:lineRule="auto"/>
              <w:jc w:val="center"/>
              <w:rPr>
                <w:rFonts w:ascii="Times New Roman" w:hAnsi="Times New Roman" w:cs="Times New Roman"/>
                <w:color w:val="000000"/>
                <w:sz w:val="24"/>
                <w:szCs w:val="24"/>
              </w:rPr>
            </w:pPr>
            <w:r w:rsidRPr="002966DF">
              <w:rPr>
                <w:rFonts w:ascii="Times New Roman" w:hAnsi="Times New Roman" w:cs="Times New Roman"/>
                <w:color w:val="000000"/>
                <w:sz w:val="24"/>
                <w:szCs w:val="24"/>
              </w:rPr>
              <w:t>2006</w:t>
            </w:r>
          </w:p>
        </w:tc>
        <w:tc>
          <w:tcPr>
            <w:tcW w:w="1534" w:type="dxa"/>
            <w:vAlign w:val="bottom"/>
          </w:tcPr>
          <w:p w:rsidR="002E69C1" w:rsidRPr="002966DF" w:rsidRDefault="002E69C1" w:rsidP="000B1EF6">
            <w:pPr>
              <w:keepNext/>
              <w:tabs>
                <w:tab w:val="decimal" w:pos="801"/>
              </w:tabs>
              <w:spacing w:line="324" w:lineRule="auto"/>
              <w:jc w:val="right"/>
              <w:rPr>
                <w:rFonts w:ascii="Times New Roman" w:hAnsi="Times New Roman" w:cs="Times New Roman"/>
                <w:color w:val="000000"/>
                <w:sz w:val="24"/>
                <w:szCs w:val="24"/>
              </w:rPr>
            </w:pPr>
            <w:r w:rsidRPr="002966DF">
              <w:rPr>
                <w:rFonts w:ascii="Times New Roman" w:hAnsi="Times New Roman" w:cs="Times New Roman"/>
                <w:color w:val="000000"/>
                <w:sz w:val="24"/>
                <w:szCs w:val="24"/>
              </w:rPr>
              <w:t>£991,565</w:t>
            </w:r>
          </w:p>
        </w:tc>
        <w:tc>
          <w:tcPr>
            <w:tcW w:w="1606" w:type="dxa"/>
            <w:vAlign w:val="bottom"/>
          </w:tcPr>
          <w:p w:rsidR="002E69C1" w:rsidRPr="002966DF" w:rsidRDefault="002E69C1" w:rsidP="000B1EF6">
            <w:pPr>
              <w:keepNext/>
              <w:spacing w:line="324" w:lineRule="auto"/>
              <w:jc w:val="center"/>
              <w:rPr>
                <w:rFonts w:ascii="Times New Roman" w:hAnsi="Times New Roman" w:cs="Times New Roman"/>
                <w:color w:val="000000"/>
                <w:sz w:val="24"/>
                <w:szCs w:val="24"/>
              </w:rPr>
            </w:pPr>
            <w:r w:rsidRPr="002966DF">
              <w:rPr>
                <w:rFonts w:ascii="Times New Roman" w:hAnsi="Times New Roman" w:cs="Times New Roman"/>
                <w:color w:val="000000"/>
                <w:sz w:val="24"/>
                <w:szCs w:val="24"/>
              </w:rPr>
              <w:t>£537,991</w:t>
            </w:r>
          </w:p>
        </w:tc>
        <w:tc>
          <w:tcPr>
            <w:tcW w:w="1283" w:type="dxa"/>
            <w:vAlign w:val="bottom"/>
          </w:tcPr>
          <w:p w:rsidR="002E69C1" w:rsidRPr="002966DF" w:rsidRDefault="002E69C1" w:rsidP="000B1EF6">
            <w:pPr>
              <w:keepNext/>
              <w:spacing w:line="324" w:lineRule="auto"/>
              <w:jc w:val="center"/>
              <w:rPr>
                <w:rFonts w:ascii="Times New Roman" w:hAnsi="Times New Roman" w:cs="Times New Roman"/>
                <w:color w:val="000000"/>
                <w:sz w:val="24"/>
                <w:szCs w:val="24"/>
              </w:rPr>
            </w:pPr>
            <w:r w:rsidRPr="002966DF">
              <w:rPr>
                <w:rFonts w:ascii="Times New Roman" w:hAnsi="Times New Roman" w:cs="Times New Roman"/>
                <w:color w:val="000000"/>
                <w:sz w:val="24"/>
                <w:szCs w:val="24"/>
              </w:rPr>
              <w:t>54%</w:t>
            </w:r>
          </w:p>
        </w:tc>
        <w:tc>
          <w:tcPr>
            <w:tcW w:w="1346" w:type="dxa"/>
            <w:vAlign w:val="bottom"/>
          </w:tcPr>
          <w:p w:rsidR="002E69C1" w:rsidRPr="002966DF" w:rsidRDefault="002E69C1" w:rsidP="000B1EF6">
            <w:pPr>
              <w:keepNext/>
              <w:spacing w:line="324" w:lineRule="auto"/>
              <w:jc w:val="center"/>
              <w:rPr>
                <w:rFonts w:ascii="Times New Roman" w:hAnsi="Times New Roman" w:cs="Times New Roman"/>
                <w:color w:val="000000"/>
                <w:sz w:val="24"/>
                <w:szCs w:val="24"/>
              </w:rPr>
            </w:pPr>
            <w:r w:rsidRPr="002966DF">
              <w:rPr>
                <w:rFonts w:ascii="Times New Roman" w:hAnsi="Times New Roman" w:cs="Times New Roman"/>
                <w:color w:val="000000"/>
                <w:sz w:val="24"/>
                <w:szCs w:val="24"/>
              </w:rPr>
              <w:t>£407,695</w:t>
            </w:r>
          </w:p>
        </w:tc>
        <w:tc>
          <w:tcPr>
            <w:tcW w:w="1092" w:type="dxa"/>
            <w:vAlign w:val="bottom"/>
          </w:tcPr>
          <w:p w:rsidR="002E69C1" w:rsidRPr="002966DF" w:rsidRDefault="002E69C1" w:rsidP="000B1EF6">
            <w:pPr>
              <w:keepNext/>
              <w:spacing w:line="324" w:lineRule="auto"/>
              <w:jc w:val="center"/>
              <w:rPr>
                <w:rFonts w:ascii="Times New Roman" w:hAnsi="Times New Roman" w:cs="Times New Roman"/>
                <w:color w:val="000000"/>
                <w:sz w:val="24"/>
                <w:szCs w:val="24"/>
              </w:rPr>
            </w:pPr>
            <w:r w:rsidRPr="002966DF">
              <w:rPr>
                <w:rFonts w:ascii="Times New Roman" w:hAnsi="Times New Roman" w:cs="Times New Roman"/>
                <w:color w:val="000000"/>
                <w:sz w:val="24"/>
                <w:szCs w:val="24"/>
              </w:rPr>
              <w:t>41%</w:t>
            </w:r>
          </w:p>
        </w:tc>
        <w:tc>
          <w:tcPr>
            <w:tcW w:w="1203" w:type="dxa"/>
            <w:vAlign w:val="bottom"/>
          </w:tcPr>
          <w:p w:rsidR="002E69C1" w:rsidRPr="002966DF" w:rsidRDefault="002E69C1" w:rsidP="000B1EF6">
            <w:pPr>
              <w:keepNext/>
              <w:spacing w:line="324" w:lineRule="auto"/>
              <w:jc w:val="center"/>
              <w:rPr>
                <w:rFonts w:ascii="Times New Roman" w:hAnsi="Times New Roman" w:cs="Times New Roman"/>
                <w:color w:val="000000"/>
                <w:sz w:val="24"/>
                <w:szCs w:val="24"/>
              </w:rPr>
            </w:pPr>
            <w:r w:rsidRPr="002966DF">
              <w:rPr>
                <w:rFonts w:ascii="Times New Roman" w:hAnsi="Times New Roman" w:cs="Times New Roman"/>
                <w:color w:val="000000"/>
                <w:sz w:val="24"/>
                <w:szCs w:val="24"/>
              </w:rPr>
              <w:t>18,385</w:t>
            </w:r>
          </w:p>
        </w:tc>
      </w:tr>
      <w:tr w:rsidR="002E69C1" w:rsidRPr="000247A3" w:rsidTr="000B1EF6">
        <w:tc>
          <w:tcPr>
            <w:tcW w:w="1178" w:type="dxa"/>
            <w:vAlign w:val="bottom"/>
          </w:tcPr>
          <w:p w:rsidR="002E69C1" w:rsidRPr="002966DF" w:rsidRDefault="002E69C1" w:rsidP="000B1EF6">
            <w:pPr>
              <w:keepNext/>
              <w:spacing w:line="324" w:lineRule="auto"/>
              <w:jc w:val="center"/>
              <w:rPr>
                <w:rFonts w:ascii="Times New Roman" w:hAnsi="Times New Roman" w:cs="Times New Roman"/>
                <w:color w:val="000000"/>
                <w:sz w:val="24"/>
                <w:szCs w:val="24"/>
              </w:rPr>
            </w:pPr>
            <w:r w:rsidRPr="002966DF">
              <w:rPr>
                <w:rFonts w:ascii="Times New Roman" w:hAnsi="Times New Roman" w:cs="Times New Roman"/>
                <w:color w:val="000000"/>
                <w:sz w:val="24"/>
                <w:szCs w:val="24"/>
              </w:rPr>
              <w:t>2007</w:t>
            </w:r>
          </w:p>
        </w:tc>
        <w:tc>
          <w:tcPr>
            <w:tcW w:w="1534" w:type="dxa"/>
            <w:vAlign w:val="bottom"/>
          </w:tcPr>
          <w:p w:rsidR="002E69C1" w:rsidRPr="002966DF" w:rsidRDefault="002E69C1" w:rsidP="000B1EF6">
            <w:pPr>
              <w:keepNext/>
              <w:tabs>
                <w:tab w:val="decimal" w:pos="801"/>
              </w:tabs>
              <w:spacing w:line="324" w:lineRule="auto"/>
              <w:jc w:val="right"/>
              <w:rPr>
                <w:rFonts w:ascii="Times New Roman" w:hAnsi="Times New Roman" w:cs="Times New Roman"/>
                <w:color w:val="000000"/>
                <w:sz w:val="24"/>
                <w:szCs w:val="24"/>
              </w:rPr>
            </w:pPr>
            <w:r w:rsidRPr="002966DF">
              <w:rPr>
                <w:rFonts w:ascii="Times New Roman" w:hAnsi="Times New Roman" w:cs="Times New Roman"/>
                <w:color w:val="000000"/>
                <w:sz w:val="24"/>
                <w:szCs w:val="24"/>
              </w:rPr>
              <w:t>£1,186,960</w:t>
            </w:r>
          </w:p>
        </w:tc>
        <w:tc>
          <w:tcPr>
            <w:tcW w:w="1606" w:type="dxa"/>
            <w:vAlign w:val="bottom"/>
          </w:tcPr>
          <w:p w:rsidR="002E69C1" w:rsidRPr="002966DF" w:rsidRDefault="002E69C1" w:rsidP="000B1EF6">
            <w:pPr>
              <w:keepNext/>
              <w:spacing w:line="324" w:lineRule="auto"/>
              <w:jc w:val="center"/>
              <w:rPr>
                <w:rFonts w:ascii="Times New Roman" w:hAnsi="Times New Roman" w:cs="Times New Roman"/>
                <w:color w:val="000000"/>
                <w:sz w:val="24"/>
                <w:szCs w:val="24"/>
              </w:rPr>
            </w:pPr>
            <w:r w:rsidRPr="002966DF">
              <w:rPr>
                <w:rFonts w:ascii="Times New Roman" w:hAnsi="Times New Roman" w:cs="Times New Roman"/>
                <w:color w:val="000000"/>
                <w:sz w:val="24"/>
                <w:szCs w:val="24"/>
              </w:rPr>
              <w:t>£654,693</w:t>
            </w:r>
          </w:p>
        </w:tc>
        <w:tc>
          <w:tcPr>
            <w:tcW w:w="1283" w:type="dxa"/>
            <w:vAlign w:val="bottom"/>
          </w:tcPr>
          <w:p w:rsidR="002E69C1" w:rsidRPr="002966DF" w:rsidRDefault="002E69C1" w:rsidP="000B1EF6">
            <w:pPr>
              <w:keepNext/>
              <w:spacing w:line="324" w:lineRule="auto"/>
              <w:jc w:val="center"/>
              <w:rPr>
                <w:rFonts w:ascii="Times New Roman" w:hAnsi="Times New Roman" w:cs="Times New Roman"/>
                <w:color w:val="000000"/>
                <w:sz w:val="24"/>
                <w:szCs w:val="24"/>
              </w:rPr>
            </w:pPr>
            <w:r w:rsidRPr="002966DF">
              <w:rPr>
                <w:rFonts w:ascii="Times New Roman" w:hAnsi="Times New Roman" w:cs="Times New Roman"/>
                <w:color w:val="000000"/>
                <w:sz w:val="24"/>
                <w:szCs w:val="24"/>
              </w:rPr>
              <w:t>55%</w:t>
            </w:r>
          </w:p>
        </w:tc>
        <w:tc>
          <w:tcPr>
            <w:tcW w:w="1346" w:type="dxa"/>
            <w:vAlign w:val="bottom"/>
          </w:tcPr>
          <w:p w:rsidR="002E69C1" w:rsidRPr="002966DF" w:rsidRDefault="002E69C1" w:rsidP="000B1EF6">
            <w:pPr>
              <w:keepNext/>
              <w:spacing w:line="324" w:lineRule="auto"/>
              <w:jc w:val="center"/>
              <w:rPr>
                <w:rFonts w:ascii="Times New Roman" w:hAnsi="Times New Roman" w:cs="Times New Roman"/>
                <w:color w:val="000000"/>
                <w:sz w:val="24"/>
                <w:szCs w:val="24"/>
              </w:rPr>
            </w:pPr>
            <w:r w:rsidRPr="002966DF">
              <w:rPr>
                <w:rFonts w:ascii="Times New Roman" w:hAnsi="Times New Roman" w:cs="Times New Roman"/>
                <w:color w:val="000000"/>
                <w:sz w:val="24"/>
                <w:szCs w:val="24"/>
              </w:rPr>
              <w:t>£483,519</w:t>
            </w:r>
          </w:p>
        </w:tc>
        <w:tc>
          <w:tcPr>
            <w:tcW w:w="1092" w:type="dxa"/>
            <w:vAlign w:val="bottom"/>
          </w:tcPr>
          <w:p w:rsidR="002E69C1" w:rsidRPr="002966DF" w:rsidRDefault="002E69C1" w:rsidP="000B1EF6">
            <w:pPr>
              <w:keepNext/>
              <w:spacing w:line="324" w:lineRule="auto"/>
              <w:jc w:val="center"/>
              <w:rPr>
                <w:rFonts w:ascii="Times New Roman" w:hAnsi="Times New Roman" w:cs="Times New Roman"/>
                <w:color w:val="000000"/>
                <w:sz w:val="24"/>
                <w:szCs w:val="24"/>
              </w:rPr>
            </w:pPr>
            <w:r w:rsidRPr="002966DF">
              <w:rPr>
                <w:rFonts w:ascii="Times New Roman" w:hAnsi="Times New Roman" w:cs="Times New Roman"/>
                <w:color w:val="000000"/>
                <w:sz w:val="24"/>
                <w:szCs w:val="24"/>
              </w:rPr>
              <w:t>41%</w:t>
            </w:r>
          </w:p>
        </w:tc>
        <w:tc>
          <w:tcPr>
            <w:tcW w:w="1203" w:type="dxa"/>
            <w:vAlign w:val="bottom"/>
          </w:tcPr>
          <w:p w:rsidR="002E69C1" w:rsidRPr="002966DF" w:rsidRDefault="002E69C1" w:rsidP="000B1EF6">
            <w:pPr>
              <w:keepNext/>
              <w:spacing w:line="324" w:lineRule="auto"/>
              <w:jc w:val="center"/>
              <w:rPr>
                <w:rFonts w:ascii="Times New Roman" w:hAnsi="Times New Roman" w:cs="Times New Roman"/>
                <w:color w:val="000000"/>
                <w:sz w:val="24"/>
                <w:szCs w:val="24"/>
              </w:rPr>
            </w:pPr>
            <w:r w:rsidRPr="002966DF">
              <w:rPr>
                <w:rFonts w:ascii="Times New Roman" w:hAnsi="Times New Roman" w:cs="Times New Roman"/>
                <w:color w:val="000000"/>
                <w:sz w:val="24"/>
                <w:szCs w:val="24"/>
              </w:rPr>
              <w:t>15,468</w:t>
            </w:r>
          </w:p>
        </w:tc>
      </w:tr>
    </w:tbl>
    <w:p w:rsidR="002E69C1" w:rsidRPr="000247A3" w:rsidRDefault="002E69C1" w:rsidP="002966DF">
      <w:pPr>
        <w:spacing w:line="360" w:lineRule="auto"/>
        <w:rPr>
          <w:rFonts w:cs="Arial"/>
          <w:sz w:val="20"/>
          <w:szCs w:val="20"/>
        </w:rPr>
      </w:pPr>
    </w:p>
    <w:p w:rsidR="002E69C1" w:rsidRDefault="002E69C1">
      <w:pPr>
        <w:rPr>
          <w:rFonts w:cs="Arial"/>
          <w:sz w:val="20"/>
          <w:szCs w:val="20"/>
        </w:rPr>
      </w:pPr>
      <w:r>
        <w:rPr>
          <w:rFonts w:cs="Arial"/>
          <w:sz w:val="20"/>
          <w:szCs w:val="20"/>
        </w:rPr>
        <w:br w:type="page"/>
      </w:r>
    </w:p>
    <w:p w:rsidR="002E69C1" w:rsidRPr="000247A3" w:rsidRDefault="002E69C1" w:rsidP="00FF7699">
      <w:pPr>
        <w:rPr>
          <w:rFonts w:cs="Arial"/>
          <w:sz w:val="20"/>
          <w:szCs w:val="20"/>
        </w:rPr>
      </w:pPr>
    </w:p>
    <w:tbl>
      <w:tblPr>
        <w:tblW w:w="7914" w:type="dxa"/>
        <w:tblInd w:w="93" w:type="dxa"/>
        <w:tblBorders>
          <w:top w:val="single" w:sz="8" w:space="0" w:color="auto"/>
          <w:bottom w:val="single" w:sz="8" w:space="0" w:color="auto"/>
        </w:tblBorders>
        <w:tblCellMar>
          <w:top w:w="85" w:type="dxa"/>
        </w:tblCellMar>
        <w:tblLook w:val="04A0" w:firstRow="1" w:lastRow="0" w:firstColumn="1" w:lastColumn="0" w:noHBand="0" w:noVBand="1"/>
      </w:tblPr>
      <w:tblGrid>
        <w:gridCol w:w="2499"/>
        <w:gridCol w:w="1083"/>
        <w:gridCol w:w="1083"/>
        <w:gridCol w:w="1083"/>
        <w:gridCol w:w="1083"/>
        <w:gridCol w:w="1083"/>
      </w:tblGrid>
      <w:tr w:rsidR="002E69C1" w:rsidRPr="000247A3" w:rsidTr="000B1EF6">
        <w:trPr>
          <w:trHeight w:val="283"/>
        </w:trPr>
        <w:tc>
          <w:tcPr>
            <w:tcW w:w="7914" w:type="dxa"/>
            <w:gridSpan w:val="6"/>
            <w:tcBorders>
              <w:top w:val="single" w:sz="8" w:space="0" w:color="auto"/>
              <w:bottom w:val="nil"/>
            </w:tcBorders>
            <w:shd w:val="clear" w:color="auto" w:fill="auto"/>
          </w:tcPr>
          <w:p w:rsidR="002E69C1" w:rsidRPr="00FF7699" w:rsidRDefault="002E69C1" w:rsidP="000B1EF6">
            <w:pPr>
              <w:pStyle w:val="TSRCtablefigureheading"/>
              <w:spacing w:after="0"/>
              <w:rPr>
                <w:rFonts w:ascii="Times New Roman" w:hAnsi="Times New Roman" w:cs="Times New Roman"/>
                <w:color w:val="000000"/>
                <w:sz w:val="24"/>
                <w:szCs w:val="24"/>
                <w:u w:val="none"/>
              </w:rPr>
            </w:pPr>
            <w:r w:rsidRPr="00FF7699">
              <w:rPr>
                <w:rFonts w:ascii="Times New Roman" w:hAnsi="Times New Roman" w:cs="Times New Roman"/>
                <w:sz w:val="24"/>
                <w:szCs w:val="24"/>
                <w:u w:val="none"/>
              </w:rPr>
              <w:t xml:space="preserve">Table 3. </w:t>
            </w:r>
            <w:r w:rsidRPr="00FF7699">
              <w:rPr>
                <w:rFonts w:ascii="Times New Roman" w:hAnsi="Times New Roman" w:cs="Times New Roman"/>
                <w:b w:val="0"/>
                <w:sz w:val="24"/>
                <w:szCs w:val="24"/>
                <w:u w:val="none"/>
              </w:rPr>
              <w:t xml:space="preserve">Summary of proportion of total income that is commercial revenue in 2003-2007, </w:t>
            </w:r>
            <w:r w:rsidRPr="00FF7699">
              <w:rPr>
                <w:rFonts w:ascii="Times New Roman" w:hAnsi="Times New Roman" w:cs="Times New Roman"/>
                <w:b w:val="0"/>
                <w:color w:val="000000"/>
                <w:sz w:val="24"/>
                <w:szCs w:val="24"/>
                <w:u w:val="none"/>
              </w:rPr>
              <w:t>derived using aggregate amounts for fields</w:t>
            </w:r>
          </w:p>
        </w:tc>
      </w:tr>
      <w:tr w:rsidR="002E69C1" w:rsidRPr="000247A3" w:rsidTr="000B1EF6">
        <w:trPr>
          <w:trHeight w:val="283"/>
        </w:trPr>
        <w:tc>
          <w:tcPr>
            <w:tcW w:w="2499" w:type="dxa"/>
            <w:tcBorders>
              <w:top w:val="single" w:sz="8" w:space="0" w:color="auto"/>
              <w:bottom w:val="nil"/>
            </w:tcBorders>
            <w:shd w:val="clear" w:color="auto" w:fill="auto"/>
            <w:hideMark/>
          </w:tcPr>
          <w:p w:rsidR="002E69C1" w:rsidRPr="00FF7699" w:rsidRDefault="002E69C1" w:rsidP="000B1EF6">
            <w:pPr>
              <w:keepNext/>
              <w:spacing w:line="324" w:lineRule="auto"/>
              <w:jc w:val="center"/>
              <w:rPr>
                <w:rFonts w:ascii="Times New Roman" w:hAnsi="Times New Roman" w:cs="Times New Roman"/>
                <w:color w:val="000000"/>
                <w:sz w:val="24"/>
                <w:szCs w:val="24"/>
              </w:rPr>
            </w:pPr>
          </w:p>
        </w:tc>
        <w:tc>
          <w:tcPr>
            <w:tcW w:w="5415" w:type="dxa"/>
            <w:gridSpan w:val="5"/>
            <w:tcBorders>
              <w:top w:val="single" w:sz="8" w:space="0" w:color="auto"/>
              <w:bottom w:val="nil"/>
            </w:tcBorders>
            <w:shd w:val="clear" w:color="auto" w:fill="auto"/>
            <w:hideMark/>
          </w:tcPr>
          <w:p w:rsidR="002E69C1" w:rsidRPr="00FF7699" w:rsidRDefault="002E69C1" w:rsidP="000B1EF6">
            <w:pPr>
              <w:keepNext/>
              <w:spacing w:line="324" w:lineRule="auto"/>
              <w:jc w:val="center"/>
              <w:rPr>
                <w:rFonts w:ascii="Times New Roman" w:hAnsi="Times New Roman" w:cs="Times New Roman"/>
                <w:color w:val="000000"/>
                <w:sz w:val="24"/>
                <w:szCs w:val="24"/>
              </w:rPr>
            </w:pPr>
            <w:r w:rsidRPr="00FF7699">
              <w:rPr>
                <w:rFonts w:ascii="Times New Roman" w:hAnsi="Times New Roman" w:cs="Times New Roman"/>
                <w:color w:val="000000"/>
                <w:sz w:val="24"/>
                <w:szCs w:val="24"/>
              </w:rPr>
              <w:t>% of overall income that is commercial revenue</w:t>
            </w:r>
          </w:p>
        </w:tc>
      </w:tr>
      <w:tr w:rsidR="002E69C1" w:rsidRPr="000247A3" w:rsidTr="000B1EF6">
        <w:trPr>
          <w:trHeight w:val="283"/>
        </w:trPr>
        <w:tc>
          <w:tcPr>
            <w:tcW w:w="2499" w:type="dxa"/>
            <w:tcBorders>
              <w:top w:val="nil"/>
              <w:bottom w:val="single" w:sz="8" w:space="0" w:color="auto"/>
            </w:tcBorders>
            <w:shd w:val="clear" w:color="auto" w:fill="auto"/>
            <w:hideMark/>
          </w:tcPr>
          <w:p w:rsidR="002E69C1" w:rsidRPr="00FF7699" w:rsidRDefault="002E69C1" w:rsidP="000B1EF6">
            <w:pPr>
              <w:keepNext/>
              <w:spacing w:line="324" w:lineRule="auto"/>
              <w:rPr>
                <w:rFonts w:ascii="Times New Roman" w:hAnsi="Times New Roman" w:cs="Times New Roman"/>
                <w:color w:val="000000"/>
                <w:sz w:val="24"/>
                <w:szCs w:val="24"/>
              </w:rPr>
            </w:pPr>
            <w:r w:rsidRPr="00FF7699">
              <w:rPr>
                <w:rFonts w:ascii="Times New Roman" w:hAnsi="Times New Roman" w:cs="Times New Roman"/>
                <w:color w:val="000000"/>
                <w:sz w:val="24"/>
                <w:szCs w:val="24"/>
              </w:rPr>
              <w:t>Income Band (£)</w:t>
            </w:r>
          </w:p>
        </w:tc>
        <w:tc>
          <w:tcPr>
            <w:tcW w:w="1083" w:type="dxa"/>
            <w:tcBorders>
              <w:top w:val="nil"/>
              <w:bottom w:val="single" w:sz="8" w:space="0" w:color="auto"/>
            </w:tcBorders>
            <w:shd w:val="clear" w:color="auto" w:fill="auto"/>
            <w:hideMark/>
          </w:tcPr>
          <w:p w:rsidR="002E69C1" w:rsidRPr="00FF7699" w:rsidRDefault="002E69C1" w:rsidP="000B1EF6">
            <w:pPr>
              <w:keepNext/>
              <w:spacing w:line="324" w:lineRule="auto"/>
              <w:jc w:val="center"/>
              <w:rPr>
                <w:rFonts w:ascii="Times New Roman" w:hAnsi="Times New Roman" w:cs="Times New Roman"/>
                <w:color w:val="000000"/>
                <w:sz w:val="24"/>
                <w:szCs w:val="24"/>
              </w:rPr>
            </w:pPr>
            <w:r w:rsidRPr="00FF7699">
              <w:rPr>
                <w:rFonts w:ascii="Times New Roman" w:hAnsi="Times New Roman" w:cs="Times New Roman"/>
                <w:color w:val="000000"/>
                <w:sz w:val="24"/>
                <w:szCs w:val="24"/>
              </w:rPr>
              <w:t>2003</w:t>
            </w:r>
          </w:p>
        </w:tc>
        <w:tc>
          <w:tcPr>
            <w:tcW w:w="1083" w:type="dxa"/>
            <w:tcBorders>
              <w:top w:val="nil"/>
              <w:bottom w:val="single" w:sz="8" w:space="0" w:color="auto"/>
            </w:tcBorders>
            <w:shd w:val="clear" w:color="auto" w:fill="auto"/>
            <w:hideMark/>
          </w:tcPr>
          <w:p w:rsidR="002E69C1" w:rsidRPr="00FF7699" w:rsidRDefault="002E69C1" w:rsidP="000B1EF6">
            <w:pPr>
              <w:keepNext/>
              <w:spacing w:line="324" w:lineRule="auto"/>
              <w:jc w:val="center"/>
              <w:rPr>
                <w:rFonts w:ascii="Times New Roman" w:hAnsi="Times New Roman" w:cs="Times New Roman"/>
                <w:color w:val="000000"/>
                <w:sz w:val="24"/>
                <w:szCs w:val="24"/>
              </w:rPr>
            </w:pPr>
            <w:r w:rsidRPr="00FF7699">
              <w:rPr>
                <w:rFonts w:ascii="Times New Roman" w:hAnsi="Times New Roman" w:cs="Times New Roman"/>
                <w:color w:val="000000"/>
                <w:sz w:val="24"/>
                <w:szCs w:val="24"/>
              </w:rPr>
              <w:t>2004</w:t>
            </w:r>
          </w:p>
        </w:tc>
        <w:tc>
          <w:tcPr>
            <w:tcW w:w="1083" w:type="dxa"/>
            <w:tcBorders>
              <w:top w:val="nil"/>
              <w:bottom w:val="single" w:sz="8" w:space="0" w:color="auto"/>
            </w:tcBorders>
            <w:shd w:val="clear" w:color="auto" w:fill="auto"/>
            <w:hideMark/>
          </w:tcPr>
          <w:p w:rsidR="002E69C1" w:rsidRPr="00FF7699" w:rsidRDefault="002E69C1" w:rsidP="000B1EF6">
            <w:pPr>
              <w:keepNext/>
              <w:spacing w:line="324" w:lineRule="auto"/>
              <w:jc w:val="center"/>
              <w:rPr>
                <w:rFonts w:ascii="Times New Roman" w:hAnsi="Times New Roman" w:cs="Times New Roman"/>
                <w:color w:val="000000"/>
                <w:sz w:val="24"/>
                <w:szCs w:val="24"/>
              </w:rPr>
            </w:pPr>
            <w:r w:rsidRPr="00FF7699">
              <w:rPr>
                <w:rFonts w:ascii="Times New Roman" w:hAnsi="Times New Roman" w:cs="Times New Roman"/>
                <w:color w:val="000000"/>
                <w:sz w:val="24"/>
                <w:szCs w:val="24"/>
              </w:rPr>
              <w:t>2005</w:t>
            </w:r>
          </w:p>
        </w:tc>
        <w:tc>
          <w:tcPr>
            <w:tcW w:w="1083" w:type="dxa"/>
            <w:tcBorders>
              <w:top w:val="nil"/>
              <w:bottom w:val="single" w:sz="8" w:space="0" w:color="auto"/>
            </w:tcBorders>
            <w:shd w:val="clear" w:color="auto" w:fill="auto"/>
            <w:hideMark/>
          </w:tcPr>
          <w:p w:rsidR="002E69C1" w:rsidRPr="00FF7699" w:rsidRDefault="002E69C1" w:rsidP="000B1EF6">
            <w:pPr>
              <w:keepNext/>
              <w:spacing w:line="324" w:lineRule="auto"/>
              <w:jc w:val="center"/>
              <w:rPr>
                <w:rFonts w:ascii="Times New Roman" w:hAnsi="Times New Roman" w:cs="Times New Roman"/>
                <w:color w:val="000000"/>
                <w:sz w:val="24"/>
                <w:szCs w:val="24"/>
              </w:rPr>
            </w:pPr>
            <w:r w:rsidRPr="00FF7699">
              <w:rPr>
                <w:rFonts w:ascii="Times New Roman" w:hAnsi="Times New Roman" w:cs="Times New Roman"/>
                <w:color w:val="000000"/>
                <w:sz w:val="24"/>
                <w:szCs w:val="24"/>
              </w:rPr>
              <w:t>2006</w:t>
            </w:r>
          </w:p>
        </w:tc>
        <w:tc>
          <w:tcPr>
            <w:tcW w:w="1083" w:type="dxa"/>
            <w:tcBorders>
              <w:top w:val="nil"/>
              <w:bottom w:val="single" w:sz="8" w:space="0" w:color="auto"/>
            </w:tcBorders>
            <w:shd w:val="clear" w:color="auto" w:fill="auto"/>
            <w:hideMark/>
          </w:tcPr>
          <w:p w:rsidR="002E69C1" w:rsidRPr="00FF7699" w:rsidRDefault="002E69C1" w:rsidP="000B1EF6">
            <w:pPr>
              <w:keepNext/>
              <w:spacing w:line="324" w:lineRule="auto"/>
              <w:jc w:val="center"/>
              <w:rPr>
                <w:rFonts w:ascii="Times New Roman" w:hAnsi="Times New Roman" w:cs="Times New Roman"/>
                <w:color w:val="000000"/>
                <w:sz w:val="24"/>
                <w:szCs w:val="24"/>
              </w:rPr>
            </w:pPr>
            <w:r w:rsidRPr="00FF7699">
              <w:rPr>
                <w:rFonts w:ascii="Times New Roman" w:hAnsi="Times New Roman" w:cs="Times New Roman"/>
                <w:color w:val="000000"/>
                <w:sz w:val="24"/>
                <w:szCs w:val="24"/>
              </w:rPr>
              <w:t>2007</w:t>
            </w:r>
          </w:p>
        </w:tc>
      </w:tr>
      <w:tr w:rsidR="002E69C1" w:rsidRPr="000247A3" w:rsidTr="000B1EF6">
        <w:trPr>
          <w:trHeight w:val="283"/>
        </w:trPr>
        <w:tc>
          <w:tcPr>
            <w:tcW w:w="2499" w:type="dxa"/>
            <w:tcBorders>
              <w:top w:val="single" w:sz="8" w:space="0" w:color="auto"/>
            </w:tcBorders>
            <w:shd w:val="clear" w:color="auto" w:fill="auto"/>
            <w:hideMark/>
          </w:tcPr>
          <w:p w:rsidR="002E69C1" w:rsidRPr="00FF7699" w:rsidRDefault="002E69C1" w:rsidP="000B1EF6">
            <w:pPr>
              <w:keepNext/>
              <w:spacing w:line="324" w:lineRule="auto"/>
              <w:rPr>
                <w:rFonts w:ascii="Times New Roman" w:hAnsi="Times New Roman" w:cs="Times New Roman"/>
                <w:color w:val="000000"/>
                <w:sz w:val="24"/>
                <w:szCs w:val="24"/>
              </w:rPr>
            </w:pPr>
            <w:r w:rsidRPr="00FF7699">
              <w:rPr>
                <w:rFonts w:ascii="Times New Roman" w:hAnsi="Times New Roman" w:cs="Times New Roman"/>
                <w:color w:val="000000"/>
                <w:sz w:val="24"/>
                <w:szCs w:val="24"/>
              </w:rPr>
              <w:t>0-9,999</w:t>
            </w:r>
          </w:p>
        </w:tc>
        <w:tc>
          <w:tcPr>
            <w:tcW w:w="1083" w:type="dxa"/>
            <w:tcBorders>
              <w:top w:val="single" w:sz="8" w:space="0" w:color="auto"/>
            </w:tcBorders>
            <w:shd w:val="clear" w:color="auto" w:fill="auto"/>
            <w:vAlign w:val="bottom"/>
            <w:hideMark/>
          </w:tcPr>
          <w:p w:rsidR="002E69C1" w:rsidRPr="00FF7699" w:rsidRDefault="002E69C1" w:rsidP="000B1EF6">
            <w:pPr>
              <w:spacing w:line="324" w:lineRule="auto"/>
              <w:jc w:val="center"/>
              <w:rPr>
                <w:rFonts w:ascii="Times New Roman" w:hAnsi="Times New Roman" w:cs="Times New Roman"/>
                <w:color w:val="000000"/>
                <w:sz w:val="24"/>
                <w:szCs w:val="24"/>
              </w:rPr>
            </w:pPr>
            <w:r w:rsidRPr="00FF7699">
              <w:rPr>
                <w:rFonts w:ascii="Times New Roman" w:hAnsi="Times New Roman" w:cs="Times New Roman"/>
                <w:color w:val="000000"/>
                <w:sz w:val="24"/>
                <w:szCs w:val="24"/>
              </w:rPr>
              <w:t>44.9%</w:t>
            </w:r>
          </w:p>
        </w:tc>
        <w:tc>
          <w:tcPr>
            <w:tcW w:w="1083" w:type="dxa"/>
            <w:tcBorders>
              <w:top w:val="single" w:sz="8" w:space="0" w:color="auto"/>
            </w:tcBorders>
            <w:shd w:val="clear" w:color="auto" w:fill="auto"/>
            <w:vAlign w:val="bottom"/>
            <w:hideMark/>
          </w:tcPr>
          <w:p w:rsidR="002E69C1" w:rsidRPr="00FF7699" w:rsidRDefault="002E69C1" w:rsidP="000B1EF6">
            <w:pPr>
              <w:spacing w:line="324" w:lineRule="auto"/>
              <w:jc w:val="center"/>
              <w:rPr>
                <w:rFonts w:ascii="Times New Roman" w:hAnsi="Times New Roman" w:cs="Times New Roman"/>
                <w:color w:val="000000"/>
                <w:sz w:val="24"/>
                <w:szCs w:val="24"/>
              </w:rPr>
            </w:pPr>
            <w:r w:rsidRPr="00FF7699">
              <w:rPr>
                <w:rFonts w:ascii="Times New Roman" w:hAnsi="Times New Roman" w:cs="Times New Roman"/>
                <w:color w:val="000000"/>
                <w:sz w:val="24"/>
                <w:szCs w:val="24"/>
              </w:rPr>
              <w:t>54.6%</w:t>
            </w:r>
          </w:p>
        </w:tc>
        <w:tc>
          <w:tcPr>
            <w:tcW w:w="1083" w:type="dxa"/>
            <w:tcBorders>
              <w:top w:val="single" w:sz="8" w:space="0" w:color="auto"/>
            </w:tcBorders>
            <w:shd w:val="clear" w:color="auto" w:fill="auto"/>
            <w:vAlign w:val="bottom"/>
            <w:hideMark/>
          </w:tcPr>
          <w:p w:rsidR="002E69C1" w:rsidRPr="00FF7699" w:rsidRDefault="002E69C1" w:rsidP="000B1EF6">
            <w:pPr>
              <w:spacing w:line="324" w:lineRule="auto"/>
              <w:jc w:val="center"/>
              <w:rPr>
                <w:rFonts w:ascii="Times New Roman" w:hAnsi="Times New Roman" w:cs="Times New Roman"/>
                <w:color w:val="000000"/>
                <w:sz w:val="24"/>
                <w:szCs w:val="24"/>
              </w:rPr>
            </w:pPr>
            <w:r w:rsidRPr="00FF7699">
              <w:rPr>
                <w:rFonts w:ascii="Times New Roman" w:hAnsi="Times New Roman" w:cs="Times New Roman"/>
                <w:color w:val="000000"/>
                <w:sz w:val="24"/>
                <w:szCs w:val="24"/>
              </w:rPr>
              <w:t>54.6%</w:t>
            </w:r>
          </w:p>
        </w:tc>
        <w:tc>
          <w:tcPr>
            <w:tcW w:w="1083" w:type="dxa"/>
            <w:tcBorders>
              <w:top w:val="single" w:sz="8" w:space="0" w:color="auto"/>
            </w:tcBorders>
            <w:shd w:val="clear" w:color="auto" w:fill="auto"/>
            <w:vAlign w:val="bottom"/>
            <w:hideMark/>
          </w:tcPr>
          <w:p w:rsidR="002E69C1" w:rsidRPr="00FF7699" w:rsidRDefault="002E69C1" w:rsidP="000B1EF6">
            <w:pPr>
              <w:spacing w:line="324" w:lineRule="auto"/>
              <w:jc w:val="center"/>
              <w:rPr>
                <w:rFonts w:ascii="Times New Roman" w:hAnsi="Times New Roman" w:cs="Times New Roman"/>
                <w:color w:val="000000"/>
                <w:sz w:val="24"/>
                <w:szCs w:val="24"/>
              </w:rPr>
            </w:pPr>
            <w:r w:rsidRPr="00FF7699">
              <w:rPr>
                <w:rFonts w:ascii="Times New Roman" w:hAnsi="Times New Roman" w:cs="Times New Roman"/>
                <w:color w:val="000000"/>
                <w:sz w:val="24"/>
                <w:szCs w:val="24"/>
              </w:rPr>
              <w:t>39.0%</w:t>
            </w:r>
          </w:p>
        </w:tc>
        <w:tc>
          <w:tcPr>
            <w:tcW w:w="1083" w:type="dxa"/>
            <w:tcBorders>
              <w:top w:val="single" w:sz="8" w:space="0" w:color="auto"/>
            </w:tcBorders>
            <w:shd w:val="clear" w:color="auto" w:fill="auto"/>
            <w:vAlign w:val="bottom"/>
            <w:hideMark/>
          </w:tcPr>
          <w:p w:rsidR="002E69C1" w:rsidRPr="00FF7699" w:rsidRDefault="002E69C1" w:rsidP="000B1EF6">
            <w:pPr>
              <w:spacing w:line="324" w:lineRule="auto"/>
              <w:jc w:val="center"/>
              <w:rPr>
                <w:rFonts w:ascii="Times New Roman" w:hAnsi="Times New Roman" w:cs="Times New Roman"/>
                <w:color w:val="000000"/>
                <w:sz w:val="24"/>
                <w:szCs w:val="24"/>
              </w:rPr>
            </w:pPr>
            <w:r w:rsidRPr="00FF7699">
              <w:rPr>
                <w:rFonts w:ascii="Times New Roman" w:hAnsi="Times New Roman" w:cs="Times New Roman"/>
                <w:color w:val="000000"/>
                <w:sz w:val="24"/>
                <w:szCs w:val="24"/>
              </w:rPr>
              <w:t>44.7%</w:t>
            </w:r>
          </w:p>
        </w:tc>
      </w:tr>
      <w:tr w:rsidR="002E69C1" w:rsidRPr="000247A3" w:rsidTr="000B1EF6">
        <w:trPr>
          <w:trHeight w:val="283"/>
        </w:trPr>
        <w:tc>
          <w:tcPr>
            <w:tcW w:w="2499" w:type="dxa"/>
            <w:shd w:val="clear" w:color="auto" w:fill="auto"/>
            <w:hideMark/>
          </w:tcPr>
          <w:p w:rsidR="002E69C1" w:rsidRPr="00FF7699" w:rsidRDefault="002E69C1" w:rsidP="000B1EF6">
            <w:pPr>
              <w:keepNext/>
              <w:spacing w:line="324" w:lineRule="auto"/>
              <w:rPr>
                <w:rFonts w:ascii="Times New Roman" w:hAnsi="Times New Roman" w:cs="Times New Roman"/>
                <w:color w:val="000000"/>
                <w:sz w:val="24"/>
                <w:szCs w:val="24"/>
              </w:rPr>
            </w:pPr>
            <w:r w:rsidRPr="00FF7699">
              <w:rPr>
                <w:rFonts w:ascii="Times New Roman" w:hAnsi="Times New Roman" w:cs="Times New Roman"/>
                <w:color w:val="000000"/>
                <w:sz w:val="24"/>
                <w:szCs w:val="24"/>
              </w:rPr>
              <w:t>10k-99,999</w:t>
            </w:r>
          </w:p>
        </w:tc>
        <w:tc>
          <w:tcPr>
            <w:tcW w:w="1083" w:type="dxa"/>
            <w:shd w:val="clear" w:color="auto" w:fill="auto"/>
            <w:vAlign w:val="bottom"/>
            <w:hideMark/>
          </w:tcPr>
          <w:p w:rsidR="002E69C1" w:rsidRPr="00FF7699" w:rsidRDefault="002E69C1" w:rsidP="000B1EF6">
            <w:pPr>
              <w:spacing w:line="324" w:lineRule="auto"/>
              <w:jc w:val="center"/>
              <w:rPr>
                <w:rFonts w:ascii="Times New Roman" w:hAnsi="Times New Roman" w:cs="Times New Roman"/>
                <w:color w:val="000000"/>
                <w:sz w:val="24"/>
                <w:szCs w:val="24"/>
              </w:rPr>
            </w:pPr>
            <w:r w:rsidRPr="00FF7699">
              <w:rPr>
                <w:rFonts w:ascii="Times New Roman" w:hAnsi="Times New Roman" w:cs="Times New Roman"/>
                <w:color w:val="000000"/>
                <w:sz w:val="24"/>
                <w:szCs w:val="24"/>
              </w:rPr>
              <w:t>46.9%</w:t>
            </w:r>
          </w:p>
        </w:tc>
        <w:tc>
          <w:tcPr>
            <w:tcW w:w="1083" w:type="dxa"/>
            <w:shd w:val="clear" w:color="auto" w:fill="auto"/>
            <w:vAlign w:val="bottom"/>
            <w:hideMark/>
          </w:tcPr>
          <w:p w:rsidR="002E69C1" w:rsidRPr="00FF7699" w:rsidRDefault="002E69C1" w:rsidP="000B1EF6">
            <w:pPr>
              <w:spacing w:line="324" w:lineRule="auto"/>
              <w:jc w:val="center"/>
              <w:rPr>
                <w:rFonts w:ascii="Times New Roman" w:hAnsi="Times New Roman" w:cs="Times New Roman"/>
                <w:color w:val="000000"/>
                <w:sz w:val="24"/>
                <w:szCs w:val="24"/>
              </w:rPr>
            </w:pPr>
            <w:r w:rsidRPr="00FF7699">
              <w:rPr>
                <w:rFonts w:ascii="Times New Roman" w:hAnsi="Times New Roman" w:cs="Times New Roman"/>
                <w:color w:val="000000"/>
                <w:sz w:val="24"/>
                <w:szCs w:val="24"/>
              </w:rPr>
              <w:t>46.8%</w:t>
            </w:r>
          </w:p>
        </w:tc>
        <w:tc>
          <w:tcPr>
            <w:tcW w:w="1083" w:type="dxa"/>
            <w:shd w:val="clear" w:color="auto" w:fill="auto"/>
            <w:vAlign w:val="bottom"/>
            <w:hideMark/>
          </w:tcPr>
          <w:p w:rsidR="002E69C1" w:rsidRPr="00FF7699" w:rsidRDefault="002E69C1" w:rsidP="000B1EF6">
            <w:pPr>
              <w:spacing w:line="324" w:lineRule="auto"/>
              <w:jc w:val="center"/>
              <w:rPr>
                <w:rFonts w:ascii="Times New Roman" w:hAnsi="Times New Roman" w:cs="Times New Roman"/>
                <w:color w:val="000000"/>
                <w:sz w:val="24"/>
                <w:szCs w:val="24"/>
              </w:rPr>
            </w:pPr>
            <w:r w:rsidRPr="00FF7699">
              <w:rPr>
                <w:rFonts w:ascii="Times New Roman" w:hAnsi="Times New Roman" w:cs="Times New Roman"/>
                <w:color w:val="000000"/>
                <w:sz w:val="24"/>
                <w:szCs w:val="24"/>
              </w:rPr>
              <w:t>47.0%</w:t>
            </w:r>
          </w:p>
        </w:tc>
        <w:tc>
          <w:tcPr>
            <w:tcW w:w="1083" w:type="dxa"/>
            <w:shd w:val="clear" w:color="auto" w:fill="auto"/>
            <w:vAlign w:val="bottom"/>
            <w:hideMark/>
          </w:tcPr>
          <w:p w:rsidR="002E69C1" w:rsidRPr="00FF7699" w:rsidRDefault="002E69C1" w:rsidP="000B1EF6">
            <w:pPr>
              <w:spacing w:line="324" w:lineRule="auto"/>
              <w:jc w:val="center"/>
              <w:rPr>
                <w:rFonts w:ascii="Times New Roman" w:hAnsi="Times New Roman" w:cs="Times New Roman"/>
                <w:color w:val="000000"/>
                <w:sz w:val="24"/>
                <w:szCs w:val="24"/>
              </w:rPr>
            </w:pPr>
            <w:r w:rsidRPr="00FF7699">
              <w:rPr>
                <w:rFonts w:ascii="Times New Roman" w:hAnsi="Times New Roman" w:cs="Times New Roman"/>
                <w:color w:val="000000"/>
                <w:sz w:val="24"/>
                <w:szCs w:val="24"/>
              </w:rPr>
              <w:t>45.8%</w:t>
            </w:r>
          </w:p>
        </w:tc>
        <w:tc>
          <w:tcPr>
            <w:tcW w:w="1083" w:type="dxa"/>
            <w:shd w:val="clear" w:color="auto" w:fill="auto"/>
            <w:vAlign w:val="bottom"/>
            <w:hideMark/>
          </w:tcPr>
          <w:p w:rsidR="002E69C1" w:rsidRPr="00FF7699" w:rsidRDefault="002E69C1" w:rsidP="000B1EF6">
            <w:pPr>
              <w:spacing w:line="324" w:lineRule="auto"/>
              <w:jc w:val="center"/>
              <w:rPr>
                <w:rFonts w:ascii="Times New Roman" w:hAnsi="Times New Roman" w:cs="Times New Roman"/>
                <w:color w:val="000000"/>
                <w:sz w:val="24"/>
                <w:szCs w:val="24"/>
              </w:rPr>
            </w:pPr>
            <w:r w:rsidRPr="00FF7699">
              <w:rPr>
                <w:rFonts w:ascii="Times New Roman" w:hAnsi="Times New Roman" w:cs="Times New Roman"/>
                <w:color w:val="000000"/>
                <w:sz w:val="24"/>
                <w:szCs w:val="24"/>
              </w:rPr>
              <w:t>49.0%</w:t>
            </w:r>
          </w:p>
        </w:tc>
      </w:tr>
      <w:tr w:rsidR="002E69C1" w:rsidRPr="000247A3" w:rsidTr="000B1EF6">
        <w:trPr>
          <w:trHeight w:val="283"/>
        </w:trPr>
        <w:tc>
          <w:tcPr>
            <w:tcW w:w="2499" w:type="dxa"/>
            <w:shd w:val="clear" w:color="auto" w:fill="auto"/>
            <w:hideMark/>
          </w:tcPr>
          <w:p w:rsidR="002E69C1" w:rsidRPr="00FF7699" w:rsidRDefault="002E69C1" w:rsidP="000B1EF6">
            <w:pPr>
              <w:keepNext/>
              <w:spacing w:line="324" w:lineRule="auto"/>
              <w:rPr>
                <w:rFonts w:ascii="Times New Roman" w:hAnsi="Times New Roman" w:cs="Times New Roman"/>
                <w:color w:val="000000"/>
                <w:sz w:val="24"/>
                <w:szCs w:val="24"/>
              </w:rPr>
            </w:pPr>
            <w:r w:rsidRPr="00FF7699">
              <w:rPr>
                <w:rFonts w:ascii="Times New Roman" w:hAnsi="Times New Roman" w:cs="Times New Roman"/>
                <w:color w:val="000000"/>
                <w:sz w:val="24"/>
                <w:szCs w:val="24"/>
              </w:rPr>
              <w:t>100k-999,999</w:t>
            </w:r>
          </w:p>
        </w:tc>
        <w:tc>
          <w:tcPr>
            <w:tcW w:w="1083" w:type="dxa"/>
            <w:shd w:val="clear" w:color="auto" w:fill="auto"/>
            <w:vAlign w:val="bottom"/>
            <w:hideMark/>
          </w:tcPr>
          <w:p w:rsidR="002E69C1" w:rsidRPr="00FF7699" w:rsidRDefault="002E69C1" w:rsidP="000B1EF6">
            <w:pPr>
              <w:spacing w:line="324" w:lineRule="auto"/>
              <w:jc w:val="center"/>
              <w:rPr>
                <w:rFonts w:ascii="Times New Roman" w:hAnsi="Times New Roman" w:cs="Times New Roman"/>
                <w:color w:val="000000"/>
                <w:sz w:val="24"/>
                <w:szCs w:val="24"/>
              </w:rPr>
            </w:pPr>
            <w:r w:rsidRPr="00FF7699">
              <w:rPr>
                <w:rFonts w:ascii="Times New Roman" w:hAnsi="Times New Roman" w:cs="Times New Roman"/>
                <w:color w:val="000000"/>
                <w:sz w:val="24"/>
                <w:szCs w:val="24"/>
              </w:rPr>
              <w:t>49.8%</w:t>
            </w:r>
          </w:p>
        </w:tc>
        <w:tc>
          <w:tcPr>
            <w:tcW w:w="1083" w:type="dxa"/>
            <w:shd w:val="clear" w:color="auto" w:fill="auto"/>
            <w:vAlign w:val="bottom"/>
            <w:hideMark/>
          </w:tcPr>
          <w:p w:rsidR="002E69C1" w:rsidRPr="00FF7699" w:rsidRDefault="002E69C1" w:rsidP="000B1EF6">
            <w:pPr>
              <w:spacing w:line="324" w:lineRule="auto"/>
              <w:jc w:val="center"/>
              <w:rPr>
                <w:rFonts w:ascii="Times New Roman" w:hAnsi="Times New Roman" w:cs="Times New Roman"/>
                <w:color w:val="000000"/>
                <w:sz w:val="24"/>
                <w:szCs w:val="24"/>
              </w:rPr>
            </w:pPr>
            <w:r w:rsidRPr="00FF7699">
              <w:rPr>
                <w:rFonts w:ascii="Times New Roman" w:hAnsi="Times New Roman" w:cs="Times New Roman"/>
                <w:color w:val="000000"/>
                <w:sz w:val="24"/>
                <w:szCs w:val="24"/>
              </w:rPr>
              <w:t>46.2%</w:t>
            </w:r>
          </w:p>
        </w:tc>
        <w:tc>
          <w:tcPr>
            <w:tcW w:w="1083" w:type="dxa"/>
            <w:shd w:val="clear" w:color="auto" w:fill="auto"/>
            <w:vAlign w:val="bottom"/>
            <w:hideMark/>
          </w:tcPr>
          <w:p w:rsidR="002E69C1" w:rsidRPr="00FF7699" w:rsidRDefault="002E69C1" w:rsidP="000B1EF6">
            <w:pPr>
              <w:spacing w:line="324" w:lineRule="auto"/>
              <w:jc w:val="center"/>
              <w:rPr>
                <w:rFonts w:ascii="Times New Roman" w:hAnsi="Times New Roman" w:cs="Times New Roman"/>
                <w:color w:val="000000"/>
                <w:sz w:val="24"/>
                <w:szCs w:val="24"/>
              </w:rPr>
            </w:pPr>
            <w:r w:rsidRPr="00FF7699">
              <w:rPr>
                <w:rFonts w:ascii="Times New Roman" w:hAnsi="Times New Roman" w:cs="Times New Roman"/>
                <w:color w:val="000000"/>
                <w:sz w:val="24"/>
                <w:szCs w:val="24"/>
              </w:rPr>
              <w:t>47.6%</w:t>
            </w:r>
          </w:p>
        </w:tc>
        <w:tc>
          <w:tcPr>
            <w:tcW w:w="1083" w:type="dxa"/>
            <w:shd w:val="clear" w:color="auto" w:fill="auto"/>
            <w:vAlign w:val="bottom"/>
            <w:hideMark/>
          </w:tcPr>
          <w:p w:rsidR="002E69C1" w:rsidRPr="00FF7699" w:rsidRDefault="002E69C1" w:rsidP="000B1EF6">
            <w:pPr>
              <w:spacing w:line="324" w:lineRule="auto"/>
              <w:jc w:val="center"/>
              <w:rPr>
                <w:rFonts w:ascii="Times New Roman" w:hAnsi="Times New Roman" w:cs="Times New Roman"/>
                <w:color w:val="000000"/>
                <w:sz w:val="24"/>
                <w:szCs w:val="24"/>
              </w:rPr>
            </w:pPr>
            <w:r w:rsidRPr="00FF7699">
              <w:rPr>
                <w:rFonts w:ascii="Times New Roman" w:hAnsi="Times New Roman" w:cs="Times New Roman"/>
                <w:color w:val="000000"/>
                <w:sz w:val="24"/>
                <w:szCs w:val="24"/>
              </w:rPr>
              <w:t>48.9%</w:t>
            </w:r>
          </w:p>
        </w:tc>
        <w:tc>
          <w:tcPr>
            <w:tcW w:w="1083" w:type="dxa"/>
            <w:shd w:val="clear" w:color="auto" w:fill="auto"/>
            <w:vAlign w:val="bottom"/>
            <w:hideMark/>
          </w:tcPr>
          <w:p w:rsidR="002E69C1" w:rsidRPr="00FF7699" w:rsidRDefault="002E69C1" w:rsidP="000B1EF6">
            <w:pPr>
              <w:spacing w:line="324" w:lineRule="auto"/>
              <w:jc w:val="center"/>
              <w:rPr>
                <w:rFonts w:ascii="Times New Roman" w:hAnsi="Times New Roman" w:cs="Times New Roman"/>
                <w:color w:val="000000"/>
                <w:sz w:val="24"/>
                <w:szCs w:val="24"/>
              </w:rPr>
            </w:pPr>
            <w:r w:rsidRPr="00FF7699">
              <w:rPr>
                <w:rFonts w:ascii="Times New Roman" w:hAnsi="Times New Roman" w:cs="Times New Roman"/>
                <w:color w:val="000000"/>
                <w:sz w:val="24"/>
                <w:szCs w:val="24"/>
              </w:rPr>
              <w:t>50.8%</w:t>
            </w:r>
          </w:p>
        </w:tc>
      </w:tr>
      <w:tr w:rsidR="002E69C1" w:rsidRPr="000247A3" w:rsidTr="000B1EF6">
        <w:trPr>
          <w:trHeight w:val="283"/>
        </w:trPr>
        <w:tc>
          <w:tcPr>
            <w:tcW w:w="2499" w:type="dxa"/>
            <w:shd w:val="clear" w:color="auto" w:fill="auto"/>
            <w:hideMark/>
          </w:tcPr>
          <w:p w:rsidR="002E69C1" w:rsidRPr="00FF7699" w:rsidRDefault="002E69C1" w:rsidP="000B1EF6">
            <w:pPr>
              <w:keepNext/>
              <w:spacing w:line="324" w:lineRule="auto"/>
              <w:rPr>
                <w:rFonts w:ascii="Times New Roman" w:hAnsi="Times New Roman" w:cs="Times New Roman"/>
                <w:color w:val="000000"/>
                <w:sz w:val="24"/>
                <w:szCs w:val="24"/>
              </w:rPr>
            </w:pPr>
            <w:r w:rsidRPr="00FF7699">
              <w:rPr>
                <w:rFonts w:ascii="Times New Roman" w:hAnsi="Times New Roman" w:cs="Times New Roman"/>
                <w:color w:val="000000"/>
                <w:sz w:val="24"/>
                <w:szCs w:val="24"/>
              </w:rPr>
              <w:t>1,ML -10 ML</w:t>
            </w:r>
          </w:p>
        </w:tc>
        <w:tc>
          <w:tcPr>
            <w:tcW w:w="1083" w:type="dxa"/>
            <w:shd w:val="clear" w:color="auto" w:fill="auto"/>
            <w:vAlign w:val="bottom"/>
            <w:hideMark/>
          </w:tcPr>
          <w:p w:rsidR="002E69C1" w:rsidRPr="00FF7699" w:rsidRDefault="002E69C1" w:rsidP="000B1EF6">
            <w:pPr>
              <w:spacing w:line="324" w:lineRule="auto"/>
              <w:jc w:val="center"/>
              <w:rPr>
                <w:rFonts w:ascii="Times New Roman" w:hAnsi="Times New Roman" w:cs="Times New Roman"/>
                <w:color w:val="000000"/>
                <w:sz w:val="24"/>
                <w:szCs w:val="24"/>
              </w:rPr>
            </w:pPr>
            <w:r w:rsidRPr="00FF7699">
              <w:rPr>
                <w:rFonts w:ascii="Times New Roman" w:hAnsi="Times New Roman" w:cs="Times New Roman"/>
                <w:color w:val="000000"/>
                <w:sz w:val="24"/>
                <w:szCs w:val="24"/>
              </w:rPr>
              <w:t>57.4%</w:t>
            </w:r>
          </w:p>
        </w:tc>
        <w:tc>
          <w:tcPr>
            <w:tcW w:w="1083" w:type="dxa"/>
            <w:shd w:val="clear" w:color="auto" w:fill="auto"/>
            <w:vAlign w:val="bottom"/>
            <w:hideMark/>
          </w:tcPr>
          <w:p w:rsidR="002E69C1" w:rsidRPr="00FF7699" w:rsidRDefault="002E69C1" w:rsidP="000B1EF6">
            <w:pPr>
              <w:spacing w:line="324" w:lineRule="auto"/>
              <w:jc w:val="center"/>
              <w:rPr>
                <w:rFonts w:ascii="Times New Roman" w:hAnsi="Times New Roman" w:cs="Times New Roman"/>
                <w:color w:val="000000"/>
                <w:sz w:val="24"/>
                <w:szCs w:val="24"/>
              </w:rPr>
            </w:pPr>
            <w:r w:rsidRPr="00FF7699">
              <w:rPr>
                <w:rFonts w:ascii="Times New Roman" w:hAnsi="Times New Roman" w:cs="Times New Roman"/>
                <w:color w:val="000000"/>
                <w:sz w:val="24"/>
                <w:szCs w:val="24"/>
              </w:rPr>
              <w:t>53.5%</w:t>
            </w:r>
          </w:p>
        </w:tc>
        <w:tc>
          <w:tcPr>
            <w:tcW w:w="1083" w:type="dxa"/>
            <w:shd w:val="clear" w:color="auto" w:fill="auto"/>
            <w:vAlign w:val="bottom"/>
            <w:hideMark/>
          </w:tcPr>
          <w:p w:rsidR="002E69C1" w:rsidRPr="00FF7699" w:rsidRDefault="002E69C1" w:rsidP="000B1EF6">
            <w:pPr>
              <w:spacing w:line="324" w:lineRule="auto"/>
              <w:jc w:val="center"/>
              <w:rPr>
                <w:rFonts w:ascii="Times New Roman" w:hAnsi="Times New Roman" w:cs="Times New Roman"/>
                <w:color w:val="000000"/>
                <w:sz w:val="24"/>
                <w:szCs w:val="24"/>
              </w:rPr>
            </w:pPr>
            <w:r w:rsidRPr="00FF7699">
              <w:rPr>
                <w:rFonts w:ascii="Times New Roman" w:hAnsi="Times New Roman" w:cs="Times New Roman"/>
                <w:color w:val="000000"/>
                <w:sz w:val="24"/>
                <w:szCs w:val="24"/>
              </w:rPr>
              <w:t>55.5%</w:t>
            </w:r>
          </w:p>
        </w:tc>
        <w:tc>
          <w:tcPr>
            <w:tcW w:w="1083" w:type="dxa"/>
            <w:shd w:val="clear" w:color="auto" w:fill="auto"/>
            <w:vAlign w:val="bottom"/>
            <w:hideMark/>
          </w:tcPr>
          <w:p w:rsidR="002E69C1" w:rsidRPr="00FF7699" w:rsidRDefault="002E69C1" w:rsidP="000B1EF6">
            <w:pPr>
              <w:spacing w:line="324" w:lineRule="auto"/>
              <w:jc w:val="center"/>
              <w:rPr>
                <w:rFonts w:ascii="Times New Roman" w:hAnsi="Times New Roman" w:cs="Times New Roman"/>
                <w:color w:val="000000"/>
                <w:sz w:val="24"/>
                <w:szCs w:val="24"/>
              </w:rPr>
            </w:pPr>
            <w:r w:rsidRPr="00FF7699">
              <w:rPr>
                <w:rFonts w:ascii="Times New Roman" w:hAnsi="Times New Roman" w:cs="Times New Roman"/>
                <w:color w:val="000000"/>
                <w:sz w:val="24"/>
                <w:szCs w:val="24"/>
              </w:rPr>
              <w:t>58.1%</w:t>
            </w:r>
          </w:p>
        </w:tc>
        <w:tc>
          <w:tcPr>
            <w:tcW w:w="1083" w:type="dxa"/>
            <w:shd w:val="clear" w:color="auto" w:fill="auto"/>
            <w:vAlign w:val="bottom"/>
            <w:hideMark/>
          </w:tcPr>
          <w:p w:rsidR="002E69C1" w:rsidRPr="00FF7699" w:rsidRDefault="002E69C1" w:rsidP="000B1EF6">
            <w:pPr>
              <w:spacing w:line="324" w:lineRule="auto"/>
              <w:jc w:val="center"/>
              <w:rPr>
                <w:rFonts w:ascii="Times New Roman" w:hAnsi="Times New Roman" w:cs="Times New Roman"/>
                <w:color w:val="000000"/>
                <w:sz w:val="24"/>
                <w:szCs w:val="24"/>
              </w:rPr>
            </w:pPr>
            <w:r w:rsidRPr="00FF7699">
              <w:rPr>
                <w:rFonts w:ascii="Times New Roman" w:hAnsi="Times New Roman" w:cs="Times New Roman"/>
                <w:color w:val="000000"/>
                <w:sz w:val="24"/>
                <w:szCs w:val="24"/>
              </w:rPr>
              <w:t>58.2%</w:t>
            </w:r>
          </w:p>
        </w:tc>
      </w:tr>
      <w:tr w:rsidR="002E69C1" w:rsidRPr="000247A3" w:rsidTr="000B1EF6">
        <w:trPr>
          <w:trHeight w:val="283"/>
        </w:trPr>
        <w:tc>
          <w:tcPr>
            <w:tcW w:w="2499" w:type="dxa"/>
            <w:shd w:val="clear" w:color="auto" w:fill="auto"/>
            <w:hideMark/>
          </w:tcPr>
          <w:p w:rsidR="002E69C1" w:rsidRPr="00FF7699" w:rsidRDefault="002E69C1" w:rsidP="000B1EF6">
            <w:pPr>
              <w:keepNext/>
              <w:spacing w:line="324" w:lineRule="auto"/>
              <w:rPr>
                <w:rFonts w:ascii="Times New Roman" w:hAnsi="Times New Roman" w:cs="Times New Roman"/>
                <w:color w:val="000000"/>
                <w:sz w:val="24"/>
                <w:szCs w:val="24"/>
              </w:rPr>
            </w:pPr>
            <w:r w:rsidRPr="00FF7699">
              <w:rPr>
                <w:rFonts w:ascii="Times New Roman" w:hAnsi="Times New Roman" w:cs="Times New Roman"/>
                <w:color w:val="000000"/>
                <w:sz w:val="24"/>
                <w:szCs w:val="24"/>
              </w:rPr>
              <w:t>10ML-100ML</w:t>
            </w:r>
          </w:p>
        </w:tc>
        <w:tc>
          <w:tcPr>
            <w:tcW w:w="1083" w:type="dxa"/>
            <w:shd w:val="clear" w:color="auto" w:fill="auto"/>
            <w:vAlign w:val="bottom"/>
            <w:hideMark/>
          </w:tcPr>
          <w:p w:rsidR="002E69C1" w:rsidRPr="00FF7699" w:rsidRDefault="002E69C1" w:rsidP="000B1EF6">
            <w:pPr>
              <w:spacing w:line="324" w:lineRule="auto"/>
              <w:jc w:val="center"/>
              <w:rPr>
                <w:rFonts w:ascii="Times New Roman" w:hAnsi="Times New Roman" w:cs="Times New Roman"/>
                <w:color w:val="000000"/>
                <w:sz w:val="24"/>
                <w:szCs w:val="24"/>
              </w:rPr>
            </w:pPr>
            <w:r w:rsidRPr="00FF7699">
              <w:rPr>
                <w:rFonts w:ascii="Times New Roman" w:hAnsi="Times New Roman" w:cs="Times New Roman"/>
                <w:color w:val="000000"/>
                <w:sz w:val="24"/>
                <w:szCs w:val="24"/>
              </w:rPr>
              <w:t>55.8%</w:t>
            </w:r>
          </w:p>
        </w:tc>
        <w:tc>
          <w:tcPr>
            <w:tcW w:w="1083" w:type="dxa"/>
            <w:shd w:val="clear" w:color="auto" w:fill="auto"/>
            <w:vAlign w:val="bottom"/>
            <w:hideMark/>
          </w:tcPr>
          <w:p w:rsidR="002E69C1" w:rsidRPr="00FF7699" w:rsidRDefault="002E69C1" w:rsidP="000B1EF6">
            <w:pPr>
              <w:spacing w:line="324" w:lineRule="auto"/>
              <w:jc w:val="center"/>
              <w:rPr>
                <w:rFonts w:ascii="Times New Roman" w:hAnsi="Times New Roman" w:cs="Times New Roman"/>
                <w:color w:val="000000"/>
                <w:sz w:val="24"/>
                <w:szCs w:val="24"/>
              </w:rPr>
            </w:pPr>
            <w:r w:rsidRPr="00FF7699">
              <w:rPr>
                <w:rFonts w:ascii="Times New Roman" w:hAnsi="Times New Roman" w:cs="Times New Roman"/>
                <w:color w:val="000000"/>
                <w:sz w:val="24"/>
                <w:szCs w:val="24"/>
              </w:rPr>
              <w:t>56.5%</w:t>
            </w:r>
          </w:p>
        </w:tc>
        <w:tc>
          <w:tcPr>
            <w:tcW w:w="1083" w:type="dxa"/>
            <w:shd w:val="clear" w:color="auto" w:fill="auto"/>
            <w:vAlign w:val="bottom"/>
            <w:hideMark/>
          </w:tcPr>
          <w:p w:rsidR="002E69C1" w:rsidRPr="00FF7699" w:rsidRDefault="002E69C1" w:rsidP="000B1EF6">
            <w:pPr>
              <w:spacing w:line="324" w:lineRule="auto"/>
              <w:jc w:val="center"/>
              <w:rPr>
                <w:rFonts w:ascii="Times New Roman" w:hAnsi="Times New Roman" w:cs="Times New Roman"/>
                <w:color w:val="000000"/>
                <w:sz w:val="24"/>
                <w:szCs w:val="24"/>
              </w:rPr>
            </w:pPr>
            <w:r w:rsidRPr="00FF7699">
              <w:rPr>
                <w:rFonts w:ascii="Times New Roman" w:hAnsi="Times New Roman" w:cs="Times New Roman"/>
                <w:color w:val="000000"/>
                <w:sz w:val="24"/>
                <w:szCs w:val="24"/>
              </w:rPr>
              <w:t>55.4%</w:t>
            </w:r>
          </w:p>
        </w:tc>
        <w:tc>
          <w:tcPr>
            <w:tcW w:w="1083" w:type="dxa"/>
            <w:shd w:val="clear" w:color="auto" w:fill="auto"/>
            <w:vAlign w:val="bottom"/>
            <w:hideMark/>
          </w:tcPr>
          <w:p w:rsidR="002E69C1" w:rsidRPr="00FF7699" w:rsidRDefault="002E69C1" w:rsidP="000B1EF6">
            <w:pPr>
              <w:spacing w:line="324" w:lineRule="auto"/>
              <w:jc w:val="center"/>
              <w:rPr>
                <w:rFonts w:ascii="Times New Roman" w:hAnsi="Times New Roman" w:cs="Times New Roman"/>
                <w:color w:val="000000"/>
                <w:sz w:val="24"/>
                <w:szCs w:val="24"/>
              </w:rPr>
            </w:pPr>
            <w:r w:rsidRPr="00FF7699">
              <w:rPr>
                <w:rFonts w:ascii="Times New Roman" w:hAnsi="Times New Roman" w:cs="Times New Roman"/>
                <w:color w:val="000000"/>
                <w:sz w:val="24"/>
                <w:szCs w:val="24"/>
              </w:rPr>
              <w:t>58.0%</w:t>
            </w:r>
          </w:p>
        </w:tc>
        <w:tc>
          <w:tcPr>
            <w:tcW w:w="1083" w:type="dxa"/>
            <w:shd w:val="clear" w:color="auto" w:fill="auto"/>
            <w:vAlign w:val="bottom"/>
            <w:hideMark/>
          </w:tcPr>
          <w:p w:rsidR="002E69C1" w:rsidRPr="00FF7699" w:rsidRDefault="002E69C1" w:rsidP="000B1EF6">
            <w:pPr>
              <w:spacing w:line="324" w:lineRule="auto"/>
              <w:jc w:val="center"/>
              <w:rPr>
                <w:rFonts w:ascii="Times New Roman" w:hAnsi="Times New Roman" w:cs="Times New Roman"/>
                <w:color w:val="000000"/>
                <w:sz w:val="24"/>
                <w:szCs w:val="24"/>
              </w:rPr>
            </w:pPr>
            <w:r w:rsidRPr="00FF7699">
              <w:rPr>
                <w:rFonts w:ascii="Times New Roman" w:hAnsi="Times New Roman" w:cs="Times New Roman"/>
                <w:color w:val="000000"/>
                <w:sz w:val="24"/>
                <w:szCs w:val="24"/>
              </w:rPr>
              <w:t>61.5%</w:t>
            </w:r>
          </w:p>
        </w:tc>
      </w:tr>
      <w:tr w:rsidR="002E69C1" w:rsidRPr="000247A3" w:rsidTr="000B1EF6">
        <w:trPr>
          <w:trHeight w:val="283"/>
        </w:trPr>
        <w:tc>
          <w:tcPr>
            <w:tcW w:w="2499" w:type="dxa"/>
            <w:tcBorders>
              <w:bottom w:val="single" w:sz="8" w:space="0" w:color="auto"/>
            </w:tcBorders>
            <w:shd w:val="clear" w:color="auto" w:fill="auto"/>
            <w:hideMark/>
          </w:tcPr>
          <w:p w:rsidR="002E69C1" w:rsidRPr="00FF7699" w:rsidRDefault="002E69C1" w:rsidP="000B1EF6">
            <w:pPr>
              <w:keepNext/>
              <w:spacing w:line="324" w:lineRule="auto"/>
              <w:rPr>
                <w:rFonts w:ascii="Times New Roman" w:hAnsi="Times New Roman" w:cs="Times New Roman"/>
                <w:color w:val="000000"/>
                <w:sz w:val="24"/>
                <w:szCs w:val="24"/>
              </w:rPr>
            </w:pPr>
            <w:r w:rsidRPr="00FF7699">
              <w:rPr>
                <w:rFonts w:ascii="Times New Roman" w:hAnsi="Times New Roman" w:cs="Times New Roman"/>
                <w:color w:val="000000"/>
                <w:sz w:val="24"/>
                <w:szCs w:val="24"/>
              </w:rPr>
              <w:t xml:space="preserve"> 100 ML- Plus</w:t>
            </w:r>
          </w:p>
        </w:tc>
        <w:tc>
          <w:tcPr>
            <w:tcW w:w="1083" w:type="dxa"/>
            <w:tcBorders>
              <w:bottom w:val="single" w:sz="8" w:space="0" w:color="auto"/>
            </w:tcBorders>
            <w:shd w:val="clear" w:color="auto" w:fill="auto"/>
            <w:vAlign w:val="bottom"/>
            <w:hideMark/>
          </w:tcPr>
          <w:p w:rsidR="002E69C1" w:rsidRPr="00FF7699" w:rsidRDefault="002E69C1" w:rsidP="000B1EF6">
            <w:pPr>
              <w:spacing w:line="324" w:lineRule="auto"/>
              <w:jc w:val="center"/>
              <w:rPr>
                <w:rFonts w:ascii="Times New Roman" w:hAnsi="Times New Roman" w:cs="Times New Roman"/>
                <w:color w:val="000000"/>
                <w:sz w:val="24"/>
                <w:szCs w:val="24"/>
              </w:rPr>
            </w:pPr>
            <w:r w:rsidRPr="00FF7699">
              <w:rPr>
                <w:rFonts w:ascii="Times New Roman" w:hAnsi="Times New Roman" w:cs="Times New Roman"/>
                <w:color w:val="000000"/>
                <w:sz w:val="24"/>
                <w:szCs w:val="24"/>
              </w:rPr>
              <w:t>35.2%</w:t>
            </w:r>
          </w:p>
        </w:tc>
        <w:tc>
          <w:tcPr>
            <w:tcW w:w="1083" w:type="dxa"/>
            <w:tcBorders>
              <w:bottom w:val="single" w:sz="8" w:space="0" w:color="auto"/>
            </w:tcBorders>
            <w:shd w:val="clear" w:color="auto" w:fill="auto"/>
            <w:vAlign w:val="bottom"/>
            <w:hideMark/>
          </w:tcPr>
          <w:p w:rsidR="002E69C1" w:rsidRPr="00FF7699" w:rsidRDefault="002E69C1" w:rsidP="000B1EF6">
            <w:pPr>
              <w:spacing w:line="324" w:lineRule="auto"/>
              <w:jc w:val="center"/>
              <w:rPr>
                <w:rFonts w:ascii="Times New Roman" w:hAnsi="Times New Roman" w:cs="Times New Roman"/>
                <w:color w:val="000000"/>
                <w:sz w:val="24"/>
                <w:szCs w:val="24"/>
              </w:rPr>
            </w:pPr>
            <w:r w:rsidRPr="00FF7699">
              <w:rPr>
                <w:rFonts w:ascii="Times New Roman" w:hAnsi="Times New Roman" w:cs="Times New Roman"/>
                <w:color w:val="000000"/>
                <w:sz w:val="24"/>
                <w:szCs w:val="24"/>
              </w:rPr>
              <w:t>44.4%</w:t>
            </w:r>
          </w:p>
        </w:tc>
        <w:tc>
          <w:tcPr>
            <w:tcW w:w="1083" w:type="dxa"/>
            <w:tcBorders>
              <w:bottom w:val="single" w:sz="8" w:space="0" w:color="auto"/>
            </w:tcBorders>
            <w:shd w:val="clear" w:color="auto" w:fill="auto"/>
            <w:vAlign w:val="bottom"/>
            <w:hideMark/>
          </w:tcPr>
          <w:p w:rsidR="002E69C1" w:rsidRPr="00FF7699" w:rsidRDefault="002E69C1" w:rsidP="000B1EF6">
            <w:pPr>
              <w:spacing w:line="324" w:lineRule="auto"/>
              <w:jc w:val="center"/>
              <w:rPr>
                <w:rFonts w:ascii="Times New Roman" w:hAnsi="Times New Roman" w:cs="Times New Roman"/>
                <w:color w:val="000000"/>
                <w:sz w:val="24"/>
                <w:szCs w:val="24"/>
              </w:rPr>
            </w:pPr>
            <w:r w:rsidRPr="00FF7699">
              <w:rPr>
                <w:rFonts w:ascii="Times New Roman" w:hAnsi="Times New Roman" w:cs="Times New Roman"/>
                <w:color w:val="000000"/>
                <w:sz w:val="24"/>
                <w:szCs w:val="24"/>
              </w:rPr>
              <w:t>52.1%</w:t>
            </w:r>
          </w:p>
        </w:tc>
        <w:tc>
          <w:tcPr>
            <w:tcW w:w="1083" w:type="dxa"/>
            <w:tcBorders>
              <w:bottom w:val="single" w:sz="8" w:space="0" w:color="auto"/>
            </w:tcBorders>
            <w:shd w:val="clear" w:color="auto" w:fill="auto"/>
            <w:vAlign w:val="bottom"/>
            <w:hideMark/>
          </w:tcPr>
          <w:p w:rsidR="002E69C1" w:rsidRPr="00FF7699" w:rsidRDefault="002E69C1" w:rsidP="000B1EF6">
            <w:pPr>
              <w:spacing w:line="324" w:lineRule="auto"/>
              <w:jc w:val="center"/>
              <w:rPr>
                <w:rFonts w:ascii="Times New Roman" w:hAnsi="Times New Roman" w:cs="Times New Roman"/>
                <w:color w:val="000000"/>
                <w:sz w:val="24"/>
                <w:szCs w:val="24"/>
              </w:rPr>
            </w:pPr>
            <w:r w:rsidRPr="00FF7699">
              <w:rPr>
                <w:rFonts w:ascii="Times New Roman" w:hAnsi="Times New Roman" w:cs="Times New Roman"/>
                <w:color w:val="000000"/>
                <w:sz w:val="24"/>
                <w:szCs w:val="24"/>
              </w:rPr>
              <w:t>48.0%</w:t>
            </w:r>
          </w:p>
        </w:tc>
        <w:tc>
          <w:tcPr>
            <w:tcW w:w="1083" w:type="dxa"/>
            <w:tcBorders>
              <w:bottom w:val="single" w:sz="8" w:space="0" w:color="auto"/>
            </w:tcBorders>
            <w:shd w:val="clear" w:color="auto" w:fill="auto"/>
            <w:vAlign w:val="bottom"/>
            <w:hideMark/>
          </w:tcPr>
          <w:p w:rsidR="002E69C1" w:rsidRPr="00FF7699" w:rsidRDefault="002E69C1" w:rsidP="000B1EF6">
            <w:pPr>
              <w:spacing w:line="324" w:lineRule="auto"/>
              <w:jc w:val="center"/>
              <w:rPr>
                <w:rFonts w:ascii="Times New Roman" w:hAnsi="Times New Roman" w:cs="Times New Roman"/>
                <w:color w:val="000000"/>
                <w:sz w:val="24"/>
                <w:szCs w:val="24"/>
              </w:rPr>
            </w:pPr>
            <w:r w:rsidRPr="00FF7699">
              <w:rPr>
                <w:rFonts w:ascii="Times New Roman" w:hAnsi="Times New Roman" w:cs="Times New Roman"/>
                <w:color w:val="000000"/>
                <w:sz w:val="24"/>
                <w:szCs w:val="24"/>
              </w:rPr>
              <w:t>44.0%</w:t>
            </w:r>
          </w:p>
        </w:tc>
      </w:tr>
      <w:tr w:rsidR="002E69C1" w:rsidRPr="000247A3" w:rsidTr="000B1EF6">
        <w:trPr>
          <w:trHeight w:val="283"/>
        </w:trPr>
        <w:tc>
          <w:tcPr>
            <w:tcW w:w="2499" w:type="dxa"/>
            <w:tcBorders>
              <w:top w:val="single" w:sz="8" w:space="0" w:color="auto"/>
              <w:bottom w:val="nil"/>
            </w:tcBorders>
            <w:shd w:val="clear" w:color="auto" w:fill="auto"/>
            <w:hideMark/>
          </w:tcPr>
          <w:p w:rsidR="002E69C1" w:rsidRPr="00FF7699" w:rsidRDefault="002E69C1" w:rsidP="000B1EF6">
            <w:pPr>
              <w:keepNext/>
              <w:spacing w:line="324" w:lineRule="auto"/>
              <w:rPr>
                <w:rFonts w:ascii="Times New Roman" w:hAnsi="Times New Roman" w:cs="Times New Roman"/>
                <w:color w:val="000000"/>
                <w:sz w:val="24"/>
                <w:szCs w:val="24"/>
              </w:rPr>
            </w:pPr>
            <w:r w:rsidRPr="00FF7699">
              <w:rPr>
                <w:rFonts w:ascii="Times New Roman" w:hAnsi="Times New Roman" w:cs="Times New Roman"/>
                <w:color w:val="000000"/>
                <w:sz w:val="24"/>
                <w:szCs w:val="24"/>
              </w:rPr>
              <w:t>Average</w:t>
            </w:r>
          </w:p>
        </w:tc>
        <w:tc>
          <w:tcPr>
            <w:tcW w:w="1083" w:type="dxa"/>
            <w:tcBorders>
              <w:top w:val="single" w:sz="8" w:space="0" w:color="auto"/>
              <w:bottom w:val="nil"/>
            </w:tcBorders>
            <w:shd w:val="clear" w:color="auto" w:fill="auto"/>
            <w:vAlign w:val="bottom"/>
            <w:hideMark/>
          </w:tcPr>
          <w:p w:rsidR="002E69C1" w:rsidRPr="00FF7699" w:rsidRDefault="002E69C1" w:rsidP="000B1EF6">
            <w:pPr>
              <w:spacing w:line="324" w:lineRule="auto"/>
              <w:jc w:val="center"/>
              <w:rPr>
                <w:rFonts w:ascii="Times New Roman" w:hAnsi="Times New Roman" w:cs="Times New Roman"/>
                <w:color w:val="000000"/>
                <w:sz w:val="24"/>
                <w:szCs w:val="24"/>
              </w:rPr>
            </w:pPr>
            <w:r w:rsidRPr="00FF7699">
              <w:rPr>
                <w:rFonts w:ascii="Times New Roman" w:hAnsi="Times New Roman" w:cs="Times New Roman"/>
                <w:color w:val="000000"/>
                <w:sz w:val="24"/>
                <w:szCs w:val="24"/>
              </w:rPr>
              <w:t>51.0%</w:t>
            </w:r>
          </w:p>
        </w:tc>
        <w:tc>
          <w:tcPr>
            <w:tcW w:w="1083" w:type="dxa"/>
            <w:tcBorders>
              <w:top w:val="single" w:sz="8" w:space="0" w:color="auto"/>
              <w:bottom w:val="nil"/>
            </w:tcBorders>
            <w:shd w:val="clear" w:color="auto" w:fill="auto"/>
            <w:vAlign w:val="bottom"/>
            <w:hideMark/>
          </w:tcPr>
          <w:p w:rsidR="002E69C1" w:rsidRPr="00FF7699" w:rsidRDefault="002E69C1" w:rsidP="000B1EF6">
            <w:pPr>
              <w:spacing w:line="324" w:lineRule="auto"/>
              <w:jc w:val="center"/>
              <w:rPr>
                <w:rFonts w:ascii="Times New Roman" w:hAnsi="Times New Roman" w:cs="Times New Roman"/>
                <w:color w:val="000000"/>
                <w:sz w:val="24"/>
                <w:szCs w:val="24"/>
              </w:rPr>
            </w:pPr>
            <w:r w:rsidRPr="00FF7699">
              <w:rPr>
                <w:rFonts w:ascii="Times New Roman" w:hAnsi="Times New Roman" w:cs="Times New Roman"/>
                <w:color w:val="000000"/>
                <w:sz w:val="24"/>
                <w:szCs w:val="24"/>
              </w:rPr>
              <w:t>51.6%</w:t>
            </w:r>
          </w:p>
        </w:tc>
        <w:tc>
          <w:tcPr>
            <w:tcW w:w="1083" w:type="dxa"/>
            <w:tcBorders>
              <w:top w:val="single" w:sz="8" w:space="0" w:color="auto"/>
              <w:bottom w:val="nil"/>
            </w:tcBorders>
            <w:shd w:val="clear" w:color="auto" w:fill="auto"/>
            <w:vAlign w:val="bottom"/>
            <w:hideMark/>
          </w:tcPr>
          <w:p w:rsidR="002E69C1" w:rsidRPr="00FF7699" w:rsidRDefault="002E69C1" w:rsidP="000B1EF6">
            <w:pPr>
              <w:spacing w:line="324" w:lineRule="auto"/>
              <w:jc w:val="center"/>
              <w:rPr>
                <w:rFonts w:ascii="Times New Roman" w:hAnsi="Times New Roman" w:cs="Times New Roman"/>
                <w:color w:val="000000"/>
                <w:sz w:val="24"/>
                <w:szCs w:val="24"/>
              </w:rPr>
            </w:pPr>
            <w:r w:rsidRPr="00FF7699">
              <w:rPr>
                <w:rFonts w:ascii="Times New Roman" w:hAnsi="Times New Roman" w:cs="Times New Roman"/>
                <w:color w:val="000000"/>
                <w:sz w:val="24"/>
                <w:szCs w:val="24"/>
              </w:rPr>
              <w:t>53.6%</w:t>
            </w:r>
          </w:p>
        </w:tc>
        <w:tc>
          <w:tcPr>
            <w:tcW w:w="1083" w:type="dxa"/>
            <w:tcBorders>
              <w:top w:val="single" w:sz="8" w:space="0" w:color="auto"/>
              <w:bottom w:val="nil"/>
            </w:tcBorders>
            <w:shd w:val="clear" w:color="auto" w:fill="auto"/>
            <w:vAlign w:val="bottom"/>
            <w:hideMark/>
          </w:tcPr>
          <w:p w:rsidR="002E69C1" w:rsidRPr="00FF7699" w:rsidRDefault="002E69C1" w:rsidP="000B1EF6">
            <w:pPr>
              <w:spacing w:line="324" w:lineRule="auto"/>
              <w:jc w:val="center"/>
              <w:rPr>
                <w:rFonts w:ascii="Times New Roman" w:hAnsi="Times New Roman" w:cs="Times New Roman"/>
                <w:color w:val="000000"/>
                <w:sz w:val="24"/>
                <w:szCs w:val="24"/>
              </w:rPr>
            </w:pPr>
            <w:r w:rsidRPr="00FF7699">
              <w:rPr>
                <w:rFonts w:ascii="Times New Roman" w:hAnsi="Times New Roman" w:cs="Times New Roman"/>
                <w:color w:val="000000"/>
                <w:sz w:val="24"/>
                <w:szCs w:val="24"/>
              </w:rPr>
              <w:t>54.3%</w:t>
            </w:r>
          </w:p>
        </w:tc>
        <w:tc>
          <w:tcPr>
            <w:tcW w:w="1083" w:type="dxa"/>
            <w:tcBorders>
              <w:top w:val="single" w:sz="8" w:space="0" w:color="auto"/>
              <w:bottom w:val="nil"/>
            </w:tcBorders>
            <w:shd w:val="clear" w:color="auto" w:fill="auto"/>
            <w:vAlign w:val="bottom"/>
            <w:hideMark/>
          </w:tcPr>
          <w:p w:rsidR="002E69C1" w:rsidRPr="00FF7699" w:rsidRDefault="002E69C1" w:rsidP="000B1EF6">
            <w:pPr>
              <w:spacing w:line="324" w:lineRule="auto"/>
              <w:jc w:val="center"/>
              <w:rPr>
                <w:rFonts w:ascii="Times New Roman" w:hAnsi="Times New Roman" w:cs="Times New Roman"/>
                <w:color w:val="000000"/>
                <w:sz w:val="24"/>
                <w:szCs w:val="24"/>
              </w:rPr>
            </w:pPr>
            <w:r w:rsidRPr="00FF7699">
              <w:rPr>
                <w:rFonts w:ascii="Times New Roman" w:hAnsi="Times New Roman" w:cs="Times New Roman"/>
                <w:color w:val="000000"/>
                <w:sz w:val="24"/>
                <w:szCs w:val="24"/>
              </w:rPr>
              <w:t>55.2%</w:t>
            </w:r>
          </w:p>
        </w:tc>
      </w:tr>
      <w:tr w:rsidR="002E69C1" w:rsidRPr="000247A3" w:rsidTr="000B1EF6">
        <w:trPr>
          <w:trHeight w:val="283"/>
        </w:trPr>
        <w:tc>
          <w:tcPr>
            <w:tcW w:w="2499" w:type="dxa"/>
            <w:tcBorders>
              <w:top w:val="nil"/>
              <w:bottom w:val="single" w:sz="8" w:space="0" w:color="auto"/>
            </w:tcBorders>
            <w:shd w:val="clear" w:color="auto" w:fill="auto"/>
            <w:hideMark/>
          </w:tcPr>
          <w:p w:rsidR="002E69C1" w:rsidRPr="00FF7699" w:rsidRDefault="002E69C1" w:rsidP="000B1EF6">
            <w:pPr>
              <w:keepNext/>
              <w:spacing w:line="324" w:lineRule="auto"/>
              <w:rPr>
                <w:rFonts w:ascii="Times New Roman" w:hAnsi="Times New Roman" w:cs="Times New Roman"/>
                <w:color w:val="000000"/>
                <w:sz w:val="24"/>
                <w:szCs w:val="24"/>
              </w:rPr>
            </w:pPr>
            <w:r w:rsidRPr="00FF7699">
              <w:rPr>
                <w:rFonts w:ascii="Times New Roman" w:hAnsi="Times New Roman" w:cs="Times New Roman"/>
                <w:color w:val="000000"/>
                <w:sz w:val="24"/>
                <w:szCs w:val="24"/>
              </w:rPr>
              <w:t>N. Charities</w:t>
            </w:r>
          </w:p>
        </w:tc>
        <w:tc>
          <w:tcPr>
            <w:tcW w:w="1083" w:type="dxa"/>
            <w:tcBorders>
              <w:top w:val="nil"/>
              <w:bottom w:val="single" w:sz="8" w:space="0" w:color="auto"/>
            </w:tcBorders>
            <w:shd w:val="clear" w:color="auto" w:fill="auto"/>
            <w:vAlign w:val="bottom"/>
            <w:hideMark/>
          </w:tcPr>
          <w:p w:rsidR="002E69C1" w:rsidRPr="00FF7699" w:rsidRDefault="002E69C1" w:rsidP="000B1EF6">
            <w:pPr>
              <w:spacing w:line="324" w:lineRule="auto"/>
              <w:jc w:val="center"/>
              <w:rPr>
                <w:rFonts w:ascii="Times New Roman" w:hAnsi="Times New Roman" w:cs="Times New Roman"/>
                <w:color w:val="000000"/>
                <w:sz w:val="24"/>
                <w:szCs w:val="24"/>
              </w:rPr>
            </w:pPr>
            <w:r w:rsidRPr="00FF7699">
              <w:rPr>
                <w:rFonts w:ascii="Times New Roman" w:hAnsi="Times New Roman" w:cs="Times New Roman"/>
                <w:color w:val="000000"/>
                <w:sz w:val="24"/>
                <w:szCs w:val="24"/>
              </w:rPr>
              <w:t>15,412</w:t>
            </w:r>
          </w:p>
        </w:tc>
        <w:tc>
          <w:tcPr>
            <w:tcW w:w="1083" w:type="dxa"/>
            <w:tcBorders>
              <w:top w:val="nil"/>
              <w:bottom w:val="single" w:sz="8" w:space="0" w:color="auto"/>
            </w:tcBorders>
            <w:shd w:val="clear" w:color="auto" w:fill="auto"/>
            <w:vAlign w:val="bottom"/>
            <w:hideMark/>
          </w:tcPr>
          <w:p w:rsidR="002E69C1" w:rsidRPr="00FF7699" w:rsidRDefault="002E69C1" w:rsidP="000B1EF6">
            <w:pPr>
              <w:spacing w:line="324" w:lineRule="auto"/>
              <w:jc w:val="center"/>
              <w:rPr>
                <w:rFonts w:ascii="Times New Roman" w:hAnsi="Times New Roman" w:cs="Times New Roman"/>
                <w:color w:val="000000"/>
                <w:sz w:val="24"/>
                <w:szCs w:val="24"/>
              </w:rPr>
            </w:pPr>
            <w:r w:rsidRPr="00FF7699">
              <w:rPr>
                <w:rFonts w:ascii="Times New Roman" w:hAnsi="Times New Roman" w:cs="Times New Roman"/>
                <w:color w:val="000000"/>
                <w:sz w:val="24"/>
                <w:szCs w:val="24"/>
              </w:rPr>
              <w:t>14,317</w:t>
            </w:r>
          </w:p>
        </w:tc>
        <w:tc>
          <w:tcPr>
            <w:tcW w:w="1083" w:type="dxa"/>
            <w:tcBorders>
              <w:top w:val="nil"/>
              <w:bottom w:val="single" w:sz="8" w:space="0" w:color="auto"/>
            </w:tcBorders>
            <w:shd w:val="clear" w:color="auto" w:fill="auto"/>
            <w:vAlign w:val="bottom"/>
            <w:hideMark/>
          </w:tcPr>
          <w:p w:rsidR="002E69C1" w:rsidRPr="00FF7699" w:rsidRDefault="002E69C1" w:rsidP="000B1EF6">
            <w:pPr>
              <w:spacing w:line="324" w:lineRule="auto"/>
              <w:jc w:val="center"/>
              <w:rPr>
                <w:rFonts w:ascii="Times New Roman" w:hAnsi="Times New Roman" w:cs="Times New Roman"/>
                <w:color w:val="000000"/>
                <w:sz w:val="24"/>
                <w:szCs w:val="24"/>
              </w:rPr>
            </w:pPr>
            <w:r w:rsidRPr="00FF7699">
              <w:rPr>
                <w:rFonts w:ascii="Times New Roman" w:hAnsi="Times New Roman" w:cs="Times New Roman"/>
                <w:color w:val="000000"/>
                <w:sz w:val="24"/>
                <w:szCs w:val="24"/>
              </w:rPr>
              <w:t>14042</w:t>
            </w:r>
          </w:p>
        </w:tc>
        <w:tc>
          <w:tcPr>
            <w:tcW w:w="1083" w:type="dxa"/>
            <w:tcBorders>
              <w:top w:val="nil"/>
              <w:bottom w:val="single" w:sz="8" w:space="0" w:color="auto"/>
            </w:tcBorders>
            <w:shd w:val="clear" w:color="auto" w:fill="auto"/>
            <w:vAlign w:val="bottom"/>
            <w:hideMark/>
          </w:tcPr>
          <w:p w:rsidR="002E69C1" w:rsidRPr="00FF7699" w:rsidRDefault="002E69C1" w:rsidP="000B1EF6">
            <w:pPr>
              <w:spacing w:line="324" w:lineRule="auto"/>
              <w:jc w:val="center"/>
              <w:rPr>
                <w:rFonts w:ascii="Times New Roman" w:hAnsi="Times New Roman" w:cs="Times New Roman"/>
                <w:color w:val="000000"/>
                <w:sz w:val="24"/>
                <w:szCs w:val="24"/>
              </w:rPr>
            </w:pPr>
            <w:r w:rsidRPr="00FF7699">
              <w:rPr>
                <w:rFonts w:ascii="Times New Roman" w:hAnsi="Times New Roman" w:cs="Times New Roman"/>
                <w:color w:val="000000"/>
                <w:sz w:val="24"/>
                <w:szCs w:val="24"/>
              </w:rPr>
              <w:t>18385</w:t>
            </w:r>
          </w:p>
        </w:tc>
        <w:tc>
          <w:tcPr>
            <w:tcW w:w="1083" w:type="dxa"/>
            <w:tcBorders>
              <w:top w:val="nil"/>
              <w:bottom w:val="single" w:sz="8" w:space="0" w:color="auto"/>
            </w:tcBorders>
            <w:shd w:val="clear" w:color="auto" w:fill="auto"/>
            <w:vAlign w:val="bottom"/>
            <w:hideMark/>
          </w:tcPr>
          <w:p w:rsidR="002E69C1" w:rsidRPr="00FF7699" w:rsidRDefault="002E69C1" w:rsidP="000B1EF6">
            <w:pPr>
              <w:spacing w:line="324" w:lineRule="auto"/>
              <w:jc w:val="center"/>
              <w:rPr>
                <w:rFonts w:ascii="Times New Roman" w:hAnsi="Times New Roman" w:cs="Times New Roman"/>
                <w:color w:val="000000"/>
                <w:sz w:val="24"/>
                <w:szCs w:val="24"/>
              </w:rPr>
            </w:pPr>
            <w:r w:rsidRPr="00FF7699">
              <w:rPr>
                <w:rFonts w:ascii="Times New Roman" w:hAnsi="Times New Roman" w:cs="Times New Roman"/>
                <w:color w:val="000000"/>
                <w:sz w:val="24"/>
                <w:szCs w:val="24"/>
              </w:rPr>
              <w:t>15468</w:t>
            </w:r>
          </w:p>
        </w:tc>
      </w:tr>
    </w:tbl>
    <w:p w:rsidR="002E69C1" w:rsidRDefault="002E69C1" w:rsidP="00FF7699">
      <w:pPr>
        <w:spacing w:line="480" w:lineRule="auto"/>
        <w:rPr>
          <w:rFonts w:cs="Arial"/>
          <w:i/>
          <w:iCs/>
          <w:sz w:val="20"/>
          <w:szCs w:val="20"/>
        </w:rPr>
      </w:pPr>
    </w:p>
    <w:p w:rsidR="002E69C1" w:rsidRPr="000247A3" w:rsidRDefault="002E69C1" w:rsidP="006F5923">
      <w:pPr>
        <w:pStyle w:val="TSRCtablefigureheading"/>
      </w:pPr>
    </w:p>
    <w:tbl>
      <w:tblPr>
        <w:tblW w:w="0" w:type="auto"/>
        <w:tblCellMar>
          <w:top w:w="85" w:type="dxa"/>
        </w:tblCellMar>
        <w:tblLook w:val="04A0" w:firstRow="1" w:lastRow="0" w:firstColumn="1" w:lastColumn="0" w:noHBand="0" w:noVBand="1"/>
      </w:tblPr>
      <w:tblGrid>
        <w:gridCol w:w="1356"/>
        <w:gridCol w:w="1403"/>
        <w:gridCol w:w="1671"/>
        <w:gridCol w:w="1671"/>
        <w:gridCol w:w="1672"/>
        <w:gridCol w:w="1469"/>
      </w:tblGrid>
      <w:tr w:rsidR="0089678D" w:rsidRPr="000247A3" w:rsidTr="00FA18B5">
        <w:trPr>
          <w:trHeight w:val="507"/>
        </w:trPr>
        <w:tc>
          <w:tcPr>
            <w:tcW w:w="1432" w:type="dxa"/>
            <w:tcBorders>
              <w:top w:val="single" w:sz="12" w:space="0" w:color="auto"/>
              <w:bottom w:val="single" w:sz="12" w:space="0" w:color="auto"/>
            </w:tcBorders>
          </w:tcPr>
          <w:p w:rsidR="0089678D" w:rsidRPr="006F5923" w:rsidRDefault="0089678D" w:rsidP="000B1EF6">
            <w:pPr>
              <w:pStyle w:val="TSRCtablefigureheading"/>
              <w:rPr>
                <w:rFonts w:ascii="Times New Roman" w:hAnsi="Times New Roman" w:cs="Times New Roman"/>
                <w:sz w:val="24"/>
                <w:szCs w:val="24"/>
                <w:u w:val="none"/>
              </w:rPr>
            </w:pPr>
          </w:p>
        </w:tc>
        <w:tc>
          <w:tcPr>
            <w:tcW w:w="7810" w:type="dxa"/>
            <w:gridSpan w:val="5"/>
            <w:tcBorders>
              <w:top w:val="single" w:sz="12" w:space="0" w:color="auto"/>
              <w:bottom w:val="single" w:sz="12" w:space="0" w:color="auto"/>
            </w:tcBorders>
            <w:shd w:val="clear" w:color="auto" w:fill="auto"/>
          </w:tcPr>
          <w:p w:rsidR="0089678D" w:rsidRPr="006F5923" w:rsidRDefault="0089678D" w:rsidP="000B1EF6">
            <w:pPr>
              <w:pStyle w:val="TSRCtablefigureheading"/>
              <w:rPr>
                <w:rFonts w:ascii="Times New Roman" w:hAnsi="Times New Roman" w:cs="Times New Roman"/>
                <w:sz w:val="24"/>
                <w:szCs w:val="24"/>
                <w:u w:val="none"/>
              </w:rPr>
            </w:pPr>
            <w:r w:rsidRPr="006F5923">
              <w:rPr>
                <w:rFonts w:ascii="Times New Roman" w:hAnsi="Times New Roman" w:cs="Times New Roman"/>
                <w:sz w:val="24"/>
                <w:szCs w:val="24"/>
                <w:u w:val="none"/>
              </w:rPr>
              <w:t xml:space="preserve">Table 4. </w:t>
            </w:r>
            <w:r w:rsidRPr="006F5923">
              <w:rPr>
                <w:rFonts w:ascii="Times New Roman" w:hAnsi="Times New Roman" w:cs="Times New Roman"/>
                <w:b w:val="0"/>
                <w:sz w:val="24"/>
                <w:szCs w:val="24"/>
                <w:u w:val="none"/>
              </w:rPr>
              <w:t>Correlation matrix: income sources</w:t>
            </w:r>
          </w:p>
        </w:tc>
      </w:tr>
      <w:tr w:rsidR="0089678D" w:rsidRPr="000247A3" w:rsidTr="00FA18B5">
        <w:tc>
          <w:tcPr>
            <w:tcW w:w="1432" w:type="dxa"/>
            <w:tcBorders>
              <w:top w:val="single" w:sz="12" w:space="0" w:color="auto"/>
              <w:bottom w:val="single" w:sz="12" w:space="0" w:color="auto"/>
            </w:tcBorders>
            <w:shd w:val="clear" w:color="auto" w:fill="auto"/>
            <w:vAlign w:val="bottom"/>
          </w:tcPr>
          <w:p w:rsidR="0089678D" w:rsidRPr="006F5923" w:rsidRDefault="0089678D" w:rsidP="000B1EF6">
            <w:pPr>
              <w:spacing w:line="300" w:lineRule="auto"/>
              <w:jc w:val="center"/>
              <w:rPr>
                <w:rFonts w:ascii="Times New Roman" w:hAnsi="Times New Roman" w:cs="Times New Roman"/>
                <w:color w:val="000000"/>
                <w:sz w:val="24"/>
                <w:szCs w:val="24"/>
              </w:rPr>
            </w:pPr>
          </w:p>
        </w:tc>
        <w:tc>
          <w:tcPr>
            <w:tcW w:w="1184" w:type="dxa"/>
            <w:tcBorders>
              <w:top w:val="single" w:sz="12" w:space="0" w:color="auto"/>
              <w:bottom w:val="single" w:sz="12" w:space="0" w:color="auto"/>
            </w:tcBorders>
          </w:tcPr>
          <w:p w:rsidR="0089678D" w:rsidRDefault="0089678D" w:rsidP="000B1EF6">
            <w:pPr>
              <w:spacing w:line="300" w:lineRule="auto"/>
              <w:jc w:val="center"/>
              <w:rPr>
                <w:rFonts w:ascii="Times New Roman" w:eastAsia="Times New Roman" w:hAnsi="Times New Roman" w:cs="Times New Roman"/>
                <w:sz w:val="24"/>
                <w:szCs w:val="24"/>
              </w:rPr>
            </w:pPr>
          </w:p>
        </w:tc>
        <w:tc>
          <w:tcPr>
            <w:tcW w:w="1699" w:type="dxa"/>
            <w:tcBorders>
              <w:top w:val="single" w:sz="12" w:space="0" w:color="auto"/>
              <w:bottom w:val="single" w:sz="12" w:space="0" w:color="auto"/>
            </w:tcBorders>
            <w:shd w:val="clear" w:color="auto" w:fill="auto"/>
            <w:vAlign w:val="bottom"/>
          </w:tcPr>
          <w:p w:rsidR="0089678D" w:rsidRPr="006F5923" w:rsidRDefault="00D854D9" w:rsidP="000B1EF6">
            <w:pPr>
              <w:spacing w:line="300" w:lineRule="auto"/>
              <w:jc w:val="center"/>
              <w:rPr>
                <w:rFonts w:ascii="Times New Roman" w:hAnsi="Times New Roman" w:cs="Times New Roman"/>
                <w:color w:val="000000"/>
                <w:sz w:val="24"/>
                <w:szCs w:val="24"/>
              </w:rPr>
            </w:pPr>
            <m:oMathPara>
              <m:oMath>
                <m:sSub>
                  <m:sSubPr>
                    <m:ctrlPr>
                      <w:rPr>
                        <w:rFonts w:ascii="Cambria Math" w:hAnsi="Times New Roman" w:cs="Times New Roman"/>
                        <w:i/>
                        <w:sz w:val="24"/>
                        <w:szCs w:val="24"/>
                      </w:rPr>
                    </m:ctrlPr>
                  </m:sSubPr>
                  <m:e>
                    <m:r>
                      <m:rPr>
                        <m:sty m:val="bi"/>
                      </m:rPr>
                      <w:rPr>
                        <w:rFonts w:ascii="Cambria Math" w:hAnsi="Cambria Math" w:cs="Times New Roman"/>
                        <w:sz w:val="24"/>
                        <w:szCs w:val="24"/>
                      </w:rPr>
                      <m:t>is</m:t>
                    </m:r>
                  </m:e>
                  <m:sub>
                    <m:r>
                      <m:rPr>
                        <m:sty m:val="bi"/>
                      </m:rPr>
                      <w:rPr>
                        <w:rFonts w:ascii="Cambria Math" w:hAnsi="Cambria Math" w:cs="Times New Roman"/>
                        <w:sz w:val="24"/>
                        <w:szCs w:val="24"/>
                      </w:rPr>
                      <m:t>i</m:t>
                    </m:r>
                    <m:r>
                      <m:rPr>
                        <m:sty m:val="bi"/>
                      </m:rPr>
                      <w:rPr>
                        <w:rFonts w:ascii="Cambria Math" w:hAnsi="Times New Roman" w:cs="Times New Roman"/>
                        <w:sz w:val="24"/>
                        <w:szCs w:val="24"/>
                      </w:rPr>
                      <m:t>,</m:t>
                    </m:r>
                    <m:r>
                      <m:rPr>
                        <m:sty m:val="bi"/>
                      </m:rPr>
                      <w:rPr>
                        <w:rFonts w:ascii="Cambria Math" w:hAnsi="Cambria Math" w:cs="Times New Roman"/>
                        <w:sz w:val="24"/>
                        <w:szCs w:val="24"/>
                      </w:rPr>
                      <m:t>t</m:t>
                    </m:r>
                  </m:sub>
                </m:sSub>
              </m:oMath>
            </m:oMathPara>
          </w:p>
        </w:tc>
        <w:tc>
          <w:tcPr>
            <w:tcW w:w="1699" w:type="dxa"/>
            <w:tcBorders>
              <w:top w:val="single" w:sz="12" w:space="0" w:color="auto"/>
              <w:bottom w:val="single" w:sz="12" w:space="0" w:color="auto"/>
            </w:tcBorders>
            <w:shd w:val="clear" w:color="auto" w:fill="auto"/>
            <w:vAlign w:val="bottom"/>
          </w:tcPr>
          <w:p w:rsidR="0089678D" w:rsidRPr="006F5923" w:rsidRDefault="00D854D9" w:rsidP="000B1EF6">
            <w:pPr>
              <w:spacing w:line="300" w:lineRule="auto"/>
              <w:jc w:val="center"/>
              <w:rPr>
                <w:rFonts w:ascii="Times New Roman" w:hAnsi="Times New Roman" w:cs="Times New Roman"/>
                <w:color w:val="000000"/>
                <w:sz w:val="24"/>
                <w:szCs w:val="24"/>
              </w:rPr>
            </w:pPr>
            <m:oMathPara>
              <m:oMath>
                <m:sSub>
                  <m:sSubPr>
                    <m:ctrlPr>
                      <w:rPr>
                        <w:rFonts w:ascii="Cambria Math" w:hAnsi="Times New Roman" w:cs="Times New Roman"/>
                        <w:i/>
                        <w:sz w:val="24"/>
                        <w:szCs w:val="24"/>
                      </w:rPr>
                    </m:ctrlPr>
                  </m:sSubPr>
                  <m:e>
                    <m:r>
                      <m:rPr>
                        <m:sty m:val="bi"/>
                      </m:rPr>
                      <w:rPr>
                        <w:rFonts w:ascii="Cambria Math" w:hAnsi="Cambria Math" w:cs="Times New Roman"/>
                        <w:sz w:val="24"/>
                        <w:szCs w:val="24"/>
                      </w:rPr>
                      <m:t>is</m:t>
                    </m:r>
                  </m:e>
                  <m:sub>
                    <m:r>
                      <m:rPr>
                        <m:sty m:val="bi"/>
                      </m:rPr>
                      <w:rPr>
                        <w:rFonts w:ascii="Cambria Math" w:hAnsi="Cambria Math" w:cs="Times New Roman"/>
                        <w:sz w:val="24"/>
                        <w:szCs w:val="24"/>
                      </w:rPr>
                      <m:t>i</m:t>
                    </m:r>
                    <m:r>
                      <m:rPr>
                        <m:sty m:val="bi"/>
                      </m:rPr>
                      <w:rPr>
                        <w:rFonts w:ascii="Cambria Math" w:hAnsi="Times New Roman" w:cs="Times New Roman"/>
                        <w:sz w:val="24"/>
                        <w:szCs w:val="24"/>
                      </w:rPr>
                      <m:t>,</m:t>
                    </m:r>
                    <m:r>
                      <m:rPr>
                        <m:sty m:val="bi"/>
                      </m:rPr>
                      <w:rPr>
                        <w:rFonts w:ascii="Cambria Math" w:hAnsi="Cambria Math" w:cs="Times New Roman"/>
                        <w:sz w:val="24"/>
                        <w:szCs w:val="24"/>
                      </w:rPr>
                      <m:t>t</m:t>
                    </m:r>
                    <m:r>
                      <m:rPr>
                        <m:sty m:val="bi"/>
                      </m:rPr>
                      <w:rPr>
                        <w:rFonts w:ascii="Times New Roman" w:hAnsi="Times New Roman" w:cs="Times New Roman"/>
                        <w:sz w:val="24"/>
                        <w:szCs w:val="24"/>
                      </w:rPr>
                      <m:t>-</m:t>
                    </m:r>
                    <m:r>
                      <m:rPr>
                        <m:sty m:val="bi"/>
                      </m:rPr>
                      <w:rPr>
                        <w:rFonts w:ascii="Cambria Math" w:hAnsi="Cambria Math" w:cs="Times New Roman"/>
                        <w:sz w:val="24"/>
                        <w:szCs w:val="24"/>
                      </w:rPr>
                      <m:t>1</m:t>
                    </m:r>
                  </m:sub>
                </m:sSub>
              </m:oMath>
            </m:oMathPara>
          </w:p>
        </w:tc>
        <w:tc>
          <w:tcPr>
            <w:tcW w:w="1700" w:type="dxa"/>
            <w:tcBorders>
              <w:top w:val="single" w:sz="12" w:space="0" w:color="auto"/>
              <w:bottom w:val="single" w:sz="12" w:space="0" w:color="auto"/>
            </w:tcBorders>
            <w:shd w:val="clear" w:color="auto" w:fill="auto"/>
            <w:vAlign w:val="bottom"/>
          </w:tcPr>
          <w:p w:rsidR="0089678D" w:rsidRPr="006F5923" w:rsidRDefault="00D854D9" w:rsidP="000B1EF6">
            <w:pPr>
              <w:spacing w:line="300" w:lineRule="auto"/>
              <w:jc w:val="center"/>
              <w:rPr>
                <w:rFonts w:ascii="Times New Roman" w:hAnsi="Times New Roman" w:cs="Times New Roman"/>
                <w:color w:val="000000"/>
                <w:sz w:val="24"/>
                <w:szCs w:val="24"/>
              </w:rPr>
            </w:pPr>
            <m:oMathPara>
              <m:oMath>
                <m:sSub>
                  <m:sSubPr>
                    <m:ctrlPr>
                      <w:rPr>
                        <w:rFonts w:ascii="Cambria Math" w:hAnsi="Times New Roman" w:cs="Times New Roman"/>
                        <w:i/>
                        <w:sz w:val="24"/>
                        <w:szCs w:val="24"/>
                      </w:rPr>
                    </m:ctrlPr>
                  </m:sSubPr>
                  <m:e>
                    <m:r>
                      <m:rPr>
                        <m:sty m:val="bi"/>
                      </m:rPr>
                      <w:rPr>
                        <w:rFonts w:ascii="Cambria Math" w:hAnsi="Cambria Math" w:cs="Times New Roman"/>
                        <w:sz w:val="24"/>
                        <w:szCs w:val="24"/>
                      </w:rPr>
                      <m:t>i</m:t>
                    </m:r>
                  </m:e>
                  <m:sub>
                    <m:r>
                      <m:rPr>
                        <m:sty m:val="bi"/>
                      </m:rPr>
                      <w:rPr>
                        <w:rFonts w:ascii="Cambria Math" w:hAnsi="Cambria Math" w:cs="Times New Roman"/>
                        <w:sz w:val="24"/>
                        <w:szCs w:val="24"/>
                      </w:rPr>
                      <m:t>i</m:t>
                    </m:r>
                    <m:r>
                      <m:rPr>
                        <m:sty m:val="bi"/>
                      </m:rPr>
                      <w:rPr>
                        <w:rFonts w:ascii="Cambria Math" w:hAnsi="Times New Roman" w:cs="Times New Roman"/>
                        <w:sz w:val="24"/>
                        <w:szCs w:val="24"/>
                      </w:rPr>
                      <m:t>,</m:t>
                    </m:r>
                    <m:r>
                      <m:rPr>
                        <m:sty m:val="bi"/>
                      </m:rPr>
                      <w:rPr>
                        <w:rFonts w:ascii="Cambria Math" w:hAnsi="Cambria Math" w:cs="Times New Roman"/>
                        <w:sz w:val="24"/>
                        <w:szCs w:val="24"/>
                      </w:rPr>
                      <m:t>t</m:t>
                    </m:r>
                  </m:sub>
                </m:sSub>
              </m:oMath>
            </m:oMathPara>
          </w:p>
        </w:tc>
        <w:tc>
          <w:tcPr>
            <w:tcW w:w="1528" w:type="dxa"/>
            <w:tcBorders>
              <w:top w:val="single" w:sz="12" w:space="0" w:color="auto"/>
              <w:bottom w:val="single" w:sz="12" w:space="0" w:color="auto"/>
            </w:tcBorders>
            <w:shd w:val="clear" w:color="auto" w:fill="auto"/>
            <w:vAlign w:val="bottom"/>
          </w:tcPr>
          <w:p w:rsidR="0089678D" w:rsidRPr="006F5923" w:rsidRDefault="00D854D9" w:rsidP="000B1EF6">
            <w:pPr>
              <w:spacing w:line="300" w:lineRule="auto"/>
              <w:jc w:val="center"/>
              <w:rPr>
                <w:rFonts w:ascii="Times New Roman" w:hAnsi="Times New Roman" w:cs="Times New Roman"/>
                <w:color w:val="000000"/>
                <w:sz w:val="24"/>
                <w:szCs w:val="24"/>
              </w:rPr>
            </w:pPr>
            <m:oMathPara>
              <m:oMath>
                <m:sSub>
                  <m:sSubPr>
                    <m:ctrlPr>
                      <w:rPr>
                        <w:rFonts w:ascii="Cambria Math" w:hAnsi="Times New Roman" w:cs="Times New Roman"/>
                        <w:i/>
                        <w:sz w:val="24"/>
                        <w:szCs w:val="24"/>
                      </w:rPr>
                    </m:ctrlPr>
                  </m:sSubPr>
                  <m:e>
                    <m:r>
                      <m:rPr>
                        <m:sty m:val="bi"/>
                      </m:rPr>
                      <w:rPr>
                        <w:rFonts w:ascii="Cambria Math" w:hAnsi="Cambria Math" w:cs="Times New Roman"/>
                        <w:sz w:val="24"/>
                        <w:szCs w:val="24"/>
                      </w:rPr>
                      <m:t>iv</m:t>
                    </m:r>
                  </m:e>
                  <m:sub>
                    <m:r>
                      <m:rPr>
                        <m:sty m:val="bi"/>
                      </m:rPr>
                      <w:rPr>
                        <w:rFonts w:ascii="Cambria Math" w:hAnsi="Cambria Math" w:cs="Times New Roman"/>
                        <w:sz w:val="24"/>
                        <w:szCs w:val="24"/>
                      </w:rPr>
                      <m:t>i</m:t>
                    </m:r>
                    <m:r>
                      <m:rPr>
                        <m:sty m:val="bi"/>
                      </m:rPr>
                      <w:rPr>
                        <w:rFonts w:ascii="Cambria Math" w:hAnsi="Times New Roman" w:cs="Times New Roman"/>
                        <w:sz w:val="24"/>
                        <w:szCs w:val="24"/>
                      </w:rPr>
                      <m:t>,</m:t>
                    </m:r>
                    <m:r>
                      <m:rPr>
                        <m:sty m:val="bi"/>
                      </m:rPr>
                      <w:rPr>
                        <w:rFonts w:ascii="Cambria Math" w:hAnsi="Cambria Math" w:cs="Times New Roman"/>
                        <w:sz w:val="24"/>
                        <w:szCs w:val="24"/>
                      </w:rPr>
                      <m:t>t</m:t>
                    </m:r>
                  </m:sub>
                </m:sSub>
              </m:oMath>
            </m:oMathPara>
          </w:p>
        </w:tc>
      </w:tr>
      <w:tr w:rsidR="0089678D" w:rsidRPr="000247A3" w:rsidTr="00FA18B5">
        <w:trPr>
          <w:trHeight w:hRule="exact" w:val="113"/>
        </w:trPr>
        <w:tc>
          <w:tcPr>
            <w:tcW w:w="1432" w:type="dxa"/>
            <w:tcBorders>
              <w:top w:val="single" w:sz="12" w:space="0" w:color="auto"/>
            </w:tcBorders>
            <w:shd w:val="clear" w:color="auto" w:fill="auto"/>
          </w:tcPr>
          <w:p w:rsidR="0089678D" w:rsidRPr="006F5923" w:rsidRDefault="0089678D" w:rsidP="000B1EF6">
            <w:pPr>
              <w:spacing w:line="336" w:lineRule="auto"/>
              <w:rPr>
                <w:rFonts w:ascii="Times New Roman" w:hAnsi="Times New Roman" w:cs="Times New Roman"/>
                <w:sz w:val="24"/>
                <w:szCs w:val="24"/>
              </w:rPr>
            </w:pPr>
          </w:p>
        </w:tc>
        <w:tc>
          <w:tcPr>
            <w:tcW w:w="1184" w:type="dxa"/>
            <w:tcBorders>
              <w:top w:val="single" w:sz="12" w:space="0" w:color="auto"/>
            </w:tcBorders>
          </w:tcPr>
          <w:p w:rsidR="0089678D" w:rsidRPr="006F5923" w:rsidRDefault="0089678D" w:rsidP="000B1EF6">
            <w:pPr>
              <w:tabs>
                <w:tab w:val="decimal" w:pos="846"/>
              </w:tabs>
              <w:spacing w:line="336" w:lineRule="auto"/>
              <w:rPr>
                <w:rFonts w:ascii="Times New Roman" w:hAnsi="Times New Roman" w:cs="Times New Roman"/>
                <w:sz w:val="24"/>
                <w:szCs w:val="24"/>
              </w:rPr>
            </w:pPr>
          </w:p>
        </w:tc>
        <w:tc>
          <w:tcPr>
            <w:tcW w:w="1699" w:type="dxa"/>
            <w:tcBorders>
              <w:top w:val="single" w:sz="12" w:space="0" w:color="auto"/>
            </w:tcBorders>
            <w:shd w:val="clear" w:color="auto" w:fill="auto"/>
          </w:tcPr>
          <w:p w:rsidR="0089678D" w:rsidRPr="006F5923" w:rsidRDefault="0089678D" w:rsidP="000B1EF6">
            <w:pPr>
              <w:tabs>
                <w:tab w:val="decimal" w:pos="846"/>
              </w:tabs>
              <w:spacing w:line="336" w:lineRule="auto"/>
              <w:rPr>
                <w:rFonts w:ascii="Times New Roman" w:hAnsi="Times New Roman" w:cs="Times New Roman"/>
                <w:sz w:val="24"/>
                <w:szCs w:val="24"/>
              </w:rPr>
            </w:pPr>
          </w:p>
        </w:tc>
        <w:tc>
          <w:tcPr>
            <w:tcW w:w="1699" w:type="dxa"/>
            <w:shd w:val="clear" w:color="auto" w:fill="auto"/>
          </w:tcPr>
          <w:p w:rsidR="0089678D" w:rsidRPr="006F5923" w:rsidRDefault="0089678D" w:rsidP="000B1EF6">
            <w:pPr>
              <w:tabs>
                <w:tab w:val="decimal" w:pos="846"/>
              </w:tabs>
              <w:spacing w:line="336" w:lineRule="auto"/>
              <w:rPr>
                <w:rFonts w:ascii="Times New Roman" w:hAnsi="Times New Roman" w:cs="Times New Roman"/>
                <w:sz w:val="24"/>
                <w:szCs w:val="24"/>
              </w:rPr>
            </w:pPr>
          </w:p>
        </w:tc>
        <w:tc>
          <w:tcPr>
            <w:tcW w:w="1700" w:type="dxa"/>
            <w:shd w:val="clear" w:color="auto" w:fill="auto"/>
          </w:tcPr>
          <w:p w:rsidR="0089678D" w:rsidRPr="006F5923" w:rsidRDefault="0089678D" w:rsidP="000B1EF6">
            <w:pPr>
              <w:tabs>
                <w:tab w:val="decimal" w:pos="846"/>
              </w:tabs>
              <w:spacing w:line="336" w:lineRule="auto"/>
              <w:rPr>
                <w:rFonts w:ascii="Times New Roman" w:hAnsi="Times New Roman" w:cs="Times New Roman"/>
                <w:sz w:val="24"/>
                <w:szCs w:val="24"/>
              </w:rPr>
            </w:pPr>
          </w:p>
        </w:tc>
        <w:tc>
          <w:tcPr>
            <w:tcW w:w="1528" w:type="dxa"/>
            <w:shd w:val="clear" w:color="auto" w:fill="auto"/>
          </w:tcPr>
          <w:p w:rsidR="0089678D" w:rsidRPr="006F5923" w:rsidRDefault="0089678D" w:rsidP="000B1EF6">
            <w:pPr>
              <w:tabs>
                <w:tab w:val="decimal" w:pos="846"/>
              </w:tabs>
              <w:spacing w:line="336" w:lineRule="auto"/>
              <w:rPr>
                <w:rFonts w:ascii="Times New Roman" w:hAnsi="Times New Roman" w:cs="Times New Roman"/>
                <w:sz w:val="24"/>
                <w:szCs w:val="24"/>
              </w:rPr>
            </w:pPr>
          </w:p>
        </w:tc>
      </w:tr>
      <w:tr w:rsidR="0089678D" w:rsidRPr="000247A3" w:rsidTr="00FA18B5">
        <w:tc>
          <w:tcPr>
            <w:tcW w:w="1432" w:type="dxa"/>
            <w:shd w:val="clear" w:color="auto" w:fill="auto"/>
          </w:tcPr>
          <w:p w:rsidR="0089678D" w:rsidRPr="006F5923" w:rsidRDefault="00D854D9" w:rsidP="000B1EF6">
            <w:pPr>
              <w:spacing w:line="360" w:lineRule="auto"/>
              <w:rPr>
                <w:rFonts w:ascii="Times New Roman" w:hAnsi="Times New Roman" w:cs="Times New Roman"/>
                <w:sz w:val="24"/>
                <w:szCs w:val="24"/>
              </w:rPr>
            </w:pPr>
            <m:oMathPara>
              <m:oMath>
                <m:sSub>
                  <m:sSubPr>
                    <m:ctrlPr>
                      <w:rPr>
                        <w:rFonts w:ascii="Cambria Math" w:hAnsi="Times New Roman" w:cs="Times New Roman"/>
                        <w:i/>
                        <w:sz w:val="24"/>
                        <w:szCs w:val="24"/>
                      </w:rPr>
                    </m:ctrlPr>
                  </m:sSubPr>
                  <m:e>
                    <m:r>
                      <m:rPr>
                        <m:sty m:val="bi"/>
                      </m:rPr>
                      <w:rPr>
                        <w:rFonts w:ascii="Cambria Math" w:hAnsi="Cambria Math" w:cs="Times New Roman"/>
                        <w:sz w:val="24"/>
                        <w:szCs w:val="24"/>
                      </w:rPr>
                      <m:t>is</m:t>
                    </m:r>
                  </m:e>
                  <m:sub>
                    <m:r>
                      <m:rPr>
                        <m:sty m:val="bi"/>
                      </m:rPr>
                      <w:rPr>
                        <w:rFonts w:ascii="Cambria Math" w:hAnsi="Cambria Math" w:cs="Times New Roman"/>
                        <w:sz w:val="24"/>
                        <w:szCs w:val="24"/>
                      </w:rPr>
                      <m:t>i</m:t>
                    </m:r>
                    <m:r>
                      <m:rPr>
                        <m:sty m:val="bi"/>
                      </m:rPr>
                      <w:rPr>
                        <w:rFonts w:ascii="Cambria Math" w:hAnsi="Times New Roman" w:cs="Times New Roman"/>
                        <w:sz w:val="24"/>
                        <w:szCs w:val="24"/>
                      </w:rPr>
                      <m:t>,</m:t>
                    </m:r>
                    <m:r>
                      <m:rPr>
                        <m:sty m:val="bi"/>
                      </m:rPr>
                      <w:rPr>
                        <w:rFonts w:ascii="Cambria Math" w:hAnsi="Cambria Math" w:cs="Times New Roman"/>
                        <w:sz w:val="24"/>
                        <w:szCs w:val="24"/>
                      </w:rPr>
                      <m:t>t</m:t>
                    </m:r>
                  </m:sub>
                </m:sSub>
              </m:oMath>
            </m:oMathPara>
          </w:p>
        </w:tc>
        <w:tc>
          <w:tcPr>
            <w:tcW w:w="1184" w:type="dxa"/>
          </w:tcPr>
          <w:p w:rsidR="0089678D" w:rsidRPr="006F5923" w:rsidRDefault="0089678D" w:rsidP="0089678D">
            <w:pPr>
              <w:tabs>
                <w:tab w:val="decimal" w:pos="846"/>
              </w:tabs>
              <w:spacing w:line="360" w:lineRule="auto"/>
              <w:rPr>
                <w:rFonts w:ascii="Times New Roman" w:hAnsi="Times New Roman" w:cs="Times New Roman"/>
                <w:sz w:val="24"/>
                <w:szCs w:val="24"/>
              </w:rPr>
            </w:pPr>
            <w:r>
              <w:rPr>
                <w:rFonts w:ascii="Times New Roman" w:hAnsi="Times New Roman" w:cs="Times New Roman"/>
                <w:sz w:val="24"/>
                <w:szCs w:val="24"/>
              </w:rPr>
              <w:t>Commercial revenue</w:t>
            </w:r>
          </w:p>
        </w:tc>
        <w:tc>
          <w:tcPr>
            <w:tcW w:w="1699" w:type="dxa"/>
            <w:shd w:val="clear" w:color="auto" w:fill="auto"/>
          </w:tcPr>
          <w:p w:rsidR="0089678D" w:rsidRPr="006F5923" w:rsidRDefault="0089678D" w:rsidP="000B1EF6">
            <w:pPr>
              <w:tabs>
                <w:tab w:val="decimal" w:pos="846"/>
              </w:tabs>
              <w:spacing w:line="360" w:lineRule="auto"/>
              <w:rPr>
                <w:rFonts w:ascii="Times New Roman" w:hAnsi="Times New Roman" w:cs="Times New Roman"/>
                <w:sz w:val="24"/>
                <w:szCs w:val="24"/>
              </w:rPr>
            </w:pPr>
            <w:r w:rsidRPr="006F5923">
              <w:rPr>
                <w:rFonts w:ascii="Times New Roman" w:hAnsi="Times New Roman" w:cs="Times New Roman"/>
                <w:sz w:val="24"/>
                <w:szCs w:val="24"/>
              </w:rPr>
              <w:t>1</w:t>
            </w:r>
          </w:p>
        </w:tc>
        <w:tc>
          <w:tcPr>
            <w:tcW w:w="1699" w:type="dxa"/>
            <w:shd w:val="clear" w:color="auto" w:fill="auto"/>
          </w:tcPr>
          <w:p w:rsidR="0089678D" w:rsidRPr="006F5923" w:rsidRDefault="0089678D" w:rsidP="000B1EF6">
            <w:pPr>
              <w:tabs>
                <w:tab w:val="decimal" w:pos="846"/>
              </w:tabs>
              <w:spacing w:line="360" w:lineRule="auto"/>
              <w:rPr>
                <w:rFonts w:ascii="Times New Roman" w:hAnsi="Times New Roman" w:cs="Times New Roman"/>
                <w:sz w:val="24"/>
                <w:szCs w:val="24"/>
              </w:rPr>
            </w:pPr>
          </w:p>
        </w:tc>
        <w:tc>
          <w:tcPr>
            <w:tcW w:w="1700" w:type="dxa"/>
            <w:shd w:val="clear" w:color="auto" w:fill="auto"/>
          </w:tcPr>
          <w:p w:rsidR="0089678D" w:rsidRPr="006F5923" w:rsidRDefault="0089678D" w:rsidP="000B1EF6">
            <w:pPr>
              <w:tabs>
                <w:tab w:val="decimal" w:pos="846"/>
              </w:tabs>
              <w:spacing w:line="360" w:lineRule="auto"/>
              <w:rPr>
                <w:rFonts w:ascii="Times New Roman" w:hAnsi="Times New Roman" w:cs="Times New Roman"/>
                <w:sz w:val="24"/>
                <w:szCs w:val="24"/>
              </w:rPr>
            </w:pPr>
          </w:p>
        </w:tc>
        <w:tc>
          <w:tcPr>
            <w:tcW w:w="1528" w:type="dxa"/>
            <w:shd w:val="clear" w:color="auto" w:fill="auto"/>
          </w:tcPr>
          <w:p w:rsidR="0089678D" w:rsidRPr="006F5923" w:rsidRDefault="0089678D" w:rsidP="000B1EF6">
            <w:pPr>
              <w:tabs>
                <w:tab w:val="decimal" w:pos="846"/>
              </w:tabs>
              <w:spacing w:line="360" w:lineRule="auto"/>
              <w:rPr>
                <w:rFonts w:ascii="Times New Roman" w:hAnsi="Times New Roman" w:cs="Times New Roman"/>
                <w:sz w:val="24"/>
                <w:szCs w:val="24"/>
              </w:rPr>
            </w:pPr>
          </w:p>
        </w:tc>
      </w:tr>
      <w:tr w:rsidR="0089678D" w:rsidRPr="000247A3" w:rsidTr="00FA18B5">
        <w:tc>
          <w:tcPr>
            <w:tcW w:w="1432" w:type="dxa"/>
            <w:shd w:val="clear" w:color="auto" w:fill="auto"/>
          </w:tcPr>
          <w:p w:rsidR="0089678D" w:rsidRPr="006F5923" w:rsidRDefault="00D854D9" w:rsidP="000B1EF6">
            <w:pPr>
              <w:spacing w:line="360" w:lineRule="auto"/>
              <w:rPr>
                <w:rFonts w:ascii="Times New Roman" w:hAnsi="Times New Roman" w:cs="Times New Roman"/>
                <w:sz w:val="24"/>
                <w:szCs w:val="24"/>
              </w:rPr>
            </w:pPr>
            <m:oMathPara>
              <m:oMath>
                <m:sSub>
                  <m:sSubPr>
                    <m:ctrlPr>
                      <w:rPr>
                        <w:rFonts w:ascii="Cambria Math" w:hAnsi="Times New Roman" w:cs="Times New Roman"/>
                        <w:i/>
                        <w:sz w:val="24"/>
                        <w:szCs w:val="24"/>
                      </w:rPr>
                    </m:ctrlPr>
                  </m:sSubPr>
                  <m:e>
                    <m:r>
                      <m:rPr>
                        <m:sty m:val="bi"/>
                      </m:rPr>
                      <w:rPr>
                        <w:rFonts w:ascii="Cambria Math" w:hAnsi="Cambria Math" w:cs="Times New Roman"/>
                        <w:sz w:val="24"/>
                        <w:szCs w:val="24"/>
                      </w:rPr>
                      <m:t>is</m:t>
                    </m:r>
                  </m:e>
                  <m:sub>
                    <m:r>
                      <m:rPr>
                        <m:sty m:val="bi"/>
                      </m:rPr>
                      <w:rPr>
                        <w:rFonts w:ascii="Cambria Math" w:hAnsi="Cambria Math" w:cs="Times New Roman"/>
                        <w:sz w:val="24"/>
                        <w:szCs w:val="24"/>
                      </w:rPr>
                      <m:t>i</m:t>
                    </m:r>
                    <m:r>
                      <m:rPr>
                        <m:sty m:val="bi"/>
                      </m:rPr>
                      <w:rPr>
                        <w:rFonts w:ascii="Cambria Math" w:hAnsi="Times New Roman" w:cs="Times New Roman"/>
                        <w:sz w:val="24"/>
                        <w:szCs w:val="24"/>
                      </w:rPr>
                      <m:t>,</m:t>
                    </m:r>
                    <m:r>
                      <m:rPr>
                        <m:sty m:val="bi"/>
                      </m:rPr>
                      <w:rPr>
                        <w:rFonts w:ascii="Cambria Math" w:hAnsi="Cambria Math" w:cs="Times New Roman"/>
                        <w:sz w:val="24"/>
                        <w:szCs w:val="24"/>
                      </w:rPr>
                      <m:t>t</m:t>
                    </m:r>
                    <m:r>
                      <m:rPr>
                        <m:sty m:val="bi"/>
                      </m:rPr>
                      <w:rPr>
                        <w:rFonts w:ascii="Times New Roman" w:hAnsi="Times New Roman" w:cs="Times New Roman"/>
                        <w:sz w:val="24"/>
                        <w:szCs w:val="24"/>
                      </w:rPr>
                      <m:t>-</m:t>
                    </m:r>
                    <m:r>
                      <m:rPr>
                        <m:sty m:val="bi"/>
                      </m:rPr>
                      <w:rPr>
                        <w:rFonts w:ascii="Cambria Math" w:hAnsi="Cambria Math" w:cs="Times New Roman"/>
                        <w:sz w:val="24"/>
                        <w:szCs w:val="24"/>
                      </w:rPr>
                      <m:t>1</m:t>
                    </m:r>
                  </m:sub>
                </m:sSub>
              </m:oMath>
            </m:oMathPara>
          </w:p>
        </w:tc>
        <w:tc>
          <w:tcPr>
            <w:tcW w:w="1184" w:type="dxa"/>
          </w:tcPr>
          <w:p w:rsidR="0089678D" w:rsidRPr="006F5923" w:rsidRDefault="0089678D" w:rsidP="0089678D">
            <w:pPr>
              <w:tabs>
                <w:tab w:val="decimal" w:pos="846"/>
              </w:tabs>
              <w:spacing w:line="360" w:lineRule="auto"/>
              <w:rPr>
                <w:rFonts w:ascii="Times New Roman" w:hAnsi="Times New Roman" w:cs="Times New Roman"/>
                <w:sz w:val="24"/>
                <w:szCs w:val="24"/>
              </w:rPr>
            </w:pPr>
            <w:r>
              <w:rPr>
                <w:rFonts w:ascii="Times New Roman" w:hAnsi="Times New Roman" w:cs="Times New Roman"/>
                <w:sz w:val="24"/>
                <w:szCs w:val="24"/>
              </w:rPr>
              <w:t>One period lag of commercial revenue</w:t>
            </w:r>
          </w:p>
        </w:tc>
        <w:tc>
          <w:tcPr>
            <w:tcW w:w="1699" w:type="dxa"/>
            <w:shd w:val="clear" w:color="auto" w:fill="auto"/>
          </w:tcPr>
          <w:p w:rsidR="0089678D" w:rsidRPr="006F5923" w:rsidRDefault="0089678D" w:rsidP="000B1EF6">
            <w:pPr>
              <w:tabs>
                <w:tab w:val="decimal" w:pos="846"/>
              </w:tabs>
              <w:spacing w:line="360" w:lineRule="auto"/>
              <w:rPr>
                <w:rFonts w:ascii="Times New Roman" w:hAnsi="Times New Roman" w:cs="Times New Roman"/>
                <w:sz w:val="24"/>
                <w:szCs w:val="24"/>
              </w:rPr>
            </w:pPr>
            <w:r w:rsidRPr="006F5923">
              <w:rPr>
                <w:rFonts w:ascii="Times New Roman" w:hAnsi="Times New Roman" w:cs="Times New Roman"/>
                <w:sz w:val="24"/>
                <w:szCs w:val="24"/>
              </w:rPr>
              <w:t>0.858</w:t>
            </w:r>
          </w:p>
        </w:tc>
        <w:tc>
          <w:tcPr>
            <w:tcW w:w="1699" w:type="dxa"/>
            <w:shd w:val="clear" w:color="auto" w:fill="auto"/>
          </w:tcPr>
          <w:p w:rsidR="0089678D" w:rsidRPr="006F5923" w:rsidRDefault="0089678D" w:rsidP="000B1EF6">
            <w:pPr>
              <w:tabs>
                <w:tab w:val="decimal" w:pos="846"/>
              </w:tabs>
              <w:spacing w:line="360" w:lineRule="auto"/>
              <w:rPr>
                <w:rFonts w:ascii="Times New Roman" w:hAnsi="Times New Roman" w:cs="Times New Roman"/>
                <w:sz w:val="24"/>
                <w:szCs w:val="24"/>
              </w:rPr>
            </w:pPr>
            <w:r w:rsidRPr="006F5923">
              <w:rPr>
                <w:rFonts w:ascii="Times New Roman" w:hAnsi="Times New Roman" w:cs="Times New Roman"/>
                <w:sz w:val="24"/>
                <w:szCs w:val="24"/>
              </w:rPr>
              <w:t>1</w:t>
            </w:r>
          </w:p>
        </w:tc>
        <w:tc>
          <w:tcPr>
            <w:tcW w:w="1700" w:type="dxa"/>
            <w:shd w:val="clear" w:color="auto" w:fill="auto"/>
          </w:tcPr>
          <w:p w:rsidR="0089678D" w:rsidRPr="006F5923" w:rsidRDefault="0089678D" w:rsidP="000B1EF6">
            <w:pPr>
              <w:tabs>
                <w:tab w:val="decimal" w:pos="846"/>
              </w:tabs>
              <w:spacing w:line="360" w:lineRule="auto"/>
              <w:rPr>
                <w:rFonts w:ascii="Times New Roman" w:hAnsi="Times New Roman" w:cs="Times New Roman"/>
                <w:sz w:val="24"/>
                <w:szCs w:val="24"/>
              </w:rPr>
            </w:pPr>
          </w:p>
        </w:tc>
        <w:tc>
          <w:tcPr>
            <w:tcW w:w="1528" w:type="dxa"/>
            <w:shd w:val="clear" w:color="auto" w:fill="auto"/>
          </w:tcPr>
          <w:p w:rsidR="0089678D" w:rsidRPr="006F5923" w:rsidRDefault="0089678D" w:rsidP="000B1EF6">
            <w:pPr>
              <w:tabs>
                <w:tab w:val="decimal" w:pos="846"/>
              </w:tabs>
              <w:spacing w:line="360" w:lineRule="auto"/>
              <w:rPr>
                <w:rFonts w:ascii="Times New Roman" w:hAnsi="Times New Roman" w:cs="Times New Roman"/>
                <w:sz w:val="24"/>
                <w:szCs w:val="24"/>
              </w:rPr>
            </w:pPr>
          </w:p>
        </w:tc>
      </w:tr>
      <w:tr w:rsidR="0089678D" w:rsidRPr="000247A3" w:rsidTr="00FA18B5">
        <w:tc>
          <w:tcPr>
            <w:tcW w:w="1432" w:type="dxa"/>
            <w:shd w:val="clear" w:color="auto" w:fill="auto"/>
          </w:tcPr>
          <w:p w:rsidR="0089678D" w:rsidRPr="006F5923" w:rsidRDefault="00D854D9" w:rsidP="000B1EF6">
            <w:pPr>
              <w:spacing w:line="360" w:lineRule="auto"/>
              <w:rPr>
                <w:rFonts w:ascii="Times New Roman" w:hAnsi="Times New Roman" w:cs="Times New Roman"/>
                <w:sz w:val="24"/>
                <w:szCs w:val="24"/>
              </w:rPr>
            </w:pPr>
            <m:oMathPara>
              <m:oMath>
                <m:sSub>
                  <m:sSubPr>
                    <m:ctrlPr>
                      <w:rPr>
                        <w:rFonts w:ascii="Cambria Math" w:hAnsi="Times New Roman" w:cs="Times New Roman"/>
                        <w:i/>
                        <w:sz w:val="24"/>
                        <w:szCs w:val="24"/>
                      </w:rPr>
                    </m:ctrlPr>
                  </m:sSubPr>
                  <m:e>
                    <m:r>
                      <m:rPr>
                        <m:sty m:val="bi"/>
                      </m:rPr>
                      <w:rPr>
                        <w:rFonts w:ascii="Cambria Math" w:hAnsi="Cambria Math" w:cs="Times New Roman"/>
                        <w:sz w:val="24"/>
                        <w:szCs w:val="24"/>
                      </w:rPr>
                      <m:t>i</m:t>
                    </m:r>
                  </m:e>
                  <m:sub>
                    <m:r>
                      <m:rPr>
                        <m:sty m:val="bi"/>
                      </m:rPr>
                      <w:rPr>
                        <w:rFonts w:ascii="Cambria Math" w:hAnsi="Cambria Math" w:cs="Times New Roman"/>
                        <w:sz w:val="24"/>
                        <w:szCs w:val="24"/>
                      </w:rPr>
                      <m:t>i</m:t>
                    </m:r>
                    <m:r>
                      <m:rPr>
                        <m:sty m:val="bi"/>
                      </m:rPr>
                      <w:rPr>
                        <w:rFonts w:ascii="Cambria Math" w:hAnsi="Times New Roman" w:cs="Times New Roman"/>
                        <w:sz w:val="24"/>
                        <w:szCs w:val="24"/>
                      </w:rPr>
                      <m:t>,</m:t>
                    </m:r>
                    <m:r>
                      <m:rPr>
                        <m:sty m:val="bi"/>
                      </m:rPr>
                      <w:rPr>
                        <w:rFonts w:ascii="Cambria Math" w:hAnsi="Cambria Math" w:cs="Times New Roman"/>
                        <w:sz w:val="24"/>
                        <w:szCs w:val="24"/>
                      </w:rPr>
                      <m:t>t</m:t>
                    </m:r>
                  </m:sub>
                </m:sSub>
              </m:oMath>
            </m:oMathPara>
          </w:p>
        </w:tc>
        <w:tc>
          <w:tcPr>
            <w:tcW w:w="1184" w:type="dxa"/>
          </w:tcPr>
          <w:p w:rsidR="0089678D" w:rsidRPr="006F5923" w:rsidRDefault="0089678D" w:rsidP="0089678D">
            <w:pPr>
              <w:tabs>
                <w:tab w:val="decimal" w:pos="846"/>
              </w:tabs>
              <w:spacing w:line="360" w:lineRule="auto"/>
              <w:rPr>
                <w:rFonts w:ascii="Times New Roman" w:hAnsi="Times New Roman" w:cs="Times New Roman"/>
                <w:sz w:val="24"/>
                <w:szCs w:val="24"/>
              </w:rPr>
            </w:pPr>
            <w:r>
              <w:rPr>
                <w:rFonts w:ascii="Times New Roman" w:hAnsi="Times New Roman" w:cs="Times New Roman"/>
                <w:sz w:val="24"/>
                <w:szCs w:val="24"/>
              </w:rPr>
              <w:t>Total revenue</w:t>
            </w:r>
          </w:p>
        </w:tc>
        <w:tc>
          <w:tcPr>
            <w:tcW w:w="1699" w:type="dxa"/>
            <w:shd w:val="clear" w:color="auto" w:fill="auto"/>
          </w:tcPr>
          <w:p w:rsidR="0089678D" w:rsidRPr="006F5923" w:rsidRDefault="0089678D" w:rsidP="000B1EF6">
            <w:pPr>
              <w:tabs>
                <w:tab w:val="decimal" w:pos="846"/>
              </w:tabs>
              <w:spacing w:line="360" w:lineRule="auto"/>
              <w:rPr>
                <w:rFonts w:ascii="Times New Roman" w:hAnsi="Times New Roman" w:cs="Times New Roman"/>
                <w:sz w:val="24"/>
                <w:szCs w:val="24"/>
              </w:rPr>
            </w:pPr>
            <w:r w:rsidRPr="006F5923">
              <w:rPr>
                <w:rFonts w:ascii="Times New Roman" w:hAnsi="Times New Roman" w:cs="Times New Roman"/>
                <w:sz w:val="24"/>
                <w:szCs w:val="24"/>
              </w:rPr>
              <w:t>0.755</w:t>
            </w:r>
          </w:p>
        </w:tc>
        <w:tc>
          <w:tcPr>
            <w:tcW w:w="1699" w:type="dxa"/>
            <w:shd w:val="clear" w:color="auto" w:fill="auto"/>
          </w:tcPr>
          <w:p w:rsidR="0089678D" w:rsidRPr="006F5923" w:rsidRDefault="0089678D" w:rsidP="000B1EF6">
            <w:pPr>
              <w:tabs>
                <w:tab w:val="decimal" w:pos="846"/>
              </w:tabs>
              <w:spacing w:line="360" w:lineRule="auto"/>
              <w:rPr>
                <w:rFonts w:ascii="Times New Roman" w:hAnsi="Times New Roman" w:cs="Times New Roman"/>
                <w:sz w:val="24"/>
                <w:szCs w:val="24"/>
              </w:rPr>
            </w:pPr>
            <w:r w:rsidRPr="006F5923">
              <w:rPr>
                <w:rFonts w:ascii="Times New Roman" w:hAnsi="Times New Roman" w:cs="Times New Roman"/>
                <w:sz w:val="24"/>
                <w:szCs w:val="24"/>
              </w:rPr>
              <w:t>0.723</w:t>
            </w:r>
          </w:p>
        </w:tc>
        <w:tc>
          <w:tcPr>
            <w:tcW w:w="1700" w:type="dxa"/>
            <w:shd w:val="clear" w:color="auto" w:fill="auto"/>
          </w:tcPr>
          <w:p w:rsidR="0089678D" w:rsidRPr="006F5923" w:rsidRDefault="0089678D" w:rsidP="000B1EF6">
            <w:pPr>
              <w:tabs>
                <w:tab w:val="decimal" w:pos="846"/>
              </w:tabs>
              <w:spacing w:line="360" w:lineRule="auto"/>
              <w:rPr>
                <w:rFonts w:ascii="Times New Roman" w:hAnsi="Times New Roman" w:cs="Times New Roman"/>
                <w:sz w:val="24"/>
                <w:szCs w:val="24"/>
              </w:rPr>
            </w:pPr>
            <w:r w:rsidRPr="006F5923">
              <w:rPr>
                <w:rFonts w:ascii="Times New Roman" w:hAnsi="Times New Roman" w:cs="Times New Roman"/>
                <w:sz w:val="24"/>
                <w:szCs w:val="24"/>
              </w:rPr>
              <w:t>1</w:t>
            </w:r>
          </w:p>
        </w:tc>
        <w:tc>
          <w:tcPr>
            <w:tcW w:w="1528" w:type="dxa"/>
            <w:shd w:val="clear" w:color="auto" w:fill="auto"/>
          </w:tcPr>
          <w:p w:rsidR="0089678D" w:rsidRPr="006F5923" w:rsidRDefault="0089678D" w:rsidP="000B1EF6">
            <w:pPr>
              <w:tabs>
                <w:tab w:val="decimal" w:pos="846"/>
              </w:tabs>
              <w:spacing w:line="360" w:lineRule="auto"/>
              <w:rPr>
                <w:rFonts w:ascii="Times New Roman" w:hAnsi="Times New Roman" w:cs="Times New Roman"/>
                <w:sz w:val="24"/>
                <w:szCs w:val="24"/>
              </w:rPr>
            </w:pPr>
          </w:p>
        </w:tc>
      </w:tr>
      <w:tr w:rsidR="0089678D" w:rsidRPr="000247A3" w:rsidTr="00FA18B5">
        <w:tc>
          <w:tcPr>
            <w:tcW w:w="1432" w:type="dxa"/>
            <w:shd w:val="clear" w:color="auto" w:fill="auto"/>
          </w:tcPr>
          <w:p w:rsidR="0089678D" w:rsidRPr="006F5923" w:rsidRDefault="00D854D9" w:rsidP="000B1EF6">
            <w:pPr>
              <w:spacing w:line="360" w:lineRule="auto"/>
              <w:rPr>
                <w:rFonts w:ascii="Times New Roman" w:hAnsi="Times New Roman" w:cs="Times New Roman"/>
                <w:sz w:val="24"/>
                <w:szCs w:val="24"/>
              </w:rPr>
            </w:pPr>
            <m:oMathPara>
              <m:oMath>
                <m:sSub>
                  <m:sSubPr>
                    <m:ctrlPr>
                      <w:rPr>
                        <w:rFonts w:ascii="Cambria Math" w:hAnsi="Times New Roman" w:cs="Times New Roman"/>
                        <w:i/>
                        <w:sz w:val="24"/>
                        <w:szCs w:val="24"/>
                      </w:rPr>
                    </m:ctrlPr>
                  </m:sSubPr>
                  <m:e>
                    <m:r>
                      <m:rPr>
                        <m:sty m:val="bi"/>
                      </m:rPr>
                      <w:rPr>
                        <w:rFonts w:ascii="Cambria Math" w:hAnsi="Cambria Math" w:cs="Times New Roman"/>
                        <w:sz w:val="24"/>
                        <w:szCs w:val="24"/>
                      </w:rPr>
                      <m:t>iv</m:t>
                    </m:r>
                  </m:e>
                  <m:sub>
                    <m:r>
                      <m:rPr>
                        <m:sty m:val="bi"/>
                      </m:rPr>
                      <w:rPr>
                        <w:rFonts w:ascii="Cambria Math" w:hAnsi="Cambria Math" w:cs="Times New Roman"/>
                        <w:sz w:val="24"/>
                        <w:szCs w:val="24"/>
                      </w:rPr>
                      <m:t>i</m:t>
                    </m:r>
                    <m:r>
                      <m:rPr>
                        <m:sty m:val="bi"/>
                      </m:rPr>
                      <w:rPr>
                        <w:rFonts w:ascii="Cambria Math" w:hAnsi="Times New Roman" w:cs="Times New Roman"/>
                        <w:sz w:val="24"/>
                        <w:szCs w:val="24"/>
                      </w:rPr>
                      <m:t>,</m:t>
                    </m:r>
                    <m:r>
                      <m:rPr>
                        <m:sty m:val="bi"/>
                      </m:rPr>
                      <w:rPr>
                        <w:rFonts w:ascii="Cambria Math" w:hAnsi="Cambria Math" w:cs="Times New Roman"/>
                        <w:sz w:val="24"/>
                        <w:szCs w:val="24"/>
                      </w:rPr>
                      <m:t>t</m:t>
                    </m:r>
                  </m:sub>
                </m:sSub>
              </m:oMath>
            </m:oMathPara>
          </w:p>
        </w:tc>
        <w:tc>
          <w:tcPr>
            <w:tcW w:w="1184" w:type="dxa"/>
          </w:tcPr>
          <w:p w:rsidR="0089678D" w:rsidRPr="006F5923" w:rsidRDefault="0089678D" w:rsidP="0089678D">
            <w:pPr>
              <w:tabs>
                <w:tab w:val="decimal" w:pos="846"/>
              </w:tabs>
              <w:spacing w:line="360" w:lineRule="auto"/>
              <w:rPr>
                <w:rFonts w:ascii="Times New Roman" w:hAnsi="Times New Roman" w:cs="Times New Roman"/>
                <w:sz w:val="24"/>
                <w:szCs w:val="24"/>
              </w:rPr>
            </w:pPr>
            <w:r>
              <w:rPr>
                <w:rFonts w:ascii="Times New Roman" w:hAnsi="Times New Roman" w:cs="Times New Roman"/>
                <w:sz w:val="24"/>
                <w:szCs w:val="24"/>
              </w:rPr>
              <w:t>Grants and donations</w:t>
            </w:r>
          </w:p>
        </w:tc>
        <w:tc>
          <w:tcPr>
            <w:tcW w:w="1699" w:type="dxa"/>
            <w:shd w:val="clear" w:color="auto" w:fill="auto"/>
          </w:tcPr>
          <w:p w:rsidR="0089678D" w:rsidRPr="006F5923" w:rsidRDefault="0089678D" w:rsidP="000B1EF6">
            <w:pPr>
              <w:tabs>
                <w:tab w:val="decimal" w:pos="846"/>
              </w:tabs>
              <w:spacing w:line="360" w:lineRule="auto"/>
              <w:rPr>
                <w:rFonts w:ascii="Times New Roman" w:hAnsi="Times New Roman" w:cs="Times New Roman"/>
                <w:sz w:val="24"/>
                <w:szCs w:val="24"/>
              </w:rPr>
            </w:pPr>
            <w:r w:rsidRPr="006F5923">
              <w:rPr>
                <w:rFonts w:ascii="Times New Roman" w:hAnsi="Times New Roman" w:cs="Times New Roman"/>
                <w:sz w:val="24"/>
                <w:szCs w:val="24"/>
              </w:rPr>
              <w:t>0.277</w:t>
            </w:r>
          </w:p>
        </w:tc>
        <w:tc>
          <w:tcPr>
            <w:tcW w:w="1699" w:type="dxa"/>
            <w:shd w:val="clear" w:color="auto" w:fill="auto"/>
          </w:tcPr>
          <w:p w:rsidR="0089678D" w:rsidRPr="006F5923" w:rsidRDefault="0089678D" w:rsidP="000B1EF6">
            <w:pPr>
              <w:tabs>
                <w:tab w:val="decimal" w:pos="846"/>
              </w:tabs>
              <w:spacing w:line="360" w:lineRule="auto"/>
              <w:rPr>
                <w:rFonts w:ascii="Times New Roman" w:hAnsi="Times New Roman" w:cs="Times New Roman"/>
                <w:sz w:val="24"/>
                <w:szCs w:val="24"/>
              </w:rPr>
            </w:pPr>
            <w:r w:rsidRPr="006F5923">
              <w:rPr>
                <w:rFonts w:ascii="Times New Roman" w:hAnsi="Times New Roman" w:cs="Times New Roman"/>
                <w:sz w:val="24"/>
                <w:szCs w:val="24"/>
              </w:rPr>
              <w:t>0.299</w:t>
            </w:r>
          </w:p>
        </w:tc>
        <w:tc>
          <w:tcPr>
            <w:tcW w:w="1700" w:type="dxa"/>
            <w:shd w:val="clear" w:color="auto" w:fill="auto"/>
          </w:tcPr>
          <w:p w:rsidR="0089678D" w:rsidRPr="006F5923" w:rsidRDefault="0089678D" w:rsidP="000B1EF6">
            <w:pPr>
              <w:tabs>
                <w:tab w:val="decimal" w:pos="846"/>
              </w:tabs>
              <w:spacing w:line="360" w:lineRule="auto"/>
              <w:rPr>
                <w:rFonts w:ascii="Times New Roman" w:hAnsi="Times New Roman" w:cs="Times New Roman"/>
                <w:sz w:val="24"/>
                <w:szCs w:val="24"/>
              </w:rPr>
            </w:pPr>
            <w:r w:rsidRPr="006F5923">
              <w:rPr>
                <w:rFonts w:ascii="Times New Roman" w:hAnsi="Times New Roman" w:cs="Times New Roman"/>
                <w:sz w:val="24"/>
                <w:szCs w:val="24"/>
              </w:rPr>
              <w:t>0.672</w:t>
            </w:r>
          </w:p>
        </w:tc>
        <w:tc>
          <w:tcPr>
            <w:tcW w:w="1528" w:type="dxa"/>
            <w:shd w:val="clear" w:color="auto" w:fill="auto"/>
          </w:tcPr>
          <w:p w:rsidR="0089678D" w:rsidRPr="006F5923" w:rsidRDefault="0089678D" w:rsidP="000B1EF6">
            <w:pPr>
              <w:tabs>
                <w:tab w:val="decimal" w:pos="846"/>
              </w:tabs>
              <w:spacing w:line="360" w:lineRule="auto"/>
              <w:rPr>
                <w:rFonts w:ascii="Times New Roman" w:hAnsi="Times New Roman" w:cs="Times New Roman"/>
                <w:sz w:val="24"/>
                <w:szCs w:val="24"/>
              </w:rPr>
            </w:pPr>
            <w:r w:rsidRPr="006F5923">
              <w:rPr>
                <w:rFonts w:ascii="Times New Roman" w:hAnsi="Times New Roman" w:cs="Times New Roman"/>
                <w:sz w:val="24"/>
                <w:szCs w:val="24"/>
              </w:rPr>
              <w:t>1</w:t>
            </w:r>
          </w:p>
        </w:tc>
      </w:tr>
      <w:tr w:rsidR="0089678D" w:rsidRPr="000247A3" w:rsidTr="00FA18B5">
        <w:trPr>
          <w:trHeight w:hRule="exact" w:val="113"/>
        </w:trPr>
        <w:tc>
          <w:tcPr>
            <w:tcW w:w="1432" w:type="dxa"/>
            <w:tcBorders>
              <w:bottom w:val="single" w:sz="4" w:space="0" w:color="auto"/>
            </w:tcBorders>
            <w:shd w:val="clear" w:color="auto" w:fill="auto"/>
          </w:tcPr>
          <w:p w:rsidR="0089678D" w:rsidRPr="000247A3" w:rsidRDefault="0089678D" w:rsidP="000B1EF6">
            <w:pPr>
              <w:spacing w:line="480" w:lineRule="auto"/>
              <w:rPr>
                <w:rFonts w:cs="Arial"/>
                <w:sz w:val="20"/>
                <w:szCs w:val="20"/>
              </w:rPr>
            </w:pPr>
          </w:p>
        </w:tc>
        <w:tc>
          <w:tcPr>
            <w:tcW w:w="1184" w:type="dxa"/>
            <w:tcBorders>
              <w:bottom w:val="single" w:sz="4" w:space="0" w:color="auto"/>
            </w:tcBorders>
          </w:tcPr>
          <w:p w:rsidR="0089678D" w:rsidRPr="000247A3" w:rsidRDefault="0089678D" w:rsidP="000B1EF6">
            <w:pPr>
              <w:tabs>
                <w:tab w:val="decimal" w:pos="846"/>
              </w:tabs>
              <w:spacing w:line="480" w:lineRule="auto"/>
              <w:rPr>
                <w:rFonts w:cs="Arial"/>
                <w:sz w:val="20"/>
                <w:szCs w:val="20"/>
              </w:rPr>
            </w:pPr>
          </w:p>
        </w:tc>
        <w:tc>
          <w:tcPr>
            <w:tcW w:w="1699" w:type="dxa"/>
            <w:tcBorders>
              <w:bottom w:val="single" w:sz="4" w:space="0" w:color="auto"/>
            </w:tcBorders>
            <w:shd w:val="clear" w:color="auto" w:fill="auto"/>
          </w:tcPr>
          <w:p w:rsidR="0089678D" w:rsidRPr="000247A3" w:rsidRDefault="0089678D" w:rsidP="000B1EF6">
            <w:pPr>
              <w:tabs>
                <w:tab w:val="decimal" w:pos="846"/>
              </w:tabs>
              <w:spacing w:line="480" w:lineRule="auto"/>
              <w:rPr>
                <w:rFonts w:cs="Arial"/>
                <w:sz w:val="20"/>
                <w:szCs w:val="20"/>
              </w:rPr>
            </w:pPr>
          </w:p>
        </w:tc>
        <w:tc>
          <w:tcPr>
            <w:tcW w:w="1699" w:type="dxa"/>
            <w:tcBorders>
              <w:bottom w:val="single" w:sz="4" w:space="0" w:color="auto"/>
            </w:tcBorders>
            <w:shd w:val="clear" w:color="auto" w:fill="auto"/>
          </w:tcPr>
          <w:p w:rsidR="0089678D" w:rsidRPr="000247A3" w:rsidRDefault="0089678D" w:rsidP="000B1EF6">
            <w:pPr>
              <w:tabs>
                <w:tab w:val="decimal" w:pos="846"/>
              </w:tabs>
              <w:spacing w:line="480" w:lineRule="auto"/>
              <w:rPr>
                <w:rFonts w:cs="Arial"/>
                <w:sz w:val="20"/>
                <w:szCs w:val="20"/>
              </w:rPr>
            </w:pPr>
          </w:p>
        </w:tc>
        <w:tc>
          <w:tcPr>
            <w:tcW w:w="1700" w:type="dxa"/>
            <w:tcBorders>
              <w:bottom w:val="single" w:sz="4" w:space="0" w:color="auto"/>
            </w:tcBorders>
            <w:shd w:val="clear" w:color="auto" w:fill="auto"/>
          </w:tcPr>
          <w:p w:rsidR="0089678D" w:rsidRPr="000247A3" w:rsidRDefault="0089678D" w:rsidP="000B1EF6">
            <w:pPr>
              <w:tabs>
                <w:tab w:val="decimal" w:pos="846"/>
              </w:tabs>
              <w:spacing w:line="480" w:lineRule="auto"/>
              <w:rPr>
                <w:rFonts w:cs="Arial"/>
                <w:sz w:val="20"/>
                <w:szCs w:val="20"/>
              </w:rPr>
            </w:pPr>
          </w:p>
        </w:tc>
        <w:tc>
          <w:tcPr>
            <w:tcW w:w="1528" w:type="dxa"/>
            <w:tcBorders>
              <w:bottom w:val="single" w:sz="4" w:space="0" w:color="auto"/>
            </w:tcBorders>
            <w:shd w:val="clear" w:color="auto" w:fill="auto"/>
          </w:tcPr>
          <w:p w:rsidR="0089678D" w:rsidRPr="000247A3" w:rsidRDefault="0089678D" w:rsidP="000B1EF6">
            <w:pPr>
              <w:tabs>
                <w:tab w:val="decimal" w:pos="846"/>
              </w:tabs>
              <w:spacing w:line="480" w:lineRule="auto"/>
              <w:rPr>
                <w:rFonts w:cs="Arial"/>
                <w:sz w:val="20"/>
                <w:szCs w:val="20"/>
              </w:rPr>
            </w:pPr>
          </w:p>
        </w:tc>
      </w:tr>
    </w:tbl>
    <w:p w:rsidR="002E69C1" w:rsidRPr="00D854D9" w:rsidRDefault="003E37A6" w:rsidP="0020698D">
      <w:pPr>
        <w:pStyle w:val="TSRCtablefigureheading"/>
        <w:rPr>
          <w:rFonts w:ascii="Times New Roman" w:hAnsi="Times New Roman" w:cs="Times New Roman"/>
          <w:b w:val="0"/>
          <w:sz w:val="24"/>
          <w:szCs w:val="24"/>
          <w:u w:val="none"/>
        </w:rPr>
      </w:pPr>
      <w:bookmarkStart w:id="0" w:name="_GoBack"/>
      <w:r w:rsidRPr="00D854D9">
        <w:rPr>
          <w:rFonts w:ascii="Times New Roman" w:hAnsi="Times New Roman" w:cs="Times New Roman"/>
          <w:b w:val="0"/>
          <w:sz w:val="24"/>
          <w:szCs w:val="24"/>
          <w:u w:val="none"/>
        </w:rPr>
        <w:t>Note: all these correlation coefficients are highly statistically significant.</w:t>
      </w:r>
    </w:p>
    <w:bookmarkEnd w:id="0"/>
    <w:p w:rsidR="003E37A6" w:rsidRPr="003E37A6" w:rsidRDefault="003E37A6" w:rsidP="00FA18B5"/>
    <w:tbl>
      <w:tblPr>
        <w:tblW w:w="9180" w:type="dxa"/>
        <w:tblBorders>
          <w:top w:val="single" w:sz="4" w:space="0" w:color="auto"/>
          <w:bottom w:val="single" w:sz="4" w:space="0" w:color="auto"/>
        </w:tblBorders>
        <w:tblLayout w:type="fixed"/>
        <w:tblCellMar>
          <w:top w:w="85" w:type="dxa"/>
        </w:tblCellMar>
        <w:tblLook w:val="04A0" w:firstRow="1" w:lastRow="0" w:firstColumn="1" w:lastColumn="0" w:noHBand="0" w:noVBand="1"/>
      </w:tblPr>
      <w:tblGrid>
        <w:gridCol w:w="1311"/>
        <w:gridCol w:w="1311"/>
        <w:gridCol w:w="1312"/>
        <w:gridCol w:w="1311"/>
        <w:gridCol w:w="1312"/>
        <w:gridCol w:w="1064"/>
        <w:gridCol w:w="1559"/>
      </w:tblGrid>
      <w:tr w:rsidR="002E69C1" w:rsidRPr="000247A3" w:rsidTr="000B1EF6">
        <w:trPr>
          <w:trHeight w:val="300"/>
        </w:trPr>
        <w:tc>
          <w:tcPr>
            <w:tcW w:w="9180" w:type="dxa"/>
            <w:gridSpan w:val="7"/>
            <w:tcBorders>
              <w:top w:val="single" w:sz="4" w:space="0" w:color="auto"/>
              <w:bottom w:val="nil"/>
            </w:tcBorders>
            <w:noWrap/>
          </w:tcPr>
          <w:p w:rsidR="002E69C1" w:rsidRPr="0020698D" w:rsidRDefault="002E69C1" w:rsidP="000B1EF6">
            <w:pPr>
              <w:pStyle w:val="TSRCtablefigureheading"/>
              <w:rPr>
                <w:rFonts w:ascii="Times New Roman" w:hAnsi="Times New Roman" w:cs="Times New Roman"/>
                <w:sz w:val="24"/>
                <w:szCs w:val="24"/>
                <w:u w:val="none"/>
              </w:rPr>
            </w:pPr>
            <w:r w:rsidRPr="0020698D">
              <w:rPr>
                <w:rFonts w:ascii="Times New Roman" w:hAnsi="Times New Roman" w:cs="Times New Roman"/>
                <w:sz w:val="24"/>
                <w:szCs w:val="24"/>
                <w:u w:val="none"/>
              </w:rPr>
              <w:t xml:space="preserve">Table 5. </w:t>
            </w:r>
            <w:r w:rsidRPr="0020698D">
              <w:rPr>
                <w:rFonts w:ascii="Times New Roman" w:hAnsi="Times New Roman" w:cs="Times New Roman"/>
                <w:b w:val="0"/>
                <w:sz w:val="24"/>
                <w:szCs w:val="24"/>
                <w:u w:val="none"/>
              </w:rPr>
              <w:t>Total, between and within variation of incomes in the sample of charities analysed</w:t>
            </w:r>
          </w:p>
          <w:p w:rsidR="002E69C1" w:rsidRPr="0020698D" w:rsidRDefault="002E69C1" w:rsidP="000B1EF6">
            <w:pPr>
              <w:tabs>
                <w:tab w:val="left" w:pos="1292"/>
              </w:tabs>
              <w:spacing w:line="336" w:lineRule="auto"/>
              <w:rPr>
                <w:rFonts w:ascii="Times New Roman" w:hAnsi="Times New Roman" w:cs="Times New Roman"/>
                <w:color w:val="000000"/>
                <w:sz w:val="24"/>
                <w:szCs w:val="24"/>
              </w:rPr>
            </w:pPr>
          </w:p>
        </w:tc>
      </w:tr>
      <w:tr w:rsidR="002E69C1" w:rsidRPr="000247A3" w:rsidTr="000B1EF6">
        <w:trPr>
          <w:trHeight w:val="300"/>
        </w:trPr>
        <w:tc>
          <w:tcPr>
            <w:tcW w:w="9180" w:type="dxa"/>
            <w:gridSpan w:val="7"/>
            <w:tcBorders>
              <w:top w:val="single" w:sz="4" w:space="0" w:color="auto"/>
              <w:bottom w:val="nil"/>
            </w:tcBorders>
            <w:noWrap/>
            <w:hideMark/>
          </w:tcPr>
          <w:p w:rsidR="002E69C1" w:rsidRPr="0020698D" w:rsidRDefault="002E69C1" w:rsidP="0020698D">
            <w:pPr>
              <w:spacing w:line="336" w:lineRule="auto"/>
              <w:jc w:val="center"/>
              <w:rPr>
                <w:rFonts w:ascii="Times New Roman" w:hAnsi="Times New Roman" w:cs="Times New Roman"/>
                <w:i/>
                <w:color w:val="000000"/>
                <w:sz w:val="24"/>
                <w:szCs w:val="24"/>
              </w:rPr>
            </w:pPr>
            <w:r w:rsidRPr="0020698D">
              <w:rPr>
                <w:rFonts w:ascii="Times New Roman" w:hAnsi="Times New Roman" w:cs="Times New Roman"/>
                <w:i/>
                <w:color w:val="000000"/>
                <w:sz w:val="24"/>
                <w:szCs w:val="24"/>
              </w:rPr>
              <w:t>Standard Deviation</w:t>
            </w:r>
          </w:p>
        </w:tc>
      </w:tr>
      <w:tr w:rsidR="002E69C1" w:rsidRPr="000247A3" w:rsidTr="000B1EF6">
        <w:trPr>
          <w:trHeight w:val="300"/>
        </w:trPr>
        <w:tc>
          <w:tcPr>
            <w:tcW w:w="1311" w:type="dxa"/>
            <w:tcBorders>
              <w:top w:val="nil"/>
              <w:bottom w:val="single" w:sz="4" w:space="0" w:color="auto"/>
            </w:tcBorders>
            <w:noWrap/>
            <w:hideMark/>
          </w:tcPr>
          <w:p w:rsidR="002E69C1" w:rsidRPr="0020698D" w:rsidRDefault="002E69C1" w:rsidP="000B1EF6">
            <w:pPr>
              <w:rPr>
                <w:rFonts w:ascii="Times New Roman" w:hAnsi="Times New Roman" w:cs="Times New Roman"/>
                <w:color w:val="000000"/>
                <w:sz w:val="24"/>
                <w:szCs w:val="24"/>
              </w:rPr>
            </w:pPr>
          </w:p>
        </w:tc>
        <w:tc>
          <w:tcPr>
            <w:tcW w:w="1311" w:type="dxa"/>
            <w:tcBorders>
              <w:top w:val="nil"/>
              <w:bottom w:val="single" w:sz="4" w:space="0" w:color="auto"/>
            </w:tcBorders>
            <w:noWrap/>
            <w:hideMark/>
          </w:tcPr>
          <w:p w:rsidR="002E69C1" w:rsidRPr="0020698D" w:rsidRDefault="002E69C1" w:rsidP="000B1EF6">
            <w:pPr>
              <w:jc w:val="center"/>
              <w:rPr>
                <w:rFonts w:ascii="Times New Roman" w:hAnsi="Times New Roman" w:cs="Times New Roman"/>
                <w:color w:val="000000"/>
                <w:sz w:val="24"/>
                <w:szCs w:val="24"/>
              </w:rPr>
            </w:pPr>
            <w:r w:rsidRPr="0020698D">
              <w:rPr>
                <w:rFonts w:ascii="Times New Roman" w:hAnsi="Times New Roman" w:cs="Times New Roman"/>
                <w:color w:val="000000"/>
                <w:sz w:val="24"/>
                <w:szCs w:val="24"/>
              </w:rPr>
              <w:t>Mean</w:t>
            </w:r>
          </w:p>
        </w:tc>
        <w:tc>
          <w:tcPr>
            <w:tcW w:w="1312" w:type="dxa"/>
            <w:tcBorders>
              <w:top w:val="nil"/>
              <w:bottom w:val="single" w:sz="4" w:space="0" w:color="auto"/>
            </w:tcBorders>
            <w:noWrap/>
            <w:hideMark/>
          </w:tcPr>
          <w:p w:rsidR="002E69C1" w:rsidRPr="0020698D" w:rsidRDefault="002E69C1" w:rsidP="0020698D">
            <w:pPr>
              <w:spacing w:after="0" w:line="240" w:lineRule="auto"/>
              <w:jc w:val="center"/>
              <w:rPr>
                <w:rFonts w:ascii="Times New Roman" w:hAnsi="Times New Roman" w:cs="Times New Roman"/>
                <w:color w:val="000000"/>
                <w:sz w:val="24"/>
                <w:szCs w:val="24"/>
              </w:rPr>
            </w:pPr>
            <w:r w:rsidRPr="0020698D">
              <w:rPr>
                <w:rFonts w:ascii="Times New Roman" w:hAnsi="Times New Roman" w:cs="Times New Roman"/>
                <w:color w:val="000000"/>
                <w:sz w:val="24"/>
                <w:szCs w:val="24"/>
              </w:rPr>
              <w:t xml:space="preserve">Total </w:t>
            </w:r>
          </w:p>
          <w:p w:rsidR="002E69C1" w:rsidRPr="0020698D" w:rsidRDefault="002E69C1" w:rsidP="0020698D">
            <w:pPr>
              <w:spacing w:after="0" w:line="240" w:lineRule="auto"/>
              <w:jc w:val="center"/>
              <w:rPr>
                <w:rFonts w:ascii="Times New Roman" w:hAnsi="Times New Roman" w:cs="Times New Roman"/>
                <w:color w:val="000000"/>
                <w:sz w:val="24"/>
                <w:szCs w:val="24"/>
              </w:rPr>
            </w:pPr>
            <w:proofErr w:type="spellStart"/>
            <w:r w:rsidRPr="0020698D">
              <w:rPr>
                <w:rFonts w:ascii="Times New Roman" w:hAnsi="Times New Roman" w:cs="Times New Roman"/>
                <w:color w:val="000000"/>
                <w:sz w:val="24"/>
                <w:szCs w:val="24"/>
              </w:rPr>
              <w:t>st.</w:t>
            </w:r>
            <w:proofErr w:type="spellEnd"/>
            <w:r w:rsidRPr="0020698D">
              <w:rPr>
                <w:rFonts w:ascii="Times New Roman" w:hAnsi="Times New Roman" w:cs="Times New Roman"/>
                <w:color w:val="000000"/>
                <w:sz w:val="24"/>
                <w:szCs w:val="24"/>
              </w:rPr>
              <w:t xml:space="preserve"> dev</w:t>
            </w:r>
          </w:p>
        </w:tc>
        <w:tc>
          <w:tcPr>
            <w:tcW w:w="1311" w:type="dxa"/>
            <w:tcBorders>
              <w:top w:val="nil"/>
              <w:bottom w:val="single" w:sz="4" w:space="0" w:color="auto"/>
            </w:tcBorders>
            <w:noWrap/>
            <w:hideMark/>
          </w:tcPr>
          <w:p w:rsidR="002E69C1" w:rsidRPr="0020698D" w:rsidRDefault="002E69C1" w:rsidP="000B1EF6">
            <w:pPr>
              <w:jc w:val="center"/>
              <w:rPr>
                <w:rFonts w:ascii="Times New Roman" w:hAnsi="Times New Roman" w:cs="Times New Roman"/>
                <w:color w:val="000000"/>
                <w:sz w:val="24"/>
                <w:szCs w:val="24"/>
              </w:rPr>
            </w:pPr>
            <w:r w:rsidRPr="0020698D">
              <w:rPr>
                <w:rFonts w:ascii="Times New Roman" w:hAnsi="Times New Roman" w:cs="Times New Roman"/>
                <w:color w:val="000000"/>
                <w:sz w:val="24"/>
                <w:szCs w:val="24"/>
              </w:rPr>
              <w:t>Between</w:t>
            </w:r>
          </w:p>
        </w:tc>
        <w:tc>
          <w:tcPr>
            <w:tcW w:w="1312" w:type="dxa"/>
            <w:tcBorders>
              <w:top w:val="nil"/>
              <w:bottom w:val="single" w:sz="4" w:space="0" w:color="auto"/>
            </w:tcBorders>
            <w:noWrap/>
            <w:hideMark/>
          </w:tcPr>
          <w:p w:rsidR="002E69C1" w:rsidRPr="0020698D" w:rsidRDefault="002E69C1" w:rsidP="000B1EF6">
            <w:pPr>
              <w:jc w:val="center"/>
              <w:rPr>
                <w:rFonts w:ascii="Times New Roman" w:hAnsi="Times New Roman" w:cs="Times New Roman"/>
                <w:color w:val="000000"/>
                <w:sz w:val="24"/>
                <w:szCs w:val="24"/>
              </w:rPr>
            </w:pPr>
            <w:r w:rsidRPr="0020698D">
              <w:rPr>
                <w:rFonts w:ascii="Times New Roman" w:hAnsi="Times New Roman" w:cs="Times New Roman"/>
                <w:color w:val="000000"/>
                <w:sz w:val="24"/>
                <w:szCs w:val="24"/>
              </w:rPr>
              <w:t>Within</w:t>
            </w:r>
          </w:p>
        </w:tc>
        <w:tc>
          <w:tcPr>
            <w:tcW w:w="1064" w:type="dxa"/>
            <w:tcBorders>
              <w:top w:val="nil"/>
              <w:bottom w:val="single" w:sz="4" w:space="0" w:color="auto"/>
            </w:tcBorders>
          </w:tcPr>
          <w:p w:rsidR="002E69C1" w:rsidRPr="0020698D" w:rsidRDefault="002E69C1" w:rsidP="000B1EF6">
            <w:pPr>
              <w:jc w:val="center"/>
              <w:rPr>
                <w:rFonts w:ascii="Times New Roman" w:hAnsi="Times New Roman" w:cs="Times New Roman"/>
                <w:color w:val="000000"/>
                <w:sz w:val="24"/>
                <w:szCs w:val="24"/>
              </w:rPr>
            </w:pPr>
            <w:r w:rsidRPr="0020698D">
              <w:rPr>
                <w:rFonts w:ascii="Times New Roman" w:hAnsi="Times New Roman" w:cs="Times New Roman"/>
                <w:color w:val="000000"/>
                <w:sz w:val="24"/>
                <w:szCs w:val="24"/>
              </w:rPr>
              <w:t>n. charities</w:t>
            </w:r>
          </w:p>
        </w:tc>
        <w:tc>
          <w:tcPr>
            <w:tcW w:w="1559" w:type="dxa"/>
            <w:tcBorders>
              <w:top w:val="nil"/>
              <w:bottom w:val="single" w:sz="4" w:space="0" w:color="auto"/>
            </w:tcBorders>
            <w:noWrap/>
            <w:hideMark/>
          </w:tcPr>
          <w:p w:rsidR="002E69C1" w:rsidRPr="0020698D" w:rsidRDefault="002E69C1" w:rsidP="000B1EF6">
            <w:pPr>
              <w:jc w:val="center"/>
              <w:rPr>
                <w:rFonts w:ascii="Times New Roman" w:hAnsi="Times New Roman" w:cs="Times New Roman"/>
                <w:color w:val="000000"/>
                <w:sz w:val="24"/>
                <w:szCs w:val="24"/>
              </w:rPr>
            </w:pPr>
            <w:r w:rsidRPr="0020698D">
              <w:rPr>
                <w:rFonts w:ascii="Times New Roman" w:hAnsi="Times New Roman" w:cs="Times New Roman"/>
                <w:color w:val="000000"/>
                <w:sz w:val="24"/>
                <w:szCs w:val="24"/>
              </w:rPr>
              <w:t>Observations</w:t>
            </w:r>
          </w:p>
        </w:tc>
      </w:tr>
      <w:tr w:rsidR="002E69C1" w:rsidRPr="000247A3" w:rsidTr="000B1EF6">
        <w:trPr>
          <w:trHeight w:val="300"/>
        </w:trPr>
        <w:tc>
          <w:tcPr>
            <w:tcW w:w="1311" w:type="dxa"/>
            <w:tcBorders>
              <w:top w:val="single" w:sz="4" w:space="0" w:color="auto"/>
            </w:tcBorders>
            <w:noWrap/>
            <w:hideMark/>
          </w:tcPr>
          <w:p w:rsidR="002E69C1" w:rsidRPr="0020698D" w:rsidRDefault="00D854D9" w:rsidP="000B1EF6">
            <w:pPr>
              <w:spacing w:line="360" w:lineRule="auto"/>
              <w:rPr>
                <w:rFonts w:ascii="Times New Roman" w:hAnsi="Times New Roman" w:cs="Times New Roman"/>
                <w:color w:val="000000"/>
                <w:sz w:val="24"/>
                <w:szCs w:val="24"/>
              </w:rPr>
            </w:pPr>
            <m:oMathPara>
              <m:oMath>
                <m:sSub>
                  <m:sSubPr>
                    <m:ctrlPr>
                      <w:rPr>
                        <w:rFonts w:ascii="Cambria Math" w:hAnsi="Times New Roman" w:cs="Times New Roman"/>
                        <w:sz w:val="24"/>
                        <w:szCs w:val="24"/>
                      </w:rPr>
                    </m:ctrlPr>
                  </m:sSubPr>
                  <m:e>
                    <m:r>
                      <m:rPr>
                        <m:sty m:val="p"/>
                      </m:rPr>
                      <w:rPr>
                        <w:rFonts w:ascii="Cambria Math" w:hAnsi="Times New Roman" w:cs="Times New Roman"/>
                        <w:sz w:val="24"/>
                        <w:szCs w:val="24"/>
                      </w:rPr>
                      <m:t>i</m:t>
                    </m:r>
                  </m:e>
                  <m:sub>
                    <m:r>
                      <m:rPr>
                        <m:sty m:val="p"/>
                      </m:rPr>
                      <w:rPr>
                        <w:rFonts w:ascii="Cambria Math" w:hAnsi="Times New Roman" w:cs="Times New Roman"/>
                        <w:sz w:val="24"/>
                        <w:szCs w:val="24"/>
                      </w:rPr>
                      <m:t>i,t</m:t>
                    </m:r>
                  </m:sub>
                </m:sSub>
              </m:oMath>
            </m:oMathPara>
          </w:p>
        </w:tc>
        <w:tc>
          <w:tcPr>
            <w:tcW w:w="1311" w:type="dxa"/>
            <w:tcBorders>
              <w:top w:val="single" w:sz="4" w:space="0" w:color="auto"/>
            </w:tcBorders>
            <w:noWrap/>
            <w:hideMark/>
          </w:tcPr>
          <w:p w:rsidR="002E69C1" w:rsidRPr="0020698D" w:rsidRDefault="002E69C1" w:rsidP="000B1EF6">
            <w:pPr>
              <w:spacing w:line="360" w:lineRule="auto"/>
              <w:jc w:val="center"/>
              <w:rPr>
                <w:rFonts w:ascii="Times New Roman" w:hAnsi="Times New Roman" w:cs="Times New Roman"/>
                <w:color w:val="000000"/>
                <w:sz w:val="24"/>
                <w:szCs w:val="24"/>
              </w:rPr>
            </w:pPr>
            <w:r w:rsidRPr="0020698D">
              <w:rPr>
                <w:rFonts w:ascii="Times New Roman" w:hAnsi="Times New Roman" w:cs="Times New Roman"/>
                <w:color w:val="000000"/>
                <w:sz w:val="24"/>
                <w:szCs w:val="24"/>
              </w:rPr>
              <w:t>£1,080,025</w:t>
            </w:r>
          </w:p>
        </w:tc>
        <w:tc>
          <w:tcPr>
            <w:tcW w:w="1312" w:type="dxa"/>
            <w:tcBorders>
              <w:top w:val="single" w:sz="4" w:space="0" w:color="auto"/>
            </w:tcBorders>
            <w:noWrap/>
            <w:hideMark/>
          </w:tcPr>
          <w:p w:rsidR="002E69C1" w:rsidRPr="0020698D" w:rsidRDefault="002E69C1" w:rsidP="000B1EF6">
            <w:pPr>
              <w:spacing w:line="360" w:lineRule="auto"/>
              <w:jc w:val="center"/>
              <w:rPr>
                <w:rFonts w:ascii="Times New Roman" w:hAnsi="Times New Roman" w:cs="Times New Roman"/>
                <w:color w:val="000000"/>
                <w:sz w:val="24"/>
                <w:szCs w:val="24"/>
              </w:rPr>
            </w:pPr>
            <w:r w:rsidRPr="0020698D">
              <w:rPr>
                <w:rFonts w:ascii="Times New Roman" w:hAnsi="Times New Roman" w:cs="Times New Roman"/>
                <w:color w:val="000000"/>
                <w:sz w:val="24"/>
                <w:szCs w:val="24"/>
              </w:rPr>
              <w:t>8,216,884</w:t>
            </w:r>
          </w:p>
        </w:tc>
        <w:tc>
          <w:tcPr>
            <w:tcW w:w="1311" w:type="dxa"/>
            <w:tcBorders>
              <w:top w:val="single" w:sz="4" w:space="0" w:color="auto"/>
            </w:tcBorders>
            <w:noWrap/>
            <w:hideMark/>
          </w:tcPr>
          <w:p w:rsidR="002E69C1" w:rsidRPr="0020698D" w:rsidRDefault="002E69C1" w:rsidP="000B1EF6">
            <w:pPr>
              <w:spacing w:line="360" w:lineRule="auto"/>
              <w:jc w:val="center"/>
              <w:rPr>
                <w:rFonts w:ascii="Times New Roman" w:hAnsi="Times New Roman" w:cs="Times New Roman"/>
                <w:color w:val="000000"/>
                <w:sz w:val="24"/>
                <w:szCs w:val="24"/>
              </w:rPr>
            </w:pPr>
            <w:r w:rsidRPr="0020698D">
              <w:rPr>
                <w:rFonts w:ascii="Times New Roman" w:hAnsi="Times New Roman" w:cs="Times New Roman"/>
                <w:color w:val="000000"/>
                <w:sz w:val="24"/>
                <w:szCs w:val="24"/>
              </w:rPr>
              <w:t>6,364,110</w:t>
            </w:r>
          </w:p>
        </w:tc>
        <w:tc>
          <w:tcPr>
            <w:tcW w:w="1312" w:type="dxa"/>
            <w:tcBorders>
              <w:top w:val="single" w:sz="4" w:space="0" w:color="auto"/>
            </w:tcBorders>
            <w:noWrap/>
            <w:hideMark/>
          </w:tcPr>
          <w:p w:rsidR="002E69C1" w:rsidRPr="0020698D" w:rsidRDefault="002E69C1" w:rsidP="000B1EF6">
            <w:pPr>
              <w:spacing w:line="360" w:lineRule="auto"/>
              <w:jc w:val="center"/>
              <w:rPr>
                <w:rFonts w:ascii="Times New Roman" w:hAnsi="Times New Roman" w:cs="Times New Roman"/>
                <w:color w:val="000000"/>
                <w:sz w:val="24"/>
                <w:szCs w:val="24"/>
              </w:rPr>
            </w:pPr>
            <w:r w:rsidRPr="0020698D">
              <w:rPr>
                <w:rFonts w:ascii="Times New Roman" w:hAnsi="Times New Roman" w:cs="Times New Roman"/>
                <w:color w:val="000000"/>
                <w:sz w:val="24"/>
                <w:szCs w:val="24"/>
              </w:rPr>
              <w:t>1,151,771</w:t>
            </w:r>
          </w:p>
        </w:tc>
        <w:tc>
          <w:tcPr>
            <w:tcW w:w="1064" w:type="dxa"/>
            <w:tcBorders>
              <w:top w:val="single" w:sz="4" w:space="0" w:color="auto"/>
            </w:tcBorders>
          </w:tcPr>
          <w:p w:rsidR="002E69C1" w:rsidRPr="0020698D" w:rsidRDefault="002E69C1" w:rsidP="000B1EF6">
            <w:pPr>
              <w:spacing w:line="360" w:lineRule="auto"/>
              <w:jc w:val="center"/>
              <w:rPr>
                <w:rFonts w:ascii="Times New Roman" w:hAnsi="Times New Roman" w:cs="Times New Roman"/>
                <w:color w:val="000000"/>
                <w:sz w:val="24"/>
                <w:szCs w:val="24"/>
              </w:rPr>
            </w:pPr>
            <w:r w:rsidRPr="0020698D">
              <w:rPr>
                <w:rFonts w:ascii="Times New Roman" w:hAnsi="Times New Roman" w:cs="Times New Roman"/>
                <w:color w:val="000000"/>
                <w:sz w:val="24"/>
                <w:szCs w:val="24"/>
              </w:rPr>
              <w:t>33,581</w:t>
            </w:r>
          </w:p>
        </w:tc>
        <w:tc>
          <w:tcPr>
            <w:tcW w:w="1559" w:type="dxa"/>
            <w:tcBorders>
              <w:top w:val="single" w:sz="4" w:space="0" w:color="auto"/>
            </w:tcBorders>
            <w:noWrap/>
            <w:hideMark/>
          </w:tcPr>
          <w:p w:rsidR="002E69C1" w:rsidRPr="0020698D" w:rsidRDefault="002E69C1" w:rsidP="000B1EF6">
            <w:pPr>
              <w:spacing w:line="360" w:lineRule="auto"/>
              <w:jc w:val="center"/>
              <w:rPr>
                <w:rFonts w:ascii="Times New Roman" w:hAnsi="Times New Roman" w:cs="Times New Roman"/>
                <w:color w:val="000000"/>
                <w:sz w:val="24"/>
                <w:szCs w:val="24"/>
              </w:rPr>
            </w:pPr>
            <w:r w:rsidRPr="0020698D">
              <w:rPr>
                <w:rFonts w:ascii="Times New Roman" w:hAnsi="Times New Roman" w:cs="Times New Roman"/>
                <w:color w:val="000000"/>
                <w:sz w:val="24"/>
                <w:szCs w:val="24"/>
              </w:rPr>
              <w:t>77624</w:t>
            </w:r>
          </w:p>
        </w:tc>
      </w:tr>
      <w:tr w:rsidR="002E69C1" w:rsidRPr="000247A3" w:rsidTr="000B1EF6">
        <w:trPr>
          <w:trHeight w:val="300"/>
        </w:trPr>
        <w:tc>
          <w:tcPr>
            <w:tcW w:w="1311" w:type="dxa"/>
            <w:noWrap/>
            <w:hideMark/>
          </w:tcPr>
          <w:p w:rsidR="002E69C1" w:rsidRPr="0020698D" w:rsidRDefault="00D854D9" w:rsidP="000B1EF6">
            <w:pPr>
              <w:spacing w:line="360" w:lineRule="auto"/>
              <w:rPr>
                <w:rFonts w:ascii="Times New Roman" w:hAnsi="Times New Roman" w:cs="Times New Roman"/>
                <w:color w:val="000000"/>
                <w:sz w:val="24"/>
                <w:szCs w:val="24"/>
              </w:rPr>
            </w:pPr>
            <m:oMathPara>
              <m:oMath>
                <m:sSub>
                  <m:sSubPr>
                    <m:ctrlPr>
                      <w:rPr>
                        <w:rFonts w:ascii="Cambria Math" w:hAnsi="Times New Roman" w:cs="Times New Roman"/>
                        <w:sz w:val="24"/>
                        <w:szCs w:val="24"/>
                      </w:rPr>
                    </m:ctrlPr>
                  </m:sSubPr>
                  <m:e>
                    <m:r>
                      <m:rPr>
                        <m:sty m:val="p"/>
                      </m:rPr>
                      <w:rPr>
                        <w:rFonts w:ascii="Cambria Math" w:hAnsi="Times New Roman" w:cs="Times New Roman"/>
                        <w:sz w:val="24"/>
                        <w:szCs w:val="24"/>
                      </w:rPr>
                      <m:t>iv</m:t>
                    </m:r>
                  </m:e>
                  <m:sub>
                    <m:r>
                      <m:rPr>
                        <m:sty m:val="p"/>
                      </m:rPr>
                      <w:rPr>
                        <w:rFonts w:ascii="Cambria Math" w:hAnsi="Times New Roman" w:cs="Times New Roman"/>
                        <w:sz w:val="24"/>
                        <w:szCs w:val="24"/>
                      </w:rPr>
                      <m:t>i,t</m:t>
                    </m:r>
                  </m:sub>
                </m:sSub>
              </m:oMath>
            </m:oMathPara>
          </w:p>
        </w:tc>
        <w:tc>
          <w:tcPr>
            <w:tcW w:w="1311" w:type="dxa"/>
            <w:noWrap/>
            <w:hideMark/>
          </w:tcPr>
          <w:p w:rsidR="002E69C1" w:rsidRPr="0020698D" w:rsidRDefault="002E69C1" w:rsidP="000B1EF6">
            <w:pPr>
              <w:spacing w:line="360" w:lineRule="auto"/>
              <w:jc w:val="center"/>
              <w:rPr>
                <w:rFonts w:ascii="Times New Roman" w:hAnsi="Times New Roman" w:cs="Times New Roman"/>
                <w:color w:val="000000"/>
                <w:sz w:val="24"/>
                <w:szCs w:val="24"/>
              </w:rPr>
            </w:pPr>
            <w:r w:rsidRPr="0020698D">
              <w:rPr>
                <w:rFonts w:ascii="Times New Roman" w:hAnsi="Times New Roman" w:cs="Times New Roman"/>
                <w:color w:val="000000"/>
                <w:sz w:val="24"/>
                <w:szCs w:val="24"/>
              </w:rPr>
              <w:t>£448,651</w:t>
            </w:r>
          </w:p>
        </w:tc>
        <w:tc>
          <w:tcPr>
            <w:tcW w:w="1312" w:type="dxa"/>
            <w:noWrap/>
            <w:hideMark/>
          </w:tcPr>
          <w:p w:rsidR="002E69C1" w:rsidRPr="0020698D" w:rsidRDefault="002E69C1" w:rsidP="000B1EF6">
            <w:pPr>
              <w:spacing w:line="360" w:lineRule="auto"/>
              <w:jc w:val="center"/>
              <w:rPr>
                <w:rFonts w:ascii="Times New Roman" w:hAnsi="Times New Roman" w:cs="Times New Roman"/>
                <w:color w:val="000000"/>
                <w:sz w:val="24"/>
                <w:szCs w:val="24"/>
              </w:rPr>
            </w:pPr>
            <w:r w:rsidRPr="0020698D">
              <w:rPr>
                <w:rFonts w:ascii="Times New Roman" w:hAnsi="Times New Roman" w:cs="Times New Roman"/>
                <w:color w:val="000000"/>
                <w:sz w:val="24"/>
                <w:szCs w:val="24"/>
              </w:rPr>
              <w:t>4,414,996</w:t>
            </w:r>
          </w:p>
        </w:tc>
        <w:tc>
          <w:tcPr>
            <w:tcW w:w="1311" w:type="dxa"/>
            <w:noWrap/>
            <w:hideMark/>
          </w:tcPr>
          <w:p w:rsidR="002E69C1" w:rsidRPr="0020698D" w:rsidRDefault="002E69C1" w:rsidP="000B1EF6">
            <w:pPr>
              <w:spacing w:line="360" w:lineRule="auto"/>
              <w:jc w:val="center"/>
              <w:rPr>
                <w:rFonts w:ascii="Times New Roman" w:hAnsi="Times New Roman" w:cs="Times New Roman"/>
                <w:color w:val="000000"/>
                <w:sz w:val="24"/>
                <w:szCs w:val="24"/>
              </w:rPr>
            </w:pPr>
            <w:r w:rsidRPr="0020698D">
              <w:rPr>
                <w:rFonts w:ascii="Times New Roman" w:hAnsi="Times New Roman" w:cs="Times New Roman"/>
                <w:color w:val="000000"/>
                <w:sz w:val="24"/>
                <w:szCs w:val="24"/>
              </w:rPr>
              <w:t>3,353,913</w:t>
            </w:r>
          </w:p>
        </w:tc>
        <w:tc>
          <w:tcPr>
            <w:tcW w:w="1312" w:type="dxa"/>
            <w:noWrap/>
            <w:hideMark/>
          </w:tcPr>
          <w:p w:rsidR="002E69C1" w:rsidRPr="0020698D" w:rsidRDefault="002E69C1" w:rsidP="000B1EF6">
            <w:pPr>
              <w:spacing w:line="360" w:lineRule="auto"/>
              <w:jc w:val="center"/>
              <w:rPr>
                <w:rFonts w:ascii="Times New Roman" w:hAnsi="Times New Roman" w:cs="Times New Roman"/>
                <w:color w:val="000000"/>
                <w:sz w:val="24"/>
                <w:szCs w:val="24"/>
              </w:rPr>
            </w:pPr>
            <w:r w:rsidRPr="0020698D">
              <w:rPr>
                <w:rFonts w:ascii="Times New Roman" w:hAnsi="Times New Roman" w:cs="Times New Roman"/>
                <w:color w:val="000000"/>
                <w:sz w:val="24"/>
                <w:szCs w:val="24"/>
              </w:rPr>
              <w:t>1,244,772</w:t>
            </w:r>
          </w:p>
        </w:tc>
        <w:tc>
          <w:tcPr>
            <w:tcW w:w="1064" w:type="dxa"/>
          </w:tcPr>
          <w:p w:rsidR="002E69C1" w:rsidRPr="0020698D" w:rsidRDefault="002E69C1" w:rsidP="000B1EF6">
            <w:pPr>
              <w:spacing w:line="360" w:lineRule="auto"/>
              <w:jc w:val="center"/>
              <w:rPr>
                <w:rFonts w:ascii="Times New Roman" w:hAnsi="Times New Roman" w:cs="Times New Roman"/>
                <w:color w:val="000000"/>
                <w:sz w:val="24"/>
                <w:szCs w:val="24"/>
              </w:rPr>
            </w:pPr>
            <w:r w:rsidRPr="0020698D">
              <w:rPr>
                <w:rFonts w:ascii="Times New Roman" w:hAnsi="Times New Roman" w:cs="Times New Roman"/>
                <w:color w:val="000000"/>
                <w:sz w:val="24"/>
                <w:szCs w:val="24"/>
              </w:rPr>
              <w:t>33,581</w:t>
            </w:r>
          </w:p>
        </w:tc>
        <w:tc>
          <w:tcPr>
            <w:tcW w:w="1559" w:type="dxa"/>
            <w:noWrap/>
            <w:hideMark/>
          </w:tcPr>
          <w:p w:rsidR="002E69C1" w:rsidRPr="0020698D" w:rsidRDefault="002E69C1" w:rsidP="000B1EF6">
            <w:pPr>
              <w:spacing w:line="360" w:lineRule="auto"/>
              <w:jc w:val="center"/>
              <w:rPr>
                <w:rFonts w:ascii="Times New Roman" w:hAnsi="Times New Roman" w:cs="Times New Roman"/>
                <w:color w:val="000000"/>
                <w:sz w:val="24"/>
                <w:szCs w:val="24"/>
              </w:rPr>
            </w:pPr>
            <w:r w:rsidRPr="0020698D">
              <w:rPr>
                <w:rFonts w:ascii="Times New Roman" w:hAnsi="Times New Roman" w:cs="Times New Roman"/>
                <w:color w:val="000000"/>
                <w:sz w:val="24"/>
                <w:szCs w:val="24"/>
              </w:rPr>
              <w:t>77624</w:t>
            </w:r>
          </w:p>
        </w:tc>
      </w:tr>
      <w:tr w:rsidR="002E69C1" w:rsidRPr="000247A3" w:rsidTr="000B1EF6">
        <w:trPr>
          <w:trHeight w:val="300"/>
        </w:trPr>
        <w:tc>
          <w:tcPr>
            <w:tcW w:w="1311" w:type="dxa"/>
            <w:noWrap/>
            <w:hideMark/>
          </w:tcPr>
          <w:p w:rsidR="002E69C1" w:rsidRPr="0020698D" w:rsidRDefault="00D854D9" w:rsidP="000B1EF6">
            <w:pPr>
              <w:spacing w:line="360" w:lineRule="auto"/>
              <w:rPr>
                <w:rFonts w:ascii="Times New Roman" w:hAnsi="Times New Roman" w:cs="Times New Roman"/>
                <w:color w:val="000000"/>
                <w:sz w:val="24"/>
                <w:szCs w:val="24"/>
              </w:rPr>
            </w:pPr>
            <m:oMathPara>
              <m:oMath>
                <m:sSub>
                  <m:sSubPr>
                    <m:ctrlPr>
                      <w:rPr>
                        <w:rFonts w:ascii="Cambria Math" w:hAnsi="Times New Roman" w:cs="Times New Roman"/>
                        <w:sz w:val="24"/>
                        <w:szCs w:val="24"/>
                      </w:rPr>
                    </m:ctrlPr>
                  </m:sSubPr>
                  <m:e>
                    <m:r>
                      <m:rPr>
                        <m:sty m:val="p"/>
                      </m:rPr>
                      <w:rPr>
                        <w:rFonts w:ascii="Cambria Math" w:hAnsi="Times New Roman" w:cs="Times New Roman"/>
                        <w:sz w:val="24"/>
                        <w:szCs w:val="24"/>
                      </w:rPr>
                      <m:t>is</m:t>
                    </m:r>
                  </m:e>
                  <m:sub>
                    <m:r>
                      <m:rPr>
                        <m:sty m:val="p"/>
                      </m:rPr>
                      <w:rPr>
                        <w:rFonts w:ascii="Cambria Math" w:hAnsi="Times New Roman" w:cs="Times New Roman"/>
                        <w:sz w:val="24"/>
                        <w:szCs w:val="24"/>
                      </w:rPr>
                      <m:t>i,t</m:t>
                    </m:r>
                  </m:sub>
                </m:sSub>
              </m:oMath>
            </m:oMathPara>
          </w:p>
        </w:tc>
        <w:tc>
          <w:tcPr>
            <w:tcW w:w="1311" w:type="dxa"/>
            <w:noWrap/>
            <w:hideMark/>
          </w:tcPr>
          <w:p w:rsidR="002E69C1" w:rsidRPr="0020698D" w:rsidRDefault="002E69C1" w:rsidP="000B1EF6">
            <w:pPr>
              <w:spacing w:line="360" w:lineRule="auto"/>
              <w:jc w:val="center"/>
              <w:rPr>
                <w:rFonts w:ascii="Times New Roman" w:hAnsi="Times New Roman" w:cs="Times New Roman"/>
                <w:color w:val="000000"/>
                <w:sz w:val="24"/>
                <w:szCs w:val="24"/>
              </w:rPr>
            </w:pPr>
            <w:r w:rsidRPr="0020698D">
              <w:rPr>
                <w:rFonts w:ascii="Times New Roman" w:hAnsi="Times New Roman" w:cs="Times New Roman"/>
                <w:color w:val="000000"/>
                <w:sz w:val="24"/>
                <w:szCs w:val="24"/>
              </w:rPr>
              <w:t>£575,057</w:t>
            </w:r>
          </w:p>
        </w:tc>
        <w:tc>
          <w:tcPr>
            <w:tcW w:w="1312" w:type="dxa"/>
            <w:noWrap/>
            <w:hideMark/>
          </w:tcPr>
          <w:p w:rsidR="002E69C1" w:rsidRPr="0020698D" w:rsidRDefault="002E69C1" w:rsidP="000B1EF6">
            <w:pPr>
              <w:spacing w:line="360" w:lineRule="auto"/>
              <w:jc w:val="center"/>
              <w:rPr>
                <w:rFonts w:ascii="Times New Roman" w:hAnsi="Times New Roman" w:cs="Times New Roman"/>
                <w:color w:val="000000"/>
                <w:sz w:val="24"/>
                <w:szCs w:val="24"/>
              </w:rPr>
            </w:pPr>
            <w:r w:rsidRPr="0020698D">
              <w:rPr>
                <w:rFonts w:ascii="Times New Roman" w:hAnsi="Times New Roman" w:cs="Times New Roman"/>
                <w:color w:val="000000"/>
                <w:sz w:val="24"/>
                <w:szCs w:val="24"/>
              </w:rPr>
              <w:t>4,679,832</w:t>
            </w:r>
          </w:p>
        </w:tc>
        <w:tc>
          <w:tcPr>
            <w:tcW w:w="1311" w:type="dxa"/>
            <w:noWrap/>
            <w:hideMark/>
          </w:tcPr>
          <w:p w:rsidR="002E69C1" w:rsidRPr="0020698D" w:rsidRDefault="002E69C1" w:rsidP="000B1EF6">
            <w:pPr>
              <w:spacing w:line="360" w:lineRule="auto"/>
              <w:jc w:val="center"/>
              <w:rPr>
                <w:rFonts w:ascii="Times New Roman" w:hAnsi="Times New Roman" w:cs="Times New Roman"/>
                <w:color w:val="000000"/>
                <w:sz w:val="24"/>
                <w:szCs w:val="24"/>
              </w:rPr>
            </w:pPr>
            <w:r w:rsidRPr="0020698D">
              <w:rPr>
                <w:rFonts w:ascii="Times New Roman" w:hAnsi="Times New Roman" w:cs="Times New Roman"/>
                <w:color w:val="000000"/>
                <w:sz w:val="24"/>
                <w:szCs w:val="24"/>
              </w:rPr>
              <w:t>3,419,525</w:t>
            </w:r>
          </w:p>
        </w:tc>
        <w:tc>
          <w:tcPr>
            <w:tcW w:w="1312" w:type="dxa"/>
            <w:noWrap/>
            <w:hideMark/>
          </w:tcPr>
          <w:p w:rsidR="002E69C1" w:rsidRPr="0020698D" w:rsidRDefault="002E69C1" w:rsidP="000B1EF6">
            <w:pPr>
              <w:spacing w:line="360" w:lineRule="auto"/>
              <w:jc w:val="center"/>
              <w:rPr>
                <w:rFonts w:ascii="Times New Roman" w:hAnsi="Times New Roman" w:cs="Times New Roman"/>
                <w:color w:val="000000"/>
                <w:sz w:val="24"/>
                <w:szCs w:val="24"/>
              </w:rPr>
            </w:pPr>
            <w:r w:rsidRPr="0020698D">
              <w:rPr>
                <w:rFonts w:ascii="Times New Roman" w:hAnsi="Times New Roman" w:cs="Times New Roman"/>
                <w:color w:val="000000"/>
                <w:sz w:val="24"/>
                <w:szCs w:val="24"/>
              </w:rPr>
              <w:t>1,384,740</w:t>
            </w:r>
          </w:p>
        </w:tc>
        <w:tc>
          <w:tcPr>
            <w:tcW w:w="1064" w:type="dxa"/>
          </w:tcPr>
          <w:p w:rsidR="002E69C1" w:rsidRPr="0020698D" w:rsidRDefault="002E69C1" w:rsidP="000B1EF6">
            <w:pPr>
              <w:spacing w:line="360" w:lineRule="auto"/>
              <w:jc w:val="center"/>
              <w:rPr>
                <w:rFonts w:ascii="Times New Roman" w:hAnsi="Times New Roman" w:cs="Times New Roman"/>
                <w:color w:val="000000"/>
                <w:sz w:val="24"/>
                <w:szCs w:val="24"/>
              </w:rPr>
            </w:pPr>
            <w:r w:rsidRPr="0020698D">
              <w:rPr>
                <w:rFonts w:ascii="Times New Roman" w:hAnsi="Times New Roman" w:cs="Times New Roman"/>
                <w:color w:val="000000"/>
                <w:sz w:val="24"/>
                <w:szCs w:val="24"/>
              </w:rPr>
              <w:t>33,581</w:t>
            </w:r>
          </w:p>
        </w:tc>
        <w:tc>
          <w:tcPr>
            <w:tcW w:w="1559" w:type="dxa"/>
            <w:noWrap/>
            <w:hideMark/>
          </w:tcPr>
          <w:p w:rsidR="002E69C1" w:rsidRPr="0020698D" w:rsidRDefault="002E69C1" w:rsidP="000B1EF6">
            <w:pPr>
              <w:keepNext/>
              <w:spacing w:line="360" w:lineRule="auto"/>
              <w:jc w:val="center"/>
              <w:rPr>
                <w:rFonts w:ascii="Times New Roman" w:hAnsi="Times New Roman" w:cs="Times New Roman"/>
                <w:color w:val="000000"/>
                <w:sz w:val="24"/>
                <w:szCs w:val="24"/>
              </w:rPr>
            </w:pPr>
            <w:r w:rsidRPr="0020698D">
              <w:rPr>
                <w:rFonts w:ascii="Times New Roman" w:hAnsi="Times New Roman" w:cs="Times New Roman"/>
                <w:color w:val="000000"/>
                <w:sz w:val="24"/>
                <w:szCs w:val="24"/>
              </w:rPr>
              <w:t>77624</w:t>
            </w:r>
          </w:p>
        </w:tc>
      </w:tr>
    </w:tbl>
    <w:p w:rsidR="002E69C1" w:rsidRDefault="002E69C1" w:rsidP="0020698D">
      <w:pPr>
        <w:spacing w:line="480" w:lineRule="auto"/>
        <w:rPr>
          <w:rFonts w:cs="Arial"/>
          <w:sz w:val="20"/>
          <w:szCs w:val="20"/>
        </w:rPr>
      </w:pPr>
    </w:p>
    <w:p w:rsidR="002E69C1" w:rsidRDefault="002E69C1">
      <w:pPr>
        <w:rPr>
          <w:rFonts w:cs="Arial"/>
          <w:sz w:val="20"/>
          <w:szCs w:val="20"/>
        </w:rPr>
      </w:pPr>
      <w:r>
        <w:rPr>
          <w:rFonts w:cs="Arial"/>
          <w:sz w:val="20"/>
          <w:szCs w:val="20"/>
        </w:rPr>
        <w:br w:type="page"/>
      </w:r>
    </w:p>
    <w:p w:rsidR="002E69C1" w:rsidRPr="00A661E2" w:rsidRDefault="002E69C1" w:rsidP="00A661E2">
      <w:pPr>
        <w:rPr>
          <w:rFonts w:cs="Arial"/>
          <w:sz w:val="20"/>
          <w:szCs w:val="20"/>
        </w:rPr>
      </w:pPr>
    </w:p>
    <w:tbl>
      <w:tblPr>
        <w:tblW w:w="0" w:type="auto"/>
        <w:tblBorders>
          <w:top w:val="single" w:sz="8" w:space="0" w:color="000000"/>
          <w:bottom w:val="single" w:sz="8" w:space="0" w:color="000000"/>
        </w:tblBorders>
        <w:tblCellMar>
          <w:top w:w="85" w:type="dxa"/>
        </w:tblCellMar>
        <w:tblLook w:val="06A0" w:firstRow="1" w:lastRow="0" w:firstColumn="1" w:lastColumn="0" w:noHBand="1" w:noVBand="1"/>
      </w:tblPr>
      <w:tblGrid>
        <w:gridCol w:w="1848"/>
        <w:gridCol w:w="1848"/>
        <w:gridCol w:w="1848"/>
        <w:gridCol w:w="1849"/>
        <w:gridCol w:w="1849"/>
      </w:tblGrid>
      <w:tr w:rsidR="002E69C1" w:rsidRPr="000247A3" w:rsidTr="000B1EF6">
        <w:tc>
          <w:tcPr>
            <w:tcW w:w="9242" w:type="dxa"/>
            <w:gridSpan w:val="5"/>
            <w:tcBorders>
              <w:top w:val="single" w:sz="8" w:space="0" w:color="000000"/>
              <w:left w:val="nil"/>
              <w:bottom w:val="single" w:sz="8" w:space="0" w:color="000000"/>
              <w:right w:val="nil"/>
            </w:tcBorders>
          </w:tcPr>
          <w:p w:rsidR="002E69C1" w:rsidRPr="00A661E2" w:rsidRDefault="002E69C1" w:rsidP="00A661E2">
            <w:pPr>
              <w:pStyle w:val="TSRCtablefigureheading"/>
              <w:rPr>
                <w:rFonts w:ascii="Times New Roman" w:hAnsi="Times New Roman" w:cs="Times New Roman"/>
                <w:sz w:val="24"/>
                <w:szCs w:val="24"/>
                <w:u w:val="none"/>
              </w:rPr>
            </w:pPr>
            <w:r w:rsidRPr="00A661E2">
              <w:rPr>
                <w:rFonts w:ascii="Times New Roman" w:hAnsi="Times New Roman" w:cs="Times New Roman"/>
                <w:sz w:val="24"/>
                <w:szCs w:val="24"/>
                <w:u w:val="none"/>
              </w:rPr>
              <w:t xml:space="preserve">Table 6. </w:t>
            </w:r>
            <w:r w:rsidRPr="00A661E2">
              <w:rPr>
                <w:rFonts w:ascii="Times New Roman" w:hAnsi="Times New Roman" w:cs="Times New Roman"/>
                <w:b w:val="0"/>
                <w:sz w:val="24"/>
                <w:szCs w:val="24"/>
                <w:u w:val="none"/>
              </w:rPr>
              <w:t>Dynamic panel models of commercial revenue [</w:t>
            </w:r>
            <w:r w:rsidRPr="00A661E2">
              <w:rPr>
                <w:rFonts w:ascii="Times New Roman" w:hAnsi="Times New Roman" w:cs="Times New Roman"/>
                <w:b w:val="0"/>
                <w:i/>
                <w:sz w:val="24"/>
                <w:szCs w:val="24"/>
                <w:u w:val="none"/>
              </w:rPr>
              <w:t>log(is)</w:t>
            </w:r>
            <w:r w:rsidRPr="00A661E2">
              <w:rPr>
                <w:rFonts w:ascii="Times New Roman" w:hAnsi="Times New Roman" w:cs="Times New Roman"/>
                <w:b w:val="0"/>
                <w:sz w:val="24"/>
                <w:szCs w:val="24"/>
                <w:u w:val="none"/>
              </w:rPr>
              <w:t>]</w:t>
            </w:r>
          </w:p>
        </w:tc>
      </w:tr>
      <w:tr w:rsidR="002E69C1" w:rsidRPr="000247A3" w:rsidTr="000B1EF6">
        <w:tc>
          <w:tcPr>
            <w:tcW w:w="1848" w:type="dxa"/>
            <w:tcBorders>
              <w:top w:val="single" w:sz="8" w:space="0" w:color="000000"/>
              <w:left w:val="nil"/>
              <w:bottom w:val="single" w:sz="8" w:space="0" w:color="000000"/>
              <w:right w:val="nil"/>
            </w:tcBorders>
          </w:tcPr>
          <w:p w:rsidR="002E69C1" w:rsidRPr="00A661E2" w:rsidRDefault="002E69C1" w:rsidP="00A661E2">
            <w:pPr>
              <w:keepNext/>
              <w:spacing w:after="120" w:line="360" w:lineRule="auto"/>
              <w:rPr>
                <w:rFonts w:ascii="Times New Roman" w:hAnsi="Times New Roman" w:cs="Times New Roman"/>
                <w:bCs/>
                <w:color w:val="000000"/>
                <w:sz w:val="24"/>
                <w:szCs w:val="24"/>
              </w:rPr>
            </w:pPr>
          </w:p>
        </w:tc>
        <w:tc>
          <w:tcPr>
            <w:tcW w:w="1848" w:type="dxa"/>
            <w:tcBorders>
              <w:top w:val="single" w:sz="8" w:space="0" w:color="000000"/>
              <w:left w:val="nil"/>
              <w:bottom w:val="single" w:sz="8" w:space="0" w:color="000000"/>
              <w:right w:val="nil"/>
            </w:tcBorders>
          </w:tcPr>
          <w:p w:rsidR="002E69C1" w:rsidRPr="00A661E2" w:rsidRDefault="002E69C1" w:rsidP="00A661E2">
            <w:pPr>
              <w:keepNext/>
              <w:spacing w:after="120" w:line="360" w:lineRule="auto"/>
              <w:jc w:val="center"/>
              <w:rPr>
                <w:rFonts w:ascii="Times New Roman" w:hAnsi="Times New Roman" w:cs="Times New Roman"/>
                <w:bCs/>
                <w:color w:val="000000"/>
                <w:sz w:val="24"/>
                <w:szCs w:val="24"/>
              </w:rPr>
            </w:pPr>
            <w:r w:rsidRPr="00A661E2">
              <w:rPr>
                <w:rFonts w:ascii="Times New Roman" w:hAnsi="Times New Roman" w:cs="Times New Roman"/>
                <w:bCs/>
                <w:color w:val="000000"/>
                <w:sz w:val="24"/>
                <w:szCs w:val="24"/>
              </w:rPr>
              <w:t>(1)</w:t>
            </w:r>
          </w:p>
          <w:p w:rsidR="002E69C1" w:rsidRPr="00A661E2" w:rsidRDefault="002E69C1" w:rsidP="00A661E2">
            <w:pPr>
              <w:keepNext/>
              <w:spacing w:after="120" w:line="360" w:lineRule="auto"/>
              <w:jc w:val="center"/>
              <w:rPr>
                <w:rFonts w:ascii="Times New Roman" w:hAnsi="Times New Roman" w:cs="Times New Roman"/>
                <w:bCs/>
                <w:color w:val="000000"/>
                <w:sz w:val="24"/>
                <w:szCs w:val="24"/>
              </w:rPr>
            </w:pPr>
            <w:r w:rsidRPr="00A661E2">
              <w:rPr>
                <w:rFonts w:ascii="Times New Roman" w:hAnsi="Times New Roman" w:cs="Times New Roman"/>
                <w:bCs/>
                <w:color w:val="000000"/>
                <w:sz w:val="24"/>
                <w:szCs w:val="24"/>
              </w:rPr>
              <w:t>OLS</w:t>
            </w:r>
          </w:p>
        </w:tc>
        <w:tc>
          <w:tcPr>
            <w:tcW w:w="1848" w:type="dxa"/>
            <w:tcBorders>
              <w:top w:val="single" w:sz="8" w:space="0" w:color="000000"/>
              <w:left w:val="nil"/>
              <w:bottom w:val="single" w:sz="8" w:space="0" w:color="000000"/>
              <w:right w:val="nil"/>
            </w:tcBorders>
          </w:tcPr>
          <w:p w:rsidR="002E69C1" w:rsidRPr="00A661E2" w:rsidRDefault="002E69C1" w:rsidP="00A661E2">
            <w:pPr>
              <w:keepNext/>
              <w:spacing w:after="120" w:line="360" w:lineRule="auto"/>
              <w:jc w:val="center"/>
              <w:rPr>
                <w:rFonts w:ascii="Times New Roman" w:hAnsi="Times New Roman" w:cs="Times New Roman"/>
                <w:bCs/>
                <w:color w:val="000000"/>
                <w:sz w:val="24"/>
                <w:szCs w:val="24"/>
              </w:rPr>
            </w:pPr>
            <w:r w:rsidRPr="00A661E2">
              <w:rPr>
                <w:rFonts w:ascii="Times New Roman" w:hAnsi="Times New Roman" w:cs="Times New Roman"/>
                <w:bCs/>
                <w:color w:val="000000"/>
                <w:sz w:val="24"/>
                <w:szCs w:val="24"/>
              </w:rPr>
              <w:t>(2)</w:t>
            </w:r>
          </w:p>
          <w:p w:rsidR="002E69C1" w:rsidRPr="00A661E2" w:rsidRDefault="002E69C1" w:rsidP="00A661E2">
            <w:pPr>
              <w:keepNext/>
              <w:spacing w:after="120" w:line="360" w:lineRule="auto"/>
              <w:jc w:val="center"/>
              <w:rPr>
                <w:rFonts w:ascii="Times New Roman" w:hAnsi="Times New Roman" w:cs="Times New Roman"/>
                <w:bCs/>
                <w:color w:val="000000"/>
                <w:sz w:val="24"/>
                <w:szCs w:val="24"/>
              </w:rPr>
            </w:pPr>
            <w:r w:rsidRPr="00A661E2">
              <w:rPr>
                <w:rFonts w:ascii="Times New Roman" w:hAnsi="Times New Roman" w:cs="Times New Roman"/>
                <w:bCs/>
                <w:color w:val="000000"/>
                <w:sz w:val="24"/>
                <w:szCs w:val="24"/>
              </w:rPr>
              <w:t>Fixed effects</w:t>
            </w:r>
          </w:p>
        </w:tc>
        <w:tc>
          <w:tcPr>
            <w:tcW w:w="1849" w:type="dxa"/>
            <w:tcBorders>
              <w:top w:val="single" w:sz="8" w:space="0" w:color="000000"/>
              <w:left w:val="nil"/>
              <w:bottom w:val="single" w:sz="8" w:space="0" w:color="000000"/>
              <w:right w:val="nil"/>
            </w:tcBorders>
          </w:tcPr>
          <w:p w:rsidR="002E69C1" w:rsidRPr="00A661E2" w:rsidRDefault="002E69C1" w:rsidP="00A661E2">
            <w:pPr>
              <w:keepNext/>
              <w:spacing w:after="120" w:line="360" w:lineRule="auto"/>
              <w:jc w:val="center"/>
              <w:rPr>
                <w:rFonts w:ascii="Times New Roman" w:hAnsi="Times New Roman" w:cs="Times New Roman"/>
                <w:bCs/>
                <w:color w:val="000000"/>
                <w:sz w:val="24"/>
                <w:szCs w:val="24"/>
              </w:rPr>
            </w:pPr>
            <w:r w:rsidRPr="00A661E2">
              <w:rPr>
                <w:rFonts w:ascii="Times New Roman" w:hAnsi="Times New Roman" w:cs="Times New Roman"/>
                <w:bCs/>
                <w:color w:val="000000"/>
                <w:sz w:val="24"/>
                <w:szCs w:val="24"/>
              </w:rPr>
              <w:t>(3)</w:t>
            </w:r>
          </w:p>
          <w:p w:rsidR="002E69C1" w:rsidRPr="00A661E2" w:rsidRDefault="002E69C1" w:rsidP="00A661E2">
            <w:pPr>
              <w:keepNext/>
              <w:spacing w:after="120" w:line="360" w:lineRule="auto"/>
              <w:jc w:val="center"/>
              <w:rPr>
                <w:rFonts w:ascii="Times New Roman" w:hAnsi="Times New Roman" w:cs="Times New Roman"/>
                <w:bCs/>
                <w:color w:val="000000"/>
                <w:sz w:val="24"/>
                <w:szCs w:val="24"/>
              </w:rPr>
            </w:pPr>
            <w:r w:rsidRPr="00A661E2">
              <w:rPr>
                <w:rFonts w:ascii="Times New Roman" w:hAnsi="Times New Roman" w:cs="Times New Roman"/>
                <w:bCs/>
                <w:color w:val="000000"/>
                <w:sz w:val="24"/>
                <w:szCs w:val="24"/>
              </w:rPr>
              <w:t>Random effects</w:t>
            </w:r>
          </w:p>
        </w:tc>
        <w:tc>
          <w:tcPr>
            <w:tcW w:w="1849" w:type="dxa"/>
            <w:tcBorders>
              <w:top w:val="single" w:sz="8" w:space="0" w:color="000000"/>
              <w:left w:val="nil"/>
              <w:bottom w:val="single" w:sz="8" w:space="0" w:color="000000"/>
              <w:right w:val="nil"/>
            </w:tcBorders>
          </w:tcPr>
          <w:p w:rsidR="002E69C1" w:rsidRPr="00A661E2" w:rsidRDefault="002E69C1" w:rsidP="00A661E2">
            <w:pPr>
              <w:keepNext/>
              <w:spacing w:after="120" w:line="360" w:lineRule="auto"/>
              <w:jc w:val="center"/>
              <w:rPr>
                <w:rFonts w:ascii="Times New Roman" w:hAnsi="Times New Roman" w:cs="Times New Roman"/>
                <w:bCs/>
                <w:color w:val="000000"/>
                <w:sz w:val="24"/>
                <w:szCs w:val="24"/>
              </w:rPr>
            </w:pPr>
            <w:r w:rsidRPr="00A661E2">
              <w:rPr>
                <w:rFonts w:ascii="Times New Roman" w:hAnsi="Times New Roman" w:cs="Times New Roman"/>
                <w:bCs/>
                <w:color w:val="000000"/>
                <w:sz w:val="24"/>
                <w:szCs w:val="24"/>
              </w:rPr>
              <w:t>(4)</w:t>
            </w:r>
          </w:p>
          <w:p w:rsidR="002E69C1" w:rsidRPr="00A661E2" w:rsidRDefault="002E69C1" w:rsidP="00A661E2">
            <w:pPr>
              <w:keepNext/>
              <w:spacing w:after="120" w:line="360" w:lineRule="auto"/>
              <w:jc w:val="center"/>
              <w:rPr>
                <w:rFonts w:ascii="Times New Roman" w:hAnsi="Times New Roman" w:cs="Times New Roman"/>
                <w:bCs/>
                <w:color w:val="000000"/>
                <w:sz w:val="24"/>
                <w:szCs w:val="24"/>
              </w:rPr>
            </w:pPr>
            <w:r w:rsidRPr="00A661E2">
              <w:rPr>
                <w:rFonts w:ascii="Times New Roman" w:hAnsi="Times New Roman" w:cs="Times New Roman"/>
                <w:bCs/>
                <w:color w:val="000000"/>
                <w:sz w:val="24"/>
                <w:szCs w:val="24"/>
              </w:rPr>
              <w:t>GMM-SYS</w:t>
            </w:r>
          </w:p>
        </w:tc>
      </w:tr>
      <w:tr w:rsidR="002E69C1" w:rsidRPr="000247A3" w:rsidTr="000B1EF6">
        <w:tc>
          <w:tcPr>
            <w:tcW w:w="1848" w:type="dxa"/>
          </w:tcPr>
          <w:p w:rsidR="002E69C1" w:rsidRPr="00A661E2" w:rsidRDefault="00D854D9" w:rsidP="00A661E2">
            <w:pPr>
              <w:keepNext/>
              <w:spacing w:after="0" w:line="360" w:lineRule="auto"/>
              <w:rPr>
                <w:rFonts w:ascii="Times New Roman" w:hAnsi="Times New Roman" w:cs="Times New Roman"/>
                <w:b/>
                <w:bCs/>
                <w:color w:val="000000"/>
                <w:sz w:val="24"/>
                <w:szCs w:val="24"/>
              </w:rPr>
            </w:pPr>
            <m:oMathPara>
              <m:oMath>
                <m:func>
                  <m:funcPr>
                    <m:ctrlPr>
                      <w:rPr>
                        <w:rFonts w:ascii="Cambria Math" w:hAnsi="Times New Roman" w:cs="Times New Roman"/>
                        <w:color w:val="000000"/>
                        <w:sz w:val="24"/>
                        <w:szCs w:val="24"/>
                      </w:rPr>
                    </m:ctrlPr>
                  </m:funcPr>
                  <m:fName>
                    <m:r>
                      <m:rPr>
                        <m:sty m:val="p"/>
                      </m:rPr>
                      <w:rPr>
                        <w:rFonts w:ascii="Cambria Math" w:hAnsi="Times New Roman" w:cs="Times New Roman"/>
                        <w:sz w:val="24"/>
                        <w:szCs w:val="24"/>
                      </w:rPr>
                      <m:t xml:space="preserve">ln </m:t>
                    </m:r>
                    <m:ctrlPr>
                      <w:rPr>
                        <w:rFonts w:ascii="Cambria Math" w:hAnsi="Times New Roman" w:cs="Times New Roman"/>
                        <w:sz w:val="24"/>
                        <w:szCs w:val="24"/>
                      </w:rPr>
                    </m:ctrlPr>
                  </m:fName>
                  <m:e>
                    <m:d>
                      <m:dPr>
                        <m:ctrlPr>
                          <w:rPr>
                            <w:rFonts w:ascii="Cambria Math" w:hAnsi="Times New Roman" w:cs="Times New Roman"/>
                            <w:i/>
                            <w:sz w:val="24"/>
                            <w:szCs w:val="24"/>
                          </w:rPr>
                        </m:ctrlPr>
                      </m:dPr>
                      <m:e>
                        <m:sSub>
                          <m:sSubPr>
                            <m:ctrlPr>
                              <w:rPr>
                                <w:rFonts w:ascii="Cambria Math" w:hAnsi="Times New Roman" w:cs="Times New Roman"/>
                                <w:i/>
                                <w:sz w:val="24"/>
                                <w:szCs w:val="24"/>
                              </w:rPr>
                            </m:ctrlPr>
                          </m:sSubPr>
                          <m:e>
                            <m:r>
                              <w:rPr>
                                <w:rFonts w:ascii="Cambria Math" w:hAnsi="Cambria Math" w:cs="Times New Roman"/>
                                <w:sz w:val="24"/>
                                <w:szCs w:val="24"/>
                              </w:rPr>
                              <m:t>is</m:t>
                            </m:r>
                          </m:e>
                          <m:sub>
                            <m:r>
                              <w:rPr>
                                <w:rFonts w:ascii="Cambria Math" w:hAnsi="Cambria Math" w:cs="Times New Roman"/>
                                <w:sz w:val="24"/>
                                <w:szCs w:val="24"/>
                              </w:rPr>
                              <m:t>i</m:t>
                            </m:r>
                            <m:r>
                              <w:rPr>
                                <w:rFonts w:ascii="Cambria Math" w:hAnsi="Times New Roman" w:cs="Times New Roman"/>
                                <w:sz w:val="24"/>
                                <w:szCs w:val="24"/>
                              </w:rPr>
                              <m:t>,</m:t>
                            </m:r>
                            <m:r>
                              <w:rPr>
                                <w:rFonts w:ascii="Cambria Math" w:hAnsi="Cambria Math" w:cs="Times New Roman"/>
                                <w:sz w:val="24"/>
                                <w:szCs w:val="24"/>
                              </w:rPr>
                              <m:t>t</m:t>
                            </m:r>
                            <m:r>
                              <w:rPr>
                                <w:rFonts w:ascii="Times New Roman" w:hAnsi="Times New Roman" w:cs="Times New Roman"/>
                                <w:sz w:val="24"/>
                                <w:szCs w:val="24"/>
                              </w:rPr>
                              <m:t>-</m:t>
                            </m:r>
                            <m:r>
                              <w:rPr>
                                <w:rFonts w:ascii="Cambria Math" w:hAnsi="Times New Roman" w:cs="Times New Roman"/>
                                <w:sz w:val="24"/>
                                <w:szCs w:val="24"/>
                              </w:rPr>
                              <m:t>1</m:t>
                            </m:r>
                          </m:sub>
                        </m:sSub>
                      </m:e>
                    </m:d>
                    <m:ctrlPr>
                      <w:rPr>
                        <w:rFonts w:ascii="Cambria Math" w:hAnsi="Times New Roman" w:cs="Times New Roman"/>
                        <w:i/>
                        <w:sz w:val="24"/>
                        <w:szCs w:val="24"/>
                      </w:rPr>
                    </m:ctrlPr>
                  </m:e>
                </m:func>
              </m:oMath>
            </m:oMathPara>
          </w:p>
        </w:tc>
        <w:tc>
          <w:tcPr>
            <w:tcW w:w="1848" w:type="dxa"/>
          </w:tcPr>
          <w:p w:rsidR="002E69C1" w:rsidRPr="00A661E2" w:rsidRDefault="002E69C1" w:rsidP="00A661E2">
            <w:pPr>
              <w:keepNext/>
              <w:spacing w:after="0" w:line="360" w:lineRule="auto"/>
              <w:jc w:val="center"/>
              <w:rPr>
                <w:rFonts w:ascii="Times New Roman" w:hAnsi="Times New Roman" w:cs="Times New Roman"/>
                <w:color w:val="000000"/>
                <w:sz w:val="24"/>
                <w:szCs w:val="24"/>
              </w:rPr>
            </w:pPr>
            <w:r w:rsidRPr="00A661E2">
              <w:rPr>
                <w:rFonts w:ascii="Times New Roman" w:hAnsi="Times New Roman" w:cs="Times New Roman"/>
                <w:color w:val="000000"/>
                <w:sz w:val="24"/>
                <w:szCs w:val="24"/>
              </w:rPr>
              <w:t>0.84</w:t>
            </w:r>
          </w:p>
          <w:p w:rsidR="002E69C1" w:rsidRPr="00A661E2" w:rsidRDefault="002E69C1" w:rsidP="00A661E2">
            <w:pPr>
              <w:keepNext/>
              <w:spacing w:after="0" w:line="360" w:lineRule="auto"/>
              <w:jc w:val="center"/>
              <w:rPr>
                <w:rFonts w:ascii="Times New Roman" w:hAnsi="Times New Roman" w:cs="Times New Roman"/>
                <w:color w:val="000000"/>
                <w:sz w:val="24"/>
                <w:szCs w:val="24"/>
              </w:rPr>
            </w:pPr>
            <w:r w:rsidRPr="00A661E2">
              <w:rPr>
                <w:rFonts w:ascii="Times New Roman" w:hAnsi="Times New Roman" w:cs="Times New Roman"/>
                <w:color w:val="000000"/>
                <w:sz w:val="24"/>
                <w:szCs w:val="24"/>
              </w:rPr>
              <w:t>[0.002]**</w:t>
            </w:r>
          </w:p>
        </w:tc>
        <w:tc>
          <w:tcPr>
            <w:tcW w:w="1848" w:type="dxa"/>
          </w:tcPr>
          <w:p w:rsidR="002E69C1" w:rsidRPr="00A661E2" w:rsidRDefault="002E69C1" w:rsidP="00A661E2">
            <w:pPr>
              <w:keepNext/>
              <w:spacing w:after="0" w:line="360" w:lineRule="auto"/>
              <w:jc w:val="center"/>
              <w:rPr>
                <w:rFonts w:ascii="Times New Roman" w:hAnsi="Times New Roman" w:cs="Times New Roman"/>
                <w:color w:val="000000"/>
                <w:sz w:val="24"/>
                <w:szCs w:val="24"/>
              </w:rPr>
            </w:pPr>
            <w:r w:rsidRPr="00A661E2">
              <w:rPr>
                <w:rFonts w:ascii="Times New Roman" w:hAnsi="Times New Roman" w:cs="Times New Roman"/>
                <w:color w:val="000000"/>
                <w:sz w:val="24"/>
                <w:szCs w:val="24"/>
              </w:rPr>
              <w:t xml:space="preserve"> 0.08</w:t>
            </w:r>
          </w:p>
          <w:p w:rsidR="002E69C1" w:rsidRPr="00A661E2" w:rsidRDefault="002E69C1" w:rsidP="00A661E2">
            <w:pPr>
              <w:keepNext/>
              <w:spacing w:after="0" w:line="360" w:lineRule="auto"/>
              <w:jc w:val="center"/>
              <w:rPr>
                <w:rFonts w:ascii="Times New Roman" w:hAnsi="Times New Roman" w:cs="Times New Roman"/>
                <w:color w:val="000000"/>
                <w:sz w:val="24"/>
                <w:szCs w:val="24"/>
              </w:rPr>
            </w:pPr>
            <w:r w:rsidRPr="00A661E2">
              <w:rPr>
                <w:rFonts w:ascii="Times New Roman" w:hAnsi="Times New Roman" w:cs="Times New Roman"/>
                <w:color w:val="000000"/>
                <w:sz w:val="24"/>
                <w:szCs w:val="24"/>
              </w:rPr>
              <w:t>[0.043]**</w:t>
            </w:r>
          </w:p>
        </w:tc>
        <w:tc>
          <w:tcPr>
            <w:tcW w:w="1849" w:type="dxa"/>
          </w:tcPr>
          <w:p w:rsidR="002E69C1" w:rsidRPr="00A661E2" w:rsidRDefault="002E69C1" w:rsidP="00A661E2">
            <w:pPr>
              <w:keepNext/>
              <w:spacing w:after="0" w:line="360" w:lineRule="auto"/>
              <w:jc w:val="center"/>
              <w:rPr>
                <w:rFonts w:ascii="Times New Roman" w:hAnsi="Times New Roman" w:cs="Times New Roman"/>
                <w:color w:val="000000"/>
                <w:sz w:val="24"/>
                <w:szCs w:val="24"/>
              </w:rPr>
            </w:pPr>
            <w:r w:rsidRPr="00A661E2">
              <w:rPr>
                <w:rFonts w:ascii="Times New Roman" w:hAnsi="Times New Roman" w:cs="Times New Roman"/>
                <w:color w:val="000000"/>
                <w:sz w:val="24"/>
                <w:szCs w:val="24"/>
              </w:rPr>
              <w:t xml:space="preserve">0.70 </w:t>
            </w:r>
          </w:p>
          <w:p w:rsidR="002E69C1" w:rsidRPr="00A661E2" w:rsidRDefault="002E69C1" w:rsidP="00A661E2">
            <w:pPr>
              <w:keepNext/>
              <w:spacing w:after="0" w:line="360" w:lineRule="auto"/>
              <w:jc w:val="center"/>
              <w:rPr>
                <w:rFonts w:ascii="Times New Roman" w:hAnsi="Times New Roman" w:cs="Times New Roman"/>
                <w:color w:val="000000"/>
                <w:sz w:val="24"/>
                <w:szCs w:val="24"/>
              </w:rPr>
            </w:pPr>
            <w:r w:rsidRPr="00A661E2">
              <w:rPr>
                <w:rFonts w:ascii="Times New Roman" w:hAnsi="Times New Roman" w:cs="Times New Roman"/>
                <w:color w:val="000000"/>
                <w:sz w:val="24"/>
                <w:szCs w:val="24"/>
              </w:rPr>
              <w:t>[0.002]**</w:t>
            </w:r>
          </w:p>
        </w:tc>
        <w:tc>
          <w:tcPr>
            <w:tcW w:w="1849" w:type="dxa"/>
          </w:tcPr>
          <w:p w:rsidR="002E69C1" w:rsidRPr="00A661E2" w:rsidRDefault="002E69C1" w:rsidP="00A661E2">
            <w:pPr>
              <w:keepNext/>
              <w:spacing w:after="0" w:line="360" w:lineRule="auto"/>
              <w:jc w:val="center"/>
              <w:rPr>
                <w:rFonts w:ascii="Times New Roman" w:hAnsi="Times New Roman" w:cs="Times New Roman"/>
                <w:color w:val="000000"/>
                <w:sz w:val="24"/>
                <w:szCs w:val="24"/>
              </w:rPr>
            </w:pPr>
            <w:r w:rsidRPr="00A661E2">
              <w:rPr>
                <w:rFonts w:ascii="Times New Roman" w:hAnsi="Times New Roman" w:cs="Times New Roman"/>
                <w:color w:val="000000"/>
                <w:sz w:val="24"/>
                <w:szCs w:val="24"/>
              </w:rPr>
              <w:t>0.44</w:t>
            </w:r>
          </w:p>
          <w:p w:rsidR="002E69C1" w:rsidRPr="00A661E2" w:rsidRDefault="002E69C1" w:rsidP="00A661E2">
            <w:pPr>
              <w:keepNext/>
              <w:spacing w:after="0" w:line="360" w:lineRule="auto"/>
              <w:jc w:val="center"/>
              <w:rPr>
                <w:rFonts w:ascii="Times New Roman" w:hAnsi="Times New Roman" w:cs="Times New Roman"/>
                <w:color w:val="000000"/>
                <w:sz w:val="24"/>
                <w:szCs w:val="24"/>
              </w:rPr>
            </w:pPr>
            <w:r w:rsidRPr="00A661E2">
              <w:rPr>
                <w:rFonts w:ascii="Times New Roman" w:hAnsi="Times New Roman" w:cs="Times New Roman"/>
                <w:color w:val="000000"/>
                <w:sz w:val="24"/>
                <w:szCs w:val="24"/>
              </w:rPr>
              <w:t>[0.021]**</w:t>
            </w:r>
          </w:p>
        </w:tc>
      </w:tr>
      <w:tr w:rsidR="002E69C1" w:rsidRPr="000247A3" w:rsidTr="000B1EF6">
        <w:tc>
          <w:tcPr>
            <w:tcW w:w="1848" w:type="dxa"/>
          </w:tcPr>
          <w:p w:rsidR="002E69C1" w:rsidRPr="00A661E2" w:rsidRDefault="00D854D9" w:rsidP="00A661E2">
            <w:pPr>
              <w:keepNext/>
              <w:spacing w:after="0" w:line="360" w:lineRule="auto"/>
              <w:rPr>
                <w:rFonts w:ascii="Times New Roman" w:hAnsi="Times New Roman" w:cs="Times New Roman"/>
                <w:b/>
                <w:bCs/>
                <w:i/>
                <w:color w:val="000000"/>
                <w:sz w:val="24"/>
                <w:szCs w:val="24"/>
              </w:rPr>
            </w:pPr>
            <m:oMathPara>
              <m:oMath>
                <m:func>
                  <m:funcPr>
                    <m:ctrlPr>
                      <w:rPr>
                        <w:rFonts w:ascii="Cambria Math" w:hAnsi="Times New Roman" w:cs="Times New Roman"/>
                        <w:color w:val="000000"/>
                        <w:sz w:val="24"/>
                        <w:szCs w:val="24"/>
                      </w:rPr>
                    </m:ctrlPr>
                  </m:funcPr>
                  <m:fName>
                    <m:r>
                      <m:rPr>
                        <m:sty m:val="p"/>
                      </m:rPr>
                      <w:rPr>
                        <w:rFonts w:ascii="Cambria Math" w:hAnsi="Times New Roman" w:cs="Times New Roman"/>
                        <w:sz w:val="24"/>
                        <w:szCs w:val="24"/>
                      </w:rPr>
                      <m:t xml:space="preserve">ln </m:t>
                    </m:r>
                    <m:ctrlPr>
                      <w:rPr>
                        <w:rFonts w:ascii="Cambria Math" w:hAnsi="Times New Roman" w:cs="Times New Roman"/>
                        <w:sz w:val="24"/>
                        <w:szCs w:val="24"/>
                      </w:rPr>
                    </m:ctrlPr>
                  </m:fName>
                  <m:e>
                    <m:d>
                      <m:dPr>
                        <m:ctrlPr>
                          <w:rPr>
                            <w:rFonts w:ascii="Cambria Math" w:hAnsi="Times New Roman" w:cs="Times New Roman"/>
                            <w:i/>
                            <w:sz w:val="24"/>
                            <w:szCs w:val="24"/>
                          </w:rPr>
                        </m:ctrlPr>
                      </m:dPr>
                      <m:e>
                        <m:sSub>
                          <m:sSubPr>
                            <m:ctrlPr>
                              <w:rPr>
                                <w:rFonts w:ascii="Cambria Math" w:hAnsi="Times New Roman" w:cs="Times New Roman"/>
                                <w:i/>
                                <w:sz w:val="24"/>
                                <w:szCs w:val="24"/>
                              </w:rPr>
                            </m:ctrlPr>
                          </m:sSubPr>
                          <m:e>
                            <m:r>
                              <w:rPr>
                                <w:rFonts w:ascii="Cambria Math" w:hAnsi="Cambria Math" w:cs="Times New Roman"/>
                                <w:sz w:val="24"/>
                                <w:szCs w:val="24"/>
                              </w:rPr>
                              <m:t>iv</m:t>
                            </m:r>
                          </m:e>
                          <m:sub>
                            <m:r>
                              <w:rPr>
                                <w:rFonts w:ascii="Cambria Math" w:hAnsi="Cambria Math" w:cs="Times New Roman"/>
                                <w:sz w:val="24"/>
                                <w:szCs w:val="24"/>
                              </w:rPr>
                              <m:t>i</m:t>
                            </m:r>
                            <m:r>
                              <w:rPr>
                                <w:rFonts w:ascii="Cambria Math" w:hAnsi="Times New Roman" w:cs="Times New Roman"/>
                                <w:sz w:val="24"/>
                                <w:szCs w:val="24"/>
                              </w:rPr>
                              <m:t>,</m:t>
                            </m:r>
                            <m:r>
                              <w:rPr>
                                <w:rFonts w:ascii="Cambria Math" w:hAnsi="Cambria Math" w:cs="Times New Roman"/>
                                <w:sz w:val="24"/>
                                <w:szCs w:val="24"/>
                              </w:rPr>
                              <m:t>t</m:t>
                            </m:r>
                          </m:sub>
                        </m:sSub>
                      </m:e>
                    </m:d>
                    <m:ctrlPr>
                      <w:rPr>
                        <w:rFonts w:ascii="Cambria Math" w:hAnsi="Times New Roman" w:cs="Times New Roman"/>
                        <w:i/>
                        <w:sz w:val="24"/>
                        <w:szCs w:val="24"/>
                      </w:rPr>
                    </m:ctrlPr>
                  </m:e>
                </m:func>
              </m:oMath>
            </m:oMathPara>
          </w:p>
        </w:tc>
        <w:tc>
          <w:tcPr>
            <w:tcW w:w="1848" w:type="dxa"/>
          </w:tcPr>
          <w:p w:rsidR="002E69C1" w:rsidRPr="00A661E2" w:rsidRDefault="002E69C1" w:rsidP="00A661E2">
            <w:pPr>
              <w:keepNext/>
              <w:spacing w:after="0" w:line="360" w:lineRule="auto"/>
              <w:jc w:val="center"/>
              <w:rPr>
                <w:rFonts w:ascii="Times New Roman" w:hAnsi="Times New Roman" w:cs="Times New Roman"/>
                <w:color w:val="000000"/>
                <w:sz w:val="24"/>
                <w:szCs w:val="24"/>
              </w:rPr>
            </w:pPr>
            <w:r w:rsidRPr="00A661E2">
              <w:rPr>
                <w:rFonts w:ascii="Times New Roman" w:hAnsi="Times New Roman" w:cs="Times New Roman"/>
                <w:color w:val="000000"/>
                <w:sz w:val="24"/>
                <w:szCs w:val="24"/>
              </w:rPr>
              <w:t>0.0176</w:t>
            </w:r>
          </w:p>
          <w:p w:rsidR="002E69C1" w:rsidRPr="00A661E2" w:rsidRDefault="002E69C1" w:rsidP="00A661E2">
            <w:pPr>
              <w:keepNext/>
              <w:spacing w:after="0" w:line="360" w:lineRule="auto"/>
              <w:jc w:val="center"/>
              <w:rPr>
                <w:rFonts w:ascii="Times New Roman" w:hAnsi="Times New Roman" w:cs="Times New Roman"/>
                <w:color w:val="000000"/>
                <w:sz w:val="24"/>
                <w:szCs w:val="24"/>
              </w:rPr>
            </w:pPr>
            <w:r w:rsidRPr="00A661E2">
              <w:rPr>
                <w:rFonts w:ascii="Times New Roman" w:hAnsi="Times New Roman" w:cs="Times New Roman"/>
                <w:color w:val="000000"/>
                <w:sz w:val="24"/>
                <w:szCs w:val="24"/>
              </w:rPr>
              <w:t>[0.002]**</w:t>
            </w:r>
          </w:p>
        </w:tc>
        <w:tc>
          <w:tcPr>
            <w:tcW w:w="1848" w:type="dxa"/>
          </w:tcPr>
          <w:p w:rsidR="002E69C1" w:rsidRPr="00A661E2" w:rsidRDefault="002E69C1" w:rsidP="00A661E2">
            <w:pPr>
              <w:keepNext/>
              <w:spacing w:after="0" w:line="360" w:lineRule="auto"/>
              <w:jc w:val="center"/>
              <w:rPr>
                <w:rFonts w:ascii="Times New Roman" w:hAnsi="Times New Roman" w:cs="Times New Roman"/>
                <w:color w:val="000000"/>
                <w:sz w:val="24"/>
                <w:szCs w:val="24"/>
              </w:rPr>
            </w:pPr>
            <w:r w:rsidRPr="00A661E2">
              <w:rPr>
                <w:rFonts w:ascii="Times New Roman" w:hAnsi="Times New Roman" w:cs="Times New Roman"/>
                <w:color w:val="000000"/>
                <w:sz w:val="24"/>
                <w:szCs w:val="24"/>
              </w:rPr>
              <w:t xml:space="preserve">-0.177 </w:t>
            </w:r>
          </w:p>
          <w:p w:rsidR="002E69C1" w:rsidRPr="00A661E2" w:rsidRDefault="002E69C1" w:rsidP="00A661E2">
            <w:pPr>
              <w:keepNext/>
              <w:spacing w:after="0" w:line="360" w:lineRule="auto"/>
              <w:jc w:val="center"/>
              <w:rPr>
                <w:rFonts w:ascii="Times New Roman" w:hAnsi="Times New Roman" w:cs="Times New Roman"/>
                <w:color w:val="000000"/>
                <w:sz w:val="24"/>
                <w:szCs w:val="24"/>
              </w:rPr>
            </w:pPr>
            <w:r w:rsidRPr="00A661E2">
              <w:rPr>
                <w:rFonts w:ascii="Times New Roman" w:hAnsi="Times New Roman" w:cs="Times New Roman"/>
                <w:color w:val="000000"/>
                <w:sz w:val="24"/>
                <w:szCs w:val="24"/>
              </w:rPr>
              <w:t>[0.036]**</w:t>
            </w:r>
          </w:p>
        </w:tc>
        <w:tc>
          <w:tcPr>
            <w:tcW w:w="1849" w:type="dxa"/>
          </w:tcPr>
          <w:p w:rsidR="002E69C1" w:rsidRPr="00A661E2" w:rsidRDefault="002E69C1" w:rsidP="00A661E2">
            <w:pPr>
              <w:keepNext/>
              <w:spacing w:after="0" w:line="360" w:lineRule="auto"/>
              <w:jc w:val="center"/>
              <w:rPr>
                <w:rFonts w:ascii="Times New Roman" w:hAnsi="Times New Roman" w:cs="Times New Roman"/>
                <w:color w:val="000000"/>
                <w:sz w:val="24"/>
                <w:szCs w:val="24"/>
              </w:rPr>
            </w:pPr>
            <w:r w:rsidRPr="00A661E2">
              <w:rPr>
                <w:rFonts w:ascii="Times New Roman" w:hAnsi="Times New Roman" w:cs="Times New Roman"/>
                <w:color w:val="000000"/>
                <w:sz w:val="24"/>
                <w:szCs w:val="24"/>
              </w:rPr>
              <w:t>-0.010</w:t>
            </w:r>
          </w:p>
          <w:p w:rsidR="002E69C1" w:rsidRPr="00A661E2" w:rsidRDefault="002E69C1" w:rsidP="00A661E2">
            <w:pPr>
              <w:keepNext/>
              <w:spacing w:after="0" w:line="360" w:lineRule="auto"/>
              <w:jc w:val="center"/>
              <w:rPr>
                <w:rFonts w:ascii="Times New Roman" w:hAnsi="Times New Roman" w:cs="Times New Roman"/>
                <w:color w:val="000000"/>
                <w:sz w:val="24"/>
                <w:szCs w:val="24"/>
              </w:rPr>
            </w:pPr>
            <w:r w:rsidRPr="00A661E2">
              <w:rPr>
                <w:rFonts w:ascii="Times New Roman" w:hAnsi="Times New Roman" w:cs="Times New Roman"/>
                <w:color w:val="000000"/>
                <w:sz w:val="24"/>
                <w:szCs w:val="24"/>
              </w:rPr>
              <w:t>[0.024]</w:t>
            </w:r>
          </w:p>
        </w:tc>
        <w:tc>
          <w:tcPr>
            <w:tcW w:w="1849" w:type="dxa"/>
          </w:tcPr>
          <w:p w:rsidR="002E69C1" w:rsidRPr="00A661E2" w:rsidRDefault="002E69C1" w:rsidP="00A661E2">
            <w:pPr>
              <w:keepNext/>
              <w:spacing w:after="0" w:line="360" w:lineRule="auto"/>
              <w:jc w:val="center"/>
              <w:rPr>
                <w:rFonts w:ascii="Times New Roman" w:hAnsi="Times New Roman" w:cs="Times New Roman"/>
                <w:color w:val="000000"/>
                <w:sz w:val="24"/>
                <w:szCs w:val="24"/>
              </w:rPr>
            </w:pPr>
            <w:r w:rsidRPr="00A661E2">
              <w:rPr>
                <w:rFonts w:ascii="Times New Roman" w:hAnsi="Times New Roman" w:cs="Times New Roman"/>
                <w:color w:val="000000"/>
                <w:sz w:val="24"/>
                <w:szCs w:val="24"/>
              </w:rPr>
              <w:t>-0.312</w:t>
            </w:r>
          </w:p>
          <w:p w:rsidR="002E69C1" w:rsidRPr="00A661E2" w:rsidRDefault="002E69C1" w:rsidP="00A661E2">
            <w:pPr>
              <w:keepNext/>
              <w:spacing w:after="0" w:line="360" w:lineRule="auto"/>
              <w:jc w:val="center"/>
              <w:rPr>
                <w:rFonts w:ascii="Times New Roman" w:hAnsi="Times New Roman" w:cs="Times New Roman"/>
                <w:color w:val="000000"/>
                <w:sz w:val="24"/>
                <w:szCs w:val="24"/>
              </w:rPr>
            </w:pPr>
            <w:r w:rsidRPr="00A661E2">
              <w:rPr>
                <w:rFonts w:ascii="Times New Roman" w:hAnsi="Times New Roman" w:cs="Times New Roman"/>
                <w:color w:val="000000"/>
                <w:sz w:val="24"/>
                <w:szCs w:val="24"/>
              </w:rPr>
              <w:t>[0.161]*</w:t>
            </w:r>
          </w:p>
        </w:tc>
      </w:tr>
      <w:tr w:rsidR="002E69C1" w:rsidRPr="000247A3" w:rsidTr="000B1EF6">
        <w:tc>
          <w:tcPr>
            <w:tcW w:w="1848" w:type="dxa"/>
          </w:tcPr>
          <w:p w:rsidR="002E69C1" w:rsidRPr="00A661E2" w:rsidRDefault="002E69C1" w:rsidP="00A661E2">
            <w:pPr>
              <w:keepNext/>
              <w:spacing w:after="0" w:line="360" w:lineRule="auto"/>
              <w:rPr>
                <w:rFonts w:ascii="Times New Roman" w:hAnsi="Times New Roman" w:cs="Times New Roman"/>
                <w:bCs/>
                <w:color w:val="000000"/>
                <w:sz w:val="24"/>
                <w:szCs w:val="24"/>
              </w:rPr>
            </w:pPr>
            <w:r w:rsidRPr="00A661E2">
              <w:rPr>
                <w:rFonts w:ascii="Times New Roman" w:hAnsi="Times New Roman" w:cs="Times New Roman"/>
                <w:bCs/>
                <w:color w:val="000000"/>
                <w:sz w:val="24"/>
                <w:szCs w:val="24"/>
              </w:rPr>
              <w:t>Constant</w:t>
            </w:r>
          </w:p>
        </w:tc>
        <w:tc>
          <w:tcPr>
            <w:tcW w:w="1848" w:type="dxa"/>
          </w:tcPr>
          <w:p w:rsidR="002E69C1" w:rsidRPr="00A661E2" w:rsidRDefault="002E69C1" w:rsidP="00A661E2">
            <w:pPr>
              <w:keepNext/>
              <w:spacing w:after="0" w:line="360" w:lineRule="auto"/>
              <w:jc w:val="center"/>
              <w:rPr>
                <w:rFonts w:ascii="Times New Roman" w:hAnsi="Times New Roman" w:cs="Times New Roman"/>
                <w:color w:val="000000"/>
                <w:sz w:val="24"/>
                <w:szCs w:val="24"/>
              </w:rPr>
            </w:pPr>
            <w:r w:rsidRPr="00A661E2">
              <w:rPr>
                <w:rFonts w:ascii="Times New Roman" w:hAnsi="Times New Roman" w:cs="Times New Roman"/>
                <w:color w:val="000000"/>
                <w:sz w:val="24"/>
                <w:szCs w:val="24"/>
              </w:rPr>
              <w:t>1.75</w:t>
            </w:r>
          </w:p>
          <w:p w:rsidR="002E69C1" w:rsidRPr="00A661E2" w:rsidRDefault="002E69C1" w:rsidP="00A661E2">
            <w:pPr>
              <w:keepNext/>
              <w:spacing w:after="0" w:line="360" w:lineRule="auto"/>
              <w:jc w:val="center"/>
              <w:rPr>
                <w:rFonts w:ascii="Times New Roman" w:hAnsi="Times New Roman" w:cs="Times New Roman"/>
                <w:color w:val="000000"/>
                <w:sz w:val="24"/>
                <w:szCs w:val="24"/>
              </w:rPr>
            </w:pPr>
            <w:r w:rsidRPr="00A661E2">
              <w:rPr>
                <w:rFonts w:ascii="Times New Roman" w:hAnsi="Times New Roman" w:cs="Times New Roman"/>
                <w:color w:val="000000"/>
                <w:sz w:val="24"/>
                <w:szCs w:val="24"/>
              </w:rPr>
              <w:t>[0.285]**</w:t>
            </w:r>
          </w:p>
        </w:tc>
        <w:tc>
          <w:tcPr>
            <w:tcW w:w="1848" w:type="dxa"/>
          </w:tcPr>
          <w:p w:rsidR="002E69C1" w:rsidRPr="00A661E2" w:rsidRDefault="002E69C1" w:rsidP="00A661E2">
            <w:pPr>
              <w:keepNext/>
              <w:spacing w:after="0" w:line="360" w:lineRule="auto"/>
              <w:jc w:val="center"/>
              <w:rPr>
                <w:rFonts w:ascii="Times New Roman" w:hAnsi="Times New Roman" w:cs="Times New Roman"/>
                <w:color w:val="000000"/>
                <w:sz w:val="24"/>
                <w:szCs w:val="24"/>
              </w:rPr>
            </w:pPr>
            <w:r w:rsidRPr="00A661E2">
              <w:rPr>
                <w:rFonts w:ascii="Times New Roman" w:hAnsi="Times New Roman" w:cs="Times New Roman"/>
                <w:color w:val="000000"/>
                <w:sz w:val="24"/>
                <w:szCs w:val="24"/>
              </w:rPr>
              <w:t xml:space="preserve">11.62 </w:t>
            </w:r>
          </w:p>
          <w:p w:rsidR="002E69C1" w:rsidRPr="00A661E2" w:rsidRDefault="002E69C1" w:rsidP="00A661E2">
            <w:pPr>
              <w:keepNext/>
              <w:spacing w:after="0" w:line="360" w:lineRule="auto"/>
              <w:jc w:val="center"/>
              <w:rPr>
                <w:rFonts w:ascii="Times New Roman" w:hAnsi="Times New Roman" w:cs="Times New Roman"/>
                <w:color w:val="000000"/>
                <w:sz w:val="24"/>
                <w:szCs w:val="24"/>
              </w:rPr>
            </w:pPr>
            <w:r w:rsidRPr="00A661E2">
              <w:rPr>
                <w:rFonts w:ascii="Times New Roman" w:hAnsi="Times New Roman" w:cs="Times New Roman"/>
                <w:color w:val="000000"/>
                <w:sz w:val="24"/>
                <w:szCs w:val="24"/>
              </w:rPr>
              <w:t>[0.061]**</w:t>
            </w:r>
          </w:p>
        </w:tc>
        <w:tc>
          <w:tcPr>
            <w:tcW w:w="1849" w:type="dxa"/>
          </w:tcPr>
          <w:p w:rsidR="002E69C1" w:rsidRPr="00A661E2" w:rsidRDefault="002E69C1" w:rsidP="00A661E2">
            <w:pPr>
              <w:keepNext/>
              <w:spacing w:after="0" w:line="360" w:lineRule="auto"/>
              <w:jc w:val="center"/>
              <w:rPr>
                <w:rFonts w:ascii="Times New Roman" w:hAnsi="Times New Roman" w:cs="Times New Roman"/>
                <w:color w:val="000000"/>
                <w:sz w:val="24"/>
                <w:szCs w:val="24"/>
              </w:rPr>
            </w:pPr>
            <w:r w:rsidRPr="00A661E2">
              <w:rPr>
                <w:rFonts w:ascii="Times New Roman" w:hAnsi="Times New Roman" w:cs="Times New Roman"/>
                <w:color w:val="000000"/>
                <w:sz w:val="24"/>
                <w:szCs w:val="24"/>
              </w:rPr>
              <w:t xml:space="preserve">3.30 </w:t>
            </w:r>
          </w:p>
          <w:p w:rsidR="002E69C1" w:rsidRPr="00A661E2" w:rsidRDefault="002E69C1" w:rsidP="00A661E2">
            <w:pPr>
              <w:keepNext/>
              <w:spacing w:after="0" w:line="360" w:lineRule="auto"/>
              <w:jc w:val="center"/>
              <w:rPr>
                <w:rFonts w:ascii="Times New Roman" w:hAnsi="Times New Roman" w:cs="Times New Roman"/>
                <w:color w:val="000000"/>
                <w:sz w:val="24"/>
                <w:szCs w:val="24"/>
              </w:rPr>
            </w:pPr>
            <w:r w:rsidRPr="00A661E2">
              <w:rPr>
                <w:rFonts w:ascii="Times New Roman" w:hAnsi="Times New Roman" w:cs="Times New Roman"/>
                <w:color w:val="000000"/>
                <w:sz w:val="24"/>
                <w:szCs w:val="24"/>
              </w:rPr>
              <w:t>[0.03]**</w:t>
            </w:r>
          </w:p>
        </w:tc>
        <w:tc>
          <w:tcPr>
            <w:tcW w:w="1849" w:type="dxa"/>
          </w:tcPr>
          <w:p w:rsidR="002E69C1" w:rsidRPr="00A661E2" w:rsidRDefault="002E69C1" w:rsidP="00A661E2">
            <w:pPr>
              <w:keepNext/>
              <w:spacing w:after="0" w:line="360" w:lineRule="auto"/>
              <w:jc w:val="center"/>
              <w:rPr>
                <w:rFonts w:ascii="Times New Roman" w:hAnsi="Times New Roman" w:cs="Times New Roman"/>
                <w:color w:val="000000"/>
                <w:sz w:val="24"/>
                <w:szCs w:val="24"/>
              </w:rPr>
            </w:pPr>
            <w:r w:rsidRPr="00A661E2">
              <w:rPr>
                <w:rFonts w:ascii="Times New Roman" w:hAnsi="Times New Roman" w:cs="Times New Roman"/>
                <w:color w:val="000000"/>
                <w:sz w:val="24"/>
                <w:szCs w:val="24"/>
              </w:rPr>
              <w:t>9.34</w:t>
            </w:r>
          </w:p>
          <w:p w:rsidR="002E69C1" w:rsidRPr="00A661E2" w:rsidRDefault="002E69C1" w:rsidP="00A661E2">
            <w:pPr>
              <w:keepNext/>
              <w:spacing w:after="0" w:line="360" w:lineRule="auto"/>
              <w:jc w:val="center"/>
              <w:rPr>
                <w:rFonts w:ascii="Times New Roman" w:hAnsi="Times New Roman" w:cs="Times New Roman"/>
                <w:color w:val="000000"/>
                <w:sz w:val="24"/>
                <w:szCs w:val="24"/>
              </w:rPr>
            </w:pPr>
            <w:r w:rsidRPr="00A661E2">
              <w:rPr>
                <w:rFonts w:ascii="Times New Roman" w:hAnsi="Times New Roman" w:cs="Times New Roman"/>
                <w:color w:val="000000"/>
                <w:sz w:val="24"/>
                <w:szCs w:val="24"/>
              </w:rPr>
              <w:t>[1.748]**</w:t>
            </w:r>
          </w:p>
        </w:tc>
      </w:tr>
      <w:tr w:rsidR="002E69C1" w:rsidRPr="000247A3" w:rsidTr="000B1EF6">
        <w:tc>
          <w:tcPr>
            <w:tcW w:w="1848" w:type="dxa"/>
            <w:tcBorders>
              <w:top w:val="single" w:sz="4" w:space="0" w:color="auto"/>
              <w:bottom w:val="nil"/>
            </w:tcBorders>
          </w:tcPr>
          <w:p w:rsidR="002E69C1" w:rsidRPr="00A661E2" w:rsidRDefault="002E69C1" w:rsidP="00A661E2">
            <w:pPr>
              <w:keepNext/>
              <w:spacing w:after="120" w:line="360" w:lineRule="auto"/>
              <w:jc w:val="center"/>
              <w:rPr>
                <w:rFonts w:ascii="Times New Roman" w:hAnsi="Times New Roman" w:cs="Times New Roman"/>
                <w:bCs/>
                <w:i/>
                <w:color w:val="000000"/>
                <w:sz w:val="24"/>
                <w:szCs w:val="24"/>
              </w:rPr>
            </w:pPr>
            <w:r w:rsidRPr="00A661E2">
              <w:rPr>
                <w:rFonts w:ascii="Times New Roman" w:hAnsi="Times New Roman" w:cs="Times New Roman"/>
                <w:bCs/>
                <w:i/>
                <w:color w:val="000000"/>
                <w:sz w:val="24"/>
                <w:szCs w:val="24"/>
              </w:rPr>
              <w:t>S</w:t>
            </w:r>
          </w:p>
        </w:tc>
        <w:tc>
          <w:tcPr>
            <w:tcW w:w="1848" w:type="dxa"/>
            <w:tcBorders>
              <w:top w:val="single" w:sz="4" w:space="0" w:color="auto"/>
              <w:bottom w:val="nil"/>
            </w:tcBorders>
          </w:tcPr>
          <w:p w:rsidR="002E69C1" w:rsidRPr="00A661E2" w:rsidRDefault="002E69C1" w:rsidP="00A661E2">
            <w:pPr>
              <w:keepNext/>
              <w:spacing w:after="120" w:line="360" w:lineRule="auto"/>
              <w:jc w:val="center"/>
              <w:rPr>
                <w:rFonts w:ascii="Times New Roman" w:hAnsi="Times New Roman" w:cs="Times New Roman"/>
                <w:color w:val="000000"/>
                <w:sz w:val="24"/>
                <w:szCs w:val="24"/>
              </w:rPr>
            </w:pPr>
            <w:r w:rsidRPr="00A661E2">
              <w:rPr>
                <w:rFonts w:ascii="Times New Roman" w:hAnsi="Times New Roman" w:cs="Times New Roman"/>
                <w:color w:val="000000"/>
                <w:sz w:val="24"/>
                <w:szCs w:val="24"/>
              </w:rPr>
              <w:t>Yes</w:t>
            </w:r>
          </w:p>
        </w:tc>
        <w:tc>
          <w:tcPr>
            <w:tcW w:w="1848" w:type="dxa"/>
            <w:tcBorders>
              <w:top w:val="single" w:sz="4" w:space="0" w:color="auto"/>
              <w:bottom w:val="nil"/>
            </w:tcBorders>
          </w:tcPr>
          <w:p w:rsidR="002E69C1" w:rsidRPr="00A661E2" w:rsidRDefault="002E69C1" w:rsidP="00A661E2">
            <w:pPr>
              <w:keepNext/>
              <w:spacing w:after="120" w:line="360" w:lineRule="auto"/>
              <w:jc w:val="center"/>
              <w:rPr>
                <w:rFonts w:ascii="Times New Roman" w:hAnsi="Times New Roman" w:cs="Times New Roman"/>
                <w:color w:val="000000"/>
                <w:sz w:val="24"/>
                <w:szCs w:val="24"/>
              </w:rPr>
            </w:pPr>
            <w:r w:rsidRPr="00A661E2">
              <w:rPr>
                <w:rFonts w:ascii="Times New Roman" w:hAnsi="Times New Roman" w:cs="Times New Roman"/>
                <w:color w:val="000000"/>
                <w:sz w:val="24"/>
                <w:szCs w:val="24"/>
              </w:rPr>
              <w:t>No</w:t>
            </w:r>
          </w:p>
        </w:tc>
        <w:tc>
          <w:tcPr>
            <w:tcW w:w="1849" w:type="dxa"/>
            <w:tcBorders>
              <w:top w:val="single" w:sz="4" w:space="0" w:color="auto"/>
              <w:bottom w:val="nil"/>
            </w:tcBorders>
          </w:tcPr>
          <w:p w:rsidR="002E69C1" w:rsidRPr="00A661E2" w:rsidRDefault="002E69C1" w:rsidP="00A661E2">
            <w:pPr>
              <w:keepNext/>
              <w:spacing w:after="120" w:line="360" w:lineRule="auto"/>
              <w:jc w:val="center"/>
              <w:rPr>
                <w:rFonts w:ascii="Times New Roman" w:hAnsi="Times New Roman" w:cs="Times New Roman"/>
                <w:color w:val="000000"/>
                <w:sz w:val="24"/>
                <w:szCs w:val="24"/>
              </w:rPr>
            </w:pPr>
            <w:r w:rsidRPr="00A661E2">
              <w:rPr>
                <w:rFonts w:ascii="Times New Roman" w:hAnsi="Times New Roman" w:cs="Times New Roman"/>
                <w:color w:val="000000"/>
                <w:sz w:val="24"/>
                <w:szCs w:val="24"/>
              </w:rPr>
              <w:t>Yes</w:t>
            </w:r>
          </w:p>
        </w:tc>
        <w:tc>
          <w:tcPr>
            <w:tcW w:w="1849" w:type="dxa"/>
            <w:tcBorders>
              <w:top w:val="single" w:sz="4" w:space="0" w:color="auto"/>
              <w:bottom w:val="nil"/>
            </w:tcBorders>
          </w:tcPr>
          <w:p w:rsidR="002E69C1" w:rsidRPr="00A661E2" w:rsidRDefault="002E69C1" w:rsidP="00A661E2">
            <w:pPr>
              <w:keepNext/>
              <w:spacing w:after="120" w:line="360" w:lineRule="auto"/>
              <w:jc w:val="center"/>
              <w:rPr>
                <w:rFonts w:ascii="Times New Roman" w:hAnsi="Times New Roman" w:cs="Times New Roman"/>
                <w:color w:val="000000"/>
                <w:sz w:val="24"/>
                <w:szCs w:val="24"/>
              </w:rPr>
            </w:pPr>
            <w:r w:rsidRPr="00A661E2">
              <w:rPr>
                <w:rFonts w:ascii="Times New Roman" w:hAnsi="Times New Roman" w:cs="Times New Roman"/>
                <w:color w:val="000000"/>
                <w:sz w:val="24"/>
                <w:szCs w:val="24"/>
              </w:rPr>
              <w:t>No</w:t>
            </w:r>
          </w:p>
        </w:tc>
      </w:tr>
      <w:tr w:rsidR="002E69C1" w:rsidRPr="000247A3" w:rsidTr="000B1EF6">
        <w:tc>
          <w:tcPr>
            <w:tcW w:w="1848" w:type="dxa"/>
            <w:tcBorders>
              <w:top w:val="nil"/>
              <w:bottom w:val="single" w:sz="4" w:space="0" w:color="auto"/>
            </w:tcBorders>
          </w:tcPr>
          <w:p w:rsidR="002E69C1" w:rsidRPr="00A661E2" w:rsidRDefault="002E69C1" w:rsidP="00A661E2">
            <w:pPr>
              <w:keepNext/>
              <w:spacing w:after="120" w:line="360" w:lineRule="auto"/>
              <w:jc w:val="center"/>
              <w:rPr>
                <w:rFonts w:ascii="Times New Roman" w:hAnsi="Times New Roman" w:cs="Times New Roman"/>
                <w:bCs/>
                <w:i/>
                <w:color w:val="000000"/>
                <w:sz w:val="24"/>
                <w:szCs w:val="24"/>
              </w:rPr>
            </w:pPr>
            <w:r w:rsidRPr="00A661E2">
              <w:rPr>
                <w:rFonts w:ascii="Times New Roman" w:hAnsi="Times New Roman" w:cs="Times New Roman"/>
                <w:bCs/>
                <w:i/>
                <w:color w:val="000000"/>
                <w:sz w:val="24"/>
                <w:szCs w:val="24"/>
              </w:rPr>
              <w:t>T</w:t>
            </w:r>
          </w:p>
        </w:tc>
        <w:tc>
          <w:tcPr>
            <w:tcW w:w="1848" w:type="dxa"/>
            <w:tcBorders>
              <w:top w:val="nil"/>
              <w:bottom w:val="single" w:sz="4" w:space="0" w:color="auto"/>
            </w:tcBorders>
          </w:tcPr>
          <w:p w:rsidR="002E69C1" w:rsidRPr="00A661E2" w:rsidRDefault="002E69C1" w:rsidP="00A661E2">
            <w:pPr>
              <w:keepNext/>
              <w:spacing w:after="120" w:line="360" w:lineRule="auto"/>
              <w:jc w:val="center"/>
              <w:rPr>
                <w:rFonts w:ascii="Times New Roman" w:hAnsi="Times New Roman" w:cs="Times New Roman"/>
                <w:color w:val="000000"/>
                <w:sz w:val="24"/>
                <w:szCs w:val="24"/>
              </w:rPr>
            </w:pPr>
            <w:r w:rsidRPr="00A661E2">
              <w:rPr>
                <w:rFonts w:ascii="Times New Roman" w:hAnsi="Times New Roman" w:cs="Times New Roman"/>
                <w:color w:val="000000"/>
                <w:sz w:val="24"/>
                <w:szCs w:val="24"/>
              </w:rPr>
              <w:t>Yes</w:t>
            </w:r>
          </w:p>
        </w:tc>
        <w:tc>
          <w:tcPr>
            <w:tcW w:w="1848" w:type="dxa"/>
            <w:tcBorders>
              <w:top w:val="nil"/>
              <w:bottom w:val="single" w:sz="4" w:space="0" w:color="auto"/>
            </w:tcBorders>
          </w:tcPr>
          <w:p w:rsidR="002E69C1" w:rsidRPr="00A661E2" w:rsidRDefault="002E69C1" w:rsidP="00A661E2">
            <w:pPr>
              <w:keepNext/>
              <w:spacing w:after="120" w:line="360" w:lineRule="auto"/>
              <w:jc w:val="center"/>
              <w:rPr>
                <w:rFonts w:ascii="Times New Roman" w:hAnsi="Times New Roman" w:cs="Times New Roman"/>
                <w:color w:val="000000"/>
                <w:sz w:val="24"/>
                <w:szCs w:val="24"/>
              </w:rPr>
            </w:pPr>
            <w:r w:rsidRPr="00A661E2">
              <w:rPr>
                <w:rFonts w:ascii="Times New Roman" w:hAnsi="Times New Roman" w:cs="Times New Roman"/>
                <w:color w:val="000000"/>
                <w:sz w:val="24"/>
                <w:szCs w:val="24"/>
              </w:rPr>
              <w:t>Yes</w:t>
            </w:r>
          </w:p>
        </w:tc>
        <w:tc>
          <w:tcPr>
            <w:tcW w:w="1849" w:type="dxa"/>
            <w:tcBorders>
              <w:top w:val="nil"/>
              <w:bottom w:val="single" w:sz="4" w:space="0" w:color="auto"/>
            </w:tcBorders>
          </w:tcPr>
          <w:p w:rsidR="002E69C1" w:rsidRPr="00A661E2" w:rsidRDefault="002E69C1" w:rsidP="00A661E2">
            <w:pPr>
              <w:keepNext/>
              <w:spacing w:after="120" w:line="360" w:lineRule="auto"/>
              <w:jc w:val="center"/>
              <w:rPr>
                <w:rFonts w:ascii="Times New Roman" w:hAnsi="Times New Roman" w:cs="Times New Roman"/>
                <w:color w:val="000000"/>
                <w:sz w:val="24"/>
                <w:szCs w:val="24"/>
              </w:rPr>
            </w:pPr>
            <w:r w:rsidRPr="00A661E2">
              <w:rPr>
                <w:rFonts w:ascii="Times New Roman" w:hAnsi="Times New Roman" w:cs="Times New Roman"/>
                <w:color w:val="000000"/>
                <w:sz w:val="24"/>
                <w:szCs w:val="24"/>
              </w:rPr>
              <w:t>Yes</w:t>
            </w:r>
          </w:p>
        </w:tc>
        <w:tc>
          <w:tcPr>
            <w:tcW w:w="1849" w:type="dxa"/>
            <w:tcBorders>
              <w:top w:val="nil"/>
              <w:bottom w:val="single" w:sz="4" w:space="0" w:color="auto"/>
            </w:tcBorders>
          </w:tcPr>
          <w:p w:rsidR="002E69C1" w:rsidRPr="00A661E2" w:rsidRDefault="002E69C1" w:rsidP="00A661E2">
            <w:pPr>
              <w:keepNext/>
              <w:spacing w:after="120" w:line="360" w:lineRule="auto"/>
              <w:jc w:val="center"/>
              <w:rPr>
                <w:rFonts w:ascii="Times New Roman" w:hAnsi="Times New Roman" w:cs="Times New Roman"/>
                <w:color w:val="000000"/>
                <w:sz w:val="24"/>
                <w:szCs w:val="24"/>
              </w:rPr>
            </w:pPr>
            <w:r w:rsidRPr="00A661E2">
              <w:rPr>
                <w:rFonts w:ascii="Times New Roman" w:hAnsi="Times New Roman" w:cs="Times New Roman"/>
                <w:color w:val="000000"/>
                <w:sz w:val="24"/>
                <w:szCs w:val="24"/>
              </w:rPr>
              <w:t>Yes</w:t>
            </w:r>
          </w:p>
        </w:tc>
      </w:tr>
      <w:tr w:rsidR="002E69C1" w:rsidRPr="000247A3" w:rsidTr="000B1EF6">
        <w:tc>
          <w:tcPr>
            <w:tcW w:w="1848" w:type="dxa"/>
            <w:tcBorders>
              <w:top w:val="single" w:sz="4" w:space="0" w:color="auto"/>
              <w:bottom w:val="single" w:sz="4" w:space="0" w:color="auto"/>
            </w:tcBorders>
          </w:tcPr>
          <w:p w:rsidR="002E69C1" w:rsidRPr="00A661E2" w:rsidRDefault="002E69C1" w:rsidP="00A661E2">
            <w:pPr>
              <w:keepNext/>
              <w:spacing w:after="120" w:line="360" w:lineRule="auto"/>
              <w:jc w:val="center"/>
              <w:rPr>
                <w:rFonts w:ascii="Times New Roman" w:hAnsi="Times New Roman" w:cs="Times New Roman"/>
                <w:bCs/>
                <w:color w:val="000000"/>
                <w:sz w:val="24"/>
                <w:szCs w:val="24"/>
              </w:rPr>
            </w:pPr>
            <w:r w:rsidRPr="00A661E2">
              <w:rPr>
                <w:rFonts w:ascii="Times New Roman" w:hAnsi="Times New Roman" w:cs="Times New Roman"/>
                <w:bCs/>
                <w:color w:val="000000"/>
                <w:sz w:val="24"/>
                <w:szCs w:val="24"/>
              </w:rPr>
              <w:t xml:space="preserve">N </w:t>
            </w:r>
            <w:proofErr w:type="spellStart"/>
            <w:r w:rsidRPr="00A661E2">
              <w:rPr>
                <w:rFonts w:ascii="Times New Roman" w:hAnsi="Times New Roman" w:cs="Times New Roman"/>
                <w:bCs/>
                <w:color w:val="000000"/>
                <w:sz w:val="24"/>
                <w:szCs w:val="24"/>
              </w:rPr>
              <w:t>Obs</w:t>
            </w:r>
            <w:proofErr w:type="spellEnd"/>
          </w:p>
        </w:tc>
        <w:tc>
          <w:tcPr>
            <w:tcW w:w="1848" w:type="dxa"/>
            <w:tcBorders>
              <w:top w:val="single" w:sz="4" w:space="0" w:color="auto"/>
              <w:bottom w:val="single" w:sz="4" w:space="0" w:color="auto"/>
            </w:tcBorders>
          </w:tcPr>
          <w:p w:rsidR="002E69C1" w:rsidRPr="00A661E2" w:rsidRDefault="002E69C1" w:rsidP="00A661E2">
            <w:pPr>
              <w:keepNext/>
              <w:spacing w:after="120" w:line="360" w:lineRule="auto"/>
              <w:jc w:val="center"/>
              <w:rPr>
                <w:rFonts w:ascii="Times New Roman" w:hAnsi="Times New Roman" w:cs="Times New Roman"/>
                <w:color w:val="000000"/>
                <w:sz w:val="24"/>
                <w:szCs w:val="24"/>
              </w:rPr>
            </w:pPr>
            <w:r w:rsidRPr="00A661E2">
              <w:rPr>
                <w:rFonts w:ascii="Times New Roman" w:hAnsi="Times New Roman" w:cs="Times New Roman"/>
                <w:color w:val="000000"/>
                <w:sz w:val="24"/>
                <w:szCs w:val="24"/>
              </w:rPr>
              <w:t>77,624</w:t>
            </w:r>
          </w:p>
        </w:tc>
        <w:tc>
          <w:tcPr>
            <w:tcW w:w="1848" w:type="dxa"/>
            <w:tcBorders>
              <w:top w:val="single" w:sz="4" w:space="0" w:color="auto"/>
              <w:bottom w:val="single" w:sz="4" w:space="0" w:color="auto"/>
            </w:tcBorders>
          </w:tcPr>
          <w:p w:rsidR="002E69C1" w:rsidRPr="00A661E2" w:rsidRDefault="002E69C1" w:rsidP="00A661E2">
            <w:pPr>
              <w:keepNext/>
              <w:spacing w:after="120" w:line="360" w:lineRule="auto"/>
              <w:jc w:val="center"/>
              <w:rPr>
                <w:rFonts w:ascii="Times New Roman" w:hAnsi="Times New Roman" w:cs="Times New Roman"/>
                <w:color w:val="000000"/>
                <w:sz w:val="24"/>
                <w:szCs w:val="24"/>
              </w:rPr>
            </w:pPr>
            <w:r w:rsidRPr="00A661E2">
              <w:rPr>
                <w:rFonts w:ascii="Times New Roman" w:hAnsi="Times New Roman" w:cs="Times New Roman"/>
                <w:color w:val="000000"/>
                <w:sz w:val="24"/>
                <w:szCs w:val="24"/>
              </w:rPr>
              <w:t>77,624</w:t>
            </w:r>
          </w:p>
        </w:tc>
        <w:tc>
          <w:tcPr>
            <w:tcW w:w="1849" w:type="dxa"/>
            <w:tcBorders>
              <w:top w:val="single" w:sz="4" w:space="0" w:color="auto"/>
              <w:bottom w:val="single" w:sz="4" w:space="0" w:color="auto"/>
            </w:tcBorders>
          </w:tcPr>
          <w:p w:rsidR="002E69C1" w:rsidRPr="00A661E2" w:rsidRDefault="002E69C1" w:rsidP="00A661E2">
            <w:pPr>
              <w:keepNext/>
              <w:spacing w:after="120" w:line="360" w:lineRule="auto"/>
              <w:jc w:val="center"/>
              <w:rPr>
                <w:rFonts w:ascii="Times New Roman" w:hAnsi="Times New Roman" w:cs="Times New Roman"/>
                <w:color w:val="000000"/>
                <w:sz w:val="24"/>
                <w:szCs w:val="24"/>
              </w:rPr>
            </w:pPr>
            <w:r w:rsidRPr="00A661E2">
              <w:rPr>
                <w:rFonts w:ascii="Times New Roman" w:hAnsi="Times New Roman" w:cs="Times New Roman"/>
                <w:color w:val="000000"/>
                <w:sz w:val="24"/>
                <w:szCs w:val="24"/>
              </w:rPr>
              <w:t>77,624</w:t>
            </w:r>
          </w:p>
        </w:tc>
        <w:tc>
          <w:tcPr>
            <w:tcW w:w="1849" w:type="dxa"/>
            <w:tcBorders>
              <w:top w:val="single" w:sz="4" w:space="0" w:color="auto"/>
              <w:bottom w:val="single" w:sz="4" w:space="0" w:color="auto"/>
            </w:tcBorders>
          </w:tcPr>
          <w:p w:rsidR="002E69C1" w:rsidRPr="00A661E2" w:rsidRDefault="002E69C1" w:rsidP="00A661E2">
            <w:pPr>
              <w:keepNext/>
              <w:spacing w:after="120" w:line="360" w:lineRule="auto"/>
              <w:jc w:val="center"/>
              <w:rPr>
                <w:rFonts w:ascii="Times New Roman" w:hAnsi="Times New Roman" w:cs="Times New Roman"/>
                <w:color w:val="000000"/>
                <w:sz w:val="24"/>
                <w:szCs w:val="24"/>
              </w:rPr>
            </w:pPr>
            <w:r w:rsidRPr="00A661E2">
              <w:rPr>
                <w:rFonts w:ascii="Times New Roman" w:hAnsi="Times New Roman" w:cs="Times New Roman"/>
                <w:color w:val="000000"/>
                <w:sz w:val="24"/>
                <w:szCs w:val="24"/>
              </w:rPr>
              <w:t>77,624</w:t>
            </w:r>
          </w:p>
        </w:tc>
      </w:tr>
      <w:tr w:rsidR="002E69C1" w:rsidRPr="000247A3" w:rsidTr="000B1EF6">
        <w:tc>
          <w:tcPr>
            <w:tcW w:w="1848" w:type="dxa"/>
            <w:tcBorders>
              <w:top w:val="single" w:sz="4" w:space="0" w:color="auto"/>
            </w:tcBorders>
          </w:tcPr>
          <w:p w:rsidR="002E69C1" w:rsidRPr="00A661E2" w:rsidRDefault="002E69C1" w:rsidP="00A661E2">
            <w:pPr>
              <w:keepNext/>
              <w:spacing w:after="120" w:line="360" w:lineRule="auto"/>
              <w:jc w:val="center"/>
              <w:rPr>
                <w:rFonts w:ascii="Times New Roman" w:hAnsi="Times New Roman" w:cs="Times New Roman"/>
                <w:bCs/>
                <w:color w:val="000000"/>
                <w:sz w:val="24"/>
                <w:szCs w:val="24"/>
              </w:rPr>
            </w:pPr>
            <w:r w:rsidRPr="00A661E2">
              <w:rPr>
                <w:rFonts w:ascii="Times New Roman" w:hAnsi="Times New Roman" w:cs="Times New Roman"/>
                <w:bCs/>
                <w:color w:val="000000"/>
                <w:sz w:val="24"/>
                <w:szCs w:val="24"/>
              </w:rPr>
              <w:t>R-sq</w:t>
            </w:r>
          </w:p>
        </w:tc>
        <w:tc>
          <w:tcPr>
            <w:tcW w:w="1848" w:type="dxa"/>
            <w:tcBorders>
              <w:top w:val="single" w:sz="4" w:space="0" w:color="auto"/>
            </w:tcBorders>
          </w:tcPr>
          <w:p w:rsidR="002E69C1" w:rsidRPr="00A661E2" w:rsidRDefault="002E69C1" w:rsidP="00A661E2">
            <w:pPr>
              <w:keepNext/>
              <w:spacing w:after="120" w:line="360" w:lineRule="auto"/>
              <w:jc w:val="center"/>
              <w:rPr>
                <w:rFonts w:ascii="Times New Roman" w:hAnsi="Times New Roman" w:cs="Times New Roman"/>
                <w:color w:val="000000"/>
                <w:sz w:val="24"/>
                <w:szCs w:val="24"/>
              </w:rPr>
            </w:pPr>
            <w:r w:rsidRPr="00A661E2">
              <w:rPr>
                <w:rFonts w:ascii="Times New Roman" w:hAnsi="Times New Roman" w:cs="Times New Roman"/>
                <w:color w:val="000000"/>
                <w:sz w:val="24"/>
                <w:szCs w:val="24"/>
              </w:rPr>
              <w:t>0.73</w:t>
            </w:r>
          </w:p>
        </w:tc>
        <w:tc>
          <w:tcPr>
            <w:tcW w:w="1848" w:type="dxa"/>
            <w:tcBorders>
              <w:top w:val="single" w:sz="4" w:space="0" w:color="auto"/>
            </w:tcBorders>
          </w:tcPr>
          <w:p w:rsidR="002E69C1" w:rsidRPr="00A661E2" w:rsidRDefault="002E69C1" w:rsidP="00A661E2">
            <w:pPr>
              <w:keepNext/>
              <w:spacing w:after="120" w:line="360" w:lineRule="auto"/>
              <w:jc w:val="center"/>
              <w:rPr>
                <w:rFonts w:ascii="Times New Roman" w:hAnsi="Times New Roman" w:cs="Times New Roman"/>
                <w:color w:val="000000"/>
                <w:sz w:val="24"/>
                <w:szCs w:val="24"/>
              </w:rPr>
            </w:pPr>
            <w:r w:rsidRPr="00A661E2">
              <w:rPr>
                <w:rFonts w:ascii="Times New Roman" w:hAnsi="Times New Roman" w:cs="Times New Roman"/>
                <w:color w:val="000000"/>
                <w:sz w:val="24"/>
                <w:szCs w:val="24"/>
              </w:rPr>
              <w:t>0.01</w:t>
            </w:r>
          </w:p>
        </w:tc>
        <w:tc>
          <w:tcPr>
            <w:tcW w:w="1849" w:type="dxa"/>
            <w:tcBorders>
              <w:top w:val="single" w:sz="4" w:space="0" w:color="auto"/>
            </w:tcBorders>
          </w:tcPr>
          <w:p w:rsidR="002E69C1" w:rsidRPr="00A661E2" w:rsidRDefault="002E69C1" w:rsidP="00A661E2">
            <w:pPr>
              <w:keepNext/>
              <w:spacing w:after="120" w:line="360" w:lineRule="auto"/>
              <w:jc w:val="center"/>
              <w:rPr>
                <w:rFonts w:ascii="Times New Roman" w:hAnsi="Times New Roman" w:cs="Times New Roman"/>
                <w:color w:val="000000"/>
                <w:sz w:val="24"/>
                <w:szCs w:val="24"/>
              </w:rPr>
            </w:pPr>
            <w:r w:rsidRPr="00A661E2">
              <w:rPr>
                <w:rFonts w:ascii="Times New Roman" w:hAnsi="Times New Roman" w:cs="Times New Roman"/>
                <w:color w:val="000000"/>
                <w:sz w:val="24"/>
                <w:szCs w:val="24"/>
              </w:rPr>
              <w:t>0.737</w:t>
            </w:r>
          </w:p>
        </w:tc>
        <w:tc>
          <w:tcPr>
            <w:tcW w:w="1849" w:type="dxa"/>
            <w:tcBorders>
              <w:top w:val="single" w:sz="4" w:space="0" w:color="auto"/>
            </w:tcBorders>
          </w:tcPr>
          <w:p w:rsidR="002E69C1" w:rsidRPr="00A661E2" w:rsidRDefault="002E69C1" w:rsidP="00A661E2">
            <w:pPr>
              <w:keepNext/>
              <w:spacing w:after="120" w:line="360" w:lineRule="auto"/>
              <w:jc w:val="center"/>
              <w:rPr>
                <w:rFonts w:ascii="Times New Roman" w:hAnsi="Times New Roman" w:cs="Times New Roman"/>
                <w:color w:val="000000"/>
                <w:sz w:val="24"/>
                <w:szCs w:val="24"/>
              </w:rPr>
            </w:pPr>
          </w:p>
        </w:tc>
      </w:tr>
      <w:tr w:rsidR="002E69C1" w:rsidRPr="000247A3" w:rsidTr="000B1EF6">
        <w:trPr>
          <w:trHeight w:val="636"/>
        </w:trPr>
        <w:tc>
          <w:tcPr>
            <w:tcW w:w="1848" w:type="dxa"/>
          </w:tcPr>
          <w:p w:rsidR="002E69C1" w:rsidRPr="00A661E2" w:rsidRDefault="002E69C1" w:rsidP="00A661E2">
            <w:pPr>
              <w:keepNext/>
              <w:spacing w:after="120" w:line="360" w:lineRule="auto"/>
              <w:jc w:val="center"/>
              <w:rPr>
                <w:rFonts w:ascii="Times New Roman" w:hAnsi="Times New Roman" w:cs="Times New Roman"/>
                <w:bCs/>
                <w:color w:val="000000"/>
                <w:sz w:val="24"/>
                <w:szCs w:val="24"/>
              </w:rPr>
            </w:pPr>
            <w:r w:rsidRPr="00A661E2">
              <w:rPr>
                <w:rFonts w:ascii="Times New Roman" w:hAnsi="Times New Roman" w:cs="Times New Roman"/>
                <w:bCs/>
                <w:color w:val="000000"/>
                <w:sz w:val="24"/>
                <w:szCs w:val="24"/>
              </w:rPr>
              <w:t>Within</w:t>
            </w:r>
          </w:p>
          <w:p w:rsidR="002E69C1" w:rsidRPr="00A661E2" w:rsidRDefault="002E69C1" w:rsidP="00A661E2">
            <w:pPr>
              <w:keepNext/>
              <w:spacing w:after="120" w:line="360" w:lineRule="auto"/>
              <w:jc w:val="center"/>
              <w:rPr>
                <w:rFonts w:ascii="Times New Roman" w:hAnsi="Times New Roman" w:cs="Times New Roman"/>
                <w:bCs/>
                <w:color w:val="000000"/>
                <w:sz w:val="24"/>
                <w:szCs w:val="24"/>
              </w:rPr>
            </w:pPr>
            <w:r w:rsidRPr="00A661E2">
              <w:rPr>
                <w:rFonts w:ascii="Times New Roman" w:hAnsi="Times New Roman" w:cs="Times New Roman"/>
                <w:bCs/>
                <w:color w:val="000000"/>
                <w:sz w:val="24"/>
                <w:szCs w:val="24"/>
              </w:rPr>
              <w:t>between</w:t>
            </w:r>
          </w:p>
        </w:tc>
        <w:tc>
          <w:tcPr>
            <w:tcW w:w="1848" w:type="dxa"/>
          </w:tcPr>
          <w:p w:rsidR="002E69C1" w:rsidRPr="00A661E2" w:rsidRDefault="002E69C1" w:rsidP="00A661E2">
            <w:pPr>
              <w:keepNext/>
              <w:spacing w:after="120" w:line="360" w:lineRule="auto"/>
              <w:jc w:val="center"/>
              <w:rPr>
                <w:rFonts w:ascii="Times New Roman" w:hAnsi="Times New Roman" w:cs="Times New Roman"/>
                <w:color w:val="000000"/>
                <w:sz w:val="24"/>
                <w:szCs w:val="24"/>
              </w:rPr>
            </w:pPr>
          </w:p>
        </w:tc>
        <w:tc>
          <w:tcPr>
            <w:tcW w:w="1848" w:type="dxa"/>
          </w:tcPr>
          <w:p w:rsidR="002E69C1" w:rsidRPr="00A661E2" w:rsidRDefault="002E69C1" w:rsidP="00A661E2">
            <w:pPr>
              <w:keepNext/>
              <w:spacing w:after="120" w:line="360" w:lineRule="auto"/>
              <w:jc w:val="center"/>
              <w:rPr>
                <w:rFonts w:ascii="Times New Roman" w:hAnsi="Times New Roman" w:cs="Times New Roman"/>
                <w:color w:val="000000"/>
                <w:sz w:val="24"/>
                <w:szCs w:val="24"/>
              </w:rPr>
            </w:pPr>
            <w:r w:rsidRPr="00A661E2">
              <w:rPr>
                <w:rFonts w:ascii="Times New Roman" w:hAnsi="Times New Roman" w:cs="Times New Roman"/>
                <w:color w:val="000000"/>
                <w:sz w:val="24"/>
                <w:szCs w:val="24"/>
              </w:rPr>
              <w:t>0.02</w:t>
            </w:r>
          </w:p>
          <w:p w:rsidR="002E69C1" w:rsidRPr="00A661E2" w:rsidRDefault="002E69C1" w:rsidP="00A661E2">
            <w:pPr>
              <w:keepNext/>
              <w:spacing w:after="120" w:line="360" w:lineRule="auto"/>
              <w:jc w:val="center"/>
              <w:rPr>
                <w:rFonts w:ascii="Times New Roman" w:hAnsi="Times New Roman" w:cs="Times New Roman"/>
                <w:color w:val="000000"/>
                <w:sz w:val="24"/>
                <w:szCs w:val="24"/>
              </w:rPr>
            </w:pPr>
            <w:r w:rsidRPr="00A661E2">
              <w:rPr>
                <w:rFonts w:ascii="Times New Roman" w:hAnsi="Times New Roman" w:cs="Times New Roman"/>
                <w:color w:val="000000"/>
                <w:sz w:val="24"/>
                <w:szCs w:val="24"/>
              </w:rPr>
              <w:t>0.07</w:t>
            </w:r>
          </w:p>
        </w:tc>
        <w:tc>
          <w:tcPr>
            <w:tcW w:w="1849" w:type="dxa"/>
          </w:tcPr>
          <w:p w:rsidR="002E69C1" w:rsidRPr="00A661E2" w:rsidRDefault="002E69C1" w:rsidP="00A661E2">
            <w:pPr>
              <w:keepNext/>
              <w:spacing w:after="120" w:line="360" w:lineRule="auto"/>
              <w:jc w:val="center"/>
              <w:rPr>
                <w:rFonts w:ascii="Times New Roman" w:hAnsi="Times New Roman" w:cs="Times New Roman"/>
                <w:color w:val="000000"/>
                <w:sz w:val="24"/>
                <w:szCs w:val="24"/>
              </w:rPr>
            </w:pPr>
            <w:r w:rsidRPr="00A661E2">
              <w:rPr>
                <w:rFonts w:ascii="Times New Roman" w:hAnsi="Times New Roman" w:cs="Times New Roman"/>
                <w:color w:val="000000"/>
                <w:sz w:val="24"/>
                <w:szCs w:val="24"/>
              </w:rPr>
              <w:t>0.013</w:t>
            </w:r>
          </w:p>
          <w:p w:rsidR="002E69C1" w:rsidRPr="00A661E2" w:rsidRDefault="002E69C1" w:rsidP="00A661E2">
            <w:pPr>
              <w:keepNext/>
              <w:spacing w:after="120" w:line="360" w:lineRule="auto"/>
              <w:jc w:val="center"/>
              <w:rPr>
                <w:rFonts w:ascii="Times New Roman" w:hAnsi="Times New Roman" w:cs="Times New Roman"/>
                <w:color w:val="000000"/>
                <w:sz w:val="24"/>
                <w:szCs w:val="24"/>
              </w:rPr>
            </w:pPr>
            <w:r w:rsidRPr="00A661E2">
              <w:rPr>
                <w:rFonts w:ascii="Times New Roman" w:hAnsi="Times New Roman" w:cs="Times New Roman"/>
                <w:color w:val="000000"/>
                <w:sz w:val="24"/>
                <w:szCs w:val="24"/>
              </w:rPr>
              <w:t>0.737</w:t>
            </w:r>
          </w:p>
        </w:tc>
        <w:tc>
          <w:tcPr>
            <w:tcW w:w="1849" w:type="dxa"/>
          </w:tcPr>
          <w:p w:rsidR="002E69C1" w:rsidRPr="00A661E2" w:rsidRDefault="002E69C1" w:rsidP="00A661E2">
            <w:pPr>
              <w:keepNext/>
              <w:spacing w:after="120" w:line="360" w:lineRule="auto"/>
              <w:jc w:val="center"/>
              <w:rPr>
                <w:rFonts w:ascii="Times New Roman" w:hAnsi="Times New Roman" w:cs="Times New Roman"/>
                <w:color w:val="000000"/>
                <w:sz w:val="24"/>
                <w:szCs w:val="24"/>
              </w:rPr>
            </w:pPr>
          </w:p>
        </w:tc>
      </w:tr>
      <w:tr w:rsidR="002E69C1" w:rsidRPr="000247A3" w:rsidTr="000B1EF6">
        <w:tc>
          <w:tcPr>
            <w:tcW w:w="1848" w:type="dxa"/>
          </w:tcPr>
          <w:p w:rsidR="002E69C1" w:rsidRPr="00A661E2" w:rsidRDefault="002E69C1" w:rsidP="00A661E2">
            <w:pPr>
              <w:keepNext/>
              <w:spacing w:after="120" w:line="360" w:lineRule="auto"/>
              <w:jc w:val="center"/>
              <w:rPr>
                <w:rFonts w:ascii="Times New Roman" w:hAnsi="Times New Roman" w:cs="Times New Roman"/>
                <w:bCs/>
                <w:color w:val="000000"/>
                <w:sz w:val="24"/>
                <w:szCs w:val="24"/>
              </w:rPr>
            </w:pPr>
            <w:r w:rsidRPr="00A661E2">
              <w:rPr>
                <w:rFonts w:ascii="Times New Roman" w:hAnsi="Times New Roman" w:cs="Times New Roman"/>
                <w:bCs/>
                <w:color w:val="000000"/>
                <w:sz w:val="24"/>
                <w:szCs w:val="24"/>
              </w:rPr>
              <w:t>Hansen</w:t>
            </w:r>
          </w:p>
        </w:tc>
        <w:tc>
          <w:tcPr>
            <w:tcW w:w="1848" w:type="dxa"/>
          </w:tcPr>
          <w:p w:rsidR="002E69C1" w:rsidRPr="00A661E2" w:rsidRDefault="002E69C1" w:rsidP="00A661E2">
            <w:pPr>
              <w:keepNext/>
              <w:spacing w:after="120" w:line="360" w:lineRule="auto"/>
              <w:jc w:val="center"/>
              <w:rPr>
                <w:rFonts w:ascii="Times New Roman" w:hAnsi="Times New Roman" w:cs="Times New Roman"/>
                <w:color w:val="000000"/>
                <w:sz w:val="24"/>
                <w:szCs w:val="24"/>
              </w:rPr>
            </w:pPr>
          </w:p>
        </w:tc>
        <w:tc>
          <w:tcPr>
            <w:tcW w:w="1848" w:type="dxa"/>
          </w:tcPr>
          <w:p w:rsidR="002E69C1" w:rsidRPr="00A661E2" w:rsidRDefault="002E69C1" w:rsidP="00A661E2">
            <w:pPr>
              <w:keepNext/>
              <w:spacing w:after="120" w:line="360" w:lineRule="auto"/>
              <w:jc w:val="center"/>
              <w:rPr>
                <w:rFonts w:ascii="Times New Roman" w:hAnsi="Times New Roman" w:cs="Times New Roman"/>
                <w:color w:val="000000"/>
                <w:sz w:val="24"/>
                <w:szCs w:val="24"/>
              </w:rPr>
            </w:pPr>
          </w:p>
        </w:tc>
        <w:tc>
          <w:tcPr>
            <w:tcW w:w="1849" w:type="dxa"/>
          </w:tcPr>
          <w:p w:rsidR="002E69C1" w:rsidRPr="00A661E2" w:rsidRDefault="002E69C1" w:rsidP="00A661E2">
            <w:pPr>
              <w:keepNext/>
              <w:spacing w:after="120" w:line="360" w:lineRule="auto"/>
              <w:jc w:val="center"/>
              <w:rPr>
                <w:rFonts w:ascii="Times New Roman" w:hAnsi="Times New Roman" w:cs="Times New Roman"/>
                <w:color w:val="000000"/>
                <w:sz w:val="24"/>
                <w:szCs w:val="24"/>
              </w:rPr>
            </w:pPr>
          </w:p>
        </w:tc>
        <w:tc>
          <w:tcPr>
            <w:tcW w:w="1849" w:type="dxa"/>
          </w:tcPr>
          <w:p w:rsidR="002E69C1" w:rsidRPr="00A661E2" w:rsidRDefault="002E69C1" w:rsidP="00A661E2">
            <w:pPr>
              <w:keepNext/>
              <w:spacing w:after="120" w:line="360" w:lineRule="auto"/>
              <w:jc w:val="center"/>
              <w:rPr>
                <w:rFonts w:ascii="Times New Roman" w:hAnsi="Times New Roman" w:cs="Times New Roman"/>
                <w:color w:val="000000"/>
                <w:sz w:val="24"/>
                <w:szCs w:val="24"/>
              </w:rPr>
            </w:pPr>
            <w:r w:rsidRPr="00A661E2">
              <w:rPr>
                <w:rFonts w:ascii="Times New Roman" w:hAnsi="Times New Roman" w:cs="Times New Roman"/>
                <w:color w:val="000000"/>
                <w:sz w:val="24"/>
                <w:szCs w:val="24"/>
              </w:rPr>
              <w:t>6.22</w:t>
            </w:r>
          </w:p>
        </w:tc>
      </w:tr>
      <w:tr w:rsidR="002E69C1" w:rsidRPr="000247A3" w:rsidTr="000B1EF6">
        <w:tc>
          <w:tcPr>
            <w:tcW w:w="1848" w:type="dxa"/>
          </w:tcPr>
          <w:p w:rsidR="002E69C1" w:rsidRPr="00A661E2" w:rsidRDefault="002E69C1" w:rsidP="00A661E2">
            <w:pPr>
              <w:keepNext/>
              <w:spacing w:after="120" w:line="360" w:lineRule="auto"/>
              <w:jc w:val="center"/>
              <w:rPr>
                <w:rFonts w:ascii="Times New Roman" w:hAnsi="Times New Roman" w:cs="Times New Roman"/>
                <w:bCs/>
                <w:color w:val="000000"/>
                <w:sz w:val="24"/>
                <w:szCs w:val="24"/>
              </w:rPr>
            </w:pPr>
            <w:r w:rsidRPr="00A661E2">
              <w:rPr>
                <w:rFonts w:ascii="Times New Roman" w:hAnsi="Times New Roman" w:cs="Times New Roman"/>
                <w:bCs/>
                <w:color w:val="000000"/>
                <w:sz w:val="24"/>
                <w:szCs w:val="24"/>
              </w:rPr>
              <w:t>p value</w:t>
            </w:r>
          </w:p>
        </w:tc>
        <w:tc>
          <w:tcPr>
            <w:tcW w:w="1848" w:type="dxa"/>
          </w:tcPr>
          <w:p w:rsidR="002E69C1" w:rsidRPr="00A661E2" w:rsidRDefault="002E69C1" w:rsidP="00A661E2">
            <w:pPr>
              <w:keepNext/>
              <w:spacing w:after="120" w:line="360" w:lineRule="auto"/>
              <w:jc w:val="center"/>
              <w:rPr>
                <w:rFonts w:ascii="Times New Roman" w:hAnsi="Times New Roman" w:cs="Times New Roman"/>
                <w:color w:val="000000"/>
                <w:sz w:val="24"/>
                <w:szCs w:val="24"/>
              </w:rPr>
            </w:pPr>
          </w:p>
        </w:tc>
        <w:tc>
          <w:tcPr>
            <w:tcW w:w="1848" w:type="dxa"/>
          </w:tcPr>
          <w:p w:rsidR="002E69C1" w:rsidRPr="00A661E2" w:rsidRDefault="002E69C1" w:rsidP="00A661E2">
            <w:pPr>
              <w:keepNext/>
              <w:spacing w:after="120" w:line="360" w:lineRule="auto"/>
              <w:jc w:val="center"/>
              <w:rPr>
                <w:rFonts w:ascii="Times New Roman" w:hAnsi="Times New Roman" w:cs="Times New Roman"/>
                <w:color w:val="000000"/>
                <w:sz w:val="24"/>
                <w:szCs w:val="24"/>
              </w:rPr>
            </w:pPr>
          </w:p>
        </w:tc>
        <w:tc>
          <w:tcPr>
            <w:tcW w:w="1849" w:type="dxa"/>
          </w:tcPr>
          <w:p w:rsidR="002E69C1" w:rsidRPr="00A661E2" w:rsidRDefault="002E69C1" w:rsidP="00A661E2">
            <w:pPr>
              <w:keepNext/>
              <w:spacing w:after="120" w:line="360" w:lineRule="auto"/>
              <w:jc w:val="center"/>
              <w:rPr>
                <w:rFonts w:ascii="Times New Roman" w:hAnsi="Times New Roman" w:cs="Times New Roman"/>
                <w:color w:val="000000"/>
                <w:sz w:val="24"/>
                <w:szCs w:val="24"/>
              </w:rPr>
            </w:pPr>
          </w:p>
        </w:tc>
        <w:tc>
          <w:tcPr>
            <w:tcW w:w="1849" w:type="dxa"/>
          </w:tcPr>
          <w:p w:rsidR="002E69C1" w:rsidRPr="00A661E2" w:rsidRDefault="002E69C1" w:rsidP="00A661E2">
            <w:pPr>
              <w:keepNext/>
              <w:spacing w:after="120" w:line="360" w:lineRule="auto"/>
              <w:jc w:val="center"/>
              <w:rPr>
                <w:rFonts w:ascii="Times New Roman" w:hAnsi="Times New Roman" w:cs="Times New Roman"/>
                <w:color w:val="000000"/>
                <w:sz w:val="24"/>
                <w:szCs w:val="24"/>
              </w:rPr>
            </w:pPr>
            <w:r w:rsidRPr="00A661E2">
              <w:rPr>
                <w:rFonts w:ascii="Times New Roman" w:hAnsi="Times New Roman" w:cs="Times New Roman"/>
                <w:color w:val="000000"/>
                <w:sz w:val="24"/>
                <w:szCs w:val="24"/>
              </w:rPr>
              <w:t>0.044</w:t>
            </w:r>
          </w:p>
        </w:tc>
      </w:tr>
      <w:tr w:rsidR="002E69C1" w:rsidRPr="000247A3" w:rsidTr="000B1EF6">
        <w:tc>
          <w:tcPr>
            <w:tcW w:w="1848" w:type="dxa"/>
          </w:tcPr>
          <w:p w:rsidR="002E69C1" w:rsidRPr="00A661E2" w:rsidRDefault="002E69C1" w:rsidP="00A661E2">
            <w:pPr>
              <w:keepNext/>
              <w:spacing w:after="120" w:line="360" w:lineRule="auto"/>
              <w:jc w:val="center"/>
              <w:rPr>
                <w:rFonts w:ascii="Times New Roman" w:hAnsi="Times New Roman" w:cs="Times New Roman"/>
                <w:bCs/>
                <w:color w:val="000000"/>
                <w:sz w:val="24"/>
                <w:szCs w:val="24"/>
              </w:rPr>
            </w:pPr>
            <w:r w:rsidRPr="00A661E2">
              <w:rPr>
                <w:rFonts w:ascii="Times New Roman" w:hAnsi="Times New Roman" w:cs="Times New Roman"/>
                <w:bCs/>
                <w:color w:val="000000"/>
                <w:sz w:val="24"/>
                <w:szCs w:val="24"/>
              </w:rPr>
              <w:t>AR(1)</w:t>
            </w:r>
          </w:p>
        </w:tc>
        <w:tc>
          <w:tcPr>
            <w:tcW w:w="1848" w:type="dxa"/>
          </w:tcPr>
          <w:p w:rsidR="002E69C1" w:rsidRPr="00A661E2" w:rsidRDefault="002E69C1" w:rsidP="00A661E2">
            <w:pPr>
              <w:keepNext/>
              <w:spacing w:after="120" w:line="360" w:lineRule="auto"/>
              <w:jc w:val="center"/>
              <w:rPr>
                <w:rFonts w:ascii="Times New Roman" w:hAnsi="Times New Roman" w:cs="Times New Roman"/>
                <w:color w:val="000000"/>
                <w:sz w:val="24"/>
                <w:szCs w:val="24"/>
              </w:rPr>
            </w:pPr>
          </w:p>
        </w:tc>
        <w:tc>
          <w:tcPr>
            <w:tcW w:w="1848" w:type="dxa"/>
          </w:tcPr>
          <w:p w:rsidR="002E69C1" w:rsidRPr="00A661E2" w:rsidRDefault="002E69C1" w:rsidP="00A661E2">
            <w:pPr>
              <w:keepNext/>
              <w:spacing w:after="120" w:line="360" w:lineRule="auto"/>
              <w:jc w:val="center"/>
              <w:rPr>
                <w:rFonts w:ascii="Times New Roman" w:hAnsi="Times New Roman" w:cs="Times New Roman"/>
                <w:color w:val="000000"/>
                <w:sz w:val="24"/>
                <w:szCs w:val="24"/>
              </w:rPr>
            </w:pPr>
          </w:p>
        </w:tc>
        <w:tc>
          <w:tcPr>
            <w:tcW w:w="1849" w:type="dxa"/>
          </w:tcPr>
          <w:p w:rsidR="002E69C1" w:rsidRPr="00A661E2" w:rsidRDefault="002E69C1" w:rsidP="00A661E2">
            <w:pPr>
              <w:keepNext/>
              <w:spacing w:after="120" w:line="360" w:lineRule="auto"/>
              <w:jc w:val="center"/>
              <w:rPr>
                <w:rFonts w:ascii="Times New Roman" w:hAnsi="Times New Roman" w:cs="Times New Roman"/>
                <w:color w:val="000000"/>
                <w:sz w:val="24"/>
                <w:szCs w:val="24"/>
              </w:rPr>
            </w:pPr>
          </w:p>
        </w:tc>
        <w:tc>
          <w:tcPr>
            <w:tcW w:w="1849" w:type="dxa"/>
          </w:tcPr>
          <w:p w:rsidR="002E69C1" w:rsidRPr="00A661E2" w:rsidRDefault="002E69C1" w:rsidP="00A661E2">
            <w:pPr>
              <w:keepNext/>
              <w:spacing w:after="120" w:line="360" w:lineRule="auto"/>
              <w:jc w:val="center"/>
              <w:rPr>
                <w:rFonts w:ascii="Times New Roman" w:hAnsi="Times New Roman" w:cs="Times New Roman"/>
                <w:color w:val="000000"/>
                <w:sz w:val="24"/>
                <w:szCs w:val="24"/>
              </w:rPr>
            </w:pPr>
            <w:r w:rsidRPr="00A661E2">
              <w:rPr>
                <w:rFonts w:ascii="Times New Roman" w:hAnsi="Times New Roman" w:cs="Times New Roman"/>
                <w:color w:val="000000"/>
                <w:sz w:val="24"/>
                <w:szCs w:val="24"/>
              </w:rPr>
              <w:t>-19.76</w:t>
            </w:r>
          </w:p>
        </w:tc>
      </w:tr>
      <w:tr w:rsidR="002E69C1" w:rsidRPr="000247A3" w:rsidTr="000B1EF6">
        <w:tc>
          <w:tcPr>
            <w:tcW w:w="1848" w:type="dxa"/>
          </w:tcPr>
          <w:p w:rsidR="002E69C1" w:rsidRPr="00A661E2" w:rsidRDefault="002E69C1" w:rsidP="00A661E2">
            <w:pPr>
              <w:keepNext/>
              <w:spacing w:after="120" w:line="360" w:lineRule="auto"/>
              <w:jc w:val="center"/>
              <w:rPr>
                <w:rFonts w:ascii="Times New Roman" w:hAnsi="Times New Roman" w:cs="Times New Roman"/>
                <w:bCs/>
                <w:color w:val="000000"/>
                <w:sz w:val="24"/>
                <w:szCs w:val="24"/>
              </w:rPr>
            </w:pPr>
            <w:r w:rsidRPr="00A661E2">
              <w:rPr>
                <w:rFonts w:ascii="Times New Roman" w:hAnsi="Times New Roman" w:cs="Times New Roman"/>
                <w:bCs/>
                <w:color w:val="000000"/>
                <w:sz w:val="24"/>
                <w:szCs w:val="24"/>
              </w:rPr>
              <w:t>p value</w:t>
            </w:r>
          </w:p>
        </w:tc>
        <w:tc>
          <w:tcPr>
            <w:tcW w:w="1848" w:type="dxa"/>
          </w:tcPr>
          <w:p w:rsidR="002E69C1" w:rsidRPr="00A661E2" w:rsidRDefault="002E69C1" w:rsidP="00A661E2">
            <w:pPr>
              <w:keepNext/>
              <w:spacing w:after="120" w:line="360" w:lineRule="auto"/>
              <w:jc w:val="center"/>
              <w:rPr>
                <w:rFonts w:ascii="Times New Roman" w:hAnsi="Times New Roman" w:cs="Times New Roman"/>
                <w:color w:val="000000"/>
                <w:sz w:val="24"/>
                <w:szCs w:val="24"/>
              </w:rPr>
            </w:pPr>
          </w:p>
        </w:tc>
        <w:tc>
          <w:tcPr>
            <w:tcW w:w="1848" w:type="dxa"/>
          </w:tcPr>
          <w:p w:rsidR="002E69C1" w:rsidRPr="00A661E2" w:rsidRDefault="002E69C1" w:rsidP="00A661E2">
            <w:pPr>
              <w:keepNext/>
              <w:spacing w:after="120" w:line="360" w:lineRule="auto"/>
              <w:jc w:val="center"/>
              <w:rPr>
                <w:rFonts w:ascii="Times New Roman" w:hAnsi="Times New Roman" w:cs="Times New Roman"/>
                <w:color w:val="000000"/>
                <w:sz w:val="24"/>
                <w:szCs w:val="24"/>
              </w:rPr>
            </w:pPr>
          </w:p>
        </w:tc>
        <w:tc>
          <w:tcPr>
            <w:tcW w:w="1849" w:type="dxa"/>
          </w:tcPr>
          <w:p w:rsidR="002E69C1" w:rsidRPr="00A661E2" w:rsidRDefault="002E69C1" w:rsidP="00A661E2">
            <w:pPr>
              <w:keepNext/>
              <w:spacing w:after="120" w:line="360" w:lineRule="auto"/>
              <w:jc w:val="center"/>
              <w:rPr>
                <w:rFonts w:ascii="Times New Roman" w:hAnsi="Times New Roman" w:cs="Times New Roman"/>
                <w:color w:val="000000"/>
                <w:sz w:val="24"/>
                <w:szCs w:val="24"/>
              </w:rPr>
            </w:pPr>
          </w:p>
        </w:tc>
        <w:tc>
          <w:tcPr>
            <w:tcW w:w="1849" w:type="dxa"/>
          </w:tcPr>
          <w:p w:rsidR="002E69C1" w:rsidRPr="00A661E2" w:rsidRDefault="002E69C1" w:rsidP="00A661E2">
            <w:pPr>
              <w:keepNext/>
              <w:spacing w:after="120" w:line="360" w:lineRule="auto"/>
              <w:jc w:val="center"/>
              <w:rPr>
                <w:rFonts w:ascii="Times New Roman" w:hAnsi="Times New Roman" w:cs="Times New Roman"/>
                <w:color w:val="000000"/>
                <w:sz w:val="24"/>
                <w:szCs w:val="24"/>
              </w:rPr>
            </w:pPr>
            <w:r w:rsidRPr="00A661E2">
              <w:rPr>
                <w:rFonts w:ascii="Times New Roman" w:hAnsi="Times New Roman" w:cs="Times New Roman"/>
                <w:color w:val="000000"/>
                <w:sz w:val="24"/>
                <w:szCs w:val="24"/>
              </w:rPr>
              <w:t>0.000</w:t>
            </w:r>
          </w:p>
        </w:tc>
      </w:tr>
      <w:tr w:rsidR="002E69C1" w:rsidRPr="000247A3" w:rsidTr="000B1EF6">
        <w:tc>
          <w:tcPr>
            <w:tcW w:w="1848" w:type="dxa"/>
          </w:tcPr>
          <w:p w:rsidR="002E69C1" w:rsidRPr="00A661E2" w:rsidRDefault="002E69C1" w:rsidP="00A661E2">
            <w:pPr>
              <w:keepNext/>
              <w:spacing w:after="120" w:line="360" w:lineRule="auto"/>
              <w:jc w:val="center"/>
              <w:rPr>
                <w:rFonts w:ascii="Times New Roman" w:hAnsi="Times New Roman" w:cs="Times New Roman"/>
                <w:bCs/>
                <w:color w:val="000000"/>
                <w:sz w:val="24"/>
                <w:szCs w:val="24"/>
              </w:rPr>
            </w:pPr>
            <w:r w:rsidRPr="00A661E2">
              <w:rPr>
                <w:rFonts w:ascii="Times New Roman" w:hAnsi="Times New Roman" w:cs="Times New Roman"/>
                <w:bCs/>
                <w:color w:val="000000"/>
                <w:sz w:val="24"/>
                <w:szCs w:val="24"/>
              </w:rPr>
              <w:t>AR(2)</w:t>
            </w:r>
          </w:p>
        </w:tc>
        <w:tc>
          <w:tcPr>
            <w:tcW w:w="1848" w:type="dxa"/>
          </w:tcPr>
          <w:p w:rsidR="002E69C1" w:rsidRPr="00A661E2" w:rsidRDefault="002E69C1" w:rsidP="00A661E2">
            <w:pPr>
              <w:keepNext/>
              <w:spacing w:after="120" w:line="360" w:lineRule="auto"/>
              <w:jc w:val="center"/>
              <w:rPr>
                <w:rFonts w:ascii="Times New Roman" w:hAnsi="Times New Roman" w:cs="Times New Roman"/>
                <w:color w:val="000000"/>
                <w:sz w:val="24"/>
                <w:szCs w:val="24"/>
              </w:rPr>
            </w:pPr>
          </w:p>
        </w:tc>
        <w:tc>
          <w:tcPr>
            <w:tcW w:w="1848" w:type="dxa"/>
          </w:tcPr>
          <w:p w:rsidR="002E69C1" w:rsidRPr="00A661E2" w:rsidRDefault="002E69C1" w:rsidP="00A661E2">
            <w:pPr>
              <w:keepNext/>
              <w:spacing w:after="120" w:line="360" w:lineRule="auto"/>
              <w:jc w:val="center"/>
              <w:rPr>
                <w:rFonts w:ascii="Times New Roman" w:hAnsi="Times New Roman" w:cs="Times New Roman"/>
                <w:color w:val="000000"/>
                <w:sz w:val="24"/>
                <w:szCs w:val="24"/>
              </w:rPr>
            </w:pPr>
          </w:p>
        </w:tc>
        <w:tc>
          <w:tcPr>
            <w:tcW w:w="1849" w:type="dxa"/>
          </w:tcPr>
          <w:p w:rsidR="002E69C1" w:rsidRPr="00A661E2" w:rsidRDefault="002E69C1" w:rsidP="00A661E2">
            <w:pPr>
              <w:keepNext/>
              <w:spacing w:after="120" w:line="360" w:lineRule="auto"/>
              <w:jc w:val="center"/>
              <w:rPr>
                <w:rFonts w:ascii="Times New Roman" w:hAnsi="Times New Roman" w:cs="Times New Roman"/>
                <w:color w:val="000000"/>
                <w:sz w:val="24"/>
                <w:szCs w:val="24"/>
              </w:rPr>
            </w:pPr>
          </w:p>
        </w:tc>
        <w:tc>
          <w:tcPr>
            <w:tcW w:w="1849" w:type="dxa"/>
          </w:tcPr>
          <w:p w:rsidR="002E69C1" w:rsidRPr="00A661E2" w:rsidRDefault="002E69C1" w:rsidP="00A661E2">
            <w:pPr>
              <w:keepNext/>
              <w:spacing w:after="120" w:line="360" w:lineRule="auto"/>
              <w:jc w:val="center"/>
              <w:rPr>
                <w:rFonts w:ascii="Times New Roman" w:hAnsi="Times New Roman" w:cs="Times New Roman"/>
                <w:color w:val="000000"/>
                <w:sz w:val="24"/>
                <w:szCs w:val="24"/>
              </w:rPr>
            </w:pPr>
            <w:r w:rsidRPr="00A661E2">
              <w:rPr>
                <w:rFonts w:ascii="Times New Roman" w:hAnsi="Times New Roman" w:cs="Times New Roman"/>
                <w:color w:val="000000"/>
                <w:sz w:val="24"/>
                <w:szCs w:val="24"/>
              </w:rPr>
              <w:t>2.03</w:t>
            </w:r>
          </w:p>
        </w:tc>
      </w:tr>
      <w:tr w:rsidR="002E69C1" w:rsidRPr="000247A3" w:rsidTr="000B1EF6">
        <w:tc>
          <w:tcPr>
            <w:tcW w:w="1848" w:type="dxa"/>
          </w:tcPr>
          <w:p w:rsidR="002E69C1" w:rsidRPr="00A661E2" w:rsidRDefault="002E69C1" w:rsidP="00A661E2">
            <w:pPr>
              <w:keepNext/>
              <w:spacing w:after="120" w:line="360" w:lineRule="auto"/>
              <w:jc w:val="center"/>
              <w:rPr>
                <w:rFonts w:ascii="Times New Roman" w:hAnsi="Times New Roman" w:cs="Times New Roman"/>
                <w:bCs/>
                <w:color w:val="000000"/>
                <w:sz w:val="24"/>
                <w:szCs w:val="24"/>
              </w:rPr>
            </w:pPr>
            <w:r w:rsidRPr="00A661E2">
              <w:rPr>
                <w:rFonts w:ascii="Times New Roman" w:hAnsi="Times New Roman" w:cs="Times New Roman"/>
                <w:bCs/>
                <w:color w:val="000000"/>
                <w:sz w:val="24"/>
                <w:szCs w:val="24"/>
              </w:rPr>
              <w:t>p value</w:t>
            </w:r>
          </w:p>
        </w:tc>
        <w:tc>
          <w:tcPr>
            <w:tcW w:w="1848" w:type="dxa"/>
          </w:tcPr>
          <w:p w:rsidR="002E69C1" w:rsidRPr="00A661E2" w:rsidRDefault="002E69C1" w:rsidP="00A661E2">
            <w:pPr>
              <w:keepNext/>
              <w:spacing w:after="120" w:line="360" w:lineRule="auto"/>
              <w:jc w:val="center"/>
              <w:rPr>
                <w:rFonts w:ascii="Times New Roman" w:hAnsi="Times New Roman" w:cs="Times New Roman"/>
                <w:color w:val="000000"/>
                <w:sz w:val="24"/>
                <w:szCs w:val="24"/>
              </w:rPr>
            </w:pPr>
          </w:p>
        </w:tc>
        <w:tc>
          <w:tcPr>
            <w:tcW w:w="1848" w:type="dxa"/>
          </w:tcPr>
          <w:p w:rsidR="002E69C1" w:rsidRPr="00A661E2" w:rsidRDefault="002E69C1" w:rsidP="00A661E2">
            <w:pPr>
              <w:keepNext/>
              <w:spacing w:after="120" w:line="360" w:lineRule="auto"/>
              <w:jc w:val="center"/>
              <w:rPr>
                <w:rFonts w:ascii="Times New Roman" w:hAnsi="Times New Roman" w:cs="Times New Roman"/>
                <w:color w:val="000000"/>
                <w:sz w:val="24"/>
                <w:szCs w:val="24"/>
              </w:rPr>
            </w:pPr>
          </w:p>
        </w:tc>
        <w:tc>
          <w:tcPr>
            <w:tcW w:w="1849" w:type="dxa"/>
          </w:tcPr>
          <w:p w:rsidR="002E69C1" w:rsidRPr="00A661E2" w:rsidRDefault="002E69C1" w:rsidP="00A661E2">
            <w:pPr>
              <w:keepNext/>
              <w:spacing w:after="120" w:line="360" w:lineRule="auto"/>
              <w:jc w:val="center"/>
              <w:rPr>
                <w:rFonts w:ascii="Times New Roman" w:hAnsi="Times New Roman" w:cs="Times New Roman"/>
                <w:color w:val="000000"/>
                <w:sz w:val="24"/>
                <w:szCs w:val="24"/>
              </w:rPr>
            </w:pPr>
          </w:p>
        </w:tc>
        <w:tc>
          <w:tcPr>
            <w:tcW w:w="1849" w:type="dxa"/>
          </w:tcPr>
          <w:p w:rsidR="002E69C1" w:rsidRPr="00A661E2" w:rsidRDefault="002E69C1" w:rsidP="00A661E2">
            <w:pPr>
              <w:keepNext/>
              <w:spacing w:after="120" w:line="360" w:lineRule="auto"/>
              <w:jc w:val="center"/>
              <w:rPr>
                <w:rFonts w:ascii="Times New Roman" w:hAnsi="Times New Roman" w:cs="Times New Roman"/>
                <w:color w:val="000000"/>
                <w:sz w:val="24"/>
                <w:szCs w:val="24"/>
              </w:rPr>
            </w:pPr>
            <w:r w:rsidRPr="00A661E2">
              <w:rPr>
                <w:rFonts w:ascii="Times New Roman" w:hAnsi="Times New Roman" w:cs="Times New Roman"/>
                <w:color w:val="000000"/>
                <w:sz w:val="24"/>
                <w:szCs w:val="24"/>
              </w:rPr>
              <w:t>0.042</w:t>
            </w:r>
          </w:p>
        </w:tc>
      </w:tr>
      <w:tr w:rsidR="002E69C1" w:rsidRPr="000247A3" w:rsidTr="000B1EF6">
        <w:tc>
          <w:tcPr>
            <w:tcW w:w="9242" w:type="dxa"/>
            <w:gridSpan w:val="5"/>
          </w:tcPr>
          <w:p w:rsidR="002E69C1" w:rsidRDefault="002E69C1" w:rsidP="00A661E2"/>
          <w:p w:rsidR="002E69C1" w:rsidRPr="00A661E2" w:rsidRDefault="002E69C1" w:rsidP="00A661E2">
            <w:pPr>
              <w:pStyle w:val="TSRCtablefigureheading"/>
              <w:rPr>
                <w:rFonts w:ascii="Times New Roman" w:hAnsi="Times New Roman" w:cs="Times New Roman"/>
                <w:sz w:val="24"/>
                <w:szCs w:val="24"/>
                <w:u w:val="none"/>
              </w:rPr>
            </w:pPr>
            <w:r w:rsidRPr="00A661E2">
              <w:rPr>
                <w:rFonts w:ascii="Times New Roman" w:hAnsi="Times New Roman" w:cs="Times New Roman"/>
                <w:color w:val="000000"/>
                <w:sz w:val="24"/>
                <w:szCs w:val="24"/>
                <w:u w:val="none"/>
              </w:rPr>
              <w:t xml:space="preserve">Notes. </w:t>
            </w:r>
            <w:r w:rsidRPr="00A661E2">
              <w:rPr>
                <w:rFonts w:ascii="Times New Roman" w:hAnsi="Times New Roman" w:cs="Times New Roman"/>
                <w:b w:val="0"/>
                <w:sz w:val="24"/>
                <w:szCs w:val="24"/>
                <w:u w:val="none"/>
              </w:rPr>
              <w:t>*significant at 5%;**significant at 1%</w:t>
            </w:r>
          </w:p>
        </w:tc>
      </w:tr>
    </w:tbl>
    <w:p w:rsidR="002E69C1" w:rsidRDefault="002E69C1" w:rsidP="00A661E2"/>
    <w:p w:rsidR="002E69C1" w:rsidRPr="000247A3" w:rsidRDefault="002E69C1" w:rsidP="00F44FEF">
      <w:pPr>
        <w:pStyle w:val="TSRCtablefigureheading"/>
      </w:pPr>
    </w:p>
    <w:tbl>
      <w:tblPr>
        <w:tblW w:w="0" w:type="auto"/>
        <w:tblCellMar>
          <w:top w:w="113" w:type="dxa"/>
        </w:tblCellMar>
        <w:tblLook w:val="04A0" w:firstRow="1" w:lastRow="0" w:firstColumn="1" w:lastColumn="0" w:noHBand="0" w:noVBand="1"/>
      </w:tblPr>
      <w:tblGrid>
        <w:gridCol w:w="2286"/>
        <w:gridCol w:w="1694"/>
        <w:gridCol w:w="2660"/>
        <w:gridCol w:w="2602"/>
      </w:tblGrid>
      <w:tr w:rsidR="002E69C1" w:rsidRPr="000247A3" w:rsidTr="000B1EF6">
        <w:trPr>
          <w:trHeight w:hRule="exact" w:val="113"/>
        </w:trPr>
        <w:tc>
          <w:tcPr>
            <w:tcW w:w="2286" w:type="dxa"/>
            <w:tcBorders>
              <w:top w:val="single" w:sz="4" w:space="0" w:color="auto"/>
            </w:tcBorders>
            <w:shd w:val="clear" w:color="auto" w:fill="auto"/>
          </w:tcPr>
          <w:p w:rsidR="002E69C1" w:rsidRPr="000247A3" w:rsidRDefault="002E69C1" w:rsidP="000B1EF6">
            <w:pPr>
              <w:spacing w:line="480" w:lineRule="auto"/>
              <w:rPr>
                <w:rFonts w:cs="Arial"/>
                <w:sz w:val="20"/>
                <w:szCs w:val="20"/>
              </w:rPr>
            </w:pPr>
          </w:p>
        </w:tc>
        <w:tc>
          <w:tcPr>
            <w:tcW w:w="1694" w:type="dxa"/>
            <w:tcBorders>
              <w:top w:val="single" w:sz="4" w:space="0" w:color="auto"/>
            </w:tcBorders>
          </w:tcPr>
          <w:p w:rsidR="002E69C1" w:rsidRPr="000247A3" w:rsidRDefault="002E69C1" w:rsidP="000B1EF6">
            <w:pPr>
              <w:spacing w:line="480" w:lineRule="auto"/>
              <w:rPr>
                <w:rFonts w:cs="Arial"/>
                <w:sz w:val="20"/>
                <w:szCs w:val="20"/>
              </w:rPr>
            </w:pPr>
          </w:p>
        </w:tc>
        <w:tc>
          <w:tcPr>
            <w:tcW w:w="2660" w:type="dxa"/>
            <w:tcBorders>
              <w:top w:val="single" w:sz="4" w:space="0" w:color="auto"/>
            </w:tcBorders>
            <w:shd w:val="clear" w:color="auto" w:fill="auto"/>
          </w:tcPr>
          <w:p w:rsidR="002E69C1" w:rsidRPr="000247A3" w:rsidRDefault="002E69C1" w:rsidP="000B1EF6">
            <w:pPr>
              <w:spacing w:line="480" w:lineRule="auto"/>
              <w:rPr>
                <w:rFonts w:cs="Arial"/>
                <w:sz w:val="20"/>
                <w:szCs w:val="20"/>
              </w:rPr>
            </w:pPr>
          </w:p>
        </w:tc>
        <w:tc>
          <w:tcPr>
            <w:tcW w:w="2602" w:type="dxa"/>
            <w:tcBorders>
              <w:top w:val="single" w:sz="4" w:space="0" w:color="auto"/>
            </w:tcBorders>
            <w:shd w:val="clear" w:color="auto" w:fill="auto"/>
          </w:tcPr>
          <w:p w:rsidR="002E69C1" w:rsidRPr="000247A3" w:rsidRDefault="002E69C1" w:rsidP="000B1EF6">
            <w:pPr>
              <w:spacing w:line="480" w:lineRule="auto"/>
              <w:rPr>
                <w:rFonts w:cs="Arial"/>
                <w:sz w:val="20"/>
                <w:szCs w:val="20"/>
              </w:rPr>
            </w:pPr>
          </w:p>
        </w:tc>
      </w:tr>
      <w:tr w:rsidR="00F44FEF" w:rsidRPr="000247A3" w:rsidTr="000B1EF6">
        <w:tc>
          <w:tcPr>
            <w:tcW w:w="9242" w:type="dxa"/>
            <w:gridSpan w:val="4"/>
            <w:tcBorders>
              <w:bottom w:val="single" w:sz="4" w:space="0" w:color="auto"/>
            </w:tcBorders>
            <w:shd w:val="clear" w:color="auto" w:fill="auto"/>
          </w:tcPr>
          <w:p w:rsidR="00F44FEF" w:rsidRPr="00F44FEF" w:rsidRDefault="002E69C1" w:rsidP="002E69C1">
            <w:pPr>
              <w:pStyle w:val="TSRCtablefigureheading"/>
              <w:rPr>
                <w:rFonts w:ascii="Times New Roman" w:hAnsi="Times New Roman" w:cs="Times New Roman"/>
                <w:sz w:val="24"/>
                <w:szCs w:val="24"/>
                <w:u w:val="none"/>
              </w:rPr>
            </w:pPr>
            <w:r w:rsidRPr="00F44FEF">
              <w:rPr>
                <w:rFonts w:ascii="Times New Roman" w:hAnsi="Times New Roman" w:cs="Times New Roman"/>
                <w:sz w:val="24"/>
                <w:szCs w:val="24"/>
                <w:u w:val="none"/>
              </w:rPr>
              <w:t xml:space="preserve">Table 7. </w:t>
            </w:r>
            <w:r w:rsidRPr="00F44FEF">
              <w:rPr>
                <w:rFonts w:ascii="Times New Roman" w:hAnsi="Times New Roman" w:cs="Times New Roman"/>
                <w:b w:val="0"/>
                <w:sz w:val="24"/>
                <w:szCs w:val="24"/>
                <w:u w:val="none"/>
              </w:rPr>
              <w:t>Statistically significant variations in substitution effect by field of activity, Dependent Variable log(is),</w:t>
            </w:r>
            <w:r w:rsidR="00F44FEF" w:rsidRPr="00F44FEF">
              <w:rPr>
                <w:rFonts w:ascii="Times New Roman" w:hAnsi="Times New Roman" w:cs="Times New Roman"/>
                <w:b w:val="0"/>
                <w:sz w:val="24"/>
                <w:szCs w:val="24"/>
                <w:u w:val="none"/>
              </w:rPr>
              <w:t xml:space="preserve"> different ICNPO classification</w:t>
            </w:r>
          </w:p>
        </w:tc>
      </w:tr>
      <w:tr w:rsidR="00F44FEF" w:rsidRPr="000247A3" w:rsidTr="000B1EF6">
        <w:tc>
          <w:tcPr>
            <w:tcW w:w="2286" w:type="dxa"/>
            <w:tcBorders>
              <w:bottom w:val="single" w:sz="4" w:space="0" w:color="auto"/>
            </w:tcBorders>
            <w:shd w:val="clear" w:color="auto" w:fill="auto"/>
          </w:tcPr>
          <w:p w:rsidR="00F44FEF" w:rsidRPr="00F44FEF" w:rsidRDefault="00F44FEF" w:rsidP="00F44FEF">
            <w:pPr>
              <w:spacing w:after="120" w:line="240" w:lineRule="auto"/>
              <w:rPr>
                <w:rFonts w:ascii="Times New Roman" w:hAnsi="Times New Roman" w:cs="Times New Roman"/>
                <w:sz w:val="24"/>
                <w:szCs w:val="24"/>
              </w:rPr>
            </w:pPr>
            <w:r w:rsidRPr="00F44FEF">
              <w:rPr>
                <w:rFonts w:ascii="Times New Roman" w:hAnsi="Times New Roman" w:cs="Times New Roman"/>
                <w:sz w:val="24"/>
                <w:szCs w:val="24"/>
              </w:rPr>
              <w:t>ICNPO Field</w:t>
            </w:r>
          </w:p>
        </w:tc>
        <w:tc>
          <w:tcPr>
            <w:tcW w:w="1694" w:type="dxa"/>
            <w:tcBorders>
              <w:bottom w:val="single" w:sz="4" w:space="0" w:color="auto"/>
            </w:tcBorders>
          </w:tcPr>
          <w:p w:rsidR="00F44FEF" w:rsidRPr="00F44FEF" w:rsidRDefault="00F44FEF" w:rsidP="00F44FEF">
            <w:pPr>
              <w:spacing w:after="120" w:line="240" w:lineRule="auto"/>
              <w:jc w:val="center"/>
              <w:rPr>
                <w:rFonts w:ascii="Times New Roman" w:hAnsi="Times New Roman" w:cs="Times New Roman"/>
                <w:sz w:val="24"/>
                <w:szCs w:val="24"/>
              </w:rPr>
            </w:pPr>
            <w:r w:rsidRPr="00F44FEF">
              <w:rPr>
                <w:rFonts w:ascii="Times New Roman" w:hAnsi="Times New Roman" w:cs="Times New Roman"/>
                <w:sz w:val="24"/>
                <w:szCs w:val="24"/>
              </w:rPr>
              <w:t>n</w:t>
            </w:r>
          </w:p>
          <w:p w:rsidR="00F44FEF" w:rsidRPr="00F44FEF" w:rsidRDefault="00F44FEF" w:rsidP="00F44FEF">
            <w:pPr>
              <w:spacing w:after="120" w:line="240" w:lineRule="auto"/>
              <w:jc w:val="center"/>
              <w:rPr>
                <w:rFonts w:ascii="Times New Roman" w:hAnsi="Times New Roman" w:cs="Times New Roman"/>
                <w:sz w:val="24"/>
                <w:szCs w:val="24"/>
              </w:rPr>
            </w:pPr>
            <w:r w:rsidRPr="00F44FEF">
              <w:rPr>
                <w:rFonts w:ascii="Times New Roman" w:hAnsi="Times New Roman" w:cs="Times New Roman"/>
                <w:sz w:val="24"/>
                <w:szCs w:val="24"/>
              </w:rPr>
              <w:t>charities</w:t>
            </w:r>
          </w:p>
        </w:tc>
        <w:tc>
          <w:tcPr>
            <w:tcW w:w="2660" w:type="dxa"/>
            <w:tcBorders>
              <w:bottom w:val="single" w:sz="4" w:space="0" w:color="auto"/>
            </w:tcBorders>
            <w:shd w:val="clear" w:color="auto" w:fill="auto"/>
          </w:tcPr>
          <w:p w:rsidR="00F44FEF" w:rsidRPr="00F44FEF" w:rsidRDefault="00F44FEF" w:rsidP="00F44FEF">
            <w:pPr>
              <w:spacing w:after="120" w:line="240" w:lineRule="auto"/>
              <w:jc w:val="center"/>
              <w:rPr>
                <w:rFonts w:ascii="Times New Roman" w:hAnsi="Times New Roman" w:cs="Times New Roman"/>
                <w:sz w:val="24"/>
                <w:szCs w:val="24"/>
              </w:rPr>
            </w:pPr>
            <w:r w:rsidRPr="00F44FEF">
              <w:rPr>
                <w:rFonts w:ascii="Times New Roman" w:hAnsi="Times New Roman" w:cs="Times New Roman"/>
                <w:sz w:val="24"/>
                <w:szCs w:val="24"/>
              </w:rPr>
              <w:t>Persistence effect</w:t>
            </w:r>
          </w:p>
        </w:tc>
        <w:tc>
          <w:tcPr>
            <w:tcW w:w="2602" w:type="dxa"/>
            <w:tcBorders>
              <w:bottom w:val="single" w:sz="4" w:space="0" w:color="auto"/>
            </w:tcBorders>
            <w:shd w:val="clear" w:color="auto" w:fill="auto"/>
          </w:tcPr>
          <w:p w:rsidR="00F44FEF" w:rsidRPr="00F44FEF" w:rsidRDefault="00F44FEF" w:rsidP="00F44FEF">
            <w:pPr>
              <w:spacing w:after="120" w:line="240" w:lineRule="auto"/>
              <w:jc w:val="center"/>
              <w:rPr>
                <w:rFonts w:ascii="Times New Roman" w:hAnsi="Times New Roman" w:cs="Times New Roman"/>
                <w:sz w:val="24"/>
                <w:szCs w:val="24"/>
              </w:rPr>
            </w:pPr>
            <w:r w:rsidRPr="00F44FEF">
              <w:rPr>
                <w:rFonts w:ascii="Times New Roman" w:hAnsi="Times New Roman" w:cs="Times New Roman"/>
                <w:sz w:val="24"/>
                <w:szCs w:val="24"/>
              </w:rPr>
              <w:t>Substitution effect</w:t>
            </w:r>
          </w:p>
        </w:tc>
      </w:tr>
      <w:tr w:rsidR="00F44FEF" w:rsidRPr="000247A3" w:rsidTr="000B1EF6">
        <w:trPr>
          <w:trHeight w:hRule="exact" w:val="113"/>
        </w:trPr>
        <w:tc>
          <w:tcPr>
            <w:tcW w:w="2286" w:type="dxa"/>
            <w:tcBorders>
              <w:top w:val="single" w:sz="4" w:space="0" w:color="auto"/>
            </w:tcBorders>
            <w:shd w:val="clear" w:color="auto" w:fill="auto"/>
          </w:tcPr>
          <w:p w:rsidR="00F44FEF" w:rsidRPr="00F44FEF" w:rsidRDefault="00F44FEF" w:rsidP="000B1EF6">
            <w:pPr>
              <w:spacing w:line="360" w:lineRule="auto"/>
              <w:rPr>
                <w:rFonts w:ascii="Times New Roman" w:hAnsi="Times New Roman" w:cs="Times New Roman"/>
                <w:sz w:val="24"/>
                <w:szCs w:val="24"/>
              </w:rPr>
            </w:pPr>
          </w:p>
        </w:tc>
        <w:tc>
          <w:tcPr>
            <w:tcW w:w="1694" w:type="dxa"/>
            <w:tcBorders>
              <w:top w:val="single" w:sz="4" w:space="0" w:color="auto"/>
            </w:tcBorders>
          </w:tcPr>
          <w:p w:rsidR="00F44FEF" w:rsidRPr="00F44FEF" w:rsidRDefault="00F44FEF" w:rsidP="000B1EF6">
            <w:pPr>
              <w:spacing w:line="360" w:lineRule="auto"/>
              <w:rPr>
                <w:rFonts w:ascii="Times New Roman" w:hAnsi="Times New Roman" w:cs="Times New Roman"/>
                <w:sz w:val="24"/>
                <w:szCs w:val="24"/>
              </w:rPr>
            </w:pPr>
          </w:p>
        </w:tc>
        <w:tc>
          <w:tcPr>
            <w:tcW w:w="2660" w:type="dxa"/>
            <w:tcBorders>
              <w:top w:val="single" w:sz="4" w:space="0" w:color="auto"/>
            </w:tcBorders>
            <w:shd w:val="clear" w:color="auto" w:fill="auto"/>
          </w:tcPr>
          <w:p w:rsidR="00F44FEF" w:rsidRPr="00F44FEF" w:rsidRDefault="00F44FEF" w:rsidP="000B1EF6">
            <w:pPr>
              <w:spacing w:line="360" w:lineRule="auto"/>
              <w:rPr>
                <w:rFonts w:ascii="Times New Roman" w:hAnsi="Times New Roman" w:cs="Times New Roman"/>
                <w:sz w:val="24"/>
                <w:szCs w:val="24"/>
              </w:rPr>
            </w:pPr>
          </w:p>
        </w:tc>
        <w:tc>
          <w:tcPr>
            <w:tcW w:w="2602" w:type="dxa"/>
            <w:tcBorders>
              <w:top w:val="single" w:sz="4" w:space="0" w:color="auto"/>
            </w:tcBorders>
            <w:shd w:val="clear" w:color="auto" w:fill="auto"/>
          </w:tcPr>
          <w:p w:rsidR="00F44FEF" w:rsidRPr="00F44FEF" w:rsidRDefault="00F44FEF" w:rsidP="000B1EF6">
            <w:pPr>
              <w:spacing w:line="360" w:lineRule="auto"/>
              <w:rPr>
                <w:rFonts w:ascii="Times New Roman" w:hAnsi="Times New Roman" w:cs="Times New Roman"/>
                <w:sz w:val="24"/>
                <w:szCs w:val="24"/>
              </w:rPr>
            </w:pPr>
          </w:p>
        </w:tc>
      </w:tr>
      <w:tr w:rsidR="00F44FEF" w:rsidRPr="000247A3" w:rsidTr="000B1EF6">
        <w:trPr>
          <w:trHeight w:hRule="exact" w:val="113"/>
        </w:trPr>
        <w:tc>
          <w:tcPr>
            <w:tcW w:w="2286" w:type="dxa"/>
            <w:shd w:val="clear" w:color="auto" w:fill="auto"/>
          </w:tcPr>
          <w:p w:rsidR="00F44FEF" w:rsidRPr="00F44FEF" w:rsidRDefault="00F44FEF" w:rsidP="000B1EF6">
            <w:pPr>
              <w:spacing w:line="360" w:lineRule="auto"/>
              <w:rPr>
                <w:rFonts w:ascii="Times New Roman" w:hAnsi="Times New Roman" w:cs="Times New Roman"/>
                <w:sz w:val="24"/>
                <w:szCs w:val="24"/>
              </w:rPr>
            </w:pPr>
          </w:p>
        </w:tc>
        <w:tc>
          <w:tcPr>
            <w:tcW w:w="1694" w:type="dxa"/>
          </w:tcPr>
          <w:p w:rsidR="00F44FEF" w:rsidRPr="00F44FEF" w:rsidRDefault="00F44FEF" w:rsidP="000B1EF6">
            <w:pPr>
              <w:spacing w:line="360" w:lineRule="auto"/>
              <w:rPr>
                <w:rFonts w:ascii="Times New Roman" w:hAnsi="Times New Roman" w:cs="Times New Roman"/>
                <w:sz w:val="24"/>
                <w:szCs w:val="24"/>
              </w:rPr>
            </w:pPr>
          </w:p>
        </w:tc>
        <w:tc>
          <w:tcPr>
            <w:tcW w:w="2660" w:type="dxa"/>
            <w:shd w:val="clear" w:color="auto" w:fill="auto"/>
          </w:tcPr>
          <w:p w:rsidR="00F44FEF" w:rsidRPr="00F44FEF" w:rsidRDefault="00F44FEF" w:rsidP="000B1EF6">
            <w:pPr>
              <w:spacing w:line="360" w:lineRule="auto"/>
              <w:rPr>
                <w:rFonts w:ascii="Times New Roman" w:hAnsi="Times New Roman" w:cs="Times New Roman"/>
                <w:sz w:val="24"/>
                <w:szCs w:val="24"/>
              </w:rPr>
            </w:pPr>
          </w:p>
        </w:tc>
        <w:tc>
          <w:tcPr>
            <w:tcW w:w="2602" w:type="dxa"/>
            <w:shd w:val="clear" w:color="auto" w:fill="auto"/>
          </w:tcPr>
          <w:p w:rsidR="00F44FEF" w:rsidRPr="00F44FEF" w:rsidRDefault="00F44FEF" w:rsidP="000B1EF6">
            <w:pPr>
              <w:spacing w:line="360" w:lineRule="auto"/>
              <w:rPr>
                <w:rFonts w:ascii="Times New Roman" w:hAnsi="Times New Roman" w:cs="Times New Roman"/>
                <w:sz w:val="24"/>
                <w:szCs w:val="24"/>
              </w:rPr>
            </w:pPr>
          </w:p>
        </w:tc>
      </w:tr>
      <w:tr w:rsidR="00F44FEF" w:rsidRPr="000247A3" w:rsidTr="000B1EF6">
        <w:tc>
          <w:tcPr>
            <w:tcW w:w="2286" w:type="dxa"/>
            <w:shd w:val="clear" w:color="auto" w:fill="auto"/>
          </w:tcPr>
          <w:p w:rsidR="00F44FEF" w:rsidRPr="00F44FEF" w:rsidRDefault="00F44FEF" w:rsidP="00F44FEF">
            <w:pPr>
              <w:spacing w:line="240" w:lineRule="auto"/>
              <w:rPr>
                <w:rFonts w:ascii="Times New Roman" w:hAnsi="Times New Roman" w:cs="Times New Roman"/>
                <w:sz w:val="24"/>
                <w:szCs w:val="24"/>
              </w:rPr>
            </w:pPr>
            <w:r w:rsidRPr="00F44FEF">
              <w:rPr>
                <w:rFonts w:ascii="Times New Roman" w:hAnsi="Times New Roman" w:cs="Times New Roman"/>
                <w:bCs/>
                <w:kern w:val="24"/>
                <w:sz w:val="24"/>
                <w:szCs w:val="24"/>
              </w:rPr>
              <w:t>Culture and arts</w:t>
            </w:r>
          </w:p>
        </w:tc>
        <w:tc>
          <w:tcPr>
            <w:tcW w:w="1694" w:type="dxa"/>
          </w:tcPr>
          <w:p w:rsidR="00F44FEF" w:rsidRPr="00F44FEF" w:rsidRDefault="00F44FEF" w:rsidP="00F44FEF">
            <w:pPr>
              <w:tabs>
                <w:tab w:val="decimal" w:pos="1456"/>
              </w:tabs>
              <w:spacing w:line="240" w:lineRule="auto"/>
              <w:rPr>
                <w:rFonts w:ascii="Times New Roman" w:hAnsi="Times New Roman" w:cs="Times New Roman"/>
                <w:sz w:val="24"/>
                <w:szCs w:val="24"/>
              </w:rPr>
            </w:pPr>
            <w:r w:rsidRPr="00F44FEF">
              <w:rPr>
                <w:rFonts w:ascii="Times New Roman" w:hAnsi="Times New Roman" w:cs="Times New Roman"/>
                <w:sz w:val="24"/>
                <w:szCs w:val="24"/>
              </w:rPr>
              <w:t>3,482</w:t>
            </w:r>
          </w:p>
        </w:tc>
        <w:tc>
          <w:tcPr>
            <w:tcW w:w="2660" w:type="dxa"/>
            <w:shd w:val="clear" w:color="auto" w:fill="auto"/>
          </w:tcPr>
          <w:p w:rsidR="00F44FEF" w:rsidRPr="00F44FEF" w:rsidRDefault="00F44FEF" w:rsidP="00F44FEF">
            <w:pPr>
              <w:tabs>
                <w:tab w:val="decimal" w:pos="1456"/>
              </w:tabs>
              <w:spacing w:line="240" w:lineRule="auto"/>
              <w:rPr>
                <w:rFonts w:ascii="Times New Roman" w:hAnsi="Times New Roman" w:cs="Times New Roman"/>
                <w:sz w:val="24"/>
                <w:szCs w:val="24"/>
              </w:rPr>
            </w:pPr>
            <w:r w:rsidRPr="00F44FEF">
              <w:rPr>
                <w:rFonts w:ascii="Times New Roman" w:hAnsi="Times New Roman" w:cs="Times New Roman"/>
                <w:sz w:val="24"/>
                <w:szCs w:val="24"/>
              </w:rPr>
              <w:t>0.43*</w:t>
            </w:r>
          </w:p>
        </w:tc>
        <w:tc>
          <w:tcPr>
            <w:tcW w:w="2602" w:type="dxa"/>
            <w:shd w:val="clear" w:color="auto" w:fill="auto"/>
          </w:tcPr>
          <w:p w:rsidR="00F44FEF" w:rsidRPr="00F44FEF" w:rsidRDefault="00F44FEF" w:rsidP="00F44FEF">
            <w:pPr>
              <w:tabs>
                <w:tab w:val="decimal" w:pos="1456"/>
              </w:tabs>
              <w:spacing w:line="240" w:lineRule="auto"/>
              <w:rPr>
                <w:rFonts w:ascii="Times New Roman" w:hAnsi="Times New Roman" w:cs="Times New Roman"/>
                <w:sz w:val="24"/>
                <w:szCs w:val="24"/>
              </w:rPr>
            </w:pPr>
            <w:r w:rsidRPr="00F44FEF">
              <w:rPr>
                <w:rFonts w:ascii="Times New Roman" w:hAnsi="Times New Roman" w:cs="Times New Roman"/>
                <w:sz w:val="24"/>
                <w:szCs w:val="24"/>
              </w:rPr>
              <w:t>-0.32</w:t>
            </w:r>
          </w:p>
        </w:tc>
      </w:tr>
      <w:tr w:rsidR="00F44FEF" w:rsidRPr="000247A3" w:rsidTr="000B1EF6">
        <w:tc>
          <w:tcPr>
            <w:tcW w:w="2286" w:type="dxa"/>
            <w:shd w:val="clear" w:color="auto" w:fill="auto"/>
          </w:tcPr>
          <w:p w:rsidR="00F44FEF" w:rsidRPr="00F44FEF" w:rsidRDefault="00F44FEF" w:rsidP="00F44FEF">
            <w:pPr>
              <w:spacing w:line="240" w:lineRule="auto"/>
              <w:rPr>
                <w:rFonts w:ascii="Times New Roman" w:hAnsi="Times New Roman" w:cs="Times New Roman"/>
                <w:sz w:val="24"/>
                <w:szCs w:val="24"/>
              </w:rPr>
            </w:pPr>
            <w:r w:rsidRPr="00F44FEF">
              <w:rPr>
                <w:rFonts w:ascii="Times New Roman" w:hAnsi="Times New Roman" w:cs="Times New Roman"/>
                <w:bCs/>
                <w:kern w:val="24"/>
                <w:sz w:val="24"/>
                <w:szCs w:val="24"/>
              </w:rPr>
              <w:t>Social services</w:t>
            </w:r>
          </w:p>
        </w:tc>
        <w:tc>
          <w:tcPr>
            <w:tcW w:w="1694" w:type="dxa"/>
          </w:tcPr>
          <w:p w:rsidR="00F44FEF" w:rsidRPr="00F44FEF" w:rsidRDefault="00F44FEF" w:rsidP="00F44FEF">
            <w:pPr>
              <w:tabs>
                <w:tab w:val="decimal" w:pos="1456"/>
              </w:tabs>
              <w:spacing w:line="240" w:lineRule="auto"/>
              <w:rPr>
                <w:rFonts w:ascii="Times New Roman" w:hAnsi="Times New Roman" w:cs="Times New Roman"/>
                <w:sz w:val="24"/>
                <w:szCs w:val="24"/>
              </w:rPr>
            </w:pPr>
            <w:r w:rsidRPr="00F44FEF">
              <w:rPr>
                <w:rFonts w:ascii="Times New Roman" w:hAnsi="Times New Roman" w:cs="Times New Roman"/>
                <w:sz w:val="24"/>
                <w:szCs w:val="24"/>
              </w:rPr>
              <w:t>7,199</w:t>
            </w:r>
          </w:p>
        </w:tc>
        <w:tc>
          <w:tcPr>
            <w:tcW w:w="2660" w:type="dxa"/>
            <w:shd w:val="clear" w:color="auto" w:fill="auto"/>
          </w:tcPr>
          <w:p w:rsidR="00F44FEF" w:rsidRPr="00F44FEF" w:rsidRDefault="00F44FEF" w:rsidP="00F44FEF">
            <w:pPr>
              <w:tabs>
                <w:tab w:val="decimal" w:pos="1456"/>
              </w:tabs>
              <w:spacing w:line="240" w:lineRule="auto"/>
              <w:rPr>
                <w:rFonts w:ascii="Times New Roman" w:hAnsi="Times New Roman" w:cs="Times New Roman"/>
                <w:sz w:val="24"/>
                <w:szCs w:val="24"/>
              </w:rPr>
            </w:pPr>
            <w:r w:rsidRPr="00F44FEF">
              <w:rPr>
                <w:rFonts w:ascii="Times New Roman" w:hAnsi="Times New Roman" w:cs="Times New Roman"/>
                <w:sz w:val="24"/>
                <w:szCs w:val="24"/>
              </w:rPr>
              <w:t>0.39*</w:t>
            </w:r>
          </w:p>
        </w:tc>
        <w:tc>
          <w:tcPr>
            <w:tcW w:w="2602" w:type="dxa"/>
            <w:shd w:val="clear" w:color="auto" w:fill="auto"/>
          </w:tcPr>
          <w:p w:rsidR="00F44FEF" w:rsidRPr="00F44FEF" w:rsidRDefault="00F44FEF" w:rsidP="00F44FEF">
            <w:pPr>
              <w:tabs>
                <w:tab w:val="decimal" w:pos="1456"/>
              </w:tabs>
              <w:spacing w:line="240" w:lineRule="auto"/>
              <w:rPr>
                <w:rFonts w:ascii="Times New Roman" w:hAnsi="Times New Roman" w:cs="Times New Roman"/>
                <w:sz w:val="24"/>
                <w:szCs w:val="24"/>
              </w:rPr>
            </w:pPr>
            <w:r w:rsidRPr="00F44FEF">
              <w:rPr>
                <w:rFonts w:ascii="Times New Roman" w:hAnsi="Times New Roman" w:cs="Times New Roman"/>
                <w:sz w:val="24"/>
                <w:szCs w:val="24"/>
              </w:rPr>
              <w:t>-0.69*</w:t>
            </w:r>
          </w:p>
        </w:tc>
      </w:tr>
      <w:tr w:rsidR="00F44FEF" w:rsidRPr="000247A3" w:rsidTr="000B1EF6">
        <w:tc>
          <w:tcPr>
            <w:tcW w:w="2286" w:type="dxa"/>
            <w:shd w:val="clear" w:color="auto" w:fill="auto"/>
          </w:tcPr>
          <w:p w:rsidR="00F44FEF" w:rsidRPr="00F44FEF" w:rsidRDefault="00F44FEF" w:rsidP="00F44FEF">
            <w:pPr>
              <w:spacing w:line="240" w:lineRule="auto"/>
              <w:rPr>
                <w:rFonts w:ascii="Times New Roman" w:hAnsi="Times New Roman" w:cs="Times New Roman"/>
                <w:sz w:val="24"/>
                <w:szCs w:val="24"/>
              </w:rPr>
            </w:pPr>
            <w:r w:rsidRPr="00F44FEF">
              <w:rPr>
                <w:rFonts w:ascii="Times New Roman" w:hAnsi="Times New Roman" w:cs="Times New Roman"/>
                <w:sz w:val="24"/>
                <w:szCs w:val="24"/>
              </w:rPr>
              <w:t>Law and legal services</w:t>
            </w:r>
          </w:p>
        </w:tc>
        <w:tc>
          <w:tcPr>
            <w:tcW w:w="1694" w:type="dxa"/>
          </w:tcPr>
          <w:p w:rsidR="00F44FEF" w:rsidRPr="00F44FEF" w:rsidRDefault="00F44FEF" w:rsidP="00F44FEF">
            <w:pPr>
              <w:tabs>
                <w:tab w:val="decimal" w:pos="1456"/>
              </w:tabs>
              <w:spacing w:line="240" w:lineRule="auto"/>
              <w:rPr>
                <w:rFonts w:ascii="Times New Roman" w:hAnsi="Times New Roman" w:cs="Times New Roman"/>
                <w:sz w:val="24"/>
                <w:szCs w:val="24"/>
              </w:rPr>
            </w:pPr>
            <w:r w:rsidRPr="00F44FEF">
              <w:rPr>
                <w:rFonts w:ascii="Times New Roman" w:hAnsi="Times New Roman" w:cs="Times New Roman"/>
                <w:sz w:val="24"/>
                <w:szCs w:val="24"/>
              </w:rPr>
              <w:t>791</w:t>
            </w:r>
          </w:p>
        </w:tc>
        <w:tc>
          <w:tcPr>
            <w:tcW w:w="2660" w:type="dxa"/>
            <w:shd w:val="clear" w:color="auto" w:fill="auto"/>
          </w:tcPr>
          <w:p w:rsidR="00F44FEF" w:rsidRPr="00F44FEF" w:rsidRDefault="00F44FEF" w:rsidP="00F44FEF">
            <w:pPr>
              <w:tabs>
                <w:tab w:val="decimal" w:pos="1456"/>
              </w:tabs>
              <w:spacing w:line="240" w:lineRule="auto"/>
              <w:rPr>
                <w:rFonts w:ascii="Times New Roman" w:hAnsi="Times New Roman" w:cs="Times New Roman"/>
                <w:sz w:val="24"/>
                <w:szCs w:val="24"/>
              </w:rPr>
            </w:pPr>
            <w:r w:rsidRPr="00F44FEF">
              <w:rPr>
                <w:rFonts w:ascii="Times New Roman" w:hAnsi="Times New Roman" w:cs="Times New Roman"/>
                <w:sz w:val="24"/>
                <w:szCs w:val="24"/>
              </w:rPr>
              <w:t>0.30*</w:t>
            </w:r>
          </w:p>
        </w:tc>
        <w:tc>
          <w:tcPr>
            <w:tcW w:w="2602" w:type="dxa"/>
            <w:shd w:val="clear" w:color="auto" w:fill="auto"/>
          </w:tcPr>
          <w:p w:rsidR="00F44FEF" w:rsidRPr="00F44FEF" w:rsidRDefault="00F44FEF" w:rsidP="00F44FEF">
            <w:pPr>
              <w:tabs>
                <w:tab w:val="decimal" w:pos="1456"/>
              </w:tabs>
              <w:spacing w:line="240" w:lineRule="auto"/>
              <w:rPr>
                <w:rFonts w:ascii="Times New Roman" w:hAnsi="Times New Roman" w:cs="Times New Roman"/>
                <w:sz w:val="24"/>
                <w:szCs w:val="24"/>
              </w:rPr>
            </w:pPr>
            <w:r w:rsidRPr="00F44FEF">
              <w:rPr>
                <w:rFonts w:ascii="Times New Roman" w:hAnsi="Times New Roman" w:cs="Times New Roman"/>
                <w:sz w:val="24"/>
                <w:szCs w:val="24"/>
              </w:rPr>
              <w:t>-0.56*</w:t>
            </w:r>
          </w:p>
        </w:tc>
      </w:tr>
      <w:tr w:rsidR="00F44FEF" w:rsidRPr="000247A3" w:rsidTr="000B1EF6">
        <w:tc>
          <w:tcPr>
            <w:tcW w:w="2286" w:type="dxa"/>
            <w:shd w:val="clear" w:color="auto" w:fill="auto"/>
          </w:tcPr>
          <w:p w:rsidR="00F44FEF" w:rsidRPr="00F44FEF" w:rsidRDefault="00F44FEF" w:rsidP="00F44FEF">
            <w:pPr>
              <w:spacing w:line="240" w:lineRule="auto"/>
              <w:rPr>
                <w:rFonts w:ascii="Times New Roman" w:hAnsi="Times New Roman" w:cs="Times New Roman"/>
                <w:sz w:val="24"/>
                <w:szCs w:val="24"/>
              </w:rPr>
            </w:pPr>
            <w:r w:rsidRPr="00F44FEF">
              <w:rPr>
                <w:rFonts w:ascii="Times New Roman" w:hAnsi="Times New Roman" w:cs="Times New Roman"/>
                <w:sz w:val="24"/>
                <w:szCs w:val="24"/>
              </w:rPr>
              <w:t>International</w:t>
            </w:r>
          </w:p>
        </w:tc>
        <w:tc>
          <w:tcPr>
            <w:tcW w:w="1694" w:type="dxa"/>
          </w:tcPr>
          <w:p w:rsidR="00F44FEF" w:rsidRPr="00F44FEF" w:rsidRDefault="00F44FEF" w:rsidP="00F44FEF">
            <w:pPr>
              <w:tabs>
                <w:tab w:val="decimal" w:pos="1456"/>
              </w:tabs>
              <w:spacing w:line="240" w:lineRule="auto"/>
              <w:rPr>
                <w:rFonts w:ascii="Times New Roman" w:hAnsi="Times New Roman" w:cs="Times New Roman"/>
                <w:sz w:val="24"/>
                <w:szCs w:val="24"/>
              </w:rPr>
            </w:pPr>
            <w:r w:rsidRPr="00F44FEF">
              <w:rPr>
                <w:rFonts w:ascii="Times New Roman" w:hAnsi="Times New Roman" w:cs="Times New Roman"/>
                <w:sz w:val="24"/>
                <w:szCs w:val="24"/>
              </w:rPr>
              <w:t>941</w:t>
            </w:r>
          </w:p>
        </w:tc>
        <w:tc>
          <w:tcPr>
            <w:tcW w:w="2660" w:type="dxa"/>
            <w:shd w:val="clear" w:color="auto" w:fill="auto"/>
          </w:tcPr>
          <w:p w:rsidR="00F44FEF" w:rsidRPr="00F44FEF" w:rsidRDefault="00F44FEF" w:rsidP="00F44FEF">
            <w:pPr>
              <w:tabs>
                <w:tab w:val="decimal" w:pos="1456"/>
              </w:tabs>
              <w:spacing w:line="240" w:lineRule="auto"/>
              <w:rPr>
                <w:rFonts w:ascii="Times New Roman" w:hAnsi="Times New Roman" w:cs="Times New Roman"/>
                <w:sz w:val="24"/>
                <w:szCs w:val="24"/>
              </w:rPr>
            </w:pPr>
            <w:r w:rsidRPr="00F44FEF">
              <w:rPr>
                <w:rFonts w:ascii="Times New Roman" w:hAnsi="Times New Roman" w:cs="Times New Roman"/>
                <w:sz w:val="24"/>
                <w:szCs w:val="24"/>
              </w:rPr>
              <w:t>0.59*</w:t>
            </w:r>
          </w:p>
        </w:tc>
        <w:tc>
          <w:tcPr>
            <w:tcW w:w="2602" w:type="dxa"/>
            <w:shd w:val="clear" w:color="auto" w:fill="auto"/>
          </w:tcPr>
          <w:p w:rsidR="00F44FEF" w:rsidRPr="00F44FEF" w:rsidRDefault="00F44FEF" w:rsidP="00F44FEF">
            <w:pPr>
              <w:tabs>
                <w:tab w:val="decimal" w:pos="1456"/>
              </w:tabs>
              <w:spacing w:line="240" w:lineRule="auto"/>
              <w:rPr>
                <w:rFonts w:ascii="Times New Roman" w:hAnsi="Times New Roman" w:cs="Times New Roman"/>
                <w:sz w:val="24"/>
                <w:szCs w:val="24"/>
              </w:rPr>
            </w:pPr>
            <w:r w:rsidRPr="00F44FEF">
              <w:rPr>
                <w:rFonts w:ascii="Times New Roman" w:hAnsi="Times New Roman" w:cs="Times New Roman"/>
                <w:sz w:val="24"/>
                <w:szCs w:val="24"/>
              </w:rPr>
              <w:t>+0.86*</w:t>
            </w:r>
          </w:p>
        </w:tc>
      </w:tr>
      <w:tr w:rsidR="00F44FEF" w:rsidRPr="000247A3" w:rsidTr="000B1EF6">
        <w:trPr>
          <w:trHeight w:hRule="exact" w:val="113"/>
        </w:trPr>
        <w:tc>
          <w:tcPr>
            <w:tcW w:w="2286" w:type="dxa"/>
            <w:tcBorders>
              <w:bottom w:val="single" w:sz="4" w:space="0" w:color="auto"/>
            </w:tcBorders>
            <w:shd w:val="clear" w:color="auto" w:fill="auto"/>
          </w:tcPr>
          <w:p w:rsidR="00F44FEF" w:rsidRPr="00F44FEF" w:rsidRDefault="00F44FEF" w:rsidP="00F44FEF">
            <w:pPr>
              <w:spacing w:line="240" w:lineRule="auto"/>
              <w:rPr>
                <w:rFonts w:ascii="Times New Roman" w:hAnsi="Times New Roman" w:cs="Times New Roman"/>
                <w:sz w:val="24"/>
                <w:szCs w:val="24"/>
              </w:rPr>
            </w:pPr>
          </w:p>
        </w:tc>
        <w:tc>
          <w:tcPr>
            <w:tcW w:w="1694" w:type="dxa"/>
            <w:tcBorders>
              <w:bottom w:val="single" w:sz="4" w:space="0" w:color="auto"/>
            </w:tcBorders>
          </w:tcPr>
          <w:p w:rsidR="00F44FEF" w:rsidRPr="00F44FEF" w:rsidRDefault="00F44FEF" w:rsidP="00F44FEF">
            <w:pPr>
              <w:tabs>
                <w:tab w:val="decimal" w:pos="1456"/>
              </w:tabs>
              <w:spacing w:line="240" w:lineRule="auto"/>
              <w:rPr>
                <w:rFonts w:ascii="Times New Roman" w:hAnsi="Times New Roman" w:cs="Times New Roman"/>
                <w:sz w:val="24"/>
                <w:szCs w:val="24"/>
              </w:rPr>
            </w:pPr>
          </w:p>
        </w:tc>
        <w:tc>
          <w:tcPr>
            <w:tcW w:w="2660" w:type="dxa"/>
            <w:tcBorders>
              <w:bottom w:val="single" w:sz="4" w:space="0" w:color="auto"/>
            </w:tcBorders>
            <w:shd w:val="clear" w:color="auto" w:fill="auto"/>
          </w:tcPr>
          <w:p w:rsidR="00F44FEF" w:rsidRPr="00F44FEF" w:rsidRDefault="00F44FEF" w:rsidP="00F44FEF">
            <w:pPr>
              <w:tabs>
                <w:tab w:val="decimal" w:pos="1456"/>
              </w:tabs>
              <w:spacing w:line="240" w:lineRule="auto"/>
              <w:rPr>
                <w:rFonts w:ascii="Times New Roman" w:hAnsi="Times New Roman" w:cs="Times New Roman"/>
                <w:sz w:val="24"/>
                <w:szCs w:val="24"/>
              </w:rPr>
            </w:pPr>
          </w:p>
        </w:tc>
        <w:tc>
          <w:tcPr>
            <w:tcW w:w="2602" w:type="dxa"/>
            <w:tcBorders>
              <w:bottom w:val="single" w:sz="4" w:space="0" w:color="auto"/>
            </w:tcBorders>
            <w:shd w:val="clear" w:color="auto" w:fill="auto"/>
          </w:tcPr>
          <w:p w:rsidR="00F44FEF" w:rsidRPr="00F44FEF" w:rsidRDefault="00F44FEF" w:rsidP="00F44FEF">
            <w:pPr>
              <w:tabs>
                <w:tab w:val="decimal" w:pos="1456"/>
              </w:tabs>
              <w:spacing w:line="240" w:lineRule="auto"/>
              <w:rPr>
                <w:rFonts w:ascii="Times New Roman" w:hAnsi="Times New Roman" w:cs="Times New Roman"/>
                <w:sz w:val="24"/>
                <w:szCs w:val="24"/>
              </w:rPr>
            </w:pPr>
          </w:p>
        </w:tc>
      </w:tr>
      <w:tr w:rsidR="00F44FEF" w:rsidRPr="000247A3" w:rsidTr="000B1EF6">
        <w:trPr>
          <w:trHeight w:hRule="exact" w:val="113"/>
        </w:trPr>
        <w:tc>
          <w:tcPr>
            <w:tcW w:w="2286" w:type="dxa"/>
            <w:tcBorders>
              <w:top w:val="single" w:sz="4" w:space="0" w:color="auto"/>
            </w:tcBorders>
            <w:shd w:val="clear" w:color="auto" w:fill="auto"/>
          </w:tcPr>
          <w:p w:rsidR="00F44FEF" w:rsidRPr="00F44FEF" w:rsidRDefault="00F44FEF" w:rsidP="00F44FEF">
            <w:pPr>
              <w:spacing w:line="240" w:lineRule="auto"/>
              <w:rPr>
                <w:rFonts w:ascii="Times New Roman" w:hAnsi="Times New Roman" w:cs="Times New Roman"/>
                <w:sz w:val="24"/>
                <w:szCs w:val="24"/>
              </w:rPr>
            </w:pPr>
          </w:p>
        </w:tc>
        <w:tc>
          <w:tcPr>
            <w:tcW w:w="1694" w:type="dxa"/>
            <w:tcBorders>
              <w:top w:val="single" w:sz="4" w:space="0" w:color="auto"/>
            </w:tcBorders>
          </w:tcPr>
          <w:p w:rsidR="00F44FEF" w:rsidRPr="00F44FEF" w:rsidRDefault="00F44FEF" w:rsidP="00F44FEF">
            <w:pPr>
              <w:tabs>
                <w:tab w:val="decimal" w:pos="1456"/>
              </w:tabs>
              <w:spacing w:line="240" w:lineRule="auto"/>
              <w:rPr>
                <w:rFonts w:ascii="Times New Roman" w:hAnsi="Times New Roman" w:cs="Times New Roman"/>
                <w:sz w:val="24"/>
                <w:szCs w:val="24"/>
              </w:rPr>
            </w:pPr>
          </w:p>
        </w:tc>
        <w:tc>
          <w:tcPr>
            <w:tcW w:w="2660" w:type="dxa"/>
            <w:tcBorders>
              <w:top w:val="single" w:sz="4" w:space="0" w:color="auto"/>
            </w:tcBorders>
            <w:shd w:val="clear" w:color="auto" w:fill="auto"/>
          </w:tcPr>
          <w:p w:rsidR="00F44FEF" w:rsidRPr="00F44FEF" w:rsidRDefault="00F44FEF" w:rsidP="00F44FEF">
            <w:pPr>
              <w:tabs>
                <w:tab w:val="decimal" w:pos="1456"/>
              </w:tabs>
              <w:spacing w:line="240" w:lineRule="auto"/>
              <w:rPr>
                <w:rFonts w:ascii="Times New Roman" w:hAnsi="Times New Roman" w:cs="Times New Roman"/>
                <w:sz w:val="24"/>
                <w:szCs w:val="24"/>
              </w:rPr>
            </w:pPr>
          </w:p>
        </w:tc>
        <w:tc>
          <w:tcPr>
            <w:tcW w:w="2602" w:type="dxa"/>
            <w:tcBorders>
              <w:top w:val="single" w:sz="4" w:space="0" w:color="auto"/>
            </w:tcBorders>
            <w:shd w:val="clear" w:color="auto" w:fill="auto"/>
          </w:tcPr>
          <w:p w:rsidR="00F44FEF" w:rsidRPr="00F44FEF" w:rsidRDefault="00F44FEF" w:rsidP="00F44FEF">
            <w:pPr>
              <w:tabs>
                <w:tab w:val="decimal" w:pos="1456"/>
              </w:tabs>
              <w:spacing w:line="240" w:lineRule="auto"/>
              <w:rPr>
                <w:rFonts w:ascii="Times New Roman" w:hAnsi="Times New Roman" w:cs="Times New Roman"/>
                <w:sz w:val="24"/>
                <w:szCs w:val="24"/>
              </w:rPr>
            </w:pPr>
          </w:p>
        </w:tc>
      </w:tr>
      <w:tr w:rsidR="00F44FEF" w:rsidRPr="000247A3" w:rsidTr="000B1EF6">
        <w:tc>
          <w:tcPr>
            <w:tcW w:w="2286" w:type="dxa"/>
            <w:shd w:val="clear" w:color="auto" w:fill="auto"/>
          </w:tcPr>
          <w:p w:rsidR="00F44FEF" w:rsidRPr="00F44FEF" w:rsidRDefault="00F44FEF" w:rsidP="00F44FEF">
            <w:pPr>
              <w:spacing w:line="240" w:lineRule="auto"/>
              <w:rPr>
                <w:rFonts w:ascii="Times New Roman" w:hAnsi="Times New Roman" w:cs="Times New Roman"/>
                <w:sz w:val="24"/>
                <w:szCs w:val="24"/>
              </w:rPr>
            </w:pPr>
            <w:r w:rsidRPr="00F44FEF">
              <w:rPr>
                <w:rFonts w:ascii="Times New Roman" w:hAnsi="Times New Roman" w:cs="Times New Roman"/>
                <w:sz w:val="24"/>
                <w:szCs w:val="24"/>
              </w:rPr>
              <w:t>Overall model</w:t>
            </w:r>
          </w:p>
        </w:tc>
        <w:tc>
          <w:tcPr>
            <w:tcW w:w="1694" w:type="dxa"/>
          </w:tcPr>
          <w:p w:rsidR="00F44FEF" w:rsidRPr="00F44FEF" w:rsidRDefault="00F44FEF" w:rsidP="00F44FEF">
            <w:pPr>
              <w:tabs>
                <w:tab w:val="decimal" w:pos="1456"/>
              </w:tabs>
              <w:spacing w:line="240" w:lineRule="auto"/>
              <w:rPr>
                <w:rFonts w:ascii="Times New Roman" w:hAnsi="Times New Roman" w:cs="Times New Roman"/>
                <w:sz w:val="24"/>
                <w:szCs w:val="24"/>
              </w:rPr>
            </w:pPr>
            <w:r w:rsidRPr="00F44FEF">
              <w:rPr>
                <w:rFonts w:ascii="Times New Roman" w:hAnsi="Times New Roman" w:cs="Times New Roman"/>
                <w:sz w:val="24"/>
                <w:szCs w:val="24"/>
              </w:rPr>
              <w:t>33,581</w:t>
            </w:r>
          </w:p>
        </w:tc>
        <w:tc>
          <w:tcPr>
            <w:tcW w:w="2660" w:type="dxa"/>
            <w:shd w:val="clear" w:color="auto" w:fill="auto"/>
          </w:tcPr>
          <w:p w:rsidR="00F44FEF" w:rsidRPr="00F44FEF" w:rsidRDefault="00F44FEF" w:rsidP="00F44FEF">
            <w:pPr>
              <w:tabs>
                <w:tab w:val="decimal" w:pos="1456"/>
              </w:tabs>
              <w:spacing w:line="240" w:lineRule="auto"/>
              <w:rPr>
                <w:rFonts w:ascii="Times New Roman" w:hAnsi="Times New Roman" w:cs="Times New Roman"/>
                <w:sz w:val="24"/>
                <w:szCs w:val="24"/>
              </w:rPr>
            </w:pPr>
            <w:r w:rsidRPr="00F44FEF">
              <w:rPr>
                <w:rFonts w:ascii="Times New Roman" w:hAnsi="Times New Roman" w:cs="Times New Roman"/>
                <w:sz w:val="24"/>
                <w:szCs w:val="24"/>
              </w:rPr>
              <w:t>0.44**</w:t>
            </w:r>
          </w:p>
        </w:tc>
        <w:tc>
          <w:tcPr>
            <w:tcW w:w="2602" w:type="dxa"/>
            <w:shd w:val="clear" w:color="auto" w:fill="auto"/>
          </w:tcPr>
          <w:p w:rsidR="00F44FEF" w:rsidRPr="00F44FEF" w:rsidRDefault="00F44FEF" w:rsidP="00F44FEF">
            <w:pPr>
              <w:tabs>
                <w:tab w:val="decimal" w:pos="1456"/>
              </w:tabs>
              <w:spacing w:line="240" w:lineRule="auto"/>
              <w:rPr>
                <w:rFonts w:ascii="Times New Roman" w:hAnsi="Times New Roman" w:cs="Times New Roman"/>
                <w:sz w:val="24"/>
                <w:szCs w:val="24"/>
              </w:rPr>
            </w:pPr>
            <w:r w:rsidRPr="00F44FEF">
              <w:rPr>
                <w:rFonts w:ascii="Times New Roman" w:hAnsi="Times New Roman" w:cs="Times New Roman"/>
                <w:sz w:val="24"/>
                <w:szCs w:val="24"/>
              </w:rPr>
              <w:t>-0.31*</w:t>
            </w:r>
          </w:p>
        </w:tc>
      </w:tr>
      <w:tr w:rsidR="00F44FEF" w:rsidRPr="000247A3" w:rsidTr="000B1EF6">
        <w:trPr>
          <w:trHeight w:hRule="exact" w:val="113"/>
        </w:trPr>
        <w:tc>
          <w:tcPr>
            <w:tcW w:w="2286" w:type="dxa"/>
            <w:tcBorders>
              <w:bottom w:val="single" w:sz="4" w:space="0" w:color="auto"/>
            </w:tcBorders>
            <w:shd w:val="clear" w:color="auto" w:fill="auto"/>
          </w:tcPr>
          <w:p w:rsidR="00F44FEF" w:rsidRPr="000247A3" w:rsidRDefault="00F44FEF" w:rsidP="000B1EF6">
            <w:pPr>
              <w:spacing w:line="480" w:lineRule="auto"/>
              <w:rPr>
                <w:rFonts w:cs="Arial"/>
                <w:sz w:val="20"/>
                <w:szCs w:val="20"/>
              </w:rPr>
            </w:pPr>
          </w:p>
        </w:tc>
        <w:tc>
          <w:tcPr>
            <w:tcW w:w="1694" w:type="dxa"/>
            <w:tcBorders>
              <w:bottom w:val="single" w:sz="4" w:space="0" w:color="auto"/>
            </w:tcBorders>
          </w:tcPr>
          <w:p w:rsidR="00F44FEF" w:rsidRPr="000247A3" w:rsidRDefault="00F44FEF" w:rsidP="000B1EF6">
            <w:pPr>
              <w:spacing w:line="480" w:lineRule="auto"/>
              <w:rPr>
                <w:rFonts w:cs="Arial"/>
                <w:sz w:val="20"/>
                <w:szCs w:val="20"/>
              </w:rPr>
            </w:pPr>
          </w:p>
        </w:tc>
        <w:tc>
          <w:tcPr>
            <w:tcW w:w="2660" w:type="dxa"/>
            <w:tcBorders>
              <w:bottom w:val="single" w:sz="4" w:space="0" w:color="auto"/>
            </w:tcBorders>
            <w:shd w:val="clear" w:color="auto" w:fill="auto"/>
          </w:tcPr>
          <w:p w:rsidR="00F44FEF" w:rsidRPr="000247A3" w:rsidRDefault="00F44FEF" w:rsidP="000B1EF6">
            <w:pPr>
              <w:spacing w:line="480" w:lineRule="auto"/>
              <w:rPr>
                <w:rFonts w:cs="Arial"/>
                <w:sz w:val="20"/>
                <w:szCs w:val="20"/>
              </w:rPr>
            </w:pPr>
          </w:p>
        </w:tc>
        <w:tc>
          <w:tcPr>
            <w:tcW w:w="2602" w:type="dxa"/>
            <w:tcBorders>
              <w:bottom w:val="single" w:sz="4" w:space="0" w:color="auto"/>
            </w:tcBorders>
            <w:shd w:val="clear" w:color="auto" w:fill="auto"/>
          </w:tcPr>
          <w:p w:rsidR="00F44FEF" w:rsidRPr="000247A3" w:rsidRDefault="00F44FEF" w:rsidP="000B1EF6">
            <w:pPr>
              <w:spacing w:line="480" w:lineRule="auto"/>
              <w:rPr>
                <w:rFonts w:cs="Arial"/>
                <w:sz w:val="20"/>
                <w:szCs w:val="20"/>
              </w:rPr>
            </w:pPr>
          </w:p>
        </w:tc>
      </w:tr>
    </w:tbl>
    <w:p w:rsidR="00F44FEF" w:rsidRPr="00F44FEF" w:rsidRDefault="00F44FEF" w:rsidP="00F44FEF">
      <w:pPr>
        <w:rPr>
          <w:rFonts w:ascii="Times New Roman" w:hAnsi="Times New Roman" w:cs="Times New Roman"/>
          <w:sz w:val="24"/>
          <w:szCs w:val="24"/>
        </w:rPr>
      </w:pPr>
      <w:proofErr w:type="gramStart"/>
      <w:r w:rsidRPr="00F44FEF">
        <w:rPr>
          <w:rFonts w:ascii="Times New Roman" w:hAnsi="Times New Roman" w:cs="Times New Roman"/>
          <w:b/>
          <w:sz w:val="24"/>
          <w:szCs w:val="24"/>
        </w:rPr>
        <w:t>Notes.</w:t>
      </w:r>
      <w:proofErr w:type="gramEnd"/>
      <w:r w:rsidRPr="00F44FEF">
        <w:rPr>
          <w:rFonts w:ascii="Times New Roman" w:hAnsi="Times New Roman" w:cs="Times New Roman"/>
          <w:b/>
          <w:sz w:val="24"/>
          <w:szCs w:val="24"/>
        </w:rPr>
        <w:t xml:space="preserve"> </w:t>
      </w:r>
      <w:r w:rsidRPr="00F44FEF">
        <w:rPr>
          <w:rFonts w:ascii="Times New Roman" w:hAnsi="Times New Roman" w:cs="Times New Roman"/>
          <w:sz w:val="24"/>
          <w:szCs w:val="24"/>
        </w:rPr>
        <w:t>*significant at 5%;**significant at 1%</w:t>
      </w:r>
    </w:p>
    <w:p w:rsidR="0020698D" w:rsidRPr="000247A3" w:rsidRDefault="0020698D" w:rsidP="0020698D">
      <w:pPr>
        <w:spacing w:line="480" w:lineRule="auto"/>
        <w:rPr>
          <w:rFonts w:cs="Arial"/>
          <w:sz w:val="20"/>
          <w:szCs w:val="20"/>
        </w:rPr>
      </w:pPr>
    </w:p>
    <w:p w:rsidR="006F5923" w:rsidRPr="000247A3" w:rsidRDefault="006F5923" w:rsidP="006F5923">
      <w:pPr>
        <w:spacing w:line="480" w:lineRule="auto"/>
        <w:rPr>
          <w:rFonts w:cs="Arial"/>
          <w:sz w:val="20"/>
          <w:szCs w:val="20"/>
        </w:rPr>
      </w:pPr>
    </w:p>
    <w:p w:rsidR="00ED18D0" w:rsidRPr="00ED18D0" w:rsidRDefault="00ED18D0" w:rsidP="00FF7699">
      <w:pPr>
        <w:spacing w:line="480" w:lineRule="auto"/>
        <w:rPr>
          <w:rFonts w:cs="Arial"/>
          <w:iCs/>
          <w:sz w:val="20"/>
          <w:szCs w:val="20"/>
        </w:rPr>
      </w:pPr>
    </w:p>
    <w:p w:rsidR="00E91507" w:rsidRPr="00E91507" w:rsidRDefault="00E91507" w:rsidP="00896CE2">
      <w:pPr>
        <w:pStyle w:val="TSRCBody"/>
        <w:spacing w:line="336" w:lineRule="auto"/>
        <w:ind w:firstLine="0"/>
        <w:rPr>
          <w:rStyle w:val="Strong"/>
          <w:rFonts w:ascii="Times New Roman" w:hAnsi="Times New Roman" w:cs="Times New Roman"/>
          <w:sz w:val="24"/>
          <w:szCs w:val="24"/>
        </w:rPr>
      </w:pPr>
    </w:p>
    <w:p w:rsidR="002966DF" w:rsidRDefault="002966DF">
      <w:pPr>
        <w:rPr>
          <w:rStyle w:val="Strong"/>
          <w:rFonts w:ascii="Times New Roman" w:eastAsia="Times New Roman" w:hAnsi="Times New Roman" w:cs="Times New Roman"/>
          <w:b w:val="0"/>
          <w:sz w:val="24"/>
          <w:szCs w:val="24"/>
        </w:rPr>
      </w:pPr>
      <w:r>
        <w:rPr>
          <w:rStyle w:val="Strong"/>
          <w:rFonts w:ascii="Times New Roman" w:hAnsi="Times New Roman" w:cs="Times New Roman"/>
          <w:b w:val="0"/>
          <w:sz w:val="24"/>
          <w:szCs w:val="24"/>
        </w:rPr>
        <w:br w:type="page"/>
      </w:r>
    </w:p>
    <w:p w:rsidR="00E91507" w:rsidRDefault="00E91507" w:rsidP="00896CE2">
      <w:pPr>
        <w:pStyle w:val="TSRCBody"/>
        <w:spacing w:line="336" w:lineRule="auto"/>
        <w:ind w:firstLine="0"/>
        <w:rPr>
          <w:rStyle w:val="Strong"/>
          <w:rFonts w:ascii="Times New Roman" w:hAnsi="Times New Roman" w:cs="Times New Roman"/>
          <w:b w:val="0"/>
          <w:sz w:val="24"/>
          <w:szCs w:val="24"/>
        </w:rPr>
      </w:pPr>
    </w:p>
    <w:p w:rsidR="00E91507" w:rsidRPr="00896CE2" w:rsidRDefault="00E91507" w:rsidP="00896CE2">
      <w:pPr>
        <w:pStyle w:val="TSRCBody"/>
        <w:spacing w:line="336" w:lineRule="auto"/>
        <w:ind w:firstLine="0"/>
        <w:rPr>
          <w:rStyle w:val="Strong"/>
          <w:rFonts w:ascii="Times New Roman" w:hAnsi="Times New Roman" w:cs="Times New Roman"/>
          <w:b w:val="0"/>
          <w:sz w:val="24"/>
          <w:szCs w:val="24"/>
        </w:rPr>
      </w:pPr>
    </w:p>
    <w:p w:rsidR="008C5ADD" w:rsidRPr="008C5ADD" w:rsidRDefault="008C5ADD" w:rsidP="008C5ADD">
      <w:pPr>
        <w:rPr>
          <w:rFonts w:ascii="Times New Roman" w:hAnsi="Times New Roman" w:cs="Times New Roman"/>
          <w:sz w:val="24"/>
          <w:szCs w:val="24"/>
        </w:rPr>
      </w:pPr>
    </w:p>
    <w:sectPr w:rsidR="008C5ADD" w:rsidRPr="008C5ADD" w:rsidSect="0093770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3803" w:rsidRDefault="008E3803" w:rsidP="00D63A5A">
      <w:pPr>
        <w:spacing w:after="0" w:line="240" w:lineRule="auto"/>
      </w:pPr>
      <w:r>
        <w:separator/>
      </w:r>
    </w:p>
  </w:endnote>
  <w:endnote w:type="continuationSeparator" w:id="0">
    <w:p w:rsidR="008E3803" w:rsidRDefault="008E3803" w:rsidP="00D63A5A">
      <w:pPr>
        <w:spacing w:after="0" w:line="240" w:lineRule="auto"/>
      </w:pPr>
      <w:r>
        <w:continuationSeparator/>
      </w:r>
    </w:p>
  </w:endnote>
  <w:endnote w:id="1">
    <w:p w:rsidR="00746452" w:rsidRPr="00FA18B5" w:rsidRDefault="00746452" w:rsidP="00D63A5A">
      <w:pPr>
        <w:pStyle w:val="EndnoteText"/>
        <w:spacing w:line="360" w:lineRule="auto"/>
        <w:rPr>
          <w:rFonts w:ascii="Times New Roman" w:hAnsi="Times New Roman" w:cs="Times New Roman"/>
          <w:sz w:val="24"/>
          <w:szCs w:val="24"/>
        </w:rPr>
      </w:pPr>
      <w:r w:rsidRPr="00FA18B5">
        <w:rPr>
          <w:rStyle w:val="EndnoteReference"/>
          <w:rFonts w:ascii="Times New Roman" w:hAnsi="Times New Roman" w:cs="Times New Roman"/>
          <w:sz w:val="24"/>
          <w:szCs w:val="24"/>
        </w:rPr>
        <w:endnoteRef/>
      </w:r>
      <w:r w:rsidRPr="00FA18B5">
        <w:rPr>
          <w:rFonts w:ascii="Times New Roman" w:hAnsi="Times New Roman" w:cs="Times New Roman"/>
          <w:sz w:val="24"/>
          <w:szCs w:val="24"/>
        </w:rPr>
        <w:t xml:space="preserve"> We dropped the year 2008 from the final model as there were changes in the way </w:t>
      </w:r>
      <w:proofErr w:type="spellStart"/>
      <w:r w:rsidRPr="00FA18B5">
        <w:rPr>
          <w:rFonts w:ascii="Times New Roman" w:hAnsi="Times New Roman" w:cs="Times New Roman"/>
          <w:sz w:val="24"/>
          <w:szCs w:val="24"/>
        </w:rPr>
        <w:t>Guidestar</w:t>
      </w:r>
      <w:proofErr w:type="spellEnd"/>
      <w:r w:rsidRPr="00FA18B5">
        <w:rPr>
          <w:rFonts w:ascii="Times New Roman" w:hAnsi="Times New Roman" w:cs="Times New Roman"/>
          <w:sz w:val="24"/>
          <w:szCs w:val="24"/>
        </w:rPr>
        <w:t xml:space="preserve"> UK classified commercial revenue leading to a discontinuity with previous data.</w:t>
      </w:r>
    </w:p>
  </w:endnote>
  <w:endnote w:id="2">
    <w:p w:rsidR="00746452" w:rsidRPr="00FA18B5" w:rsidRDefault="00746452" w:rsidP="00D63A5A">
      <w:pPr>
        <w:pStyle w:val="EndnoteText"/>
        <w:spacing w:line="360" w:lineRule="auto"/>
        <w:rPr>
          <w:rFonts w:ascii="Times New Roman" w:hAnsi="Times New Roman" w:cs="Times New Roman"/>
          <w:sz w:val="24"/>
          <w:szCs w:val="24"/>
        </w:rPr>
      </w:pPr>
      <w:r w:rsidRPr="00FA18B5">
        <w:rPr>
          <w:rStyle w:val="EndnoteReference"/>
          <w:rFonts w:ascii="Times New Roman" w:hAnsi="Times New Roman" w:cs="Times New Roman"/>
          <w:sz w:val="24"/>
          <w:szCs w:val="24"/>
        </w:rPr>
        <w:endnoteRef/>
      </w:r>
      <w:r w:rsidRPr="00FA18B5">
        <w:rPr>
          <w:rFonts w:ascii="Times New Roman" w:hAnsi="Times New Roman" w:cs="Times New Roman"/>
          <w:sz w:val="24"/>
          <w:szCs w:val="24"/>
        </w:rPr>
        <w:t xml:space="preserve"> Investment income is not explored further in this paper, as it makes up a relatively small proportion of charities aggregate income.</w:t>
      </w:r>
    </w:p>
  </w:endnote>
  <w:endnote w:id="3">
    <w:p w:rsidR="00746452" w:rsidRPr="00FA18B5" w:rsidRDefault="00746452" w:rsidP="00796D05">
      <w:pPr>
        <w:pStyle w:val="EndnoteText"/>
        <w:rPr>
          <w:rFonts w:ascii="Times New Roman" w:hAnsi="Times New Roman" w:cs="Times New Roman"/>
          <w:sz w:val="24"/>
          <w:szCs w:val="24"/>
        </w:rPr>
      </w:pPr>
      <w:r w:rsidRPr="00FA18B5">
        <w:rPr>
          <w:rStyle w:val="EndnoteReference"/>
          <w:rFonts w:ascii="Times New Roman" w:hAnsi="Times New Roman" w:cs="Times New Roman"/>
          <w:sz w:val="24"/>
          <w:szCs w:val="24"/>
        </w:rPr>
        <w:endnoteRef/>
      </w:r>
      <w:r w:rsidRPr="00FA18B5">
        <w:rPr>
          <w:rFonts w:ascii="Times New Roman" w:hAnsi="Times New Roman" w:cs="Times New Roman"/>
          <w:sz w:val="24"/>
          <w:szCs w:val="24"/>
        </w:rPr>
        <w:t xml:space="preserve"> </w:t>
      </w:r>
      <w:proofErr w:type="gramStart"/>
      <w:r w:rsidRPr="00FA18B5">
        <w:rPr>
          <w:rFonts w:ascii="Times New Roman" w:hAnsi="Times New Roman" w:cs="Times New Roman"/>
          <w:sz w:val="24"/>
          <w:szCs w:val="24"/>
        </w:rPr>
        <w:t xml:space="preserve">Which is freely available at </w:t>
      </w:r>
      <w:hyperlink r:id="rId1" w:history="1">
        <w:r w:rsidRPr="00FA18B5">
          <w:rPr>
            <w:rStyle w:val="Hyperlink"/>
            <w:rFonts w:ascii="Times New Roman" w:hAnsi="Times New Roman" w:cs="Times New Roman"/>
            <w:sz w:val="24"/>
            <w:szCs w:val="24"/>
          </w:rPr>
          <w:t>http://data.ncvo-vol.org.uk/?p=75</w:t>
        </w:r>
      </w:hyperlink>
      <w:r w:rsidRPr="00FA18B5">
        <w:rPr>
          <w:rFonts w:ascii="Times New Roman" w:hAnsi="Times New Roman" w:cs="Times New Roman"/>
          <w:sz w:val="24"/>
          <w:szCs w:val="24"/>
        </w:rPr>
        <w:t xml:space="preserve"> .</w:t>
      </w:r>
      <w:proofErr w:type="gramEnd"/>
    </w:p>
  </w:endnote>
  <w:endnote w:id="4">
    <w:p w:rsidR="00746452" w:rsidRPr="00FA18B5" w:rsidRDefault="00746452" w:rsidP="00796D05">
      <w:pPr>
        <w:pStyle w:val="EndnoteText"/>
        <w:rPr>
          <w:rFonts w:ascii="Times New Roman" w:hAnsi="Times New Roman" w:cs="Times New Roman"/>
          <w:sz w:val="24"/>
          <w:szCs w:val="24"/>
        </w:rPr>
      </w:pPr>
      <w:r w:rsidRPr="00FA18B5">
        <w:rPr>
          <w:rStyle w:val="EndnoteReference"/>
          <w:rFonts w:ascii="Times New Roman" w:hAnsi="Times New Roman" w:cs="Times New Roman"/>
          <w:sz w:val="24"/>
          <w:szCs w:val="24"/>
        </w:rPr>
        <w:endnoteRef/>
      </w:r>
      <w:r w:rsidRPr="00FA18B5">
        <w:rPr>
          <w:rFonts w:ascii="Times New Roman" w:hAnsi="Times New Roman" w:cs="Times New Roman"/>
          <w:sz w:val="24"/>
          <w:szCs w:val="24"/>
        </w:rPr>
        <w:t xml:space="preserve"> This has since changed to £250,000 </w:t>
      </w:r>
    </w:p>
  </w:endnote>
  <w:endnote w:id="5">
    <w:p w:rsidR="00746452" w:rsidRPr="00FA18B5" w:rsidRDefault="00746452">
      <w:pPr>
        <w:pStyle w:val="EndnoteText"/>
        <w:rPr>
          <w:rFonts w:ascii="Times New Roman" w:hAnsi="Times New Roman" w:cs="Times New Roman"/>
          <w:sz w:val="24"/>
          <w:szCs w:val="24"/>
        </w:rPr>
      </w:pPr>
      <w:r w:rsidRPr="00FA18B5">
        <w:rPr>
          <w:rStyle w:val="EndnoteReference"/>
          <w:rFonts w:ascii="Times New Roman" w:hAnsi="Times New Roman" w:cs="Times New Roman"/>
          <w:sz w:val="24"/>
          <w:szCs w:val="24"/>
        </w:rPr>
        <w:endnoteRef/>
      </w:r>
      <w:r w:rsidRPr="00FA18B5">
        <w:rPr>
          <w:rFonts w:ascii="Times New Roman" w:hAnsi="Times New Roman" w:cs="Times New Roman"/>
          <w:sz w:val="24"/>
          <w:szCs w:val="24"/>
        </w:rPr>
        <w:t xml:space="preserve"> The decline in mean revenues (across all categories) in 2006 is a consequence of a larger number of organisations being included in our sample in this year. While this affects the mean values it has no noticeable effect on the trend showing a gradual increase in the proportion of commercial revenue.</w:t>
      </w:r>
    </w:p>
  </w:endnote>
  <w:endnote w:id="6">
    <w:p w:rsidR="00746452" w:rsidRPr="002E69C1" w:rsidRDefault="00746452" w:rsidP="00896CE2">
      <w:pPr>
        <w:pStyle w:val="EndnoteText"/>
        <w:spacing w:line="360" w:lineRule="auto"/>
        <w:rPr>
          <w:rFonts w:ascii="Times New Roman" w:hAnsi="Times New Roman" w:cs="Times New Roman"/>
          <w:sz w:val="24"/>
          <w:szCs w:val="24"/>
        </w:rPr>
      </w:pPr>
      <w:r w:rsidRPr="00FA18B5">
        <w:rPr>
          <w:rStyle w:val="EndnoteReference"/>
          <w:rFonts w:ascii="Times New Roman" w:hAnsi="Times New Roman" w:cs="Times New Roman"/>
          <w:sz w:val="24"/>
          <w:szCs w:val="24"/>
        </w:rPr>
        <w:endnoteRef/>
      </w:r>
      <w:r w:rsidRPr="00FA18B5">
        <w:rPr>
          <w:rFonts w:ascii="Times New Roman" w:hAnsi="Times New Roman" w:cs="Times New Roman"/>
          <w:sz w:val="24"/>
          <w:szCs w:val="24"/>
        </w:rPr>
        <w:t xml:space="preserve"> Data processing was carried out using </w:t>
      </w:r>
      <w:proofErr w:type="spellStart"/>
      <w:r w:rsidRPr="00FA18B5">
        <w:rPr>
          <w:rFonts w:ascii="Times New Roman" w:hAnsi="Times New Roman" w:cs="Times New Roman"/>
          <w:sz w:val="24"/>
          <w:szCs w:val="24"/>
        </w:rPr>
        <w:t>Stata</w:t>
      </w:r>
      <w:proofErr w:type="spellEnd"/>
      <w:r w:rsidRPr="00FA18B5">
        <w:rPr>
          <w:rFonts w:ascii="Times New Roman" w:hAnsi="Times New Roman" w:cs="Times New Roman"/>
          <w:sz w:val="24"/>
          <w:szCs w:val="24"/>
        </w:rPr>
        <w:t xml:space="preserve"> 11, and GMM estimations were conducted using the routine xtabond2; see </w:t>
      </w:r>
      <w:proofErr w:type="spellStart"/>
      <w:r w:rsidRPr="00FA18B5">
        <w:rPr>
          <w:rFonts w:ascii="Times New Roman" w:hAnsi="Times New Roman" w:cs="Times New Roman"/>
          <w:sz w:val="24"/>
          <w:szCs w:val="24"/>
        </w:rPr>
        <w:t>Roodman</w:t>
      </w:r>
      <w:proofErr w:type="spellEnd"/>
      <w:r w:rsidRPr="00FA18B5">
        <w:rPr>
          <w:rFonts w:ascii="Times New Roman" w:hAnsi="Times New Roman" w:cs="Times New Roman"/>
          <w:sz w:val="24"/>
          <w:szCs w:val="24"/>
        </w:rPr>
        <w:t xml:space="preserve"> (2006) for details.</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3803" w:rsidRDefault="008E3803" w:rsidP="00D63A5A">
      <w:pPr>
        <w:spacing w:after="0" w:line="240" w:lineRule="auto"/>
      </w:pPr>
      <w:r>
        <w:separator/>
      </w:r>
    </w:p>
  </w:footnote>
  <w:footnote w:type="continuationSeparator" w:id="0">
    <w:p w:rsidR="008E3803" w:rsidRDefault="008E3803" w:rsidP="00D63A5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F5440F"/>
    <w:multiLevelType w:val="multilevel"/>
    <w:tmpl w:val="8B0E3EE6"/>
    <w:lvl w:ilvl="0">
      <w:start w:val="1"/>
      <w:numFmt w:val="bullet"/>
      <w:pStyle w:val="TSRCWWBullets"/>
      <w:lvlText w:val=""/>
      <w:lvlJc w:val="left"/>
      <w:pPr>
        <w:ind w:left="360" w:hanging="360"/>
      </w:pPr>
      <w:rPr>
        <w:rFonts w:ascii="Symbol" w:hAnsi="Symbol" w:hint="default"/>
        <w:color w:val="8499A5"/>
        <w:sz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6C1F24AC"/>
    <w:multiLevelType w:val="multilevel"/>
    <w:tmpl w:val="1AD4A150"/>
    <w:lvl w:ilvl="0">
      <w:start w:val="1"/>
      <w:numFmt w:val="lowerRoman"/>
      <w:lvlText w:val="%1."/>
      <w:lvlJc w:val="right"/>
      <w:pPr>
        <w:ind w:left="720" w:hanging="360"/>
      </w:pPr>
      <w:rPr>
        <w:rFonts w:hint="default"/>
        <w:color w:val="8499A5"/>
        <w:sz w:val="24"/>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5ADD"/>
    <w:rsid w:val="00001916"/>
    <w:rsid w:val="00094F2A"/>
    <w:rsid w:val="000B1EF6"/>
    <w:rsid w:val="000C0C63"/>
    <w:rsid w:val="001A014C"/>
    <w:rsid w:val="001B650F"/>
    <w:rsid w:val="0020698D"/>
    <w:rsid w:val="002279CF"/>
    <w:rsid w:val="002966DF"/>
    <w:rsid w:val="002C0AEC"/>
    <w:rsid w:val="002E69C1"/>
    <w:rsid w:val="003058B2"/>
    <w:rsid w:val="0033162E"/>
    <w:rsid w:val="003518CB"/>
    <w:rsid w:val="003C503A"/>
    <w:rsid w:val="003E37A6"/>
    <w:rsid w:val="00415121"/>
    <w:rsid w:val="0044353F"/>
    <w:rsid w:val="004752D4"/>
    <w:rsid w:val="00490E01"/>
    <w:rsid w:val="005368A8"/>
    <w:rsid w:val="00580B5B"/>
    <w:rsid w:val="005D6EA0"/>
    <w:rsid w:val="006407C2"/>
    <w:rsid w:val="00644460"/>
    <w:rsid w:val="006B777B"/>
    <w:rsid w:val="006D5292"/>
    <w:rsid w:val="006E5B10"/>
    <w:rsid w:val="006E7A4C"/>
    <w:rsid w:val="006F5923"/>
    <w:rsid w:val="0071761D"/>
    <w:rsid w:val="007252A3"/>
    <w:rsid w:val="00731FA6"/>
    <w:rsid w:val="00746452"/>
    <w:rsid w:val="00753FC0"/>
    <w:rsid w:val="00764E09"/>
    <w:rsid w:val="00796D05"/>
    <w:rsid w:val="008014F9"/>
    <w:rsid w:val="00866659"/>
    <w:rsid w:val="00895F05"/>
    <w:rsid w:val="0089678D"/>
    <w:rsid w:val="00896CE2"/>
    <w:rsid w:val="008C5ADD"/>
    <w:rsid w:val="008E3803"/>
    <w:rsid w:val="0093770C"/>
    <w:rsid w:val="009D0ED3"/>
    <w:rsid w:val="009D73BC"/>
    <w:rsid w:val="00A661E2"/>
    <w:rsid w:val="00A75410"/>
    <w:rsid w:val="00B00185"/>
    <w:rsid w:val="00B14A3F"/>
    <w:rsid w:val="00B56AF0"/>
    <w:rsid w:val="00B73817"/>
    <w:rsid w:val="00BE74AB"/>
    <w:rsid w:val="00C81758"/>
    <w:rsid w:val="00C95DF5"/>
    <w:rsid w:val="00CB588F"/>
    <w:rsid w:val="00D422A0"/>
    <w:rsid w:val="00D63A5A"/>
    <w:rsid w:val="00D854D9"/>
    <w:rsid w:val="00D90DBC"/>
    <w:rsid w:val="00D9559B"/>
    <w:rsid w:val="00DB6BCE"/>
    <w:rsid w:val="00DD3264"/>
    <w:rsid w:val="00E5458B"/>
    <w:rsid w:val="00E91507"/>
    <w:rsid w:val="00ED18D0"/>
    <w:rsid w:val="00F37CB5"/>
    <w:rsid w:val="00F44FEF"/>
    <w:rsid w:val="00F81C14"/>
    <w:rsid w:val="00F90DF9"/>
    <w:rsid w:val="00FA18B5"/>
    <w:rsid w:val="00FA6330"/>
    <w:rsid w:val="00FF76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SRCBody">
    <w:name w:val="TSRC Body"/>
    <w:link w:val="TSRCBodyChar"/>
    <w:qFormat/>
    <w:rsid w:val="008C5ADD"/>
    <w:pPr>
      <w:spacing w:after="0" w:line="360" w:lineRule="auto"/>
      <w:ind w:firstLine="284"/>
      <w:jc w:val="both"/>
    </w:pPr>
    <w:rPr>
      <w:rFonts w:ascii="Arial" w:eastAsia="Times New Roman" w:hAnsi="Arial" w:cs="Arial"/>
      <w:sz w:val="20"/>
      <w:szCs w:val="20"/>
    </w:rPr>
  </w:style>
  <w:style w:type="paragraph" w:customStyle="1" w:styleId="TSRCFirstBody">
    <w:name w:val="TSRC First Body"/>
    <w:basedOn w:val="TSRCBody"/>
    <w:link w:val="TSRCFirstBodyChar"/>
    <w:qFormat/>
    <w:rsid w:val="008C5ADD"/>
    <w:pPr>
      <w:ind w:firstLine="0"/>
    </w:pPr>
  </w:style>
  <w:style w:type="character" w:customStyle="1" w:styleId="TSRCBodyChar">
    <w:name w:val="TSRC Body Char"/>
    <w:basedOn w:val="DefaultParagraphFont"/>
    <w:link w:val="TSRCBody"/>
    <w:rsid w:val="008C5ADD"/>
    <w:rPr>
      <w:rFonts w:ascii="Arial" w:eastAsia="Times New Roman" w:hAnsi="Arial" w:cs="Arial"/>
      <w:sz w:val="20"/>
      <w:szCs w:val="20"/>
      <w:lang w:eastAsia="en-GB"/>
    </w:rPr>
  </w:style>
  <w:style w:type="character" w:customStyle="1" w:styleId="TSRCFirstBodyChar">
    <w:name w:val="TSRC First Body Char"/>
    <w:basedOn w:val="TSRCBodyChar"/>
    <w:link w:val="TSRCFirstBody"/>
    <w:rsid w:val="008C5ADD"/>
    <w:rPr>
      <w:rFonts w:ascii="Arial" w:eastAsia="Times New Roman" w:hAnsi="Arial" w:cs="Arial"/>
      <w:sz w:val="20"/>
      <w:szCs w:val="20"/>
      <w:lang w:eastAsia="en-GB"/>
    </w:rPr>
  </w:style>
  <w:style w:type="character" w:styleId="FootnoteReference">
    <w:name w:val="footnote reference"/>
    <w:basedOn w:val="DefaultParagraphFont"/>
    <w:uiPriority w:val="99"/>
    <w:semiHidden/>
    <w:rsid w:val="00D63A5A"/>
    <w:rPr>
      <w:rFonts w:ascii="Times New Roman" w:hAnsi="Times New Roman"/>
      <w:dstrike w:val="0"/>
      <w:vertAlign w:val="superscript"/>
    </w:rPr>
  </w:style>
  <w:style w:type="paragraph" w:styleId="FootnoteText">
    <w:name w:val="footnote text"/>
    <w:basedOn w:val="Normal"/>
    <w:link w:val="FootnoteTextChar"/>
    <w:uiPriority w:val="99"/>
    <w:semiHidden/>
    <w:unhideWhenUsed/>
    <w:rsid w:val="00D63A5A"/>
    <w:pPr>
      <w:spacing w:after="0" w:line="240" w:lineRule="auto"/>
    </w:pPr>
    <w:rPr>
      <w:rFonts w:ascii="Calibri" w:eastAsia="Times New Roman" w:hAnsi="Calibri" w:cs="Times New Roman"/>
      <w:sz w:val="20"/>
      <w:szCs w:val="20"/>
      <w:lang w:val="en-US"/>
    </w:rPr>
  </w:style>
  <w:style w:type="character" w:customStyle="1" w:styleId="FootnoteTextChar">
    <w:name w:val="Footnote Text Char"/>
    <w:basedOn w:val="DefaultParagraphFont"/>
    <w:link w:val="FootnoteText"/>
    <w:uiPriority w:val="99"/>
    <w:semiHidden/>
    <w:rsid w:val="00D63A5A"/>
    <w:rPr>
      <w:rFonts w:ascii="Calibri" w:eastAsia="Times New Roman" w:hAnsi="Calibri" w:cs="Times New Roman"/>
      <w:sz w:val="20"/>
      <w:szCs w:val="20"/>
      <w:lang w:val="en-US" w:eastAsia="en-GB"/>
    </w:rPr>
  </w:style>
  <w:style w:type="character" w:styleId="Hyperlink">
    <w:name w:val="Hyperlink"/>
    <w:basedOn w:val="DefaultParagraphFont"/>
    <w:uiPriority w:val="99"/>
    <w:rsid w:val="00796D05"/>
    <w:rPr>
      <w:color w:val="0000FF"/>
      <w:u w:val="single"/>
    </w:rPr>
  </w:style>
  <w:style w:type="character" w:styleId="Strong">
    <w:name w:val="Strong"/>
    <w:basedOn w:val="DefaultParagraphFont"/>
    <w:uiPriority w:val="22"/>
    <w:qFormat/>
    <w:rsid w:val="00796D05"/>
    <w:rPr>
      <w:b/>
      <w:bCs/>
    </w:rPr>
  </w:style>
  <w:style w:type="paragraph" w:styleId="BalloonText">
    <w:name w:val="Balloon Text"/>
    <w:basedOn w:val="Normal"/>
    <w:link w:val="BalloonTextChar"/>
    <w:uiPriority w:val="99"/>
    <w:semiHidden/>
    <w:unhideWhenUsed/>
    <w:rsid w:val="00796D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6D05"/>
    <w:rPr>
      <w:rFonts w:ascii="Tahoma" w:hAnsi="Tahoma" w:cs="Tahoma"/>
      <w:sz w:val="16"/>
      <w:szCs w:val="16"/>
    </w:rPr>
  </w:style>
  <w:style w:type="paragraph" w:customStyle="1" w:styleId="TSRCWWBullets">
    <w:name w:val="TSRC W&amp;W Bullets"/>
    <w:basedOn w:val="Normal"/>
    <w:link w:val="TSRCWWBulletsChar"/>
    <w:uiPriority w:val="99"/>
    <w:qFormat/>
    <w:rsid w:val="00896CE2"/>
    <w:pPr>
      <w:numPr>
        <w:numId w:val="1"/>
      </w:numPr>
      <w:spacing w:before="100" w:after="100" w:line="360" w:lineRule="auto"/>
      <w:ind w:left="567" w:hanging="283"/>
      <w:contextualSpacing/>
      <w:jc w:val="both"/>
    </w:pPr>
    <w:rPr>
      <w:rFonts w:ascii="Arial" w:eastAsia="Times New Roman" w:hAnsi="Arial" w:cs="Arial"/>
      <w:sz w:val="20"/>
      <w:szCs w:val="20"/>
    </w:rPr>
  </w:style>
  <w:style w:type="character" w:customStyle="1" w:styleId="TSRCWWBulletsChar">
    <w:name w:val="TSRC W&amp;W Bullets Char"/>
    <w:basedOn w:val="DefaultParagraphFont"/>
    <w:link w:val="TSRCWWBullets"/>
    <w:uiPriority w:val="99"/>
    <w:rsid w:val="00896CE2"/>
    <w:rPr>
      <w:rFonts w:ascii="Arial" w:eastAsia="Times New Roman" w:hAnsi="Arial" w:cs="Arial"/>
      <w:sz w:val="20"/>
      <w:szCs w:val="20"/>
      <w:lang w:eastAsia="en-GB"/>
    </w:rPr>
  </w:style>
  <w:style w:type="paragraph" w:customStyle="1" w:styleId="TSRCtablefigureheading">
    <w:name w:val="TSRC table/figure heading"/>
    <w:basedOn w:val="Normal"/>
    <w:next w:val="Normal"/>
    <w:qFormat/>
    <w:rsid w:val="00E91507"/>
    <w:pPr>
      <w:spacing w:before="100" w:after="100" w:line="360" w:lineRule="auto"/>
      <w:jc w:val="both"/>
    </w:pPr>
    <w:rPr>
      <w:rFonts w:ascii="Arial" w:eastAsia="Times New Roman" w:hAnsi="Arial" w:cs="Arial"/>
      <w:b/>
      <w:bCs/>
      <w:sz w:val="20"/>
      <w:szCs w:val="20"/>
      <w:u w:val="single"/>
    </w:rPr>
  </w:style>
  <w:style w:type="paragraph" w:customStyle="1" w:styleId="TSRCreferences">
    <w:name w:val="TSRC references"/>
    <w:basedOn w:val="Normal"/>
    <w:uiPriority w:val="99"/>
    <w:qFormat/>
    <w:rsid w:val="003058B2"/>
    <w:pPr>
      <w:spacing w:after="0" w:line="360" w:lineRule="auto"/>
      <w:ind w:left="284" w:hanging="284"/>
      <w:jc w:val="both"/>
    </w:pPr>
    <w:rPr>
      <w:rFonts w:ascii="Arial" w:eastAsia="Times New Roman" w:hAnsi="Arial" w:cs="Arial"/>
      <w:sz w:val="20"/>
      <w:szCs w:val="20"/>
    </w:rPr>
  </w:style>
  <w:style w:type="paragraph" w:styleId="EndnoteText">
    <w:name w:val="endnote text"/>
    <w:basedOn w:val="Normal"/>
    <w:link w:val="EndnoteTextChar"/>
    <w:uiPriority w:val="99"/>
    <w:semiHidden/>
    <w:unhideWhenUsed/>
    <w:rsid w:val="002E69C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E69C1"/>
    <w:rPr>
      <w:sz w:val="20"/>
      <w:szCs w:val="20"/>
    </w:rPr>
  </w:style>
  <w:style w:type="character" w:styleId="EndnoteReference">
    <w:name w:val="endnote reference"/>
    <w:basedOn w:val="DefaultParagraphFont"/>
    <w:uiPriority w:val="99"/>
    <w:semiHidden/>
    <w:unhideWhenUsed/>
    <w:rsid w:val="002E69C1"/>
    <w:rPr>
      <w:vertAlign w:val="superscript"/>
    </w:rPr>
  </w:style>
  <w:style w:type="character" w:styleId="CommentReference">
    <w:name w:val="annotation reference"/>
    <w:basedOn w:val="DefaultParagraphFont"/>
    <w:uiPriority w:val="99"/>
    <w:semiHidden/>
    <w:unhideWhenUsed/>
    <w:rsid w:val="0089678D"/>
    <w:rPr>
      <w:sz w:val="16"/>
      <w:szCs w:val="16"/>
    </w:rPr>
  </w:style>
  <w:style w:type="paragraph" w:styleId="CommentText">
    <w:name w:val="annotation text"/>
    <w:basedOn w:val="Normal"/>
    <w:link w:val="CommentTextChar"/>
    <w:uiPriority w:val="99"/>
    <w:semiHidden/>
    <w:unhideWhenUsed/>
    <w:rsid w:val="0089678D"/>
    <w:pPr>
      <w:spacing w:line="240" w:lineRule="auto"/>
    </w:pPr>
    <w:rPr>
      <w:sz w:val="20"/>
      <w:szCs w:val="20"/>
    </w:rPr>
  </w:style>
  <w:style w:type="character" w:customStyle="1" w:styleId="CommentTextChar">
    <w:name w:val="Comment Text Char"/>
    <w:basedOn w:val="DefaultParagraphFont"/>
    <w:link w:val="CommentText"/>
    <w:uiPriority w:val="99"/>
    <w:semiHidden/>
    <w:rsid w:val="0089678D"/>
    <w:rPr>
      <w:sz w:val="20"/>
      <w:szCs w:val="20"/>
    </w:rPr>
  </w:style>
  <w:style w:type="paragraph" w:styleId="CommentSubject">
    <w:name w:val="annotation subject"/>
    <w:basedOn w:val="CommentText"/>
    <w:next w:val="CommentText"/>
    <w:link w:val="CommentSubjectChar"/>
    <w:uiPriority w:val="99"/>
    <w:semiHidden/>
    <w:unhideWhenUsed/>
    <w:rsid w:val="0089678D"/>
    <w:rPr>
      <w:b/>
      <w:bCs/>
    </w:rPr>
  </w:style>
  <w:style w:type="character" w:customStyle="1" w:styleId="CommentSubjectChar">
    <w:name w:val="Comment Subject Char"/>
    <w:basedOn w:val="CommentTextChar"/>
    <w:link w:val="CommentSubject"/>
    <w:uiPriority w:val="99"/>
    <w:semiHidden/>
    <w:rsid w:val="0089678D"/>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SRCBody">
    <w:name w:val="TSRC Body"/>
    <w:link w:val="TSRCBodyChar"/>
    <w:qFormat/>
    <w:rsid w:val="008C5ADD"/>
    <w:pPr>
      <w:spacing w:after="0" w:line="360" w:lineRule="auto"/>
      <w:ind w:firstLine="284"/>
      <w:jc w:val="both"/>
    </w:pPr>
    <w:rPr>
      <w:rFonts w:ascii="Arial" w:eastAsia="Times New Roman" w:hAnsi="Arial" w:cs="Arial"/>
      <w:sz w:val="20"/>
      <w:szCs w:val="20"/>
    </w:rPr>
  </w:style>
  <w:style w:type="paragraph" w:customStyle="1" w:styleId="TSRCFirstBody">
    <w:name w:val="TSRC First Body"/>
    <w:basedOn w:val="TSRCBody"/>
    <w:link w:val="TSRCFirstBodyChar"/>
    <w:qFormat/>
    <w:rsid w:val="008C5ADD"/>
    <w:pPr>
      <w:ind w:firstLine="0"/>
    </w:pPr>
  </w:style>
  <w:style w:type="character" w:customStyle="1" w:styleId="TSRCBodyChar">
    <w:name w:val="TSRC Body Char"/>
    <w:basedOn w:val="DefaultParagraphFont"/>
    <w:link w:val="TSRCBody"/>
    <w:rsid w:val="008C5ADD"/>
    <w:rPr>
      <w:rFonts w:ascii="Arial" w:eastAsia="Times New Roman" w:hAnsi="Arial" w:cs="Arial"/>
      <w:sz w:val="20"/>
      <w:szCs w:val="20"/>
      <w:lang w:eastAsia="en-GB"/>
    </w:rPr>
  </w:style>
  <w:style w:type="character" w:customStyle="1" w:styleId="TSRCFirstBodyChar">
    <w:name w:val="TSRC First Body Char"/>
    <w:basedOn w:val="TSRCBodyChar"/>
    <w:link w:val="TSRCFirstBody"/>
    <w:rsid w:val="008C5ADD"/>
    <w:rPr>
      <w:rFonts w:ascii="Arial" w:eastAsia="Times New Roman" w:hAnsi="Arial" w:cs="Arial"/>
      <w:sz w:val="20"/>
      <w:szCs w:val="20"/>
      <w:lang w:eastAsia="en-GB"/>
    </w:rPr>
  </w:style>
  <w:style w:type="character" w:styleId="FootnoteReference">
    <w:name w:val="footnote reference"/>
    <w:basedOn w:val="DefaultParagraphFont"/>
    <w:uiPriority w:val="99"/>
    <w:semiHidden/>
    <w:rsid w:val="00D63A5A"/>
    <w:rPr>
      <w:rFonts w:ascii="Times New Roman" w:hAnsi="Times New Roman"/>
      <w:dstrike w:val="0"/>
      <w:vertAlign w:val="superscript"/>
    </w:rPr>
  </w:style>
  <w:style w:type="paragraph" w:styleId="FootnoteText">
    <w:name w:val="footnote text"/>
    <w:basedOn w:val="Normal"/>
    <w:link w:val="FootnoteTextChar"/>
    <w:uiPriority w:val="99"/>
    <w:semiHidden/>
    <w:unhideWhenUsed/>
    <w:rsid w:val="00D63A5A"/>
    <w:pPr>
      <w:spacing w:after="0" w:line="240" w:lineRule="auto"/>
    </w:pPr>
    <w:rPr>
      <w:rFonts w:ascii="Calibri" w:eastAsia="Times New Roman" w:hAnsi="Calibri" w:cs="Times New Roman"/>
      <w:sz w:val="20"/>
      <w:szCs w:val="20"/>
      <w:lang w:val="en-US"/>
    </w:rPr>
  </w:style>
  <w:style w:type="character" w:customStyle="1" w:styleId="FootnoteTextChar">
    <w:name w:val="Footnote Text Char"/>
    <w:basedOn w:val="DefaultParagraphFont"/>
    <w:link w:val="FootnoteText"/>
    <w:uiPriority w:val="99"/>
    <w:semiHidden/>
    <w:rsid w:val="00D63A5A"/>
    <w:rPr>
      <w:rFonts w:ascii="Calibri" w:eastAsia="Times New Roman" w:hAnsi="Calibri" w:cs="Times New Roman"/>
      <w:sz w:val="20"/>
      <w:szCs w:val="20"/>
      <w:lang w:val="en-US" w:eastAsia="en-GB"/>
    </w:rPr>
  </w:style>
  <w:style w:type="character" w:styleId="Hyperlink">
    <w:name w:val="Hyperlink"/>
    <w:basedOn w:val="DefaultParagraphFont"/>
    <w:uiPriority w:val="99"/>
    <w:rsid w:val="00796D05"/>
    <w:rPr>
      <w:color w:val="0000FF"/>
      <w:u w:val="single"/>
    </w:rPr>
  </w:style>
  <w:style w:type="character" w:styleId="Strong">
    <w:name w:val="Strong"/>
    <w:basedOn w:val="DefaultParagraphFont"/>
    <w:uiPriority w:val="22"/>
    <w:qFormat/>
    <w:rsid w:val="00796D05"/>
    <w:rPr>
      <w:b/>
      <w:bCs/>
    </w:rPr>
  </w:style>
  <w:style w:type="paragraph" w:styleId="BalloonText">
    <w:name w:val="Balloon Text"/>
    <w:basedOn w:val="Normal"/>
    <w:link w:val="BalloonTextChar"/>
    <w:uiPriority w:val="99"/>
    <w:semiHidden/>
    <w:unhideWhenUsed/>
    <w:rsid w:val="00796D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6D05"/>
    <w:rPr>
      <w:rFonts w:ascii="Tahoma" w:hAnsi="Tahoma" w:cs="Tahoma"/>
      <w:sz w:val="16"/>
      <w:szCs w:val="16"/>
    </w:rPr>
  </w:style>
  <w:style w:type="paragraph" w:customStyle="1" w:styleId="TSRCWWBullets">
    <w:name w:val="TSRC W&amp;W Bullets"/>
    <w:basedOn w:val="Normal"/>
    <w:link w:val="TSRCWWBulletsChar"/>
    <w:uiPriority w:val="99"/>
    <w:qFormat/>
    <w:rsid w:val="00896CE2"/>
    <w:pPr>
      <w:numPr>
        <w:numId w:val="1"/>
      </w:numPr>
      <w:spacing w:before="100" w:after="100" w:line="360" w:lineRule="auto"/>
      <w:ind w:left="567" w:hanging="283"/>
      <w:contextualSpacing/>
      <w:jc w:val="both"/>
    </w:pPr>
    <w:rPr>
      <w:rFonts w:ascii="Arial" w:eastAsia="Times New Roman" w:hAnsi="Arial" w:cs="Arial"/>
      <w:sz w:val="20"/>
      <w:szCs w:val="20"/>
    </w:rPr>
  </w:style>
  <w:style w:type="character" w:customStyle="1" w:styleId="TSRCWWBulletsChar">
    <w:name w:val="TSRC W&amp;W Bullets Char"/>
    <w:basedOn w:val="DefaultParagraphFont"/>
    <w:link w:val="TSRCWWBullets"/>
    <w:uiPriority w:val="99"/>
    <w:rsid w:val="00896CE2"/>
    <w:rPr>
      <w:rFonts w:ascii="Arial" w:eastAsia="Times New Roman" w:hAnsi="Arial" w:cs="Arial"/>
      <w:sz w:val="20"/>
      <w:szCs w:val="20"/>
      <w:lang w:eastAsia="en-GB"/>
    </w:rPr>
  </w:style>
  <w:style w:type="paragraph" w:customStyle="1" w:styleId="TSRCtablefigureheading">
    <w:name w:val="TSRC table/figure heading"/>
    <w:basedOn w:val="Normal"/>
    <w:next w:val="Normal"/>
    <w:qFormat/>
    <w:rsid w:val="00E91507"/>
    <w:pPr>
      <w:spacing w:before="100" w:after="100" w:line="360" w:lineRule="auto"/>
      <w:jc w:val="both"/>
    </w:pPr>
    <w:rPr>
      <w:rFonts w:ascii="Arial" w:eastAsia="Times New Roman" w:hAnsi="Arial" w:cs="Arial"/>
      <w:b/>
      <w:bCs/>
      <w:sz w:val="20"/>
      <w:szCs w:val="20"/>
      <w:u w:val="single"/>
    </w:rPr>
  </w:style>
  <w:style w:type="paragraph" w:customStyle="1" w:styleId="TSRCreferences">
    <w:name w:val="TSRC references"/>
    <w:basedOn w:val="Normal"/>
    <w:uiPriority w:val="99"/>
    <w:qFormat/>
    <w:rsid w:val="003058B2"/>
    <w:pPr>
      <w:spacing w:after="0" w:line="360" w:lineRule="auto"/>
      <w:ind w:left="284" w:hanging="284"/>
      <w:jc w:val="both"/>
    </w:pPr>
    <w:rPr>
      <w:rFonts w:ascii="Arial" w:eastAsia="Times New Roman" w:hAnsi="Arial" w:cs="Arial"/>
      <w:sz w:val="20"/>
      <w:szCs w:val="20"/>
    </w:rPr>
  </w:style>
  <w:style w:type="paragraph" w:styleId="EndnoteText">
    <w:name w:val="endnote text"/>
    <w:basedOn w:val="Normal"/>
    <w:link w:val="EndnoteTextChar"/>
    <w:uiPriority w:val="99"/>
    <w:semiHidden/>
    <w:unhideWhenUsed/>
    <w:rsid w:val="002E69C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E69C1"/>
    <w:rPr>
      <w:sz w:val="20"/>
      <w:szCs w:val="20"/>
    </w:rPr>
  </w:style>
  <w:style w:type="character" w:styleId="EndnoteReference">
    <w:name w:val="endnote reference"/>
    <w:basedOn w:val="DefaultParagraphFont"/>
    <w:uiPriority w:val="99"/>
    <w:semiHidden/>
    <w:unhideWhenUsed/>
    <w:rsid w:val="002E69C1"/>
    <w:rPr>
      <w:vertAlign w:val="superscript"/>
    </w:rPr>
  </w:style>
  <w:style w:type="character" w:styleId="CommentReference">
    <w:name w:val="annotation reference"/>
    <w:basedOn w:val="DefaultParagraphFont"/>
    <w:uiPriority w:val="99"/>
    <w:semiHidden/>
    <w:unhideWhenUsed/>
    <w:rsid w:val="0089678D"/>
    <w:rPr>
      <w:sz w:val="16"/>
      <w:szCs w:val="16"/>
    </w:rPr>
  </w:style>
  <w:style w:type="paragraph" w:styleId="CommentText">
    <w:name w:val="annotation text"/>
    <w:basedOn w:val="Normal"/>
    <w:link w:val="CommentTextChar"/>
    <w:uiPriority w:val="99"/>
    <w:semiHidden/>
    <w:unhideWhenUsed/>
    <w:rsid w:val="0089678D"/>
    <w:pPr>
      <w:spacing w:line="240" w:lineRule="auto"/>
    </w:pPr>
    <w:rPr>
      <w:sz w:val="20"/>
      <w:szCs w:val="20"/>
    </w:rPr>
  </w:style>
  <w:style w:type="character" w:customStyle="1" w:styleId="CommentTextChar">
    <w:name w:val="Comment Text Char"/>
    <w:basedOn w:val="DefaultParagraphFont"/>
    <w:link w:val="CommentText"/>
    <w:uiPriority w:val="99"/>
    <w:semiHidden/>
    <w:rsid w:val="0089678D"/>
    <w:rPr>
      <w:sz w:val="20"/>
      <w:szCs w:val="20"/>
    </w:rPr>
  </w:style>
  <w:style w:type="paragraph" w:styleId="CommentSubject">
    <w:name w:val="annotation subject"/>
    <w:basedOn w:val="CommentText"/>
    <w:next w:val="CommentText"/>
    <w:link w:val="CommentSubjectChar"/>
    <w:uiPriority w:val="99"/>
    <w:semiHidden/>
    <w:unhideWhenUsed/>
    <w:rsid w:val="0089678D"/>
    <w:rPr>
      <w:b/>
      <w:bCs/>
    </w:rPr>
  </w:style>
  <w:style w:type="character" w:customStyle="1" w:styleId="CommentSubjectChar">
    <w:name w:val="Comment Subject Char"/>
    <w:basedOn w:val="CommentTextChar"/>
    <w:link w:val="CommentSubject"/>
    <w:uiPriority w:val="99"/>
    <w:semiHidden/>
    <w:rsid w:val="0089678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0" Type="http://schemas.openxmlformats.org/officeDocument/2006/relationships/chart" Target="charts/chart1.xml"/><Relationship Id="rId4" Type="http://schemas.microsoft.com/office/2007/relationships/stylesWithEffects" Target="stylesWithEffects.xml"/><Relationship Id="rId9" Type="http://schemas.openxmlformats.org/officeDocument/2006/relationships/hyperlink" Target="http://en.wikipedia.org/wiki/Variance_inflation_factor" TargetMode="External"/></Relationships>
</file>

<file path=word/_rels/endnotes.xml.rels><?xml version="1.0" encoding="UTF-8" standalone="yes"?>
<Relationships xmlns="http://schemas.openxmlformats.org/package/2006/relationships"><Relationship Id="rId1" Type="http://schemas.openxmlformats.org/officeDocument/2006/relationships/hyperlink" Target="http://data.ncvo-vol.org.uk/?p=75" TargetMode="External"/></Relationships>
</file>

<file path=word/charts/_rels/chart1.xml.rels><?xml version="1.0" encoding="UTF-8" standalone="yes"?>
<Relationships xmlns="http://schemas.openxmlformats.org/package/2006/relationships"><Relationship Id="rId2" Type="http://schemas.openxmlformats.org/officeDocument/2006/relationships/oleObject" Target="Book1"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6.8803188534607304E-2"/>
          <c:y val="3.7656606530898286E-2"/>
          <c:w val="0.79954588379068992"/>
          <c:h val="0.85217748241649061"/>
        </c:manualLayout>
      </c:layout>
      <c:lineChart>
        <c:grouping val="standard"/>
        <c:varyColors val="0"/>
        <c:ser>
          <c:idx val="0"/>
          <c:order val="0"/>
          <c:tx>
            <c:strRef>
              <c:f>Sheet1!$C$3</c:f>
              <c:strCache>
                <c:ptCount val="1"/>
                <c:pt idx="0">
                  <c:v>Earned</c:v>
                </c:pt>
              </c:strCache>
            </c:strRef>
          </c:tx>
          <c:cat>
            <c:strRef>
              <c:f>Sheet1!$B$4:$B$11</c:f>
              <c:strCache>
                <c:ptCount val="8"/>
                <c:pt idx="0">
                  <c:v>2000/01</c:v>
                </c:pt>
                <c:pt idx="1">
                  <c:v>2001/02</c:v>
                </c:pt>
                <c:pt idx="2">
                  <c:v>2002/03</c:v>
                </c:pt>
                <c:pt idx="3">
                  <c:v>2003/04</c:v>
                </c:pt>
                <c:pt idx="4">
                  <c:v>2004/05</c:v>
                </c:pt>
                <c:pt idx="5">
                  <c:v>2005/06</c:v>
                </c:pt>
                <c:pt idx="6">
                  <c:v>2006/07</c:v>
                </c:pt>
                <c:pt idx="7">
                  <c:v>2007/08</c:v>
                </c:pt>
              </c:strCache>
            </c:strRef>
          </c:cat>
          <c:val>
            <c:numRef>
              <c:f>Sheet1!$C$4:$C$11</c:f>
              <c:numCache>
                <c:formatCode>#,##0.0</c:formatCode>
                <c:ptCount val="8"/>
                <c:pt idx="0">
                  <c:v>9.8743194046937486</c:v>
                </c:pt>
                <c:pt idx="1">
                  <c:v>10.563167487120769</c:v>
                </c:pt>
                <c:pt idx="2">
                  <c:v>12.33629658807417</c:v>
                </c:pt>
                <c:pt idx="3">
                  <c:v>14.109425689027564</c:v>
                </c:pt>
                <c:pt idx="4">
                  <c:v>14.595071028183449</c:v>
                </c:pt>
                <c:pt idx="5">
                  <c:v>16.797530525220989</c:v>
                </c:pt>
                <c:pt idx="6">
                  <c:v>17.655671076809387</c:v>
                </c:pt>
                <c:pt idx="7">
                  <c:v>17.413649664576589</c:v>
                </c:pt>
              </c:numCache>
            </c:numRef>
          </c:val>
          <c:smooth val="0"/>
        </c:ser>
        <c:ser>
          <c:idx val="1"/>
          <c:order val="1"/>
          <c:tx>
            <c:strRef>
              <c:f>Sheet1!$D$3</c:f>
              <c:strCache>
                <c:ptCount val="1"/>
                <c:pt idx="0">
                  <c:v>Total </c:v>
                </c:pt>
              </c:strCache>
            </c:strRef>
          </c:tx>
          <c:cat>
            <c:strRef>
              <c:f>Sheet1!$B$4:$B$11</c:f>
              <c:strCache>
                <c:ptCount val="8"/>
                <c:pt idx="0">
                  <c:v>2000/01</c:v>
                </c:pt>
                <c:pt idx="1">
                  <c:v>2001/02</c:v>
                </c:pt>
                <c:pt idx="2">
                  <c:v>2002/03</c:v>
                </c:pt>
                <c:pt idx="3">
                  <c:v>2003/04</c:v>
                </c:pt>
                <c:pt idx="4">
                  <c:v>2004/05</c:v>
                </c:pt>
                <c:pt idx="5">
                  <c:v>2005/06</c:v>
                </c:pt>
                <c:pt idx="6">
                  <c:v>2006/07</c:v>
                </c:pt>
                <c:pt idx="7">
                  <c:v>2007/08</c:v>
                </c:pt>
              </c:strCache>
            </c:strRef>
          </c:cat>
          <c:val>
            <c:numRef>
              <c:f>Sheet1!$D$4:$D$11</c:f>
              <c:numCache>
                <c:formatCode>0.0</c:formatCode>
                <c:ptCount val="8"/>
                <c:pt idx="0">
                  <c:v>25.141768975386366</c:v>
                </c:pt>
                <c:pt idx="1">
                  <c:v>24.633790955924457</c:v>
                </c:pt>
                <c:pt idx="2">
                  <c:v>27.169946127988233</c:v>
                </c:pt>
                <c:pt idx="3">
                  <c:v>29.70610130005203</c:v>
                </c:pt>
                <c:pt idx="4">
                  <c:v>30.51039674458616</c:v>
                </c:pt>
                <c:pt idx="5">
                  <c:v>33.379564430577226</c:v>
                </c:pt>
                <c:pt idx="6">
                  <c:v>34.487394684958474</c:v>
                </c:pt>
                <c:pt idx="7" formatCode="#,##0.0">
                  <c:v>35.49775605237533</c:v>
                </c:pt>
              </c:numCache>
            </c:numRef>
          </c:val>
          <c:smooth val="0"/>
        </c:ser>
        <c:dLbls>
          <c:showLegendKey val="0"/>
          <c:showVal val="0"/>
          <c:showCatName val="0"/>
          <c:showSerName val="0"/>
          <c:showPercent val="0"/>
          <c:showBubbleSize val="0"/>
        </c:dLbls>
        <c:marker val="1"/>
        <c:smooth val="0"/>
        <c:axId val="155594112"/>
        <c:axId val="155640960"/>
      </c:lineChart>
      <c:catAx>
        <c:axId val="155594112"/>
        <c:scaling>
          <c:orientation val="minMax"/>
        </c:scaling>
        <c:delete val="0"/>
        <c:axPos val="b"/>
        <c:majorTickMark val="out"/>
        <c:minorTickMark val="none"/>
        <c:tickLblPos val="nextTo"/>
        <c:crossAx val="155640960"/>
        <c:crosses val="autoZero"/>
        <c:auto val="1"/>
        <c:lblAlgn val="ctr"/>
        <c:lblOffset val="100"/>
        <c:noMultiLvlLbl val="0"/>
      </c:catAx>
      <c:valAx>
        <c:axId val="155640960"/>
        <c:scaling>
          <c:orientation val="minMax"/>
        </c:scaling>
        <c:delete val="0"/>
        <c:axPos val="l"/>
        <c:majorGridlines/>
        <c:numFmt formatCode="#,##0.0" sourceLinked="1"/>
        <c:majorTickMark val="out"/>
        <c:minorTickMark val="none"/>
        <c:tickLblPos val="nextTo"/>
        <c:crossAx val="155594112"/>
        <c:crosses val="autoZero"/>
        <c:crossBetween val="between"/>
      </c:valAx>
    </c:plotArea>
    <c:legend>
      <c:legendPos val="r"/>
      <c:layout/>
      <c:overlay val="0"/>
    </c:legend>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9F207D8-30EA-4AF4-9734-02225B7C77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27</Pages>
  <Words>7364</Words>
  <Characters>41978</Characters>
  <Application>Microsoft Office Word</Application>
  <DocSecurity>0</DocSecurity>
  <Lines>349</Lines>
  <Paragraphs>98</Paragraphs>
  <ScaleCrop>false</ScaleCrop>
  <HeadingPairs>
    <vt:vector size="2" baseType="variant">
      <vt:variant>
        <vt:lpstr>Title</vt:lpstr>
      </vt:variant>
      <vt:variant>
        <vt:i4>1</vt:i4>
      </vt:variant>
    </vt:vector>
  </HeadingPairs>
  <TitlesOfParts>
    <vt:vector size="1" baseType="lpstr">
      <vt:lpstr/>
    </vt:vector>
  </TitlesOfParts>
  <Company>GCU</Company>
  <LinksUpToDate>false</LinksUpToDate>
  <CharactersWithSpaces>49244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teasdals</dc:creator>
  <cp:lastModifiedBy>Teasdale, Simon</cp:lastModifiedBy>
  <cp:revision>3</cp:revision>
  <dcterms:created xsi:type="dcterms:W3CDTF">2013-08-15T13:55:00Z</dcterms:created>
  <dcterms:modified xsi:type="dcterms:W3CDTF">2013-08-15T13:56:00Z</dcterms:modified>
</cp:coreProperties>
</file>