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5413" w14:textId="7D97F85E" w:rsidR="001607F9" w:rsidRPr="00D348F8" w:rsidRDefault="004E0E95" w:rsidP="005A5FFA">
      <w:pPr>
        <w:spacing w:line="480" w:lineRule="auto"/>
        <w:rPr>
          <w:rFonts w:ascii="Times New Roman" w:hAnsi="Times New Roman" w:cs="Times New Roman"/>
          <w:lang w:val="en-GB"/>
        </w:rPr>
      </w:pPr>
      <w:bookmarkStart w:id="0" w:name="_GoBack"/>
      <w:bookmarkEnd w:id="0"/>
      <w:r w:rsidRPr="008368C1">
        <w:rPr>
          <w:rFonts w:ascii="Times New Roman" w:hAnsi="Times New Roman" w:cs="Times New Roman"/>
          <w:b/>
          <w:lang w:val="en-GB"/>
        </w:rPr>
        <w:t>E</w:t>
      </w:r>
      <w:r w:rsidR="001607F9" w:rsidRPr="007400ED">
        <w:rPr>
          <w:rFonts w:ascii="Times New Roman" w:hAnsi="Times New Roman" w:cs="Times New Roman"/>
          <w:b/>
          <w:lang w:val="en-GB"/>
        </w:rPr>
        <w:t>mpiric antibiotic treatment for urinary tract infection in pre</w:t>
      </w:r>
      <w:r w:rsidRPr="007400ED">
        <w:rPr>
          <w:rFonts w:ascii="Times New Roman" w:hAnsi="Times New Roman" w:cs="Times New Roman"/>
          <w:b/>
          <w:lang w:val="en-GB"/>
        </w:rPr>
        <w:t>-school children</w:t>
      </w:r>
      <w:r w:rsidR="001607F9" w:rsidRPr="007400ED">
        <w:rPr>
          <w:rFonts w:ascii="Times New Roman" w:hAnsi="Times New Roman" w:cs="Times New Roman"/>
          <w:b/>
          <w:lang w:val="en-GB"/>
        </w:rPr>
        <w:t xml:space="preserve">: </w:t>
      </w:r>
      <w:r w:rsidR="00F8048B" w:rsidRPr="007400ED">
        <w:rPr>
          <w:rFonts w:ascii="Times New Roman" w:hAnsi="Times New Roman" w:cs="Times New Roman"/>
          <w:b/>
          <w:lang w:val="en-GB"/>
        </w:rPr>
        <w:t>s</w:t>
      </w:r>
      <w:r w:rsidR="00C022D8" w:rsidRPr="007400ED">
        <w:rPr>
          <w:rFonts w:ascii="Times New Roman" w:hAnsi="Times New Roman" w:cs="Times New Roman"/>
          <w:b/>
          <w:lang w:val="en-GB"/>
        </w:rPr>
        <w:t xml:space="preserve">usceptibilities </w:t>
      </w:r>
      <w:r w:rsidR="00F8048B" w:rsidRPr="007400ED">
        <w:rPr>
          <w:rFonts w:ascii="Times New Roman" w:hAnsi="Times New Roman" w:cs="Times New Roman"/>
          <w:b/>
          <w:lang w:val="en-GB"/>
        </w:rPr>
        <w:t xml:space="preserve">of </w:t>
      </w:r>
      <w:r w:rsidR="00225770" w:rsidRPr="007400ED">
        <w:rPr>
          <w:rFonts w:ascii="Times New Roman" w:hAnsi="Times New Roman" w:cs="Times New Roman"/>
          <w:b/>
          <w:lang w:val="en-GB"/>
        </w:rPr>
        <w:t>urine sample i</w:t>
      </w:r>
      <w:r w:rsidR="00F8048B" w:rsidRPr="00D348F8">
        <w:rPr>
          <w:rFonts w:ascii="Times New Roman" w:hAnsi="Times New Roman" w:cs="Times New Roman"/>
          <w:b/>
          <w:lang w:val="en-GB"/>
        </w:rPr>
        <w:t xml:space="preserve">solates </w:t>
      </w:r>
    </w:p>
    <w:p w14:paraId="648C50BD" w14:textId="77777777" w:rsidR="00551DE1" w:rsidRPr="00D348F8" w:rsidRDefault="00551DE1" w:rsidP="005A5FFA">
      <w:pPr>
        <w:spacing w:line="480" w:lineRule="auto"/>
        <w:rPr>
          <w:rFonts w:ascii="Times New Roman" w:hAnsi="Times New Roman" w:cs="Times New Roman"/>
          <w:lang w:val="en-GB"/>
        </w:rPr>
      </w:pPr>
    </w:p>
    <w:p w14:paraId="76025BD1" w14:textId="00412BA2" w:rsidR="00815E3F" w:rsidRPr="00734E51" w:rsidRDefault="00815E3F"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Professor Christopher C. Butler</w:t>
      </w:r>
      <w:r w:rsidRPr="00734E51">
        <w:rPr>
          <w:rFonts w:ascii="Times New Roman" w:hAnsi="Times New Roman" w:cs="Times New Roman"/>
          <w:vertAlign w:val="superscript"/>
          <w:lang w:val="en-GB"/>
        </w:rPr>
        <w:t>1 2</w:t>
      </w:r>
      <w:r w:rsidRPr="00734E51">
        <w:rPr>
          <w:rFonts w:ascii="Times New Roman" w:hAnsi="Times New Roman" w:cs="Times New Roman"/>
          <w:lang w:val="en-GB"/>
        </w:rPr>
        <w:t>; Dr Kathryn O’Brien</w:t>
      </w:r>
      <w:r w:rsidRPr="00734E51">
        <w:rPr>
          <w:rFonts w:ascii="Times New Roman" w:hAnsi="Times New Roman" w:cs="Times New Roman"/>
          <w:vertAlign w:val="superscript"/>
          <w:lang w:val="en-GB"/>
        </w:rPr>
        <w:t>2</w:t>
      </w:r>
      <w:r w:rsidRPr="00734E51">
        <w:rPr>
          <w:rFonts w:ascii="Times New Roman" w:hAnsi="Times New Roman" w:cs="Times New Roman"/>
          <w:lang w:val="en-GB"/>
        </w:rPr>
        <w:t xml:space="preserve">; </w:t>
      </w:r>
      <w:r w:rsidR="005D1F69" w:rsidRPr="00734E51">
        <w:rPr>
          <w:rFonts w:ascii="Times New Roman" w:hAnsi="Times New Roman" w:cs="Times New Roman"/>
          <w:lang w:val="en-GB"/>
        </w:rPr>
        <w:t>Dr Mandy Wootton</w:t>
      </w:r>
      <w:r w:rsidR="005D1F69" w:rsidRPr="00734E51">
        <w:rPr>
          <w:rFonts w:ascii="Times New Roman" w:hAnsi="Times New Roman" w:cs="Times New Roman"/>
          <w:vertAlign w:val="superscript"/>
          <w:lang w:val="en-GB"/>
        </w:rPr>
        <w:t>3</w:t>
      </w:r>
      <w:r w:rsidR="005D1F69" w:rsidRPr="00734E51">
        <w:rPr>
          <w:rFonts w:ascii="Times New Roman" w:hAnsi="Times New Roman" w:cs="Times New Roman"/>
          <w:lang w:val="en-GB"/>
        </w:rPr>
        <w:t xml:space="preserve">; </w:t>
      </w:r>
      <w:r w:rsidRPr="00734E51">
        <w:rPr>
          <w:rFonts w:ascii="Times New Roman" w:hAnsi="Times New Roman" w:cs="Times New Roman"/>
          <w:lang w:val="en-GB"/>
        </w:rPr>
        <w:t>Mr Timothy Pickles</w:t>
      </w:r>
      <w:r w:rsidRPr="00734E51">
        <w:rPr>
          <w:rFonts w:ascii="Times New Roman" w:hAnsi="Times New Roman" w:cs="Times New Roman"/>
          <w:vertAlign w:val="superscript"/>
          <w:lang w:val="en-GB"/>
        </w:rPr>
        <w:t>3</w:t>
      </w:r>
      <w:r w:rsidRPr="00734E51">
        <w:rPr>
          <w:rFonts w:ascii="Times New Roman" w:hAnsi="Times New Roman" w:cs="Times New Roman"/>
          <w:lang w:val="en-GB"/>
        </w:rPr>
        <w:t xml:space="preserve">; Professor </w:t>
      </w:r>
      <w:proofErr w:type="spellStart"/>
      <w:r w:rsidRPr="00734E51">
        <w:rPr>
          <w:rFonts w:ascii="Times New Roman" w:hAnsi="Times New Roman" w:cs="Times New Roman"/>
          <w:lang w:val="en-GB"/>
        </w:rPr>
        <w:t>Kerenza</w:t>
      </w:r>
      <w:proofErr w:type="spellEnd"/>
      <w:r w:rsidRPr="00734E51">
        <w:rPr>
          <w:rFonts w:ascii="Times New Roman" w:hAnsi="Times New Roman" w:cs="Times New Roman"/>
          <w:lang w:val="en-GB"/>
        </w:rPr>
        <w:t xml:space="preserve"> Hood</w:t>
      </w:r>
      <w:r w:rsidR="00F24099" w:rsidRPr="00734E51">
        <w:rPr>
          <w:rFonts w:ascii="Times New Roman" w:hAnsi="Times New Roman" w:cs="Times New Roman"/>
          <w:vertAlign w:val="superscript"/>
          <w:lang w:val="en-GB"/>
        </w:rPr>
        <w:t>4</w:t>
      </w:r>
      <w:r w:rsidRPr="00734E51">
        <w:rPr>
          <w:rFonts w:ascii="Times New Roman" w:hAnsi="Times New Roman" w:cs="Times New Roman"/>
          <w:lang w:val="en-GB"/>
        </w:rPr>
        <w:t>; Dr Robin Howe</w:t>
      </w:r>
      <w:r w:rsidR="00F24099" w:rsidRPr="00734E51">
        <w:rPr>
          <w:rFonts w:ascii="Times New Roman" w:hAnsi="Times New Roman" w:cs="Times New Roman"/>
          <w:vertAlign w:val="superscript"/>
          <w:lang w:val="en-GB"/>
        </w:rPr>
        <w:t>3</w:t>
      </w:r>
      <w:r w:rsidRPr="00734E51">
        <w:rPr>
          <w:rFonts w:ascii="Times New Roman" w:hAnsi="Times New Roman" w:cs="Times New Roman"/>
          <w:lang w:val="en-GB"/>
        </w:rPr>
        <w:t>; Dr Cherry-Ann Waldron</w:t>
      </w:r>
      <w:r w:rsidR="00F24099" w:rsidRPr="00734E51">
        <w:rPr>
          <w:rFonts w:ascii="Times New Roman" w:hAnsi="Times New Roman" w:cs="Times New Roman"/>
          <w:vertAlign w:val="superscript"/>
          <w:lang w:val="en-GB"/>
        </w:rPr>
        <w:t>4</w:t>
      </w:r>
      <w:r w:rsidRPr="00734E51">
        <w:rPr>
          <w:rFonts w:ascii="Times New Roman" w:hAnsi="Times New Roman" w:cs="Times New Roman"/>
          <w:vertAlign w:val="superscript"/>
          <w:lang w:val="en-GB"/>
        </w:rPr>
        <w:t xml:space="preserve"> </w:t>
      </w:r>
      <w:r w:rsidRPr="00734E51">
        <w:rPr>
          <w:rFonts w:ascii="Times New Roman" w:hAnsi="Times New Roman" w:cs="Times New Roman"/>
          <w:lang w:val="en-GB"/>
        </w:rPr>
        <w:t>; Dr Emma Thomas-Jones</w:t>
      </w:r>
      <w:r w:rsidR="00F24099" w:rsidRPr="00734E51">
        <w:rPr>
          <w:rFonts w:ascii="Times New Roman" w:hAnsi="Times New Roman" w:cs="Times New Roman"/>
          <w:vertAlign w:val="superscript"/>
          <w:lang w:val="en-GB"/>
        </w:rPr>
        <w:t>4</w:t>
      </w:r>
      <w:r w:rsidRPr="00734E51">
        <w:rPr>
          <w:rFonts w:ascii="Times New Roman" w:hAnsi="Times New Roman" w:cs="Times New Roman"/>
          <w:lang w:val="en-GB"/>
        </w:rPr>
        <w:t xml:space="preserve">;  </w:t>
      </w:r>
      <w:r w:rsidR="00B01A88" w:rsidRPr="00734E51">
        <w:rPr>
          <w:rFonts w:ascii="Times New Roman" w:hAnsi="Times New Roman" w:cs="Times New Roman"/>
          <w:lang w:val="en-GB"/>
        </w:rPr>
        <w:t>Dr Jan Dudley</w:t>
      </w:r>
      <w:r w:rsidR="00B01A88" w:rsidRPr="00734E51">
        <w:rPr>
          <w:rFonts w:ascii="Times New Roman" w:hAnsi="Times New Roman" w:cs="Times New Roman"/>
          <w:vertAlign w:val="superscript"/>
          <w:lang w:val="en-GB"/>
        </w:rPr>
        <w:t xml:space="preserve">5 </w:t>
      </w:r>
      <w:r w:rsidR="00B01A88" w:rsidRPr="00734E51">
        <w:rPr>
          <w:rFonts w:ascii="Times New Roman" w:hAnsi="Times New Roman" w:cs="Times New Roman"/>
          <w:lang w:val="en-GB"/>
        </w:rPr>
        <w:t>;</w:t>
      </w:r>
      <w:r w:rsidR="00B01A88" w:rsidRPr="00734E51">
        <w:rPr>
          <w:rFonts w:ascii="Times New Roman" w:hAnsi="Times New Roman" w:cs="Times New Roman"/>
          <w:vertAlign w:val="superscript"/>
          <w:lang w:val="en-GB"/>
        </w:rPr>
        <w:t xml:space="preserve"> </w:t>
      </w:r>
      <w:r w:rsidRPr="00734E51">
        <w:rPr>
          <w:rFonts w:ascii="Times New Roman" w:hAnsi="Times New Roman" w:cs="Times New Roman"/>
          <w:lang w:val="en-GB"/>
        </w:rPr>
        <w:t>Dr Judith Van Der Voort,</w:t>
      </w:r>
      <w:r w:rsidR="00B01A88" w:rsidRPr="00734E51">
        <w:rPr>
          <w:rFonts w:ascii="Times New Roman" w:hAnsi="Times New Roman" w:cs="Times New Roman"/>
          <w:vertAlign w:val="superscript"/>
          <w:lang w:val="en-GB"/>
        </w:rPr>
        <w:t>6</w:t>
      </w:r>
      <w:r w:rsidRPr="00734E51">
        <w:rPr>
          <w:rFonts w:ascii="Times New Roman" w:hAnsi="Times New Roman" w:cs="Times New Roman"/>
          <w:vertAlign w:val="superscript"/>
          <w:lang w:val="en-GB"/>
        </w:rPr>
        <w:t xml:space="preserve"> </w:t>
      </w:r>
      <w:r w:rsidRPr="00734E51">
        <w:rPr>
          <w:rFonts w:ascii="Times New Roman" w:hAnsi="Times New Roman" w:cs="Times New Roman"/>
          <w:lang w:val="en-GB"/>
        </w:rPr>
        <w:t xml:space="preserve">; </w:t>
      </w:r>
      <w:r w:rsidR="00ED5804" w:rsidRPr="00734E51">
        <w:rPr>
          <w:rFonts w:ascii="Times New Roman" w:hAnsi="Times New Roman" w:cs="Times New Roman"/>
          <w:lang w:val="en-GB"/>
        </w:rPr>
        <w:t>Ms Kate Rumsby</w:t>
      </w:r>
      <w:r w:rsidR="00ED5804" w:rsidRPr="00734E51">
        <w:rPr>
          <w:rFonts w:ascii="Times New Roman" w:hAnsi="Times New Roman" w:cs="Times New Roman"/>
          <w:vertAlign w:val="superscript"/>
          <w:lang w:val="en-GB"/>
        </w:rPr>
        <w:t>7</w:t>
      </w:r>
      <w:r w:rsidR="00ED5804" w:rsidRPr="00734E51">
        <w:rPr>
          <w:rFonts w:ascii="Times New Roman" w:hAnsi="Times New Roman" w:cs="Times New Roman"/>
          <w:lang w:val="en-GB"/>
        </w:rPr>
        <w:t xml:space="preserve">; </w:t>
      </w:r>
      <w:r w:rsidRPr="00734E51">
        <w:rPr>
          <w:rFonts w:ascii="Times New Roman" w:hAnsi="Times New Roman" w:cs="Times New Roman"/>
          <w:lang w:val="en-GB"/>
        </w:rPr>
        <w:t>Professor Paul Little</w:t>
      </w:r>
      <w:r w:rsidRPr="00734E51">
        <w:rPr>
          <w:rFonts w:ascii="Times New Roman" w:hAnsi="Times New Roman" w:cs="Times New Roman"/>
          <w:vertAlign w:val="superscript"/>
          <w:lang w:val="en-GB"/>
        </w:rPr>
        <w:t>7</w:t>
      </w:r>
      <w:r w:rsidRPr="00734E51">
        <w:rPr>
          <w:rFonts w:ascii="Times New Roman" w:hAnsi="Times New Roman" w:cs="Times New Roman"/>
          <w:lang w:val="en-GB"/>
        </w:rPr>
        <w:t>; Mrs Harriet Downing</w:t>
      </w:r>
      <w:r w:rsidRPr="00734E51">
        <w:rPr>
          <w:rFonts w:ascii="Times New Roman" w:hAnsi="Times New Roman" w:cs="Times New Roman"/>
          <w:vertAlign w:val="superscript"/>
          <w:lang w:val="en-GB"/>
        </w:rPr>
        <w:t xml:space="preserve">8 </w:t>
      </w:r>
      <w:r w:rsidRPr="00734E51">
        <w:rPr>
          <w:rFonts w:ascii="Times New Roman" w:hAnsi="Times New Roman" w:cs="Times New Roman"/>
          <w:lang w:val="en-GB"/>
        </w:rPr>
        <w:t>;</w:t>
      </w:r>
      <w:r w:rsidR="00723A14" w:rsidRPr="00734E51">
        <w:rPr>
          <w:rFonts w:ascii="Times New Roman" w:hAnsi="Times New Roman" w:cs="Times New Roman"/>
          <w:lang w:val="en-GB"/>
        </w:rPr>
        <w:t xml:space="preserve"> Dr </w:t>
      </w:r>
      <w:r w:rsidR="00D84AC1" w:rsidRPr="00734E51">
        <w:rPr>
          <w:rFonts w:ascii="Times New Roman" w:hAnsi="Times New Roman" w:cs="Times New Roman"/>
          <w:lang w:val="en-GB"/>
        </w:rPr>
        <w:t>Kim Harman</w:t>
      </w:r>
      <w:r w:rsidR="00D84AC1" w:rsidRPr="00734E51">
        <w:rPr>
          <w:rFonts w:ascii="Times New Roman" w:hAnsi="Times New Roman" w:cs="Times New Roman"/>
          <w:vertAlign w:val="superscript"/>
          <w:lang w:val="en-GB"/>
        </w:rPr>
        <w:t>8</w:t>
      </w:r>
      <w:r w:rsidR="00D84AC1" w:rsidRPr="00734E51">
        <w:rPr>
          <w:vertAlign w:val="superscript"/>
          <w:lang w:val="en-GB"/>
        </w:rPr>
        <w:t xml:space="preserve"> </w:t>
      </w:r>
      <w:r w:rsidR="00D84AC1" w:rsidRPr="00734E51">
        <w:rPr>
          <w:lang w:val="en-GB"/>
        </w:rPr>
        <w:t xml:space="preserve">; </w:t>
      </w:r>
      <w:r w:rsidRPr="00734E51">
        <w:rPr>
          <w:rFonts w:ascii="Times New Roman" w:hAnsi="Times New Roman" w:cs="Times New Roman"/>
          <w:lang w:val="en-GB"/>
        </w:rPr>
        <w:t>Professor Alastair D Hay</w:t>
      </w:r>
      <w:r w:rsidRPr="00734E51">
        <w:rPr>
          <w:rFonts w:ascii="Times New Roman" w:hAnsi="Times New Roman" w:cs="Times New Roman"/>
          <w:vertAlign w:val="superscript"/>
          <w:lang w:val="en-GB"/>
        </w:rPr>
        <w:t>8</w:t>
      </w:r>
      <w:r w:rsidRPr="00734E51">
        <w:rPr>
          <w:rFonts w:ascii="Times New Roman" w:hAnsi="Times New Roman" w:cs="Times New Roman"/>
          <w:lang w:val="en-GB"/>
        </w:rPr>
        <w:t>,</w:t>
      </w:r>
      <w:r w:rsidRPr="00734E51">
        <w:rPr>
          <w:rFonts w:ascii="Times New Roman" w:hAnsi="Times New Roman" w:cs="Times New Roman"/>
          <w:vertAlign w:val="superscript"/>
          <w:lang w:val="en-GB"/>
        </w:rPr>
        <w:t xml:space="preserve"> </w:t>
      </w:r>
      <w:r w:rsidRPr="00734E51">
        <w:rPr>
          <w:rFonts w:ascii="Times New Roman" w:hAnsi="Times New Roman" w:cs="Times New Roman"/>
          <w:lang w:val="en-GB"/>
        </w:rPr>
        <w:t>on behalf of the DUTY study team</w:t>
      </w:r>
    </w:p>
    <w:p w14:paraId="5389561D" w14:textId="77777777" w:rsidR="00815E3F" w:rsidRPr="00734E51" w:rsidRDefault="00815E3F" w:rsidP="005A5FFA">
      <w:pPr>
        <w:spacing w:line="480" w:lineRule="auto"/>
        <w:jc w:val="both"/>
        <w:rPr>
          <w:rFonts w:ascii="Times New Roman" w:hAnsi="Times New Roman" w:cs="Times New Roman"/>
          <w:lang w:val="en-GB"/>
        </w:rPr>
      </w:pPr>
    </w:p>
    <w:p w14:paraId="56B973AC" w14:textId="77777777" w:rsidR="00815E3F" w:rsidRPr="00734E51" w:rsidRDefault="00815E3F" w:rsidP="005A5FFA">
      <w:pPr>
        <w:spacing w:line="480" w:lineRule="auto"/>
        <w:jc w:val="both"/>
        <w:rPr>
          <w:rFonts w:ascii="Times New Roman" w:hAnsi="Times New Roman" w:cs="Times New Roman"/>
          <w:i/>
          <w:lang w:val="en-GB"/>
        </w:rPr>
      </w:pPr>
      <w:r w:rsidRPr="00734E51">
        <w:rPr>
          <w:rFonts w:ascii="Times New Roman" w:hAnsi="Times New Roman" w:cs="Times New Roman"/>
          <w:i/>
          <w:lang w:val="en-GB"/>
        </w:rPr>
        <w:t>Affiliations</w:t>
      </w:r>
    </w:p>
    <w:p w14:paraId="23975EDC" w14:textId="2BECC6F0" w:rsidR="00815E3F" w:rsidRPr="00734E51" w:rsidRDefault="00815E3F"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 xml:space="preserve">1. Nuffield Department of Primary Care Health Sciences, University of Oxford, Oxford, </w:t>
      </w:r>
      <w:r w:rsidR="00F812B2" w:rsidRPr="00734E51">
        <w:rPr>
          <w:rFonts w:ascii="Times New Roman" w:hAnsi="Times New Roman" w:cs="Times New Roman"/>
          <w:lang w:val="en-GB"/>
        </w:rPr>
        <w:t xml:space="preserve">and Cwm </w:t>
      </w:r>
      <w:proofErr w:type="spellStart"/>
      <w:r w:rsidR="00F812B2" w:rsidRPr="00734E51">
        <w:rPr>
          <w:rFonts w:ascii="Times New Roman" w:hAnsi="Times New Roman" w:cs="Times New Roman"/>
          <w:lang w:val="en-GB"/>
        </w:rPr>
        <w:t>Taf</w:t>
      </w:r>
      <w:proofErr w:type="spellEnd"/>
      <w:r w:rsidR="00F812B2" w:rsidRPr="00734E51">
        <w:rPr>
          <w:rFonts w:ascii="Times New Roman" w:hAnsi="Times New Roman" w:cs="Times New Roman"/>
          <w:lang w:val="en-GB"/>
        </w:rPr>
        <w:t xml:space="preserve"> University Health Board</w:t>
      </w:r>
      <w:r w:rsidR="002B1A12" w:rsidRPr="00734E51">
        <w:rPr>
          <w:rFonts w:ascii="Times New Roman" w:hAnsi="Times New Roman" w:cs="Times New Roman"/>
          <w:lang w:val="en-GB"/>
        </w:rPr>
        <w:t>, UK</w:t>
      </w:r>
    </w:p>
    <w:p w14:paraId="011EDB71" w14:textId="3EE84C99" w:rsidR="00815E3F" w:rsidRPr="00734E51" w:rsidRDefault="00815E3F"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 xml:space="preserve">2. Cochrane Institute of Primary Care &amp; Public Health, School of Medicine, Cardiff University, Cardiff, UK </w:t>
      </w:r>
    </w:p>
    <w:p w14:paraId="24636B25" w14:textId="1BFA0BF2" w:rsidR="00F24099" w:rsidRPr="00734E51" w:rsidRDefault="00F24099"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 xml:space="preserve">3. Specialist Antimicrobial Chemotherapy Unit, Public Health Wales Microbiology Cardiff, University Hospital Wales, Heath Park, </w:t>
      </w:r>
      <w:proofErr w:type="gramStart"/>
      <w:r w:rsidRPr="00734E51">
        <w:rPr>
          <w:rFonts w:ascii="Times New Roman" w:hAnsi="Times New Roman" w:cs="Times New Roman"/>
          <w:lang w:val="en-GB"/>
        </w:rPr>
        <w:t xml:space="preserve">Cardiff </w:t>
      </w:r>
      <w:r w:rsidR="002B1A12" w:rsidRPr="00734E51">
        <w:rPr>
          <w:rFonts w:ascii="Times New Roman" w:hAnsi="Times New Roman" w:cs="Times New Roman"/>
          <w:lang w:val="en-GB"/>
        </w:rPr>
        <w:t xml:space="preserve"> </w:t>
      </w:r>
      <w:r w:rsidRPr="00734E51">
        <w:rPr>
          <w:rFonts w:ascii="Times New Roman" w:hAnsi="Times New Roman" w:cs="Times New Roman"/>
          <w:lang w:val="en-GB"/>
        </w:rPr>
        <w:t>UK</w:t>
      </w:r>
      <w:proofErr w:type="gramEnd"/>
      <w:r w:rsidRPr="00734E51">
        <w:rPr>
          <w:rFonts w:ascii="Times New Roman" w:hAnsi="Times New Roman" w:cs="Times New Roman"/>
          <w:lang w:val="en-GB"/>
        </w:rPr>
        <w:t xml:space="preserve"> </w:t>
      </w:r>
    </w:p>
    <w:p w14:paraId="17D53666" w14:textId="06745257" w:rsidR="00815E3F" w:rsidRPr="00734E51" w:rsidRDefault="00F24099"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4</w:t>
      </w:r>
      <w:r w:rsidR="00815E3F" w:rsidRPr="00734E51">
        <w:rPr>
          <w:rFonts w:ascii="Times New Roman" w:hAnsi="Times New Roman" w:cs="Times New Roman"/>
          <w:lang w:val="en-GB"/>
        </w:rPr>
        <w:t xml:space="preserve">. South East Wales Trials Unit (SEWTU), Institute for Translation, Innovation, Methodology and Engagement, School of Medicine, Cardiff University, </w:t>
      </w:r>
      <w:proofErr w:type="gramStart"/>
      <w:r w:rsidR="00815E3F" w:rsidRPr="00734E51">
        <w:rPr>
          <w:rFonts w:ascii="Times New Roman" w:hAnsi="Times New Roman" w:cs="Times New Roman"/>
          <w:lang w:val="en-GB"/>
        </w:rPr>
        <w:t xml:space="preserve">Cardiff </w:t>
      </w:r>
      <w:r w:rsidR="002B1A12" w:rsidRPr="00734E51">
        <w:rPr>
          <w:rFonts w:ascii="Times New Roman" w:hAnsi="Times New Roman" w:cs="Times New Roman"/>
          <w:lang w:val="en-GB"/>
        </w:rPr>
        <w:t>,</w:t>
      </w:r>
      <w:proofErr w:type="gramEnd"/>
      <w:r w:rsidR="002B1A12" w:rsidRPr="00734E51">
        <w:rPr>
          <w:rFonts w:ascii="Times New Roman" w:hAnsi="Times New Roman" w:cs="Times New Roman"/>
          <w:lang w:val="en-GB"/>
        </w:rPr>
        <w:t xml:space="preserve"> </w:t>
      </w:r>
      <w:r w:rsidR="00815E3F" w:rsidRPr="00734E51">
        <w:rPr>
          <w:rFonts w:ascii="Times New Roman" w:hAnsi="Times New Roman" w:cs="Times New Roman"/>
          <w:lang w:val="en-GB"/>
        </w:rPr>
        <w:t>UK</w:t>
      </w:r>
    </w:p>
    <w:p w14:paraId="08630945" w14:textId="378790BF" w:rsidR="00B01A88" w:rsidRPr="00734E51" w:rsidRDefault="00B01A88"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 xml:space="preserve">5. Bristol Royal Hospital for Children, University Hospitals Bristol, NHS Foundation Trust, Bristol, </w:t>
      </w:r>
      <w:r w:rsidR="00216CED" w:rsidRPr="00734E51">
        <w:rPr>
          <w:rFonts w:ascii="Times New Roman" w:hAnsi="Times New Roman" w:cs="Times New Roman"/>
          <w:lang w:val="en-GB"/>
        </w:rPr>
        <w:t>UK</w:t>
      </w:r>
    </w:p>
    <w:p w14:paraId="6A2E44FB" w14:textId="411E7942" w:rsidR="00216CED" w:rsidRPr="00734E51" w:rsidRDefault="00B01A88"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6</w:t>
      </w:r>
      <w:r w:rsidR="00815E3F" w:rsidRPr="00734E51">
        <w:rPr>
          <w:rFonts w:ascii="Times New Roman" w:hAnsi="Times New Roman" w:cs="Times New Roman"/>
          <w:lang w:val="en-GB"/>
        </w:rPr>
        <w:t>. Department of Paediatrics and Child Health, University Hospital of Wales</w:t>
      </w:r>
      <w:proofErr w:type="gramStart"/>
      <w:r w:rsidR="00815E3F" w:rsidRPr="00734E51">
        <w:rPr>
          <w:rFonts w:ascii="Times New Roman" w:hAnsi="Times New Roman" w:cs="Times New Roman"/>
          <w:lang w:val="en-GB"/>
        </w:rPr>
        <w:t>, ,</w:t>
      </w:r>
      <w:proofErr w:type="gramEnd"/>
      <w:r w:rsidR="00815E3F" w:rsidRPr="00734E51">
        <w:rPr>
          <w:rFonts w:ascii="Times New Roman" w:hAnsi="Times New Roman" w:cs="Times New Roman"/>
          <w:lang w:val="en-GB"/>
        </w:rPr>
        <w:t xml:space="preserve"> Cardiff</w:t>
      </w:r>
      <w:r w:rsidR="00216CED" w:rsidRPr="00734E51">
        <w:rPr>
          <w:rFonts w:ascii="Times New Roman" w:hAnsi="Times New Roman" w:cs="Times New Roman"/>
          <w:lang w:val="en-GB"/>
        </w:rPr>
        <w:t>, UK</w:t>
      </w:r>
    </w:p>
    <w:p w14:paraId="46BCCC2E" w14:textId="491EB12B" w:rsidR="00815E3F" w:rsidRPr="00734E51" w:rsidRDefault="00815E3F"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t>7. Primary Care and Population Sciences Division, University of Southampton, Southampton</w:t>
      </w:r>
      <w:proofErr w:type="gramStart"/>
      <w:r w:rsidRPr="00734E51">
        <w:rPr>
          <w:rFonts w:ascii="Times New Roman" w:hAnsi="Times New Roman" w:cs="Times New Roman"/>
          <w:lang w:val="en-GB"/>
        </w:rPr>
        <w:t>, ,</w:t>
      </w:r>
      <w:proofErr w:type="gramEnd"/>
      <w:r w:rsidRPr="00734E51">
        <w:rPr>
          <w:rFonts w:ascii="Times New Roman" w:hAnsi="Times New Roman" w:cs="Times New Roman"/>
          <w:lang w:val="en-GB"/>
        </w:rPr>
        <w:t xml:space="preserve"> UK</w:t>
      </w:r>
    </w:p>
    <w:p w14:paraId="53F1D215" w14:textId="6DD52660" w:rsidR="00815E3F" w:rsidRPr="00734E51" w:rsidRDefault="00815E3F" w:rsidP="005A5FFA">
      <w:pPr>
        <w:spacing w:line="480" w:lineRule="auto"/>
        <w:jc w:val="both"/>
        <w:rPr>
          <w:rFonts w:ascii="Times New Roman" w:hAnsi="Times New Roman" w:cs="Times New Roman"/>
          <w:lang w:val="en-GB"/>
        </w:rPr>
      </w:pPr>
      <w:r w:rsidRPr="00734E51">
        <w:rPr>
          <w:rFonts w:ascii="Times New Roman" w:hAnsi="Times New Roman" w:cs="Times New Roman"/>
          <w:lang w:val="en-GB"/>
        </w:rPr>
        <w:lastRenderedPageBreak/>
        <w:t xml:space="preserve">8. Centre for Academic Primary Care, NIHR School of Primary Care Research, School of Social and Community Medicine, University of Bristol, Bristol, , UK </w:t>
      </w:r>
    </w:p>
    <w:p w14:paraId="7F155381" w14:textId="77777777" w:rsidR="00815E3F" w:rsidRPr="00734E51" w:rsidRDefault="00815E3F" w:rsidP="005A5FFA">
      <w:pPr>
        <w:spacing w:line="480" w:lineRule="auto"/>
        <w:jc w:val="both"/>
        <w:rPr>
          <w:rFonts w:ascii="Times New Roman" w:hAnsi="Times New Roman" w:cs="Times New Roman"/>
          <w:lang w:val="en-GB"/>
        </w:rPr>
      </w:pPr>
    </w:p>
    <w:p w14:paraId="703180EF" w14:textId="77777777" w:rsidR="00815E3F" w:rsidRPr="00734E51" w:rsidRDefault="00815E3F" w:rsidP="005A5FFA">
      <w:pPr>
        <w:spacing w:line="480" w:lineRule="auto"/>
        <w:jc w:val="both"/>
        <w:rPr>
          <w:rFonts w:ascii="Times New Roman" w:hAnsi="Times New Roman" w:cs="Times New Roman"/>
          <w:i/>
          <w:lang w:val="en-GB"/>
        </w:rPr>
      </w:pPr>
    </w:p>
    <w:p w14:paraId="362C4171" w14:textId="77777777" w:rsidR="00815E3F" w:rsidRPr="00734E51" w:rsidRDefault="00815E3F" w:rsidP="005A5FFA">
      <w:pPr>
        <w:spacing w:line="480" w:lineRule="auto"/>
        <w:jc w:val="both"/>
        <w:rPr>
          <w:rFonts w:ascii="Times New Roman" w:hAnsi="Times New Roman" w:cs="Times New Roman"/>
          <w:lang w:val="en-GB"/>
        </w:rPr>
      </w:pPr>
      <w:r w:rsidRPr="00734E51">
        <w:rPr>
          <w:rFonts w:ascii="Times New Roman" w:hAnsi="Times New Roman" w:cs="Times New Roman"/>
          <w:i/>
          <w:lang w:val="en-GB"/>
        </w:rPr>
        <w:t>Corresponding author</w:t>
      </w:r>
      <w:r w:rsidRPr="00734E51">
        <w:rPr>
          <w:rFonts w:ascii="Times New Roman" w:hAnsi="Times New Roman" w:cs="Times New Roman"/>
          <w:lang w:val="en-GB"/>
        </w:rPr>
        <w:t>: Professor Christopher C Butler, Nuffield Department of Primary Care Health Sciences, University of Oxford, New Radcliffe House, Radcliffe Observatory Quarter, Woodstock Road, Oxford, OX2 6NW, UK.</w:t>
      </w:r>
      <w:r w:rsidR="005A5FFA" w:rsidRPr="00734E51">
        <w:rPr>
          <w:rFonts w:ascii="Times New Roman" w:hAnsi="Times New Roman" w:cs="Times New Roman"/>
          <w:lang w:val="en-GB"/>
        </w:rPr>
        <w:t xml:space="preserve"> Email </w:t>
      </w:r>
      <w:r w:rsidR="00862FA2" w:rsidRPr="00734E51">
        <w:rPr>
          <w:rFonts w:ascii="Times New Roman" w:hAnsi="Times New Roman" w:cs="Times New Roman"/>
          <w:lang w:val="en-GB"/>
        </w:rPr>
        <w:t>christopher.butler@phc.ox.ac.uk</w:t>
      </w:r>
    </w:p>
    <w:p w14:paraId="14782CFC" w14:textId="77777777" w:rsidR="00815E3F" w:rsidRPr="00734E51" w:rsidRDefault="00815E3F" w:rsidP="005A5FFA">
      <w:pPr>
        <w:spacing w:line="480" w:lineRule="auto"/>
        <w:jc w:val="both"/>
        <w:rPr>
          <w:rFonts w:ascii="Times New Roman" w:hAnsi="Times New Roman" w:cs="Times New Roman"/>
          <w:lang w:val="en-GB"/>
        </w:rPr>
      </w:pPr>
    </w:p>
    <w:p w14:paraId="1C1999DE" w14:textId="77777777" w:rsidR="00815E3F" w:rsidRPr="00734E51" w:rsidRDefault="00815E3F" w:rsidP="005A5FFA">
      <w:pPr>
        <w:spacing w:line="480" w:lineRule="auto"/>
        <w:jc w:val="both"/>
        <w:rPr>
          <w:rFonts w:ascii="Times New Roman" w:hAnsi="Times New Roman" w:cs="Times New Roman"/>
          <w:lang w:val="en-GB"/>
        </w:rPr>
      </w:pPr>
    </w:p>
    <w:p w14:paraId="1D309751" w14:textId="77777777" w:rsidR="00551DE1" w:rsidRPr="008368C1" w:rsidRDefault="00551DE1" w:rsidP="005A5FFA">
      <w:pPr>
        <w:spacing w:line="480" w:lineRule="auto"/>
        <w:rPr>
          <w:rFonts w:ascii="Times New Roman" w:hAnsi="Times New Roman" w:cs="Times New Roman"/>
          <w:lang w:val="en-GB"/>
        </w:rPr>
      </w:pPr>
    </w:p>
    <w:p w14:paraId="6C29C4B5" w14:textId="77777777" w:rsidR="00551DE1" w:rsidRPr="00D348F8" w:rsidRDefault="00551DE1" w:rsidP="005A5FFA">
      <w:pPr>
        <w:spacing w:line="480" w:lineRule="auto"/>
        <w:rPr>
          <w:rFonts w:ascii="Times New Roman" w:hAnsi="Times New Roman" w:cs="Times New Roman"/>
          <w:lang w:val="en-GB"/>
        </w:rPr>
      </w:pPr>
    </w:p>
    <w:p w14:paraId="684B98E0" w14:textId="2FA279A0" w:rsidR="001607F9" w:rsidRPr="00D348F8" w:rsidRDefault="00B01A88" w:rsidP="003913B2">
      <w:pPr>
        <w:spacing w:after="160" w:line="480" w:lineRule="auto"/>
        <w:rPr>
          <w:rFonts w:ascii="Times New Roman" w:hAnsi="Times New Roman" w:cs="Times New Roman"/>
          <w:lang w:val="en-GB"/>
        </w:rPr>
      </w:pPr>
      <w:r w:rsidRPr="00D348F8">
        <w:rPr>
          <w:rFonts w:ascii="Times New Roman" w:hAnsi="Times New Roman" w:cs="Times New Roman"/>
          <w:lang w:val="en-GB"/>
        </w:rPr>
        <w:br w:type="page"/>
      </w:r>
      <w:r w:rsidR="001607F9" w:rsidRPr="00D348F8">
        <w:rPr>
          <w:rFonts w:ascii="Times New Roman" w:hAnsi="Times New Roman" w:cs="Times New Roman"/>
          <w:b/>
          <w:lang w:val="en-GB"/>
        </w:rPr>
        <w:lastRenderedPageBreak/>
        <w:t>Abstract</w:t>
      </w:r>
    </w:p>
    <w:p w14:paraId="710A238F" w14:textId="5B24D8EA" w:rsidR="003913B2" w:rsidRPr="00D348F8" w:rsidRDefault="003913B2" w:rsidP="003913B2">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Background</w:t>
      </w:r>
    </w:p>
    <w:p w14:paraId="2D032142" w14:textId="77777777" w:rsidR="003913B2" w:rsidRPr="00D348F8" w:rsidRDefault="003913B2" w:rsidP="003913B2">
      <w:pPr>
        <w:spacing w:line="480" w:lineRule="auto"/>
        <w:outlineLvl w:val="0"/>
        <w:rPr>
          <w:rFonts w:ascii="Times New Roman" w:hAnsi="Times New Roman" w:cs="Times New Roman"/>
          <w:lang w:val="en-GB"/>
        </w:rPr>
      </w:pPr>
      <w:r w:rsidRPr="00D348F8">
        <w:rPr>
          <w:rFonts w:ascii="Times New Roman" w:hAnsi="Times New Roman" w:cs="Times New Roman"/>
          <w:lang w:val="en-GB"/>
        </w:rPr>
        <w:t xml:space="preserve">Antibiotic treatment recommendations based on susceptibility data from routinely submitted urine samples may be biased because of variation in sampling, laboratory procedures, and inclusion of repeat samples, leading to uncertainty about empirical treatment.  </w:t>
      </w:r>
    </w:p>
    <w:p w14:paraId="6C1FA1A3" w14:textId="77777777" w:rsidR="003913B2" w:rsidRPr="00D348F8" w:rsidRDefault="003913B2" w:rsidP="003913B2">
      <w:pPr>
        <w:spacing w:line="480" w:lineRule="auto"/>
        <w:outlineLvl w:val="0"/>
        <w:rPr>
          <w:rFonts w:ascii="Times New Roman" w:hAnsi="Times New Roman" w:cs="Times New Roman"/>
          <w:lang w:val="en-GB"/>
        </w:rPr>
      </w:pPr>
    </w:p>
    <w:p w14:paraId="1488E10E" w14:textId="77777777" w:rsidR="003913B2" w:rsidRPr="00D348F8" w:rsidRDefault="003913B2" w:rsidP="003913B2">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Aim</w:t>
      </w:r>
    </w:p>
    <w:p w14:paraId="622E8CDB" w14:textId="7C759F2F" w:rsidR="003913B2" w:rsidRPr="00D348F8" w:rsidRDefault="003913B2" w:rsidP="003913B2">
      <w:pPr>
        <w:spacing w:line="480" w:lineRule="auto"/>
        <w:outlineLvl w:val="0"/>
        <w:rPr>
          <w:rFonts w:ascii="Times New Roman" w:hAnsi="Times New Roman" w:cs="Times New Roman"/>
          <w:lang w:val="en-GB"/>
        </w:rPr>
      </w:pPr>
      <w:r w:rsidRPr="00D348F8">
        <w:rPr>
          <w:rFonts w:ascii="Times New Roman" w:hAnsi="Times New Roman" w:cs="Times New Roman"/>
          <w:lang w:val="en-GB"/>
        </w:rPr>
        <w:t xml:space="preserve">To describe and compare susceptibilities of </w:t>
      </w:r>
      <w:r w:rsidR="00815A55" w:rsidRPr="00734E51">
        <w:rPr>
          <w:rFonts w:ascii="Times New Roman" w:hAnsi="Times New Roman" w:cs="Times New Roman"/>
          <w:i/>
          <w:lang w:val="en-GB"/>
        </w:rPr>
        <w:t>E. coli</w:t>
      </w:r>
      <w:r w:rsidRPr="00D348F8">
        <w:rPr>
          <w:rFonts w:ascii="Times New Roman" w:hAnsi="Times New Roman" w:cs="Times New Roman"/>
          <w:lang w:val="en-GB"/>
        </w:rPr>
        <w:t xml:space="preserve"> cultured from routinely submitted samples, with </w:t>
      </w:r>
      <w:r w:rsidR="00815A55" w:rsidRPr="00734E51">
        <w:rPr>
          <w:rFonts w:ascii="Times New Roman" w:hAnsi="Times New Roman" w:cs="Times New Roman"/>
          <w:i/>
          <w:lang w:val="en-GB"/>
        </w:rPr>
        <w:t>E. coli</w:t>
      </w:r>
      <w:r w:rsidRPr="00D348F8">
        <w:rPr>
          <w:rFonts w:ascii="Times New Roman" w:hAnsi="Times New Roman" w:cs="Times New Roman"/>
          <w:lang w:val="en-GB"/>
        </w:rPr>
        <w:t xml:space="preserve"> causing UTI from a cohort of systematically sampled, acutely unwell children. </w:t>
      </w:r>
    </w:p>
    <w:p w14:paraId="2EDEA54C" w14:textId="77777777" w:rsidR="003913B2" w:rsidRPr="00D348F8" w:rsidRDefault="003913B2" w:rsidP="003913B2">
      <w:pPr>
        <w:spacing w:line="480" w:lineRule="auto"/>
        <w:outlineLvl w:val="0"/>
        <w:rPr>
          <w:rFonts w:ascii="Times New Roman" w:hAnsi="Times New Roman" w:cs="Times New Roman"/>
          <w:lang w:val="en-GB"/>
        </w:rPr>
      </w:pPr>
    </w:p>
    <w:p w14:paraId="2E781220" w14:textId="77777777" w:rsidR="003913B2" w:rsidRPr="00D348F8" w:rsidRDefault="003913B2" w:rsidP="003913B2">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Design, setting and participants</w:t>
      </w:r>
    </w:p>
    <w:p w14:paraId="4F5C3455" w14:textId="61CD9A3F" w:rsidR="003913B2" w:rsidRPr="00D348F8" w:rsidRDefault="003913B2" w:rsidP="003913B2">
      <w:pPr>
        <w:spacing w:line="480" w:lineRule="auto"/>
        <w:outlineLvl w:val="0"/>
        <w:rPr>
          <w:rFonts w:ascii="Times New Roman" w:hAnsi="Times New Roman" w:cs="Times New Roman"/>
          <w:lang w:val="en-GB"/>
        </w:rPr>
      </w:pPr>
      <w:r w:rsidRPr="00D348F8">
        <w:rPr>
          <w:rFonts w:ascii="Times New Roman" w:hAnsi="Times New Roman" w:cs="Times New Roman"/>
          <w:lang w:val="en-GB"/>
        </w:rPr>
        <w:t xml:space="preserve">Susceptibilities of 1458 </w:t>
      </w:r>
      <w:r w:rsidR="00815A55" w:rsidRPr="00734E51">
        <w:rPr>
          <w:rFonts w:ascii="Times New Roman" w:hAnsi="Times New Roman" w:cs="Times New Roman"/>
          <w:i/>
          <w:lang w:val="en-GB"/>
        </w:rPr>
        <w:t>E. coli</w:t>
      </w:r>
      <w:r w:rsidRPr="00D348F8">
        <w:rPr>
          <w:rFonts w:ascii="Times New Roman" w:hAnsi="Times New Roman" w:cs="Times New Roman"/>
          <w:lang w:val="en-GB"/>
        </w:rPr>
        <w:t xml:space="preserve"> isolates submitted during the course of routine primary care for children &lt;5 years</w:t>
      </w:r>
      <w:r w:rsidR="003251D8" w:rsidRPr="00D348F8">
        <w:rPr>
          <w:rFonts w:ascii="Times New Roman" w:hAnsi="Times New Roman" w:cs="Times New Roman"/>
          <w:lang w:val="en-GB"/>
        </w:rPr>
        <w:t xml:space="preserve"> (routine care samples)</w:t>
      </w:r>
      <w:r w:rsidRPr="00D348F8">
        <w:rPr>
          <w:rFonts w:ascii="Times New Roman" w:hAnsi="Times New Roman" w:cs="Times New Roman"/>
          <w:lang w:val="en-GB"/>
        </w:rPr>
        <w:t xml:space="preserve">, compared to susceptibilities of 79 </w:t>
      </w:r>
      <w:r w:rsidR="00815A55" w:rsidRPr="00734E51">
        <w:rPr>
          <w:rFonts w:ascii="Times New Roman" w:hAnsi="Times New Roman" w:cs="Times New Roman"/>
          <w:i/>
          <w:lang w:val="en-GB"/>
        </w:rPr>
        <w:t>E. coli</w:t>
      </w:r>
      <w:r w:rsidRPr="00734E51">
        <w:rPr>
          <w:rFonts w:ascii="Times New Roman" w:hAnsi="Times New Roman" w:cs="Times New Roman"/>
          <w:i/>
          <w:lang w:val="en-GB"/>
        </w:rPr>
        <w:t xml:space="preserve"> </w:t>
      </w:r>
      <w:r w:rsidRPr="00D348F8">
        <w:rPr>
          <w:rFonts w:ascii="Times New Roman" w:hAnsi="Times New Roman" w:cs="Times New Roman"/>
          <w:lang w:val="en-GB"/>
        </w:rPr>
        <w:t>isolates causing UTI from 5107 children &lt;5years presenting to primary care with an acute illness</w:t>
      </w:r>
      <w:r w:rsidR="002C1D5C" w:rsidRPr="00D348F8">
        <w:rPr>
          <w:rFonts w:ascii="Times New Roman" w:hAnsi="Times New Roman" w:cs="Times New Roman"/>
          <w:lang w:val="en-GB"/>
        </w:rPr>
        <w:t xml:space="preserve"> </w:t>
      </w:r>
      <w:r w:rsidR="003251D8" w:rsidRPr="00D348F8">
        <w:rPr>
          <w:rFonts w:ascii="Times New Roman" w:hAnsi="Times New Roman" w:cs="Times New Roman"/>
          <w:lang w:val="en-GB"/>
        </w:rPr>
        <w:t>(</w:t>
      </w:r>
      <w:r w:rsidR="0087606E" w:rsidRPr="00D348F8">
        <w:rPr>
          <w:rFonts w:ascii="Times New Roman" w:hAnsi="Times New Roman" w:cs="Times New Roman"/>
          <w:lang w:val="en-GB"/>
        </w:rPr>
        <w:t>systematic</w:t>
      </w:r>
      <w:r w:rsidR="002C1D5C" w:rsidRPr="00D348F8">
        <w:rPr>
          <w:rFonts w:ascii="Times New Roman" w:hAnsi="Times New Roman" w:cs="Times New Roman"/>
          <w:lang w:val="en-GB"/>
        </w:rPr>
        <w:t xml:space="preserve"> sampl</w:t>
      </w:r>
      <w:r w:rsidR="00B864BE" w:rsidRPr="00D348F8">
        <w:rPr>
          <w:rFonts w:ascii="Times New Roman" w:hAnsi="Times New Roman" w:cs="Times New Roman"/>
          <w:lang w:val="en-GB"/>
        </w:rPr>
        <w:t>ing: t</w:t>
      </w:r>
      <w:r w:rsidR="003251D8" w:rsidRPr="00D348F8">
        <w:rPr>
          <w:rFonts w:ascii="Times New Roman" w:hAnsi="Times New Roman" w:cs="Times New Roman"/>
          <w:lang w:val="en-GB"/>
        </w:rPr>
        <w:t xml:space="preserve">he </w:t>
      </w:r>
      <w:r w:rsidR="00715663" w:rsidRPr="00D348F8">
        <w:rPr>
          <w:rFonts w:ascii="Times New Roman" w:hAnsi="Times New Roman" w:cs="Times New Roman"/>
          <w:lang w:val="en-GB"/>
        </w:rPr>
        <w:t>DUTY</w:t>
      </w:r>
      <w:r w:rsidR="00B864BE" w:rsidRPr="00D348F8">
        <w:rPr>
          <w:rFonts w:ascii="Times New Roman" w:hAnsi="Times New Roman" w:cs="Times New Roman"/>
          <w:lang w:val="en-GB"/>
        </w:rPr>
        <w:t xml:space="preserve"> c</w:t>
      </w:r>
      <w:r w:rsidR="003251D8" w:rsidRPr="00D348F8">
        <w:rPr>
          <w:rFonts w:ascii="Times New Roman" w:hAnsi="Times New Roman" w:cs="Times New Roman"/>
          <w:lang w:val="en-GB"/>
        </w:rPr>
        <w:t>ohort)</w:t>
      </w:r>
      <w:r w:rsidRPr="00D348F8">
        <w:rPr>
          <w:rFonts w:ascii="Times New Roman" w:hAnsi="Times New Roman" w:cs="Times New Roman"/>
          <w:lang w:val="en-GB"/>
        </w:rPr>
        <w:t xml:space="preserve">. </w:t>
      </w:r>
    </w:p>
    <w:p w14:paraId="1F509180" w14:textId="77777777" w:rsidR="003913B2" w:rsidRPr="00D348F8" w:rsidRDefault="003913B2" w:rsidP="003913B2">
      <w:pPr>
        <w:spacing w:line="480" w:lineRule="auto"/>
        <w:outlineLvl w:val="0"/>
        <w:rPr>
          <w:rFonts w:ascii="Times New Roman" w:hAnsi="Times New Roman" w:cs="Times New Roman"/>
          <w:lang w:val="en-GB"/>
        </w:rPr>
      </w:pPr>
    </w:p>
    <w:p w14:paraId="70EA8F33" w14:textId="77777777" w:rsidR="003913B2" w:rsidRPr="00D348F8" w:rsidRDefault="003913B2" w:rsidP="003913B2">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 xml:space="preserve">Results </w:t>
      </w:r>
    </w:p>
    <w:p w14:paraId="71847E1A" w14:textId="23458C05" w:rsidR="003913B2" w:rsidRPr="00D348F8" w:rsidRDefault="00197B29" w:rsidP="003913B2">
      <w:pPr>
        <w:spacing w:line="480" w:lineRule="auto"/>
        <w:outlineLvl w:val="0"/>
        <w:rPr>
          <w:rFonts w:ascii="Times New Roman" w:hAnsi="Times New Roman" w:cs="Times New Roman"/>
          <w:lang w:val="en-GB"/>
        </w:rPr>
      </w:pPr>
      <w:r w:rsidRPr="00D348F8">
        <w:rPr>
          <w:rFonts w:ascii="Times New Roman" w:hAnsi="Times New Roman" w:cs="Times New Roman"/>
          <w:lang w:val="en-GB"/>
        </w:rPr>
        <w:t>The p</w:t>
      </w:r>
      <w:r w:rsidR="00E00B31" w:rsidRPr="00D348F8">
        <w:rPr>
          <w:rFonts w:ascii="Times New Roman" w:hAnsi="Times New Roman" w:cs="Times New Roman"/>
          <w:lang w:val="en-GB"/>
        </w:rPr>
        <w:t xml:space="preserve">ercentage </w:t>
      </w:r>
      <w:r w:rsidRPr="00D348F8">
        <w:rPr>
          <w:rFonts w:ascii="Times New Roman" w:hAnsi="Times New Roman" w:cs="Times New Roman"/>
          <w:lang w:val="en-GB"/>
        </w:rPr>
        <w:t xml:space="preserve">of </w:t>
      </w:r>
      <w:r w:rsidR="00815A55" w:rsidRPr="007400ED">
        <w:rPr>
          <w:rFonts w:ascii="Times New Roman" w:hAnsi="Times New Roman" w:cs="Times New Roman"/>
          <w:i/>
          <w:lang w:val="en-GB"/>
        </w:rPr>
        <w:t>E. coli</w:t>
      </w:r>
      <w:r w:rsidR="003913B2" w:rsidRPr="007400ED">
        <w:rPr>
          <w:rFonts w:ascii="Times New Roman" w:hAnsi="Times New Roman" w:cs="Times New Roman"/>
          <w:lang w:val="en-GB"/>
        </w:rPr>
        <w:t xml:space="preserve"> </w:t>
      </w:r>
      <w:r w:rsidRPr="007400ED">
        <w:rPr>
          <w:rFonts w:ascii="Times New Roman" w:hAnsi="Times New Roman" w:cs="Times New Roman"/>
          <w:lang w:val="en-GB"/>
        </w:rPr>
        <w:t xml:space="preserve">sensitive to antibiotics </w:t>
      </w:r>
      <w:r w:rsidR="005216E7" w:rsidRPr="007400ED">
        <w:rPr>
          <w:rFonts w:ascii="Times New Roman" w:hAnsi="Times New Roman" w:cs="Times New Roman"/>
          <w:lang w:val="en-GB"/>
        </w:rPr>
        <w:t>cultured</w:t>
      </w:r>
      <w:r w:rsidR="005216E7" w:rsidRPr="00D348F8">
        <w:rPr>
          <w:rFonts w:ascii="Times New Roman" w:hAnsi="Times New Roman" w:cs="Times New Roman"/>
          <w:lang w:val="en-GB"/>
        </w:rPr>
        <w:t xml:space="preserve"> </w:t>
      </w:r>
      <w:r w:rsidR="003913B2" w:rsidRPr="00D348F8">
        <w:rPr>
          <w:rFonts w:ascii="Times New Roman" w:hAnsi="Times New Roman" w:cs="Times New Roman"/>
          <w:lang w:val="en-GB"/>
        </w:rPr>
        <w:t>from routinely submitted samples</w:t>
      </w:r>
      <w:r w:rsidR="00E00B31" w:rsidRPr="00D348F8">
        <w:rPr>
          <w:rFonts w:ascii="Times New Roman" w:hAnsi="Times New Roman" w:cs="Times New Roman"/>
          <w:lang w:val="en-GB"/>
        </w:rPr>
        <w:t xml:space="preserve"> were; amoxicillin </w:t>
      </w:r>
      <w:r w:rsidR="005216E7" w:rsidRPr="00D348F8">
        <w:rPr>
          <w:rFonts w:ascii="Times New Roman" w:hAnsi="Times New Roman" w:cs="Times New Roman"/>
          <w:lang w:val="en-GB"/>
        </w:rPr>
        <w:t>45.1% (95% CI 42.5% to 47.7%)</w:t>
      </w:r>
      <w:r w:rsidR="00E00B31" w:rsidRPr="00D348F8">
        <w:rPr>
          <w:rFonts w:ascii="Times New Roman" w:hAnsi="Times New Roman" w:cs="Times New Roman"/>
          <w:lang w:val="en-GB"/>
        </w:rPr>
        <w:t>; co-</w:t>
      </w:r>
      <w:proofErr w:type="spellStart"/>
      <w:r w:rsidR="00E00B31" w:rsidRPr="00D348F8">
        <w:rPr>
          <w:rFonts w:ascii="Times New Roman" w:hAnsi="Times New Roman" w:cs="Times New Roman"/>
          <w:lang w:val="en-GB"/>
        </w:rPr>
        <w:t>amoxiclav</w:t>
      </w:r>
      <w:proofErr w:type="spellEnd"/>
      <w:r w:rsidR="00E00B31" w:rsidRPr="00D348F8">
        <w:rPr>
          <w:rFonts w:ascii="Times New Roman" w:hAnsi="Times New Roman" w:cs="Times New Roman"/>
          <w:lang w:val="en-GB"/>
        </w:rPr>
        <w:t xml:space="preserve"> using the lower systemic breakpoint (BP) </w:t>
      </w:r>
      <w:r w:rsidR="003913B2" w:rsidRPr="00D348F8">
        <w:rPr>
          <w:rFonts w:ascii="Times New Roman" w:hAnsi="Times New Roman" w:cs="Times New Roman"/>
          <w:lang w:val="en-GB"/>
        </w:rPr>
        <w:t>86.6%</w:t>
      </w:r>
      <w:r w:rsidR="00E00B31" w:rsidRPr="00D348F8">
        <w:rPr>
          <w:rFonts w:ascii="Times New Roman" w:hAnsi="Times New Roman" w:cs="Times New Roman"/>
          <w:lang w:val="en-GB"/>
        </w:rPr>
        <w:t xml:space="preserve"> </w:t>
      </w:r>
      <w:r w:rsidR="003913B2" w:rsidRPr="00D348F8">
        <w:rPr>
          <w:rFonts w:ascii="Times New Roman" w:hAnsi="Times New Roman" w:cs="Times New Roman"/>
          <w:lang w:val="en-GB"/>
        </w:rPr>
        <w:t xml:space="preserve"> (84.7% to 88.3%)</w:t>
      </w:r>
      <w:r w:rsidR="007400ED" w:rsidRPr="00D348F8">
        <w:rPr>
          <w:rFonts w:ascii="Times New Roman" w:hAnsi="Times New Roman" w:cs="Times New Roman"/>
          <w:lang w:val="en-GB"/>
        </w:rPr>
        <w:t>; cephalexin</w:t>
      </w:r>
      <w:r w:rsidR="00E00B31" w:rsidRPr="00D348F8">
        <w:rPr>
          <w:rFonts w:ascii="Times New Roman" w:hAnsi="Times New Roman" w:cs="Times New Roman"/>
          <w:lang w:val="en-GB"/>
        </w:rPr>
        <w:t xml:space="preserve"> </w:t>
      </w:r>
      <w:r w:rsidR="003913B2" w:rsidRPr="00D348F8">
        <w:rPr>
          <w:rFonts w:ascii="Times New Roman" w:hAnsi="Times New Roman" w:cs="Times New Roman"/>
          <w:lang w:val="en-GB"/>
        </w:rPr>
        <w:t xml:space="preserve"> 95.1% (93.9% to 96.1%)</w:t>
      </w:r>
      <w:r w:rsidR="007400ED" w:rsidRPr="00D348F8">
        <w:rPr>
          <w:rFonts w:ascii="Times New Roman" w:hAnsi="Times New Roman" w:cs="Times New Roman"/>
          <w:lang w:val="en-GB"/>
        </w:rPr>
        <w:t>; trimethoprim</w:t>
      </w:r>
      <w:r w:rsidR="00E00B31" w:rsidRPr="00D348F8">
        <w:rPr>
          <w:rFonts w:ascii="Times New Roman" w:hAnsi="Times New Roman" w:cs="Times New Roman"/>
          <w:lang w:val="en-GB"/>
        </w:rPr>
        <w:t xml:space="preserve"> </w:t>
      </w:r>
      <w:r w:rsidR="003913B2" w:rsidRPr="00D348F8">
        <w:rPr>
          <w:rFonts w:ascii="Times New Roman" w:hAnsi="Times New Roman" w:cs="Times New Roman"/>
          <w:lang w:val="en-GB"/>
        </w:rPr>
        <w:t>74.0% (71.7% to 76.2%)</w:t>
      </w:r>
      <w:r w:rsidR="00E00B31" w:rsidRPr="00D348F8">
        <w:rPr>
          <w:rFonts w:ascii="Times New Roman" w:hAnsi="Times New Roman" w:cs="Times New Roman"/>
          <w:lang w:val="en-GB"/>
        </w:rPr>
        <w:t xml:space="preserve">; </w:t>
      </w:r>
      <w:r w:rsidR="003913B2" w:rsidRPr="00D348F8">
        <w:rPr>
          <w:rFonts w:ascii="Times New Roman" w:hAnsi="Times New Roman" w:cs="Times New Roman"/>
          <w:lang w:val="en-GB"/>
        </w:rPr>
        <w:t xml:space="preserve">and </w:t>
      </w:r>
      <w:r w:rsidR="00E00B31" w:rsidRPr="00D348F8">
        <w:rPr>
          <w:rFonts w:ascii="Times New Roman" w:hAnsi="Times New Roman" w:cs="Times New Roman"/>
          <w:lang w:val="en-GB"/>
        </w:rPr>
        <w:t xml:space="preserve">nitrofurantoin </w:t>
      </w:r>
      <w:r w:rsidR="003913B2" w:rsidRPr="00D348F8">
        <w:rPr>
          <w:rFonts w:ascii="Times New Roman" w:hAnsi="Times New Roman" w:cs="Times New Roman"/>
          <w:lang w:val="en-GB"/>
        </w:rPr>
        <w:t>98.2% (97.4% to 98.8%)</w:t>
      </w:r>
      <w:r w:rsidR="00E00B31" w:rsidRPr="00D348F8">
        <w:rPr>
          <w:rFonts w:ascii="Times New Roman" w:hAnsi="Times New Roman" w:cs="Times New Roman"/>
          <w:lang w:val="en-GB"/>
        </w:rPr>
        <w:t>.</w:t>
      </w:r>
      <w:r w:rsidR="003913B2" w:rsidRPr="00D348F8">
        <w:rPr>
          <w:rFonts w:ascii="Times New Roman" w:hAnsi="Times New Roman" w:cs="Times New Roman"/>
          <w:lang w:val="en-GB"/>
        </w:rPr>
        <w:t xml:space="preserve">. </w:t>
      </w:r>
    </w:p>
    <w:p w14:paraId="02E69EEA" w14:textId="77777777" w:rsidR="003913B2" w:rsidRPr="00D348F8" w:rsidRDefault="003913B2" w:rsidP="003913B2">
      <w:pPr>
        <w:spacing w:line="480" w:lineRule="auto"/>
        <w:outlineLvl w:val="0"/>
        <w:rPr>
          <w:rFonts w:ascii="Times New Roman" w:hAnsi="Times New Roman" w:cs="Times New Roman"/>
          <w:lang w:val="en-GB"/>
        </w:rPr>
      </w:pPr>
    </w:p>
    <w:p w14:paraId="646B2709" w14:textId="6B0A6F7C" w:rsidR="003913B2" w:rsidRPr="00D348F8" w:rsidRDefault="00197B29" w:rsidP="003913B2">
      <w:pPr>
        <w:spacing w:line="480" w:lineRule="auto"/>
        <w:outlineLvl w:val="0"/>
        <w:rPr>
          <w:rFonts w:ascii="Times New Roman" w:hAnsi="Times New Roman" w:cs="Times New Roman"/>
          <w:lang w:val="en-GB"/>
        </w:rPr>
      </w:pPr>
      <w:r w:rsidRPr="00D348F8">
        <w:rPr>
          <w:rFonts w:ascii="Times New Roman" w:hAnsi="Times New Roman" w:cs="Times New Roman"/>
          <w:lang w:val="en-GB"/>
        </w:rPr>
        <w:lastRenderedPageBreak/>
        <w:t>The p</w:t>
      </w:r>
      <w:r w:rsidR="003913B2" w:rsidRPr="00D348F8">
        <w:rPr>
          <w:rFonts w:ascii="Times New Roman" w:hAnsi="Times New Roman" w:cs="Times New Roman"/>
          <w:lang w:val="en-GB"/>
        </w:rPr>
        <w:t xml:space="preserve">ercentage </w:t>
      </w:r>
      <w:r w:rsidRPr="00D348F8">
        <w:rPr>
          <w:rFonts w:ascii="Times New Roman" w:hAnsi="Times New Roman" w:cs="Times New Roman"/>
          <w:lang w:val="en-GB"/>
        </w:rPr>
        <w:t xml:space="preserve">of </w:t>
      </w:r>
      <w:r w:rsidRPr="00D348F8">
        <w:rPr>
          <w:rFonts w:ascii="Times New Roman" w:hAnsi="Times New Roman" w:cs="Times New Roman"/>
          <w:i/>
          <w:lang w:val="en-GB"/>
        </w:rPr>
        <w:t>E. coli</w:t>
      </w:r>
      <w:r w:rsidRPr="00D348F8">
        <w:rPr>
          <w:rFonts w:ascii="Times New Roman" w:hAnsi="Times New Roman" w:cs="Times New Roman"/>
          <w:lang w:val="en-GB"/>
        </w:rPr>
        <w:t xml:space="preserve"> </w:t>
      </w:r>
      <w:r w:rsidR="003913B2" w:rsidRPr="00D348F8">
        <w:rPr>
          <w:rFonts w:ascii="Times New Roman" w:hAnsi="Times New Roman" w:cs="Times New Roman"/>
          <w:lang w:val="en-GB"/>
        </w:rPr>
        <w:t>sensitiv</w:t>
      </w:r>
      <w:r w:rsidRPr="00D348F8">
        <w:rPr>
          <w:rFonts w:ascii="Times New Roman" w:hAnsi="Times New Roman" w:cs="Times New Roman"/>
          <w:lang w:val="en-GB"/>
        </w:rPr>
        <w:t>e</w:t>
      </w:r>
      <w:r w:rsidR="003913B2" w:rsidRPr="00D348F8">
        <w:rPr>
          <w:rFonts w:ascii="Times New Roman" w:hAnsi="Times New Roman" w:cs="Times New Roman"/>
          <w:lang w:val="en-GB"/>
        </w:rPr>
        <w:t xml:space="preserve"> to antibiotics </w:t>
      </w:r>
      <w:r w:rsidRPr="00D348F8">
        <w:rPr>
          <w:rFonts w:ascii="Times New Roman" w:hAnsi="Times New Roman" w:cs="Times New Roman"/>
          <w:lang w:val="en-GB"/>
        </w:rPr>
        <w:t xml:space="preserve">cultured from </w:t>
      </w:r>
      <w:r w:rsidR="003913B2" w:rsidRPr="007400ED">
        <w:rPr>
          <w:rFonts w:ascii="Times New Roman" w:hAnsi="Times New Roman" w:cs="Times New Roman"/>
          <w:lang w:val="en-GB"/>
        </w:rPr>
        <w:t xml:space="preserve">systematically sampled </w:t>
      </w:r>
      <w:r w:rsidR="00BC31BE" w:rsidRPr="007400ED">
        <w:rPr>
          <w:rFonts w:ascii="Times New Roman" w:hAnsi="Times New Roman" w:cs="Times New Roman"/>
          <w:lang w:val="en-GB"/>
        </w:rPr>
        <w:t xml:space="preserve">DUTY </w:t>
      </w:r>
      <w:r w:rsidR="003913B2" w:rsidRPr="007400ED">
        <w:rPr>
          <w:rFonts w:ascii="Times New Roman" w:hAnsi="Times New Roman" w:cs="Times New Roman"/>
          <w:lang w:val="en-GB"/>
        </w:rPr>
        <w:t>urines considered to be positive for UTI were</w:t>
      </w:r>
      <w:r w:rsidR="00E00B31" w:rsidRPr="00D348F8">
        <w:rPr>
          <w:rFonts w:ascii="Times New Roman" w:hAnsi="Times New Roman" w:cs="Times New Roman"/>
          <w:lang w:val="en-GB"/>
        </w:rPr>
        <w:t>;</w:t>
      </w:r>
      <w:r w:rsidR="003913B2" w:rsidRPr="00D348F8">
        <w:rPr>
          <w:rFonts w:ascii="Times New Roman" w:hAnsi="Times New Roman" w:cs="Times New Roman"/>
          <w:lang w:val="en-GB"/>
        </w:rPr>
        <w:t xml:space="preserve"> </w:t>
      </w:r>
      <w:r w:rsidR="00E00B31" w:rsidRPr="00D348F8">
        <w:rPr>
          <w:rFonts w:ascii="Times New Roman" w:hAnsi="Times New Roman" w:cs="Times New Roman"/>
          <w:lang w:val="en-GB"/>
        </w:rPr>
        <w:t xml:space="preserve">amoxicillin </w:t>
      </w:r>
      <w:r w:rsidR="003913B2" w:rsidRPr="00D348F8">
        <w:rPr>
          <w:rFonts w:ascii="Times New Roman" w:hAnsi="Times New Roman" w:cs="Times New Roman"/>
          <w:lang w:val="en-GB"/>
        </w:rPr>
        <w:t>50.6% (39.8% to 61.4%)</w:t>
      </w:r>
      <w:r w:rsidR="00E00B31" w:rsidRPr="00D348F8">
        <w:rPr>
          <w:rFonts w:ascii="Times New Roman" w:hAnsi="Times New Roman" w:cs="Times New Roman"/>
          <w:lang w:val="en-GB"/>
        </w:rPr>
        <w:t xml:space="preserve">; </w:t>
      </w:r>
      <w:r w:rsidR="003913B2" w:rsidRPr="00D348F8">
        <w:rPr>
          <w:rFonts w:ascii="Times New Roman" w:hAnsi="Times New Roman" w:cs="Times New Roman"/>
          <w:lang w:val="en-GB"/>
        </w:rPr>
        <w:t xml:space="preserve"> </w:t>
      </w:r>
      <w:r w:rsidR="00E00B31" w:rsidRPr="00D348F8">
        <w:rPr>
          <w:rFonts w:ascii="Times New Roman" w:hAnsi="Times New Roman" w:cs="Times New Roman"/>
          <w:lang w:val="en-GB"/>
        </w:rPr>
        <w:t>co-</w:t>
      </w:r>
      <w:proofErr w:type="spellStart"/>
      <w:r w:rsidR="00E00B31" w:rsidRPr="00D348F8">
        <w:rPr>
          <w:rFonts w:ascii="Times New Roman" w:hAnsi="Times New Roman" w:cs="Times New Roman"/>
          <w:lang w:val="en-GB"/>
        </w:rPr>
        <w:t>amoxiclav</w:t>
      </w:r>
      <w:proofErr w:type="spellEnd"/>
      <w:r w:rsidR="00E00B31" w:rsidRPr="00D348F8">
        <w:rPr>
          <w:rFonts w:ascii="Times New Roman" w:hAnsi="Times New Roman" w:cs="Times New Roman"/>
          <w:lang w:val="en-GB"/>
        </w:rPr>
        <w:t xml:space="preserve"> using the systemic BP </w:t>
      </w:r>
      <w:r w:rsidR="003913B2" w:rsidRPr="00D348F8">
        <w:rPr>
          <w:rFonts w:ascii="Times New Roman" w:hAnsi="Times New Roman" w:cs="Times New Roman"/>
          <w:lang w:val="en-GB"/>
        </w:rPr>
        <w:t>83.5% (73.9 to 90.1%)</w:t>
      </w:r>
      <w:r w:rsidR="00E00B31" w:rsidRPr="00D348F8">
        <w:rPr>
          <w:rFonts w:ascii="Times New Roman" w:hAnsi="Times New Roman" w:cs="Times New Roman"/>
          <w:lang w:val="en-GB"/>
        </w:rPr>
        <w:t>; co-</w:t>
      </w:r>
      <w:proofErr w:type="spellStart"/>
      <w:r w:rsidR="00E00B31" w:rsidRPr="00D348F8">
        <w:rPr>
          <w:rFonts w:ascii="Times New Roman" w:hAnsi="Times New Roman" w:cs="Times New Roman"/>
          <w:lang w:val="en-GB"/>
        </w:rPr>
        <w:t>amoxiclav</w:t>
      </w:r>
      <w:proofErr w:type="spellEnd"/>
      <w:r w:rsidR="003913B2" w:rsidRPr="00D348F8">
        <w:rPr>
          <w:rFonts w:ascii="Times New Roman" w:hAnsi="Times New Roman" w:cs="Times New Roman"/>
          <w:lang w:val="en-GB"/>
        </w:rPr>
        <w:t xml:space="preserve"> </w:t>
      </w:r>
      <w:r w:rsidR="00BC31BE" w:rsidRPr="00D348F8">
        <w:rPr>
          <w:rFonts w:ascii="Times New Roman" w:hAnsi="Times New Roman" w:cs="Times New Roman"/>
          <w:lang w:val="en-GB"/>
        </w:rPr>
        <w:t>using the urinary BP</w:t>
      </w:r>
      <w:r w:rsidR="00E00B31" w:rsidRPr="00D348F8">
        <w:rPr>
          <w:rFonts w:ascii="Times New Roman" w:hAnsi="Times New Roman" w:cs="Times New Roman"/>
          <w:lang w:val="en-GB"/>
        </w:rPr>
        <w:t xml:space="preserve"> </w:t>
      </w:r>
      <w:r w:rsidR="00BC31BE" w:rsidRPr="00D348F8">
        <w:rPr>
          <w:rFonts w:ascii="Times New Roman" w:hAnsi="Times New Roman" w:cs="Times New Roman"/>
          <w:lang w:val="en-GB"/>
        </w:rPr>
        <w:t xml:space="preserve">94.9% (87.7% to 98.4%); cephalexin </w:t>
      </w:r>
      <w:r w:rsidR="00E00B31" w:rsidRPr="00D348F8">
        <w:rPr>
          <w:rFonts w:ascii="Times New Roman" w:hAnsi="Times New Roman" w:cs="Times New Roman"/>
          <w:lang w:val="en-GB"/>
        </w:rPr>
        <w:t xml:space="preserve">98.7% (93.2% to 99.8%); </w:t>
      </w:r>
      <w:r w:rsidR="007400ED" w:rsidRPr="00D348F8">
        <w:rPr>
          <w:rFonts w:ascii="Times New Roman" w:hAnsi="Times New Roman" w:cs="Times New Roman"/>
          <w:lang w:val="en-GB"/>
        </w:rPr>
        <w:t>; trimethoprim</w:t>
      </w:r>
      <w:r w:rsidR="00E00B31" w:rsidRPr="00D348F8" w:rsidDel="00E00B31">
        <w:rPr>
          <w:rFonts w:ascii="Times New Roman" w:hAnsi="Times New Roman" w:cs="Times New Roman"/>
          <w:lang w:val="en-GB"/>
        </w:rPr>
        <w:t xml:space="preserve"> </w:t>
      </w:r>
      <w:r w:rsidR="003913B2" w:rsidRPr="00D348F8">
        <w:rPr>
          <w:rFonts w:ascii="Times New Roman" w:hAnsi="Times New Roman" w:cs="Times New Roman"/>
          <w:lang w:val="en-GB"/>
        </w:rPr>
        <w:t>70.9% (60.1% to 80.0%)</w:t>
      </w:r>
      <w:r w:rsidR="00E00B31" w:rsidRPr="00D348F8">
        <w:rPr>
          <w:rFonts w:ascii="Times New Roman" w:hAnsi="Times New Roman" w:cs="Times New Roman"/>
          <w:lang w:val="en-GB"/>
        </w:rPr>
        <w:t xml:space="preserve">; </w:t>
      </w:r>
      <w:r w:rsidR="003913B2" w:rsidRPr="00D348F8">
        <w:rPr>
          <w:rFonts w:ascii="Times New Roman" w:hAnsi="Times New Roman" w:cs="Times New Roman"/>
          <w:lang w:val="en-GB"/>
        </w:rPr>
        <w:t xml:space="preserve"> </w:t>
      </w:r>
      <w:r w:rsidR="00E00B31" w:rsidRPr="00D348F8">
        <w:rPr>
          <w:rFonts w:ascii="Times New Roman" w:hAnsi="Times New Roman" w:cs="Times New Roman"/>
          <w:lang w:val="en-GB"/>
        </w:rPr>
        <w:t xml:space="preserve">nitrofurantoin </w:t>
      </w:r>
      <w:r w:rsidR="003913B2" w:rsidRPr="00D348F8">
        <w:rPr>
          <w:rFonts w:ascii="Times New Roman" w:hAnsi="Times New Roman" w:cs="Times New Roman"/>
          <w:lang w:val="en-GB"/>
        </w:rPr>
        <w:t>100% (95.3% to 100.0%)</w:t>
      </w:r>
      <w:r w:rsidR="00E00B31" w:rsidRPr="00D348F8">
        <w:rPr>
          <w:rFonts w:ascii="Times New Roman" w:hAnsi="Times New Roman" w:cs="Times New Roman"/>
          <w:lang w:val="en-GB"/>
        </w:rPr>
        <w:t xml:space="preserve">; and </w:t>
      </w:r>
      <w:r w:rsidR="003913B2" w:rsidRPr="00D348F8">
        <w:rPr>
          <w:rFonts w:ascii="Times New Roman" w:hAnsi="Times New Roman" w:cs="Times New Roman"/>
          <w:lang w:val="en-GB"/>
        </w:rPr>
        <w:t xml:space="preserve"> </w:t>
      </w:r>
      <w:r w:rsidR="00E00B31" w:rsidRPr="00D348F8">
        <w:rPr>
          <w:rFonts w:ascii="Times New Roman" w:hAnsi="Times New Roman" w:cs="Times New Roman"/>
          <w:lang w:val="en-GB"/>
        </w:rPr>
        <w:t xml:space="preserve">ciprofloxacin </w:t>
      </w:r>
      <w:r w:rsidR="003913B2" w:rsidRPr="00D348F8">
        <w:rPr>
          <w:rFonts w:ascii="Times New Roman" w:hAnsi="Times New Roman" w:cs="Times New Roman"/>
          <w:lang w:val="en-GB"/>
        </w:rPr>
        <w:t>96.2% (89.4 to 98.7%)</w:t>
      </w:r>
      <w:r w:rsidR="00E00B31" w:rsidRPr="00D348F8">
        <w:rPr>
          <w:rFonts w:ascii="Times New Roman" w:hAnsi="Times New Roman" w:cs="Times New Roman"/>
          <w:lang w:val="en-GB"/>
        </w:rPr>
        <w:t>.</w:t>
      </w:r>
      <w:r w:rsidR="003913B2" w:rsidRPr="00D348F8">
        <w:rPr>
          <w:rFonts w:ascii="Times New Roman" w:hAnsi="Times New Roman" w:cs="Times New Roman"/>
          <w:lang w:val="en-GB"/>
        </w:rPr>
        <w:t>.</w:t>
      </w:r>
    </w:p>
    <w:p w14:paraId="7DC56EAB" w14:textId="77777777" w:rsidR="003913B2" w:rsidRPr="00D348F8" w:rsidRDefault="003913B2" w:rsidP="003913B2">
      <w:pPr>
        <w:spacing w:line="480" w:lineRule="auto"/>
        <w:outlineLvl w:val="0"/>
        <w:rPr>
          <w:rFonts w:ascii="Times New Roman" w:hAnsi="Times New Roman" w:cs="Times New Roman"/>
          <w:lang w:val="en-GB"/>
        </w:rPr>
      </w:pPr>
    </w:p>
    <w:p w14:paraId="1A338445" w14:textId="77777777" w:rsidR="003913B2" w:rsidRPr="00D348F8" w:rsidRDefault="003913B2" w:rsidP="003913B2">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 xml:space="preserve">Conclusion </w:t>
      </w:r>
    </w:p>
    <w:p w14:paraId="3734AFE1" w14:textId="0A63E9E7" w:rsidR="001607F9" w:rsidRPr="00D348F8" w:rsidRDefault="003913B2" w:rsidP="003913B2">
      <w:pPr>
        <w:spacing w:line="480" w:lineRule="auto"/>
        <w:rPr>
          <w:rFonts w:ascii="Times New Roman" w:hAnsi="Times New Roman" w:cs="Times New Roman"/>
          <w:lang w:val="en-GB"/>
        </w:rPr>
      </w:pPr>
      <w:r w:rsidRPr="00734E51">
        <w:rPr>
          <w:rFonts w:ascii="Times New Roman" w:hAnsi="Times New Roman" w:cs="Times New Roman"/>
          <w:i/>
          <w:lang w:val="en-GB"/>
        </w:rPr>
        <w:t xml:space="preserve"> </w:t>
      </w:r>
      <w:r w:rsidR="00815A55" w:rsidRPr="007400ED">
        <w:rPr>
          <w:rFonts w:ascii="Times New Roman" w:hAnsi="Times New Roman" w:cs="Times New Roman"/>
          <w:i/>
          <w:lang w:val="en-GB"/>
        </w:rPr>
        <w:t>E. coli</w:t>
      </w:r>
      <w:r w:rsidRPr="007400ED">
        <w:rPr>
          <w:rFonts w:ascii="Times New Roman" w:hAnsi="Times New Roman" w:cs="Times New Roman"/>
          <w:lang w:val="en-GB"/>
        </w:rPr>
        <w:t xml:space="preserve"> susceptibilities from routine and systematically obtained samples were similar. Most UTIs in</w:t>
      </w:r>
      <w:r w:rsidRPr="00D348F8">
        <w:rPr>
          <w:rFonts w:ascii="Times New Roman" w:hAnsi="Times New Roman" w:cs="Times New Roman"/>
          <w:lang w:val="en-GB"/>
        </w:rPr>
        <w:t xml:space="preserve"> preschool children remain susceptible to nitrofurantoin, co-</w:t>
      </w:r>
      <w:proofErr w:type="spellStart"/>
      <w:r w:rsidRPr="00D348F8">
        <w:rPr>
          <w:rFonts w:ascii="Times New Roman" w:hAnsi="Times New Roman" w:cs="Times New Roman"/>
          <w:lang w:val="en-GB"/>
        </w:rPr>
        <w:t>amoxiclav</w:t>
      </w:r>
      <w:proofErr w:type="spellEnd"/>
      <w:r w:rsidRPr="00D348F8">
        <w:rPr>
          <w:rFonts w:ascii="Times New Roman" w:hAnsi="Times New Roman" w:cs="Times New Roman"/>
          <w:lang w:val="en-GB"/>
        </w:rPr>
        <w:t xml:space="preserve">, and cephalexin. </w:t>
      </w:r>
    </w:p>
    <w:p w14:paraId="74F9EB21" w14:textId="77777777" w:rsidR="003913B2" w:rsidRPr="00D348F8" w:rsidRDefault="003913B2" w:rsidP="005A5FFA">
      <w:pPr>
        <w:spacing w:line="480" w:lineRule="auto"/>
        <w:outlineLvl w:val="0"/>
        <w:rPr>
          <w:rFonts w:ascii="Times New Roman" w:hAnsi="Times New Roman" w:cs="Times New Roman"/>
          <w:b/>
          <w:i/>
          <w:lang w:val="en-GB"/>
        </w:rPr>
      </w:pPr>
    </w:p>
    <w:p w14:paraId="3C25AD41" w14:textId="77777777" w:rsidR="005D1F69" w:rsidRPr="00D348F8" w:rsidRDefault="005D1F69" w:rsidP="005A5FFA">
      <w:pPr>
        <w:spacing w:line="480" w:lineRule="auto"/>
        <w:rPr>
          <w:rFonts w:ascii="Times New Roman" w:hAnsi="Times New Roman" w:cs="Times New Roman"/>
          <w:lang w:val="en-GB"/>
        </w:rPr>
      </w:pPr>
    </w:p>
    <w:p w14:paraId="0F6BE107" w14:textId="77777777" w:rsidR="005D1F69" w:rsidRPr="00734E51" w:rsidRDefault="005D1F69" w:rsidP="005D1F69">
      <w:pPr>
        <w:spacing w:line="480" w:lineRule="auto"/>
        <w:jc w:val="both"/>
        <w:rPr>
          <w:rFonts w:ascii="Times New Roman" w:hAnsi="Times New Roman" w:cs="Times New Roman"/>
          <w:lang w:val="en-GB"/>
        </w:rPr>
      </w:pPr>
      <w:r w:rsidRPr="00734E51">
        <w:rPr>
          <w:rFonts w:ascii="Times New Roman" w:hAnsi="Times New Roman" w:cs="Times New Roman"/>
          <w:b/>
          <w:i/>
          <w:lang w:val="en-GB"/>
        </w:rPr>
        <w:t>Key words</w:t>
      </w:r>
      <w:r w:rsidRPr="00734E51">
        <w:rPr>
          <w:rFonts w:ascii="Times New Roman" w:hAnsi="Times New Roman" w:cs="Times New Roman"/>
          <w:b/>
          <w:lang w:val="en-GB"/>
        </w:rPr>
        <w:t>:</w:t>
      </w:r>
      <w:r w:rsidRPr="00734E51">
        <w:rPr>
          <w:rFonts w:ascii="Times New Roman" w:hAnsi="Times New Roman" w:cs="Times New Roman"/>
          <w:lang w:val="en-GB"/>
        </w:rPr>
        <w:t xml:space="preserve"> Urinary Tract Infections; </w:t>
      </w:r>
      <w:proofErr w:type="spellStart"/>
      <w:r w:rsidRPr="00734E51">
        <w:rPr>
          <w:rFonts w:ascii="Times New Roman" w:hAnsi="Times New Roman" w:cs="Times New Roman"/>
          <w:lang w:val="en-GB"/>
        </w:rPr>
        <w:t>Pediatrics</w:t>
      </w:r>
      <w:proofErr w:type="spellEnd"/>
      <w:r w:rsidRPr="00734E51">
        <w:rPr>
          <w:rFonts w:ascii="Times New Roman" w:hAnsi="Times New Roman" w:cs="Times New Roman"/>
          <w:lang w:val="en-GB"/>
        </w:rPr>
        <w:t>; Diagnosis; Anti-Bacterial Agents; antibiotic resistance; surveillance; treatment recommendations</w:t>
      </w:r>
    </w:p>
    <w:p w14:paraId="1A1A859D" w14:textId="77777777" w:rsidR="00B86B24" w:rsidRPr="007400ED" w:rsidRDefault="00B86B24">
      <w:pPr>
        <w:spacing w:after="160" w:line="259" w:lineRule="auto"/>
        <w:rPr>
          <w:rFonts w:ascii="Times New Roman" w:hAnsi="Times New Roman" w:cs="Times New Roman"/>
          <w:lang w:val="en-GB"/>
        </w:rPr>
      </w:pPr>
      <w:r w:rsidRPr="007400ED">
        <w:rPr>
          <w:rFonts w:ascii="Times New Roman" w:hAnsi="Times New Roman" w:cs="Times New Roman"/>
          <w:lang w:val="en-GB"/>
        </w:rPr>
        <w:br w:type="page"/>
      </w:r>
    </w:p>
    <w:p w14:paraId="409A6334" w14:textId="2AF0A569" w:rsidR="001607F9" w:rsidRPr="00D348F8" w:rsidRDefault="001607F9" w:rsidP="005A5FFA">
      <w:pPr>
        <w:spacing w:line="480" w:lineRule="auto"/>
        <w:rPr>
          <w:rFonts w:ascii="Times New Roman" w:hAnsi="Times New Roman" w:cs="Times New Roman"/>
          <w:lang w:val="en-GB"/>
        </w:rPr>
      </w:pPr>
    </w:p>
    <w:p w14:paraId="7DDCA458" w14:textId="77777777" w:rsidR="001607F9" w:rsidRPr="00D348F8" w:rsidRDefault="001607F9" w:rsidP="005A5FFA">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Introduction</w:t>
      </w:r>
    </w:p>
    <w:p w14:paraId="1499B7BC" w14:textId="444786C2"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Early, effective antibiotic treatment of UTI in young children alleviates acute symptoms, and may also limit long-term sequelae.</w:t>
      </w:r>
      <w:r w:rsidR="00FB34F4" w:rsidRPr="00D348F8">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&lt;EndNote&gt;&lt;Cite&gt;&lt;Author&gt;NICE&lt;/Author&gt;&lt;Year&gt;2007&lt;/Year&gt;&lt;RecNum&gt;218&lt;/RecNum&gt;&lt;DisplayText&gt;(1)&lt;/DisplayText&gt;&lt;record&gt;&lt;rec-number&gt;218&lt;/rec-number&gt;&lt;foreign-keys&gt;&lt;key app="EN" db-id="90exf5z9rvrz2yersrppfstqrdx2sxw5psze" timestamp="1335798890"&gt;218&lt;/key&gt;&lt;/foreign-keys&gt;&lt;ref-type name="Web Page"&gt;12&lt;/ref-type&gt;&lt;contributors&gt;&lt;authors&gt;&lt;author&gt;NICE&lt;/author&gt;&lt;/authors&gt;&lt;/contributors&gt;&lt;titles&gt;&lt;title&gt;Urinary tract infection in children: diagnosis, treatment and long-term management. CG54.&lt;/title&gt;&lt;/titles&gt;&lt;dates&gt;&lt;year&gt;2007&lt;/year&gt;&lt;/dates&gt;&lt;pub-location&gt;London&lt;/pub-location&gt;&lt;publisher&gt;National Institute for Health and Care Excellence&lt;/publisher&gt;&lt;work-type&gt;Clinical guideline&lt;/work-type&gt;&lt;urls&gt;&lt;related-urls&gt;&lt;url&gt;http://guidance.nice.org.uk/CG054&lt;/url&gt;&lt;/related-urls&gt;&lt;/urls&gt;&lt;custom1&gt;2013&lt;/custom1&gt;&lt;/record&gt;&lt;/Cite&gt;&lt;/EndNote&gt;</w:instrText>
      </w:r>
      <w:r w:rsidR="00FB34F4" w:rsidRPr="00D348F8">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1" w:tooltip="NICE, 2007 #218" w:history="1">
        <w:r w:rsidR="00612B01" w:rsidRPr="00734E51">
          <w:rPr>
            <w:rFonts w:ascii="Times New Roman" w:hAnsi="Times New Roman" w:cs="Times New Roman"/>
            <w:lang w:val="en-GB"/>
          </w:rPr>
          <w:t>1</w:t>
        </w:r>
      </w:hyperlink>
      <w:r w:rsidR="007D43DC" w:rsidRPr="00734E51">
        <w:rPr>
          <w:rFonts w:ascii="Times New Roman" w:hAnsi="Times New Roman" w:cs="Times New Roman"/>
          <w:lang w:val="en-GB"/>
        </w:rPr>
        <w:t>)</w:t>
      </w:r>
      <w:r w:rsidR="00FB34F4" w:rsidRPr="00D348F8">
        <w:rPr>
          <w:rFonts w:ascii="Times New Roman" w:hAnsi="Times New Roman" w:cs="Times New Roman"/>
          <w:lang w:val="en-GB"/>
        </w:rPr>
        <w:fldChar w:fldCharType="end"/>
      </w:r>
      <w:hyperlink w:anchor="_ENREF_1" w:tooltip="Asscher, 1973 #5" w:history="1"/>
      <w:r w:rsidRPr="007400ED">
        <w:rPr>
          <w:rFonts w:ascii="Times New Roman" w:hAnsi="Times New Roman" w:cs="Times New Roman"/>
          <w:lang w:val="en-GB"/>
        </w:rPr>
        <w:t xml:space="preserve"> Antibiotics should ideally be prescribed only to those who have a UTI</w:t>
      </w:r>
      <w:r w:rsidR="00AD6DA5" w:rsidRPr="00D348F8">
        <w:rPr>
          <w:rFonts w:ascii="Times New Roman" w:hAnsi="Times New Roman" w:cs="Times New Roman"/>
          <w:lang w:val="en-GB"/>
        </w:rPr>
        <w:t>,</w:t>
      </w:r>
      <w:r w:rsidRPr="00D348F8">
        <w:rPr>
          <w:rFonts w:ascii="Times New Roman" w:hAnsi="Times New Roman" w:cs="Times New Roman"/>
          <w:lang w:val="en-GB"/>
        </w:rPr>
        <w:t xml:space="preserve"> using an antibiotic with the narrowest effective spectrum.</w:t>
      </w:r>
      <w:hyperlink w:anchor="_ENREF_1" w:tooltip="NICHE, 2007 #35" w:history="1"/>
      <w:r w:rsidRPr="007400ED">
        <w:rPr>
          <w:rFonts w:ascii="Times New Roman" w:hAnsi="Times New Roman" w:cs="Times New Roman"/>
          <w:lang w:val="en-GB"/>
        </w:rPr>
        <w:t xml:space="preserve"> Empirical treatment is more or less universal in primary care, given that urine culture results take several days, and as yet there are no rapid point of care tests that give a sufficiently robust indication of aetiology and the </w:t>
      </w:r>
      <w:r w:rsidR="008C1911" w:rsidRPr="00D348F8">
        <w:rPr>
          <w:rFonts w:ascii="Times New Roman" w:hAnsi="Times New Roman" w:cs="Times New Roman"/>
          <w:lang w:val="en-GB"/>
        </w:rPr>
        <w:t xml:space="preserve">susceptibility </w:t>
      </w:r>
      <w:r w:rsidRPr="00D348F8">
        <w:rPr>
          <w:rFonts w:ascii="Times New Roman" w:hAnsi="Times New Roman" w:cs="Times New Roman"/>
          <w:lang w:val="en-GB"/>
        </w:rPr>
        <w:t>of infecting organisms.</w:t>
      </w:r>
    </w:p>
    <w:p w14:paraId="682A7332" w14:textId="77777777" w:rsidR="001607F9" w:rsidRPr="00D348F8" w:rsidRDefault="001607F9" w:rsidP="005A5FFA">
      <w:pPr>
        <w:spacing w:line="480" w:lineRule="auto"/>
        <w:rPr>
          <w:rFonts w:ascii="Times New Roman" w:hAnsi="Times New Roman" w:cs="Times New Roman"/>
          <w:lang w:val="en-GB"/>
        </w:rPr>
      </w:pPr>
    </w:p>
    <w:p w14:paraId="3F924571" w14:textId="7B67D43F"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 xml:space="preserve">Guidelines generally recommend that choice of empiric antibiotics for suspected urinary tract infection (UTI) in acutely unwell children should depend on local </w:t>
      </w:r>
      <w:r w:rsidR="008C1911" w:rsidRPr="00D348F8">
        <w:rPr>
          <w:rFonts w:ascii="Times New Roman" w:hAnsi="Times New Roman" w:cs="Times New Roman"/>
          <w:lang w:val="en-GB"/>
        </w:rPr>
        <w:t>susceptibilities</w:t>
      </w:r>
      <w:r w:rsidRPr="00D348F8">
        <w:rPr>
          <w:rFonts w:ascii="Times New Roman" w:hAnsi="Times New Roman" w:cs="Times New Roman"/>
          <w:lang w:val="en-GB"/>
        </w:rPr>
        <w:t>.</w:t>
      </w:r>
      <w:r w:rsidR="00FB34F4" w:rsidRPr="00D348F8">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&lt;EndNote&gt;&lt;Cite&gt;&lt;Author&gt;Grabe&lt;/Author&gt;&lt;Year&gt;2013&lt;/Year&gt;&lt;RecNum&gt;638&lt;/RecNum&gt;&lt;DisplayText&gt;(1, 2)&lt;/DisplayText&gt;&lt;record&gt;&lt;rec-number&gt;638&lt;/rec-number&gt;&lt;foreign-keys&gt;&lt;key app="EN" db-id="90exf5z9rvrz2yersrppfstqrdx2sxw5psze" timestamp="1396613149"&gt;638&lt;/key&gt;&lt;/foreign-keys&gt;&lt;ref-type name="Web Page"&gt;12&lt;/ref-type&gt;&lt;contributors&gt;&lt;authors&gt;&lt;author&gt;Grabe, M&lt;/author&gt;&lt;author&gt;Bjerklund-Johansen, T.E.&lt;/author&gt;&lt;author&gt;Botto, H&lt;/author&gt;&lt;author&gt;Çek, M&lt;/author&gt;&lt;author&gt;Naber, K.G.&lt;/author&gt;&lt;author&gt;Pickard, R.S.&lt;/author&gt;&lt;author&gt;Tenke, P&lt;/author&gt;&lt;author&gt;Wagenlehner, F&lt;/author&gt;&lt;author&gt;Wullt, B&lt;/author&gt;&lt;/authors&gt;&lt;/contributors&gt;&lt;titles&gt;&lt;title&gt;Guidelines on Urological Infections&lt;/title&gt;&lt;/titles&gt;&lt;number&gt;04/04/2014&lt;/number&gt;&lt;dates&gt;&lt;year&gt;2013&lt;/year&gt;&lt;/dates&gt;&lt;urls&gt;&lt;related-urls&gt;&lt;url&gt;http://www.uroweb.org/gls/pdf/18_Urological%20infections_LR.pdf&lt;/url&gt;&lt;/related-urls&gt;&lt;/urls&gt;&lt;custom1&gt;2014&lt;/custom1&gt;&lt;custom2&gt;04/04/2014&lt;/custom2&gt;&lt;/record&gt;&lt;/Cite&gt;&lt;Cite&gt;&lt;Author&gt;NICE&lt;/Author&gt;&lt;Year&gt;2007&lt;/Year&gt;&lt;RecNum&gt;218&lt;/RecNum&gt;&lt;record&gt;&lt;rec-number&gt;218&lt;/rec-number&gt;&lt;foreign-keys&gt;&lt;key app="EN" db-id="90exf5z9rvrz2yersrppfstqrdx2sxw5psze" timestamp="1335798890"&gt;218&lt;/key&gt;&lt;/foreign-keys&gt;&lt;ref-type name="Web Page"&gt;12&lt;/ref-type&gt;&lt;contributors&gt;&lt;authors&gt;&lt;author&gt;NICE&lt;/author&gt;&lt;/authors&gt;&lt;/contributors&gt;&lt;titles&gt;&lt;title&gt;Urinary tract infection in children: diagnosis, treatment and long-term management. CG54.&lt;/title&gt;&lt;/titles&gt;&lt;dates&gt;&lt;year&gt;2007&lt;/year&gt;&lt;/dates&gt;&lt;pub-location&gt;London&lt;/pub-location&gt;&lt;publisher&gt;National Institute for Health and Care Excellence&lt;/publisher&gt;&lt;work-type&gt;Clinical guideline&lt;/work-type&gt;&lt;urls&gt;&lt;related-urls&gt;&lt;url&gt;http://guidance.nice.org.uk/CG054&lt;/url&gt;&lt;/related-urls&gt;&lt;/urls&gt;&lt;custom1&gt;2013&lt;/custom1&gt;&lt;/record&gt;&lt;/Cite&gt;&lt;/EndNote&gt;</w:instrText>
      </w:r>
      <w:r w:rsidR="00FB34F4" w:rsidRPr="00D348F8">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1" w:tooltip="NICE, 2007 #218" w:history="1">
        <w:r w:rsidR="00612B01" w:rsidRPr="00734E51">
          <w:rPr>
            <w:rFonts w:ascii="Times New Roman" w:hAnsi="Times New Roman" w:cs="Times New Roman"/>
            <w:lang w:val="en-GB"/>
          </w:rPr>
          <w:t>1</w:t>
        </w:r>
      </w:hyperlink>
      <w:r w:rsidR="007D43DC" w:rsidRPr="00734E51">
        <w:rPr>
          <w:rFonts w:ascii="Times New Roman" w:hAnsi="Times New Roman" w:cs="Times New Roman"/>
          <w:lang w:val="en-GB"/>
        </w:rPr>
        <w:t xml:space="preserve">, </w:t>
      </w:r>
      <w:hyperlink w:anchor="_ENREF_2" w:tooltip="Grabe, 2013 #638" w:history="1">
        <w:r w:rsidR="00612B01" w:rsidRPr="00734E51">
          <w:rPr>
            <w:rFonts w:ascii="Times New Roman" w:hAnsi="Times New Roman" w:cs="Times New Roman"/>
            <w:lang w:val="en-GB"/>
          </w:rPr>
          <w:t>2</w:t>
        </w:r>
      </w:hyperlink>
      <w:r w:rsidR="007D43DC" w:rsidRPr="00734E51">
        <w:rPr>
          <w:rFonts w:ascii="Times New Roman" w:hAnsi="Times New Roman" w:cs="Times New Roman"/>
          <w:lang w:val="en-GB"/>
        </w:rPr>
        <w:t>)</w:t>
      </w:r>
      <w:r w:rsidR="00FB34F4" w:rsidRPr="00D348F8">
        <w:rPr>
          <w:rFonts w:ascii="Times New Roman" w:hAnsi="Times New Roman" w:cs="Times New Roman"/>
          <w:lang w:val="en-GB"/>
        </w:rPr>
        <w:fldChar w:fldCharType="end"/>
      </w:r>
      <w:hyperlink w:anchor="_ENREF_1" w:tooltip="Grabe, 2013 #638" w:history="1"/>
      <w:r w:rsidRPr="007400ED">
        <w:rPr>
          <w:rFonts w:ascii="Times New Roman" w:hAnsi="Times New Roman" w:cs="Times New Roman"/>
          <w:lang w:val="en-GB"/>
        </w:rPr>
        <w:t xml:space="preserve"> Such information is usually derived from routinely collected data, and may provide biased estimates because of variation in sampling decisions by individual clinicians, differing laboratory procedures and the inclusion of repeat samples i</w:t>
      </w:r>
      <w:r w:rsidRPr="00D348F8">
        <w:rPr>
          <w:rFonts w:ascii="Times New Roman" w:hAnsi="Times New Roman" w:cs="Times New Roman"/>
          <w:lang w:val="en-GB"/>
        </w:rPr>
        <w:t xml:space="preserve">n databases. The </w:t>
      </w:r>
      <w:r w:rsidR="008C1911" w:rsidRPr="00D348F8">
        <w:rPr>
          <w:rFonts w:ascii="Times New Roman" w:hAnsi="Times New Roman" w:cs="Times New Roman"/>
          <w:lang w:val="en-GB"/>
        </w:rPr>
        <w:t xml:space="preserve">susceptibilities </w:t>
      </w:r>
      <w:r w:rsidRPr="00D348F8">
        <w:rPr>
          <w:rFonts w:ascii="Times New Roman" w:hAnsi="Times New Roman" w:cs="Times New Roman"/>
          <w:lang w:val="en-GB"/>
        </w:rPr>
        <w:t xml:space="preserve">of organisms </w:t>
      </w:r>
      <w:r w:rsidR="008C1911" w:rsidRPr="00D348F8">
        <w:rPr>
          <w:rFonts w:ascii="Times New Roman" w:hAnsi="Times New Roman" w:cs="Times New Roman"/>
          <w:lang w:val="en-GB"/>
        </w:rPr>
        <w:t xml:space="preserve">from urines submitted </w:t>
      </w:r>
      <w:r w:rsidRPr="00D348F8">
        <w:rPr>
          <w:rFonts w:ascii="Times New Roman" w:hAnsi="Times New Roman" w:cs="Times New Roman"/>
          <w:lang w:val="en-GB"/>
        </w:rPr>
        <w:t xml:space="preserve">in routine </w:t>
      </w:r>
      <w:r w:rsidR="008C1911" w:rsidRPr="00D348F8">
        <w:rPr>
          <w:rFonts w:ascii="Times New Roman" w:hAnsi="Times New Roman" w:cs="Times New Roman"/>
          <w:lang w:val="en-GB"/>
        </w:rPr>
        <w:t xml:space="preserve">care </w:t>
      </w:r>
      <w:r w:rsidRPr="00D348F8">
        <w:rPr>
          <w:rFonts w:ascii="Times New Roman" w:hAnsi="Times New Roman" w:cs="Times New Roman"/>
          <w:lang w:val="en-GB"/>
        </w:rPr>
        <w:t xml:space="preserve">and in </w:t>
      </w:r>
      <w:r w:rsidR="008C1911" w:rsidRPr="00D348F8">
        <w:rPr>
          <w:rFonts w:ascii="Times New Roman" w:hAnsi="Times New Roman" w:cs="Times New Roman"/>
          <w:lang w:val="en-GB"/>
        </w:rPr>
        <w:t xml:space="preserve">organisms causing UTI from </w:t>
      </w:r>
      <w:r w:rsidRPr="00D348F8">
        <w:rPr>
          <w:rFonts w:ascii="Times New Roman" w:hAnsi="Times New Roman" w:cs="Times New Roman"/>
          <w:lang w:val="en-GB"/>
        </w:rPr>
        <w:t xml:space="preserve">systematically obtained </w:t>
      </w:r>
      <w:r w:rsidR="008C1911" w:rsidRPr="00D348F8">
        <w:rPr>
          <w:rFonts w:ascii="Times New Roman" w:hAnsi="Times New Roman" w:cs="Times New Roman"/>
          <w:lang w:val="en-GB"/>
        </w:rPr>
        <w:t xml:space="preserve">urines </w:t>
      </w:r>
      <w:r w:rsidRPr="00D348F8">
        <w:rPr>
          <w:rFonts w:ascii="Times New Roman" w:hAnsi="Times New Roman" w:cs="Times New Roman"/>
          <w:lang w:val="en-GB"/>
        </w:rPr>
        <w:t>in primary care have not been directly compared.</w:t>
      </w:r>
    </w:p>
    <w:p w14:paraId="697ED8B0" w14:textId="77777777" w:rsidR="001607F9" w:rsidRPr="00D348F8" w:rsidRDefault="001607F9" w:rsidP="005D4894">
      <w:pPr>
        <w:spacing w:line="480" w:lineRule="auto"/>
        <w:rPr>
          <w:rFonts w:ascii="Times New Roman" w:hAnsi="Times New Roman" w:cs="Times New Roman"/>
          <w:lang w:val="en-GB"/>
        </w:rPr>
      </w:pPr>
    </w:p>
    <w:p w14:paraId="424BD392" w14:textId="12CD1C2E" w:rsidR="007F52F7" w:rsidRPr="00D348F8" w:rsidRDefault="001607F9" w:rsidP="00734E51">
      <w:pPr>
        <w:spacing w:line="480" w:lineRule="auto"/>
        <w:rPr>
          <w:rFonts w:ascii="Times New Roman" w:hAnsi="Times New Roman" w:cs="Times New Roman"/>
          <w:lang w:val="en-GB"/>
        </w:rPr>
      </w:pPr>
      <w:r w:rsidRPr="00D348F8">
        <w:rPr>
          <w:rFonts w:ascii="Times New Roman" w:hAnsi="Times New Roman" w:cs="Times New Roman"/>
          <w:lang w:val="en-GB"/>
        </w:rPr>
        <w:t xml:space="preserve">Information about </w:t>
      </w:r>
      <w:r w:rsidR="008C1911" w:rsidRPr="00D348F8">
        <w:rPr>
          <w:rFonts w:ascii="Times New Roman" w:hAnsi="Times New Roman" w:cs="Times New Roman"/>
          <w:lang w:val="en-GB"/>
        </w:rPr>
        <w:t xml:space="preserve">susceptibilities </w:t>
      </w:r>
      <w:r w:rsidRPr="00D348F8">
        <w:rPr>
          <w:rFonts w:ascii="Times New Roman" w:hAnsi="Times New Roman" w:cs="Times New Roman"/>
          <w:lang w:val="en-GB"/>
        </w:rPr>
        <w:t>of cultured organisms in urine samples routinely submitted from children in primary care may therefore not be generalizable to the child presenting with acute illness in primary care who ha</w:t>
      </w:r>
      <w:r w:rsidR="00B40505" w:rsidRPr="00D348F8">
        <w:rPr>
          <w:rFonts w:ascii="Times New Roman" w:hAnsi="Times New Roman" w:cs="Times New Roman"/>
          <w:lang w:val="en-GB"/>
        </w:rPr>
        <w:t>s</w:t>
      </w:r>
      <w:r w:rsidRPr="00D348F8">
        <w:rPr>
          <w:rFonts w:ascii="Times New Roman" w:hAnsi="Times New Roman" w:cs="Times New Roman"/>
          <w:lang w:val="en-GB"/>
        </w:rPr>
        <w:t xml:space="preserve"> not had recurrent UTIs, who is not known to have a structural renal tract abnormality, or who ha</w:t>
      </w:r>
      <w:r w:rsidR="00B40505" w:rsidRPr="00D348F8">
        <w:rPr>
          <w:rFonts w:ascii="Times New Roman" w:hAnsi="Times New Roman" w:cs="Times New Roman"/>
          <w:lang w:val="en-GB"/>
        </w:rPr>
        <w:t>s</w:t>
      </w:r>
      <w:r w:rsidRPr="00D348F8">
        <w:rPr>
          <w:rFonts w:ascii="Times New Roman" w:hAnsi="Times New Roman" w:cs="Times New Roman"/>
          <w:lang w:val="en-GB"/>
        </w:rPr>
        <w:t xml:space="preserve"> complex medical needs. Previous studies have generally focused on epidemiological studies of asymptomatic children</w:t>
      </w:r>
      <w:r w:rsidR="00FB34F4" w:rsidRPr="007400ED">
        <w:rPr>
          <w:rFonts w:ascii="Times New Roman" w:hAnsi="Times New Roman" w:cs="Times New Roman"/>
          <w:lang w:val="en-GB"/>
        </w:rPr>
        <w:fldChar w:fldCharType="begin">
          <w:fldData xml:space="preserve">PEVuZE5vdGU+PENpdGU+PEF1dGhvcj5Bc3NjaGVyPC9BdXRob3I+PFllYXI+MTk3MzwvWWVhcj48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</w:fldData>
        </w:fldChar>
      </w:r>
      <w:r w:rsidR="007D43DC" w:rsidRPr="00D348F8">
        <w:rPr>
          <w:rFonts w:ascii="Times New Roman" w:hAnsi="Times New Roman" w:cs="Times New Roman"/>
          <w:lang w:val="en-GB"/>
        </w:rPr>
        <w:instrText xml:space="preserve"> ADDIN EN.CITE </w:instrText>
      </w:r>
      <w:r w:rsidR="00FB34F4" w:rsidRPr="00D348F8">
        <w:rPr>
          <w:rFonts w:ascii="Times New Roman" w:hAnsi="Times New Roman" w:cs="Times New Roman"/>
          <w:lang w:val="en-GB"/>
        </w:rPr>
        <w:fldChar w:fldCharType="begin">
          <w:fldData xml:space="preserve">PEVuZE5vdGU+PENpdGU+PEF1dGhvcj5Bc3NjaGVyPC9BdXRob3I+PFllYXI+MTk3MzwvWWVhcj48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</w:fldData>
        </w:fldChar>
      </w:r>
      <w:r w:rsidR="007D43DC" w:rsidRPr="00D348F8">
        <w:rPr>
          <w:rFonts w:ascii="Times New Roman" w:hAnsi="Times New Roman" w:cs="Times New Roman"/>
          <w:lang w:val="en-GB"/>
        </w:rPr>
        <w:instrText xml:space="preserve"> ADDIN EN.CITE.DATA </w:instrText>
      </w:r>
      <w:r w:rsidR="00FB34F4" w:rsidRPr="00D348F8">
        <w:rPr>
          <w:rFonts w:ascii="Times New Roman" w:hAnsi="Times New Roman" w:cs="Times New Roman"/>
          <w:lang w:val="en-GB"/>
        </w:rPr>
      </w:r>
      <w:r w:rsidR="00FB34F4" w:rsidRPr="00D348F8">
        <w:rPr>
          <w:rFonts w:ascii="Times New Roman" w:hAnsi="Times New Roman" w:cs="Times New Roman"/>
          <w:lang w:val="en-GB"/>
        </w:rPr>
        <w:fldChar w:fldCharType="end"/>
      </w:r>
      <w:r w:rsidR="00FB34F4" w:rsidRPr="007400ED">
        <w:rPr>
          <w:rFonts w:ascii="Times New Roman" w:hAnsi="Times New Roman" w:cs="Times New Roman"/>
          <w:lang w:val="en-GB"/>
        </w:rPr>
      </w:r>
      <w:r w:rsidR="00FB34F4" w:rsidRPr="007400ED">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3" w:tooltip="Asscher, 1973 #639" w:history="1">
        <w:r w:rsidR="00612B01" w:rsidRPr="00734E51">
          <w:rPr>
            <w:rFonts w:ascii="Times New Roman" w:hAnsi="Times New Roman" w:cs="Times New Roman"/>
            <w:lang w:val="en-GB"/>
          </w:rPr>
          <w:t>3-6</w:t>
        </w:r>
      </w:hyperlink>
      <w:r w:rsidR="007D43DC" w:rsidRPr="00734E51">
        <w:rPr>
          <w:rFonts w:ascii="Times New Roman" w:hAnsi="Times New Roman" w:cs="Times New Roman"/>
          <w:lang w:val="en-GB"/>
        </w:rPr>
        <w:t>)</w:t>
      </w:r>
      <w:r w:rsidR="00FB34F4" w:rsidRPr="007400ED">
        <w:rPr>
          <w:rFonts w:ascii="Times New Roman" w:hAnsi="Times New Roman" w:cs="Times New Roman"/>
          <w:lang w:val="en-GB"/>
        </w:rPr>
        <w:fldChar w:fldCharType="end"/>
      </w:r>
      <w:r w:rsidRPr="007400ED">
        <w:rPr>
          <w:rFonts w:ascii="Times New Roman" w:hAnsi="Times New Roman" w:cs="Times New Roman"/>
          <w:lang w:val="en-GB"/>
        </w:rPr>
        <w:t xml:space="preserve"> </w:t>
      </w:r>
      <w:hyperlink w:anchor="_ENREF_1" w:tooltip="Grabe, 2013 #638" w:history="1"/>
      <w:hyperlink w:anchor="_ENREF_1" w:tooltip="McLachlan, 1975 #4" w:history="1"/>
      <w:r w:rsidRPr="007400ED">
        <w:rPr>
          <w:rFonts w:ascii="Times New Roman" w:hAnsi="Times New Roman" w:cs="Times New Roman"/>
          <w:lang w:val="en-GB"/>
        </w:rPr>
        <w:t xml:space="preserve">or on children presenting to health care with symptoms </w:t>
      </w:r>
      <w:r w:rsidRPr="007400ED">
        <w:rPr>
          <w:rFonts w:ascii="Times New Roman" w:hAnsi="Times New Roman" w:cs="Times New Roman"/>
          <w:lang w:val="en-GB"/>
        </w:rPr>
        <w:lastRenderedPageBreak/>
        <w:t>clearly attributable to UTI.</w:t>
      </w:r>
      <w:r w:rsidR="00FB34F4" w:rsidRPr="007400ED">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&lt;EndNote&gt;&lt;Cite&gt;&lt;Author&gt;Winberg&lt;/Author&gt;&lt;Year&gt;1974&lt;/Year&gt;&lt;RecNum&gt;252&lt;/RecNum&gt;&lt;DisplayText&gt;(7)&lt;/DisplayText&gt;&lt;record&gt;&lt;rec-number&gt;252&lt;/rec-number&gt;&lt;foreign-keys&gt;&lt;key app="EN" db-id="90exf5z9rvrz2yersrppfstqrdx2sxw5psze" timestamp="1335798891"&gt;252&lt;/key&gt;&lt;/foreign-keys&gt;&lt;ref-type name="Journal Article"&gt;17&lt;/ref-type&gt;&lt;contributors&gt;&lt;authors&gt;&lt;author&gt;Winberg, J.&lt;/author&gt;&lt;author&gt;Andersen, H. J.&lt;/author&gt;&lt;author&gt;Bergstrom, T.&lt;/author&gt;&lt;author&gt;Jacobsson, B.&lt;/author&gt;&lt;author&gt;Larson, H.&lt;/author&gt;&lt;author&gt;Lincoln, K.&lt;/author&gt;&lt;/authors&gt;&lt;/contributors&gt;&lt;titles&gt;&lt;title&gt;Epidemiology of symptomatic urinary tract infection in childhood&lt;/title&gt;&lt;secondary-title&gt;Acta Paediatrica Scandinavica - Supplement&lt;/secondary-title&gt;&lt;/titles&gt;&lt;periodical&gt;&lt;full-title&gt;Acta Paediatrica Scandinavica - Supplement&lt;/full-title&gt;&lt;/periodical&gt;&lt;pages&gt;1-20&lt;/pages&gt;&lt;number&gt;252&lt;/number&gt;&lt;dates&gt;&lt;year&gt;1974&lt;/year&gt;&lt;/dates&gt;&lt;accession-num&gt;4618418&lt;/accession-num&gt;&lt;urls&gt;&lt;/urls&gt;&lt;/record&gt;&lt;/Cite&gt;&lt;/EndNote&gt;</w:instrText>
      </w:r>
      <w:r w:rsidR="00FB34F4" w:rsidRPr="007400ED">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7" w:tooltip="Winberg, 1974 #252" w:history="1">
        <w:r w:rsidR="00612B01" w:rsidRPr="00734E51">
          <w:rPr>
            <w:rFonts w:ascii="Times New Roman" w:hAnsi="Times New Roman" w:cs="Times New Roman"/>
            <w:lang w:val="en-GB"/>
          </w:rPr>
          <w:t>7</w:t>
        </w:r>
      </w:hyperlink>
      <w:r w:rsidR="007D43DC" w:rsidRPr="00734E51">
        <w:rPr>
          <w:rFonts w:ascii="Times New Roman" w:hAnsi="Times New Roman" w:cs="Times New Roman"/>
          <w:lang w:val="en-GB"/>
        </w:rPr>
        <w:t>)</w:t>
      </w:r>
      <w:r w:rsidR="00FB34F4" w:rsidRPr="007400ED">
        <w:rPr>
          <w:rFonts w:ascii="Times New Roman" w:hAnsi="Times New Roman" w:cs="Times New Roman"/>
          <w:lang w:val="en-GB"/>
        </w:rPr>
        <w:fldChar w:fldCharType="end"/>
      </w:r>
      <w:hyperlink w:anchor="_ENREF_7" w:tooltip="Winberg, 1974 #3" w:history="1"/>
      <w:r w:rsidRPr="007400ED">
        <w:rPr>
          <w:rFonts w:ascii="Times New Roman" w:hAnsi="Times New Roman" w:cs="Times New Roman"/>
          <w:lang w:val="en-GB"/>
        </w:rPr>
        <w:t xml:space="preserve"> A </w:t>
      </w:r>
      <w:r w:rsidR="007F52F7" w:rsidRPr="007400ED">
        <w:rPr>
          <w:rFonts w:ascii="Times New Roman" w:hAnsi="Times New Roman" w:cs="Times New Roman"/>
          <w:lang w:val="en-GB"/>
        </w:rPr>
        <w:t>recent study fr</w:t>
      </w:r>
      <w:r w:rsidR="0058747C" w:rsidRPr="007400ED">
        <w:rPr>
          <w:rFonts w:ascii="Times New Roman" w:hAnsi="Times New Roman" w:cs="Times New Roman"/>
          <w:lang w:val="en-GB"/>
        </w:rPr>
        <w:t>o</w:t>
      </w:r>
      <w:r w:rsidR="007F52F7" w:rsidRPr="007400ED">
        <w:rPr>
          <w:rFonts w:ascii="Times New Roman" w:hAnsi="Times New Roman" w:cs="Times New Roman"/>
          <w:lang w:val="en-GB"/>
        </w:rPr>
        <w:t>m the US</w:t>
      </w:r>
      <w:r w:rsidRPr="00D348F8">
        <w:rPr>
          <w:rFonts w:ascii="Times New Roman" w:hAnsi="Times New Roman" w:cs="Times New Roman"/>
          <w:lang w:val="en-GB"/>
        </w:rPr>
        <w:t xml:space="preserve"> found that the resistance patterns differed between routinely submitted outpatient and inpatient urine samples.</w:t>
      </w:r>
      <w:r w:rsidR="00FB34F4" w:rsidRPr="007400ED">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&lt;EndNote&gt;&lt;Cite&gt;&lt;Author&gt;Saperston&lt;/Author&gt;&lt;Year&gt;2014&lt;/Year&gt;&lt;RecNum&gt;642&lt;/RecNum&gt;&lt;DisplayText&gt;(8)&lt;/DisplayText&gt;&lt;record&gt;&lt;rec-number&gt;642&lt;/rec-number&gt;&lt;foreign-keys&gt;&lt;key app="EN" db-id="90exf5z9rvrz2yersrppfstqrdx2sxw5psze" timestamp="1396859426"&gt;642&lt;/key&gt;&lt;/foreign-keys&gt;&lt;ref-type name="Journal Article"&gt;17&lt;/ref-type&gt;&lt;contributors&gt;&lt;authors&gt;&lt;author&gt;Saperston, K. N.&lt;/author&gt;&lt;author&gt;Shapiro, D. J.&lt;/author&gt;&lt;author&gt;Hersh, A. L.&lt;/author&gt;&lt;author&gt;Copp, H. L.&lt;/author&gt;&lt;/authors&gt;&lt;/contributors&gt;&lt;auth-address&gt;University of California-San Francisco, San Francisco, California; University of Utah (ALH), Salt Lake City, Utah.&lt;/auth-address&gt;&lt;titles&gt;&lt;title&gt;A Comparison of Inpatient Versus Outpatient Resistance Patterns of Pediatric Urinary Tract Infection&lt;/title&gt;&lt;secondary-title&gt;J Urol&lt;/secondary-title&gt;&lt;alt-title&gt;The Journal of urology&lt;/alt-title&gt;&lt;/titles&gt;&lt;alt-periodical&gt;&lt;full-title&gt;The Journal of Urology&lt;/full-title&gt;&lt;/alt-periodical&gt;&lt;pages&gt;1608-13&lt;/pages&gt;&lt;volume&gt;191(5 Suppl)&lt;/volume&gt;&lt;edition&gt;2014/04/01&lt;/edition&gt;&lt;dates&gt;&lt;year&gt;2014&lt;/year&gt;&lt;pub-dates&gt;&lt;date&gt;Mar 25&lt;/date&gt;&lt;/pub-dates&gt;&lt;/dates&gt;&lt;isbn&gt;0022-5347&lt;/isbn&gt;&lt;accession-num&gt;24679887&lt;/accession-num&gt;&lt;urls&gt;&lt;/urls&gt;&lt;electronic-resource-num&gt;10.1016/j.juro.2013.10.064&lt;/electronic-resource-num&gt;&lt;remote-database-provider&gt;Nlm&lt;/remote-database-provider&gt;&lt;language&gt;Eng&lt;/language&gt;&lt;/record&gt;&lt;/Cite&gt;&lt;/EndNote&gt;</w:instrText>
      </w:r>
      <w:r w:rsidR="00FB34F4" w:rsidRPr="007400ED">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8" w:tooltip="Saperston, 2014 #642" w:history="1">
        <w:r w:rsidR="00612B01" w:rsidRPr="00734E51">
          <w:rPr>
            <w:rFonts w:ascii="Times New Roman" w:hAnsi="Times New Roman" w:cs="Times New Roman"/>
            <w:lang w:val="en-GB"/>
          </w:rPr>
          <w:t>8</w:t>
        </w:r>
      </w:hyperlink>
      <w:r w:rsidR="007D43DC" w:rsidRPr="00734E51">
        <w:rPr>
          <w:rFonts w:ascii="Times New Roman" w:hAnsi="Times New Roman" w:cs="Times New Roman"/>
          <w:lang w:val="en-GB"/>
        </w:rPr>
        <w:t>)</w:t>
      </w:r>
      <w:r w:rsidR="00FB34F4" w:rsidRPr="007400ED">
        <w:rPr>
          <w:rFonts w:ascii="Times New Roman" w:hAnsi="Times New Roman" w:cs="Times New Roman"/>
          <w:lang w:val="en-GB"/>
        </w:rPr>
        <w:fldChar w:fldCharType="end"/>
      </w:r>
      <w:r w:rsidRPr="007400ED">
        <w:rPr>
          <w:rFonts w:ascii="Times New Roman" w:hAnsi="Times New Roman" w:cs="Times New Roman"/>
          <w:lang w:val="en-GB"/>
        </w:rPr>
        <w:t xml:space="preserve"> We know of onl</w:t>
      </w:r>
      <w:r w:rsidR="00B3594B" w:rsidRPr="007400ED">
        <w:rPr>
          <w:rFonts w:ascii="Times New Roman" w:hAnsi="Times New Roman" w:cs="Times New Roman"/>
          <w:lang w:val="en-GB"/>
        </w:rPr>
        <w:t>y one large study that has focu</w:t>
      </w:r>
      <w:r w:rsidRPr="007400ED">
        <w:rPr>
          <w:rFonts w:ascii="Times New Roman" w:hAnsi="Times New Roman" w:cs="Times New Roman"/>
          <w:lang w:val="en-GB"/>
        </w:rPr>
        <w:t>sed on culture results in systematically sampled acutely unwell children, and we know of no study that has analysed systematically sampled urine from acutely unwell children in a central research laboratory using more intensive techniques that are currently u</w:t>
      </w:r>
      <w:r w:rsidRPr="00D348F8">
        <w:rPr>
          <w:rFonts w:ascii="Times New Roman" w:hAnsi="Times New Roman" w:cs="Times New Roman"/>
          <w:lang w:val="en-GB"/>
        </w:rPr>
        <w:t>ndertaken in routine laboratory practice.</w:t>
      </w:r>
      <w:r w:rsidR="00FB34F4" w:rsidRPr="007400ED">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&lt;EndNote&gt;&lt;Cite&gt;&lt;Author&gt;O&amp;apos;Brien&lt;/Author&gt;&lt;Year&gt;2013&lt;/Year&gt;&lt;RecNum&gt;624&lt;/RecNum&gt;&lt;DisplayText&gt;(9)&lt;/DisplayText&gt;&lt;record&gt;&lt;rec-number&gt;624&lt;/rec-number&gt;&lt;foreign-keys&gt;&lt;key app="EN" db-id="90exf5z9rvrz2yersrppfstqrdx2sxw5psze" timestamp="1380629939"&gt;624&lt;/key&gt;&lt;/foreign-keys&gt;&lt;ref-type name="Journal Article"&gt;17&lt;/ref-type&gt;&lt;contributors&gt;&lt;authors&gt;&lt;author&gt;O&amp;apos;Brien, Kathryn&lt;/author&gt;&lt;author&gt;Edwards, Adrian&lt;/author&gt;&lt;author&gt;Hood, Kerenza&lt;/author&gt;&lt;author&gt;Butler, Christopher&lt;/author&gt;&lt;/authors&gt;&lt;/contributors&gt;&lt;titles&gt;&lt;title&gt;Prevalence of urinary tract infection in acutely unwell children in general practice: a prospective study with systematic urine sampling&lt;/title&gt;&lt;secondary-title&gt;British Journal of General Practice&lt;/secondary-title&gt;&lt;/titles&gt;&lt;periodical&gt;&lt;full-title&gt;British Journal of General Practice&lt;/full-title&gt;&lt;/periodical&gt;&lt;pages&gt;e156- e164&amp;#xD;&lt;/pages&gt;&lt;volume&gt;63&lt;/volume&gt;&lt;number&gt;607&lt;/number&gt;&lt;dates&gt;&lt;year&gt;2013&lt;/year&gt;&lt;/dates&gt;&lt;publisher&gt;Royal College of General Practitioners&lt;/publisher&gt;&lt;isbn&gt;0960-1643&lt;/isbn&gt;&lt;urls&gt;&lt;related-urls&gt;&lt;url&gt;http://dx.doi.org/10.3399/bjgp13x663127&lt;/url&gt;&lt;/related-urls&gt;&lt;/urls&gt;&lt;electronic-resource-num&gt;citeulike-article-id:12677322&amp;#xD;doi: 10.3399/bjgp13x663127&lt;/electronic-resource-num&gt;&lt;/record&gt;&lt;/Cite&gt;&lt;/EndNote&gt;</w:instrText>
      </w:r>
      <w:r w:rsidR="00FB34F4" w:rsidRPr="007400ED">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9" w:tooltip="O'Brien, 2013 #624" w:history="1">
        <w:r w:rsidR="00612B01" w:rsidRPr="00734E51">
          <w:rPr>
            <w:rFonts w:ascii="Times New Roman" w:hAnsi="Times New Roman" w:cs="Times New Roman"/>
            <w:lang w:val="en-GB"/>
          </w:rPr>
          <w:t>9</w:t>
        </w:r>
      </w:hyperlink>
      <w:r w:rsidR="007D43DC" w:rsidRPr="00734E51">
        <w:rPr>
          <w:rFonts w:ascii="Times New Roman" w:hAnsi="Times New Roman" w:cs="Times New Roman"/>
          <w:lang w:val="en-GB"/>
        </w:rPr>
        <w:t>)</w:t>
      </w:r>
      <w:r w:rsidR="00FB34F4" w:rsidRPr="007400ED">
        <w:rPr>
          <w:rFonts w:ascii="Times New Roman" w:hAnsi="Times New Roman" w:cs="Times New Roman"/>
          <w:lang w:val="en-GB"/>
        </w:rPr>
        <w:fldChar w:fldCharType="end"/>
      </w:r>
      <w:r w:rsidRPr="007400ED">
        <w:rPr>
          <w:rFonts w:ascii="Times New Roman" w:hAnsi="Times New Roman" w:cs="Times New Roman"/>
          <w:lang w:val="en-GB"/>
        </w:rPr>
        <w:t xml:space="preserve"> Susceptibilities of organisms cultured in systematically sampled children in the community </w:t>
      </w:r>
      <w:r w:rsidR="007F52F7" w:rsidRPr="00D348F8">
        <w:rPr>
          <w:rFonts w:ascii="Times New Roman" w:hAnsi="Times New Roman" w:cs="Times New Roman"/>
          <w:lang w:val="en-GB"/>
        </w:rPr>
        <w:t xml:space="preserve">with an acute illness (not just those suspected of UTI) </w:t>
      </w:r>
      <w:r w:rsidRPr="00D348F8">
        <w:rPr>
          <w:rFonts w:ascii="Times New Roman" w:hAnsi="Times New Roman" w:cs="Times New Roman"/>
          <w:lang w:val="en-GB"/>
        </w:rPr>
        <w:t>have not been compared to sensitivities in urines submitted for routine laboratory culture</w:t>
      </w:r>
      <w:r w:rsidR="007F52F7" w:rsidRPr="00D348F8">
        <w:rPr>
          <w:rFonts w:ascii="Times New Roman" w:hAnsi="Times New Roman" w:cs="Times New Roman"/>
          <w:lang w:val="en-GB"/>
        </w:rPr>
        <w:t xml:space="preserve"> (</w:t>
      </w:r>
      <w:r w:rsidR="00B32FF9" w:rsidRPr="00D348F8">
        <w:rPr>
          <w:rFonts w:ascii="Times New Roman" w:hAnsi="Times New Roman" w:cs="Times New Roman"/>
          <w:lang w:val="en-GB"/>
        </w:rPr>
        <w:t>which</w:t>
      </w:r>
      <w:r w:rsidR="007F52F7" w:rsidRPr="00D348F8">
        <w:rPr>
          <w:rFonts w:ascii="Times New Roman" w:hAnsi="Times New Roman" w:cs="Times New Roman"/>
          <w:lang w:val="en-GB"/>
        </w:rPr>
        <w:t xml:space="preserve"> </w:t>
      </w:r>
      <w:r w:rsidR="00B32FF9" w:rsidRPr="00D348F8">
        <w:rPr>
          <w:rFonts w:ascii="Times New Roman" w:hAnsi="Times New Roman" w:cs="Times New Roman"/>
          <w:lang w:val="en-GB"/>
        </w:rPr>
        <w:t>usually</w:t>
      </w:r>
      <w:r w:rsidR="007F52F7" w:rsidRPr="00D348F8">
        <w:rPr>
          <w:rFonts w:ascii="Times New Roman" w:hAnsi="Times New Roman" w:cs="Times New Roman"/>
          <w:lang w:val="en-GB"/>
        </w:rPr>
        <w:t xml:space="preserve"> includes </w:t>
      </w:r>
      <w:r w:rsidR="00B32FF9" w:rsidRPr="00D348F8">
        <w:rPr>
          <w:rFonts w:ascii="Times New Roman" w:hAnsi="Times New Roman" w:cs="Times New Roman"/>
          <w:lang w:val="en-GB"/>
        </w:rPr>
        <w:t>only</w:t>
      </w:r>
      <w:r w:rsidR="007F52F7" w:rsidRPr="00D348F8">
        <w:rPr>
          <w:rFonts w:ascii="Times New Roman" w:hAnsi="Times New Roman" w:cs="Times New Roman"/>
          <w:lang w:val="en-GB"/>
        </w:rPr>
        <w:t xml:space="preserve"> those children </w:t>
      </w:r>
      <w:r w:rsidR="00B32FF9" w:rsidRPr="00D348F8">
        <w:rPr>
          <w:rFonts w:ascii="Times New Roman" w:hAnsi="Times New Roman" w:cs="Times New Roman"/>
          <w:lang w:val="en-GB"/>
        </w:rPr>
        <w:t>with</w:t>
      </w:r>
      <w:r w:rsidR="007F52F7" w:rsidRPr="00D348F8">
        <w:rPr>
          <w:rFonts w:ascii="Times New Roman" w:hAnsi="Times New Roman" w:cs="Times New Roman"/>
          <w:lang w:val="en-GB"/>
        </w:rPr>
        <w:t xml:space="preserve"> a </w:t>
      </w:r>
      <w:r w:rsidR="00B32FF9" w:rsidRPr="00D348F8">
        <w:rPr>
          <w:rFonts w:ascii="Times New Roman" w:hAnsi="Times New Roman" w:cs="Times New Roman"/>
          <w:lang w:val="en-GB"/>
        </w:rPr>
        <w:t>high</w:t>
      </w:r>
      <w:r w:rsidR="007F52F7" w:rsidRPr="00D348F8">
        <w:rPr>
          <w:rFonts w:ascii="Times New Roman" w:hAnsi="Times New Roman" w:cs="Times New Roman"/>
          <w:lang w:val="en-GB"/>
        </w:rPr>
        <w:t xml:space="preserve"> suspicion of UTI, recurrent UTI and with renal tract abnormalities)</w:t>
      </w:r>
      <w:r w:rsidR="006117DB" w:rsidRPr="00D348F8">
        <w:rPr>
          <w:rFonts w:ascii="Times New Roman" w:hAnsi="Times New Roman" w:cs="Times New Roman"/>
          <w:lang w:val="en-GB"/>
        </w:rPr>
        <w:t xml:space="preserve">. Systematic sampling involves taking a urine sample form all eligible children rather than sampling based only clinical suspicion. </w:t>
      </w:r>
      <w:r w:rsidRPr="00D348F8">
        <w:rPr>
          <w:rFonts w:ascii="Times New Roman" w:hAnsi="Times New Roman" w:cs="Times New Roman"/>
          <w:lang w:val="en-GB"/>
        </w:rPr>
        <w:t xml:space="preserve">Such a comparison would help determine the applicability of findings surveillance based on routinely submitted samples to children presenting in primary care with an acute illness. </w:t>
      </w:r>
    </w:p>
    <w:p w14:paraId="720056A3" w14:textId="77777777" w:rsidR="007F52F7" w:rsidRPr="00D348F8" w:rsidRDefault="007F52F7" w:rsidP="005A5FFA">
      <w:pPr>
        <w:spacing w:line="480" w:lineRule="auto"/>
        <w:rPr>
          <w:rFonts w:ascii="Times New Roman" w:hAnsi="Times New Roman" w:cs="Times New Roman"/>
          <w:lang w:val="en-GB"/>
        </w:rPr>
      </w:pPr>
    </w:p>
    <w:p w14:paraId="120899D0" w14:textId="6D0688B4"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 xml:space="preserve">We therefore set out to compare the </w:t>
      </w:r>
      <w:r w:rsidR="0058747C" w:rsidRPr="00D348F8">
        <w:rPr>
          <w:rFonts w:ascii="Times New Roman" w:hAnsi="Times New Roman" w:cs="Times New Roman"/>
          <w:lang w:val="en-GB"/>
        </w:rPr>
        <w:t xml:space="preserve">susceptibilities </w:t>
      </w:r>
      <w:r w:rsidRPr="00D348F8">
        <w:rPr>
          <w:rFonts w:ascii="Times New Roman" w:hAnsi="Times New Roman" w:cs="Times New Roman"/>
          <w:lang w:val="en-GB"/>
        </w:rPr>
        <w:t xml:space="preserve">of </w:t>
      </w:r>
      <w:r w:rsidR="00815A55" w:rsidRPr="00D348F8">
        <w:rPr>
          <w:rFonts w:ascii="Times New Roman" w:hAnsi="Times New Roman" w:cs="Times New Roman"/>
          <w:i/>
          <w:lang w:val="en-GB"/>
        </w:rPr>
        <w:t>E. coli</w:t>
      </w:r>
      <w:r w:rsidR="006B0FE1" w:rsidRPr="00D348F8">
        <w:rPr>
          <w:rFonts w:ascii="Times New Roman" w:hAnsi="Times New Roman" w:cs="Times New Roman"/>
          <w:lang w:val="en-GB"/>
        </w:rPr>
        <w:t xml:space="preserve"> </w:t>
      </w:r>
      <w:r w:rsidRPr="00D348F8">
        <w:rPr>
          <w:rFonts w:ascii="Times New Roman" w:hAnsi="Times New Roman" w:cs="Times New Roman"/>
          <w:lang w:val="en-GB"/>
        </w:rPr>
        <w:t>in samples positive for UTI in routinely submitted samples from children in the community and compare these to</w:t>
      </w:r>
      <w:r w:rsidR="006B0FE1" w:rsidRPr="00D348F8">
        <w:rPr>
          <w:rFonts w:ascii="Times New Roman" w:hAnsi="Times New Roman" w:cs="Times New Roman"/>
          <w:lang w:val="en-GB"/>
        </w:rPr>
        <w:t xml:space="preserve"> those</w:t>
      </w:r>
      <w:r w:rsidRPr="00D348F8">
        <w:rPr>
          <w:rFonts w:ascii="Times New Roman" w:hAnsi="Times New Roman" w:cs="Times New Roman"/>
          <w:lang w:val="en-GB"/>
        </w:rPr>
        <w:t xml:space="preserve"> </w:t>
      </w:r>
      <w:r w:rsidR="007F52F7" w:rsidRPr="00D348F8">
        <w:rPr>
          <w:rFonts w:ascii="Times New Roman" w:hAnsi="Times New Roman" w:cs="Times New Roman"/>
          <w:lang w:val="en-GB"/>
        </w:rPr>
        <w:t xml:space="preserve">cultured from systematically obtained samples considered positive for </w:t>
      </w:r>
      <w:r w:rsidRPr="00D348F8">
        <w:rPr>
          <w:rFonts w:ascii="Times New Roman" w:hAnsi="Times New Roman" w:cs="Times New Roman"/>
          <w:lang w:val="en-GB"/>
        </w:rPr>
        <w:t xml:space="preserve">UTI in acutely unwell pre-school children presenting to primary care. </w:t>
      </w:r>
    </w:p>
    <w:p w14:paraId="6F0177EF" w14:textId="77777777" w:rsidR="005A5FFA" w:rsidRPr="00D348F8" w:rsidRDefault="005A5FFA" w:rsidP="005A5FFA">
      <w:pPr>
        <w:spacing w:line="480" w:lineRule="auto"/>
        <w:outlineLvl w:val="0"/>
        <w:rPr>
          <w:rFonts w:ascii="Times New Roman" w:hAnsi="Times New Roman" w:cs="Times New Roman"/>
          <w:b/>
          <w:lang w:val="en-GB"/>
        </w:rPr>
      </w:pPr>
    </w:p>
    <w:p w14:paraId="2662EE95" w14:textId="77777777" w:rsidR="001607F9" w:rsidRPr="00D348F8" w:rsidRDefault="001607F9" w:rsidP="005A5FFA">
      <w:pPr>
        <w:spacing w:line="480" w:lineRule="auto"/>
        <w:outlineLvl w:val="0"/>
        <w:rPr>
          <w:rFonts w:ascii="Times New Roman" w:hAnsi="Times New Roman" w:cs="Times New Roman"/>
          <w:b/>
          <w:lang w:val="en-GB"/>
        </w:rPr>
      </w:pPr>
      <w:r w:rsidRPr="00D348F8">
        <w:rPr>
          <w:rFonts w:ascii="Times New Roman" w:hAnsi="Times New Roman" w:cs="Times New Roman"/>
          <w:b/>
          <w:lang w:val="en-GB"/>
        </w:rPr>
        <w:t>Methods</w:t>
      </w:r>
    </w:p>
    <w:p w14:paraId="3C678D31" w14:textId="77777777" w:rsidR="001607F9" w:rsidRPr="00D348F8" w:rsidRDefault="001607F9" w:rsidP="005A5FFA">
      <w:pPr>
        <w:spacing w:line="480" w:lineRule="auto"/>
        <w:rPr>
          <w:rFonts w:ascii="Times New Roman" w:hAnsi="Times New Roman" w:cs="Times New Roman"/>
          <w:b/>
          <w:lang w:val="en-GB"/>
        </w:rPr>
      </w:pPr>
    </w:p>
    <w:p w14:paraId="6BA05A14" w14:textId="77777777" w:rsidR="001607F9" w:rsidRPr="00D348F8" w:rsidRDefault="00B32FF9" w:rsidP="005A5FFA">
      <w:pPr>
        <w:spacing w:line="480" w:lineRule="auto"/>
        <w:outlineLvl w:val="0"/>
        <w:rPr>
          <w:rFonts w:ascii="Times New Roman" w:hAnsi="Times New Roman" w:cs="Times New Roman"/>
          <w:b/>
          <w:i/>
          <w:lang w:val="en-GB"/>
        </w:rPr>
      </w:pPr>
      <w:r w:rsidRPr="00D348F8">
        <w:rPr>
          <w:rFonts w:ascii="Times New Roman" w:hAnsi="Times New Roman" w:cs="Times New Roman"/>
          <w:b/>
          <w:i/>
          <w:lang w:val="en-GB"/>
        </w:rPr>
        <w:t>Samples submitted during the course of routine care</w:t>
      </w:r>
    </w:p>
    <w:p w14:paraId="01ACA3D6" w14:textId="574C4F6D" w:rsidR="001607F9" w:rsidRPr="00D348F8" w:rsidRDefault="001607F9" w:rsidP="005A5FFA">
      <w:pPr>
        <w:pStyle w:val="Default"/>
        <w:spacing w:line="480" w:lineRule="auto"/>
        <w:rPr>
          <w:rFonts w:ascii="Times New Roman" w:hAnsi="Times New Roman" w:cs="Times New Roman"/>
        </w:rPr>
      </w:pPr>
      <w:r w:rsidRPr="00D348F8">
        <w:rPr>
          <w:rFonts w:ascii="Times New Roman" w:hAnsi="Times New Roman" w:cs="Times New Roman"/>
        </w:rPr>
        <w:lastRenderedPageBreak/>
        <w:t xml:space="preserve">Antimicrobial susceptibility data for urines submitted to microbiology laboratories across Wales in 2011 was extracted from </w:t>
      </w:r>
      <w:proofErr w:type="spellStart"/>
      <w:r w:rsidRPr="00D348F8">
        <w:rPr>
          <w:rFonts w:ascii="Times New Roman" w:hAnsi="Times New Roman" w:cs="Times New Roman"/>
        </w:rPr>
        <w:t>DataStore</w:t>
      </w:r>
      <w:proofErr w:type="spellEnd"/>
      <w:r w:rsidRPr="00D348F8">
        <w:rPr>
          <w:rFonts w:ascii="Times New Roman" w:hAnsi="Times New Roman" w:cs="Times New Roman"/>
        </w:rPr>
        <w:t xml:space="preserve">, a data repository that extracts all results from the laboratory information management systems into a common searchable format. </w:t>
      </w:r>
      <w:proofErr w:type="spellStart"/>
      <w:r w:rsidRPr="00D348F8">
        <w:rPr>
          <w:rFonts w:ascii="Times New Roman" w:hAnsi="Times New Roman" w:cs="Times New Roman"/>
        </w:rPr>
        <w:t>DataStore</w:t>
      </w:r>
      <w:proofErr w:type="spellEnd"/>
      <w:r w:rsidRPr="00D348F8">
        <w:rPr>
          <w:rFonts w:ascii="Times New Roman" w:hAnsi="Times New Roman" w:cs="Times New Roman"/>
        </w:rPr>
        <w:t xml:space="preserve"> was searched for all urines submitted from general practice from children in the first five years of life with an </w:t>
      </w:r>
      <w:r w:rsidR="00815A55" w:rsidRPr="00D348F8">
        <w:rPr>
          <w:rFonts w:ascii="Times New Roman" w:hAnsi="Times New Roman" w:cs="Times New Roman"/>
          <w:i/>
        </w:rPr>
        <w:t>E. coli</w:t>
      </w:r>
      <w:r w:rsidRPr="00D348F8">
        <w:rPr>
          <w:rFonts w:ascii="Times New Roman" w:hAnsi="Times New Roman" w:cs="Times New Roman"/>
        </w:rPr>
        <w:t xml:space="preserve"> UTI (identified directly using UTI Chromogenic agar) that had susceptibility testing performed from any of the 10 laboratories in Wales. </w:t>
      </w:r>
      <w:r w:rsidR="006B0FE1" w:rsidRPr="00D348F8">
        <w:rPr>
          <w:rFonts w:ascii="Times New Roman" w:hAnsi="Times New Roman" w:cs="Times New Roman"/>
        </w:rPr>
        <w:t>Culture and suscep</w:t>
      </w:r>
      <w:r w:rsidR="00FB73D0" w:rsidRPr="00D348F8">
        <w:rPr>
          <w:rFonts w:ascii="Times New Roman" w:hAnsi="Times New Roman" w:cs="Times New Roman"/>
        </w:rPr>
        <w:t>tibilities were performed using</w:t>
      </w:r>
      <w:r w:rsidR="006B0FE1" w:rsidRPr="00D348F8">
        <w:rPr>
          <w:rFonts w:ascii="Times New Roman" w:hAnsi="Times New Roman" w:cs="Times New Roman"/>
        </w:rPr>
        <w:t xml:space="preserve"> common </w:t>
      </w:r>
      <w:r w:rsidR="00763F97" w:rsidRPr="00D348F8">
        <w:rPr>
          <w:rFonts w:ascii="Times New Roman" w:hAnsi="Times New Roman" w:cs="Times New Roman"/>
        </w:rPr>
        <w:t>standard operating procedures</w:t>
      </w:r>
      <w:r w:rsidR="007400ED" w:rsidRPr="00D348F8">
        <w:rPr>
          <w:rFonts w:ascii="Times New Roman" w:hAnsi="Times New Roman" w:cs="Times New Roman"/>
        </w:rPr>
        <w:t>, based</w:t>
      </w:r>
      <w:r w:rsidR="006B0FE1" w:rsidRPr="00D348F8">
        <w:rPr>
          <w:rFonts w:ascii="Times New Roman" w:hAnsi="Times New Roman" w:cs="Times New Roman"/>
        </w:rPr>
        <w:t xml:space="preserve"> on</w:t>
      </w:r>
      <w:r w:rsidRPr="00D348F8">
        <w:rPr>
          <w:rFonts w:ascii="Times New Roman" w:hAnsi="Times New Roman" w:cs="Times New Roman"/>
        </w:rPr>
        <w:t xml:space="preserve"> the National Standard Method (BSOP 41).</w:t>
      </w:r>
      <w:r w:rsidR="00FB34F4" w:rsidRPr="00D348F8">
        <w:rPr>
          <w:rFonts w:ascii="Times New Roman" w:hAnsi="Times New Roman" w:cs="Times New Roman"/>
        </w:rPr>
        <w:fldChar w:fldCharType="begin"/>
      </w:r>
      <w:r w:rsidR="007D43DC" w:rsidRPr="00D348F8">
        <w:rPr>
          <w:rFonts w:ascii="Times New Roman" w:hAnsi="Times New Roman" w:cs="Times New Roman"/>
        </w:rPr>
        <w:instrText xml:space="preserve"> ADDIN EN.CITE &lt;EndNote&gt;&lt;Cite&gt;&lt;Author&gt;HPA&lt;/Author&gt;&lt;Year&gt;2012. [cited 2012]; Available from: http://www.hpa.org.uk/webc/HPAwebFile/HPAweb_C/1317132858791&lt;/Year&gt;&lt;RecNum&gt;504&lt;/RecNum&gt;&lt;DisplayText&gt;(10)&lt;/DisplayText&gt;&lt;record&gt;&lt;rec-number&gt;504&lt;/rec-number&gt;&lt;foreign-keys&gt;&lt;key app="EN" db-id="90exf5z9rvrz2yersrppfstqrdx2sxw5psze" timestamp="1354823936"&gt;504&lt;/key&gt;&lt;/foreign-keys&gt;&lt;ref-type name="Report"&gt;27&lt;/ref-type&gt;&lt;contributors&gt;&lt;authors&gt;&lt;author&gt;HPA&lt;/author&gt;&lt;/authors&gt;&lt;/contributors&gt;&lt;titles&gt;&lt;title&gt;UK Standards for Microbiology Investigations: Investigation of Urine&lt;/title&gt;&lt;/titles&gt;&lt;volume&gt;2012&lt;/volume&gt;&lt;dates&gt;&lt;year&gt;2012. [cited 2012]; Available from: http://www.hpa.org.uk/webc/HPAwebFile/HPAweb_C/1317132858791&lt;/year&gt;&lt;/dates&gt;&lt;pub-location&gt;London&lt;/pub-location&gt;&lt;publisher&gt;Health Protection Agency&lt;/publisher&gt;&lt;urls&gt;&lt;related-urls&gt;&lt;url&gt;http://www.hpa.org.uk/webc/HPAwebFile/HPAweb_C/1317132858791&lt;/url&gt;&lt;/related-urls&gt;&lt;/urls&gt;&lt;/record&gt;&lt;/Cite&gt;&lt;/EndNote&gt;</w:instrText>
      </w:r>
      <w:r w:rsidR="00FB34F4" w:rsidRPr="00D348F8">
        <w:rPr>
          <w:rFonts w:ascii="Times New Roman" w:hAnsi="Times New Roman" w:cs="Times New Roman"/>
        </w:rPr>
        <w:fldChar w:fldCharType="separate"/>
      </w:r>
      <w:r w:rsidR="007D43DC" w:rsidRPr="00734E51">
        <w:rPr>
          <w:rFonts w:ascii="Times New Roman" w:hAnsi="Times New Roman" w:cs="Times New Roman"/>
        </w:rPr>
        <w:t>(</w:t>
      </w:r>
      <w:hyperlink w:anchor="_ENREF_10" w:tooltip="HPA, 2012. [cited 2012]; Available from: http://www.hpa.org.uk/webc/HPAwebFile/HPAweb_C/1317132858791 #504" w:history="1">
        <w:r w:rsidR="00612B01" w:rsidRPr="00734E51">
          <w:rPr>
            <w:rFonts w:ascii="Times New Roman" w:hAnsi="Times New Roman" w:cs="Times New Roman"/>
          </w:rPr>
          <w:t>10</w:t>
        </w:r>
      </w:hyperlink>
      <w:r w:rsidR="007D43DC" w:rsidRPr="00734E51">
        <w:rPr>
          <w:rFonts w:ascii="Times New Roman" w:hAnsi="Times New Roman" w:cs="Times New Roman"/>
        </w:rPr>
        <w:t>)</w:t>
      </w:r>
      <w:r w:rsidR="00FB34F4" w:rsidRPr="00D348F8">
        <w:rPr>
          <w:rFonts w:ascii="Times New Roman" w:hAnsi="Times New Roman" w:cs="Times New Roman"/>
        </w:rPr>
        <w:fldChar w:fldCharType="end"/>
      </w:r>
      <w:r w:rsidRPr="00D348F8">
        <w:rPr>
          <w:rFonts w:ascii="Times New Roman" w:hAnsi="Times New Roman" w:cs="Times New Roman"/>
        </w:rPr>
        <w:t xml:space="preserve"> </w:t>
      </w:r>
      <w:r w:rsidR="00FB73D0" w:rsidRPr="00D348F8">
        <w:rPr>
          <w:rFonts w:ascii="Times New Roman" w:hAnsi="Times New Roman" w:cs="Times New Roman"/>
        </w:rPr>
        <w:t>Susceptibilities were performed by BSAC disc diffusion tests</w:t>
      </w:r>
      <w:proofErr w:type="gramStart"/>
      <w:r w:rsidR="00FB73D0" w:rsidRPr="00D348F8">
        <w:rPr>
          <w:rFonts w:ascii="Times New Roman" w:hAnsi="Times New Roman" w:cs="Times New Roman"/>
        </w:rPr>
        <w:t>.(</w:t>
      </w:r>
      <w:proofErr w:type="gramEnd"/>
      <w:r w:rsidR="00FB73D0" w:rsidRPr="00D348F8">
        <w:rPr>
          <w:rFonts w:ascii="Times New Roman" w:hAnsi="Times New Roman" w:cs="Times New Roman"/>
        </w:rPr>
        <w:t xml:space="preserve">12) </w:t>
      </w:r>
      <w:r w:rsidRPr="00D348F8">
        <w:rPr>
          <w:rFonts w:ascii="Times New Roman" w:hAnsi="Times New Roman" w:cs="Times New Roman"/>
        </w:rPr>
        <w:t xml:space="preserve">The data do not differentiate between mid-stream, clean-catch, nappy pad or catheter urines. Data from duplicate isolates </w:t>
      </w:r>
      <w:r w:rsidR="00E03E53" w:rsidRPr="00D348F8">
        <w:rPr>
          <w:rFonts w:ascii="Times New Roman" w:hAnsi="Times New Roman" w:cs="Times New Roman"/>
        </w:rPr>
        <w:t xml:space="preserve">were </w:t>
      </w:r>
      <w:r w:rsidRPr="00D348F8">
        <w:rPr>
          <w:rFonts w:ascii="Times New Roman" w:hAnsi="Times New Roman" w:cs="Times New Roman"/>
        </w:rPr>
        <w:t xml:space="preserve">removed prior to analysis. Organisms from the same patient, with the same identification and susceptibility pattern isolated ≤ 91 days from the date of the initial isolate were excluded. To reduce the effect of </w:t>
      </w:r>
      <w:r w:rsidR="004C2ED0" w:rsidRPr="00D348F8">
        <w:rPr>
          <w:rFonts w:ascii="Times New Roman" w:hAnsi="Times New Roman" w:cs="Times New Roman"/>
        </w:rPr>
        <w:t>variable susceptibility testing rates to different antibiotics</w:t>
      </w:r>
      <w:r w:rsidRPr="00D348F8">
        <w:rPr>
          <w:rFonts w:ascii="Times New Roman" w:hAnsi="Times New Roman" w:cs="Times New Roman"/>
        </w:rPr>
        <w:t xml:space="preserve">, individual hospital or laboratory </w:t>
      </w:r>
      <w:r w:rsidR="00387DF5" w:rsidRPr="00D348F8">
        <w:rPr>
          <w:rFonts w:ascii="Times New Roman" w:hAnsi="Times New Roman" w:cs="Times New Roman"/>
        </w:rPr>
        <w:t>sensitivities</w:t>
      </w:r>
      <w:r w:rsidRPr="00D348F8">
        <w:rPr>
          <w:rFonts w:ascii="Times New Roman" w:hAnsi="Times New Roman" w:cs="Times New Roman"/>
        </w:rPr>
        <w:t xml:space="preserve"> are only presented for organisms where ≥80% of such isolates from the given sample type was tested and where the number of isolates tested exceeds 10. In the case of first generation </w:t>
      </w:r>
      <w:proofErr w:type="spellStart"/>
      <w:r w:rsidRPr="00D348F8">
        <w:rPr>
          <w:rFonts w:ascii="Times New Roman" w:hAnsi="Times New Roman" w:cs="Times New Roman"/>
        </w:rPr>
        <w:t>cephalosporins</w:t>
      </w:r>
      <w:proofErr w:type="spellEnd"/>
      <w:r w:rsidRPr="00D348F8">
        <w:rPr>
          <w:rFonts w:ascii="Times New Roman" w:hAnsi="Times New Roman" w:cs="Times New Roman"/>
        </w:rPr>
        <w:t xml:space="preserve">, </w:t>
      </w:r>
      <w:r w:rsidR="00785A31" w:rsidRPr="00D348F8">
        <w:rPr>
          <w:rFonts w:ascii="Times New Roman" w:hAnsi="Times New Roman" w:cs="Times New Roman"/>
        </w:rPr>
        <w:t xml:space="preserve">eight </w:t>
      </w:r>
      <w:r w:rsidRPr="00D348F8">
        <w:rPr>
          <w:rFonts w:ascii="Times New Roman" w:hAnsi="Times New Roman" w:cs="Times New Roman"/>
        </w:rPr>
        <w:t xml:space="preserve">laboratories reported cephalexin and </w:t>
      </w:r>
      <w:r w:rsidR="00785A31" w:rsidRPr="00D348F8">
        <w:rPr>
          <w:rFonts w:ascii="Times New Roman" w:hAnsi="Times New Roman" w:cs="Times New Roman"/>
        </w:rPr>
        <w:t xml:space="preserve">two </w:t>
      </w:r>
      <w:r w:rsidRPr="00D348F8">
        <w:rPr>
          <w:rFonts w:ascii="Times New Roman" w:hAnsi="Times New Roman" w:cs="Times New Roman"/>
        </w:rPr>
        <w:t xml:space="preserve">laboratories </w:t>
      </w:r>
      <w:proofErr w:type="spellStart"/>
      <w:r w:rsidRPr="00D348F8">
        <w:rPr>
          <w:rFonts w:ascii="Times New Roman" w:hAnsi="Times New Roman" w:cs="Times New Roman"/>
        </w:rPr>
        <w:t>cefradine</w:t>
      </w:r>
      <w:proofErr w:type="spellEnd"/>
      <w:r w:rsidRPr="00D348F8">
        <w:rPr>
          <w:rFonts w:ascii="Times New Roman" w:hAnsi="Times New Roman" w:cs="Times New Roman"/>
        </w:rPr>
        <w:t>. For the purposes of this analysis the results have been combined and reported as cephalexin.</w:t>
      </w:r>
      <w:r w:rsidR="00763F97" w:rsidRPr="00D348F8">
        <w:rPr>
          <w:rFonts w:ascii="Times New Roman" w:hAnsi="Times New Roman" w:cs="Times New Roman"/>
        </w:rPr>
        <w:t xml:space="preserve">  </w:t>
      </w:r>
      <w:r w:rsidR="00D76022" w:rsidRPr="00D348F8">
        <w:rPr>
          <w:rFonts w:ascii="Times New Roman" w:hAnsi="Times New Roman" w:cs="Times New Roman"/>
        </w:rPr>
        <w:t xml:space="preserve">For </w:t>
      </w:r>
      <w:r w:rsidR="00763F97" w:rsidRPr="00D348F8">
        <w:rPr>
          <w:rFonts w:ascii="Times New Roman" w:hAnsi="Times New Roman" w:cs="Times New Roman"/>
        </w:rPr>
        <w:t>co-</w:t>
      </w:r>
      <w:proofErr w:type="spellStart"/>
      <w:r w:rsidR="00763F97" w:rsidRPr="00D348F8">
        <w:rPr>
          <w:rFonts w:ascii="Times New Roman" w:hAnsi="Times New Roman" w:cs="Times New Roman"/>
        </w:rPr>
        <w:t>amoxiclav</w:t>
      </w:r>
      <w:proofErr w:type="spellEnd"/>
      <w:r w:rsidR="00763F97" w:rsidRPr="00D348F8">
        <w:rPr>
          <w:rFonts w:ascii="Times New Roman" w:hAnsi="Times New Roman" w:cs="Times New Roman"/>
        </w:rPr>
        <w:t xml:space="preserve"> </w:t>
      </w:r>
      <w:r w:rsidR="00D76022" w:rsidRPr="00D348F8">
        <w:rPr>
          <w:rFonts w:ascii="Times New Roman" w:hAnsi="Times New Roman" w:cs="Times New Roman"/>
        </w:rPr>
        <w:t xml:space="preserve">a systemic </w:t>
      </w:r>
      <w:r w:rsidR="00763F97" w:rsidRPr="00D348F8">
        <w:rPr>
          <w:rFonts w:ascii="Times New Roman" w:hAnsi="Times New Roman" w:cs="Times New Roman"/>
        </w:rPr>
        <w:t xml:space="preserve">breakpoint (BP) </w:t>
      </w:r>
      <w:r w:rsidR="00D76022" w:rsidRPr="00D348F8">
        <w:rPr>
          <w:rFonts w:ascii="Times New Roman" w:hAnsi="Times New Roman" w:cs="Times New Roman"/>
        </w:rPr>
        <w:t>was used for interpretation</w:t>
      </w:r>
      <w:r w:rsidR="00763F97" w:rsidRPr="00D348F8">
        <w:rPr>
          <w:rFonts w:ascii="Times New Roman" w:hAnsi="Times New Roman" w:cs="Times New Roman"/>
        </w:rPr>
        <w:t>.</w:t>
      </w:r>
      <w:r w:rsidR="00B01A88" w:rsidRPr="00D348F8">
        <w:rPr>
          <w:rFonts w:ascii="Times New Roman" w:hAnsi="Times New Roman" w:cs="Times New Roman"/>
        </w:rPr>
        <w:t xml:space="preserve"> We were not able to obtain culture results for urine submitted UK wide. </w:t>
      </w:r>
    </w:p>
    <w:p w14:paraId="5715F1E0" w14:textId="77777777" w:rsidR="001607F9" w:rsidRPr="00D348F8" w:rsidRDefault="001607F9" w:rsidP="005A5FFA">
      <w:pPr>
        <w:spacing w:line="480" w:lineRule="auto"/>
        <w:rPr>
          <w:rFonts w:ascii="Times New Roman" w:hAnsi="Times New Roman" w:cs="Times New Roman"/>
          <w:lang w:val="en-GB"/>
        </w:rPr>
      </w:pPr>
    </w:p>
    <w:p w14:paraId="7FED13DC" w14:textId="7B198615" w:rsidR="00B32FF9" w:rsidRPr="00D348F8" w:rsidRDefault="00B32FF9" w:rsidP="00B32FF9">
      <w:pPr>
        <w:spacing w:line="480" w:lineRule="auto"/>
        <w:outlineLvl w:val="0"/>
        <w:rPr>
          <w:rFonts w:ascii="Times New Roman" w:hAnsi="Times New Roman" w:cs="Times New Roman"/>
          <w:b/>
          <w:i/>
          <w:lang w:val="en-GB"/>
        </w:rPr>
      </w:pPr>
      <w:r w:rsidRPr="00D348F8">
        <w:rPr>
          <w:rFonts w:ascii="Times New Roman" w:hAnsi="Times New Roman" w:cs="Times New Roman"/>
          <w:b/>
          <w:i/>
          <w:lang w:val="en-GB"/>
        </w:rPr>
        <w:t>Samples from children undergoing s</w:t>
      </w:r>
      <w:r w:rsidR="00D76022" w:rsidRPr="00D348F8">
        <w:rPr>
          <w:rFonts w:ascii="Times New Roman" w:hAnsi="Times New Roman" w:cs="Times New Roman"/>
          <w:b/>
          <w:i/>
          <w:lang w:val="en-GB"/>
        </w:rPr>
        <w:t>y</w:t>
      </w:r>
      <w:r w:rsidRPr="00D348F8">
        <w:rPr>
          <w:rFonts w:ascii="Times New Roman" w:hAnsi="Times New Roman" w:cs="Times New Roman"/>
          <w:b/>
          <w:i/>
          <w:lang w:val="en-GB"/>
        </w:rPr>
        <w:t>st</w:t>
      </w:r>
      <w:r w:rsidR="00D76022" w:rsidRPr="00D348F8">
        <w:rPr>
          <w:rFonts w:ascii="Times New Roman" w:hAnsi="Times New Roman" w:cs="Times New Roman"/>
          <w:b/>
          <w:i/>
          <w:lang w:val="en-GB"/>
        </w:rPr>
        <w:t>e</w:t>
      </w:r>
      <w:r w:rsidRPr="00D348F8">
        <w:rPr>
          <w:rFonts w:ascii="Times New Roman" w:hAnsi="Times New Roman" w:cs="Times New Roman"/>
          <w:b/>
          <w:i/>
          <w:lang w:val="en-GB"/>
        </w:rPr>
        <w:t>m</w:t>
      </w:r>
      <w:r w:rsidR="00D76022" w:rsidRPr="00D348F8">
        <w:rPr>
          <w:rFonts w:ascii="Times New Roman" w:hAnsi="Times New Roman" w:cs="Times New Roman"/>
          <w:b/>
          <w:i/>
          <w:lang w:val="en-GB"/>
        </w:rPr>
        <w:t>a</w:t>
      </w:r>
      <w:r w:rsidRPr="00D348F8">
        <w:rPr>
          <w:rFonts w:ascii="Times New Roman" w:hAnsi="Times New Roman" w:cs="Times New Roman"/>
          <w:b/>
          <w:i/>
          <w:lang w:val="en-GB"/>
        </w:rPr>
        <w:t>tic urine sampling (The DUTY Cohort)</w:t>
      </w:r>
    </w:p>
    <w:p w14:paraId="451FEEEF" w14:textId="258FF1A6" w:rsidR="001607F9" w:rsidRPr="00D348F8" w:rsidRDefault="001607F9" w:rsidP="00B32FF9">
      <w:pPr>
        <w:spacing w:line="480" w:lineRule="auto"/>
        <w:outlineLvl w:val="0"/>
        <w:rPr>
          <w:rFonts w:ascii="Times New Roman" w:hAnsi="Times New Roman" w:cs="Times New Roman"/>
          <w:lang w:val="en-GB"/>
        </w:rPr>
      </w:pPr>
      <w:r w:rsidRPr="00D348F8">
        <w:rPr>
          <w:rFonts w:ascii="Times New Roman" w:hAnsi="Times New Roman" w:cs="Times New Roman"/>
          <w:lang w:val="en-GB"/>
        </w:rPr>
        <w:t xml:space="preserve">The Diagnosis of Urinary Tract infection in Young </w:t>
      </w:r>
      <w:r w:rsidR="00E306A8" w:rsidRPr="00D348F8">
        <w:rPr>
          <w:rFonts w:ascii="Times New Roman" w:hAnsi="Times New Roman" w:cs="Times New Roman"/>
          <w:lang w:val="en-GB"/>
        </w:rPr>
        <w:t xml:space="preserve">children </w:t>
      </w:r>
      <w:r w:rsidRPr="00D348F8">
        <w:rPr>
          <w:rFonts w:ascii="Times New Roman" w:hAnsi="Times New Roman" w:cs="Times New Roman"/>
          <w:lang w:val="en-GB"/>
        </w:rPr>
        <w:t xml:space="preserve">(DUTY) study was a multicentre, prospective, diagnostic cohort study that recruited children aged under </w:t>
      </w:r>
      <w:r w:rsidRPr="00D348F8">
        <w:rPr>
          <w:rFonts w:ascii="Times New Roman" w:hAnsi="Times New Roman" w:cs="Times New Roman"/>
          <w:lang w:val="en-GB"/>
        </w:rPr>
        <w:lastRenderedPageBreak/>
        <w:t>five years, between April 2010 to April 2012.</w:t>
      </w:r>
      <w:r w:rsidR="00FB34F4" w:rsidRPr="00D348F8">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&lt;EndNote&gt;&lt;Cite&gt;&lt;Author&gt;Downing&lt;/Author&gt;&lt;Year&gt;2012&lt;/Year&gt;&lt;RecNum&gt;500&lt;/RecNum&gt;&lt;DisplayText&gt;(11)&lt;/DisplayText&gt;&lt;record&gt;&lt;rec-number&gt;500&lt;/rec-number&gt;&lt;foreign-keys&gt;&lt;key app="EN" db-id="90exf5z9rvrz2yersrppfstqrdx2sxw5psze" timestamp="1354819474"&gt;500&lt;/key&gt;&lt;/foreign-keys&gt;&lt;ref-type name="Journal Article"&gt;17&lt;/ref-type&gt;&lt;contributors&gt;&lt;authors&gt;&lt;author&gt;Downing, Harriet&lt;/author&gt;&lt;author&gt;Jones, Emma&lt;/author&gt;&lt;author&gt;Gal, Micaela&lt;/author&gt;&lt;author&gt;Waldron, Cherry&lt;/author&gt;&lt;author&gt;Sterne, Jonathan&lt;/author&gt;&lt;author&gt;Hollingworth, William&lt;/author&gt;&lt;author&gt;Hood, Kerenza&lt;/author&gt;&lt;author&gt;Delaney, Brendan&lt;/author&gt;&lt;author&gt;Little, Paul&lt;/author&gt;&lt;author&gt;Howe, Robin&lt;/author&gt;&lt;author&gt;Wootton, Mandy&lt;/author&gt;&lt;author&gt;MacGowan, Alastair&lt;/author&gt;&lt;author&gt;Butler, Christopher&lt;/author&gt;&lt;author&gt;Hay, Alastair&lt;/author&gt;&lt;/authors&gt;&lt;/contributors&gt;&lt;titles&gt;&lt;title&gt;The diagnosis of urinary tract infections in young children (DUTY): protocol for a diagnostic and prospective observational study to derive and validate a clinical algorithm for the diagnosis of UTI in children presenting to primary care with an acute illness&lt;/title&gt;&lt;secondary-title&gt;BMC Infectious Diseases&lt;/secondary-title&gt;&lt;/titles&gt;&lt;periodical&gt;&lt;full-title&gt;BMC Infectious Diseases&lt;/full-title&gt;&lt;/periodical&gt;&lt;pages&gt;158&lt;/pages&gt;&lt;volume&gt;12&lt;/volume&gt;&lt;number&gt;1&lt;/number&gt;&lt;dates&gt;&lt;year&gt;2012&lt;/year&gt;&lt;/dates&gt;&lt;isbn&gt;1471-2334&lt;/isbn&gt;&lt;urls&gt;&lt;related-urls&gt;&lt;url&gt;http://dx.doi.org/10.1186/1471-2334-12-158&lt;/url&gt;&lt;/related-urls&gt;&lt;/urls&gt;&lt;electronic-resource-num&gt;citeulike-article-id:10949446&amp;#xD;doi: 10.1186/1471-2334-12-158&lt;/electronic-resource-num&gt;&lt;/record&gt;&lt;/Cite&gt;&lt;/EndNote&gt;</w:instrText>
      </w:r>
      <w:r w:rsidR="00FB34F4" w:rsidRPr="00D348F8">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11" w:tooltip="Downing, 2012 #500" w:history="1">
        <w:r w:rsidR="00612B01" w:rsidRPr="00734E51">
          <w:rPr>
            <w:rFonts w:ascii="Times New Roman" w:hAnsi="Times New Roman" w:cs="Times New Roman"/>
            <w:lang w:val="en-GB"/>
          </w:rPr>
          <w:t>11</w:t>
        </w:r>
      </w:hyperlink>
      <w:r w:rsidR="007D43DC" w:rsidRPr="00734E51">
        <w:rPr>
          <w:rFonts w:ascii="Times New Roman" w:hAnsi="Times New Roman" w:cs="Times New Roman"/>
          <w:lang w:val="en-GB"/>
        </w:rPr>
        <w:t>)</w:t>
      </w:r>
      <w:r w:rsidR="00FB34F4" w:rsidRPr="00D348F8">
        <w:rPr>
          <w:rFonts w:ascii="Times New Roman" w:hAnsi="Times New Roman" w:cs="Times New Roman"/>
          <w:lang w:val="en-GB"/>
        </w:rPr>
        <w:fldChar w:fldCharType="end"/>
      </w:r>
      <w:r w:rsidRPr="00D348F8">
        <w:rPr>
          <w:rFonts w:ascii="Times New Roman" w:hAnsi="Times New Roman" w:cs="Times New Roman"/>
          <w:lang w:val="en-GB"/>
        </w:rPr>
        <w:t xml:space="preserve"> Multi-centre ethical approval was granted by the South West Southmead Research Ethics Committee (previously Southmead Research Ethics Committee, then South West 4 REC), Ref #09/H0102/64.</w:t>
      </w:r>
    </w:p>
    <w:p w14:paraId="751E2528" w14:textId="77777777" w:rsidR="001607F9" w:rsidRPr="00D348F8" w:rsidRDefault="001607F9" w:rsidP="005A5FFA">
      <w:pPr>
        <w:spacing w:line="480" w:lineRule="auto"/>
        <w:rPr>
          <w:rFonts w:ascii="Times New Roman" w:hAnsi="Times New Roman" w:cs="Times New Roman"/>
          <w:lang w:val="en-GB"/>
        </w:rPr>
      </w:pPr>
    </w:p>
    <w:p w14:paraId="208463AC" w14:textId="77777777" w:rsidR="001607F9" w:rsidRPr="00D348F8" w:rsidRDefault="00FB73D0" w:rsidP="005A5FFA">
      <w:pPr>
        <w:spacing w:line="480" w:lineRule="auto"/>
        <w:outlineLvl w:val="0"/>
        <w:rPr>
          <w:rFonts w:ascii="Times New Roman" w:hAnsi="Times New Roman" w:cs="Times New Roman"/>
          <w:b/>
          <w:i/>
          <w:lang w:val="en-GB"/>
        </w:rPr>
      </w:pPr>
      <w:r w:rsidRPr="00D348F8">
        <w:rPr>
          <w:rFonts w:ascii="Times New Roman" w:hAnsi="Times New Roman" w:cs="Times New Roman"/>
          <w:b/>
          <w:i/>
          <w:lang w:val="en-GB"/>
        </w:rPr>
        <w:t xml:space="preserve">DUTY Cohort </w:t>
      </w:r>
      <w:r w:rsidR="001607F9" w:rsidRPr="00D348F8">
        <w:rPr>
          <w:rFonts w:ascii="Times New Roman" w:hAnsi="Times New Roman" w:cs="Times New Roman"/>
          <w:b/>
          <w:i/>
          <w:lang w:val="en-GB"/>
        </w:rPr>
        <w:t>Participants</w:t>
      </w:r>
    </w:p>
    <w:p w14:paraId="11F085F1" w14:textId="37865654"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 xml:space="preserve">Children presenting </w:t>
      </w:r>
      <w:r w:rsidR="00A65944" w:rsidRPr="00D348F8">
        <w:rPr>
          <w:rFonts w:ascii="Times New Roman" w:hAnsi="Times New Roman" w:cs="Times New Roman"/>
          <w:lang w:val="en-GB"/>
        </w:rPr>
        <w:t xml:space="preserve">unwell </w:t>
      </w:r>
      <w:r w:rsidRPr="00D348F8">
        <w:rPr>
          <w:rFonts w:ascii="Times New Roman" w:hAnsi="Times New Roman" w:cs="Times New Roman"/>
          <w:lang w:val="en-GB"/>
        </w:rPr>
        <w:t>to primary care with an acute illness episode of up to 28 days duration, even where the responsible clinician was confident of the diagnosis (e.g. a child with bronchiolitis)</w:t>
      </w:r>
      <w:r w:rsidR="00A65944" w:rsidRPr="00D348F8">
        <w:rPr>
          <w:rFonts w:ascii="Times New Roman" w:hAnsi="Times New Roman" w:cs="Times New Roman"/>
          <w:lang w:val="en-GB"/>
        </w:rPr>
        <w:t>, or with urinary symptoms,</w:t>
      </w:r>
      <w:r w:rsidRPr="00D348F8">
        <w:rPr>
          <w:rFonts w:ascii="Times New Roman" w:hAnsi="Times New Roman" w:cs="Times New Roman"/>
          <w:lang w:val="en-GB"/>
        </w:rPr>
        <w:t xml:space="preserve"> were eligible to take part in the study. </w:t>
      </w:r>
      <w:r w:rsidR="007F52F7" w:rsidRPr="00D348F8">
        <w:rPr>
          <w:rFonts w:ascii="Times New Roman" w:hAnsi="Times New Roman" w:cs="Times New Roman"/>
          <w:lang w:val="en-GB"/>
        </w:rPr>
        <w:t xml:space="preserve">The sample therefore included all </w:t>
      </w:r>
      <w:r w:rsidR="001D713D" w:rsidRPr="00D348F8">
        <w:rPr>
          <w:rFonts w:ascii="Times New Roman" w:hAnsi="Times New Roman" w:cs="Times New Roman"/>
          <w:lang w:val="en-GB"/>
        </w:rPr>
        <w:t>children</w:t>
      </w:r>
      <w:r w:rsidR="007F52F7" w:rsidRPr="00D348F8">
        <w:rPr>
          <w:rFonts w:ascii="Times New Roman" w:hAnsi="Times New Roman" w:cs="Times New Roman"/>
          <w:lang w:val="en-GB"/>
        </w:rPr>
        <w:t xml:space="preserve"> with an acute illness, not just those at high risk of UTI. </w:t>
      </w:r>
      <w:r w:rsidRPr="00D348F8">
        <w:rPr>
          <w:rFonts w:ascii="Times New Roman" w:hAnsi="Times New Roman" w:cs="Times New Roman"/>
          <w:lang w:val="en-GB"/>
        </w:rPr>
        <w:t xml:space="preserve">Children were excluded if: they were </w:t>
      </w:r>
      <w:proofErr w:type="gramStart"/>
      <w:r w:rsidR="00885FF7" w:rsidRPr="00D348F8">
        <w:rPr>
          <w:rFonts w:ascii="Times New Roman" w:hAnsi="Times New Roman" w:cs="Times New Roman"/>
          <w:lang w:val="en-GB"/>
        </w:rPr>
        <w:t xml:space="preserve">neither </w:t>
      </w:r>
      <w:r w:rsidRPr="00D348F8">
        <w:rPr>
          <w:rFonts w:ascii="Times New Roman" w:hAnsi="Times New Roman" w:cs="Times New Roman"/>
          <w:lang w:val="en-GB"/>
        </w:rPr>
        <w:t>constitutionally unwell (e.g. acute conjunctivitis only)</w:t>
      </w:r>
      <w:r w:rsidR="00885FF7" w:rsidRPr="00D348F8">
        <w:rPr>
          <w:rFonts w:ascii="Times New Roman" w:hAnsi="Times New Roman" w:cs="Times New Roman"/>
          <w:lang w:val="en-GB"/>
        </w:rPr>
        <w:t xml:space="preserve"> or</w:t>
      </w:r>
      <w:proofErr w:type="gramEnd"/>
      <w:r w:rsidR="00885FF7" w:rsidRPr="00D348F8">
        <w:rPr>
          <w:rFonts w:ascii="Times New Roman" w:hAnsi="Times New Roman" w:cs="Times New Roman"/>
          <w:lang w:val="en-GB"/>
        </w:rPr>
        <w:t xml:space="preserve"> </w:t>
      </w:r>
      <w:r w:rsidR="00E61BC5" w:rsidRPr="00D348F8">
        <w:rPr>
          <w:rFonts w:ascii="Times New Roman" w:hAnsi="Times New Roman" w:cs="Times New Roman"/>
          <w:lang w:val="en-GB"/>
        </w:rPr>
        <w:t xml:space="preserve">an absence of </w:t>
      </w:r>
      <w:r w:rsidR="00885FF7" w:rsidRPr="00D348F8">
        <w:rPr>
          <w:rFonts w:ascii="Times New Roman" w:hAnsi="Times New Roman" w:cs="Times New Roman"/>
          <w:lang w:val="en-GB"/>
        </w:rPr>
        <w:t>urinary symptoms</w:t>
      </w:r>
      <w:r w:rsidRPr="00D348F8">
        <w:rPr>
          <w:rFonts w:ascii="Times New Roman" w:hAnsi="Times New Roman" w:cs="Times New Roman"/>
          <w:lang w:val="en-GB"/>
        </w:rPr>
        <w:t>; they were known to have a neurogenic or surgically reconstructed bladder; they were using a permanent or intermittent urinary catheter; the main presenting problem was trauma; or antibiotics had been taken within seven days.</w:t>
      </w:r>
    </w:p>
    <w:p w14:paraId="534F3AD4" w14:textId="77777777" w:rsidR="005A5FFA" w:rsidRPr="00D348F8" w:rsidRDefault="005A5FFA" w:rsidP="005A5FFA">
      <w:pPr>
        <w:spacing w:line="480" w:lineRule="auto"/>
        <w:rPr>
          <w:rFonts w:ascii="Times New Roman" w:hAnsi="Times New Roman" w:cs="Times New Roman"/>
          <w:lang w:val="en-GB"/>
        </w:rPr>
      </w:pPr>
    </w:p>
    <w:p w14:paraId="2190AD69" w14:textId="215FFE9E" w:rsidR="001607F9" w:rsidRPr="00D348F8" w:rsidRDefault="00FB73D0" w:rsidP="005A5FFA">
      <w:pPr>
        <w:spacing w:line="480" w:lineRule="auto"/>
        <w:outlineLvl w:val="0"/>
        <w:rPr>
          <w:rFonts w:ascii="Times New Roman" w:hAnsi="Times New Roman" w:cs="Times New Roman"/>
          <w:b/>
          <w:i/>
          <w:lang w:val="en-GB"/>
        </w:rPr>
      </w:pPr>
      <w:r w:rsidRPr="00D348F8">
        <w:rPr>
          <w:rFonts w:ascii="Times New Roman" w:hAnsi="Times New Roman" w:cs="Times New Roman"/>
          <w:b/>
          <w:i/>
          <w:lang w:val="en-GB"/>
        </w:rPr>
        <w:t xml:space="preserve">DUTY </w:t>
      </w:r>
      <w:r w:rsidR="00E64078" w:rsidRPr="00D348F8">
        <w:rPr>
          <w:rFonts w:ascii="Times New Roman" w:hAnsi="Times New Roman" w:cs="Times New Roman"/>
          <w:b/>
          <w:i/>
          <w:lang w:val="en-GB"/>
        </w:rPr>
        <w:t>c</w:t>
      </w:r>
      <w:r w:rsidRPr="00D348F8">
        <w:rPr>
          <w:rFonts w:ascii="Times New Roman" w:hAnsi="Times New Roman" w:cs="Times New Roman"/>
          <w:b/>
          <w:i/>
          <w:lang w:val="en-GB"/>
        </w:rPr>
        <w:t xml:space="preserve">ohort </w:t>
      </w:r>
      <w:r w:rsidR="00E64078" w:rsidRPr="00D348F8">
        <w:rPr>
          <w:rFonts w:ascii="Times New Roman" w:hAnsi="Times New Roman" w:cs="Times New Roman"/>
          <w:b/>
          <w:i/>
          <w:lang w:val="en-GB"/>
        </w:rPr>
        <w:t>p</w:t>
      </w:r>
      <w:r w:rsidR="001607F9" w:rsidRPr="00D348F8">
        <w:rPr>
          <w:rFonts w:ascii="Times New Roman" w:hAnsi="Times New Roman" w:cs="Times New Roman"/>
          <w:b/>
          <w:i/>
          <w:lang w:val="en-GB"/>
        </w:rPr>
        <w:t>rocedure</w:t>
      </w:r>
    </w:p>
    <w:p w14:paraId="4659592E" w14:textId="118F92AE"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 xml:space="preserve">Urine samples were obtained by clean catch, where possible, for children who were toilet trained or for whom the parent </w:t>
      </w:r>
      <w:r w:rsidR="00B40505" w:rsidRPr="00D348F8">
        <w:rPr>
          <w:rFonts w:ascii="Times New Roman" w:hAnsi="Times New Roman" w:cs="Times New Roman"/>
          <w:lang w:val="en-GB"/>
        </w:rPr>
        <w:t xml:space="preserve">or DUTY Study Research Nurse </w:t>
      </w:r>
      <w:r w:rsidRPr="00D348F8">
        <w:rPr>
          <w:rFonts w:ascii="Times New Roman" w:hAnsi="Times New Roman" w:cs="Times New Roman"/>
          <w:lang w:val="en-GB"/>
        </w:rPr>
        <w:t>was happy to attempt collection. For children still using nappies (diapers) whose parents did not think clean catch would be successful, Newcastle Nappy Pads were used. Nappy pads were inserted into the nappy (diaper) then removed as soon as the child urinated to reduce the risk of contamination. Once the child had urinated the nappy pad was removed and the urine was extracted with a syringe into a sterile container.</w:t>
      </w:r>
    </w:p>
    <w:p w14:paraId="6CBF10DA" w14:textId="77777777" w:rsidR="001607F9" w:rsidRPr="00D348F8" w:rsidRDefault="001607F9" w:rsidP="005A5FFA">
      <w:pPr>
        <w:spacing w:line="480" w:lineRule="auto"/>
        <w:rPr>
          <w:rFonts w:ascii="Times New Roman" w:hAnsi="Times New Roman" w:cs="Times New Roman"/>
          <w:lang w:val="en-GB"/>
        </w:rPr>
      </w:pPr>
    </w:p>
    <w:p w14:paraId="78F65E8C" w14:textId="7672040A"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lastRenderedPageBreak/>
        <w:t xml:space="preserve">If it was not possible to obtain a sample before the child left the primary care site, the parent was given the necessary equipment and advice on taking the sample at home. They were given a labelled </w:t>
      </w:r>
      <w:proofErr w:type="spellStart"/>
      <w:r w:rsidRPr="00D348F8">
        <w:rPr>
          <w:rFonts w:ascii="Times New Roman" w:hAnsi="Times New Roman" w:cs="Times New Roman"/>
          <w:lang w:val="en-GB"/>
        </w:rPr>
        <w:t>Sterilin</w:t>
      </w:r>
      <w:proofErr w:type="spellEnd"/>
      <w:r w:rsidRPr="00D348F8">
        <w:rPr>
          <w:rFonts w:ascii="Times New Roman" w:hAnsi="Times New Roman" w:cs="Times New Roman"/>
          <w:lang w:val="en-GB"/>
        </w:rPr>
        <w:t xml:space="preserve">™ bottle into which to transfer the urine, and asked to write the time and date the sample was obtained. They were advised to store the sample in the </w:t>
      </w:r>
      <w:r w:rsidR="00FA6E2B" w:rsidRPr="00D348F8">
        <w:rPr>
          <w:rFonts w:ascii="Times New Roman" w:hAnsi="Times New Roman" w:cs="Times New Roman"/>
          <w:lang w:val="en-GB"/>
        </w:rPr>
        <w:t>refrigerator</w:t>
      </w:r>
      <w:r w:rsidRPr="00D348F8">
        <w:rPr>
          <w:rFonts w:ascii="Times New Roman" w:hAnsi="Times New Roman" w:cs="Times New Roman"/>
          <w:lang w:val="en-GB"/>
        </w:rPr>
        <w:t xml:space="preserve"> and return it to the primary care site </w:t>
      </w:r>
      <w:r w:rsidR="00B40505" w:rsidRPr="00D348F8">
        <w:rPr>
          <w:rFonts w:ascii="Times New Roman" w:hAnsi="Times New Roman" w:cs="Times New Roman"/>
          <w:lang w:val="en-GB"/>
        </w:rPr>
        <w:t>(directly or via collection by the DUTY Study Research Nurse/C</w:t>
      </w:r>
      <w:r w:rsidR="003D7EA2" w:rsidRPr="00D348F8">
        <w:rPr>
          <w:rFonts w:ascii="Times New Roman" w:hAnsi="Times New Roman" w:cs="Times New Roman"/>
          <w:lang w:val="en-GB"/>
        </w:rPr>
        <w:t xml:space="preserve">linical </w:t>
      </w:r>
      <w:r w:rsidR="00B40505" w:rsidRPr="00D348F8">
        <w:rPr>
          <w:rFonts w:ascii="Times New Roman" w:hAnsi="Times New Roman" w:cs="Times New Roman"/>
          <w:lang w:val="en-GB"/>
        </w:rPr>
        <w:t>S</w:t>
      </w:r>
      <w:r w:rsidR="003D7EA2" w:rsidRPr="00D348F8">
        <w:rPr>
          <w:rFonts w:ascii="Times New Roman" w:hAnsi="Times New Roman" w:cs="Times New Roman"/>
          <w:lang w:val="en-GB"/>
        </w:rPr>
        <w:t xml:space="preserve">tudies </w:t>
      </w:r>
      <w:r w:rsidR="00B40505" w:rsidRPr="00D348F8">
        <w:rPr>
          <w:rFonts w:ascii="Times New Roman" w:hAnsi="Times New Roman" w:cs="Times New Roman"/>
          <w:lang w:val="en-GB"/>
        </w:rPr>
        <w:t>O</w:t>
      </w:r>
      <w:r w:rsidR="003D7EA2" w:rsidRPr="00D348F8">
        <w:rPr>
          <w:rFonts w:ascii="Times New Roman" w:hAnsi="Times New Roman" w:cs="Times New Roman"/>
          <w:lang w:val="en-GB"/>
        </w:rPr>
        <w:t>fficer</w:t>
      </w:r>
      <w:r w:rsidR="00B40505" w:rsidRPr="00D348F8">
        <w:rPr>
          <w:rFonts w:ascii="Times New Roman" w:hAnsi="Times New Roman" w:cs="Times New Roman"/>
          <w:lang w:val="en-GB"/>
        </w:rPr>
        <w:t xml:space="preserve">) </w:t>
      </w:r>
      <w:r w:rsidRPr="00D348F8">
        <w:rPr>
          <w:rFonts w:ascii="Times New Roman" w:hAnsi="Times New Roman" w:cs="Times New Roman"/>
          <w:lang w:val="en-GB"/>
        </w:rPr>
        <w:t xml:space="preserve">as soon as possible, preferably within 24 hours. </w:t>
      </w:r>
    </w:p>
    <w:p w14:paraId="1E961BAB" w14:textId="77777777" w:rsidR="001607F9" w:rsidRPr="00D348F8" w:rsidRDefault="001607F9" w:rsidP="005A5FFA">
      <w:pPr>
        <w:spacing w:line="480" w:lineRule="auto"/>
        <w:rPr>
          <w:rFonts w:ascii="Times New Roman" w:hAnsi="Times New Roman" w:cs="Times New Roman"/>
          <w:lang w:val="en-GB"/>
        </w:rPr>
      </w:pPr>
    </w:p>
    <w:p w14:paraId="7FB03DDE" w14:textId="3C85445B" w:rsidR="001607F9" w:rsidRPr="00D348F8" w:rsidRDefault="00FB73D0" w:rsidP="005A5FFA">
      <w:pPr>
        <w:spacing w:line="480" w:lineRule="auto"/>
        <w:outlineLvl w:val="0"/>
        <w:rPr>
          <w:rFonts w:ascii="Times New Roman" w:hAnsi="Times New Roman" w:cs="Times New Roman"/>
          <w:b/>
          <w:i/>
          <w:lang w:val="en-GB"/>
        </w:rPr>
      </w:pPr>
      <w:r w:rsidRPr="00D348F8">
        <w:rPr>
          <w:rFonts w:ascii="Times New Roman" w:hAnsi="Times New Roman" w:cs="Times New Roman"/>
          <w:b/>
          <w:i/>
          <w:lang w:val="en-GB"/>
        </w:rPr>
        <w:t xml:space="preserve">DUTY </w:t>
      </w:r>
      <w:r w:rsidR="002D5EE8" w:rsidRPr="00D348F8">
        <w:rPr>
          <w:rFonts w:ascii="Times New Roman" w:hAnsi="Times New Roman" w:cs="Times New Roman"/>
          <w:b/>
          <w:i/>
          <w:lang w:val="en-GB"/>
        </w:rPr>
        <w:t>c</w:t>
      </w:r>
      <w:r w:rsidRPr="00D348F8">
        <w:rPr>
          <w:rFonts w:ascii="Times New Roman" w:hAnsi="Times New Roman" w:cs="Times New Roman"/>
          <w:b/>
          <w:i/>
          <w:lang w:val="en-GB"/>
        </w:rPr>
        <w:t xml:space="preserve">ohort </w:t>
      </w:r>
      <w:r w:rsidR="002D5EE8" w:rsidRPr="00D348F8">
        <w:rPr>
          <w:rFonts w:ascii="Times New Roman" w:hAnsi="Times New Roman" w:cs="Times New Roman"/>
          <w:b/>
          <w:i/>
          <w:lang w:val="en-GB"/>
        </w:rPr>
        <w:t>l</w:t>
      </w:r>
      <w:r w:rsidR="001607F9" w:rsidRPr="00D348F8">
        <w:rPr>
          <w:rFonts w:ascii="Times New Roman" w:hAnsi="Times New Roman" w:cs="Times New Roman"/>
          <w:b/>
          <w:i/>
          <w:lang w:val="en-GB"/>
        </w:rPr>
        <w:t>aboratory analysis</w:t>
      </w:r>
    </w:p>
    <w:p w14:paraId="2E2B4BD4" w14:textId="5F9C23A2" w:rsidR="007325AB" w:rsidRPr="00734E51" w:rsidRDefault="001607F9" w:rsidP="00734E51">
      <w:pPr>
        <w:widowControl w:val="0"/>
        <w:autoSpaceDE w:val="0"/>
        <w:autoSpaceDN w:val="0"/>
        <w:adjustRightInd w:val="0"/>
        <w:spacing w:line="480" w:lineRule="auto"/>
        <w:rPr>
          <w:rFonts w:ascii="Times New Roman" w:hAnsi="Times New Roman" w:cs="Times New Roman"/>
          <w:lang w:val="en-GB"/>
        </w:rPr>
      </w:pPr>
      <w:r w:rsidRPr="00D348F8">
        <w:rPr>
          <w:rFonts w:ascii="Times New Roman" w:hAnsi="Times New Roman" w:cs="Times New Roman"/>
          <w:lang w:val="en-GB"/>
        </w:rPr>
        <w:t>Urine samples were split into two fractions</w:t>
      </w:r>
      <w:r w:rsidR="004A701D" w:rsidRPr="00D348F8">
        <w:rPr>
          <w:rFonts w:ascii="Times New Roman" w:hAnsi="Times New Roman" w:cs="Times New Roman"/>
          <w:lang w:val="en-GB"/>
        </w:rPr>
        <w:t xml:space="preserve">. </w:t>
      </w:r>
      <w:r w:rsidRPr="00D348F8">
        <w:rPr>
          <w:rFonts w:ascii="Times New Roman" w:hAnsi="Times New Roman" w:cs="Times New Roman"/>
          <w:lang w:val="en-GB"/>
        </w:rPr>
        <w:t xml:space="preserve">Since results might be needed for clinical management, the priority fraction was sent to the local NHS laboratory routinely used by the recruiting primary care site for routine diagnostic processing. If sufficient urine was available, the second fraction was sent to the Specialist Antimicrobial Chemotherapy Unit, Public Health Wales Microbiology Laboratory, Cardiff (Central Research Laboratory). A minimum of 1ml volume was required for analysis. Urine samples were transported to the central laboratory in a urine </w:t>
      </w:r>
      <w:proofErr w:type="spellStart"/>
      <w:r w:rsidRPr="00D348F8">
        <w:rPr>
          <w:rFonts w:ascii="Times New Roman" w:hAnsi="Times New Roman" w:cs="Times New Roman"/>
          <w:lang w:val="en-GB"/>
        </w:rPr>
        <w:t>monovette</w:t>
      </w:r>
      <w:proofErr w:type="spellEnd"/>
      <w:r w:rsidRPr="00D348F8">
        <w:rPr>
          <w:rFonts w:ascii="Times New Roman" w:hAnsi="Times New Roman" w:cs="Times New Roman"/>
          <w:lang w:val="en-GB"/>
        </w:rPr>
        <w:t xml:space="preserve"> containing boric acid (</w:t>
      </w:r>
      <w:proofErr w:type="spellStart"/>
      <w:r w:rsidRPr="00D348F8">
        <w:rPr>
          <w:rFonts w:ascii="Times New Roman" w:hAnsi="Times New Roman" w:cs="Times New Roman"/>
          <w:lang w:val="en-GB"/>
        </w:rPr>
        <w:t>Sarstedt</w:t>
      </w:r>
      <w:proofErr w:type="spellEnd"/>
      <w:r w:rsidRPr="00D348F8">
        <w:rPr>
          <w:rFonts w:ascii="Times New Roman" w:hAnsi="Times New Roman" w:cs="Times New Roman"/>
          <w:lang w:val="en-GB"/>
        </w:rPr>
        <w:t xml:space="preserve">) using standard biological sample post office </w:t>
      </w:r>
      <w:proofErr w:type="spellStart"/>
      <w:r w:rsidR="000C6C26" w:rsidRPr="00D348F8">
        <w:rPr>
          <w:rFonts w:ascii="Times New Roman" w:hAnsi="Times New Roman" w:cs="Times New Roman"/>
          <w:lang w:val="en-GB"/>
        </w:rPr>
        <w:t>Safe</w:t>
      </w:r>
      <w:r w:rsidRPr="00D348F8">
        <w:rPr>
          <w:rFonts w:ascii="Times New Roman" w:hAnsi="Times New Roman" w:cs="Times New Roman"/>
          <w:lang w:val="en-GB"/>
        </w:rPr>
        <w:t>boxes</w:t>
      </w:r>
      <w:r w:rsidR="000C6C26" w:rsidRPr="00D348F8">
        <w:rPr>
          <w:rFonts w:ascii="Times New Roman" w:hAnsi="Times New Roman" w:cs="Times New Roman"/>
          <w:vertAlign w:val="superscript"/>
          <w:lang w:val="en-GB"/>
        </w:rPr>
        <w:t>TM</w:t>
      </w:r>
      <w:proofErr w:type="spellEnd"/>
      <w:r w:rsidR="00785A31" w:rsidRPr="00D348F8">
        <w:rPr>
          <w:rFonts w:ascii="Times New Roman" w:hAnsi="Times New Roman" w:cs="Times New Roman"/>
          <w:lang w:val="en-GB"/>
        </w:rPr>
        <w:t xml:space="preserve">. </w:t>
      </w:r>
      <w:r w:rsidRPr="00D348F8">
        <w:rPr>
          <w:rFonts w:ascii="Times New Roman" w:hAnsi="Times New Roman" w:cs="Times New Roman"/>
          <w:lang w:val="en-GB"/>
        </w:rPr>
        <w:t xml:space="preserve">In the central research laboratory, microscopy was performed using an IQ200 automated urine analyser (Iris Diagnostics Ltd, UK) to determine counts of white blood cells, red blood cells, squamous epithelial cells, bacteria and other artefacts. Quantitative total and </w:t>
      </w:r>
      <w:r w:rsidR="007400ED" w:rsidRPr="00D348F8">
        <w:rPr>
          <w:rFonts w:ascii="Times New Roman" w:hAnsi="Times New Roman" w:cs="Times New Roman"/>
          <w:lang w:val="en-GB"/>
        </w:rPr>
        <w:t>species-specific</w:t>
      </w:r>
      <w:r w:rsidRPr="00D348F8">
        <w:rPr>
          <w:rFonts w:ascii="Times New Roman" w:hAnsi="Times New Roman" w:cs="Times New Roman"/>
          <w:lang w:val="en-GB"/>
        </w:rPr>
        <w:t xml:space="preserve"> counts were recorded for all organisms present. Disc </w:t>
      </w:r>
      <w:r w:rsidR="00B34C9A" w:rsidRPr="00D348F8">
        <w:rPr>
          <w:rFonts w:ascii="Times New Roman" w:hAnsi="Times New Roman" w:cs="Times New Roman"/>
          <w:lang w:val="en-GB"/>
        </w:rPr>
        <w:t xml:space="preserve">susceptibilities </w:t>
      </w:r>
      <w:r w:rsidRPr="00D348F8">
        <w:rPr>
          <w:rFonts w:ascii="Times New Roman" w:hAnsi="Times New Roman" w:cs="Times New Roman"/>
          <w:lang w:val="en-GB"/>
        </w:rPr>
        <w:t>were performed on any organism present at &gt;10</w:t>
      </w:r>
      <w:r w:rsidRPr="00D348F8">
        <w:rPr>
          <w:rFonts w:ascii="Times New Roman" w:hAnsi="Times New Roman" w:cs="Times New Roman"/>
          <w:vertAlign w:val="superscript"/>
          <w:lang w:val="en-GB"/>
        </w:rPr>
        <w:t>3</w:t>
      </w:r>
      <w:r w:rsidRPr="00D348F8">
        <w:rPr>
          <w:rFonts w:ascii="Times New Roman" w:hAnsi="Times New Roman" w:cs="Times New Roman"/>
          <w:lang w:val="en-GB"/>
        </w:rPr>
        <w:t xml:space="preserve"> </w:t>
      </w:r>
      <w:proofErr w:type="spellStart"/>
      <w:r w:rsidRPr="00D348F8">
        <w:rPr>
          <w:rFonts w:ascii="Times New Roman" w:hAnsi="Times New Roman" w:cs="Times New Roman"/>
          <w:lang w:val="en-GB"/>
        </w:rPr>
        <w:t>cfu</w:t>
      </w:r>
      <w:proofErr w:type="spellEnd"/>
      <w:r w:rsidRPr="00D348F8">
        <w:rPr>
          <w:rFonts w:ascii="Times New Roman" w:hAnsi="Times New Roman" w:cs="Times New Roman"/>
          <w:lang w:val="en-GB"/>
        </w:rPr>
        <w:t>/m</w:t>
      </w:r>
      <w:r w:rsidR="00B34C9A" w:rsidRPr="00D348F8">
        <w:rPr>
          <w:rFonts w:ascii="Times New Roman" w:hAnsi="Times New Roman" w:cs="Times New Roman"/>
          <w:lang w:val="en-GB"/>
        </w:rPr>
        <w:t>L</w:t>
      </w:r>
      <w:r w:rsidRPr="00D348F8">
        <w:rPr>
          <w:rFonts w:ascii="Times New Roman" w:hAnsi="Times New Roman" w:cs="Times New Roman"/>
          <w:lang w:val="en-GB"/>
        </w:rPr>
        <w:t xml:space="preserve"> according to BSAC guidelines.</w:t>
      </w:r>
      <w:r w:rsidR="00FB34F4" w:rsidRPr="007400ED">
        <w:rPr>
          <w:rFonts w:ascii="Times New Roman" w:hAnsi="Times New Roman" w:cs="Times New Roman"/>
          <w:lang w:val="en-GB"/>
        </w:rPr>
        <w:fldChar w:fldCharType="begin"/>
      </w:r>
      <w:r w:rsidR="007D43DC" w:rsidRPr="00D348F8">
        <w:rPr>
          <w:rFonts w:ascii="Times New Roman" w:hAnsi="Times New Roman" w:cs="Times New Roman"/>
          <w:lang w:val="en-GB"/>
        </w:rPr>
        <w:instrText xml:space="preserve"> ADDIN EN.CITE &lt;EndNote&gt;&lt;Cite&gt;&lt;Author&gt;BSAC&lt;/Author&gt;&lt;RecNum&gt;640&lt;/RecNum&gt;&lt;DisplayText&gt;(12)&lt;/DisplayText&gt;&lt;record&gt;&lt;rec-number&gt;640&lt;/rec-number&gt;&lt;foreign-keys&gt;&lt;key app="EN" db-id="90exf5z9rvrz2yersrppfstqrdx2sxw5psze" timestamp="1396615627"&gt;640&lt;/key&gt;&lt;/foreign-keys&gt;&lt;ref-type name="Web Page"&gt;12&lt;/ref-type&gt;&lt;contributors&gt;&lt;authors&gt;&lt;author&gt;BSAC&lt;/author&gt;&lt;/authors&gt;&lt;/contributors&gt;&lt;titles&gt;&lt;title&gt;British Society for Antimicrobial Chemotherapy. Susceptibility Testing Methodology Version 12 – May 2013&amp;#xD;&lt;/title&gt;&lt;/titles&gt;&lt;number&gt;04/04/2014&lt;/number&gt;&lt;dates&gt;&lt;/dates&gt;&lt;urls&gt;&lt;related-urls&gt;&lt;url&gt;http://bsac.org.uk/susceptibility/guidelines-standardized-disc-susceptibility-testing-method/&lt;/url&gt;&lt;/related-urls&gt;&lt;/urls&gt;&lt;custom1&gt;2014&lt;/custom1&gt;&lt;custom2&gt;04/04/2014&lt;/custom2&gt;&lt;/record&gt;&lt;/Cite&gt;&lt;/EndNote&gt;</w:instrText>
      </w:r>
      <w:r w:rsidR="00FB34F4" w:rsidRPr="007400ED">
        <w:rPr>
          <w:rFonts w:ascii="Times New Roman" w:hAnsi="Times New Roman" w:cs="Times New Roman"/>
          <w:lang w:val="en-GB"/>
        </w:rPr>
        <w:fldChar w:fldCharType="separate"/>
      </w:r>
      <w:r w:rsidR="007D43DC" w:rsidRPr="00734E51">
        <w:rPr>
          <w:rFonts w:ascii="Times New Roman" w:hAnsi="Times New Roman" w:cs="Times New Roman"/>
          <w:lang w:val="en-GB"/>
        </w:rPr>
        <w:t>(</w:t>
      </w:r>
      <w:hyperlink w:anchor="_ENREF_12" w:tooltip="BSAC,  #640" w:history="1">
        <w:r w:rsidR="00612B01" w:rsidRPr="00734E51">
          <w:rPr>
            <w:rFonts w:ascii="Times New Roman" w:hAnsi="Times New Roman" w:cs="Times New Roman"/>
            <w:lang w:val="en-GB"/>
          </w:rPr>
          <w:t>12</w:t>
        </w:r>
      </w:hyperlink>
      <w:r w:rsidR="007D43DC" w:rsidRPr="00734E51">
        <w:rPr>
          <w:rFonts w:ascii="Times New Roman" w:hAnsi="Times New Roman" w:cs="Times New Roman"/>
          <w:lang w:val="en-GB"/>
        </w:rPr>
        <w:t>)</w:t>
      </w:r>
      <w:r w:rsidR="00FB34F4" w:rsidRPr="007400ED">
        <w:rPr>
          <w:rFonts w:ascii="Times New Roman" w:hAnsi="Times New Roman" w:cs="Times New Roman"/>
          <w:lang w:val="en-GB"/>
        </w:rPr>
        <w:fldChar w:fldCharType="end"/>
      </w:r>
      <w:r w:rsidRPr="007400ED">
        <w:rPr>
          <w:rFonts w:ascii="Times New Roman" w:hAnsi="Times New Roman" w:cs="Times New Roman"/>
          <w:lang w:val="en-GB"/>
        </w:rPr>
        <w:t xml:space="preserve"> Antimicrobials tested for all isolates were trimethoprim, nitrofurantoin and amox</w:t>
      </w:r>
      <w:r w:rsidRPr="00D348F8">
        <w:rPr>
          <w:rFonts w:ascii="Times New Roman" w:hAnsi="Times New Roman" w:cs="Times New Roman"/>
          <w:lang w:val="en-GB"/>
        </w:rPr>
        <w:t>icillin. Gram negative and positive isolates were further tested with co-</w:t>
      </w:r>
      <w:proofErr w:type="spellStart"/>
      <w:r w:rsidRPr="00D348F8">
        <w:rPr>
          <w:rFonts w:ascii="Times New Roman" w:hAnsi="Times New Roman" w:cs="Times New Roman"/>
          <w:lang w:val="en-GB"/>
        </w:rPr>
        <w:t>amoxiclav</w:t>
      </w:r>
      <w:proofErr w:type="spellEnd"/>
      <w:r w:rsidRPr="00D348F8">
        <w:rPr>
          <w:rFonts w:ascii="Times New Roman" w:hAnsi="Times New Roman" w:cs="Times New Roman"/>
          <w:lang w:val="en-GB"/>
        </w:rPr>
        <w:t xml:space="preserve">, cephalexin, ciprofloxacin, </w:t>
      </w:r>
      <w:proofErr w:type="spellStart"/>
      <w:r w:rsidRPr="00D348F8">
        <w:rPr>
          <w:rFonts w:ascii="Times New Roman" w:hAnsi="Times New Roman" w:cs="Times New Roman"/>
          <w:lang w:val="en-GB"/>
        </w:rPr>
        <w:t>cefpodoxime</w:t>
      </w:r>
      <w:proofErr w:type="spellEnd"/>
      <w:r w:rsidRPr="00D348F8">
        <w:rPr>
          <w:rFonts w:ascii="Times New Roman" w:hAnsi="Times New Roman" w:cs="Times New Roman"/>
          <w:lang w:val="en-GB"/>
        </w:rPr>
        <w:t xml:space="preserve"> and </w:t>
      </w:r>
      <w:proofErr w:type="spellStart"/>
      <w:r w:rsidRPr="00D348F8">
        <w:rPr>
          <w:rFonts w:ascii="Times New Roman" w:hAnsi="Times New Roman" w:cs="Times New Roman"/>
          <w:lang w:val="en-GB"/>
        </w:rPr>
        <w:t>cefoxitin</w:t>
      </w:r>
      <w:proofErr w:type="spellEnd"/>
      <w:r w:rsidRPr="00D348F8">
        <w:rPr>
          <w:rFonts w:ascii="Times New Roman" w:hAnsi="Times New Roman" w:cs="Times New Roman"/>
          <w:lang w:val="en-GB"/>
        </w:rPr>
        <w:t xml:space="preserve">, </w:t>
      </w:r>
      <w:r w:rsidRPr="00D348F8">
        <w:rPr>
          <w:rFonts w:ascii="Times New Roman" w:hAnsi="Times New Roman" w:cs="Times New Roman"/>
          <w:lang w:val="en-GB"/>
        </w:rPr>
        <w:lastRenderedPageBreak/>
        <w:t xml:space="preserve">vancomycin, </w:t>
      </w:r>
      <w:proofErr w:type="spellStart"/>
      <w:r w:rsidRPr="00D348F8">
        <w:rPr>
          <w:rFonts w:ascii="Times New Roman" w:hAnsi="Times New Roman" w:cs="Times New Roman"/>
          <w:lang w:val="en-GB"/>
        </w:rPr>
        <w:t>novobiocin</w:t>
      </w:r>
      <w:proofErr w:type="spellEnd"/>
      <w:r w:rsidRPr="00D348F8">
        <w:rPr>
          <w:rFonts w:ascii="Times New Roman" w:hAnsi="Times New Roman" w:cs="Times New Roman"/>
          <w:lang w:val="en-GB"/>
        </w:rPr>
        <w:t xml:space="preserve"> respectively. </w:t>
      </w:r>
      <w:r w:rsidR="007325AB" w:rsidRPr="00734E51">
        <w:rPr>
          <w:rFonts w:ascii="Times New Roman" w:hAnsi="Times New Roman" w:cs="Times New Roman"/>
          <w:lang w:val="en-GB"/>
        </w:rPr>
        <w:t xml:space="preserve"> Oral doses of co-</w:t>
      </w:r>
      <w:proofErr w:type="spellStart"/>
      <w:r w:rsidR="007325AB" w:rsidRPr="00734E51">
        <w:rPr>
          <w:rFonts w:ascii="Times New Roman" w:hAnsi="Times New Roman" w:cs="Times New Roman"/>
          <w:lang w:val="en-GB"/>
        </w:rPr>
        <w:t>amoxiclav</w:t>
      </w:r>
      <w:proofErr w:type="spellEnd"/>
      <w:r w:rsidR="007325AB" w:rsidRPr="00734E51">
        <w:rPr>
          <w:rFonts w:ascii="Times New Roman" w:hAnsi="Times New Roman" w:cs="Times New Roman"/>
          <w:lang w:val="en-GB"/>
        </w:rPr>
        <w:t xml:space="preserve"> are in 2:1 ratio amoxicillin/</w:t>
      </w:r>
      <w:proofErr w:type="spellStart"/>
      <w:r w:rsidR="007325AB" w:rsidRPr="00734E51">
        <w:rPr>
          <w:rFonts w:ascii="Times New Roman" w:hAnsi="Times New Roman" w:cs="Times New Roman"/>
          <w:lang w:val="en-GB"/>
        </w:rPr>
        <w:t>clavulanate</w:t>
      </w:r>
      <w:proofErr w:type="spellEnd"/>
      <w:r w:rsidR="007325AB" w:rsidRPr="00734E51">
        <w:rPr>
          <w:rFonts w:ascii="Times New Roman" w:hAnsi="Times New Roman" w:cs="Times New Roman"/>
          <w:lang w:val="en-GB"/>
        </w:rPr>
        <w:t xml:space="preserve">. Susceptibility testing is performed according to standardized methods; the British Society for Antimicrobial Chemotherapy (BSAC) standardized method uses 2:1 ratio and the European Committee for Antimicrobial Susceptibility Testing (EUCAST) standardized method uses a 2mg/L fixed concentration of </w:t>
      </w:r>
      <w:proofErr w:type="spellStart"/>
      <w:r w:rsidR="007325AB" w:rsidRPr="00734E51">
        <w:rPr>
          <w:rFonts w:ascii="Times New Roman" w:hAnsi="Times New Roman" w:cs="Times New Roman"/>
          <w:lang w:val="en-GB"/>
        </w:rPr>
        <w:t>clavulanate</w:t>
      </w:r>
      <w:proofErr w:type="spellEnd"/>
      <w:r w:rsidR="007325AB" w:rsidRPr="00734E51">
        <w:rPr>
          <w:rFonts w:ascii="Times New Roman" w:hAnsi="Times New Roman" w:cs="Times New Roman"/>
          <w:lang w:val="en-GB"/>
        </w:rPr>
        <w:t xml:space="preserve">. The BSAC method was the most used method in the UK whilst the EUCAST method is the method due to be adopted by UK labs in the future. In this study, we used both discs to cover any differences </w:t>
      </w:r>
      <w:r w:rsidR="00E311BE" w:rsidRPr="00734E51">
        <w:rPr>
          <w:rFonts w:ascii="Times New Roman" w:hAnsi="Times New Roman" w:cs="Times New Roman"/>
          <w:lang w:val="en-GB"/>
        </w:rPr>
        <w:t>that</w:t>
      </w:r>
      <w:r w:rsidR="007325AB" w:rsidRPr="00734E51">
        <w:rPr>
          <w:rFonts w:ascii="Times New Roman" w:hAnsi="Times New Roman" w:cs="Times New Roman"/>
          <w:lang w:val="en-GB"/>
        </w:rPr>
        <w:t xml:space="preserve"> may be highlighted. </w:t>
      </w:r>
    </w:p>
    <w:p w14:paraId="629C6A00" w14:textId="77777777" w:rsidR="00E311BE" w:rsidRPr="00734E51" w:rsidRDefault="00E311BE" w:rsidP="00734E51">
      <w:pPr>
        <w:widowControl w:val="0"/>
        <w:autoSpaceDE w:val="0"/>
        <w:autoSpaceDN w:val="0"/>
        <w:adjustRightInd w:val="0"/>
        <w:spacing w:line="480" w:lineRule="auto"/>
        <w:rPr>
          <w:rFonts w:ascii="Times New Roman" w:hAnsi="Times New Roman" w:cs="Times New Roman"/>
          <w:lang w:val="en-GB"/>
        </w:rPr>
      </w:pPr>
    </w:p>
    <w:p w14:paraId="58B6C3E2" w14:textId="77777777" w:rsidR="00E311BE" w:rsidRPr="00734E51" w:rsidRDefault="00E311BE" w:rsidP="00734E51">
      <w:pPr>
        <w:widowControl w:val="0"/>
        <w:autoSpaceDE w:val="0"/>
        <w:autoSpaceDN w:val="0"/>
        <w:adjustRightInd w:val="0"/>
        <w:spacing w:line="480" w:lineRule="auto"/>
        <w:rPr>
          <w:rFonts w:ascii="Times New Roman" w:hAnsi="Times New Roman" w:cs="Times New Roman"/>
          <w:lang w:val="en-GB"/>
        </w:rPr>
      </w:pPr>
      <w:r w:rsidRPr="00734E51">
        <w:rPr>
          <w:rFonts w:ascii="Times New Roman" w:hAnsi="Times New Roman" w:cs="Times New Roman"/>
          <w:lang w:val="en-GB"/>
        </w:rPr>
        <w:t xml:space="preserve">Urinary breakpoints are employed when the UTI is uncomplicated, as in most adult community patients. Systemic breakpoints are used when the UTI may be more complicated (i.e. causing a systemic infection). In the DUTY children we thought it advisable to interpret using both breakpoints to cover the possibility that a system infection could be present.  </w:t>
      </w:r>
    </w:p>
    <w:p w14:paraId="39F03C5B" w14:textId="77777777" w:rsidR="001607F9" w:rsidRPr="00D348F8" w:rsidRDefault="001607F9" w:rsidP="005A5FFA">
      <w:pPr>
        <w:spacing w:line="480" w:lineRule="auto"/>
        <w:rPr>
          <w:rFonts w:ascii="Times New Roman" w:hAnsi="Times New Roman" w:cs="Times New Roman"/>
          <w:lang w:val="en-GB"/>
        </w:rPr>
      </w:pPr>
    </w:p>
    <w:p w14:paraId="50483A23" w14:textId="2D962D41"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The definition of UTI in the Central Research Laboratory was ≥10</w:t>
      </w:r>
      <w:r w:rsidRPr="00D348F8">
        <w:rPr>
          <w:rFonts w:ascii="Times New Roman" w:hAnsi="Times New Roman" w:cs="Times New Roman"/>
          <w:vertAlign w:val="superscript"/>
          <w:lang w:val="en-GB"/>
        </w:rPr>
        <w:t>5</w:t>
      </w:r>
      <w:r w:rsidRPr="00D348F8">
        <w:rPr>
          <w:rFonts w:ascii="Times New Roman" w:hAnsi="Times New Roman" w:cs="Times New Roman"/>
          <w:lang w:val="en-GB"/>
        </w:rPr>
        <w:t xml:space="preserve"> CFU/mL of a pure or predominant </w:t>
      </w:r>
      <w:proofErr w:type="spellStart"/>
      <w:r w:rsidRPr="00D348F8">
        <w:rPr>
          <w:rFonts w:ascii="Times New Roman" w:hAnsi="Times New Roman" w:cs="Times New Roman"/>
          <w:lang w:val="en-GB"/>
        </w:rPr>
        <w:t>uropathogen</w:t>
      </w:r>
      <w:proofErr w:type="spellEnd"/>
      <w:r w:rsidRPr="00D348F8">
        <w:rPr>
          <w:rFonts w:ascii="Times New Roman" w:hAnsi="Times New Roman" w:cs="Times New Roman"/>
          <w:lang w:val="en-GB"/>
        </w:rPr>
        <w:t xml:space="preserve"> (where predominant was defined as a 3 log</w:t>
      </w:r>
      <w:r w:rsidR="00B34C9A" w:rsidRPr="00D348F8">
        <w:rPr>
          <w:rFonts w:ascii="Times New Roman" w:hAnsi="Times New Roman" w:cs="Times New Roman"/>
          <w:vertAlign w:val="subscript"/>
          <w:lang w:val="en-GB"/>
        </w:rPr>
        <w:t>10</w:t>
      </w:r>
      <w:r w:rsidRPr="00D348F8">
        <w:rPr>
          <w:rFonts w:ascii="Times New Roman" w:hAnsi="Times New Roman" w:cs="Times New Roman"/>
          <w:lang w:val="en-GB"/>
        </w:rPr>
        <w:t xml:space="preserve"> difference in growth between the predominant and next organism). For the purposes of the DUTY study, an </w:t>
      </w:r>
      <w:proofErr w:type="spellStart"/>
      <w:r w:rsidRPr="00D348F8">
        <w:rPr>
          <w:rFonts w:ascii="Times New Roman" w:hAnsi="Times New Roman" w:cs="Times New Roman"/>
          <w:lang w:val="en-GB"/>
        </w:rPr>
        <w:t>uropathogen</w:t>
      </w:r>
      <w:proofErr w:type="spellEnd"/>
      <w:r w:rsidRPr="00D348F8">
        <w:rPr>
          <w:rFonts w:ascii="Times New Roman" w:hAnsi="Times New Roman" w:cs="Times New Roman"/>
          <w:lang w:val="en-GB"/>
        </w:rPr>
        <w:t xml:space="preserve"> is defined as any </w:t>
      </w:r>
      <w:proofErr w:type="spellStart"/>
      <w:r w:rsidRPr="00D348F8">
        <w:rPr>
          <w:rFonts w:ascii="Times New Roman" w:hAnsi="Times New Roman" w:cs="Times New Roman"/>
          <w:i/>
          <w:lang w:val="en-GB"/>
        </w:rPr>
        <w:t>Enterobacteriaceae</w:t>
      </w:r>
      <w:proofErr w:type="spellEnd"/>
      <w:r w:rsidRPr="00D348F8">
        <w:rPr>
          <w:rFonts w:ascii="Times New Roman" w:hAnsi="Times New Roman" w:cs="Times New Roman"/>
          <w:lang w:val="en-GB"/>
        </w:rPr>
        <w:t>.</w:t>
      </w:r>
      <w:r w:rsidR="005D64A3" w:rsidRPr="00D348F8">
        <w:rPr>
          <w:rFonts w:ascii="Times New Roman" w:hAnsi="Times New Roman" w:cs="Times New Roman"/>
          <w:lang w:val="en-GB"/>
        </w:rPr>
        <w:t xml:space="preserve"> We used the cut point of ≥10</w:t>
      </w:r>
      <w:r w:rsidR="005D64A3" w:rsidRPr="00D348F8">
        <w:rPr>
          <w:rFonts w:ascii="Times New Roman" w:hAnsi="Times New Roman" w:cs="Times New Roman"/>
          <w:vertAlign w:val="superscript"/>
          <w:lang w:val="en-GB"/>
        </w:rPr>
        <w:t>5</w:t>
      </w:r>
      <w:r w:rsidR="005D64A3" w:rsidRPr="00D348F8">
        <w:rPr>
          <w:rFonts w:ascii="Times New Roman" w:hAnsi="Times New Roman" w:cs="Times New Roman"/>
          <w:lang w:val="en-GB"/>
        </w:rPr>
        <w:t xml:space="preserve"> CFU/mL to reduce risk of including false positives.</w:t>
      </w:r>
    </w:p>
    <w:p w14:paraId="7DEB2AB3" w14:textId="77777777" w:rsidR="005A5FFA" w:rsidRPr="00734E51" w:rsidRDefault="005A5FFA" w:rsidP="005A5FFA">
      <w:pPr>
        <w:spacing w:line="480" w:lineRule="auto"/>
        <w:outlineLvl w:val="0"/>
        <w:rPr>
          <w:rFonts w:ascii="Times New Roman" w:hAnsi="Times New Roman" w:cs="Times New Roman"/>
          <w:b/>
          <w:lang w:val="en-GB"/>
        </w:rPr>
      </w:pPr>
    </w:p>
    <w:p w14:paraId="41D21B00" w14:textId="77777777" w:rsidR="001607F9" w:rsidRPr="00734E51" w:rsidRDefault="001607F9" w:rsidP="005A5FFA">
      <w:pPr>
        <w:spacing w:line="480" w:lineRule="auto"/>
        <w:outlineLvl w:val="0"/>
        <w:rPr>
          <w:rFonts w:ascii="Times New Roman" w:hAnsi="Times New Roman" w:cs="Times New Roman"/>
          <w:b/>
          <w:lang w:val="en-GB"/>
        </w:rPr>
      </w:pPr>
      <w:r w:rsidRPr="00734E51">
        <w:rPr>
          <w:rFonts w:ascii="Times New Roman" w:hAnsi="Times New Roman" w:cs="Times New Roman"/>
          <w:b/>
          <w:lang w:val="en-GB"/>
        </w:rPr>
        <w:t>Results</w:t>
      </w:r>
    </w:p>
    <w:p w14:paraId="758E0287" w14:textId="77777777" w:rsidR="003251D8" w:rsidRPr="007400ED" w:rsidRDefault="003251D8" w:rsidP="003251D8">
      <w:pPr>
        <w:spacing w:line="480" w:lineRule="auto"/>
        <w:outlineLvl w:val="0"/>
        <w:rPr>
          <w:rFonts w:ascii="Times New Roman" w:hAnsi="Times New Roman" w:cs="Times New Roman"/>
          <w:b/>
          <w:i/>
          <w:lang w:val="en-GB"/>
        </w:rPr>
      </w:pPr>
      <w:r w:rsidRPr="007400ED">
        <w:rPr>
          <w:rFonts w:ascii="Times New Roman" w:hAnsi="Times New Roman" w:cs="Times New Roman"/>
          <w:b/>
          <w:i/>
          <w:lang w:val="en-GB"/>
        </w:rPr>
        <w:t>Samples submitted during the course of routine care</w:t>
      </w:r>
    </w:p>
    <w:p w14:paraId="46A6A0C7" w14:textId="727B88CF" w:rsidR="00F12DA6" w:rsidRPr="00D348F8" w:rsidRDefault="00F12DA6" w:rsidP="00F12DA6">
      <w:pPr>
        <w:spacing w:line="480" w:lineRule="auto"/>
        <w:rPr>
          <w:rFonts w:ascii="Times New Roman" w:hAnsi="Times New Roman" w:cs="Times New Roman"/>
          <w:lang w:val="en-GB"/>
        </w:rPr>
      </w:pPr>
      <w:r w:rsidRPr="00D348F8">
        <w:rPr>
          <w:rFonts w:ascii="Times New Roman" w:hAnsi="Times New Roman" w:cs="Times New Roman"/>
          <w:lang w:val="en-GB"/>
        </w:rPr>
        <w:t>In the routine database analysis, we identified 1458 urine samples for children in the first five years of life in 2011 that were submitted fr</w:t>
      </w:r>
      <w:r w:rsidR="00B34C9A" w:rsidRPr="00D348F8">
        <w:rPr>
          <w:rFonts w:ascii="Times New Roman" w:hAnsi="Times New Roman" w:cs="Times New Roman"/>
          <w:lang w:val="en-GB"/>
        </w:rPr>
        <w:t>o</w:t>
      </w:r>
      <w:r w:rsidRPr="00D348F8">
        <w:rPr>
          <w:rFonts w:ascii="Times New Roman" w:hAnsi="Times New Roman" w:cs="Times New Roman"/>
          <w:lang w:val="en-GB"/>
        </w:rPr>
        <w:t xml:space="preserve">m general practices in the course </w:t>
      </w:r>
      <w:r w:rsidRPr="00D348F8">
        <w:rPr>
          <w:rFonts w:ascii="Times New Roman" w:hAnsi="Times New Roman" w:cs="Times New Roman"/>
          <w:lang w:val="en-GB"/>
        </w:rPr>
        <w:lastRenderedPageBreak/>
        <w:t xml:space="preserve">of routine </w:t>
      </w:r>
      <w:r w:rsidR="007400ED" w:rsidRPr="00D348F8">
        <w:rPr>
          <w:rFonts w:ascii="Times New Roman" w:hAnsi="Times New Roman" w:cs="Times New Roman"/>
          <w:lang w:val="en-GB"/>
        </w:rPr>
        <w:t>care, which</w:t>
      </w:r>
      <w:r w:rsidR="00D56DE5" w:rsidRPr="00D348F8">
        <w:rPr>
          <w:rFonts w:ascii="Times New Roman" w:hAnsi="Times New Roman" w:cs="Times New Roman"/>
          <w:lang w:val="en-GB"/>
        </w:rPr>
        <w:t xml:space="preserve"> </w:t>
      </w:r>
      <w:r w:rsidRPr="00D348F8">
        <w:rPr>
          <w:rFonts w:ascii="Times New Roman" w:hAnsi="Times New Roman" w:cs="Times New Roman"/>
          <w:lang w:val="en-GB"/>
        </w:rPr>
        <w:t xml:space="preserve">grew </w:t>
      </w:r>
      <w:r w:rsidR="00815A55" w:rsidRPr="00D348F8">
        <w:rPr>
          <w:rFonts w:ascii="Times New Roman" w:hAnsi="Times New Roman" w:cs="Times New Roman"/>
          <w:i/>
          <w:lang w:val="en-GB"/>
        </w:rPr>
        <w:t>E. coli</w:t>
      </w:r>
      <w:r w:rsidRPr="00D348F8">
        <w:rPr>
          <w:rFonts w:ascii="Times New Roman" w:hAnsi="Times New Roman" w:cs="Times New Roman"/>
          <w:lang w:val="en-GB"/>
        </w:rPr>
        <w:t xml:space="preserve"> and were tested for antimicrobial </w:t>
      </w:r>
      <w:r w:rsidR="00D56DE5" w:rsidRPr="00D348F8">
        <w:rPr>
          <w:rFonts w:ascii="Times New Roman" w:hAnsi="Times New Roman" w:cs="Times New Roman"/>
          <w:lang w:val="en-GB"/>
        </w:rPr>
        <w:t xml:space="preserve">susceptibility </w:t>
      </w:r>
      <w:r w:rsidRPr="00D348F8">
        <w:rPr>
          <w:rFonts w:ascii="Times New Roman" w:hAnsi="Times New Roman" w:cs="Times New Roman"/>
          <w:lang w:val="en-GB"/>
        </w:rPr>
        <w:t xml:space="preserve">(only 1343 were tested </w:t>
      </w:r>
      <w:r w:rsidR="00D56DE5" w:rsidRPr="00D348F8">
        <w:rPr>
          <w:rFonts w:ascii="Times New Roman" w:hAnsi="Times New Roman" w:cs="Times New Roman"/>
          <w:lang w:val="en-GB"/>
        </w:rPr>
        <w:t>against</w:t>
      </w:r>
      <w:r w:rsidRPr="00D348F8">
        <w:rPr>
          <w:rFonts w:ascii="Times New Roman" w:hAnsi="Times New Roman" w:cs="Times New Roman"/>
          <w:lang w:val="en-GB"/>
        </w:rPr>
        <w:t xml:space="preserve"> amoxicillin). We do not have data for the total number of samples that were submitted for children in this age group, only those growing </w:t>
      </w:r>
      <w:r w:rsidR="00815A55" w:rsidRPr="00D348F8">
        <w:rPr>
          <w:rFonts w:ascii="Times New Roman" w:hAnsi="Times New Roman" w:cs="Times New Roman"/>
          <w:i/>
          <w:lang w:val="en-GB"/>
        </w:rPr>
        <w:t>E. coli</w:t>
      </w:r>
      <w:r w:rsidRPr="00D348F8">
        <w:rPr>
          <w:rFonts w:ascii="Times New Roman" w:hAnsi="Times New Roman" w:cs="Times New Roman"/>
          <w:lang w:val="en-GB"/>
        </w:rPr>
        <w:t xml:space="preserve"> on culture. 45.1% (95% CI 42.5% to 47.7%) were s</w:t>
      </w:r>
      <w:r w:rsidR="00D56DE5" w:rsidRPr="00D348F8">
        <w:rPr>
          <w:rFonts w:ascii="Times New Roman" w:hAnsi="Times New Roman" w:cs="Times New Roman"/>
          <w:lang w:val="en-GB"/>
        </w:rPr>
        <w:t>usceptible</w:t>
      </w:r>
      <w:r w:rsidRPr="00D348F8">
        <w:rPr>
          <w:rFonts w:ascii="Times New Roman" w:hAnsi="Times New Roman" w:cs="Times New Roman"/>
          <w:lang w:val="en-GB"/>
        </w:rPr>
        <w:t xml:space="preserve"> to amoxicillin, 86.6% (84.7% to 88.3%) to co-</w:t>
      </w:r>
      <w:proofErr w:type="spellStart"/>
      <w:r w:rsidRPr="00D348F8">
        <w:rPr>
          <w:rFonts w:ascii="Times New Roman" w:hAnsi="Times New Roman" w:cs="Times New Roman"/>
          <w:lang w:val="en-GB"/>
        </w:rPr>
        <w:t>amoxiclav</w:t>
      </w:r>
      <w:proofErr w:type="spellEnd"/>
      <w:r w:rsidRPr="00D348F8">
        <w:rPr>
          <w:rFonts w:ascii="Times New Roman" w:hAnsi="Times New Roman" w:cs="Times New Roman"/>
          <w:lang w:val="en-GB"/>
        </w:rPr>
        <w:t>, 95.1% (93.9% to 96.1%) to cephalexin, 74.0% (71.7% to 76.2%) to trimethoprim, and 98.2% (97.4% to 98</w:t>
      </w:r>
      <w:r w:rsidR="001D713D" w:rsidRPr="00D348F8">
        <w:rPr>
          <w:rFonts w:ascii="Times New Roman" w:hAnsi="Times New Roman" w:cs="Times New Roman"/>
          <w:lang w:val="en-GB"/>
        </w:rPr>
        <w:t>.8%) to nitrofurantoin</w:t>
      </w:r>
      <w:r w:rsidRPr="00D348F8">
        <w:rPr>
          <w:rFonts w:ascii="Times New Roman" w:hAnsi="Times New Roman" w:cs="Times New Roman"/>
          <w:lang w:val="en-GB"/>
        </w:rPr>
        <w:t>.</w:t>
      </w:r>
    </w:p>
    <w:p w14:paraId="0172DD5F" w14:textId="77777777" w:rsidR="00F12DA6" w:rsidRPr="00D348F8" w:rsidRDefault="00F12DA6" w:rsidP="005A5FFA">
      <w:pPr>
        <w:spacing w:line="480" w:lineRule="auto"/>
        <w:rPr>
          <w:rFonts w:ascii="Times New Roman" w:hAnsi="Times New Roman" w:cs="Times New Roman"/>
          <w:lang w:val="en-GB"/>
        </w:rPr>
      </w:pPr>
    </w:p>
    <w:p w14:paraId="2EA32848" w14:textId="52DC56B0" w:rsidR="001607F9" w:rsidRPr="00D348F8" w:rsidRDefault="004A701D" w:rsidP="005A5FFA">
      <w:pPr>
        <w:spacing w:line="480" w:lineRule="auto"/>
        <w:rPr>
          <w:rFonts w:ascii="Times New Roman" w:hAnsi="Times New Roman" w:cs="Times New Roman"/>
          <w:b/>
          <w:i/>
          <w:lang w:val="en-GB"/>
        </w:rPr>
      </w:pPr>
      <w:r w:rsidRPr="00D348F8">
        <w:rPr>
          <w:rFonts w:ascii="Times New Roman" w:hAnsi="Times New Roman" w:cs="Times New Roman"/>
          <w:b/>
          <w:i/>
          <w:lang w:val="en-GB"/>
        </w:rPr>
        <w:t>Systematically sampled dataset</w:t>
      </w:r>
      <w:r w:rsidR="003251D8" w:rsidRPr="00D348F8">
        <w:rPr>
          <w:rFonts w:ascii="Times New Roman" w:hAnsi="Times New Roman" w:cs="Times New Roman"/>
          <w:b/>
          <w:i/>
          <w:lang w:val="en-GB"/>
        </w:rPr>
        <w:t xml:space="preserve"> (</w:t>
      </w:r>
      <w:r w:rsidR="00715663" w:rsidRPr="00D348F8">
        <w:rPr>
          <w:rFonts w:ascii="Times New Roman" w:hAnsi="Times New Roman" w:cs="Times New Roman"/>
          <w:b/>
          <w:i/>
          <w:lang w:val="en-GB"/>
        </w:rPr>
        <w:t>DUTY</w:t>
      </w:r>
      <w:r w:rsidR="00923A9A">
        <w:rPr>
          <w:rFonts w:ascii="Times New Roman" w:hAnsi="Times New Roman" w:cs="Times New Roman"/>
          <w:b/>
          <w:i/>
          <w:lang w:val="en-GB"/>
        </w:rPr>
        <w:t xml:space="preserve"> c</w:t>
      </w:r>
      <w:r w:rsidR="003251D8" w:rsidRPr="00D348F8">
        <w:rPr>
          <w:rFonts w:ascii="Times New Roman" w:hAnsi="Times New Roman" w:cs="Times New Roman"/>
          <w:b/>
          <w:i/>
          <w:lang w:val="en-GB"/>
        </w:rPr>
        <w:t>ohort)</w:t>
      </w:r>
    </w:p>
    <w:p w14:paraId="444D106C" w14:textId="77777777" w:rsidR="001607F9" w:rsidRPr="007400ED"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A total of 6390 urine samples were obtained from the 7163 recruited children. The majority of samples (73.5%) were successfully split into two fractions and were sent to both the local NHS and central research laboratories, but there was insufficient urine for a fraction to be sent to the Central Research Laboratory in 1073 (15.0%) of cases</w:t>
      </w:r>
      <w:r w:rsidR="00785A31" w:rsidRPr="00D348F8">
        <w:rPr>
          <w:rFonts w:ascii="Times New Roman" w:hAnsi="Times New Roman" w:cs="Times New Roman"/>
          <w:lang w:val="en-GB"/>
        </w:rPr>
        <w:t xml:space="preserve"> and </w:t>
      </w:r>
      <w:r w:rsidR="00785A31" w:rsidRPr="00734E51">
        <w:rPr>
          <w:rFonts w:ascii="Times New Roman" w:eastAsiaTheme="minorHAnsi" w:hAnsi="Times New Roman" w:cs="Times New Roman"/>
          <w:lang w:val="en-GB"/>
        </w:rPr>
        <w:t>64.2% had arrived by two days, 80.4% by 3 days, and 91.1 by 4 days</w:t>
      </w:r>
      <w:r w:rsidR="00785A31" w:rsidRPr="007400ED">
        <w:rPr>
          <w:rFonts w:ascii="Times New Roman" w:hAnsi="Times New Roman" w:cs="Times New Roman"/>
          <w:lang w:val="en-GB"/>
        </w:rPr>
        <w:t>.</w:t>
      </w:r>
    </w:p>
    <w:p w14:paraId="5B7BE267" w14:textId="77777777" w:rsidR="001607F9" w:rsidRPr="00D348F8" w:rsidRDefault="001607F9" w:rsidP="005A5FFA">
      <w:pPr>
        <w:spacing w:line="480" w:lineRule="auto"/>
        <w:rPr>
          <w:rFonts w:ascii="Times New Roman" w:hAnsi="Times New Roman" w:cs="Times New Roman"/>
          <w:lang w:val="en-GB"/>
        </w:rPr>
      </w:pPr>
    </w:p>
    <w:p w14:paraId="3AA95F70" w14:textId="4602A985"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5231 (73.0%) samples were received at the Central Research Laboratory, 124 could not be processed (e.g. the sample leaked in transit or there was insufficient urine), and 5107 (71.3%) were cultured and had a ‘UTI status’ result. 94 of these sample culture results were considered to indicate a UTI according to the definition of UTI we used, giving a prevalence of 1.8%</w:t>
      </w:r>
      <w:r w:rsidR="000C6C26" w:rsidRPr="00D348F8">
        <w:rPr>
          <w:rFonts w:ascii="Times New Roman" w:hAnsi="Times New Roman" w:cs="Times New Roman"/>
          <w:lang w:val="en-GB"/>
        </w:rPr>
        <w:t>.</w:t>
      </w:r>
    </w:p>
    <w:p w14:paraId="0EBF133F" w14:textId="77777777" w:rsidR="001607F9" w:rsidRPr="00D348F8" w:rsidRDefault="001607F9" w:rsidP="005A5FFA">
      <w:pPr>
        <w:spacing w:line="480" w:lineRule="auto"/>
        <w:rPr>
          <w:rFonts w:ascii="Times New Roman" w:hAnsi="Times New Roman" w:cs="Times New Roman"/>
          <w:lang w:val="en-GB"/>
        </w:rPr>
      </w:pPr>
    </w:p>
    <w:p w14:paraId="596A4206" w14:textId="110FDC3D" w:rsidR="008963B4" w:rsidRPr="00D348F8" w:rsidRDefault="001607F9" w:rsidP="00B32FF9">
      <w:pPr>
        <w:spacing w:line="480" w:lineRule="auto"/>
        <w:rPr>
          <w:rFonts w:ascii="Times New Roman" w:hAnsi="Times New Roman" w:cs="Times New Roman"/>
          <w:lang w:val="en-GB"/>
        </w:rPr>
      </w:pPr>
      <w:r w:rsidRPr="00D348F8">
        <w:rPr>
          <w:rFonts w:ascii="Times New Roman" w:hAnsi="Times New Roman" w:cs="Times New Roman"/>
          <w:lang w:val="en-GB"/>
        </w:rPr>
        <w:t xml:space="preserve">Table 1 provides demographic features of the </w:t>
      </w:r>
      <w:r w:rsidR="00712FF2" w:rsidRPr="00D348F8">
        <w:rPr>
          <w:rFonts w:ascii="Times New Roman" w:hAnsi="Times New Roman" w:cs="Times New Roman"/>
          <w:lang w:val="en-GB"/>
        </w:rPr>
        <w:t xml:space="preserve">5107 </w:t>
      </w:r>
      <w:r w:rsidR="00E306A8" w:rsidRPr="00D348F8">
        <w:rPr>
          <w:rFonts w:ascii="Times New Roman" w:hAnsi="Times New Roman" w:cs="Times New Roman"/>
          <w:lang w:val="en-GB"/>
        </w:rPr>
        <w:t xml:space="preserve">children </w:t>
      </w:r>
      <w:r w:rsidR="00CD5B4B" w:rsidRPr="00D348F8">
        <w:rPr>
          <w:rFonts w:ascii="Times New Roman" w:hAnsi="Times New Roman" w:cs="Times New Roman"/>
          <w:lang w:val="en-GB"/>
        </w:rPr>
        <w:t>from the D</w:t>
      </w:r>
      <w:r w:rsidR="000C6C26" w:rsidRPr="00D348F8">
        <w:rPr>
          <w:rFonts w:ascii="Times New Roman" w:hAnsi="Times New Roman" w:cs="Times New Roman"/>
          <w:lang w:val="en-GB"/>
        </w:rPr>
        <w:t>UTY cohort</w:t>
      </w:r>
      <w:r w:rsidR="00CD5B4B" w:rsidRPr="00D348F8">
        <w:rPr>
          <w:rFonts w:ascii="Times New Roman" w:hAnsi="Times New Roman" w:cs="Times New Roman"/>
          <w:lang w:val="en-GB"/>
        </w:rPr>
        <w:t xml:space="preserve"> </w:t>
      </w:r>
      <w:r w:rsidR="00712FF2" w:rsidRPr="00D348F8">
        <w:rPr>
          <w:rFonts w:ascii="Times New Roman" w:hAnsi="Times New Roman" w:cs="Times New Roman"/>
          <w:lang w:val="en-GB"/>
        </w:rPr>
        <w:t>who had samples cultured in the research laboratory</w:t>
      </w:r>
      <w:r w:rsidRPr="00D348F8">
        <w:rPr>
          <w:rFonts w:ascii="Times New Roman" w:hAnsi="Times New Roman" w:cs="Times New Roman"/>
          <w:lang w:val="en-GB"/>
        </w:rPr>
        <w:t xml:space="preserve">. 19.7% (n=1006) were between 1 and 2 years old, with 8.1% (n=412) less than 6 months old. There </w:t>
      </w:r>
      <w:r w:rsidR="00F72EE1" w:rsidRPr="00D348F8">
        <w:rPr>
          <w:rFonts w:ascii="Times New Roman" w:hAnsi="Times New Roman" w:cs="Times New Roman"/>
          <w:lang w:val="en-GB"/>
        </w:rPr>
        <w:t xml:space="preserve">were </w:t>
      </w:r>
      <w:r w:rsidRPr="00D348F8">
        <w:rPr>
          <w:rFonts w:ascii="Times New Roman" w:hAnsi="Times New Roman" w:cs="Times New Roman"/>
          <w:lang w:val="en-GB"/>
        </w:rPr>
        <w:t xml:space="preserve">equal numbers </w:t>
      </w:r>
      <w:r w:rsidRPr="00D348F8">
        <w:rPr>
          <w:rFonts w:ascii="Times New Roman" w:hAnsi="Times New Roman" w:cs="Times New Roman"/>
          <w:lang w:val="en-GB"/>
        </w:rPr>
        <w:lastRenderedPageBreak/>
        <w:t xml:space="preserve">of males and females (49.1% vs. 50.9% respectively). Most were ethnically ‘white’ (82.9%, n=4235). </w:t>
      </w:r>
    </w:p>
    <w:p w14:paraId="5D8DFCE0" w14:textId="77777777" w:rsidR="00F9136B" w:rsidRPr="007400ED" w:rsidRDefault="00F9136B" w:rsidP="00B32FF9">
      <w:pPr>
        <w:spacing w:line="480" w:lineRule="auto"/>
        <w:rPr>
          <w:rFonts w:ascii="Times New Roman" w:hAnsi="Times New Roman" w:cs="Times New Roman"/>
          <w:lang w:val="en-GB"/>
        </w:rPr>
      </w:pPr>
    </w:p>
    <w:p w14:paraId="2B2B11D1" w14:textId="57CF0636" w:rsidR="00202ECF" w:rsidRDefault="007400ED" w:rsidP="00B32FF9">
      <w:pPr>
        <w:spacing w:line="480" w:lineRule="auto"/>
        <w:rPr>
          <w:rFonts w:ascii="Times New Roman" w:hAnsi="Times New Roman" w:cs="Times New Roman"/>
          <w:lang w:val="en-GB"/>
        </w:rPr>
      </w:pPr>
      <w:r w:rsidRPr="00734E51">
        <w:rPr>
          <w:rFonts w:ascii="Times New Roman" w:hAnsi="Times New Roman" w:cs="Times New Roman"/>
          <w:lang w:val="en-GB"/>
        </w:rPr>
        <w:t xml:space="preserve">Table </w:t>
      </w:r>
      <w:r w:rsidR="00724D69">
        <w:rPr>
          <w:rFonts w:ascii="Times New Roman" w:hAnsi="Times New Roman" w:cs="Times New Roman"/>
          <w:lang w:val="en-GB"/>
        </w:rPr>
        <w:t>2</w:t>
      </w:r>
      <w:r w:rsidR="00724D69" w:rsidRPr="00734E51">
        <w:rPr>
          <w:rFonts w:ascii="Times New Roman" w:hAnsi="Times New Roman" w:cs="Times New Roman"/>
          <w:lang w:val="en-GB"/>
        </w:rPr>
        <w:t xml:space="preserve"> </w:t>
      </w:r>
      <w:r w:rsidRPr="00734E51">
        <w:rPr>
          <w:rFonts w:ascii="Times New Roman" w:hAnsi="Times New Roman" w:cs="Times New Roman"/>
          <w:lang w:val="en-GB"/>
        </w:rPr>
        <w:t xml:space="preserve">shows the comparative </w:t>
      </w:r>
      <w:r>
        <w:rPr>
          <w:rFonts w:ascii="Times New Roman" w:hAnsi="Times New Roman" w:cs="Times New Roman"/>
          <w:lang w:val="en-GB"/>
        </w:rPr>
        <w:t>susceptibility</w:t>
      </w:r>
      <w:r w:rsidRPr="00734E51">
        <w:rPr>
          <w:rFonts w:ascii="Times New Roman" w:hAnsi="Times New Roman" w:cs="Times New Roman"/>
          <w:lang w:val="en-GB"/>
        </w:rPr>
        <w:t xml:space="preserve"> of </w:t>
      </w:r>
      <w:r w:rsidRPr="00734E51">
        <w:rPr>
          <w:rFonts w:ascii="Times New Roman" w:hAnsi="Times New Roman" w:cs="Times New Roman"/>
          <w:i/>
          <w:lang w:val="en-GB"/>
        </w:rPr>
        <w:t>E. coli</w:t>
      </w:r>
      <w:r w:rsidRPr="00734E51">
        <w:rPr>
          <w:rFonts w:ascii="Times New Roman" w:hAnsi="Times New Roman" w:cs="Times New Roman"/>
          <w:lang w:val="en-GB"/>
        </w:rPr>
        <w:t xml:space="preserve"> considered the causative agent for UTI isolated from community urines from across Wales in 2011, in patients aged 0-5 years inclusive (n=1458) and from urines obtained by systematically sampling</w:t>
      </w:r>
      <w:r w:rsidR="00923A9A">
        <w:rPr>
          <w:rFonts w:ascii="Times New Roman" w:hAnsi="Times New Roman" w:cs="Times New Roman"/>
          <w:lang w:val="en-GB"/>
        </w:rPr>
        <w:t xml:space="preserve"> </w:t>
      </w:r>
      <w:r w:rsidRPr="00734E51">
        <w:rPr>
          <w:rFonts w:ascii="Times New Roman" w:hAnsi="Times New Roman" w:cs="Times New Roman"/>
          <w:lang w:val="en-GB"/>
        </w:rPr>
        <w:t xml:space="preserve">children presenting to primary care with an acute illness (the DUTY study samples). </w:t>
      </w:r>
    </w:p>
    <w:p w14:paraId="0E4F682B" w14:textId="77777777" w:rsidR="004E2DDA" w:rsidRDefault="004E2DDA" w:rsidP="00B32FF9">
      <w:pPr>
        <w:spacing w:line="480" w:lineRule="auto"/>
        <w:rPr>
          <w:rFonts w:ascii="Times New Roman" w:hAnsi="Times New Roman" w:cs="Times New Roman"/>
          <w:lang w:val="en-GB"/>
        </w:rPr>
      </w:pPr>
    </w:p>
    <w:p w14:paraId="5C73D7B0" w14:textId="09090ECA" w:rsidR="008963B4" w:rsidRDefault="008963B4" w:rsidP="008963B4">
      <w:pPr>
        <w:spacing w:line="480" w:lineRule="auto"/>
        <w:rPr>
          <w:rFonts w:ascii="Times New Roman" w:hAnsi="Times New Roman" w:cs="Times New Roman"/>
          <w:lang w:val="en-GB"/>
        </w:rPr>
      </w:pPr>
      <w:r>
        <w:rPr>
          <w:rFonts w:ascii="Times New Roman" w:hAnsi="Times New Roman" w:cs="Times New Roman"/>
          <w:lang w:val="en-GB"/>
        </w:rPr>
        <w:t xml:space="preserve">The online supplementary table provides details of sensitivities to all </w:t>
      </w:r>
      <w:proofErr w:type="spellStart"/>
      <w:r w:rsidRPr="00734E51">
        <w:rPr>
          <w:rFonts w:ascii="Times New Roman" w:hAnsi="Times New Roman" w:cs="Times New Roman"/>
          <w:i/>
          <w:lang w:val="en-GB"/>
        </w:rPr>
        <w:t>Enterobacteriaceae</w:t>
      </w:r>
      <w:proofErr w:type="spellEnd"/>
      <w:r>
        <w:rPr>
          <w:rFonts w:ascii="Times New Roman" w:hAnsi="Times New Roman" w:cs="Times New Roman"/>
          <w:lang w:val="en-GB"/>
        </w:rPr>
        <w:t xml:space="preserve"> (n=94) including the </w:t>
      </w:r>
      <w:r w:rsidRPr="00734E51">
        <w:rPr>
          <w:rFonts w:ascii="Times New Roman" w:hAnsi="Times New Roman" w:cs="Times New Roman"/>
          <w:i/>
          <w:lang w:val="en-GB"/>
        </w:rPr>
        <w:t>E. coli</w:t>
      </w:r>
      <w:r>
        <w:rPr>
          <w:rFonts w:ascii="Times New Roman" w:hAnsi="Times New Roman" w:cs="Times New Roman"/>
          <w:lang w:val="en-GB"/>
        </w:rPr>
        <w:t xml:space="preserve"> (n=79) </w:t>
      </w:r>
      <w:r w:rsidRPr="00C460CE">
        <w:rPr>
          <w:rFonts w:ascii="Times New Roman" w:hAnsi="Times New Roman" w:cs="Times New Roman"/>
          <w:lang w:val="en-GB"/>
        </w:rPr>
        <w:t>cultured from urines samples of acutely unwell children (DUTY Cohort) in the first five years of life considered positive for UTI</w:t>
      </w:r>
      <w:r>
        <w:rPr>
          <w:rFonts w:ascii="Times New Roman" w:hAnsi="Times New Roman" w:cs="Times New Roman"/>
          <w:lang w:val="en-GB"/>
        </w:rPr>
        <w:t xml:space="preserve">. </w:t>
      </w:r>
    </w:p>
    <w:p w14:paraId="175BF318" w14:textId="77777777" w:rsidR="004E2DDA" w:rsidRPr="00734E51" w:rsidRDefault="004E2DDA" w:rsidP="009F1927">
      <w:pPr>
        <w:spacing w:line="480" w:lineRule="auto"/>
        <w:rPr>
          <w:rFonts w:ascii="Times New Roman" w:hAnsi="Times New Roman" w:cs="Times New Roman"/>
          <w:color w:val="1F497D"/>
          <w:lang w:val="en-GB"/>
        </w:rPr>
      </w:pPr>
    </w:p>
    <w:p w14:paraId="2E573CBE" w14:textId="77777777" w:rsidR="004151FD" w:rsidRPr="007400ED" w:rsidRDefault="004151FD" w:rsidP="00B32FF9">
      <w:pPr>
        <w:spacing w:line="480" w:lineRule="auto"/>
        <w:rPr>
          <w:rFonts w:ascii="Times New Roman" w:hAnsi="Times New Roman" w:cs="Times New Roman"/>
          <w:lang w:val="en-GB"/>
        </w:rPr>
      </w:pPr>
    </w:p>
    <w:p w14:paraId="63C2193E" w14:textId="77777777" w:rsidR="001607F9" w:rsidRPr="007400ED" w:rsidRDefault="005A5FFA" w:rsidP="005A5FFA">
      <w:pPr>
        <w:spacing w:line="480" w:lineRule="auto"/>
        <w:outlineLvl w:val="0"/>
        <w:rPr>
          <w:rFonts w:ascii="Times New Roman" w:hAnsi="Times New Roman" w:cs="Times New Roman"/>
          <w:b/>
          <w:lang w:val="en-GB"/>
        </w:rPr>
      </w:pPr>
      <w:r w:rsidRPr="007400ED">
        <w:rPr>
          <w:rFonts w:ascii="Times New Roman" w:hAnsi="Times New Roman" w:cs="Times New Roman"/>
          <w:b/>
          <w:lang w:val="en-GB"/>
        </w:rPr>
        <w:t>D</w:t>
      </w:r>
      <w:r w:rsidR="001607F9" w:rsidRPr="007400ED">
        <w:rPr>
          <w:rFonts w:ascii="Times New Roman" w:hAnsi="Times New Roman" w:cs="Times New Roman"/>
          <w:b/>
          <w:lang w:val="en-GB"/>
        </w:rPr>
        <w:t>iscussion</w:t>
      </w:r>
    </w:p>
    <w:p w14:paraId="284F3FA9" w14:textId="5D7BE719" w:rsidR="001607F9" w:rsidRPr="00D348F8" w:rsidRDefault="001D713D" w:rsidP="005A5FFA">
      <w:pPr>
        <w:spacing w:line="480" w:lineRule="auto"/>
        <w:rPr>
          <w:rFonts w:ascii="Times New Roman" w:hAnsi="Times New Roman" w:cs="Times New Roman"/>
          <w:lang w:val="en-GB"/>
        </w:rPr>
      </w:pPr>
      <w:r w:rsidRPr="00D348F8">
        <w:rPr>
          <w:rFonts w:ascii="Times New Roman" w:hAnsi="Times New Roman" w:cs="Times New Roman"/>
          <w:lang w:val="en-GB"/>
        </w:rPr>
        <w:t xml:space="preserve">Urine sampling rates from primary care are variable and may be biased towards recurrent and more severe cases, and so antibiotic </w:t>
      </w:r>
      <w:r w:rsidR="00260B58" w:rsidRPr="00D348F8">
        <w:rPr>
          <w:rFonts w:ascii="Times New Roman" w:hAnsi="Times New Roman" w:cs="Times New Roman"/>
          <w:lang w:val="en-GB"/>
        </w:rPr>
        <w:t xml:space="preserve">susceptibilities </w:t>
      </w:r>
      <w:r w:rsidRPr="00D348F8">
        <w:rPr>
          <w:rFonts w:ascii="Times New Roman" w:hAnsi="Times New Roman" w:cs="Times New Roman"/>
          <w:lang w:val="en-GB"/>
        </w:rPr>
        <w:t xml:space="preserve">from routinely submitted samples may not be representative of organisms causing urinary tract infection (UTI) in children presenting with acute illness in the course of routine care, and this may bias treatment recommendations that are based on routinely submitted samples. We found that the </w:t>
      </w:r>
      <w:r w:rsidR="00260B58" w:rsidRPr="00D348F8">
        <w:rPr>
          <w:rFonts w:ascii="Times New Roman" w:hAnsi="Times New Roman" w:cs="Times New Roman"/>
          <w:lang w:val="en-GB"/>
        </w:rPr>
        <w:t xml:space="preserve">antimicrobial </w:t>
      </w:r>
      <w:r w:rsidR="001607F9" w:rsidRPr="00D348F8">
        <w:rPr>
          <w:rFonts w:ascii="Times New Roman" w:hAnsi="Times New Roman" w:cs="Times New Roman"/>
          <w:lang w:val="en-GB"/>
        </w:rPr>
        <w:t>s</w:t>
      </w:r>
      <w:r w:rsidR="00260B58" w:rsidRPr="00D348F8">
        <w:rPr>
          <w:rFonts w:ascii="Times New Roman" w:hAnsi="Times New Roman" w:cs="Times New Roman"/>
          <w:lang w:val="en-GB"/>
        </w:rPr>
        <w:t>usceptibil</w:t>
      </w:r>
      <w:r w:rsidR="001607F9" w:rsidRPr="00D348F8">
        <w:rPr>
          <w:rFonts w:ascii="Times New Roman" w:hAnsi="Times New Roman" w:cs="Times New Roman"/>
          <w:lang w:val="en-GB"/>
        </w:rPr>
        <w:t>it</w:t>
      </w:r>
      <w:r w:rsidRPr="00D348F8">
        <w:rPr>
          <w:rFonts w:ascii="Times New Roman" w:hAnsi="Times New Roman" w:cs="Times New Roman"/>
          <w:lang w:val="en-GB"/>
        </w:rPr>
        <w:t xml:space="preserve">ies </w:t>
      </w:r>
      <w:r w:rsidR="001607F9" w:rsidRPr="00D348F8">
        <w:rPr>
          <w:rFonts w:ascii="Times New Roman" w:hAnsi="Times New Roman" w:cs="Times New Roman"/>
          <w:lang w:val="en-GB"/>
        </w:rPr>
        <w:t xml:space="preserve">of organisms considered to be causing a UTI cultured in routinely submitted samples was remarkably similar to </w:t>
      </w:r>
      <w:r w:rsidR="00260B58" w:rsidRPr="00D348F8">
        <w:rPr>
          <w:rFonts w:ascii="Times New Roman" w:hAnsi="Times New Roman" w:cs="Times New Roman"/>
          <w:lang w:val="en-GB"/>
        </w:rPr>
        <w:t xml:space="preserve">susceptibilities </w:t>
      </w:r>
      <w:r w:rsidR="001607F9" w:rsidRPr="00D348F8">
        <w:rPr>
          <w:rFonts w:ascii="Times New Roman" w:hAnsi="Times New Roman" w:cs="Times New Roman"/>
          <w:lang w:val="en-GB"/>
        </w:rPr>
        <w:t xml:space="preserve">of organisms considered to be causing a UTI cultured from urine in systematically sampled children under the age of five. Most UTIs in preschool </w:t>
      </w:r>
      <w:r w:rsidR="001607F9" w:rsidRPr="00D348F8">
        <w:rPr>
          <w:rFonts w:ascii="Times New Roman" w:hAnsi="Times New Roman" w:cs="Times New Roman"/>
          <w:lang w:val="en-GB"/>
        </w:rPr>
        <w:lastRenderedPageBreak/>
        <w:t xml:space="preserve">children remain </w:t>
      </w:r>
      <w:r w:rsidR="00260B58" w:rsidRPr="00D348F8">
        <w:rPr>
          <w:rFonts w:ascii="Times New Roman" w:hAnsi="Times New Roman" w:cs="Times New Roman"/>
          <w:lang w:val="en-GB"/>
        </w:rPr>
        <w:t xml:space="preserve">susceptible </w:t>
      </w:r>
      <w:r w:rsidR="001607F9" w:rsidRPr="00D348F8">
        <w:rPr>
          <w:rFonts w:ascii="Times New Roman" w:hAnsi="Times New Roman" w:cs="Times New Roman"/>
          <w:lang w:val="en-GB"/>
        </w:rPr>
        <w:t>to nitrofurantoin, co-</w:t>
      </w:r>
      <w:proofErr w:type="spellStart"/>
      <w:r w:rsidR="001607F9" w:rsidRPr="00D348F8">
        <w:rPr>
          <w:rFonts w:ascii="Times New Roman" w:hAnsi="Times New Roman" w:cs="Times New Roman"/>
          <w:lang w:val="en-GB"/>
        </w:rPr>
        <w:t>amoxiclav</w:t>
      </w:r>
      <w:proofErr w:type="spellEnd"/>
      <w:r w:rsidR="001607F9" w:rsidRPr="00D348F8">
        <w:rPr>
          <w:rFonts w:ascii="Times New Roman" w:hAnsi="Times New Roman" w:cs="Times New Roman"/>
          <w:lang w:val="en-GB"/>
        </w:rPr>
        <w:t xml:space="preserve"> (</w:t>
      </w:r>
      <w:r w:rsidR="00260B58" w:rsidRPr="00D348F8">
        <w:rPr>
          <w:rFonts w:ascii="Times New Roman" w:hAnsi="Times New Roman" w:cs="Times New Roman"/>
          <w:lang w:val="en-GB"/>
        </w:rPr>
        <w:t>using the urinary BP in uncomplicated UTI</w:t>
      </w:r>
      <w:r w:rsidR="001607F9" w:rsidRPr="00D348F8">
        <w:rPr>
          <w:rFonts w:ascii="Times New Roman" w:hAnsi="Times New Roman" w:cs="Times New Roman"/>
          <w:lang w:val="en-GB"/>
        </w:rPr>
        <w:t xml:space="preserve">), and cephalexin. </w:t>
      </w:r>
    </w:p>
    <w:p w14:paraId="0349EB99" w14:textId="77777777" w:rsidR="001607F9" w:rsidRPr="00D348F8" w:rsidRDefault="001607F9" w:rsidP="005A5FFA">
      <w:pPr>
        <w:spacing w:line="480" w:lineRule="auto"/>
        <w:rPr>
          <w:rFonts w:ascii="Times New Roman" w:hAnsi="Times New Roman" w:cs="Times New Roman"/>
          <w:lang w:val="en-GB"/>
        </w:rPr>
      </w:pPr>
    </w:p>
    <w:p w14:paraId="45DFFEB6" w14:textId="77777777"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Our systematically sampled data set was obtained from the largest prospective study of UTI in children presenting to primary care with acute illness. We recruited large numbers and had over 5000 centrally analysed urine result</w:t>
      </w:r>
      <w:r w:rsidR="00112143" w:rsidRPr="00D348F8">
        <w:rPr>
          <w:rFonts w:ascii="Times New Roman" w:hAnsi="Times New Roman" w:cs="Times New Roman"/>
          <w:lang w:val="en-GB"/>
        </w:rPr>
        <w:t>s</w:t>
      </w:r>
      <w:r w:rsidRPr="00D348F8">
        <w:rPr>
          <w:rFonts w:ascii="Times New Roman" w:hAnsi="Times New Roman" w:cs="Times New Roman"/>
          <w:lang w:val="en-GB"/>
        </w:rPr>
        <w:t>. All of these urine samples were processed according to the same standard operating procedures, and cultured using sensitive methods.</w:t>
      </w:r>
    </w:p>
    <w:p w14:paraId="3D3B5374" w14:textId="77777777" w:rsidR="001607F9" w:rsidRPr="00D348F8" w:rsidRDefault="001607F9" w:rsidP="005A5FFA">
      <w:pPr>
        <w:spacing w:line="480" w:lineRule="auto"/>
        <w:rPr>
          <w:rFonts w:ascii="Times New Roman" w:hAnsi="Times New Roman" w:cs="Times New Roman"/>
          <w:lang w:val="en-GB"/>
        </w:rPr>
      </w:pPr>
    </w:p>
    <w:p w14:paraId="27FD50A0" w14:textId="3C2E1B1C" w:rsidR="001607F9" w:rsidRPr="00D348F8" w:rsidRDefault="001607F9" w:rsidP="005A5FFA">
      <w:pPr>
        <w:spacing w:line="480" w:lineRule="auto"/>
        <w:rPr>
          <w:rFonts w:ascii="Times New Roman" w:hAnsi="Times New Roman" w:cs="Times New Roman"/>
          <w:lang w:val="en-GB"/>
        </w:rPr>
      </w:pPr>
      <w:r w:rsidRPr="00D348F8">
        <w:rPr>
          <w:rFonts w:ascii="Times New Roman" w:hAnsi="Times New Roman" w:cs="Times New Roman"/>
          <w:lang w:val="en-GB"/>
        </w:rPr>
        <w:t xml:space="preserve">For the analysis presented in this paper, we based our definition of a microbiologically diagnosed UTI on culture results and did not include clinical factors in this definition. </w:t>
      </w:r>
      <w:r w:rsidR="009E3B43" w:rsidRPr="00D348F8">
        <w:rPr>
          <w:rFonts w:ascii="Times New Roman" w:hAnsi="Times New Roman" w:cs="Times New Roman"/>
          <w:lang w:val="en-GB"/>
        </w:rPr>
        <w:t xml:space="preserve">Our UTI prevalence (1.8%) was lower than </w:t>
      </w:r>
      <w:r w:rsidR="001B2C6D" w:rsidRPr="00D348F8">
        <w:rPr>
          <w:rFonts w:ascii="Times New Roman" w:hAnsi="Times New Roman" w:cs="Times New Roman"/>
          <w:lang w:val="en-GB"/>
        </w:rPr>
        <w:t xml:space="preserve">found in </w:t>
      </w:r>
      <w:r w:rsidR="009E3B43" w:rsidRPr="00D348F8">
        <w:rPr>
          <w:rFonts w:ascii="Times New Roman" w:hAnsi="Times New Roman" w:cs="Times New Roman"/>
          <w:lang w:val="en-GB"/>
        </w:rPr>
        <w:t>previous studies.</w:t>
      </w:r>
      <w:r w:rsidR="00FB34F4" w:rsidRPr="00D348F8">
        <w:rPr>
          <w:rFonts w:ascii="Times New Roman" w:hAnsi="Times New Roman" w:cs="Times New Roman"/>
          <w:lang w:val="en-GB"/>
        </w:rPr>
        <w:fldChar w:fldCharType="begin"/>
      </w:r>
      <w:r w:rsidR="001B2C6D" w:rsidRPr="00D348F8">
        <w:rPr>
          <w:rFonts w:ascii="Times New Roman" w:hAnsi="Times New Roman" w:cs="Times New Roman"/>
          <w:lang w:val="en-GB"/>
        </w:rPr>
        <w:instrText xml:space="preserve"> ADDIN EN.CITE &lt;EndNote&gt;&lt;Cite&gt;&lt;Author&gt;O’Brien&lt;/Author&gt;&lt;Year&gt;2013&lt;/Year&gt;&lt;RecNum&gt;42&lt;/RecNum&gt;&lt;DisplayText&gt;(13)&lt;/DisplayText&gt;&lt;record&gt;&lt;rec-number&gt;42&lt;/rec-number&gt;&lt;foreign-keys&gt;&lt;key app="EN" db-id="epeda5tewtzr2hea0vp5wr0e0pr55frvd0zz" timestamp="1403269067"&gt;42&lt;/key&gt;&lt;/foreign-keys&gt;&lt;ref-type name="Journal Article"&gt;17&lt;/ref-type&gt;&lt;contributors&gt;&lt;authors&gt;&lt;author&gt;O’Brien, Kathryn&lt;/author&gt;&lt;author&gt;Edwards, Adrian&lt;/author&gt;&lt;author&gt;Hood, Kerenza&lt;/author&gt;&lt;author&gt;Butler, Christopher C&lt;/author&gt;&lt;/authors&gt;&lt;/contributors&gt;&lt;titles&gt;&lt;title&gt;Prevalence of urinary tract infection in acutely unwell children in general practice: a prospective study with systematic urine sampling&lt;/title&gt;&lt;secondary-title&gt;British Journal of General Practice&lt;/secondary-title&gt;&lt;/titles&gt;&lt;periodical&gt;&lt;full-title&gt;British Journal of General Practice&lt;/full-title&gt;&lt;/periodical&gt;&lt;pages&gt;e156-e164&lt;/pages&gt;&lt;volume&gt;63&lt;/volume&gt;&lt;number&gt;607&lt;/number&gt;&lt;dates&gt;&lt;year&gt;2013&lt;/year&gt;&lt;pub-dates&gt;&lt;date&gt;February 1, 2013&lt;/date&gt;&lt;/pub-dates&gt;&lt;/dates&gt;&lt;urls&gt;&lt;related-urls&gt;&lt;url&gt;http://bjgp.org/content/63/607/e156.abstract&lt;/url&gt;&lt;/related-urls&gt;&lt;/urls&gt;&lt;electronic-resource-num&gt;10.3399/bjgp13X663127&lt;/electronic-resource-num&gt;&lt;/record&gt;&lt;/Cite&gt;&lt;/EndNote&gt;</w:instrText>
      </w:r>
      <w:r w:rsidR="00FB34F4" w:rsidRPr="00D348F8">
        <w:rPr>
          <w:rFonts w:ascii="Times New Roman" w:hAnsi="Times New Roman" w:cs="Times New Roman"/>
          <w:lang w:val="en-GB"/>
        </w:rPr>
        <w:fldChar w:fldCharType="separate"/>
      </w:r>
      <w:r w:rsidR="001B2C6D" w:rsidRPr="00734E51">
        <w:rPr>
          <w:rFonts w:ascii="Times New Roman" w:hAnsi="Times New Roman" w:cs="Times New Roman"/>
          <w:lang w:val="en-GB"/>
        </w:rPr>
        <w:t>(</w:t>
      </w:r>
      <w:hyperlink w:history="1">
        <w:r w:rsidR="00612B01" w:rsidRPr="00734E51">
          <w:rPr>
            <w:rFonts w:ascii="Times New Roman" w:hAnsi="Times New Roman" w:cs="Times New Roman"/>
            <w:lang w:val="en-GB"/>
          </w:rPr>
          <w:t>13</w:t>
        </w:r>
      </w:hyperlink>
      <w:r w:rsidR="001B2C6D" w:rsidRPr="00734E51">
        <w:rPr>
          <w:rFonts w:ascii="Times New Roman" w:hAnsi="Times New Roman" w:cs="Times New Roman"/>
          <w:lang w:val="en-GB"/>
        </w:rPr>
        <w:t>)</w:t>
      </w:r>
      <w:r w:rsidR="00FB34F4" w:rsidRPr="00D348F8">
        <w:rPr>
          <w:rFonts w:ascii="Times New Roman" w:hAnsi="Times New Roman" w:cs="Times New Roman"/>
          <w:lang w:val="en-GB"/>
        </w:rPr>
        <w:fldChar w:fldCharType="end"/>
      </w:r>
      <w:r w:rsidR="009E3B43" w:rsidRPr="00D348F8">
        <w:rPr>
          <w:rFonts w:ascii="Times New Roman" w:hAnsi="Times New Roman" w:cs="Times New Roman"/>
          <w:lang w:val="en-GB"/>
        </w:rPr>
        <w:t xml:space="preserve"> </w:t>
      </w:r>
      <w:r w:rsidR="001B2C6D" w:rsidRPr="00D348F8">
        <w:rPr>
          <w:rFonts w:ascii="Times New Roman" w:hAnsi="Times New Roman" w:cs="Times New Roman"/>
          <w:lang w:val="en-GB"/>
        </w:rPr>
        <w:t xml:space="preserve"> Our definition included only significant growths of </w:t>
      </w:r>
      <w:proofErr w:type="spellStart"/>
      <w:r w:rsidR="001B2C6D" w:rsidRPr="00D348F8">
        <w:rPr>
          <w:rFonts w:ascii="Times New Roman" w:hAnsi="Times New Roman" w:cs="Times New Roman"/>
          <w:lang w:val="en-GB"/>
        </w:rPr>
        <w:t>Enterobacteriaceae</w:t>
      </w:r>
      <w:proofErr w:type="spellEnd"/>
      <w:r w:rsidR="001B2C6D" w:rsidRPr="00D348F8">
        <w:rPr>
          <w:rFonts w:ascii="Times New Roman" w:hAnsi="Times New Roman" w:cs="Times New Roman"/>
          <w:lang w:val="en-GB"/>
        </w:rPr>
        <w:t xml:space="preserve"> </w:t>
      </w:r>
      <w:r w:rsidR="007400ED" w:rsidRPr="00D348F8">
        <w:rPr>
          <w:rFonts w:ascii="Times New Roman" w:hAnsi="Times New Roman" w:cs="Times New Roman"/>
          <w:lang w:val="en-GB"/>
        </w:rPr>
        <w:t>UTI, which</w:t>
      </w:r>
      <w:r w:rsidR="001B2C6D" w:rsidRPr="00D348F8">
        <w:rPr>
          <w:rFonts w:ascii="Times New Roman" w:hAnsi="Times New Roman" w:cs="Times New Roman"/>
          <w:lang w:val="en-GB"/>
        </w:rPr>
        <w:t xml:space="preserve"> may have missed some UTI caused by non-</w:t>
      </w:r>
      <w:proofErr w:type="spellStart"/>
      <w:r w:rsidR="001B2C6D" w:rsidRPr="00D348F8">
        <w:rPr>
          <w:rFonts w:ascii="Times New Roman" w:hAnsi="Times New Roman" w:cs="Times New Roman"/>
          <w:lang w:val="en-GB"/>
        </w:rPr>
        <w:t>Enterobacteriaceae</w:t>
      </w:r>
      <w:proofErr w:type="spellEnd"/>
      <w:r w:rsidR="001B2C6D" w:rsidRPr="00D348F8">
        <w:rPr>
          <w:rFonts w:ascii="Times New Roman" w:hAnsi="Times New Roman" w:cs="Times New Roman"/>
          <w:lang w:val="en-GB"/>
        </w:rPr>
        <w:t xml:space="preserve">.  </w:t>
      </w:r>
      <w:r w:rsidRPr="00D348F8">
        <w:rPr>
          <w:rFonts w:ascii="Times New Roman" w:hAnsi="Times New Roman" w:cs="Times New Roman"/>
          <w:lang w:val="en-GB"/>
        </w:rPr>
        <w:t xml:space="preserve">Urine samples were often difficult to obtain and the nappy pad method was commonly used in the younger children, and this may be associated with greater levels of contamination and increased risk of false negative </w:t>
      </w:r>
      <w:r w:rsidR="00112143" w:rsidRPr="00D348F8">
        <w:rPr>
          <w:rFonts w:ascii="Times New Roman" w:hAnsi="Times New Roman" w:cs="Times New Roman"/>
          <w:lang w:val="en-GB"/>
        </w:rPr>
        <w:t xml:space="preserve">and false positive </w:t>
      </w:r>
      <w:r w:rsidRPr="00D348F8">
        <w:rPr>
          <w:rFonts w:ascii="Times New Roman" w:hAnsi="Times New Roman" w:cs="Times New Roman"/>
          <w:lang w:val="en-GB"/>
        </w:rPr>
        <w:t xml:space="preserve">results. </w:t>
      </w:r>
      <w:r w:rsidR="009E3B43" w:rsidRPr="00D348F8">
        <w:rPr>
          <w:rFonts w:ascii="Times New Roman" w:hAnsi="Times New Roman" w:cs="Times New Roman"/>
          <w:lang w:val="en-GB"/>
        </w:rPr>
        <w:t>Some urine volumes were insufficient</w:t>
      </w:r>
      <w:r w:rsidR="001B2C6D" w:rsidRPr="00D348F8">
        <w:rPr>
          <w:rFonts w:ascii="Times New Roman" w:hAnsi="Times New Roman" w:cs="Times New Roman"/>
          <w:lang w:val="en-GB"/>
        </w:rPr>
        <w:t xml:space="preserve"> to be split to allow</w:t>
      </w:r>
      <w:r w:rsidR="009E3B43" w:rsidRPr="00D348F8">
        <w:rPr>
          <w:rFonts w:ascii="Times New Roman" w:hAnsi="Times New Roman" w:cs="Times New Roman"/>
          <w:lang w:val="en-GB"/>
        </w:rPr>
        <w:t xml:space="preserve"> for Research Laboratory analysis</w:t>
      </w:r>
      <w:r w:rsidR="004151FD" w:rsidRPr="00D348F8">
        <w:rPr>
          <w:rFonts w:ascii="Times New Roman" w:hAnsi="Times New Roman" w:cs="Times New Roman"/>
          <w:lang w:val="en-GB"/>
        </w:rPr>
        <w:t>,</w:t>
      </w:r>
      <w:r w:rsidR="001B2C6D" w:rsidRPr="00D348F8">
        <w:rPr>
          <w:rFonts w:ascii="Times New Roman" w:hAnsi="Times New Roman" w:cs="Times New Roman"/>
          <w:lang w:val="en-GB"/>
        </w:rPr>
        <w:t xml:space="preserve"> </w:t>
      </w:r>
      <w:r w:rsidR="009E3B43" w:rsidRPr="00D348F8">
        <w:rPr>
          <w:rFonts w:ascii="Times New Roman" w:hAnsi="Times New Roman" w:cs="Times New Roman"/>
          <w:lang w:val="en-GB"/>
        </w:rPr>
        <w:t xml:space="preserve">which may have resulted in </w:t>
      </w:r>
      <w:r w:rsidR="00785A31" w:rsidRPr="00D348F8">
        <w:rPr>
          <w:rFonts w:ascii="Times New Roman" w:hAnsi="Times New Roman" w:cs="Times New Roman"/>
          <w:lang w:val="en-GB"/>
        </w:rPr>
        <w:t xml:space="preserve">risk of </w:t>
      </w:r>
      <w:r w:rsidR="009E3B43" w:rsidRPr="00D348F8">
        <w:rPr>
          <w:rFonts w:ascii="Times New Roman" w:hAnsi="Times New Roman" w:cs="Times New Roman"/>
          <w:lang w:val="en-GB"/>
        </w:rPr>
        <w:t xml:space="preserve">selection bias. </w:t>
      </w:r>
      <w:r w:rsidRPr="00D348F8">
        <w:rPr>
          <w:rFonts w:ascii="Times New Roman" w:hAnsi="Times New Roman" w:cs="Times New Roman"/>
          <w:lang w:val="en-GB"/>
        </w:rPr>
        <w:t xml:space="preserve">We did not use methods such as suprapubic aspiration or catheterisation, as these are not feasible for large numbers of children in primary care. Urine samples were transported to the Central Research Laboratory by post and </w:t>
      </w:r>
      <w:r w:rsidR="00785A31" w:rsidRPr="00D348F8">
        <w:rPr>
          <w:rFonts w:ascii="Times New Roman" w:hAnsi="Times New Roman" w:cs="Times New Roman"/>
          <w:lang w:val="en-GB"/>
        </w:rPr>
        <w:t xml:space="preserve">most had </w:t>
      </w:r>
      <w:r w:rsidRPr="00D348F8">
        <w:rPr>
          <w:rFonts w:ascii="Times New Roman" w:hAnsi="Times New Roman" w:cs="Times New Roman"/>
          <w:lang w:val="en-GB"/>
        </w:rPr>
        <w:t xml:space="preserve">arrived in the lab </w:t>
      </w:r>
      <w:r w:rsidR="00785A31" w:rsidRPr="00D348F8">
        <w:rPr>
          <w:rFonts w:ascii="Times New Roman" w:hAnsi="Times New Roman" w:cs="Times New Roman"/>
          <w:lang w:val="en-GB"/>
        </w:rPr>
        <w:t>by</w:t>
      </w:r>
      <w:r w:rsidRPr="00D348F8">
        <w:rPr>
          <w:rFonts w:ascii="Times New Roman" w:hAnsi="Times New Roman" w:cs="Times New Roman"/>
          <w:lang w:val="en-GB"/>
        </w:rPr>
        <w:t xml:space="preserve"> 2 days after the sample was taken.</w:t>
      </w:r>
    </w:p>
    <w:p w14:paraId="3C0AC88A" w14:textId="77777777" w:rsidR="001607F9" w:rsidRPr="00D348F8" w:rsidRDefault="001607F9" w:rsidP="005A5FFA">
      <w:pPr>
        <w:spacing w:line="480" w:lineRule="auto"/>
        <w:rPr>
          <w:rFonts w:ascii="Times New Roman" w:hAnsi="Times New Roman" w:cs="Times New Roman"/>
          <w:lang w:val="en-GB"/>
        </w:rPr>
      </w:pPr>
    </w:p>
    <w:p w14:paraId="04BC3BBD" w14:textId="77777777" w:rsidR="001607F9" w:rsidRPr="00D348F8" w:rsidRDefault="001607F9" w:rsidP="005A5FFA">
      <w:pPr>
        <w:spacing w:line="480" w:lineRule="auto"/>
        <w:rPr>
          <w:rFonts w:ascii="Times New Roman" w:hAnsi="Times New Roman" w:cs="Times New Roman"/>
          <w:lang w:val="en-GB"/>
        </w:rPr>
      </w:pPr>
      <w:proofErr w:type="spellStart"/>
      <w:r w:rsidRPr="00D348F8">
        <w:rPr>
          <w:rFonts w:ascii="Times New Roman" w:hAnsi="Times New Roman" w:cs="Times New Roman"/>
          <w:lang w:val="en-GB"/>
        </w:rPr>
        <w:lastRenderedPageBreak/>
        <w:t>Heginbothom</w:t>
      </w:r>
      <w:proofErr w:type="spellEnd"/>
      <w:r w:rsidRPr="00D348F8">
        <w:rPr>
          <w:rFonts w:ascii="Times New Roman" w:hAnsi="Times New Roman" w:cs="Times New Roman"/>
          <w:lang w:val="en-GB"/>
        </w:rPr>
        <w:t xml:space="preserve"> and colleagues found no evidence that screening and duplicate samples materially affected estimates of levels of resistance in routinely submitted samples for all age groups.</w:t>
      </w:r>
      <w:r w:rsidR="00FB34F4" w:rsidRPr="00D348F8">
        <w:rPr>
          <w:rFonts w:ascii="Times New Roman" w:hAnsi="Times New Roman" w:cs="Times New Roman"/>
          <w:lang w:val="en-GB"/>
        </w:rPr>
        <w:fldChar w:fldCharType="begin"/>
      </w:r>
      <w:r w:rsidR="001B2C6D" w:rsidRPr="00D348F8">
        <w:rPr>
          <w:rFonts w:ascii="Times New Roman" w:hAnsi="Times New Roman" w:cs="Times New Roman"/>
          <w:lang w:val="en-GB"/>
        </w:rPr>
        <w:instrText xml:space="preserve"> ADDIN EN.CITE &lt;EndNote&gt;&lt;Cite&gt;&lt;Author&gt;Heginbothom&lt;/Author&gt;&lt;Year&gt;2004&lt;/Year&gt;&lt;RecNum&gt;645&lt;/RecNum&gt;&lt;DisplayText&gt;(14)&lt;/DisplayText&gt;&lt;record&gt;&lt;rec-number&gt;645&lt;/rec-number&gt;&lt;foreign-keys&gt;&lt;key app="EN" db-id="90exf5z9rvrz2yersrppfstqrdx2sxw5psze" timestamp="1396886016"&gt;645&lt;/key&gt;&lt;/foreign-keys&gt;&lt;ref-type name="Journal Article"&gt;17&lt;/ref-type&gt;&lt;contributors&gt;&lt;authors&gt;&lt;author&gt;Heginbothom, Margaret L.&lt;/author&gt;&lt;author&gt;Magee, J. T.&lt;/author&gt;&lt;author&gt;Bell, Joanna L.&lt;/author&gt;&lt;author&gt;Dunstan, F. D. J.&lt;/author&gt;&lt;author&gt;Howard, A. J.&lt;/author&gt;&lt;author&gt;Hillier, Sharon L.&lt;/author&gt;&lt;author&gt;Palmer, S. R.&lt;/author&gt;&lt;author&gt;Mason, B. W.&lt;/author&gt;&lt;author&gt;on behalf of the Welsh Antibiotic Study Group&lt;/author&gt;&lt;/authors&gt;&lt;/contributors&gt;&lt;titles&gt;&lt;title&gt;Laboratory testing policies and their effects on routine surveillance of community antimicrobial resistance&lt;/title&gt;&lt;secondary-title&gt;Journal of Antimicrobial Chemotherapy&lt;/secondary-title&gt;&lt;/titles&gt;&lt;periodical&gt;&lt;full-title&gt;Journal of Antimicrobial Chemotherapy&lt;/full-title&gt;&lt;abbr-1&gt;J Antimicrob Chemother&lt;/abbr-1&gt;&lt;/periodical&gt;&lt;pages&gt;1010-1017&lt;/pages&gt;&lt;volume&gt;53&lt;/volume&gt;&lt;number&gt;6&lt;/number&gt;&lt;dates&gt;&lt;year&gt;2004&lt;/year&gt;&lt;pub-dates&gt;&lt;date&gt;June 1, 2004&lt;/date&gt;&lt;/pub-dates&gt;&lt;/dates&gt;&lt;urls&gt;&lt;related-urls&gt;&lt;url&gt;http://jac.oxfordjournals.org/content/53/6/1010.abstract&lt;/url&gt;&lt;/related-urls&gt;&lt;/urls&gt;&lt;electronic-resource-num&gt;10.1093/jac/dkh229&lt;/electronic-resource-num&gt;&lt;/record&gt;&lt;/Cite&gt;&lt;/EndNote&gt;</w:instrText>
      </w:r>
      <w:r w:rsidR="00FB34F4" w:rsidRPr="00D348F8">
        <w:rPr>
          <w:rFonts w:ascii="Times New Roman" w:hAnsi="Times New Roman" w:cs="Times New Roman"/>
          <w:lang w:val="en-GB"/>
        </w:rPr>
        <w:fldChar w:fldCharType="separate"/>
      </w:r>
      <w:r w:rsidR="001B2C6D" w:rsidRPr="00734E51">
        <w:rPr>
          <w:rFonts w:ascii="Times New Roman" w:hAnsi="Times New Roman" w:cs="Times New Roman"/>
          <w:lang w:val="en-GB"/>
        </w:rPr>
        <w:t>(</w:t>
      </w:r>
      <w:hyperlink w:anchor="_ENREF_14" w:tooltip="Heginbothom, 2004 #645" w:history="1">
        <w:r w:rsidR="00612B01" w:rsidRPr="00734E51">
          <w:rPr>
            <w:rFonts w:ascii="Times New Roman" w:hAnsi="Times New Roman" w:cs="Times New Roman"/>
            <w:lang w:val="en-GB"/>
          </w:rPr>
          <w:t>14</w:t>
        </w:r>
      </w:hyperlink>
      <w:r w:rsidR="001B2C6D" w:rsidRPr="00734E51">
        <w:rPr>
          <w:rFonts w:ascii="Times New Roman" w:hAnsi="Times New Roman" w:cs="Times New Roman"/>
          <w:lang w:val="en-GB"/>
        </w:rPr>
        <w:t>)</w:t>
      </w:r>
      <w:r w:rsidR="00FB34F4" w:rsidRPr="00D348F8">
        <w:rPr>
          <w:rFonts w:ascii="Times New Roman" w:hAnsi="Times New Roman" w:cs="Times New Roman"/>
          <w:lang w:val="en-GB"/>
        </w:rPr>
        <w:fldChar w:fldCharType="end"/>
      </w:r>
      <w:r w:rsidRPr="00D348F8">
        <w:rPr>
          <w:rFonts w:ascii="Times New Roman" w:hAnsi="Times New Roman" w:cs="Times New Roman"/>
          <w:lang w:val="en-GB"/>
        </w:rPr>
        <w:t xml:space="preserve"> We are not aware of any study that has compared the culture results of systematically sampled urines from acutely unwell children who are found to</w:t>
      </w:r>
      <w:r w:rsidR="001300DA" w:rsidRPr="00D348F8">
        <w:rPr>
          <w:rFonts w:ascii="Times New Roman" w:hAnsi="Times New Roman" w:cs="Times New Roman"/>
          <w:lang w:val="en-GB"/>
        </w:rPr>
        <w:t xml:space="preserve"> have </w:t>
      </w:r>
      <w:r w:rsidRPr="00D348F8">
        <w:rPr>
          <w:rFonts w:ascii="Times New Roman" w:hAnsi="Times New Roman" w:cs="Times New Roman"/>
          <w:lang w:val="en-GB"/>
        </w:rPr>
        <w:t>laboratory proven UTI with data derived from samples submitted during the course of routine care.</w:t>
      </w:r>
    </w:p>
    <w:p w14:paraId="444C80D3" w14:textId="77777777" w:rsidR="001607F9" w:rsidRPr="00D348F8" w:rsidRDefault="001607F9" w:rsidP="005A5FFA">
      <w:pPr>
        <w:spacing w:line="480" w:lineRule="auto"/>
        <w:rPr>
          <w:rFonts w:ascii="Times New Roman" w:hAnsi="Times New Roman" w:cs="Times New Roman"/>
          <w:lang w:val="en-GB"/>
        </w:rPr>
      </w:pPr>
    </w:p>
    <w:p w14:paraId="45F6FD36" w14:textId="07BAD6D0" w:rsidR="001607F9" w:rsidRPr="00734E51" w:rsidRDefault="001607F9" w:rsidP="005A5FFA">
      <w:pPr>
        <w:widowControl w:val="0"/>
        <w:tabs>
          <w:tab w:val="left" w:pos="1410"/>
        </w:tabs>
        <w:autoSpaceDE w:val="0"/>
        <w:autoSpaceDN w:val="0"/>
        <w:adjustRightInd w:val="0"/>
        <w:spacing w:line="480" w:lineRule="auto"/>
        <w:rPr>
          <w:rFonts w:ascii="Times New Roman" w:eastAsiaTheme="minorHAnsi" w:hAnsi="Times New Roman" w:cs="Times New Roman"/>
          <w:color w:val="262626"/>
          <w:lang w:val="en-GB"/>
        </w:rPr>
      </w:pPr>
      <w:r w:rsidRPr="00734E51">
        <w:rPr>
          <w:rFonts w:ascii="Times New Roman" w:hAnsi="Times New Roman" w:cs="Times New Roman"/>
          <w:lang w:val="en-GB"/>
        </w:rPr>
        <w:t>NICE guidelines for managing children u</w:t>
      </w:r>
      <w:r w:rsidRPr="00734E51">
        <w:rPr>
          <w:rFonts w:ascii="Times New Roman" w:eastAsiaTheme="minorHAnsi" w:hAnsi="Times New Roman" w:cs="Times New Roman"/>
          <w:lang w:val="en-GB"/>
        </w:rPr>
        <w:t>nder 3 months and those with suspected upper urinary tract infection state "consider referral and treat with 7 to 10 days of oral antibiotic such as co-</w:t>
      </w:r>
      <w:proofErr w:type="spellStart"/>
      <w:r w:rsidRPr="00734E51">
        <w:rPr>
          <w:rFonts w:ascii="Times New Roman" w:eastAsiaTheme="minorHAnsi" w:hAnsi="Times New Roman" w:cs="Times New Roman"/>
          <w:lang w:val="en-GB"/>
        </w:rPr>
        <w:t>amoxiclav</w:t>
      </w:r>
      <w:proofErr w:type="spellEnd"/>
      <w:r w:rsidRPr="00734E51">
        <w:rPr>
          <w:rFonts w:ascii="Times New Roman" w:eastAsiaTheme="minorHAnsi" w:hAnsi="Times New Roman" w:cs="Times New Roman"/>
          <w:lang w:val="en-GB"/>
        </w:rPr>
        <w:t xml:space="preserve"> or cephalosporin (IV if oral not possible)". For older children and those with lower UTI, NICE recommends treating with oral antibiotics for 3 days, and that “the choice of antibiotics should be directed by locally developed multidisciplinary guidance. Trimethoprim, nitrofurantoin, cephalosporin or amoxicillin may be suitable.”</w:t>
      </w:r>
      <w:r w:rsidR="00FB34F4" w:rsidRPr="00734E51">
        <w:rPr>
          <w:rFonts w:ascii="Times New Roman" w:eastAsiaTheme="minorHAnsi" w:hAnsi="Times New Roman" w:cs="Times New Roman"/>
          <w:lang w:val="en-GB"/>
        </w:rPr>
        <w:fldChar w:fldCharType="begin"/>
      </w:r>
      <w:r w:rsidR="007D43DC" w:rsidRPr="00734E51">
        <w:rPr>
          <w:rFonts w:ascii="Times New Roman" w:eastAsiaTheme="minorHAnsi" w:hAnsi="Times New Roman" w:cs="Times New Roman"/>
          <w:lang w:val="en-GB"/>
        </w:rPr>
        <w:instrText xml:space="preserve"> ADDIN EN.CITE &lt;EndNote&gt;&lt;Cite&gt;&lt;Author&gt;NICE&lt;/Author&gt;&lt;Year&gt;2007&lt;/Year&gt;&lt;RecNum&gt;218&lt;/RecNum&gt;&lt;DisplayText&gt;(1)&lt;/DisplayText&gt;&lt;record&gt;&lt;rec-number&gt;218&lt;/rec-number&gt;&lt;foreign-keys&gt;&lt;key app="EN" db-id="90exf5z9rvrz2yersrppfstqrdx2sxw5psze" timestamp="1335798890"&gt;218&lt;/key&gt;&lt;/foreign-keys&gt;&lt;ref-type name="Web Page"&gt;12&lt;/ref-type&gt;&lt;contributors&gt;&lt;authors&gt;&lt;author&gt;NICE&lt;/author&gt;&lt;/authors&gt;&lt;/contributors&gt;&lt;titles&gt;&lt;title&gt;Urinary tract infection in children: diagnosis, treatment and long-term management. CG54.&lt;/title&gt;&lt;/titles&gt;&lt;dates&gt;&lt;year&gt;2007&lt;/year&gt;&lt;/dates&gt;&lt;pub-location&gt;London&lt;/pub-location&gt;&lt;publisher&gt;National Institute for Health and Care Excellence&lt;/publisher&gt;&lt;work-type&gt;Clinical guideline&lt;/work-type&gt;&lt;urls&gt;&lt;related-urls&gt;&lt;url&gt;http://guidance.nice.org.uk/CG054&lt;/url&gt;&lt;/related-urls&gt;&lt;/urls&gt;&lt;custom1&gt;2013&lt;/custom1&gt;&lt;/record&gt;&lt;/Cite&gt;&lt;/EndNote&gt;</w:instrText>
      </w:r>
      <w:r w:rsidR="00FB34F4" w:rsidRPr="00734E51">
        <w:rPr>
          <w:rFonts w:ascii="Times New Roman" w:eastAsiaTheme="minorHAnsi" w:hAnsi="Times New Roman" w:cs="Times New Roman"/>
          <w:lang w:val="en-GB"/>
        </w:rPr>
        <w:fldChar w:fldCharType="separate"/>
      </w:r>
      <w:r w:rsidR="007D43DC" w:rsidRPr="00734E51">
        <w:rPr>
          <w:rFonts w:ascii="Times New Roman" w:eastAsiaTheme="minorHAnsi" w:hAnsi="Times New Roman" w:cs="Times New Roman"/>
          <w:lang w:val="en-GB"/>
        </w:rPr>
        <w:t>(</w:t>
      </w:r>
      <w:hyperlink w:anchor="_ENREF_1" w:tooltip="NICE, 2007 #218" w:history="1">
        <w:r w:rsidR="00612B01" w:rsidRPr="00734E51">
          <w:rPr>
            <w:rFonts w:ascii="Times New Roman" w:eastAsiaTheme="minorHAnsi" w:hAnsi="Times New Roman" w:cs="Times New Roman"/>
            <w:lang w:val="en-GB"/>
          </w:rPr>
          <w:t>1</w:t>
        </w:r>
      </w:hyperlink>
      <w:r w:rsidR="007D43DC"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Pr="00734E51">
        <w:rPr>
          <w:rFonts w:ascii="Times New Roman" w:hAnsi="Times New Roman" w:cs="Times New Roman"/>
          <w:lang w:val="en-GB"/>
        </w:rPr>
        <w:t xml:space="preserve"> </w:t>
      </w:r>
      <w:r w:rsidR="00764D31" w:rsidRPr="00734E51">
        <w:rPr>
          <w:rFonts w:ascii="Times New Roman" w:hAnsi="Times New Roman" w:cs="Times New Roman"/>
          <w:lang w:val="en-GB"/>
        </w:rPr>
        <w:t xml:space="preserve">High rates of resistance to amoxicillin should be borne in mind when making decisions about empiric therapy.  </w:t>
      </w:r>
      <w:r w:rsidRPr="00734E51">
        <w:rPr>
          <w:rFonts w:ascii="Times New Roman" w:hAnsi="Times New Roman" w:cs="Times New Roman"/>
          <w:lang w:val="en-GB"/>
        </w:rPr>
        <w:t xml:space="preserve">The American Academy of </w:t>
      </w:r>
      <w:proofErr w:type="spellStart"/>
      <w:r w:rsidRPr="00734E51">
        <w:rPr>
          <w:rFonts w:ascii="Times New Roman" w:hAnsi="Times New Roman" w:cs="Times New Roman"/>
          <w:lang w:val="en-GB"/>
        </w:rPr>
        <w:t>Pediatrics</w:t>
      </w:r>
      <w:proofErr w:type="spellEnd"/>
      <w:r w:rsidRPr="00734E51">
        <w:rPr>
          <w:rFonts w:ascii="Times New Roman" w:hAnsi="Times New Roman" w:cs="Times New Roman"/>
          <w:lang w:val="en-GB"/>
        </w:rPr>
        <w:t xml:space="preserve"> clinical practice guideline for the diagnosis and management of the initial UTI in febrile infants and children 2 to 24 months states that the </w:t>
      </w:r>
      <w:r w:rsidRPr="00734E51">
        <w:rPr>
          <w:rFonts w:ascii="Times New Roman" w:eastAsiaTheme="minorHAnsi" w:hAnsi="Times New Roman" w:cs="Times New Roman"/>
          <w:lang w:val="en-GB"/>
        </w:rPr>
        <w:t xml:space="preserve">usual choices for oral treatment of UTIs include a cephalosporin, amoxicillin plus clavulanic acid, or trimethoprim- sulfamethoxazole, but recommend against nitrofurantoin because serum and parenchymal antimicrobial concentrations may be insufficient to treat pyelonephritis or </w:t>
      </w:r>
      <w:proofErr w:type="spellStart"/>
      <w:r w:rsidRPr="00734E51">
        <w:rPr>
          <w:rFonts w:ascii="Times New Roman" w:eastAsiaTheme="minorHAnsi" w:hAnsi="Times New Roman" w:cs="Times New Roman"/>
          <w:lang w:val="en-GB"/>
        </w:rPr>
        <w:t>urosepsis</w:t>
      </w:r>
      <w:proofErr w:type="spellEnd"/>
      <w:r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begin"/>
      </w:r>
      <w:r w:rsidR="007D43DC" w:rsidRPr="00734E51">
        <w:rPr>
          <w:rFonts w:ascii="Times New Roman" w:eastAsiaTheme="minorHAnsi" w:hAnsi="Times New Roman" w:cs="Times New Roman"/>
          <w:lang w:val="en-GB"/>
        </w:rPr>
        <w:instrText xml:space="preserve"> ADDIN EN.CITE &lt;EndNote&gt;&lt;Cite&gt;&lt;Author&gt;AAP&lt;/Author&gt;&lt;Year&gt;1999&lt;/Year&gt;&lt;RecNum&gt;161&lt;/RecNum&gt;&lt;DisplayText&gt;(15)&lt;/DisplayText&gt;&lt;record&gt;&lt;rec-number&gt;161&lt;/rec-number&gt;&lt;foreign-keys&gt;&lt;key app="EN" db-id="90exf5z9rvrz2yersrppfstqrdx2sxw5psze" timestamp="1335798890"&gt;161&lt;/key&gt;&lt;/foreign-keys&gt;&lt;ref-type name="Journal Article"&gt;17&lt;/ref-type&gt;&lt;contributors&gt;&lt;authors&gt;&lt;author&gt;AAP&lt;/author&gt;&lt;/authors&gt;&lt;/contributors&gt;&lt;titles&gt;&lt;title&gt;Practice parameter: the diagnosis, treatment, and evaluation of the initial urinary tract infection in febrile infants and young children. American Academy of Pediatrics. Committee on Quality Improvement. Subcommittee on Urinary Tract Infection.[see comment][erratum appears in 2000 Jan;105(1 Pt 1):141]&lt;/title&gt;&lt;secondary-title&gt;Pediatrics&lt;/secondary-title&gt;&lt;/titles&gt;&lt;periodical&gt;&lt;full-title&gt;Pediatrics&lt;/full-title&gt;&lt;/periodical&gt;&lt;pages&gt;843-52&lt;/pages&gt;&lt;volume&gt;103&lt;/volume&gt;&lt;number&gt;4 Pt 1&lt;/number&gt;&lt;dates&gt;&lt;year&gt;1999&lt;/year&gt;&lt;pub-dates&gt;&lt;date&gt;Apr&lt;/date&gt;&lt;/pub-dates&gt;&lt;/dates&gt;&lt;accession-num&gt;10103321&lt;/accession-num&gt;&lt;urls&gt;&lt;/urls&gt;&lt;/record&gt;&lt;/Cite&gt;&lt;/EndNote&gt;</w:instrText>
      </w:r>
      <w:r w:rsidR="00FB34F4" w:rsidRPr="00734E51">
        <w:rPr>
          <w:rFonts w:ascii="Times New Roman" w:eastAsiaTheme="minorHAnsi" w:hAnsi="Times New Roman" w:cs="Times New Roman"/>
          <w:lang w:val="en-GB"/>
        </w:rPr>
        <w:fldChar w:fldCharType="separate"/>
      </w:r>
      <w:r w:rsidR="007D43DC" w:rsidRPr="00734E51">
        <w:rPr>
          <w:rFonts w:ascii="Times New Roman" w:eastAsiaTheme="minorHAnsi" w:hAnsi="Times New Roman" w:cs="Times New Roman"/>
          <w:lang w:val="en-GB"/>
        </w:rPr>
        <w:t>(</w:t>
      </w:r>
      <w:hyperlink w:anchor="_ENREF_15" w:tooltip="AAP, 1999 #161" w:history="1">
        <w:r w:rsidR="00612B01" w:rsidRPr="00734E51">
          <w:rPr>
            <w:rFonts w:ascii="Times New Roman" w:eastAsiaTheme="minorHAnsi" w:hAnsi="Times New Roman" w:cs="Times New Roman"/>
            <w:lang w:val="en-GB"/>
          </w:rPr>
          <w:t>15</w:t>
        </w:r>
      </w:hyperlink>
      <w:r w:rsidR="007D43DC"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Pr="00734E51">
        <w:rPr>
          <w:rFonts w:ascii="Times New Roman" w:eastAsiaTheme="minorHAnsi" w:hAnsi="Times New Roman" w:cs="Times New Roman"/>
          <w:lang w:val="en-GB"/>
        </w:rPr>
        <w:t xml:space="preserve"> </w:t>
      </w:r>
      <w:r w:rsidRPr="00734E51">
        <w:rPr>
          <w:rFonts w:ascii="Times New Roman" w:eastAsiaTheme="minorHAnsi" w:hAnsi="Times New Roman" w:cs="Times New Roman"/>
          <w:color w:val="262626"/>
          <w:lang w:val="en-GB"/>
        </w:rPr>
        <w:t>Adverse effects include anorexia, nause</w:t>
      </w:r>
      <w:r w:rsidR="004937CB" w:rsidRPr="00734E51">
        <w:rPr>
          <w:rFonts w:ascii="Times New Roman" w:eastAsiaTheme="minorHAnsi" w:hAnsi="Times New Roman" w:cs="Times New Roman"/>
          <w:color w:val="262626"/>
          <w:lang w:val="en-GB"/>
        </w:rPr>
        <w:t xml:space="preserve">a, vomiting, and diarrhoea, and </w:t>
      </w:r>
      <w:r w:rsidRPr="00734E51">
        <w:rPr>
          <w:rFonts w:ascii="Times New Roman" w:eastAsiaTheme="minorHAnsi" w:hAnsi="Times New Roman" w:cs="Times New Roman"/>
          <w:color w:val="262626"/>
          <w:lang w:val="en-GB"/>
        </w:rPr>
        <w:t>acute and chronic pulmonary reactions have been reported.</w:t>
      </w:r>
      <w:r w:rsidR="00FB34F4" w:rsidRPr="00734E51">
        <w:rPr>
          <w:rFonts w:ascii="Times New Roman" w:eastAsiaTheme="minorHAnsi" w:hAnsi="Times New Roman" w:cs="Times New Roman"/>
          <w:color w:val="262626"/>
          <w:lang w:val="en-GB"/>
        </w:rPr>
        <w:fldChar w:fldCharType="begin"/>
      </w:r>
      <w:r w:rsidR="007D43DC" w:rsidRPr="00734E51">
        <w:rPr>
          <w:rFonts w:ascii="Times New Roman" w:eastAsiaTheme="minorHAnsi" w:hAnsi="Times New Roman" w:cs="Times New Roman"/>
          <w:color w:val="262626"/>
          <w:lang w:val="en-GB"/>
        </w:rPr>
        <w:instrText xml:space="preserve"> ADDIN EN.CITE &lt;EndNote&gt;&lt;Cite&gt;&lt;Author&gt;BNF&lt;/Author&gt;&lt;Year&gt;2014&lt;/Year&gt;&lt;RecNum&gt;648&lt;/RecNum&gt;&lt;DisplayText&gt;(16)&lt;/DisplayText&gt;&lt;record&gt;&lt;rec-number&gt;648&lt;/rec-number&gt;&lt;foreign-keys&gt;&lt;key app="EN" db-id="90exf5z9rvrz2yersrppfstqrdx2sxw5psze" timestamp="1401206472"&gt;648&lt;/key&gt;&lt;/foreign-keys&gt;&lt;ref-type name="Web Page"&gt;12&lt;/ref-type&gt;&lt;contributors&gt;&lt;authors&gt;&lt;author&gt;BNF &lt;/author&gt;&lt;/authors&gt;&lt;/contributors&gt;&lt;titles&gt;&lt;title&gt;BNF for children&lt;/title&gt;&lt;/titles&gt;&lt;number&gt;27/05/2014&lt;/number&gt;&lt;dates&gt;&lt;year&gt;2014&lt;/year&gt;&lt;/dates&gt;&lt;urls&gt;&lt;related-urls&gt;&lt;url&gt;http://www.medicinescomplete.com/mc/bnfc/current/PHP12897-nitrofurantoin-non-proprietary.htm&lt;/url&gt;&lt;/related-urls&gt;&lt;/urls&gt;&lt;custom1&gt;2014&lt;/custom1&gt;&lt;custom2&gt;[Accessed 27/05/2014&lt;/custom2&gt;&lt;/record&gt;&lt;/Cite&gt;&lt;/EndNote&gt;</w:instrText>
      </w:r>
      <w:r w:rsidR="00FB34F4" w:rsidRPr="00734E51">
        <w:rPr>
          <w:rFonts w:ascii="Times New Roman" w:eastAsiaTheme="minorHAnsi" w:hAnsi="Times New Roman" w:cs="Times New Roman"/>
          <w:color w:val="262626"/>
          <w:lang w:val="en-GB"/>
        </w:rPr>
        <w:fldChar w:fldCharType="separate"/>
      </w:r>
      <w:r w:rsidR="007D43DC" w:rsidRPr="00734E51">
        <w:rPr>
          <w:rFonts w:ascii="Times New Roman" w:eastAsiaTheme="minorHAnsi" w:hAnsi="Times New Roman" w:cs="Times New Roman"/>
          <w:color w:val="262626"/>
          <w:lang w:val="en-GB"/>
        </w:rPr>
        <w:t>(</w:t>
      </w:r>
      <w:hyperlink w:anchor="_ENREF_16" w:tooltip="BNF, 2014 #648" w:history="1">
        <w:r w:rsidR="00612B01" w:rsidRPr="00734E51">
          <w:rPr>
            <w:rFonts w:ascii="Times New Roman" w:eastAsiaTheme="minorHAnsi" w:hAnsi="Times New Roman" w:cs="Times New Roman"/>
            <w:color w:val="262626"/>
            <w:lang w:val="en-GB"/>
          </w:rPr>
          <w:t>16</w:t>
        </w:r>
      </w:hyperlink>
      <w:r w:rsidR="007D43DC" w:rsidRPr="00734E51">
        <w:rPr>
          <w:rFonts w:ascii="Times New Roman" w:eastAsiaTheme="minorHAnsi" w:hAnsi="Times New Roman" w:cs="Times New Roman"/>
          <w:color w:val="262626"/>
          <w:lang w:val="en-GB"/>
        </w:rPr>
        <w:t>)</w:t>
      </w:r>
      <w:r w:rsidR="00FB34F4" w:rsidRPr="00734E51">
        <w:rPr>
          <w:rFonts w:ascii="Times New Roman" w:eastAsiaTheme="minorHAnsi" w:hAnsi="Times New Roman" w:cs="Times New Roman"/>
          <w:color w:val="262626"/>
          <w:lang w:val="en-GB"/>
        </w:rPr>
        <w:fldChar w:fldCharType="end"/>
      </w:r>
      <w:hyperlink w:anchor="_ENREF_16" w:tooltip="BNF, 2014 #648" w:history="1"/>
      <w:r w:rsidRPr="00734E51">
        <w:rPr>
          <w:rFonts w:ascii="Times New Roman" w:eastAsiaTheme="minorHAnsi" w:hAnsi="Times New Roman" w:cs="Times New Roman"/>
          <w:color w:val="262626"/>
          <w:lang w:val="en-GB"/>
        </w:rPr>
        <w:t xml:space="preserve"> </w:t>
      </w:r>
      <w:r w:rsidR="007400ED" w:rsidRPr="007400ED">
        <w:rPr>
          <w:rFonts w:ascii="Times New Roman" w:eastAsiaTheme="minorHAnsi" w:hAnsi="Times New Roman" w:cs="Times New Roman"/>
          <w:lang w:val="en-GB"/>
        </w:rPr>
        <w:t>Nitrofurantoin</w:t>
      </w:r>
      <w:r w:rsidR="009D35D4" w:rsidRPr="00734E51">
        <w:rPr>
          <w:rFonts w:ascii="Times New Roman" w:eastAsiaTheme="minorHAnsi" w:hAnsi="Times New Roman" w:cs="Times New Roman"/>
          <w:lang w:val="en-GB"/>
        </w:rPr>
        <w:t xml:space="preserve"> should not be used when pyelonephritis is suspected</w:t>
      </w:r>
    </w:p>
    <w:p w14:paraId="2F5CE34D" w14:textId="77777777" w:rsidR="001607F9" w:rsidRPr="00734E51" w:rsidRDefault="001607F9" w:rsidP="005A5FFA">
      <w:pPr>
        <w:pStyle w:val="NoSpacing"/>
        <w:widowControl w:val="0"/>
        <w:tabs>
          <w:tab w:val="left" w:pos="1410"/>
        </w:tabs>
        <w:autoSpaceDE w:val="0"/>
        <w:autoSpaceDN w:val="0"/>
        <w:adjustRightInd w:val="0"/>
        <w:spacing w:line="480" w:lineRule="auto"/>
        <w:rPr>
          <w:rFonts w:ascii="Times New Roman" w:eastAsiaTheme="minorHAnsi" w:hAnsi="Times New Roman" w:cs="Times New Roman"/>
          <w:lang w:val="en-GB"/>
        </w:rPr>
      </w:pPr>
    </w:p>
    <w:p w14:paraId="1988BCEB" w14:textId="21512D4D" w:rsidR="001607F9" w:rsidRPr="00734E51" w:rsidRDefault="007C14D7" w:rsidP="005A5FFA">
      <w:pPr>
        <w:widowControl w:val="0"/>
        <w:autoSpaceDE w:val="0"/>
        <w:autoSpaceDN w:val="0"/>
        <w:adjustRightInd w:val="0"/>
        <w:spacing w:line="480" w:lineRule="auto"/>
        <w:rPr>
          <w:rFonts w:ascii="Times New Roman" w:eastAsiaTheme="minorHAnsi" w:hAnsi="Times New Roman" w:cs="Times New Roman"/>
          <w:lang w:val="en-GB"/>
        </w:rPr>
      </w:pPr>
      <w:r w:rsidRPr="00734E51">
        <w:rPr>
          <w:rFonts w:ascii="Times New Roman" w:eastAsiaTheme="minorHAnsi" w:hAnsi="Times New Roman" w:cs="Times New Roman"/>
          <w:lang w:val="en-GB"/>
        </w:rPr>
        <w:t xml:space="preserve">We do not have clinical details for the children in the routinely submitted dataset, and </w:t>
      </w:r>
      <w:r w:rsidRPr="00734E51">
        <w:rPr>
          <w:rFonts w:ascii="Times New Roman" w:eastAsiaTheme="minorHAnsi" w:hAnsi="Times New Roman" w:cs="Times New Roman"/>
          <w:lang w:val="en-GB"/>
        </w:rPr>
        <w:lastRenderedPageBreak/>
        <w:t xml:space="preserve">so are </w:t>
      </w:r>
      <w:r w:rsidR="00C75E06">
        <w:rPr>
          <w:rFonts w:ascii="Times New Roman" w:eastAsiaTheme="minorHAnsi" w:hAnsi="Times New Roman" w:cs="Times New Roman"/>
          <w:lang w:val="en-GB"/>
        </w:rPr>
        <w:t xml:space="preserve">not </w:t>
      </w:r>
      <w:r w:rsidRPr="00734E51">
        <w:rPr>
          <w:rFonts w:ascii="Times New Roman" w:eastAsiaTheme="minorHAnsi" w:hAnsi="Times New Roman" w:cs="Times New Roman"/>
          <w:lang w:val="en-GB"/>
        </w:rPr>
        <w:t xml:space="preserve">able to make detailed comparisons between these children and the children in the </w:t>
      </w:r>
      <w:r w:rsidR="00715663" w:rsidRPr="00734E51">
        <w:rPr>
          <w:rFonts w:ascii="Times New Roman" w:eastAsiaTheme="minorHAnsi" w:hAnsi="Times New Roman" w:cs="Times New Roman"/>
          <w:lang w:val="en-GB"/>
        </w:rPr>
        <w:t>DUTY</w:t>
      </w:r>
      <w:r w:rsidR="00081C4A" w:rsidRPr="00734E51">
        <w:rPr>
          <w:rFonts w:ascii="Times New Roman" w:eastAsiaTheme="minorHAnsi" w:hAnsi="Times New Roman" w:cs="Times New Roman"/>
          <w:lang w:val="en-GB"/>
        </w:rPr>
        <w:t xml:space="preserve"> c</w:t>
      </w:r>
      <w:r w:rsidRPr="00734E51">
        <w:rPr>
          <w:rFonts w:ascii="Times New Roman" w:eastAsiaTheme="minorHAnsi" w:hAnsi="Times New Roman" w:cs="Times New Roman"/>
          <w:lang w:val="en-GB"/>
        </w:rPr>
        <w:t xml:space="preserve">ohort.  The children who had their urine sampled during the course of routine care have had urine sampled based on clinical suspicion of a UTI, whereas the basis for sampling in the </w:t>
      </w:r>
      <w:r w:rsidR="00715663" w:rsidRPr="00734E51">
        <w:rPr>
          <w:rFonts w:ascii="Times New Roman" w:eastAsiaTheme="minorHAnsi" w:hAnsi="Times New Roman" w:cs="Times New Roman"/>
          <w:lang w:val="en-GB"/>
        </w:rPr>
        <w:t>DUTY</w:t>
      </w:r>
      <w:r w:rsidR="00081C4A" w:rsidRPr="00734E51">
        <w:rPr>
          <w:rFonts w:ascii="Times New Roman" w:eastAsiaTheme="minorHAnsi" w:hAnsi="Times New Roman" w:cs="Times New Roman"/>
          <w:lang w:val="en-GB"/>
        </w:rPr>
        <w:t xml:space="preserve"> c</w:t>
      </w:r>
      <w:r w:rsidRPr="00734E51">
        <w:rPr>
          <w:rFonts w:ascii="Times New Roman" w:eastAsiaTheme="minorHAnsi" w:hAnsi="Times New Roman" w:cs="Times New Roman"/>
          <w:lang w:val="en-GB"/>
        </w:rPr>
        <w:t>ohort was systematic, in that we asked clinicians to submit a sample on all sequential eligible children.   Despite this difference in approach to identifying children for sampling in the two dataset, we</w:t>
      </w:r>
      <w:r w:rsidR="001607F9" w:rsidRPr="00734E51">
        <w:rPr>
          <w:rFonts w:ascii="Times New Roman" w:eastAsiaTheme="minorHAnsi" w:hAnsi="Times New Roman" w:cs="Times New Roman"/>
          <w:lang w:val="en-GB"/>
        </w:rPr>
        <w:t xml:space="preserve"> found that most organisms in routinely submitted samples positive for UTI from children in the first five years of life and from those samples positive from systematically sampled acutely unwell children aged from three months until five years in primary care produced remarkabl</w:t>
      </w:r>
      <w:r w:rsidR="000C6C26" w:rsidRPr="00734E51">
        <w:rPr>
          <w:rFonts w:ascii="Times New Roman" w:eastAsiaTheme="minorHAnsi" w:hAnsi="Times New Roman" w:cs="Times New Roman"/>
          <w:lang w:val="en-GB"/>
        </w:rPr>
        <w:t xml:space="preserve">y </w:t>
      </w:r>
      <w:r w:rsidR="001607F9" w:rsidRPr="00734E51">
        <w:rPr>
          <w:rFonts w:ascii="Times New Roman" w:eastAsiaTheme="minorHAnsi" w:hAnsi="Times New Roman" w:cs="Times New Roman"/>
          <w:lang w:val="en-GB"/>
        </w:rPr>
        <w:t xml:space="preserve">similar results. </w:t>
      </w:r>
    </w:p>
    <w:p w14:paraId="2DC442D6" w14:textId="77777777" w:rsidR="001607F9" w:rsidRPr="00734E51" w:rsidRDefault="001607F9" w:rsidP="005A5FFA">
      <w:pPr>
        <w:widowControl w:val="0"/>
        <w:autoSpaceDE w:val="0"/>
        <w:autoSpaceDN w:val="0"/>
        <w:adjustRightInd w:val="0"/>
        <w:spacing w:line="480" w:lineRule="auto"/>
        <w:rPr>
          <w:rFonts w:ascii="Times New Roman" w:eastAsiaTheme="minorHAnsi" w:hAnsi="Times New Roman" w:cs="Times New Roman"/>
          <w:lang w:val="en-GB"/>
        </w:rPr>
      </w:pPr>
    </w:p>
    <w:p w14:paraId="5D44DFCF" w14:textId="270E4852" w:rsidR="001607F9" w:rsidRPr="00734E51" w:rsidRDefault="001607F9" w:rsidP="005A5FFA">
      <w:pPr>
        <w:widowControl w:val="0"/>
        <w:autoSpaceDE w:val="0"/>
        <w:autoSpaceDN w:val="0"/>
        <w:adjustRightInd w:val="0"/>
        <w:spacing w:line="480" w:lineRule="auto"/>
        <w:rPr>
          <w:rFonts w:ascii="Times New Roman" w:eastAsiaTheme="minorHAnsi" w:hAnsi="Times New Roman" w:cs="Times New Roman"/>
          <w:lang w:val="en-GB"/>
        </w:rPr>
      </w:pPr>
      <w:r w:rsidRPr="00734E51">
        <w:rPr>
          <w:rFonts w:ascii="Times New Roman" w:eastAsiaTheme="minorHAnsi" w:hAnsi="Times New Roman" w:cs="Times New Roman"/>
          <w:lang w:val="en-GB"/>
        </w:rPr>
        <w:t xml:space="preserve">This suggests that estimates of antimicrobial </w:t>
      </w:r>
      <w:r w:rsidR="00E91139" w:rsidRPr="00734E51">
        <w:rPr>
          <w:rFonts w:ascii="Times New Roman" w:eastAsiaTheme="minorHAnsi" w:hAnsi="Times New Roman" w:cs="Times New Roman"/>
          <w:lang w:val="en-GB"/>
        </w:rPr>
        <w:t xml:space="preserve">susceptibilities </w:t>
      </w:r>
      <w:r w:rsidRPr="00734E51">
        <w:rPr>
          <w:rFonts w:ascii="Times New Roman" w:eastAsiaTheme="minorHAnsi" w:hAnsi="Times New Roman" w:cs="Times New Roman"/>
          <w:lang w:val="en-GB"/>
        </w:rPr>
        <w:t>derived from surveillance using routinely submitted samples from young children are applicable to empirical treatment decision for acutely unwell children in primary care.</w:t>
      </w:r>
    </w:p>
    <w:p w14:paraId="364B00C2" w14:textId="77777777" w:rsidR="001607F9" w:rsidRPr="00734E51" w:rsidRDefault="001607F9" w:rsidP="005A5FFA">
      <w:pPr>
        <w:widowControl w:val="0"/>
        <w:autoSpaceDE w:val="0"/>
        <w:autoSpaceDN w:val="0"/>
        <w:adjustRightInd w:val="0"/>
        <w:spacing w:line="480" w:lineRule="auto"/>
        <w:rPr>
          <w:rFonts w:ascii="Times New Roman" w:eastAsiaTheme="minorHAnsi" w:hAnsi="Times New Roman" w:cs="Times New Roman"/>
          <w:lang w:val="en-GB"/>
        </w:rPr>
      </w:pPr>
    </w:p>
    <w:p w14:paraId="7668F647" w14:textId="13CD6B46" w:rsidR="001607F9" w:rsidRPr="00734E51" w:rsidRDefault="00E91139" w:rsidP="005A5FFA">
      <w:pPr>
        <w:spacing w:line="480" w:lineRule="auto"/>
        <w:rPr>
          <w:rFonts w:ascii="Times New Roman" w:eastAsiaTheme="minorHAnsi" w:hAnsi="Times New Roman" w:cs="Times New Roman"/>
          <w:lang w:val="en-GB"/>
        </w:rPr>
      </w:pPr>
      <w:r w:rsidRPr="00734E51">
        <w:rPr>
          <w:rFonts w:ascii="Times New Roman" w:eastAsiaTheme="minorHAnsi" w:hAnsi="Times New Roman" w:cs="Times New Roman"/>
          <w:lang w:val="en-GB"/>
        </w:rPr>
        <w:t>R</w:t>
      </w:r>
      <w:r w:rsidR="00E865A0" w:rsidRPr="00734E51">
        <w:rPr>
          <w:rFonts w:ascii="Times New Roman" w:eastAsiaTheme="minorHAnsi" w:hAnsi="Times New Roman" w:cs="Times New Roman"/>
          <w:lang w:val="en-GB"/>
        </w:rPr>
        <w:t xml:space="preserve">esistance </w:t>
      </w:r>
      <w:r w:rsidR="001607F9" w:rsidRPr="00734E51">
        <w:rPr>
          <w:rFonts w:ascii="Times New Roman" w:eastAsiaTheme="minorHAnsi" w:hAnsi="Times New Roman" w:cs="Times New Roman"/>
          <w:lang w:val="en-GB"/>
        </w:rPr>
        <w:t xml:space="preserve">to trimethoprim </w:t>
      </w:r>
      <w:r w:rsidRPr="00734E51">
        <w:rPr>
          <w:rFonts w:ascii="Times New Roman" w:eastAsiaTheme="minorHAnsi" w:hAnsi="Times New Roman" w:cs="Times New Roman"/>
          <w:lang w:val="en-GB"/>
        </w:rPr>
        <w:t xml:space="preserve">in </w:t>
      </w:r>
      <w:r w:rsidR="00815A55" w:rsidRPr="00734E51">
        <w:rPr>
          <w:rFonts w:ascii="Times New Roman" w:eastAsiaTheme="minorHAnsi" w:hAnsi="Times New Roman" w:cs="Times New Roman"/>
          <w:i/>
          <w:lang w:val="en-GB"/>
        </w:rPr>
        <w:t>E. coli</w:t>
      </w:r>
      <w:r w:rsidR="006C62B5" w:rsidRPr="00734E51">
        <w:rPr>
          <w:rFonts w:ascii="Times New Roman" w:eastAsiaTheme="minorHAnsi" w:hAnsi="Times New Roman" w:cs="Times New Roman"/>
          <w:lang w:val="en-GB"/>
        </w:rPr>
        <w:t xml:space="preserve"> from both </w:t>
      </w:r>
      <w:r w:rsidRPr="00734E51">
        <w:rPr>
          <w:rFonts w:ascii="Times New Roman" w:eastAsiaTheme="minorHAnsi" w:hAnsi="Times New Roman" w:cs="Times New Roman"/>
          <w:lang w:val="en-GB"/>
        </w:rPr>
        <w:t xml:space="preserve">systematically sampled urines </w:t>
      </w:r>
      <w:r w:rsidR="006C62B5" w:rsidRPr="00734E51">
        <w:rPr>
          <w:rFonts w:ascii="Times New Roman" w:eastAsiaTheme="minorHAnsi" w:hAnsi="Times New Roman" w:cs="Times New Roman"/>
          <w:lang w:val="en-GB"/>
        </w:rPr>
        <w:t xml:space="preserve">and routine care urines </w:t>
      </w:r>
      <w:r w:rsidR="001607F9" w:rsidRPr="00734E51">
        <w:rPr>
          <w:rFonts w:ascii="Times New Roman" w:eastAsiaTheme="minorHAnsi" w:hAnsi="Times New Roman" w:cs="Times New Roman"/>
          <w:lang w:val="en-GB"/>
        </w:rPr>
        <w:t xml:space="preserve">was </w:t>
      </w:r>
      <w:r w:rsidR="006C62B5" w:rsidRPr="00734E51">
        <w:rPr>
          <w:rFonts w:ascii="Times New Roman" w:eastAsiaTheme="minorHAnsi" w:hAnsi="Times New Roman" w:cs="Times New Roman"/>
          <w:lang w:val="en-GB"/>
        </w:rPr>
        <w:t xml:space="preserve">between </w:t>
      </w:r>
      <w:r w:rsidR="001607F9" w:rsidRPr="00734E51">
        <w:rPr>
          <w:rFonts w:ascii="Times New Roman" w:eastAsiaTheme="minorHAnsi" w:hAnsi="Times New Roman" w:cs="Times New Roman"/>
          <w:lang w:val="en-GB"/>
        </w:rPr>
        <w:t>2</w:t>
      </w:r>
      <w:r w:rsidR="006C62B5" w:rsidRPr="00734E51">
        <w:rPr>
          <w:rFonts w:ascii="Times New Roman" w:eastAsiaTheme="minorHAnsi" w:hAnsi="Times New Roman" w:cs="Times New Roman"/>
          <w:lang w:val="en-GB"/>
        </w:rPr>
        <w:t>6</w:t>
      </w:r>
      <w:r w:rsidR="001607F9" w:rsidRPr="00734E51">
        <w:rPr>
          <w:rFonts w:ascii="Times New Roman" w:eastAsiaTheme="minorHAnsi" w:hAnsi="Times New Roman" w:cs="Times New Roman"/>
          <w:lang w:val="en-GB"/>
        </w:rPr>
        <w:t>%</w:t>
      </w:r>
      <w:r w:rsidRPr="00734E51">
        <w:rPr>
          <w:rFonts w:ascii="Times New Roman" w:eastAsiaTheme="minorHAnsi" w:hAnsi="Times New Roman" w:cs="Times New Roman"/>
          <w:lang w:val="en-GB"/>
        </w:rPr>
        <w:t xml:space="preserve"> </w:t>
      </w:r>
      <w:r w:rsidR="006C62B5" w:rsidRPr="00734E51">
        <w:rPr>
          <w:rFonts w:ascii="Times New Roman" w:eastAsiaTheme="minorHAnsi" w:hAnsi="Times New Roman" w:cs="Times New Roman"/>
          <w:lang w:val="en-GB"/>
        </w:rPr>
        <w:t>and 29%</w:t>
      </w:r>
      <w:r w:rsidR="001607F9" w:rsidRPr="00734E51">
        <w:rPr>
          <w:rFonts w:ascii="Times New Roman" w:eastAsiaTheme="minorHAnsi" w:hAnsi="Times New Roman" w:cs="Times New Roman"/>
          <w:lang w:val="en-GB"/>
        </w:rPr>
        <w:t xml:space="preserve">. This is </w:t>
      </w:r>
      <w:r w:rsidR="004766C5" w:rsidRPr="00734E51">
        <w:rPr>
          <w:rFonts w:ascii="Times New Roman" w:eastAsiaTheme="minorHAnsi" w:hAnsi="Times New Roman" w:cs="Times New Roman"/>
          <w:lang w:val="en-GB"/>
        </w:rPr>
        <w:t xml:space="preserve">equivalent </w:t>
      </w:r>
      <w:r w:rsidR="001607F9" w:rsidRPr="00734E51">
        <w:rPr>
          <w:rFonts w:ascii="Times New Roman" w:eastAsiaTheme="minorHAnsi" w:hAnsi="Times New Roman" w:cs="Times New Roman"/>
          <w:lang w:val="en-GB"/>
        </w:rPr>
        <w:t xml:space="preserve">to the </w:t>
      </w:r>
      <w:r w:rsidR="00E865A0" w:rsidRPr="00734E51">
        <w:rPr>
          <w:rFonts w:ascii="Times New Roman" w:eastAsiaTheme="minorHAnsi" w:hAnsi="Times New Roman" w:cs="Times New Roman"/>
          <w:lang w:val="en-GB"/>
        </w:rPr>
        <w:t xml:space="preserve">proportion </w:t>
      </w:r>
      <w:r w:rsidR="004766C5" w:rsidRPr="00734E51">
        <w:rPr>
          <w:rFonts w:ascii="Times New Roman" w:eastAsiaTheme="minorHAnsi" w:hAnsi="Times New Roman" w:cs="Times New Roman"/>
          <w:lang w:val="en-GB"/>
        </w:rPr>
        <w:t xml:space="preserve">trimethoprim resistance in </w:t>
      </w:r>
      <w:r w:rsidR="00815A55" w:rsidRPr="00734E51">
        <w:rPr>
          <w:rFonts w:ascii="Times New Roman" w:eastAsiaTheme="minorHAnsi" w:hAnsi="Times New Roman" w:cs="Times New Roman"/>
          <w:i/>
          <w:lang w:val="en-GB"/>
        </w:rPr>
        <w:t>E. coli</w:t>
      </w:r>
      <w:r w:rsidR="004766C5" w:rsidRPr="00734E51">
        <w:rPr>
          <w:rFonts w:ascii="Times New Roman" w:eastAsiaTheme="minorHAnsi" w:hAnsi="Times New Roman" w:cs="Times New Roman"/>
          <w:lang w:val="en-GB"/>
        </w:rPr>
        <w:t xml:space="preserve"> from a UK multicentre study (26.7%) in 2003. (21) </w:t>
      </w:r>
      <w:r w:rsidR="001607F9" w:rsidRPr="00734E51">
        <w:rPr>
          <w:rFonts w:ascii="Times New Roman" w:eastAsiaTheme="minorHAnsi" w:hAnsi="Times New Roman" w:cs="Times New Roman"/>
          <w:lang w:val="en-GB"/>
        </w:rPr>
        <w:t xml:space="preserve"> </w:t>
      </w:r>
      <w:r w:rsidR="004766C5" w:rsidRPr="00734E51">
        <w:rPr>
          <w:rFonts w:ascii="Times New Roman" w:eastAsiaTheme="minorHAnsi" w:hAnsi="Times New Roman" w:cs="Times New Roman"/>
          <w:lang w:val="en-GB"/>
        </w:rPr>
        <w:t xml:space="preserve">However trimethoprim resistance levels may vary depending on locality; a report published for the </w:t>
      </w:r>
      <w:r w:rsidR="00581854" w:rsidRPr="00734E51">
        <w:rPr>
          <w:rFonts w:ascii="Times New Roman" w:eastAsiaTheme="minorHAnsi" w:hAnsi="Times New Roman" w:cs="Times New Roman"/>
          <w:lang w:val="en-GB"/>
        </w:rPr>
        <w:t xml:space="preserve">London </w:t>
      </w:r>
      <w:r w:rsidR="004766C5" w:rsidRPr="00734E51">
        <w:rPr>
          <w:rFonts w:ascii="Times New Roman" w:eastAsiaTheme="minorHAnsi" w:hAnsi="Times New Roman" w:cs="Times New Roman"/>
          <w:lang w:val="en-GB"/>
        </w:rPr>
        <w:t xml:space="preserve">area </w:t>
      </w:r>
      <w:r w:rsidR="00581854" w:rsidRPr="00734E51">
        <w:rPr>
          <w:rFonts w:ascii="Times New Roman" w:eastAsiaTheme="minorHAnsi" w:hAnsi="Times New Roman" w:cs="Times New Roman"/>
          <w:lang w:val="en-GB"/>
        </w:rPr>
        <w:t>report</w:t>
      </w:r>
      <w:r w:rsidR="004766C5" w:rsidRPr="00734E51">
        <w:rPr>
          <w:rFonts w:ascii="Times New Roman" w:eastAsiaTheme="minorHAnsi" w:hAnsi="Times New Roman" w:cs="Times New Roman"/>
          <w:lang w:val="en-GB"/>
        </w:rPr>
        <w:t>ed</w:t>
      </w:r>
      <w:r w:rsidR="00581854" w:rsidRPr="00734E51">
        <w:rPr>
          <w:rFonts w:ascii="Times New Roman" w:eastAsiaTheme="minorHAnsi" w:hAnsi="Times New Roman" w:cs="Times New Roman"/>
          <w:lang w:val="en-GB"/>
        </w:rPr>
        <w:t xml:space="preserve"> </w:t>
      </w:r>
      <w:r w:rsidR="004766C5" w:rsidRPr="00734E51">
        <w:rPr>
          <w:rFonts w:ascii="Times New Roman" w:eastAsiaTheme="minorHAnsi" w:hAnsi="Times New Roman" w:cs="Times New Roman"/>
          <w:lang w:val="en-GB"/>
        </w:rPr>
        <w:t>trimethoprim resistance</w:t>
      </w:r>
      <w:r w:rsidR="00581854" w:rsidRPr="00734E51">
        <w:rPr>
          <w:rFonts w:ascii="Times New Roman" w:eastAsiaTheme="minorHAnsi" w:hAnsi="Times New Roman" w:cs="Times New Roman"/>
          <w:lang w:val="en-GB"/>
        </w:rPr>
        <w:t xml:space="preserve"> 40%</w:t>
      </w:r>
      <w:r w:rsidR="00036078" w:rsidRPr="00734E51">
        <w:rPr>
          <w:rFonts w:ascii="Times New Roman" w:eastAsiaTheme="minorHAnsi" w:hAnsi="Times New Roman" w:cs="Times New Roman"/>
          <w:lang w:val="en-GB"/>
        </w:rPr>
        <w:t xml:space="preserve"> for </w:t>
      </w:r>
      <w:r w:rsidR="00815A55" w:rsidRPr="00734E51">
        <w:rPr>
          <w:rFonts w:ascii="Times New Roman" w:eastAsiaTheme="minorHAnsi" w:hAnsi="Times New Roman" w:cs="Times New Roman"/>
          <w:i/>
          <w:lang w:val="en-GB"/>
        </w:rPr>
        <w:t>E. coli</w:t>
      </w:r>
      <w:r w:rsidR="001607F9" w:rsidRPr="00734E51">
        <w:rPr>
          <w:rFonts w:ascii="Times New Roman" w:eastAsiaTheme="minorHAnsi" w:hAnsi="Times New Roman" w:cs="Times New Roman"/>
          <w:lang w:val="en-GB"/>
        </w:rPr>
        <w:t>.</w:t>
      </w:r>
      <w:r w:rsidR="00581854" w:rsidRPr="00734E51">
        <w:rPr>
          <w:rFonts w:ascii="Times New Roman" w:eastAsiaTheme="minorHAnsi" w:hAnsi="Times New Roman" w:cs="Times New Roman"/>
          <w:lang w:val="en-GB"/>
        </w:rPr>
        <w:t>(20)</w:t>
      </w:r>
      <w:r w:rsidR="001607F9" w:rsidRPr="00734E51">
        <w:rPr>
          <w:rFonts w:ascii="Times New Roman" w:eastAsiaTheme="minorHAnsi" w:hAnsi="Times New Roman" w:cs="Times New Roman"/>
          <w:lang w:val="en-GB"/>
        </w:rPr>
        <w:t xml:space="preserve"> It is difficult to know wh</w:t>
      </w:r>
      <w:r w:rsidR="00036078" w:rsidRPr="00734E51">
        <w:rPr>
          <w:rFonts w:ascii="Times New Roman" w:eastAsiaTheme="minorHAnsi" w:hAnsi="Times New Roman" w:cs="Times New Roman"/>
          <w:lang w:val="en-GB"/>
        </w:rPr>
        <w:t>at</w:t>
      </w:r>
      <w:r w:rsidR="001607F9" w:rsidRPr="00734E51">
        <w:rPr>
          <w:rFonts w:ascii="Times New Roman" w:eastAsiaTheme="minorHAnsi" w:hAnsi="Times New Roman" w:cs="Times New Roman"/>
          <w:lang w:val="en-GB"/>
        </w:rPr>
        <w:t xml:space="preserve"> level is too high to continue to recommend trimethoprim as a first line empirical therapy</w:t>
      </w:r>
      <w:r w:rsidR="00036078" w:rsidRPr="00734E51">
        <w:rPr>
          <w:rFonts w:ascii="Times New Roman" w:eastAsiaTheme="minorHAnsi" w:hAnsi="Times New Roman" w:cs="Times New Roman"/>
          <w:lang w:val="en-GB"/>
        </w:rPr>
        <w:t xml:space="preserve"> as </w:t>
      </w:r>
      <w:r w:rsidR="001607F9" w:rsidRPr="00734E51">
        <w:rPr>
          <w:rFonts w:ascii="Times New Roman" w:eastAsiaTheme="minorHAnsi" w:hAnsi="Times New Roman" w:cs="Times New Roman"/>
          <w:lang w:val="en-GB"/>
        </w:rPr>
        <w:t xml:space="preserve"> </w:t>
      </w:r>
      <w:r w:rsidR="00036078" w:rsidRPr="00734E51">
        <w:rPr>
          <w:rFonts w:ascii="Times New Roman" w:eastAsiaTheme="minorHAnsi" w:hAnsi="Times New Roman" w:cs="Times New Roman"/>
          <w:lang w:val="en-GB"/>
        </w:rPr>
        <w:t>t</w:t>
      </w:r>
      <w:r w:rsidR="001607F9" w:rsidRPr="00734E51">
        <w:rPr>
          <w:rFonts w:ascii="Times New Roman" w:eastAsiaTheme="minorHAnsi" w:hAnsi="Times New Roman" w:cs="Times New Roman"/>
          <w:lang w:val="en-GB"/>
        </w:rPr>
        <w:t xml:space="preserve">here is not always a clear correlation between a resistant UTI </w:t>
      </w:r>
      <w:r w:rsidR="00036078" w:rsidRPr="00734E51">
        <w:rPr>
          <w:rFonts w:ascii="Times New Roman" w:eastAsiaTheme="minorHAnsi" w:hAnsi="Times New Roman" w:cs="Times New Roman"/>
          <w:lang w:val="en-GB"/>
        </w:rPr>
        <w:t xml:space="preserve">organism </w:t>
      </w:r>
      <w:r w:rsidR="001607F9" w:rsidRPr="00734E51">
        <w:rPr>
          <w:rFonts w:ascii="Times New Roman" w:eastAsiaTheme="minorHAnsi" w:hAnsi="Times New Roman" w:cs="Times New Roman"/>
          <w:lang w:val="en-GB"/>
        </w:rPr>
        <w:t>and a treatment failure.</w:t>
      </w:r>
      <w:r w:rsidR="00FB34F4" w:rsidRPr="00734E51">
        <w:rPr>
          <w:rFonts w:ascii="Times New Roman" w:eastAsiaTheme="minorHAnsi" w:hAnsi="Times New Roman" w:cs="Times New Roman"/>
          <w:lang w:val="en-GB"/>
        </w:rPr>
        <w:fldChar w:fldCharType="begin"/>
      </w:r>
      <w:r w:rsidR="001D713D" w:rsidRPr="00734E51">
        <w:rPr>
          <w:rFonts w:ascii="Times New Roman" w:eastAsiaTheme="minorHAnsi" w:hAnsi="Times New Roman" w:cs="Times New Roman"/>
          <w:lang w:val="en-GB"/>
        </w:rPr>
        <w:instrText xml:space="preserve"> ADDIN EN.CITE &lt;EndNote&gt;&lt;Cite&gt;&lt;Author&gt;Gupta&lt;/Author&gt;&lt;Year&gt;2001&lt;/Year&gt;&lt;RecNum&gt;647&lt;/RecNum&gt;&lt;DisplayText&gt;(17)&lt;/DisplayText&gt;&lt;record&gt;&lt;rec-number&gt;647&lt;/rec-number&gt;&lt;foreign-keys&gt;&lt;key app="EN" db-id="90exf5z9rvrz2yersrppfstqrdx2sxw5psze" timestamp="1397578983"&gt;647&lt;/key&gt;&lt;/foreign-keys&gt;&lt;ref-type name="Journal Article"&gt;17&lt;/ref-type&gt;&lt;contributors&gt;&lt;authors&gt;&lt;author&gt;Kalpana Gupta&lt;/author&gt;&lt;author&gt;Thomas M Hooton&lt;/author&gt;&lt;author&gt;Walter E Stamm&lt;/author&gt;&lt;/authors&gt;&lt;/contributors&gt;&lt;titles&gt;&lt;title&gt;Increasing antimicrobial resistance and the management of uncomplicated community-acquired urinary tract infections&lt;/title&gt;&lt;secondary-title&gt;Annals of Internal Medicine&lt;/secondary-title&gt;&lt;/titles&gt;&lt;periodical&gt;&lt;full-title&gt;Annals of Internal Medicine&lt;/full-title&gt;&lt;/periodical&gt;&lt;pages&gt;41-50&lt;/pages&gt;&lt;volume&gt;135&lt;/volume&gt;&lt;dates&gt;&lt;year&gt;2001&lt;/year&gt;&lt;/dates&gt;&lt;urls&gt;&lt;/urls&gt;&lt;/record&gt;&lt;/Cite&gt;&lt;/EndNote&gt;</w:instrText>
      </w:r>
      <w:r w:rsidR="00FB34F4" w:rsidRPr="00734E51">
        <w:rPr>
          <w:rFonts w:ascii="Times New Roman" w:eastAsiaTheme="minorHAnsi" w:hAnsi="Times New Roman" w:cs="Times New Roman"/>
          <w:lang w:val="en-GB"/>
        </w:rPr>
        <w:fldChar w:fldCharType="separate"/>
      </w:r>
      <w:r w:rsidR="001D713D" w:rsidRPr="00734E51">
        <w:rPr>
          <w:rFonts w:ascii="Times New Roman" w:eastAsiaTheme="minorHAnsi" w:hAnsi="Times New Roman" w:cs="Times New Roman"/>
          <w:lang w:val="en-GB"/>
        </w:rPr>
        <w:t>(</w:t>
      </w:r>
      <w:hyperlink w:anchor="_ENREF_17" w:tooltip="Gupta, 2001 #647" w:history="1">
        <w:r w:rsidR="00612B01" w:rsidRPr="00734E51">
          <w:rPr>
            <w:rFonts w:ascii="Times New Roman" w:eastAsiaTheme="minorHAnsi" w:hAnsi="Times New Roman" w:cs="Times New Roman"/>
            <w:lang w:val="en-GB"/>
          </w:rPr>
          <w:t>17</w:t>
        </w:r>
      </w:hyperlink>
      <w:r w:rsidR="001D713D"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001607F9" w:rsidRPr="00734E51">
        <w:rPr>
          <w:rFonts w:ascii="Times New Roman" w:eastAsiaTheme="minorHAnsi" w:hAnsi="Times New Roman" w:cs="Times New Roman"/>
          <w:lang w:val="en-GB"/>
        </w:rPr>
        <w:t xml:space="preserve"> This is thought to be partly due to high concentrations of antimicrobial agents which can be reached in the urine.</w:t>
      </w:r>
      <w:r w:rsidR="00FB34F4" w:rsidRPr="00734E51">
        <w:rPr>
          <w:rFonts w:ascii="Times New Roman" w:eastAsiaTheme="minorHAnsi" w:hAnsi="Times New Roman" w:cs="Times New Roman"/>
          <w:lang w:val="en-GB"/>
        </w:rPr>
        <w:fldChar w:fldCharType="begin"/>
      </w:r>
      <w:r w:rsidR="001D713D" w:rsidRPr="00734E51">
        <w:rPr>
          <w:rFonts w:ascii="Times New Roman" w:eastAsiaTheme="minorHAnsi" w:hAnsi="Times New Roman" w:cs="Times New Roman"/>
          <w:lang w:val="en-GB"/>
        </w:rPr>
        <w:instrText xml:space="preserve"> ADDIN EN.CITE &lt;EndNote&gt;&lt;Cite&gt;&lt;Author&gt;Gupta&lt;/Author&gt;&lt;Year&gt;2001&lt;/Year&gt;&lt;RecNum&gt;647&lt;/RecNum&gt;&lt;DisplayText&gt;(17)&lt;/DisplayText&gt;&lt;record&gt;&lt;rec-number&gt;647&lt;/rec-number&gt;&lt;foreign-keys&gt;&lt;key app="EN" db-id="90exf5z9rvrz2yersrppfstqrdx2sxw5psze" timestamp="1397578983"&gt;647&lt;/key&gt;&lt;/foreign-keys&gt;&lt;ref-type name="Journal Article"&gt;17&lt;/ref-type&gt;&lt;contributors&gt;&lt;authors&gt;&lt;author&gt;Kalpana Gupta&lt;/author&gt;&lt;author&gt;Thomas M Hooton&lt;/author&gt;&lt;author&gt;Walter E Stamm&lt;/author&gt;&lt;/authors&gt;&lt;/contributors&gt;&lt;titles&gt;&lt;title&gt;Increasing antimicrobial resistance and the management of uncomplicated community-acquired urinary tract infections&lt;/title&gt;&lt;secondary-title&gt;Annals of Internal Medicine&lt;/secondary-title&gt;&lt;/titles&gt;&lt;periodical&gt;&lt;full-title&gt;Annals of Internal Medicine&lt;/full-title&gt;&lt;/periodical&gt;&lt;pages&gt;41-50&lt;/pages&gt;&lt;volume&gt;135&lt;/volume&gt;&lt;dates&gt;&lt;year&gt;2001&lt;/year&gt;&lt;/dates&gt;&lt;urls&gt;&lt;/urls&gt;&lt;/record&gt;&lt;/Cite&gt;&lt;/EndNote&gt;</w:instrText>
      </w:r>
      <w:r w:rsidR="00FB34F4" w:rsidRPr="00734E51">
        <w:rPr>
          <w:rFonts w:ascii="Times New Roman" w:eastAsiaTheme="minorHAnsi" w:hAnsi="Times New Roman" w:cs="Times New Roman"/>
          <w:lang w:val="en-GB"/>
        </w:rPr>
        <w:fldChar w:fldCharType="separate"/>
      </w:r>
      <w:r w:rsidR="001D713D" w:rsidRPr="00734E51">
        <w:rPr>
          <w:rFonts w:ascii="Times New Roman" w:eastAsiaTheme="minorHAnsi" w:hAnsi="Times New Roman" w:cs="Times New Roman"/>
          <w:lang w:val="en-GB"/>
        </w:rPr>
        <w:t>(</w:t>
      </w:r>
      <w:hyperlink w:anchor="_ENREF_17" w:tooltip="Gupta, 2001 #647" w:history="1">
        <w:r w:rsidR="00612B01" w:rsidRPr="00734E51">
          <w:rPr>
            <w:rFonts w:ascii="Times New Roman" w:eastAsiaTheme="minorHAnsi" w:hAnsi="Times New Roman" w:cs="Times New Roman"/>
            <w:lang w:val="en-GB"/>
          </w:rPr>
          <w:t>17</w:t>
        </w:r>
      </w:hyperlink>
      <w:r w:rsidR="001D713D"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001607F9" w:rsidRPr="00734E51">
        <w:rPr>
          <w:rFonts w:ascii="Times New Roman" w:eastAsiaTheme="minorHAnsi" w:hAnsi="Times New Roman" w:cs="Times New Roman"/>
          <w:lang w:val="en-GB"/>
        </w:rPr>
        <w:t xml:space="preserve"> It has been estimated that a resistance </w:t>
      </w:r>
      <w:r w:rsidR="00E865A0" w:rsidRPr="00734E51">
        <w:rPr>
          <w:rFonts w:ascii="Times New Roman" w:eastAsiaTheme="minorHAnsi" w:hAnsi="Times New Roman" w:cs="Times New Roman"/>
          <w:lang w:val="en-GB"/>
        </w:rPr>
        <w:t>proportion</w:t>
      </w:r>
      <w:r w:rsidR="001607F9" w:rsidRPr="00734E51">
        <w:rPr>
          <w:rFonts w:ascii="Times New Roman" w:eastAsiaTheme="minorHAnsi" w:hAnsi="Times New Roman" w:cs="Times New Roman"/>
          <w:lang w:val="en-GB"/>
        </w:rPr>
        <w:t xml:space="preserve"> of 30% would still be associated with </w:t>
      </w:r>
      <w:r w:rsidR="001607F9" w:rsidRPr="00734E51">
        <w:rPr>
          <w:rFonts w:ascii="Times New Roman" w:eastAsiaTheme="minorHAnsi" w:hAnsi="Times New Roman" w:cs="Times New Roman"/>
          <w:lang w:val="en-GB"/>
        </w:rPr>
        <w:lastRenderedPageBreak/>
        <w:t>an 85% clinical success rate.</w:t>
      </w:r>
      <w:r w:rsidR="00FB34F4" w:rsidRPr="00734E51">
        <w:rPr>
          <w:rFonts w:ascii="Times New Roman" w:eastAsiaTheme="minorHAnsi" w:hAnsi="Times New Roman" w:cs="Times New Roman"/>
          <w:lang w:val="en-GB"/>
        </w:rPr>
        <w:fldChar w:fldCharType="begin"/>
      </w:r>
      <w:r w:rsidR="001D713D" w:rsidRPr="00734E51">
        <w:rPr>
          <w:rFonts w:ascii="Times New Roman" w:eastAsiaTheme="minorHAnsi" w:hAnsi="Times New Roman" w:cs="Times New Roman"/>
          <w:lang w:val="en-GB"/>
        </w:rPr>
        <w:instrText xml:space="preserve"> ADDIN EN.CITE &lt;EndNote&gt;&lt;Cite&gt;&lt;Author&gt;Gupta&lt;/Author&gt;&lt;Year&gt;2001&lt;/Year&gt;&lt;RecNum&gt;647&lt;/RecNum&gt;&lt;DisplayText&gt;(17)&lt;/DisplayText&gt;&lt;record&gt;&lt;rec-number&gt;647&lt;/rec-number&gt;&lt;foreign-keys&gt;&lt;key app="EN" db-id="90exf5z9rvrz2yersrppfstqrdx2sxw5psze" timestamp="1397578983"&gt;647&lt;/key&gt;&lt;/foreign-keys&gt;&lt;ref-type name="Journal Article"&gt;17&lt;/ref-type&gt;&lt;contributors&gt;&lt;authors&gt;&lt;author&gt;Kalpana Gupta&lt;/author&gt;&lt;author&gt;Thomas M Hooton&lt;/author&gt;&lt;author&gt;Walter E Stamm&lt;/author&gt;&lt;/authors&gt;&lt;/contributors&gt;&lt;titles&gt;&lt;title&gt;Increasing antimicrobial resistance and the management of uncomplicated community-acquired urinary tract infections&lt;/title&gt;&lt;secondary-title&gt;Annals of Internal Medicine&lt;/secondary-title&gt;&lt;/titles&gt;&lt;periodical&gt;&lt;full-title&gt;Annals of Internal Medicine&lt;/full-title&gt;&lt;/periodical&gt;&lt;pages&gt;41-50&lt;/pages&gt;&lt;volume&gt;135&lt;/volume&gt;&lt;dates&gt;&lt;year&gt;2001&lt;/year&gt;&lt;/dates&gt;&lt;urls&gt;&lt;/urls&gt;&lt;/record&gt;&lt;/Cite&gt;&lt;/EndNote&gt;</w:instrText>
      </w:r>
      <w:r w:rsidR="00FB34F4" w:rsidRPr="00734E51">
        <w:rPr>
          <w:rFonts w:ascii="Times New Roman" w:eastAsiaTheme="minorHAnsi" w:hAnsi="Times New Roman" w:cs="Times New Roman"/>
          <w:lang w:val="en-GB"/>
        </w:rPr>
        <w:fldChar w:fldCharType="separate"/>
      </w:r>
      <w:r w:rsidR="001D713D" w:rsidRPr="00734E51">
        <w:rPr>
          <w:rFonts w:ascii="Times New Roman" w:eastAsiaTheme="minorHAnsi" w:hAnsi="Times New Roman" w:cs="Times New Roman"/>
          <w:lang w:val="en-GB"/>
        </w:rPr>
        <w:t>(</w:t>
      </w:r>
      <w:hyperlink w:anchor="_ENREF_17" w:tooltip="Gupta, 2001 #647" w:history="1">
        <w:r w:rsidR="00612B01" w:rsidRPr="00734E51">
          <w:rPr>
            <w:rFonts w:ascii="Times New Roman" w:eastAsiaTheme="minorHAnsi" w:hAnsi="Times New Roman" w:cs="Times New Roman"/>
            <w:lang w:val="en-GB"/>
          </w:rPr>
          <w:t>17</w:t>
        </w:r>
      </w:hyperlink>
      <w:r w:rsidR="001D713D"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001607F9" w:rsidRPr="00734E51">
        <w:rPr>
          <w:rFonts w:ascii="Times New Roman" w:eastAsiaTheme="minorHAnsi" w:hAnsi="Times New Roman" w:cs="Times New Roman"/>
          <w:lang w:val="en-GB"/>
        </w:rPr>
        <w:t xml:space="preserve"> Co-</w:t>
      </w:r>
      <w:proofErr w:type="spellStart"/>
      <w:r w:rsidR="001607F9" w:rsidRPr="00734E51">
        <w:rPr>
          <w:rFonts w:ascii="Times New Roman" w:eastAsiaTheme="minorHAnsi" w:hAnsi="Times New Roman" w:cs="Times New Roman"/>
          <w:lang w:val="en-GB"/>
        </w:rPr>
        <w:t>amoxiclav</w:t>
      </w:r>
      <w:proofErr w:type="spellEnd"/>
      <w:r w:rsidR="001607F9" w:rsidRPr="00734E51">
        <w:rPr>
          <w:rFonts w:ascii="Times New Roman" w:eastAsiaTheme="minorHAnsi" w:hAnsi="Times New Roman" w:cs="Times New Roman"/>
          <w:lang w:val="en-GB"/>
        </w:rPr>
        <w:t xml:space="preserve"> and cephalexin are </w:t>
      </w:r>
      <w:r w:rsidR="00C43006" w:rsidRPr="00734E51">
        <w:rPr>
          <w:rFonts w:ascii="Times New Roman" w:eastAsiaTheme="minorHAnsi" w:hAnsi="Times New Roman" w:cs="Times New Roman"/>
          <w:lang w:val="en-GB"/>
        </w:rPr>
        <w:t xml:space="preserve">broader spectrum </w:t>
      </w:r>
      <w:r w:rsidR="001607F9" w:rsidRPr="00734E51">
        <w:rPr>
          <w:rFonts w:ascii="Times New Roman" w:eastAsiaTheme="minorHAnsi" w:hAnsi="Times New Roman" w:cs="Times New Roman"/>
          <w:lang w:val="en-GB"/>
        </w:rPr>
        <w:t>alternatives</w:t>
      </w:r>
      <w:r w:rsidR="00C43006" w:rsidRPr="00734E51">
        <w:rPr>
          <w:rFonts w:ascii="Times New Roman" w:eastAsiaTheme="minorHAnsi" w:hAnsi="Times New Roman" w:cs="Times New Roman"/>
          <w:lang w:val="en-GB"/>
        </w:rPr>
        <w:t xml:space="preserve">, albeit at the increased risk of </w:t>
      </w:r>
      <w:r w:rsidR="00D46B00" w:rsidRPr="00734E51">
        <w:rPr>
          <w:rFonts w:ascii="Times New Roman" w:eastAsiaTheme="minorHAnsi" w:hAnsi="Times New Roman" w:cs="Times New Roman"/>
          <w:lang w:val="en-GB"/>
        </w:rPr>
        <w:t>generating subsequent antimicrobial resistance</w:t>
      </w:r>
      <w:r w:rsidR="001607F9" w:rsidRPr="00734E51">
        <w:rPr>
          <w:rFonts w:ascii="Times New Roman" w:eastAsiaTheme="minorHAnsi" w:hAnsi="Times New Roman" w:cs="Times New Roman"/>
          <w:lang w:val="en-GB"/>
        </w:rPr>
        <w:t>.</w:t>
      </w:r>
      <w:r w:rsidR="00612B01" w:rsidRPr="00734E51">
        <w:rPr>
          <w:rFonts w:ascii="Times New Roman" w:eastAsiaTheme="minorHAnsi" w:hAnsi="Times New Roman" w:cs="Times New Roman"/>
          <w:lang w:val="en-GB"/>
        </w:rPr>
        <w:t xml:space="preserve"> These results also support the recommendation to use nitrofurantoin. </w:t>
      </w:r>
      <w:r w:rsidR="00FB34F4" w:rsidRPr="00734E51">
        <w:rPr>
          <w:rFonts w:ascii="Times New Roman" w:eastAsiaTheme="minorHAnsi" w:hAnsi="Times New Roman" w:cs="Times New Roman"/>
          <w:lang w:val="en-GB"/>
        </w:rPr>
        <w:fldChar w:fldCharType="begin"/>
      </w:r>
      <w:r w:rsidR="00612B01" w:rsidRPr="00734E51">
        <w:rPr>
          <w:rFonts w:ascii="Times New Roman" w:eastAsiaTheme="minorHAnsi" w:hAnsi="Times New Roman" w:cs="Times New Roman"/>
          <w:lang w:val="en-GB"/>
        </w:rPr>
        <w:instrText xml:space="preserve"> ADDIN EN.CITE &lt;EndNote&gt;&lt;Cite&gt;&lt;Author&gt;HPA&lt;/Author&gt;&lt;Year&gt;2012. [cited 2012]; Available from: http://www.hpa.org.uk/webc/HPAwebFile/HPAweb_C/1317132858791&lt;/Year&gt;&lt;RecNum&gt;504&lt;/RecNum&gt;&lt;DisplayText&gt;(10)&lt;/DisplayText&gt;&lt;record&gt;&lt;rec-number&gt;504&lt;/rec-number&gt;&lt;foreign-keys&gt;&lt;key app="EN" db-id="90exf5z9rvrz2yersrppfstqrdx2sxw5psze" timestamp="1354823936"&gt;504&lt;/key&gt;&lt;/foreign-keys&gt;&lt;ref-type name="Report"&gt;27&lt;/ref-type&gt;&lt;contributors&gt;&lt;authors&gt;&lt;author&gt;HPA&lt;/author&gt;&lt;/authors&gt;&lt;/contributors&gt;&lt;titles&gt;&lt;title&gt;UK Standards for Microbiology Investigations: Investigation of Urine&lt;/title&gt;&lt;/titles&gt;&lt;volume&gt;2012&lt;/volume&gt;&lt;dates&gt;&lt;year&gt;2012. [cited 2012]; Available from: http://www.hpa.org.uk/webc/HPAwebFile/HPAweb_C/1317132858791&lt;/year&gt;&lt;/dates&gt;&lt;pub-location&gt;London&lt;/pub-location&gt;&lt;publisher&gt;Health Protection Agency&lt;/publisher&gt;&lt;urls&gt;&lt;related-urls&gt;&lt;url&gt;http://www.hpa.org.uk/webc/HPAwebFile/HPAweb_C/1317132858791&lt;/url&gt;&lt;/related-urls&gt;&lt;/urls&gt;&lt;/record&gt;&lt;/Cite&gt;&lt;/EndNote&gt;</w:instrText>
      </w:r>
      <w:r w:rsidR="00FB34F4" w:rsidRPr="00734E51">
        <w:rPr>
          <w:rFonts w:ascii="Times New Roman" w:eastAsiaTheme="minorHAnsi" w:hAnsi="Times New Roman" w:cs="Times New Roman"/>
          <w:lang w:val="en-GB"/>
        </w:rPr>
        <w:fldChar w:fldCharType="separate"/>
      </w:r>
      <w:r w:rsidR="00612B01" w:rsidRPr="00734E51">
        <w:rPr>
          <w:rFonts w:ascii="Times New Roman" w:eastAsiaTheme="minorHAnsi" w:hAnsi="Times New Roman" w:cs="Times New Roman"/>
          <w:lang w:val="en-GB"/>
        </w:rPr>
        <w:t>(</w:t>
      </w:r>
      <w:hyperlink w:anchor="_ENREF_10" w:tooltip="HPA, 2012. [cited 2012]; Available from: http://www.hpa.org.uk/webc/HPAwebFile/HPAweb_C/1317132858791 #504" w:history="1">
        <w:r w:rsidR="00612B01" w:rsidRPr="00734E51">
          <w:rPr>
            <w:rFonts w:ascii="Times New Roman" w:eastAsiaTheme="minorHAnsi" w:hAnsi="Times New Roman" w:cs="Times New Roman"/>
            <w:lang w:val="en-GB"/>
          </w:rPr>
          <w:t>10</w:t>
        </w:r>
      </w:hyperlink>
      <w:r w:rsidR="00612B01"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00612B01" w:rsidRPr="00734E51">
        <w:rPr>
          <w:rFonts w:ascii="Times New Roman" w:eastAsiaTheme="minorHAnsi" w:hAnsi="Times New Roman" w:cs="Times New Roman"/>
          <w:lang w:val="en-GB"/>
        </w:rPr>
        <w:t xml:space="preserve"> This agent does not reach therapeutic concentrations in the blood or other tissues so is less likely to drive resistance in commensal organisms or be effective in pyelonephritis.</w:t>
      </w:r>
      <w:r w:rsidR="00FB34F4" w:rsidRPr="00734E51">
        <w:rPr>
          <w:rFonts w:ascii="Times New Roman" w:eastAsiaTheme="minorHAnsi" w:hAnsi="Times New Roman" w:cs="Times New Roman"/>
          <w:lang w:val="en-GB"/>
        </w:rPr>
        <w:fldChar w:fldCharType="begin"/>
      </w:r>
      <w:r w:rsidR="00612B01" w:rsidRPr="00734E51">
        <w:rPr>
          <w:rFonts w:ascii="Times New Roman" w:eastAsiaTheme="minorHAnsi" w:hAnsi="Times New Roman" w:cs="Times New Roman"/>
          <w:lang w:val="en-GB"/>
        </w:rPr>
        <w:instrText xml:space="preserve"> ADDIN EN.CITE &lt;EndNote&gt;&lt;Cite&gt;&lt;Author&gt;Stamey&lt;/Author&gt;&lt;Year&gt;1977&lt;/Year&gt;&lt;RecNum&gt;643&lt;/RecNum&gt;&lt;DisplayText&gt;(18)&lt;/DisplayText&gt;&lt;record&gt;&lt;rec-number&gt;643&lt;/rec-number&gt;&lt;foreign-keys&gt;&lt;key app="EN" db-id="90exf5z9rvrz2yersrppfstqrdx2sxw5psze" timestamp="1396885496"&gt;643&lt;/key&gt;&lt;/foreign-keys&gt;&lt;ref-type name="Journal Article"&gt;17&lt;/ref-type&gt;&lt;contributors&gt;&lt;authors&gt;&lt;author&gt;Stamey, Thomas A.&lt;/author&gt;&lt;author&gt;Condy, Mercy&lt;/author&gt;&lt;author&gt;Mihara, Gladys&lt;/author&gt;&lt;/authors&gt;&lt;/contributors&gt;&lt;titles&gt;&lt;title&gt;Prophylactic Efficacy of Nitrofurantoin Macrocrystals and Trimethoprim-Sulfamethoxazole in Urinary Infections&lt;/title&gt;&lt;secondary-title&gt;New England Journal of Medicine&lt;/secondary-title&gt;&lt;/titles&gt;&lt;periodical&gt;&lt;full-title&gt;New England Journal of Medicine&lt;/full-title&gt;&lt;/periodical&gt;&lt;pages&gt;780-783&lt;/pages&gt;&lt;volume&gt;296&lt;/volume&gt;&lt;number&gt;14&lt;/number&gt;&lt;dates&gt;&lt;year&gt;1977&lt;/year&gt;&lt;/dates&gt;&lt;accession-num&gt;320482&lt;/accession-num&gt;&lt;urls&gt;&lt;related-urls&gt;&lt;url&gt;http://www.nejm.org/doi/full/10.1056/NEJM197704072961403&lt;/url&gt;&lt;/related-urls&gt;&lt;/urls&gt;&lt;electronic-resource-num&gt;doi:10.1056/NEJM197704072961403&lt;/electronic-resource-num&gt;&lt;/record&gt;&lt;/Cite&gt;&lt;/EndNote&gt;</w:instrText>
      </w:r>
      <w:r w:rsidR="00FB34F4" w:rsidRPr="00734E51">
        <w:rPr>
          <w:rFonts w:ascii="Times New Roman" w:eastAsiaTheme="minorHAnsi" w:hAnsi="Times New Roman" w:cs="Times New Roman"/>
          <w:lang w:val="en-GB"/>
        </w:rPr>
        <w:fldChar w:fldCharType="separate"/>
      </w:r>
      <w:r w:rsidR="00612B01" w:rsidRPr="00734E51">
        <w:rPr>
          <w:rFonts w:ascii="Times New Roman" w:eastAsiaTheme="minorHAnsi" w:hAnsi="Times New Roman" w:cs="Times New Roman"/>
          <w:lang w:val="en-GB"/>
        </w:rPr>
        <w:t>(</w:t>
      </w:r>
      <w:hyperlink w:anchor="_ENREF_18" w:tooltip="Stamey, 1977 #643" w:history="1">
        <w:r w:rsidR="00612B01" w:rsidRPr="00734E51">
          <w:rPr>
            <w:rFonts w:ascii="Times New Roman" w:eastAsiaTheme="minorHAnsi" w:hAnsi="Times New Roman" w:cs="Times New Roman"/>
            <w:lang w:val="en-GB"/>
          </w:rPr>
          <w:t>18</w:t>
        </w:r>
      </w:hyperlink>
      <w:r w:rsidR="00612B01"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00612B01" w:rsidRPr="00734E51">
        <w:rPr>
          <w:rFonts w:ascii="Times New Roman" w:eastAsiaTheme="minorHAnsi" w:hAnsi="Times New Roman" w:cs="Times New Roman"/>
          <w:lang w:val="en-GB"/>
        </w:rPr>
        <w:t xml:space="preserve"> Increases in resistance to nitrofurantoin are less marked than to other commonly used antimicrobials.</w:t>
      </w:r>
      <w:r w:rsidR="00FB34F4" w:rsidRPr="00734E51">
        <w:rPr>
          <w:rFonts w:ascii="Times New Roman" w:eastAsiaTheme="minorHAnsi" w:hAnsi="Times New Roman" w:cs="Times New Roman"/>
          <w:lang w:val="en-GB"/>
        </w:rPr>
        <w:fldChar w:fldCharType="begin"/>
      </w:r>
      <w:r w:rsidR="00612B01" w:rsidRPr="00734E51">
        <w:rPr>
          <w:rFonts w:ascii="Times New Roman" w:eastAsiaTheme="minorHAnsi" w:hAnsi="Times New Roman" w:cs="Times New Roman"/>
          <w:lang w:val="en-GB"/>
        </w:rPr>
        <w:instrText xml:space="preserve"> ADDIN EN.CITE &lt;EndNote&gt;&lt;Cite&gt;&lt;Author&gt;Hegginbothom&lt;/Author&gt;&lt;Year&gt;2013&lt;/Year&gt;&lt;RecNum&gt;644&lt;/RecNum&gt;&lt;DisplayText&gt;(19)&lt;/DisplayText&gt;&lt;record&gt;&lt;rec-number&gt;644&lt;/rec-number&gt;&lt;foreign-keys&gt;&lt;key app="EN" db-id="90exf5z9rvrz2yersrppfstqrdx2sxw5psze" timestamp="1396885721"&gt;644&lt;/key&gt;&lt;/foreign-keys&gt;&lt;ref-type name="Report"&gt;27&lt;/ref-type&gt;&lt;contributors&gt;&lt;authors&gt;&lt;author&gt;Hegginbothom, Maggie&lt;/author&gt;&lt;author&gt;Howe, Robin&lt;/author&gt;&lt;author&gt;Thomas, Catherine&lt;/author&gt;&lt;/authors&gt;&lt;/contributors&gt;&lt;titles&gt;&lt;title&gt;Antibacterial Resistance in Wales 2005-2012: A report from Public Health Wales Antimicrobial Resistance Programme Surveillance Unit&lt;/title&gt;&lt;/titles&gt;&lt;pages&gt;1-52&lt;/pages&gt;&lt;dates&gt;&lt;year&gt;2013&lt;/year&gt;&lt;pub-dates&gt;&lt;date&gt;18/11/2013&lt;/date&gt;&lt;/pub-dates&gt;&lt;/dates&gt;&lt;urls&gt;&lt;related-urls&gt;&lt;url&gt;http://www2.nphs.wales.nhs.uk:8080/WARPDocs.nsf/($All)/DFE6DE231D94EBFD80257C270035F57A/$File/Antimicrobial%20Resistance%20in%20Wales%202005-2012.pdf?OpenElement&lt;/url&gt;&lt;/related-urls&gt;&lt;/urls&gt;&lt;/record&gt;&lt;/Cite&gt;&lt;/EndNote&gt;</w:instrText>
      </w:r>
      <w:r w:rsidR="00FB34F4" w:rsidRPr="00734E51">
        <w:rPr>
          <w:rFonts w:ascii="Times New Roman" w:eastAsiaTheme="minorHAnsi" w:hAnsi="Times New Roman" w:cs="Times New Roman"/>
          <w:lang w:val="en-GB"/>
        </w:rPr>
        <w:fldChar w:fldCharType="separate"/>
      </w:r>
      <w:r w:rsidR="00612B01" w:rsidRPr="00734E51">
        <w:rPr>
          <w:rFonts w:ascii="Times New Roman" w:eastAsiaTheme="minorHAnsi" w:hAnsi="Times New Roman" w:cs="Times New Roman"/>
          <w:lang w:val="en-GB"/>
        </w:rPr>
        <w:t>(</w:t>
      </w:r>
      <w:hyperlink w:anchor="_ENREF_19" w:tooltip="Hegginbothom, 2013 #644" w:history="1">
        <w:r w:rsidR="00612B01" w:rsidRPr="00734E51">
          <w:rPr>
            <w:rFonts w:ascii="Times New Roman" w:eastAsiaTheme="minorHAnsi" w:hAnsi="Times New Roman" w:cs="Times New Roman"/>
            <w:lang w:val="en-GB"/>
          </w:rPr>
          <w:t>19</w:t>
        </w:r>
      </w:hyperlink>
      <w:r w:rsidR="00612B01"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r w:rsidR="00612B01" w:rsidRPr="00734E51">
        <w:rPr>
          <w:rFonts w:ascii="Times New Roman" w:eastAsiaTheme="minorHAnsi" w:hAnsi="Times New Roman" w:cs="Times New Roman"/>
          <w:lang w:val="en-GB"/>
        </w:rPr>
        <w:t xml:space="preserve"> However, when renal involvement or sepsis is suspected, in younger children or in children with known renal impairment, an alternative should be used.</w:t>
      </w:r>
      <w:r w:rsidR="00FB34F4" w:rsidRPr="00734E51">
        <w:rPr>
          <w:rFonts w:ascii="Times New Roman" w:eastAsiaTheme="minorHAnsi" w:hAnsi="Times New Roman" w:cs="Times New Roman"/>
          <w:lang w:val="en-GB"/>
        </w:rPr>
        <w:fldChar w:fldCharType="begin"/>
      </w:r>
      <w:r w:rsidR="00612B01" w:rsidRPr="00734E51">
        <w:rPr>
          <w:rFonts w:ascii="Times New Roman" w:eastAsiaTheme="minorHAnsi" w:hAnsi="Times New Roman" w:cs="Times New Roman"/>
          <w:lang w:val="en-GB"/>
        </w:rPr>
        <w:instrText xml:space="preserve"> ADDIN EN.CITE &lt;EndNote&gt;&lt;Cite&gt;&lt;Author&gt;NICE&lt;/Author&gt;&lt;Year&gt;2007&lt;/Year&gt;&lt;RecNum&gt;218&lt;/RecNum&gt;&lt;DisplayText&gt;(1, 16)&lt;/DisplayText&gt;&lt;record&gt;&lt;rec-number&gt;218&lt;/rec-number&gt;&lt;foreign-keys&gt;&lt;key app="EN" db-id="90exf5z9rvrz2yersrppfstqrdx2sxw5psze" timestamp="1335798890"&gt;218&lt;/key&gt;&lt;/foreign-keys&gt;&lt;ref-type name="Web Page"&gt;12&lt;/ref-type&gt;&lt;contributors&gt;&lt;authors&gt;&lt;author&gt;NICE&lt;/author&gt;&lt;/authors&gt;&lt;/contributors&gt;&lt;titles&gt;&lt;title&gt;Urinary tract infection in children: diagnosis, treatment and long-term management. CG54.&lt;/title&gt;&lt;/titles&gt;&lt;dates&gt;&lt;year&gt;2007&lt;/year&gt;&lt;/dates&gt;&lt;pub-location&gt;London&lt;/pub-location&gt;&lt;publisher&gt;National Institute for Health and Care Excellence&lt;/publisher&gt;&lt;work-type&gt;Clinical guideline&lt;/work-type&gt;&lt;urls&gt;&lt;related-urls&gt;&lt;url&gt;http://guidance.nice.org.uk/CG054&lt;/url&gt;&lt;/related-urls&gt;&lt;/urls&gt;&lt;custom1&gt;2013&lt;/custom1&gt;&lt;/record&gt;&lt;/Cite&gt;&lt;Cite&gt;&lt;Author&gt;BNF&lt;/Author&gt;&lt;Year&gt;2014&lt;/Year&gt;&lt;RecNum&gt;648&lt;/RecNum&gt;&lt;record&gt;&lt;rec-number&gt;648&lt;/rec-number&gt;&lt;foreign-keys&gt;&lt;key app="EN" db-id="90exf5z9rvrz2yersrppfstqrdx2sxw5psze" timestamp="1401206472"&gt;648&lt;/key&gt;&lt;/foreign-keys&gt;&lt;ref-type name="Web Page"&gt;12&lt;/ref-type&gt;&lt;contributors&gt;&lt;authors&gt;&lt;author&gt;BNF &lt;/author&gt;&lt;/authors&gt;&lt;/contributors&gt;&lt;titles&gt;&lt;title&gt;BNF for children&lt;/title&gt;&lt;/titles&gt;&lt;number&gt;27/05/2014&lt;/number&gt;&lt;dates&gt;&lt;year&gt;2014&lt;/year&gt;&lt;/dates&gt;&lt;urls&gt;&lt;related-urls&gt;&lt;url&gt;http://www.medicinescomplete.com/mc/bnfc/current/PHP12897-nitrofurantoin-non-proprietary.htm&lt;/url&gt;&lt;/related-urls&gt;&lt;/urls&gt;&lt;custom1&gt;2014&lt;/custom1&gt;&lt;custom2&gt;[Accessed 27/05/2014&lt;/custom2&gt;&lt;/record&gt;&lt;/Cite&gt;&lt;/EndNote&gt;</w:instrText>
      </w:r>
      <w:r w:rsidR="00FB34F4" w:rsidRPr="00734E51">
        <w:rPr>
          <w:rFonts w:ascii="Times New Roman" w:eastAsiaTheme="minorHAnsi" w:hAnsi="Times New Roman" w:cs="Times New Roman"/>
          <w:lang w:val="en-GB"/>
        </w:rPr>
        <w:fldChar w:fldCharType="separate"/>
      </w:r>
      <w:r w:rsidR="00612B01" w:rsidRPr="00734E51">
        <w:rPr>
          <w:rFonts w:ascii="Times New Roman" w:eastAsiaTheme="minorHAnsi" w:hAnsi="Times New Roman" w:cs="Times New Roman"/>
          <w:lang w:val="en-GB"/>
        </w:rPr>
        <w:t>(</w:t>
      </w:r>
      <w:hyperlink w:anchor="_ENREF_1" w:tooltip="NICE, 2007 #218" w:history="1">
        <w:r w:rsidR="00612B01" w:rsidRPr="00734E51">
          <w:rPr>
            <w:rFonts w:ascii="Times New Roman" w:eastAsiaTheme="minorHAnsi" w:hAnsi="Times New Roman" w:cs="Times New Roman"/>
            <w:lang w:val="en-GB"/>
          </w:rPr>
          <w:t>1</w:t>
        </w:r>
      </w:hyperlink>
      <w:r w:rsidR="00612B01" w:rsidRPr="00734E51">
        <w:rPr>
          <w:rFonts w:ascii="Times New Roman" w:eastAsiaTheme="minorHAnsi" w:hAnsi="Times New Roman" w:cs="Times New Roman"/>
          <w:lang w:val="en-GB"/>
        </w:rPr>
        <w:t xml:space="preserve">, </w:t>
      </w:r>
      <w:hyperlink w:anchor="_ENREF_16" w:tooltip="BNF, 2014 #648" w:history="1">
        <w:r w:rsidR="00612B01" w:rsidRPr="00734E51">
          <w:rPr>
            <w:rFonts w:ascii="Times New Roman" w:eastAsiaTheme="minorHAnsi" w:hAnsi="Times New Roman" w:cs="Times New Roman"/>
            <w:lang w:val="en-GB"/>
          </w:rPr>
          <w:t>16</w:t>
        </w:r>
      </w:hyperlink>
      <w:r w:rsidR="00612B01" w:rsidRPr="00734E51">
        <w:rPr>
          <w:rFonts w:ascii="Times New Roman" w:eastAsiaTheme="minorHAnsi" w:hAnsi="Times New Roman" w:cs="Times New Roman"/>
          <w:lang w:val="en-GB"/>
        </w:rPr>
        <w:t>)</w:t>
      </w:r>
      <w:r w:rsidR="00FB34F4" w:rsidRPr="00734E51">
        <w:rPr>
          <w:rFonts w:ascii="Times New Roman" w:eastAsiaTheme="minorHAnsi" w:hAnsi="Times New Roman" w:cs="Times New Roman"/>
          <w:lang w:val="en-GB"/>
        </w:rPr>
        <w:fldChar w:fldCharType="end"/>
      </w:r>
    </w:p>
    <w:p w14:paraId="6844AC05" w14:textId="77777777" w:rsidR="00A72026" w:rsidRPr="00734E51" w:rsidRDefault="00A72026" w:rsidP="005A5FFA">
      <w:pPr>
        <w:spacing w:line="480" w:lineRule="auto"/>
        <w:rPr>
          <w:rFonts w:ascii="Times New Roman" w:hAnsi="Times New Roman" w:cs="Times New Roman"/>
          <w:lang w:val="en-GB"/>
        </w:rPr>
      </w:pPr>
    </w:p>
    <w:p w14:paraId="2D8821F2" w14:textId="77777777" w:rsidR="00A72026" w:rsidRPr="00734E51" w:rsidRDefault="00A72026" w:rsidP="005A5FFA">
      <w:pPr>
        <w:spacing w:line="480" w:lineRule="auto"/>
        <w:rPr>
          <w:rFonts w:ascii="Times New Roman" w:hAnsi="Times New Roman" w:cs="Times New Roman"/>
          <w:b/>
          <w:lang w:val="en-GB"/>
        </w:rPr>
      </w:pPr>
      <w:r w:rsidRPr="00734E51">
        <w:rPr>
          <w:rFonts w:ascii="Times New Roman" w:hAnsi="Times New Roman" w:cs="Times New Roman"/>
          <w:b/>
          <w:lang w:val="en-GB"/>
        </w:rPr>
        <w:t>Ethical approval</w:t>
      </w:r>
    </w:p>
    <w:p w14:paraId="5A8B0A7E" w14:textId="77777777" w:rsidR="00A72026" w:rsidRPr="00734E51" w:rsidRDefault="00A72026" w:rsidP="005A5FFA">
      <w:pPr>
        <w:spacing w:line="480" w:lineRule="auto"/>
        <w:rPr>
          <w:rFonts w:ascii="Times New Roman" w:hAnsi="Times New Roman" w:cs="Times New Roman"/>
          <w:lang w:val="en-GB"/>
        </w:rPr>
      </w:pPr>
      <w:r w:rsidRPr="00734E51">
        <w:rPr>
          <w:rFonts w:ascii="Times New Roman" w:hAnsi="Times New Roman" w:cs="Times New Roman"/>
          <w:lang w:val="en-GB"/>
        </w:rPr>
        <w:t>Multi-centre ethical approval was granted by the South West Southmead Research Ethics Committee (previously Southmead Research Ethics Committee, then South West 4 REC), Ref #09/H0102/64.</w:t>
      </w:r>
    </w:p>
    <w:p w14:paraId="231E6BDA" w14:textId="77777777" w:rsidR="00A72026" w:rsidRPr="00734E51" w:rsidRDefault="00A72026" w:rsidP="005A5FFA">
      <w:pPr>
        <w:spacing w:line="480" w:lineRule="auto"/>
        <w:rPr>
          <w:rFonts w:ascii="Times New Roman" w:hAnsi="Times New Roman" w:cs="Times New Roman"/>
          <w:b/>
          <w:lang w:val="en-GB"/>
        </w:rPr>
      </w:pPr>
    </w:p>
    <w:p w14:paraId="611C4922" w14:textId="77777777" w:rsidR="00A72026" w:rsidRPr="00734E51" w:rsidRDefault="00EB4A7E" w:rsidP="005A5FFA">
      <w:pPr>
        <w:spacing w:line="480" w:lineRule="auto"/>
        <w:rPr>
          <w:rFonts w:ascii="Times New Roman" w:hAnsi="Times New Roman" w:cs="Times New Roman"/>
          <w:b/>
          <w:lang w:val="en-GB"/>
        </w:rPr>
      </w:pPr>
      <w:r w:rsidRPr="00734E51">
        <w:rPr>
          <w:rFonts w:ascii="Times New Roman" w:hAnsi="Times New Roman" w:cs="Times New Roman"/>
          <w:b/>
          <w:lang w:val="en-GB"/>
        </w:rPr>
        <w:t>Transparency Declarations</w:t>
      </w:r>
    </w:p>
    <w:p w14:paraId="152E8D5F" w14:textId="77777777" w:rsidR="00EB4A7E" w:rsidRPr="00734E51" w:rsidRDefault="00EB4A7E" w:rsidP="00EB4A7E">
      <w:pPr>
        <w:spacing w:line="480" w:lineRule="auto"/>
        <w:rPr>
          <w:rFonts w:ascii="Times New Roman" w:hAnsi="Times New Roman" w:cs="Times New Roman"/>
          <w:lang w:val="en-GB"/>
        </w:rPr>
      </w:pPr>
      <w:r w:rsidRPr="00734E51">
        <w:rPr>
          <w:rFonts w:ascii="Times New Roman" w:hAnsi="Times New Roman" w:cs="Times New Roman"/>
          <w:lang w:val="en-GB"/>
        </w:rPr>
        <w:t xml:space="preserve">The study was funded by a grant from the NIHR Health Technology Assessment Programme (project number 08/66/01). The funders </w:t>
      </w:r>
      <w:r w:rsidR="004508E7" w:rsidRPr="00734E51">
        <w:rPr>
          <w:rFonts w:ascii="Times New Roman" w:hAnsi="Times New Roman" w:cs="Times New Roman"/>
          <w:lang w:val="en-GB"/>
        </w:rPr>
        <w:t xml:space="preserve">had no editorial control over the data. </w:t>
      </w:r>
    </w:p>
    <w:p w14:paraId="35F23E31" w14:textId="77777777" w:rsidR="005A5FFA" w:rsidRPr="00D348F8" w:rsidRDefault="005A5FFA" w:rsidP="005A5FFA">
      <w:pPr>
        <w:spacing w:line="480" w:lineRule="auto"/>
        <w:rPr>
          <w:rFonts w:ascii="Times New Roman" w:hAnsi="Times New Roman" w:cs="Times New Roman"/>
          <w:lang w:val="en-GB"/>
        </w:rPr>
      </w:pPr>
      <w:r w:rsidRPr="007400ED">
        <w:rPr>
          <w:rFonts w:ascii="Times New Roman" w:hAnsi="Times New Roman" w:cs="Times New Roman"/>
          <w:lang w:val="en-GB"/>
        </w:rPr>
        <w:t>No</w:t>
      </w:r>
      <w:r w:rsidR="004508E7" w:rsidRPr="007400ED">
        <w:rPr>
          <w:rFonts w:ascii="Times New Roman" w:hAnsi="Times New Roman" w:cs="Times New Roman"/>
          <w:lang w:val="en-GB"/>
        </w:rPr>
        <w:t xml:space="preserve"> conflicts of interest have been declared by the authors </w:t>
      </w:r>
      <w:r w:rsidRPr="00D348F8">
        <w:rPr>
          <w:rFonts w:ascii="Times New Roman" w:hAnsi="Times New Roman" w:cs="Times New Roman"/>
          <w:lang w:val="en-GB"/>
        </w:rPr>
        <w:t xml:space="preserve">except for P. Little who is a member of the NIHR Journals Library Board and has provided consultancy work to Bayer Pharmaceuticals. All authors have completed the unified competing interest form at </w:t>
      </w:r>
      <w:hyperlink r:id="rId8" w:history="1">
        <w:r w:rsidRPr="00D348F8">
          <w:rPr>
            <w:rStyle w:val="Hyperlink"/>
            <w:rFonts w:ascii="Times New Roman" w:hAnsi="Times New Roman" w:cs="Times New Roman"/>
            <w:lang w:val="en-GB"/>
          </w:rPr>
          <w:t>www.icje.org/coi_disclosure.pdf</w:t>
        </w:r>
      </w:hyperlink>
      <w:r w:rsidRPr="00D348F8">
        <w:rPr>
          <w:rFonts w:ascii="Times New Roman" w:hAnsi="Times New Roman" w:cs="Times New Roman"/>
          <w:lang w:val="en-GB"/>
        </w:rPr>
        <w:t xml:space="preserve"> (available on request from the corresponding author) and declare (1) no financial support for the submitted work from anyone other than their employer; (2) no financial relationships with commercial entities that might </w:t>
      </w:r>
      <w:r w:rsidRPr="00D348F8">
        <w:rPr>
          <w:rFonts w:ascii="Times New Roman" w:hAnsi="Times New Roman" w:cs="Times New Roman"/>
          <w:lang w:val="en-GB"/>
        </w:rPr>
        <w:lastRenderedPageBreak/>
        <w:t xml:space="preserve">have an interest in the submitted work (3) no spouses, partners, or children with relationships with commercial entities that might have an interest in the submitted work; and (4) no non-financial interest that might be relevant to the submitted work. </w:t>
      </w:r>
    </w:p>
    <w:p w14:paraId="2948BEFC" w14:textId="77777777" w:rsidR="00A72026" w:rsidRPr="00734E51" w:rsidRDefault="00A72026" w:rsidP="005A5FFA">
      <w:pPr>
        <w:spacing w:line="480" w:lineRule="auto"/>
        <w:rPr>
          <w:rFonts w:ascii="Times New Roman" w:hAnsi="Times New Roman" w:cs="Times New Roman"/>
          <w:b/>
          <w:lang w:val="en-GB"/>
        </w:rPr>
      </w:pPr>
    </w:p>
    <w:p w14:paraId="66D39393" w14:textId="77777777" w:rsidR="00A72026" w:rsidRPr="00734E51" w:rsidRDefault="00A72026" w:rsidP="005A5FFA">
      <w:pPr>
        <w:spacing w:line="480" w:lineRule="auto"/>
        <w:rPr>
          <w:rFonts w:ascii="Times New Roman" w:hAnsi="Times New Roman" w:cs="Times New Roman"/>
          <w:b/>
          <w:lang w:val="en-GB"/>
        </w:rPr>
      </w:pPr>
      <w:r w:rsidRPr="00734E51">
        <w:rPr>
          <w:rFonts w:ascii="Times New Roman" w:hAnsi="Times New Roman" w:cs="Times New Roman"/>
          <w:b/>
          <w:lang w:val="en-GB"/>
        </w:rPr>
        <w:t>Acknowledgements</w:t>
      </w:r>
    </w:p>
    <w:p w14:paraId="5DD159EC" w14:textId="77777777" w:rsidR="00A72026" w:rsidRPr="00734E51" w:rsidRDefault="00A72026" w:rsidP="005A5FFA">
      <w:pPr>
        <w:spacing w:line="480" w:lineRule="auto"/>
        <w:rPr>
          <w:rFonts w:ascii="Times New Roman" w:hAnsi="Times New Roman" w:cs="Times New Roman"/>
          <w:lang w:val="en-GB"/>
        </w:rPr>
      </w:pPr>
      <w:r w:rsidRPr="00734E51">
        <w:rPr>
          <w:rFonts w:ascii="Times New Roman" w:hAnsi="Times New Roman" w:cs="Times New Roman"/>
          <w:lang w:val="en-GB"/>
        </w:rPr>
        <w:t xml:space="preserve">We would like to thank all the members of the DUTY study team; the study steering committee; the recruitment sites; laboratories and research networks; and most of all, the participating children and their families. CCB was supported in part by the National Institute for Social Care and Health Research funded Wales School of Primary Care Research. </w:t>
      </w:r>
    </w:p>
    <w:p w14:paraId="4373A5AD" w14:textId="77777777" w:rsidR="007D6A32" w:rsidRPr="00734E51" w:rsidRDefault="007D6A32" w:rsidP="005A5FFA">
      <w:pPr>
        <w:spacing w:line="480" w:lineRule="auto"/>
        <w:rPr>
          <w:rFonts w:ascii="Times New Roman" w:hAnsi="Times New Roman" w:cs="Times New Roman"/>
          <w:lang w:val="en-GB"/>
        </w:rPr>
      </w:pPr>
    </w:p>
    <w:p w14:paraId="46A7A9C0" w14:textId="77777777" w:rsidR="007D6A32" w:rsidRPr="00734E51" w:rsidRDefault="007D6A32" w:rsidP="007D6A32">
      <w:pPr>
        <w:pStyle w:val="EndNoteBibliography"/>
        <w:spacing w:line="360" w:lineRule="auto"/>
        <w:rPr>
          <w:rFonts w:ascii="Times New Roman" w:eastAsiaTheme="minorHAnsi" w:hAnsi="Times New Roman" w:cs="Helvetica"/>
          <w:noProof w:val="0"/>
          <w:lang w:val="en-GB"/>
        </w:rPr>
      </w:pPr>
      <w:proofErr w:type="spellStart"/>
      <w:r w:rsidRPr="00734E51">
        <w:rPr>
          <w:rFonts w:ascii="Times New Roman" w:eastAsiaTheme="minorHAnsi" w:hAnsi="Times New Roman" w:cs="Helvetica"/>
          <w:b/>
          <w:noProof w:val="0"/>
          <w:lang w:val="en-GB"/>
        </w:rPr>
        <w:t>Contributorship</w:t>
      </w:r>
      <w:proofErr w:type="spellEnd"/>
      <w:r w:rsidRPr="00734E51">
        <w:rPr>
          <w:rFonts w:ascii="Times New Roman" w:eastAsiaTheme="minorHAnsi" w:hAnsi="Times New Roman" w:cs="Helvetica"/>
          <w:b/>
          <w:noProof w:val="0"/>
          <w:lang w:val="en-GB"/>
        </w:rPr>
        <w:t xml:space="preserve"> statement</w:t>
      </w:r>
    </w:p>
    <w:p w14:paraId="292804AA" w14:textId="77777777" w:rsidR="007D6A32" w:rsidRPr="00734E51" w:rsidRDefault="007D6A32" w:rsidP="007D6A32">
      <w:pPr>
        <w:pStyle w:val="EndNoteBibliography"/>
        <w:spacing w:line="360" w:lineRule="auto"/>
        <w:rPr>
          <w:rFonts w:ascii="Times New Roman" w:eastAsiaTheme="minorHAnsi" w:hAnsi="Times New Roman" w:cs="Helvetica"/>
          <w:b/>
          <w:noProof w:val="0"/>
          <w:lang w:val="en-GB"/>
        </w:rPr>
      </w:pPr>
      <w:r w:rsidRPr="00734E51">
        <w:rPr>
          <w:rFonts w:ascii="Times New Roman" w:hAnsi="Times New Roman" w:cs="Times New Roman"/>
          <w:noProof w:val="0"/>
          <w:lang w:val="en-GB"/>
        </w:rPr>
        <w:t>CCB and AH won the funding and designed the study. CCB led the drafting of this manuscript and all authors contributed to the final paper. All authors contributed to planning and implementation the study, data collection and interpretation.</w:t>
      </w:r>
      <w:r w:rsidR="00FB34F4" w:rsidRPr="00734E51">
        <w:rPr>
          <w:rFonts w:ascii="Times New Roman" w:hAnsi="Times New Roman" w:cs="Times New Roman"/>
          <w:noProof w:val="0"/>
          <w:lang w:val="en-GB"/>
        </w:rPr>
        <w:fldChar w:fldCharType="begin"/>
      </w:r>
      <w:r w:rsidRPr="00734E51">
        <w:rPr>
          <w:rFonts w:ascii="Times New Roman" w:hAnsi="Times New Roman" w:cs="Times New Roman"/>
          <w:noProof w:val="0"/>
          <w:lang w:val="en-GB"/>
        </w:rPr>
        <w:instrText xml:space="preserve"> ADDIN </w:instrText>
      </w:r>
      <w:r w:rsidR="00FB34F4" w:rsidRPr="00734E51">
        <w:rPr>
          <w:rFonts w:ascii="Times New Roman" w:hAnsi="Times New Roman" w:cs="Times New Roman"/>
          <w:noProof w:val="0"/>
          <w:lang w:val="en-GB"/>
        </w:rPr>
        <w:fldChar w:fldCharType="end"/>
      </w:r>
    </w:p>
    <w:p w14:paraId="7F47C665" w14:textId="1538BF1D" w:rsidR="001607F9" w:rsidRPr="00734E51" w:rsidRDefault="001607F9" w:rsidP="00373AB2">
      <w:pPr>
        <w:spacing w:after="200" w:line="276" w:lineRule="auto"/>
        <w:outlineLvl w:val="0"/>
        <w:rPr>
          <w:rFonts w:ascii="Times New Roman" w:hAnsi="Times New Roman" w:cs="Times New Roman"/>
          <w:b/>
          <w:lang w:val="en-GB"/>
        </w:rPr>
      </w:pPr>
      <w:r w:rsidRPr="00734E51">
        <w:rPr>
          <w:rFonts w:ascii="Times New Roman" w:eastAsiaTheme="minorHAnsi" w:hAnsi="Times New Roman" w:cs="Times New Roman"/>
          <w:lang w:val="en-GB"/>
        </w:rPr>
        <w:br w:type="page"/>
      </w:r>
    </w:p>
    <w:p w14:paraId="7F930C52" w14:textId="4FD2E4AD" w:rsidR="00E64E7B" w:rsidRPr="00734E51" w:rsidRDefault="00E64E7B" w:rsidP="00E64E7B">
      <w:pPr>
        <w:pStyle w:val="NoSpacing"/>
        <w:rPr>
          <w:rFonts w:ascii="Times New Roman" w:hAnsi="Times New Roman" w:cs="Times New Roman"/>
          <w:b/>
          <w:lang w:val="en-GB"/>
        </w:rPr>
      </w:pPr>
      <w:r w:rsidRPr="00734E51">
        <w:rPr>
          <w:rFonts w:ascii="Times New Roman" w:hAnsi="Times New Roman" w:cs="Times New Roman"/>
          <w:b/>
          <w:lang w:val="en-GB"/>
        </w:rPr>
        <w:lastRenderedPageBreak/>
        <w:t xml:space="preserve">Table 1: Demographic features of </w:t>
      </w:r>
      <w:r w:rsidR="00225770" w:rsidRPr="00734E51">
        <w:rPr>
          <w:rFonts w:ascii="Times New Roman" w:hAnsi="Times New Roman" w:cs="Times New Roman"/>
          <w:b/>
          <w:lang w:val="en-GB"/>
        </w:rPr>
        <w:t xml:space="preserve">5017 </w:t>
      </w:r>
      <w:r w:rsidRPr="00734E51">
        <w:rPr>
          <w:rFonts w:ascii="Times New Roman" w:hAnsi="Times New Roman" w:cs="Times New Roman"/>
          <w:b/>
          <w:lang w:val="en-GB"/>
        </w:rPr>
        <w:t xml:space="preserve">children </w:t>
      </w:r>
      <w:r w:rsidR="00225770" w:rsidRPr="00734E51">
        <w:rPr>
          <w:rFonts w:ascii="Times New Roman" w:hAnsi="Times New Roman" w:cs="Times New Roman"/>
          <w:b/>
          <w:lang w:val="en-GB"/>
        </w:rPr>
        <w:t xml:space="preserve">presenting to primary care with an acute illness and enrolled in the DUTY study between April 2010 and April 2012 </w:t>
      </w:r>
      <w:r w:rsidRPr="00734E51">
        <w:rPr>
          <w:rFonts w:ascii="Times New Roman" w:hAnsi="Times New Roman" w:cs="Times New Roman"/>
          <w:b/>
          <w:lang w:val="en-GB"/>
        </w:rPr>
        <w:t xml:space="preserve">for whom a </w:t>
      </w:r>
      <w:r w:rsidR="00225770" w:rsidRPr="00734E51">
        <w:rPr>
          <w:rFonts w:ascii="Times New Roman" w:hAnsi="Times New Roman" w:cs="Times New Roman"/>
          <w:b/>
          <w:lang w:val="en-GB"/>
        </w:rPr>
        <w:t xml:space="preserve">urine </w:t>
      </w:r>
      <w:r w:rsidRPr="00734E51">
        <w:rPr>
          <w:rFonts w:ascii="Times New Roman" w:hAnsi="Times New Roman" w:cs="Times New Roman"/>
          <w:b/>
          <w:lang w:val="en-GB"/>
        </w:rPr>
        <w:t xml:space="preserve">sample was </w:t>
      </w:r>
      <w:r w:rsidR="007400ED" w:rsidRPr="007400ED">
        <w:rPr>
          <w:rFonts w:ascii="Times New Roman" w:hAnsi="Times New Roman" w:cs="Times New Roman"/>
          <w:b/>
          <w:lang w:val="en-GB"/>
        </w:rPr>
        <w:t>analysed</w:t>
      </w:r>
      <w:r w:rsidRPr="00734E51">
        <w:rPr>
          <w:rFonts w:ascii="Times New Roman" w:hAnsi="Times New Roman" w:cs="Times New Roman"/>
          <w:b/>
          <w:lang w:val="en-GB"/>
        </w:rPr>
        <w:t xml:space="preserve"> by the research laboratory</w:t>
      </w:r>
      <w:r w:rsidR="00551DE1" w:rsidRPr="00734E51">
        <w:rPr>
          <w:rFonts w:ascii="Times New Roman" w:hAnsi="Times New Roman" w:cs="Times New Roman"/>
          <w:b/>
          <w:bCs/>
          <w:vertAlign w:val="superscript"/>
          <w:lang w:val="en-GB"/>
        </w:rPr>
        <w:t>1</w:t>
      </w:r>
    </w:p>
    <w:p w14:paraId="474C9AE7" w14:textId="77777777" w:rsidR="00E64E7B" w:rsidRPr="00734E51" w:rsidRDefault="00E64E7B" w:rsidP="00E64E7B">
      <w:pPr>
        <w:pStyle w:val="NoSpacing"/>
        <w:rPr>
          <w:rFonts w:ascii="Times New Roman" w:hAnsi="Times New Roman" w:cs="Times New Roman"/>
          <w:b/>
          <w:lang w:val="en-GB"/>
        </w:rPr>
      </w:pPr>
    </w:p>
    <w:tbl>
      <w:tblPr>
        <w:tblStyle w:val="TableGrid"/>
        <w:tblW w:w="7842" w:type="dxa"/>
        <w:tblLook w:val="04A0" w:firstRow="1" w:lastRow="0" w:firstColumn="1" w:lastColumn="0" w:noHBand="0" w:noVBand="1"/>
      </w:tblPr>
      <w:tblGrid>
        <w:gridCol w:w="2164"/>
        <w:gridCol w:w="3594"/>
        <w:gridCol w:w="1097"/>
        <w:gridCol w:w="987"/>
      </w:tblGrid>
      <w:tr w:rsidR="00E64E7B" w:rsidRPr="008368C1" w14:paraId="69C0D2BB" w14:textId="77777777" w:rsidTr="00D951E8">
        <w:tc>
          <w:tcPr>
            <w:tcW w:w="5758" w:type="dxa"/>
            <w:gridSpan w:val="2"/>
          </w:tcPr>
          <w:p w14:paraId="60DF6629"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1097" w:type="dxa"/>
          </w:tcPr>
          <w:p w14:paraId="755F0F5A" w14:textId="77777777" w:rsidR="00E64E7B" w:rsidRPr="00734E51" w:rsidRDefault="00E64E7B" w:rsidP="007170CE">
            <w:pPr>
              <w:pStyle w:val="NoSpacing"/>
              <w:jc w:val="center"/>
              <w:rPr>
                <w:rFonts w:ascii="Times New Roman" w:hAnsi="Times New Roman" w:cs="Times New Roman"/>
                <w:lang w:val="en-GB"/>
              </w:rPr>
            </w:pPr>
            <w:r w:rsidRPr="00734E51">
              <w:rPr>
                <w:rFonts w:ascii="Times New Roman" w:hAnsi="Times New Roman" w:cs="Times New Roman"/>
                <w:lang w:val="en-GB"/>
              </w:rPr>
              <w:t>n</w:t>
            </w:r>
          </w:p>
        </w:tc>
        <w:tc>
          <w:tcPr>
            <w:tcW w:w="987" w:type="dxa"/>
          </w:tcPr>
          <w:p w14:paraId="5ADCF571" w14:textId="77777777" w:rsidR="00E64E7B" w:rsidRPr="00734E51" w:rsidRDefault="00E64E7B" w:rsidP="007170CE">
            <w:pPr>
              <w:pStyle w:val="NoSpacing"/>
              <w:jc w:val="center"/>
              <w:rPr>
                <w:rFonts w:ascii="Times New Roman" w:hAnsi="Times New Roman" w:cs="Times New Roman"/>
                <w:lang w:val="en-GB"/>
              </w:rPr>
            </w:pPr>
            <w:r w:rsidRPr="00734E51">
              <w:rPr>
                <w:rFonts w:ascii="Times New Roman" w:hAnsi="Times New Roman" w:cs="Times New Roman"/>
                <w:lang w:val="en-GB"/>
              </w:rPr>
              <w:t>%</w:t>
            </w:r>
          </w:p>
        </w:tc>
      </w:tr>
      <w:tr w:rsidR="00E64E7B" w:rsidRPr="008368C1" w14:paraId="5535240B" w14:textId="77777777" w:rsidTr="00D951E8">
        <w:tc>
          <w:tcPr>
            <w:tcW w:w="2164" w:type="dxa"/>
            <w:vMerge w:val="restart"/>
            <w:tcBorders>
              <w:right w:val="nil"/>
            </w:tcBorders>
            <w:vAlign w:val="center"/>
          </w:tcPr>
          <w:p w14:paraId="2561323E"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Age</w:t>
            </w:r>
          </w:p>
        </w:tc>
        <w:tc>
          <w:tcPr>
            <w:tcW w:w="3594" w:type="dxa"/>
            <w:tcBorders>
              <w:left w:val="nil"/>
            </w:tcBorders>
            <w:vAlign w:val="center"/>
          </w:tcPr>
          <w:p w14:paraId="1CD133FD"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Less than 6 months</w:t>
            </w:r>
          </w:p>
        </w:tc>
        <w:tc>
          <w:tcPr>
            <w:tcW w:w="1097" w:type="dxa"/>
          </w:tcPr>
          <w:p w14:paraId="20C444FB"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412</w:t>
            </w:r>
          </w:p>
        </w:tc>
        <w:tc>
          <w:tcPr>
            <w:tcW w:w="987" w:type="dxa"/>
          </w:tcPr>
          <w:p w14:paraId="24972362"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8.1</w:t>
            </w:r>
          </w:p>
        </w:tc>
      </w:tr>
      <w:tr w:rsidR="00E64E7B" w:rsidRPr="008368C1" w14:paraId="05F15FDD" w14:textId="77777777" w:rsidTr="00D951E8">
        <w:tc>
          <w:tcPr>
            <w:tcW w:w="2164" w:type="dxa"/>
            <w:vMerge/>
            <w:tcBorders>
              <w:right w:val="nil"/>
            </w:tcBorders>
            <w:vAlign w:val="center"/>
          </w:tcPr>
          <w:p w14:paraId="72B491BC"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1447CE0A"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6 months to less than 12 months</w:t>
            </w:r>
          </w:p>
        </w:tc>
        <w:tc>
          <w:tcPr>
            <w:tcW w:w="1097" w:type="dxa"/>
          </w:tcPr>
          <w:p w14:paraId="21B8091C"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675</w:t>
            </w:r>
          </w:p>
        </w:tc>
        <w:tc>
          <w:tcPr>
            <w:tcW w:w="987" w:type="dxa"/>
          </w:tcPr>
          <w:p w14:paraId="2C4248D8"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13.2</w:t>
            </w:r>
          </w:p>
        </w:tc>
      </w:tr>
      <w:tr w:rsidR="00E64E7B" w:rsidRPr="008368C1" w14:paraId="72D890B3" w14:textId="77777777" w:rsidTr="00D951E8">
        <w:tc>
          <w:tcPr>
            <w:tcW w:w="2164" w:type="dxa"/>
            <w:vMerge/>
            <w:tcBorders>
              <w:right w:val="nil"/>
            </w:tcBorders>
            <w:vAlign w:val="center"/>
          </w:tcPr>
          <w:p w14:paraId="17F74926"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04BE0290"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1 year to less than 2 years</w:t>
            </w:r>
          </w:p>
        </w:tc>
        <w:tc>
          <w:tcPr>
            <w:tcW w:w="1097" w:type="dxa"/>
          </w:tcPr>
          <w:p w14:paraId="0874F3EE"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1006</w:t>
            </w:r>
          </w:p>
        </w:tc>
        <w:tc>
          <w:tcPr>
            <w:tcW w:w="987" w:type="dxa"/>
          </w:tcPr>
          <w:p w14:paraId="09BEABFC"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19.7</w:t>
            </w:r>
          </w:p>
        </w:tc>
      </w:tr>
      <w:tr w:rsidR="00E64E7B" w:rsidRPr="008368C1" w14:paraId="19556C4C" w14:textId="77777777" w:rsidTr="00D951E8">
        <w:tc>
          <w:tcPr>
            <w:tcW w:w="2164" w:type="dxa"/>
            <w:vMerge/>
            <w:tcBorders>
              <w:right w:val="nil"/>
            </w:tcBorders>
            <w:vAlign w:val="center"/>
          </w:tcPr>
          <w:p w14:paraId="79341F08"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5F97676C"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2 years to less than 3 years</w:t>
            </w:r>
          </w:p>
        </w:tc>
        <w:tc>
          <w:tcPr>
            <w:tcW w:w="1097" w:type="dxa"/>
          </w:tcPr>
          <w:p w14:paraId="4E677B44"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989</w:t>
            </w:r>
          </w:p>
        </w:tc>
        <w:tc>
          <w:tcPr>
            <w:tcW w:w="987" w:type="dxa"/>
          </w:tcPr>
          <w:p w14:paraId="72F0C228"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19.4</w:t>
            </w:r>
          </w:p>
        </w:tc>
      </w:tr>
      <w:tr w:rsidR="00E64E7B" w:rsidRPr="008368C1" w14:paraId="76403FF3" w14:textId="77777777" w:rsidTr="00D951E8">
        <w:tc>
          <w:tcPr>
            <w:tcW w:w="2164" w:type="dxa"/>
            <w:vMerge/>
            <w:tcBorders>
              <w:right w:val="nil"/>
            </w:tcBorders>
            <w:vAlign w:val="center"/>
          </w:tcPr>
          <w:p w14:paraId="7D286B82"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12B15A82"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3 years to less than 4 years</w:t>
            </w:r>
          </w:p>
        </w:tc>
        <w:tc>
          <w:tcPr>
            <w:tcW w:w="1097" w:type="dxa"/>
          </w:tcPr>
          <w:p w14:paraId="38E9DF81"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1138</w:t>
            </w:r>
          </w:p>
        </w:tc>
        <w:tc>
          <w:tcPr>
            <w:tcW w:w="987" w:type="dxa"/>
          </w:tcPr>
          <w:p w14:paraId="7F302D21"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22.3</w:t>
            </w:r>
          </w:p>
        </w:tc>
      </w:tr>
      <w:tr w:rsidR="00E64E7B" w:rsidRPr="008368C1" w14:paraId="386980F9" w14:textId="77777777" w:rsidTr="00D951E8">
        <w:tc>
          <w:tcPr>
            <w:tcW w:w="2164" w:type="dxa"/>
            <w:vMerge/>
            <w:tcBorders>
              <w:right w:val="nil"/>
            </w:tcBorders>
            <w:vAlign w:val="center"/>
          </w:tcPr>
          <w:p w14:paraId="19E23BF3"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172297B2"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4 years plus</w:t>
            </w:r>
          </w:p>
        </w:tc>
        <w:tc>
          <w:tcPr>
            <w:tcW w:w="1097" w:type="dxa"/>
          </w:tcPr>
          <w:p w14:paraId="252246E8"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887</w:t>
            </w:r>
          </w:p>
        </w:tc>
        <w:tc>
          <w:tcPr>
            <w:tcW w:w="987" w:type="dxa"/>
          </w:tcPr>
          <w:p w14:paraId="2F06F172"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17.4</w:t>
            </w:r>
          </w:p>
        </w:tc>
      </w:tr>
      <w:tr w:rsidR="00E64E7B" w:rsidRPr="008368C1" w14:paraId="01A5E704" w14:textId="77777777" w:rsidTr="00D951E8">
        <w:tc>
          <w:tcPr>
            <w:tcW w:w="5758" w:type="dxa"/>
            <w:gridSpan w:val="2"/>
          </w:tcPr>
          <w:p w14:paraId="4285B323"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1097" w:type="dxa"/>
          </w:tcPr>
          <w:p w14:paraId="1E362806" w14:textId="77777777" w:rsidR="00E64E7B" w:rsidRPr="00734E51" w:rsidRDefault="00E64E7B" w:rsidP="007170CE">
            <w:pPr>
              <w:tabs>
                <w:tab w:val="center" w:pos="4513"/>
                <w:tab w:val="right" w:pos="9026"/>
              </w:tabs>
              <w:jc w:val="center"/>
              <w:rPr>
                <w:rFonts w:ascii="Times New Roman" w:hAnsi="Times New Roman" w:cs="Times New Roman"/>
                <w:lang w:val="en-GB"/>
              </w:rPr>
            </w:pPr>
          </w:p>
        </w:tc>
        <w:tc>
          <w:tcPr>
            <w:tcW w:w="987" w:type="dxa"/>
          </w:tcPr>
          <w:p w14:paraId="1EAA2DA5" w14:textId="77777777" w:rsidR="00E64E7B" w:rsidRPr="00734E51" w:rsidRDefault="00E64E7B" w:rsidP="007170CE">
            <w:pPr>
              <w:tabs>
                <w:tab w:val="center" w:pos="4513"/>
                <w:tab w:val="right" w:pos="9026"/>
              </w:tabs>
              <w:jc w:val="center"/>
              <w:rPr>
                <w:rFonts w:ascii="Times New Roman" w:hAnsi="Times New Roman" w:cs="Times New Roman"/>
                <w:lang w:val="en-GB"/>
              </w:rPr>
            </w:pPr>
          </w:p>
        </w:tc>
      </w:tr>
      <w:tr w:rsidR="00E64E7B" w:rsidRPr="008368C1" w14:paraId="171E33A4" w14:textId="77777777" w:rsidTr="00D951E8">
        <w:tc>
          <w:tcPr>
            <w:tcW w:w="2164" w:type="dxa"/>
            <w:vMerge w:val="restart"/>
            <w:tcBorders>
              <w:right w:val="nil"/>
            </w:tcBorders>
            <w:vAlign w:val="center"/>
          </w:tcPr>
          <w:p w14:paraId="549C3049"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Gender</w:t>
            </w:r>
          </w:p>
        </w:tc>
        <w:tc>
          <w:tcPr>
            <w:tcW w:w="3594" w:type="dxa"/>
            <w:tcBorders>
              <w:left w:val="nil"/>
            </w:tcBorders>
            <w:vAlign w:val="center"/>
          </w:tcPr>
          <w:p w14:paraId="06F54454"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Male</w:t>
            </w:r>
          </w:p>
        </w:tc>
        <w:tc>
          <w:tcPr>
            <w:tcW w:w="1097" w:type="dxa"/>
          </w:tcPr>
          <w:p w14:paraId="0A4B075C"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2507</w:t>
            </w:r>
          </w:p>
        </w:tc>
        <w:tc>
          <w:tcPr>
            <w:tcW w:w="987" w:type="dxa"/>
          </w:tcPr>
          <w:p w14:paraId="7B661AC7"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49.1</w:t>
            </w:r>
          </w:p>
        </w:tc>
      </w:tr>
      <w:tr w:rsidR="00E64E7B" w:rsidRPr="008368C1" w14:paraId="13F13706" w14:textId="77777777" w:rsidTr="00D951E8">
        <w:tc>
          <w:tcPr>
            <w:tcW w:w="2164" w:type="dxa"/>
            <w:vMerge/>
            <w:tcBorders>
              <w:right w:val="nil"/>
            </w:tcBorders>
            <w:vAlign w:val="center"/>
          </w:tcPr>
          <w:p w14:paraId="7CAFCB0E"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7F0DC5ED"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Female</w:t>
            </w:r>
          </w:p>
        </w:tc>
        <w:tc>
          <w:tcPr>
            <w:tcW w:w="1097" w:type="dxa"/>
          </w:tcPr>
          <w:p w14:paraId="4E6F2064"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2600</w:t>
            </w:r>
          </w:p>
        </w:tc>
        <w:tc>
          <w:tcPr>
            <w:tcW w:w="987" w:type="dxa"/>
          </w:tcPr>
          <w:p w14:paraId="183A6995"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50.9</w:t>
            </w:r>
          </w:p>
        </w:tc>
      </w:tr>
      <w:tr w:rsidR="00E64E7B" w:rsidRPr="008368C1" w14:paraId="6C4468A5" w14:textId="77777777" w:rsidTr="00D951E8">
        <w:tc>
          <w:tcPr>
            <w:tcW w:w="2164" w:type="dxa"/>
            <w:tcBorders>
              <w:right w:val="nil"/>
            </w:tcBorders>
            <w:vAlign w:val="center"/>
          </w:tcPr>
          <w:p w14:paraId="27D89602"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3AFF8060"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1097" w:type="dxa"/>
            <w:vAlign w:val="center"/>
          </w:tcPr>
          <w:p w14:paraId="76ECBECF" w14:textId="77777777" w:rsidR="00E64E7B" w:rsidRPr="00734E51" w:rsidRDefault="00E64E7B" w:rsidP="007170CE">
            <w:pPr>
              <w:tabs>
                <w:tab w:val="center" w:pos="4513"/>
                <w:tab w:val="right" w:pos="9026"/>
              </w:tabs>
              <w:jc w:val="center"/>
              <w:rPr>
                <w:rFonts w:ascii="Times New Roman" w:hAnsi="Times New Roman" w:cs="Times New Roman"/>
                <w:lang w:val="en-GB"/>
              </w:rPr>
            </w:pPr>
          </w:p>
        </w:tc>
        <w:tc>
          <w:tcPr>
            <w:tcW w:w="987" w:type="dxa"/>
            <w:vAlign w:val="center"/>
          </w:tcPr>
          <w:p w14:paraId="73610687" w14:textId="77777777" w:rsidR="00E64E7B" w:rsidRPr="00734E51" w:rsidRDefault="00E64E7B" w:rsidP="007170CE">
            <w:pPr>
              <w:tabs>
                <w:tab w:val="center" w:pos="4513"/>
                <w:tab w:val="right" w:pos="9026"/>
              </w:tabs>
              <w:jc w:val="center"/>
              <w:rPr>
                <w:rFonts w:ascii="Times New Roman" w:hAnsi="Times New Roman" w:cs="Times New Roman"/>
                <w:lang w:val="en-GB"/>
              </w:rPr>
            </w:pPr>
          </w:p>
        </w:tc>
      </w:tr>
      <w:tr w:rsidR="00E64E7B" w:rsidRPr="008368C1" w14:paraId="2488B8BA" w14:textId="77777777" w:rsidTr="00D951E8">
        <w:tc>
          <w:tcPr>
            <w:tcW w:w="2164" w:type="dxa"/>
            <w:vMerge w:val="restart"/>
            <w:tcBorders>
              <w:right w:val="nil"/>
            </w:tcBorders>
            <w:vAlign w:val="center"/>
          </w:tcPr>
          <w:p w14:paraId="176F68AC"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Ethnic groupings</w:t>
            </w:r>
          </w:p>
        </w:tc>
        <w:tc>
          <w:tcPr>
            <w:tcW w:w="3594" w:type="dxa"/>
            <w:tcBorders>
              <w:left w:val="nil"/>
            </w:tcBorders>
            <w:vAlign w:val="center"/>
          </w:tcPr>
          <w:p w14:paraId="280F4329"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White</w:t>
            </w:r>
          </w:p>
        </w:tc>
        <w:tc>
          <w:tcPr>
            <w:tcW w:w="1097" w:type="dxa"/>
          </w:tcPr>
          <w:p w14:paraId="6C9049F8"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4235</w:t>
            </w:r>
          </w:p>
        </w:tc>
        <w:tc>
          <w:tcPr>
            <w:tcW w:w="987" w:type="dxa"/>
          </w:tcPr>
          <w:p w14:paraId="76729345"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82.9</w:t>
            </w:r>
          </w:p>
        </w:tc>
      </w:tr>
      <w:tr w:rsidR="00E64E7B" w:rsidRPr="008368C1" w14:paraId="0CA6472E" w14:textId="77777777" w:rsidTr="00D951E8">
        <w:tc>
          <w:tcPr>
            <w:tcW w:w="2164" w:type="dxa"/>
            <w:vMerge/>
            <w:tcBorders>
              <w:right w:val="nil"/>
            </w:tcBorders>
            <w:vAlign w:val="center"/>
          </w:tcPr>
          <w:p w14:paraId="2C237863"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67CE2602"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Mixed</w:t>
            </w:r>
          </w:p>
        </w:tc>
        <w:tc>
          <w:tcPr>
            <w:tcW w:w="1097" w:type="dxa"/>
          </w:tcPr>
          <w:p w14:paraId="6A9515D5"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261</w:t>
            </w:r>
          </w:p>
        </w:tc>
        <w:tc>
          <w:tcPr>
            <w:tcW w:w="987" w:type="dxa"/>
          </w:tcPr>
          <w:p w14:paraId="747376ED"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5.1</w:t>
            </w:r>
          </w:p>
        </w:tc>
      </w:tr>
      <w:tr w:rsidR="00E64E7B" w:rsidRPr="008368C1" w14:paraId="46F1BDAD" w14:textId="77777777" w:rsidTr="00D951E8">
        <w:tc>
          <w:tcPr>
            <w:tcW w:w="2164" w:type="dxa"/>
            <w:vMerge/>
            <w:tcBorders>
              <w:right w:val="nil"/>
            </w:tcBorders>
            <w:vAlign w:val="center"/>
          </w:tcPr>
          <w:p w14:paraId="62056489"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03EEB7C9"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Asian</w:t>
            </w:r>
          </w:p>
        </w:tc>
        <w:tc>
          <w:tcPr>
            <w:tcW w:w="1097" w:type="dxa"/>
          </w:tcPr>
          <w:p w14:paraId="780D4F97"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203</w:t>
            </w:r>
          </w:p>
        </w:tc>
        <w:tc>
          <w:tcPr>
            <w:tcW w:w="987" w:type="dxa"/>
          </w:tcPr>
          <w:p w14:paraId="31B34F30"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4.0</w:t>
            </w:r>
          </w:p>
        </w:tc>
      </w:tr>
      <w:tr w:rsidR="00E64E7B" w:rsidRPr="008368C1" w14:paraId="2AF5297C" w14:textId="77777777" w:rsidTr="00D951E8">
        <w:tc>
          <w:tcPr>
            <w:tcW w:w="2164" w:type="dxa"/>
            <w:vMerge/>
            <w:tcBorders>
              <w:right w:val="nil"/>
            </w:tcBorders>
            <w:vAlign w:val="center"/>
          </w:tcPr>
          <w:p w14:paraId="43067C80"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6AE30E7E"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Black</w:t>
            </w:r>
          </w:p>
        </w:tc>
        <w:tc>
          <w:tcPr>
            <w:tcW w:w="1097" w:type="dxa"/>
          </w:tcPr>
          <w:p w14:paraId="23AFE95E"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325</w:t>
            </w:r>
          </w:p>
        </w:tc>
        <w:tc>
          <w:tcPr>
            <w:tcW w:w="987" w:type="dxa"/>
          </w:tcPr>
          <w:p w14:paraId="2E987CB6"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6.4</w:t>
            </w:r>
          </w:p>
        </w:tc>
      </w:tr>
      <w:tr w:rsidR="00E64E7B" w:rsidRPr="008368C1" w14:paraId="6EF7D2C7" w14:textId="77777777" w:rsidTr="00D951E8">
        <w:tc>
          <w:tcPr>
            <w:tcW w:w="2164" w:type="dxa"/>
            <w:vMerge/>
            <w:tcBorders>
              <w:right w:val="nil"/>
            </w:tcBorders>
            <w:vAlign w:val="center"/>
          </w:tcPr>
          <w:p w14:paraId="1A454BF2"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6F7F4AD8"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Other</w:t>
            </w:r>
          </w:p>
        </w:tc>
        <w:tc>
          <w:tcPr>
            <w:tcW w:w="1097" w:type="dxa"/>
          </w:tcPr>
          <w:p w14:paraId="016728B3"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33</w:t>
            </w:r>
          </w:p>
        </w:tc>
        <w:tc>
          <w:tcPr>
            <w:tcW w:w="987" w:type="dxa"/>
          </w:tcPr>
          <w:p w14:paraId="6D91019D" w14:textId="77777777" w:rsidR="00E64E7B" w:rsidRPr="00734E51" w:rsidRDefault="00E64E7B" w:rsidP="007170CE">
            <w:pPr>
              <w:jc w:val="center"/>
              <w:rPr>
                <w:rFonts w:ascii="Times New Roman" w:hAnsi="Times New Roman" w:cs="Times New Roman"/>
                <w:lang w:val="en-GB"/>
              </w:rPr>
            </w:pPr>
            <w:r w:rsidRPr="00734E51">
              <w:rPr>
                <w:rFonts w:ascii="Times New Roman" w:hAnsi="Times New Roman" w:cs="Times New Roman"/>
                <w:color w:val="000000"/>
                <w:lang w:val="en-GB"/>
              </w:rPr>
              <w:t>0.6</w:t>
            </w:r>
          </w:p>
        </w:tc>
      </w:tr>
      <w:tr w:rsidR="00E64E7B" w:rsidRPr="008368C1" w14:paraId="5DE80761" w14:textId="77777777" w:rsidTr="00D951E8">
        <w:tc>
          <w:tcPr>
            <w:tcW w:w="2164" w:type="dxa"/>
            <w:vMerge/>
            <w:tcBorders>
              <w:right w:val="nil"/>
            </w:tcBorders>
            <w:vAlign w:val="center"/>
          </w:tcPr>
          <w:p w14:paraId="345E1381"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3594" w:type="dxa"/>
            <w:tcBorders>
              <w:left w:val="nil"/>
            </w:tcBorders>
            <w:vAlign w:val="center"/>
          </w:tcPr>
          <w:p w14:paraId="181F1568" w14:textId="77777777" w:rsidR="00E64E7B" w:rsidRPr="00734E51" w:rsidRDefault="00E64E7B" w:rsidP="00D951E8">
            <w:pPr>
              <w:pStyle w:val="NoSpacing"/>
              <w:rPr>
                <w:rFonts w:ascii="Times New Roman" w:hAnsi="Times New Roman" w:cs="Times New Roman"/>
                <w:lang w:val="en-GB"/>
              </w:rPr>
            </w:pPr>
            <w:r w:rsidRPr="00734E51">
              <w:rPr>
                <w:rFonts w:ascii="Times New Roman" w:hAnsi="Times New Roman" w:cs="Times New Roman"/>
                <w:lang w:val="en-GB"/>
              </w:rPr>
              <w:t>Missing</w:t>
            </w:r>
          </w:p>
        </w:tc>
        <w:tc>
          <w:tcPr>
            <w:tcW w:w="1097" w:type="dxa"/>
          </w:tcPr>
          <w:p w14:paraId="7B84EC94"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50</w:t>
            </w:r>
          </w:p>
        </w:tc>
        <w:tc>
          <w:tcPr>
            <w:tcW w:w="987" w:type="dxa"/>
          </w:tcPr>
          <w:p w14:paraId="3574D3A4" w14:textId="77777777" w:rsidR="00E64E7B" w:rsidRPr="00734E51" w:rsidRDefault="00E64E7B" w:rsidP="002C58D3">
            <w:pPr>
              <w:jc w:val="center"/>
              <w:rPr>
                <w:rFonts w:ascii="Times New Roman" w:hAnsi="Times New Roman" w:cs="Times New Roman"/>
                <w:lang w:val="en-GB"/>
              </w:rPr>
            </w:pPr>
            <w:r w:rsidRPr="00734E51">
              <w:rPr>
                <w:rFonts w:ascii="Times New Roman" w:hAnsi="Times New Roman" w:cs="Times New Roman"/>
                <w:color w:val="000000"/>
                <w:lang w:val="en-GB"/>
              </w:rPr>
              <w:t>1.0</w:t>
            </w:r>
          </w:p>
        </w:tc>
      </w:tr>
      <w:tr w:rsidR="00E64E7B" w:rsidRPr="008368C1" w14:paraId="7491A4D8" w14:textId="77777777" w:rsidTr="00D951E8">
        <w:tc>
          <w:tcPr>
            <w:tcW w:w="5758" w:type="dxa"/>
            <w:gridSpan w:val="2"/>
          </w:tcPr>
          <w:p w14:paraId="296FF50C" w14:textId="77777777" w:rsidR="00E64E7B" w:rsidRPr="00734E51" w:rsidRDefault="00E64E7B" w:rsidP="00D951E8">
            <w:pPr>
              <w:pStyle w:val="NoSpacing"/>
              <w:tabs>
                <w:tab w:val="center" w:pos="4513"/>
                <w:tab w:val="right" w:pos="9026"/>
              </w:tabs>
              <w:rPr>
                <w:rFonts w:ascii="Times New Roman" w:hAnsi="Times New Roman" w:cs="Times New Roman"/>
                <w:lang w:val="en-GB"/>
              </w:rPr>
            </w:pPr>
          </w:p>
        </w:tc>
        <w:tc>
          <w:tcPr>
            <w:tcW w:w="1097" w:type="dxa"/>
          </w:tcPr>
          <w:p w14:paraId="47189AE9" w14:textId="77777777" w:rsidR="00E64E7B" w:rsidRPr="00734E51" w:rsidRDefault="00E64E7B" w:rsidP="002C58D3">
            <w:pPr>
              <w:pStyle w:val="NoSpacing"/>
              <w:tabs>
                <w:tab w:val="center" w:pos="4513"/>
                <w:tab w:val="right" w:pos="9026"/>
              </w:tabs>
              <w:jc w:val="center"/>
              <w:rPr>
                <w:rFonts w:ascii="Times New Roman" w:hAnsi="Times New Roman" w:cs="Times New Roman"/>
                <w:lang w:val="en-GB"/>
              </w:rPr>
            </w:pPr>
          </w:p>
        </w:tc>
        <w:tc>
          <w:tcPr>
            <w:tcW w:w="987" w:type="dxa"/>
          </w:tcPr>
          <w:p w14:paraId="15FBB669" w14:textId="77777777" w:rsidR="00E64E7B" w:rsidRPr="00734E51" w:rsidRDefault="00E64E7B" w:rsidP="002C58D3">
            <w:pPr>
              <w:pStyle w:val="NoSpacing"/>
              <w:tabs>
                <w:tab w:val="center" w:pos="4513"/>
                <w:tab w:val="right" w:pos="9026"/>
              </w:tabs>
              <w:jc w:val="center"/>
              <w:rPr>
                <w:rFonts w:ascii="Times New Roman" w:hAnsi="Times New Roman" w:cs="Times New Roman"/>
                <w:lang w:val="en-GB"/>
              </w:rPr>
            </w:pPr>
          </w:p>
        </w:tc>
      </w:tr>
    </w:tbl>
    <w:p w14:paraId="126DF658" w14:textId="77777777" w:rsidR="00E64E7B" w:rsidRPr="00734E51" w:rsidRDefault="00551DE1" w:rsidP="00E64E7B">
      <w:pPr>
        <w:rPr>
          <w:rFonts w:ascii="Times New Roman" w:hAnsi="Times New Roman" w:cs="Times New Roman"/>
          <w:b/>
          <w:lang w:val="en-GB"/>
        </w:rPr>
      </w:pPr>
      <w:r w:rsidRPr="00734E51">
        <w:rPr>
          <w:rFonts w:ascii="Times New Roman" w:hAnsi="Times New Roman" w:cs="Times New Roman"/>
          <w:b/>
          <w:vertAlign w:val="superscript"/>
          <w:lang w:val="en-GB"/>
        </w:rPr>
        <w:t>1.</w:t>
      </w:r>
      <w:r w:rsidRPr="00734E51">
        <w:rPr>
          <w:rFonts w:ascii="Times New Roman" w:hAnsi="Times New Roman" w:cs="Times New Roman"/>
          <w:b/>
          <w:lang w:val="en-GB"/>
        </w:rPr>
        <w:t xml:space="preserve"> No similar data available for the routinely collected samples</w:t>
      </w:r>
    </w:p>
    <w:p w14:paraId="1F905BD2" w14:textId="77777777" w:rsidR="001B2C6D" w:rsidRPr="00734E51" w:rsidRDefault="001B2C6D" w:rsidP="00E64E7B">
      <w:pPr>
        <w:rPr>
          <w:rFonts w:ascii="Times New Roman" w:hAnsi="Times New Roman" w:cs="Times New Roman"/>
          <w:b/>
          <w:lang w:val="en-GB"/>
        </w:rPr>
      </w:pPr>
    </w:p>
    <w:p w14:paraId="001F5691" w14:textId="77777777" w:rsidR="001B2C6D" w:rsidRPr="00734E51" w:rsidRDefault="001B2C6D" w:rsidP="00E64E7B">
      <w:pPr>
        <w:rPr>
          <w:rFonts w:ascii="Times New Roman" w:hAnsi="Times New Roman" w:cs="Times New Roman"/>
          <w:b/>
          <w:lang w:val="en-GB"/>
        </w:rPr>
        <w:sectPr w:rsidR="001B2C6D" w:rsidRPr="00734E51" w:rsidSect="00580BBA">
          <w:footerReference w:type="even" r:id="rId9"/>
          <w:footerReference w:type="default" r:id="rId10"/>
          <w:pgSz w:w="11900" w:h="16840"/>
          <w:pgMar w:top="1440" w:right="1800" w:bottom="1440" w:left="1800" w:header="708" w:footer="708" w:gutter="0"/>
          <w:cols w:space="708"/>
          <w:docGrid w:linePitch="360"/>
        </w:sectPr>
      </w:pPr>
    </w:p>
    <w:p w14:paraId="0575428D" w14:textId="77777777" w:rsidR="00591A5C" w:rsidRPr="00734E51" w:rsidRDefault="00591A5C" w:rsidP="00E64E7B">
      <w:pPr>
        <w:spacing w:after="200" w:line="276" w:lineRule="auto"/>
        <w:rPr>
          <w:rFonts w:ascii="Times New Roman" w:hAnsi="Times New Roman" w:cs="Times New Roman"/>
          <w:lang w:val="en-GB"/>
        </w:rPr>
      </w:pPr>
    </w:p>
    <w:p w14:paraId="252A95B5" w14:textId="250AE47D" w:rsidR="00D817CB" w:rsidRPr="00734E51" w:rsidRDefault="00D817CB" w:rsidP="00E64E7B">
      <w:pPr>
        <w:spacing w:after="200" w:line="276" w:lineRule="auto"/>
        <w:rPr>
          <w:rFonts w:ascii="Times New Roman" w:hAnsi="Times New Roman" w:cs="Times New Roman"/>
          <w:lang w:val="en-GB"/>
        </w:rPr>
      </w:pPr>
      <w:r w:rsidRPr="00734E51">
        <w:rPr>
          <w:rFonts w:ascii="Times New Roman" w:hAnsi="Times New Roman" w:cs="Times New Roman"/>
          <w:lang w:val="en-GB"/>
        </w:rPr>
        <w:t xml:space="preserve">Table </w:t>
      </w:r>
      <w:r w:rsidR="00724D69">
        <w:rPr>
          <w:rFonts w:ascii="Times New Roman" w:hAnsi="Times New Roman" w:cs="Times New Roman"/>
          <w:lang w:val="en-GB"/>
        </w:rPr>
        <w:t>2</w:t>
      </w:r>
      <w:r w:rsidRPr="00734E51">
        <w:rPr>
          <w:rFonts w:ascii="Times New Roman" w:hAnsi="Times New Roman" w:cs="Times New Roman"/>
          <w:lang w:val="en-GB"/>
        </w:rPr>
        <w:t xml:space="preserve">: Comparison of susceptibilities </w:t>
      </w:r>
      <w:r w:rsidR="008C3039" w:rsidRPr="00734E51">
        <w:rPr>
          <w:rFonts w:ascii="Times New Roman" w:hAnsi="Times New Roman" w:cs="Times New Roman"/>
          <w:lang w:val="en-GB"/>
        </w:rPr>
        <w:t xml:space="preserve">for </w:t>
      </w:r>
      <w:r w:rsidR="00815A55" w:rsidRPr="00734E51">
        <w:rPr>
          <w:rFonts w:ascii="Times New Roman" w:hAnsi="Times New Roman" w:cs="Times New Roman"/>
          <w:i/>
          <w:lang w:val="en-GB"/>
        </w:rPr>
        <w:t>E. coli</w:t>
      </w:r>
      <w:r w:rsidR="008C3039" w:rsidRPr="00734E51">
        <w:rPr>
          <w:rFonts w:ascii="Times New Roman" w:hAnsi="Times New Roman" w:cs="Times New Roman"/>
          <w:lang w:val="en-GB"/>
        </w:rPr>
        <w:t xml:space="preserve"> considered the causative agent of UTI from samples collected as part of routine care (Wales 2011) and part of a systematic urine sampling (DUTY cohort).</w:t>
      </w:r>
    </w:p>
    <w:tbl>
      <w:tblPr>
        <w:tblW w:w="7920" w:type="dxa"/>
        <w:tblInd w:w="-15" w:type="dxa"/>
        <w:tblLayout w:type="fixed"/>
        <w:tblCellMar>
          <w:left w:w="0" w:type="dxa"/>
          <w:right w:w="0" w:type="dxa"/>
        </w:tblCellMar>
        <w:tblLook w:val="04A0" w:firstRow="1" w:lastRow="0" w:firstColumn="1" w:lastColumn="0" w:noHBand="0" w:noVBand="1"/>
      </w:tblPr>
      <w:tblGrid>
        <w:gridCol w:w="1603"/>
        <w:gridCol w:w="2069"/>
        <w:gridCol w:w="987"/>
        <w:gridCol w:w="1560"/>
        <w:gridCol w:w="1701"/>
      </w:tblGrid>
      <w:tr w:rsidR="001300DA" w:rsidRPr="008368C1" w14:paraId="356353B4" w14:textId="77777777" w:rsidTr="002C58D3">
        <w:trPr>
          <w:trHeight w:val="300"/>
        </w:trPr>
        <w:tc>
          <w:tcPr>
            <w:tcW w:w="1603" w:type="dxa"/>
            <w:vMerge w:val="restart"/>
            <w:tcBorders>
              <w:top w:val="single" w:sz="8" w:space="0" w:color="auto"/>
              <w:left w:val="single" w:sz="8" w:space="0" w:color="auto"/>
              <w:right w:val="single" w:sz="8" w:space="0" w:color="auto"/>
            </w:tcBorders>
            <w:noWrap/>
            <w:tcMar>
              <w:top w:w="0" w:type="dxa"/>
              <w:left w:w="108" w:type="dxa"/>
              <w:bottom w:w="0" w:type="dxa"/>
              <w:right w:w="108" w:type="dxa"/>
            </w:tcMar>
            <w:vAlign w:val="bottom"/>
          </w:tcPr>
          <w:p w14:paraId="6DBE0A1B" w14:textId="77777777" w:rsidR="001300DA" w:rsidRPr="00734E51" w:rsidRDefault="001300DA" w:rsidP="001300DA">
            <w:pPr>
              <w:tabs>
                <w:tab w:val="center" w:pos="4513"/>
                <w:tab w:val="right" w:pos="9026"/>
              </w:tabs>
              <w:jc w:val="center"/>
              <w:rPr>
                <w:rFonts w:ascii="Times New Roman" w:hAnsi="Times New Roman" w:cs="Times New Roman"/>
                <w:lang w:val="en-GB"/>
              </w:rPr>
            </w:pPr>
          </w:p>
        </w:tc>
        <w:tc>
          <w:tcPr>
            <w:tcW w:w="3056"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E96A758" w14:textId="23D26A11" w:rsidR="001300DA" w:rsidRPr="00734E51" w:rsidRDefault="001300DA" w:rsidP="00D817CB">
            <w:pPr>
              <w:jc w:val="center"/>
              <w:rPr>
                <w:rFonts w:ascii="Times New Roman" w:hAnsi="Times New Roman" w:cs="Times New Roman"/>
                <w:color w:val="000000"/>
                <w:lang w:val="en-GB"/>
              </w:rPr>
            </w:pPr>
            <w:r w:rsidRPr="00734E51">
              <w:rPr>
                <w:rFonts w:ascii="Times New Roman" w:hAnsi="Times New Roman" w:cs="Times New Roman"/>
                <w:color w:val="000000"/>
                <w:lang w:val="en-GB"/>
              </w:rPr>
              <w:t>Wales 2011</w:t>
            </w:r>
            <w:r w:rsidR="00F643B9" w:rsidRPr="00734E51">
              <w:rPr>
                <w:rFonts w:ascii="Times New Roman" w:hAnsi="Times New Roman" w:cs="Times New Roman"/>
                <w:color w:val="000000"/>
                <w:lang w:val="en-GB"/>
              </w:rPr>
              <w:t xml:space="preserve"> (n=1458)</w:t>
            </w:r>
          </w:p>
        </w:tc>
        <w:tc>
          <w:tcPr>
            <w:tcW w:w="3261" w:type="dxa"/>
            <w:gridSpan w:val="2"/>
            <w:tcBorders>
              <w:top w:val="single" w:sz="8" w:space="0" w:color="auto"/>
              <w:left w:val="nil"/>
              <w:bottom w:val="single" w:sz="8" w:space="0" w:color="auto"/>
              <w:right w:val="single" w:sz="8" w:space="0" w:color="auto"/>
            </w:tcBorders>
            <w:vAlign w:val="bottom"/>
          </w:tcPr>
          <w:p w14:paraId="649EA66B" w14:textId="19D6903C" w:rsidR="001300DA" w:rsidRPr="00734E51" w:rsidRDefault="001300DA" w:rsidP="00D817CB">
            <w:pPr>
              <w:jc w:val="center"/>
              <w:rPr>
                <w:rFonts w:ascii="Times New Roman" w:hAnsi="Times New Roman" w:cs="Times New Roman"/>
                <w:color w:val="000000"/>
                <w:lang w:val="en-GB"/>
              </w:rPr>
            </w:pPr>
            <w:r w:rsidRPr="00734E51">
              <w:rPr>
                <w:rFonts w:ascii="Times New Roman" w:hAnsi="Times New Roman" w:cs="Times New Roman"/>
                <w:color w:val="000000"/>
                <w:lang w:val="en-GB"/>
              </w:rPr>
              <w:t>DUTY</w:t>
            </w:r>
            <w:r w:rsidR="00F643B9" w:rsidRPr="00734E51">
              <w:rPr>
                <w:rFonts w:ascii="Times New Roman" w:hAnsi="Times New Roman" w:cs="Times New Roman"/>
                <w:color w:val="000000"/>
                <w:lang w:val="en-GB"/>
              </w:rPr>
              <w:t xml:space="preserve"> (n=</w:t>
            </w:r>
            <w:r w:rsidR="000F4577" w:rsidRPr="00734E51">
              <w:rPr>
                <w:rFonts w:ascii="Times New Roman" w:hAnsi="Times New Roman" w:cs="Times New Roman"/>
                <w:color w:val="000000"/>
                <w:lang w:val="en-GB"/>
              </w:rPr>
              <w:t>79)</w:t>
            </w:r>
          </w:p>
        </w:tc>
      </w:tr>
      <w:tr w:rsidR="008C3039" w:rsidRPr="008368C1" w14:paraId="577F3226" w14:textId="77777777" w:rsidTr="002C58D3">
        <w:trPr>
          <w:trHeight w:val="300"/>
        </w:trPr>
        <w:tc>
          <w:tcPr>
            <w:tcW w:w="1603"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8EEB65" w14:textId="77777777" w:rsidR="001300DA" w:rsidRPr="00734E51" w:rsidRDefault="001300DA" w:rsidP="001300DA">
            <w:pPr>
              <w:tabs>
                <w:tab w:val="center" w:pos="4513"/>
                <w:tab w:val="right" w:pos="9026"/>
              </w:tabs>
              <w:jc w:val="center"/>
              <w:rPr>
                <w:rFonts w:ascii="Times New Roman" w:hAnsi="Times New Roman" w:cs="Times New Roman"/>
                <w:lang w:val="en-GB"/>
              </w:rPr>
            </w:pPr>
          </w:p>
        </w:tc>
        <w:tc>
          <w:tcPr>
            <w:tcW w:w="2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BE954B7" w14:textId="69FC9341" w:rsidR="001300DA" w:rsidRPr="00734E51" w:rsidRDefault="001300DA" w:rsidP="00D817CB">
            <w:pPr>
              <w:jc w:val="cente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 S</w:t>
            </w:r>
            <w:r w:rsidR="00D817CB" w:rsidRPr="00734E51">
              <w:rPr>
                <w:rFonts w:ascii="Times New Roman" w:hAnsi="Times New Roman" w:cs="Times New Roman"/>
                <w:color w:val="000000"/>
                <w:lang w:val="en-GB"/>
              </w:rPr>
              <w:t>usceptib</w:t>
            </w:r>
            <w:r w:rsidR="008C3039" w:rsidRPr="00734E51">
              <w:rPr>
                <w:rFonts w:ascii="Times New Roman" w:hAnsi="Times New Roman" w:cs="Times New Roman"/>
                <w:color w:val="000000"/>
                <w:lang w:val="en-GB"/>
              </w:rPr>
              <w:t>le</w:t>
            </w:r>
          </w:p>
        </w:tc>
        <w:tc>
          <w:tcPr>
            <w:tcW w:w="987" w:type="dxa"/>
            <w:tcBorders>
              <w:top w:val="single" w:sz="8" w:space="0" w:color="auto"/>
              <w:left w:val="nil"/>
              <w:bottom w:val="single" w:sz="8" w:space="0" w:color="auto"/>
              <w:right w:val="single" w:sz="8" w:space="0" w:color="auto"/>
            </w:tcBorders>
            <w:vAlign w:val="bottom"/>
          </w:tcPr>
          <w:p w14:paraId="1163ADDA" w14:textId="77777777" w:rsidR="001300DA" w:rsidRPr="00734E51" w:rsidRDefault="001300DA" w:rsidP="00D817CB">
            <w:pPr>
              <w:jc w:val="center"/>
              <w:rPr>
                <w:rFonts w:ascii="Times New Roman" w:hAnsi="Times New Roman" w:cs="Times New Roman"/>
                <w:color w:val="000000"/>
                <w:lang w:val="en-GB"/>
              </w:rPr>
            </w:pPr>
            <w:r w:rsidRPr="00734E51">
              <w:rPr>
                <w:rFonts w:ascii="Times New Roman" w:hAnsi="Times New Roman" w:cs="Times New Roman"/>
                <w:color w:val="000000"/>
                <w:lang w:val="en-GB"/>
              </w:rPr>
              <w:t>95% CI</w:t>
            </w:r>
          </w:p>
        </w:tc>
        <w:tc>
          <w:tcPr>
            <w:tcW w:w="1560" w:type="dxa"/>
            <w:tcBorders>
              <w:top w:val="single" w:sz="8" w:space="0" w:color="auto"/>
              <w:left w:val="nil"/>
              <w:bottom w:val="single" w:sz="8" w:space="0" w:color="auto"/>
              <w:right w:val="single" w:sz="8" w:space="0" w:color="auto"/>
            </w:tcBorders>
            <w:vAlign w:val="bottom"/>
          </w:tcPr>
          <w:p w14:paraId="38112E9B" w14:textId="19AA1588" w:rsidR="001300DA" w:rsidRPr="00734E51" w:rsidRDefault="001300DA" w:rsidP="008C3039">
            <w:pPr>
              <w:jc w:val="center"/>
              <w:rPr>
                <w:rFonts w:ascii="Times New Roman" w:hAnsi="Times New Roman" w:cs="Times New Roman"/>
                <w:color w:val="000000"/>
                <w:lang w:val="en-GB"/>
              </w:rPr>
            </w:pPr>
            <w:r w:rsidRPr="00734E51">
              <w:rPr>
                <w:rFonts w:ascii="Times New Roman" w:hAnsi="Times New Roman" w:cs="Times New Roman"/>
                <w:color w:val="000000"/>
                <w:lang w:val="en-GB"/>
              </w:rPr>
              <w:t>% S</w:t>
            </w:r>
            <w:r w:rsidR="008C3039" w:rsidRPr="00734E51">
              <w:rPr>
                <w:rFonts w:ascii="Times New Roman" w:hAnsi="Times New Roman" w:cs="Times New Roman"/>
                <w:color w:val="000000"/>
                <w:lang w:val="en-GB"/>
              </w:rPr>
              <w:t>usceptible</w:t>
            </w:r>
          </w:p>
        </w:tc>
        <w:tc>
          <w:tcPr>
            <w:tcW w:w="1701" w:type="dxa"/>
            <w:tcBorders>
              <w:top w:val="single" w:sz="8" w:space="0" w:color="auto"/>
              <w:left w:val="nil"/>
              <w:bottom w:val="single" w:sz="8" w:space="0" w:color="auto"/>
              <w:right w:val="single" w:sz="8" w:space="0" w:color="auto"/>
            </w:tcBorders>
            <w:vAlign w:val="bottom"/>
          </w:tcPr>
          <w:p w14:paraId="0635C2CF" w14:textId="77777777" w:rsidR="001300DA" w:rsidRPr="00734E51" w:rsidRDefault="001300DA" w:rsidP="00D817CB">
            <w:pPr>
              <w:jc w:val="center"/>
              <w:rPr>
                <w:rFonts w:ascii="Times New Roman" w:hAnsi="Times New Roman" w:cs="Times New Roman"/>
                <w:color w:val="000000"/>
                <w:lang w:val="en-GB"/>
              </w:rPr>
            </w:pPr>
            <w:r w:rsidRPr="00734E51">
              <w:rPr>
                <w:rFonts w:ascii="Times New Roman" w:hAnsi="Times New Roman" w:cs="Times New Roman"/>
                <w:color w:val="000000"/>
                <w:lang w:val="en-GB"/>
              </w:rPr>
              <w:t>95% CI</w:t>
            </w:r>
          </w:p>
        </w:tc>
      </w:tr>
      <w:tr w:rsidR="008C3039" w:rsidRPr="008368C1" w14:paraId="62BB4A22" w14:textId="77777777" w:rsidTr="002C58D3">
        <w:trPr>
          <w:trHeight w:val="300"/>
        </w:trPr>
        <w:tc>
          <w:tcPr>
            <w:tcW w:w="1603" w:type="dxa"/>
            <w:vMerge w:val="restart"/>
            <w:tcBorders>
              <w:top w:val="nil"/>
              <w:left w:val="single" w:sz="8" w:space="0" w:color="auto"/>
              <w:right w:val="single" w:sz="8" w:space="0" w:color="auto"/>
            </w:tcBorders>
            <w:noWrap/>
            <w:tcMar>
              <w:top w:w="0" w:type="dxa"/>
              <w:left w:w="108" w:type="dxa"/>
              <w:bottom w:w="0" w:type="dxa"/>
              <w:right w:w="108" w:type="dxa"/>
            </w:tcMar>
            <w:vAlign w:val="center"/>
            <w:hideMark/>
          </w:tcPr>
          <w:p w14:paraId="45B3C96D" w14:textId="77777777" w:rsidR="001300DA" w:rsidRPr="00734E51" w:rsidRDefault="001300DA" w:rsidP="001300DA">
            <w:pP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Co-</w:t>
            </w:r>
            <w:proofErr w:type="spellStart"/>
            <w:r w:rsidRPr="00734E51">
              <w:rPr>
                <w:rFonts w:ascii="Times New Roman" w:hAnsi="Times New Roman" w:cs="Times New Roman"/>
                <w:color w:val="000000"/>
                <w:lang w:val="en-GB"/>
              </w:rPr>
              <w:t>amoxiclav</w:t>
            </w:r>
            <w:proofErr w:type="spellEnd"/>
          </w:p>
        </w:tc>
        <w:tc>
          <w:tcPr>
            <w:tcW w:w="2069" w:type="dxa"/>
            <w:vMerge w:val="restart"/>
            <w:tcBorders>
              <w:top w:val="nil"/>
              <w:left w:val="nil"/>
              <w:right w:val="single" w:sz="8" w:space="0" w:color="auto"/>
            </w:tcBorders>
            <w:noWrap/>
            <w:tcMar>
              <w:top w:w="0" w:type="dxa"/>
              <w:left w:w="108" w:type="dxa"/>
              <w:bottom w:w="0" w:type="dxa"/>
              <w:right w:w="108" w:type="dxa"/>
            </w:tcMar>
            <w:vAlign w:val="center"/>
            <w:hideMark/>
          </w:tcPr>
          <w:p w14:paraId="1D432A79" w14:textId="77777777" w:rsidR="001300DA" w:rsidRPr="00734E51" w:rsidRDefault="001300DA" w:rsidP="002C58D3">
            <w:pPr>
              <w:jc w:val="cente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86.6</w:t>
            </w:r>
          </w:p>
        </w:tc>
        <w:tc>
          <w:tcPr>
            <w:tcW w:w="987" w:type="dxa"/>
            <w:vMerge w:val="restart"/>
            <w:tcBorders>
              <w:top w:val="nil"/>
              <w:left w:val="nil"/>
              <w:right w:val="single" w:sz="8" w:space="0" w:color="auto"/>
            </w:tcBorders>
            <w:vAlign w:val="center"/>
          </w:tcPr>
          <w:p w14:paraId="34C12F90"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84.7 to 88.3</w:t>
            </w:r>
          </w:p>
        </w:tc>
        <w:tc>
          <w:tcPr>
            <w:tcW w:w="1560" w:type="dxa"/>
            <w:tcBorders>
              <w:top w:val="nil"/>
              <w:left w:val="nil"/>
              <w:bottom w:val="single" w:sz="8" w:space="0" w:color="auto"/>
              <w:right w:val="single" w:sz="8" w:space="0" w:color="auto"/>
            </w:tcBorders>
            <w:vAlign w:val="center"/>
          </w:tcPr>
          <w:p w14:paraId="724A655A" w14:textId="77777777" w:rsidR="001300DA" w:rsidRPr="00734E51" w:rsidRDefault="00074568" w:rsidP="002C58D3">
            <w:pPr>
              <w:jc w:val="center"/>
              <w:rPr>
                <w:rFonts w:ascii="Times New Roman" w:hAnsi="Times New Roman" w:cs="Times New Roman"/>
                <w:color w:val="000000"/>
                <w:lang w:val="en-GB"/>
              </w:rPr>
            </w:pPr>
            <w:r w:rsidRPr="00734E51">
              <w:rPr>
                <w:rFonts w:ascii="Times New Roman" w:hAnsi="Times New Roman" w:cs="Times New Roman"/>
                <w:color w:val="000000"/>
                <w:vertAlign w:val="superscript"/>
                <w:lang w:val="en-GB"/>
              </w:rPr>
              <w:t>1</w:t>
            </w:r>
            <w:r w:rsidR="001300DA" w:rsidRPr="00734E51">
              <w:rPr>
                <w:rFonts w:ascii="Times New Roman" w:hAnsi="Times New Roman" w:cs="Times New Roman"/>
                <w:color w:val="000000"/>
                <w:lang w:val="en-GB"/>
              </w:rPr>
              <w:t>89.9</w:t>
            </w:r>
          </w:p>
        </w:tc>
        <w:tc>
          <w:tcPr>
            <w:tcW w:w="1701" w:type="dxa"/>
            <w:tcBorders>
              <w:top w:val="nil"/>
              <w:left w:val="nil"/>
              <w:bottom w:val="single" w:sz="8" w:space="0" w:color="auto"/>
              <w:right w:val="single" w:sz="8" w:space="0" w:color="auto"/>
            </w:tcBorders>
            <w:vAlign w:val="center"/>
          </w:tcPr>
          <w:p w14:paraId="2B1F16D2"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81.3 to 94.8</w:t>
            </w:r>
          </w:p>
        </w:tc>
      </w:tr>
      <w:tr w:rsidR="008C3039" w:rsidRPr="008368C1" w14:paraId="77E19F1C" w14:textId="77777777" w:rsidTr="002C58D3">
        <w:trPr>
          <w:trHeight w:val="300"/>
        </w:trPr>
        <w:tc>
          <w:tcPr>
            <w:tcW w:w="1603" w:type="dxa"/>
            <w:vMerge/>
            <w:tcBorders>
              <w:left w:val="single" w:sz="8" w:space="0" w:color="auto"/>
              <w:right w:val="single" w:sz="8" w:space="0" w:color="auto"/>
            </w:tcBorders>
            <w:noWrap/>
            <w:tcMar>
              <w:top w:w="0" w:type="dxa"/>
              <w:left w:w="108" w:type="dxa"/>
              <w:bottom w:w="0" w:type="dxa"/>
              <w:right w:w="108" w:type="dxa"/>
            </w:tcMar>
            <w:vAlign w:val="center"/>
          </w:tcPr>
          <w:p w14:paraId="4617DE02" w14:textId="77777777" w:rsidR="001300DA" w:rsidRPr="00734E51" w:rsidRDefault="001300DA" w:rsidP="001300DA">
            <w:pPr>
              <w:tabs>
                <w:tab w:val="center" w:pos="4513"/>
                <w:tab w:val="right" w:pos="9026"/>
              </w:tabs>
              <w:rPr>
                <w:rFonts w:ascii="Times New Roman" w:hAnsi="Times New Roman" w:cs="Times New Roman"/>
                <w:color w:val="000000"/>
                <w:lang w:val="en-GB"/>
              </w:rPr>
            </w:pPr>
          </w:p>
        </w:tc>
        <w:tc>
          <w:tcPr>
            <w:tcW w:w="2069" w:type="dxa"/>
            <w:vMerge/>
            <w:tcBorders>
              <w:left w:val="nil"/>
              <w:right w:val="single" w:sz="8" w:space="0" w:color="auto"/>
            </w:tcBorders>
            <w:noWrap/>
            <w:tcMar>
              <w:top w:w="0" w:type="dxa"/>
              <w:left w:w="108" w:type="dxa"/>
              <w:bottom w:w="0" w:type="dxa"/>
              <w:right w:w="108" w:type="dxa"/>
            </w:tcMar>
            <w:vAlign w:val="center"/>
          </w:tcPr>
          <w:p w14:paraId="1CACBC89" w14:textId="77777777" w:rsidR="001300DA" w:rsidRPr="00734E51" w:rsidRDefault="001300DA" w:rsidP="002C58D3">
            <w:pPr>
              <w:tabs>
                <w:tab w:val="center" w:pos="4513"/>
                <w:tab w:val="right" w:pos="9026"/>
              </w:tabs>
              <w:jc w:val="center"/>
              <w:rPr>
                <w:rFonts w:ascii="Times New Roman" w:hAnsi="Times New Roman" w:cs="Times New Roman"/>
                <w:color w:val="000000"/>
                <w:lang w:val="en-GB"/>
              </w:rPr>
            </w:pPr>
          </w:p>
        </w:tc>
        <w:tc>
          <w:tcPr>
            <w:tcW w:w="987" w:type="dxa"/>
            <w:vMerge/>
            <w:tcBorders>
              <w:left w:val="nil"/>
              <w:right w:val="single" w:sz="8" w:space="0" w:color="auto"/>
            </w:tcBorders>
            <w:vAlign w:val="center"/>
          </w:tcPr>
          <w:p w14:paraId="29C98406" w14:textId="77777777" w:rsidR="001300DA" w:rsidRPr="00734E51" w:rsidRDefault="001300DA" w:rsidP="002C58D3">
            <w:pPr>
              <w:tabs>
                <w:tab w:val="center" w:pos="4513"/>
                <w:tab w:val="right" w:pos="9026"/>
              </w:tabs>
              <w:jc w:val="center"/>
              <w:rPr>
                <w:rFonts w:ascii="Times New Roman" w:hAnsi="Times New Roman" w:cs="Times New Roman"/>
                <w:color w:val="000000"/>
                <w:lang w:val="en-GB"/>
              </w:rPr>
            </w:pPr>
          </w:p>
        </w:tc>
        <w:tc>
          <w:tcPr>
            <w:tcW w:w="1560" w:type="dxa"/>
            <w:tcBorders>
              <w:top w:val="nil"/>
              <w:left w:val="nil"/>
              <w:bottom w:val="single" w:sz="8" w:space="0" w:color="auto"/>
              <w:right w:val="single" w:sz="8" w:space="0" w:color="auto"/>
            </w:tcBorders>
            <w:vAlign w:val="center"/>
          </w:tcPr>
          <w:p w14:paraId="32DAB31F" w14:textId="77777777" w:rsidR="001300DA" w:rsidRPr="00734E51" w:rsidRDefault="00074568" w:rsidP="002C58D3">
            <w:pPr>
              <w:jc w:val="center"/>
              <w:rPr>
                <w:rFonts w:ascii="Times New Roman" w:hAnsi="Times New Roman" w:cs="Times New Roman"/>
                <w:color w:val="000000"/>
                <w:lang w:val="en-GB"/>
              </w:rPr>
            </w:pPr>
            <w:r w:rsidRPr="00734E51">
              <w:rPr>
                <w:rFonts w:ascii="Times New Roman" w:hAnsi="Times New Roman" w:cs="Times New Roman"/>
                <w:color w:val="000000"/>
                <w:vertAlign w:val="superscript"/>
                <w:lang w:val="en-GB"/>
              </w:rPr>
              <w:t>2</w:t>
            </w:r>
            <w:r w:rsidR="001300DA" w:rsidRPr="00734E51">
              <w:rPr>
                <w:rFonts w:ascii="Times New Roman" w:hAnsi="Times New Roman" w:cs="Times New Roman"/>
                <w:color w:val="000000"/>
                <w:lang w:val="en-GB"/>
              </w:rPr>
              <w:t>100.0</w:t>
            </w:r>
          </w:p>
        </w:tc>
        <w:tc>
          <w:tcPr>
            <w:tcW w:w="1701" w:type="dxa"/>
            <w:tcBorders>
              <w:top w:val="nil"/>
              <w:left w:val="nil"/>
              <w:bottom w:val="single" w:sz="8" w:space="0" w:color="auto"/>
              <w:right w:val="single" w:sz="8" w:space="0" w:color="auto"/>
            </w:tcBorders>
            <w:vAlign w:val="center"/>
          </w:tcPr>
          <w:p w14:paraId="0B16770B"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95.3 to 100.0</w:t>
            </w:r>
          </w:p>
        </w:tc>
      </w:tr>
      <w:tr w:rsidR="008C3039" w:rsidRPr="008368C1" w14:paraId="7DDC6DFE" w14:textId="77777777" w:rsidTr="002C58D3">
        <w:trPr>
          <w:trHeight w:val="300"/>
        </w:trPr>
        <w:tc>
          <w:tcPr>
            <w:tcW w:w="1603" w:type="dxa"/>
            <w:vMerge/>
            <w:tcBorders>
              <w:left w:val="single" w:sz="8" w:space="0" w:color="auto"/>
              <w:right w:val="single" w:sz="8" w:space="0" w:color="auto"/>
            </w:tcBorders>
            <w:noWrap/>
            <w:tcMar>
              <w:top w:w="0" w:type="dxa"/>
              <w:left w:w="108" w:type="dxa"/>
              <w:bottom w:w="0" w:type="dxa"/>
              <w:right w:w="108" w:type="dxa"/>
            </w:tcMar>
            <w:vAlign w:val="center"/>
          </w:tcPr>
          <w:p w14:paraId="25A1E544" w14:textId="77777777" w:rsidR="001300DA" w:rsidRPr="00734E51" w:rsidRDefault="001300DA" w:rsidP="001300DA">
            <w:pPr>
              <w:tabs>
                <w:tab w:val="center" w:pos="4513"/>
                <w:tab w:val="right" w:pos="9026"/>
              </w:tabs>
              <w:rPr>
                <w:rFonts w:ascii="Times New Roman" w:hAnsi="Times New Roman" w:cs="Times New Roman"/>
                <w:color w:val="000000"/>
                <w:lang w:val="en-GB"/>
              </w:rPr>
            </w:pPr>
          </w:p>
        </w:tc>
        <w:tc>
          <w:tcPr>
            <w:tcW w:w="2069" w:type="dxa"/>
            <w:vMerge/>
            <w:tcBorders>
              <w:left w:val="nil"/>
              <w:right w:val="single" w:sz="8" w:space="0" w:color="auto"/>
            </w:tcBorders>
            <w:noWrap/>
            <w:tcMar>
              <w:top w:w="0" w:type="dxa"/>
              <w:left w:w="108" w:type="dxa"/>
              <w:bottom w:w="0" w:type="dxa"/>
              <w:right w:w="108" w:type="dxa"/>
            </w:tcMar>
            <w:vAlign w:val="center"/>
          </w:tcPr>
          <w:p w14:paraId="4EE5315A" w14:textId="77777777" w:rsidR="001300DA" w:rsidRPr="00734E51" w:rsidRDefault="001300DA" w:rsidP="002C58D3">
            <w:pPr>
              <w:tabs>
                <w:tab w:val="center" w:pos="4513"/>
                <w:tab w:val="right" w:pos="9026"/>
              </w:tabs>
              <w:jc w:val="center"/>
              <w:rPr>
                <w:rFonts w:ascii="Times New Roman" w:hAnsi="Times New Roman" w:cs="Times New Roman"/>
                <w:color w:val="000000"/>
                <w:lang w:val="en-GB"/>
              </w:rPr>
            </w:pPr>
          </w:p>
        </w:tc>
        <w:tc>
          <w:tcPr>
            <w:tcW w:w="987" w:type="dxa"/>
            <w:vMerge/>
            <w:tcBorders>
              <w:left w:val="nil"/>
              <w:right w:val="single" w:sz="8" w:space="0" w:color="auto"/>
            </w:tcBorders>
            <w:vAlign w:val="center"/>
          </w:tcPr>
          <w:p w14:paraId="49A326C2" w14:textId="77777777" w:rsidR="001300DA" w:rsidRPr="00734E51" w:rsidRDefault="001300DA" w:rsidP="002C58D3">
            <w:pPr>
              <w:tabs>
                <w:tab w:val="center" w:pos="4513"/>
                <w:tab w:val="right" w:pos="9026"/>
              </w:tabs>
              <w:jc w:val="center"/>
              <w:rPr>
                <w:rFonts w:ascii="Times New Roman" w:hAnsi="Times New Roman" w:cs="Times New Roman"/>
                <w:color w:val="000000"/>
                <w:lang w:val="en-GB"/>
              </w:rPr>
            </w:pPr>
          </w:p>
        </w:tc>
        <w:tc>
          <w:tcPr>
            <w:tcW w:w="1560" w:type="dxa"/>
            <w:tcBorders>
              <w:top w:val="nil"/>
              <w:left w:val="nil"/>
              <w:bottom w:val="single" w:sz="8" w:space="0" w:color="auto"/>
              <w:right w:val="single" w:sz="8" w:space="0" w:color="auto"/>
            </w:tcBorders>
            <w:vAlign w:val="center"/>
          </w:tcPr>
          <w:p w14:paraId="1312AAE2" w14:textId="77777777" w:rsidR="001300DA" w:rsidRPr="00734E51" w:rsidRDefault="00074568" w:rsidP="002C58D3">
            <w:pPr>
              <w:jc w:val="center"/>
              <w:rPr>
                <w:rFonts w:ascii="Times New Roman" w:hAnsi="Times New Roman" w:cs="Times New Roman"/>
                <w:color w:val="000000"/>
                <w:lang w:val="en-GB"/>
              </w:rPr>
            </w:pPr>
            <w:r w:rsidRPr="00734E51">
              <w:rPr>
                <w:rFonts w:ascii="Times New Roman" w:hAnsi="Times New Roman" w:cs="Times New Roman"/>
                <w:color w:val="000000"/>
                <w:vertAlign w:val="superscript"/>
                <w:lang w:val="en-GB"/>
              </w:rPr>
              <w:t>3</w:t>
            </w:r>
            <w:r w:rsidR="001300DA" w:rsidRPr="00734E51">
              <w:rPr>
                <w:rFonts w:ascii="Times New Roman" w:hAnsi="Times New Roman" w:cs="Times New Roman"/>
                <w:color w:val="000000"/>
                <w:lang w:val="en-GB"/>
              </w:rPr>
              <w:t>83.5</w:t>
            </w:r>
          </w:p>
        </w:tc>
        <w:tc>
          <w:tcPr>
            <w:tcW w:w="1701" w:type="dxa"/>
            <w:tcBorders>
              <w:top w:val="nil"/>
              <w:left w:val="nil"/>
              <w:bottom w:val="single" w:sz="8" w:space="0" w:color="auto"/>
              <w:right w:val="single" w:sz="8" w:space="0" w:color="auto"/>
            </w:tcBorders>
            <w:vAlign w:val="center"/>
          </w:tcPr>
          <w:p w14:paraId="4E3261BD"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73.9 to 90.1</w:t>
            </w:r>
          </w:p>
        </w:tc>
      </w:tr>
      <w:tr w:rsidR="008C3039" w:rsidRPr="008368C1" w14:paraId="1E3CE189" w14:textId="77777777" w:rsidTr="002C58D3">
        <w:trPr>
          <w:trHeight w:val="300"/>
        </w:trPr>
        <w:tc>
          <w:tcPr>
            <w:tcW w:w="1603" w:type="dxa"/>
            <w:vMerge/>
            <w:tcBorders>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749D6A" w14:textId="77777777" w:rsidR="001300DA" w:rsidRPr="00734E51" w:rsidRDefault="001300DA" w:rsidP="001300DA">
            <w:pPr>
              <w:tabs>
                <w:tab w:val="center" w:pos="4513"/>
                <w:tab w:val="right" w:pos="9026"/>
              </w:tabs>
              <w:rPr>
                <w:rFonts w:ascii="Times New Roman" w:hAnsi="Times New Roman" w:cs="Times New Roman"/>
                <w:color w:val="000000"/>
                <w:lang w:val="en-GB"/>
              </w:rPr>
            </w:pPr>
          </w:p>
        </w:tc>
        <w:tc>
          <w:tcPr>
            <w:tcW w:w="2069" w:type="dxa"/>
            <w:vMerge/>
            <w:tcBorders>
              <w:left w:val="nil"/>
              <w:bottom w:val="single" w:sz="8" w:space="0" w:color="auto"/>
              <w:right w:val="single" w:sz="8" w:space="0" w:color="auto"/>
            </w:tcBorders>
            <w:noWrap/>
            <w:tcMar>
              <w:top w:w="0" w:type="dxa"/>
              <w:left w:w="108" w:type="dxa"/>
              <w:bottom w:w="0" w:type="dxa"/>
              <w:right w:w="108" w:type="dxa"/>
            </w:tcMar>
            <w:vAlign w:val="center"/>
          </w:tcPr>
          <w:p w14:paraId="70C7B3F6" w14:textId="77777777" w:rsidR="001300DA" w:rsidRPr="00734E51" w:rsidRDefault="001300DA" w:rsidP="002C58D3">
            <w:pPr>
              <w:tabs>
                <w:tab w:val="center" w:pos="4513"/>
                <w:tab w:val="right" w:pos="9026"/>
              </w:tabs>
              <w:jc w:val="center"/>
              <w:rPr>
                <w:rFonts w:ascii="Times New Roman" w:hAnsi="Times New Roman" w:cs="Times New Roman"/>
                <w:color w:val="000000"/>
                <w:lang w:val="en-GB"/>
              </w:rPr>
            </w:pPr>
          </w:p>
        </w:tc>
        <w:tc>
          <w:tcPr>
            <w:tcW w:w="987" w:type="dxa"/>
            <w:vMerge/>
            <w:tcBorders>
              <w:left w:val="nil"/>
              <w:bottom w:val="single" w:sz="8" w:space="0" w:color="auto"/>
              <w:right w:val="single" w:sz="8" w:space="0" w:color="auto"/>
            </w:tcBorders>
            <w:vAlign w:val="center"/>
          </w:tcPr>
          <w:p w14:paraId="384FD702" w14:textId="77777777" w:rsidR="001300DA" w:rsidRPr="00734E51" w:rsidRDefault="001300DA" w:rsidP="002C58D3">
            <w:pPr>
              <w:tabs>
                <w:tab w:val="center" w:pos="4513"/>
                <w:tab w:val="right" w:pos="9026"/>
              </w:tabs>
              <w:jc w:val="center"/>
              <w:rPr>
                <w:rFonts w:ascii="Times New Roman" w:hAnsi="Times New Roman" w:cs="Times New Roman"/>
                <w:color w:val="000000"/>
                <w:lang w:val="en-GB"/>
              </w:rPr>
            </w:pPr>
          </w:p>
        </w:tc>
        <w:tc>
          <w:tcPr>
            <w:tcW w:w="1560" w:type="dxa"/>
            <w:tcBorders>
              <w:top w:val="nil"/>
              <w:left w:val="nil"/>
              <w:bottom w:val="single" w:sz="8" w:space="0" w:color="auto"/>
              <w:right w:val="single" w:sz="8" w:space="0" w:color="auto"/>
            </w:tcBorders>
            <w:vAlign w:val="center"/>
          </w:tcPr>
          <w:p w14:paraId="69F83E44" w14:textId="77777777" w:rsidR="001300DA" w:rsidRPr="00734E51" w:rsidRDefault="00074568" w:rsidP="002C58D3">
            <w:pPr>
              <w:jc w:val="center"/>
              <w:rPr>
                <w:rFonts w:ascii="Times New Roman" w:hAnsi="Times New Roman" w:cs="Times New Roman"/>
                <w:color w:val="000000"/>
                <w:lang w:val="en-GB"/>
              </w:rPr>
            </w:pPr>
            <w:r w:rsidRPr="00734E51">
              <w:rPr>
                <w:rFonts w:ascii="Times New Roman" w:hAnsi="Times New Roman" w:cs="Times New Roman"/>
                <w:color w:val="000000"/>
                <w:vertAlign w:val="superscript"/>
                <w:lang w:val="en-GB"/>
              </w:rPr>
              <w:t>4</w:t>
            </w:r>
            <w:r w:rsidR="001300DA" w:rsidRPr="00734E51">
              <w:rPr>
                <w:rFonts w:ascii="Times New Roman" w:hAnsi="Times New Roman" w:cs="Times New Roman"/>
                <w:color w:val="000000"/>
                <w:lang w:val="en-GB"/>
              </w:rPr>
              <w:t>94.9</w:t>
            </w:r>
          </w:p>
        </w:tc>
        <w:tc>
          <w:tcPr>
            <w:tcW w:w="1701" w:type="dxa"/>
            <w:tcBorders>
              <w:top w:val="nil"/>
              <w:left w:val="nil"/>
              <w:bottom w:val="single" w:sz="8" w:space="0" w:color="auto"/>
              <w:right w:val="single" w:sz="8" w:space="0" w:color="auto"/>
            </w:tcBorders>
            <w:vAlign w:val="center"/>
          </w:tcPr>
          <w:p w14:paraId="7379AF09"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87.7 to 98.4</w:t>
            </w:r>
          </w:p>
        </w:tc>
      </w:tr>
      <w:tr w:rsidR="008C3039" w:rsidRPr="008368C1" w14:paraId="6B9C864E" w14:textId="77777777" w:rsidTr="002C58D3">
        <w:trPr>
          <w:trHeight w:val="300"/>
        </w:trPr>
        <w:tc>
          <w:tcPr>
            <w:tcW w:w="16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A50296" w14:textId="77777777" w:rsidR="001300DA" w:rsidRPr="00734E51" w:rsidRDefault="001300DA" w:rsidP="001300DA">
            <w:pP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Amoxicillin</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6108B5" w14:textId="77777777" w:rsidR="001300DA" w:rsidRPr="00734E51" w:rsidRDefault="001300DA" w:rsidP="002C58D3">
            <w:pPr>
              <w:jc w:val="cente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45.1</w:t>
            </w:r>
          </w:p>
        </w:tc>
        <w:tc>
          <w:tcPr>
            <w:tcW w:w="987" w:type="dxa"/>
            <w:tcBorders>
              <w:top w:val="nil"/>
              <w:left w:val="nil"/>
              <w:bottom w:val="single" w:sz="8" w:space="0" w:color="auto"/>
              <w:right w:val="single" w:sz="8" w:space="0" w:color="auto"/>
            </w:tcBorders>
            <w:vAlign w:val="center"/>
          </w:tcPr>
          <w:p w14:paraId="26980E41"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42.5 to 47.7</w:t>
            </w:r>
          </w:p>
        </w:tc>
        <w:tc>
          <w:tcPr>
            <w:tcW w:w="1560" w:type="dxa"/>
            <w:tcBorders>
              <w:top w:val="nil"/>
              <w:left w:val="nil"/>
              <w:bottom w:val="single" w:sz="8" w:space="0" w:color="auto"/>
              <w:right w:val="single" w:sz="8" w:space="0" w:color="auto"/>
            </w:tcBorders>
            <w:vAlign w:val="center"/>
          </w:tcPr>
          <w:p w14:paraId="326788E3"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50.6</w:t>
            </w:r>
          </w:p>
        </w:tc>
        <w:tc>
          <w:tcPr>
            <w:tcW w:w="1701" w:type="dxa"/>
            <w:tcBorders>
              <w:top w:val="nil"/>
              <w:left w:val="nil"/>
              <w:bottom w:val="single" w:sz="8" w:space="0" w:color="auto"/>
              <w:right w:val="single" w:sz="8" w:space="0" w:color="auto"/>
            </w:tcBorders>
            <w:vAlign w:val="center"/>
          </w:tcPr>
          <w:p w14:paraId="48FB4BEC"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39.8 to 61.4</w:t>
            </w:r>
          </w:p>
        </w:tc>
      </w:tr>
      <w:tr w:rsidR="008C3039" w:rsidRPr="008368C1" w14:paraId="072308B5" w14:textId="77777777" w:rsidTr="002C58D3">
        <w:trPr>
          <w:trHeight w:val="300"/>
        </w:trPr>
        <w:tc>
          <w:tcPr>
            <w:tcW w:w="16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D95BEA" w14:textId="77777777" w:rsidR="001300DA" w:rsidRPr="00734E51" w:rsidRDefault="001300DA" w:rsidP="001300DA">
            <w:pP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Cephalexin</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A80A55" w14:textId="77777777" w:rsidR="001300DA" w:rsidRPr="00734E51" w:rsidRDefault="001300DA" w:rsidP="002C58D3">
            <w:pPr>
              <w:jc w:val="cente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95.1</w:t>
            </w:r>
          </w:p>
        </w:tc>
        <w:tc>
          <w:tcPr>
            <w:tcW w:w="987" w:type="dxa"/>
            <w:tcBorders>
              <w:top w:val="nil"/>
              <w:left w:val="nil"/>
              <w:bottom w:val="single" w:sz="8" w:space="0" w:color="auto"/>
              <w:right w:val="single" w:sz="8" w:space="0" w:color="auto"/>
            </w:tcBorders>
            <w:vAlign w:val="center"/>
          </w:tcPr>
          <w:p w14:paraId="00A12F22"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93.9 to 96.1</w:t>
            </w:r>
          </w:p>
        </w:tc>
        <w:tc>
          <w:tcPr>
            <w:tcW w:w="1560" w:type="dxa"/>
            <w:tcBorders>
              <w:top w:val="nil"/>
              <w:left w:val="nil"/>
              <w:bottom w:val="single" w:sz="8" w:space="0" w:color="auto"/>
              <w:right w:val="single" w:sz="8" w:space="0" w:color="auto"/>
            </w:tcBorders>
            <w:vAlign w:val="center"/>
          </w:tcPr>
          <w:p w14:paraId="4299CD12"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98.7</w:t>
            </w:r>
          </w:p>
        </w:tc>
        <w:tc>
          <w:tcPr>
            <w:tcW w:w="1701" w:type="dxa"/>
            <w:tcBorders>
              <w:top w:val="nil"/>
              <w:left w:val="nil"/>
              <w:bottom w:val="single" w:sz="8" w:space="0" w:color="auto"/>
              <w:right w:val="single" w:sz="8" w:space="0" w:color="auto"/>
            </w:tcBorders>
            <w:vAlign w:val="center"/>
          </w:tcPr>
          <w:p w14:paraId="215CFB57"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93.2 to 99.8</w:t>
            </w:r>
          </w:p>
        </w:tc>
      </w:tr>
      <w:tr w:rsidR="008C3039" w:rsidRPr="008368C1" w14:paraId="49ECE14C" w14:textId="77777777" w:rsidTr="002C58D3">
        <w:trPr>
          <w:trHeight w:val="300"/>
        </w:trPr>
        <w:tc>
          <w:tcPr>
            <w:tcW w:w="16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11C1E5" w14:textId="77777777" w:rsidR="001300DA" w:rsidRPr="00734E51" w:rsidRDefault="001300DA" w:rsidP="001300DA">
            <w:pP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Nitrofurantoin</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486C98" w14:textId="77777777" w:rsidR="001300DA" w:rsidRPr="00734E51" w:rsidRDefault="001300DA" w:rsidP="002C58D3">
            <w:pPr>
              <w:jc w:val="center"/>
              <w:rPr>
                <w:rFonts w:ascii="Times New Roman" w:eastAsiaTheme="minorHAnsi" w:hAnsi="Times New Roman" w:cs="Times New Roman"/>
                <w:color w:val="000000"/>
                <w:lang w:val="en-GB"/>
              </w:rPr>
            </w:pPr>
            <w:r w:rsidRPr="00734E51">
              <w:rPr>
                <w:rFonts w:ascii="Times New Roman" w:hAnsi="Times New Roman" w:cs="Times New Roman"/>
                <w:color w:val="000000"/>
                <w:lang w:val="en-GB"/>
              </w:rPr>
              <w:t>98.2</w:t>
            </w:r>
          </w:p>
        </w:tc>
        <w:tc>
          <w:tcPr>
            <w:tcW w:w="987" w:type="dxa"/>
            <w:tcBorders>
              <w:top w:val="nil"/>
              <w:left w:val="nil"/>
              <w:bottom w:val="single" w:sz="8" w:space="0" w:color="auto"/>
              <w:right w:val="single" w:sz="8" w:space="0" w:color="auto"/>
            </w:tcBorders>
            <w:vAlign w:val="center"/>
          </w:tcPr>
          <w:p w14:paraId="3F7AED78"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97.4 to 98.8</w:t>
            </w:r>
          </w:p>
        </w:tc>
        <w:tc>
          <w:tcPr>
            <w:tcW w:w="1560" w:type="dxa"/>
            <w:tcBorders>
              <w:top w:val="nil"/>
              <w:left w:val="nil"/>
              <w:bottom w:val="single" w:sz="8" w:space="0" w:color="auto"/>
              <w:right w:val="single" w:sz="8" w:space="0" w:color="auto"/>
            </w:tcBorders>
            <w:vAlign w:val="center"/>
          </w:tcPr>
          <w:p w14:paraId="69F4DDCC"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100.0</w:t>
            </w:r>
          </w:p>
        </w:tc>
        <w:tc>
          <w:tcPr>
            <w:tcW w:w="1701" w:type="dxa"/>
            <w:tcBorders>
              <w:top w:val="nil"/>
              <w:left w:val="nil"/>
              <w:bottom w:val="single" w:sz="8" w:space="0" w:color="auto"/>
              <w:right w:val="single" w:sz="8" w:space="0" w:color="auto"/>
            </w:tcBorders>
            <w:vAlign w:val="center"/>
          </w:tcPr>
          <w:p w14:paraId="71EDC6B4"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95.3 to 100.0</w:t>
            </w:r>
          </w:p>
        </w:tc>
      </w:tr>
      <w:tr w:rsidR="008C3039" w:rsidRPr="008368C1" w14:paraId="37B05C06" w14:textId="77777777" w:rsidTr="002C58D3">
        <w:trPr>
          <w:trHeight w:val="300"/>
        </w:trPr>
        <w:tc>
          <w:tcPr>
            <w:tcW w:w="16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F8C0ED5" w14:textId="430B3FF4" w:rsidR="001300DA" w:rsidRPr="00734E51" w:rsidRDefault="001300DA" w:rsidP="001300DA">
            <w:pPr>
              <w:rPr>
                <w:rFonts w:ascii="Times New Roman" w:hAnsi="Times New Roman" w:cs="Times New Roman"/>
                <w:color w:val="000000"/>
                <w:lang w:val="en-GB"/>
              </w:rPr>
            </w:pPr>
            <w:r w:rsidRPr="00734E51">
              <w:rPr>
                <w:rFonts w:ascii="Times New Roman" w:hAnsi="Times New Roman" w:cs="Times New Roman"/>
                <w:color w:val="000000"/>
                <w:lang w:val="en-GB"/>
              </w:rPr>
              <w:t>Trimethoprim</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21BC45" w14:textId="10B6774B"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74.0</w:t>
            </w:r>
          </w:p>
        </w:tc>
        <w:tc>
          <w:tcPr>
            <w:tcW w:w="987" w:type="dxa"/>
            <w:tcBorders>
              <w:top w:val="nil"/>
              <w:left w:val="nil"/>
              <w:bottom w:val="single" w:sz="8" w:space="0" w:color="auto"/>
              <w:right w:val="single" w:sz="8" w:space="0" w:color="auto"/>
            </w:tcBorders>
            <w:vAlign w:val="center"/>
          </w:tcPr>
          <w:p w14:paraId="38409A6E" w14:textId="62F5F4A0"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71.7 to 76.2</w:t>
            </w:r>
          </w:p>
        </w:tc>
        <w:tc>
          <w:tcPr>
            <w:tcW w:w="1560" w:type="dxa"/>
            <w:tcBorders>
              <w:top w:val="nil"/>
              <w:left w:val="nil"/>
              <w:bottom w:val="single" w:sz="8" w:space="0" w:color="auto"/>
              <w:right w:val="single" w:sz="8" w:space="0" w:color="auto"/>
            </w:tcBorders>
            <w:vAlign w:val="center"/>
          </w:tcPr>
          <w:p w14:paraId="21712F00" w14:textId="004144B8"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70.9</w:t>
            </w:r>
          </w:p>
        </w:tc>
        <w:tc>
          <w:tcPr>
            <w:tcW w:w="1701" w:type="dxa"/>
            <w:tcBorders>
              <w:top w:val="nil"/>
              <w:left w:val="nil"/>
              <w:bottom w:val="single" w:sz="8" w:space="0" w:color="auto"/>
              <w:right w:val="single" w:sz="8" w:space="0" w:color="auto"/>
            </w:tcBorders>
            <w:vAlign w:val="center"/>
          </w:tcPr>
          <w:p w14:paraId="0E24DFF4" w14:textId="7DF6CDC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60.1 to 80.0</w:t>
            </w:r>
          </w:p>
        </w:tc>
      </w:tr>
      <w:tr w:rsidR="008C3039" w:rsidRPr="008368C1" w14:paraId="5405C558" w14:textId="77777777" w:rsidTr="002C58D3">
        <w:trPr>
          <w:trHeight w:val="300"/>
        </w:trPr>
        <w:tc>
          <w:tcPr>
            <w:tcW w:w="16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C7177E" w14:textId="77777777" w:rsidR="001300DA" w:rsidRPr="00734E51" w:rsidRDefault="001300DA" w:rsidP="001300DA">
            <w:pPr>
              <w:rPr>
                <w:rFonts w:ascii="Times New Roman" w:eastAsiaTheme="minorHAnsi" w:hAnsi="Times New Roman" w:cs="Times New Roman"/>
                <w:color w:val="000000"/>
                <w:lang w:val="en-GB"/>
              </w:rPr>
            </w:pPr>
            <w:r w:rsidRPr="00734E51">
              <w:rPr>
                <w:rFonts w:ascii="Times New Roman" w:eastAsiaTheme="minorHAnsi" w:hAnsi="Times New Roman" w:cs="Times New Roman"/>
                <w:color w:val="000000"/>
                <w:lang w:val="en-GB"/>
              </w:rPr>
              <w:t>Ciprofloxacin</w:t>
            </w:r>
          </w:p>
        </w:tc>
        <w:tc>
          <w:tcPr>
            <w:tcW w:w="206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7DCF0ED" w14:textId="77777777" w:rsidR="001300DA" w:rsidRPr="00734E51" w:rsidRDefault="001300DA" w:rsidP="002C58D3">
            <w:pPr>
              <w:jc w:val="center"/>
              <w:rPr>
                <w:rFonts w:ascii="Times New Roman" w:eastAsiaTheme="minorHAnsi" w:hAnsi="Times New Roman" w:cs="Times New Roman"/>
                <w:color w:val="000000"/>
                <w:lang w:val="en-GB"/>
              </w:rPr>
            </w:pPr>
            <w:r w:rsidRPr="00734E51">
              <w:rPr>
                <w:rFonts w:ascii="Times New Roman" w:eastAsiaTheme="minorHAnsi" w:hAnsi="Times New Roman" w:cs="Times New Roman"/>
                <w:color w:val="000000"/>
                <w:lang w:val="en-GB"/>
              </w:rPr>
              <w:t>N/A</w:t>
            </w:r>
          </w:p>
        </w:tc>
        <w:tc>
          <w:tcPr>
            <w:tcW w:w="987" w:type="dxa"/>
            <w:tcBorders>
              <w:top w:val="nil"/>
              <w:left w:val="nil"/>
              <w:bottom w:val="single" w:sz="8" w:space="0" w:color="auto"/>
              <w:right w:val="single" w:sz="8" w:space="0" w:color="auto"/>
            </w:tcBorders>
            <w:vAlign w:val="center"/>
          </w:tcPr>
          <w:p w14:paraId="421377C2"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N/A</w:t>
            </w:r>
          </w:p>
        </w:tc>
        <w:tc>
          <w:tcPr>
            <w:tcW w:w="1560" w:type="dxa"/>
            <w:tcBorders>
              <w:top w:val="nil"/>
              <w:left w:val="nil"/>
              <w:bottom w:val="single" w:sz="8" w:space="0" w:color="auto"/>
              <w:right w:val="single" w:sz="8" w:space="0" w:color="auto"/>
            </w:tcBorders>
            <w:vAlign w:val="center"/>
          </w:tcPr>
          <w:p w14:paraId="7FE62823" w14:textId="77777777" w:rsidR="001300DA" w:rsidRPr="00734E51" w:rsidRDefault="001300DA"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96.2</w:t>
            </w:r>
          </w:p>
        </w:tc>
        <w:tc>
          <w:tcPr>
            <w:tcW w:w="1701" w:type="dxa"/>
            <w:tcBorders>
              <w:top w:val="nil"/>
              <w:left w:val="nil"/>
              <w:bottom w:val="single" w:sz="8" w:space="0" w:color="auto"/>
              <w:right w:val="single" w:sz="8" w:space="0" w:color="auto"/>
            </w:tcBorders>
            <w:vAlign w:val="center"/>
          </w:tcPr>
          <w:p w14:paraId="3B9EBEAD" w14:textId="77777777" w:rsidR="001300DA" w:rsidRPr="00734E51" w:rsidRDefault="00074568" w:rsidP="002C58D3">
            <w:pPr>
              <w:jc w:val="center"/>
              <w:rPr>
                <w:rFonts w:ascii="Times New Roman" w:hAnsi="Times New Roman" w:cs="Times New Roman"/>
                <w:color w:val="000000"/>
                <w:lang w:val="en-GB"/>
              </w:rPr>
            </w:pPr>
            <w:r w:rsidRPr="00734E51">
              <w:rPr>
                <w:rFonts w:ascii="Times New Roman" w:hAnsi="Times New Roman" w:cs="Times New Roman"/>
                <w:color w:val="000000"/>
                <w:lang w:val="en-GB"/>
              </w:rPr>
              <w:t>89.4 to 98.7</w:t>
            </w:r>
          </w:p>
        </w:tc>
      </w:tr>
    </w:tbl>
    <w:p w14:paraId="7C709A48" w14:textId="77777777" w:rsidR="00E64E7B" w:rsidRPr="00734E51" w:rsidRDefault="006D2421" w:rsidP="00E64E7B">
      <w:pPr>
        <w:pStyle w:val="NoSpacing"/>
        <w:rPr>
          <w:rFonts w:ascii="Times New Roman" w:hAnsi="Times New Roman" w:cs="Times New Roman"/>
          <w:lang w:val="en-GB"/>
        </w:rPr>
      </w:pPr>
      <w:r w:rsidRPr="00734E51">
        <w:rPr>
          <w:rFonts w:ascii="Times New Roman" w:hAnsi="Times New Roman" w:cs="Times New Roman"/>
          <w:vertAlign w:val="superscript"/>
          <w:lang w:val="en-GB"/>
        </w:rPr>
        <w:t>1</w:t>
      </w:r>
      <w:r w:rsidRPr="00734E51">
        <w:rPr>
          <w:rFonts w:ascii="Times New Roman" w:hAnsi="Times New Roman" w:cs="Times New Roman"/>
          <w:lang w:val="en-GB"/>
        </w:rPr>
        <w:t xml:space="preserve">2:1 ratio with </w:t>
      </w:r>
      <w:r w:rsidR="008C3039" w:rsidRPr="00734E51">
        <w:rPr>
          <w:rFonts w:ascii="Times New Roman" w:hAnsi="Times New Roman" w:cs="Times New Roman"/>
          <w:lang w:val="en-GB"/>
        </w:rPr>
        <w:t xml:space="preserve">systemic </w:t>
      </w:r>
      <w:r w:rsidRPr="00734E51">
        <w:rPr>
          <w:rFonts w:ascii="Times New Roman" w:hAnsi="Times New Roman" w:cs="Times New Roman"/>
          <w:lang w:val="en-GB"/>
        </w:rPr>
        <w:t>breakpoint of S≤8 mg/L</w:t>
      </w:r>
    </w:p>
    <w:p w14:paraId="06DBA9C8" w14:textId="77777777" w:rsidR="006D2421" w:rsidRPr="00734E51" w:rsidRDefault="006D2421" w:rsidP="006D2421">
      <w:pPr>
        <w:pStyle w:val="NoSpacing"/>
        <w:rPr>
          <w:rFonts w:ascii="Times New Roman" w:hAnsi="Times New Roman" w:cs="Times New Roman"/>
          <w:lang w:val="en-GB"/>
        </w:rPr>
      </w:pPr>
      <w:r w:rsidRPr="00734E51">
        <w:rPr>
          <w:rFonts w:ascii="Times New Roman" w:hAnsi="Times New Roman" w:cs="Times New Roman"/>
          <w:vertAlign w:val="superscript"/>
          <w:lang w:val="en-GB"/>
        </w:rPr>
        <w:t>2</w:t>
      </w:r>
      <w:r w:rsidRPr="00734E51">
        <w:rPr>
          <w:rFonts w:ascii="Times New Roman" w:hAnsi="Times New Roman" w:cs="Times New Roman"/>
          <w:lang w:val="en-GB"/>
        </w:rPr>
        <w:t xml:space="preserve">2:1 ratio with </w:t>
      </w:r>
      <w:r w:rsidR="008C3039" w:rsidRPr="00734E51">
        <w:rPr>
          <w:rFonts w:ascii="Times New Roman" w:hAnsi="Times New Roman" w:cs="Times New Roman"/>
          <w:lang w:val="en-GB"/>
        </w:rPr>
        <w:t xml:space="preserve">urinary </w:t>
      </w:r>
      <w:r w:rsidRPr="00734E51">
        <w:rPr>
          <w:rFonts w:ascii="Times New Roman" w:hAnsi="Times New Roman" w:cs="Times New Roman"/>
          <w:lang w:val="en-GB"/>
        </w:rPr>
        <w:t>breakpoint of S≤32 mg/L</w:t>
      </w:r>
    </w:p>
    <w:p w14:paraId="340D073E" w14:textId="77777777" w:rsidR="006D2421" w:rsidRPr="00734E51" w:rsidRDefault="006D2421" w:rsidP="006D2421">
      <w:pPr>
        <w:pStyle w:val="NoSpacing"/>
        <w:rPr>
          <w:rFonts w:ascii="Times New Roman" w:hAnsi="Times New Roman" w:cs="Times New Roman"/>
          <w:lang w:val="en-GB"/>
        </w:rPr>
      </w:pPr>
      <w:r w:rsidRPr="00734E51">
        <w:rPr>
          <w:rFonts w:ascii="Times New Roman" w:hAnsi="Times New Roman" w:cs="Times New Roman"/>
          <w:vertAlign w:val="superscript"/>
          <w:lang w:val="en-GB"/>
        </w:rPr>
        <w:t>3</w:t>
      </w:r>
      <w:r w:rsidRPr="00734E51">
        <w:rPr>
          <w:rFonts w:ascii="Times New Roman" w:hAnsi="Times New Roman" w:cs="Times New Roman"/>
          <w:lang w:val="en-GB"/>
        </w:rPr>
        <w:t xml:space="preserve">fixed 2mg/L with </w:t>
      </w:r>
      <w:r w:rsidR="008C3039" w:rsidRPr="00734E51">
        <w:rPr>
          <w:rFonts w:ascii="Times New Roman" w:hAnsi="Times New Roman" w:cs="Times New Roman"/>
          <w:lang w:val="en-GB"/>
        </w:rPr>
        <w:t xml:space="preserve">systemic </w:t>
      </w:r>
      <w:r w:rsidRPr="00734E51">
        <w:rPr>
          <w:rFonts w:ascii="Times New Roman" w:hAnsi="Times New Roman" w:cs="Times New Roman"/>
          <w:lang w:val="en-GB"/>
        </w:rPr>
        <w:t>breakpoint of S≤8 mg/L</w:t>
      </w:r>
    </w:p>
    <w:p w14:paraId="72DBA817" w14:textId="77777777" w:rsidR="006D2421" w:rsidRPr="00734E51" w:rsidRDefault="006D2421" w:rsidP="00E64E7B">
      <w:pPr>
        <w:pStyle w:val="NoSpacing"/>
        <w:rPr>
          <w:rFonts w:ascii="Times New Roman" w:hAnsi="Times New Roman" w:cs="Times New Roman"/>
          <w:lang w:val="en-GB"/>
        </w:rPr>
      </w:pPr>
      <w:r w:rsidRPr="00734E51">
        <w:rPr>
          <w:rFonts w:ascii="Times New Roman" w:hAnsi="Times New Roman" w:cs="Times New Roman"/>
          <w:vertAlign w:val="superscript"/>
          <w:lang w:val="en-GB"/>
        </w:rPr>
        <w:t>4</w:t>
      </w:r>
      <w:r w:rsidRPr="00734E51">
        <w:rPr>
          <w:rFonts w:ascii="Times New Roman" w:hAnsi="Times New Roman" w:cs="Times New Roman"/>
          <w:lang w:val="en-GB"/>
        </w:rPr>
        <w:t xml:space="preserve"> fixed 2mg/L with </w:t>
      </w:r>
      <w:r w:rsidR="008C3039" w:rsidRPr="00734E51">
        <w:rPr>
          <w:rFonts w:ascii="Times New Roman" w:hAnsi="Times New Roman" w:cs="Times New Roman"/>
          <w:lang w:val="en-GB"/>
        </w:rPr>
        <w:t xml:space="preserve">urinary </w:t>
      </w:r>
      <w:r w:rsidRPr="00734E51">
        <w:rPr>
          <w:rFonts w:ascii="Times New Roman" w:hAnsi="Times New Roman" w:cs="Times New Roman"/>
          <w:lang w:val="en-GB"/>
        </w:rPr>
        <w:t>breakpoint of S≤32 mg/L</w:t>
      </w:r>
    </w:p>
    <w:p w14:paraId="7BAC5063" w14:textId="77777777" w:rsidR="00EE18E3" w:rsidRDefault="00EE18E3" w:rsidP="00E64E7B">
      <w:pPr>
        <w:spacing w:after="200" w:line="276" w:lineRule="auto"/>
        <w:rPr>
          <w:rFonts w:ascii="Times New Roman" w:hAnsi="Times New Roman" w:cs="Times New Roman"/>
          <w:lang w:val="en-GB"/>
        </w:rPr>
      </w:pPr>
    </w:p>
    <w:p w14:paraId="1C94F06F" w14:textId="18D89F94" w:rsidR="00EE18E3" w:rsidRDefault="00EE18E3">
      <w:pPr>
        <w:spacing w:after="160" w:line="259" w:lineRule="auto"/>
        <w:rPr>
          <w:rFonts w:ascii="Times New Roman" w:hAnsi="Times New Roman" w:cs="Times New Roman"/>
          <w:lang w:val="en-GB"/>
        </w:rPr>
      </w:pPr>
      <w:r>
        <w:rPr>
          <w:rFonts w:ascii="Times New Roman" w:hAnsi="Times New Roman" w:cs="Times New Roman"/>
          <w:lang w:val="en-GB"/>
        </w:rPr>
        <w:br w:type="page"/>
      </w:r>
    </w:p>
    <w:p w14:paraId="496EAEA8" w14:textId="77777777" w:rsidR="00EE18E3" w:rsidRPr="00734E51" w:rsidRDefault="00EE18E3" w:rsidP="00E64E7B">
      <w:pPr>
        <w:spacing w:after="200" w:line="276" w:lineRule="auto"/>
        <w:rPr>
          <w:rFonts w:ascii="Times New Roman" w:hAnsi="Times New Roman" w:cs="Times New Roman"/>
          <w:lang w:val="en-GB"/>
        </w:rPr>
      </w:pPr>
    </w:p>
    <w:p w14:paraId="5B37CCB1" w14:textId="77777777" w:rsidR="00E64E7B" w:rsidRPr="00734E51" w:rsidRDefault="00E64E7B" w:rsidP="00A97121">
      <w:pPr>
        <w:pStyle w:val="NoSpacing"/>
        <w:outlineLvl w:val="0"/>
        <w:rPr>
          <w:rFonts w:ascii="Times New Roman" w:hAnsi="Times New Roman" w:cs="Times New Roman"/>
          <w:b/>
          <w:lang w:val="en-GB"/>
        </w:rPr>
      </w:pPr>
      <w:r w:rsidRPr="00734E51">
        <w:rPr>
          <w:rFonts w:ascii="Times New Roman" w:hAnsi="Times New Roman" w:cs="Times New Roman"/>
          <w:b/>
          <w:lang w:val="en-GB"/>
        </w:rPr>
        <w:t>References</w:t>
      </w:r>
    </w:p>
    <w:p w14:paraId="06B49399" w14:textId="77777777" w:rsidR="00E64E7B" w:rsidRPr="007400ED" w:rsidRDefault="00E64E7B" w:rsidP="00E64E7B">
      <w:pPr>
        <w:rPr>
          <w:rFonts w:ascii="Times New Roman" w:hAnsi="Times New Roman" w:cs="Times New Roman"/>
          <w:lang w:val="en-GB"/>
        </w:rPr>
      </w:pPr>
    </w:p>
    <w:p w14:paraId="588EFA45" w14:textId="77777777" w:rsidR="00612B01" w:rsidRPr="00734E51" w:rsidRDefault="00FB34F4" w:rsidP="006D74BF">
      <w:pPr>
        <w:pStyle w:val="EndNoteBibliography"/>
        <w:ind w:left="360"/>
        <w:rPr>
          <w:rFonts w:ascii="Times New Roman" w:hAnsi="Times New Roman" w:cs="Times New Roman"/>
          <w:noProof w:val="0"/>
          <w:lang w:val="en-GB"/>
        </w:rPr>
      </w:pPr>
      <w:r w:rsidRPr="00734E51">
        <w:rPr>
          <w:rFonts w:ascii="Times New Roman" w:hAnsi="Times New Roman" w:cs="Times New Roman"/>
          <w:noProof w:val="0"/>
          <w:lang w:val="en-GB"/>
        </w:rPr>
        <w:fldChar w:fldCharType="begin"/>
      </w:r>
      <w:r w:rsidR="00E64E7B" w:rsidRPr="00734E51">
        <w:rPr>
          <w:rFonts w:ascii="Times New Roman" w:hAnsi="Times New Roman" w:cs="Times New Roman"/>
          <w:noProof w:val="0"/>
          <w:lang w:val="en-GB"/>
        </w:rPr>
        <w:instrText xml:space="preserve"> ADDIN EN.REFLIST </w:instrText>
      </w:r>
      <w:r w:rsidRPr="00734E51">
        <w:rPr>
          <w:rFonts w:ascii="Times New Roman" w:hAnsi="Times New Roman" w:cs="Times New Roman"/>
          <w:noProof w:val="0"/>
          <w:lang w:val="en-GB"/>
        </w:rPr>
        <w:fldChar w:fldCharType="separate"/>
      </w:r>
      <w:bookmarkStart w:id="1" w:name="_ENREF_1"/>
      <w:r w:rsidR="00612B01" w:rsidRPr="00734E51">
        <w:rPr>
          <w:rFonts w:ascii="Times New Roman" w:hAnsi="Times New Roman" w:cs="Times New Roman"/>
          <w:noProof w:val="0"/>
          <w:lang w:val="en-GB"/>
        </w:rPr>
        <w:t>1.</w:t>
      </w:r>
      <w:r w:rsidR="00612B01" w:rsidRPr="00734E51">
        <w:rPr>
          <w:rFonts w:ascii="Times New Roman" w:hAnsi="Times New Roman" w:cs="Times New Roman"/>
          <w:noProof w:val="0"/>
          <w:lang w:val="en-GB"/>
        </w:rPr>
        <w:tab/>
        <w:t xml:space="preserve">NICE. Urinary tract infection in children: diagnosis, treatment and long-term management. CG54. [Clinical guideline]. London: National Institute for Health and Care Excellence; 2007. Available from: </w:t>
      </w:r>
      <w:hyperlink r:id="rId11" w:history="1">
        <w:r w:rsidR="00612B01" w:rsidRPr="00734E51">
          <w:rPr>
            <w:rStyle w:val="Hyperlink"/>
            <w:rFonts w:ascii="Times New Roman" w:hAnsi="Times New Roman" w:cs="Times New Roman"/>
            <w:noProof w:val="0"/>
            <w:lang w:val="en-GB"/>
          </w:rPr>
          <w:t>http://guidance.nice.org.uk/CG054</w:t>
        </w:r>
      </w:hyperlink>
      <w:r w:rsidR="00612B01" w:rsidRPr="00734E51">
        <w:rPr>
          <w:rFonts w:ascii="Times New Roman" w:hAnsi="Times New Roman" w:cs="Times New Roman"/>
          <w:noProof w:val="0"/>
          <w:lang w:val="en-GB"/>
        </w:rPr>
        <w:t>.</w:t>
      </w:r>
      <w:bookmarkEnd w:id="1"/>
    </w:p>
    <w:p w14:paraId="002410EC" w14:textId="77777777" w:rsidR="00612B01" w:rsidRPr="00734E51" w:rsidRDefault="00612B01" w:rsidP="006D74BF">
      <w:pPr>
        <w:pStyle w:val="EndNoteBibliography"/>
        <w:ind w:left="360"/>
        <w:rPr>
          <w:rFonts w:ascii="Times New Roman" w:hAnsi="Times New Roman" w:cs="Times New Roman"/>
          <w:noProof w:val="0"/>
          <w:lang w:val="en-GB"/>
        </w:rPr>
      </w:pPr>
      <w:bookmarkStart w:id="2" w:name="_ENREF_2"/>
      <w:r w:rsidRPr="00734E51">
        <w:rPr>
          <w:rFonts w:ascii="Times New Roman" w:hAnsi="Times New Roman" w:cs="Times New Roman"/>
          <w:noProof w:val="0"/>
          <w:lang w:val="en-GB"/>
        </w:rPr>
        <w:t>2.</w:t>
      </w:r>
      <w:r w:rsidRPr="00734E51">
        <w:rPr>
          <w:rFonts w:ascii="Times New Roman" w:hAnsi="Times New Roman" w:cs="Times New Roman"/>
          <w:noProof w:val="0"/>
          <w:lang w:val="en-GB"/>
        </w:rPr>
        <w:tab/>
        <w:t xml:space="preserve">Grabe M, Bjerklund-Johansen TE, Botto H, Çek M, Naber KG, Pickard RS, et al. Guidelines on Urological Infections 2013 [04/04/2014]. Available from: </w:t>
      </w:r>
      <w:hyperlink r:id="rId12" w:history="1">
        <w:r w:rsidRPr="00734E51">
          <w:rPr>
            <w:rStyle w:val="Hyperlink"/>
            <w:rFonts w:ascii="Times New Roman" w:hAnsi="Times New Roman" w:cs="Times New Roman"/>
            <w:noProof w:val="0"/>
            <w:lang w:val="en-GB"/>
          </w:rPr>
          <w:t>http://www.uroweb.org/gls/pdf/18_Urological infections_LR.pdf</w:t>
        </w:r>
      </w:hyperlink>
      <w:r w:rsidRPr="00734E51">
        <w:rPr>
          <w:rFonts w:ascii="Times New Roman" w:hAnsi="Times New Roman" w:cs="Times New Roman"/>
          <w:noProof w:val="0"/>
          <w:lang w:val="en-GB"/>
        </w:rPr>
        <w:t>.</w:t>
      </w:r>
      <w:bookmarkEnd w:id="2"/>
    </w:p>
    <w:p w14:paraId="02A9D7C6" w14:textId="77777777" w:rsidR="00612B01" w:rsidRPr="00734E51" w:rsidRDefault="00612B01" w:rsidP="006D74BF">
      <w:pPr>
        <w:pStyle w:val="EndNoteBibliography"/>
        <w:ind w:left="360"/>
        <w:rPr>
          <w:rFonts w:ascii="Times New Roman" w:hAnsi="Times New Roman" w:cs="Times New Roman"/>
          <w:noProof w:val="0"/>
          <w:lang w:val="en-GB"/>
        </w:rPr>
      </w:pPr>
      <w:bookmarkStart w:id="3" w:name="_ENREF_3"/>
      <w:r w:rsidRPr="00734E51">
        <w:rPr>
          <w:rFonts w:ascii="Times New Roman" w:hAnsi="Times New Roman" w:cs="Times New Roman"/>
          <w:noProof w:val="0"/>
          <w:lang w:val="en-GB"/>
        </w:rPr>
        <w:t>3.</w:t>
      </w:r>
      <w:r w:rsidRPr="00734E51">
        <w:rPr>
          <w:rFonts w:ascii="Times New Roman" w:hAnsi="Times New Roman" w:cs="Times New Roman"/>
          <w:noProof w:val="0"/>
          <w:lang w:val="en-GB"/>
        </w:rPr>
        <w:tab/>
        <w:t>Asscher AW, Verrier Jones R, Sussman M, McLachlan MSF, Meller S, Harrison S, et al. Screening for asymptomatic urinary-tract infection in schoolgirls. A two-centre feasibility study. The Lancet. 1973;302(7819):1-4.</w:t>
      </w:r>
      <w:bookmarkEnd w:id="3"/>
    </w:p>
    <w:p w14:paraId="48C77696" w14:textId="77777777" w:rsidR="00612B01" w:rsidRPr="00734E51" w:rsidRDefault="00612B01" w:rsidP="006D74BF">
      <w:pPr>
        <w:pStyle w:val="EndNoteBibliography"/>
        <w:ind w:left="360"/>
        <w:rPr>
          <w:rFonts w:ascii="Times New Roman" w:hAnsi="Times New Roman" w:cs="Times New Roman"/>
          <w:noProof w:val="0"/>
          <w:lang w:val="en-GB"/>
        </w:rPr>
      </w:pPr>
      <w:bookmarkStart w:id="4" w:name="_ENREF_4"/>
      <w:r w:rsidRPr="00734E51">
        <w:rPr>
          <w:rFonts w:ascii="Times New Roman" w:hAnsi="Times New Roman" w:cs="Times New Roman"/>
          <w:noProof w:val="0"/>
          <w:lang w:val="en-GB"/>
        </w:rPr>
        <w:t>4.</w:t>
      </w:r>
      <w:r w:rsidRPr="00734E51">
        <w:rPr>
          <w:rFonts w:ascii="Times New Roman" w:hAnsi="Times New Roman" w:cs="Times New Roman"/>
          <w:noProof w:val="0"/>
          <w:lang w:val="en-GB"/>
        </w:rPr>
        <w:tab/>
        <w:t>McLachlan MS, Meller ST, Jones ER, Asscher AW, Fletcher EW, Mayon-White RT, et al. Urinary tract in schoolgirls with covert bacteriuria. Archives of Disease in Childhood. 1975;50(4):253-8.</w:t>
      </w:r>
      <w:bookmarkEnd w:id="4"/>
    </w:p>
    <w:p w14:paraId="271D2E6D" w14:textId="77777777" w:rsidR="00612B01" w:rsidRPr="00734E51" w:rsidRDefault="00612B01" w:rsidP="006D74BF">
      <w:pPr>
        <w:pStyle w:val="EndNoteBibliography"/>
        <w:ind w:left="360"/>
        <w:rPr>
          <w:rFonts w:ascii="Times New Roman" w:hAnsi="Times New Roman" w:cs="Times New Roman"/>
          <w:noProof w:val="0"/>
          <w:lang w:val="en-GB"/>
        </w:rPr>
      </w:pPr>
      <w:bookmarkStart w:id="5" w:name="_ENREF_5"/>
      <w:r w:rsidRPr="00734E51">
        <w:rPr>
          <w:rFonts w:ascii="Times New Roman" w:hAnsi="Times New Roman" w:cs="Times New Roman"/>
          <w:noProof w:val="0"/>
          <w:lang w:val="en-GB"/>
        </w:rPr>
        <w:t>5.</w:t>
      </w:r>
      <w:r w:rsidRPr="00734E51">
        <w:rPr>
          <w:rFonts w:ascii="Times New Roman" w:hAnsi="Times New Roman" w:cs="Times New Roman"/>
          <w:noProof w:val="0"/>
          <w:lang w:val="en-GB"/>
        </w:rPr>
        <w:tab/>
        <w:t>Savage DCL, Wilson MI, McHardy M, Dewar DAE, Fee WM. Covert bacteriuria of childhood: A clinical and epidemiological study. Archives of Disease in Childhood. 1973;48(1):8-20.</w:t>
      </w:r>
      <w:bookmarkEnd w:id="5"/>
    </w:p>
    <w:p w14:paraId="258ACC43" w14:textId="77777777" w:rsidR="00612B01" w:rsidRPr="00734E51" w:rsidRDefault="00612B01" w:rsidP="006D74BF">
      <w:pPr>
        <w:pStyle w:val="EndNoteBibliography"/>
        <w:ind w:left="360"/>
        <w:rPr>
          <w:rFonts w:ascii="Times New Roman" w:hAnsi="Times New Roman" w:cs="Times New Roman"/>
          <w:noProof w:val="0"/>
          <w:lang w:val="en-GB"/>
        </w:rPr>
      </w:pPr>
      <w:bookmarkStart w:id="6" w:name="_ENREF_6"/>
      <w:r w:rsidRPr="00734E51">
        <w:rPr>
          <w:rFonts w:ascii="Times New Roman" w:hAnsi="Times New Roman" w:cs="Times New Roman"/>
          <w:noProof w:val="0"/>
          <w:lang w:val="en-GB"/>
        </w:rPr>
        <w:t>6.</w:t>
      </w:r>
      <w:r w:rsidRPr="00734E51">
        <w:rPr>
          <w:rFonts w:ascii="Times New Roman" w:hAnsi="Times New Roman" w:cs="Times New Roman"/>
          <w:noProof w:val="0"/>
          <w:lang w:val="en-GB"/>
        </w:rPr>
        <w:tab/>
        <w:t>Wettergren B, Jodal U, Jonasson G. Epidemiology of Bacteriuria during the First Year of Life. Acta Paediatrica Scandinavica 1985;74:925-33.</w:t>
      </w:r>
      <w:bookmarkEnd w:id="6"/>
    </w:p>
    <w:p w14:paraId="58CAF6D0" w14:textId="77777777" w:rsidR="00612B01" w:rsidRPr="00734E51" w:rsidRDefault="00612B01" w:rsidP="006D74BF">
      <w:pPr>
        <w:pStyle w:val="EndNoteBibliography"/>
        <w:ind w:left="360"/>
        <w:rPr>
          <w:rFonts w:ascii="Times New Roman" w:hAnsi="Times New Roman" w:cs="Times New Roman"/>
          <w:noProof w:val="0"/>
          <w:lang w:val="en-GB"/>
        </w:rPr>
      </w:pPr>
      <w:bookmarkStart w:id="7" w:name="_ENREF_7"/>
      <w:r w:rsidRPr="00734E51">
        <w:rPr>
          <w:rFonts w:ascii="Times New Roman" w:hAnsi="Times New Roman" w:cs="Times New Roman"/>
          <w:noProof w:val="0"/>
          <w:lang w:val="en-GB"/>
        </w:rPr>
        <w:t>7.</w:t>
      </w:r>
      <w:r w:rsidRPr="00734E51">
        <w:rPr>
          <w:rFonts w:ascii="Times New Roman" w:hAnsi="Times New Roman" w:cs="Times New Roman"/>
          <w:noProof w:val="0"/>
          <w:lang w:val="en-GB"/>
        </w:rPr>
        <w:tab/>
        <w:t>Winberg J, Andersen HJ, Bergstrom T, Jacobsson B, Larson H, Lincoln K. Epidemiology of symptomatic urinary tract infection in childhood. Acta Paediatrica Scandinavica - Supplement. 1974(252):1-20.</w:t>
      </w:r>
      <w:bookmarkEnd w:id="7"/>
    </w:p>
    <w:p w14:paraId="7D6B668C" w14:textId="77777777" w:rsidR="00612B01" w:rsidRPr="00734E51" w:rsidRDefault="00612B01" w:rsidP="006D74BF">
      <w:pPr>
        <w:pStyle w:val="EndNoteBibliography"/>
        <w:ind w:left="360"/>
        <w:rPr>
          <w:rFonts w:ascii="Times New Roman" w:hAnsi="Times New Roman" w:cs="Times New Roman"/>
          <w:noProof w:val="0"/>
          <w:lang w:val="en-GB"/>
        </w:rPr>
      </w:pPr>
      <w:bookmarkStart w:id="8" w:name="_ENREF_8"/>
      <w:r w:rsidRPr="00734E51">
        <w:rPr>
          <w:rFonts w:ascii="Times New Roman" w:hAnsi="Times New Roman" w:cs="Times New Roman"/>
          <w:noProof w:val="0"/>
          <w:lang w:val="en-GB"/>
        </w:rPr>
        <w:t>8.</w:t>
      </w:r>
      <w:r w:rsidRPr="00734E51">
        <w:rPr>
          <w:rFonts w:ascii="Times New Roman" w:hAnsi="Times New Roman" w:cs="Times New Roman"/>
          <w:noProof w:val="0"/>
          <w:lang w:val="en-GB"/>
        </w:rPr>
        <w:tab/>
        <w:t>Saperston KN, Shapiro DJ, Hersh AL, Copp HL. A Comparison of Inpatient Versus Outpatient Resistance Patterns of Pediatric Urinary Tract Infection. J Urol. 2014;191(5 Suppl):1608-13.</w:t>
      </w:r>
      <w:bookmarkEnd w:id="8"/>
    </w:p>
    <w:p w14:paraId="5BEF0327" w14:textId="0FFDC55F" w:rsidR="00612B01" w:rsidRPr="00734E51" w:rsidRDefault="00612B01" w:rsidP="003E4E6F">
      <w:pPr>
        <w:pStyle w:val="EndNoteBibliography"/>
        <w:ind w:left="360"/>
        <w:rPr>
          <w:rFonts w:ascii="Times New Roman" w:hAnsi="Times New Roman" w:cs="Times New Roman"/>
          <w:noProof w:val="0"/>
          <w:lang w:val="en-GB"/>
        </w:rPr>
      </w:pPr>
      <w:bookmarkStart w:id="9" w:name="_ENREF_9"/>
      <w:r w:rsidRPr="00734E51">
        <w:rPr>
          <w:rFonts w:ascii="Times New Roman" w:hAnsi="Times New Roman" w:cs="Times New Roman"/>
          <w:noProof w:val="0"/>
          <w:lang w:val="en-GB"/>
        </w:rPr>
        <w:t>9.</w:t>
      </w:r>
      <w:r w:rsidRPr="00734E51">
        <w:rPr>
          <w:rFonts w:ascii="Times New Roman" w:hAnsi="Times New Roman" w:cs="Times New Roman"/>
          <w:noProof w:val="0"/>
          <w:lang w:val="en-GB"/>
        </w:rPr>
        <w:tab/>
        <w:t>O'Brien K, Edwards A, Hood K, Butler C. Prevalence of urinary tract infection in acutely unwell children in general practice: a prospective study with systematic urine sampling. British Journal of General Practice. 2013;63(607):e156- e64</w:t>
      </w:r>
      <w:bookmarkEnd w:id="9"/>
    </w:p>
    <w:p w14:paraId="7B58CD20" w14:textId="77777777" w:rsidR="00612B01" w:rsidRPr="00734E51" w:rsidRDefault="00612B01" w:rsidP="006D74BF">
      <w:pPr>
        <w:pStyle w:val="EndNoteBibliography"/>
        <w:ind w:left="360"/>
        <w:rPr>
          <w:rFonts w:ascii="Times New Roman" w:hAnsi="Times New Roman" w:cs="Times New Roman"/>
          <w:noProof w:val="0"/>
          <w:lang w:val="en-GB"/>
        </w:rPr>
      </w:pPr>
      <w:bookmarkStart w:id="10" w:name="_ENREF_10"/>
      <w:r w:rsidRPr="00734E51">
        <w:rPr>
          <w:rFonts w:ascii="Times New Roman" w:hAnsi="Times New Roman" w:cs="Times New Roman"/>
          <w:noProof w:val="0"/>
          <w:lang w:val="en-GB"/>
        </w:rPr>
        <w:t>10.</w:t>
      </w:r>
      <w:r w:rsidRPr="00734E51">
        <w:rPr>
          <w:rFonts w:ascii="Times New Roman" w:hAnsi="Times New Roman" w:cs="Times New Roman"/>
          <w:noProof w:val="0"/>
          <w:lang w:val="en-GB"/>
        </w:rPr>
        <w:tab/>
        <w:t xml:space="preserve">HPA. UK Standards for Microbiology Investigations: Investigation of Urine. London: Health Protection Agency, 2012. [cited 2012]; Available from: </w:t>
      </w:r>
      <w:hyperlink r:id="rId13" w:history="1">
        <w:r w:rsidRPr="00734E51">
          <w:rPr>
            <w:rStyle w:val="Hyperlink"/>
            <w:rFonts w:ascii="Times New Roman" w:hAnsi="Times New Roman" w:cs="Times New Roman"/>
            <w:noProof w:val="0"/>
            <w:lang w:val="en-GB"/>
          </w:rPr>
          <w:t>http://www.hpa.org.uk/webc/HPAwebFile/HPAweb_C/1317132858791</w:t>
        </w:r>
      </w:hyperlink>
      <w:r w:rsidRPr="00734E51">
        <w:rPr>
          <w:rFonts w:ascii="Times New Roman" w:hAnsi="Times New Roman" w:cs="Times New Roman"/>
          <w:noProof w:val="0"/>
          <w:lang w:val="en-GB"/>
        </w:rPr>
        <w:t>.</w:t>
      </w:r>
      <w:bookmarkEnd w:id="10"/>
    </w:p>
    <w:p w14:paraId="18C23C4A" w14:textId="77777777" w:rsidR="00612B01" w:rsidRPr="00734E51" w:rsidRDefault="00612B01" w:rsidP="006D74BF">
      <w:pPr>
        <w:pStyle w:val="EndNoteBibliography"/>
        <w:ind w:left="360"/>
        <w:rPr>
          <w:rFonts w:ascii="Times New Roman" w:hAnsi="Times New Roman" w:cs="Times New Roman"/>
          <w:noProof w:val="0"/>
          <w:lang w:val="en-GB"/>
        </w:rPr>
      </w:pPr>
      <w:bookmarkStart w:id="11" w:name="_ENREF_11"/>
      <w:r w:rsidRPr="00734E51">
        <w:rPr>
          <w:rFonts w:ascii="Times New Roman" w:hAnsi="Times New Roman" w:cs="Times New Roman"/>
          <w:noProof w:val="0"/>
          <w:lang w:val="en-GB"/>
        </w:rPr>
        <w:t>11.</w:t>
      </w:r>
      <w:r w:rsidRPr="00734E51">
        <w:rPr>
          <w:rFonts w:ascii="Times New Roman" w:hAnsi="Times New Roman" w:cs="Times New Roman"/>
          <w:noProof w:val="0"/>
          <w:lang w:val="en-GB"/>
        </w:rPr>
        <w:tab/>
        <w:t>Downing H, Jones E, Gal M, Waldron C, Sterne J, Hollingworth W, et al. The diagnosis of urinary tract infections in young children (DUTY): protocol for a diagnostic and prospective observational study to derive and validate a clinical algorithm for the diagnosis of UTI in children presenting to primary care with an acute illness. BMC Infectious Diseases. 2012;12(1):158.</w:t>
      </w:r>
      <w:bookmarkEnd w:id="11"/>
    </w:p>
    <w:p w14:paraId="6E8F9981" w14:textId="77777777" w:rsidR="00612B01" w:rsidRPr="00734E51" w:rsidRDefault="00612B01" w:rsidP="006D74BF">
      <w:pPr>
        <w:pStyle w:val="EndNoteBibliography"/>
        <w:ind w:left="360"/>
        <w:rPr>
          <w:rFonts w:ascii="Times New Roman" w:hAnsi="Times New Roman" w:cs="Times New Roman"/>
          <w:noProof w:val="0"/>
          <w:lang w:val="en-GB"/>
        </w:rPr>
      </w:pPr>
      <w:bookmarkStart w:id="12" w:name="_ENREF_12"/>
      <w:r w:rsidRPr="00734E51">
        <w:rPr>
          <w:rFonts w:ascii="Times New Roman" w:hAnsi="Times New Roman" w:cs="Times New Roman"/>
          <w:noProof w:val="0"/>
          <w:lang w:val="en-GB"/>
        </w:rPr>
        <w:t>12.</w:t>
      </w:r>
      <w:r w:rsidRPr="00734E51">
        <w:rPr>
          <w:rFonts w:ascii="Times New Roman" w:hAnsi="Times New Roman" w:cs="Times New Roman"/>
          <w:noProof w:val="0"/>
          <w:lang w:val="en-GB"/>
        </w:rPr>
        <w:tab/>
        <w:t>BSAC. British Society for Antimicrobial Chemotherapy. Susceptibility Testing Methodology Version 12 – May 2013</w:t>
      </w:r>
    </w:p>
    <w:p w14:paraId="1600D3AA" w14:textId="77777777" w:rsidR="00612B01" w:rsidRPr="00734E51" w:rsidRDefault="00612B01" w:rsidP="006D74BF">
      <w:pPr>
        <w:pStyle w:val="EndNoteBibliography"/>
        <w:ind w:left="360"/>
        <w:rPr>
          <w:rFonts w:ascii="Times New Roman" w:hAnsi="Times New Roman" w:cs="Times New Roman"/>
          <w:noProof w:val="0"/>
          <w:lang w:val="en-GB"/>
        </w:rPr>
      </w:pPr>
      <w:r w:rsidRPr="00734E51">
        <w:rPr>
          <w:rFonts w:ascii="Times New Roman" w:hAnsi="Times New Roman" w:cs="Times New Roman"/>
          <w:noProof w:val="0"/>
          <w:lang w:val="en-GB"/>
        </w:rPr>
        <w:t xml:space="preserve">  [04/04/2014]. Available from: </w:t>
      </w:r>
      <w:hyperlink r:id="rId14" w:history="1">
        <w:r w:rsidRPr="00734E51">
          <w:rPr>
            <w:rStyle w:val="Hyperlink"/>
            <w:rFonts w:ascii="Times New Roman" w:hAnsi="Times New Roman" w:cs="Times New Roman"/>
            <w:noProof w:val="0"/>
            <w:lang w:val="en-GB"/>
          </w:rPr>
          <w:t>http://bsac.org.uk/susceptibility/guidelines-standardized-disc-susceptibility-testing-method/</w:t>
        </w:r>
      </w:hyperlink>
      <w:r w:rsidRPr="00734E51">
        <w:rPr>
          <w:rFonts w:ascii="Times New Roman" w:hAnsi="Times New Roman" w:cs="Times New Roman"/>
          <w:noProof w:val="0"/>
          <w:lang w:val="en-GB"/>
        </w:rPr>
        <w:t>.</w:t>
      </w:r>
      <w:bookmarkEnd w:id="12"/>
    </w:p>
    <w:p w14:paraId="38C4E684" w14:textId="77777777" w:rsidR="00612B01" w:rsidRPr="00734E51" w:rsidRDefault="00612B01" w:rsidP="006D74BF">
      <w:pPr>
        <w:pStyle w:val="EndNoteBibliography"/>
        <w:ind w:left="360"/>
        <w:rPr>
          <w:rFonts w:ascii="Times New Roman" w:hAnsi="Times New Roman" w:cs="Times New Roman"/>
          <w:noProof w:val="0"/>
          <w:lang w:val="en-GB"/>
        </w:rPr>
      </w:pPr>
      <w:bookmarkStart w:id="13" w:name="_ENREF_13"/>
      <w:r w:rsidRPr="00734E51">
        <w:rPr>
          <w:rFonts w:ascii="Times New Roman" w:hAnsi="Times New Roman" w:cs="Times New Roman"/>
          <w:noProof w:val="0"/>
          <w:lang w:val="en-GB"/>
        </w:rPr>
        <w:t>13.</w:t>
      </w:r>
      <w:r w:rsidRPr="00734E51">
        <w:rPr>
          <w:rFonts w:ascii="Times New Roman" w:hAnsi="Times New Roman" w:cs="Times New Roman"/>
          <w:noProof w:val="0"/>
          <w:lang w:val="en-GB"/>
        </w:rPr>
        <w:tab/>
        <w:t>O’Brien K, Edwards A, Hood K, Butler CC. Prevalence of urinary tract infection in acutely unwell children in general practice: a prospective study with systematic urine sampling. British Journal of General Practice. 2013;63(607):e156-e64.</w:t>
      </w:r>
      <w:bookmarkEnd w:id="13"/>
    </w:p>
    <w:p w14:paraId="74CC33E9" w14:textId="77777777" w:rsidR="00612B01" w:rsidRPr="00734E51" w:rsidRDefault="00612B01" w:rsidP="006D74BF">
      <w:pPr>
        <w:pStyle w:val="EndNoteBibliography"/>
        <w:ind w:left="360"/>
        <w:rPr>
          <w:rFonts w:ascii="Times New Roman" w:hAnsi="Times New Roman" w:cs="Times New Roman"/>
          <w:noProof w:val="0"/>
          <w:lang w:val="en-GB"/>
        </w:rPr>
      </w:pPr>
      <w:bookmarkStart w:id="14" w:name="_ENREF_14"/>
      <w:r w:rsidRPr="00734E51">
        <w:rPr>
          <w:rFonts w:ascii="Times New Roman" w:hAnsi="Times New Roman" w:cs="Times New Roman"/>
          <w:noProof w:val="0"/>
          <w:lang w:val="en-GB"/>
        </w:rPr>
        <w:t>14.</w:t>
      </w:r>
      <w:r w:rsidRPr="00734E51">
        <w:rPr>
          <w:rFonts w:ascii="Times New Roman" w:hAnsi="Times New Roman" w:cs="Times New Roman"/>
          <w:noProof w:val="0"/>
          <w:lang w:val="en-GB"/>
        </w:rPr>
        <w:tab/>
        <w:t>Heginbothom ML, Magee JT, Bell JL, Dunstan FDJ, Howard AJ, Hillier SL, et al. Laboratory testing policies and their effects on routine surveillance of community antimicrobial resistance. J Antimicrob Chemother. 2004;53(6):1010-7.</w:t>
      </w:r>
      <w:bookmarkEnd w:id="14"/>
    </w:p>
    <w:p w14:paraId="58F0694E" w14:textId="77777777" w:rsidR="00612B01" w:rsidRPr="00734E51" w:rsidRDefault="00612B01" w:rsidP="006D74BF">
      <w:pPr>
        <w:pStyle w:val="EndNoteBibliography"/>
        <w:ind w:left="360"/>
        <w:rPr>
          <w:rFonts w:ascii="Times New Roman" w:hAnsi="Times New Roman" w:cs="Times New Roman"/>
          <w:noProof w:val="0"/>
          <w:lang w:val="en-GB"/>
        </w:rPr>
      </w:pPr>
      <w:bookmarkStart w:id="15" w:name="_ENREF_15"/>
      <w:r w:rsidRPr="00734E51">
        <w:rPr>
          <w:rFonts w:ascii="Times New Roman" w:hAnsi="Times New Roman" w:cs="Times New Roman"/>
          <w:noProof w:val="0"/>
          <w:lang w:val="en-GB"/>
        </w:rPr>
        <w:t>15.</w:t>
      </w:r>
      <w:r w:rsidRPr="00734E51">
        <w:rPr>
          <w:rFonts w:ascii="Times New Roman" w:hAnsi="Times New Roman" w:cs="Times New Roman"/>
          <w:noProof w:val="0"/>
          <w:lang w:val="en-GB"/>
        </w:rPr>
        <w:tab/>
        <w:t xml:space="preserve">AAP. Practice parameter: the diagnosis, treatment, and evaluation of the initial urinary tract infection in febrile infants and young children. American Academy of </w:t>
      </w:r>
      <w:r w:rsidRPr="00734E51">
        <w:rPr>
          <w:rFonts w:ascii="Times New Roman" w:hAnsi="Times New Roman" w:cs="Times New Roman"/>
          <w:noProof w:val="0"/>
          <w:lang w:val="en-GB"/>
        </w:rPr>
        <w:lastRenderedPageBreak/>
        <w:t>Pediatrics. Committee on Quality Improvement. Subcommittee on Urinary Tract Infection.[see comment][erratum appears in 2000 Jan;105(1 Pt 1):141]. Pediatrics. 1999;103(4 Pt 1):843-52.</w:t>
      </w:r>
      <w:bookmarkEnd w:id="15"/>
    </w:p>
    <w:p w14:paraId="1A04B253" w14:textId="77777777" w:rsidR="00612B01" w:rsidRPr="00734E51" w:rsidRDefault="00612B01" w:rsidP="006D74BF">
      <w:pPr>
        <w:pStyle w:val="EndNoteBibliography"/>
        <w:ind w:left="360"/>
        <w:rPr>
          <w:rFonts w:ascii="Times New Roman" w:hAnsi="Times New Roman" w:cs="Times New Roman"/>
          <w:noProof w:val="0"/>
          <w:lang w:val="en-GB"/>
        </w:rPr>
      </w:pPr>
      <w:bookmarkStart w:id="16" w:name="_ENREF_16"/>
      <w:r w:rsidRPr="00734E51">
        <w:rPr>
          <w:rFonts w:ascii="Times New Roman" w:hAnsi="Times New Roman" w:cs="Times New Roman"/>
          <w:noProof w:val="0"/>
          <w:lang w:val="en-GB"/>
        </w:rPr>
        <w:t>16.</w:t>
      </w:r>
      <w:r w:rsidRPr="00734E51">
        <w:rPr>
          <w:rFonts w:ascii="Times New Roman" w:hAnsi="Times New Roman" w:cs="Times New Roman"/>
          <w:noProof w:val="0"/>
          <w:lang w:val="en-GB"/>
        </w:rPr>
        <w:tab/>
        <w:t xml:space="preserve">BNF. BNF for children 2014 [27/05/2014]. Available from: </w:t>
      </w:r>
      <w:hyperlink r:id="rId15" w:history="1">
        <w:r w:rsidRPr="00734E51">
          <w:rPr>
            <w:rStyle w:val="Hyperlink"/>
            <w:rFonts w:ascii="Times New Roman" w:hAnsi="Times New Roman" w:cs="Times New Roman"/>
            <w:noProof w:val="0"/>
            <w:lang w:val="en-GB"/>
          </w:rPr>
          <w:t>http://www.medicinescomplete.com/mc/bnfc/current/PHP12897-nitrofurantoin-non-proprietary.htm</w:t>
        </w:r>
      </w:hyperlink>
      <w:r w:rsidRPr="00734E51">
        <w:rPr>
          <w:rFonts w:ascii="Times New Roman" w:hAnsi="Times New Roman" w:cs="Times New Roman"/>
          <w:noProof w:val="0"/>
          <w:lang w:val="en-GB"/>
        </w:rPr>
        <w:t>.</w:t>
      </w:r>
      <w:bookmarkEnd w:id="16"/>
    </w:p>
    <w:p w14:paraId="4139DD97" w14:textId="77777777" w:rsidR="00612B01" w:rsidRPr="00734E51" w:rsidRDefault="00612B01" w:rsidP="006D74BF">
      <w:pPr>
        <w:pStyle w:val="EndNoteBibliography"/>
        <w:ind w:left="360"/>
        <w:rPr>
          <w:rFonts w:ascii="Times New Roman" w:hAnsi="Times New Roman" w:cs="Times New Roman"/>
          <w:noProof w:val="0"/>
          <w:lang w:val="en-GB"/>
        </w:rPr>
      </w:pPr>
      <w:bookmarkStart w:id="17" w:name="_ENREF_17"/>
      <w:r w:rsidRPr="00734E51">
        <w:rPr>
          <w:rFonts w:ascii="Times New Roman" w:hAnsi="Times New Roman" w:cs="Times New Roman"/>
          <w:noProof w:val="0"/>
          <w:lang w:val="en-GB"/>
        </w:rPr>
        <w:t>17.</w:t>
      </w:r>
      <w:r w:rsidRPr="00734E51">
        <w:rPr>
          <w:rFonts w:ascii="Times New Roman" w:hAnsi="Times New Roman" w:cs="Times New Roman"/>
          <w:noProof w:val="0"/>
          <w:lang w:val="en-GB"/>
        </w:rPr>
        <w:tab/>
        <w:t>Gupta K, Hooton TM, Stamm WE. Increasing antimicrobial resistance and the management of uncomplicated community-acquired urinary tract infections. Annals of Internal Medicine. 2001;135:41-50.</w:t>
      </w:r>
      <w:bookmarkEnd w:id="17"/>
    </w:p>
    <w:p w14:paraId="63F6AF9D" w14:textId="77777777" w:rsidR="00612B01" w:rsidRPr="00734E51" w:rsidRDefault="00612B01" w:rsidP="006D74BF">
      <w:pPr>
        <w:pStyle w:val="EndNoteBibliography"/>
        <w:ind w:left="360"/>
        <w:rPr>
          <w:rFonts w:ascii="Times New Roman" w:hAnsi="Times New Roman" w:cs="Times New Roman"/>
          <w:noProof w:val="0"/>
          <w:lang w:val="en-GB"/>
        </w:rPr>
      </w:pPr>
      <w:bookmarkStart w:id="18" w:name="_ENREF_18"/>
      <w:r w:rsidRPr="00734E51">
        <w:rPr>
          <w:rFonts w:ascii="Times New Roman" w:hAnsi="Times New Roman" w:cs="Times New Roman"/>
          <w:noProof w:val="0"/>
          <w:lang w:val="en-GB"/>
        </w:rPr>
        <w:t>18.</w:t>
      </w:r>
      <w:r w:rsidRPr="00734E51">
        <w:rPr>
          <w:rFonts w:ascii="Times New Roman" w:hAnsi="Times New Roman" w:cs="Times New Roman"/>
          <w:noProof w:val="0"/>
          <w:lang w:val="en-GB"/>
        </w:rPr>
        <w:tab/>
        <w:t>Stamey TA, Condy M, Mihara G. Prophylactic Efficacy of Nitrofurantoin Macrocrystals and Trimethoprim-Sulfamethoxazole in Urinary Infections. New England Journal of Medicine. 1977;296(14):780-3.</w:t>
      </w:r>
      <w:bookmarkEnd w:id="18"/>
    </w:p>
    <w:p w14:paraId="0007E2C5" w14:textId="49934FAC" w:rsidR="002C58D3" w:rsidRPr="00734E51" w:rsidRDefault="00612B01" w:rsidP="006D74BF">
      <w:pPr>
        <w:pStyle w:val="EndNoteBibliography"/>
        <w:ind w:left="360"/>
        <w:rPr>
          <w:rFonts w:ascii="Times New Roman" w:hAnsi="Times New Roman" w:cs="Times New Roman"/>
          <w:noProof w:val="0"/>
          <w:lang w:val="en-GB"/>
        </w:rPr>
      </w:pPr>
      <w:bookmarkStart w:id="19" w:name="_ENREF_19"/>
      <w:r w:rsidRPr="00734E51">
        <w:rPr>
          <w:rFonts w:ascii="Times New Roman" w:hAnsi="Times New Roman" w:cs="Times New Roman"/>
          <w:noProof w:val="0"/>
          <w:lang w:val="en-GB"/>
        </w:rPr>
        <w:t>19.</w:t>
      </w:r>
      <w:r w:rsidRPr="00734E51">
        <w:rPr>
          <w:rFonts w:ascii="Times New Roman" w:hAnsi="Times New Roman" w:cs="Times New Roman"/>
          <w:noProof w:val="0"/>
          <w:lang w:val="en-GB"/>
        </w:rPr>
        <w:tab/>
        <w:t>Hegginbothom M, Howe R, Thomas C. Antibacterial Resistance in Wales 2005-2012: A report from Public Health Wales Antimicrobial Resistance Programme Surveillance Unit. 2013 18/11/2013. Report No.</w:t>
      </w:r>
      <w:bookmarkEnd w:id="19"/>
    </w:p>
    <w:p w14:paraId="2365C6FF" w14:textId="77777777" w:rsidR="00993ED3" w:rsidRPr="00734E51" w:rsidRDefault="00574874" w:rsidP="002C58D3">
      <w:pPr>
        <w:pStyle w:val="EndNoteBibliography"/>
        <w:ind w:left="360"/>
        <w:rPr>
          <w:noProof w:val="0"/>
          <w:color w:val="474848"/>
          <w:lang w:val="en-GB"/>
        </w:rPr>
      </w:pPr>
      <w:r w:rsidRPr="00734E51">
        <w:rPr>
          <w:noProof w:val="0"/>
          <w:lang w:val="en-GB"/>
        </w:rPr>
        <w:t>20.</w:t>
      </w:r>
      <w:r w:rsidRPr="00734E51">
        <w:rPr>
          <w:noProof w:val="0"/>
          <w:lang w:val="en-GB"/>
        </w:rPr>
        <w:tab/>
        <w:t xml:space="preserve">Bean, </w:t>
      </w:r>
      <w:r w:rsidRPr="00734E51">
        <w:rPr>
          <w:rStyle w:val="Strong"/>
          <w:rFonts w:ascii="Times New Roman" w:hAnsi="Times New Roman" w:cs="Times New Roman"/>
          <w:noProof w:val="0"/>
          <w:color w:val="474848"/>
          <w:lang w:val="en-GB"/>
        </w:rPr>
        <w:t>DC</w:t>
      </w:r>
      <w:r w:rsidRPr="00734E51">
        <w:rPr>
          <w:noProof w:val="0"/>
          <w:color w:val="474848"/>
          <w:lang w:val="en-GB"/>
        </w:rPr>
        <w:t xml:space="preserve">, </w:t>
      </w:r>
      <w:r w:rsidRPr="00734E51">
        <w:rPr>
          <w:rStyle w:val="Strong"/>
          <w:rFonts w:ascii="Times New Roman" w:hAnsi="Times New Roman" w:cs="Times New Roman"/>
          <w:noProof w:val="0"/>
          <w:color w:val="474848"/>
          <w:lang w:val="en-GB"/>
        </w:rPr>
        <w:t>Krahe D,</w:t>
      </w:r>
      <w:r w:rsidRPr="00734E51">
        <w:rPr>
          <w:noProof w:val="0"/>
          <w:color w:val="474848"/>
          <w:lang w:val="en-GB"/>
        </w:rPr>
        <w:t xml:space="preserve"> </w:t>
      </w:r>
      <w:r w:rsidRPr="00734E51">
        <w:rPr>
          <w:rStyle w:val="Strong"/>
          <w:rFonts w:ascii="Times New Roman" w:hAnsi="Times New Roman" w:cs="Times New Roman"/>
          <w:noProof w:val="0"/>
          <w:color w:val="474848"/>
          <w:lang w:val="en-GB"/>
        </w:rPr>
        <w:t>Wareham, DW.</w:t>
      </w:r>
      <w:r w:rsidRPr="00734E51">
        <w:rPr>
          <w:noProof w:val="0"/>
          <w:lang w:val="en-GB"/>
        </w:rPr>
        <w:t xml:space="preserve"> Antimicrobial resistance in community and nosocomial </w:t>
      </w:r>
      <w:r w:rsidRPr="00734E51">
        <w:rPr>
          <w:rStyle w:val="Emphasis"/>
          <w:rFonts w:ascii="Times New Roman" w:hAnsi="Times New Roman" w:cs="Times New Roman"/>
          <w:noProof w:val="0"/>
          <w:lang w:val="en-GB"/>
        </w:rPr>
        <w:t xml:space="preserve">Escherichia coli </w:t>
      </w:r>
      <w:r w:rsidRPr="00734E51">
        <w:rPr>
          <w:noProof w:val="0"/>
          <w:lang w:val="en-GB"/>
        </w:rPr>
        <w:t xml:space="preserve">urinary tract isolates, London 2005 – 2006 </w:t>
      </w:r>
      <w:r w:rsidRPr="00734E51">
        <w:rPr>
          <w:rStyle w:val="Emphasis"/>
          <w:rFonts w:ascii="Times New Roman" w:hAnsi="Times New Roman" w:cs="Times New Roman"/>
          <w:noProof w:val="0"/>
          <w:color w:val="474848"/>
          <w:lang w:val="en-GB"/>
        </w:rPr>
        <w:t>Annals of Clinical Microbiology and Antimicrobials</w:t>
      </w:r>
      <w:r w:rsidRPr="00734E51">
        <w:rPr>
          <w:noProof w:val="0"/>
          <w:color w:val="474848"/>
          <w:lang w:val="en-GB"/>
        </w:rPr>
        <w:t xml:space="preserve"> 2008, </w:t>
      </w:r>
      <w:r w:rsidRPr="00734E51">
        <w:rPr>
          <w:rStyle w:val="Strong"/>
          <w:rFonts w:ascii="Times New Roman" w:hAnsi="Times New Roman" w:cs="Times New Roman"/>
          <w:noProof w:val="0"/>
          <w:color w:val="474848"/>
          <w:lang w:val="en-GB"/>
        </w:rPr>
        <w:t>7</w:t>
      </w:r>
      <w:r w:rsidRPr="00734E51">
        <w:rPr>
          <w:noProof w:val="0"/>
          <w:color w:val="474848"/>
          <w:lang w:val="en-GB"/>
        </w:rPr>
        <w:t>:13 </w:t>
      </w:r>
    </w:p>
    <w:p w14:paraId="42B427BC" w14:textId="128FE29B" w:rsidR="006D74BF" w:rsidRPr="00734E51" w:rsidRDefault="006D74BF" w:rsidP="002C58D3">
      <w:pPr>
        <w:pStyle w:val="EndNoteBibliography"/>
        <w:ind w:left="360"/>
        <w:rPr>
          <w:noProof w:val="0"/>
          <w:color w:val="474848"/>
          <w:lang w:val="en-GB"/>
        </w:rPr>
      </w:pPr>
      <w:r w:rsidRPr="00734E51">
        <w:rPr>
          <w:noProof w:val="0"/>
          <w:lang w:val="en-GB"/>
        </w:rPr>
        <w:t>21.</w:t>
      </w:r>
      <w:r w:rsidR="006E53A9" w:rsidRPr="00734E51">
        <w:rPr>
          <w:noProof w:val="0"/>
          <w:lang w:val="en-GB"/>
        </w:rPr>
        <w:t xml:space="preserve"> Farrell DJ, Morrissey I, DeRubeis D, Robbins M, Felmingham D. </w:t>
      </w:r>
      <w:hyperlink r:id="rId16" w:history="1">
        <w:r w:rsidRPr="00734E51">
          <w:rPr>
            <w:rStyle w:val="Hyperlink"/>
            <w:rFonts w:ascii="Times New Roman" w:hAnsi="Times New Roman" w:cs="Times New Roman"/>
            <w:noProof w:val="0"/>
            <w:u w:val="none"/>
            <w:lang w:val="en-GB"/>
          </w:rPr>
          <w:t>A UK Multicentre Study of the Antimicrobial Susceptibility of Bacterial Pathogens Causing Urinary Tract Infection</w:t>
        </w:r>
      </w:hyperlink>
      <w:r w:rsidR="006E53A9" w:rsidRPr="00734E51">
        <w:rPr>
          <w:noProof w:val="0"/>
          <w:lang w:val="en-GB"/>
        </w:rPr>
        <w:t>. Journal of Infection 2003; 46:2:94-100.</w:t>
      </w:r>
    </w:p>
    <w:p w14:paraId="14653A21" w14:textId="77777777" w:rsidR="006D74BF" w:rsidRPr="00734E51" w:rsidRDefault="006D74BF" w:rsidP="006D74BF">
      <w:pPr>
        <w:rPr>
          <w:lang w:val="en-GB"/>
        </w:rPr>
      </w:pPr>
    </w:p>
    <w:p w14:paraId="16FB758E" w14:textId="466C6047" w:rsidR="002E73FC" w:rsidRPr="00734E51" w:rsidRDefault="00FB34F4" w:rsidP="00F158DF">
      <w:pPr>
        <w:pStyle w:val="EndNoteBibliography"/>
        <w:rPr>
          <w:rFonts w:ascii="Times New Roman" w:hAnsi="Times New Roman" w:cs="Times New Roman"/>
          <w:noProof w:val="0"/>
          <w:lang w:val="en-GB"/>
        </w:rPr>
      </w:pPr>
      <w:r w:rsidRPr="00734E51">
        <w:rPr>
          <w:rFonts w:ascii="Times New Roman" w:hAnsi="Times New Roman" w:cs="Times New Roman"/>
          <w:noProof w:val="0"/>
          <w:lang w:val="en-GB"/>
        </w:rPr>
        <w:fldChar w:fldCharType="end"/>
      </w:r>
    </w:p>
    <w:p w14:paraId="47D98341" w14:textId="47687D2D" w:rsidR="00303660" w:rsidRPr="00734E51" w:rsidRDefault="00303660" w:rsidP="00F158DF">
      <w:pPr>
        <w:pStyle w:val="EndNoteBibliography"/>
        <w:rPr>
          <w:rFonts w:ascii="Helvetica" w:eastAsiaTheme="minorHAnsi" w:hAnsi="Helvetica" w:cs="Helvetica"/>
          <w:noProof w:val="0"/>
          <w:lang w:val="en-GB"/>
        </w:rPr>
      </w:pPr>
    </w:p>
    <w:sectPr w:rsidR="00303660" w:rsidRPr="00734E51" w:rsidSect="004D00B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BEC00" w14:textId="77777777" w:rsidR="009F1927" w:rsidRDefault="009F1927" w:rsidP="00E64E7B">
      <w:r>
        <w:separator/>
      </w:r>
    </w:p>
  </w:endnote>
  <w:endnote w:type="continuationSeparator" w:id="0">
    <w:p w14:paraId="30BBA40E" w14:textId="77777777" w:rsidR="009F1927" w:rsidRDefault="009F1927" w:rsidP="00E6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4FD0" w14:textId="77777777" w:rsidR="009F1927" w:rsidRDefault="009F1927" w:rsidP="00EE3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C1786" w14:textId="77777777" w:rsidR="009F1927" w:rsidRDefault="009F1927" w:rsidP="00734E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5BA1F" w14:textId="77777777" w:rsidR="009F1927" w:rsidRDefault="009F1927" w:rsidP="00EE3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644A">
      <w:rPr>
        <w:rStyle w:val="PageNumber"/>
        <w:noProof/>
      </w:rPr>
      <w:t>1</w:t>
    </w:r>
    <w:r>
      <w:rPr>
        <w:rStyle w:val="PageNumber"/>
      </w:rPr>
      <w:fldChar w:fldCharType="end"/>
    </w:r>
  </w:p>
  <w:p w14:paraId="351DA2C3" w14:textId="77777777" w:rsidR="009F1927" w:rsidRDefault="009F1927" w:rsidP="00734E51">
    <w:pPr>
      <w:pStyle w:val="Footer"/>
      <w:ind w:right="360"/>
      <w:jc w:val="right"/>
    </w:pPr>
  </w:p>
  <w:p w14:paraId="4CF9E928" w14:textId="77777777" w:rsidR="009F1927" w:rsidRDefault="009F1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6506204"/>
      <w:docPartObj>
        <w:docPartGallery w:val="Page Numbers (Bottom of Page)"/>
        <w:docPartUnique/>
      </w:docPartObj>
    </w:sdtPr>
    <w:sdtEndPr/>
    <w:sdtContent>
      <w:p w14:paraId="0BD1006A" w14:textId="77777777" w:rsidR="009F1927" w:rsidRDefault="009F1927">
        <w:pPr>
          <w:pStyle w:val="Footer"/>
          <w:jc w:val="right"/>
        </w:pPr>
        <w:r>
          <w:fldChar w:fldCharType="begin"/>
        </w:r>
        <w:r>
          <w:instrText xml:space="preserve"> PAGE   \* MERGEFORMAT </w:instrText>
        </w:r>
        <w:r>
          <w:fldChar w:fldCharType="separate"/>
        </w:r>
        <w:r w:rsidR="0008644A">
          <w:rPr>
            <w:noProof/>
          </w:rPr>
          <w:t>21</w:t>
        </w:r>
        <w:r>
          <w:rPr>
            <w:noProof/>
          </w:rPr>
          <w:fldChar w:fldCharType="end"/>
        </w:r>
      </w:p>
    </w:sdtContent>
  </w:sdt>
  <w:p w14:paraId="6C09917C" w14:textId="77777777" w:rsidR="009F1927" w:rsidRDefault="009F1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87E80" w14:textId="77777777" w:rsidR="009F1927" w:rsidRDefault="009F1927" w:rsidP="00E64E7B">
      <w:r>
        <w:separator/>
      </w:r>
    </w:p>
  </w:footnote>
  <w:footnote w:type="continuationSeparator" w:id="0">
    <w:p w14:paraId="3755BDCE" w14:textId="77777777" w:rsidR="009F1927" w:rsidRDefault="009F1927" w:rsidP="00E64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066A2" w14:textId="77777777" w:rsidR="009F1927" w:rsidRPr="00E64E7B" w:rsidRDefault="009F1927" w:rsidP="00E64E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2834"/>
    <w:multiLevelType w:val="multilevel"/>
    <w:tmpl w:val="508E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B5376"/>
    <w:multiLevelType w:val="hybridMultilevel"/>
    <w:tmpl w:val="3886B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0764E"/>
    <w:multiLevelType w:val="hybridMultilevel"/>
    <w:tmpl w:val="CF6E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6663C"/>
    <w:multiLevelType w:val="multilevel"/>
    <w:tmpl w:val="A0682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 Downing">
    <w15:presenceInfo w15:providerId="AD" w15:userId="S-1-5-21-1117850145-1682116191-196506527-247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1607F9"/>
    <w:rsid w:val="00001E60"/>
    <w:rsid w:val="00007A36"/>
    <w:rsid w:val="0001133E"/>
    <w:rsid w:val="000337C0"/>
    <w:rsid w:val="00034BA3"/>
    <w:rsid w:val="00036078"/>
    <w:rsid w:val="0004391A"/>
    <w:rsid w:val="000517FC"/>
    <w:rsid w:val="00053849"/>
    <w:rsid w:val="000674FF"/>
    <w:rsid w:val="00074568"/>
    <w:rsid w:val="00081AC8"/>
    <w:rsid w:val="00081C4A"/>
    <w:rsid w:val="0008644A"/>
    <w:rsid w:val="000B3BE7"/>
    <w:rsid w:val="000B3E55"/>
    <w:rsid w:val="000C6C26"/>
    <w:rsid w:val="000F4577"/>
    <w:rsid w:val="00112143"/>
    <w:rsid w:val="001129CA"/>
    <w:rsid w:val="00126776"/>
    <w:rsid w:val="001300DA"/>
    <w:rsid w:val="00141D81"/>
    <w:rsid w:val="001607F9"/>
    <w:rsid w:val="00167C64"/>
    <w:rsid w:val="00181CDD"/>
    <w:rsid w:val="001839B8"/>
    <w:rsid w:val="00197B29"/>
    <w:rsid w:val="001B2C6D"/>
    <w:rsid w:val="001B4149"/>
    <w:rsid w:val="001D713D"/>
    <w:rsid w:val="001E0CFA"/>
    <w:rsid w:val="001F3E52"/>
    <w:rsid w:val="00202ECF"/>
    <w:rsid w:val="00215F9D"/>
    <w:rsid w:val="00216CED"/>
    <w:rsid w:val="00225770"/>
    <w:rsid w:val="00230ACE"/>
    <w:rsid w:val="002405BA"/>
    <w:rsid w:val="00260B58"/>
    <w:rsid w:val="002862B2"/>
    <w:rsid w:val="00294C6D"/>
    <w:rsid w:val="002B094D"/>
    <w:rsid w:val="002B1A12"/>
    <w:rsid w:val="002B2EA0"/>
    <w:rsid w:val="002C1D5C"/>
    <w:rsid w:val="002C2CD2"/>
    <w:rsid w:val="002C58D3"/>
    <w:rsid w:val="002C72CA"/>
    <w:rsid w:val="002D038C"/>
    <w:rsid w:val="002D55D7"/>
    <w:rsid w:val="002D5EE8"/>
    <w:rsid w:val="002E49C4"/>
    <w:rsid w:val="002E73FC"/>
    <w:rsid w:val="00300857"/>
    <w:rsid w:val="00303660"/>
    <w:rsid w:val="0032493F"/>
    <w:rsid w:val="003251D8"/>
    <w:rsid w:val="00373AB2"/>
    <w:rsid w:val="0037668C"/>
    <w:rsid w:val="0038287B"/>
    <w:rsid w:val="00383E5E"/>
    <w:rsid w:val="00387DF5"/>
    <w:rsid w:val="003913B2"/>
    <w:rsid w:val="003B3E17"/>
    <w:rsid w:val="003B48E6"/>
    <w:rsid w:val="003D7EA2"/>
    <w:rsid w:val="003E4E6F"/>
    <w:rsid w:val="003E61CC"/>
    <w:rsid w:val="004105D4"/>
    <w:rsid w:val="004151FD"/>
    <w:rsid w:val="004441D7"/>
    <w:rsid w:val="004508E7"/>
    <w:rsid w:val="004722FA"/>
    <w:rsid w:val="004766C5"/>
    <w:rsid w:val="004937CB"/>
    <w:rsid w:val="004A3607"/>
    <w:rsid w:val="004A701D"/>
    <w:rsid w:val="004B54B3"/>
    <w:rsid w:val="004C2ED0"/>
    <w:rsid w:val="004D00B8"/>
    <w:rsid w:val="004E0E95"/>
    <w:rsid w:val="004E2530"/>
    <w:rsid w:val="004E271B"/>
    <w:rsid w:val="004E2DDA"/>
    <w:rsid w:val="005216E7"/>
    <w:rsid w:val="00543597"/>
    <w:rsid w:val="00551DE1"/>
    <w:rsid w:val="005618E8"/>
    <w:rsid w:val="0057063B"/>
    <w:rsid w:val="00574874"/>
    <w:rsid w:val="00580BBA"/>
    <w:rsid w:val="00581854"/>
    <w:rsid w:val="0058318D"/>
    <w:rsid w:val="0058747C"/>
    <w:rsid w:val="00591A5C"/>
    <w:rsid w:val="005946AC"/>
    <w:rsid w:val="005A1BD0"/>
    <w:rsid w:val="005A5C3C"/>
    <w:rsid w:val="005A5FFA"/>
    <w:rsid w:val="005D1F69"/>
    <w:rsid w:val="005D4894"/>
    <w:rsid w:val="005D64A3"/>
    <w:rsid w:val="005F2628"/>
    <w:rsid w:val="00605014"/>
    <w:rsid w:val="006117DB"/>
    <w:rsid w:val="00612B01"/>
    <w:rsid w:val="00613380"/>
    <w:rsid w:val="00643447"/>
    <w:rsid w:val="00650DF1"/>
    <w:rsid w:val="00650E02"/>
    <w:rsid w:val="006577CD"/>
    <w:rsid w:val="00667390"/>
    <w:rsid w:val="0067399D"/>
    <w:rsid w:val="006A5AE3"/>
    <w:rsid w:val="006B0FE1"/>
    <w:rsid w:val="006C4649"/>
    <w:rsid w:val="006C62B5"/>
    <w:rsid w:val="006C7CE8"/>
    <w:rsid w:val="006D2421"/>
    <w:rsid w:val="006D5F30"/>
    <w:rsid w:val="006D74BF"/>
    <w:rsid w:val="006D77E9"/>
    <w:rsid w:val="006E00CD"/>
    <w:rsid w:val="006E53A9"/>
    <w:rsid w:val="006F26B8"/>
    <w:rsid w:val="007112C3"/>
    <w:rsid w:val="00712FF2"/>
    <w:rsid w:val="00715127"/>
    <w:rsid w:val="00715663"/>
    <w:rsid w:val="007170CE"/>
    <w:rsid w:val="00723A14"/>
    <w:rsid w:val="00724D69"/>
    <w:rsid w:val="007325AB"/>
    <w:rsid w:val="00734E51"/>
    <w:rsid w:val="0073746F"/>
    <w:rsid w:val="007400ED"/>
    <w:rsid w:val="007511CD"/>
    <w:rsid w:val="00763F97"/>
    <w:rsid w:val="00764D31"/>
    <w:rsid w:val="00785A31"/>
    <w:rsid w:val="00797794"/>
    <w:rsid w:val="007A1871"/>
    <w:rsid w:val="007B79C6"/>
    <w:rsid w:val="007C14D7"/>
    <w:rsid w:val="007C662D"/>
    <w:rsid w:val="007C6E17"/>
    <w:rsid w:val="007D2F10"/>
    <w:rsid w:val="007D43DC"/>
    <w:rsid w:val="007D6A32"/>
    <w:rsid w:val="007D76AD"/>
    <w:rsid w:val="007E2271"/>
    <w:rsid w:val="007F52F7"/>
    <w:rsid w:val="007F5A1E"/>
    <w:rsid w:val="00803929"/>
    <w:rsid w:val="00815A55"/>
    <w:rsid w:val="00815E3F"/>
    <w:rsid w:val="008368C1"/>
    <w:rsid w:val="008432B2"/>
    <w:rsid w:val="00862FA2"/>
    <w:rsid w:val="0087606E"/>
    <w:rsid w:val="00885FF7"/>
    <w:rsid w:val="008918C6"/>
    <w:rsid w:val="00892C94"/>
    <w:rsid w:val="00892F28"/>
    <w:rsid w:val="008963B4"/>
    <w:rsid w:val="008C1911"/>
    <w:rsid w:val="008C3039"/>
    <w:rsid w:val="008D0A0F"/>
    <w:rsid w:val="008E3AE5"/>
    <w:rsid w:val="008F5381"/>
    <w:rsid w:val="008F6DF5"/>
    <w:rsid w:val="00903754"/>
    <w:rsid w:val="00923A9A"/>
    <w:rsid w:val="00974DC1"/>
    <w:rsid w:val="009903F4"/>
    <w:rsid w:val="009922EC"/>
    <w:rsid w:val="00993ED3"/>
    <w:rsid w:val="009A6DEB"/>
    <w:rsid w:val="009C5EBB"/>
    <w:rsid w:val="009D35D4"/>
    <w:rsid w:val="009E3B43"/>
    <w:rsid w:val="009F1927"/>
    <w:rsid w:val="009F72E4"/>
    <w:rsid w:val="00A139A8"/>
    <w:rsid w:val="00A234F9"/>
    <w:rsid w:val="00A25709"/>
    <w:rsid w:val="00A3794F"/>
    <w:rsid w:val="00A40F9E"/>
    <w:rsid w:val="00A45C41"/>
    <w:rsid w:val="00A509E7"/>
    <w:rsid w:val="00A60AE6"/>
    <w:rsid w:val="00A6323A"/>
    <w:rsid w:val="00A65944"/>
    <w:rsid w:val="00A72026"/>
    <w:rsid w:val="00A73F6A"/>
    <w:rsid w:val="00A95141"/>
    <w:rsid w:val="00A97121"/>
    <w:rsid w:val="00AA2A70"/>
    <w:rsid w:val="00AC02A7"/>
    <w:rsid w:val="00AC577F"/>
    <w:rsid w:val="00AD067D"/>
    <w:rsid w:val="00AD409B"/>
    <w:rsid w:val="00AD6DA5"/>
    <w:rsid w:val="00B002BF"/>
    <w:rsid w:val="00B0155F"/>
    <w:rsid w:val="00B01A88"/>
    <w:rsid w:val="00B20215"/>
    <w:rsid w:val="00B32FF9"/>
    <w:rsid w:val="00B3342F"/>
    <w:rsid w:val="00B34C9A"/>
    <w:rsid w:val="00B3594B"/>
    <w:rsid w:val="00B40505"/>
    <w:rsid w:val="00B40C23"/>
    <w:rsid w:val="00B41603"/>
    <w:rsid w:val="00B70AAE"/>
    <w:rsid w:val="00B758EB"/>
    <w:rsid w:val="00B802B2"/>
    <w:rsid w:val="00B864BE"/>
    <w:rsid w:val="00B86B24"/>
    <w:rsid w:val="00BC1428"/>
    <w:rsid w:val="00BC31BE"/>
    <w:rsid w:val="00BC7460"/>
    <w:rsid w:val="00BE5625"/>
    <w:rsid w:val="00BF0823"/>
    <w:rsid w:val="00BF6BF1"/>
    <w:rsid w:val="00C022D8"/>
    <w:rsid w:val="00C1454F"/>
    <w:rsid w:val="00C16BA0"/>
    <w:rsid w:val="00C2783F"/>
    <w:rsid w:val="00C35761"/>
    <w:rsid w:val="00C40983"/>
    <w:rsid w:val="00C43006"/>
    <w:rsid w:val="00C43129"/>
    <w:rsid w:val="00C44FD7"/>
    <w:rsid w:val="00C54AE9"/>
    <w:rsid w:val="00C74A65"/>
    <w:rsid w:val="00C754C6"/>
    <w:rsid w:val="00C75E06"/>
    <w:rsid w:val="00C82735"/>
    <w:rsid w:val="00C92870"/>
    <w:rsid w:val="00CA07EA"/>
    <w:rsid w:val="00CA7C9A"/>
    <w:rsid w:val="00CD5B4B"/>
    <w:rsid w:val="00CE045E"/>
    <w:rsid w:val="00CF28E4"/>
    <w:rsid w:val="00D14911"/>
    <w:rsid w:val="00D348F8"/>
    <w:rsid w:val="00D41231"/>
    <w:rsid w:val="00D46B00"/>
    <w:rsid w:val="00D56DE5"/>
    <w:rsid w:val="00D703F8"/>
    <w:rsid w:val="00D726FB"/>
    <w:rsid w:val="00D76022"/>
    <w:rsid w:val="00D817CB"/>
    <w:rsid w:val="00D84AC1"/>
    <w:rsid w:val="00D912D3"/>
    <w:rsid w:val="00D951E8"/>
    <w:rsid w:val="00DA39C8"/>
    <w:rsid w:val="00DE3A5F"/>
    <w:rsid w:val="00DF5C94"/>
    <w:rsid w:val="00E00B31"/>
    <w:rsid w:val="00E03E53"/>
    <w:rsid w:val="00E0494F"/>
    <w:rsid w:val="00E306A8"/>
    <w:rsid w:val="00E311BE"/>
    <w:rsid w:val="00E31D90"/>
    <w:rsid w:val="00E511A0"/>
    <w:rsid w:val="00E61BC5"/>
    <w:rsid w:val="00E64078"/>
    <w:rsid w:val="00E64E7B"/>
    <w:rsid w:val="00E865A0"/>
    <w:rsid w:val="00E9025B"/>
    <w:rsid w:val="00E91139"/>
    <w:rsid w:val="00E965B5"/>
    <w:rsid w:val="00EA0911"/>
    <w:rsid w:val="00EA276C"/>
    <w:rsid w:val="00EB4A7E"/>
    <w:rsid w:val="00EB718C"/>
    <w:rsid w:val="00ED5804"/>
    <w:rsid w:val="00EE18E3"/>
    <w:rsid w:val="00EE3261"/>
    <w:rsid w:val="00EE44E0"/>
    <w:rsid w:val="00EE6F5C"/>
    <w:rsid w:val="00F12DA6"/>
    <w:rsid w:val="00F158DF"/>
    <w:rsid w:val="00F24099"/>
    <w:rsid w:val="00F45C85"/>
    <w:rsid w:val="00F5597F"/>
    <w:rsid w:val="00F643B9"/>
    <w:rsid w:val="00F72EE1"/>
    <w:rsid w:val="00F8048B"/>
    <w:rsid w:val="00F812B2"/>
    <w:rsid w:val="00F9136B"/>
    <w:rsid w:val="00FA6E2B"/>
    <w:rsid w:val="00FB34F4"/>
    <w:rsid w:val="00FB3D5B"/>
    <w:rsid w:val="00FB73D0"/>
    <w:rsid w:val="00FD233D"/>
    <w:rsid w:val="00FE081E"/>
    <w:rsid w:val="00FF21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DA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F9"/>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57487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64E7B"/>
    <w:pPr>
      <w:keepNext/>
      <w:keepLines/>
      <w:spacing w:before="200" w:line="360" w:lineRule="auto"/>
      <w:ind w:left="720"/>
      <w:jc w:val="both"/>
      <w:outlineLvl w:val="1"/>
    </w:pPr>
    <w:rPr>
      <w:rFonts w:asciiTheme="majorHAnsi" w:eastAsiaTheme="majorEastAsia" w:hAnsiTheme="majorHAnsi" w:cstheme="majorBidi"/>
      <w:b/>
      <w:bCs/>
      <w:color w:val="5B9BD5" w:themeColor="accent1"/>
      <w:sz w:val="26"/>
      <w:szCs w:val="26"/>
      <w:lang w:val="en-GB" w:eastAsia="en-GB"/>
    </w:rPr>
  </w:style>
  <w:style w:type="paragraph" w:styleId="Heading4">
    <w:name w:val="heading 4"/>
    <w:basedOn w:val="Normal"/>
    <w:next w:val="Normal"/>
    <w:link w:val="Heading4Char"/>
    <w:uiPriority w:val="9"/>
    <w:semiHidden/>
    <w:unhideWhenUsed/>
    <w:qFormat/>
    <w:rsid w:val="006D74BF"/>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7F9"/>
    <w:pPr>
      <w:spacing w:after="0" w:line="240" w:lineRule="auto"/>
    </w:pPr>
    <w:rPr>
      <w:rFonts w:eastAsiaTheme="minorEastAsia"/>
      <w:sz w:val="24"/>
      <w:szCs w:val="24"/>
      <w:lang w:val="en-US"/>
    </w:rPr>
  </w:style>
  <w:style w:type="character" w:styleId="CommentReference">
    <w:name w:val="annotation reference"/>
    <w:basedOn w:val="DefaultParagraphFont"/>
    <w:uiPriority w:val="99"/>
    <w:semiHidden/>
    <w:unhideWhenUsed/>
    <w:rsid w:val="001607F9"/>
    <w:rPr>
      <w:sz w:val="16"/>
      <w:szCs w:val="16"/>
    </w:rPr>
  </w:style>
  <w:style w:type="paragraph" w:styleId="CommentText">
    <w:name w:val="annotation text"/>
    <w:basedOn w:val="Normal"/>
    <w:link w:val="CommentTextChar"/>
    <w:uiPriority w:val="99"/>
    <w:semiHidden/>
    <w:unhideWhenUsed/>
    <w:rsid w:val="001607F9"/>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1607F9"/>
    <w:rPr>
      <w:sz w:val="20"/>
      <w:szCs w:val="20"/>
    </w:rPr>
  </w:style>
  <w:style w:type="paragraph" w:customStyle="1" w:styleId="Default">
    <w:name w:val="Default"/>
    <w:rsid w:val="001607F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60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F9"/>
    <w:rPr>
      <w:rFonts w:ascii="Segoe UI" w:eastAsiaTheme="minorEastAsia" w:hAnsi="Segoe UI" w:cs="Segoe UI"/>
      <w:sz w:val="18"/>
      <w:szCs w:val="18"/>
      <w:lang w:val="en-US"/>
    </w:rPr>
  </w:style>
  <w:style w:type="character" w:styleId="Hyperlink">
    <w:name w:val="Hyperlink"/>
    <w:basedOn w:val="DefaultParagraphFont"/>
    <w:uiPriority w:val="99"/>
    <w:unhideWhenUsed/>
    <w:rsid w:val="00E64E7B"/>
    <w:rPr>
      <w:color w:val="0563C1" w:themeColor="hyperlink"/>
      <w:u w:val="single"/>
    </w:rPr>
  </w:style>
  <w:style w:type="paragraph" w:styleId="Header">
    <w:name w:val="header"/>
    <w:basedOn w:val="Normal"/>
    <w:link w:val="HeaderChar"/>
    <w:uiPriority w:val="99"/>
    <w:unhideWhenUsed/>
    <w:rsid w:val="00E64E7B"/>
    <w:pPr>
      <w:tabs>
        <w:tab w:val="center" w:pos="4513"/>
        <w:tab w:val="right" w:pos="9026"/>
      </w:tabs>
    </w:pPr>
    <w:rPr>
      <w:sz w:val="22"/>
      <w:szCs w:val="22"/>
      <w:lang w:val="en-GB" w:eastAsia="en-GB"/>
    </w:rPr>
  </w:style>
  <w:style w:type="character" w:customStyle="1" w:styleId="HeaderChar">
    <w:name w:val="Header Char"/>
    <w:basedOn w:val="DefaultParagraphFont"/>
    <w:link w:val="Header"/>
    <w:uiPriority w:val="99"/>
    <w:rsid w:val="00E64E7B"/>
    <w:rPr>
      <w:rFonts w:eastAsiaTheme="minorEastAsia"/>
      <w:lang w:eastAsia="en-GB"/>
    </w:rPr>
  </w:style>
  <w:style w:type="paragraph" w:styleId="Footer">
    <w:name w:val="footer"/>
    <w:basedOn w:val="Normal"/>
    <w:link w:val="FooterChar"/>
    <w:uiPriority w:val="99"/>
    <w:unhideWhenUsed/>
    <w:rsid w:val="00E64E7B"/>
    <w:pPr>
      <w:tabs>
        <w:tab w:val="center" w:pos="4513"/>
        <w:tab w:val="right" w:pos="9026"/>
      </w:tabs>
    </w:pPr>
    <w:rPr>
      <w:sz w:val="22"/>
      <w:szCs w:val="22"/>
      <w:lang w:val="en-GB" w:eastAsia="en-GB"/>
    </w:rPr>
  </w:style>
  <w:style w:type="character" w:customStyle="1" w:styleId="FooterChar">
    <w:name w:val="Footer Char"/>
    <w:basedOn w:val="DefaultParagraphFont"/>
    <w:link w:val="Footer"/>
    <w:uiPriority w:val="99"/>
    <w:rsid w:val="00E64E7B"/>
    <w:rPr>
      <w:rFonts w:eastAsiaTheme="minorEastAsia"/>
      <w:lang w:eastAsia="en-GB"/>
    </w:rPr>
  </w:style>
  <w:style w:type="table" w:styleId="TableGrid">
    <w:name w:val="Table Grid"/>
    <w:basedOn w:val="TableNormal"/>
    <w:uiPriority w:val="59"/>
    <w:rsid w:val="00E6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64E7B"/>
    <w:rPr>
      <w:rFonts w:ascii="Calibri" w:hAnsi="Calibri"/>
      <w:noProof/>
    </w:rPr>
  </w:style>
  <w:style w:type="character" w:customStyle="1" w:styleId="EndNoteBibliographyChar">
    <w:name w:val="EndNote Bibliography Char"/>
    <w:basedOn w:val="DefaultParagraphFont"/>
    <w:link w:val="EndNoteBibliography"/>
    <w:rsid w:val="00E64E7B"/>
    <w:rPr>
      <w:rFonts w:ascii="Calibri" w:eastAsiaTheme="minorEastAsia" w:hAnsi="Calibri"/>
      <w:noProof/>
      <w:sz w:val="24"/>
      <w:szCs w:val="24"/>
      <w:lang w:val="en-US"/>
    </w:rPr>
  </w:style>
  <w:style w:type="character" w:customStyle="1" w:styleId="Heading2Char">
    <w:name w:val="Heading 2 Char"/>
    <w:basedOn w:val="DefaultParagraphFont"/>
    <w:link w:val="Heading2"/>
    <w:uiPriority w:val="9"/>
    <w:rsid w:val="00E64E7B"/>
    <w:rPr>
      <w:rFonts w:asciiTheme="majorHAnsi" w:eastAsiaTheme="majorEastAsia" w:hAnsiTheme="majorHAnsi" w:cstheme="majorBidi"/>
      <w:b/>
      <w:bCs/>
      <w:color w:val="5B9BD5" w:themeColor="accent1"/>
      <w:sz w:val="26"/>
      <w:szCs w:val="26"/>
      <w:lang w:eastAsia="en-GB"/>
    </w:rPr>
  </w:style>
  <w:style w:type="paragraph" w:styleId="CommentSubject">
    <w:name w:val="annotation subject"/>
    <w:basedOn w:val="CommentText"/>
    <w:next w:val="CommentText"/>
    <w:link w:val="CommentSubjectChar"/>
    <w:uiPriority w:val="99"/>
    <w:semiHidden/>
    <w:unhideWhenUsed/>
    <w:rsid w:val="00E64E7B"/>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E64E7B"/>
    <w:rPr>
      <w:rFonts w:eastAsiaTheme="minorEastAsia"/>
      <w:b/>
      <w:bCs/>
      <w:sz w:val="20"/>
      <w:szCs w:val="20"/>
      <w:lang w:val="en-US"/>
    </w:rPr>
  </w:style>
  <w:style w:type="paragraph" w:customStyle="1" w:styleId="EndNoteBibliographyTitle">
    <w:name w:val="EndNote Bibliography Title"/>
    <w:basedOn w:val="Normal"/>
    <w:link w:val="EndNoteBibliographyTitleChar"/>
    <w:rsid w:val="0079779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97794"/>
    <w:rPr>
      <w:rFonts w:ascii="Calibri" w:eastAsiaTheme="minorEastAsia" w:hAnsi="Calibri"/>
      <w:noProof/>
      <w:sz w:val="24"/>
      <w:szCs w:val="24"/>
      <w:lang w:val="en-US"/>
    </w:rPr>
  </w:style>
  <w:style w:type="paragraph" w:styleId="DocumentMap">
    <w:name w:val="Document Map"/>
    <w:basedOn w:val="Normal"/>
    <w:link w:val="DocumentMapChar"/>
    <w:uiPriority w:val="99"/>
    <w:semiHidden/>
    <w:unhideWhenUsed/>
    <w:rsid w:val="00A97121"/>
    <w:rPr>
      <w:rFonts w:ascii="Tahoma" w:hAnsi="Tahoma" w:cs="Tahoma"/>
      <w:sz w:val="16"/>
      <w:szCs w:val="16"/>
    </w:rPr>
  </w:style>
  <w:style w:type="character" w:customStyle="1" w:styleId="DocumentMapChar">
    <w:name w:val="Document Map Char"/>
    <w:basedOn w:val="DefaultParagraphFont"/>
    <w:link w:val="DocumentMap"/>
    <w:uiPriority w:val="99"/>
    <w:semiHidden/>
    <w:rsid w:val="00A97121"/>
    <w:rPr>
      <w:rFonts w:ascii="Tahoma" w:eastAsiaTheme="minorEastAsia" w:hAnsi="Tahoma" w:cs="Tahoma"/>
      <w:sz w:val="16"/>
      <w:szCs w:val="16"/>
      <w:lang w:val="en-US"/>
    </w:rPr>
  </w:style>
  <w:style w:type="character" w:styleId="FollowedHyperlink">
    <w:name w:val="FollowedHyperlink"/>
    <w:basedOn w:val="DefaultParagraphFont"/>
    <w:uiPriority w:val="99"/>
    <w:semiHidden/>
    <w:unhideWhenUsed/>
    <w:rsid w:val="00862FA2"/>
    <w:rPr>
      <w:color w:val="954F72" w:themeColor="followedHyperlink"/>
      <w:u w:val="single"/>
    </w:rPr>
  </w:style>
  <w:style w:type="character" w:styleId="LineNumber">
    <w:name w:val="line number"/>
    <w:basedOn w:val="DefaultParagraphFont"/>
    <w:uiPriority w:val="99"/>
    <w:semiHidden/>
    <w:unhideWhenUsed/>
    <w:rsid w:val="004A3607"/>
  </w:style>
  <w:style w:type="character" w:customStyle="1" w:styleId="Heading1Char">
    <w:name w:val="Heading 1 Char"/>
    <w:basedOn w:val="DefaultParagraphFont"/>
    <w:link w:val="Heading1"/>
    <w:uiPriority w:val="9"/>
    <w:rsid w:val="00574874"/>
    <w:rPr>
      <w:rFonts w:asciiTheme="majorHAnsi" w:eastAsiaTheme="majorEastAsia" w:hAnsiTheme="majorHAnsi" w:cstheme="majorBidi"/>
      <w:b/>
      <w:bCs/>
      <w:color w:val="2E74B5" w:themeColor="accent1" w:themeShade="BF"/>
      <w:sz w:val="28"/>
      <w:szCs w:val="28"/>
      <w:lang w:val="en-US"/>
    </w:rPr>
  </w:style>
  <w:style w:type="character" w:styleId="Emphasis">
    <w:name w:val="Emphasis"/>
    <w:basedOn w:val="DefaultParagraphFont"/>
    <w:uiPriority w:val="20"/>
    <w:qFormat/>
    <w:rsid w:val="00574874"/>
    <w:rPr>
      <w:i/>
      <w:iCs/>
    </w:rPr>
  </w:style>
  <w:style w:type="character" w:styleId="Strong">
    <w:name w:val="Strong"/>
    <w:basedOn w:val="DefaultParagraphFont"/>
    <w:uiPriority w:val="22"/>
    <w:qFormat/>
    <w:rsid w:val="00574874"/>
    <w:rPr>
      <w:b/>
      <w:bCs/>
    </w:rPr>
  </w:style>
  <w:style w:type="paragraph" w:styleId="NormalWeb">
    <w:name w:val="Normal (Web)"/>
    <w:basedOn w:val="Normal"/>
    <w:uiPriority w:val="99"/>
    <w:unhideWhenUsed/>
    <w:rsid w:val="00574874"/>
    <w:pPr>
      <w:spacing w:after="432"/>
    </w:pPr>
    <w:rPr>
      <w:rFonts w:ascii="Times New Roman" w:eastAsia="Times New Roman" w:hAnsi="Times New Roman" w:cs="Times New Roman"/>
      <w:lang w:val="en-GB" w:eastAsia="en-GB"/>
    </w:rPr>
  </w:style>
  <w:style w:type="paragraph" w:customStyle="1" w:styleId="options">
    <w:name w:val="options"/>
    <w:basedOn w:val="Normal"/>
    <w:rsid w:val="00574874"/>
    <w:rPr>
      <w:rFonts w:ascii="Times New Roman" w:eastAsia="Times New Roman" w:hAnsi="Times New Roman" w:cs="Times New Roman"/>
      <w:color w:val="919191"/>
      <w:sz w:val="22"/>
      <w:szCs w:val="22"/>
      <w:lang w:val="en-GB" w:eastAsia="en-GB"/>
    </w:rPr>
  </w:style>
  <w:style w:type="paragraph" w:customStyle="1" w:styleId="authors">
    <w:name w:val="authors"/>
    <w:basedOn w:val="Normal"/>
    <w:rsid w:val="00574874"/>
    <w:pPr>
      <w:spacing w:after="432"/>
    </w:pPr>
    <w:rPr>
      <w:rFonts w:ascii="Times New Roman" w:eastAsia="Times New Roman" w:hAnsi="Times New Roman" w:cs="Times New Roman"/>
      <w:lang w:val="en-GB" w:eastAsia="en-GB"/>
    </w:rPr>
  </w:style>
  <w:style w:type="character" w:customStyle="1" w:styleId="pseudotab3">
    <w:name w:val="pseudotab3"/>
    <w:basedOn w:val="DefaultParagraphFont"/>
    <w:rsid w:val="00574874"/>
  </w:style>
  <w:style w:type="character" w:customStyle="1" w:styleId="Heading4Char">
    <w:name w:val="Heading 4 Char"/>
    <w:basedOn w:val="DefaultParagraphFont"/>
    <w:link w:val="Heading4"/>
    <w:uiPriority w:val="9"/>
    <w:semiHidden/>
    <w:rsid w:val="006D74BF"/>
    <w:rPr>
      <w:rFonts w:asciiTheme="majorHAnsi" w:eastAsiaTheme="majorEastAsia" w:hAnsiTheme="majorHAnsi" w:cstheme="majorBidi"/>
      <w:b/>
      <w:bCs/>
      <w:i/>
      <w:iCs/>
      <w:color w:val="5B9BD5" w:themeColor="accent1"/>
      <w:sz w:val="24"/>
      <w:szCs w:val="24"/>
      <w:lang w:val="en-US"/>
    </w:rPr>
  </w:style>
  <w:style w:type="character" w:customStyle="1" w:styleId="articletypelabel">
    <w:name w:val="articletypelabel"/>
    <w:basedOn w:val="DefaultParagraphFont"/>
    <w:rsid w:val="006D74BF"/>
  </w:style>
  <w:style w:type="paragraph" w:styleId="ListParagraph">
    <w:name w:val="List Paragraph"/>
    <w:basedOn w:val="Normal"/>
    <w:uiPriority w:val="34"/>
    <w:qFormat/>
    <w:rsid w:val="006D74BF"/>
    <w:pPr>
      <w:ind w:left="720"/>
      <w:contextualSpacing/>
    </w:pPr>
  </w:style>
  <w:style w:type="paragraph" w:styleId="Revision">
    <w:name w:val="Revision"/>
    <w:hidden/>
    <w:uiPriority w:val="99"/>
    <w:semiHidden/>
    <w:rsid w:val="00643447"/>
    <w:pPr>
      <w:spacing w:after="0" w:line="240" w:lineRule="auto"/>
    </w:pPr>
    <w:rPr>
      <w:rFonts w:eastAsiaTheme="minorEastAsia"/>
      <w:sz w:val="24"/>
      <w:szCs w:val="24"/>
      <w:lang w:val="en-US"/>
    </w:rPr>
  </w:style>
  <w:style w:type="character" w:styleId="PageNumber">
    <w:name w:val="page number"/>
    <w:basedOn w:val="DefaultParagraphFont"/>
    <w:uiPriority w:val="99"/>
    <w:semiHidden/>
    <w:unhideWhenUsed/>
    <w:rsid w:val="005D4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F9"/>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57487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64E7B"/>
    <w:pPr>
      <w:keepNext/>
      <w:keepLines/>
      <w:spacing w:before="200" w:line="360" w:lineRule="auto"/>
      <w:ind w:left="720"/>
      <w:jc w:val="both"/>
      <w:outlineLvl w:val="1"/>
    </w:pPr>
    <w:rPr>
      <w:rFonts w:asciiTheme="majorHAnsi" w:eastAsiaTheme="majorEastAsia" w:hAnsiTheme="majorHAnsi" w:cstheme="majorBidi"/>
      <w:b/>
      <w:bCs/>
      <w:color w:val="5B9BD5" w:themeColor="accent1"/>
      <w:sz w:val="26"/>
      <w:szCs w:val="26"/>
      <w:lang w:val="en-GB" w:eastAsia="en-GB"/>
    </w:rPr>
  </w:style>
  <w:style w:type="paragraph" w:styleId="Heading4">
    <w:name w:val="heading 4"/>
    <w:basedOn w:val="Normal"/>
    <w:next w:val="Normal"/>
    <w:link w:val="Heading4Char"/>
    <w:uiPriority w:val="9"/>
    <w:semiHidden/>
    <w:unhideWhenUsed/>
    <w:qFormat/>
    <w:rsid w:val="006D74BF"/>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7F9"/>
    <w:pPr>
      <w:spacing w:after="0" w:line="240" w:lineRule="auto"/>
    </w:pPr>
    <w:rPr>
      <w:rFonts w:eastAsiaTheme="minorEastAsia"/>
      <w:sz w:val="24"/>
      <w:szCs w:val="24"/>
      <w:lang w:val="en-US"/>
    </w:rPr>
  </w:style>
  <w:style w:type="character" w:styleId="CommentReference">
    <w:name w:val="annotation reference"/>
    <w:basedOn w:val="DefaultParagraphFont"/>
    <w:uiPriority w:val="99"/>
    <w:semiHidden/>
    <w:unhideWhenUsed/>
    <w:rsid w:val="001607F9"/>
    <w:rPr>
      <w:sz w:val="16"/>
      <w:szCs w:val="16"/>
    </w:rPr>
  </w:style>
  <w:style w:type="paragraph" w:styleId="CommentText">
    <w:name w:val="annotation text"/>
    <w:basedOn w:val="Normal"/>
    <w:link w:val="CommentTextChar"/>
    <w:uiPriority w:val="99"/>
    <w:semiHidden/>
    <w:unhideWhenUsed/>
    <w:rsid w:val="001607F9"/>
    <w:pPr>
      <w:spacing w:after="200"/>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1607F9"/>
    <w:rPr>
      <w:sz w:val="20"/>
      <w:szCs w:val="20"/>
    </w:rPr>
  </w:style>
  <w:style w:type="paragraph" w:customStyle="1" w:styleId="Default">
    <w:name w:val="Default"/>
    <w:rsid w:val="001607F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60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F9"/>
    <w:rPr>
      <w:rFonts w:ascii="Segoe UI" w:eastAsiaTheme="minorEastAsia" w:hAnsi="Segoe UI" w:cs="Segoe UI"/>
      <w:sz w:val="18"/>
      <w:szCs w:val="18"/>
      <w:lang w:val="en-US"/>
    </w:rPr>
  </w:style>
  <w:style w:type="character" w:styleId="Hyperlink">
    <w:name w:val="Hyperlink"/>
    <w:basedOn w:val="DefaultParagraphFont"/>
    <w:uiPriority w:val="99"/>
    <w:unhideWhenUsed/>
    <w:rsid w:val="00E64E7B"/>
    <w:rPr>
      <w:color w:val="0563C1" w:themeColor="hyperlink"/>
      <w:u w:val="single"/>
    </w:rPr>
  </w:style>
  <w:style w:type="paragraph" w:styleId="Header">
    <w:name w:val="header"/>
    <w:basedOn w:val="Normal"/>
    <w:link w:val="HeaderChar"/>
    <w:uiPriority w:val="99"/>
    <w:unhideWhenUsed/>
    <w:rsid w:val="00E64E7B"/>
    <w:pPr>
      <w:tabs>
        <w:tab w:val="center" w:pos="4513"/>
        <w:tab w:val="right" w:pos="9026"/>
      </w:tabs>
    </w:pPr>
    <w:rPr>
      <w:sz w:val="22"/>
      <w:szCs w:val="22"/>
      <w:lang w:val="en-GB" w:eastAsia="en-GB"/>
    </w:rPr>
  </w:style>
  <w:style w:type="character" w:customStyle="1" w:styleId="HeaderChar">
    <w:name w:val="Header Char"/>
    <w:basedOn w:val="DefaultParagraphFont"/>
    <w:link w:val="Header"/>
    <w:uiPriority w:val="99"/>
    <w:rsid w:val="00E64E7B"/>
    <w:rPr>
      <w:rFonts w:eastAsiaTheme="minorEastAsia"/>
      <w:lang w:eastAsia="en-GB"/>
    </w:rPr>
  </w:style>
  <w:style w:type="paragraph" w:styleId="Footer">
    <w:name w:val="footer"/>
    <w:basedOn w:val="Normal"/>
    <w:link w:val="FooterChar"/>
    <w:uiPriority w:val="99"/>
    <w:unhideWhenUsed/>
    <w:rsid w:val="00E64E7B"/>
    <w:pPr>
      <w:tabs>
        <w:tab w:val="center" w:pos="4513"/>
        <w:tab w:val="right" w:pos="9026"/>
      </w:tabs>
    </w:pPr>
    <w:rPr>
      <w:sz w:val="22"/>
      <w:szCs w:val="22"/>
      <w:lang w:val="en-GB" w:eastAsia="en-GB"/>
    </w:rPr>
  </w:style>
  <w:style w:type="character" w:customStyle="1" w:styleId="FooterChar">
    <w:name w:val="Footer Char"/>
    <w:basedOn w:val="DefaultParagraphFont"/>
    <w:link w:val="Footer"/>
    <w:uiPriority w:val="99"/>
    <w:rsid w:val="00E64E7B"/>
    <w:rPr>
      <w:rFonts w:eastAsiaTheme="minorEastAsia"/>
      <w:lang w:eastAsia="en-GB"/>
    </w:rPr>
  </w:style>
  <w:style w:type="table" w:styleId="TableGrid">
    <w:name w:val="Table Grid"/>
    <w:basedOn w:val="TableNormal"/>
    <w:uiPriority w:val="59"/>
    <w:rsid w:val="00E64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E64E7B"/>
    <w:rPr>
      <w:rFonts w:ascii="Calibri" w:hAnsi="Calibri"/>
      <w:noProof/>
    </w:rPr>
  </w:style>
  <w:style w:type="character" w:customStyle="1" w:styleId="EndNoteBibliographyChar">
    <w:name w:val="EndNote Bibliography Char"/>
    <w:basedOn w:val="DefaultParagraphFont"/>
    <w:link w:val="EndNoteBibliography"/>
    <w:rsid w:val="00E64E7B"/>
    <w:rPr>
      <w:rFonts w:ascii="Calibri" w:eastAsiaTheme="minorEastAsia" w:hAnsi="Calibri"/>
      <w:noProof/>
      <w:sz w:val="24"/>
      <w:szCs w:val="24"/>
      <w:lang w:val="en-US"/>
    </w:rPr>
  </w:style>
  <w:style w:type="character" w:customStyle="1" w:styleId="Heading2Char">
    <w:name w:val="Heading 2 Char"/>
    <w:basedOn w:val="DefaultParagraphFont"/>
    <w:link w:val="Heading2"/>
    <w:uiPriority w:val="9"/>
    <w:rsid w:val="00E64E7B"/>
    <w:rPr>
      <w:rFonts w:asciiTheme="majorHAnsi" w:eastAsiaTheme="majorEastAsia" w:hAnsiTheme="majorHAnsi" w:cstheme="majorBidi"/>
      <w:b/>
      <w:bCs/>
      <w:color w:val="5B9BD5" w:themeColor="accent1"/>
      <w:sz w:val="26"/>
      <w:szCs w:val="26"/>
      <w:lang w:eastAsia="en-GB"/>
    </w:rPr>
  </w:style>
  <w:style w:type="paragraph" w:styleId="CommentSubject">
    <w:name w:val="annotation subject"/>
    <w:basedOn w:val="CommentText"/>
    <w:next w:val="CommentText"/>
    <w:link w:val="CommentSubjectChar"/>
    <w:uiPriority w:val="99"/>
    <w:semiHidden/>
    <w:unhideWhenUsed/>
    <w:rsid w:val="00E64E7B"/>
    <w:pPr>
      <w:spacing w:after="0"/>
    </w:pPr>
    <w:rPr>
      <w:rFonts w:eastAsiaTheme="minorEastAsia"/>
      <w:b/>
      <w:bCs/>
      <w:lang w:val="en-US"/>
    </w:rPr>
  </w:style>
  <w:style w:type="character" w:customStyle="1" w:styleId="CommentSubjectChar">
    <w:name w:val="Comment Subject Char"/>
    <w:basedOn w:val="CommentTextChar"/>
    <w:link w:val="CommentSubject"/>
    <w:uiPriority w:val="99"/>
    <w:semiHidden/>
    <w:rsid w:val="00E64E7B"/>
    <w:rPr>
      <w:rFonts w:eastAsiaTheme="minorEastAsia"/>
      <w:b/>
      <w:bCs/>
      <w:sz w:val="20"/>
      <w:szCs w:val="20"/>
      <w:lang w:val="en-US"/>
    </w:rPr>
  </w:style>
  <w:style w:type="paragraph" w:customStyle="1" w:styleId="EndNoteBibliographyTitle">
    <w:name w:val="EndNote Bibliography Title"/>
    <w:basedOn w:val="Normal"/>
    <w:link w:val="EndNoteBibliographyTitleChar"/>
    <w:rsid w:val="00797794"/>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97794"/>
    <w:rPr>
      <w:rFonts w:ascii="Calibri" w:eastAsiaTheme="minorEastAsia" w:hAnsi="Calibri"/>
      <w:noProof/>
      <w:sz w:val="24"/>
      <w:szCs w:val="24"/>
      <w:lang w:val="en-US"/>
    </w:rPr>
  </w:style>
  <w:style w:type="paragraph" w:styleId="DocumentMap">
    <w:name w:val="Document Map"/>
    <w:basedOn w:val="Normal"/>
    <w:link w:val="DocumentMapChar"/>
    <w:uiPriority w:val="99"/>
    <w:semiHidden/>
    <w:unhideWhenUsed/>
    <w:rsid w:val="00A97121"/>
    <w:rPr>
      <w:rFonts w:ascii="Tahoma" w:hAnsi="Tahoma" w:cs="Tahoma"/>
      <w:sz w:val="16"/>
      <w:szCs w:val="16"/>
    </w:rPr>
  </w:style>
  <w:style w:type="character" w:customStyle="1" w:styleId="DocumentMapChar">
    <w:name w:val="Document Map Char"/>
    <w:basedOn w:val="DefaultParagraphFont"/>
    <w:link w:val="DocumentMap"/>
    <w:uiPriority w:val="99"/>
    <w:semiHidden/>
    <w:rsid w:val="00A97121"/>
    <w:rPr>
      <w:rFonts w:ascii="Tahoma" w:eastAsiaTheme="minorEastAsia" w:hAnsi="Tahoma" w:cs="Tahoma"/>
      <w:sz w:val="16"/>
      <w:szCs w:val="16"/>
      <w:lang w:val="en-US"/>
    </w:rPr>
  </w:style>
  <w:style w:type="character" w:styleId="FollowedHyperlink">
    <w:name w:val="FollowedHyperlink"/>
    <w:basedOn w:val="DefaultParagraphFont"/>
    <w:uiPriority w:val="99"/>
    <w:semiHidden/>
    <w:unhideWhenUsed/>
    <w:rsid w:val="00862FA2"/>
    <w:rPr>
      <w:color w:val="954F72" w:themeColor="followedHyperlink"/>
      <w:u w:val="single"/>
    </w:rPr>
  </w:style>
  <w:style w:type="character" w:styleId="LineNumber">
    <w:name w:val="line number"/>
    <w:basedOn w:val="DefaultParagraphFont"/>
    <w:uiPriority w:val="99"/>
    <w:semiHidden/>
    <w:unhideWhenUsed/>
    <w:rsid w:val="004A3607"/>
  </w:style>
  <w:style w:type="character" w:customStyle="1" w:styleId="Heading1Char">
    <w:name w:val="Heading 1 Char"/>
    <w:basedOn w:val="DefaultParagraphFont"/>
    <w:link w:val="Heading1"/>
    <w:uiPriority w:val="9"/>
    <w:rsid w:val="00574874"/>
    <w:rPr>
      <w:rFonts w:asciiTheme="majorHAnsi" w:eastAsiaTheme="majorEastAsia" w:hAnsiTheme="majorHAnsi" w:cstheme="majorBidi"/>
      <w:b/>
      <w:bCs/>
      <w:color w:val="2E74B5" w:themeColor="accent1" w:themeShade="BF"/>
      <w:sz w:val="28"/>
      <w:szCs w:val="28"/>
      <w:lang w:val="en-US"/>
    </w:rPr>
  </w:style>
  <w:style w:type="character" w:styleId="Emphasis">
    <w:name w:val="Emphasis"/>
    <w:basedOn w:val="DefaultParagraphFont"/>
    <w:uiPriority w:val="20"/>
    <w:qFormat/>
    <w:rsid w:val="00574874"/>
    <w:rPr>
      <w:i/>
      <w:iCs/>
    </w:rPr>
  </w:style>
  <w:style w:type="character" w:styleId="Strong">
    <w:name w:val="Strong"/>
    <w:basedOn w:val="DefaultParagraphFont"/>
    <w:uiPriority w:val="22"/>
    <w:qFormat/>
    <w:rsid w:val="00574874"/>
    <w:rPr>
      <w:b/>
      <w:bCs/>
    </w:rPr>
  </w:style>
  <w:style w:type="paragraph" w:styleId="NormalWeb">
    <w:name w:val="Normal (Web)"/>
    <w:basedOn w:val="Normal"/>
    <w:uiPriority w:val="99"/>
    <w:unhideWhenUsed/>
    <w:rsid w:val="00574874"/>
    <w:pPr>
      <w:spacing w:after="432"/>
    </w:pPr>
    <w:rPr>
      <w:rFonts w:ascii="Times New Roman" w:eastAsia="Times New Roman" w:hAnsi="Times New Roman" w:cs="Times New Roman"/>
      <w:lang w:val="en-GB" w:eastAsia="en-GB"/>
    </w:rPr>
  </w:style>
  <w:style w:type="paragraph" w:customStyle="1" w:styleId="options">
    <w:name w:val="options"/>
    <w:basedOn w:val="Normal"/>
    <w:rsid w:val="00574874"/>
    <w:rPr>
      <w:rFonts w:ascii="Times New Roman" w:eastAsia="Times New Roman" w:hAnsi="Times New Roman" w:cs="Times New Roman"/>
      <w:color w:val="919191"/>
      <w:sz w:val="22"/>
      <w:szCs w:val="22"/>
      <w:lang w:val="en-GB" w:eastAsia="en-GB"/>
    </w:rPr>
  </w:style>
  <w:style w:type="paragraph" w:customStyle="1" w:styleId="authors">
    <w:name w:val="authors"/>
    <w:basedOn w:val="Normal"/>
    <w:rsid w:val="00574874"/>
    <w:pPr>
      <w:spacing w:after="432"/>
    </w:pPr>
    <w:rPr>
      <w:rFonts w:ascii="Times New Roman" w:eastAsia="Times New Roman" w:hAnsi="Times New Roman" w:cs="Times New Roman"/>
      <w:lang w:val="en-GB" w:eastAsia="en-GB"/>
    </w:rPr>
  </w:style>
  <w:style w:type="character" w:customStyle="1" w:styleId="pseudotab3">
    <w:name w:val="pseudotab3"/>
    <w:basedOn w:val="DefaultParagraphFont"/>
    <w:rsid w:val="00574874"/>
  </w:style>
  <w:style w:type="character" w:customStyle="1" w:styleId="Heading4Char">
    <w:name w:val="Heading 4 Char"/>
    <w:basedOn w:val="DefaultParagraphFont"/>
    <w:link w:val="Heading4"/>
    <w:uiPriority w:val="9"/>
    <w:semiHidden/>
    <w:rsid w:val="006D74BF"/>
    <w:rPr>
      <w:rFonts w:asciiTheme="majorHAnsi" w:eastAsiaTheme="majorEastAsia" w:hAnsiTheme="majorHAnsi" w:cstheme="majorBidi"/>
      <w:b/>
      <w:bCs/>
      <w:i/>
      <w:iCs/>
      <w:color w:val="5B9BD5" w:themeColor="accent1"/>
      <w:sz w:val="24"/>
      <w:szCs w:val="24"/>
      <w:lang w:val="en-US"/>
    </w:rPr>
  </w:style>
  <w:style w:type="character" w:customStyle="1" w:styleId="articletypelabel">
    <w:name w:val="articletypelabel"/>
    <w:basedOn w:val="DefaultParagraphFont"/>
    <w:rsid w:val="006D74BF"/>
  </w:style>
  <w:style w:type="paragraph" w:styleId="ListParagraph">
    <w:name w:val="List Paragraph"/>
    <w:basedOn w:val="Normal"/>
    <w:uiPriority w:val="34"/>
    <w:qFormat/>
    <w:rsid w:val="006D74BF"/>
    <w:pPr>
      <w:ind w:left="720"/>
      <w:contextualSpacing/>
    </w:pPr>
  </w:style>
  <w:style w:type="paragraph" w:styleId="Revision">
    <w:name w:val="Revision"/>
    <w:hidden/>
    <w:uiPriority w:val="99"/>
    <w:semiHidden/>
    <w:rsid w:val="00643447"/>
    <w:pPr>
      <w:spacing w:after="0" w:line="240" w:lineRule="auto"/>
    </w:pPr>
    <w:rPr>
      <w:rFonts w:eastAsiaTheme="minorEastAsia"/>
      <w:sz w:val="24"/>
      <w:szCs w:val="24"/>
      <w:lang w:val="en-US"/>
    </w:rPr>
  </w:style>
  <w:style w:type="character" w:styleId="PageNumber">
    <w:name w:val="page number"/>
    <w:basedOn w:val="DefaultParagraphFont"/>
    <w:uiPriority w:val="99"/>
    <w:semiHidden/>
    <w:unhideWhenUsed/>
    <w:rsid w:val="005D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139851">
      <w:bodyDiv w:val="1"/>
      <w:marLeft w:val="0"/>
      <w:marRight w:val="0"/>
      <w:marTop w:val="0"/>
      <w:marBottom w:val="0"/>
      <w:divBdr>
        <w:top w:val="none" w:sz="0" w:space="0" w:color="auto"/>
        <w:left w:val="none" w:sz="0" w:space="0" w:color="auto"/>
        <w:bottom w:val="none" w:sz="0" w:space="0" w:color="auto"/>
        <w:right w:val="none" w:sz="0" w:space="0" w:color="auto"/>
      </w:divBdr>
      <w:divsChild>
        <w:div w:id="1033312189">
          <w:marLeft w:val="0"/>
          <w:marRight w:val="0"/>
          <w:marTop w:val="0"/>
          <w:marBottom w:val="0"/>
          <w:divBdr>
            <w:top w:val="none" w:sz="0" w:space="0" w:color="auto"/>
            <w:left w:val="none" w:sz="0" w:space="0" w:color="auto"/>
            <w:bottom w:val="none" w:sz="0" w:space="0" w:color="auto"/>
            <w:right w:val="none" w:sz="0" w:space="0" w:color="auto"/>
          </w:divBdr>
          <w:divsChild>
            <w:div w:id="439490586">
              <w:marLeft w:val="0"/>
              <w:marRight w:val="0"/>
              <w:marTop w:val="0"/>
              <w:marBottom w:val="0"/>
              <w:divBdr>
                <w:top w:val="none" w:sz="0" w:space="0" w:color="auto"/>
                <w:left w:val="none" w:sz="0" w:space="0" w:color="auto"/>
                <w:bottom w:val="none" w:sz="0" w:space="0" w:color="auto"/>
                <w:right w:val="none" w:sz="0" w:space="0" w:color="auto"/>
              </w:divBdr>
              <w:divsChild>
                <w:div w:id="1277566268">
                  <w:marLeft w:val="0"/>
                  <w:marRight w:val="0"/>
                  <w:marTop w:val="0"/>
                  <w:marBottom w:val="0"/>
                  <w:divBdr>
                    <w:top w:val="none" w:sz="0" w:space="0" w:color="auto"/>
                    <w:left w:val="none" w:sz="0" w:space="0" w:color="auto"/>
                    <w:bottom w:val="none" w:sz="0" w:space="0" w:color="auto"/>
                    <w:right w:val="none" w:sz="0" w:space="0" w:color="auto"/>
                  </w:divBdr>
                  <w:divsChild>
                    <w:div w:id="64494996">
                      <w:marLeft w:val="0"/>
                      <w:marRight w:val="0"/>
                      <w:marTop w:val="0"/>
                      <w:marBottom w:val="0"/>
                      <w:divBdr>
                        <w:top w:val="none" w:sz="0" w:space="0" w:color="auto"/>
                        <w:left w:val="none" w:sz="0" w:space="0" w:color="auto"/>
                        <w:bottom w:val="none" w:sz="0" w:space="0" w:color="auto"/>
                        <w:right w:val="none" w:sz="0" w:space="0" w:color="auto"/>
                      </w:divBdr>
                      <w:divsChild>
                        <w:div w:id="5518246">
                          <w:marLeft w:val="0"/>
                          <w:marRight w:val="0"/>
                          <w:marTop w:val="0"/>
                          <w:marBottom w:val="0"/>
                          <w:divBdr>
                            <w:top w:val="none" w:sz="0" w:space="0" w:color="auto"/>
                            <w:left w:val="none" w:sz="0" w:space="0" w:color="auto"/>
                            <w:bottom w:val="none" w:sz="0" w:space="0" w:color="auto"/>
                            <w:right w:val="none" w:sz="0" w:space="0" w:color="auto"/>
                          </w:divBdr>
                          <w:divsChild>
                            <w:div w:id="398600485">
                              <w:marLeft w:val="0"/>
                              <w:marRight w:val="0"/>
                              <w:marTop w:val="0"/>
                              <w:marBottom w:val="0"/>
                              <w:divBdr>
                                <w:top w:val="none" w:sz="0" w:space="0" w:color="auto"/>
                                <w:left w:val="none" w:sz="0" w:space="0" w:color="auto"/>
                                <w:bottom w:val="none" w:sz="0" w:space="0" w:color="auto"/>
                                <w:right w:val="none" w:sz="0" w:space="0" w:color="auto"/>
                              </w:divBdr>
                              <w:divsChild>
                                <w:div w:id="434517680">
                                  <w:marLeft w:val="0"/>
                                  <w:marRight w:val="0"/>
                                  <w:marTop w:val="0"/>
                                  <w:marBottom w:val="0"/>
                                  <w:divBdr>
                                    <w:top w:val="none" w:sz="0" w:space="0" w:color="auto"/>
                                    <w:left w:val="none" w:sz="0" w:space="0" w:color="auto"/>
                                    <w:bottom w:val="none" w:sz="0" w:space="0" w:color="auto"/>
                                    <w:right w:val="none" w:sz="0" w:space="0" w:color="auto"/>
                                  </w:divBdr>
                                  <w:divsChild>
                                    <w:div w:id="1406687742">
                                      <w:marLeft w:val="0"/>
                                      <w:marRight w:val="0"/>
                                      <w:marTop w:val="0"/>
                                      <w:marBottom w:val="0"/>
                                      <w:divBdr>
                                        <w:top w:val="none" w:sz="0" w:space="0" w:color="auto"/>
                                        <w:left w:val="none" w:sz="0" w:space="0" w:color="auto"/>
                                        <w:bottom w:val="none" w:sz="0" w:space="0" w:color="auto"/>
                                        <w:right w:val="none" w:sz="0" w:space="0" w:color="auto"/>
                                      </w:divBdr>
                                      <w:divsChild>
                                        <w:div w:id="1309089389">
                                          <w:marLeft w:val="0"/>
                                          <w:marRight w:val="0"/>
                                          <w:marTop w:val="0"/>
                                          <w:marBottom w:val="0"/>
                                          <w:divBdr>
                                            <w:top w:val="none" w:sz="0" w:space="0" w:color="auto"/>
                                            <w:left w:val="none" w:sz="0" w:space="0" w:color="auto"/>
                                            <w:bottom w:val="none" w:sz="0" w:space="0" w:color="auto"/>
                                            <w:right w:val="none" w:sz="0" w:space="0" w:color="auto"/>
                                          </w:divBdr>
                                          <w:divsChild>
                                            <w:div w:id="559024654">
                                              <w:marLeft w:val="0"/>
                                              <w:marRight w:val="0"/>
                                              <w:marTop w:val="0"/>
                                              <w:marBottom w:val="0"/>
                                              <w:divBdr>
                                                <w:top w:val="none" w:sz="0" w:space="0" w:color="auto"/>
                                                <w:left w:val="none" w:sz="0" w:space="0" w:color="auto"/>
                                                <w:bottom w:val="none" w:sz="0" w:space="0" w:color="auto"/>
                                                <w:right w:val="none" w:sz="0" w:space="0" w:color="auto"/>
                                              </w:divBdr>
                                              <w:divsChild>
                                                <w:div w:id="3070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345518">
      <w:bodyDiv w:val="1"/>
      <w:marLeft w:val="0"/>
      <w:marRight w:val="0"/>
      <w:marTop w:val="0"/>
      <w:marBottom w:val="0"/>
      <w:divBdr>
        <w:top w:val="none" w:sz="0" w:space="0" w:color="auto"/>
        <w:left w:val="none" w:sz="0" w:space="0" w:color="auto"/>
        <w:bottom w:val="none" w:sz="0" w:space="0" w:color="auto"/>
        <w:right w:val="none" w:sz="0" w:space="0" w:color="auto"/>
      </w:divBdr>
      <w:divsChild>
        <w:div w:id="2062172093">
          <w:marLeft w:val="0"/>
          <w:marRight w:val="0"/>
          <w:marTop w:val="0"/>
          <w:marBottom w:val="270"/>
          <w:divBdr>
            <w:top w:val="single" w:sz="6" w:space="8" w:color="D3D1D1"/>
            <w:left w:val="single" w:sz="6" w:space="0" w:color="D3D1D1"/>
            <w:bottom w:val="single" w:sz="6" w:space="8" w:color="D3D1D1"/>
            <w:right w:val="single" w:sz="6" w:space="0" w:color="D3D1D1"/>
          </w:divBdr>
          <w:divsChild>
            <w:div w:id="864948532">
              <w:marLeft w:val="120"/>
              <w:marRight w:val="120"/>
              <w:marTop w:val="0"/>
              <w:marBottom w:val="0"/>
              <w:divBdr>
                <w:top w:val="none" w:sz="0" w:space="0" w:color="auto"/>
                <w:left w:val="none" w:sz="0" w:space="0" w:color="auto"/>
                <w:bottom w:val="none" w:sz="0" w:space="0" w:color="auto"/>
                <w:right w:val="none" w:sz="0" w:space="0" w:color="auto"/>
              </w:divBdr>
              <w:divsChild>
                <w:div w:id="1952323206">
                  <w:marLeft w:val="0"/>
                  <w:marRight w:val="0"/>
                  <w:marTop w:val="0"/>
                  <w:marBottom w:val="0"/>
                  <w:divBdr>
                    <w:top w:val="none" w:sz="0" w:space="0" w:color="auto"/>
                    <w:left w:val="none" w:sz="0" w:space="0" w:color="auto"/>
                    <w:bottom w:val="none" w:sz="0" w:space="0" w:color="auto"/>
                    <w:right w:val="none" w:sz="0" w:space="0" w:color="auto"/>
                  </w:divBdr>
                  <w:divsChild>
                    <w:div w:id="744492826">
                      <w:marLeft w:val="0"/>
                      <w:marRight w:val="0"/>
                      <w:marTop w:val="0"/>
                      <w:marBottom w:val="0"/>
                      <w:divBdr>
                        <w:top w:val="none" w:sz="0" w:space="0" w:color="auto"/>
                        <w:left w:val="none" w:sz="0" w:space="0" w:color="auto"/>
                        <w:bottom w:val="none" w:sz="0" w:space="0" w:color="auto"/>
                        <w:right w:val="none" w:sz="0" w:space="0" w:color="auto"/>
                      </w:divBdr>
                      <w:divsChild>
                        <w:div w:id="1271547335">
                          <w:marLeft w:val="0"/>
                          <w:marRight w:val="0"/>
                          <w:marTop w:val="0"/>
                          <w:marBottom w:val="0"/>
                          <w:divBdr>
                            <w:top w:val="none" w:sz="0" w:space="0" w:color="auto"/>
                            <w:left w:val="none" w:sz="0" w:space="0" w:color="auto"/>
                            <w:bottom w:val="none" w:sz="0" w:space="0" w:color="auto"/>
                            <w:right w:val="none" w:sz="0" w:space="0" w:color="auto"/>
                          </w:divBdr>
                          <w:divsChild>
                            <w:div w:id="584345526">
                              <w:marLeft w:val="0"/>
                              <w:marRight w:val="0"/>
                              <w:marTop w:val="75"/>
                              <w:marBottom w:val="0"/>
                              <w:divBdr>
                                <w:top w:val="none" w:sz="0" w:space="0" w:color="auto"/>
                                <w:left w:val="none" w:sz="0" w:space="0" w:color="auto"/>
                                <w:bottom w:val="none" w:sz="0" w:space="0" w:color="auto"/>
                                <w:right w:val="none" w:sz="0" w:space="0" w:color="auto"/>
                              </w:divBdr>
                              <w:divsChild>
                                <w:div w:id="196237145">
                                  <w:marLeft w:val="0"/>
                                  <w:marRight w:val="0"/>
                                  <w:marTop w:val="0"/>
                                  <w:marBottom w:val="0"/>
                                  <w:divBdr>
                                    <w:top w:val="none" w:sz="0" w:space="0" w:color="auto"/>
                                    <w:left w:val="none" w:sz="0" w:space="0" w:color="auto"/>
                                    <w:bottom w:val="none" w:sz="0" w:space="0" w:color="auto"/>
                                    <w:right w:val="none" w:sz="0" w:space="0" w:color="auto"/>
                                  </w:divBdr>
                                  <w:divsChild>
                                    <w:div w:id="1937903017">
                                      <w:marLeft w:val="0"/>
                                      <w:marRight w:val="0"/>
                                      <w:marTop w:val="0"/>
                                      <w:marBottom w:val="0"/>
                                      <w:divBdr>
                                        <w:top w:val="none" w:sz="0" w:space="0" w:color="auto"/>
                                        <w:left w:val="none" w:sz="0" w:space="0" w:color="auto"/>
                                        <w:bottom w:val="none" w:sz="0" w:space="0" w:color="auto"/>
                                        <w:right w:val="none" w:sz="0" w:space="0" w:color="auto"/>
                                      </w:divBdr>
                                      <w:divsChild>
                                        <w:div w:id="962075289">
                                          <w:marLeft w:val="0"/>
                                          <w:marRight w:val="0"/>
                                          <w:marTop w:val="0"/>
                                          <w:marBottom w:val="0"/>
                                          <w:divBdr>
                                            <w:top w:val="none" w:sz="0" w:space="0" w:color="auto"/>
                                            <w:left w:val="none" w:sz="0" w:space="0" w:color="auto"/>
                                            <w:bottom w:val="none" w:sz="0" w:space="0" w:color="auto"/>
                                            <w:right w:val="none" w:sz="0" w:space="0" w:color="auto"/>
                                          </w:divBdr>
                                          <w:divsChild>
                                            <w:div w:id="5754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je.org/coi_disclosure.pdf" TargetMode="External"/><Relationship Id="rId13" Type="http://schemas.openxmlformats.org/officeDocument/2006/relationships/hyperlink" Target="http://www.hpa.org.uk/webc/HPAwebFile/HPAweb_C/1317132858791" TargetMode="External"/><Relationship Id="rId18" Type="http://schemas.openxmlformats.org/officeDocument/2006/relationships/footer" Target="footer3.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uroweb.org/gls/pdf/18_Urological%20infections_LR.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iencedirect.com.abc.cardiff.ac.uk/science/article/pii/S01634453029109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uidance.nice.org.uk/CG054" TargetMode="External"/><Relationship Id="rId5" Type="http://schemas.openxmlformats.org/officeDocument/2006/relationships/webSettings" Target="webSettings.xml"/><Relationship Id="rId15" Type="http://schemas.openxmlformats.org/officeDocument/2006/relationships/hyperlink" Target="http://www.medicinescomplete.com/mc/bnfc/current/PHP12897-nitrofurantoin-non-proprietary.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ac.org.uk/susceptibility/guidelines-standardized-disc-susceptibility-testing-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8204</Words>
  <Characters>46769</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Pickles</dc:creator>
  <cp:lastModifiedBy>Harman K.</cp:lastModifiedBy>
  <cp:revision>2</cp:revision>
  <cp:lastPrinted>2015-06-18T10:45:00Z</cp:lastPrinted>
  <dcterms:created xsi:type="dcterms:W3CDTF">2016-04-07T06:22:00Z</dcterms:created>
  <dcterms:modified xsi:type="dcterms:W3CDTF">2016-04-07T06:22:00Z</dcterms:modified>
</cp:coreProperties>
</file>