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D0" w:rsidRPr="00BF3F0C" w:rsidRDefault="00B430D0" w:rsidP="00EF714E">
      <w:pPr>
        <w:spacing w:line="480" w:lineRule="auto"/>
        <w:contextualSpacing/>
        <w:rPr>
          <w:color w:val="000000" w:themeColor="text1"/>
        </w:rPr>
      </w:pPr>
      <w:bookmarkStart w:id="0" w:name="_GoBack"/>
      <w:bookmarkEnd w:id="0"/>
      <w:r w:rsidRPr="00BF3F0C">
        <w:rPr>
          <w:b/>
          <w:color w:val="000000" w:themeColor="text1"/>
        </w:rPr>
        <w:t xml:space="preserve">Title: </w:t>
      </w:r>
      <w:r w:rsidR="00FE634A" w:rsidRPr="00BF3F0C">
        <w:rPr>
          <w:b/>
          <w:color w:val="000000" w:themeColor="text1"/>
        </w:rPr>
        <w:t>Coronary heart disease and h</w:t>
      </w:r>
      <w:r w:rsidRPr="00BF3F0C">
        <w:rPr>
          <w:b/>
          <w:color w:val="000000" w:themeColor="text1"/>
        </w:rPr>
        <w:t xml:space="preserve">ousehold air pollution from </w:t>
      </w:r>
      <w:r w:rsidR="00FE634A" w:rsidRPr="00BF3F0C">
        <w:rPr>
          <w:b/>
          <w:color w:val="000000" w:themeColor="text1"/>
        </w:rPr>
        <w:t xml:space="preserve">use of </w:t>
      </w:r>
      <w:r w:rsidRPr="00BF3F0C">
        <w:rPr>
          <w:b/>
          <w:color w:val="000000" w:themeColor="text1"/>
        </w:rPr>
        <w:t>solid fuel: a systematic review</w:t>
      </w:r>
    </w:p>
    <w:p w:rsidR="00B430D0" w:rsidRPr="00BF3F0C" w:rsidRDefault="00B430D0" w:rsidP="00EF714E">
      <w:pPr>
        <w:spacing w:line="480" w:lineRule="auto"/>
        <w:contextualSpacing/>
        <w:rPr>
          <w:b/>
          <w:color w:val="000000" w:themeColor="text1"/>
        </w:rPr>
      </w:pPr>
    </w:p>
    <w:p w:rsidR="00B430D0" w:rsidRPr="00BF3F0C" w:rsidRDefault="00B430D0" w:rsidP="00EF714E">
      <w:pPr>
        <w:spacing w:line="480" w:lineRule="auto"/>
        <w:contextualSpacing/>
        <w:rPr>
          <w:color w:val="000000" w:themeColor="text1"/>
          <w:vertAlign w:val="superscript"/>
        </w:rPr>
      </w:pPr>
      <w:r w:rsidRPr="00BF3F0C">
        <w:rPr>
          <w:b/>
          <w:color w:val="000000" w:themeColor="text1"/>
        </w:rPr>
        <w:t xml:space="preserve">Authors: </w:t>
      </w:r>
      <w:r w:rsidRPr="00BF3F0C">
        <w:rPr>
          <w:color w:val="000000" w:themeColor="text1"/>
        </w:rPr>
        <w:t>Zafar Fatmi</w:t>
      </w:r>
      <w:r w:rsidRPr="00BF3F0C">
        <w:rPr>
          <w:color w:val="000000" w:themeColor="text1"/>
          <w:vertAlign w:val="superscript"/>
        </w:rPr>
        <w:t>1</w:t>
      </w:r>
      <w:proofErr w:type="gramStart"/>
      <w:r w:rsidR="005D654F">
        <w:rPr>
          <w:color w:val="000000" w:themeColor="text1"/>
          <w:vertAlign w:val="superscript"/>
        </w:rPr>
        <w:t>,2</w:t>
      </w:r>
      <w:proofErr w:type="gramEnd"/>
      <w:r w:rsidRPr="00BF3F0C">
        <w:rPr>
          <w:color w:val="000000" w:themeColor="text1"/>
        </w:rPr>
        <w:t>, David Coggon</w:t>
      </w:r>
      <w:r w:rsidRPr="00BF3F0C">
        <w:rPr>
          <w:color w:val="000000" w:themeColor="text1"/>
          <w:vertAlign w:val="superscript"/>
        </w:rPr>
        <w:t>2</w:t>
      </w:r>
    </w:p>
    <w:p w:rsidR="00B430D0" w:rsidRPr="00BF3F0C" w:rsidRDefault="00B430D0" w:rsidP="00EF714E">
      <w:pPr>
        <w:spacing w:line="480" w:lineRule="auto"/>
        <w:contextualSpacing/>
        <w:rPr>
          <w:color w:val="000000" w:themeColor="text1"/>
        </w:rPr>
      </w:pPr>
    </w:p>
    <w:p w:rsidR="008F0E02" w:rsidRPr="00BF3F0C" w:rsidRDefault="008F0E02" w:rsidP="008F0E02">
      <w:pPr>
        <w:spacing w:line="480" w:lineRule="auto"/>
        <w:contextualSpacing/>
        <w:rPr>
          <w:b/>
          <w:bCs/>
          <w:color w:val="000000" w:themeColor="text1"/>
        </w:rPr>
      </w:pPr>
      <w:r w:rsidRPr="00BF3F0C">
        <w:rPr>
          <w:b/>
          <w:bCs/>
          <w:color w:val="000000" w:themeColor="text1"/>
        </w:rPr>
        <w:t>Affiliation of authors:</w:t>
      </w:r>
    </w:p>
    <w:p w:rsidR="008F0E02" w:rsidRPr="00BF3F0C" w:rsidRDefault="008F0E02" w:rsidP="008F0E02">
      <w:pPr>
        <w:spacing w:after="200" w:line="480" w:lineRule="auto"/>
        <w:contextualSpacing/>
      </w:pPr>
      <w:proofErr w:type="gramStart"/>
      <w:r w:rsidRPr="00BF3F0C">
        <w:rPr>
          <w:vertAlign w:val="superscript"/>
        </w:rPr>
        <w:t>1</w:t>
      </w:r>
      <w:r w:rsidRPr="00BF3F0C">
        <w:t>Department of Community Health Sciences, Aga Khan University, Karachi, Sindh, Pakistan.</w:t>
      </w:r>
      <w:proofErr w:type="gramEnd"/>
    </w:p>
    <w:p w:rsidR="008F0E02" w:rsidRPr="00BF3F0C" w:rsidRDefault="008F0E02" w:rsidP="008F0E02">
      <w:pPr>
        <w:spacing w:after="200" w:line="480" w:lineRule="auto"/>
        <w:contextualSpacing/>
      </w:pPr>
      <w:proofErr w:type="gramStart"/>
      <w:r w:rsidRPr="00BF3F0C">
        <w:rPr>
          <w:vertAlign w:val="superscript"/>
        </w:rPr>
        <w:t>2</w:t>
      </w:r>
      <w:r w:rsidRPr="00BF3F0C">
        <w:t>MRC Lifecourse Epidemiology Unit, University of Southampton, Southampton, UK.</w:t>
      </w:r>
      <w:proofErr w:type="gramEnd"/>
    </w:p>
    <w:p w:rsidR="008F0E02" w:rsidRPr="00BF3F0C" w:rsidRDefault="008F0E02" w:rsidP="008F0E02">
      <w:pPr>
        <w:spacing w:after="200" w:line="480" w:lineRule="auto"/>
        <w:contextualSpacing/>
      </w:pPr>
    </w:p>
    <w:p w:rsidR="008F0E02" w:rsidRPr="00BF3F0C" w:rsidRDefault="008F0E02" w:rsidP="00144171">
      <w:pPr>
        <w:spacing w:after="200" w:line="480" w:lineRule="auto"/>
        <w:contextualSpacing/>
        <w:rPr>
          <w:b/>
          <w:bCs/>
        </w:rPr>
      </w:pPr>
      <w:r w:rsidRPr="00BF3F0C">
        <w:rPr>
          <w:b/>
          <w:bCs/>
        </w:rPr>
        <w:t>Correspond</w:t>
      </w:r>
      <w:r w:rsidR="00FE634A" w:rsidRPr="00BF3F0C">
        <w:rPr>
          <w:b/>
          <w:bCs/>
        </w:rPr>
        <w:t>ence to</w:t>
      </w:r>
      <w:r w:rsidRPr="00BF3F0C">
        <w:rPr>
          <w:b/>
          <w:bCs/>
        </w:rPr>
        <w:t>:</w:t>
      </w:r>
    </w:p>
    <w:p w:rsidR="008F0E02" w:rsidRPr="00BF3F0C" w:rsidRDefault="00FE634A" w:rsidP="00FE634A">
      <w:r w:rsidRPr="00BF3F0C">
        <w:t xml:space="preserve">Professor </w:t>
      </w:r>
      <w:r w:rsidR="00144171" w:rsidRPr="00BF3F0C">
        <w:t>David Coggon</w:t>
      </w:r>
    </w:p>
    <w:p w:rsidR="00FE634A" w:rsidRPr="00BF3F0C" w:rsidRDefault="002B148C" w:rsidP="00FE634A">
      <w:r w:rsidRPr="00BF3F0C">
        <w:t xml:space="preserve">MRC Lifecourse Epidemiology Unit, </w:t>
      </w:r>
    </w:p>
    <w:p w:rsidR="00FE634A" w:rsidRPr="00BF3F0C" w:rsidRDefault="002B148C" w:rsidP="00FE634A">
      <w:pPr>
        <w:rPr>
          <w:lang w:val="en-US"/>
        </w:rPr>
      </w:pPr>
      <w:r w:rsidRPr="00BF3F0C">
        <w:rPr>
          <w:lang w:val="en-US"/>
        </w:rPr>
        <w:t xml:space="preserve">Southampton General Hospital, </w:t>
      </w:r>
    </w:p>
    <w:p w:rsidR="00FE634A" w:rsidRPr="00BF3F0C" w:rsidRDefault="002B148C" w:rsidP="00FE634A">
      <w:pPr>
        <w:rPr>
          <w:lang w:val="en-US"/>
        </w:rPr>
      </w:pPr>
      <w:r w:rsidRPr="00BF3F0C">
        <w:rPr>
          <w:lang w:val="en-US"/>
        </w:rPr>
        <w:t xml:space="preserve">Southampton, </w:t>
      </w:r>
    </w:p>
    <w:p w:rsidR="00FE634A" w:rsidRPr="00BF3F0C" w:rsidRDefault="002B148C" w:rsidP="00FE634A">
      <w:pPr>
        <w:rPr>
          <w:lang w:val="en-US"/>
        </w:rPr>
      </w:pPr>
      <w:r w:rsidRPr="00BF3F0C">
        <w:rPr>
          <w:lang w:val="en-US"/>
        </w:rPr>
        <w:t xml:space="preserve">SO16 6YD, </w:t>
      </w:r>
    </w:p>
    <w:p w:rsidR="002B148C" w:rsidRPr="00BF3F0C" w:rsidRDefault="002B148C" w:rsidP="00FE634A">
      <w:pPr>
        <w:rPr>
          <w:lang w:val="en-US"/>
        </w:rPr>
      </w:pPr>
      <w:r w:rsidRPr="00BF3F0C">
        <w:rPr>
          <w:lang w:val="en-US"/>
        </w:rPr>
        <w:t>UK.</w:t>
      </w:r>
    </w:p>
    <w:p w:rsidR="00FE634A" w:rsidRPr="00BF3F0C" w:rsidRDefault="00FE634A" w:rsidP="00FE634A">
      <w:pPr>
        <w:rPr>
          <w:lang w:val="en-US"/>
        </w:rPr>
      </w:pPr>
    </w:p>
    <w:p w:rsidR="00FE634A" w:rsidRPr="00BF3F0C" w:rsidRDefault="002B148C" w:rsidP="002B148C">
      <w:pPr>
        <w:spacing w:after="200" w:line="480" w:lineRule="auto"/>
        <w:contextualSpacing/>
        <w:rPr>
          <w:lang w:val="en-US"/>
        </w:rPr>
      </w:pPr>
      <w:r w:rsidRPr="00BF3F0C">
        <w:rPr>
          <w:lang w:val="en-US"/>
        </w:rPr>
        <w:t>Telephone: +44 (0) 23 8077 7624  </w:t>
      </w:r>
    </w:p>
    <w:p w:rsidR="002B148C" w:rsidRPr="00BF3F0C" w:rsidRDefault="002B148C" w:rsidP="002B148C">
      <w:pPr>
        <w:spacing w:after="200" w:line="480" w:lineRule="auto"/>
        <w:contextualSpacing/>
        <w:rPr>
          <w:lang w:val="en-US"/>
        </w:rPr>
      </w:pPr>
      <w:r w:rsidRPr="00BF3F0C">
        <w:rPr>
          <w:lang w:val="en-US"/>
        </w:rPr>
        <w:t>Fax: +44 (0) 23 8070 4021</w:t>
      </w:r>
    </w:p>
    <w:p w:rsidR="008F0E02" w:rsidRPr="00BF3F0C" w:rsidRDefault="002B148C" w:rsidP="008F0E02">
      <w:pPr>
        <w:spacing w:after="200" w:line="480" w:lineRule="auto"/>
        <w:contextualSpacing/>
      </w:pPr>
      <w:r w:rsidRPr="00BF3F0C">
        <w:t xml:space="preserve">Email: </w:t>
      </w:r>
      <w:hyperlink r:id="rId9" w:history="1">
        <w:r w:rsidR="00FE634A" w:rsidRPr="00BF3F0C">
          <w:rPr>
            <w:rStyle w:val="Hyperlink"/>
          </w:rPr>
          <w:t>dnc@mrc.soton.ac.uk</w:t>
        </w:r>
      </w:hyperlink>
    </w:p>
    <w:p w:rsidR="002B148C" w:rsidRPr="00BF3F0C" w:rsidRDefault="002B148C" w:rsidP="008F0E02">
      <w:pPr>
        <w:spacing w:after="200" w:line="480" w:lineRule="auto"/>
        <w:contextualSpacing/>
      </w:pPr>
    </w:p>
    <w:p w:rsidR="00B430D0" w:rsidRPr="00BF3F0C" w:rsidRDefault="002B148C" w:rsidP="002B148C">
      <w:pPr>
        <w:spacing w:after="200" w:line="480" w:lineRule="auto"/>
        <w:contextualSpacing/>
      </w:pPr>
      <w:r w:rsidRPr="00BF3F0C">
        <w:rPr>
          <w:b/>
          <w:bCs/>
        </w:rPr>
        <w:t>Short</w:t>
      </w:r>
      <w:r w:rsidR="008F0E02" w:rsidRPr="00BF3F0C">
        <w:rPr>
          <w:b/>
          <w:bCs/>
        </w:rPr>
        <w:t xml:space="preserve"> title:</w:t>
      </w:r>
      <w:r w:rsidR="008F0E02" w:rsidRPr="00BF3F0C">
        <w:t xml:space="preserve"> </w:t>
      </w:r>
      <w:r w:rsidR="00FE634A" w:rsidRPr="00BF3F0C">
        <w:t>C</w:t>
      </w:r>
      <w:r w:rsidRPr="00BF3F0C">
        <w:t>oronary heart disease</w:t>
      </w:r>
      <w:r w:rsidR="00FE634A" w:rsidRPr="00BF3F0C">
        <w:t xml:space="preserve"> and solid fuel</w:t>
      </w:r>
      <w:r w:rsidR="00B430D0" w:rsidRPr="00BF3F0C">
        <w:rPr>
          <w:b/>
          <w:bCs/>
        </w:rPr>
        <w:br w:type="page"/>
      </w:r>
    </w:p>
    <w:p w:rsidR="00CC36E2" w:rsidRPr="00BF3F0C" w:rsidRDefault="00CC36E2" w:rsidP="00EF714E">
      <w:pPr>
        <w:pStyle w:val="Heading4"/>
        <w:spacing w:line="480" w:lineRule="auto"/>
        <w:contextualSpacing/>
        <w:rPr>
          <w:rFonts w:ascii="Arial" w:hAnsi="Arial" w:cs="Arial"/>
          <w:sz w:val="22"/>
        </w:rPr>
      </w:pPr>
      <w:r w:rsidRPr="00BF3F0C">
        <w:rPr>
          <w:rFonts w:ascii="Arial" w:hAnsi="Arial" w:cs="Arial"/>
          <w:sz w:val="22"/>
        </w:rPr>
        <w:lastRenderedPageBreak/>
        <w:t>Abstract</w:t>
      </w:r>
    </w:p>
    <w:p w:rsidR="00CC36E2" w:rsidRPr="00BF3F0C" w:rsidRDefault="00CC36E2" w:rsidP="00EF714E">
      <w:pPr>
        <w:pStyle w:val="NoSpacing"/>
        <w:spacing w:line="480" w:lineRule="auto"/>
        <w:contextualSpacing/>
      </w:pPr>
      <w:r w:rsidRPr="00BF3F0C">
        <w:t>Background</w:t>
      </w:r>
    </w:p>
    <w:p w:rsidR="00CC36E2" w:rsidRPr="00BF3F0C" w:rsidRDefault="00CC36E2" w:rsidP="00D1694E">
      <w:pPr>
        <w:spacing w:line="480" w:lineRule="auto"/>
        <w:contextualSpacing/>
        <w:jc w:val="both"/>
      </w:pPr>
      <w:r w:rsidRPr="00BF3F0C">
        <w:t>Evidence is emerging that indoor air pollution (IAP) from use of solid fuels for cooking and heating may be an important risk factor for coronary heart disea</w:t>
      </w:r>
      <w:r w:rsidR="00D321FC" w:rsidRPr="00BF3F0C">
        <w:t>se (CHD)</w:t>
      </w:r>
      <w:r w:rsidR="002F084D" w:rsidRPr="00BF3F0C">
        <w:t xml:space="preserve">. </w:t>
      </w:r>
    </w:p>
    <w:p w:rsidR="00CC36E2" w:rsidRPr="00BF3F0C" w:rsidRDefault="00CC36E2" w:rsidP="00D1694E">
      <w:pPr>
        <w:spacing w:line="480" w:lineRule="auto"/>
        <w:contextualSpacing/>
        <w:jc w:val="both"/>
        <w:rPr>
          <w:color w:val="000000" w:themeColor="text1"/>
        </w:rPr>
      </w:pPr>
    </w:p>
    <w:p w:rsidR="00CC36E2" w:rsidRPr="00BF3F0C" w:rsidRDefault="008F0E02" w:rsidP="00D1694E">
      <w:pPr>
        <w:spacing w:line="480" w:lineRule="auto"/>
        <w:contextualSpacing/>
        <w:jc w:val="both"/>
        <w:rPr>
          <w:i/>
          <w:color w:val="000000" w:themeColor="text1"/>
        </w:rPr>
      </w:pPr>
      <w:r w:rsidRPr="00BF3F0C">
        <w:rPr>
          <w:i/>
          <w:color w:val="000000" w:themeColor="text1"/>
        </w:rPr>
        <w:t>Sources of data</w:t>
      </w:r>
    </w:p>
    <w:p w:rsidR="00CC36E2" w:rsidRPr="00BF3F0C" w:rsidRDefault="00CC36E2" w:rsidP="00D1694E">
      <w:pPr>
        <w:spacing w:line="480" w:lineRule="auto"/>
        <w:contextualSpacing/>
        <w:jc w:val="both"/>
      </w:pPr>
      <w:r w:rsidRPr="00BF3F0C">
        <w:t xml:space="preserve">We </w:t>
      </w:r>
      <w:r w:rsidR="00144171" w:rsidRPr="00BF3F0C">
        <w:t>searched</w:t>
      </w:r>
      <w:r w:rsidRPr="00BF3F0C">
        <w:t xml:space="preserve"> the Ovid Medline, </w:t>
      </w:r>
      <w:proofErr w:type="spellStart"/>
      <w:r w:rsidRPr="00BF3F0C">
        <w:t>Embase</w:t>
      </w:r>
      <w:proofErr w:type="spellEnd"/>
      <w:r w:rsidRPr="00BF3F0C">
        <w:t xml:space="preserve"> Classic, </w:t>
      </w:r>
      <w:proofErr w:type="spellStart"/>
      <w:r w:rsidRPr="00BF3F0C">
        <w:t>Embase</w:t>
      </w:r>
      <w:proofErr w:type="spellEnd"/>
      <w:r w:rsidRPr="00BF3F0C">
        <w:t xml:space="preserve"> and Web of Science databases through to </w:t>
      </w:r>
      <w:r w:rsidR="0067013D" w:rsidRPr="00441F94">
        <w:t>12 June 2015</w:t>
      </w:r>
      <w:r w:rsidRPr="00BF3F0C">
        <w:t xml:space="preserve"> to identify reports of primary epidemiological research concerning the relationship of </w:t>
      </w:r>
      <w:r w:rsidR="00BF3F0C">
        <w:t xml:space="preserve">CHD to </w:t>
      </w:r>
      <w:r w:rsidRPr="00BF3F0C">
        <w:t xml:space="preserve">IAP from </w:t>
      </w:r>
      <w:r w:rsidR="00FE634A" w:rsidRPr="00BF3F0C">
        <w:t>solid</w:t>
      </w:r>
      <w:r w:rsidRPr="00BF3F0C">
        <w:t xml:space="preserve"> fuel</w:t>
      </w:r>
      <w:r w:rsidR="00FE634A" w:rsidRPr="00BF3F0C">
        <w:t>,</w:t>
      </w:r>
      <w:r w:rsidRPr="00BF3F0C">
        <w:t xml:space="preserve"> </w:t>
      </w:r>
      <w:r w:rsidR="002F084D" w:rsidRPr="00BF3F0C">
        <w:rPr>
          <w:color w:val="000000" w:themeColor="text1"/>
        </w:rPr>
        <w:t>the likely magnitude of any increase in risk</w:t>
      </w:r>
      <w:r w:rsidR="00FE634A" w:rsidRPr="00BF3F0C">
        <w:t>, and</w:t>
      </w:r>
      <w:r w:rsidRPr="00BF3F0C">
        <w:t xml:space="preserve"> </w:t>
      </w:r>
      <w:r w:rsidR="009A0E34" w:rsidRPr="00BF3F0C">
        <w:t>potential</w:t>
      </w:r>
      <w:r w:rsidRPr="00BF3F0C">
        <w:t xml:space="preserve"> pathogenic mechanisms.  </w:t>
      </w:r>
    </w:p>
    <w:p w:rsidR="00CC36E2" w:rsidRPr="00BF3F0C" w:rsidRDefault="00CC36E2" w:rsidP="00D1694E">
      <w:pPr>
        <w:spacing w:line="480" w:lineRule="auto"/>
        <w:contextualSpacing/>
        <w:jc w:val="both"/>
      </w:pPr>
    </w:p>
    <w:p w:rsidR="00CC36E2" w:rsidRPr="00BF3F0C" w:rsidRDefault="009E0A6A" w:rsidP="00D1694E">
      <w:pPr>
        <w:pStyle w:val="NoSpacing"/>
        <w:spacing w:line="480" w:lineRule="auto"/>
        <w:contextualSpacing/>
        <w:jc w:val="both"/>
      </w:pPr>
      <w:r w:rsidRPr="00BF3F0C">
        <w:t>Areas of agreement</w:t>
      </w:r>
    </w:p>
    <w:p w:rsidR="002F084D" w:rsidRDefault="00F15BBE" w:rsidP="00D1694E">
      <w:pPr>
        <w:spacing w:line="480" w:lineRule="auto"/>
        <w:contextualSpacing/>
        <w:jc w:val="both"/>
      </w:pPr>
      <w:r w:rsidRPr="00BF3F0C">
        <w:t>The current balance of epidemiological evidence points to an increased risk of CHD from IAP as a consequence of using solid, and especially biomass, fuels for cooking and heating.  Relative risks from long-term exposure could be two- to four</w:t>
      </w:r>
      <w:r>
        <w:t>fold</w:t>
      </w:r>
      <w:r w:rsidRPr="00BF3F0C">
        <w:t xml:space="preserve">.  </w:t>
      </w:r>
    </w:p>
    <w:p w:rsidR="00F15BBE" w:rsidRPr="00BF3F0C" w:rsidRDefault="00F15BBE" w:rsidP="00D1694E">
      <w:pPr>
        <w:spacing w:line="480" w:lineRule="auto"/>
        <w:contextualSpacing/>
        <w:jc w:val="both"/>
      </w:pPr>
    </w:p>
    <w:p w:rsidR="009E0A6A" w:rsidRPr="00BF3F0C" w:rsidRDefault="009E0A6A" w:rsidP="00D1694E">
      <w:pPr>
        <w:shd w:val="clear" w:color="auto" w:fill="FFFFFF"/>
        <w:spacing w:after="150" w:line="240" w:lineRule="auto"/>
        <w:jc w:val="both"/>
        <w:rPr>
          <w:rFonts w:eastAsia="Times New Roman"/>
          <w:i/>
          <w:iCs/>
          <w:color w:val="000000"/>
          <w:lang w:val="en-US"/>
        </w:rPr>
      </w:pPr>
      <w:r w:rsidRPr="00BF3F0C">
        <w:rPr>
          <w:i/>
          <w:iCs/>
        </w:rPr>
        <w:t>Areas of controversy</w:t>
      </w:r>
      <w:r w:rsidRPr="00BF3F0C">
        <w:rPr>
          <w:rFonts w:eastAsia="Times New Roman"/>
          <w:i/>
          <w:iCs/>
          <w:color w:val="000000"/>
          <w:lang w:val="en-US"/>
        </w:rPr>
        <w:t xml:space="preserve"> </w:t>
      </w:r>
    </w:p>
    <w:p w:rsidR="00F15BBE" w:rsidRPr="00BF3F0C" w:rsidRDefault="00F15BBE" w:rsidP="00D1694E">
      <w:pPr>
        <w:spacing w:line="480" w:lineRule="auto"/>
        <w:contextualSpacing/>
        <w:jc w:val="both"/>
      </w:pPr>
      <w:r>
        <w:t>T</w:t>
      </w:r>
      <w:r w:rsidRPr="00BF3F0C">
        <w:t xml:space="preserve">he evidence base is still limited, and although an association </w:t>
      </w:r>
      <w:r>
        <w:t xml:space="preserve">of CHD with such </w:t>
      </w:r>
      <w:r w:rsidR="0029449D">
        <w:t>IAP from solid fuel</w:t>
      </w:r>
      <w:r>
        <w:t xml:space="preserve"> </w:t>
      </w:r>
      <w:r w:rsidRPr="00BF3F0C">
        <w:t xml:space="preserve">is consistent with the known hazards from smoking, environmental tobacco smoke and ambient air pollution, and supported by evidence of effects on inflammatory processes, atherosclerosis and blood pressure, it requires confirmation by larger and more robust studies. </w:t>
      </w:r>
    </w:p>
    <w:p w:rsidR="002F084D" w:rsidRPr="00BF3F0C" w:rsidRDefault="002F084D" w:rsidP="00D1694E">
      <w:pPr>
        <w:pStyle w:val="NoSpacing"/>
        <w:spacing w:line="480" w:lineRule="auto"/>
        <w:contextualSpacing/>
        <w:jc w:val="both"/>
      </w:pPr>
    </w:p>
    <w:p w:rsidR="002F084D" w:rsidRPr="00BF3F0C" w:rsidRDefault="002F084D" w:rsidP="00D1694E">
      <w:pPr>
        <w:pStyle w:val="NoSpacing"/>
        <w:spacing w:line="480" w:lineRule="auto"/>
        <w:contextualSpacing/>
        <w:jc w:val="both"/>
      </w:pPr>
      <w:r w:rsidRPr="00BF3F0C">
        <w:t>Growing points</w:t>
      </w:r>
    </w:p>
    <w:p w:rsidR="00CC36E2" w:rsidRPr="00BF3F0C" w:rsidRDefault="000C3692" w:rsidP="00D1694E">
      <w:pPr>
        <w:spacing w:line="480" w:lineRule="auto"/>
        <w:contextualSpacing/>
        <w:jc w:val="both"/>
      </w:pPr>
      <w:r>
        <w:t xml:space="preserve">The completion of </w:t>
      </w:r>
      <w:r w:rsidR="0029449D">
        <w:t xml:space="preserve">two relatively </w:t>
      </w:r>
      <w:r w:rsidR="00911493">
        <w:t xml:space="preserve">small </w:t>
      </w:r>
      <w:r>
        <w:t xml:space="preserve">case-control studies </w:t>
      </w:r>
      <w:r w:rsidR="0029449D">
        <w:t>on</w:t>
      </w:r>
      <w:r>
        <w:t xml:space="preserve"> CHD and IAP from use of biomass fuel demonstrates the feasibility of such research, and is an encouragement to further, larger studies using similar methods. </w:t>
      </w:r>
      <w:r w:rsidR="00CC36E2" w:rsidRPr="00BF3F0C">
        <w:t xml:space="preserve">  </w:t>
      </w:r>
    </w:p>
    <w:p w:rsidR="008F0E02" w:rsidRPr="00BF3F0C" w:rsidRDefault="008F0E02" w:rsidP="00D1694E">
      <w:pPr>
        <w:spacing w:after="200" w:line="480" w:lineRule="auto"/>
        <w:contextualSpacing/>
        <w:jc w:val="both"/>
        <w:rPr>
          <w:i/>
          <w:iCs/>
        </w:rPr>
      </w:pPr>
    </w:p>
    <w:p w:rsidR="008F0E02" w:rsidRPr="00BF3F0C" w:rsidRDefault="008F0E02" w:rsidP="00D1694E">
      <w:pPr>
        <w:spacing w:after="200" w:line="480" w:lineRule="auto"/>
        <w:contextualSpacing/>
        <w:jc w:val="both"/>
        <w:rPr>
          <w:i/>
          <w:iCs/>
        </w:rPr>
      </w:pPr>
      <w:r w:rsidRPr="00BF3F0C">
        <w:rPr>
          <w:i/>
          <w:iCs/>
        </w:rPr>
        <w:lastRenderedPageBreak/>
        <w:t>Areas timely for developing research</w:t>
      </w:r>
    </w:p>
    <w:p w:rsidR="000C3692" w:rsidRDefault="000C3692" w:rsidP="00D1694E">
      <w:pPr>
        <w:spacing w:after="200" w:line="480" w:lineRule="auto"/>
        <w:contextualSpacing/>
        <w:jc w:val="both"/>
      </w:pPr>
      <w:r w:rsidRPr="00BF3F0C">
        <w:t>The need for such research is particularly pressing because the incidence of CHD in developing countries is rising, and IAP may interact synergistically with the risk factors that are driving that increase.  Furthermore, relatively cheap methods are available to reduce IAP from use of solid fuels, and there are indications from intervention studies that these may impact beneficially on CHD as well as other diseases caused by such pollution.</w:t>
      </w:r>
      <w:r w:rsidR="008F0E02" w:rsidRPr="00BF3F0C">
        <w:t xml:space="preserve"> </w:t>
      </w:r>
    </w:p>
    <w:p w:rsidR="007F6893" w:rsidRPr="00BF3F0C" w:rsidRDefault="008F0E02" w:rsidP="00D1694E">
      <w:pPr>
        <w:spacing w:after="200" w:line="480" w:lineRule="auto"/>
        <w:contextualSpacing/>
        <w:jc w:val="both"/>
        <w:rPr>
          <w:rFonts w:eastAsiaTheme="majorEastAsia"/>
          <w:b/>
          <w:bCs/>
          <w:iCs/>
        </w:rPr>
      </w:pPr>
      <w:r w:rsidRPr="00BF3F0C">
        <w:t xml:space="preserve"> </w:t>
      </w:r>
    </w:p>
    <w:p w:rsidR="00CC36E2" w:rsidRPr="00BF3F0C" w:rsidRDefault="007F6893" w:rsidP="00D1694E">
      <w:pPr>
        <w:spacing w:after="200" w:line="480" w:lineRule="auto"/>
        <w:contextualSpacing/>
        <w:jc w:val="both"/>
        <w:rPr>
          <w:rFonts w:eastAsiaTheme="majorEastAsia"/>
          <w:iCs/>
        </w:rPr>
      </w:pPr>
      <w:r w:rsidRPr="00BF3F0C">
        <w:rPr>
          <w:rFonts w:eastAsiaTheme="majorEastAsia"/>
          <w:b/>
          <w:bCs/>
          <w:iCs/>
        </w:rPr>
        <w:t xml:space="preserve">Key words: </w:t>
      </w:r>
      <w:r w:rsidRPr="00BF3F0C">
        <w:rPr>
          <w:rFonts w:eastAsiaTheme="majorEastAsia"/>
          <w:iCs/>
        </w:rPr>
        <w:t xml:space="preserve">solid fuel; </w:t>
      </w:r>
      <w:r w:rsidR="00BF3F0C">
        <w:rPr>
          <w:rFonts w:eastAsiaTheme="majorEastAsia"/>
          <w:iCs/>
        </w:rPr>
        <w:t xml:space="preserve">biomass; </w:t>
      </w:r>
      <w:r w:rsidRPr="00BF3F0C">
        <w:rPr>
          <w:rFonts w:eastAsiaTheme="majorEastAsia"/>
          <w:iCs/>
        </w:rPr>
        <w:t>indoor air poll</w:t>
      </w:r>
      <w:r w:rsidR="00BF3F0C">
        <w:rPr>
          <w:rFonts w:eastAsiaTheme="majorEastAsia"/>
          <w:iCs/>
        </w:rPr>
        <w:t xml:space="preserve">ution; household air pollution; </w:t>
      </w:r>
      <w:r w:rsidRPr="00BF3F0C">
        <w:rPr>
          <w:rFonts w:eastAsiaTheme="majorEastAsia"/>
          <w:iCs/>
        </w:rPr>
        <w:t>coronary heart disease; cardiovascular disease.</w:t>
      </w:r>
      <w:r w:rsidR="00CC36E2" w:rsidRPr="00BF3F0C">
        <w:br w:type="page"/>
      </w:r>
    </w:p>
    <w:p w:rsidR="00F92CCE" w:rsidRPr="00BF3F0C" w:rsidRDefault="00F92CCE" w:rsidP="00EF714E">
      <w:pPr>
        <w:pStyle w:val="Heading4"/>
        <w:spacing w:line="480" w:lineRule="auto"/>
        <w:contextualSpacing/>
        <w:jc w:val="both"/>
        <w:rPr>
          <w:rFonts w:ascii="Arial" w:hAnsi="Arial" w:cs="Arial"/>
          <w:sz w:val="22"/>
        </w:rPr>
      </w:pPr>
      <w:r w:rsidRPr="00BF3F0C">
        <w:rPr>
          <w:rFonts w:ascii="Arial" w:hAnsi="Arial" w:cs="Arial"/>
          <w:sz w:val="22"/>
        </w:rPr>
        <w:lastRenderedPageBreak/>
        <w:t>Introduction</w:t>
      </w:r>
    </w:p>
    <w:p w:rsidR="00F92CCE" w:rsidRPr="00BF3F0C" w:rsidRDefault="00F92CCE" w:rsidP="0043330B">
      <w:pPr>
        <w:spacing w:line="480" w:lineRule="auto"/>
        <w:contextualSpacing/>
        <w:jc w:val="both"/>
        <w:rPr>
          <w:color w:val="000000" w:themeColor="text1"/>
          <w:vertAlign w:val="superscript"/>
        </w:rPr>
      </w:pPr>
      <w:r w:rsidRPr="00BF3F0C">
        <w:rPr>
          <w:color w:val="000000" w:themeColor="text1"/>
        </w:rPr>
        <w:t>Coronary heart disease (CHD) is the leading cause of death worldwide, with a rapidly increasing incidence in developing countries.</w:t>
      </w:r>
      <w:r w:rsidR="0043330B" w:rsidRPr="00BF3F0C">
        <w:rPr>
          <w:color w:val="000000" w:themeColor="text1"/>
          <w:vertAlign w:val="superscript"/>
        </w:rPr>
        <w:t>1</w:t>
      </w:r>
      <w:r w:rsidRPr="00BF3F0C">
        <w:rPr>
          <w:color w:val="000000" w:themeColor="text1"/>
        </w:rPr>
        <w:t xml:space="preserve">  In addition to well</w:t>
      </w:r>
      <w:r w:rsidR="00D820C4" w:rsidRPr="00BF3F0C">
        <w:rPr>
          <w:color w:val="000000" w:themeColor="text1"/>
        </w:rPr>
        <w:t>-</w:t>
      </w:r>
      <w:r w:rsidRPr="00BF3F0C">
        <w:rPr>
          <w:color w:val="000000" w:themeColor="text1"/>
        </w:rPr>
        <w:t xml:space="preserve">established risk factors such as smoking, </w:t>
      </w:r>
      <w:r w:rsidR="00D820C4" w:rsidRPr="00BF3F0C">
        <w:rPr>
          <w:color w:val="000000" w:themeColor="text1"/>
        </w:rPr>
        <w:t>an important</w:t>
      </w:r>
      <w:r w:rsidRPr="00BF3F0C">
        <w:rPr>
          <w:color w:val="000000" w:themeColor="text1"/>
        </w:rPr>
        <w:t xml:space="preserve"> contributor to the burden of CHD in developing countries may be indoor air pollution (IAP) from use of solid fuel </w:t>
      </w:r>
      <w:r w:rsidR="007F6F31" w:rsidRPr="00BF3F0C">
        <w:rPr>
          <w:color w:val="000000" w:themeColor="text1"/>
        </w:rPr>
        <w:t xml:space="preserve">(principally biomass) </w:t>
      </w:r>
      <w:r w:rsidRPr="00BF3F0C">
        <w:rPr>
          <w:color w:val="000000" w:themeColor="text1"/>
        </w:rPr>
        <w:t xml:space="preserve">for cooking and heating.  In 2010, some 40% of households across the world used solid fuel for cooking or heating, </w:t>
      </w:r>
      <w:r w:rsidR="007F6F31" w:rsidRPr="00BF3F0C">
        <w:rPr>
          <w:color w:val="000000" w:themeColor="text1"/>
        </w:rPr>
        <w:t xml:space="preserve">with </w:t>
      </w:r>
      <w:r w:rsidRPr="00BF3F0C">
        <w:rPr>
          <w:color w:val="000000" w:themeColor="text1"/>
        </w:rPr>
        <w:t xml:space="preserve">the </w:t>
      </w:r>
      <w:r w:rsidR="007F6F31" w:rsidRPr="00BF3F0C">
        <w:rPr>
          <w:color w:val="000000" w:themeColor="text1"/>
        </w:rPr>
        <w:t xml:space="preserve">highest </w:t>
      </w:r>
      <w:r w:rsidRPr="00BF3F0C">
        <w:rPr>
          <w:color w:val="000000" w:themeColor="text1"/>
        </w:rPr>
        <w:t>prevalence in Afri</w:t>
      </w:r>
      <w:r w:rsidR="0043330B" w:rsidRPr="00BF3F0C">
        <w:rPr>
          <w:color w:val="000000" w:themeColor="text1"/>
        </w:rPr>
        <w:t>ca, followed by Asian countries</w:t>
      </w:r>
      <w:r w:rsidRPr="00BF3F0C">
        <w:rPr>
          <w:color w:val="000000" w:themeColor="text1"/>
        </w:rPr>
        <w:t>.</w:t>
      </w:r>
      <w:r w:rsidR="0043330B" w:rsidRPr="00BF3F0C">
        <w:rPr>
          <w:color w:val="000000" w:themeColor="text1"/>
          <w:vertAlign w:val="superscript"/>
        </w:rPr>
        <w:t>2</w:t>
      </w:r>
    </w:p>
    <w:p w:rsidR="00F92CCE" w:rsidRPr="00BF3F0C" w:rsidRDefault="00F92CCE" w:rsidP="00EF714E">
      <w:pPr>
        <w:spacing w:line="480" w:lineRule="auto"/>
        <w:contextualSpacing/>
        <w:jc w:val="both"/>
        <w:rPr>
          <w:color w:val="000000" w:themeColor="text1"/>
        </w:rPr>
      </w:pPr>
    </w:p>
    <w:p w:rsidR="00F92CCE" w:rsidRPr="00BF3F0C" w:rsidRDefault="00F92CCE" w:rsidP="0043330B">
      <w:pPr>
        <w:spacing w:line="480" w:lineRule="auto"/>
        <w:contextualSpacing/>
        <w:jc w:val="both"/>
        <w:rPr>
          <w:color w:val="000000" w:themeColor="text1"/>
        </w:rPr>
      </w:pPr>
      <w:r w:rsidRPr="00BF3F0C">
        <w:rPr>
          <w:color w:val="000000" w:themeColor="text1"/>
        </w:rPr>
        <w:t xml:space="preserve">Major air pollutants produced by combustion of solid fuels include fine particulate matter (PM) and carbon monoxide (CO), both of which have been linked to CHD. </w:t>
      </w:r>
      <w:r w:rsidR="0067415A" w:rsidRPr="00BF3F0C">
        <w:rPr>
          <w:color w:val="000000" w:themeColor="text1"/>
        </w:rPr>
        <w:t>They are present in tobacco smoke, and</w:t>
      </w:r>
      <w:r w:rsidRPr="00BF3F0C">
        <w:rPr>
          <w:color w:val="000000" w:themeColor="text1"/>
        </w:rPr>
        <w:t xml:space="preserve"> may </w:t>
      </w:r>
      <w:r w:rsidR="00D820C4" w:rsidRPr="00BF3F0C">
        <w:rPr>
          <w:color w:val="000000" w:themeColor="text1"/>
        </w:rPr>
        <w:t xml:space="preserve">in part </w:t>
      </w:r>
      <w:r w:rsidRPr="00BF3F0C">
        <w:rPr>
          <w:color w:val="000000" w:themeColor="text1"/>
        </w:rPr>
        <w:t>explain</w:t>
      </w:r>
      <w:r w:rsidR="0067415A" w:rsidRPr="00BF3F0C">
        <w:rPr>
          <w:color w:val="000000" w:themeColor="text1"/>
        </w:rPr>
        <w:t xml:space="preserve"> the increased risk</w:t>
      </w:r>
      <w:r w:rsidR="00D820C4" w:rsidRPr="00BF3F0C">
        <w:rPr>
          <w:color w:val="000000" w:themeColor="text1"/>
        </w:rPr>
        <w:t>s</w:t>
      </w:r>
      <w:r w:rsidR="0067415A" w:rsidRPr="00BF3F0C">
        <w:rPr>
          <w:color w:val="000000" w:themeColor="text1"/>
        </w:rPr>
        <w:t xml:space="preserve"> of CHD from </w:t>
      </w:r>
      <w:r w:rsidR="00D820C4" w:rsidRPr="00BF3F0C">
        <w:rPr>
          <w:color w:val="000000" w:themeColor="text1"/>
        </w:rPr>
        <w:t xml:space="preserve">both </w:t>
      </w:r>
      <w:r w:rsidR="0043330B" w:rsidRPr="00BF3F0C">
        <w:rPr>
          <w:color w:val="000000" w:themeColor="text1"/>
        </w:rPr>
        <w:t>active</w:t>
      </w:r>
      <w:r w:rsidR="0043330B" w:rsidRPr="00BF3F0C">
        <w:rPr>
          <w:color w:val="000000" w:themeColor="text1"/>
          <w:vertAlign w:val="superscript"/>
        </w:rPr>
        <w:t>3,4</w:t>
      </w:r>
      <w:r w:rsidRPr="00BF3F0C">
        <w:rPr>
          <w:color w:val="000000" w:themeColor="text1"/>
        </w:rPr>
        <w:t xml:space="preserve"> and </w:t>
      </w:r>
      <w:r w:rsidR="00D820C4" w:rsidRPr="00BF3F0C">
        <w:rPr>
          <w:color w:val="000000" w:themeColor="text1"/>
        </w:rPr>
        <w:t>passive</w:t>
      </w:r>
      <w:r w:rsidRPr="00BF3F0C">
        <w:rPr>
          <w:color w:val="000000" w:themeColor="text1"/>
        </w:rPr>
        <w:t xml:space="preserve"> smok</w:t>
      </w:r>
      <w:r w:rsidR="00D820C4" w:rsidRPr="00BF3F0C">
        <w:rPr>
          <w:color w:val="000000" w:themeColor="text1"/>
        </w:rPr>
        <w:t>ing</w:t>
      </w:r>
      <w:r w:rsidR="0043330B" w:rsidRPr="00BF3F0C">
        <w:rPr>
          <w:color w:val="000000" w:themeColor="text1"/>
        </w:rPr>
        <w:t>.</w:t>
      </w:r>
      <w:r w:rsidR="0043330B" w:rsidRPr="00BF3F0C">
        <w:rPr>
          <w:color w:val="000000" w:themeColor="text1"/>
          <w:vertAlign w:val="superscript"/>
        </w:rPr>
        <w:t>5,6</w:t>
      </w:r>
      <w:r w:rsidRPr="00BF3F0C">
        <w:rPr>
          <w:color w:val="000000" w:themeColor="text1"/>
        </w:rPr>
        <w:t xml:space="preserve"> </w:t>
      </w:r>
      <w:r w:rsidR="0067415A" w:rsidRPr="00BF3F0C">
        <w:rPr>
          <w:color w:val="000000" w:themeColor="text1"/>
        </w:rPr>
        <w:t>Furthermore</w:t>
      </w:r>
      <w:r w:rsidRPr="00BF3F0C">
        <w:rPr>
          <w:color w:val="000000" w:themeColor="text1"/>
        </w:rPr>
        <w:t>, PM in ambient air is an established risk factor for CHD, as demonstrated in</w:t>
      </w:r>
      <w:r w:rsidR="0043330B" w:rsidRPr="00BF3F0C">
        <w:rPr>
          <w:color w:val="000000" w:themeColor="text1"/>
        </w:rPr>
        <w:t xml:space="preserve"> time-series and cohort studies</w:t>
      </w:r>
      <w:r w:rsidRPr="00BF3F0C">
        <w:rPr>
          <w:color w:val="000000" w:themeColor="text1"/>
        </w:rPr>
        <w:t>.</w:t>
      </w:r>
      <w:r w:rsidR="0043330B" w:rsidRPr="00BF3F0C">
        <w:rPr>
          <w:color w:val="000000" w:themeColor="text1"/>
          <w:vertAlign w:val="superscript"/>
        </w:rPr>
        <w:t>7,8</w:t>
      </w:r>
      <w:r w:rsidRPr="00BF3F0C">
        <w:rPr>
          <w:color w:val="000000" w:themeColor="text1"/>
        </w:rPr>
        <w:t xml:space="preserve"> </w:t>
      </w:r>
    </w:p>
    <w:p w:rsidR="0067415A" w:rsidRPr="00BF3F0C" w:rsidRDefault="0067415A" w:rsidP="00EF714E">
      <w:pPr>
        <w:spacing w:line="480" w:lineRule="auto"/>
        <w:contextualSpacing/>
        <w:jc w:val="both"/>
        <w:rPr>
          <w:color w:val="000000" w:themeColor="text1"/>
        </w:rPr>
      </w:pPr>
    </w:p>
    <w:p w:rsidR="00F92CCE" w:rsidRPr="00BF3F0C" w:rsidRDefault="0067415A" w:rsidP="0043330B">
      <w:pPr>
        <w:spacing w:line="480" w:lineRule="auto"/>
        <w:contextualSpacing/>
        <w:jc w:val="both"/>
        <w:rPr>
          <w:color w:val="000000" w:themeColor="text1"/>
        </w:rPr>
      </w:pPr>
      <w:r w:rsidRPr="00BF3F0C">
        <w:rPr>
          <w:color w:val="000000" w:themeColor="text1"/>
        </w:rPr>
        <w:t>Combustion of</w:t>
      </w:r>
      <w:r w:rsidR="00F92CCE" w:rsidRPr="00BF3F0C">
        <w:rPr>
          <w:color w:val="000000" w:themeColor="text1"/>
        </w:rPr>
        <w:t xml:space="preserve"> solid fuel for cooking </w:t>
      </w:r>
      <w:r w:rsidRPr="00BF3F0C">
        <w:rPr>
          <w:color w:val="000000" w:themeColor="text1"/>
        </w:rPr>
        <w:t xml:space="preserve">can </w:t>
      </w:r>
      <w:r w:rsidR="00C373F3" w:rsidRPr="00BF3F0C">
        <w:rPr>
          <w:color w:val="000000" w:themeColor="text1"/>
        </w:rPr>
        <w:t>generate</w:t>
      </w:r>
      <w:r w:rsidR="00F92CCE" w:rsidRPr="00BF3F0C">
        <w:rPr>
          <w:color w:val="000000" w:themeColor="text1"/>
        </w:rPr>
        <w:t xml:space="preserve"> concentrations of pollut</w:t>
      </w:r>
      <w:r w:rsidRPr="00BF3F0C">
        <w:rPr>
          <w:color w:val="000000" w:themeColor="text1"/>
        </w:rPr>
        <w:t>ants</w:t>
      </w:r>
      <w:r w:rsidR="00F92CCE" w:rsidRPr="00BF3F0C">
        <w:rPr>
          <w:color w:val="000000" w:themeColor="text1"/>
        </w:rPr>
        <w:t xml:space="preserve"> in kitchens </w:t>
      </w:r>
      <w:r w:rsidRPr="00BF3F0C">
        <w:rPr>
          <w:color w:val="000000" w:themeColor="text1"/>
        </w:rPr>
        <w:t xml:space="preserve">100-200 times higher than </w:t>
      </w:r>
      <w:r w:rsidR="007F6F31" w:rsidRPr="00BF3F0C">
        <w:rPr>
          <w:color w:val="000000" w:themeColor="text1"/>
        </w:rPr>
        <w:t xml:space="preserve">current </w:t>
      </w:r>
      <w:r w:rsidR="0043330B" w:rsidRPr="00BF3F0C">
        <w:rPr>
          <w:color w:val="000000" w:themeColor="text1"/>
        </w:rPr>
        <w:t>ambient air standards</w:t>
      </w:r>
      <w:r w:rsidR="00F92CCE" w:rsidRPr="00BF3F0C">
        <w:rPr>
          <w:color w:val="000000" w:themeColor="text1"/>
        </w:rPr>
        <w:t>.</w:t>
      </w:r>
      <w:r w:rsidR="0043330B" w:rsidRPr="00BF3F0C">
        <w:rPr>
          <w:color w:val="000000" w:themeColor="text1"/>
          <w:vertAlign w:val="superscript"/>
        </w:rPr>
        <w:t>9</w:t>
      </w:r>
      <w:r w:rsidR="00F92CCE" w:rsidRPr="00BF3F0C">
        <w:rPr>
          <w:color w:val="000000" w:themeColor="text1"/>
        </w:rPr>
        <w:t xml:space="preserve"> </w:t>
      </w:r>
      <w:proofErr w:type="gramStart"/>
      <w:r w:rsidR="00F92CCE" w:rsidRPr="00BF3F0C">
        <w:rPr>
          <w:color w:val="000000" w:themeColor="text1"/>
        </w:rPr>
        <w:t>Th</w:t>
      </w:r>
      <w:r w:rsidRPr="00BF3F0C">
        <w:rPr>
          <w:color w:val="000000" w:themeColor="text1"/>
        </w:rPr>
        <w:t>us</w:t>
      </w:r>
      <w:r w:rsidR="00F92CCE" w:rsidRPr="00BF3F0C">
        <w:rPr>
          <w:color w:val="000000" w:themeColor="text1"/>
        </w:rPr>
        <w:t>,</w:t>
      </w:r>
      <w:proofErr w:type="gramEnd"/>
      <w:r w:rsidR="00F92CCE" w:rsidRPr="00BF3F0C">
        <w:rPr>
          <w:color w:val="000000" w:themeColor="text1"/>
        </w:rPr>
        <w:t xml:space="preserve"> it is highly plausible that IAP from use of solid fuel </w:t>
      </w:r>
      <w:r w:rsidR="007F6F31" w:rsidRPr="00BF3F0C">
        <w:rPr>
          <w:color w:val="000000" w:themeColor="text1"/>
        </w:rPr>
        <w:t xml:space="preserve">could </w:t>
      </w:r>
      <w:r w:rsidR="00F92CCE" w:rsidRPr="00BF3F0C">
        <w:rPr>
          <w:color w:val="000000" w:themeColor="text1"/>
        </w:rPr>
        <w:t xml:space="preserve">importantly increase the risk of CHD. </w:t>
      </w:r>
      <w:r w:rsidR="007F6F31" w:rsidRPr="00BF3F0C">
        <w:rPr>
          <w:color w:val="000000" w:themeColor="text1"/>
        </w:rPr>
        <w:t xml:space="preserve"> </w:t>
      </w:r>
      <w:r w:rsidR="00F92CCE" w:rsidRPr="00BF3F0C">
        <w:rPr>
          <w:color w:val="000000" w:themeColor="text1"/>
        </w:rPr>
        <w:t xml:space="preserve">However, until recently the relationship </w:t>
      </w:r>
      <w:r w:rsidR="001045F0" w:rsidRPr="00BF3F0C">
        <w:rPr>
          <w:color w:val="000000" w:themeColor="text1"/>
        </w:rPr>
        <w:t xml:space="preserve">of CHD to IAP </w:t>
      </w:r>
      <w:r w:rsidR="007F6F31" w:rsidRPr="00BF3F0C">
        <w:rPr>
          <w:color w:val="000000" w:themeColor="text1"/>
        </w:rPr>
        <w:t>has been</w:t>
      </w:r>
      <w:r w:rsidRPr="00BF3F0C">
        <w:rPr>
          <w:color w:val="000000" w:themeColor="text1"/>
        </w:rPr>
        <w:t xml:space="preserve"> much less </w:t>
      </w:r>
      <w:r w:rsidR="00485ABA">
        <w:rPr>
          <w:color w:val="000000" w:themeColor="text1"/>
        </w:rPr>
        <w:t>investigat</w:t>
      </w:r>
      <w:r w:rsidR="002B431B" w:rsidRPr="00BF3F0C">
        <w:rPr>
          <w:color w:val="000000" w:themeColor="text1"/>
        </w:rPr>
        <w:t>ed</w:t>
      </w:r>
      <w:r w:rsidR="00F92CCE" w:rsidRPr="00BF3F0C">
        <w:rPr>
          <w:color w:val="000000" w:themeColor="text1"/>
        </w:rPr>
        <w:t xml:space="preserve"> than </w:t>
      </w:r>
      <w:r w:rsidR="001045F0" w:rsidRPr="00BF3F0C">
        <w:rPr>
          <w:color w:val="000000" w:themeColor="text1"/>
        </w:rPr>
        <w:t>its</w:t>
      </w:r>
      <w:r w:rsidRPr="00BF3F0C">
        <w:rPr>
          <w:color w:val="000000" w:themeColor="text1"/>
        </w:rPr>
        <w:t xml:space="preserve"> link</w:t>
      </w:r>
      <w:r w:rsidR="00D820C4" w:rsidRPr="00BF3F0C">
        <w:rPr>
          <w:color w:val="000000" w:themeColor="text1"/>
        </w:rPr>
        <w:t>s</w:t>
      </w:r>
      <w:r w:rsidR="00F92CCE" w:rsidRPr="00BF3F0C">
        <w:rPr>
          <w:color w:val="000000" w:themeColor="text1"/>
        </w:rPr>
        <w:t xml:space="preserve"> with ambient air pollution.</w:t>
      </w:r>
      <w:r w:rsidR="001045F0" w:rsidRPr="00BF3F0C">
        <w:rPr>
          <w:color w:val="000000" w:themeColor="text1"/>
        </w:rPr>
        <w:t xml:space="preserve">  </w:t>
      </w:r>
      <w:r w:rsidR="00854FCF" w:rsidRPr="00BF3F0C">
        <w:rPr>
          <w:color w:val="000000" w:themeColor="text1"/>
        </w:rPr>
        <w:t xml:space="preserve">In 2008, </w:t>
      </w:r>
      <w:r w:rsidR="00F92CCE" w:rsidRPr="00BF3F0C">
        <w:rPr>
          <w:color w:val="000000" w:themeColor="text1"/>
        </w:rPr>
        <w:t xml:space="preserve">Fullerton </w:t>
      </w:r>
      <w:r w:rsidR="00434DFA" w:rsidRPr="00BF3F0C">
        <w:rPr>
          <w:color w:val="000000" w:themeColor="text1"/>
        </w:rPr>
        <w:t>and colleagues</w:t>
      </w:r>
      <w:r w:rsidR="00F92CCE" w:rsidRPr="00BF3F0C">
        <w:rPr>
          <w:color w:val="000000" w:themeColor="text1"/>
        </w:rPr>
        <w:t xml:space="preserve"> </w:t>
      </w:r>
      <w:r w:rsidR="00854FCF" w:rsidRPr="00BF3F0C">
        <w:rPr>
          <w:color w:val="000000" w:themeColor="text1"/>
        </w:rPr>
        <w:t>published</w:t>
      </w:r>
      <w:r w:rsidR="00F92CCE" w:rsidRPr="00BF3F0C">
        <w:rPr>
          <w:color w:val="000000" w:themeColor="text1"/>
        </w:rPr>
        <w:t xml:space="preserve"> a </w:t>
      </w:r>
      <w:r w:rsidR="00434DFA" w:rsidRPr="00BF3F0C">
        <w:rPr>
          <w:color w:val="000000" w:themeColor="text1"/>
        </w:rPr>
        <w:t xml:space="preserve">non-systematic </w:t>
      </w:r>
      <w:r w:rsidR="00F92CCE" w:rsidRPr="00BF3F0C">
        <w:rPr>
          <w:color w:val="000000" w:themeColor="text1"/>
        </w:rPr>
        <w:t xml:space="preserve">review of </w:t>
      </w:r>
      <w:r w:rsidR="00854FCF" w:rsidRPr="00BF3F0C">
        <w:rPr>
          <w:color w:val="000000" w:themeColor="text1"/>
        </w:rPr>
        <w:t>research</w:t>
      </w:r>
      <w:r w:rsidR="00F92CCE" w:rsidRPr="00BF3F0C">
        <w:rPr>
          <w:color w:val="000000" w:themeColor="text1"/>
        </w:rPr>
        <w:t xml:space="preserve"> </w:t>
      </w:r>
      <w:r w:rsidR="002B431B" w:rsidRPr="00BF3F0C">
        <w:rPr>
          <w:color w:val="000000" w:themeColor="text1"/>
        </w:rPr>
        <w:t>on</w:t>
      </w:r>
      <w:r w:rsidR="00434DFA" w:rsidRPr="00BF3F0C">
        <w:rPr>
          <w:color w:val="000000" w:themeColor="text1"/>
        </w:rPr>
        <w:t xml:space="preserve"> the health effects of </w:t>
      </w:r>
      <w:r w:rsidR="00F92CCE" w:rsidRPr="00BF3F0C">
        <w:rPr>
          <w:color w:val="000000" w:themeColor="text1"/>
        </w:rPr>
        <w:t xml:space="preserve">IAP </w:t>
      </w:r>
      <w:r w:rsidR="00434DFA" w:rsidRPr="00BF3F0C">
        <w:rPr>
          <w:color w:val="000000" w:themeColor="text1"/>
        </w:rPr>
        <w:t>from</w:t>
      </w:r>
      <w:r w:rsidR="00F92CCE" w:rsidRPr="00BF3F0C">
        <w:rPr>
          <w:color w:val="000000" w:themeColor="text1"/>
        </w:rPr>
        <w:t xml:space="preserve"> biomass fuel</w:t>
      </w:r>
      <w:r w:rsidR="00434DFA" w:rsidRPr="00BF3F0C">
        <w:rPr>
          <w:color w:val="000000" w:themeColor="text1"/>
        </w:rPr>
        <w:t xml:space="preserve">, </w:t>
      </w:r>
      <w:r w:rsidR="00F92CCE" w:rsidRPr="00BF3F0C">
        <w:rPr>
          <w:color w:val="000000" w:themeColor="text1"/>
        </w:rPr>
        <w:t xml:space="preserve">including </w:t>
      </w:r>
      <w:r w:rsidR="002B431B" w:rsidRPr="00BF3F0C">
        <w:rPr>
          <w:color w:val="000000" w:themeColor="text1"/>
        </w:rPr>
        <w:t xml:space="preserve">on </w:t>
      </w:r>
      <w:r w:rsidR="00F92CCE" w:rsidRPr="00BF3F0C">
        <w:rPr>
          <w:color w:val="000000" w:themeColor="text1"/>
        </w:rPr>
        <w:t>cardiovascular disease</w:t>
      </w:r>
      <w:r w:rsidR="001045F0" w:rsidRPr="00BF3F0C">
        <w:rPr>
          <w:color w:val="000000" w:themeColor="text1"/>
        </w:rPr>
        <w:t xml:space="preserve">, </w:t>
      </w:r>
      <w:r w:rsidR="00D820C4" w:rsidRPr="00BF3F0C">
        <w:rPr>
          <w:color w:val="000000" w:themeColor="text1"/>
        </w:rPr>
        <w:t>and found</w:t>
      </w:r>
      <w:r w:rsidR="001045F0" w:rsidRPr="00BF3F0C">
        <w:rPr>
          <w:color w:val="000000" w:themeColor="text1"/>
        </w:rPr>
        <w:t xml:space="preserve"> a</w:t>
      </w:r>
      <w:r w:rsidR="00434DFA" w:rsidRPr="00BF3F0C">
        <w:rPr>
          <w:color w:val="000000" w:themeColor="text1"/>
        </w:rPr>
        <w:t xml:space="preserve"> paucity of relevant</w:t>
      </w:r>
      <w:r w:rsidR="00F92CCE" w:rsidRPr="00BF3F0C">
        <w:rPr>
          <w:color w:val="000000" w:themeColor="text1"/>
        </w:rPr>
        <w:t xml:space="preserve"> data.</w:t>
      </w:r>
      <w:r w:rsidR="0043330B" w:rsidRPr="00BF3F0C">
        <w:rPr>
          <w:color w:val="000000" w:themeColor="text1"/>
          <w:vertAlign w:val="superscript"/>
        </w:rPr>
        <w:t>10</w:t>
      </w:r>
      <w:r w:rsidR="00854FCF" w:rsidRPr="00BF3F0C">
        <w:rPr>
          <w:color w:val="000000" w:themeColor="text1"/>
        </w:rPr>
        <w:t xml:space="preserve"> More recently, </w:t>
      </w:r>
      <w:r w:rsidR="0043330B" w:rsidRPr="00BF3F0C">
        <w:rPr>
          <w:color w:val="000000" w:themeColor="text1"/>
        </w:rPr>
        <w:t>Yamamoto et al.</w:t>
      </w:r>
      <w:r w:rsidR="0043330B" w:rsidRPr="00BF3F0C">
        <w:rPr>
          <w:color w:val="000000" w:themeColor="text1"/>
          <w:vertAlign w:val="superscript"/>
        </w:rPr>
        <w:t>11</w:t>
      </w:r>
      <w:r w:rsidR="00434DFA" w:rsidRPr="00BF3F0C">
        <w:rPr>
          <w:color w:val="000000" w:themeColor="text1"/>
        </w:rPr>
        <w:t xml:space="preserve"> </w:t>
      </w:r>
      <w:r w:rsidR="00854FCF" w:rsidRPr="00BF3F0C">
        <w:rPr>
          <w:color w:val="000000" w:themeColor="text1"/>
        </w:rPr>
        <w:t>carried out</w:t>
      </w:r>
      <w:r w:rsidR="00434DFA" w:rsidRPr="00BF3F0C">
        <w:rPr>
          <w:color w:val="000000" w:themeColor="text1"/>
        </w:rPr>
        <w:t xml:space="preserve"> a systematic review of the impacts of air pollution, both ambient and indoor, on cardiovascular diseases</w:t>
      </w:r>
      <w:r w:rsidR="00854FCF" w:rsidRPr="00BF3F0C">
        <w:rPr>
          <w:color w:val="000000" w:themeColor="text1"/>
        </w:rPr>
        <w:t xml:space="preserve">, but </w:t>
      </w:r>
      <w:r w:rsidR="00434DFA" w:rsidRPr="00BF3F0C">
        <w:rPr>
          <w:color w:val="000000" w:themeColor="text1"/>
        </w:rPr>
        <w:t xml:space="preserve">restricted </w:t>
      </w:r>
      <w:r w:rsidR="002B431B" w:rsidRPr="00BF3F0C">
        <w:rPr>
          <w:color w:val="000000" w:themeColor="text1"/>
        </w:rPr>
        <w:t xml:space="preserve">their attention </w:t>
      </w:r>
      <w:r w:rsidR="00434DFA" w:rsidRPr="00BF3F0C">
        <w:rPr>
          <w:color w:val="000000" w:themeColor="text1"/>
        </w:rPr>
        <w:t>to research carried out in eight lower income countries in South Asia</w:t>
      </w:r>
      <w:r w:rsidR="00854FCF" w:rsidRPr="00BF3F0C">
        <w:rPr>
          <w:color w:val="000000" w:themeColor="text1"/>
        </w:rPr>
        <w:t>.  In total they</w:t>
      </w:r>
      <w:r w:rsidR="00434DFA" w:rsidRPr="00BF3F0C">
        <w:rPr>
          <w:color w:val="000000" w:themeColor="text1"/>
        </w:rPr>
        <w:t xml:space="preserve"> identified nine relevant studies</w:t>
      </w:r>
      <w:r w:rsidR="00C040DE" w:rsidRPr="00BF3F0C">
        <w:rPr>
          <w:color w:val="000000" w:themeColor="text1"/>
        </w:rPr>
        <w:t>, of which four related to IAP from biomass fuels</w:t>
      </w:r>
      <w:r w:rsidR="0084640A" w:rsidRPr="00BF3F0C">
        <w:rPr>
          <w:color w:val="000000" w:themeColor="text1"/>
        </w:rPr>
        <w:t>.</w:t>
      </w:r>
      <w:r w:rsidR="0084640A" w:rsidRPr="00BF3F0C">
        <w:rPr>
          <w:color w:val="FF0000"/>
        </w:rPr>
        <w:t xml:space="preserve"> </w:t>
      </w:r>
    </w:p>
    <w:p w:rsidR="00854FCF" w:rsidRPr="00BF3F0C" w:rsidRDefault="00854FCF" w:rsidP="00EF714E">
      <w:pPr>
        <w:autoSpaceDE w:val="0"/>
        <w:autoSpaceDN w:val="0"/>
        <w:adjustRightInd w:val="0"/>
        <w:spacing w:line="480" w:lineRule="auto"/>
        <w:contextualSpacing/>
        <w:jc w:val="both"/>
        <w:rPr>
          <w:color w:val="000000" w:themeColor="text1"/>
        </w:rPr>
      </w:pPr>
    </w:p>
    <w:p w:rsidR="00D321FC" w:rsidRPr="00BF3F0C" w:rsidRDefault="002B431B" w:rsidP="002B148C">
      <w:pPr>
        <w:autoSpaceDE w:val="0"/>
        <w:autoSpaceDN w:val="0"/>
        <w:adjustRightInd w:val="0"/>
        <w:spacing w:line="480" w:lineRule="auto"/>
        <w:contextualSpacing/>
        <w:jc w:val="both"/>
        <w:rPr>
          <w:color w:val="000000" w:themeColor="text1"/>
        </w:rPr>
      </w:pPr>
      <w:r w:rsidRPr="00BF3F0C">
        <w:rPr>
          <w:color w:val="000000" w:themeColor="text1"/>
        </w:rPr>
        <w:t xml:space="preserve">Over the last 10 years, </w:t>
      </w:r>
      <w:r w:rsidR="00434DFA" w:rsidRPr="00BF3F0C">
        <w:rPr>
          <w:color w:val="000000" w:themeColor="text1"/>
        </w:rPr>
        <w:t xml:space="preserve">epidemiological </w:t>
      </w:r>
      <w:r w:rsidRPr="00BF3F0C">
        <w:rPr>
          <w:color w:val="000000" w:themeColor="text1"/>
        </w:rPr>
        <w:t>research</w:t>
      </w:r>
      <w:r w:rsidR="00434DFA" w:rsidRPr="00BF3F0C">
        <w:rPr>
          <w:color w:val="000000" w:themeColor="text1"/>
        </w:rPr>
        <w:t xml:space="preserve"> on </w:t>
      </w:r>
      <w:r w:rsidR="00AB2A00" w:rsidRPr="00BF3F0C">
        <w:rPr>
          <w:color w:val="000000" w:themeColor="text1"/>
        </w:rPr>
        <w:t xml:space="preserve">use of </w:t>
      </w:r>
      <w:r w:rsidR="00434DFA" w:rsidRPr="00BF3F0C">
        <w:rPr>
          <w:color w:val="000000" w:themeColor="text1"/>
        </w:rPr>
        <w:t xml:space="preserve">biomass fuel and CHD has been </w:t>
      </w:r>
      <w:r w:rsidRPr="00BF3F0C">
        <w:rPr>
          <w:color w:val="000000" w:themeColor="text1"/>
        </w:rPr>
        <w:t>expanding</w:t>
      </w:r>
      <w:r w:rsidR="00854FCF" w:rsidRPr="00BF3F0C">
        <w:rPr>
          <w:color w:val="000000" w:themeColor="text1"/>
        </w:rPr>
        <w:t>, and it</w:t>
      </w:r>
      <w:r w:rsidR="00F92CCE" w:rsidRPr="00BF3F0C">
        <w:rPr>
          <w:color w:val="000000" w:themeColor="text1"/>
        </w:rPr>
        <w:t xml:space="preserve"> </w:t>
      </w:r>
      <w:r w:rsidR="00AB2A00" w:rsidRPr="00BF3F0C">
        <w:rPr>
          <w:color w:val="000000" w:themeColor="text1"/>
        </w:rPr>
        <w:t>i</w:t>
      </w:r>
      <w:r w:rsidR="00434DFA" w:rsidRPr="00BF3F0C">
        <w:rPr>
          <w:color w:val="000000" w:themeColor="text1"/>
        </w:rPr>
        <w:t xml:space="preserve">s therefore </w:t>
      </w:r>
      <w:r w:rsidR="00F92CCE" w:rsidRPr="00BF3F0C">
        <w:rPr>
          <w:color w:val="000000" w:themeColor="text1"/>
        </w:rPr>
        <w:t xml:space="preserve">timely to review the published literature more </w:t>
      </w:r>
      <w:r w:rsidR="00F92CCE" w:rsidRPr="00BF3F0C">
        <w:rPr>
          <w:color w:val="000000" w:themeColor="text1"/>
        </w:rPr>
        <w:lastRenderedPageBreak/>
        <w:t xml:space="preserve">comprehensively, as a guide </w:t>
      </w:r>
      <w:r w:rsidR="00AB2A00" w:rsidRPr="00BF3F0C">
        <w:rPr>
          <w:color w:val="000000" w:themeColor="text1"/>
        </w:rPr>
        <w:t xml:space="preserve">both </w:t>
      </w:r>
      <w:r w:rsidR="00F92CCE" w:rsidRPr="00BF3F0C">
        <w:rPr>
          <w:color w:val="000000" w:themeColor="text1"/>
        </w:rPr>
        <w:t>to policy and to priorities for further research.</w:t>
      </w:r>
      <w:r w:rsidR="00854FCF" w:rsidRPr="00BF3F0C">
        <w:rPr>
          <w:color w:val="000000" w:themeColor="text1"/>
        </w:rPr>
        <w:t xml:space="preserve">  </w:t>
      </w:r>
      <w:r w:rsidR="00F92CCE" w:rsidRPr="00BF3F0C">
        <w:rPr>
          <w:color w:val="000000" w:themeColor="text1"/>
        </w:rPr>
        <w:t xml:space="preserve">To this end, we undertook a narrative </w:t>
      </w:r>
      <w:r w:rsidR="00854FCF" w:rsidRPr="00BF3F0C">
        <w:rPr>
          <w:color w:val="000000" w:themeColor="text1"/>
        </w:rPr>
        <w:t>evaluation of</w:t>
      </w:r>
      <w:r w:rsidR="00F92CCE" w:rsidRPr="00BF3F0C">
        <w:rPr>
          <w:color w:val="000000" w:themeColor="text1"/>
        </w:rPr>
        <w:t xml:space="preserve"> </w:t>
      </w:r>
      <w:r w:rsidR="00854FCF" w:rsidRPr="00BF3F0C">
        <w:rPr>
          <w:color w:val="000000" w:themeColor="text1"/>
        </w:rPr>
        <w:t xml:space="preserve">systematically identified </w:t>
      </w:r>
      <w:r w:rsidR="00F92CCE" w:rsidRPr="00BF3F0C">
        <w:rPr>
          <w:color w:val="000000" w:themeColor="text1"/>
        </w:rPr>
        <w:t>epidemiological reports</w:t>
      </w:r>
      <w:r w:rsidRPr="00BF3F0C">
        <w:rPr>
          <w:color w:val="000000" w:themeColor="text1"/>
        </w:rPr>
        <w:t>, our aim being to</w:t>
      </w:r>
      <w:r w:rsidR="00F92CCE" w:rsidRPr="00BF3F0C">
        <w:rPr>
          <w:color w:val="000000" w:themeColor="text1"/>
        </w:rPr>
        <w:t xml:space="preserve"> assess the strength of evidence for an association of </w:t>
      </w:r>
      <w:r w:rsidRPr="00BF3F0C">
        <w:rPr>
          <w:color w:val="000000" w:themeColor="text1"/>
        </w:rPr>
        <w:t xml:space="preserve">CHD with </w:t>
      </w:r>
      <w:r w:rsidR="00F92CCE" w:rsidRPr="00BF3F0C">
        <w:rPr>
          <w:color w:val="000000" w:themeColor="text1"/>
        </w:rPr>
        <w:t xml:space="preserve">IAP from use of solid fuel, </w:t>
      </w:r>
      <w:r w:rsidR="00854FCF" w:rsidRPr="00BF3F0C">
        <w:rPr>
          <w:color w:val="000000" w:themeColor="text1"/>
        </w:rPr>
        <w:t xml:space="preserve">and </w:t>
      </w:r>
      <w:r w:rsidR="00F92CCE" w:rsidRPr="00BF3F0C">
        <w:rPr>
          <w:color w:val="000000" w:themeColor="text1"/>
        </w:rPr>
        <w:t xml:space="preserve">the likely magnitude of any </w:t>
      </w:r>
      <w:r w:rsidR="00854FCF" w:rsidRPr="00BF3F0C">
        <w:rPr>
          <w:color w:val="000000" w:themeColor="text1"/>
        </w:rPr>
        <w:t xml:space="preserve">increase in </w:t>
      </w:r>
      <w:r w:rsidR="002B148C" w:rsidRPr="00BF3F0C">
        <w:rPr>
          <w:color w:val="000000" w:themeColor="text1"/>
        </w:rPr>
        <w:t>risk.</w:t>
      </w:r>
      <w:r w:rsidR="00D321FC" w:rsidRPr="00BF3F0C">
        <w:br w:type="page"/>
      </w:r>
    </w:p>
    <w:p w:rsidR="00D47947" w:rsidRPr="00BF3F0C" w:rsidRDefault="00D47947" w:rsidP="00EF714E">
      <w:pPr>
        <w:pStyle w:val="Heading4"/>
        <w:spacing w:line="480" w:lineRule="auto"/>
        <w:contextualSpacing/>
        <w:jc w:val="both"/>
        <w:rPr>
          <w:rFonts w:ascii="Arial" w:hAnsi="Arial" w:cs="Arial"/>
          <w:sz w:val="22"/>
        </w:rPr>
      </w:pPr>
      <w:r w:rsidRPr="00BF3F0C">
        <w:rPr>
          <w:rFonts w:ascii="Arial" w:hAnsi="Arial" w:cs="Arial"/>
          <w:sz w:val="22"/>
        </w:rPr>
        <w:lastRenderedPageBreak/>
        <w:t>Methods</w:t>
      </w:r>
    </w:p>
    <w:p w:rsidR="00D47947" w:rsidRPr="00BF3F0C" w:rsidRDefault="00D47947" w:rsidP="00EF714E">
      <w:pPr>
        <w:spacing w:line="480" w:lineRule="auto"/>
        <w:contextualSpacing/>
        <w:jc w:val="both"/>
      </w:pPr>
      <w:r w:rsidRPr="00BF3F0C">
        <w:t xml:space="preserve">To address our study question, we </w:t>
      </w:r>
      <w:r w:rsidR="00AB2A00" w:rsidRPr="00BF3F0C">
        <w:t>sought</w:t>
      </w:r>
      <w:r w:rsidRPr="00BF3F0C">
        <w:t xml:space="preserve"> to identify all reports in peer-reviewed journals, </w:t>
      </w:r>
      <w:r w:rsidR="00AB2A00" w:rsidRPr="00BF3F0C">
        <w:t>which had</w:t>
      </w:r>
      <w:r w:rsidRPr="00BF3F0C">
        <w:t xml:space="preserve"> at least an abstract in English, </w:t>
      </w:r>
      <w:r w:rsidR="00AB2A00" w:rsidRPr="00BF3F0C">
        <w:t xml:space="preserve">and </w:t>
      </w:r>
      <w:r w:rsidR="00046D20" w:rsidRPr="00BF3F0C">
        <w:t>which</w:t>
      </w:r>
      <w:r w:rsidRPr="00BF3F0C">
        <w:t xml:space="preserve"> described primary epidemiological research concerning the relationship of indoor air pollution from use of biomass fuel to heart</w:t>
      </w:r>
      <w:r w:rsidR="00D46F12" w:rsidRPr="00BF3F0C">
        <w:t xml:space="preserve"> disease (particularly CHD) </w:t>
      </w:r>
      <w:r w:rsidR="00046D20" w:rsidRPr="00BF3F0C">
        <w:t>or</w:t>
      </w:r>
      <w:r w:rsidR="00D46F12" w:rsidRPr="00BF3F0C">
        <w:t xml:space="preserve"> </w:t>
      </w:r>
      <w:r w:rsidR="00AB2A00" w:rsidRPr="00BF3F0C">
        <w:t xml:space="preserve">to </w:t>
      </w:r>
      <w:r w:rsidR="00D46F12" w:rsidRPr="00BF3F0C">
        <w:t>pathogenic mechanisms relevant to CHD.</w:t>
      </w:r>
    </w:p>
    <w:p w:rsidR="00D46F12" w:rsidRPr="00BF3F0C" w:rsidRDefault="00D46F12" w:rsidP="00EF714E">
      <w:pPr>
        <w:spacing w:line="480" w:lineRule="auto"/>
        <w:contextualSpacing/>
        <w:jc w:val="both"/>
      </w:pPr>
    </w:p>
    <w:p w:rsidR="001C1341" w:rsidRPr="00BF3F0C" w:rsidRDefault="00D46F12" w:rsidP="00EF714E">
      <w:pPr>
        <w:spacing w:line="480" w:lineRule="auto"/>
        <w:contextualSpacing/>
        <w:jc w:val="both"/>
      </w:pPr>
      <w:r w:rsidRPr="00BF3F0C">
        <w:t xml:space="preserve">We first interrogated </w:t>
      </w:r>
      <w:r w:rsidR="00BB2B71" w:rsidRPr="00BF3F0C">
        <w:t>four</w:t>
      </w:r>
      <w:r w:rsidRPr="00BF3F0C">
        <w:t xml:space="preserve"> electronic databases </w:t>
      </w:r>
      <w:r w:rsidR="00BB2B71" w:rsidRPr="00BF3F0C">
        <w:t>(</w:t>
      </w:r>
      <w:r w:rsidRPr="00BF3F0C">
        <w:t xml:space="preserve">Ovid Medline, </w:t>
      </w:r>
      <w:proofErr w:type="spellStart"/>
      <w:r w:rsidRPr="00BF3F0C">
        <w:t>Embase</w:t>
      </w:r>
      <w:proofErr w:type="spellEnd"/>
      <w:r w:rsidRPr="00BF3F0C">
        <w:t xml:space="preserve"> Classic</w:t>
      </w:r>
      <w:r w:rsidR="00BB2B71" w:rsidRPr="00BF3F0C">
        <w:t xml:space="preserve">, </w:t>
      </w:r>
      <w:proofErr w:type="spellStart"/>
      <w:r w:rsidRPr="00BF3F0C">
        <w:t>Embase</w:t>
      </w:r>
      <w:proofErr w:type="spellEnd"/>
      <w:r w:rsidRPr="00BF3F0C">
        <w:t xml:space="preserve"> and Web of Science</w:t>
      </w:r>
      <w:r w:rsidR="00BB2B71" w:rsidRPr="00BF3F0C">
        <w:t>)</w:t>
      </w:r>
      <w:r w:rsidRPr="00BF3F0C">
        <w:t xml:space="preserve"> from inception </w:t>
      </w:r>
      <w:r w:rsidR="00BB2B71" w:rsidRPr="00BF3F0C">
        <w:t xml:space="preserve">through </w:t>
      </w:r>
      <w:r w:rsidRPr="00BF3F0C">
        <w:t xml:space="preserve">to </w:t>
      </w:r>
      <w:r w:rsidR="0067013D" w:rsidRPr="00441F94">
        <w:t>12 June, 2015</w:t>
      </w:r>
      <w:r w:rsidRPr="00BF3F0C">
        <w:t xml:space="preserve">, using </w:t>
      </w:r>
      <w:r w:rsidR="0057154F">
        <w:t xml:space="preserve">the </w:t>
      </w:r>
      <w:r w:rsidRPr="00BF3F0C">
        <w:t xml:space="preserve">combination of search terms set out in Table 1.  Potentially relevant references (with their abstracts) were imported into a single Endnote file, and </w:t>
      </w:r>
      <w:r w:rsidR="00F20F24" w:rsidRPr="00BF3F0C">
        <w:t xml:space="preserve">after removal of </w:t>
      </w:r>
      <w:r w:rsidRPr="00BF3F0C">
        <w:t>duplicates</w:t>
      </w:r>
      <w:r w:rsidR="00F20F24" w:rsidRPr="00BF3F0C">
        <w:t>,</w:t>
      </w:r>
      <w:r w:rsidRPr="00BF3F0C">
        <w:t xml:space="preserve"> </w:t>
      </w:r>
      <w:r w:rsidR="00AB2A00" w:rsidRPr="00BF3F0C">
        <w:t>each was</w:t>
      </w:r>
      <w:r w:rsidRPr="00BF3F0C">
        <w:t xml:space="preserve"> reviewed</w:t>
      </w:r>
      <w:r w:rsidR="00F20F24" w:rsidRPr="00BF3F0C">
        <w:t>. T</w:t>
      </w:r>
      <w:r w:rsidRPr="00BF3F0C">
        <w:t xml:space="preserve">hose that were </w:t>
      </w:r>
      <w:r w:rsidR="00F20F24" w:rsidRPr="00BF3F0C">
        <w:t xml:space="preserve">clearly </w:t>
      </w:r>
      <w:r w:rsidR="00046D20" w:rsidRPr="00BF3F0C">
        <w:t>ir</w:t>
      </w:r>
      <w:r w:rsidR="00F20F24" w:rsidRPr="00BF3F0C">
        <w:t xml:space="preserve">relevant were </w:t>
      </w:r>
      <w:r w:rsidRPr="00BF3F0C">
        <w:t>discarded</w:t>
      </w:r>
      <w:r w:rsidR="00F20F24" w:rsidRPr="00BF3F0C">
        <w:t xml:space="preserve">, and full text copies of the remainder were </w:t>
      </w:r>
      <w:r w:rsidR="00046D20" w:rsidRPr="00BF3F0C">
        <w:t xml:space="preserve">obtained and </w:t>
      </w:r>
      <w:r w:rsidR="00F20F24" w:rsidRPr="00BF3F0C">
        <w:t xml:space="preserve">scrutinised.  </w:t>
      </w:r>
      <w:r w:rsidR="00046D20" w:rsidRPr="00BF3F0C">
        <w:t xml:space="preserve">Those that met our inclusion criteria were abstracted and summarised using a standardised form.  In addition we searched their reference lists for </w:t>
      </w:r>
      <w:r w:rsidR="001C1341" w:rsidRPr="00BF3F0C">
        <w:t>further</w:t>
      </w:r>
      <w:r w:rsidR="00046D20" w:rsidRPr="00BF3F0C">
        <w:t xml:space="preserve"> papers that might have been missed.</w:t>
      </w:r>
      <w:r w:rsidR="001C1341" w:rsidRPr="00BF3F0C">
        <w:t xml:space="preserve">  </w:t>
      </w:r>
      <w:r w:rsidR="00BB2B71" w:rsidRPr="00BF3F0C">
        <w:t>Each</w:t>
      </w:r>
      <w:r w:rsidR="001C1341" w:rsidRPr="00BF3F0C">
        <w:t xml:space="preserve"> stage of th</w:t>
      </w:r>
      <w:r w:rsidR="00BB2B71" w:rsidRPr="00BF3F0C">
        <w:t>e</w:t>
      </w:r>
      <w:r w:rsidR="001C1341" w:rsidRPr="00BF3F0C">
        <w:t xml:space="preserve"> process after the initial electronic search w</w:t>
      </w:r>
      <w:r w:rsidR="00BB2B71" w:rsidRPr="00BF3F0C">
        <w:t>as</w:t>
      </w:r>
      <w:r w:rsidR="001C1341" w:rsidRPr="00BF3F0C">
        <w:t xml:space="preserve"> carried out independently by the two authors, and their decisions and abstracted summaries were compared, </w:t>
      </w:r>
      <w:r w:rsidR="00AB2A00" w:rsidRPr="00BF3F0C">
        <w:t xml:space="preserve">with resolution of </w:t>
      </w:r>
      <w:r w:rsidR="001C1341" w:rsidRPr="00BF3F0C">
        <w:t>discrepancies by discussion.</w:t>
      </w:r>
    </w:p>
    <w:p w:rsidR="001C1341" w:rsidRPr="00BF3F0C" w:rsidRDefault="001C1341" w:rsidP="00EF714E">
      <w:pPr>
        <w:spacing w:line="480" w:lineRule="auto"/>
        <w:contextualSpacing/>
        <w:jc w:val="both"/>
      </w:pPr>
    </w:p>
    <w:p w:rsidR="00D46F12" w:rsidRPr="00BF3F0C" w:rsidRDefault="001C1341" w:rsidP="00EF714E">
      <w:pPr>
        <w:spacing w:line="480" w:lineRule="auto"/>
        <w:contextualSpacing/>
        <w:jc w:val="both"/>
      </w:pPr>
      <w:r w:rsidRPr="00BF3F0C">
        <w:t>In evaluating the publications that were eligible for review, we grouped findings by health outcome, and considered the conclusions that could be drawn given the strengths and limitations of each study.</w:t>
      </w:r>
      <w:r w:rsidR="00046D20" w:rsidRPr="00BF3F0C">
        <w:t xml:space="preserve"> </w:t>
      </w:r>
      <w:r w:rsidR="00F20F24" w:rsidRPr="00BF3F0C">
        <w:t xml:space="preserve">   </w:t>
      </w:r>
      <w:r w:rsidR="00D46F12" w:rsidRPr="00BF3F0C">
        <w:t xml:space="preserve"> </w:t>
      </w:r>
    </w:p>
    <w:p w:rsidR="00D321FC" w:rsidRPr="00BF3F0C" w:rsidRDefault="00D321FC" w:rsidP="00EF714E">
      <w:pPr>
        <w:spacing w:after="200" w:line="480" w:lineRule="auto"/>
        <w:contextualSpacing/>
        <w:rPr>
          <w:rFonts w:eastAsiaTheme="majorEastAsia"/>
          <w:b/>
          <w:bCs/>
          <w:iCs/>
        </w:rPr>
      </w:pPr>
      <w:r w:rsidRPr="00BF3F0C">
        <w:br w:type="page"/>
      </w:r>
    </w:p>
    <w:p w:rsidR="007B3646" w:rsidRPr="00BF3F0C" w:rsidRDefault="00FF69B2" w:rsidP="00EF714E">
      <w:pPr>
        <w:pStyle w:val="Heading4"/>
        <w:spacing w:line="480" w:lineRule="auto"/>
        <w:contextualSpacing/>
        <w:jc w:val="both"/>
        <w:rPr>
          <w:rFonts w:ascii="Arial" w:hAnsi="Arial" w:cs="Arial"/>
          <w:sz w:val="22"/>
        </w:rPr>
      </w:pPr>
      <w:r w:rsidRPr="00BF3F0C">
        <w:rPr>
          <w:rFonts w:ascii="Arial" w:hAnsi="Arial" w:cs="Arial"/>
          <w:sz w:val="22"/>
        </w:rPr>
        <w:lastRenderedPageBreak/>
        <w:t>Results</w:t>
      </w:r>
    </w:p>
    <w:p w:rsidR="005A5F59" w:rsidRPr="00BF3F0C" w:rsidRDefault="00BF2E06" w:rsidP="00D45323">
      <w:pPr>
        <w:spacing w:line="480" w:lineRule="auto"/>
        <w:contextualSpacing/>
        <w:jc w:val="both"/>
      </w:pPr>
      <w:r w:rsidRPr="00BF3F0C">
        <w:t>Our</w:t>
      </w:r>
      <w:r w:rsidR="00FF69B2" w:rsidRPr="00BF3F0C">
        <w:t xml:space="preserve"> initial search identified </w:t>
      </w:r>
      <w:r w:rsidR="0067013D" w:rsidRPr="00EB2420">
        <w:t>202</w:t>
      </w:r>
      <w:r w:rsidR="0067013D">
        <w:t xml:space="preserve"> </w:t>
      </w:r>
      <w:r w:rsidR="00FF69B2" w:rsidRPr="00BF3F0C">
        <w:t xml:space="preserve">potentially relevant reports through </w:t>
      </w:r>
      <w:r w:rsidR="00BB2B71" w:rsidRPr="00BF3F0C">
        <w:t xml:space="preserve">Ovid </w:t>
      </w:r>
      <w:r w:rsidR="00FF69B2" w:rsidRPr="00BF3F0C">
        <w:t xml:space="preserve">Medline and </w:t>
      </w:r>
      <w:proofErr w:type="spellStart"/>
      <w:r w:rsidR="00FF69B2" w:rsidRPr="00BF3F0C">
        <w:t>Embase</w:t>
      </w:r>
      <w:proofErr w:type="spellEnd"/>
      <w:r w:rsidR="00FF69B2" w:rsidRPr="00BF3F0C">
        <w:t xml:space="preserve">, and </w:t>
      </w:r>
      <w:r w:rsidR="0067013D" w:rsidRPr="00EB2420">
        <w:t>378</w:t>
      </w:r>
      <w:r w:rsidR="00FF69B2" w:rsidRPr="00BF3F0C">
        <w:t xml:space="preserve"> in the Web of Science database.  After removal of </w:t>
      </w:r>
      <w:r w:rsidR="0055175A">
        <w:t>98</w:t>
      </w:r>
      <w:r w:rsidR="00FF69B2" w:rsidRPr="00BF3F0C">
        <w:t xml:space="preserve"> duplicates, the titles and abstracts of the remaining </w:t>
      </w:r>
      <w:r w:rsidR="0055175A">
        <w:t>482</w:t>
      </w:r>
      <w:r w:rsidR="00FF69B2" w:rsidRPr="00BF3F0C">
        <w:t xml:space="preserve"> papers were read, and </w:t>
      </w:r>
      <w:r w:rsidR="00A167C8">
        <w:t>440</w:t>
      </w:r>
      <w:r w:rsidR="00FF69B2" w:rsidRPr="00BF3F0C">
        <w:t xml:space="preserve"> </w:t>
      </w:r>
      <w:r w:rsidR="005A5F59" w:rsidRPr="00BF3F0C">
        <w:t>which</w:t>
      </w:r>
      <w:r w:rsidR="00FF69B2" w:rsidRPr="00BF3F0C">
        <w:t xml:space="preserve"> did not meet the specified inclusion criteria were discarded.  </w:t>
      </w:r>
      <w:r w:rsidRPr="00BF3F0C">
        <w:t xml:space="preserve">Full copies were </w:t>
      </w:r>
      <w:r w:rsidR="005A5F59" w:rsidRPr="00BF3F0C">
        <w:t>retrieved</w:t>
      </w:r>
      <w:r w:rsidRPr="00BF3F0C">
        <w:t xml:space="preserve"> </w:t>
      </w:r>
      <w:r w:rsidR="007250C0" w:rsidRPr="00BF3F0C">
        <w:t>of</w:t>
      </w:r>
      <w:r w:rsidRPr="00BF3F0C">
        <w:t xml:space="preserve"> t</w:t>
      </w:r>
      <w:r w:rsidR="00FF69B2" w:rsidRPr="00BF3F0C">
        <w:t xml:space="preserve">he </w:t>
      </w:r>
      <w:r w:rsidR="00BB2B71" w:rsidRPr="00BF3F0C">
        <w:t xml:space="preserve">other </w:t>
      </w:r>
      <w:r w:rsidR="00A167C8">
        <w:t>42</w:t>
      </w:r>
      <w:r w:rsidRPr="00BF3F0C">
        <w:t xml:space="preserve"> </w:t>
      </w:r>
      <w:r w:rsidR="00167AD8" w:rsidRPr="00BF3F0C">
        <w:t>references</w:t>
      </w:r>
      <w:r w:rsidRPr="00BF3F0C">
        <w:t xml:space="preserve">, and </w:t>
      </w:r>
      <w:r w:rsidR="005A5F59" w:rsidRPr="00BF3F0C">
        <w:t xml:space="preserve">following detailed scrutiny, </w:t>
      </w:r>
      <w:r w:rsidR="0057154F">
        <w:t>23</w:t>
      </w:r>
      <w:r w:rsidRPr="00BF3F0C">
        <w:t xml:space="preserve"> were judged eligible for inclusion.  In addition, </w:t>
      </w:r>
      <w:r w:rsidR="00D45323">
        <w:t>three</w:t>
      </w:r>
      <w:r w:rsidRPr="00BF3F0C">
        <w:t xml:space="preserve"> further </w:t>
      </w:r>
      <w:r w:rsidR="00EB2420" w:rsidRPr="00BF3F0C">
        <w:t>publications</w:t>
      </w:r>
      <w:r w:rsidRPr="00BF3F0C">
        <w:t xml:space="preserve"> </w:t>
      </w:r>
      <w:r w:rsidR="00EB2420" w:rsidRPr="00BF3F0C">
        <w:t>were</w:t>
      </w:r>
      <w:r w:rsidRPr="00BF3F0C">
        <w:t xml:space="preserve"> identified from the reference lists of th</w:t>
      </w:r>
      <w:r w:rsidR="00927197">
        <w:t>o</w:t>
      </w:r>
      <w:r w:rsidRPr="00BF3F0C">
        <w:t xml:space="preserve">se papers, giving a final total of </w:t>
      </w:r>
      <w:r w:rsidR="00A167C8">
        <w:t>2</w:t>
      </w:r>
      <w:r w:rsidR="0057154F">
        <w:t>6</w:t>
      </w:r>
      <w:r w:rsidRPr="00BF3F0C">
        <w:t xml:space="preserve"> reports that were </w:t>
      </w:r>
      <w:r w:rsidR="005A5F59" w:rsidRPr="00BF3F0C">
        <w:t>included</w:t>
      </w:r>
      <w:r w:rsidRPr="00BF3F0C">
        <w:t xml:space="preserve"> in the review</w:t>
      </w:r>
      <w:r w:rsidR="00485B59">
        <w:t xml:space="preserve"> (Figure 1)</w:t>
      </w:r>
      <w:r w:rsidRPr="00BF3F0C">
        <w:t>.</w:t>
      </w:r>
    </w:p>
    <w:p w:rsidR="005A5F59" w:rsidRPr="00BF3F0C" w:rsidRDefault="005A5F59" w:rsidP="00EF714E">
      <w:pPr>
        <w:spacing w:line="480" w:lineRule="auto"/>
        <w:contextualSpacing/>
        <w:jc w:val="both"/>
      </w:pPr>
    </w:p>
    <w:p w:rsidR="000C4E3A" w:rsidRPr="00BF3F0C" w:rsidRDefault="005A5F59" w:rsidP="00825EB4">
      <w:pPr>
        <w:spacing w:line="480" w:lineRule="auto"/>
        <w:contextualSpacing/>
        <w:jc w:val="both"/>
      </w:pPr>
      <w:r w:rsidRPr="00BF3F0C">
        <w:t xml:space="preserve">The </w:t>
      </w:r>
      <w:r w:rsidR="00D45323">
        <w:t>2</w:t>
      </w:r>
      <w:r w:rsidR="00D51715">
        <w:t>6</w:t>
      </w:r>
      <w:r w:rsidRPr="00BF3F0C">
        <w:t xml:space="preserve"> </w:t>
      </w:r>
      <w:r w:rsidR="00167AD8" w:rsidRPr="00BF3F0C">
        <w:t>articles</w:t>
      </w:r>
      <w:r w:rsidRPr="00BF3F0C">
        <w:t xml:space="preserve"> </w:t>
      </w:r>
      <w:r w:rsidR="002A3DB7" w:rsidRPr="00BF3F0C">
        <w:t xml:space="preserve">(Table 2) </w:t>
      </w:r>
      <w:r w:rsidRPr="00BF3F0C">
        <w:t xml:space="preserve">had all been published since 2005, </w:t>
      </w:r>
      <w:r w:rsidR="002A3DB7" w:rsidRPr="00BF3F0C">
        <w:t xml:space="preserve">including </w:t>
      </w:r>
      <w:r w:rsidR="00D45323">
        <w:t>2</w:t>
      </w:r>
      <w:r w:rsidR="00927197">
        <w:t>2</w:t>
      </w:r>
      <w:r w:rsidRPr="00BF3F0C">
        <w:t xml:space="preserve"> since 2010.</w:t>
      </w:r>
      <w:r w:rsidR="002A3DB7" w:rsidRPr="00BF3F0C">
        <w:t xml:space="preserve">  They described </w:t>
      </w:r>
      <w:r w:rsidR="009B54AA">
        <w:t xml:space="preserve">25 </w:t>
      </w:r>
      <w:r w:rsidR="002A3DB7" w:rsidRPr="00BF3F0C">
        <w:t xml:space="preserve">studies </w:t>
      </w:r>
      <w:r w:rsidR="001D2FDA">
        <w:t>(two papers</w:t>
      </w:r>
      <w:r w:rsidR="001D2FDA">
        <w:rPr>
          <w:vertAlign w:val="superscript"/>
        </w:rPr>
        <w:t>18</w:t>
      </w:r>
      <w:proofErr w:type="gramStart"/>
      <w:r w:rsidR="001D2FDA">
        <w:rPr>
          <w:vertAlign w:val="superscript"/>
        </w:rPr>
        <w:t>,19</w:t>
      </w:r>
      <w:proofErr w:type="gramEnd"/>
      <w:r w:rsidR="001D2FDA">
        <w:t xml:space="preserve"> related to the same study) </w:t>
      </w:r>
      <w:r w:rsidR="002A3DB7" w:rsidRPr="00BF3F0C">
        <w:t>conducted in South Asia (</w:t>
      </w:r>
      <w:r w:rsidR="004F37F8">
        <w:t>10</w:t>
      </w:r>
      <w:r w:rsidR="002A3DB7" w:rsidRPr="00BF3F0C">
        <w:t>), China (</w:t>
      </w:r>
      <w:r w:rsidR="009B54AA">
        <w:t>4</w:t>
      </w:r>
      <w:r w:rsidR="002A3DB7" w:rsidRPr="00BF3F0C">
        <w:t xml:space="preserve">), Turkey (2), Iran (1) and </w:t>
      </w:r>
      <w:r w:rsidR="007250C0" w:rsidRPr="00BF3F0C">
        <w:t xml:space="preserve">Central and </w:t>
      </w:r>
      <w:r w:rsidR="002A3DB7" w:rsidRPr="00BF3F0C">
        <w:t>South America (</w:t>
      </w:r>
      <w:r w:rsidR="007D050B">
        <w:t>8</w:t>
      </w:r>
      <w:r w:rsidR="002A3DB7" w:rsidRPr="00BF3F0C">
        <w:t>)</w:t>
      </w:r>
      <w:r w:rsidR="001D2FDA">
        <w:t xml:space="preserve">. </w:t>
      </w:r>
      <w:r w:rsidR="002A3DB7" w:rsidRPr="00BF3F0C">
        <w:t xml:space="preserve"> </w:t>
      </w:r>
      <w:r w:rsidR="001D2FDA">
        <w:t>F</w:t>
      </w:r>
      <w:r w:rsidR="007D050B">
        <w:t>ive</w:t>
      </w:r>
      <w:r w:rsidR="002A3DB7" w:rsidRPr="00BF3F0C">
        <w:t xml:space="preserve"> </w:t>
      </w:r>
      <w:r w:rsidR="001D2FDA">
        <w:t>studies were</w:t>
      </w:r>
      <w:r w:rsidR="002A3DB7" w:rsidRPr="00BF3F0C">
        <w:t xml:space="preserve"> reported only as abstracts.</w:t>
      </w:r>
      <w:r w:rsidR="00506759" w:rsidRPr="00BF3F0C">
        <w:t xml:space="preserve">  </w:t>
      </w:r>
      <w:r w:rsidR="00D51715">
        <w:t>Eight</w:t>
      </w:r>
      <w:r w:rsidR="00CC6927" w:rsidRPr="00BF3F0C">
        <w:t xml:space="preserve"> </w:t>
      </w:r>
      <w:r w:rsidR="008665F1" w:rsidRPr="00BF3F0C">
        <w:t>provided information</w:t>
      </w:r>
      <w:r w:rsidR="00CC6927" w:rsidRPr="00BF3F0C">
        <w:t xml:space="preserve"> </w:t>
      </w:r>
      <w:r w:rsidR="00510604" w:rsidRPr="00BF3F0C">
        <w:t>about</w:t>
      </w:r>
      <w:r w:rsidR="00CC6927" w:rsidRPr="00BF3F0C">
        <w:t xml:space="preserve"> risk of CHD or heart disease more generally, </w:t>
      </w:r>
      <w:r w:rsidR="00370351" w:rsidRPr="00BF3F0C">
        <w:t xml:space="preserve">three about heart rate or its variability, </w:t>
      </w:r>
      <w:r w:rsidR="007250C0" w:rsidRPr="00BF3F0C">
        <w:t>four about measures of vascular pathology</w:t>
      </w:r>
      <w:r w:rsidR="00CC6927" w:rsidRPr="00BF3F0C">
        <w:t xml:space="preserve">, </w:t>
      </w:r>
      <w:r w:rsidR="007D050B">
        <w:t>six</w:t>
      </w:r>
      <w:r w:rsidR="007250C0" w:rsidRPr="00BF3F0C">
        <w:t xml:space="preserve"> about oxidative stress and/or </w:t>
      </w:r>
      <w:r w:rsidR="00167AD8" w:rsidRPr="00BF3F0C">
        <w:t>bio</w:t>
      </w:r>
      <w:r w:rsidR="007250C0" w:rsidRPr="00BF3F0C">
        <w:t>markers</w:t>
      </w:r>
      <w:r w:rsidR="00167AD8" w:rsidRPr="00BF3F0C">
        <w:t xml:space="preserve"> of inflammation</w:t>
      </w:r>
      <w:r w:rsidR="007250C0" w:rsidRPr="00BF3F0C">
        <w:t xml:space="preserve">, </w:t>
      </w:r>
      <w:r w:rsidR="009B54AA">
        <w:t>thir</w:t>
      </w:r>
      <w:r w:rsidR="007D050B">
        <w:t>teen</w:t>
      </w:r>
      <w:r w:rsidR="00CC6927" w:rsidRPr="00BF3F0C">
        <w:t xml:space="preserve"> </w:t>
      </w:r>
      <w:r w:rsidR="00510604" w:rsidRPr="00BF3F0C">
        <w:t>about</w:t>
      </w:r>
      <w:r w:rsidR="00CC6927" w:rsidRPr="00BF3F0C">
        <w:t xml:space="preserve"> </w:t>
      </w:r>
      <w:r w:rsidR="007250C0" w:rsidRPr="00BF3F0C">
        <w:t>blood pressure, and one about lipid profile</w:t>
      </w:r>
      <w:r w:rsidR="00CC6927" w:rsidRPr="00BF3F0C">
        <w:t xml:space="preserve">.  Most compared use of biomass with non-use or </w:t>
      </w:r>
      <w:r w:rsidR="003027AC">
        <w:t xml:space="preserve">with </w:t>
      </w:r>
      <w:r w:rsidR="00CC6927" w:rsidRPr="00BF3F0C">
        <w:t xml:space="preserve">use of </w:t>
      </w:r>
      <w:r w:rsidR="00EB503B" w:rsidRPr="00BF3F0C">
        <w:t>cleaner fuels</w:t>
      </w:r>
      <w:r w:rsidR="00CC6927" w:rsidRPr="00BF3F0C">
        <w:t xml:space="preserve">, but </w:t>
      </w:r>
      <w:r w:rsidR="00D1044B">
        <w:t>four</w:t>
      </w:r>
      <w:r w:rsidR="00EB503B" w:rsidRPr="00BF3F0C">
        <w:t xml:space="preserve"> assessed the impact of </w:t>
      </w:r>
      <w:r w:rsidR="0013210D" w:rsidRPr="00BF3F0C">
        <w:t xml:space="preserve">biomass stoves with </w:t>
      </w:r>
      <w:r w:rsidR="00EB503B" w:rsidRPr="00BF3F0C">
        <w:t xml:space="preserve">improved </w:t>
      </w:r>
      <w:r w:rsidR="0013210D" w:rsidRPr="00BF3F0C">
        <w:t>design</w:t>
      </w:r>
      <w:r w:rsidR="00EB503B" w:rsidRPr="00BF3F0C">
        <w:t xml:space="preserve">, </w:t>
      </w:r>
      <w:r w:rsidR="00597B45">
        <w:t>three</w:t>
      </w:r>
      <w:r w:rsidR="00EB503B" w:rsidRPr="00BF3F0C">
        <w:t xml:space="preserve"> compared different levels of exposure to PM</w:t>
      </w:r>
      <w:r w:rsidR="0091405B">
        <w:t>,</w:t>
      </w:r>
      <w:r w:rsidR="00EB503B" w:rsidRPr="00BF3F0C">
        <w:t xml:space="preserve"> </w:t>
      </w:r>
      <w:r w:rsidR="0091405B">
        <w:t>CO or black carbon</w:t>
      </w:r>
      <w:r w:rsidR="00EB503B" w:rsidRPr="00BF3F0C">
        <w:t xml:space="preserve"> and one assessed associations with occupational exposure to </w:t>
      </w:r>
      <w:r w:rsidR="00167AD8" w:rsidRPr="00BF3F0C">
        <w:t xml:space="preserve">indoor </w:t>
      </w:r>
      <w:r w:rsidR="00EB503B" w:rsidRPr="00BF3F0C">
        <w:t>barbecues.</w:t>
      </w:r>
      <w:r w:rsidR="00704D60" w:rsidRPr="00BF3F0C">
        <w:t xml:space="preserve">  </w:t>
      </w:r>
      <w:r w:rsidR="0054318F">
        <w:t>S</w:t>
      </w:r>
      <w:r w:rsidR="00597B45">
        <w:t>ix</w:t>
      </w:r>
      <w:r w:rsidR="0054318F">
        <w:t>teen</w:t>
      </w:r>
      <w:r w:rsidR="00704D60" w:rsidRPr="00BF3F0C">
        <w:t xml:space="preserve"> were cross-sectional in design, </w:t>
      </w:r>
      <w:r w:rsidR="0054318F">
        <w:t>four</w:t>
      </w:r>
      <w:r w:rsidR="00704D60" w:rsidRPr="00BF3F0C">
        <w:t xml:space="preserve"> assessed interventions, two were case-control investigations, and </w:t>
      </w:r>
      <w:r w:rsidR="00D51715">
        <w:t>three</w:t>
      </w:r>
      <w:r w:rsidR="00704D60" w:rsidRPr="00BF3F0C">
        <w:t xml:space="preserve"> </w:t>
      </w:r>
      <w:r w:rsidR="0054318F">
        <w:t>were</w:t>
      </w:r>
      <w:r w:rsidR="00704D60" w:rsidRPr="00BF3F0C">
        <w:t xml:space="preserve"> cohort stud</w:t>
      </w:r>
      <w:r w:rsidR="0054318F">
        <w:t>ies</w:t>
      </w:r>
      <w:r w:rsidR="00704D60" w:rsidRPr="00BF3F0C">
        <w:t>.</w:t>
      </w:r>
      <w:r w:rsidR="000C4E3A" w:rsidRPr="00BF3F0C">
        <w:t xml:space="preserve">  Potential for confounding was addressed by vari</w:t>
      </w:r>
      <w:r w:rsidR="00167AD8" w:rsidRPr="00BF3F0C">
        <w:t>ous</w:t>
      </w:r>
      <w:r w:rsidR="000C4E3A" w:rsidRPr="00BF3F0C">
        <w:t xml:space="preserve"> combinations of restriction (e.g. to women or non-smokers), matching, and statistical adjustment.</w:t>
      </w:r>
      <w:r w:rsidR="00CC6927" w:rsidRPr="00BF3F0C">
        <w:t xml:space="preserve"> </w:t>
      </w:r>
      <w:r w:rsidRPr="00BF3F0C">
        <w:t xml:space="preserve"> </w:t>
      </w:r>
      <w:r w:rsidR="000C4E3A" w:rsidRPr="00BF3F0C">
        <w:t xml:space="preserve">However, in </w:t>
      </w:r>
      <w:r w:rsidR="003D163E" w:rsidRPr="00BF3F0C">
        <w:t>t</w:t>
      </w:r>
      <w:r w:rsidR="00CA23F8" w:rsidRPr="00BF3F0C">
        <w:t>wo</w:t>
      </w:r>
      <w:r w:rsidR="000C4E3A" w:rsidRPr="00BF3F0C">
        <w:t xml:space="preserve"> studies there was no documented control for possible confounding.</w:t>
      </w:r>
      <w:r w:rsidR="00167AD8" w:rsidRPr="00BF3F0C">
        <w:t xml:space="preserve">  As indicated in the comments in Table 2, some of the studies had important limitations.</w:t>
      </w:r>
    </w:p>
    <w:p w:rsidR="000C4E3A" w:rsidRPr="00BF3F0C" w:rsidRDefault="000C4E3A" w:rsidP="00EF714E">
      <w:pPr>
        <w:spacing w:line="480" w:lineRule="auto"/>
        <w:contextualSpacing/>
        <w:jc w:val="both"/>
      </w:pPr>
    </w:p>
    <w:p w:rsidR="00177DCB" w:rsidRPr="00BF3F0C" w:rsidRDefault="00177DCB" w:rsidP="00EF714E">
      <w:pPr>
        <w:pStyle w:val="NoSpacing"/>
        <w:spacing w:line="480" w:lineRule="auto"/>
        <w:contextualSpacing/>
        <w:jc w:val="both"/>
      </w:pPr>
      <w:r w:rsidRPr="00BF3F0C">
        <w:t>Heart disease</w:t>
      </w:r>
    </w:p>
    <w:p w:rsidR="0000729D" w:rsidRPr="00BF3F0C" w:rsidRDefault="00370351" w:rsidP="00533071">
      <w:pPr>
        <w:spacing w:line="480" w:lineRule="auto"/>
        <w:contextualSpacing/>
        <w:jc w:val="both"/>
      </w:pPr>
      <w:r w:rsidRPr="00BF3F0C">
        <w:t>Two case-control studies</w:t>
      </w:r>
      <w:r w:rsidR="00F3381F" w:rsidRPr="00BF3F0C">
        <w:t xml:space="preserve"> assessed the association of hospital treatment for acute coronary syndrome with use of biomass fu</w:t>
      </w:r>
      <w:r w:rsidR="0043330B" w:rsidRPr="00BF3F0C">
        <w:t>el as compared with natural</w:t>
      </w:r>
      <w:r w:rsidR="00EB0562">
        <w:t xml:space="preserve"> or liquefied</w:t>
      </w:r>
      <w:r w:rsidR="0043330B" w:rsidRPr="00BF3F0C">
        <w:t xml:space="preserve"> </w:t>
      </w:r>
      <w:r w:rsidR="00EB0562">
        <w:t xml:space="preserve">petroleum </w:t>
      </w:r>
      <w:r w:rsidR="0043330B" w:rsidRPr="00BF3F0C">
        <w:t>gas</w:t>
      </w:r>
      <w:r w:rsidR="00F3381F" w:rsidRPr="00BF3F0C">
        <w:t>.</w:t>
      </w:r>
      <w:r w:rsidR="00AC7179">
        <w:rPr>
          <w:vertAlign w:val="superscript"/>
        </w:rPr>
        <w:t>24</w:t>
      </w:r>
      <w:proofErr w:type="gramStart"/>
      <w:r w:rsidR="0043330B" w:rsidRPr="00BF3F0C">
        <w:rPr>
          <w:vertAlign w:val="superscript"/>
        </w:rPr>
        <w:t>,</w:t>
      </w:r>
      <w:r w:rsidR="00AC7179">
        <w:rPr>
          <w:vertAlign w:val="superscript"/>
        </w:rPr>
        <w:t>31</w:t>
      </w:r>
      <w:proofErr w:type="gramEnd"/>
      <w:r w:rsidR="00F3381F" w:rsidRPr="00BF3F0C">
        <w:t xml:space="preserve">  </w:t>
      </w:r>
      <w:r w:rsidR="00F3381F" w:rsidRPr="00BF3F0C">
        <w:lastRenderedPageBreak/>
        <w:t xml:space="preserve">Although they were relatively small, both found significantly </w:t>
      </w:r>
      <w:r w:rsidR="0013210D" w:rsidRPr="00BF3F0C">
        <w:t>elevated</w:t>
      </w:r>
      <w:r w:rsidR="00F3381F" w:rsidRPr="00BF3F0C">
        <w:t xml:space="preserve"> odds ratios (2.57 and 4.8).  However, one was reported only as an abstract, and </w:t>
      </w:r>
      <w:r w:rsidR="00B43522" w:rsidRPr="00BF3F0C">
        <w:t xml:space="preserve">apart from age, </w:t>
      </w:r>
      <w:r w:rsidR="00F3381F" w:rsidRPr="00BF3F0C">
        <w:t xml:space="preserve">it is unclear </w:t>
      </w:r>
      <w:r w:rsidR="00B43522" w:rsidRPr="00BF3F0C">
        <w:t>exactly which</w:t>
      </w:r>
      <w:r w:rsidR="00F3381F" w:rsidRPr="00BF3F0C">
        <w:t xml:space="preserve"> potential confounders were </w:t>
      </w:r>
      <w:r w:rsidR="00B43522" w:rsidRPr="00BF3F0C">
        <w:t>taken into account</w:t>
      </w:r>
      <w:r w:rsidR="00F3381F" w:rsidRPr="00BF3F0C">
        <w:t>.</w:t>
      </w:r>
      <w:r w:rsidR="00A76BE1">
        <w:rPr>
          <w:vertAlign w:val="superscript"/>
        </w:rPr>
        <w:t>24</w:t>
      </w:r>
      <w:r w:rsidR="00F3381F" w:rsidRPr="00BF3F0C">
        <w:t xml:space="preserve">  Furthermore, it </w:t>
      </w:r>
      <w:r w:rsidR="0013210D" w:rsidRPr="00BF3F0C">
        <w:t>grouped</w:t>
      </w:r>
      <w:r w:rsidR="00167AD8" w:rsidRPr="00BF3F0C">
        <w:t xml:space="preserve"> </w:t>
      </w:r>
      <w:r w:rsidR="00F3381F" w:rsidRPr="00BF3F0C">
        <w:t xml:space="preserve">kerosene </w:t>
      </w:r>
      <w:r w:rsidR="0013210D" w:rsidRPr="00BF3F0C">
        <w:t>with</w:t>
      </w:r>
      <w:r w:rsidR="00F3381F" w:rsidRPr="00BF3F0C">
        <w:t xml:space="preserve"> biomass fuel</w:t>
      </w:r>
      <w:r w:rsidR="0013210D" w:rsidRPr="00BF3F0C">
        <w:t>s</w:t>
      </w:r>
      <w:r w:rsidR="00F3381F" w:rsidRPr="00BF3F0C">
        <w:t>, which may have biased risk estimates towards the null.</w:t>
      </w:r>
    </w:p>
    <w:p w:rsidR="0000729D" w:rsidRPr="00BF3F0C" w:rsidRDefault="0000729D" w:rsidP="00EF714E">
      <w:pPr>
        <w:spacing w:line="480" w:lineRule="auto"/>
        <w:contextualSpacing/>
        <w:jc w:val="both"/>
      </w:pPr>
    </w:p>
    <w:p w:rsidR="00210E43" w:rsidRDefault="0000729D" w:rsidP="00533071">
      <w:pPr>
        <w:spacing w:line="480" w:lineRule="auto"/>
        <w:contextualSpacing/>
        <w:jc w:val="both"/>
      </w:pPr>
      <w:r w:rsidRPr="00BF3F0C">
        <w:t xml:space="preserve">In Iran, </w:t>
      </w:r>
      <w:proofErr w:type="spellStart"/>
      <w:r w:rsidRPr="00BF3F0C">
        <w:t>Mitter</w:t>
      </w:r>
      <w:proofErr w:type="spellEnd"/>
      <w:r w:rsidRPr="00BF3F0C">
        <w:t xml:space="preserve"> et al</w:t>
      </w:r>
      <w:r w:rsidR="00533071" w:rsidRPr="00BF3F0C">
        <w:t>.</w:t>
      </w:r>
      <w:r w:rsidR="00AC7179">
        <w:rPr>
          <w:vertAlign w:val="superscript"/>
        </w:rPr>
        <w:t>27</w:t>
      </w:r>
      <w:r w:rsidRPr="00BF3F0C">
        <w:t xml:space="preserve"> examined hazard ratios (HRs) for death from heart disease in a cohort of more than 50,000 men and women, according to years of using wood or other biomass fuel for cooking and heating.  Positive associations were found with use of biomass other </w:t>
      </w:r>
      <w:r w:rsidR="0013210D" w:rsidRPr="00BF3F0C">
        <w:t xml:space="preserve">than </w:t>
      </w:r>
      <w:r w:rsidRPr="00BF3F0C">
        <w:t>wood, but they were weak and not statistically significant</w:t>
      </w:r>
      <w:r w:rsidR="003D163E" w:rsidRPr="00BF3F0C">
        <w:t xml:space="preserve"> (HRs of 1.003 for each additional year of use).  Again, the study was reported only as an abstract, making it difficult to be confident about the validity of the methods.  Adjustment for hypertension </w:t>
      </w:r>
      <w:r w:rsidR="0013210D" w:rsidRPr="00BF3F0C">
        <w:t>could</w:t>
      </w:r>
      <w:r w:rsidR="003D163E" w:rsidRPr="00BF3F0C">
        <w:t xml:space="preserve"> have caused the effects of biomass to be underestimated if effects on blood pressure l</w:t>
      </w:r>
      <w:r w:rsidR="0013210D" w:rsidRPr="00BF3F0C">
        <w:t>ay</w:t>
      </w:r>
      <w:r w:rsidR="003D163E" w:rsidRPr="00BF3F0C">
        <w:t xml:space="preserve"> on a causal pathway to heart disease.</w:t>
      </w:r>
      <w:r w:rsidR="007E2179" w:rsidRPr="007E2179">
        <w:t xml:space="preserve"> </w:t>
      </w:r>
    </w:p>
    <w:p w:rsidR="00210E43" w:rsidRDefault="00210E43" w:rsidP="00533071">
      <w:pPr>
        <w:spacing w:line="480" w:lineRule="auto"/>
        <w:contextualSpacing/>
        <w:jc w:val="both"/>
      </w:pPr>
    </w:p>
    <w:p w:rsidR="003D163E" w:rsidRPr="00BF3F0C" w:rsidRDefault="00210E43" w:rsidP="00533071">
      <w:pPr>
        <w:spacing w:line="480" w:lineRule="auto"/>
        <w:contextualSpacing/>
        <w:jc w:val="both"/>
      </w:pPr>
      <w:r w:rsidRPr="00210E43">
        <w:t>In a cohort study of 73,363 women in China, use of coal in the home for &gt;30 years carried a hazard ratio of 1.62 (95% CI: 1.01-2.63) for death from myocardial infarction in comparison with never use</w:t>
      </w:r>
      <w:r w:rsidR="00AC7179">
        <w:rPr>
          <w:vertAlign w:val="superscript"/>
        </w:rPr>
        <w:t>33</w:t>
      </w:r>
      <w:r w:rsidRPr="00210E43">
        <w:t xml:space="preserve">.  However, the </w:t>
      </w:r>
      <w:r>
        <w:t>investigation</w:t>
      </w:r>
      <w:r w:rsidRPr="00210E43">
        <w:t xml:space="preserve"> was reported</w:t>
      </w:r>
      <w:r>
        <w:t xml:space="preserve"> only as an abstract, and the duration of follow-up was not described.</w:t>
      </w:r>
    </w:p>
    <w:p w:rsidR="003D163E" w:rsidRDefault="003D163E" w:rsidP="00EF714E">
      <w:pPr>
        <w:spacing w:line="480" w:lineRule="auto"/>
        <w:contextualSpacing/>
        <w:jc w:val="both"/>
      </w:pPr>
    </w:p>
    <w:p w:rsidR="00C351C9" w:rsidRDefault="00C351C9" w:rsidP="007E2179">
      <w:pPr>
        <w:spacing w:line="480" w:lineRule="auto"/>
        <w:contextualSpacing/>
        <w:jc w:val="both"/>
      </w:pPr>
      <w:r w:rsidRPr="007E2179">
        <w:t>Alam et al.</w:t>
      </w:r>
      <w:r w:rsidR="00AC7179">
        <w:rPr>
          <w:vertAlign w:val="superscript"/>
        </w:rPr>
        <w:t>28</w:t>
      </w:r>
      <w:r w:rsidRPr="007E2179">
        <w:t xml:space="preserve"> </w:t>
      </w:r>
      <w:r w:rsidR="00597B45">
        <w:t>ascertained</w:t>
      </w:r>
      <w:r w:rsidRPr="007E2179">
        <w:t xml:space="preserve"> </w:t>
      </w:r>
      <w:r w:rsidR="00685AFE">
        <w:t xml:space="preserve">deaths from </w:t>
      </w:r>
      <w:r w:rsidRPr="007E2179">
        <w:t>isch</w:t>
      </w:r>
      <w:r w:rsidR="00597B45">
        <w:t>a</w:t>
      </w:r>
      <w:r w:rsidRPr="007E2179">
        <w:t xml:space="preserve">emic heart disease (IHD) by verbal autopsy </w:t>
      </w:r>
      <w:r w:rsidR="00597B45">
        <w:t xml:space="preserve">during follow-up over 10 years of </w:t>
      </w:r>
      <w:r w:rsidRPr="007E2179">
        <w:t>a cohort</w:t>
      </w:r>
      <w:r w:rsidR="00597B45">
        <w:t xml:space="preserve"> comprising </w:t>
      </w:r>
      <w:r w:rsidRPr="007E2179">
        <w:t xml:space="preserve"> </w:t>
      </w:r>
      <w:r w:rsidR="00597B45">
        <w:t xml:space="preserve">20,757 rural residents </w:t>
      </w:r>
      <w:r w:rsidR="00A76BE1">
        <w:t xml:space="preserve">from Bangladesh </w:t>
      </w:r>
      <w:r w:rsidR="00685AFE">
        <w:t xml:space="preserve">who </w:t>
      </w:r>
      <w:r w:rsidR="00597B45">
        <w:t>us</w:t>
      </w:r>
      <w:r w:rsidR="00685AFE">
        <w:t>ed</w:t>
      </w:r>
      <w:r w:rsidR="00597B45">
        <w:t xml:space="preserve"> solid fuel for cooking or heating and 1,589 </w:t>
      </w:r>
      <w:r w:rsidR="00685AFE">
        <w:t>who used</w:t>
      </w:r>
      <w:r w:rsidR="00597B45">
        <w:t xml:space="preserve"> </w:t>
      </w:r>
      <w:r w:rsidRPr="007E2179">
        <w:t xml:space="preserve">natural gas. </w:t>
      </w:r>
      <w:r w:rsidR="00597B45">
        <w:t xml:space="preserve"> Incidence rate ratios for use of solid fuel were below one, but </w:t>
      </w:r>
      <w:r w:rsidR="00962A8F">
        <w:t>the reduction in risk was not statistically significant</w:t>
      </w:r>
      <w:r w:rsidR="00D1694E">
        <w:t>.</w:t>
      </w:r>
      <w:r w:rsidR="00685AFE">
        <w:t xml:space="preserve">  I</w:t>
      </w:r>
      <w:r w:rsidR="00597B45">
        <w:t>t is unclear whether and how potential confounders were taken into account</w:t>
      </w:r>
      <w:r w:rsidRPr="007E2179">
        <w:t>.</w:t>
      </w:r>
      <w:r>
        <w:t xml:space="preserve"> </w:t>
      </w:r>
    </w:p>
    <w:p w:rsidR="00C351C9" w:rsidRPr="00C351C9" w:rsidRDefault="00C351C9" w:rsidP="00EF714E">
      <w:pPr>
        <w:spacing w:line="480" w:lineRule="auto"/>
        <w:contextualSpacing/>
        <w:jc w:val="both"/>
      </w:pPr>
    </w:p>
    <w:p w:rsidR="00A37A98" w:rsidRPr="00BF3F0C" w:rsidRDefault="0043330B" w:rsidP="0046423B">
      <w:pPr>
        <w:spacing w:line="480" w:lineRule="auto"/>
        <w:contextualSpacing/>
        <w:jc w:val="both"/>
      </w:pPr>
      <w:r w:rsidRPr="00BF3F0C">
        <w:t>Lee and colleagues</w:t>
      </w:r>
      <w:r w:rsidR="007A38BD">
        <w:rPr>
          <w:vertAlign w:val="superscript"/>
        </w:rPr>
        <w:t>26</w:t>
      </w:r>
      <w:r w:rsidR="0096594A" w:rsidRPr="00BF3F0C">
        <w:t xml:space="preserve"> asked about use of solid fuel and history of doctor-diagnosed CHD, as part of a cross-sectional survey of 13,438 adults in China.  They found a positive association </w:t>
      </w:r>
      <w:r w:rsidR="0096594A" w:rsidRPr="00BF3F0C">
        <w:lastRenderedPageBreak/>
        <w:t>(OR 2.58, 95%CI 1.53-4.32)</w:t>
      </w:r>
      <w:r w:rsidR="00A37A98" w:rsidRPr="00BF3F0C">
        <w:t xml:space="preserve">, but there was no consistent </w:t>
      </w:r>
      <w:r w:rsidR="00E041A3" w:rsidRPr="00BF3F0C">
        <w:t>trend</w:t>
      </w:r>
      <w:r w:rsidR="00A37A98" w:rsidRPr="00BF3F0C">
        <w:t xml:space="preserve"> in risk with longer duration of using solid fuel</w:t>
      </w:r>
      <w:r w:rsidR="0013210D" w:rsidRPr="00BF3F0C">
        <w:t>.  Moreover,</w:t>
      </w:r>
      <w:r w:rsidR="00A37A98" w:rsidRPr="00BF3F0C">
        <w:t xml:space="preserve"> the </w:t>
      </w:r>
      <w:r w:rsidR="0013210D" w:rsidRPr="00BF3F0C">
        <w:t xml:space="preserve">use of self-report to </w:t>
      </w:r>
      <w:r w:rsidR="00A37A98" w:rsidRPr="00BF3F0C">
        <w:t>collect information about both exposure and disease may have led to bias (either inflationary because of differential reporting, or towards the null if there were non-differential errors in recall).</w:t>
      </w:r>
    </w:p>
    <w:p w:rsidR="00A37A98" w:rsidRPr="00BF3F0C" w:rsidRDefault="00A37A98" w:rsidP="00EF714E">
      <w:pPr>
        <w:spacing w:line="480" w:lineRule="auto"/>
        <w:contextualSpacing/>
        <w:jc w:val="both"/>
      </w:pPr>
    </w:p>
    <w:p w:rsidR="00B84161" w:rsidRDefault="00A37A98" w:rsidP="0046423B">
      <w:pPr>
        <w:spacing w:line="480" w:lineRule="auto"/>
        <w:contextualSpacing/>
        <w:jc w:val="both"/>
      </w:pPr>
      <w:r w:rsidRPr="00BF3F0C">
        <w:t>Another cross-sectional study, collected information from 5,949 households in India</w:t>
      </w:r>
      <w:r w:rsidR="0013210D" w:rsidRPr="00BF3F0C">
        <w:t>.</w:t>
      </w:r>
      <w:r w:rsidR="007A38BD">
        <w:rPr>
          <w:vertAlign w:val="superscript"/>
        </w:rPr>
        <w:t>20</w:t>
      </w:r>
      <w:r w:rsidR="0013210D" w:rsidRPr="00BF3F0C">
        <w:t xml:space="preserve">  It</w:t>
      </w:r>
      <w:r w:rsidRPr="00BF3F0C">
        <w:t xml:space="preserve"> found a significant association between use of traditional fuels and </w:t>
      </w:r>
      <w:r w:rsidR="00CA23F8" w:rsidRPr="00BF3F0C">
        <w:t xml:space="preserve">cardiovascular disease being “the most frequently occurring disease that was reported by at least one household member in the last three months” (OR 1.39, 95%CI 1.24-1.55).  However, the health outcome and </w:t>
      </w:r>
      <w:r w:rsidR="00B84161" w:rsidRPr="00BF3F0C">
        <w:t>exact method of statistical</w:t>
      </w:r>
      <w:r w:rsidR="00CA23F8" w:rsidRPr="00BF3F0C">
        <w:t xml:space="preserve"> analysis</w:t>
      </w:r>
      <w:r w:rsidR="00B84161" w:rsidRPr="00BF3F0C">
        <w:t xml:space="preserve"> were poorly specified.</w:t>
      </w:r>
      <w:r w:rsidR="007A38BD">
        <w:t xml:space="preserve"> </w:t>
      </w:r>
      <w:r w:rsidR="00B84161" w:rsidRPr="00BF3F0C">
        <w:t xml:space="preserve"> It is unclear whether the adjustment for age took into account the ages of all household members, or just that of </w:t>
      </w:r>
      <w:r w:rsidR="00E041A3" w:rsidRPr="00BF3F0C">
        <w:t xml:space="preserve">the </w:t>
      </w:r>
      <w:r w:rsidR="00B84161" w:rsidRPr="00BF3F0C">
        <w:t xml:space="preserve">individual who responded on behalf of the household, </w:t>
      </w:r>
      <w:r w:rsidR="00E041A3" w:rsidRPr="00BF3F0C">
        <w:t>and</w:t>
      </w:r>
      <w:r w:rsidR="00B84161" w:rsidRPr="00BF3F0C">
        <w:t xml:space="preserve"> whether and how allowance was made for differing sizes of households.</w:t>
      </w:r>
    </w:p>
    <w:p w:rsidR="00210E43" w:rsidRPr="00210E43" w:rsidRDefault="00210E43" w:rsidP="0046423B">
      <w:pPr>
        <w:spacing w:line="480" w:lineRule="auto"/>
        <w:contextualSpacing/>
        <w:jc w:val="both"/>
      </w:pPr>
    </w:p>
    <w:p w:rsidR="001F4E15" w:rsidRPr="00BF3F0C" w:rsidRDefault="0013210D" w:rsidP="0046423B">
      <w:pPr>
        <w:spacing w:line="480" w:lineRule="auto"/>
        <w:contextualSpacing/>
        <w:jc w:val="both"/>
      </w:pPr>
      <w:r w:rsidRPr="00BF3F0C">
        <w:t>Complementing</w:t>
      </w:r>
      <w:r w:rsidR="001F4E15" w:rsidRPr="00BF3F0C">
        <w:t xml:space="preserve"> the</w:t>
      </w:r>
      <w:r w:rsidRPr="00BF3F0C">
        <w:t>se</w:t>
      </w:r>
      <w:r w:rsidR="001F4E15" w:rsidRPr="00BF3F0C">
        <w:t xml:space="preserve"> findings from observational studies, McCracken </w:t>
      </w:r>
      <w:proofErr w:type="gramStart"/>
      <w:r w:rsidR="001F4E15" w:rsidRPr="00BF3F0C">
        <w:t>et</w:t>
      </w:r>
      <w:proofErr w:type="gramEnd"/>
      <w:r w:rsidR="001F4E15" w:rsidRPr="00BF3F0C">
        <w:t xml:space="preserve"> al</w:t>
      </w:r>
      <w:r w:rsidR="00533071" w:rsidRPr="00BF3F0C">
        <w:t>.</w:t>
      </w:r>
      <w:r w:rsidR="007A38BD">
        <w:rPr>
          <w:vertAlign w:val="superscript"/>
        </w:rPr>
        <w:t>21</w:t>
      </w:r>
      <w:r w:rsidR="001F4E15" w:rsidRPr="00BF3F0C">
        <w:t xml:space="preserve"> reported a significantly lower prevalence of ST segment depression in electrocardiograms with use of an improved stove in an intervention study.</w:t>
      </w:r>
    </w:p>
    <w:p w:rsidR="00B84161" w:rsidRPr="00BF3F0C" w:rsidRDefault="00B84161" w:rsidP="00EF714E">
      <w:pPr>
        <w:spacing w:line="480" w:lineRule="auto"/>
        <w:contextualSpacing/>
        <w:jc w:val="both"/>
      </w:pPr>
    </w:p>
    <w:p w:rsidR="00B84161" w:rsidRPr="00BF3F0C" w:rsidRDefault="00B84161" w:rsidP="00EF714E">
      <w:pPr>
        <w:pStyle w:val="NoSpacing"/>
        <w:spacing w:line="480" w:lineRule="auto"/>
        <w:contextualSpacing/>
        <w:jc w:val="both"/>
      </w:pPr>
      <w:r w:rsidRPr="00BF3F0C">
        <w:t>Heart rate</w:t>
      </w:r>
    </w:p>
    <w:p w:rsidR="005C76C3" w:rsidRPr="00BF3F0C" w:rsidRDefault="00B84161" w:rsidP="0046423B">
      <w:pPr>
        <w:spacing w:line="480" w:lineRule="auto"/>
        <w:contextualSpacing/>
        <w:jc w:val="both"/>
      </w:pPr>
      <w:r w:rsidRPr="00BF3F0C">
        <w:t xml:space="preserve">Three studies considered heart rate or its variability as an outcome. </w:t>
      </w:r>
      <w:r w:rsidR="00CA23F8" w:rsidRPr="00BF3F0C">
        <w:t xml:space="preserve"> </w:t>
      </w:r>
      <w:r w:rsidRPr="00BF3F0C">
        <w:t>In a cross-sectional survey of 12</w:t>
      </w:r>
      <w:r w:rsidR="00443CE6">
        <w:t>3</w:t>
      </w:r>
      <w:r w:rsidRPr="00BF3F0C">
        <w:t xml:space="preserve"> non-smoking women in Nicaragua, who were using traditional biomass stoves, heart rate was significantly higher among those with higher personal exposures to CO, and non-signif</w:t>
      </w:r>
      <w:r w:rsidR="005C76C3" w:rsidRPr="00BF3F0C">
        <w:t>i</w:t>
      </w:r>
      <w:r w:rsidRPr="00BF3F0C">
        <w:t xml:space="preserve">cantly elevated with higher indoor concentrations of </w:t>
      </w:r>
      <w:proofErr w:type="gramStart"/>
      <w:r w:rsidRPr="00BF3F0C">
        <w:t>PM</w:t>
      </w:r>
      <w:r w:rsidR="0043330B" w:rsidRPr="00BF3F0C">
        <w:rPr>
          <w:vertAlign w:val="subscript"/>
        </w:rPr>
        <w:t>2.5</w:t>
      </w:r>
      <w:r w:rsidR="00D1694E">
        <w:t>.</w:t>
      </w:r>
      <w:r w:rsidR="000F63F9" w:rsidRPr="000F63F9">
        <w:rPr>
          <w:vertAlign w:val="superscript"/>
        </w:rPr>
        <w:t>1</w:t>
      </w:r>
      <w:r w:rsidR="000F63F9">
        <w:rPr>
          <w:vertAlign w:val="superscript"/>
        </w:rPr>
        <w:t>7</w:t>
      </w:r>
      <w:r w:rsidRPr="00BF3F0C">
        <w:t xml:space="preserve"> </w:t>
      </w:r>
      <w:r w:rsidR="000F63F9">
        <w:t xml:space="preserve"> </w:t>
      </w:r>
      <w:r w:rsidR="00750380" w:rsidRPr="00BF3F0C">
        <w:t>In</w:t>
      </w:r>
      <w:proofErr w:type="gramEnd"/>
      <w:r w:rsidR="00750380" w:rsidRPr="00BF3F0C">
        <w:t xml:space="preserve"> India, Dutta et al</w:t>
      </w:r>
      <w:r w:rsidR="00533071" w:rsidRPr="00BF3F0C">
        <w:t>.</w:t>
      </w:r>
      <w:r w:rsidR="00C73604">
        <w:rPr>
          <w:vertAlign w:val="superscript"/>
        </w:rPr>
        <w:t>22</w:t>
      </w:r>
      <w:r w:rsidR="00750380" w:rsidRPr="00BF3F0C">
        <w:t xml:space="preserve"> found a significantly higher prevalence of tachycardia (&gt;100 beats per minute) in non-smoking women using biomass as compared with </w:t>
      </w:r>
      <w:r w:rsidR="00AA07F6">
        <w:t>liquefied</w:t>
      </w:r>
      <w:r w:rsidR="00AA07F6" w:rsidRPr="00BF3F0C">
        <w:t xml:space="preserve"> </w:t>
      </w:r>
      <w:r w:rsidR="00AA07F6">
        <w:t xml:space="preserve">petroleum </w:t>
      </w:r>
      <w:r w:rsidR="00AA07F6" w:rsidRPr="00BF3F0C">
        <w:t>gas</w:t>
      </w:r>
      <w:r w:rsidR="00750380" w:rsidRPr="00BF3F0C">
        <w:t xml:space="preserve"> for cooking (6.6% vs. 1.3%).  On the other</w:t>
      </w:r>
      <w:r w:rsidR="0043330B" w:rsidRPr="00BF3F0C">
        <w:t xml:space="preserve"> hand, McCracken and colleagues</w:t>
      </w:r>
      <w:r w:rsidR="000F63F9">
        <w:rPr>
          <w:vertAlign w:val="superscript"/>
        </w:rPr>
        <w:t>21</w:t>
      </w:r>
      <w:r w:rsidR="00750380" w:rsidRPr="00BF3F0C">
        <w:t xml:space="preserve"> found no significant differences in heart rate </w:t>
      </w:r>
      <w:r w:rsidR="005C76C3" w:rsidRPr="00BF3F0C">
        <w:t xml:space="preserve">variability with use of an improved stove in an intervention study in </w:t>
      </w:r>
      <w:r w:rsidR="00926AF7" w:rsidRPr="00BF3F0C">
        <w:t>Guatemala</w:t>
      </w:r>
      <w:r w:rsidR="005C76C3" w:rsidRPr="00BF3F0C">
        <w:t>.</w:t>
      </w:r>
    </w:p>
    <w:p w:rsidR="005C76C3" w:rsidRPr="00BF3F0C" w:rsidRDefault="005C76C3" w:rsidP="00EF714E">
      <w:pPr>
        <w:spacing w:line="480" w:lineRule="auto"/>
        <w:contextualSpacing/>
        <w:jc w:val="both"/>
      </w:pPr>
    </w:p>
    <w:p w:rsidR="005C76C3" w:rsidRPr="00BF3F0C" w:rsidRDefault="005C76C3" w:rsidP="00EF714E">
      <w:pPr>
        <w:pStyle w:val="NoSpacing"/>
        <w:spacing w:line="480" w:lineRule="auto"/>
        <w:contextualSpacing/>
        <w:jc w:val="both"/>
      </w:pPr>
      <w:r w:rsidRPr="00BF3F0C">
        <w:lastRenderedPageBreak/>
        <w:t>Vascular pathology</w:t>
      </w:r>
    </w:p>
    <w:p w:rsidR="005C76C3" w:rsidRPr="00BF3F0C" w:rsidRDefault="008C781C" w:rsidP="007E2179">
      <w:pPr>
        <w:spacing w:line="480" w:lineRule="auto"/>
        <w:contextualSpacing/>
        <w:jc w:val="both"/>
      </w:pPr>
      <w:r w:rsidRPr="00BF3F0C">
        <w:t>Four cross-sectional studies have related indoor air pollution from biomass fuels to abnormalities of vascular structure or function.  Two showed significant associations with higher carotid intima media thickne</w:t>
      </w:r>
      <w:r w:rsidR="00EE42AB" w:rsidRPr="00BF3F0C">
        <w:t>ss (CIMT)</w:t>
      </w:r>
      <w:r w:rsidRPr="00BF3F0C">
        <w:t>,</w:t>
      </w:r>
      <w:r w:rsidR="00573BFB">
        <w:rPr>
          <w:vertAlign w:val="superscript"/>
        </w:rPr>
        <w:t>14,30</w:t>
      </w:r>
      <w:r w:rsidR="007E2179">
        <w:rPr>
          <w:vertAlign w:val="superscript"/>
        </w:rPr>
        <w:t xml:space="preserve"> </w:t>
      </w:r>
      <w:r w:rsidRPr="00BF3F0C">
        <w:t>and one also with the prevalence of carotid plaque as</w:t>
      </w:r>
      <w:r w:rsidR="00854056" w:rsidRPr="00BF3F0C">
        <w:t>certained</w:t>
      </w:r>
      <w:r w:rsidRPr="00BF3F0C">
        <w:t xml:space="preserve"> by ultraso</w:t>
      </w:r>
      <w:r w:rsidR="00EE42AB" w:rsidRPr="00BF3F0C">
        <w:t>und (OR 2.55, 95%CI 1.08-5.98)</w:t>
      </w:r>
      <w:r w:rsidRPr="00BF3F0C">
        <w:t>.</w:t>
      </w:r>
      <w:r w:rsidR="00316CA0">
        <w:rPr>
          <w:vertAlign w:val="superscript"/>
        </w:rPr>
        <w:t>30</w:t>
      </w:r>
      <w:r w:rsidRPr="00BF3F0C">
        <w:t xml:space="preserve">  Against this, a third</w:t>
      </w:r>
      <w:r w:rsidR="006F48EC" w:rsidRPr="00BF3F0C">
        <w:t xml:space="preserve"> </w:t>
      </w:r>
      <w:r w:rsidR="00854056" w:rsidRPr="00BF3F0C">
        <w:t xml:space="preserve">study </w:t>
      </w:r>
      <w:r w:rsidR="006F48EC" w:rsidRPr="00BF3F0C">
        <w:t xml:space="preserve">found no association with CIMT, although exposure was </w:t>
      </w:r>
      <w:r w:rsidR="00E041A3" w:rsidRPr="00BF3F0C">
        <w:t xml:space="preserve">significantly </w:t>
      </w:r>
      <w:r w:rsidR="007F0C86" w:rsidRPr="00BF3F0C">
        <w:t>related to</w:t>
      </w:r>
      <w:r w:rsidR="006F48EC" w:rsidRPr="00BF3F0C">
        <w:t xml:space="preserve"> reduced flow</w:t>
      </w:r>
      <w:r w:rsidR="00E041A3" w:rsidRPr="00BF3F0C">
        <w:t>-</w:t>
      </w:r>
      <w:r w:rsidR="006F48EC" w:rsidRPr="00BF3F0C">
        <w:t xml:space="preserve">associated dilatation and </w:t>
      </w:r>
      <w:r w:rsidR="00854056" w:rsidRPr="00BF3F0C">
        <w:t xml:space="preserve">lower </w:t>
      </w:r>
      <w:r w:rsidR="006F48EC" w:rsidRPr="00BF3F0C">
        <w:t>endothelium</w:t>
      </w:r>
      <w:r w:rsidR="00E041A3" w:rsidRPr="00BF3F0C">
        <w:t>-</w:t>
      </w:r>
      <w:r w:rsidR="006F48EC" w:rsidRPr="00BF3F0C">
        <w:t>independent vasodil</w:t>
      </w:r>
      <w:r w:rsidR="00EE42AB" w:rsidRPr="00BF3F0C">
        <w:t>atation of the brachial artery</w:t>
      </w:r>
      <w:r w:rsidR="006F48EC" w:rsidRPr="00BF3F0C">
        <w:t>.</w:t>
      </w:r>
      <w:r w:rsidR="00316CA0">
        <w:rPr>
          <w:vertAlign w:val="superscript"/>
        </w:rPr>
        <w:t>15</w:t>
      </w:r>
      <w:r w:rsidR="006F48EC" w:rsidRPr="00BF3F0C">
        <w:t xml:space="preserve">  In the fourth study, </w:t>
      </w:r>
      <w:r w:rsidR="00926AF7" w:rsidRPr="00BF3F0C">
        <w:t xml:space="preserve">reported </w:t>
      </w:r>
      <w:r w:rsidR="00316CA0">
        <w:t xml:space="preserve">only </w:t>
      </w:r>
      <w:r w:rsidR="00926AF7" w:rsidRPr="00BF3F0C">
        <w:t xml:space="preserve">as an abstract, </w:t>
      </w:r>
      <w:r w:rsidR="006F48EC" w:rsidRPr="00BF3F0C">
        <w:t>flow-mediated dilatation of the brachial artery again tended to be lower in people using biomass fuels, especially if there was no chimney in the kitchen.</w:t>
      </w:r>
      <w:r w:rsidR="0012439E">
        <w:rPr>
          <w:vertAlign w:val="superscript"/>
        </w:rPr>
        <w:t>32</w:t>
      </w:r>
      <w:r w:rsidR="006F48EC" w:rsidRPr="00BF3F0C">
        <w:t xml:space="preserve"> </w:t>
      </w:r>
      <w:r w:rsidR="00926AF7" w:rsidRPr="00BF3F0C">
        <w:t xml:space="preserve">However, only </w:t>
      </w:r>
      <w:r w:rsidR="00962A8F">
        <w:t>nine</w:t>
      </w:r>
      <w:r w:rsidR="00926AF7" w:rsidRPr="00BF3F0C">
        <w:t xml:space="preserve"> of the total </w:t>
      </w:r>
      <w:r w:rsidR="00316CA0">
        <w:t xml:space="preserve">of </w:t>
      </w:r>
      <w:r w:rsidR="00926AF7" w:rsidRPr="00BF3F0C">
        <w:t xml:space="preserve">81 subjects were in </w:t>
      </w:r>
      <w:r w:rsidR="00EB0562">
        <w:t xml:space="preserve">the </w:t>
      </w:r>
      <w:r w:rsidR="00926AF7" w:rsidRPr="00BF3F0C">
        <w:t>control group</w:t>
      </w:r>
      <w:r w:rsidR="00C040DE" w:rsidRPr="00BF3F0C">
        <w:t xml:space="preserve"> used</w:t>
      </w:r>
      <w:r w:rsidR="00926AF7" w:rsidRPr="00BF3F0C">
        <w:t xml:space="preserve"> for comparison.</w:t>
      </w:r>
    </w:p>
    <w:p w:rsidR="005C76C3" w:rsidRPr="00BF3F0C" w:rsidRDefault="005C76C3" w:rsidP="00EF714E">
      <w:pPr>
        <w:pStyle w:val="NoSpacing"/>
        <w:spacing w:line="480" w:lineRule="auto"/>
        <w:contextualSpacing/>
        <w:jc w:val="both"/>
      </w:pPr>
    </w:p>
    <w:p w:rsidR="005C76C3" w:rsidRPr="00BF3F0C" w:rsidRDefault="005C76C3" w:rsidP="00EF714E">
      <w:pPr>
        <w:pStyle w:val="NoSpacing"/>
        <w:spacing w:line="480" w:lineRule="auto"/>
        <w:contextualSpacing/>
        <w:jc w:val="both"/>
      </w:pPr>
      <w:r w:rsidRPr="00BF3F0C">
        <w:t>Oxidative stress and inflammatory markers</w:t>
      </w:r>
    </w:p>
    <w:p w:rsidR="005C76C3" w:rsidRPr="00EA3F2C" w:rsidRDefault="006F48EC" w:rsidP="00EA388D">
      <w:pPr>
        <w:spacing w:line="480" w:lineRule="auto"/>
        <w:contextualSpacing/>
        <w:jc w:val="both"/>
      </w:pPr>
      <w:r w:rsidRPr="00BF3F0C">
        <w:t xml:space="preserve">Cross-sectional studies have also indicated </w:t>
      </w:r>
      <w:r w:rsidR="00293371" w:rsidRPr="00BF3F0C">
        <w:t>that use</w:t>
      </w:r>
      <w:r w:rsidRPr="00BF3F0C">
        <w:t xml:space="preserve"> of </w:t>
      </w:r>
      <w:r w:rsidR="00293371" w:rsidRPr="00BF3F0C">
        <w:t>biomass fuel is associated with: increased generation of reactiv</w:t>
      </w:r>
      <w:r w:rsidR="00EE42AB" w:rsidRPr="00BF3F0C">
        <w:t>e oxygen species by leucocytes</w:t>
      </w:r>
      <w:r w:rsidR="00293371" w:rsidRPr="00BF3F0C">
        <w:t>;</w:t>
      </w:r>
      <w:r w:rsidR="00316CA0">
        <w:rPr>
          <w:vertAlign w:val="superscript"/>
        </w:rPr>
        <w:t>16,22</w:t>
      </w:r>
      <w:r w:rsidR="00293371" w:rsidRPr="00BF3F0C">
        <w:t xml:space="preserve"> reduction in e</w:t>
      </w:r>
      <w:r w:rsidR="00EE42AB" w:rsidRPr="00BF3F0C">
        <w:t>rythrocyte superoxide dismutase</w:t>
      </w:r>
      <w:r w:rsidR="00293371" w:rsidRPr="00BF3F0C">
        <w:t>;</w:t>
      </w:r>
      <w:r w:rsidR="00316CA0">
        <w:rPr>
          <w:vertAlign w:val="superscript"/>
        </w:rPr>
        <w:t>22,29</w:t>
      </w:r>
      <w:r w:rsidR="00293371" w:rsidRPr="00BF3F0C">
        <w:t xml:space="preserve"> elevations in serum levels of int</w:t>
      </w:r>
      <w:r w:rsidR="00EE42AB" w:rsidRPr="00BF3F0C">
        <w:t>erleukin-6</w:t>
      </w:r>
      <w:r w:rsidR="00293371" w:rsidRPr="00BF3F0C">
        <w:t>,</w:t>
      </w:r>
      <w:r w:rsidR="00316CA0">
        <w:rPr>
          <w:vertAlign w:val="superscript"/>
        </w:rPr>
        <w:t>22,29</w:t>
      </w:r>
      <w:r w:rsidR="00EE42AB" w:rsidRPr="00BF3F0C">
        <w:t xml:space="preserve"> interleukin-8</w:t>
      </w:r>
      <w:r w:rsidR="00316CA0">
        <w:rPr>
          <w:vertAlign w:val="superscript"/>
        </w:rPr>
        <w:t>22,29</w:t>
      </w:r>
      <w:r w:rsidR="00293371" w:rsidRPr="00BF3F0C">
        <w:t xml:space="preserve"> a</w:t>
      </w:r>
      <w:r w:rsidR="00EE42AB" w:rsidRPr="00BF3F0C">
        <w:t>nd tumour necrosis factor-alpha</w:t>
      </w:r>
      <w:r w:rsidR="00293371" w:rsidRPr="00BF3F0C">
        <w:t>;</w:t>
      </w:r>
      <w:r w:rsidR="00316CA0">
        <w:rPr>
          <w:vertAlign w:val="superscript"/>
        </w:rPr>
        <w:t>22,29</w:t>
      </w:r>
      <w:r w:rsidR="00293371" w:rsidRPr="00BF3F0C">
        <w:t xml:space="preserve"> </w:t>
      </w:r>
      <w:r w:rsidR="007C0CC4" w:rsidRPr="00BF3F0C">
        <w:t>increases in platelet aggregation and express</w:t>
      </w:r>
      <w:r w:rsidR="00EE42AB" w:rsidRPr="00BF3F0C">
        <w:t>ion of P-selectin by platelets</w:t>
      </w:r>
      <w:r w:rsidR="007C0CC4" w:rsidRPr="00BF3F0C">
        <w:t>;</w:t>
      </w:r>
      <w:r w:rsidR="00316CA0">
        <w:rPr>
          <w:vertAlign w:val="superscript"/>
        </w:rPr>
        <w:t>16</w:t>
      </w:r>
      <w:r w:rsidR="007C0CC4" w:rsidRPr="00BF3F0C">
        <w:t xml:space="preserve"> and higher serum concentratio</w:t>
      </w:r>
      <w:r w:rsidR="00ED4687" w:rsidRPr="00BF3F0C">
        <w:t>ns of C-reactive protein (CRP)</w:t>
      </w:r>
      <w:r w:rsidR="007C0CC4" w:rsidRPr="00BF3F0C">
        <w:t>.</w:t>
      </w:r>
      <w:r w:rsidR="00316CA0">
        <w:rPr>
          <w:vertAlign w:val="superscript"/>
        </w:rPr>
        <w:t>14,22</w:t>
      </w:r>
      <w:r w:rsidR="007C0CC4" w:rsidRPr="00BF3F0C">
        <w:t xml:space="preserve">  The last finding is supported by an intervention study in Nicaragua, in which change to a cleaner burning stove </w:t>
      </w:r>
      <w:r w:rsidR="00854056" w:rsidRPr="00BF3F0C">
        <w:t xml:space="preserve">for cooking </w:t>
      </w:r>
      <w:r w:rsidR="007C0CC4" w:rsidRPr="00BF3F0C">
        <w:t>was associated with a significant reduction in</w:t>
      </w:r>
      <w:r w:rsidR="00293371" w:rsidRPr="00BF3F0C">
        <w:t xml:space="preserve"> </w:t>
      </w:r>
      <w:r w:rsidR="007C0CC4" w:rsidRPr="00BF3F0C">
        <w:t>CRP among obese women.</w:t>
      </w:r>
      <w:r w:rsidR="00316CA0">
        <w:rPr>
          <w:vertAlign w:val="superscript"/>
        </w:rPr>
        <w:t>23</w:t>
      </w:r>
      <w:r w:rsidR="00EA3F2C">
        <w:rPr>
          <w:vertAlign w:val="superscript"/>
        </w:rPr>
        <w:t xml:space="preserve"> </w:t>
      </w:r>
    </w:p>
    <w:p w:rsidR="006F48EC" w:rsidRPr="00BF3F0C" w:rsidRDefault="006F48EC" w:rsidP="00EF714E">
      <w:pPr>
        <w:pStyle w:val="NoSpacing"/>
        <w:spacing w:line="480" w:lineRule="auto"/>
        <w:contextualSpacing/>
        <w:jc w:val="both"/>
      </w:pPr>
    </w:p>
    <w:p w:rsidR="005C76C3" w:rsidRPr="00BF3F0C" w:rsidRDefault="005C76C3" w:rsidP="00EF714E">
      <w:pPr>
        <w:pStyle w:val="NoSpacing"/>
        <w:spacing w:line="480" w:lineRule="auto"/>
        <w:contextualSpacing/>
        <w:jc w:val="both"/>
      </w:pPr>
      <w:r w:rsidRPr="00BF3F0C">
        <w:t>Blood pressure</w:t>
      </w:r>
    </w:p>
    <w:p w:rsidR="005C76C3" w:rsidRPr="00BF3F0C" w:rsidRDefault="00D2469B" w:rsidP="00EA388D">
      <w:pPr>
        <w:spacing w:line="480" w:lineRule="auto"/>
        <w:contextualSpacing/>
        <w:jc w:val="both"/>
      </w:pPr>
      <w:r>
        <w:t>Blood pressure has been the most frequently studied cardiovascular outcome i</w:t>
      </w:r>
      <w:r w:rsidR="00854056" w:rsidRPr="00BF3F0C">
        <w:t>n research on IAP from solid fuels</w:t>
      </w:r>
      <w:r w:rsidR="007C5925" w:rsidRPr="00BF3F0C">
        <w:t xml:space="preserve">. </w:t>
      </w:r>
      <w:r w:rsidR="00EA3F2C">
        <w:t>Eight</w:t>
      </w:r>
      <w:r w:rsidR="000D677C" w:rsidRPr="00BF3F0C">
        <w:t xml:space="preserve"> cross-sectional studies have found significant positive associati</w:t>
      </w:r>
      <w:r w:rsidR="00D1319E" w:rsidRPr="00BF3F0C">
        <w:t>ons with higher blood pressure</w:t>
      </w:r>
      <w:r w:rsidR="00B363A9" w:rsidRPr="00B363A9">
        <w:rPr>
          <w:vertAlign w:val="superscript"/>
        </w:rPr>
        <w:t>18</w:t>
      </w:r>
      <w:proofErr w:type="gramStart"/>
      <w:r w:rsidR="00B363A9" w:rsidRPr="00B363A9">
        <w:rPr>
          <w:vertAlign w:val="superscript"/>
        </w:rPr>
        <w:t>,</w:t>
      </w:r>
      <w:r w:rsidR="00EB3C22">
        <w:rPr>
          <w:vertAlign w:val="superscript"/>
        </w:rPr>
        <w:t>30</w:t>
      </w:r>
      <w:r w:rsidR="0046423B">
        <w:rPr>
          <w:vertAlign w:val="superscript"/>
        </w:rPr>
        <w:t>,3</w:t>
      </w:r>
      <w:r w:rsidR="00B363A9">
        <w:rPr>
          <w:vertAlign w:val="superscript"/>
        </w:rPr>
        <w:t>5</w:t>
      </w:r>
      <w:r w:rsidR="00CF28F2">
        <w:rPr>
          <w:vertAlign w:val="superscript"/>
        </w:rPr>
        <w:t>,</w:t>
      </w:r>
      <w:r w:rsidR="00B363A9">
        <w:rPr>
          <w:vertAlign w:val="superscript"/>
        </w:rPr>
        <w:t>37</w:t>
      </w:r>
      <w:proofErr w:type="gramEnd"/>
      <w:r w:rsidR="00EA3F2C">
        <w:rPr>
          <w:vertAlign w:val="superscript"/>
        </w:rPr>
        <w:t xml:space="preserve"> </w:t>
      </w:r>
      <w:r w:rsidR="000D677C" w:rsidRPr="00BF3F0C">
        <w:t xml:space="preserve"> or prevalence o</w:t>
      </w:r>
      <w:r w:rsidR="00D1319E" w:rsidRPr="00BF3F0C">
        <w:t xml:space="preserve">f </w:t>
      </w:r>
      <w:r w:rsidR="00D1319E" w:rsidRPr="00B363A9">
        <w:t>hypertension</w:t>
      </w:r>
      <w:r w:rsidR="00B363A9">
        <w:rPr>
          <w:vertAlign w:val="superscript"/>
        </w:rPr>
        <w:t>12,16,22,</w:t>
      </w:r>
      <w:r w:rsidR="00B363A9" w:rsidRPr="00B363A9">
        <w:rPr>
          <w:vertAlign w:val="superscript"/>
        </w:rPr>
        <w:t>26</w:t>
      </w:r>
      <w:r w:rsidR="00854056" w:rsidRPr="00BF3F0C">
        <w:t xml:space="preserve"> (</w:t>
      </w:r>
      <w:r w:rsidR="000D677C" w:rsidRPr="00BF3F0C">
        <w:t xml:space="preserve">it is unclear whether there was overlap between </w:t>
      </w:r>
      <w:r w:rsidR="00E041A3" w:rsidRPr="00BF3F0C">
        <w:t xml:space="preserve">the </w:t>
      </w:r>
      <w:r w:rsidR="000D677C" w:rsidRPr="00BF3F0C">
        <w:t xml:space="preserve">study </w:t>
      </w:r>
      <w:r w:rsidR="00D1319E" w:rsidRPr="00BF3F0C">
        <w:t>samples for two of the report</w:t>
      </w:r>
      <w:r w:rsidR="00ED4687" w:rsidRPr="00BF3F0C">
        <w:t>s</w:t>
      </w:r>
      <w:r w:rsidR="00B8543A">
        <w:rPr>
          <w:vertAlign w:val="superscript"/>
        </w:rPr>
        <w:t>16,22</w:t>
      </w:r>
      <w:r w:rsidR="00EB0562">
        <w:t>).</w:t>
      </w:r>
      <w:r w:rsidR="000D677C" w:rsidRPr="00BF3F0C">
        <w:t xml:space="preserve">  </w:t>
      </w:r>
      <w:r w:rsidR="001B1240" w:rsidRPr="00BF3F0C">
        <w:t xml:space="preserve">Another found higher systolic and diastolic blood pressures in non-smoking indoor barbecue </w:t>
      </w:r>
      <w:r w:rsidR="001B1240" w:rsidRPr="00BF3F0C">
        <w:lastRenderedPageBreak/>
        <w:t>workers as compared with controls, although the differences (abo</w:t>
      </w:r>
      <w:r w:rsidR="00ED4687" w:rsidRPr="00BF3F0C">
        <w:t>ut 4mm Hg) were not significant</w:t>
      </w:r>
      <w:r w:rsidR="001B1240" w:rsidRPr="00BF3F0C">
        <w:t>.</w:t>
      </w:r>
      <w:r w:rsidR="00B8543A">
        <w:rPr>
          <w:vertAlign w:val="superscript"/>
        </w:rPr>
        <w:t>14</w:t>
      </w:r>
      <w:r w:rsidR="001B1240" w:rsidRPr="00BF3F0C">
        <w:t xml:space="preserve">  </w:t>
      </w:r>
      <w:r w:rsidR="00854056" w:rsidRPr="00BF3F0C">
        <w:t>Furthermore</w:t>
      </w:r>
      <w:r w:rsidR="000D677C" w:rsidRPr="00BF3F0C">
        <w:t>, there was a significant reduction in blood pressure with use of improved stove</w:t>
      </w:r>
      <w:r w:rsidR="00854056" w:rsidRPr="00BF3F0C">
        <w:t>s</w:t>
      </w:r>
      <w:r w:rsidR="000D677C" w:rsidRPr="00BF3F0C">
        <w:t xml:space="preserve"> in </w:t>
      </w:r>
      <w:r w:rsidR="000268AE">
        <w:t>two</w:t>
      </w:r>
      <w:r w:rsidR="000D677C" w:rsidRPr="00BF3F0C">
        <w:t xml:space="preserve"> intervention stud</w:t>
      </w:r>
      <w:r w:rsidR="000268AE">
        <w:t xml:space="preserve">ies, one </w:t>
      </w:r>
      <w:r w:rsidR="000D677C" w:rsidRPr="00BF3F0C">
        <w:t>in Guatema</w:t>
      </w:r>
      <w:r w:rsidR="00ED4687" w:rsidRPr="00BF3F0C">
        <w:t>la</w:t>
      </w:r>
      <w:r w:rsidR="00B8543A">
        <w:rPr>
          <w:vertAlign w:val="superscript"/>
        </w:rPr>
        <w:t>13</w:t>
      </w:r>
      <w:r w:rsidR="001B1240" w:rsidRPr="00BF3F0C">
        <w:t xml:space="preserve"> </w:t>
      </w:r>
      <w:r w:rsidR="000268AE">
        <w:t xml:space="preserve">and </w:t>
      </w:r>
      <w:r w:rsidR="00990082">
        <w:t xml:space="preserve">the other in </w:t>
      </w:r>
      <w:r w:rsidR="000268AE">
        <w:t>Bolivia.</w:t>
      </w:r>
      <w:r w:rsidR="00B8543A">
        <w:rPr>
          <w:vertAlign w:val="superscript"/>
        </w:rPr>
        <w:t>36</w:t>
      </w:r>
      <w:r w:rsidR="001B1240" w:rsidRPr="00BF3F0C">
        <w:t xml:space="preserve"> </w:t>
      </w:r>
      <w:r w:rsidR="00E041A3" w:rsidRPr="00BF3F0C">
        <w:t xml:space="preserve">Against </w:t>
      </w:r>
      <w:r w:rsidR="0046423B">
        <w:t>th</w:t>
      </w:r>
      <w:r w:rsidR="00990082">
        <w:t>is</w:t>
      </w:r>
      <w:r w:rsidR="001B1240" w:rsidRPr="00BF3F0C">
        <w:t xml:space="preserve">, </w:t>
      </w:r>
      <w:r w:rsidR="00990082">
        <w:t>two</w:t>
      </w:r>
      <w:r w:rsidR="00EB0562">
        <w:t xml:space="preserve"> </w:t>
      </w:r>
      <w:r w:rsidR="000268AE">
        <w:t>cross-sectional survey</w:t>
      </w:r>
      <w:r w:rsidR="00990082">
        <w:t>s</w:t>
      </w:r>
      <w:r w:rsidR="00B8543A">
        <w:rPr>
          <w:vertAlign w:val="superscript"/>
        </w:rPr>
        <w:t>17</w:t>
      </w:r>
      <w:r w:rsidR="00990082">
        <w:rPr>
          <w:vertAlign w:val="superscript"/>
        </w:rPr>
        <w:t>,</w:t>
      </w:r>
      <w:r w:rsidR="00B8543A">
        <w:rPr>
          <w:vertAlign w:val="superscript"/>
        </w:rPr>
        <w:t>25</w:t>
      </w:r>
      <w:r w:rsidR="000268AE">
        <w:t xml:space="preserve"> </w:t>
      </w:r>
      <w:r w:rsidR="00990082">
        <w:t xml:space="preserve">(one in </w:t>
      </w:r>
      <w:r w:rsidR="00EB0562">
        <w:t>children</w:t>
      </w:r>
      <w:r w:rsidR="00B8543A">
        <w:rPr>
          <w:vertAlign w:val="superscript"/>
        </w:rPr>
        <w:t>25</w:t>
      </w:r>
      <w:r w:rsidR="00990082">
        <w:t>)</w:t>
      </w:r>
      <w:r w:rsidR="00EB0562">
        <w:t xml:space="preserve"> </w:t>
      </w:r>
      <w:r w:rsidR="001B1240" w:rsidRPr="00BF3F0C">
        <w:t xml:space="preserve"> have failed to demonstrate </w:t>
      </w:r>
      <w:r w:rsidR="00990082">
        <w:t xml:space="preserve">significant </w:t>
      </w:r>
      <w:r w:rsidR="001B1240" w:rsidRPr="00BF3F0C">
        <w:t>association</w:t>
      </w:r>
      <w:r w:rsidR="00854056" w:rsidRPr="00BF3F0C">
        <w:t>s</w:t>
      </w:r>
      <w:r w:rsidR="00ED4687" w:rsidRPr="00BF3F0C">
        <w:t xml:space="preserve"> with blood pressure</w:t>
      </w:r>
      <w:r w:rsidR="00EB0562">
        <w:t>.</w:t>
      </w:r>
      <w:r w:rsidR="001B1240" w:rsidRPr="00BF3F0C">
        <w:t xml:space="preserve"> </w:t>
      </w:r>
    </w:p>
    <w:p w:rsidR="007C5925" w:rsidRPr="00BF3F0C" w:rsidRDefault="007C5925" w:rsidP="00EF714E">
      <w:pPr>
        <w:pStyle w:val="NoSpacing"/>
        <w:spacing w:line="480" w:lineRule="auto"/>
        <w:contextualSpacing/>
        <w:jc w:val="both"/>
      </w:pPr>
    </w:p>
    <w:p w:rsidR="003D163E" w:rsidRPr="00BF3F0C" w:rsidRDefault="005C76C3" w:rsidP="00EF714E">
      <w:pPr>
        <w:pStyle w:val="NoSpacing"/>
        <w:spacing w:line="480" w:lineRule="auto"/>
        <w:contextualSpacing/>
        <w:jc w:val="both"/>
      </w:pPr>
      <w:r w:rsidRPr="00BF3F0C">
        <w:t>Lipid profile</w:t>
      </w:r>
      <w:r w:rsidR="00B84161" w:rsidRPr="00BF3F0C">
        <w:t xml:space="preserve">   </w:t>
      </w:r>
      <w:r w:rsidR="0096594A" w:rsidRPr="00BF3F0C">
        <w:t xml:space="preserve"> </w:t>
      </w:r>
    </w:p>
    <w:p w:rsidR="003D163E" w:rsidRPr="00BF3F0C" w:rsidRDefault="001B1240" w:rsidP="00D1319E">
      <w:pPr>
        <w:spacing w:line="480" w:lineRule="auto"/>
        <w:contextualSpacing/>
        <w:jc w:val="both"/>
        <w:rPr>
          <w:vertAlign w:val="superscript"/>
        </w:rPr>
      </w:pPr>
      <w:r w:rsidRPr="00BF3F0C">
        <w:t>The only study that examined lipid profiles found no significant associ</w:t>
      </w:r>
      <w:r w:rsidR="00ED4687" w:rsidRPr="00BF3F0C">
        <w:t>ations with use of biomass fuel</w:t>
      </w:r>
      <w:r w:rsidRPr="00BF3F0C">
        <w:t>.</w:t>
      </w:r>
      <w:r w:rsidR="00B8543A">
        <w:rPr>
          <w:vertAlign w:val="superscript"/>
        </w:rPr>
        <w:t>14</w:t>
      </w:r>
    </w:p>
    <w:p w:rsidR="00854056" w:rsidRPr="00BF3F0C" w:rsidRDefault="00854056" w:rsidP="00EF714E">
      <w:pPr>
        <w:spacing w:line="480" w:lineRule="auto"/>
        <w:contextualSpacing/>
        <w:jc w:val="both"/>
      </w:pPr>
    </w:p>
    <w:p w:rsidR="00D321FC" w:rsidRPr="00BF3F0C" w:rsidRDefault="00D321FC" w:rsidP="00EF714E">
      <w:pPr>
        <w:spacing w:after="200" w:line="480" w:lineRule="auto"/>
        <w:contextualSpacing/>
        <w:rPr>
          <w:rFonts w:eastAsiaTheme="majorEastAsia"/>
          <w:b/>
          <w:bCs/>
          <w:iCs/>
        </w:rPr>
      </w:pPr>
      <w:r w:rsidRPr="00BF3F0C">
        <w:br w:type="page"/>
      </w:r>
    </w:p>
    <w:p w:rsidR="00854056" w:rsidRPr="00BF3F0C" w:rsidRDefault="00CF517B" w:rsidP="00EF714E">
      <w:pPr>
        <w:pStyle w:val="Heading4"/>
        <w:spacing w:line="480" w:lineRule="auto"/>
        <w:contextualSpacing/>
        <w:jc w:val="both"/>
        <w:rPr>
          <w:rFonts w:ascii="Arial" w:hAnsi="Arial" w:cs="Arial"/>
          <w:sz w:val="22"/>
        </w:rPr>
      </w:pPr>
      <w:r w:rsidRPr="00BF3F0C">
        <w:rPr>
          <w:rFonts w:ascii="Arial" w:hAnsi="Arial" w:cs="Arial"/>
          <w:sz w:val="22"/>
        </w:rPr>
        <w:lastRenderedPageBreak/>
        <w:t>Discussion</w:t>
      </w:r>
    </w:p>
    <w:p w:rsidR="00C62ABE" w:rsidRPr="00BF3F0C" w:rsidRDefault="00C62ABE" w:rsidP="00EF714E">
      <w:pPr>
        <w:spacing w:line="480" w:lineRule="auto"/>
        <w:contextualSpacing/>
        <w:jc w:val="both"/>
      </w:pPr>
      <w:r w:rsidRPr="00BF3F0C">
        <w:t xml:space="preserve">Our review confirms that the epidemiological literature on the relationship between IAP from solid fuel and CHD is limited but growing.  Moreover, the research that has been conducted, although not yet conclusive, points to an effect that could </w:t>
      </w:r>
      <w:r w:rsidR="009A0E34" w:rsidRPr="00BF3F0C">
        <w:t xml:space="preserve">be </w:t>
      </w:r>
      <w:r w:rsidRPr="00BF3F0C">
        <w:t>of major public health importance, given the continuing widespread use of biomass fuel in developing countries for cooking and heating, and their increasing incidence of CHD.</w:t>
      </w:r>
    </w:p>
    <w:p w:rsidR="00C62ABE" w:rsidRPr="00BF3F0C" w:rsidRDefault="00C62ABE" w:rsidP="00EF714E">
      <w:pPr>
        <w:spacing w:line="480" w:lineRule="auto"/>
        <w:contextualSpacing/>
        <w:jc w:val="both"/>
      </w:pPr>
    </w:p>
    <w:p w:rsidR="00C62ABE" w:rsidRPr="00BF3F0C" w:rsidRDefault="00C62ABE" w:rsidP="00EF714E">
      <w:pPr>
        <w:spacing w:line="480" w:lineRule="auto"/>
        <w:contextualSpacing/>
        <w:jc w:val="both"/>
      </w:pPr>
      <w:r w:rsidRPr="00BF3F0C">
        <w:t>In conducting our review, we searched systematically for all papers that were relevant to our study question, and that met our specified inclusion criteria.  For each report that was found, we identified any major limitations that were relevant to interpretation, but we did not attempt to score quality according a pre-specified scheme.  The evidence base was limited and heterogeneous, and most relevant was not the quality of each study per se, but its implications for interpretation of the study’s findings.  The heterogeneity of studies – in the exposures compared, outcomes investigated and potentials for bias – meant also that there was no basis for any form of meta-analysis.</w:t>
      </w:r>
    </w:p>
    <w:p w:rsidR="00C62ABE" w:rsidRPr="00BF3F0C" w:rsidRDefault="00C62ABE" w:rsidP="00EF714E">
      <w:pPr>
        <w:spacing w:line="480" w:lineRule="auto"/>
        <w:contextualSpacing/>
        <w:jc w:val="both"/>
      </w:pPr>
    </w:p>
    <w:p w:rsidR="00C62ABE" w:rsidRPr="00BF3F0C" w:rsidRDefault="00C62ABE" w:rsidP="00EF714E">
      <w:pPr>
        <w:spacing w:line="480" w:lineRule="auto"/>
        <w:contextualSpacing/>
        <w:jc w:val="both"/>
      </w:pPr>
      <w:r w:rsidRPr="00BF3F0C">
        <w:t>Most studies classified exposure according to whether solid (or biomass) fuel was used, or the time for which it had been used.  However, others assessed risks in relation to measured exposures to specific pollutants, or following the introduction of stoves designed to reduce IAP.  The merits of these alternative approaches will depend on the mechanisms (if any) by which IAP causes the outcomes under investigation.  Among users of biomass fuels, there may be wide variations in personal exposures to pollutants, depending on, for example, the time for which a fire or stove is burning, the time spent cooking and in the room where a fire is burning, and the design of the stove and house.  Such distinctions will be lost when exposure is classified simply according to use of biomass fuel, s</w:t>
      </w:r>
      <w:r w:rsidR="009A0E34" w:rsidRPr="00BF3F0C">
        <w:t>uch</w:t>
      </w:r>
      <w:r w:rsidRPr="00BF3F0C">
        <w:t xml:space="preserve"> that risk estimates represent only a crude average.  On the other hand, direct measurements of personal exposures to, or environmental concentrations of, pollutants may be misleading if levels vary over time and risk depends on longer term cumulative exposures.  For the same reason, </w:t>
      </w:r>
      <w:r w:rsidRPr="00BF3F0C">
        <w:lastRenderedPageBreak/>
        <w:t xml:space="preserve">studies investigating short-term changes following the introduction of improved stoves will only detect impacts on outcome measures that are driven importantly by recent exposures.      </w:t>
      </w:r>
    </w:p>
    <w:p w:rsidR="00C62ABE" w:rsidRPr="00BF3F0C" w:rsidRDefault="00C62ABE" w:rsidP="00EF714E">
      <w:pPr>
        <w:spacing w:line="480" w:lineRule="auto"/>
        <w:contextualSpacing/>
        <w:jc w:val="both"/>
      </w:pPr>
    </w:p>
    <w:p w:rsidR="00C62ABE" w:rsidRPr="00BF3F0C" w:rsidRDefault="00C62ABE" w:rsidP="0025162F">
      <w:pPr>
        <w:spacing w:line="480" w:lineRule="auto"/>
        <w:contextualSpacing/>
        <w:jc w:val="both"/>
      </w:pPr>
      <w:r w:rsidRPr="00BF3F0C">
        <w:t xml:space="preserve">We found only </w:t>
      </w:r>
      <w:r w:rsidR="0090474C">
        <w:t>five</w:t>
      </w:r>
      <w:r w:rsidRPr="00BF3F0C">
        <w:t xml:space="preserve"> studies that examined associations with CHD specifically.  Two were relatively small case-control studies</w:t>
      </w:r>
      <w:proofErr w:type="gramStart"/>
      <w:r w:rsidRPr="00BF3F0C">
        <w:t>,</w:t>
      </w:r>
      <w:r w:rsidR="000B4560">
        <w:rPr>
          <w:vertAlign w:val="superscript"/>
        </w:rPr>
        <w:t>24,31</w:t>
      </w:r>
      <w:proofErr w:type="gramEnd"/>
      <w:r w:rsidRPr="00BF3F0C">
        <w:t xml:space="preserve"> one of which was reported only as an abstract.</w:t>
      </w:r>
      <w:r w:rsidR="00935767" w:rsidRPr="00935767">
        <w:rPr>
          <w:vertAlign w:val="superscript"/>
        </w:rPr>
        <w:t>24</w:t>
      </w:r>
      <w:r w:rsidRPr="00BF3F0C">
        <w:t xml:space="preserve">  However, both found significant associations between use of biomass fuels and acute coronary syndrome in women, with adjusted odds ratios of 2.57 and 4.8.  </w:t>
      </w:r>
      <w:r w:rsidR="0090474C">
        <w:t>Another</w:t>
      </w:r>
      <w:r w:rsidRPr="00BF3F0C">
        <w:t xml:space="preserve"> was a large cross-sectional survey in China, which relied on self-report of a doctor’s diagnosis of CHD </w:t>
      </w:r>
      <w:r w:rsidR="00230B22" w:rsidRPr="00BF3F0C">
        <w:t>as</w:t>
      </w:r>
      <w:r w:rsidRPr="00BF3F0C">
        <w:t xml:space="preserve"> its measure of outcome, and as a consequence may have been subject to </w:t>
      </w:r>
      <w:r w:rsidR="00230B22" w:rsidRPr="00BF3F0C">
        <w:t xml:space="preserve">inflationary </w:t>
      </w:r>
      <w:proofErr w:type="gramStart"/>
      <w:r w:rsidRPr="00BF3F0C">
        <w:t>bias.</w:t>
      </w:r>
      <w:r w:rsidR="00935767">
        <w:rPr>
          <w:vertAlign w:val="superscript"/>
        </w:rPr>
        <w:t>26</w:t>
      </w:r>
      <w:r w:rsidRPr="00BF3F0C">
        <w:t xml:space="preserve">  Nevertheless</w:t>
      </w:r>
      <w:proofErr w:type="gramEnd"/>
      <w:r w:rsidRPr="00BF3F0C">
        <w:t>, it too indicated a positive association, with an odds ratio of 2.58.</w:t>
      </w:r>
      <w:r w:rsidR="0090474C">
        <w:t xml:space="preserve">  This was supported by the findings from a cohort study of mortality from myocardial infarction in China</w:t>
      </w:r>
      <w:r w:rsidR="00327489">
        <w:t xml:space="preserve">, which found a hazard ratio of 1.62 for prolonged use of coal as a fuel, but was reported only as an </w:t>
      </w:r>
      <w:proofErr w:type="gramStart"/>
      <w:r w:rsidR="00327489">
        <w:t>abstract.</w:t>
      </w:r>
      <w:r w:rsidR="00935767">
        <w:rPr>
          <w:vertAlign w:val="superscript"/>
        </w:rPr>
        <w:t>33</w:t>
      </w:r>
      <w:r w:rsidR="00327489">
        <w:t xml:space="preserve">  Against</w:t>
      </w:r>
      <w:proofErr w:type="gramEnd"/>
      <w:r w:rsidR="00327489">
        <w:t xml:space="preserve"> this, </w:t>
      </w:r>
      <w:r w:rsidR="0025162F">
        <w:t>a</w:t>
      </w:r>
      <w:r w:rsidR="00020B1B">
        <w:t xml:space="preserve"> </w:t>
      </w:r>
      <w:r w:rsidR="00327489">
        <w:t xml:space="preserve">cohort </w:t>
      </w:r>
      <w:r w:rsidR="0025162F">
        <w:t>study</w:t>
      </w:r>
      <w:r w:rsidR="006D34BA">
        <w:t xml:space="preserve"> in</w:t>
      </w:r>
      <w:r w:rsidR="00020B1B">
        <w:t xml:space="preserve"> Bangladesh</w:t>
      </w:r>
      <w:r w:rsidR="0025162F">
        <w:t xml:space="preserve"> </w:t>
      </w:r>
      <w:r w:rsidR="00327489">
        <w:t>found no significant association between use of solid fuel for cooking or heating and mortality from ischaemic heart disease.  However, cause of death was assessed by verbal autopsy, which although validated, is unlikely to have been completely accurate.</w:t>
      </w:r>
      <w:r w:rsidR="00935767">
        <w:rPr>
          <w:vertAlign w:val="superscript"/>
        </w:rPr>
        <w:t>28</w:t>
      </w:r>
      <w:r w:rsidR="00327489">
        <w:t xml:space="preserve">   </w:t>
      </w:r>
    </w:p>
    <w:p w:rsidR="00C62ABE" w:rsidRPr="00BF3F0C" w:rsidRDefault="00C62ABE" w:rsidP="00EF714E">
      <w:pPr>
        <w:spacing w:line="480" w:lineRule="auto"/>
        <w:contextualSpacing/>
        <w:jc w:val="both"/>
      </w:pPr>
    </w:p>
    <w:p w:rsidR="00C62ABE" w:rsidRPr="00BF3F0C" w:rsidRDefault="00327489" w:rsidP="00EF714E">
      <w:pPr>
        <w:spacing w:line="480" w:lineRule="auto"/>
        <w:contextualSpacing/>
        <w:jc w:val="both"/>
      </w:pPr>
      <w:r>
        <w:t>A</w:t>
      </w:r>
      <w:r w:rsidR="00C62ABE" w:rsidRPr="00BF3F0C">
        <w:t xml:space="preserve"> large cohort study in Iran found no significant associations between years of using biomass fuels for cooking or heating and death from heart disease more </w:t>
      </w:r>
      <w:proofErr w:type="gramStart"/>
      <w:r w:rsidR="00C62ABE" w:rsidRPr="00BF3F0C">
        <w:t>generally.</w:t>
      </w:r>
      <w:r w:rsidR="00935767">
        <w:rPr>
          <w:vertAlign w:val="superscript"/>
        </w:rPr>
        <w:t>27</w:t>
      </w:r>
      <w:r w:rsidR="00C62ABE" w:rsidRPr="00BF3F0C">
        <w:t xml:space="preserve">  As</w:t>
      </w:r>
      <w:proofErr w:type="gramEnd"/>
      <w:r w:rsidR="00C62ABE" w:rsidRPr="00BF3F0C">
        <w:t xml:space="preserve"> CHD accounts for a large proportion of deaths from heart disease, the broader case definition would not be expected to dilute risks substantially.  However, from the limited abstract that was published, it is unclear how durations of exposure to different categories of fuel were related, and what proportion of the exposed subjects were still using biomass fuels at the time of recruitment to the study.  It may be that recent exposures are a more important determinant of risk than those that occurred many years in the past.</w:t>
      </w:r>
    </w:p>
    <w:p w:rsidR="00C62ABE" w:rsidRPr="00BF3F0C" w:rsidRDefault="00C62ABE" w:rsidP="00EF714E">
      <w:pPr>
        <w:spacing w:line="480" w:lineRule="auto"/>
        <w:contextualSpacing/>
        <w:jc w:val="both"/>
      </w:pPr>
    </w:p>
    <w:p w:rsidR="00C62ABE" w:rsidRPr="00BF3F0C" w:rsidRDefault="00C62ABE" w:rsidP="00705EE7">
      <w:pPr>
        <w:spacing w:line="480" w:lineRule="auto"/>
        <w:contextualSpacing/>
        <w:jc w:val="both"/>
      </w:pPr>
      <w:r w:rsidRPr="00BF3F0C">
        <w:lastRenderedPageBreak/>
        <w:t>Evidence for short-term effects on risk comes from the intervention stu</w:t>
      </w:r>
      <w:r w:rsidR="00705EE7" w:rsidRPr="00BF3F0C">
        <w:t>dy by McCracken and colleagues</w:t>
      </w:r>
      <w:r w:rsidR="00935767">
        <w:rPr>
          <w:vertAlign w:val="superscript"/>
        </w:rPr>
        <w:t>21</w:t>
      </w:r>
      <w:r w:rsidRPr="00BF3F0C">
        <w:t xml:space="preserve">, which found differences in the prevalence of ST depression on the electrocardiogram at </w:t>
      </w:r>
      <w:r w:rsidR="000B4560">
        <w:t xml:space="preserve">a </w:t>
      </w:r>
      <w:r w:rsidRPr="00BF3F0C">
        <w:t>relative</w:t>
      </w:r>
      <w:r w:rsidR="000B4560">
        <w:t>ly</w:t>
      </w:r>
      <w:r w:rsidRPr="00BF3F0C">
        <w:t xml:space="preserve"> short interval after improved stoves were introduced.</w:t>
      </w:r>
    </w:p>
    <w:p w:rsidR="00C62ABE" w:rsidRPr="00BF3F0C" w:rsidRDefault="00C62ABE" w:rsidP="00EF714E">
      <w:pPr>
        <w:spacing w:line="480" w:lineRule="auto"/>
        <w:contextualSpacing/>
        <w:jc w:val="both"/>
      </w:pPr>
    </w:p>
    <w:p w:rsidR="00C62ABE" w:rsidRPr="00BF3F0C" w:rsidRDefault="00C62ABE" w:rsidP="00705EE7">
      <w:pPr>
        <w:spacing w:line="480" w:lineRule="auto"/>
        <w:contextualSpacing/>
        <w:jc w:val="both"/>
      </w:pPr>
      <w:r w:rsidRPr="00BF3F0C">
        <w:t>A further investigation was also reported as indicating an association between use of traditional fuels and cardiovascular disease</w:t>
      </w:r>
      <w:r w:rsidR="000B4560">
        <w:rPr>
          <w:vertAlign w:val="superscript"/>
        </w:rPr>
        <w:t>20</w:t>
      </w:r>
      <w:r w:rsidRPr="00BF3F0C">
        <w:t>, but the outcome measure was poorly specified, and the method of analysis inadequately described, making it difficult to draw any useful conclusions.</w:t>
      </w:r>
    </w:p>
    <w:p w:rsidR="00C62ABE" w:rsidRPr="00BF3F0C" w:rsidRDefault="00C62ABE" w:rsidP="00EF714E">
      <w:pPr>
        <w:spacing w:line="480" w:lineRule="auto"/>
        <w:contextualSpacing/>
        <w:jc w:val="both"/>
      </w:pPr>
    </w:p>
    <w:p w:rsidR="00C62ABE" w:rsidRPr="00BF3F0C" w:rsidRDefault="00C62ABE" w:rsidP="00EF714E">
      <w:pPr>
        <w:spacing w:line="480" w:lineRule="auto"/>
        <w:contextualSpacing/>
        <w:jc w:val="both"/>
      </w:pPr>
      <w:r w:rsidRPr="00BF3F0C">
        <w:t xml:space="preserve">If IAP from combustion of solid fuel does cause CHD, then one mechanism could be through the stimulation of inflammatory processes that promote </w:t>
      </w:r>
      <w:proofErr w:type="spellStart"/>
      <w:r w:rsidRPr="00BF3F0C">
        <w:t>atherogenesis</w:t>
      </w:r>
      <w:proofErr w:type="spellEnd"/>
      <w:r w:rsidRPr="00BF3F0C">
        <w:t xml:space="preserve"> or susceptibility to thrombosis.  In addition to the studies that have assessed risk of CHD or heart disease more generally, others have explored associations with inflammatory biomarkers, indicators of atherosclerosis or its early development (e.g. CIMT, flow-mediated dilatation), and measures of platelet aggregation.  For the most part, these too have given positive results, and while there is a possibility of publication bias, such that positive results are preferentially reported, the balance of published evidence supports the generation of inflammation as a plausible mechanism for a hazard of CHD.</w:t>
      </w:r>
    </w:p>
    <w:p w:rsidR="00C62ABE" w:rsidRPr="00BF3F0C" w:rsidRDefault="00C62ABE" w:rsidP="00EF714E">
      <w:pPr>
        <w:spacing w:line="480" w:lineRule="auto"/>
        <w:contextualSpacing/>
        <w:jc w:val="both"/>
      </w:pPr>
    </w:p>
    <w:p w:rsidR="00C62ABE" w:rsidRDefault="00C62ABE" w:rsidP="00EF714E">
      <w:pPr>
        <w:spacing w:line="480" w:lineRule="auto"/>
        <w:contextualSpacing/>
        <w:jc w:val="both"/>
      </w:pPr>
      <w:r w:rsidRPr="00BF3F0C">
        <w:t xml:space="preserve">There is also a notable consistency of evidence for an association of IAP from biomass fuels with higher blood pressure, which is a well-established risk factor for CHD.  </w:t>
      </w:r>
      <w:r w:rsidR="00B936E0">
        <w:t>Ten</w:t>
      </w:r>
      <w:r w:rsidRPr="00BF3F0C">
        <w:t xml:space="preserve"> studies have found significant positive associations,</w:t>
      </w:r>
      <w:r w:rsidR="00024711" w:rsidRPr="00024711">
        <w:rPr>
          <w:vertAlign w:val="superscript"/>
        </w:rPr>
        <w:t>12,13,16,18,22,26,30,35-37</w:t>
      </w:r>
      <w:r w:rsidRPr="00BF3F0C">
        <w:t xml:space="preserve"> and another indicated a relationship, which although not significant, was of comparable magnitude.</w:t>
      </w:r>
      <w:r w:rsidR="00024711">
        <w:rPr>
          <w:vertAlign w:val="superscript"/>
        </w:rPr>
        <w:t>14</w:t>
      </w:r>
      <w:r w:rsidRPr="00BF3F0C">
        <w:t xml:space="preserve">  Only two studies have failed to find associations with blood pressure,</w:t>
      </w:r>
      <w:r w:rsidR="00024711">
        <w:rPr>
          <w:vertAlign w:val="superscript"/>
        </w:rPr>
        <w:t>17,25</w:t>
      </w:r>
      <w:r w:rsidRPr="00BF3F0C">
        <w:t xml:space="preserve"> and one of them was in children.</w:t>
      </w:r>
      <w:r w:rsidR="00024711" w:rsidRPr="00024711">
        <w:rPr>
          <w:vertAlign w:val="superscript"/>
        </w:rPr>
        <w:t>25</w:t>
      </w:r>
      <w:r w:rsidR="00024711">
        <w:t xml:space="preserve">  </w:t>
      </w:r>
    </w:p>
    <w:p w:rsidR="00024711" w:rsidRPr="00BF3F0C" w:rsidRDefault="00024711" w:rsidP="00EF714E">
      <w:pPr>
        <w:spacing w:line="480" w:lineRule="auto"/>
        <w:contextualSpacing/>
        <w:jc w:val="both"/>
      </w:pPr>
    </w:p>
    <w:p w:rsidR="00C62ABE" w:rsidRPr="00BF3F0C" w:rsidRDefault="00C62ABE" w:rsidP="00EF714E">
      <w:pPr>
        <w:spacing w:line="480" w:lineRule="auto"/>
        <w:contextualSpacing/>
        <w:jc w:val="both"/>
        <w:rPr>
          <w:b/>
          <w:bCs/>
          <w:iCs/>
        </w:rPr>
      </w:pPr>
      <w:r w:rsidRPr="00BF3F0C">
        <w:rPr>
          <w:b/>
          <w:bCs/>
          <w:iCs/>
        </w:rPr>
        <w:t>Conclusions</w:t>
      </w:r>
    </w:p>
    <w:p w:rsidR="00D2469B" w:rsidRDefault="00C62ABE" w:rsidP="00CF517B">
      <w:pPr>
        <w:spacing w:line="480" w:lineRule="auto"/>
        <w:contextualSpacing/>
        <w:jc w:val="both"/>
      </w:pPr>
      <w:r w:rsidRPr="00BF3F0C">
        <w:lastRenderedPageBreak/>
        <w:t>The current balance of epidemiological evidence points to an increased risk of CHD from IAP as a consequence of using solid, and especially biomass, fuels for cooking and heating.  Relative risks from long-term exposure could be two- to four</w:t>
      </w:r>
      <w:r w:rsidR="00F15BBE">
        <w:t>fold</w:t>
      </w:r>
      <w:r w:rsidRPr="00BF3F0C">
        <w:t>.  However, the evidence base is still limited, and although such an association is consistent with the known hazards from smoking, environmental tobacco smoke and ambient air pollution, and supported by evidence of effects on inflammatory processes, atherosclerosis and blood pressure, it requires confirmation by larg</w:t>
      </w:r>
      <w:r w:rsidR="00C36153" w:rsidRPr="00BF3F0C">
        <w:t xml:space="preserve">er and more robust studies. </w:t>
      </w:r>
      <w:r w:rsidRPr="00BF3F0C">
        <w:t>The need for such research is particularly pressing because the incidence of CHD in developing countries is rising, and IAP may interact synergistically with the risk factors that are driving that increase.  Furthermore, relatively cheap methods are available to reduce IAP from use of solid fuels, and there are indications from intervention studies that these may impact beneficially on CHD as well as other di</w:t>
      </w:r>
      <w:r w:rsidR="00CF517B" w:rsidRPr="00BF3F0C">
        <w:t>seases caused by such pollution.</w:t>
      </w:r>
    </w:p>
    <w:p w:rsidR="00D2469B" w:rsidRDefault="00D2469B" w:rsidP="00CF517B">
      <w:pPr>
        <w:spacing w:line="480" w:lineRule="auto"/>
        <w:contextualSpacing/>
        <w:jc w:val="both"/>
      </w:pPr>
    </w:p>
    <w:p w:rsidR="00D2469B" w:rsidRDefault="00D2469B" w:rsidP="00CF517B">
      <w:pPr>
        <w:spacing w:line="480" w:lineRule="auto"/>
        <w:contextualSpacing/>
        <w:jc w:val="both"/>
      </w:pPr>
    </w:p>
    <w:p w:rsidR="003417DC" w:rsidRPr="00BF3F0C" w:rsidRDefault="003417DC" w:rsidP="00CF517B">
      <w:pPr>
        <w:spacing w:after="200" w:line="480" w:lineRule="auto"/>
        <w:contextualSpacing/>
      </w:pPr>
      <w:r w:rsidRPr="00BF3F0C">
        <w:rPr>
          <w:b/>
          <w:bCs/>
        </w:rPr>
        <w:t>Acknowledgments:</w:t>
      </w:r>
      <w:r w:rsidRPr="00BF3F0C">
        <w:t xml:space="preserve"> We thank Dr Clare Harris for her help in </w:t>
      </w:r>
      <w:r w:rsidR="0029449D">
        <w:t xml:space="preserve">designing the strategy for </w:t>
      </w:r>
      <w:r w:rsidRPr="00BF3F0C">
        <w:t xml:space="preserve">the </w:t>
      </w:r>
      <w:r w:rsidR="0029449D">
        <w:t xml:space="preserve">literature </w:t>
      </w:r>
      <w:r w:rsidRPr="00BF3F0C">
        <w:t xml:space="preserve">search. </w:t>
      </w:r>
      <w:r w:rsidR="00991FCB">
        <w:t xml:space="preserve"> </w:t>
      </w:r>
      <w:r w:rsidRPr="00BF3F0C">
        <w:t>Th</w:t>
      </w:r>
      <w:r w:rsidR="00991FCB">
        <w:t>e</w:t>
      </w:r>
      <w:r w:rsidRPr="00BF3F0C">
        <w:t xml:space="preserve"> study was conducted as part of </w:t>
      </w:r>
      <w:r w:rsidR="00991FCB">
        <w:t xml:space="preserve">the work for </w:t>
      </w:r>
      <w:r w:rsidRPr="00BF3F0C">
        <w:t xml:space="preserve">a PhD thesis </w:t>
      </w:r>
      <w:r w:rsidR="00991FCB">
        <w:t>by Dr Fatmi, who was funded through a fellowship provided by</w:t>
      </w:r>
      <w:r w:rsidR="00CF517B" w:rsidRPr="00BF3F0C">
        <w:t xml:space="preserve"> </w:t>
      </w:r>
      <w:r w:rsidR="00991FCB">
        <w:t>t</w:t>
      </w:r>
      <w:r w:rsidR="00CF517B" w:rsidRPr="00BF3F0C">
        <w:t>he Colt Foundation, UK.</w:t>
      </w:r>
      <w:r w:rsidRPr="00BF3F0C">
        <w:rPr>
          <w:b/>
          <w:color w:val="000000" w:themeColor="text1"/>
          <w:lang w:eastAsia="ja-JP"/>
        </w:rPr>
        <w:br w:type="page"/>
      </w:r>
    </w:p>
    <w:p w:rsidR="00CD7B9C" w:rsidRPr="00BF3F0C" w:rsidRDefault="00CD7B9C" w:rsidP="00EF714E">
      <w:pPr>
        <w:spacing w:line="480" w:lineRule="auto"/>
        <w:contextualSpacing/>
        <w:rPr>
          <w:b/>
          <w:color w:val="000000" w:themeColor="text1"/>
          <w:lang w:eastAsia="ja-JP"/>
        </w:rPr>
      </w:pPr>
      <w:r w:rsidRPr="00BF3F0C">
        <w:rPr>
          <w:b/>
          <w:color w:val="000000" w:themeColor="text1"/>
          <w:lang w:eastAsia="ja-JP"/>
        </w:rPr>
        <w:lastRenderedPageBreak/>
        <w:t>References</w:t>
      </w:r>
    </w:p>
    <w:p w:rsidR="00251EBD" w:rsidRDefault="00251EBD" w:rsidP="00D2469B">
      <w:pPr>
        <w:spacing w:after="200" w:line="480" w:lineRule="auto"/>
        <w:contextualSpacing/>
        <w:jc w:val="both"/>
        <w:rPr>
          <w:color w:val="000000" w:themeColor="text1"/>
        </w:rPr>
      </w:pPr>
      <w:r w:rsidRPr="00BF3F0C">
        <w:t xml:space="preserve">1. </w:t>
      </w:r>
      <w:hyperlink r:id="rId10" w:history="1">
        <w:r w:rsidRPr="00BF3F0C">
          <w:rPr>
            <w:rStyle w:val="Hyperlink"/>
            <w:color w:val="000000" w:themeColor="text1"/>
            <w:u w:val="none"/>
          </w:rPr>
          <w:t>Murray CJ</w:t>
        </w:r>
      </w:hyperlink>
      <w:r w:rsidRPr="00BF3F0C">
        <w:rPr>
          <w:color w:val="000000" w:themeColor="text1"/>
        </w:rPr>
        <w:t>, </w:t>
      </w:r>
      <w:proofErr w:type="spellStart"/>
      <w:r w:rsidR="003027AC">
        <w:fldChar w:fldCharType="begin"/>
      </w:r>
      <w:r w:rsidR="003027AC">
        <w:instrText xml:space="preserve"> HYPERLINK "http://www.ncbi.nlm.nih.gov/pubmed/?term=Vos%20T%5BAuthor%5D&amp;cauthor=true&amp;cauthor_uid=23245608" </w:instrText>
      </w:r>
      <w:r w:rsidR="003027AC">
        <w:fldChar w:fldCharType="separate"/>
      </w:r>
      <w:r w:rsidRPr="00BF3F0C">
        <w:rPr>
          <w:rStyle w:val="Hyperlink"/>
          <w:color w:val="000000" w:themeColor="text1"/>
          <w:u w:val="none"/>
        </w:rPr>
        <w:t>Vos</w:t>
      </w:r>
      <w:proofErr w:type="spellEnd"/>
      <w:r w:rsidRPr="00BF3F0C">
        <w:rPr>
          <w:rStyle w:val="Hyperlink"/>
          <w:color w:val="000000" w:themeColor="text1"/>
          <w:u w:val="none"/>
        </w:rPr>
        <w:t xml:space="preserve"> </w:t>
      </w:r>
      <w:r w:rsidR="003027AC">
        <w:rPr>
          <w:rStyle w:val="Hyperlink"/>
          <w:color w:val="000000" w:themeColor="text1"/>
          <w:u w:val="none"/>
        </w:rPr>
        <w:fldChar w:fldCharType="end"/>
      </w:r>
      <w:r w:rsidR="00ED4687" w:rsidRPr="00BF3F0C">
        <w:rPr>
          <w:color w:val="000000" w:themeColor="text1"/>
        </w:rPr>
        <w:t>T</w:t>
      </w:r>
      <w:r w:rsidRPr="00BF3F0C">
        <w:rPr>
          <w:color w:val="000000" w:themeColor="text1"/>
        </w:rPr>
        <w:t>, </w:t>
      </w:r>
      <w:hyperlink r:id="rId11" w:history="1">
        <w:r w:rsidRPr="00BF3F0C">
          <w:rPr>
            <w:rStyle w:val="Hyperlink"/>
            <w:color w:val="000000" w:themeColor="text1"/>
            <w:u w:val="none"/>
          </w:rPr>
          <w:t>Lozano R</w:t>
        </w:r>
      </w:hyperlink>
      <w:r w:rsidRPr="00BF3F0C">
        <w:rPr>
          <w:color w:val="000000" w:themeColor="text1"/>
        </w:rPr>
        <w:t>, </w:t>
      </w:r>
      <w:proofErr w:type="spellStart"/>
      <w:r w:rsidR="00681CB6">
        <w:rPr>
          <w:color w:val="000000" w:themeColor="text1"/>
        </w:rPr>
        <w:t>Naghavi</w:t>
      </w:r>
      <w:proofErr w:type="spellEnd"/>
      <w:r w:rsidR="00681CB6">
        <w:rPr>
          <w:color w:val="000000" w:themeColor="text1"/>
        </w:rPr>
        <w:t xml:space="preserve"> M, Flaxman AD, Michaud C </w:t>
      </w:r>
      <w:r w:rsidRPr="00BF3F0C">
        <w:rPr>
          <w:color w:val="000000" w:themeColor="text1"/>
        </w:rPr>
        <w:t xml:space="preserve">et al. </w:t>
      </w:r>
      <w:r w:rsidR="00681CB6">
        <w:rPr>
          <w:color w:val="000000" w:themeColor="text1"/>
        </w:rPr>
        <w:t xml:space="preserve"> </w:t>
      </w:r>
      <w:r w:rsidRPr="00BF3F0C">
        <w:rPr>
          <w:color w:val="000000" w:themeColor="text1"/>
        </w:rPr>
        <w:t xml:space="preserve">Disability-adjusted life years (DALYs) for 291 diseases and injuries in 21 regions, 1990–2010: a systematic analysis for the Global Burden of Disease Study 2010. </w:t>
      </w:r>
      <w:r w:rsidR="00681CB6">
        <w:rPr>
          <w:color w:val="000000" w:themeColor="text1"/>
        </w:rPr>
        <w:t xml:space="preserve"> </w:t>
      </w:r>
      <w:r w:rsidRPr="00681CB6">
        <w:rPr>
          <w:iCs/>
          <w:color w:val="000000" w:themeColor="text1"/>
        </w:rPr>
        <w:t>Lancet</w:t>
      </w:r>
      <w:r w:rsidRPr="00681CB6">
        <w:rPr>
          <w:color w:val="000000" w:themeColor="text1"/>
        </w:rPr>
        <w:t xml:space="preserve"> </w:t>
      </w:r>
      <w:r w:rsidR="00ED4687" w:rsidRPr="00BF3F0C">
        <w:rPr>
          <w:color w:val="000000" w:themeColor="text1"/>
        </w:rPr>
        <w:t xml:space="preserve">2012; </w:t>
      </w:r>
      <w:r w:rsidRPr="00BF3F0C">
        <w:rPr>
          <w:color w:val="000000" w:themeColor="text1"/>
        </w:rPr>
        <w:t>380:2197</w:t>
      </w:r>
      <w:r w:rsidR="00681CB6">
        <w:rPr>
          <w:color w:val="000000" w:themeColor="text1"/>
        </w:rPr>
        <w:t>-</w:t>
      </w:r>
      <w:r w:rsidRPr="00BF3F0C">
        <w:rPr>
          <w:color w:val="000000" w:themeColor="text1"/>
        </w:rPr>
        <w:t>223.</w:t>
      </w:r>
    </w:p>
    <w:p w:rsidR="00B44237" w:rsidRPr="00BF3F0C" w:rsidRDefault="00B44237" w:rsidP="00D2469B">
      <w:pPr>
        <w:spacing w:after="200" w:line="480" w:lineRule="auto"/>
        <w:contextualSpacing/>
        <w:jc w:val="both"/>
        <w:rPr>
          <w:color w:val="000000" w:themeColor="text1"/>
        </w:rPr>
      </w:pPr>
    </w:p>
    <w:p w:rsidR="00251EBD" w:rsidRDefault="00251EBD" w:rsidP="00D2469B">
      <w:pPr>
        <w:spacing w:after="200" w:line="480" w:lineRule="auto"/>
        <w:contextualSpacing/>
        <w:jc w:val="both"/>
        <w:rPr>
          <w:color w:val="000000" w:themeColor="text1"/>
        </w:rPr>
      </w:pPr>
      <w:r w:rsidRPr="00BF3F0C">
        <w:rPr>
          <w:bCs/>
          <w:color w:val="000000" w:themeColor="text1"/>
        </w:rPr>
        <w:t>2. Bonjour</w:t>
      </w:r>
      <w:r w:rsidRPr="00BF3F0C">
        <w:rPr>
          <w:color w:val="000000" w:themeColor="text1"/>
        </w:rPr>
        <w:t xml:space="preserve"> S, Adair-</w:t>
      </w:r>
      <w:proofErr w:type="spellStart"/>
      <w:r w:rsidRPr="00BF3F0C">
        <w:rPr>
          <w:color w:val="000000" w:themeColor="text1"/>
        </w:rPr>
        <w:t>Rohani</w:t>
      </w:r>
      <w:proofErr w:type="spellEnd"/>
      <w:r w:rsidRPr="00BF3F0C">
        <w:rPr>
          <w:color w:val="000000" w:themeColor="text1"/>
        </w:rPr>
        <w:t xml:space="preserve"> H, Wolf J, </w:t>
      </w:r>
      <w:r w:rsidR="00681CB6">
        <w:rPr>
          <w:color w:val="000000" w:themeColor="text1"/>
        </w:rPr>
        <w:t xml:space="preserve">Bruce NG, Mehta S, </w:t>
      </w:r>
      <w:proofErr w:type="spellStart"/>
      <w:r w:rsidR="00681CB6">
        <w:rPr>
          <w:color w:val="000000" w:themeColor="text1"/>
        </w:rPr>
        <w:t>Prüss-Ustün</w:t>
      </w:r>
      <w:proofErr w:type="spellEnd"/>
      <w:r w:rsidR="00681CB6">
        <w:rPr>
          <w:color w:val="000000" w:themeColor="text1"/>
        </w:rPr>
        <w:t xml:space="preserve"> A </w:t>
      </w:r>
      <w:r w:rsidR="00ED4687" w:rsidRPr="00BF3F0C">
        <w:rPr>
          <w:color w:val="000000" w:themeColor="text1"/>
        </w:rPr>
        <w:t>et al.</w:t>
      </w:r>
      <w:r w:rsidRPr="00BF3F0C">
        <w:rPr>
          <w:color w:val="000000" w:themeColor="text1"/>
        </w:rPr>
        <w:t xml:space="preserve"> </w:t>
      </w:r>
      <w:r w:rsidR="00681CB6">
        <w:rPr>
          <w:color w:val="000000" w:themeColor="text1"/>
        </w:rPr>
        <w:t xml:space="preserve"> </w:t>
      </w:r>
      <w:hyperlink r:id="rId12" w:history="1">
        <w:r w:rsidRPr="00BF3F0C">
          <w:rPr>
            <w:bCs/>
            <w:color w:val="000000" w:themeColor="text1"/>
          </w:rPr>
          <w:t>Solid</w:t>
        </w:r>
        <w:r w:rsidRPr="00BF3F0C">
          <w:rPr>
            <w:color w:val="000000" w:themeColor="text1"/>
          </w:rPr>
          <w:t xml:space="preserve"> fuel use for </w:t>
        </w:r>
        <w:r w:rsidRPr="00BF3F0C">
          <w:rPr>
            <w:bCs/>
            <w:color w:val="000000" w:themeColor="text1"/>
          </w:rPr>
          <w:t>household</w:t>
        </w:r>
        <w:r w:rsidRPr="00BF3F0C">
          <w:rPr>
            <w:color w:val="000000" w:themeColor="text1"/>
          </w:rPr>
          <w:t xml:space="preserve"> cooking: country and regional estimates for 1980-2010.</w:t>
        </w:r>
      </w:hyperlink>
      <w:r w:rsidRPr="00BF3F0C">
        <w:rPr>
          <w:color w:val="000000" w:themeColor="text1"/>
        </w:rPr>
        <w:t xml:space="preserve"> </w:t>
      </w:r>
      <w:r w:rsidR="00681CB6">
        <w:rPr>
          <w:color w:val="000000" w:themeColor="text1"/>
        </w:rPr>
        <w:t xml:space="preserve"> </w:t>
      </w:r>
      <w:r w:rsidRPr="00681CB6">
        <w:rPr>
          <w:rStyle w:val="jrnl"/>
          <w:iCs/>
          <w:color w:val="000000" w:themeColor="text1"/>
        </w:rPr>
        <w:t xml:space="preserve">Environ Health </w:t>
      </w:r>
      <w:proofErr w:type="spellStart"/>
      <w:r w:rsidRPr="00681CB6">
        <w:rPr>
          <w:rStyle w:val="jrnl"/>
          <w:iCs/>
          <w:color w:val="000000" w:themeColor="text1"/>
        </w:rPr>
        <w:t>Perspect</w:t>
      </w:r>
      <w:proofErr w:type="spellEnd"/>
      <w:r w:rsidR="00681CB6">
        <w:rPr>
          <w:rStyle w:val="jrnl"/>
          <w:iCs/>
          <w:color w:val="000000" w:themeColor="text1"/>
        </w:rPr>
        <w:t xml:space="preserve"> </w:t>
      </w:r>
      <w:r w:rsidR="00ED4687" w:rsidRPr="00BF3F0C">
        <w:rPr>
          <w:color w:val="000000" w:themeColor="text1"/>
        </w:rPr>
        <w:t>2013</w:t>
      </w:r>
      <w:proofErr w:type="gramStart"/>
      <w:r w:rsidR="00ED4687" w:rsidRPr="00BF3F0C">
        <w:rPr>
          <w:color w:val="000000" w:themeColor="text1"/>
        </w:rPr>
        <w:t>;</w:t>
      </w:r>
      <w:r w:rsidRPr="00BF3F0C">
        <w:rPr>
          <w:color w:val="000000" w:themeColor="text1"/>
        </w:rPr>
        <w:t>121:784</w:t>
      </w:r>
      <w:proofErr w:type="gramEnd"/>
      <w:r w:rsidRPr="00BF3F0C">
        <w:rPr>
          <w:color w:val="000000" w:themeColor="text1"/>
        </w:rPr>
        <w:t>-90.</w:t>
      </w:r>
    </w:p>
    <w:p w:rsidR="00B44237" w:rsidRPr="00BF3F0C" w:rsidRDefault="00B44237" w:rsidP="00D2469B">
      <w:pPr>
        <w:spacing w:after="200" w:line="480" w:lineRule="auto"/>
        <w:contextualSpacing/>
        <w:jc w:val="both"/>
        <w:rPr>
          <w:color w:val="000000" w:themeColor="text1"/>
        </w:rPr>
      </w:pPr>
    </w:p>
    <w:p w:rsidR="00251EBD" w:rsidRDefault="00251EBD" w:rsidP="00D2469B">
      <w:pPr>
        <w:shd w:val="clear" w:color="auto" w:fill="FFFFFF"/>
        <w:spacing w:line="480" w:lineRule="auto"/>
        <w:contextualSpacing/>
        <w:jc w:val="both"/>
        <w:rPr>
          <w:bCs/>
          <w:color w:val="000000" w:themeColor="text1"/>
        </w:rPr>
      </w:pPr>
      <w:r w:rsidRPr="00BF3F0C">
        <w:t xml:space="preserve">3. </w:t>
      </w:r>
      <w:hyperlink r:id="rId13" w:history="1">
        <w:proofErr w:type="spellStart"/>
        <w:r w:rsidRPr="00BF3F0C">
          <w:rPr>
            <w:rStyle w:val="Hyperlink"/>
            <w:bCs/>
            <w:color w:val="000000" w:themeColor="text1"/>
            <w:u w:val="none"/>
          </w:rPr>
          <w:t>Teo</w:t>
        </w:r>
        <w:proofErr w:type="spellEnd"/>
        <w:r w:rsidRPr="00BF3F0C">
          <w:rPr>
            <w:rStyle w:val="Hyperlink"/>
            <w:bCs/>
            <w:color w:val="000000" w:themeColor="text1"/>
            <w:u w:val="none"/>
          </w:rPr>
          <w:t xml:space="preserve"> KK</w:t>
        </w:r>
      </w:hyperlink>
      <w:r w:rsidRPr="00BF3F0C">
        <w:rPr>
          <w:bCs/>
          <w:color w:val="000000" w:themeColor="text1"/>
        </w:rPr>
        <w:t xml:space="preserve">, </w:t>
      </w:r>
      <w:hyperlink r:id="rId14" w:history="1">
        <w:proofErr w:type="spellStart"/>
        <w:r w:rsidRPr="00BF3F0C">
          <w:rPr>
            <w:rStyle w:val="Hyperlink"/>
            <w:bCs/>
            <w:color w:val="000000" w:themeColor="text1"/>
            <w:u w:val="none"/>
          </w:rPr>
          <w:t>Ounpuu</w:t>
        </w:r>
        <w:proofErr w:type="spellEnd"/>
        <w:r w:rsidRPr="00BF3F0C">
          <w:rPr>
            <w:rStyle w:val="Hyperlink"/>
            <w:bCs/>
            <w:color w:val="000000" w:themeColor="text1"/>
            <w:u w:val="none"/>
          </w:rPr>
          <w:t xml:space="preserve"> S</w:t>
        </w:r>
      </w:hyperlink>
      <w:r w:rsidRPr="00BF3F0C">
        <w:rPr>
          <w:bCs/>
          <w:color w:val="000000" w:themeColor="text1"/>
        </w:rPr>
        <w:t xml:space="preserve">, </w:t>
      </w:r>
      <w:hyperlink r:id="rId15" w:history="1">
        <w:r w:rsidRPr="00BF3F0C">
          <w:rPr>
            <w:rStyle w:val="Hyperlink"/>
            <w:bCs/>
            <w:color w:val="000000" w:themeColor="text1"/>
            <w:u w:val="none"/>
          </w:rPr>
          <w:t>Hawken S</w:t>
        </w:r>
      </w:hyperlink>
      <w:r w:rsidRPr="00BF3F0C">
        <w:rPr>
          <w:bCs/>
          <w:color w:val="000000" w:themeColor="text1"/>
        </w:rPr>
        <w:t>,</w:t>
      </w:r>
      <w:r w:rsidR="00ED4687" w:rsidRPr="00BF3F0C">
        <w:rPr>
          <w:bCs/>
          <w:color w:val="000000" w:themeColor="text1"/>
        </w:rPr>
        <w:t xml:space="preserve"> </w:t>
      </w:r>
      <w:r w:rsidR="00681CB6">
        <w:rPr>
          <w:bCs/>
          <w:color w:val="000000" w:themeColor="text1"/>
        </w:rPr>
        <w:t xml:space="preserve">Pandey MR, Valentin V, Hunt D </w:t>
      </w:r>
      <w:r w:rsidR="00ED4687" w:rsidRPr="00BF3F0C">
        <w:rPr>
          <w:bCs/>
          <w:color w:val="000000" w:themeColor="text1"/>
        </w:rPr>
        <w:t>et al.</w:t>
      </w:r>
      <w:r w:rsidR="00681CB6">
        <w:rPr>
          <w:bCs/>
          <w:color w:val="000000" w:themeColor="text1"/>
        </w:rPr>
        <w:t xml:space="preserve"> </w:t>
      </w:r>
      <w:r w:rsidRPr="00BF3F0C">
        <w:rPr>
          <w:bCs/>
          <w:color w:val="000000" w:themeColor="text1"/>
        </w:rPr>
        <w:t xml:space="preserve"> Tobacco use and risk of myocardial infarction in 52 countries in the INTERHEART study: a case-control study. </w:t>
      </w:r>
      <w:hyperlink r:id="rId16" w:tooltip="Lancet." w:history="1">
        <w:r w:rsidRPr="00681CB6">
          <w:rPr>
            <w:rStyle w:val="Hyperlink"/>
            <w:bCs/>
            <w:iCs/>
            <w:color w:val="000000" w:themeColor="text1"/>
            <w:u w:val="none"/>
          </w:rPr>
          <w:t>Lancet</w:t>
        </w:r>
      </w:hyperlink>
      <w:r w:rsidRPr="00681CB6">
        <w:rPr>
          <w:bCs/>
          <w:color w:val="000000" w:themeColor="text1"/>
        </w:rPr>
        <w:t xml:space="preserve"> </w:t>
      </w:r>
      <w:r w:rsidR="00ED4687" w:rsidRPr="00BF3F0C">
        <w:rPr>
          <w:bCs/>
          <w:color w:val="000000" w:themeColor="text1"/>
        </w:rPr>
        <w:t>2006</w:t>
      </w:r>
      <w:proofErr w:type="gramStart"/>
      <w:r w:rsidR="00ED4687" w:rsidRPr="00BF3F0C">
        <w:rPr>
          <w:bCs/>
          <w:color w:val="000000" w:themeColor="text1"/>
        </w:rPr>
        <w:t>;</w:t>
      </w:r>
      <w:r w:rsidRPr="00BF3F0C">
        <w:rPr>
          <w:bCs/>
          <w:color w:val="000000" w:themeColor="text1"/>
        </w:rPr>
        <w:t>368:647</w:t>
      </w:r>
      <w:proofErr w:type="gramEnd"/>
      <w:r w:rsidRPr="00BF3F0C">
        <w:rPr>
          <w:bCs/>
          <w:color w:val="000000" w:themeColor="text1"/>
        </w:rPr>
        <w:t>-58.</w:t>
      </w:r>
    </w:p>
    <w:p w:rsidR="00B44237" w:rsidRPr="00BF3F0C" w:rsidRDefault="00B44237" w:rsidP="00D2469B">
      <w:pPr>
        <w:shd w:val="clear" w:color="auto" w:fill="FFFFFF"/>
        <w:spacing w:line="480" w:lineRule="auto"/>
        <w:contextualSpacing/>
        <w:jc w:val="both"/>
        <w:rPr>
          <w:bCs/>
          <w:color w:val="000000" w:themeColor="text1"/>
        </w:rPr>
      </w:pPr>
    </w:p>
    <w:p w:rsidR="00251EBD" w:rsidRDefault="00251EBD" w:rsidP="00D2469B">
      <w:pPr>
        <w:autoSpaceDE w:val="0"/>
        <w:autoSpaceDN w:val="0"/>
        <w:adjustRightInd w:val="0"/>
        <w:spacing w:line="480" w:lineRule="auto"/>
        <w:contextualSpacing/>
        <w:jc w:val="both"/>
        <w:rPr>
          <w:rFonts w:eastAsia="Times New Roman"/>
          <w:color w:val="000000" w:themeColor="text1"/>
          <w:lang w:eastAsia="en-GB"/>
        </w:rPr>
      </w:pPr>
      <w:r w:rsidRPr="00BF3F0C">
        <w:rPr>
          <w:rFonts w:eastAsia="Times New Roman"/>
          <w:color w:val="000000" w:themeColor="text1"/>
          <w:lang w:eastAsia="en-GB"/>
        </w:rPr>
        <w:t xml:space="preserve">4. Yusuf S, Hawken S, </w:t>
      </w:r>
      <w:proofErr w:type="spellStart"/>
      <w:r w:rsidRPr="00BF3F0C">
        <w:rPr>
          <w:rFonts w:eastAsia="Times New Roman"/>
          <w:color w:val="000000" w:themeColor="text1"/>
          <w:lang w:eastAsia="en-GB"/>
        </w:rPr>
        <w:t>Ounpuu</w:t>
      </w:r>
      <w:proofErr w:type="spellEnd"/>
      <w:r w:rsidRPr="00BF3F0C">
        <w:rPr>
          <w:rFonts w:eastAsia="Times New Roman"/>
          <w:color w:val="000000" w:themeColor="text1"/>
          <w:lang w:eastAsia="en-GB"/>
        </w:rPr>
        <w:t xml:space="preserve"> S, </w:t>
      </w:r>
      <w:proofErr w:type="spellStart"/>
      <w:r w:rsidR="00D5582A">
        <w:rPr>
          <w:rFonts w:eastAsia="Times New Roman"/>
          <w:color w:val="000000" w:themeColor="text1"/>
          <w:lang w:eastAsia="en-GB"/>
        </w:rPr>
        <w:t>Dans</w:t>
      </w:r>
      <w:proofErr w:type="spellEnd"/>
      <w:r w:rsidR="00D5582A">
        <w:rPr>
          <w:rFonts w:eastAsia="Times New Roman"/>
          <w:color w:val="000000" w:themeColor="text1"/>
          <w:lang w:eastAsia="en-GB"/>
        </w:rPr>
        <w:t xml:space="preserve"> T, </w:t>
      </w:r>
      <w:proofErr w:type="spellStart"/>
      <w:r w:rsidR="00D5582A">
        <w:rPr>
          <w:rFonts w:eastAsia="Times New Roman"/>
          <w:color w:val="000000" w:themeColor="text1"/>
          <w:lang w:eastAsia="en-GB"/>
        </w:rPr>
        <w:t>Avezum</w:t>
      </w:r>
      <w:proofErr w:type="spellEnd"/>
      <w:r w:rsidR="00D5582A">
        <w:rPr>
          <w:rFonts w:eastAsia="Times New Roman"/>
          <w:color w:val="000000" w:themeColor="text1"/>
          <w:lang w:eastAsia="en-GB"/>
        </w:rPr>
        <w:t xml:space="preserve"> A, </w:t>
      </w:r>
      <w:proofErr w:type="spellStart"/>
      <w:r w:rsidR="00D5582A">
        <w:rPr>
          <w:rFonts w:eastAsia="Times New Roman"/>
          <w:color w:val="000000" w:themeColor="text1"/>
          <w:lang w:eastAsia="en-GB"/>
        </w:rPr>
        <w:t>Lanas</w:t>
      </w:r>
      <w:proofErr w:type="spellEnd"/>
      <w:r w:rsidR="00D5582A">
        <w:rPr>
          <w:rFonts w:eastAsia="Times New Roman"/>
          <w:color w:val="000000" w:themeColor="text1"/>
          <w:lang w:eastAsia="en-GB"/>
        </w:rPr>
        <w:t xml:space="preserve"> F </w:t>
      </w:r>
      <w:r w:rsidR="00ED4687" w:rsidRPr="00BF3F0C">
        <w:rPr>
          <w:rFonts w:eastAsia="Times New Roman"/>
          <w:color w:val="000000" w:themeColor="text1"/>
          <w:lang w:eastAsia="en-GB"/>
        </w:rPr>
        <w:t>et al</w:t>
      </w:r>
      <w:r w:rsidRPr="00BF3F0C">
        <w:rPr>
          <w:rFonts w:eastAsia="Times New Roman"/>
          <w:color w:val="000000" w:themeColor="text1"/>
          <w:lang w:eastAsia="en-GB"/>
        </w:rPr>
        <w:t>.</w:t>
      </w:r>
      <w:r w:rsidR="00D5582A">
        <w:rPr>
          <w:rFonts w:eastAsia="Times New Roman"/>
          <w:color w:val="000000" w:themeColor="text1"/>
          <w:lang w:eastAsia="en-GB"/>
        </w:rPr>
        <w:t xml:space="preserve"> </w:t>
      </w:r>
      <w:r w:rsidRPr="00BF3F0C">
        <w:rPr>
          <w:rFonts w:eastAsia="Times New Roman"/>
          <w:color w:val="000000" w:themeColor="text1"/>
          <w:lang w:eastAsia="en-GB"/>
        </w:rPr>
        <w:t xml:space="preserve"> Effect of potentially modifiable risk factors associated with myocardial infarction in 52 countries (the INTERHEART study): case-control study. </w:t>
      </w:r>
      <w:r w:rsidR="00D5582A">
        <w:rPr>
          <w:rFonts w:eastAsia="Times New Roman"/>
          <w:color w:val="000000" w:themeColor="text1"/>
          <w:lang w:eastAsia="en-GB"/>
        </w:rPr>
        <w:t xml:space="preserve"> </w:t>
      </w:r>
      <w:r w:rsidRPr="00D5582A">
        <w:rPr>
          <w:rFonts w:eastAsia="Times New Roman"/>
          <w:iCs/>
          <w:color w:val="000000" w:themeColor="text1"/>
          <w:lang w:eastAsia="en-GB"/>
        </w:rPr>
        <w:t>Lancet</w:t>
      </w:r>
      <w:r w:rsidR="00ED4687" w:rsidRPr="00D5582A">
        <w:rPr>
          <w:rFonts w:eastAsia="Times New Roman"/>
          <w:color w:val="000000" w:themeColor="text1"/>
          <w:lang w:eastAsia="en-GB"/>
        </w:rPr>
        <w:t xml:space="preserve"> </w:t>
      </w:r>
      <w:r w:rsidR="00ED4687" w:rsidRPr="00BF3F0C">
        <w:rPr>
          <w:rFonts w:eastAsia="Times New Roman"/>
          <w:color w:val="000000" w:themeColor="text1"/>
          <w:lang w:eastAsia="en-GB"/>
        </w:rPr>
        <w:t>2004</w:t>
      </w:r>
      <w:proofErr w:type="gramStart"/>
      <w:r w:rsidR="00ED4687" w:rsidRPr="00BF3F0C">
        <w:rPr>
          <w:rFonts w:eastAsia="Times New Roman"/>
          <w:color w:val="000000" w:themeColor="text1"/>
          <w:lang w:eastAsia="en-GB"/>
        </w:rPr>
        <w:t>;</w:t>
      </w:r>
      <w:r w:rsidRPr="00BF3F0C">
        <w:rPr>
          <w:rFonts w:eastAsia="Times New Roman"/>
          <w:color w:val="000000" w:themeColor="text1"/>
          <w:lang w:eastAsia="en-GB"/>
        </w:rPr>
        <w:t>364:937</w:t>
      </w:r>
      <w:proofErr w:type="gramEnd"/>
      <w:r w:rsidR="00D5582A">
        <w:rPr>
          <w:rFonts w:eastAsia="Times New Roman"/>
          <w:color w:val="000000" w:themeColor="text1"/>
          <w:lang w:eastAsia="en-GB"/>
        </w:rPr>
        <w:t>-</w:t>
      </w:r>
      <w:r w:rsidRPr="00BF3F0C">
        <w:rPr>
          <w:rFonts w:eastAsia="Times New Roman"/>
          <w:color w:val="000000" w:themeColor="text1"/>
          <w:lang w:eastAsia="en-GB"/>
        </w:rPr>
        <w:t>52.</w:t>
      </w:r>
    </w:p>
    <w:p w:rsidR="00B44237" w:rsidRPr="00BF3F0C" w:rsidRDefault="00B44237" w:rsidP="00D2469B">
      <w:pPr>
        <w:autoSpaceDE w:val="0"/>
        <w:autoSpaceDN w:val="0"/>
        <w:adjustRightInd w:val="0"/>
        <w:spacing w:line="480" w:lineRule="auto"/>
        <w:contextualSpacing/>
        <w:jc w:val="both"/>
        <w:rPr>
          <w:color w:val="000000" w:themeColor="text1"/>
          <w:lang w:eastAsia="ja-JP"/>
        </w:rPr>
      </w:pPr>
    </w:p>
    <w:p w:rsidR="00251EBD" w:rsidRDefault="00251EBD" w:rsidP="00D2469B">
      <w:pPr>
        <w:spacing w:after="200" w:line="480" w:lineRule="auto"/>
        <w:contextualSpacing/>
        <w:jc w:val="both"/>
        <w:rPr>
          <w:color w:val="000000" w:themeColor="text1"/>
        </w:rPr>
      </w:pPr>
      <w:r w:rsidRPr="00BF3F0C">
        <w:t xml:space="preserve">5. </w:t>
      </w:r>
      <w:hyperlink r:id="rId17" w:history="1">
        <w:r w:rsidRPr="00BF3F0C">
          <w:rPr>
            <w:color w:val="000000" w:themeColor="text1"/>
          </w:rPr>
          <w:t>Howard G</w:t>
        </w:r>
      </w:hyperlink>
      <w:r w:rsidR="00D5582A">
        <w:rPr>
          <w:color w:val="000000" w:themeColor="text1"/>
        </w:rPr>
        <w:t>,</w:t>
      </w:r>
      <w:r w:rsidRPr="00BF3F0C">
        <w:rPr>
          <w:color w:val="000000" w:themeColor="text1"/>
        </w:rPr>
        <w:t xml:space="preserve"> </w:t>
      </w:r>
      <w:hyperlink r:id="rId18" w:history="1">
        <w:r w:rsidRPr="00BF3F0C">
          <w:rPr>
            <w:color w:val="000000" w:themeColor="text1"/>
          </w:rPr>
          <w:t>Thun MJ</w:t>
        </w:r>
      </w:hyperlink>
      <w:r w:rsidRPr="00BF3F0C">
        <w:rPr>
          <w:color w:val="000000" w:themeColor="text1"/>
        </w:rPr>
        <w:t xml:space="preserve">. </w:t>
      </w:r>
      <w:r w:rsidR="00D5582A">
        <w:rPr>
          <w:color w:val="000000" w:themeColor="text1"/>
        </w:rPr>
        <w:t xml:space="preserve"> </w:t>
      </w:r>
      <w:r w:rsidRPr="00BF3F0C">
        <w:rPr>
          <w:color w:val="000000" w:themeColor="text1"/>
        </w:rPr>
        <w:t xml:space="preserve">Why is </w:t>
      </w:r>
      <w:r w:rsidRPr="00BF3F0C">
        <w:rPr>
          <w:rStyle w:val="highlight2"/>
          <w:color w:val="000000" w:themeColor="text1"/>
        </w:rPr>
        <w:t>environmental tobacco smoke</w:t>
      </w:r>
      <w:r w:rsidRPr="00BF3F0C">
        <w:rPr>
          <w:color w:val="000000" w:themeColor="text1"/>
        </w:rPr>
        <w:t xml:space="preserve"> more strongly associated with </w:t>
      </w:r>
      <w:r w:rsidRPr="00BF3F0C">
        <w:rPr>
          <w:rStyle w:val="highlight2"/>
          <w:color w:val="000000" w:themeColor="text1"/>
        </w:rPr>
        <w:t>coronary heart disease</w:t>
      </w:r>
      <w:r w:rsidRPr="00BF3F0C">
        <w:rPr>
          <w:color w:val="000000" w:themeColor="text1"/>
        </w:rPr>
        <w:t xml:space="preserve"> than expected? </w:t>
      </w:r>
      <w:proofErr w:type="gramStart"/>
      <w:r w:rsidRPr="00BF3F0C">
        <w:rPr>
          <w:color w:val="000000" w:themeColor="text1"/>
        </w:rPr>
        <w:t xml:space="preserve">A </w:t>
      </w:r>
      <w:r w:rsidRPr="00BF3F0C">
        <w:rPr>
          <w:rStyle w:val="highlight2"/>
          <w:color w:val="000000" w:themeColor="text1"/>
        </w:rPr>
        <w:t>review</w:t>
      </w:r>
      <w:r w:rsidRPr="00BF3F0C">
        <w:rPr>
          <w:color w:val="000000" w:themeColor="text1"/>
        </w:rPr>
        <w:t xml:space="preserve"> of potential biases and experimental data.</w:t>
      </w:r>
      <w:proofErr w:type="gramEnd"/>
      <w:r w:rsidRPr="00BF3F0C">
        <w:rPr>
          <w:color w:val="000000" w:themeColor="text1"/>
        </w:rPr>
        <w:t xml:space="preserve"> </w:t>
      </w:r>
      <w:hyperlink r:id="rId19" w:tooltip="Environmental health perspectives." w:history="1">
        <w:r w:rsidRPr="00D5582A">
          <w:rPr>
            <w:iCs/>
            <w:color w:val="000000" w:themeColor="text1"/>
          </w:rPr>
          <w:t xml:space="preserve">Environ Health </w:t>
        </w:r>
        <w:proofErr w:type="spellStart"/>
        <w:r w:rsidRPr="00D5582A">
          <w:rPr>
            <w:iCs/>
            <w:color w:val="000000" w:themeColor="text1"/>
          </w:rPr>
          <w:t>Perspect</w:t>
        </w:r>
        <w:proofErr w:type="spellEnd"/>
      </w:hyperlink>
      <w:r w:rsidRPr="00BF3F0C">
        <w:rPr>
          <w:i/>
          <w:iCs/>
          <w:color w:val="000000" w:themeColor="text1"/>
        </w:rPr>
        <w:t xml:space="preserve"> </w:t>
      </w:r>
      <w:r w:rsidRPr="00BF3F0C">
        <w:rPr>
          <w:color w:val="000000" w:themeColor="text1"/>
        </w:rPr>
        <w:t>1999</w:t>
      </w:r>
      <w:proofErr w:type="gramStart"/>
      <w:r w:rsidRPr="00BF3F0C">
        <w:rPr>
          <w:color w:val="000000" w:themeColor="text1"/>
        </w:rPr>
        <w:t>;107</w:t>
      </w:r>
      <w:proofErr w:type="gramEnd"/>
      <w:r w:rsidRPr="00BF3F0C">
        <w:rPr>
          <w:color w:val="000000" w:themeColor="text1"/>
        </w:rPr>
        <w:t xml:space="preserve"> </w:t>
      </w:r>
      <w:proofErr w:type="spellStart"/>
      <w:r w:rsidRPr="00BF3F0C">
        <w:rPr>
          <w:color w:val="000000" w:themeColor="text1"/>
        </w:rPr>
        <w:t>Suppl</w:t>
      </w:r>
      <w:proofErr w:type="spellEnd"/>
      <w:r w:rsidRPr="00BF3F0C">
        <w:rPr>
          <w:color w:val="000000" w:themeColor="text1"/>
        </w:rPr>
        <w:t xml:space="preserve"> 6:853-8.</w:t>
      </w:r>
    </w:p>
    <w:p w:rsidR="00B44237" w:rsidRPr="00BF3F0C" w:rsidRDefault="00B44237" w:rsidP="00D2469B">
      <w:pPr>
        <w:spacing w:after="200" w:line="480" w:lineRule="auto"/>
        <w:contextualSpacing/>
        <w:jc w:val="both"/>
        <w:rPr>
          <w:color w:val="000000" w:themeColor="text1"/>
        </w:rPr>
      </w:pPr>
    </w:p>
    <w:p w:rsidR="00251EBD" w:rsidRDefault="00251EBD" w:rsidP="00D2469B">
      <w:pPr>
        <w:spacing w:after="200" w:line="480" w:lineRule="auto"/>
        <w:contextualSpacing/>
        <w:jc w:val="both"/>
        <w:rPr>
          <w:color w:val="000000" w:themeColor="text1"/>
        </w:rPr>
      </w:pPr>
      <w:r w:rsidRPr="00BF3F0C">
        <w:t xml:space="preserve">6. </w:t>
      </w:r>
      <w:hyperlink r:id="rId20" w:history="1">
        <w:r w:rsidRPr="00BF3F0C">
          <w:rPr>
            <w:color w:val="000000" w:themeColor="text1"/>
          </w:rPr>
          <w:t>Kaur S</w:t>
        </w:r>
      </w:hyperlink>
      <w:r w:rsidRPr="00BF3F0C">
        <w:rPr>
          <w:color w:val="000000" w:themeColor="text1"/>
        </w:rPr>
        <w:t xml:space="preserve">, </w:t>
      </w:r>
      <w:hyperlink r:id="rId21" w:history="1">
        <w:r w:rsidRPr="00BF3F0C">
          <w:rPr>
            <w:color w:val="000000" w:themeColor="text1"/>
          </w:rPr>
          <w:t>Cohen A</w:t>
        </w:r>
      </w:hyperlink>
      <w:r w:rsidRPr="00BF3F0C">
        <w:rPr>
          <w:color w:val="000000" w:themeColor="text1"/>
        </w:rPr>
        <w:t xml:space="preserve">, </w:t>
      </w:r>
      <w:hyperlink r:id="rId22" w:history="1">
        <w:proofErr w:type="spellStart"/>
        <w:r w:rsidRPr="00BF3F0C">
          <w:rPr>
            <w:color w:val="000000" w:themeColor="text1"/>
          </w:rPr>
          <w:t>Dolor</w:t>
        </w:r>
        <w:proofErr w:type="spellEnd"/>
        <w:r w:rsidRPr="00BF3F0C">
          <w:rPr>
            <w:color w:val="000000" w:themeColor="text1"/>
          </w:rPr>
          <w:t xml:space="preserve"> R</w:t>
        </w:r>
      </w:hyperlink>
      <w:r w:rsidRPr="00BF3F0C">
        <w:rPr>
          <w:color w:val="000000" w:themeColor="text1"/>
        </w:rPr>
        <w:t>,</w:t>
      </w:r>
      <w:r w:rsidR="00ED4687" w:rsidRPr="00BF3F0C">
        <w:rPr>
          <w:color w:val="000000" w:themeColor="text1"/>
        </w:rPr>
        <w:t xml:space="preserve"> </w:t>
      </w:r>
      <w:r w:rsidR="00D5582A">
        <w:rPr>
          <w:color w:val="000000" w:themeColor="text1"/>
        </w:rPr>
        <w:t>Coffman CJ, Bastian LA</w:t>
      </w:r>
      <w:r w:rsidRPr="00BF3F0C">
        <w:rPr>
          <w:color w:val="000000" w:themeColor="text1"/>
        </w:rPr>
        <w:t xml:space="preserve">. The impact of </w:t>
      </w:r>
      <w:r w:rsidRPr="00BF3F0C">
        <w:rPr>
          <w:rStyle w:val="highlight2"/>
          <w:color w:val="000000" w:themeColor="text1"/>
        </w:rPr>
        <w:t>environmental tobacco smoke</w:t>
      </w:r>
      <w:r w:rsidRPr="00BF3F0C">
        <w:rPr>
          <w:color w:val="000000" w:themeColor="text1"/>
        </w:rPr>
        <w:t xml:space="preserve"> on women's risk of dying from </w:t>
      </w:r>
      <w:r w:rsidRPr="00BF3F0C">
        <w:rPr>
          <w:rStyle w:val="highlight2"/>
          <w:color w:val="000000" w:themeColor="text1"/>
        </w:rPr>
        <w:t>heart</w:t>
      </w:r>
      <w:r w:rsidRPr="00BF3F0C">
        <w:rPr>
          <w:color w:val="000000" w:themeColor="text1"/>
        </w:rPr>
        <w:t xml:space="preserve"> </w:t>
      </w:r>
      <w:r w:rsidRPr="00BF3F0C">
        <w:rPr>
          <w:rStyle w:val="highlight2"/>
          <w:color w:val="000000" w:themeColor="text1"/>
        </w:rPr>
        <w:t>disease</w:t>
      </w:r>
      <w:r w:rsidRPr="00BF3F0C">
        <w:rPr>
          <w:color w:val="000000" w:themeColor="text1"/>
        </w:rPr>
        <w:t xml:space="preserve">: a meta-analysis. </w:t>
      </w:r>
      <w:r w:rsidR="008314AC">
        <w:rPr>
          <w:color w:val="000000" w:themeColor="text1"/>
        </w:rPr>
        <w:t xml:space="preserve"> </w:t>
      </w:r>
      <w:hyperlink r:id="rId23" w:tooltip="Journal of women's health (2002)." w:history="1">
        <w:r w:rsidRPr="008314AC">
          <w:rPr>
            <w:iCs/>
            <w:color w:val="000000" w:themeColor="text1"/>
          </w:rPr>
          <w:t xml:space="preserve">J </w:t>
        </w:r>
        <w:proofErr w:type="spellStart"/>
        <w:r w:rsidRPr="008314AC">
          <w:rPr>
            <w:iCs/>
            <w:color w:val="000000" w:themeColor="text1"/>
          </w:rPr>
          <w:t>Womens</w:t>
        </w:r>
        <w:proofErr w:type="spellEnd"/>
        <w:r w:rsidRPr="008314AC">
          <w:rPr>
            <w:iCs/>
            <w:color w:val="000000" w:themeColor="text1"/>
          </w:rPr>
          <w:t xml:space="preserve"> Health </w:t>
        </w:r>
      </w:hyperlink>
      <w:r w:rsidR="00ED4687" w:rsidRPr="00BF3F0C">
        <w:rPr>
          <w:color w:val="000000" w:themeColor="text1"/>
        </w:rPr>
        <w:t>2004</w:t>
      </w:r>
      <w:proofErr w:type="gramStart"/>
      <w:r w:rsidR="00ED4687" w:rsidRPr="00BF3F0C">
        <w:rPr>
          <w:color w:val="000000" w:themeColor="text1"/>
        </w:rPr>
        <w:t>;</w:t>
      </w:r>
      <w:r w:rsidRPr="00BF3F0C">
        <w:rPr>
          <w:color w:val="000000" w:themeColor="text1"/>
        </w:rPr>
        <w:t>13:888</w:t>
      </w:r>
      <w:proofErr w:type="gramEnd"/>
      <w:r w:rsidRPr="00BF3F0C">
        <w:rPr>
          <w:color w:val="000000" w:themeColor="text1"/>
        </w:rPr>
        <w:t>-97.</w:t>
      </w:r>
    </w:p>
    <w:p w:rsidR="00B44237" w:rsidRPr="00BF3F0C" w:rsidRDefault="00B44237" w:rsidP="00D2469B">
      <w:pPr>
        <w:spacing w:after="200" w:line="480" w:lineRule="auto"/>
        <w:contextualSpacing/>
        <w:jc w:val="both"/>
        <w:rPr>
          <w:color w:val="000000" w:themeColor="text1"/>
        </w:rPr>
      </w:pPr>
    </w:p>
    <w:p w:rsidR="00251EBD" w:rsidRDefault="00251EBD" w:rsidP="00D2469B">
      <w:pPr>
        <w:spacing w:after="200" w:line="480" w:lineRule="auto"/>
        <w:contextualSpacing/>
        <w:jc w:val="both"/>
        <w:rPr>
          <w:color w:val="000000" w:themeColor="text1"/>
        </w:rPr>
      </w:pPr>
      <w:r w:rsidRPr="00BF3F0C">
        <w:rPr>
          <w:color w:val="000000" w:themeColor="text1"/>
        </w:rPr>
        <w:t xml:space="preserve">7. Dockery DW, Pope CA, Xu </w:t>
      </w:r>
      <w:r w:rsidR="00ED4687" w:rsidRPr="00BF3F0C">
        <w:rPr>
          <w:color w:val="000000" w:themeColor="text1"/>
        </w:rPr>
        <w:t>X</w:t>
      </w:r>
      <w:r w:rsidRPr="00BF3F0C">
        <w:rPr>
          <w:color w:val="000000" w:themeColor="text1"/>
        </w:rPr>
        <w:t xml:space="preserve">, </w:t>
      </w:r>
      <w:r w:rsidR="000A43AA">
        <w:rPr>
          <w:color w:val="000000" w:themeColor="text1"/>
        </w:rPr>
        <w:t>Spengler JD, Ware JH, Fay ME</w:t>
      </w:r>
      <w:r w:rsidR="00ED4687" w:rsidRPr="00BF3F0C">
        <w:rPr>
          <w:color w:val="000000" w:themeColor="text1"/>
        </w:rPr>
        <w:t xml:space="preserve"> et al</w:t>
      </w:r>
      <w:r w:rsidRPr="00BF3F0C">
        <w:rPr>
          <w:color w:val="000000" w:themeColor="text1"/>
        </w:rPr>
        <w:t xml:space="preserve">. </w:t>
      </w:r>
      <w:r w:rsidR="000A43AA">
        <w:rPr>
          <w:color w:val="000000" w:themeColor="text1"/>
        </w:rPr>
        <w:t xml:space="preserve"> </w:t>
      </w:r>
      <w:proofErr w:type="gramStart"/>
      <w:r w:rsidRPr="00BF3F0C">
        <w:rPr>
          <w:color w:val="000000" w:themeColor="text1"/>
        </w:rPr>
        <w:t>An association between air pollution and mortality in six US cities.</w:t>
      </w:r>
      <w:proofErr w:type="gramEnd"/>
      <w:r w:rsidRPr="00BF3F0C">
        <w:rPr>
          <w:color w:val="000000" w:themeColor="text1"/>
        </w:rPr>
        <w:t xml:space="preserve"> </w:t>
      </w:r>
      <w:r w:rsidR="000A43AA">
        <w:rPr>
          <w:color w:val="000000" w:themeColor="text1"/>
        </w:rPr>
        <w:t xml:space="preserve"> </w:t>
      </w:r>
      <w:r w:rsidRPr="000A43AA">
        <w:rPr>
          <w:iCs/>
          <w:color w:val="000000" w:themeColor="text1"/>
        </w:rPr>
        <w:t xml:space="preserve">N </w:t>
      </w:r>
      <w:proofErr w:type="spellStart"/>
      <w:r w:rsidRPr="000A43AA">
        <w:rPr>
          <w:iCs/>
          <w:color w:val="000000" w:themeColor="text1"/>
        </w:rPr>
        <w:t>Engl</w:t>
      </w:r>
      <w:proofErr w:type="spellEnd"/>
      <w:r w:rsidRPr="000A43AA">
        <w:rPr>
          <w:iCs/>
          <w:color w:val="000000" w:themeColor="text1"/>
        </w:rPr>
        <w:t xml:space="preserve"> J Med</w:t>
      </w:r>
      <w:r w:rsidRPr="00BF3F0C">
        <w:rPr>
          <w:i/>
          <w:iCs/>
          <w:color w:val="000000" w:themeColor="text1"/>
        </w:rPr>
        <w:t xml:space="preserve"> </w:t>
      </w:r>
      <w:r w:rsidR="00ED4687" w:rsidRPr="00BF3F0C">
        <w:rPr>
          <w:color w:val="000000" w:themeColor="text1"/>
        </w:rPr>
        <w:t>1993</w:t>
      </w:r>
      <w:proofErr w:type="gramStart"/>
      <w:r w:rsidR="00ED4687" w:rsidRPr="00BF3F0C">
        <w:rPr>
          <w:color w:val="000000" w:themeColor="text1"/>
        </w:rPr>
        <w:t>;</w:t>
      </w:r>
      <w:r w:rsidRPr="00BF3F0C">
        <w:rPr>
          <w:color w:val="000000" w:themeColor="text1"/>
        </w:rPr>
        <w:t>329:1753</w:t>
      </w:r>
      <w:proofErr w:type="gramEnd"/>
      <w:r w:rsidR="000A43AA">
        <w:rPr>
          <w:color w:val="000000" w:themeColor="text1"/>
        </w:rPr>
        <w:t>-</w:t>
      </w:r>
      <w:r w:rsidRPr="00BF3F0C">
        <w:rPr>
          <w:color w:val="000000" w:themeColor="text1"/>
        </w:rPr>
        <w:t>9.</w:t>
      </w:r>
    </w:p>
    <w:p w:rsidR="00B44237" w:rsidRPr="00BF3F0C" w:rsidRDefault="00B44237" w:rsidP="00D2469B">
      <w:pPr>
        <w:spacing w:after="200" w:line="480" w:lineRule="auto"/>
        <w:contextualSpacing/>
        <w:jc w:val="both"/>
        <w:rPr>
          <w:color w:val="000000" w:themeColor="text1"/>
        </w:rPr>
      </w:pPr>
    </w:p>
    <w:p w:rsidR="00251EBD" w:rsidRDefault="00251EBD" w:rsidP="00D2469B">
      <w:pPr>
        <w:spacing w:after="200" w:line="480" w:lineRule="auto"/>
        <w:contextualSpacing/>
        <w:jc w:val="both"/>
        <w:rPr>
          <w:color w:val="000000" w:themeColor="text1"/>
        </w:rPr>
      </w:pPr>
      <w:r w:rsidRPr="00BF3F0C">
        <w:rPr>
          <w:color w:val="000000" w:themeColor="text1"/>
        </w:rPr>
        <w:t xml:space="preserve">8. Pope CA, Thun MJ, </w:t>
      </w:r>
      <w:proofErr w:type="spellStart"/>
      <w:r w:rsidRPr="00BF3F0C">
        <w:rPr>
          <w:color w:val="000000" w:themeColor="text1"/>
        </w:rPr>
        <w:t>Namboodiri</w:t>
      </w:r>
      <w:proofErr w:type="spellEnd"/>
      <w:r w:rsidRPr="00BF3F0C">
        <w:rPr>
          <w:color w:val="000000" w:themeColor="text1"/>
        </w:rPr>
        <w:t xml:space="preserve"> MM, </w:t>
      </w:r>
      <w:r w:rsidR="000A43AA">
        <w:rPr>
          <w:color w:val="000000" w:themeColor="text1"/>
        </w:rPr>
        <w:t xml:space="preserve">Dockery DW, Evans JS, </w:t>
      </w:r>
      <w:proofErr w:type="spellStart"/>
      <w:r w:rsidR="000A43AA">
        <w:rPr>
          <w:color w:val="000000" w:themeColor="text1"/>
        </w:rPr>
        <w:t>Speizer</w:t>
      </w:r>
      <w:proofErr w:type="spellEnd"/>
      <w:r w:rsidR="000A43AA">
        <w:rPr>
          <w:color w:val="000000" w:themeColor="text1"/>
        </w:rPr>
        <w:t xml:space="preserve"> FE </w:t>
      </w:r>
      <w:r w:rsidR="00ED4687" w:rsidRPr="00BF3F0C">
        <w:rPr>
          <w:color w:val="000000" w:themeColor="text1"/>
        </w:rPr>
        <w:t>et al</w:t>
      </w:r>
      <w:r w:rsidRPr="00BF3F0C">
        <w:rPr>
          <w:color w:val="000000" w:themeColor="text1"/>
        </w:rPr>
        <w:t xml:space="preserve">. </w:t>
      </w:r>
      <w:r w:rsidR="000A43AA">
        <w:rPr>
          <w:color w:val="000000" w:themeColor="text1"/>
        </w:rPr>
        <w:t xml:space="preserve"> </w:t>
      </w:r>
      <w:proofErr w:type="gramStart"/>
      <w:r w:rsidRPr="00BF3F0C">
        <w:rPr>
          <w:color w:val="000000" w:themeColor="text1"/>
        </w:rPr>
        <w:t>Particulate air pollution as a predictor of mortality in a prospective study of US adults.</w:t>
      </w:r>
      <w:proofErr w:type="gramEnd"/>
      <w:r w:rsidR="000A43AA">
        <w:rPr>
          <w:color w:val="000000" w:themeColor="text1"/>
        </w:rPr>
        <w:t xml:space="preserve"> </w:t>
      </w:r>
      <w:r w:rsidRPr="00BF3F0C">
        <w:rPr>
          <w:color w:val="000000" w:themeColor="text1"/>
        </w:rPr>
        <w:t xml:space="preserve"> </w:t>
      </w:r>
      <w:r w:rsidRPr="000A43AA">
        <w:rPr>
          <w:iCs/>
          <w:color w:val="000000" w:themeColor="text1"/>
        </w:rPr>
        <w:t xml:space="preserve">Am J </w:t>
      </w:r>
      <w:proofErr w:type="spellStart"/>
      <w:r w:rsidRPr="000A43AA">
        <w:rPr>
          <w:iCs/>
          <w:color w:val="000000" w:themeColor="text1"/>
        </w:rPr>
        <w:t>Respir</w:t>
      </w:r>
      <w:proofErr w:type="spellEnd"/>
      <w:r w:rsidRPr="000A43AA">
        <w:rPr>
          <w:iCs/>
          <w:color w:val="000000" w:themeColor="text1"/>
        </w:rPr>
        <w:t xml:space="preserve"> </w:t>
      </w:r>
      <w:proofErr w:type="spellStart"/>
      <w:r w:rsidRPr="000A43AA">
        <w:rPr>
          <w:iCs/>
          <w:color w:val="000000" w:themeColor="text1"/>
        </w:rPr>
        <w:t>Crit</w:t>
      </w:r>
      <w:proofErr w:type="spellEnd"/>
      <w:r w:rsidRPr="000A43AA">
        <w:rPr>
          <w:iCs/>
          <w:color w:val="000000" w:themeColor="text1"/>
        </w:rPr>
        <w:t xml:space="preserve"> Care Med</w:t>
      </w:r>
      <w:r w:rsidRPr="000A43AA">
        <w:rPr>
          <w:color w:val="000000" w:themeColor="text1"/>
        </w:rPr>
        <w:t xml:space="preserve"> </w:t>
      </w:r>
      <w:r w:rsidR="00ED4687" w:rsidRPr="00BF3F0C">
        <w:rPr>
          <w:color w:val="000000" w:themeColor="text1"/>
        </w:rPr>
        <w:t>1995</w:t>
      </w:r>
      <w:proofErr w:type="gramStart"/>
      <w:r w:rsidR="00ED4687" w:rsidRPr="00BF3F0C">
        <w:rPr>
          <w:color w:val="000000" w:themeColor="text1"/>
        </w:rPr>
        <w:t>;</w:t>
      </w:r>
      <w:r w:rsidRPr="00BF3F0C">
        <w:rPr>
          <w:color w:val="000000" w:themeColor="text1"/>
        </w:rPr>
        <w:t>151:669</w:t>
      </w:r>
      <w:proofErr w:type="gramEnd"/>
      <w:r w:rsidR="000A43AA">
        <w:rPr>
          <w:color w:val="000000" w:themeColor="text1"/>
        </w:rPr>
        <w:t>-</w:t>
      </w:r>
      <w:r w:rsidRPr="00BF3F0C">
        <w:rPr>
          <w:color w:val="000000" w:themeColor="text1"/>
        </w:rPr>
        <w:t>74.</w:t>
      </w:r>
    </w:p>
    <w:p w:rsidR="00B44237" w:rsidRPr="00BF3F0C" w:rsidRDefault="00B44237" w:rsidP="00D2469B">
      <w:pPr>
        <w:spacing w:after="200" w:line="480" w:lineRule="auto"/>
        <w:contextualSpacing/>
        <w:jc w:val="both"/>
        <w:rPr>
          <w:color w:val="000000" w:themeColor="text1"/>
        </w:rPr>
      </w:pPr>
    </w:p>
    <w:p w:rsidR="00B44237" w:rsidRDefault="00251EBD" w:rsidP="00D2469B">
      <w:pPr>
        <w:spacing w:after="200" w:line="480" w:lineRule="auto"/>
        <w:contextualSpacing/>
        <w:jc w:val="both"/>
        <w:rPr>
          <w:rFonts w:eastAsia="MS PGothic"/>
          <w:color w:val="000000" w:themeColor="text1"/>
          <w:lang w:val="en-US" w:eastAsia="ja-JP"/>
        </w:rPr>
      </w:pPr>
      <w:r w:rsidRPr="00BF3F0C">
        <w:rPr>
          <w:rFonts w:eastAsia="MS PGothic"/>
          <w:bCs/>
          <w:color w:val="000000" w:themeColor="text1"/>
          <w:lang w:val="en-US" w:eastAsia="ja-JP"/>
        </w:rPr>
        <w:t xml:space="preserve">9. </w:t>
      </w:r>
      <w:r w:rsidR="00CD7B9C" w:rsidRPr="00BF3F0C">
        <w:rPr>
          <w:rFonts w:eastAsia="MS PGothic"/>
          <w:bCs/>
          <w:color w:val="000000" w:themeColor="text1"/>
          <w:lang w:val="en-US" w:eastAsia="ja-JP"/>
        </w:rPr>
        <w:t>Clark ML</w:t>
      </w:r>
      <w:r w:rsidR="00CD7B9C" w:rsidRPr="00BF3F0C">
        <w:rPr>
          <w:rFonts w:eastAsia="MS PGothic"/>
          <w:color w:val="000000" w:themeColor="text1"/>
          <w:lang w:val="en-US" w:eastAsia="ja-JP"/>
        </w:rPr>
        <w:t xml:space="preserve">, Peel JL, </w:t>
      </w:r>
      <w:proofErr w:type="spellStart"/>
      <w:r w:rsidR="00CD7B9C" w:rsidRPr="00BF3F0C">
        <w:rPr>
          <w:rFonts w:eastAsia="MS PGothic"/>
          <w:color w:val="000000" w:themeColor="text1"/>
          <w:lang w:val="en-US" w:eastAsia="ja-JP"/>
        </w:rPr>
        <w:t>Balakrishnan</w:t>
      </w:r>
      <w:proofErr w:type="spellEnd"/>
      <w:r w:rsidR="00CD7B9C" w:rsidRPr="00BF3F0C">
        <w:rPr>
          <w:rFonts w:eastAsia="MS PGothic"/>
          <w:color w:val="000000" w:themeColor="text1"/>
          <w:lang w:val="en-US" w:eastAsia="ja-JP"/>
        </w:rPr>
        <w:t xml:space="preserve"> K, </w:t>
      </w:r>
      <w:proofErr w:type="spellStart"/>
      <w:r w:rsidR="000A43AA">
        <w:rPr>
          <w:rFonts w:eastAsia="MS PGothic"/>
          <w:color w:val="000000" w:themeColor="text1"/>
          <w:lang w:val="en-US" w:eastAsia="ja-JP"/>
        </w:rPr>
        <w:t>Breysse</w:t>
      </w:r>
      <w:proofErr w:type="spellEnd"/>
      <w:r w:rsidR="000A43AA">
        <w:rPr>
          <w:rFonts w:eastAsia="MS PGothic"/>
          <w:color w:val="000000" w:themeColor="text1"/>
          <w:lang w:val="en-US" w:eastAsia="ja-JP"/>
        </w:rPr>
        <w:t xml:space="preserve"> PN, </w:t>
      </w:r>
      <w:proofErr w:type="spellStart"/>
      <w:r w:rsidR="000A43AA">
        <w:rPr>
          <w:rFonts w:eastAsia="MS PGothic"/>
          <w:color w:val="000000" w:themeColor="text1"/>
          <w:lang w:val="en-US" w:eastAsia="ja-JP"/>
        </w:rPr>
        <w:t>Chilrud</w:t>
      </w:r>
      <w:proofErr w:type="spellEnd"/>
      <w:r w:rsidR="000A43AA">
        <w:rPr>
          <w:rFonts w:eastAsia="MS PGothic"/>
          <w:color w:val="000000" w:themeColor="text1"/>
          <w:lang w:val="en-US" w:eastAsia="ja-JP"/>
        </w:rPr>
        <w:t xml:space="preserve"> SN, </w:t>
      </w:r>
      <w:proofErr w:type="spellStart"/>
      <w:r w:rsidR="000A43AA">
        <w:rPr>
          <w:rFonts w:eastAsia="MS PGothic"/>
          <w:color w:val="000000" w:themeColor="text1"/>
          <w:lang w:val="en-US" w:eastAsia="ja-JP"/>
        </w:rPr>
        <w:t>Naeher</w:t>
      </w:r>
      <w:proofErr w:type="spellEnd"/>
      <w:r w:rsidR="000A43AA">
        <w:rPr>
          <w:rFonts w:eastAsia="MS PGothic"/>
          <w:color w:val="000000" w:themeColor="text1"/>
          <w:lang w:val="en-US" w:eastAsia="ja-JP"/>
        </w:rPr>
        <w:t xml:space="preserve"> LP </w:t>
      </w:r>
      <w:r w:rsidR="00236C99" w:rsidRPr="00BF3F0C">
        <w:rPr>
          <w:rFonts w:eastAsia="MS PGothic"/>
          <w:color w:val="000000" w:themeColor="text1"/>
          <w:lang w:val="en-US" w:eastAsia="ja-JP"/>
        </w:rPr>
        <w:t>et al</w:t>
      </w:r>
      <w:r w:rsidR="00AE550E" w:rsidRPr="00BF3F0C">
        <w:rPr>
          <w:rFonts w:eastAsia="MS PGothic"/>
          <w:color w:val="000000" w:themeColor="text1"/>
          <w:lang w:eastAsia="ja-JP"/>
        </w:rPr>
        <w:t>.</w:t>
      </w:r>
      <w:r w:rsidR="00AE550E" w:rsidRPr="00BF3F0C">
        <w:rPr>
          <w:rFonts w:eastAsia="MS PGothic"/>
          <w:color w:val="000000" w:themeColor="text1"/>
          <w:lang w:val="en-US" w:eastAsia="ja-JP"/>
        </w:rPr>
        <w:t xml:space="preserve"> </w:t>
      </w:r>
      <w:r w:rsidR="000A43AA">
        <w:rPr>
          <w:rFonts w:eastAsia="MS PGothic"/>
          <w:color w:val="000000" w:themeColor="text1"/>
          <w:lang w:val="en-US" w:eastAsia="ja-JP"/>
        </w:rPr>
        <w:t xml:space="preserve"> </w:t>
      </w:r>
      <w:hyperlink r:id="rId24" w:history="1">
        <w:r w:rsidR="00CD7B9C" w:rsidRPr="00BF3F0C">
          <w:rPr>
            <w:rFonts w:eastAsia="MS PGothic"/>
            <w:color w:val="000000" w:themeColor="text1"/>
            <w:lang w:val="en-US" w:eastAsia="ja-JP"/>
          </w:rPr>
          <w:t>Health and household air pollution from solid fuel use: the need for improved exposure assessment.</w:t>
        </w:r>
      </w:hyperlink>
      <w:r w:rsidR="00CD7B9C" w:rsidRPr="00BF3F0C">
        <w:rPr>
          <w:rFonts w:eastAsia="MS PGothic"/>
          <w:color w:val="000000" w:themeColor="text1"/>
          <w:lang w:val="en-US" w:eastAsia="ja-JP"/>
        </w:rPr>
        <w:t xml:space="preserve"> </w:t>
      </w:r>
      <w:r w:rsidR="000A43AA">
        <w:rPr>
          <w:rFonts w:eastAsia="MS PGothic"/>
          <w:color w:val="000000" w:themeColor="text1"/>
          <w:lang w:val="en-US" w:eastAsia="ja-JP"/>
        </w:rPr>
        <w:t xml:space="preserve">  </w:t>
      </w:r>
      <w:r w:rsidR="00CD7B9C" w:rsidRPr="000A43AA">
        <w:rPr>
          <w:rFonts w:eastAsia="MS PGothic"/>
          <w:iCs/>
          <w:color w:val="000000" w:themeColor="text1"/>
          <w:lang w:val="en-US" w:eastAsia="ja-JP"/>
        </w:rPr>
        <w:t xml:space="preserve">Environ Health </w:t>
      </w:r>
      <w:proofErr w:type="spellStart"/>
      <w:r w:rsidR="00CD7B9C" w:rsidRPr="000A43AA">
        <w:rPr>
          <w:rFonts w:eastAsia="MS PGothic"/>
          <w:iCs/>
          <w:color w:val="000000" w:themeColor="text1"/>
          <w:lang w:val="en-US" w:eastAsia="ja-JP"/>
        </w:rPr>
        <w:t>Perspect</w:t>
      </w:r>
      <w:proofErr w:type="spellEnd"/>
      <w:r w:rsidR="00CD7B9C" w:rsidRPr="000A43AA">
        <w:rPr>
          <w:rFonts w:eastAsia="MS PGothic"/>
          <w:color w:val="000000" w:themeColor="text1"/>
          <w:lang w:val="en-US" w:eastAsia="ja-JP"/>
        </w:rPr>
        <w:t xml:space="preserve"> </w:t>
      </w:r>
      <w:r w:rsidR="00236C99" w:rsidRPr="00BF3F0C">
        <w:rPr>
          <w:rFonts w:eastAsia="MS PGothic"/>
          <w:color w:val="000000" w:themeColor="text1"/>
          <w:lang w:val="en-US" w:eastAsia="ja-JP"/>
        </w:rPr>
        <w:t>2013</w:t>
      </w:r>
      <w:proofErr w:type="gramStart"/>
      <w:r w:rsidR="00236C99" w:rsidRPr="00BF3F0C">
        <w:rPr>
          <w:rFonts w:eastAsia="MS PGothic"/>
          <w:color w:val="000000" w:themeColor="text1"/>
          <w:lang w:val="en-US" w:eastAsia="ja-JP"/>
        </w:rPr>
        <w:t>;</w:t>
      </w:r>
      <w:r w:rsidR="00CD7B9C" w:rsidRPr="00BF3F0C">
        <w:rPr>
          <w:rFonts w:eastAsia="MS PGothic"/>
          <w:color w:val="000000" w:themeColor="text1"/>
          <w:lang w:val="en-US" w:eastAsia="ja-JP"/>
        </w:rPr>
        <w:t>121:1120</w:t>
      </w:r>
      <w:proofErr w:type="gramEnd"/>
      <w:r w:rsidR="00CD7B9C" w:rsidRPr="00BF3F0C">
        <w:rPr>
          <w:rFonts w:eastAsia="MS PGothic"/>
          <w:color w:val="000000" w:themeColor="text1"/>
          <w:lang w:val="en-US" w:eastAsia="ja-JP"/>
        </w:rPr>
        <w:t>-8.</w:t>
      </w:r>
    </w:p>
    <w:p w:rsidR="00522DCD" w:rsidRPr="00BF3F0C" w:rsidRDefault="00B24288" w:rsidP="00D2469B">
      <w:pPr>
        <w:spacing w:after="200" w:line="480" w:lineRule="auto"/>
        <w:contextualSpacing/>
        <w:jc w:val="both"/>
        <w:rPr>
          <w:rFonts w:eastAsia="MS PGothic"/>
          <w:color w:val="000000" w:themeColor="text1"/>
          <w:lang w:val="en-US" w:eastAsia="ja-JP"/>
        </w:rPr>
      </w:pPr>
      <w:r w:rsidRPr="00BF3F0C">
        <w:rPr>
          <w:rFonts w:eastAsia="MS PGothic"/>
          <w:color w:val="000000" w:themeColor="text1"/>
          <w:lang w:val="en-US" w:eastAsia="ja-JP"/>
        </w:rPr>
        <w:t xml:space="preserve"> </w:t>
      </w:r>
    </w:p>
    <w:p w:rsidR="00251EBD" w:rsidRDefault="00251EBD" w:rsidP="00D2469B">
      <w:pPr>
        <w:autoSpaceDE w:val="0"/>
        <w:autoSpaceDN w:val="0"/>
        <w:adjustRightInd w:val="0"/>
        <w:spacing w:line="480" w:lineRule="auto"/>
        <w:contextualSpacing/>
        <w:jc w:val="both"/>
        <w:rPr>
          <w:rFonts w:eastAsia="Times New Roman"/>
          <w:color w:val="000000" w:themeColor="text1"/>
          <w:lang w:val="en-US"/>
        </w:rPr>
      </w:pPr>
      <w:r w:rsidRPr="00BF3F0C">
        <w:rPr>
          <w:rFonts w:eastAsia="Times New Roman"/>
          <w:color w:val="000000" w:themeColor="text1"/>
          <w:lang w:val="en-US"/>
        </w:rPr>
        <w:t>10. Fullerton DG, Bruce N</w:t>
      </w:r>
      <w:r w:rsidR="000A27D3" w:rsidRPr="00BF3F0C">
        <w:rPr>
          <w:rFonts w:eastAsia="Times New Roman"/>
          <w:color w:val="000000" w:themeColor="text1"/>
          <w:lang w:val="en-US"/>
        </w:rPr>
        <w:t>,</w:t>
      </w:r>
      <w:r w:rsidRPr="00BF3F0C">
        <w:rPr>
          <w:rFonts w:eastAsia="Times New Roman"/>
          <w:color w:val="000000" w:themeColor="text1"/>
          <w:lang w:val="en-US"/>
        </w:rPr>
        <w:t xml:space="preserve"> Gordon SB</w:t>
      </w:r>
      <w:r w:rsidR="000A27D3" w:rsidRPr="00BF3F0C">
        <w:rPr>
          <w:rFonts w:eastAsia="Times New Roman"/>
          <w:color w:val="000000" w:themeColor="text1"/>
          <w:lang w:val="en-US"/>
        </w:rPr>
        <w:t>.</w:t>
      </w:r>
      <w:r w:rsidRPr="00BF3F0C">
        <w:rPr>
          <w:rFonts w:eastAsia="Times New Roman"/>
          <w:color w:val="000000" w:themeColor="text1"/>
          <w:lang w:val="en-US"/>
        </w:rPr>
        <w:t xml:space="preserve"> </w:t>
      </w:r>
      <w:r w:rsidR="000A43AA">
        <w:rPr>
          <w:rFonts w:eastAsia="Times New Roman"/>
          <w:color w:val="000000" w:themeColor="text1"/>
          <w:lang w:val="en-US"/>
        </w:rPr>
        <w:t xml:space="preserve"> </w:t>
      </w:r>
      <w:hyperlink r:id="rId25" w:history="1">
        <w:r w:rsidRPr="00BF3F0C">
          <w:rPr>
            <w:rFonts w:eastAsia="Times New Roman"/>
            <w:color w:val="000000" w:themeColor="text1"/>
            <w:lang w:val="en-US"/>
          </w:rPr>
          <w:t>Indoor air pollution from biomass fuel smoke is a major health concern in the developing world.</w:t>
        </w:r>
      </w:hyperlink>
      <w:r w:rsidRPr="00BF3F0C">
        <w:rPr>
          <w:rFonts w:eastAsia="Times New Roman"/>
          <w:color w:val="000000" w:themeColor="text1"/>
          <w:lang w:val="en-US"/>
        </w:rPr>
        <w:t xml:space="preserve"> </w:t>
      </w:r>
      <w:r w:rsidR="000A43AA">
        <w:rPr>
          <w:rFonts w:eastAsia="Times New Roman"/>
          <w:color w:val="000000" w:themeColor="text1"/>
          <w:lang w:val="en-US"/>
        </w:rPr>
        <w:t xml:space="preserve"> </w:t>
      </w:r>
      <w:r w:rsidRPr="000A43AA">
        <w:rPr>
          <w:rFonts w:eastAsia="Times New Roman"/>
          <w:iCs/>
          <w:color w:val="000000" w:themeColor="text1"/>
          <w:lang w:val="en-US"/>
        </w:rPr>
        <w:t xml:space="preserve">Trans R </w:t>
      </w:r>
      <w:proofErr w:type="spellStart"/>
      <w:r w:rsidRPr="000A43AA">
        <w:rPr>
          <w:rFonts w:eastAsia="Times New Roman"/>
          <w:iCs/>
          <w:color w:val="000000" w:themeColor="text1"/>
          <w:lang w:val="en-US"/>
        </w:rPr>
        <w:t>Soc</w:t>
      </w:r>
      <w:proofErr w:type="spellEnd"/>
      <w:r w:rsidRPr="000A43AA">
        <w:rPr>
          <w:rFonts w:eastAsia="Times New Roman"/>
          <w:iCs/>
          <w:color w:val="000000" w:themeColor="text1"/>
          <w:lang w:val="en-US"/>
        </w:rPr>
        <w:t xml:space="preserve"> Trop Med </w:t>
      </w:r>
      <w:proofErr w:type="spellStart"/>
      <w:r w:rsidRPr="000A43AA">
        <w:rPr>
          <w:rFonts w:eastAsia="Times New Roman"/>
          <w:iCs/>
          <w:color w:val="000000" w:themeColor="text1"/>
          <w:lang w:val="en-US"/>
        </w:rPr>
        <w:t>Hyg</w:t>
      </w:r>
      <w:proofErr w:type="spellEnd"/>
      <w:r w:rsidRPr="000A43AA">
        <w:rPr>
          <w:rFonts w:eastAsia="Times New Roman"/>
          <w:color w:val="000000" w:themeColor="text1"/>
          <w:lang w:val="en-US"/>
        </w:rPr>
        <w:t> </w:t>
      </w:r>
      <w:r w:rsidR="000A27D3" w:rsidRPr="00BF3F0C">
        <w:rPr>
          <w:rFonts w:eastAsia="Times New Roman"/>
          <w:color w:val="000000" w:themeColor="text1"/>
          <w:lang w:val="en-US"/>
        </w:rPr>
        <w:t>2008</w:t>
      </w:r>
      <w:proofErr w:type="gramStart"/>
      <w:r w:rsidR="000A27D3" w:rsidRPr="00BF3F0C">
        <w:rPr>
          <w:rFonts w:eastAsia="Times New Roman"/>
          <w:color w:val="000000" w:themeColor="text1"/>
          <w:lang w:val="en-US"/>
        </w:rPr>
        <w:t>;</w:t>
      </w:r>
      <w:r w:rsidRPr="00BF3F0C">
        <w:rPr>
          <w:rFonts w:eastAsia="Times New Roman"/>
          <w:color w:val="000000" w:themeColor="text1"/>
          <w:lang w:val="en-US"/>
        </w:rPr>
        <w:t>102:843</w:t>
      </w:r>
      <w:proofErr w:type="gramEnd"/>
      <w:r w:rsidRPr="00BF3F0C">
        <w:rPr>
          <w:rFonts w:eastAsia="Times New Roman"/>
          <w:color w:val="000000" w:themeColor="text1"/>
          <w:lang w:val="en-US"/>
        </w:rPr>
        <w:t>-51.</w:t>
      </w:r>
    </w:p>
    <w:p w:rsidR="00B44237" w:rsidRPr="00BF3F0C" w:rsidRDefault="00B44237" w:rsidP="00D2469B">
      <w:pPr>
        <w:autoSpaceDE w:val="0"/>
        <w:autoSpaceDN w:val="0"/>
        <w:adjustRightInd w:val="0"/>
        <w:spacing w:line="480" w:lineRule="auto"/>
        <w:contextualSpacing/>
        <w:jc w:val="both"/>
        <w:rPr>
          <w:rFonts w:eastAsia="Times New Roman"/>
          <w:color w:val="000000" w:themeColor="text1"/>
          <w:lang w:val="en-US"/>
        </w:rPr>
      </w:pPr>
    </w:p>
    <w:p w:rsidR="00251EBD" w:rsidRDefault="00251EBD" w:rsidP="00D2469B">
      <w:pPr>
        <w:autoSpaceDE w:val="0"/>
        <w:autoSpaceDN w:val="0"/>
        <w:adjustRightInd w:val="0"/>
        <w:spacing w:line="480" w:lineRule="auto"/>
        <w:contextualSpacing/>
        <w:jc w:val="both"/>
        <w:rPr>
          <w:rFonts w:eastAsia="Times New Roman"/>
          <w:color w:val="000000" w:themeColor="text1"/>
          <w:lang w:val="en-US" w:eastAsia="en-GB"/>
        </w:rPr>
      </w:pPr>
      <w:r w:rsidRPr="00BF3F0C">
        <w:t xml:space="preserve">11. </w:t>
      </w:r>
      <w:hyperlink r:id="rId26" w:history="1">
        <w:r w:rsidRPr="00BF3F0C">
          <w:rPr>
            <w:rStyle w:val="Hyperlink"/>
            <w:rFonts w:eastAsia="Times New Roman"/>
            <w:color w:val="000000" w:themeColor="text1"/>
            <w:u w:val="none"/>
            <w:lang w:val="en-US" w:eastAsia="en-GB"/>
          </w:rPr>
          <w:t>Yamamoto SS</w:t>
        </w:r>
      </w:hyperlink>
      <w:r w:rsidRPr="00BF3F0C">
        <w:rPr>
          <w:rFonts w:eastAsia="Times New Roman"/>
          <w:color w:val="000000" w:themeColor="text1"/>
          <w:lang w:val="en-US" w:eastAsia="en-GB"/>
        </w:rPr>
        <w:t>, </w:t>
      </w:r>
      <w:proofErr w:type="spellStart"/>
      <w:r w:rsidR="003027AC">
        <w:fldChar w:fldCharType="begin"/>
      </w:r>
      <w:r w:rsidR="003027AC">
        <w:instrText xml:space="preserve"> HYPERLINK "http://www.ncbi.nlm.nih.gov/pubmed/?term=Phalkey%20R%5BAuthor%5D&amp;cauthor=true&amp;cauthor_uid=24064368" </w:instrText>
      </w:r>
      <w:r w:rsidR="003027AC">
        <w:fldChar w:fldCharType="separate"/>
      </w:r>
      <w:r w:rsidRPr="00BF3F0C">
        <w:rPr>
          <w:rStyle w:val="Hyperlink"/>
          <w:rFonts w:eastAsia="Times New Roman"/>
          <w:color w:val="000000" w:themeColor="text1"/>
          <w:u w:val="none"/>
          <w:lang w:val="en-US" w:eastAsia="en-GB"/>
        </w:rPr>
        <w:t>Phalkey</w:t>
      </w:r>
      <w:proofErr w:type="spellEnd"/>
      <w:r w:rsidRPr="00BF3F0C">
        <w:rPr>
          <w:rStyle w:val="Hyperlink"/>
          <w:rFonts w:eastAsia="Times New Roman"/>
          <w:color w:val="000000" w:themeColor="text1"/>
          <w:u w:val="none"/>
          <w:lang w:val="en-US" w:eastAsia="en-GB"/>
        </w:rPr>
        <w:t xml:space="preserve"> R</w:t>
      </w:r>
      <w:r w:rsidR="003027AC">
        <w:rPr>
          <w:rStyle w:val="Hyperlink"/>
          <w:rFonts w:eastAsia="Times New Roman"/>
          <w:color w:val="000000" w:themeColor="text1"/>
          <w:u w:val="none"/>
          <w:lang w:val="en-US" w:eastAsia="en-GB"/>
        </w:rPr>
        <w:fldChar w:fldCharType="end"/>
      </w:r>
      <w:r w:rsidR="000A27D3" w:rsidRPr="00BF3F0C">
        <w:rPr>
          <w:rStyle w:val="Hyperlink"/>
          <w:rFonts w:eastAsia="Times New Roman"/>
          <w:color w:val="000000" w:themeColor="text1"/>
          <w:u w:val="none"/>
          <w:lang w:val="en-US" w:eastAsia="en-GB"/>
        </w:rPr>
        <w:t>,</w:t>
      </w:r>
      <w:r w:rsidRPr="00BF3F0C">
        <w:rPr>
          <w:rFonts w:eastAsia="Times New Roman"/>
          <w:color w:val="000000" w:themeColor="text1"/>
          <w:lang w:val="en-US" w:eastAsia="en-GB"/>
        </w:rPr>
        <w:t> </w:t>
      </w:r>
      <w:hyperlink r:id="rId27" w:history="1">
        <w:r w:rsidRPr="00BF3F0C">
          <w:rPr>
            <w:rStyle w:val="Hyperlink"/>
            <w:rFonts w:eastAsia="Times New Roman"/>
            <w:color w:val="000000" w:themeColor="text1"/>
            <w:u w:val="none"/>
            <w:lang w:val="en-US" w:eastAsia="en-GB"/>
          </w:rPr>
          <w:t>Malik AA</w:t>
        </w:r>
      </w:hyperlink>
      <w:r w:rsidR="000A27D3" w:rsidRPr="00BF3F0C">
        <w:rPr>
          <w:rStyle w:val="Hyperlink"/>
          <w:rFonts w:eastAsia="Times New Roman"/>
          <w:color w:val="000000" w:themeColor="text1"/>
          <w:u w:val="none"/>
          <w:lang w:val="en-US" w:eastAsia="en-GB"/>
        </w:rPr>
        <w:t>.</w:t>
      </w:r>
      <w:r w:rsidRPr="00BF3F0C">
        <w:rPr>
          <w:rFonts w:eastAsia="Times New Roman"/>
          <w:color w:val="000000" w:themeColor="text1"/>
          <w:lang w:val="en-US" w:eastAsia="en-GB"/>
        </w:rPr>
        <w:t xml:space="preserve"> </w:t>
      </w:r>
      <w:r w:rsidR="000A43AA">
        <w:rPr>
          <w:rFonts w:eastAsia="Times New Roman"/>
          <w:color w:val="000000" w:themeColor="text1"/>
          <w:lang w:val="en-US" w:eastAsia="en-GB"/>
        </w:rPr>
        <w:t xml:space="preserve"> </w:t>
      </w:r>
      <w:r w:rsidRPr="00BF3F0C">
        <w:rPr>
          <w:rFonts w:eastAsia="Times New Roman"/>
          <w:color w:val="000000" w:themeColor="text1"/>
          <w:lang w:val="en-US" w:eastAsia="en-GB"/>
        </w:rPr>
        <w:t>A systematic review of air pollution as a risk factor for cardiovascular disease in South Asia: limited evidence from India and Pakistan.</w:t>
      </w:r>
      <w:r w:rsidR="000A43AA">
        <w:rPr>
          <w:rFonts w:eastAsia="Times New Roman"/>
          <w:color w:val="000000" w:themeColor="text1"/>
          <w:lang w:val="en-US" w:eastAsia="en-GB"/>
        </w:rPr>
        <w:t xml:space="preserve"> </w:t>
      </w:r>
      <w:r w:rsidRPr="00BF3F0C">
        <w:rPr>
          <w:rFonts w:eastAsia="Times New Roman"/>
          <w:color w:val="000000" w:themeColor="text1"/>
          <w:lang w:val="en-US" w:eastAsia="en-GB"/>
        </w:rPr>
        <w:t xml:space="preserve"> </w:t>
      </w:r>
      <w:hyperlink r:id="rId28" w:tooltip="International journal of hygiene and environmental health." w:history="1">
        <w:proofErr w:type="spellStart"/>
        <w:r w:rsidRPr="000A43AA">
          <w:rPr>
            <w:rStyle w:val="Hyperlink"/>
            <w:rFonts w:eastAsia="Times New Roman"/>
            <w:iCs/>
            <w:color w:val="000000" w:themeColor="text1"/>
            <w:u w:val="none"/>
            <w:lang w:val="en-US" w:eastAsia="en-GB"/>
          </w:rPr>
          <w:t>Int</w:t>
        </w:r>
        <w:proofErr w:type="spellEnd"/>
        <w:r w:rsidRPr="000A43AA">
          <w:rPr>
            <w:rStyle w:val="Hyperlink"/>
            <w:rFonts w:eastAsia="Times New Roman"/>
            <w:iCs/>
            <w:color w:val="000000" w:themeColor="text1"/>
            <w:u w:val="none"/>
            <w:lang w:val="en-US" w:eastAsia="en-GB"/>
          </w:rPr>
          <w:t xml:space="preserve"> J </w:t>
        </w:r>
        <w:proofErr w:type="spellStart"/>
        <w:r w:rsidRPr="000A43AA">
          <w:rPr>
            <w:rStyle w:val="Hyperlink"/>
            <w:rFonts w:eastAsia="Times New Roman"/>
            <w:iCs/>
            <w:color w:val="000000" w:themeColor="text1"/>
            <w:u w:val="none"/>
            <w:lang w:val="en-US" w:eastAsia="en-GB"/>
          </w:rPr>
          <w:t>Hyg</w:t>
        </w:r>
        <w:proofErr w:type="spellEnd"/>
        <w:r w:rsidRPr="000A43AA">
          <w:rPr>
            <w:rStyle w:val="Hyperlink"/>
            <w:rFonts w:eastAsia="Times New Roman"/>
            <w:iCs/>
            <w:color w:val="000000" w:themeColor="text1"/>
            <w:u w:val="none"/>
            <w:lang w:val="en-US" w:eastAsia="en-GB"/>
          </w:rPr>
          <w:t xml:space="preserve"> Environ Health</w:t>
        </w:r>
      </w:hyperlink>
      <w:r w:rsidRPr="000A43AA">
        <w:rPr>
          <w:rFonts w:eastAsia="Times New Roman"/>
          <w:color w:val="000000" w:themeColor="text1"/>
          <w:lang w:val="en-US" w:eastAsia="en-GB"/>
        </w:rPr>
        <w:t> </w:t>
      </w:r>
      <w:r w:rsidRPr="00BF3F0C">
        <w:rPr>
          <w:rFonts w:eastAsia="Times New Roman"/>
          <w:color w:val="000000" w:themeColor="text1"/>
          <w:lang w:val="en-US" w:eastAsia="en-GB"/>
        </w:rPr>
        <w:t>2014</w:t>
      </w:r>
      <w:r w:rsidR="000A27D3" w:rsidRPr="00BF3F0C">
        <w:rPr>
          <w:rFonts w:eastAsia="Times New Roman"/>
          <w:color w:val="000000" w:themeColor="text1"/>
          <w:lang w:val="en-US" w:eastAsia="en-GB"/>
        </w:rPr>
        <w:t>;</w:t>
      </w:r>
      <w:r w:rsidRPr="00BF3F0C">
        <w:rPr>
          <w:rFonts w:eastAsia="Times New Roman"/>
          <w:color w:val="000000" w:themeColor="text1"/>
          <w:lang w:val="en-US" w:eastAsia="en-GB"/>
        </w:rPr>
        <w:t xml:space="preserve"> 217:133-44. </w:t>
      </w:r>
    </w:p>
    <w:p w:rsidR="00B44237" w:rsidRPr="00BF3F0C" w:rsidRDefault="00B44237" w:rsidP="00D2469B">
      <w:pPr>
        <w:autoSpaceDE w:val="0"/>
        <w:autoSpaceDN w:val="0"/>
        <w:adjustRightInd w:val="0"/>
        <w:spacing w:line="480" w:lineRule="auto"/>
        <w:contextualSpacing/>
        <w:jc w:val="both"/>
        <w:rPr>
          <w:rFonts w:eastAsia="Times New Roman"/>
          <w:color w:val="000000" w:themeColor="text1"/>
          <w:lang w:eastAsia="en-GB"/>
        </w:rPr>
      </w:pPr>
    </w:p>
    <w:p w:rsidR="00375F01" w:rsidRDefault="00375F01" w:rsidP="00D2469B">
      <w:pPr>
        <w:spacing w:after="200" w:line="480" w:lineRule="auto"/>
        <w:contextualSpacing/>
        <w:jc w:val="both"/>
        <w:rPr>
          <w:color w:val="000000" w:themeColor="text1"/>
        </w:rPr>
      </w:pPr>
      <w:r>
        <w:t>12</w:t>
      </w:r>
      <w:r w:rsidRPr="00BF3F0C">
        <w:t xml:space="preserve">. </w:t>
      </w:r>
      <w:hyperlink r:id="rId29" w:history="1">
        <w:r w:rsidRPr="00BF3F0C">
          <w:rPr>
            <w:rStyle w:val="Hyperlink"/>
            <w:color w:val="000000" w:themeColor="text1"/>
            <w:u w:val="none"/>
          </w:rPr>
          <w:t>Ray MR</w:t>
        </w:r>
      </w:hyperlink>
      <w:r w:rsidRPr="00BF3F0C">
        <w:rPr>
          <w:color w:val="000000" w:themeColor="text1"/>
        </w:rPr>
        <w:t>, </w:t>
      </w:r>
      <w:hyperlink r:id="rId30" w:history="1">
        <w:r w:rsidRPr="00BF3F0C">
          <w:rPr>
            <w:rStyle w:val="Hyperlink"/>
            <w:color w:val="000000" w:themeColor="text1"/>
            <w:u w:val="none"/>
          </w:rPr>
          <w:t>Mukherjee S</w:t>
        </w:r>
      </w:hyperlink>
      <w:r w:rsidRPr="00BF3F0C">
        <w:rPr>
          <w:color w:val="000000" w:themeColor="text1"/>
        </w:rPr>
        <w:t>, </w:t>
      </w:r>
      <w:proofErr w:type="spellStart"/>
      <w:r w:rsidR="00C439BF">
        <w:fldChar w:fldCharType="begin"/>
      </w:r>
      <w:r w:rsidR="00C439BF">
        <w:instrText xml:space="preserve"> HYPERLINK "http://www.ncbi.nlm.nih.gov/pubmed/?term=Roychoudhury%20S%5BAuthor%5D&amp;cauthor=true&amp;cauthor_uid=17211980" </w:instrText>
      </w:r>
      <w:r w:rsidR="00C439BF">
        <w:fldChar w:fldCharType="separate"/>
      </w:r>
      <w:r w:rsidRPr="00BF3F0C">
        <w:rPr>
          <w:rStyle w:val="Hyperlink"/>
          <w:color w:val="000000" w:themeColor="text1"/>
          <w:u w:val="none"/>
        </w:rPr>
        <w:t>Roychoudhury</w:t>
      </w:r>
      <w:proofErr w:type="spellEnd"/>
      <w:r w:rsidRPr="00BF3F0C">
        <w:rPr>
          <w:rStyle w:val="Hyperlink"/>
          <w:color w:val="000000" w:themeColor="text1"/>
          <w:u w:val="none"/>
        </w:rPr>
        <w:t xml:space="preserve"> S</w:t>
      </w:r>
      <w:r w:rsidR="00C439BF">
        <w:rPr>
          <w:rStyle w:val="Hyperlink"/>
          <w:color w:val="000000" w:themeColor="text1"/>
          <w:u w:val="none"/>
        </w:rPr>
        <w:fldChar w:fldCharType="end"/>
      </w:r>
      <w:r w:rsidRPr="00BF3F0C">
        <w:rPr>
          <w:color w:val="000000" w:themeColor="text1"/>
        </w:rPr>
        <w:t>, </w:t>
      </w:r>
      <w:r>
        <w:rPr>
          <w:color w:val="000000" w:themeColor="text1"/>
        </w:rPr>
        <w:t xml:space="preserve">Bhattacharya P, Banerjee M, Siddique S </w:t>
      </w:r>
      <w:r w:rsidRPr="00BF3F0C">
        <w:rPr>
          <w:color w:val="000000" w:themeColor="text1"/>
        </w:rPr>
        <w:t>et al.</w:t>
      </w:r>
      <w:r>
        <w:rPr>
          <w:color w:val="000000" w:themeColor="text1"/>
        </w:rPr>
        <w:t xml:space="preserve"> </w:t>
      </w:r>
      <w:r w:rsidRPr="00BF3F0C">
        <w:rPr>
          <w:color w:val="000000" w:themeColor="text1"/>
        </w:rPr>
        <w:t xml:space="preserve"> Platelet activation, upregulation of CD11b/CD18 expression on leukocytes and increase in circulating leukocyte-platelet aggregates in Indian women chronically exposed to biomass smoke. </w:t>
      </w:r>
      <w:r>
        <w:rPr>
          <w:color w:val="000000" w:themeColor="text1"/>
        </w:rPr>
        <w:t xml:space="preserve"> </w:t>
      </w:r>
      <w:hyperlink r:id="rId31" w:tooltip="Human &amp; experimental toxicology." w:history="1">
        <w:r w:rsidRPr="00B259CD">
          <w:rPr>
            <w:rStyle w:val="Hyperlink"/>
            <w:iCs/>
            <w:color w:val="000000" w:themeColor="text1"/>
            <w:u w:val="none"/>
          </w:rPr>
          <w:t xml:space="preserve">Hum </w:t>
        </w:r>
        <w:proofErr w:type="spellStart"/>
        <w:r w:rsidRPr="00B259CD">
          <w:rPr>
            <w:rStyle w:val="Hyperlink"/>
            <w:iCs/>
            <w:color w:val="000000" w:themeColor="text1"/>
            <w:u w:val="none"/>
          </w:rPr>
          <w:t>Exp</w:t>
        </w:r>
        <w:proofErr w:type="spellEnd"/>
        <w:r w:rsidRPr="00B259CD">
          <w:rPr>
            <w:rStyle w:val="Hyperlink"/>
            <w:iCs/>
            <w:color w:val="000000" w:themeColor="text1"/>
            <w:u w:val="none"/>
          </w:rPr>
          <w:t xml:space="preserve"> </w:t>
        </w:r>
        <w:proofErr w:type="spellStart"/>
        <w:r w:rsidRPr="00B259CD">
          <w:rPr>
            <w:rStyle w:val="Hyperlink"/>
            <w:iCs/>
            <w:color w:val="000000" w:themeColor="text1"/>
            <w:u w:val="none"/>
          </w:rPr>
          <w:t>Toxicol</w:t>
        </w:r>
        <w:proofErr w:type="spellEnd"/>
      </w:hyperlink>
      <w:r w:rsidRPr="00BF3F0C">
        <w:rPr>
          <w:color w:val="000000" w:themeColor="text1"/>
        </w:rPr>
        <w:t> 2006</w:t>
      </w:r>
      <w:proofErr w:type="gramStart"/>
      <w:r w:rsidRPr="00BF3F0C">
        <w:rPr>
          <w:color w:val="000000" w:themeColor="text1"/>
        </w:rPr>
        <w:t>;25:627</w:t>
      </w:r>
      <w:proofErr w:type="gramEnd"/>
      <w:r w:rsidRPr="00BF3F0C">
        <w:rPr>
          <w:color w:val="000000" w:themeColor="text1"/>
        </w:rPr>
        <w:t>-35.</w:t>
      </w:r>
    </w:p>
    <w:p w:rsidR="00375F01" w:rsidRDefault="00375F01" w:rsidP="00D2469B">
      <w:pPr>
        <w:spacing w:after="200" w:line="480" w:lineRule="auto"/>
        <w:contextualSpacing/>
        <w:jc w:val="both"/>
      </w:pPr>
    </w:p>
    <w:p w:rsidR="00375F01" w:rsidRDefault="00375F01" w:rsidP="00D2469B">
      <w:pPr>
        <w:spacing w:after="200" w:line="480" w:lineRule="auto"/>
        <w:contextualSpacing/>
        <w:jc w:val="both"/>
        <w:rPr>
          <w:color w:val="000000" w:themeColor="text1"/>
          <w:lang w:val="en-US"/>
        </w:rPr>
      </w:pPr>
      <w:r>
        <w:t>13</w:t>
      </w:r>
      <w:r w:rsidRPr="00BF3F0C">
        <w:t xml:space="preserve">. </w:t>
      </w:r>
      <w:hyperlink r:id="rId32" w:history="1">
        <w:r w:rsidRPr="00BF3F0C">
          <w:rPr>
            <w:rStyle w:val="Hyperlink"/>
            <w:color w:val="000000" w:themeColor="text1"/>
            <w:u w:val="none"/>
            <w:lang w:val="en-US"/>
          </w:rPr>
          <w:t>McCracken JP</w:t>
        </w:r>
      </w:hyperlink>
      <w:r w:rsidRPr="00BF3F0C">
        <w:rPr>
          <w:color w:val="000000" w:themeColor="text1"/>
          <w:lang w:val="en-US"/>
        </w:rPr>
        <w:t>, </w:t>
      </w:r>
      <w:hyperlink r:id="rId33" w:history="1">
        <w:r w:rsidRPr="00BF3F0C">
          <w:rPr>
            <w:rStyle w:val="Hyperlink"/>
            <w:color w:val="000000" w:themeColor="text1"/>
            <w:u w:val="none"/>
            <w:lang w:val="en-US"/>
          </w:rPr>
          <w:t>Smith KR</w:t>
        </w:r>
      </w:hyperlink>
      <w:r w:rsidRPr="00BF3F0C">
        <w:rPr>
          <w:color w:val="000000" w:themeColor="text1"/>
          <w:lang w:val="en-US"/>
        </w:rPr>
        <w:t>, </w:t>
      </w:r>
      <w:proofErr w:type="spellStart"/>
      <w:r w:rsidR="00C439BF">
        <w:fldChar w:fldCharType="begin"/>
      </w:r>
      <w:r w:rsidR="00C439BF">
        <w:instrText xml:space="preserve"> HYPERLINK "http://www.ncbi.nlm.nih.gov/pubmed/?term=D%C3%ADaz%20A%5BAuthor%5D&amp;cauthor=true&amp;cauthor_uid=17637912" </w:instrText>
      </w:r>
      <w:r w:rsidR="00C439BF">
        <w:fldChar w:fldCharType="separate"/>
      </w:r>
      <w:r w:rsidRPr="00BF3F0C">
        <w:rPr>
          <w:rStyle w:val="Hyperlink"/>
          <w:color w:val="000000" w:themeColor="text1"/>
          <w:u w:val="none"/>
          <w:lang w:val="en-US"/>
        </w:rPr>
        <w:t>Díaz</w:t>
      </w:r>
      <w:proofErr w:type="spellEnd"/>
      <w:r w:rsidRPr="00BF3F0C">
        <w:rPr>
          <w:rStyle w:val="Hyperlink"/>
          <w:color w:val="000000" w:themeColor="text1"/>
          <w:u w:val="none"/>
          <w:lang w:val="en-US"/>
        </w:rPr>
        <w:t xml:space="preserve"> A</w:t>
      </w:r>
      <w:r w:rsidR="00C439BF">
        <w:rPr>
          <w:rStyle w:val="Hyperlink"/>
          <w:color w:val="000000" w:themeColor="text1"/>
          <w:u w:val="none"/>
          <w:lang w:val="en-US"/>
        </w:rPr>
        <w:fldChar w:fldCharType="end"/>
      </w:r>
      <w:r w:rsidRPr="00BF3F0C">
        <w:rPr>
          <w:color w:val="000000" w:themeColor="text1"/>
          <w:lang w:val="en-US"/>
        </w:rPr>
        <w:t>, </w:t>
      </w:r>
      <w:proofErr w:type="spellStart"/>
      <w:r w:rsidR="008E6992">
        <w:rPr>
          <w:color w:val="000000" w:themeColor="text1"/>
          <w:lang w:val="en-US"/>
        </w:rPr>
        <w:t>Mittleman</w:t>
      </w:r>
      <w:proofErr w:type="spellEnd"/>
      <w:r w:rsidR="008E6992">
        <w:rPr>
          <w:color w:val="000000" w:themeColor="text1"/>
          <w:lang w:val="en-US"/>
        </w:rPr>
        <w:t xml:space="preserve"> MA, Schwartz J</w:t>
      </w:r>
      <w:r w:rsidRPr="00BF3F0C">
        <w:rPr>
          <w:color w:val="000000" w:themeColor="text1"/>
          <w:lang w:val="en-US"/>
        </w:rPr>
        <w:t xml:space="preserve">. </w:t>
      </w:r>
      <w:r>
        <w:rPr>
          <w:color w:val="000000" w:themeColor="text1"/>
          <w:lang w:val="en-US"/>
        </w:rPr>
        <w:t xml:space="preserve"> </w:t>
      </w:r>
      <w:r w:rsidRPr="00BF3F0C">
        <w:rPr>
          <w:color w:val="000000" w:themeColor="text1"/>
        </w:rPr>
        <w:t xml:space="preserve">Chimney stove intervention to reduce long-term wood smoke exposure lowers blood pressure among Guatemalan women. </w:t>
      </w:r>
      <w:r w:rsidRPr="00CF0F19">
        <w:rPr>
          <w:color w:val="000000" w:themeColor="text1"/>
        </w:rPr>
        <w:t xml:space="preserve"> </w:t>
      </w:r>
      <w:hyperlink r:id="rId34" w:tooltip="Environmental health perspectives." w:history="1">
        <w:r w:rsidRPr="00CF0F19">
          <w:rPr>
            <w:rStyle w:val="Hyperlink"/>
            <w:iCs/>
            <w:color w:val="000000" w:themeColor="text1"/>
            <w:u w:val="none"/>
            <w:lang w:val="en-US"/>
          </w:rPr>
          <w:t xml:space="preserve">Environ Health </w:t>
        </w:r>
        <w:proofErr w:type="spellStart"/>
        <w:r w:rsidRPr="00CF0F19">
          <w:rPr>
            <w:rStyle w:val="Hyperlink"/>
            <w:iCs/>
            <w:color w:val="000000" w:themeColor="text1"/>
            <w:u w:val="none"/>
            <w:lang w:val="en-US"/>
          </w:rPr>
          <w:t>Perspect</w:t>
        </w:r>
        <w:proofErr w:type="spellEnd"/>
      </w:hyperlink>
      <w:r w:rsidRPr="00CF0F19">
        <w:rPr>
          <w:color w:val="000000" w:themeColor="text1"/>
          <w:lang w:val="en-US"/>
        </w:rPr>
        <w:t> </w:t>
      </w:r>
      <w:r w:rsidRPr="00BF3F0C">
        <w:rPr>
          <w:color w:val="000000" w:themeColor="text1"/>
          <w:lang w:val="en-US"/>
        </w:rPr>
        <w:t>2007</w:t>
      </w:r>
      <w:proofErr w:type="gramStart"/>
      <w:r w:rsidRPr="00BF3F0C">
        <w:rPr>
          <w:color w:val="000000" w:themeColor="text1"/>
          <w:lang w:val="en-US"/>
        </w:rPr>
        <w:t>;115:996</w:t>
      </w:r>
      <w:proofErr w:type="gramEnd"/>
      <w:r w:rsidRPr="00BF3F0C">
        <w:rPr>
          <w:color w:val="000000" w:themeColor="text1"/>
          <w:lang w:val="en-US"/>
        </w:rPr>
        <w:t>-1001.</w:t>
      </w:r>
    </w:p>
    <w:p w:rsidR="00375F01" w:rsidRDefault="00375F01" w:rsidP="00D2469B">
      <w:pPr>
        <w:spacing w:after="200" w:line="480" w:lineRule="auto"/>
        <w:contextualSpacing/>
        <w:jc w:val="both"/>
        <w:rPr>
          <w:color w:val="000000" w:themeColor="text1"/>
          <w:lang w:val="en-US"/>
        </w:rPr>
      </w:pPr>
    </w:p>
    <w:p w:rsidR="00375F01" w:rsidRDefault="00375F01" w:rsidP="00D2469B">
      <w:pPr>
        <w:shd w:val="clear" w:color="auto" w:fill="FFFFFF"/>
        <w:spacing w:line="480" w:lineRule="auto"/>
        <w:jc w:val="both"/>
        <w:rPr>
          <w:rFonts w:eastAsia="Times New Roman"/>
          <w:color w:val="000000" w:themeColor="text1"/>
          <w:lang w:val="en-US"/>
        </w:rPr>
      </w:pPr>
      <w:r>
        <w:t>14</w:t>
      </w:r>
      <w:r w:rsidRPr="00BF3F0C">
        <w:t xml:space="preserve">. </w:t>
      </w:r>
      <w:hyperlink r:id="rId35" w:history="1">
        <w:r w:rsidRPr="00BF3F0C">
          <w:rPr>
            <w:rFonts w:eastAsia="Times New Roman"/>
            <w:color w:val="000000" w:themeColor="text1"/>
            <w:lang w:val="en-US"/>
          </w:rPr>
          <w:t>Davutoglu V</w:t>
        </w:r>
      </w:hyperlink>
      <w:r w:rsidRPr="00BF3F0C">
        <w:rPr>
          <w:rFonts w:eastAsia="Times New Roman"/>
          <w:color w:val="000000" w:themeColor="text1"/>
          <w:lang w:val="en-US"/>
        </w:rPr>
        <w:t>, </w:t>
      </w:r>
      <w:proofErr w:type="spellStart"/>
      <w:r>
        <w:fldChar w:fldCharType="begin"/>
      </w:r>
      <w:r>
        <w:instrText xml:space="preserve"> HYPERLINK "http://www.ncbi.nlm.nih.gov/pubmed/?term=Zengin%20S%5BAuthor%5D&amp;cauthor=true&amp;cauthor_uid=19851048" </w:instrText>
      </w:r>
      <w:r>
        <w:fldChar w:fldCharType="separate"/>
      </w:r>
      <w:r w:rsidRPr="00BF3F0C">
        <w:rPr>
          <w:rFonts w:eastAsia="Times New Roman"/>
          <w:color w:val="000000" w:themeColor="text1"/>
          <w:lang w:val="en-US"/>
        </w:rPr>
        <w:t>Zengin</w:t>
      </w:r>
      <w:proofErr w:type="spellEnd"/>
      <w:r w:rsidRPr="00BF3F0C">
        <w:rPr>
          <w:rFonts w:eastAsia="Times New Roman"/>
          <w:color w:val="000000" w:themeColor="text1"/>
          <w:lang w:val="en-US"/>
        </w:rPr>
        <w:t xml:space="preserve"> S</w:t>
      </w:r>
      <w:r>
        <w:rPr>
          <w:rFonts w:eastAsia="Times New Roman"/>
          <w:color w:val="000000" w:themeColor="text1"/>
          <w:lang w:val="en-US"/>
        </w:rPr>
        <w:fldChar w:fldCharType="end"/>
      </w:r>
      <w:r w:rsidRPr="00BF3F0C">
        <w:rPr>
          <w:rFonts w:eastAsia="Times New Roman"/>
          <w:color w:val="000000" w:themeColor="text1"/>
          <w:lang w:val="en-US"/>
        </w:rPr>
        <w:t>, </w:t>
      </w:r>
      <w:hyperlink r:id="rId36" w:history="1">
        <w:r w:rsidRPr="00BF3F0C">
          <w:rPr>
            <w:rFonts w:eastAsia="Times New Roman"/>
            <w:color w:val="000000" w:themeColor="text1"/>
            <w:lang w:val="en-US"/>
          </w:rPr>
          <w:t>Sari I</w:t>
        </w:r>
      </w:hyperlink>
      <w:r w:rsidRPr="00BF3F0C">
        <w:rPr>
          <w:rFonts w:eastAsia="Times New Roman"/>
          <w:color w:val="000000" w:themeColor="text1"/>
          <w:lang w:val="en-US"/>
        </w:rPr>
        <w:t>, </w:t>
      </w:r>
      <w:proofErr w:type="spellStart"/>
      <w:r w:rsidR="008E6992">
        <w:rPr>
          <w:rFonts w:eastAsia="Times New Roman"/>
          <w:color w:val="000000" w:themeColor="text1"/>
          <w:lang w:val="en-US"/>
        </w:rPr>
        <w:t>Yildrim</w:t>
      </w:r>
      <w:proofErr w:type="spellEnd"/>
      <w:r w:rsidR="008E6992">
        <w:rPr>
          <w:rFonts w:eastAsia="Times New Roman"/>
          <w:color w:val="000000" w:themeColor="text1"/>
          <w:lang w:val="en-US"/>
        </w:rPr>
        <w:t xml:space="preserve"> C, Al B, </w:t>
      </w:r>
      <w:proofErr w:type="spellStart"/>
      <w:r w:rsidR="008E6992">
        <w:rPr>
          <w:rFonts w:eastAsia="Times New Roman"/>
          <w:color w:val="000000" w:themeColor="text1"/>
          <w:lang w:val="en-US"/>
        </w:rPr>
        <w:t>Yuce</w:t>
      </w:r>
      <w:proofErr w:type="spellEnd"/>
      <w:r w:rsidR="008E6992">
        <w:rPr>
          <w:rFonts w:eastAsia="Times New Roman"/>
          <w:color w:val="000000" w:themeColor="text1"/>
          <w:lang w:val="en-US"/>
        </w:rPr>
        <w:t xml:space="preserve"> M </w:t>
      </w:r>
      <w:r w:rsidRPr="00BF3F0C">
        <w:rPr>
          <w:rFonts w:eastAsia="Times New Roman"/>
          <w:color w:val="000000" w:themeColor="text1"/>
          <w:lang w:val="en-US"/>
        </w:rPr>
        <w:t xml:space="preserve">et al. </w:t>
      </w:r>
      <w:r>
        <w:rPr>
          <w:rFonts w:eastAsia="Times New Roman"/>
          <w:color w:val="000000" w:themeColor="text1"/>
          <w:lang w:val="en-US"/>
        </w:rPr>
        <w:t xml:space="preserve"> </w:t>
      </w:r>
      <w:r w:rsidRPr="00BF3F0C">
        <w:rPr>
          <w:color w:val="000000" w:themeColor="text1"/>
        </w:rPr>
        <w:t xml:space="preserve">Chronic carbon monoxide exposure is associated with the increases in carotid intima-media thickness and C-reactive protein level. </w:t>
      </w:r>
      <w:r>
        <w:rPr>
          <w:color w:val="000000" w:themeColor="text1"/>
        </w:rPr>
        <w:t xml:space="preserve"> </w:t>
      </w:r>
      <w:hyperlink r:id="rId37" w:tooltip="The Tohoku journal of experimental medicine." w:history="1">
        <w:r w:rsidRPr="00410502">
          <w:rPr>
            <w:rFonts w:eastAsia="Times New Roman"/>
            <w:iCs/>
            <w:color w:val="000000" w:themeColor="text1"/>
            <w:lang w:val="en-US"/>
          </w:rPr>
          <w:t xml:space="preserve">Tohoku J </w:t>
        </w:r>
        <w:proofErr w:type="spellStart"/>
        <w:r w:rsidRPr="00410502">
          <w:rPr>
            <w:rFonts w:eastAsia="Times New Roman"/>
            <w:iCs/>
            <w:color w:val="000000" w:themeColor="text1"/>
            <w:lang w:val="en-US"/>
          </w:rPr>
          <w:t>Exp</w:t>
        </w:r>
        <w:proofErr w:type="spellEnd"/>
        <w:r w:rsidRPr="00410502">
          <w:rPr>
            <w:rFonts w:eastAsia="Times New Roman"/>
            <w:iCs/>
            <w:color w:val="000000" w:themeColor="text1"/>
            <w:lang w:val="en-US"/>
          </w:rPr>
          <w:t xml:space="preserve"> Med</w:t>
        </w:r>
      </w:hyperlink>
      <w:r w:rsidRPr="00BF3F0C">
        <w:rPr>
          <w:rFonts w:eastAsia="Times New Roman"/>
          <w:i/>
          <w:iCs/>
          <w:color w:val="000000" w:themeColor="text1"/>
          <w:lang w:val="en-US"/>
        </w:rPr>
        <w:t> </w:t>
      </w:r>
      <w:r w:rsidRPr="00BF3F0C">
        <w:rPr>
          <w:rFonts w:eastAsia="Times New Roman"/>
          <w:color w:val="000000" w:themeColor="text1"/>
          <w:lang w:val="en-US"/>
        </w:rPr>
        <w:t>2009</w:t>
      </w:r>
      <w:proofErr w:type="gramStart"/>
      <w:r w:rsidRPr="00BF3F0C">
        <w:rPr>
          <w:rFonts w:eastAsia="Times New Roman"/>
          <w:color w:val="000000" w:themeColor="text1"/>
          <w:lang w:val="en-US"/>
        </w:rPr>
        <w:t>;219:201</w:t>
      </w:r>
      <w:proofErr w:type="gramEnd"/>
      <w:r w:rsidRPr="00BF3F0C">
        <w:rPr>
          <w:rFonts w:eastAsia="Times New Roman"/>
          <w:color w:val="000000" w:themeColor="text1"/>
          <w:lang w:val="en-US"/>
        </w:rPr>
        <w:t>-6.</w:t>
      </w:r>
    </w:p>
    <w:p w:rsidR="00375F01" w:rsidRPr="00BF3F0C" w:rsidRDefault="00375F01" w:rsidP="00D2469B">
      <w:pPr>
        <w:shd w:val="clear" w:color="auto" w:fill="FFFFFF"/>
        <w:spacing w:line="480" w:lineRule="auto"/>
        <w:jc w:val="both"/>
        <w:rPr>
          <w:rFonts w:eastAsia="Times New Roman"/>
          <w:color w:val="000000" w:themeColor="text1"/>
          <w:lang w:val="en-US"/>
        </w:rPr>
      </w:pPr>
    </w:p>
    <w:p w:rsidR="00375F01" w:rsidRDefault="00375F01" w:rsidP="00D2469B">
      <w:pPr>
        <w:spacing w:after="200" w:line="480" w:lineRule="auto"/>
        <w:contextualSpacing/>
        <w:jc w:val="both"/>
      </w:pPr>
    </w:p>
    <w:p w:rsidR="00375F01" w:rsidRDefault="00375F01" w:rsidP="00D2469B">
      <w:pPr>
        <w:spacing w:after="200" w:line="480" w:lineRule="auto"/>
        <w:contextualSpacing/>
        <w:jc w:val="both"/>
        <w:rPr>
          <w:color w:val="000000" w:themeColor="text1"/>
        </w:rPr>
      </w:pPr>
      <w:r>
        <w:t>15</w:t>
      </w:r>
      <w:r w:rsidRPr="00BF3F0C">
        <w:t xml:space="preserve">. </w:t>
      </w:r>
      <w:hyperlink r:id="rId38" w:history="1">
        <w:proofErr w:type="spellStart"/>
        <w:r w:rsidRPr="00BF3F0C">
          <w:rPr>
            <w:rStyle w:val="Hyperlink"/>
            <w:color w:val="000000" w:themeColor="text1"/>
            <w:u w:val="none"/>
          </w:rPr>
          <w:t>Buturak</w:t>
        </w:r>
        <w:proofErr w:type="spellEnd"/>
        <w:r w:rsidRPr="00BF3F0C">
          <w:rPr>
            <w:rStyle w:val="Hyperlink"/>
            <w:color w:val="000000" w:themeColor="text1"/>
            <w:u w:val="none"/>
          </w:rPr>
          <w:t xml:space="preserve"> A</w:t>
        </w:r>
      </w:hyperlink>
      <w:r w:rsidRPr="00BF3F0C">
        <w:rPr>
          <w:color w:val="000000" w:themeColor="text1"/>
        </w:rPr>
        <w:t>, </w:t>
      </w:r>
      <w:proofErr w:type="spellStart"/>
      <w:r>
        <w:fldChar w:fldCharType="begin"/>
      </w:r>
      <w:r>
        <w:instrText xml:space="preserve"> HYPERLINK "http://www.ncbi.nlm.nih.gov/pubmed/?term=Gen%C3%A7%20A%5BAuthor%5D&amp;cauthor=true&amp;cauthor_uid=21788202" </w:instrText>
      </w:r>
      <w:r>
        <w:fldChar w:fldCharType="separate"/>
      </w:r>
      <w:r w:rsidRPr="00BF3F0C">
        <w:rPr>
          <w:rStyle w:val="Hyperlink"/>
          <w:color w:val="000000" w:themeColor="text1"/>
          <w:u w:val="none"/>
        </w:rPr>
        <w:t>Genç</w:t>
      </w:r>
      <w:proofErr w:type="spellEnd"/>
      <w:r w:rsidRPr="00BF3F0C">
        <w:rPr>
          <w:rStyle w:val="Hyperlink"/>
          <w:color w:val="000000" w:themeColor="text1"/>
          <w:u w:val="none"/>
        </w:rPr>
        <w:t xml:space="preserve"> A</w:t>
      </w:r>
      <w:r>
        <w:rPr>
          <w:rStyle w:val="Hyperlink"/>
          <w:color w:val="000000" w:themeColor="text1"/>
          <w:u w:val="none"/>
        </w:rPr>
        <w:fldChar w:fldCharType="end"/>
      </w:r>
      <w:r w:rsidRPr="00BF3F0C">
        <w:rPr>
          <w:color w:val="000000" w:themeColor="text1"/>
        </w:rPr>
        <w:t>, </w:t>
      </w:r>
      <w:hyperlink r:id="rId39" w:history="1">
        <w:r w:rsidRPr="00BF3F0C">
          <w:rPr>
            <w:rStyle w:val="Hyperlink"/>
            <w:color w:val="000000" w:themeColor="text1"/>
            <w:u w:val="none"/>
          </w:rPr>
          <w:t xml:space="preserve">Ulus </w:t>
        </w:r>
        <w:r w:rsidR="00B862E1">
          <w:rPr>
            <w:rStyle w:val="Hyperlink"/>
            <w:color w:val="000000" w:themeColor="text1"/>
            <w:u w:val="none"/>
          </w:rPr>
          <w:t>Ö</w:t>
        </w:r>
        <w:r w:rsidRPr="00BF3F0C">
          <w:rPr>
            <w:rStyle w:val="Hyperlink"/>
            <w:color w:val="000000" w:themeColor="text1"/>
            <w:u w:val="none"/>
          </w:rPr>
          <w:t>S</w:t>
        </w:r>
      </w:hyperlink>
      <w:r w:rsidRPr="00BF3F0C">
        <w:rPr>
          <w:color w:val="000000" w:themeColor="text1"/>
        </w:rPr>
        <w:t>, </w:t>
      </w:r>
      <w:proofErr w:type="spellStart"/>
      <w:r w:rsidR="00B862E1">
        <w:rPr>
          <w:color w:val="000000" w:themeColor="text1"/>
        </w:rPr>
        <w:t>Guygu</w:t>
      </w:r>
      <w:proofErr w:type="spellEnd"/>
      <w:r w:rsidR="00B862E1">
        <w:rPr>
          <w:color w:val="000000" w:themeColor="text1"/>
        </w:rPr>
        <w:t xml:space="preserve"> E, </w:t>
      </w:r>
      <w:proofErr w:type="spellStart"/>
      <w:r w:rsidR="00B862E1">
        <w:rPr>
          <w:color w:val="000000" w:themeColor="text1"/>
        </w:rPr>
        <w:t>Ökmen</w:t>
      </w:r>
      <w:proofErr w:type="spellEnd"/>
      <w:r w:rsidR="00B862E1">
        <w:rPr>
          <w:color w:val="000000" w:themeColor="text1"/>
        </w:rPr>
        <w:t xml:space="preserve"> AŞ </w:t>
      </w:r>
      <w:proofErr w:type="spellStart"/>
      <w:r w:rsidR="00B862E1">
        <w:rPr>
          <w:color w:val="000000" w:themeColor="text1"/>
        </w:rPr>
        <w:t>Uyarel</w:t>
      </w:r>
      <w:proofErr w:type="spellEnd"/>
      <w:r w:rsidR="00B862E1">
        <w:rPr>
          <w:color w:val="000000" w:themeColor="text1"/>
        </w:rPr>
        <w:t xml:space="preserve"> H</w:t>
      </w:r>
      <w:r w:rsidRPr="00BF3F0C">
        <w:rPr>
          <w:color w:val="000000" w:themeColor="text1"/>
        </w:rPr>
        <w:t xml:space="preserve">. </w:t>
      </w:r>
      <w:r>
        <w:rPr>
          <w:color w:val="000000" w:themeColor="text1"/>
        </w:rPr>
        <w:t xml:space="preserve"> </w:t>
      </w:r>
      <w:r w:rsidRPr="00BF3F0C">
        <w:rPr>
          <w:color w:val="000000" w:themeColor="text1"/>
        </w:rPr>
        <w:t xml:space="preserve">Evaluation of the effects of chronic biomass fuel smoke exposure on peripheral endothelial functions: an observational study. </w:t>
      </w:r>
      <w:r>
        <w:rPr>
          <w:color w:val="000000" w:themeColor="text1"/>
        </w:rPr>
        <w:t xml:space="preserve"> </w:t>
      </w:r>
      <w:proofErr w:type="spellStart"/>
      <w:r w:rsidRPr="007B1D65">
        <w:rPr>
          <w:iCs/>
          <w:color w:val="000000" w:themeColor="text1"/>
        </w:rPr>
        <w:t>Anadolu</w:t>
      </w:r>
      <w:proofErr w:type="spellEnd"/>
      <w:r w:rsidRPr="007B1D65">
        <w:rPr>
          <w:iCs/>
          <w:color w:val="000000" w:themeColor="text1"/>
        </w:rPr>
        <w:t xml:space="preserve"> </w:t>
      </w:r>
      <w:proofErr w:type="spellStart"/>
      <w:r w:rsidRPr="007B1D65">
        <w:rPr>
          <w:iCs/>
          <w:color w:val="000000" w:themeColor="text1"/>
        </w:rPr>
        <w:t>Kardiyol</w:t>
      </w:r>
      <w:proofErr w:type="spellEnd"/>
      <w:r w:rsidRPr="007B1D65">
        <w:rPr>
          <w:iCs/>
          <w:color w:val="000000" w:themeColor="text1"/>
        </w:rPr>
        <w:t xml:space="preserve"> </w:t>
      </w:r>
      <w:proofErr w:type="spellStart"/>
      <w:r w:rsidRPr="007B1D65">
        <w:rPr>
          <w:iCs/>
          <w:color w:val="000000" w:themeColor="text1"/>
        </w:rPr>
        <w:t>Derg</w:t>
      </w:r>
      <w:proofErr w:type="spellEnd"/>
      <w:r>
        <w:rPr>
          <w:iCs/>
          <w:color w:val="000000" w:themeColor="text1"/>
        </w:rPr>
        <w:t xml:space="preserve"> </w:t>
      </w:r>
      <w:r w:rsidRPr="00BF3F0C">
        <w:rPr>
          <w:color w:val="000000" w:themeColor="text1"/>
        </w:rPr>
        <w:t>2011</w:t>
      </w:r>
      <w:proofErr w:type="gramStart"/>
      <w:r w:rsidRPr="00BF3F0C">
        <w:rPr>
          <w:color w:val="000000" w:themeColor="text1"/>
        </w:rPr>
        <w:t>;</w:t>
      </w:r>
      <w:r w:rsidRPr="00BF3F0C">
        <w:rPr>
          <w:bCs/>
          <w:color w:val="000000" w:themeColor="text1"/>
        </w:rPr>
        <w:t>11</w:t>
      </w:r>
      <w:r w:rsidRPr="00BF3F0C">
        <w:rPr>
          <w:color w:val="000000" w:themeColor="text1"/>
        </w:rPr>
        <w:t>:492</w:t>
      </w:r>
      <w:proofErr w:type="gramEnd"/>
      <w:r w:rsidRPr="00BF3F0C">
        <w:rPr>
          <w:color w:val="000000" w:themeColor="text1"/>
        </w:rPr>
        <w:t>-7.</w:t>
      </w:r>
    </w:p>
    <w:p w:rsidR="00375F01" w:rsidRPr="00BF3F0C" w:rsidRDefault="00375F01" w:rsidP="00D2469B">
      <w:pPr>
        <w:spacing w:after="200" w:line="480" w:lineRule="auto"/>
        <w:contextualSpacing/>
        <w:jc w:val="both"/>
        <w:rPr>
          <w:color w:val="000000" w:themeColor="text1"/>
        </w:rPr>
      </w:pPr>
    </w:p>
    <w:p w:rsidR="00375F01" w:rsidRDefault="00375F01" w:rsidP="00D2469B">
      <w:pPr>
        <w:spacing w:after="200" w:line="480" w:lineRule="auto"/>
        <w:contextualSpacing/>
        <w:jc w:val="both"/>
        <w:rPr>
          <w:color w:val="000000" w:themeColor="text1"/>
        </w:rPr>
      </w:pPr>
      <w:r>
        <w:rPr>
          <w:color w:val="000000" w:themeColor="text1"/>
        </w:rPr>
        <w:t>16</w:t>
      </w:r>
      <w:r w:rsidRPr="00BF3F0C">
        <w:rPr>
          <w:color w:val="000000" w:themeColor="text1"/>
        </w:rPr>
        <w:t xml:space="preserve">. Dutta A, Mukherjee B, Das D, </w:t>
      </w:r>
      <w:r w:rsidR="00B862E1">
        <w:rPr>
          <w:color w:val="000000" w:themeColor="text1"/>
        </w:rPr>
        <w:t>Banerjee A, Ray MR</w:t>
      </w:r>
      <w:r w:rsidRPr="00BF3F0C">
        <w:rPr>
          <w:color w:val="000000" w:themeColor="text1"/>
        </w:rPr>
        <w:t xml:space="preserve">. </w:t>
      </w:r>
      <w:r>
        <w:rPr>
          <w:color w:val="000000" w:themeColor="text1"/>
        </w:rPr>
        <w:t xml:space="preserve"> </w:t>
      </w:r>
      <w:r w:rsidRPr="00BF3F0C">
        <w:rPr>
          <w:color w:val="000000" w:themeColor="text1"/>
        </w:rPr>
        <w:t xml:space="preserve">Hypertension with elevated levels of oxidized low-density lipoprotein and </w:t>
      </w:r>
      <w:proofErr w:type="spellStart"/>
      <w:r w:rsidRPr="00BF3F0C">
        <w:rPr>
          <w:color w:val="000000" w:themeColor="text1"/>
        </w:rPr>
        <w:t>anticardiolipin</w:t>
      </w:r>
      <w:proofErr w:type="spellEnd"/>
      <w:r w:rsidRPr="00BF3F0C">
        <w:rPr>
          <w:color w:val="000000" w:themeColor="text1"/>
        </w:rPr>
        <w:t xml:space="preserve"> antibody in the circulation of premenopausal Indian women chronically exposed to biomass smoke during cooking.</w:t>
      </w:r>
      <w:r>
        <w:rPr>
          <w:color w:val="000000" w:themeColor="text1"/>
        </w:rPr>
        <w:t xml:space="preserve"> </w:t>
      </w:r>
      <w:r w:rsidRPr="00BF3F0C">
        <w:rPr>
          <w:color w:val="000000" w:themeColor="text1"/>
        </w:rPr>
        <w:t xml:space="preserve"> </w:t>
      </w:r>
      <w:r w:rsidRPr="00CA2FCC">
        <w:rPr>
          <w:iCs/>
          <w:color w:val="000000" w:themeColor="text1"/>
        </w:rPr>
        <w:t>Indoor Air</w:t>
      </w:r>
      <w:r w:rsidRPr="00CA2FCC">
        <w:rPr>
          <w:color w:val="000000" w:themeColor="text1"/>
        </w:rPr>
        <w:t xml:space="preserve"> </w:t>
      </w:r>
      <w:r w:rsidRPr="00BF3F0C">
        <w:rPr>
          <w:color w:val="000000" w:themeColor="text1"/>
        </w:rPr>
        <w:t>2011</w:t>
      </w:r>
      <w:proofErr w:type="gramStart"/>
      <w:r w:rsidRPr="00BF3F0C">
        <w:rPr>
          <w:color w:val="000000" w:themeColor="text1"/>
        </w:rPr>
        <w:t>;</w:t>
      </w:r>
      <w:r w:rsidRPr="00BF3F0C">
        <w:rPr>
          <w:bCs/>
          <w:color w:val="000000" w:themeColor="text1"/>
        </w:rPr>
        <w:t>21</w:t>
      </w:r>
      <w:r w:rsidRPr="00BF3F0C">
        <w:rPr>
          <w:color w:val="000000" w:themeColor="text1"/>
        </w:rPr>
        <w:t>:165</w:t>
      </w:r>
      <w:proofErr w:type="gramEnd"/>
      <w:r w:rsidRPr="00BF3F0C">
        <w:rPr>
          <w:color w:val="000000" w:themeColor="text1"/>
        </w:rPr>
        <w:t>-176.</w:t>
      </w:r>
    </w:p>
    <w:p w:rsidR="00375F01" w:rsidRPr="00BF3F0C" w:rsidRDefault="00375F01" w:rsidP="00D2469B">
      <w:pPr>
        <w:spacing w:after="200" w:line="480" w:lineRule="auto"/>
        <w:contextualSpacing/>
        <w:jc w:val="both"/>
        <w:rPr>
          <w:color w:val="000000" w:themeColor="text1"/>
          <w:lang w:val="en-US"/>
        </w:rPr>
      </w:pPr>
      <w:r w:rsidRPr="00BF3F0C">
        <w:rPr>
          <w:rFonts w:eastAsia="Times New Roman"/>
          <w:color w:val="000000"/>
          <w:lang w:val="en-US"/>
        </w:rPr>
        <w:t xml:space="preserve"> </w:t>
      </w:r>
    </w:p>
    <w:p w:rsidR="00375F01" w:rsidRDefault="00375F01" w:rsidP="00D2469B">
      <w:pPr>
        <w:spacing w:after="200" w:line="480" w:lineRule="auto"/>
        <w:contextualSpacing/>
        <w:jc w:val="both"/>
        <w:rPr>
          <w:color w:val="000000" w:themeColor="text1"/>
        </w:rPr>
      </w:pPr>
      <w:r>
        <w:t>17</w:t>
      </w:r>
      <w:r w:rsidRPr="00BF3F0C">
        <w:t xml:space="preserve">. </w:t>
      </w:r>
      <w:hyperlink r:id="rId40" w:history="1">
        <w:r w:rsidRPr="00BF3F0C">
          <w:rPr>
            <w:rStyle w:val="Hyperlink"/>
            <w:color w:val="000000" w:themeColor="text1"/>
            <w:u w:val="none"/>
          </w:rPr>
          <w:t>Clark ML</w:t>
        </w:r>
      </w:hyperlink>
      <w:r w:rsidRPr="00BF3F0C">
        <w:rPr>
          <w:color w:val="000000" w:themeColor="text1"/>
        </w:rPr>
        <w:t>, </w:t>
      </w:r>
      <w:proofErr w:type="spellStart"/>
      <w:r w:rsidR="00C439BF">
        <w:fldChar w:fldCharType="begin"/>
      </w:r>
      <w:r w:rsidR="00C439BF">
        <w:instrText xml:space="preserve"> HYPERLINK "http://www.ncbi.nlm.nih.gov/pubmed/?term=Bazemore%20H%5BAuthor%5D&amp;cauthor=true&amp;cauthor_uid=21618943" </w:instrText>
      </w:r>
      <w:r w:rsidR="00C439BF">
        <w:fldChar w:fldCharType="separate"/>
      </w:r>
      <w:r w:rsidRPr="00BF3F0C">
        <w:rPr>
          <w:rStyle w:val="Hyperlink"/>
          <w:color w:val="000000" w:themeColor="text1"/>
          <w:u w:val="none"/>
        </w:rPr>
        <w:t>Bazemore</w:t>
      </w:r>
      <w:proofErr w:type="spellEnd"/>
      <w:r w:rsidRPr="00BF3F0C">
        <w:rPr>
          <w:rStyle w:val="Hyperlink"/>
          <w:color w:val="000000" w:themeColor="text1"/>
          <w:u w:val="none"/>
        </w:rPr>
        <w:t xml:space="preserve"> H</w:t>
      </w:r>
      <w:r w:rsidR="00C439BF">
        <w:rPr>
          <w:rStyle w:val="Hyperlink"/>
          <w:color w:val="000000" w:themeColor="text1"/>
          <w:u w:val="none"/>
        </w:rPr>
        <w:fldChar w:fldCharType="end"/>
      </w:r>
      <w:r w:rsidRPr="00BF3F0C">
        <w:rPr>
          <w:color w:val="000000" w:themeColor="text1"/>
        </w:rPr>
        <w:t>, </w:t>
      </w:r>
      <w:hyperlink r:id="rId41" w:history="1">
        <w:r w:rsidRPr="00BF3F0C">
          <w:rPr>
            <w:rStyle w:val="Hyperlink"/>
            <w:color w:val="000000" w:themeColor="text1"/>
            <w:u w:val="none"/>
          </w:rPr>
          <w:t>Reynolds SJ</w:t>
        </w:r>
      </w:hyperlink>
      <w:r w:rsidRPr="00BF3F0C">
        <w:rPr>
          <w:color w:val="000000" w:themeColor="text1"/>
        </w:rPr>
        <w:t>, </w:t>
      </w:r>
      <w:proofErr w:type="spellStart"/>
      <w:r w:rsidR="00B862E1">
        <w:rPr>
          <w:color w:val="000000" w:themeColor="text1"/>
        </w:rPr>
        <w:t>Heiderscheidt</w:t>
      </w:r>
      <w:proofErr w:type="spellEnd"/>
      <w:r w:rsidR="00B862E1">
        <w:rPr>
          <w:color w:val="000000" w:themeColor="text1"/>
        </w:rPr>
        <w:t xml:space="preserve"> JM, Conway S, </w:t>
      </w:r>
      <w:proofErr w:type="spellStart"/>
      <w:r w:rsidR="00B862E1">
        <w:rPr>
          <w:color w:val="000000" w:themeColor="text1"/>
        </w:rPr>
        <w:t>Bachand</w:t>
      </w:r>
      <w:proofErr w:type="spellEnd"/>
      <w:r w:rsidR="00B862E1">
        <w:rPr>
          <w:color w:val="000000" w:themeColor="text1"/>
        </w:rPr>
        <w:t xml:space="preserve"> AM </w:t>
      </w:r>
      <w:r w:rsidRPr="00BF3F0C">
        <w:rPr>
          <w:color w:val="000000" w:themeColor="text1"/>
        </w:rPr>
        <w:t>et al.</w:t>
      </w:r>
      <w:r>
        <w:rPr>
          <w:color w:val="000000" w:themeColor="text1"/>
        </w:rPr>
        <w:t xml:space="preserve"> </w:t>
      </w:r>
      <w:r w:rsidRPr="00BF3F0C">
        <w:rPr>
          <w:color w:val="000000" w:themeColor="text1"/>
        </w:rPr>
        <w:t xml:space="preserve"> A baseline evaluation of traditional cook stove smoke exposures and indicators of cardiovascular and respiratory health among Nicaraguan women. </w:t>
      </w:r>
      <w:r>
        <w:rPr>
          <w:color w:val="000000" w:themeColor="text1"/>
        </w:rPr>
        <w:t xml:space="preserve"> </w:t>
      </w:r>
      <w:proofErr w:type="spellStart"/>
      <w:r w:rsidRPr="00CA2FCC">
        <w:rPr>
          <w:iCs/>
          <w:color w:val="000000" w:themeColor="text1"/>
        </w:rPr>
        <w:t>Int</w:t>
      </w:r>
      <w:proofErr w:type="spellEnd"/>
      <w:r w:rsidRPr="00CA2FCC">
        <w:rPr>
          <w:iCs/>
          <w:color w:val="000000" w:themeColor="text1"/>
        </w:rPr>
        <w:t xml:space="preserve"> J </w:t>
      </w:r>
      <w:proofErr w:type="spellStart"/>
      <w:r w:rsidRPr="00CA2FCC">
        <w:rPr>
          <w:iCs/>
          <w:color w:val="000000" w:themeColor="text1"/>
        </w:rPr>
        <w:t>Occup</w:t>
      </w:r>
      <w:proofErr w:type="spellEnd"/>
      <w:r w:rsidRPr="00CA2FCC">
        <w:rPr>
          <w:iCs/>
          <w:color w:val="000000" w:themeColor="text1"/>
        </w:rPr>
        <w:t xml:space="preserve"> Environ Health</w:t>
      </w:r>
      <w:r w:rsidRPr="00BF3F0C">
        <w:rPr>
          <w:color w:val="000000" w:themeColor="text1"/>
        </w:rPr>
        <w:t xml:space="preserve"> 2011</w:t>
      </w:r>
      <w:proofErr w:type="gramStart"/>
      <w:r w:rsidRPr="00BF3F0C">
        <w:rPr>
          <w:color w:val="000000" w:themeColor="text1"/>
        </w:rPr>
        <w:t>;17:113</w:t>
      </w:r>
      <w:proofErr w:type="gramEnd"/>
      <w:r w:rsidRPr="00BF3F0C">
        <w:rPr>
          <w:color w:val="000000" w:themeColor="text1"/>
        </w:rPr>
        <w:t>-21.</w:t>
      </w:r>
    </w:p>
    <w:p w:rsidR="00375F01" w:rsidRPr="00BF3F0C" w:rsidRDefault="00375F01" w:rsidP="00D2469B">
      <w:pPr>
        <w:spacing w:after="200" w:line="480" w:lineRule="auto"/>
        <w:contextualSpacing/>
        <w:jc w:val="both"/>
        <w:rPr>
          <w:color w:val="000000" w:themeColor="text1"/>
        </w:rPr>
      </w:pPr>
    </w:p>
    <w:p w:rsidR="00375F01" w:rsidRDefault="00375F01" w:rsidP="00D2469B">
      <w:pPr>
        <w:spacing w:after="200" w:line="480" w:lineRule="auto"/>
        <w:contextualSpacing/>
        <w:jc w:val="both"/>
        <w:rPr>
          <w:color w:val="000000" w:themeColor="text1"/>
          <w:lang w:val="en-US"/>
        </w:rPr>
      </w:pPr>
      <w:r>
        <w:rPr>
          <w:color w:val="000000" w:themeColor="text1"/>
          <w:lang w:val="en-US"/>
        </w:rPr>
        <w:t>18</w:t>
      </w:r>
      <w:r w:rsidRPr="00BF3F0C">
        <w:rPr>
          <w:color w:val="000000" w:themeColor="text1"/>
          <w:lang w:val="en-US"/>
        </w:rPr>
        <w:t xml:space="preserve">. Baumgartner J, </w:t>
      </w:r>
      <w:proofErr w:type="spellStart"/>
      <w:r w:rsidRPr="00BF3F0C">
        <w:rPr>
          <w:color w:val="000000" w:themeColor="text1"/>
          <w:lang w:val="en-US"/>
        </w:rPr>
        <w:t>Schauer</w:t>
      </w:r>
      <w:proofErr w:type="spellEnd"/>
      <w:r w:rsidRPr="00BF3F0C">
        <w:rPr>
          <w:color w:val="000000" w:themeColor="text1"/>
          <w:lang w:val="en-US"/>
        </w:rPr>
        <w:t xml:space="preserve"> JJ, </w:t>
      </w:r>
      <w:proofErr w:type="spellStart"/>
      <w:r w:rsidRPr="00BF3F0C">
        <w:rPr>
          <w:color w:val="000000" w:themeColor="text1"/>
          <w:lang w:val="en-US"/>
        </w:rPr>
        <w:t>Ezzati</w:t>
      </w:r>
      <w:proofErr w:type="spellEnd"/>
      <w:r w:rsidRPr="00BF3F0C">
        <w:rPr>
          <w:color w:val="000000" w:themeColor="text1"/>
          <w:lang w:val="en-US"/>
        </w:rPr>
        <w:t xml:space="preserve"> M, </w:t>
      </w:r>
      <w:r w:rsidR="00B862E1">
        <w:rPr>
          <w:color w:val="000000" w:themeColor="text1"/>
          <w:lang w:val="en-US"/>
        </w:rPr>
        <w:t>Lu L, Cheng C, Patz JA</w:t>
      </w:r>
      <w:r w:rsidRPr="00BF3F0C">
        <w:rPr>
          <w:color w:val="000000" w:themeColor="text1"/>
          <w:lang w:val="en-US"/>
        </w:rPr>
        <w:t xml:space="preserve"> et al.</w:t>
      </w:r>
      <w:r>
        <w:rPr>
          <w:color w:val="000000" w:themeColor="text1"/>
          <w:lang w:val="en-US"/>
        </w:rPr>
        <w:t xml:space="preserve"> </w:t>
      </w:r>
      <w:r w:rsidRPr="00BF3F0C">
        <w:rPr>
          <w:color w:val="000000" w:themeColor="text1"/>
          <w:lang w:val="en-US"/>
        </w:rPr>
        <w:t xml:space="preserve"> </w:t>
      </w:r>
      <w:r w:rsidRPr="00BF3F0C">
        <w:rPr>
          <w:color w:val="000000" w:themeColor="text1"/>
        </w:rPr>
        <w:t>Indoor air pollution and blood pressure in adult women living in rural China.</w:t>
      </w:r>
      <w:r>
        <w:rPr>
          <w:color w:val="000000" w:themeColor="text1"/>
        </w:rPr>
        <w:t xml:space="preserve"> </w:t>
      </w:r>
      <w:r w:rsidRPr="00BF3F0C">
        <w:rPr>
          <w:color w:val="000000" w:themeColor="text1"/>
        </w:rPr>
        <w:t xml:space="preserve"> </w:t>
      </w:r>
      <w:r w:rsidRPr="00B259CD">
        <w:rPr>
          <w:iCs/>
          <w:color w:val="000000" w:themeColor="text1"/>
          <w:lang w:val="en-US"/>
        </w:rPr>
        <w:t xml:space="preserve">Environ Health </w:t>
      </w:r>
      <w:proofErr w:type="spellStart"/>
      <w:r w:rsidRPr="00B259CD">
        <w:rPr>
          <w:iCs/>
          <w:color w:val="000000" w:themeColor="text1"/>
          <w:lang w:val="en-US"/>
        </w:rPr>
        <w:t>Perspect</w:t>
      </w:r>
      <w:proofErr w:type="spellEnd"/>
      <w:r w:rsidRPr="00BF3F0C">
        <w:rPr>
          <w:color w:val="000000" w:themeColor="text1"/>
          <w:lang w:val="en-US"/>
        </w:rPr>
        <w:t xml:space="preserve"> 2011</w:t>
      </w:r>
      <w:proofErr w:type="gramStart"/>
      <w:r w:rsidRPr="00BF3F0C">
        <w:rPr>
          <w:color w:val="000000" w:themeColor="text1"/>
          <w:lang w:val="en-US"/>
        </w:rPr>
        <w:t>;119:1390</w:t>
      </w:r>
      <w:proofErr w:type="gramEnd"/>
      <w:r w:rsidRPr="00BF3F0C">
        <w:rPr>
          <w:color w:val="000000" w:themeColor="text1"/>
          <w:lang w:val="en-US"/>
        </w:rPr>
        <w:t>-5.</w:t>
      </w:r>
    </w:p>
    <w:p w:rsidR="00375F01" w:rsidRPr="00BF3F0C" w:rsidRDefault="00375F01" w:rsidP="00D2469B">
      <w:pPr>
        <w:spacing w:after="200" w:line="480" w:lineRule="auto"/>
        <w:contextualSpacing/>
        <w:jc w:val="both"/>
        <w:rPr>
          <w:color w:val="000000" w:themeColor="text1"/>
          <w:lang w:val="en-US"/>
        </w:rPr>
      </w:pPr>
    </w:p>
    <w:p w:rsidR="00375F01" w:rsidRDefault="00375F01" w:rsidP="00D2469B">
      <w:pPr>
        <w:shd w:val="clear" w:color="auto" w:fill="FFFFFF"/>
        <w:spacing w:line="480" w:lineRule="auto"/>
        <w:jc w:val="both"/>
        <w:rPr>
          <w:color w:val="000000" w:themeColor="text1"/>
        </w:rPr>
      </w:pPr>
      <w:r>
        <w:rPr>
          <w:color w:val="000000" w:themeColor="text1"/>
        </w:rPr>
        <w:t xml:space="preserve">19.  Baumgartner </w:t>
      </w:r>
      <w:r w:rsidR="00F94C08">
        <w:rPr>
          <w:color w:val="000000" w:themeColor="text1"/>
        </w:rPr>
        <w:t xml:space="preserve">J, Zhang Y, </w:t>
      </w:r>
      <w:proofErr w:type="spellStart"/>
      <w:r w:rsidR="00F94C08">
        <w:rPr>
          <w:color w:val="000000" w:themeColor="text1"/>
        </w:rPr>
        <w:t>Schauer</w:t>
      </w:r>
      <w:proofErr w:type="spellEnd"/>
      <w:r w:rsidR="00F94C08">
        <w:rPr>
          <w:color w:val="000000" w:themeColor="text1"/>
        </w:rPr>
        <w:t xml:space="preserve"> JJ, Huang W, Wang Y, </w:t>
      </w:r>
      <w:proofErr w:type="spellStart"/>
      <w:r w:rsidR="00F94C08">
        <w:rPr>
          <w:color w:val="000000" w:themeColor="text1"/>
        </w:rPr>
        <w:t>Ezzati</w:t>
      </w:r>
      <w:proofErr w:type="spellEnd"/>
      <w:r w:rsidR="00F94C08">
        <w:rPr>
          <w:color w:val="000000" w:themeColor="text1"/>
        </w:rPr>
        <w:t xml:space="preserve"> M.  </w:t>
      </w:r>
      <w:proofErr w:type="gramStart"/>
      <w:r w:rsidR="00F94C08">
        <w:rPr>
          <w:color w:val="000000" w:themeColor="text1"/>
        </w:rPr>
        <w:t xml:space="preserve">Highway proximity and black carbon from </w:t>
      </w:r>
      <w:proofErr w:type="spellStart"/>
      <w:r w:rsidR="00F94C08">
        <w:rPr>
          <w:color w:val="000000" w:themeColor="text1"/>
        </w:rPr>
        <w:t>cookstoves</w:t>
      </w:r>
      <w:proofErr w:type="spellEnd"/>
      <w:r w:rsidR="00F94C08">
        <w:rPr>
          <w:color w:val="000000" w:themeColor="text1"/>
        </w:rPr>
        <w:t xml:space="preserve"> as a risk factor for higher blood pressure in rural China.</w:t>
      </w:r>
      <w:proofErr w:type="gramEnd"/>
      <w:r w:rsidR="00F94C08">
        <w:rPr>
          <w:color w:val="000000" w:themeColor="text1"/>
        </w:rPr>
        <w:t xml:space="preserve">  PNAS </w:t>
      </w:r>
      <w:r>
        <w:rPr>
          <w:color w:val="000000" w:themeColor="text1"/>
        </w:rPr>
        <w:t>2014</w:t>
      </w:r>
      <w:proofErr w:type="gramStart"/>
      <w:r w:rsidR="00F94C08">
        <w:rPr>
          <w:color w:val="000000" w:themeColor="text1"/>
        </w:rPr>
        <w:t>;111:13229</w:t>
      </w:r>
      <w:proofErr w:type="gramEnd"/>
      <w:r w:rsidR="00F94C08">
        <w:rPr>
          <w:color w:val="000000" w:themeColor="text1"/>
        </w:rPr>
        <w:t>-34</w:t>
      </w:r>
      <w:r>
        <w:rPr>
          <w:color w:val="000000" w:themeColor="text1"/>
        </w:rPr>
        <w:t>.</w:t>
      </w:r>
    </w:p>
    <w:p w:rsidR="00375F01" w:rsidRDefault="00375F01" w:rsidP="00D2469B">
      <w:pPr>
        <w:spacing w:after="200" w:line="480" w:lineRule="auto"/>
        <w:contextualSpacing/>
        <w:jc w:val="both"/>
      </w:pPr>
    </w:p>
    <w:p w:rsidR="00375F01" w:rsidRDefault="00375F01" w:rsidP="00D2469B">
      <w:pPr>
        <w:shd w:val="clear" w:color="auto" w:fill="FFFFFF"/>
        <w:spacing w:line="480" w:lineRule="auto"/>
        <w:contextualSpacing/>
        <w:jc w:val="both"/>
        <w:rPr>
          <w:color w:val="000000" w:themeColor="text1"/>
        </w:rPr>
      </w:pPr>
      <w:r>
        <w:rPr>
          <w:color w:val="000000" w:themeColor="text1"/>
        </w:rPr>
        <w:t>20</w:t>
      </w:r>
      <w:r w:rsidRPr="00BF3F0C">
        <w:rPr>
          <w:color w:val="000000" w:themeColor="text1"/>
        </w:rPr>
        <w:t xml:space="preserve">. </w:t>
      </w:r>
      <w:proofErr w:type="spellStart"/>
      <w:r w:rsidRPr="00BF3F0C">
        <w:rPr>
          <w:color w:val="000000" w:themeColor="text1"/>
        </w:rPr>
        <w:t>Firdaus</w:t>
      </w:r>
      <w:proofErr w:type="spellEnd"/>
      <w:r w:rsidRPr="00BF3F0C">
        <w:rPr>
          <w:color w:val="000000" w:themeColor="text1"/>
        </w:rPr>
        <w:t xml:space="preserve"> G, Ahmad A. </w:t>
      </w:r>
      <w:r>
        <w:rPr>
          <w:color w:val="000000" w:themeColor="text1"/>
        </w:rPr>
        <w:t xml:space="preserve"> </w:t>
      </w:r>
      <w:proofErr w:type="gramStart"/>
      <w:r w:rsidRPr="00BF3F0C">
        <w:rPr>
          <w:color w:val="000000" w:themeColor="text1"/>
        </w:rPr>
        <w:t>Indoor air pollution and self-reported diseases – a case study of NCT of Delhi.</w:t>
      </w:r>
      <w:proofErr w:type="gramEnd"/>
      <w:r w:rsidRPr="00BF3F0C">
        <w:rPr>
          <w:color w:val="000000" w:themeColor="text1"/>
        </w:rPr>
        <w:t xml:space="preserve"> </w:t>
      </w:r>
      <w:r>
        <w:rPr>
          <w:color w:val="000000" w:themeColor="text1"/>
        </w:rPr>
        <w:t xml:space="preserve"> </w:t>
      </w:r>
      <w:r w:rsidRPr="00964E83">
        <w:rPr>
          <w:iCs/>
          <w:color w:val="000000" w:themeColor="text1"/>
        </w:rPr>
        <w:t>Indoor Air</w:t>
      </w:r>
      <w:r w:rsidRPr="00BF3F0C">
        <w:rPr>
          <w:color w:val="000000" w:themeColor="text1"/>
        </w:rPr>
        <w:t xml:space="preserve"> 2011</w:t>
      </w:r>
      <w:proofErr w:type="gramStart"/>
      <w:r w:rsidRPr="00BF3F0C">
        <w:rPr>
          <w:color w:val="000000" w:themeColor="text1"/>
        </w:rPr>
        <w:t>;</w:t>
      </w:r>
      <w:r w:rsidRPr="00BF3F0C">
        <w:rPr>
          <w:bCs/>
          <w:color w:val="000000" w:themeColor="text1"/>
        </w:rPr>
        <w:t>21</w:t>
      </w:r>
      <w:proofErr w:type="gramEnd"/>
      <w:r w:rsidRPr="00BF3F0C">
        <w:rPr>
          <w:color w:val="000000" w:themeColor="text1"/>
        </w:rPr>
        <w:t>: 410-416.</w:t>
      </w:r>
    </w:p>
    <w:p w:rsidR="00375F01" w:rsidRPr="00BF3F0C" w:rsidRDefault="00375F01" w:rsidP="00D2469B">
      <w:pPr>
        <w:shd w:val="clear" w:color="auto" w:fill="FFFFFF"/>
        <w:spacing w:line="480" w:lineRule="auto"/>
        <w:contextualSpacing/>
        <w:jc w:val="both"/>
        <w:rPr>
          <w:color w:val="000000" w:themeColor="text1"/>
        </w:rPr>
      </w:pPr>
    </w:p>
    <w:p w:rsidR="00375F01" w:rsidRDefault="00375F01" w:rsidP="00D2469B">
      <w:pPr>
        <w:spacing w:after="200" w:line="480" w:lineRule="auto"/>
        <w:contextualSpacing/>
        <w:jc w:val="both"/>
        <w:rPr>
          <w:color w:val="000000" w:themeColor="text1"/>
          <w:lang w:val="en-US"/>
        </w:rPr>
      </w:pPr>
      <w:r>
        <w:lastRenderedPageBreak/>
        <w:t>21</w:t>
      </w:r>
      <w:r w:rsidRPr="00BF3F0C">
        <w:t xml:space="preserve">. </w:t>
      </w:r>
      <w:hyperlink r:id="rId42" w:history="1">
        <w:r w:rsidRPr="00BF3F0C">
          <w:rPr>
            <w:rStyle w:val="Hyperlink"/>
            <w:color w:val="000000" w:themeColor="text1"/>
            <w:u w:val="none"/>
            <w:lang w:val="en-US"/>
          </w:rPr>
          <w:t>McCracken J</w:t>
        </w:r>
      </w:hyperlink>
      <w:r w:rsidRPr="00BF3F0C">
        <w:rPr>
          <w:color w:val="000000" w:themeColor="text1"/>
          <w:lang w:val="en-US"/>
        </w:rPr>
        <w:t>, </w:t>
      </w:r>
      <w:hyperlink r:id="rId43" w:history="1">
        <w:r w:rsidRPr="00BF3F0C">
          <w:rPr>
            <w:rStyle w:val="Hyperlink"/>
            <w:color w:val="000000" w:themeColor="text1"/>
            <w:u w:val="none"/>
            <w:lang w:val="en-US"/>
          </w:rPr>
          <w:t>Smith KR</w:t>
        </w:r>
      </w:hyperlink>
      <w:r w:rsidRPr="00BF3F0C">
        <w:rPr>
          <w:color w:val="000000" w:themeColor="text1"/>
          <w:lang w:val="en-US"/>
        </w:rPr>
        <w:t>, </w:t>
      </w:r>
      <w:hyperlink r:id="rId44" w:history="1">
        <w:r w:rsidRPr="00BF3F0C">
          <w:rPr>
            <w:rStyle w:val="Hyperlink"/>
            <w:color w:val="000000" w:themeColor="text1"/>
            <w:u w:val="none"/>
            <w:lang w:val="en-US"/>
          </w:rPr>
          <w:t>Stone P</w:t>
        </w:r>
      </w:hyperlink>
      <w:r w:rsidRPr="00BF3F0C">
        <w:rPr>
          <w:color w:val="000000" w:themeColor="text1"/>
          <w:lang w:val="en-US"/>
        </w:rPr>
        <w:t>, </w:t>
      </w:r>
      <w:r w:rsidR="00F94C08">
        <w:rPr>
          <w:color w:val="000000" w:themeColor="text1"/>
          <w:lang w:val="en-US"/>
        </w:rPr>
        <w:t>Diaz A, Arana B, Schwartz J</w:t>
      </w:r>
      <w:r w:rsidRPr="00BF3F0C">
        <w:rPr>
          <w:color w:val="000000" w:themeColor="text1"/>
          <w:lang w:val="en-US"/>
        </w:rPr>
        <w:t>.</w:t>
      </w:r>
      <w:r>
        <w:rPr>
          <w:color w:val="000000" w:themeColor="text1"/>
          <w:lang w:val="en-US"/>
        </w:rPr>
        <w:t xml:space="preserve"> </w:t>
      </w:r>
      <w:r w:rsidRPr="00BF3F0C">
        <w:rPr>
          <w:color w:val="000000" w:themeColor="text1"/>
          <w:lang w:val="en-US"/>
        </w:rPr>
        <w:t xml:space="preserve"> </w:t>
      </w:r>
      <w:r w:rsidRPr="00BF3F0C">
        <w:rPr>
          <w:color w:val="000000" w:themeColor="text1"/>
        </w:rPr>
        <w:t xml:space="preserve">Intervention to lower household wood smoke exposure in Guatemala reduces </w:t>
      </w:r>
      <w:r>
        <w:rPr>
          <w:color w:val="000000" w:themeColor="text1"/>
        </w:rPr>
        <w:t>ST</w:t>
      </w:r>
      <w:r w:rsidRPr="00BF3F0C">
        <w:rPr>
          <w:color w:val="000000" w:themeColor="text1"/>
        </w:rPr>
        <w:t xml:space="preserve">-segment depression on electrocardiograms. </w:t>
      </w:r>
      <w:r>
        <w:rPr>
          <w:color w:val="000000" w:themeColor="text1"/>
        </w:rPr>
        <w:t xml:space="preserve"> </w:t>
      </w:r>
      <w:hyperlink r:id="rId45" w:tooltip="Environmental health perspectives." w:history="1">
        <w:r w:rsidRPr="003A71E7">
          <w:rPr>
            <w:rStyle w:val="Hyperlink"/>
            <w:iCs/>
            <w:color w:val="000000" w:themeColor="text1"/>
            <w:u w:val="none"/>
            <w:lang w:val="en-US"/>
          </w:rPr>
          <w:t xml:space="preserve">Environ Health </w:t>
        </w:r>
        <w:proofErr w:type="spellStart"/>
        <w:r w:rsidRPr="003A71E7">
          <w:rPr>
            <w:rStyle w:val="Hyperlink"/>
            <w:iCs/>
            <w:color w:val="000000" w:themeColor="text1"/>
            <w:u w:val="none"/>
            <w:lang w:val="en-US"/>
          </w:rPr>
          <w:t>Perspect</w:t>
        </w:r>
        <w:proofErr w:type="spellEnd"/>
      </w:hyperlink>
      <w:r>
        <w:rPr>
          <w:rStyle w:val="Hyperlink"/>
          <w:i/>
          <w:iCs/>
          <w:color w:val="000000" w:themeColor="text1"/>
          <w:u w:val="none"/>
          <w:lang w:val="en-US"/>
        </w:rPr>
        <w:t xml:space="preserve"> </w:t>
      </w:r>
      <w:r w:rsidRPr="00BF3F0C">
        <w:rPr>
          <w:rStyle w:val="Hyperlink"/>
          <w:color w:val="000000" w:themeColor="text1"/>
          <w:u w:val="none"/>
          <w:lang w:val="en-US"/>
        </w:rPr>
        <w:t>2011</w:t>
      </w:r>
      <w:proofErr w:type="gramStart"/>
      <w:r w:rsidRPr="00BF3F0C">
        <w:rPr>
          <w:rStyle w:val="Hyperlink"/>
          <w:color w:val="000000" w:themeColor="text1"/>
          <w:u w:val="none"/>
          <w:lang w:val="en-US"/>
        </w:rPr>
        <w:t>;</w:t>
      </w:r>
      <w:r w:rsidRPr="00BF3F0C">
        <w:rPr>
          <w:color w:val="000000" w:themeColor="text1"/>
          <w:lang w:val="en-US"/>
        </w:rPr>
        <w:t>119:1562</w:t>
      </w:r>
      <w:proofErr w:type="gramEnd"/>
      <w:r w:rsidRPr="00BF3F0C">
        <w:rPr>
          <w:color w:val="000000" w:themeColor="text1"/>
          <w:lang w:val="en-US"/>
        </w:rPr>
        <w:t>-8.</w:t>
      </w:r>
    </w:p>
    <w:p w:rsidR="00375F01" w:rsidRPr="00BF3F0C" w:rsidRDefault="00375F01" w:rsidP="00D2469B">
      <w:pPr>
        <w:spacing w:after="200" w:line="480" w:lineRule="auto"/>
        <w:contextualSpacing/>
        <w:jc w:val="both"/>
        <w:rPr>
          <w:color w:val="000000" w:themeColor="text1"/>
          <w:lang w:val="en-US"/>
        </w:rPr>
      </w:pPr>
    </w:p>
    <w:p w:rsidR="00375F01" w:rsidRDefault="00375F01" w:rsidP="00D2469B">
      <w:pPr>
        <w:spacing w:after="200" w:line="480" w:lineRule="auto"/>
        <w:contextualSpacing/>
        <w:jc w:val="both"/>
        <w:rPr>
          <w:color w:val="000000" w:themeColor="text1"/>
          <w:lang w:val="en-US"/>
        </w:rPr>
      </w:pPr>
      <w:r>
        <w:rPr>
          <w:color w:val="000000" w:themeColor="text1"/>
        </w:rPr>
        <w:t>22</w:t>
      </w:r>
      <w:r w:rsidRPr="00BF3F0C">
        <w:rPr>
          <w:color w:val="000000" w:themeColor="text1"/>
        </w:rPr>
        <w:t xml:space="preserve">. Dutta A, Ray MR, Banerjee A. </w:t>
      </w:r>
      <w:r>
        <w:rPr>
          <w:color w:val="000000" w:themeColor="text1"/>
        </w:rPr>
        <w:t xml:space="preserve"> </w:t>
      </w:r>
      <w:proofErr w:type="gramStart"/>
      <w:r w:rsidRPr="00BF3F0C">
        <w:rPr>
          <w:color w:val="000000" w:themeColor="text1"/>
        </w:rPr>
        <w:t>Systemic inflammatory changes and increased oxidative stress in rural Indian women cooking with biomass fuels.</w:t>
      </w:r>
      <w:proofErr w:type="gramEnd"/>
      <w:r w:rsidRPr="00BF3F0C">
        <w:rPr>
          <w:color w:val="000000" w:themeColor="text1"/>
        </w:rPr>
        <w:t xml:space="preserve"> </w:t>
      </w:r>
      <w:r>
        <w:rPr>
          <w:color w:val="000000" w:themeColor="text1"/>
        </w:rPr>
        <w:t xml:space="preserve"> </w:t>
      </w:r>
      <w:proofErr w:type="spellStart"/>
      <w:r w:rsidRPr="007B1D65">
        <w:rPr>
          <w:iCs/>
          <w:color w:val="000000" w:themeColor="text1"/>
        </w:rPr>
        <w:t>Toxicol</w:t>
      </w:r>
      <w:proofErr w:type="spellEnd"/>
      <w:r w:rsidRPr="007B1D65">
        <w:rPr>
          <w:iCs/>
          <w:color w:val="000000" w:themeColor="text1"/>
        </w:rPr>
        <w:t xml:space="preserve"> </w:t>
      </w:r>
      <w:proofErr w:type="spellStart"/>
      <w:r w:rsidRPr="007B1D65">
        <w:rPr>
          <w:iCs/>
          <w:color w:val="000000" w:themeColor="text1"/>
        </w:rPr>
        <w:t>Appl</w:t>
      </w:r>
      <w:proofErr w:type="spellEnd"/>
      <w:r>
        <w:rPr>
          <w:iCs/>
          <w:color w:val="000000" w:themeColor="text1"/>
        </w:rPr>
        <w:t xml:space="preserve"> </w:t>
      </w:r>
      <w:proofErr w:type="spellStart"/>
      <w:r w:rsidRPr="007B1D65">
        <w:rPr>
          <w:iCs/>
          <w:color w:val="000000" w:themeColor="text1"/>
        </w:rPr>
        <w:t>Pharmacol</w:t>
      </w:r>
      <w:proofErr w:type="spellEnd"/>
      <w:r>
        <w:rPr>
          <w:color w:val="000000" w:themeColor="text1"/>
          <w:lang w:val="en-US"/>
        </w:rPr>
        <w:t xml:space="preserve"> </w:t>
      </w:r>
      <w:r w:rsidRPr="00BF3F0C">
        <w:rPr>
          <w:color w:val="000000" w:themeColor="text1"/>
          <w:lang w:val="en-US"/>
        </w:rPr>
        <w:t>2012</w:t>
      </w:r>
      <w:proofErr w:type="gramStart"/>
      <w:r w:rsidRPr="00BF3F0C">
        <w:rPr>
          <w:color w:val="000000" w:themeColor="text1"/>
          <w:lang w:val="en-US"/>
        </w:rPr>
        <w:t>;261:255</w:t>
      </w:r>
      <w:proofErr w:type="gramEnd"/>
      <w:r w:rsidRPr="00BF3F0C">
        <w:rPr>
          <w:color w:val="000000" w:themeColor="text1"/>
          <w:lang w:val="en-US"/>
        </w:rPr>
        <w:t xml:space="preserve">-62. </w:t>
      </w:r>
    </w:p>
    <w:p w:rsidR="00375F01" w:rsidRPr="00BF3F0C" w:rsidRDefault="00375F01" w:rsidP="00D2469B">
      <w:pPr>
        <w:spacing w:after="200" w:line="480" w:lineRule="auto"/>
        <w:contextualSpacing/>
        <w:jc w:val="both"/>
        <w:rPr>
          <w:color w:val="000000" w:themeColor="text1"/>
          <w:lang w:val="en-US"/>
        </w:rPr>
      </w:pPr>
    </w:p>
    <w:p w:rsidR="00375F01" w:rsidRDefault="00375F01" w:rsidP="00D2469B">
      <w:pPr>
        <w:shd w:val="clear" w:color="auto" w:fill="FFFFFF"/>
        <w:spacing w:line="480" w:lineRule="auto"/>
        <w:jc w:val="both"/>
        <w:outlineLvl w:val="2"/>
        <w:rPr>
          <w:color w:val="000000" w:themeColor="text1"/>
        </w:rPr>
      </w:pPr>
      <w:r>
        <w:rPr>
          <w:rFonts w:eastAsia="Times New Roman"/>
          <w:color w:val="000000"/>
          <w:lang w:val="en-US"/>
        </w:rPr>
        <w:t>23</w:t>
      </w:r>
      <w:r w:rsidRPr="00BF3F0C">
        <w:rPr>
          <w:rFonts w:eastAsia="Times New Roman"/>
          <w:color w:val="000000"/>
          <w:lang w:val="en-US"/>
        </w:rPr>
        <w:t xml:space="preserve">. Clark ML, </w:t>
      </w:r>
      <w:proofErr w:type="spellStart"/>
      <w:r w:rsidRPr="00BF3F0C">
        <w:rPr>
          <w:rFonts w:eastAsia="Times New Roman"/>
          <w:color w:val="000000"/>
          <w:lang w:val="en-US"/>
        </w:rPr>
        <w:t>Bachand</w:t>
      </w:r>
      <w:proofErr w:type="spellEnd"/>
      <w:r w:rsidRPr="00BF3F0C">
        <w:rPr>
          <w:rFonts w:eastAsia="Times New Roman"/>
          <w:color w:val="000000"/>
          <w:lang w:val="en-US"/>
        </w:rPr>
        <w:t xml:space="preserve"> AM, </w:t>
      </w:r>
      <w:proofErr w:type="spellStart"/>
      <w:r w:rsidRPr="00BF3F0C">
        <w:rPr>
          <w:rFonts w:eastAsia="Times New Roman"/>
          <w:color w:val="000000"/>
          <w:lang w:val="en-US"/>
        </w:rPr>
        <w:t>Heiderscheidt</w:t>
      </w:r>
      <w:proofErr w:type="spellEnd"/>
      <w:r w:rsidRPr="00BF3F0C">
        <w:rPr>
          <w:rFonts w:eastAsia="Times New Roman"/>
          <w:color w:val="000000"/>
          <w:lang w:val="en-US"/>
        </w:rPr>
        <w:t xml:space="preserve"> JM, </w:t>
      </w:r>
      <w:r w:rsidR="00F94C08">
        <w:rPr>
          <w:rFonts w:eastAsia="Times New Roman"/>
          <w:color w:val="000000"/>
          <w:lang w:val="en-US"/>
        </w:rPr>
        <w:t xml:space="preserve">Diaz-Sanchez D, Carter JD, </w:t>
      </w:r>
      <w:proofErr w:type="spellStart"/>
      <w:r w:rsidR="00F94C08">
        <w:rPr>
          <w:rFonts w:eastAsia="Times New Roman"/>
          <w:color w:val="000000"/>
          <w:lang w:val="en-US"/>
        </w:rPr>
        <w:t>Neas</w:t>
      </w:r>
      <w:proofErr w:type="spellEnd"/>
      <w:r w:rsidR="00F94C08">
        <w:rPr>
          <w:rFonts w:eastAsia="Times New Roman"/>
          <w:color w:val="000000"/>
          <w:lang w:val="en-US"/>
        </w:rPr>
        <w:t xml:space="preserve"> LM </w:t>
      </w:r>
      <w:r w:rsidRPr="00BF3F0C">
        <w:rPr>
          <w:rFonts w:eastAsia="Times New Roman"/>
          <w:color w:val="000000"/>
          <w:lang w:val="en-US"/>
        </w:rPr>
        <w:t>et al.</w:t>
      </w:r>
      <w:r>
        <w:rPr>
          <w:rFonts w:eastAsia="Times New Roman"/>
          <w:color w:val="000000"/>
          <w:lang w:val="en-US"/>
        </w:rPr>
        <w:t xml:space="preserve"> </w:t>
      </w:r>
      <w:r w:rsidRPr="00BF3F0C">
        <w:rPr>
          <w:rFonts w:eastAsia="Times New Roman"/>
          <w:color w:val="000000"/>
          <w:lang w:val="en-US"/>
        </w:rPr>
        <w:t xml:space="preserve"> </w:t>
      </w:r>
      <w:proofErr w:type="gramStart"/>
      <w:r w:rsidRPr="00BF3F0C">
        <w:rPr>
          <w:color w:val="000000" w:themeColor="text1"/>
        </w:rPr>
        <w:t xml:space="preserve">Use of dried blood spots to measure the impact of an indoor </w:t>
      </w:r>
      <w:proofErr w:type="spellStart"/>
      <w:r w:rsidRPr="00BF3F0C">
        <w:rPr>
          <w:color w:val="000000" w:themeColor="text1"/>
        </w:rPr>
        <w:t>cookstove</w:t>
      </w:r>
      <w:proofErr w:type="spellEnd"/>
      <w:r w:rsidRPr="00BF3F0C">
        <w:rPr>
          <w:color w:val="000000" w:themeColor="text1"/>
        </w:rPr>
        <w:t xml:space="preserve"> intervention on changes in systemic inflammation.</w:t>
      </w:r>
      <w:proofErr w:type="gramEnd"/>
      <w:r w:rsidRPr="00BF3F0C">
        <w:rPr>
          <w:color w:val="000000" w:themeColor="text1"/>
        </w:rPr>
        <w:t xml:space="preserve"> </w:t>
      </w:r>
      <w:r w:rsidR="00F94C08">
        <w:rPr>
          <w:color w:val="000000" w:themeColor="text1"/>
        </w:rPr>
        <w:t xml:space="preserve"> </w:t>
      </w:r>
      <w:r w:rsidRPr="007B1D65">
        <w:rPr>
          <w:iCs/>
          <w:color w:val="000000" w:themeColor="text1"/>
        </w:rPr>
        <w:t>Epidemiology</w:t>
      </w:r>
      <w:r w:rsidRPr="00BF3F0C">
        <w:rPr>
          <w:color w:val="000000" w:themeColor="text1"/>
        </w:rPr>
        <w:t xml:space="preserve"> 2012</w:t>
      </w:r>
      <w:proofErr w:type="gramStart"/>
      <w:r w:rsidRPr="00BF3F0C">
        <w:rPr>
          <w:color w:val="000000" w:themeColor="text1"/>
        </w:rPr>
        <w:t>;</w:t>
      </w:r>
      <w:r w:rsidR="00E0167E">
        <w:rPr>
          <w:color w:val="000000" w:themeColor="text1"/>
        </w:rPr>
        <w:t>23</w:t>
      </w:r>
      <w:r w:rsidRPr="00BF3F0C">
        <w:rPr>
          <w:color w:val="000000" w:themeColor="text1"/>
        </w:rPr>
        <w:t>:S280</w:t>
      </w:r>
      <w:proofErr w:type="gramEnd"/>
      <w:r w:rsidRPr="00BF3F0C">
        <w:rPr>
          <w:color w:val="000000" w:themeColor="text1"/>
        </w:rPr>
        <w:t>.</w:t>
      </w:r>
    </w:p>
    <w:p w:rsidR="00375F01" w:rsidRPr="00BF3F0C" w:rsidRDefault="00375F01" w:rsidP="00D2469B">
      <w:pPr>
        <w:shd w:val="clear" w:color="auto" w:fill="FFFFFF"/>
        <w:spacing w:line="480" w:lineRule="auto"/>
        <w:jc w:val="both"/>
        <w:outlineLvl w:val="2"/>
        <w:rPr>
          <w:rFonts w:eastAsia="Times New Roman"/>
          <w:color w:val="000000"/>
          <w:lang w:val="en-US"/>
        </w:rPr>
      </w:pPr>
    </w:p>
    <w:p w:rsidR="00375F01" w:rsidRDefault="00375F01" w:rsidP="00D2469B">
      <w:pPr>
        <w:spacing w:after="200" w:line="480" w:lineRule="auto"/>
        <w:contextualSpacing/>
        <w:jc w:val="both"/>
        <w:rPr>
          <w:color w:val="000000" w:themeColor="text1"/>
        </w:rPr>
      </w:pPr>
      <w:r>
        <w:rPr>
          <w:color w:val="000000" w:themeColor="text1"/>
        </w:rPr>
        <w:t>24</w:t>
      </w:r>
      <w:r w:rsidRPr="00BF3F0C">
        <w:rPr>
          <w:color w:val="000000" w:themeColor="text1"/>
        </w:rPr>
        <w:t xml:space="preserve">. Sathiakumar N. </w:t>
      </w:r>
      <w:r>
        <w:rPr>
          <w:color w:val="000000" w:themeColor="text1"/>
        </w:rPr>
        <w:t xml:space="preserve"> </w:t>
      </w:r>
      <w:proofErr w:type="gramStart"/>
      <w:r w:rsidRPr="00BF3F0C">
        <w:rPr>
          <w:color w:val="000000" w:themeColor="text1"/>
        </w:rPr>
        <w:t>Indoor air pollution due to biomass fuel use and acute coronary syndrome among Sri Lankan women.</w:t>
      </w:r>
      <w:proofErr w:type="gramEnd"/>
      <w:r w:rsidRPr="00BF3F0C">
        <w:rPr>
          <w:color w:val="000000" w:themeColor="text1"/>
        </w:rPr>
        <w:t xml:space="preserve"> </w:t>
      </w:r>
      <w:r>
        <w:rPr>
          <w:color w:val="000000" w:themeColor="text1"/>
        </w:rPr>
        <w:t xml:space="preserve"> </w:t>
      </w:r>
      <w:r w:rsidRPr="00A724A7">
        <w:rPr>
          <w:iCs/>
          <w:color w:val="000000" w:themeColor="text1"/>
        </w:rPr>
        <w:t>Epidemiology</w:t>
      </w:r>
      <w:r w:rsidRPr="00BF3F0C">
        <w:rPr>
          <w:color w:val="000000" w:themeColor="text1"/>
        </w:rPr>
        <w:t xml:space="preserve"> 2012</w:t>
      </w:r>
      <w:proofErr w:type="gramStart"/>
      <w:r w:rsidRPr="00BF3F0C">
        <w:rPr>
          <w:color w:val="000000" w:themeColor="text1"/>
        </w:rPr>
        <w:t>;</w:t>
      </w:r>
      <w:r w:rsidR="005A0653">
        <w:rPr>
          <w:color w:val="000000" w:themeColor="text1"/>
        </w:rPr>
        <w:t>23</w:t>
      </w:r>
      <w:r w:rsidRPr="00BF3F0C">
        <w:rPr>
          <w:color w:val="000000" w:themeColor="text1"/>
        </w:rPr>
        <w:t>:S224</w:t>
      </w:r>
      <w:proofErr w:type="gramEnd"/>
      <w:r w:rsidRPr="00BF3F0C">
        <w:rPr>
          <w:color w:val="000000" w:themeColor="text1"/>
        </w:rPr>
        <w:t>.</w:t>
      </w:r>
    </w:p>
    <w:p w:rsidR="00375F01" w:rsidRPr="00BF3F0C" w:rsidRDefault="00375F01" w:rsidP="00D2469B">
      <w:pPr>
        <w:spacing w:after="200" w:line="480" w:lineRule="auto"/>
        <w:contextualSpacing/>
        <w:jc w:val="both"/>
        <w:rPr>
          <w:color w:val="000000" w:themeColor="text1"/>
        </w:rPr>
      </w:pPr>
    </w:p>
    <w:p w:rsidR="00375F01" w:rsidRDefault="00375F01" w:rsidP="00D2469B">
      <w:pPr>
        <w:shd w:val="clear" w:color="auto" w:fill="FFFFFF"/>
        <w:spacing w:line="480" w:lineRule="auto"/>
        <w:jc w:val="both"/>
        <w:rPr>
          <w:color w:val="000000" w:themeColor="text1"/>
        </w:rPr>
      </w:pPr>
      <w:r>
        <w:rPr>
          <w:color w:val="000000" w:themeColor="text1"/>
        </w:rPr>
        <w:t>25</w:t>
      </w:r>
      <w:r w:rsidRPr="00BF3F0C">
        <w:rPr>
          <w:color w:val="000000" w:themeColor="text1"/>
        </w:rPr>
        <w:t xml:space="preserve">. Baumgartner J, Zhang Y, </w:t>
      </w:r>
      <w:hyperlink r:id="rId46" w:history="1">
        <w:proofErr w:type="spellStart"/>
        <w:r w:rsidRPr="00BF3F0C">
          <w:rPr>
            <w:rStyle w:val="Hyperlink"/>
            <w:color w:val="000000" w:themeColor="text1"/>
            <w:u w:val="none"/>
            <w:lang w:val="en-US"/>
          </w:rPr>
          <w:t>Schauer</w:t>
        </w:r>
        <w:proofErr w:type="spellEnd"/>
        <w:r w:rsidRPr="00BF3F0C">
          <w:rPr>
            <w:rStyle w:val="Hyperlink"/>
            <w:color w:val="000000" w:themeColor="text1"/>
            <w:u w:val="none"/>
            <w:lang w:val="en-US"/>
          </w:rPr>
          <w:t xml:space="preserve"> JJ</w:t>
        </w:r>
      </w:hyperlink>
      <w:r w:rsidRPr="00BF3F0C">
        <w:rPr>
          <w:color w:val="000000" w:themeColor="text1"/>
          <w:lang w:val="en-US"/>
        </w:rPr>
        <w:t>, </w:t>
      </w:r>
      <w:proofErr w:type="spellStart"/>
      <w:r w:rsidR="004B5A6E">
        <w:rPr>
          <w:color w:val="000000" w:themeColor="text1"/>
          <w:lang w:val="en-US"/>
        </w:rPr>
        <w:t>Ezzati</w:t>
      </w:r>
      <w:proofErr w:type="spellEnd"/>
      <w:r w:rsidR="004B5A6E">
        <w:rPr>
          <w:color w:val="000000" w:themeColor="text1"/>
          <w:lang w:val="en-US"/>
        </w:rPr>
        <w:t xml:space="preserve"> M, Patz JA, Bautista LE</w:t>
      </w:r>
      <w:r w:rsidRPr="00BF3F0C">
        <w:rPr>
          <w:color w:val="000000" w:themeColor="text1"/>
          <w:lang w:val="en-US"/>
        </w:rPr>
        <w:t>.</w:t>
      </w:r>
      <w:r w:rsidRPr="00BF3F0C">
        <w:rPr>
          <w:color w:val="000000" w:themeColor="text1"/>
        </w:rPr>
        <w:t xml:space="preserve"> </w:t>
      </w:r>
      <w:r>
        <w:rPr>
          <w:color w:val="000000" w:themeColor="text1"/>
        </w:rPr>
        <w:t xml:space="preserve"> </w:t>
      </w:r>
      <w:proofErr w:type="gramStart"/>
      <w:r w:rsidRPr="00BF3F0C">
        <w:rPr>
          <w:color w:val="000000" w:themeColor="text1"/>
        </w:rPr>
        <w:t>Household air pollution and children's blood pressure.</w:t>
      </w:r>
      <w:proofErr w:type="gramEnd"/>
      <w:r w:rsidRPr="00BF3F0C">
        <w:rPr>
          <w:color w:val="000000" w:themeColor="text1"/>
        </w:rPr>
        <w:t xml:space="preserve"> </w:t>
      </w:r>
      <w:r>
        <w:rPr>
          <w:color w:val="000000" w:themeColor="text1"/>
        </w:rPr>
        <w:t xml:space="preserve"> </w:t>
      </w:r>
      <w:r w:rsidRPr="00CF0F19">
        <w:rPr>
          <w:iCs/>
          <w:color w:val="000000" w:themeColor="text1"/>
        </w:rPr>
        <w:t>Epidemiology</w:t>
      </w:r>
      <w:r w:rsidRPr="00BF3F0C">
        <w:rPr>
          <w:color w:val="000000" w:themeColor="text1"/>
        </w:rPr>
        <w:t xml:space="preserve"> 2012</w:t>
      </w:r>
      <w:proofErr w:type="gramStart"/>
      <w:r w:rsidRPr="00BF3F0C">
        <w:rPr>
          <w:color w:val="000000" w:themeColor="text1"/>
        </w:rPr>
        <w:t>;</w:t>
      </w:r>
      <w:r w:rsidRPr="00BF3F0C">
        <w:rPr>
          <w:bCs/>
          <w:color w:val="000000" w:themeColor="text1"/>
        </w:rPr>
        <w:t>23</w:t>
      </w:r>
      <w:r w:rsidRPr="00BF3F0C">
        <w:rPr>
          <w:color w:val="000000" w:themeColor="text1"/>
        </w:rPr>
        <w:t>:641</w:t>
      </w:r>
      <w:proofErr w:type="gramEnd"/>
      <w:r w:rsidRPr="00BF3F0C">
        <w:rPr>
          <w:color w:val="000000" w:themeColor="text1"/>
        </w:rPr>
        <w:t>-642.</w:t>
      </w:r>
    </w:p>
    <w:p w:rsidR="00375F01" w:rsidRDefault="00375F01" w:rsidP="00D2469B">
      <w:pPr>
        <w:spacing w:after="200" w:line="480" w:lineRule="auto"/>
        <w:contextualSpacing/>
        <w:jc w:val="both"/>
      </w:pPr>
    </w:p>
    <w:p w:rsidR="00375F01" w:rsidRDefault="00375F01" w:rsidP="00D2469B">
      <w:pPr>
        <w:spacing w:after="200" w:line="480" w:lineRule="auto"/>
        <w:contextualSpacing/>
        <w:jc w:val="both"/>
        <w:rPr>
          <w:color w:val="000000" w:themeColor="text1"/>
          <w:lang w:val="en-US"/>
        </w:rPr>
      </w:pPr>
      <w:r>
        <w:t>26</w:t>
      </w:r>
      <w:r w:rsidRPr="00BF3F0C">
        <w:t xml:space="preserve">. </w:t>
      </w:r>
      <w:hyperlink r:id="rId47" w:history="1">
        <w:r w:rsidRPr="00BF3F0C">
          <w:rPr>
            <w:rStyle w:val="Hyperlink"/>
            <w:color w:val="000000" w:themeColor="text1"/>
            <w:u w:val="none"/>
            <w:lang w:val="en-US"/>
          </w:rPr>
          <w:t>Lee M</w:t>
        </w:r>
        <w:r w:rsidR="004B5A6E">
          <w:rPr>
            <w:rStyle w:val="Hyperlink"/>
            <w:color w:val="000000" w:themeColor="text1"/>
            <w:u w:val="none"/>
            <w:lang w:val="en-US"/>
          </w:rPr>
          <w:t>-</w:t>
        </w:r>
        <w:r w:rsidRPr="00BF3F0C">
          <w:rPr>
            <w:rStyle w:val="Hyperlink"/>
            <w:color w:val="000000" w:themeColor="text1"/>
            <w:u w:val="none"/>
            <w:lang w:val="en-US"/>
          </w:rPr>
          <w:t>S</w:t>
        </w:r>
      </w:hyperlink>
      <w:r w:rsidRPr="00BF3F0C">
        <w:rPr>
          <w:color w:val="000000" w:themeColor="text1"/>
          <w:lang w:val="en-US"/>
        </w:rPr>
        <w:t>, </w:t>
      </w:r>
      <w:hyperlink r:id="rId48" w:history="1">
        <w:r w:rsidRPr="00BF3F0C">
          <w:rPr>
            <w:rStyle w:val="Hyperlink"/>
            <w:color w:val="000000" w:themeColor="text1"/>
            <w:u w:val="none"/>
            <w:lang w:val="en-US"/>
          </w:rPr>
          <w:t>Hang J</w:t>
        </w:r>
        <w:r w:rsidR="004B5A6E">
          <w:rPr>
            <w:rStyle w:val="Hyperlink"/>
            <w:color w:val="000000" w:themeColor="text1"/>
            <w:u w:val="none"/>
            <w:lang w:val="en-US"/>
          </w:rPr>
          <w:t>-</w:t>
        </w:r>
        <w:r w:rsidRPr="00BF3F0C">
          <w:rPr>
            <w:rStyle w:val="Hyperlink"/>
            <w:color w:val="000000" w:themeColor="text1"/>
            <w:u w:val="none"/>
            <w:lang w:val="en-US"/>
          </w:rPr>
          <w:t>Q</w:t>
        </w:r>
      </w:hyperlink>
      <w:r w:rsidRPr="00BF3F0C">
        <w:rPr>
          <w:color w:val="000000" w:themeColor="text1"/>
          <w:lang w:val="en-US"/>
        </w:rPr>
        <w:t>, </w:t>
      </w:r>
      <w:hyperlink r:id="rId49" w:history="1">
        <w:r w:rsidRPr="00BF3F0C">
          <w:rPr>
            <w:rStyle w:val="Hyperlink"/>
            <w:color w:val="000000" w:themeColor="text1"/>
            <w:u w:val="none"/>
            <w:lang w:val="en-US"/>
          </w:rPr>
          <w:t>Zhang F</w:t>
        </w:r>
        <w:r w:rsidR="004B5A6E">
          <w:rPr>
            <w:rStyle w:val="Hyperlink"/>
            <w:color w:val="000000" w:themeColor="text1"/>
            <w:u w:val="none"/>
            <w:lang w:val="en-US"/>
          </w:rPr>
          <w:t>-</w:t>
        </w:r>
        <w:r w:rsidRPr="00BF3F0C">
          <w:rPr>
            <w:rStyle w:val="Hyperlink"/>
            <w:color w:val="000000" w:themeColor="text1"/>
            <w:u w:val="none"/>
            <w:lang w:val="en-US"/>
          </w:rPr>
          <w:t>Y</w:t>
        </w:r>
      </w:hyperlink>
      <w:r w:rsidRPr="00BF3F0C">
        <w:rPr>
          <w:color w:val="000000" w:themeColor="text1"/>
          <w:lang w:val="en-US"/>
        </w:rPr>
        <w:t>, </w:t>
      </w:r>
      <w:r w:rsidR="004B5A6E">
        <w:rPr>
          <w:color w:val="000000" w:themeColor="text1"/>
          <w:lang w:val="en-US"/>
        </w:rPr>
        <w:t>Dai H-L, Su L, Christiani DC</w:t>
      </w:r>
      <w:r w:rsidRPr="00BF3F0C">
        <w:rPr>
          <w:color w:val="000000" w:themeColor="text1"/>
          <w:lang w:val="en-US"/>
        </w:rPr>
        <w:t xml:space="preserve">. </w:t>
      </w:r>
      <w:r w:rsidR="004B5A6E">
        <w:rPr>
          <w:color w:val="000000" w:themeColor="text1"/>
          <w:lang w:val="en-US"/>
        </w:rPr>
        <w:t xml:space="preserve"> </w:t>
      </w:r>
      <w:r w:rsidRPr="00BF3F0C">
        <w:rPr>
          <w:color w:val="000000" w:themeColor="text1"/>
        </w:rPr>
        <w:t xml:space="preserve">In-home solid fuel use and cardiovascular disease: a cross-sectional analysis of the Shanghai </w:t>
      </w:r>
      <w:proofErr w:type="spellStart"/>
      <w:r w:rsidRPr="00BF3F0C">
        <w:rPr>
          <w:color w:val="000000" w:themeColor="text1"/>
        </w:rPr>
        <w:t>Putuo</w:t>
      </w:r>
      <w:proofErr w:type="spellEnd"/>
      <w:r w:rsidRPr="00BF3F0C">
        <w:rPr>
          <w:color w:val="000000" w:themeColor="text1"/>
        </w:rPr>
        <w:t xml:space="preserve"> study.</w:t>
      </w:r>
      <w:r w:rsidRPr="00BF3F0C">
        <w:rPr>
          <w:rFonts w:eastAsia="Times New Roman"/>
          <w:color w:val="000000" w:themeColor="text1"/>
          <w:lang w:val="en-US"/>
        </w:rPr>
        <w:t xml:space="preserve"> </w:t>
      </w:r>
      <w:r>
        <w:rPr>
          <w:rFonts w:eastAsia="Times New Roman"/>
          <w:color w:val="000000" w:themeColor="text1"/>
          <w:lang w:val="en-US"/>
        </w:rPr>
        <w:t xml:space="preserve"> </w:t>
      </w:r>
      <w:hyperlink r:id="rId50" w:tooltip="Environmental health : a global access science source." w:history="1">
        <w:r w:rsidRPr="00CD5B55">
          <w:rPr>
            <w:rStyle w:val="Hyperlink"/>
            <w:iCs/>
            <w:color w:val="000000" w:themeColor="text1"/>
            <w:u w:val="none"/>
            <w:lang w:val="en-US"/>
          </w:rPr>
          <w:t>Environ Health</w:t>
        </w:r>
      </w:hyperlink>
      <w:r w:rsidRPr="00BF3F0C">
        <w:rPr>
          <w:i/>
          <w:iCs/>
          <w:color w:val="000000" w:themeColor="text1"/>
          <w:lang w:val="en-US"/>
        </w:rPr>
        <w:t> </w:t>
      </w:r>
      <w:r w:rsidRPr="00BF3F0C">
        <w:rPr>
          <w:color w:val="000000" w:themeColor="text1"/>
          <w:lang w:val="en-US"/>
        </w:rPr>
        <w:t>2012</w:t>
      </w:r>
      <w:proofErr w:type="gramStart"/>
      <w:r w:rsidR="004B5A6E">
        <w:rPr>
          <w:color w:val="000000" w:themeColor="text1"/>
          <w:lang w:val="en-US"/>
        </w:rPr>
        <w:t>,</w:t>
      </w:r>
      <w:r w:rsidRPr="00BF3F0C">
        <w:rPr>
          <w:color w:val="000000" w:themeColor="text1"/>
          <w:lang w:val="en-US"/>
        </w:rPr>
        <w:t>11</w:t>
      </w:r>
      <w:r w:rsidR="004B5A6E">
        <w:rPr>
          <w:color w:val="000000" w:themeColor="text1"/>
          <w:lang w:val="en-US"/>
        </w:rPr>
        <w:t>:</w:t>
      </w:r>
      <w:r w:rsidRPr="00BF3F0C">
        <w:rPr>
          <w:color w:val="000000" w:themeColor="text1"/>
          <w:lang w:val="en-US"/>
        </w:rPr>
        <w:t>18</w:t>
      </w:r>
      <w:proofErr w:type="gramEnd"/>
      <w:r w:rsidRPr="00BF3F0C">
        <w:rPr>
          <w:color w:val="000000" w:themeColor="text1"/>
          <w:lang w:val="en-US"/>
        </w:rPr>
        <w:t xml:space="preserve">. </w:t>
      </w:r>
    </w:p>
    <w:p w:rsidR="00375F01" w:rsidRPr="00BF3F0C" w:rsidRDefault="00375F01" w:rsidP="00D2469B">
      <w:pPr>
        <w:spacing w:after="200" w:line="480" w:lineRule="auto"/>
        <w:contextualSpacing/>
        <w:jc w:val="both"/>
        <w:rPr>
          <w:color w:val="000000" w:themeColor="text1"/>
          <w:lang w:val="en-US"/>
        </w:rPr>
      </w:pPr>
    </w:p>
    <w:p w:rsidR="00375F01" w:rsidRDefault="00375F01" w:rsidP="00D2469B">
      <w:pPr>
        <w:spacing w:line="480" w:lineRule="auto"/>
        <w:jc w:val="both"/>
        <w:rPr>
          <w:color w:val="000000" w:themeColor="text1"/>
        </w:rPr>
      </w:pPr>
      <w:r>
        <w:rPr>
          <w:color w:val="000000" w:themeColor="text1"/>
        </w:rPr>
        <w:t>27</w:t>
      </w:r>
      <w:r w:rsidRPr="00BF3F0C">
        <w:rPr>
          <w:color w:val="000000" w:themeColor="text1"/>
        </w:rPr>
        <w:t xml:space="preserve">. </w:t>
      </w:r>
      <w:proofErr w:type="spellStart"/>
      <w:r w:rsidRPr="00BF3F0C">
        <w:rPr>
          <w:color w:val="000000" w:themeColor="text1"/>
        </w:rPr>
        <w:t>Mitter</w:t>
      </w:r>
      <w:proofErr w:type="spellEnd"/>
      <w:r w:rsidRPr="00BF3F0C">
        <w:rPr>
          <w:color w:val="000000" w:themeColor="text1"/>
        </w:rPr>
        <w:t xml:space="preserve"> SS, </w:t>
      </w:r>
      <w:proofErr w:type="spellStart"/>
      <w:r w:rsidRPr="00BF3F0C">
        <w:rPr>
          <w:color w:val="000000" w:themeColor="text1"/>
        </w:rPr>
        <w:t>Islami</w:t>
      </w:r>
      <w:proofErr w:type="spellEnd"/>
      <w:r w:rsidRPr="00BF3F0C">
        <w:rPr>
          <w:color w:val="000000" w:themeColor="text1"/>
        </w:rPr>
        <w:t xml:space="preserve"> F, </w:t>
      </w:r>
      <w:proofErr w:type="spellStart"/>
      <w:r w:rsidRPr="00BF3F0C">
        <w:rPr>
          <w:color w:val="000000" w:themeColor="text1"/>
        </w:rPr>
        <w:t>Pourshams</w:t>
      </w:r>
      <w:proofErr w:type="spellEnd"/>
      <w:r w:rsidRPr="00BF3F0C">
        <w:rPr>
          <w:color w:val="000000" w:themeColor="text1"/>
        </w:rPr>
        <w:t xml:space="preserve"> A, </w:t>
      </w:r>
      <w:proofErr w:type="spellStart"/>
      <w:r w:rsidR="004B5A6E">
        <w:rPr>
          <w:color w:val="000000" w:themeColor="text1"/>
        </w:rPr>
        <w:t>Khademi</w:t>
      </w:r>
      <w:proofErr w:type="spellEnd"/>
      <w:r w:rsidR="004B5A6E">
        <w:rPr>
          <w:color w:val="000000" w:themeColor="text1"/>
        </w:rPr>
        <w:t xml:space="preserve"> H, </w:t>
      </w:r>
      <w:proofErr w:type="spellStart"/>
      <w:r w:rsidR="004B5A6E">
        <w:rPr>
          <w:color w:val="000000" w:themeColor="text1"/>
        </w:rPr>
        <w:t>Kamangar</w:t>
      </w:r>
      <w:proofErr w:type="spellEnd"/>
      <w:r w:rsidR="004B5A6E">
        <w:rPr>
          <w:color w:val="000000" w:themeColor="text1"/>
        </w:rPr>
        <w:t xml:space="preserve"> F, </w:t>
      </w:r>
      <w:proofErr w:type="spellStart"/>
      <w:r w:rsidR="004B5A6E">
        <w:rPr>
          <w:color w:val="000000" w:themeColor="text1"/>
        </w:rPr>
        <w:t>Abnet</w:t>
      </w:r>
      <w:proofErr w:type="spellEnd"/>
      <w:r w:rsidR="004B5A6E">
        <w:rPr>
          <w:color w:val="000000" w:themeColor="text1"/>
        </w:rPr>
        <w:t xml:space="preserve"> CC </w:t>
      </w:r>
      <w:r w:rsidRPr="00BF3F0C">
        <w:rPr>
          <w:color w:val="000000" w:themeColor="text1"/>
        </w:rPr>
        <w:t xml:space="preserve">et al. </w:t>
      </w:r>
      <w:r>
        <w:rPr>
          <w:color w:val="000000" w:themeColor="text1"/>
        </w:rPr>
        <w:t xml:space="preserve"> </w:t>
      </w:r>
      <w:r w:rsidRPr="00BF3F0C">
        <w:rPr>
          <w:color w:val="000000" w:themeColor="text1"/>
        </w:rPr>
        <w:t xml:space="preserve">Use of biomass fuels for cooking and heating is associated with increased non-communicable disease mortality: </w:t>
      </w:r>
      <w:proofErr w:type="spellStart"/>
      <w:r w:rsidRPr="00BF3F0C">
        <w:rPr>
          <w:color w:val="000000" w:themeColor="text1"/>
        </w:rPr>
        <w:t>Golestan</w:t>
      </w:r>
      <w:proofErr w:type="spellEnd"/>
      <w:r w:rsidRPr="00BF3F0C">
        <w:rPr>
          <w:color w:val="000000" w:themeColor="text1"/>
        </w:rPr>
        <w:t xml:space="preserve"> cohort study. </w:t>
      </w:r>
      <w:r w:rsidRPr="00A724A7">
        <w:rPr>
          <w:iCs/>
          <w:color w:val="000000" w:themeColor="text1"/>
        </w:rPr>
        <w:t>Circulation</w:t>
      </w:r>
      <w:r w:rsidRPr="00BF3F0C">
        <w:rPr>
          <w:color w:val="000000" w:themeColor="text1"/>
        </w:rPr>
        <w:t> 2012</w:t>
      </w:r>
      <w:proofErr w:type="gramStart"/>
      <w:r w:rsidRPr="00BF3F0C">
        <w:rPr>
          <w:color w:val="000000" w:themeColor="text1"/>
        </w:rPr>
        <w:t>;125:AP042</w:t>
      </w:r>
      <w:proofErr w:type="gramEnd"/>
      <w:r w:rsidRPr="00BF3F0C">
        <w:rPr>
          <w:color w:val="000000" w:themeColor="text1"/>
        </w:rPr>
        <w:t>.</w:t>
      </w:r>
    </w:p>
    <w:p w:rsidR="00375F01" w:rsidRDefault="00375F01" w:rsidP="00D2469B">
      <w:pPr>
        <w:spacing w:line="480" w:lineRule="auto"/>
        <w:jc w:val="both"/>
        <w:rPr>
          <w:color w:val="000000" w:themeColor="text1"/>
        </w:rPr>
      </w:pPr>
    </w:p>
    <w:p w:rsidR="00375F01" w:rsidRPr="0046423B" w:rsidRDefault="00375F01" w:rsidP="00D2469B">
      <w:pPr>
        <w:autoSpaceDE w:val="0"/>
        <w:autoSpaceDN w:val="0"/>
        <w:adjustRightInd w:val="0"/>
        <w:spacing w:line="480" w:lineRule="auto"/>
        <w:jc w:val="both"/>
        <w:rPr>
          <w:sz w:val="24"/>
          <w:szCs w:val="24"/>
          <w:lang w:val="en-US"/>
        </w:rPr>
      </w:pPr>
      <w:r>
        <w:rPr>
          <w:sz w:val="24"/>
          <w:szCs w:val="24"/>
          <w:lang w:val="en-US"/>
        </w:rPr>
        <w:lastRenderedPageBreak/>
        <w:t xml:space="preserve">28. </w:t>
      </w:r>
      <w:proofErr w:type="spellStart"/>
      <w:r w:rsidRPr="0046423B">
        <w:rPr>
          <w:sz w:val="24"/>
          <w:szCs w:val="24"/>
          <w:lang w:val="en-US"/>
        </w:rPr>
        <w:t>Alam</w:t>
      </w:r>
      <w:proofErr w:type="spellEnd"/>
      <w:r w:rsidRPr="0046423B">
        <w:rPr>
          <w:sz w:val="24"/>
          <w:szCs w:val="24"/>
          <w:lang w:val="en-US"/>
        </w:rPr>
        <w:t xml:space="preserve"> DS, Chowdhury</w:t>
      </w:r>
      <w:r>
        <w:rPr>
          <w:sz w:val="24"/>
          <w:szCs w:val="24"/>
          <w:lang w:val="en-US"/>
        </w:rPr>
        <w:t xml:space="preserve"> MAH</w:t>
      </w:r>
      <w:r w:rsidRPr="0046423B">
        <w:rPr>
          <w:sz w:val="24"/>
          <w:szCs w:val="24"/>
          <w:lang w:val="en-US"/>
        </w:rPr>
        <w:t xml:space="preserve">, </w:t>
      </w:r>
      <w:proofErr w:type="spellStart"/>
      <w:r w:rsidR="00525C7C">
        <w:rPr>
          <w:sz w:val="24"/>
          <w:szCs w:val="24"/>
          <w:lang w:val="en-US"/>
        </w:rPr>
        <w:t>Siddiquee</w:t>
      </w:r>
      <w:proofErr w:type="spellEnd"/>
      <w:r w:rsidR="00525C7C">
        <w:rPr>
          <w:sz w:val="24"/>
          <w:szCs w:val="24"/>
          <w:lang w:val="en-US"/>
        </w:rPr>
        <w:t xml:space="preserve"> AT, Ahmed S, Hossain MD, </w:t>
      </w:r>
      <w:proofErr w:type="spellStart"/>
      <w:r w:rsidR="00525C7C">
        <w:rPr>
          <w:sz w:val="24"/>
          <w:szCs w:val="24"/>
          <w:lang w:val="en-US"/>
        </w:rPr>
        <w:t>Pervin</w:t>
      </w:r>
      <w:proofErr w:type="spellEnd"/>
      <w:r w:rsidR="00525C7C">
        <w:rPr>
          <w:sz w:val="24"/>
          <w:szCs w:val="24"/>
          <w:lang w:val="en-US"/>
        </w:rPr>
        <w:t xml:space="preserve"> S </w:t>
      </w:r>
      <w:r w:rsidRPr="0046423B">
        <w:rPr>
          <w:sz w:val="24"/>
          <w:szCs w:val="24"/>
          <w:lang w:val="en-US"/>
        </w:rPr>
        <w:t xml:space="preserve">et al. </w:t>
      </w:r>
      <w:r w:rsidR="00525C7C" w:rsidRPr="00525C7C">
        <w:rPr>
          <w:sz w:val="24"/>
          <w:szCs w:val="24"/>
          <w:lang w:val="en-US"/>
        </w:rPr>
        <w:t xml:space="preserve"> </w:t>
      </w:r>
      <w:r w:rsidRPr="00525C7C">
        <w:rPr>
          <w:sz w:val="24"/>
          <w:szCs w:val="24"/>
          <w:lang w:val="en-US"/>
        </w:rPr>
        <w:t>Adult cardiopulmonary mortality and indoor air pollution: a10-year retrospective cohort study in a low-income rural setting.  Global Heart 2012</w:t>
      </w:r>
      <w:proofErr w:type="gramStart"/>
      <w:r w:rsidRPr="00525C7C">
        <w:rPr>
          <w:sz w:val="24"/>
          <w:szCs w:val="24"/>
          <w:lang w:val="en-US"/>
        </w:rPr>
        <w:t>;7:215</w:t>
      </w:r>
      <w:proofErr w:type="gramEnd"/>
      <w:r w:rsidRPr="00525C7C">
        <w:rPr>
          <w:sz w:val="24"/>
          <w:szCs w:val="24"/>
          <w:lang w:val="en-US"/>
        </w:rPr>
        <w:t>-21.</w:t>
      </w:r>
    </w:p>
    <w:p w:rsidR="00375F01" w:rsidRDefault="00375F01" w:rsidP="00D2469B">
      <w:pPr>
        <w:shd w:val="clear" w:color="auto" w:fill="FFFFFF"/>
        <w:spacing w:line="480" w:lineRule="auto"/>
        <w:jc w:val="both"/>
        <w:rPr>
          <w:rFonts w:eastAsia="Times New Roman"/>
          <w:color w:val="000000" w:themeColor="text1"/>
          <w:lang w:val="en-US"/>
        </w:rPr>
      </w:pPr>
    </w:p>
    <w:p w:rsidR="00375F01" w:rsidRPr="00FA6937" w:rsidRDefault="00375F01" w:rsidP="00D2469B">
      <w:pPr>
        <w:shd w:val="clear" w:color="auto" w:fill="FFFFFF"/>
        <w:spacing w:line="480" w:lineRule="auto"/>
        <w:jc w:val="both"/>
        <w:rPr>
          <w:rFonts w:eastAsia="Times New Roman"/>
          <w:color w:val="000000" w:themeColor="text1"/>
          <w:lang w:val="en-US"/>
        </w:rPr>
      </w:pPr>
      <w:r>
        <w:rPr>
          <w:rFonts w:eastAsia="Times New Roman"/>
          <w:color w:val="000000" w:themeColor="text1"/>
          <w:lang w:val="en-US"/>
        </w:rPr>
        <w:t>29</w:t>
      </w:r>
      <w:r w:rsidRPr="00FA6937">
        <w:rPr>
          <w:rFonts w:eastAsia="Times New Roman"/>
          <w:color w:val="000000" w:themeColor="text1"/>
          <w:lang w:val="en-US"/>
        </w:rPr>
        <w:t xml:space="preserve">. Banerjee A, </w:t>
      </w:r>
      <w:proofErr w:type="spellStart"/>
      <w:r w:rsidRPr="00FA6937">
        <w:rPr>
          <w:rFonts w:eastAsia="Times New Roman"/>
          <w:color w:val="000000" w:themeColor="text1"/>
          <w:lang w:val="en-US"/>
        </w:rPr>
        <w:t>Mondal</w:t>
      </w:r>
      <w:proofErr w:type="spellEnd"/>
      <w:r w:rsidRPr="00FA6937">
        <w:rPr>
          <w:rFonts w:eastAsia="Times New Roman"/>
          <w:color w:val="000000" w:themeColor="text1"/>
          <w:lang w:val="en-US"/>
        </w:rPr>
        <w:t xml:space="preserve"> NK, Das D, Ray MR.</w:t>
      </w:r>
      <w:r>
        <w:rPr>
          <w:rFonts w:eastAsia="Times New Roman"/>
          <w:color w:val="000000" w:themeColor="text1"/>
          <w:lang w:val="en-US"/>
        </w:rPr>
        <w:t xml:space="preserve">  </w:t>
      </w:r>
      <w:hyperlink r:id="rId51" w:history="1">
        <w:r w:rsidRPr="00FA6937">
          <w:rPr>
            <w:rFonts w:eastAsia="Times New Roman"/>
            <w:color w:val="000000" w:themeColor="text1"/>
            <w:lang w:val="en-US"/>
          </w:rPr>
          <w:t>Neutrophilic inflammatory response and oxidative stress in premenopausal women chronically exposed to indoor air pollution from biomass burning.</w:t>
        </w:r>
      </w:hyperlink>
      <w:r w:rsidRPr="00FA6937">
        <w:rPr>
          <w:rFonts w:eastAsia="Times New Roman"/>
          <w:color w:val="000000" w:themeColor="text1"/>
          <w:lang w:val="en-US"/>
        </w:rPr>
        <w:t xml:space="preserve">  </w:t>
      </w:r>
      <w:r w:rsidRPr="007B1D65">
        <w:rPr>
          <w:rFonts w:eastAsia="Times New Roman"/>
          <w:iCs/>
          <w:color w:val="000000" w:themeColor="text1"/>
          <w:lang w:val="en-US"/>
        </w:rPr>
        <w:t>Inflammation</w:t>
      </w:r>
      <w:r w:rsidRPr="00FA6937">
        <w:rPr>
          <w:rFonts w:eastAsia="Times New Roman"/>
          <w:color w:val="000000" w:themeColor="text1"/>
          <w:lang w:val="en-US"/>
        </w:rPr>
        <w:t xml:space="preserve"> 2012</w:t>
      </w:r>
      <w:proofErr w:type="gramStart"/>
      <w:r w:rsidRPr="00FA6937">
        <w:rPr>
          <w:rFonts w:eastAsia="Times New Roman"/>
          <w:color w:val="000000" w:themeColor="text1"/>
          <w:lang w:val="en-US"/>
        </w:rPr>
        <w:t>;35:671</w:t>
      </w:r>
      <w:proofErr w:type="gramEnd"/>
      <w:r w:rsidRPr="00FA6937">
        <w:rPr>
          <w:rFonts w:eastAsia="Times New Roman"/>
          <w:color w:val="000000" w:themeColor="text1"/>
          <w:lang w:val="en-US"/>
        </w:rPr>
        <w:t>-83.</w:t>
      </w:r>
    </w:p>
    <w:p w:rsidR="00375F01" w:rsidRDefault="00375F01" w:rsidP="00D2469B">
      <w:pPr>
        <w:shd w:val="clear" w:color="auto" w:fill="FFFFFF"/>
        <w:spacing w:line="480" w:lineRule="auto"/>
        <w:jc w:val="both"/>
        <w:outlineLvl w:val="2"/>
        <w:rPr>
          <w:rFonts w:eastAsia="Times New Roman"/>
          <w:color w:val="000000"/>
          <w:lang w:val="en-US"/>
        </w:rPr>
      </w:pPr>
    </w:p>
    <w:p w:rsidR="00375F01" w:rsidRDefault="00375F01" w:rsidP="00D2469B">
      <w:pPr>
        <w:spacing w:after="200" w:line="480" w:lineRule="auto"/>
        <w:contextualSpacing/>
        <w:jc w:val="both"/>
        <w:rPr>
          <w:color w:val="000000" w:themeColor="text1"/>
        </w:rPr>
      </w:pPr>
      <w:r>
        <w:t>30</w:t>
      </w:r>
      <w:r w:rsidRPr="00BF3F0C">
        <w:t xml:space="preserve">. </w:t>
      </w:r>
      <w:hyperlink r:id="rId52" w:history="1">
        <w:proofErr w:type="spellStart"/>
        <w:r w:rsidRPr="00BF3F0C">
          <w:rPr>
            <w:rStyle w:val="Hyperlink"/>
            <w:color w:val="000000" w:themeColor="text1"/>
            <w:u w:val="none"/>
          </w:rPr>
          <w:t>Painschab</w:t>
        </w:r>
        <w:proofErr w:type="spellEnd"/>
        <w:r w:rsidRPr="00BF3F0C">
          <w:rPr>
            <w:rStyle w:val="Hyperlink"/>
            <w:color w:val="000000" w:themeColor="text1"/>
            <w:u w:val="none"/>
          </w:rPr>
          <w:t xml:space="preserve"> MS</w:t>
        </w:r>
      </w:hyperlink>
      <w:r w:rsidRPr="00BF3F0C">
        <w:rPr>
          <w:color w:val="000000" w:themeColor="text1"/>
        </w:rPr>
        <w:t>, </w:t>
      </w:r>
      <w:hyperlink r:id="rId53" w:history="1">
        <w:r w:rsidRPr="00BF3F0C">
          <w:rPr>
            <w:rStyle w:val="Hyperlink"/>
            <w:color w:val="000000" w:themeColor="text1"/>
            <w:u w:val="none"/>
          </w:rPr>
          <w:t>Davila-Roman VG</w:t>
        </w:r>
      </w:hyperlink>
      <w:r w:rsidRPr="00BF3F0C">
        <w:rPr>
          <w:color w:val="000000" w:themeColor="text1"/>
        </w:rPr>
        <w:t>, </w:t>
      </w:r>
      <w:hyperlink r:id="rId54" w:history="1">
        <w:r w:rsidRPr="00BF3F0C">
          <w:rPr>
            <w:rStyle w:val="Hyperlink"/>
            <w:color w:val="000000" w:themeColor="text1"/>
            <w:u w:val="none"/>
          </w:rPr>
          <w:t>Gilman RH</w:t>
        </w:r>
      </w:hyperlink>
      <w:r w:rsidRPr="00BF3F0C">
        <w:rPr>
          <w:color w:val="000000" w:themeColor="text1"/>
        </w:rPr>
        <w:t>, </w:t>
      </w:r>
      <w:r w:rsidR="00525C7C">
        <w:rPr>
          <w:color w:val="000000" w:themeColor="text1"/>
        </w:rPr>
        <w:t>Vasquez-</w:t>
      </w:r>
      <w:proofErr w:type="spellStart"/>
      <w:r w:rsidR="00525C7C">
        <w:rPr>
          <w:color w:val="000000" w:themeColor="text1"/>
        </w:rPr>
        <w:t>Villar</w:t>
      </w:r>
      <w:proofErr w:type="spellEnd"/>
      <w:r w:rsidR="00525C7C">
        <w:rPr>
          <w:color w:val="000000" w:themeColor="text1"/>
        </w:rPr>
        <w:t xml:space="preserve"> AD, Pollard SL, Wise RA </w:t>
      </w:r>
      <w:r w:rsidRPr="00BF3F0C">
        <w:rPr>
          <w:color w:val="000000" w:themeColor="text1"/>
        </w:rPr>
        <w:t xml:space="preserve">et al. </w:t>
      </w:r>
      <w:r>
        <w:rPr>
          <w:color w:val="000000" w:themeColor="text1"/>
        </w:rPr>
        <w:t xml:space="preserve"> </w:t>
      </w:r>
      <w:r w:rsidRPr="00BF3F0C">
        <w:rPr>
          <w:color w:val="000000" w:themeColor="text1"/>
        </w:rPr>
        <w:t xml:space="preserve">Chronic exposure to biomass fuel is associated with increased carotid artery intima-media thickness and a higher prevalence of atherosclerotic plaque. </w:t>
      </w:r>
      <w:r>
        <w:rPr>
          <w:color w:val="000000" w:themeColor="text1"/>
        </w:rPr>
        <w:t xml:space="preserve"> </w:t>
      </w:r>
      <w:r w:rsidRPr="00410502">
        <w:rPr>
          <w:iCs/>
          <w:color w:val="000000" w:themeColor="text1"/>
        </w:rPr>
        <w:t>Heart</w:t>
      </w:r>
      <w:r w:rsidRPr="00BF3F0C">
        <w:rPr>
          <w:color w:val="000000" w:themeColor="text1"/>
        </w:rPr>
        <w:t xml:space="preserve"> 2013</w:t>
      </w:r>
      <w:proofErr w:type="gramStart"/>
      <w:r w:rsidRPr="00BF3F0C">
        <w:rPr>
          <w:color w:val="000000" w:themeColor="text1"/>
        </w:rPr>
        <w:t>;</w:t>
      </w:r>
      <w:r w:rsidRPr="00BF3F0C">
        <w:rPr>
          <w:bCs/>
          <w:color w:val="000000" w:themeColor="text1"/>
        </w:rPr>
        <w:t>99</w:t>
      </w:r>
      <w:r w:rsidRPr="00BF3F0C">
        <w:rPr>
          <w:color w:val="000000" w:themeColor="text1"/>
        </w:rPr>
        <w:t>:984</w:t>
      </w:r>
      <w:proofErr w:type="gramEnd"/>
      <w:r w:rsidRPr="00BF3F0C">
        <w:rPr>
          <w:color w:val="000000" w:themeColor="text1"/>
        </w:rPr>
        <w:t>-991.</w:t>
      </w:r>
    </w:p>
    <w:p w:rsidR="00375F01" w:rsidRPr="00BF3F0C" w:rsidRDefault="00375F01" w:rsidP="00D2469B">
      <w:pPr>
        <w:spacing w:after="200" w:line="480" w:lineRule="auto"/>
        <w:contextualSpacing/>
        <w:jc w:val="both"/>
        <w:rPr>
          <w:color w:val="000000" w:themeColor="text1"/>
        </w:rPr>
      </w:pPr>
    </w:p>
    <w:p w:rsidR="00375F01" w:rsidRDefault="00375F01" w:rsidP="00D2469B">
      <w:pPr>
        <w:spacing w:after="200" w:line="480" w:lineRule="auto"/>
        <w:contextualSpacing/>
        <w:jc w:val="both"/>
        <w:rPr>
          <w:color w:val="000000" w:themeColor="text1"/>
        </w:rPr>
      </w:pPr>
      <w:r>
        <w:t>31</w:t>
      </w:r>
      <w:r w:rsidRPr="00BF3F0C">
        <w:t xml:space="preserve">. </w:t>
      </w:r>
      <w:hyperlink r:id="rId55" w:history="1">
        <w:r w:rsidRPr="00BF3F0C">
          <w:rPr>
            <w:rStyle w:val="Hyperlink"/>
            <w:color w:val="000000" w:themeColor="text1"/>
            <w:u w:val="none"/>
            <w:lang w:val="en-US"/>
          </w:rPr>
          <w:t>Fatmi Z</w:t>
        </w:r>
      </w:hyperlink>
      <w:r w:rsidRPr="00BF3F0C">
        <w:rPr>
          <w:color w:val="000000" w:themeColor="text1"/>
          <w:lang w:val="en-US"/>
        </w:rPr>
        <w:t>, </w:t>
      </w:r>
      <w:hyperlink r:id="rId56" w:history="1">
        <w:r w:rsidRPr="00BF3F0C">
          <w:rPr>
            <w:rStyle w:val="Hyperlink"/>
            <w:color w:val="000000" w:themeColor="text1"/>
            <w:u w:val="none"/>
            <w:lang w:val="en-US"/>
          </w:rPr>
          <w:t>Coggon D</w:t>
        </w:r>
      </w:hyperlink>
      <w:r w:rsidRPr="00BF3F0C">
        <w:rPr>
          <w:color w:val="000000" w:themeColor="text1"/>
          <w:lang w:val="en-US"/>
        </w:rPr>
        <w:t>, </w:t>
      </w:r>
      <w:hyperlink r:id="rId57" w:history="1">
        <w:r w:rsidRPr="00BF3F0C">
          <w:rPr>
            <w:rStyle w:val="Hyperlink"/>
            <w:color w:val="000000" w:themeColor="text1"/>
            <w:u w:val="none"/>
            <w:lang w:val="en-US"/>
          </w:rPr>
          <w:t>Kazi A</w:t>
        </w:r>
      </w:hyperlink>
      <w:r w:rsidRPr="00BF3F0C">
        <w:rPr>
          <w:color w:val="000000" w:themeColor="text1"/>
          <w:lang w:val="en-US"/>
        </w:rPr>
        <w:t>, </w:t>
      </w:r>
      <w:r w:rsidR="00525C7C">
        <w:rPr>
          <w:color w:val="000000" w:themeColor="text1"/>
          <w:lang w:val="en-US"/>
        </w:rPr>
        <w:t>Naeem I, Kadir MM, Sathiakumar N</w:t>
      </w:r>
      <w:r w:rsidRPr="00BF3F0C">
        <w:rPr>
          <w:color w:val="000000" w:themeColor="text1"/>
          <w:lang w:val="en-US"/>
        </w:rPr>
        <w:t>.</w:t>
      </w:r>
      <w:r>
        <w:rPr>
          <w:color w:val="000000" w:themeColor="text1"/>
          <w:lang w:val="en-US"/>
        </w:rPr>
        <w:t xml:space="preserve"> </w:t>
      </w:r>
      <w:r w:rsidRPr="00BF3F0C">
        <w:rPr>
          <w:color w:val="000000" w:themeColor="text1"/>
          <w:lang w:val="en-US"/>
        </w:rPr>
        <w:t xml:space="preserve"> </w:t>
      </w:r>
      <w:r w:rsidRPr="00BF3F0C">
        <w:rPr>
          <w:color w:val="000000" w:themeColor="text1"/>
        </w:rPr>
        <w:t xml:space="preserve">Solid fuel use is a major risk factor for acute coronary syndromes among rural women: a matched case control study. </w:t>
      </w:r>
      <w:r>
        <w:rPr>
          <w:color w:val="000000" w:themeColor="text1"/>
        </w:rPr>
        <w:t xml:space="preserve"> </w:t>
      </w:r>
      <w:r w:rsidRPr="00A724A7">
        <w:rPr>
          <w:iCs/>
          <w:color w:val="000000" w:themeColor="text1"/>
        </w:rPr>
        <w:t>Public Health</w:t>
      </w:r>
      <w:r w:rsidRPr="00BF3F0C">
        <w:rPr>
          <w:color w:val="000000" w:themeColor="text1"/>
        </w:rPr>
        <w:t xml:space="preserve"> 2014</w:t>
      </w:r>
      <w:proofErr w:type="gramStart"/>
      <w:r w:rsidRPr="00BF3F0C">
        <w:rPr>
          <w:color w:val="000000" w:themeColor="text1"/>
        </w:rPr>
        <w:t>;</w:t>
      </w:r>
      <w:r w:rsidRPr="00BF3F0C">
        <w:rPr>
          <w:bCs/>
          <w:color w:val="000000" w:themeColor="text1"/>
        </w:rPr>
        <w:t>128</w:t>
      </w:r>
      <w:r w:rsidRPr="00BF3F0C">
        <w:rPr>
          <w:color w:val="000000" w:themeColor="text1"/>
        </w:rPr>
        <w:t>:77</w:t>
      </w:r>
      <w:proofErr w:type="gramEnd"/>
      <w:r w:rsidRPr="00BF3F0C">
        <w:rPr>
          <w:color w:val="000000" w:themeColor="text1"/>
        </w:rPr>
        <w:t>-82.</w:t>
      </w:r>
    </w:p>
    <w:p w:rsidR="00375F01" w:rsidRPr="00BF3F0C" w:rsidRDefault="00375F01" w:rsidP="00D2469B">
      <w:pPr>
        <w:spacing w:after="200" w:line="480" w:lineRule="auto"/>
        <w:contextualSpacing/>
        <w:jc w:val="both"/>
        <w:rPr>
          <w:color w:val="000000" w:themeColor="text1"/>
        </w:rPr>
      </w:pPr>
    </w:p>
    <w:p w:rsidR="00375F01" w:rsidRDefault="00375F01" w:rsidP="00D2469B">
      <w:pPr>
        <w:spacing w:after="200" w:line="480" w:lineRule="auto"/>
        <w:contextualSpacing/>
        <w:jc w:val="both"/>
        <w:rPr>
          <w:color w:val="000000" w:themeColor="text1"/>
        </w:rPr>
      </w:pPr>
      <w:r>
        <w:rPr>
          <w:color w:val="000000" w:themeColor="text1"/>
        </w:rPr>
        <w:t>32</w:t>
      </w:r>
      <w:r w:rsidRPr="00BF3F0C">
        <w:rPr>
          <w:color w:val="000000" w:themeColor="text1"/>
        </w:rPr>
        <w:t xml:space="preserve">. </w:t>
      </w:r>
      <w:proofErr w:type="spellStart"/>
      <w:r w:rsidRPr="00BF3F0C">
        <w:rPr>
          <w:color w:val="000000" w:themeColor="text1"/>
        </w:rPr>
        <w:t>Pratali</w:t>
      </w:r>
      <w:proofErr w:type="spellEnd"/>
      <w:r w:rsidRPr="00BF3F0C">
        <w:rPr>
          <w:color w:val="000000" w:themeColor="text1"/>
        </w:rPr>
        <w:t xml:space="preserve"> L, </w:t>
      </w:r>
      <w:proofErr w:type="spellStart"/>
      <w:r w:rsidRPr="00BF3F0C">
        <w:rPr>
          <w:color w:val="000000" w:themeColor="text1"/>
        </w:rPr>
        <w:t>Cogo</w:t>
      </w:r>
      <w:proofErr w:type="spellEnd"/>
      <w:r w:rsidRPr="00BF3F0C">
        <w:rPr>
          <w:color w:val="000000" w:themeColor="text1"/>
        </w:rPr>
        <w:t xml:space="preserve"> A. </w:t>
      </w:r>
      <w:r>
        <w:rPr>
          <w:color w:val="000000" w:themeColor="text1"/>
        </w:rPr>
        <w:t xml:space="preserve"> </w:t>
      </w:r>
      <w:r w:rsidRPr="00BF3F0C">
        <w:rPr>
          <w:color w:val="000000" w:themeColor="text1"/>
        </w:rPr>
        <w:t>Exposure to indoor air pollution induces endothelial dysfunction in N</w:t>
      </w:r>
      <w:r>
        <w:rPr>
          <w:color w:val="000000" w:themeColor="text1"/>
        </w:rPr>
        <w:t>e</w:t>
      </w:r>
      <w:r w:rsidRPr="00BF3F0C">
        <w:rPr>
          <w:color w:val="000000" w:themeColor="text1"/>
        </w:rPr>
        <w:t>palese high altitude dwellers.</w:t>
      </w:r>
      <w:r>
        <w:rPr>
          <w:color w:val="000000" w:themeColor="text1"/>
        </w:rPr>
        <w:t xml:space="preserve"> </w:t>
      </w:r>
      <w:r w:rsidRPr="00BF3F0C">
        <w:rPr>
          <w:color w:val="000000" w:themeColor="text1"/>
        </w:rPr>
        <w:t xml:space="preserve"> </w:t>
      </w:r>
      <w:r w:rsidRPr="007B1D65">
        <w:rPr>
          <w:iCs/>
          <w:color w:val="000000" w:themeColor="text1"/>
        </w:rPr>
        <w:t>High Altitude Medicine and Biology</w:t>
      </w:r>
      <w:r w:rsidRPr="00BF3F0C">
        <w:rPr>
          <w:color w:val="000000" w:themeColor="text1"/>
        </w:rPr>
        <w:t xml:space="preserve"> 2014</w:t>
      </w:r>
      <w:proofErr w:type="gramStart"/>
      <w:r w:rsidRPr="00BF3F0C">
        <w:rPr>
          <w:color w:val="000000" w:themeColor="text1"/>
        </w:rPr>
        <w:t>;15:A241</w:t>
      </w:r>
      <w:proofErr w:type="gramEnd"/>
      <w:r w:rsidRPr="00BF3F0C">
        <w:rPr>
          <w:color w:val="000000" w:themeColor="text1"/>
        </w:rPr>
        <w:t>-A242.</w:t>
      </w:r>
    </w:p>
    <w:p w:rsidR="00375F01" w:rsidRPr="00BF3F0C" w:rsidRDefault="00375F01" w:rsidP="00D2469B">
      <w:pPr>
        <w:spacing w:after="200" w:line="480" w:lineRule="auto"/>
        <w:contextualSpacing/>
        <w:jc w:val="both"/>
        <w:rPr>
          <w:color w:val="000000" w:themeColor="text1"/>
        </w:rPr>
      </w:pPr>
    </w:p>
    <w:p w:rsidR="00375F01" w:rsidRPr="00A74D02" w:rsidRDefault="00375F01" w:rsidP="00D2469B">
      <w:pPr>
        <w:autoSpaceDE w:val="0"/>
        <w:autoSpaceDN w:val="0"/>
        <w:adjustRightInd w:val="0"/>
        <w:spacing w:line="480" w:lineRule="auto"/>
        <w:jc w:val="both"/>
        <w:rPr>
          <w:lang w:val="en-US"/>
        </w:rPr>
      </w:pPr>
      <w:r>
        <w:rPr>
          <w:lang w:val="en-US"/>
        </w:rPr>
        <w:t xml:space="preserve">33. </w:t>
      </w:r>
      <w:r w:rsidRPr="00A74D02">
        <w:rPr>
          <w:lang w:val="en-US"/>
        </w:rPr>
        <w:t xml:space="preserve">Kim C, </w:t>
      </w:r>
      <w:r w:rsidRPr="00C62998">
        <w:rPr>
          <w:lang w:val="en-US"/>
        </w:rPr>
        <w:t>X</w:t>
      </w:r>
      <w:r w:rsidR="00C62998">
        <w:rPr>
          <w:lang w:val="en-US"/>
        </w:rPr>
        <w:t>-</w:t>
      </w:r>
      <w:r w:rsidRPr="00C62998">
        <w:rPr>
          <w:lang w:val="en-US"/>
        </w:rPr>
        <w:t>O Shu</w:t>
      </w:r>
      <w:r w:rsidRPr="00A74D02">
        <w:rPr>
          <w:lang w:val="en-US"/>
        </w:rPr>
        <w:t xml:space="preserve">, </w:t>
      </w:r>
      <w:proofErr w:type="spellStart"/>
      <w:r w:rsidR="00C62998">
        <w:rPr>
          <w:lang w:val="en-US"/>
        </w:rPr>
        <w:t>Hosgood</w:t>
      </w:r>
      <w:proofErr w:type="spellEnd"/>
      <w:r w:rsidR="00C62998">
        <w:rPr>
          <w:lang w:val="en-US"/>
        </w:rPr>
        <w:t xml:space="preserve"> HD, </w:t>
      </w:r>
      <w:proofErr w:type="spellStart"/>
      <w:r w:rsidR="00C62998">
        <w:rPr>
          <w:lang w:val="en-US"/>
        </w:rPr>
        <w:t>Bassif</w:t>
      </w:r>
      <w:proofErr w:type="spellEnd"/>
      <w:r w:rsidR="00C62998">
        <w:rPr>
          <w:lang w:val="en-US"/>
        </w:rPr>
        <w:t xml:space="preserve"> BA, </w:t>
      </w:r>
      <w:proofErr w:type="spellStart"/>
      <w:r w:rsidR="00C62998">
        <w:rPr>
          <w:lang w:val="en-US"/>
        </w:rPr>
        <w:t>Seow</w:t>
      </w:r>
      <w:proofErr w:type="spellEnd"/>
      <w:r w:rsidR="00C62998">
        <w:rPr>
          <w:lang w:val="en-US"/>
        </w:rPr>
        <w:t xml:space="preserve"> WJ, Xiang Y </w:t>
      </w:r>
      <w:r w:rsidRPr="00A74D02">
        <w:rPr>
          <w:lang w:val="en-US"/>
        </w:rPr>
        <w:t xml:space="preserve">et al. </w:t>
      </w:r>
      <w:r>
        <w:rPr>
          <w:lang w:val="en-US"/>
        </w:rPr>
        <w:t xml:space="preserve"> </w:t>
      </w:r>
      <w:r w:rsidRPr="00A74D02">
        <w:rPr>
          <w:lang w:val="en-US"/>
        </w:rPr>
        <w:t>Past use of coal for cooking is associated with all-cause mortality in the prospective Shanghai Women's Health Study</w:t>
      </w:r>
      <w:r w:rsidR="00C62998">
        <w:rPr>
          <w:lang w:val="en-US"/>
        </w:rPr>
        <w:t xml:space="preserve">. </w:t>
      </w:r>
      <w:r w:rsidRPr="00A74D02">
        <w:rPr>
          <w:lang w:val="en-US"/>
        </w:rPr>
        <w:t xml:space="preserve"> Cancer Res</w:t>
      </w:r>
      <w:r w:rsidR="00C62998">
        <w:rPr>
          <w:lang w:val="en-US"/>
        </w:rPr>
        <w:t>2014</w:t>
      </w:r>
      <w:proofErr w:type="gramStart"/>
      <w:r w:rsidR="00C62998">
        <w:rPr>
          <w:lang w:val="en-US"/>
        </w:rPr>
        <w:t>;74</w:t>
      </w:r>
      <w:proofErr w:type="gramEnd"/>
      <w:r w:rsidR="00C62998">
        <w:rPr>
          <w:lang w:val="en-US"/>
        </w:rPr>
        <w:t xml:space="preserve"> (19 </w:t>
      </w:r>
      <w:proofErr w:type="spellStart"/>
      <w:r w:rsidR="00C62998">
        <w:rPr>
          <w:lang w:val="en-US"/>
        </w:rPr>
        <w:t>Suppl</w:t>
      </w:r>
      <w:proofErr w:type="spellEnd"/>
      <w:r w:rsidR="00C62998">
        <w:rPr>
          <w:lang w:val="en-US"/>
        </w:rPr>
        <w:t>)</w:t>
      </w:r>
      <w:r w:rsidRPr="00A74D02">
        <w:rPr>
          <w:lang w:val="en-US"/>
        </w:rPr>
        <w:t>:</w:t>
      </w:r>
      <w:r w:rsidR="00C62998">
        <w:rPr>
          <w:lang w:val="en-US"/>
        </w:rPr>
        <w:t xml:space="preserve">Abstract </w:t>
      </w:r>
      <w:proofErr w:type="spellStart"/>
      <w:r w:rsidR="00C62998">
        <w:rPr>
          <w:lang w:val="en-US"/>
        </w:rPr>
        <w:t>nr</w:t>
      </w:r>
      <w:proofErr w:type="spellEnd"/>
      <w:r w:rsidR="00C62998">
        <w:rPr>
          <w:lang w:val="en-US"/>
        </w:rPr>
        <w:t xml:space="preserve"> 2184</w:t>
      </w:r>
      <w:r w:rsidRPr="00A74D02">
        <w:rPr>
          <w:lang w:val="en-US"/>
        </w:rPr>
        <w:t>.</w:t>
      </w:r>
    </w:p>
    <w:p w:rsidR="00375F01" w:rsidRDefault="00375F01" w:rsidP="00D2469B">
      <w:pPr>
        <w:autoSpaceDE w:val="0"/>
        <w:autoSpaceDN w:val="0"/>
        <w:adjustRightInd w:val="0"/>
        <w:spacing w:line="480" w:lineRule="auto"/>
        <w:jc w:val="both"/>
        <w:rPr>
          <w:sz w:val="24"/>
          <w:szCs w:val="24"/>
          <w:lang w:val="en-US"/>
        </w:rPr>
      </w:pPr>
    </w:p>
    <w:p w:rsidR="00375F01" w:rsidRPr="00FA6937" w:rsidRDefault="00375F01" w:rsidP="00D2469B">
      <w:pPr>
        <w:autoSpaceDE w:val="0"/>
        <w:autoSpaceDN w:val="0"/>
        <w:adjustRightInd w:val="0"/>
        <w:spacing w:line="480" w:lineRule="auto"/>
        <w:jc w:val="both"/>
        <w:rPr>
          <w:lang w:val="en-US"/>
        </w:rPr>
      </w:pPr>
      <w:r>
        <w:rPr>
          <w:lang w:val="en-US"/>
        </w:rPr>
        <w:t>34</w:t>
      </w:r>
      <w:r w:rsidRPr="00FA6937">
        <w:rPr>
          <w:lang w:val="en-US"/>
        </w:rPr>
        <w:t xml:space="preserve">. </w:t>
      </w:r>
      <w:proofErr w:type="spellStart"/>
      <w:r w:rsidRPr="00FA6937">
        <w:rPr>
          <w:lang w:val="en-US"/>
        </w:rPr>
        <w:t>Caravedo</w:t>
      </w:r>
      <w:proofErr w:type="spellEnd"/>
      <w:r w:rsidRPr="00FA6937">
        <w:rPr>
          <w:lang w:val="en-US"/>
        </w:rPr>
        <w:t xml:space="preserve">, M A, </w:t>
      </w:r>
      <w:proofErr w:type="spellStart"/>
      <w:r w:rsidRPr="00FA6937">
        <w:rPr>
          <w:lang w:val="en-US"/>
        </w:rPr>
        <w:t>Painschab</w:t>
      </w:r>
      <w:proofErr w:type="spellEnd"/>
      <w:r w:rsidR="00C62998">
        <w:rPr>
          <w:lang w:val="en-US"/>
        </w:rPr>
        <w:t xml:space="preserve"> MS</w:t>
      </w:r>
      <w:r w:rsidRPr="00FA6937">
        <w:rPr>
          <w:lang w:val="en-US"/>
        </w:rPr>
        <w:t xml:space="preserve">, </w:t>
      </w:r>
      <w:r w:rsidR="00C62998">
        <w:rPr>
          <w:lang w:val="en-US"/>
        </w:rPr>
        <w:t xml:space="preserve">Davila-Roman VG, De Ferrari A, Gilman RH </w:t>
      </w:r>
      <w:r w:rsidRPr="00FA6937">
        <w:rPr>
          <w:lang w:val="en-US"/>
        </w:rPr>
        <w:t xml:space="preserve">et al. </w:t>
      </w:r>
      <w:r w:rsidR="00C62998">
        <w:rPr>
          <w:lang w:val="en-US"/>
        </w:rPr>
        <w:t xml:space="preserve"> </w:t>
      </w:r>
      <w:proofErr w:type="gramStart"/>
      <w:r w:rsidRPr="00FA6937">
        <w:rPr>
          <w:lang w:val="en-US"/>
        </w:rPr>
        <w:t>Lack of association between chronic exposure to biomass fuel smoke and markers of right ventricular pressure overload at high altitude.</w:t>
      </w:r>
      <w:proofErr w:type="gramEnd"/>
      <w:r w:rsidR="00C62998">
        <w:rPr>
          <w:lang w:val="en-US"/>
        </w:rPr>
        <w:t xml:space="preserve"> </w:t>
      </w:r>
      <w:r w:rsidRPr="00FA6937">
        <w:rPr>
          <w:lang w:val="en-US"/>
        </w:rPr>
        <w:t xml:space="preserve"> Am Heart J </w:t>
      </w:r>
      <w:r w:rsidR="00C62998">
        <w:rPr>
          <w:lang w:val="en-US"/>
        </w:rPr>
        <w:t>2014</w:t>
      </w:r>
      <w:proofErr w:type="gramStart"/>
      <w:r w:rsidR="00C62998">
        <w:rPr>
          <w:lang w:val="en-US"/>
        </w:rPr>
        <w:t>;</w:t>
      </w:r>
      <w:r w:rsidRPr="00FA6937">
        <w:rPr>
          <w:lang w:val="en-US"/>
        </w:rPr>
        <w:t>168:731</w:t>
      </w:r>
      <w:proofErr w:type="gramEnd"/>
      <w:r w:rsidRPr="00FA6937">
        <w:rPr>
          <w:lang w:val="en-US"/>
        </w:rPr>
        <w:t>-8.</w:t>
      </w:r>
    </w:p>
    <w:p w:rsidR="00375F01" w:rsidRDefault="00375F01" w:rsidP="00D2469B">
      <w:pPr>
        <w:spacing w:after="200" w:line="480" w:lineRule="auto"/>
        <w:contextualSpacing/>
        <w:jc w:val="both"/>
        <w:rPr>
          <w:color w:val="000000" w:themeColor="text1"/>
          <w:lang w:val="en-US"/>
        </w:rPr>
      </w:pPr>
    </w:p>
    <w:p w:rsidR="00375F01" w:rsidRPr="00FA6937" w:rsidRDefault="00375F01" w:rsidP="00D2469B">
      <w:pPr>
        <w:autoSpaceDE w:val="0"/>
        <w:autoSpaceDN w:val="0"/>
        <w:adjustRightInd w:val="0"/>
        <w:spacing w:line="480" w:lineRule="auto"/>
        <w:jc w:val="both"/>
        <w:rPr>
          <w:lang w:val="en-US"/>
        </w:rPr>
      </w:pPr>
      <w:r>
        <w:rPr>
          <w:lang w:val="en-US"/>
        </w:rPr>
        <w:lastRenderedPageBreak/>
        <w:t xml:space="preserve">35. </w:t>
      </w:r>
      <w:r w:rsidRPr="00FA6937">
        <w:rPr>
          <w:lang w:val="en-US"/>
        </w:rPr>
        <w:t>Burroughs Pe</w:t>
      </w:r>
      <w:r>
        <w:rPr>
          <w:lang w:val="en-US"/>
        </w:rPr>
        <w:t>ñ</w:t>
      </w:r>
      <w:r w:rsidRPr="00FA6937">
        <w:rPr>
          <w:lang w:val="en-US"/>
        </w:rPr>
        <w:t>a M</w:t>
      </w:r>
      <w:r w:rsidR="00C62998">
        <w:rPr>
          <w:lang w:val="en-US"/>
        </w:rPr>
        <w:t>,</w:t>
      </w:r>
      <w:r w:rsidRPr="00FA6937">
        <w:rPr>
          <w:lang w:val="en-US"/>
        </w:rPr>
        <w:t xml:space="preserve"> Romero</w:t>
      </w:r>
      <w:r w:rsidR="00C62998">
        <w:rPr>
          <w:lang w:val="en-US"/>
        </w:rPr>
        <w:t xml:space="preserve"> KM</w:t>
      </w:r>
      <w:r w:rsidRPr="00FA6937">
        <w:rPr>
          <w:lang w:val="en-US"/>
        </w:rPr>
        <w:t xml:space="preserve">, </w:t>
      </w:r>
      <w:r w:rsidR="00C62998">
        <w:rPr>
          <w:lang w:val="en-US"/>
        </w:rPr>
        <w:t xml:space="preserve">Velazquez EJ, Davila-Roman VG, Gilman RH, Wise RA </w:t>
      </w:r>
      <w:r w:rsidRPr="00FA6937">
        <w:rPr>
          <w:lang w:val="en-US"/>
        </w:rPr>
        <w:t>et al.</w:t>
      </w:r>
      <w:r>
        <w:rPr>
          <w:lang w:val="en-US"/>
        </w:rPr>
        <w:t xml:space="preserve"> </w:t>
      </w:r>
      <w:r w:rsidRPr="00FA6937">
        <w:rPr>
          <w:lang w:val="en-US"/>
        </w:rPr>
        <w:t xml:space="preserve"> </w:t>
      </w:r>
      <w:proofErr w:type="gramStart"/>
      <w:r w:rsidRPr="00FA6937">
        <w:rPr>
          <w:lang w:val="en-US"/>
        </w:rPr>
        <w:t>Relationship between daily exposure to biomass fuel smoke and blood pressure in high-altitude Peru.</w:t>
      </w:r>
      <w:proofErr w:type="gramEnd"/>
      <w:r w:rsidRPr="00FA6937">
        <w:rPr>
          <w:lang w:val="en-US"/>
        </w:rPr>
        <w:t xml:space="preserve"> </w:t>
      </w:r>
      <w:r>
        <w:rPr>
          <w:lang w:val="en-US"/>
        </w:rPr>
        <w:t xml:space="preserve"> </w:t>
      </w:r>
      <w:r w:rsidRPr="00FA6937">
        <w:rPr>
          <w:lang w:val="en-US"/>
        </w:rPr>
        <w:t xml:space="preserve">Hypertension </w:t>
      </w:r>
      <w:r>
        <w:rPr>
          <w:lang w:val="en-US"/>
        </w:rPr>
        <w:t>2015</w:t>
      </w:r>
      <w:proofErr w:type="gramStart"/>
      <w:r>
        <w:rPr>
          <w:lang w:val="en-US"/>
        </w:rPr>
        <w:t>;</w:t>
      </w:r>
      <w:r w:rsidRPr="00B259CD">
        <w:rPr>
          <w:bCs/>
          <w:lang w:val="en-US"/>
        </w:rPr>
        <w:t>65</w:t>
      </w:r>
      <w:r w:rsidRPr="00FA6937">
        <w:rPr>
          <w:lang w:val="en-US"/>
        </w:rPr>
        <w:t>:1134</w:t>
      </w:r>
      <w:proofErr w:type="gramEnd"/>
      <w:r w:rsidRPr="00FA6937">
        <w:rPr>
          <w:lang w:val="en-US"/>
        </w:rPr>
        <w:t>-40.</w:t>
      </w:r>
    </w:p>
    <w:p w:rsidR="00375F01" w:rsidRPr="00FA6937" w:rsidRDefault="00375F01" w:rsidP="00D2469B">
      <w:pPr>
        <w:autoSpaceDE w:val="0"/>
        <w:autoSpaceDN w:val="0"/>
        <w:adjustRightInd w:val="0"/>
        <w:spacing w:line="480" w:lineRule="auto"/>
        <w:jc w:val="both"/>
        <w:rPr>
          <w:lang w:val="en-US"/>
        </w:rPr>
      </w:pPr>
    </w:p>
    <w:p w:rsidR="00375F01" w:rsidRPr="00613ADB" w:rsidRDefault="00375F01" w:rsidP="00D2469B">
      <w:pPr>
        <w:spacing w:after="200" w:line="480" w:lineRule="auto"/>
        <w:jc w:val="both"/>
        <w:rPr>
          <w:color w:val="000000" w:themeColor="text1"/>
          <w:lang w:val="en-US"/>
        </w:rPr>
      </w:pPr>
      <w:r>
        <w:rPr>
          <w:color w:val="000000" w:themeColor="text1"/>
          <w:lang w:val="en-US"/>
        </w:rPr>
        <w:t xml:space="preserve">36. </w:t>
      </w:r>
      <w:r w:rsidRPr="00613ADB">
        <w:rPr>
          <w:color w:val="000000" w:themeColor="text1"/>
          <w:lang w:val="en-US"/>
        </w:rPr>
        <w:t xml:space="preserve">Alexander D, Larson T, Bolton S, </w:t>
      </w:r>
      <w:proofErr w:type="spellStart"/>
      <w:r w:rsidRPr="00613ADB">
        <w:rPr>
          <w:color w:val="000000" w:themeColor="text1"/>
          <w:lang w:val="en-US"/>
        </w:rPr>
        <w:t>Vedal</w:t>
      </w:r>
      <w:proofErr w:type="spellEnd"/>
      <w:r w:rsidRPr="00613ADB">
        <w:rPr>
          <w:color w:val="000000" w:themeColor="text1"/>
          <w:lang w:val="en-US"/>
        </w:rPr>
        <w:t xml:space="preserve"> S.  Systolic blood pressure changes in indigenous Bolivian women associated with an improved </w:t>
      </w:r>
      <w:proofErr w:type="spellStart"/>
      <w:r w:rsidRPr="00613ADB">
        <w:rPr>
          <w:color w:val="000000" w:themeColor="text1"/>
          <w:lang w:val="en-US"/>
        </w:rPr>
        <w:t>cookstove</w:t>
      </w:r>
      <w:proofErr w:type="spellEnd"/>
      <w:r w:rsidRPr="00613ADB">
        <w:rPr>
          <w:color w:val="000000" w:themeColor="text1"/>
          <w:lang w:val="en-US"/>
        </w:rPr>
        <w:t xml:space="preserve"> intervention.  </w:t>
      </w:r>
      <w:r>
        <w:rPr>
          <w:color w:val="000000" w:themeColor="text1"/>
          <w:lang w:val="en-US"/>
        </w:rPr>
        <w:t xml:space="preserve"> </w:t>
      </w:r>
      <w:r w:rsidRPr="00613ADB">
        <w:rPr>
          <w:color w:val="000000" w:themeColor="text1"/>
          <w:lang w:val="en-US"/>
        </w:rPr>
        <w:t xml:space="preserve">Air </w:t>
      </w:r>
      <w:proofErr w:type="spellStart"/>
      <w:r w:rsidRPr="00613ADB">
        <w:rPr>
          <w:color w:val="000000" w:themeColor="text1"/>
          <w:lang w:val="en-US"/>
        </w:rPr>
        <w:t>Qual</w:t>
      </w:r>
      <w:proofErr w:type="spellEnd"/>
      <w:r w:rsidRPr="00613ADB">
        <w:rPr>
          <w:color w:val="000000" w:themeColor="text1"/>
          <w:lang w:val="en-US"/>
        </w:rPr>
        <w:t xml:space="preserve"> </w:t>
      </w:r>
      <w:proofErr w:type="spellStart"/>
      <w:r w:rsidRPr="00613ADB">
        <w:rPr>
          <w:color w:val="000000" w:themeColor="text1"/>
          <w:lang w:val="en-US"/>
        </w:rPr>
        <w:t>Atmos</w:t>
      </w:r>
      <w:proofErr w:type="spellEnd"/>
      <w:r w:rsidRPr="00613ADB">
        <w:rPr>
          <w:color w:val="000000" w:themeColor="text1"/>
          <w:lang w:val="en-US"/>
        </w:rPr>
        <w:t xml:space="preserve"> Health 2015</w:t>
      </w:r>
      <w:proofErr w:type="gramStart"/>
      <w:r w:rsidRPr="00613ADB">
        <w:rPr>
          <w:color w:val="000000" w:themeColor="text1"/>
          <w:lang w:val="en-US"/>
        </w:rPr>
        <w:t>;8:47</w:t>
      </w:r>
      <w:proofErr w:type="gramEnd"/>
      <w:r w:rsidRPr="00613ADB">
        <w:rPr>
          <w:color w:val="000000" w:themeColor="text1"/>
          <w:lang w:val="en-US"/>
        </w:rPr>
        <w:t>-53.</w:t>
      </w:r>
    </w:p>
    <w:p w:rsidR="00375F01" w:rsidRPr="00FA6937" w:rsidRDefault="00375F01" w:rsidP="00D2469B">
      <w:pPr>
        <w:autoSpaceDE w:val="0"/>
        <w:autoSpaceDN w:val="0"/>
        <w:adjustRightInd w:val="0"/>
        <w:spacing w:line="480" w:lineRule="auto"/>
        <w:jc w:val="both"/>
        <w:rPr>
          <w:lang w:val="en-US"/>
        </w:rPr>
      </w:pPr>
      <w:r>
        <w:rPr>
          <w:lang w:val="en-US"/>
        </w:rPr>
        <w:t xml:space="preserve">37. </w:t>
      </w:r>
      <w:proofErr w:type="spellStart"/>
      <w:r w:rsidRPr="00FA6937">
        <w:rPr>
          <w:lang w:val="en-US"/>
        </w:rPr>
        <w:t>Neupane</w:t>
      </w:r>
      <w:proofErr w:type="spellEnd"/>
      <w:r w:rsidRPr="00FA6937">
        <w:rPr>
          <w:lang w:val="en-US"/>
        </w:rPr>
        <w:t xml:space="preserve"> M, </w:t>
      </w:r>
      <w:proofErr w:type="spellStart"/>
      <w:r w:rsidRPr="00FA6937">
        <w:rPr>
          <w:lang w:val="en-US"/>
        </w:rPr>
        <w:t>Basnyat</w:t>
      </w:r>
      <w:proofErr w:type="spellEnd"/>
      <w:r w:rsidR="00C62998">
        <w:rPr>
          <w:lang w:val="en-US"/>
        </w:rPr>
        <w:t xml:space="preserve"> B</w:t>
      </w:r>
      <w:r w:rsidRPr="00FA6937">
        <w:rPr>
          <w:lang w:val="en-US"/>
        </w:rPr>
        <w:t xml:space="preserve">, </w:t>
      </w:r>
      <w:r w:rsidR="00C62998">
        <w:rPr>
          <w:lang w:val="en-US"/>
        </w:rPr>
        <w:t xml:space="preserve">Fischer R, </w:t>
      </w:r>
      <w:proofErr w:type="spellStart"/>
      <w:r w:rsidR="00C62998">
        <w:rPr>
          <w:lang w:val="en-US"/>
        </w:rPr>
        <w:t>Froeschl</w:t>
      </w:r>
      <w:proofErr w:type="spellEnd"/>
      <w:r w:rsidR="00C62998">
        <w:rPr>
          <w:lang w:val="en-US"/>
        </w:rPr>
        <w:t xml:space="preserve"> G, </w:t>
      </w:r>
      <w:proofErr w:type="spellStart"/>
      <w:r w:rsidR="00C62998">
        <w:rPr>
          <w:lang w:val="en-US"/>
        </w:rPr>
        <w:t>Wolbers</w:t>
      </w:r>
      <w:proofErr w:type="spellEnd"/>
      <w:r w:rsidR="00C62998">
        <w:rPr>
          <w:lang w:val="en-US"/>
        </w:rPr>
        <w:t xml:space="preserve"> M, </w:t>
      </w:r>
      <w:proofErr w:type="spellStart"/>
      <w:r w:rsidR="00C62998">
        <w:rPr>
          <w:lang w:val="en-US"/>
        </w:rPr>
        <w:t>Rehfuess</w:t>
      </w:r>
      <w:proofErr w:type="spellEnd"/>
      <w:r w:rsidR="00C62998">
        <w:rPr>
          <w:lang w:val="en-US"/>
        </w:rPr>
        <w:t xml:space="preserve"> EA</w:t>
      </w:r>
      <w:r w:rsidRPr="00FA6937">
        <w:rPr>
          <w:lang w:val="en-US"/>
        </w:rPr>
        <w:t xml:space="preserve">. </w:t>
      </w:r>
      <w:r>
        <w:rPr>
          <w:lang w:val="en-US"/>
        </w:rPr>
        <w:t xml:space="preserve"> </w:t>
      </w:r>
      <w:proofErr w:type="gramStart"/>
      <w:r w:rsidRPr="00FA6937">
        <w:rPr>
          <w:lang w:val="en-US"/>
        </w:rPr>
        <w:t>Sustained use of biogas fuel and blood pressure among women in rural Nepal</w:t>
      </w:r>
      <w:r>
        <w:rPr>
          <w:lang w:val="en-US"/>
        </w:rPr>
        <w:t>.</w:t>
      </w:r>
      <w:proofErr w:type="gramEnd"/>
      <w:r w:rsidRPr="00FA6937">
        <w:rPr>
          <w:lang w:val="en-US"/>
        </w:rPr>
        <w:t xml:space="preserve"> </w:t>
      </w:r>
      <w:r>
        <w:rPr>
          <w:lang w:val="en-US"/>
        </w:rPr>
        <w:t xml:space="preserve"> </w:t>
      </w:r>
      <w:r w:rsidRPr="00FA6937">
        <w:rPr>
          <w:lang w:val="en-US"/>
        </w:rPr>
        <w:t xml:space="preserve">Environ Res </w:t>
      </w:r>
      <w:r>
        <w:rPr>
          <w:lang w:val="en-US"/>
        </w:rPr>
        <w:t>2015</w:t>
      </w:r>
      <w:proofErr w:type="gramStart"/>
      <w:r>
        <w:rPr>
          <w:lang w:val="en-US"/>
        </w:rPr>
        <w:t>;</w:t>
      </w:r>
      <w:r w:rsidRPr="00FA6937">
        <w:rPr>
          <w:lang w:val="en-US"/>
        </w:rPr>
        <w:t>136</w:t>
      </w:r>
      <w:proofErr w:type="gramEnd"/>
      <w:r>
        <w:rPr>
          <w:lang w:val="en-US"/>
        </w:rPr>
        <w:t>:</w:t>
      </w:r>
      <w:r w:rsidRPr="00FA6937">
        <w:rPr>
          <w:lang w:val="en-US"/>
        </w:rPr>
        <w:t xml:space="preserve"> 343-351.</w:t>
      </w:r>
    </w:p>
    <w:p w:rsidR="00B44237" w:rsidRDefault="00B44237" w:rsidP="00D2469B">
      <w:pPr>
        <w:shd w:val="clear" w:color="auto" w:fill="FFFFFF"/>
        <w:spacing w:line="480" w:lineRule="auto"/>
        <w:jc w:val="both"/>
        <w:rPr>
          <w:color w:val="000000" w:themeColor="text1"/>
        </w:rPr>
      </w:pPr>
    </w:p>
    <w:p w:rsidR="00931294" w:rsidRDefault="00931294">
      <w:pPr>
        <w:spacing w:after="200"/>
        <w:rPr>
          <w:b/>
          <w:bCs/>
        </w:rPr>
      </w:pPr>
      <w:r>
        <w:rPr>
          <w:b/>
          <w:bCs/>
        </w:rPr>
        <w:br w:type="page"/>
      </w:r>
    </w:p>
    <w:p w:rsidR="00931294" w:rsidRPr="00931294" w:rsidRDefault="00931294" w:rsidP="00931294">
      <w:pPr>
        <w:spacing w:after="200"/>
      </w:pPr>
      <w:r>
        <w:rPr>
          <w:b/>
          <w:bCs/>
        </w:rPr>
        <w:lastRenderedPageBreak/>
        <w:t>Table 1:  Search terms used to identify relevant studies</w:t>
      </w:r>
    </w:p>
    <w:p w:rsidR="000A27D3" w:rsidRPr="00BF3F0C" w:rsidRDefault="000A27D3" w:rsidP="000A27D3">
      <w:pPr>
        <w:shd w:val="clear" w:color="auto" w:fill="FFFFFF"/>
        <w:spacing w:line="480" w:lineRule="auto"/>
        <w:rPr>
          <w:rFonts w:eastAsia="Times New Roman"/>
          <w:color w:val="000000"/>
          <w:lang w:val="en-US"/>
        </w:rPr>
      </w:pPr>
    </w:p>
    <w:tbl>
      <w:tblPr>
        <w:tblpPr w:leftFromText="180" w:rightFromText="180" w:vertAnchor="page" w:horzAnchor="margin" w:tblpY="2476"/>
        <w:tblW w:w="0" w:type="auto"/>
        <w:tblCellMar>
          <w:left w:w="0" w:type="dxa"/>
          <w:right w:w="0" w:type="dxa"/>
        </w:tblCellMar>
        <w:tblLook w:val="04A0" w:firstRow="1" w:lastRow="0" w:firstColumn="1" w:lastColumn="0" w:noHBand="0" w:noVBand="1"/>
      </w:tblPr>
      <w:tblGrid>
        <w:gridCol w:w="3560"/>
        <w:gridCol w:w="5682"/>
      </w:tblGrid>
      <w:tr w:rsidR="00931294" w:rsidTr="00931294">
        <w:trPr>
          <w:trHeight w:val="5386"/>
        </w:trPr>
        <w:tc>
          <w:tcPr>
            <w:tcW w:w="3560" w:type="dxa"/>
            <w:tcMar>
              <w:top w:w="0" w:type="dxa"/>
              <w:left w:w="108" w:type="dxa"/>
              <w:bottom w:w="0" w:type="dxa"/>
              <w:right w:w="108" w:type="dxa"/>
            </w:tcMar>
            <w:hideMark/>
          </w:tcPr>
          <w:p w:rsidR="00931294" w:rsidRPr="00931294" w:rsidRDefault="00931294" w:rsidP="00931294">
            <w:pPr>
              <w:spacing w:line="360" w:lineRule="auto"/>
              <w:rPr>
                <w:b/>
                <w:color w:val="000000"/>
                <w:sz w:val="24"/>
                <w:szCs w:val="24"/>
              </w:rPr>
            </w:pPr>
            <w:r w:rsidRPr="00931294">
              <w:rPr>
                <w:b/>
              </w:rPr>
              <w:t>Exposure terms</w:t>
            </w:r>
          </w:p>
        </w:tc>
        <w:tc>
          <w:tcPr>
            <w:tcW w:w="5682" w:type="dxa"/>
            <w:tcMar>
              <w:top w:w="0" w:type="dxa"/>
              <w:left w:w="108" w:type="dxa"/>
              <w:bottom w:w="0" w:type="dxa"/>
              <w:right w:w="108" w:type="dxa"/>
            </w:tcMar>
            <w:hideMark/>
          </w:tcPr>
          <w:p w:rsidR="00931294" w:rsidRDefault="00931294" w:rsidP="00931294">
            <w:pPr>
              <w:numPr>
                <w:ilvl w:val="0"/>
                <w:numId w:val="3"/>
              </w:numPr>
              <w:spacing w:line="360" w:lineRule="auto"/>
              <w:rPr>
                <w:rFonts w:eastAsia="Times New Roman"/>
                <w:color w:val="000000"/>
                <w:sz w:val="24"/>
                <w:szCs w:val="24"/>
              </w:rPr>
            </w:pPr>
            <w:r>
              <w:rPr>
                <w:rFonts w:eastAsia="Times New Roman"/>
              </w:rPr>
              <w:t>“indoor air pollution”</w:t>
            </w:r>
          </w:p>
          <w:p w:rsidR="00931294" w:rsidRDefault="00931294" w:rsidP="00931294">
            <w:pPr>
              <w:numPr>
                <w:ilvl w:val="0"/>
                <w:numId w:val="3"/>
              </w:numPr>
              <w:spacing w:line="360" w:lineRule="auto"/>
              <w:rPr>
                <w:rFonts w:eastAsia="Times New Roman"/>
              </w:rPr>
            </w:pPr>
            <w:r>
              <w:rPr>
                <w:rFonts w:eastAsia="Times New Roman"/>
              </w:rPr>
              <w:t>“biomass”</w:t>
            </w:r>
          </w:p>
          <w:p w:rsidR="00931294" w:rsidRDefault="00931294" w:rsidP="00931294">
            <w:pPr>
              <w:numPr>
                <w:ilvl w:val="0"/>
                <w:numId w:val="3"/>
              </w:numPr>
              <w:spacing w:line="360" w:lineRule="auto"/>
              <w:rPr>
                <w:rFonts w:eastAsia="Times New Roman"/>
              </w:rPr>
            </w:pPr>
            <w:r>
              <w:rPr>
                <w:rFonts w:eastAsia="Times New Roman"/>
              </w:rPr>
              <w:t>“wood”</w:t>
            </w:r>
          </w:p>
          <w:p w:rsidR="00931294" w:rsidRDefault="00931294" w:rsidP="00931294">
            <w:pPr>
              <w:numPr>
                <w:ilvl w:val="0"/>
                <w:numId w:val="3"/>
              </w:numPr>
              <w:spacing w:line="360" w:lineRule="auto"/>
              <w:rPr>
                <w:rFonts w:eastAsia="Times New Roman"/>
              </w:rPr>
            </w:pPr>
            <w:r>
              <w:rPr>
                <w:rFonts w:eastAsia="Times New Roman"/>
              </w:rPr>
              <w:t>“smoke”</w:t>
            </w:r>
          </w:p>
          <w:p w:rsidR="00931294" w:rsidRDefault="00931294" w:rsidP="00931294">
            <w:pPr>
              <w:numPr>
                <w:ilvl w:val="0"/>
                <w:numId w:val="3"/>
              </w:numPr>
              <w:spacing w:line="360" w:lineRule="auto"/>
              <w:rPr>
                <w:rFonts w:eastAsia="Times New Roman"/>
              </w:rPr>
            </w:pPr>
            <w:r>
              <w:rPr>
                <w:rFonts w:eastAsia="Times New Roman"/>
              </w:rPr>
              <w:t>“particulate*”</w:t>
            </w:r>
          </w:p>
          <w:p w:rsidR="00931294" w:rsidRDefault="00931294" w:rsidP="00931294">
            <w:pPr>
              <w:numPr>
                <w:ilvl w:val="0"/>
                <w:numId w:val="3"/>
              </w:numPr>
              <w:spacing w:line="360" w:lineRule="auto"/>
              <w:rPr>
                <w:rFonts w:eastAsia="Times New Roman"/>
              </w:rPr>
            </w:pPr>
            <w:r>
              <w:rPr>
                <w:rFonts w:eastAsia="Times New Roman"/>
              </w:rPr>
              <w:t>“solid fuel”</w:t>
            </w:r>
          </w:p>
          <w:p w:rsidR="00931294" w:rsidRDefault="00931294" w:rsidP="00931294">
            <w:pPr>
              <w:numPr>
                <w:ilvl w:val="0"/>
                <w:numId w:val="3"/>
              </w:numPr>
              <w:spacing w:line="360" w:lineRule="auto"/>
              <w:rPr>
                <w:rFonts w:eastAsia="Times New Roman"/>
              </w:rPr>
            </w:pPr>
            <w:r>
              <w:rPr>
                <w:rFonts w:eastAsia="Times New Roman"/>
              </w:rPr>
              <w:t>“dung”</w:t>
            </w:r>
          </w:p>
          <w:p w:rsidR="00931294" w:rsidRDefault="00931294" w:rsidP="00931294">
            <w:pPr>
              <w:numPr>
                <w:ilvl w:val="0"/>
                <w:numId w:val="3"/>
              </w:numPr>
              <w:spacing w:line="360" w:lineRule="auto"/>
              <w:rPr>
                <w:rFonts w:eastAsia="Times New Roman"/>
              </w:rPr>
            </w:pPr>
            <w:r>
              <w:rPr>
                <w:rFonts w:eastAsia="Times New Roman"/>
              </w:rPr>
              <w:t>“cooking”</w:t>
            </w:r>
          </w:p>
          <w:p w:rsidR="00931294" w:rsidRDefault="00931294" w:rsidP="00931294">
            <w:pPr>
              <w:numPr>
                <w:ilvl w:val="0"/>
                <w:numId w:val="3"/>
              </w:numPr>
              <w:spacing w:line="360" w:lineRule="auto"/>
              <w:rPr>
                <w:rFonts w:eastAsia="Times New Roman"/>
              </w:rPr>
            </w:pPr>
            <w:r>
              <w:rPr>
                <w:rFonts w:eastAsia="Times New Roman"/>
              </w:rPr>
              <w:t>“heating”</w:t>
            </w:r>
          </w:p>
          <w:p w:rsidR="00931294" w:rsidRDefault="00931294" w:rsidP="00931294">
            <w:pPr>
              <w:numPr>
                <w:ilvl w:val="0"/>
                <w:numId w:val="3"/>
              </w:numPr>
              <w:spacing w:line="360" w:lineRule="auto"/>
              <w:rPr>
                <w:rFonts w:eastAsia="Times New Roman"/>
              </w:rPr>
            </w:pPr>
            <w:r>
              <w:rPr>
                <w:rFonts w:eastAsia="Times New Roman"/>
              </w:rPr>
              <w:t>“coal”</w:t>
            </w:r>
          </w:p>
          <w:p w:rsidR="00931294" w:rsidRDefault="00931294" w:rsidP="00931294">
            <w:pPr>
              <w:numPr>
                <w:ilvl w:val="0"/>
                <w:numId w:val="3"/>
              </w:numPr>
              <w:spacing w:line="360" w:lineRule="auto"/>
              <w:rPr>
                <w:rFonts w:eastAsia="Times New Roman"/>
              </w:rPr>
            </w:pPr>
            <w:r>
              <w:rPr>
                <w:rFonts w:eastAsia="Times New Roman"/>
              </w:rPr>
              <w:t>“indoor”</w:t>
            </w:r>
          </w:p>
          <w:p w:rsidR="00931294" w:rsidRDefault="00931294" w:rsidP="00931294">
            <w:pPr>
              <w:numPr>
                <w:ilvl w:val="0"/>
                <w:numId w:val="3"/>
              </w:numPr>
              <w:spacing w:line="360" w:lineRule="auto"/>
              <w:rPr>
                <w:rFonts w:eastAsia="Times New Roman"/>
                <w:color w:val="000000"/>
                <w:sz w:val="24"/>
                <w:szCs w:val="24"/>
              </w:rPr>
            </w:pPr>
            <w:r>
              <w:rPr>
                <w:rFonts w:eastAsia="Times New Roman"/>
                <w:color w:val="1F497D"/>
              </w:rPr>
              <w:t>“</w:t>
            </w:r>
            <w:r>
              <w:rPr>
                <w:rFonts w:eastAsia="Times New Roman"/>
              </w:rPr>
              <w:t>[#11 AND (#10 OR #9 OR #8 OR #7 OR #6 OR #5 OR #4 OR #3 OR #2 OR #1)]”</w:t>
            </w:r>
          </w:p>
        </w:tc>
      </w:tr>
      <w:tr w:rsidR="00931294" w:rsidTr="00931294">
        <w:tc>
          <w:tcPr>
            <w:tcW w:w="3560" w:type="dxa"/>
            <w:tcMar>
              <w:top w:w="0" w:type="dxa"/>
              <w:left w:w="108" w:type="dxa"/>
              <w:bottom w:w="0" w:type="dxa"/>
              <w:right w:w="108" w:type="dxa"/>
            </w:tcMar>
            <w:hideMark/>
          </w:tcPr>
          <w:p w:rsidR="00931294" w:rsidRDefault="00931294" w:rsidP="00931294">
            <w:pPr>
              <w:autoSpaceDE w:val="0"/>
              <w:autoSpaceDN w:val="0"/>
              <w:spacing w:line="360" w:lineRule="auto"/>
            </w:pPr>
          </w:p>
          <w:p w:rsidR="00931294" w:rsidRPr="00931294" w:rsidRDefault="00931294" w:rsidP="00931294">
            <w:pPr>
              <w:autoSpaceDE w:val="0"/>
              <w:autoSpaceDN w:val="0"/>
              <w:spacing w:line="360" w:lineRule="auto"/>
              <w:rPr>
                <w:b/>
                <w:color w:val="000000"/>
                <w:sz w:val="24"/>
                <w:szCs w:val="24"/>
              </w:rPr>
            </w:pPr>
            <w:r w:rsidRPr="00931294">
              <w:rPr>
                <w:b/>
              </w:rPr>
              <w:t>Outcome terms</w:t>
            </w:r>
          </w:p>
          <w:p w:rsidR="00931294" w:rsidRDefault="00931294" w:rsidP="00931294">
            <w:pPr>
              <w:autoSpaceDE w:val="0"/>
              <w:autoSpaceDN w:val="0"/>
              <w:spacing w:line="360" w:lineRule="auto"/>
              <w:rPr>
                <w:color w:val="000000"/>
                <w:sz w:val="24"/>
                <w:szCs w:val="24"/>
              </w:rPr>
            </w:pPr>
            <w:r>
              <w:t> </w:t>
            </w:r>
          </w:p>
        </w:tc>
        <w:tc>
          <w:tcPr>
            <w:tcW w:w="5682" w:type="dxa"/>
            <w:tcMar>
              <w:top w:w="0" w:type="dxa"/>
              <w:left w:w="108" w:type="dxa"/>
              <w:bottom w:w="0" w:type="dxa"/>
              <w:right w:w="108" w:type="dxa"/>
            </w:tcMar>
            <w:hideMark/>
          </w:tcPr>
          <w:p w:rsidR="00931294" w:rsidRPr="00931294" w:rsidRDefault="00931294" w:rsidP="00931294">
            <w:pPr>
              <w:spacing w:line="360" w:lineRule="auto"/>
              <w:ind w:left="720"/>
              <w:rPr>
                <w:rFonts w:eastAsia="Times New Roman"/>
                <w:color w:val="000000"/>
                <w:sz w:val="24"/>
                <w:szCs w:val="24"/>
              </w:rPr>
            </w:pPr>
          </w:p>
          <w:p w:rsidR="00931294" w:rsidRDefault="00931294" w:rsidP="00931294">
            <w:pPr>
              <w:numPr>
                <w:ilvl w:val="0"/>
                <w:numId w:val="3"/>
              </w:numPr>
              <w:spacing w:line="360" w:lineRule="auto"/>
              <w:rPr>
                <w:rFonts w:eastAsia="Times New Roman"/>
                <w:color w:val="000000"/>
                <w:sz w:val="24"/>
                <w:szCs w:val="24"/>
              </w:rPr>
            </w:pPr>
            <w:r>
              <w:rPr>
                <w:rFonts w:eastAsia="Times New Roman"/>
              </w:rPr>
              <w:t>“cardiovascular diseases”</w:t>
            </w:r>
          </w:p>
          <w:p w:rsidR="00931294" w:rsidRDefault="00931294" w:rsidP="00931294">
            <w:pPr>
              <w:numPr>
                <w:ilvl w:val="0"/>
                <w:numId w:val="3"/>
              </w:numPr>
              <w:spacing w:line="360" w:lineRule="auto"/>
              <w:rPr>
                <w:rFonts w:eastAsia="Times New Roman"/>
              </w:rPr>
            </w:pPr>
            <w:r>
              <w:rPr>
                <w:rFonts w:eastAsia="Times New Roman"/>
              </w:rPr>
              <w:t>“coronary artery OR coronary vessels”</w:t>
            </w:r>
          </w:p>
          <w:p w:rsidR="00931294" w:rsidRDefault="00931294" w:rsidP="00931294">
            <w:pPr>
              <w:numPr>
                <w:ilvl w:val="0"/>
                <w:numId w:val="3"/>
              </w:numPr>
              <w:spacing w:line="360" w:lineRule="auto"/>
              <w:rPr>
                <w:rFonts w:eastAsia="Times New Roman"/>
              </w:rPr>
            </w:pPr>
            <w:r>
              <w:rPr>
                <w:rFonts w:eastAsia="Times New Roman"/>
              </w:rPr>
              <w:t xml:space="preserve">“myocardial ischemia OR </w:t>
            </w:r>
            <w:proofErr w:type="spellStart"/>
            <w:r>
              <w:rPr>
                <w:rFonts w:eastAsia="Times New Roman"/>
              </w:rPr>
              <w:t>isch?emic</w:t>
            </w:r>
            <w:proofErr w:type="spellEnd"/>
            <w:r>
              <w:rPr>
                <w:rFonts w:eastAsia="Times New Roman"/>
              </w:rPr>
              <w:t xml:space="preserve"> heart”</w:t>
            </w:r>
          </w:p>
          <w:p w:rsidR="00931294" w:rsidRDefault="00931294" w:rsidP="00931294">
            <w:pPr>
              <w:numPr>
                <w:ilvl w:val="0"/>
                <w:numId w:val="3"/>
              </w:numPr>
              <w:spacing w:line="360" w:lineRule="auto"/>
              <w:rPr>
                <w:rFonts w:eastAsia="Times New Roman"/>
              </w:rPr>
            </w:pPr>
            <w:r>
              <w:rPr>
                <w:rFonts w:eastAsia="Times New Roman"/>
              </w:rPr>
              <w:t>“coronary heart”</w:t>
            </w:r>
          </w:p>
          <w:p w:rsidR="00931294" w:rsidRDefault="00931294" w:rsidP="00931294">
            <w:pPr>
              <w:numPr>
                <w:ilvl w:val="0"/>
                <w:numId w:val="3"/>
              </w:numPr>
              <w:spacing w:line="360" w:lineRule="auto"/>
              <w:rPr>
                <w:rFonts w:eastAsia="Times New Roman"/>
              </w:rPr>
            </w:pPr>
            <w:r>
              <w:rPr>
                <w:rFonts w:eastAsia="Times New Roman"/>
              </w:rPr>
              <w:t>“hypertension”</w:t>
            </w:r>
          </w:p>
          <w:p w:rsidR="00931294" w:rsidRDefault="00931294" w:rsidP="00931294">
            <w:pPr>
              <w:numPr>
                <w:ilvl w:val="0"/>
                <w:numId w:val="3"/>
              </w:numPr>
              <w:spacing w:line="360" w:lineRule="auto"/>
              <w:rPr>
                <w:rFonts w:eastAsia="Times New Roman"/>
              </w:rPr>
            </w:pPr>
            <w:r>
              <w:rPr>
                <w:rFonts w:eastAsia="Times New Roman"/>
              </w:rPr>
              <w:t>“atherosclerosis”</w:t>
            </w:r>
          </w:p>
          <w:p w:rsidR="00931294" w:rsidRDefault="00931294" w:rsidP="00931294">
            <w:pPr>
              <w:numPr>
                <w:ilvl w:val="0"/>
                <w:numId w:val="3"/>
              </w:numPr>
              <w:spacing w:line="360" w:lineRule="auto"/>
              <w:rPr>
                <w:rFonts w:eastAsia="Times New Roman"/>
              </w:rPr>
            </w:pPr>
            <w:r>
              <w:rPr>
                <w:rFonts w:eastAsia="Times New Roman"/>
              </w:rPr>
              <w:t>“angina”</w:t>
            </w:r>
          </w:p>
          <w:p w:rsidR="00931294" w:rsidRDefault="00931294" w:rsidP="00931294">
            <w:pPr>
              <w:numPr>
                <w:ilvl w:val="0"/>
                <w:numId w:val="3"/>
              </w:numPr>
              <w:spacing w:line="360" w:lineRule="auto"/>
              <w:rPr>
                <w:rFonts w:eastAsia="Times New Roman"/>
              </w:rPr>
            </w:pPr>
            <w:r>
              <w:rPr>
                <w:rFonts w:eastAsia="Times New Roman"/>
              </w:rPr>
              <w:t>“myocardial infarction”</w:t>
            </w:r>
          </w:p>
          <w:p w:rsidR="00931294" w:rsidRDefault="00931294" w:rsidP="00931294">
            <w:pPr>
              <w:numPr>
                <w:ilvl w:val="0"/>
                <w:numId w:val="3"/>
              </w:numPr>
              <w:spacing w:line="360" w:lineRule="auto"/>
              <w:rPr>
                <w:rFonts w:eastAsia="Times New Roman"/>
              </w:rPr>
            </w:pPr>
            <w:r>
              <w:rPr>
                <w:rFonts w:eastAsia="Times New Roman"/>
              </w:rPr>
              <w:t>“acute coronary”</w:t>
            </w:r>
          </w:p>
          <w:p w:rsidR="00931294" w:rsidRDefault="00931294" w:rsidP="00931294">
            <w:pPr>
              <w:numPr>
                <w:ilvl w:val="0"/>
                <w:numId w:val="3"/>
              </w:numPr>
              <w:spacing w:line="360" w:lineRule="auto"/>
              <w:rPr>
                <w:rFonts w:eastAsia="Times New Roman"/>
              </w:rPr>
            </w:pPr>
            <w:r>
              <w:rPr>
                <w:rFonts w:eastAsia="Times New Roman"/>
              </w:rPr>
              <w:t>“acute myocardial”</w:t>
            </w:r>
          </w:p>
          <w:p w:rsidR="00931294" w:rsidRPr="00931294" w:rsidRDefault="00931294" w:rsidP="00931294">
            <w:pPr>
              <w:numPr>
                <w:ilvl w:val="0"/>
                <w:numId w:val="3"/>
              </w:numPr>
              <w:spacing w:line="360" w:lineRule="auto"/>
              <w:rPr>
                <w:rFonts w:eastAsia="Times New Roman"/>
                <w:color w:val="000000"/>
                <w:sz w:val="24"/>
                <w:szCs w:val="24"/>
              </w:rPr>
            </w:pPr>
            <w:r>
              <w:rPr>
                <w:rFonts w:eastAsia="Times New Roman"/>
              </w:rPr>
              <w:t>“#22 OR #21 OR #20 OR #19 OR #18 OR #17 OR #16 OR #15 OR #14 OR #13”</w:t>
            </w:r>
          </w:p>
          <w:p w:rsidR="00931294" w:rsidRDefault="00931294" w:rsidP="00931294">
            <w:pPr>
              <w:spacing w:line="360" w:lineRule="auto"/>
              <w:ind w:left="720"/>
              <w:rPr>
                <w:rFonts w:eastAsia="Times New Roman"/>
                <w:color w:val="000000"/>
                <w:sz w:val="24"/>
                <w:szCs w:val="24"/>
              </w:rPr>
            </w:pPr>
          </w:p>
        </w:tc>
      </w:tr>
      <w:tr w:rsidR="00931294" w:rsidTr="00931294">
        <w:tc>
          <w:tcPr>
            <w:tcW w:w="3560" w:type="dxa"/>
            <w:tcMar>
              <w:top w:w="0" w:type="dxa"/>
              <w:left w:w="108" w:type="dxa"/>
              <w:bottom w:w="0" w:type="dxa"/>
              <w:right w:w="108" w:type="dxa"/>
            </w:tcMar>
            <w:hideMark/>
          </w:tcPr>
          <w:p w:rsidR="00931294" w:rsidRDefault="00931294" w:rsidP="00931294">
            <w:pPr>
              <w:autoSpaceDE w:val="0"/>
              <w:autoSpaceDN w:val="0"/>
              <w:spacing w:line="360" w:lineRule="auto"/>
            </w:pPr>
          </w:p>
          <w:p w:rsidR="00931294" w:rsidRPr="00931294" w:rsidRDefault="00931294" w:rsidP="00931294">
            <w:pPr>
              <w:autoSpaceDE w:val="0"/>
              <w:autoSpaceDN w:val="0"/>
              <w:spacing w:line="360" w:lineRule="auto"/>
              <w:rPr>
                <w:b/>
                <w:color w:val="000000"/>
                <w:sz w:val="24"/>
                <w:szCs w:val="24"/>
              </w:rPr>
            </w:pPr>
            <w:r w:rsidRPr="00931294">
              <w:rPr>
                <w:b/>
              </w:rPr>
              <w:t>Combination terms</w:t>
            </w:r>
          </w:p>
        </w:tc>
        <w:tc>
          <w:tcPr>
            <w:tcW w:w="5682" w:type="dxa"/>
            <w:tcMar>
              <w:top w:w="0" w:type="dxa"/>
              <w:left w:w="108" w:type="dxa"/>
              <w:bottom w:w="0" w:type="dxa"/>
              <w:right w:w="108" w:type="dxa"/>
            </w:tcMar>
            <w:hideMark/>
          </w:tcPr>
          <w:p w:rsidR="00931294" w:rsidRPr="00931294" w:rsidRDefault="00931294" w:rsidP="00931294">
            <w:pPr>
              <w:spacing w:line="360" w:lineRule="auto"/>
              <w:ind w:left="720"/>
              <w:rPr>
                <w:rFonts w:eastAsia="Times New Roman"/>
                <w:color w:val="000000"/>
                <w:sz w:val="24"/>
                <w:szCs w:val="24"/>
              </w:rPr>
            </w:pPr>
          </w:p>
          <w:p w:rsidR="00931294" w:rsidRDefault="00931294" w:rsidP="00931294">
            <w:pPr>
              <w:numPr>
                <w:ilvl w:val="0"/>
                <w:numId w:val="3"/>
              </w:numPr>
              <w:spacing w:line="360" w:lineRule="auto"/>
              <w:rPr>
                <w:rFonts w:eastAsia="Times New Roman"/>
                <w:color w:val="000000"/>
                <w:sz w:val="24"/>
                <w:szCs w:val="24"/>
              </w:rPr>
            </w:pPr>
            <w:r>
              <w:rPr>
                <w:rFonts w:eastAsia="Times New Roman"/>
              </w:rPr>
              <w:t>“#23 AND #12”</w:t>
            </w:r>
          </w:p>
        </w:tc>
      </w:tr>
    </w:tbl>
    <w:p w:rsidR="00F35185" w:rsidRPr="00BF3F0C" w:rsidRDefault="00F35185" w:rsidP="002564F6">
      <w:pPr>
        <w:spacing w:after="200" w:line="480" w:lineRule="auto"/>
        <w:contextualSpacing/>
      </w:pPr>
    </w:p>
    <w:p w:rsidR="002C641F" w:rsidRDefault="002C641F" w:rsidP="00EF714E">
      <w:pPr>
        <w:spacing w:after="200" w:line="480" w:lineRule="auto"/>
        <w:contextualSpacing/>
      </w:pPr>
    </w:p>
    <w:p w:rsidR="002C641F" w:rsidRDefault="002C641F">
      <w:pPr>
        <w:spacing w:after="200"/>
      </w:pPr>
      <w:r>
        <w:br w:type="page"/>
      </w:r>
    </w:p>
    <w:p w:rsidR="002C641F" w:rsidRDefault="002C641F" w:rsidP="002C641F">
      <w:pPr>
        <w:spacing w:after="200"/>
        <w:sectPr w:rsidR="002C641F" w:rsidSect="008E3230">
          <w:footerReference w:type="default" r:id="rId58"/>
          <w:pgSz w:w="11906" w:h="16838"/>
          <w:pgMar w:top="1440" w:right="1440" w:bottom="1440" w:left="1440" w:header="708" w:footer="708" w:gutter="0"/>
          <w:cols w:space="708"/>
          <w:docGrid w:linePitch="360"/>
        </w:sectPr>
      </w:pPr>
    </w:p>
    <w:p w:rsidR="002C641F" w:rsidRDefault="002C641F" w:rsidP="00DC6A10">
      <w:pPr>
        <w:spacing w:after="200"/>
        <w:rPr>
          <w:b/>
        </w:rPr>
      </w:pPr>
      <w:r w:rsidRPr="002C641F">
        <w:rPr>
          <w:b/>
        </w:rPr>
        <w:lastRenderedPageBreak/>
        <w:t xml:space="preserve">Table 2: </w:t>
      </w:r>
      <w:r>
        <w:rPr>
          <w:b/>
        </w:rPr>
        <w:t xml:space="preserve"> Epidemiological</w:t>
      </w:r>
      <w:r w:rsidR="00DC6A10">
        <w:rPr>
          <w:b/>
        </w:rPr>
        <w:t xml:space="preserve"> </w:t>
      </w:r>
      <w:r w:rsidRPr="002C641F">
        <w:rPr>
          <w:b/>
        </w:rPr>
        <w:t xml:space="preserve">studies </w:t>
      </w:r>
      <w:r>
        <w:rPr>
          <w:b/>
        </w:rPr>
        <w:t>bearing on</w:t>
      </w:r>
      <w:r w:rsidRPr="002C641F">
        <w:rPr>
          <w:b/>
        </w:rPr>
        <w:t xml:space="preserve"> the </w:t>
      </w:r>
      <w:r>
        <w:rPr>
          <w:b/>
        </w:rPr>
        <w:t>relationship of coronary heart disease to</w:t>
      </w:r>
      <w:r w:rsidRPr="002C641F">
        <w:rPr>
          <w:b/>
        </w:rPr>
        <w:t xml:space="preserve"> indoor air pollution </w:t>
      </w:r>
      <w:r>
        <w:rPr>
          <w:b/>
        </w:rPr>
        <w:t>from use of</w:t>
      </w:r>
      <w:r w:rsidRPr="002C641F">
        <w:rPr>
          <w:b/>
        </w:rPr>
        <w:t xml:space="preserve"> solid fuel</w:t>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27197">
        <w:tc>
          <w:tcPr>
            <w:tcW w:w="1418" w:type="dxa"/>
          </w:tcPr>
          <w:p w:rsidR="00A74D02" w:rsidRPr="002C641F" w:rsidRDefault="00A74D02" w:rsidP="00927197">
            <w:pPr>
              <w:contextualSpacing/>
              <w:rPr>
                <w:b/>
                <w:sz w:val="20"/>
                <w:szCs w:val="20"/>
              </w:rPr>
            </w:pPr>
            <w:r w:rsidRPr="002C641F">
              <w:rPr>
                <w:b/>
                <w:sz w:val="20"/>
                <w:szCs w:val="20"/>
              </w:rPr>
              <w:t>Country and reference</w:t>
            </w:r>
          </w:p>
        </w:tc>
        <w:tc>
          <w:tcPr>
            <w:tcW w:w="1418" w:type="dxa"/>
          </w:tcPr>
          <w:p w:rsidR="00A74D02" w:rsidRPr="002C641F" w:rsidRDefault="00A74D02" w:rsidP="00927197">
            <w:pPr>
              <w:contextualSpacing/>
              <w:rPr>
                <w:b/>
                <w:sz w:val="20"/>
                <w:szCs w:val="20"/>
              </w:rPr>
            </w:pPr>
            <w:r w:rsidRPr="002C641F">
              <w:rPr>
                <w:b/>
                <w:sz w:val="20"/>
                <w:szCs w:val="20"/>
              </w:rPr>
              <w:t>Design</w:t>
            </w:r>
          </w:p>
        </w:tc>
        <w:tc>
          <w:tcPr>
            <w:tcW w:w="1842" w:type="dxa"/>
          </w:tcPr>
          <w:p w:rsidR="00A74D02" w:rsidRPr="002C641F" w:rsidRDefault="00A74D02" w:rsidP="00927197">
            <w:pPr>
              <w:contextualSpacing/>
              <w:rPr>
                <w:b/>
                <w:sz w:val="20"/>
                <w:szCs w:val="20"/>
              </w:rPr>
            </w:pPr>
            <w:r w:rsidRPr="002C641F">
              <w:rPr>
                <w:b/>
                <w:sz w:val="20"/>
                <w:szCs w:val="20"/>
              </w:rPr>
              <w:t>Study sample</w:t>
            </w:r>
          </w:p>
        </w:tc>
        <w:tc>
          <w:tcPr>
            <w:tcW w:w="1418" w:type="dxa"/>
          </w:tcPr>
          <w:p w:rsidR="00A74D02" w:rsidRPr="002C641F" w:rsidRDefault="00A74D02" w:rsidP="00927197">
            <w:pPr>
              <w:contextualSpacing/>
              <w:rPr>
                <w:b/>
                <w:sz w:val="20"/>
                <w:szCs w:val="20"/>
              </w:rPr>
            </w:pPr>
            <w:r w:rsidRPr="002C641F">
              <w:rPr>
                <w:b/>
                <w:sz w:val="20"/>
                <w:szCs w:val="20"/>
              </w:rPr>
              <w:t>Exposures compared</w:t>
            </w:r>
          </w:p>
        </w:tc>
        <w:tc>
          <w:tcPr>
            <w:tcW w:w="1843" w:type="dxa"/>
          </w:tcPr>
          <w:p w:rsidR="00A74D02" w:rsidRPr="002C641F" w:rsidRDefault="00A74D02" w:rsidP="00927197">
            <w:pPr>
              <w:contextualSpacing/>
              <w:rPr>
                <w:b/>
                <w:sz w:val="20"/>
                <w:szCs w:val="20"/>
              </w:rPr>
            </w:pPr>
            <w:r w:rsidRPr="002C641F">
              <w:rPr>
                <w:b/>
                <w:sz w:val="20"/>
                <w:szCs w:val="20"/>
              </w:rPr>
              <w:t>Outcome</w:t>
            </w:r>
          </w:p>
        </w:tc>
        <w:tc>
          <w:tcPr>
            <w:tcW w:w="3118" w:type="dxa"/>
          </w:tcPr>
          <w:p w:rsidR="00A74D02" w:rsidRPr="002C641F" w:rsidRDefault="00A74D02" w:rsidP="00927197">
            <w:pPr>
              <w:contextualSpacing/>
              <w:rPr>
                <w:b/>
                <w:sz w:val="20"/>
                <w:szCs w:val="20"/>
              </w:rPr>
            </w:pPr>
            <w:r w:rsidRPr="002C641F">
              <w:rPr>
                <w:b/>
                <w:sz w:val="20"/>
                <w:szCs w:val="20"/>
              </w:rPr>
              <w:t>Association</w:t>
            </w:r>
          </w:p>
        </w:tc>
        <w:tc>
          <w:tcPr>
            <w:tcW w:w="1985" w:type="dxa"/>
          </w:tcPr>
          <w:p w:rsidR="00A74D02" w:rsidRPr="002C641F" w:rsidRDefault="00A74D02" w:rsidP="00927197">
            <w:pPr>
              <w:contextualSpacing/>
              <w:rPr>
                <w:b/>
                <w:sz w:val="20"/>
                <w:szCs w:val="20"/>
              </w:rPr>
            </w:pPr>
            <w:r w:rsidRPr="002C641F">
              <w:rPr>
                <w:b/>
                <w:sz w:val="20"/>
                <w:szCs w:val="20"/>
              </w:rPr>
              <w:t>Confounders addressed</w:t>
            </w:r>
          </w:p>
        </w:tc>
        <w:tc>
          <w:tcPr>
            <w:tcW w:w="1984" w:type="dxa"/>
          </w:tcPr>
          <w:p w:rsidR="00A74D02" w:rsidRPr="002C641F" w:rsidRDefault="00A74D02" w:rsidP="00927197">
            <w:pPr>
              <w:contextualSpacing/>
              <w:rPr>
                <w:b/>
                <w:sz w:val="20"/>
                <w:szCs w:val="20"/>
              </w:rPr>
            </w:pPr>
            <w:r w:rsidRPr="002C641F">
              <w:rPr>
                <w:b/>
                <w:sz w:val="20"/>
                <w:szCs w:val="20"/>
              </w:rPr>
              <w:t>Comments</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t>India</w:t>
            </w:r>
          </w:p>
          <w:p w:rsidR="00A74D02" w:rsidRPr="002C641F" w:rsidRDefault="00A74D02" w:rsidP="00927197">
            <w:pPr>
              <w:contextualSpacing/>
              <w:rPr>
                <w:sz w:val="20"/>
                <w:szCs w:val="20"/>
              </w:rPr>
            </w:pPr>
            <w:r w:rsidRPr="002C641F">
              <w:rPr>
                <w:sz w:val="20"/>
                <w:szCs w:val="20"/>
              </w:rPr>
              <w:t>Ray et al.</w:t>
            </w:r>
          </w:p>
          <w:p w:rsidR="00A74D02" w:rsidRPr="003027AC" w:rsidRDefault="00A74D02" w:rsidP="00927197">
            <w:pPr>
              <w:contextualSpacing/>
              <w:rPr>
                <w:sz w:val="20"/>
                <w:szCs w:val="20"/>
                <w:vertAlign w:val="superscript"/>
              </w:rPr>
            </w:pPr>
            <w:r w:rsidRPr="002C641F">
              <w:rPr>
                <w:sz w:val="20"/>
                <w:szCs w:val="20"/>
              </w:rPr>
              <w:t>(2006)</w:t>
            </w:r>
            <w:r w:rsidR="003027AC">
              <w:rPr>
                <w:sz w:val="20"/>
                <w:szCs w:val="20"/>
                <w:vertAlign w:val="superscript"/>
              </w:rPr>
              <w:t>12</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165 non-smoking women who cooked regularly with biomass and 155 non-smoking controls who cooked with liquefied petroleum gas</w:t>
            </w:r>
          </w:p>
        </w:tc>
        <w:tc>
          <w:tcPr>
            <w:tcW w:w="1418" w:type="dxa"/>
          </w:tcPr>
          <w:p w:rsidR="00A74D02" w:rsidRPr="002C641F" w:rsidRDefault="00A74D02" w:rsidP="00927197">
            <w:pPr>
              <w:contextualSpacing/>
              <w:rPr>
                <w:sz w:val="20"/>
                <w:szCs w:val="20"/>
              </w:rPr>
            </w:pPr>
            <w:r w:rsidRPr="002C641F">
              <w:rPr>
                <w:sz w:val="20"/>
                <w:szCs w:val="20"/>
              </w:rPr>
              <w:t>Cooking with biomass v liquefied petroleum gas</w:t>
            </w:r>
          </w:p>
        </w:tc>
        <w:tc>
          <w:tcPr>
            <w:tcW w:w="1843" w:type="dxa"/>
          </w:tcPr>
          <w:p w:rsidR="00A74D02" w:rsidRPr="002C641F" w:rsidRDefault="00A74D02" w:rsidP="00927197">
            <w:pPr>
              <w:contextualSpacing/>
              <w:rPr>
                <w:sz w:val="20"/>
                <w:szCs w:val="20"/>
              </w:rPr>
            </w:pPr>
            <w:r w:rsidRPr="002C641F">
              <w:rPr>
                <w:sz w:val="20"/>
                <w:szCs w:val="20"/>
              </w:rPr>
              <w:t xml:space="preserve">Hypertension, CD11b and CD18 expression on circulating neutrophils and monocytes, P-selectin expression on platelets, count of activated platelet-neutrophil and platelet- monocyte aggregates </w:t>
            </w:r>
          </w:p>
        </w:tc>
        <w:tc>
          <w:tcPr>
            <w:tcW w:w="3118" w:type="dxa"/>
          </w:tcPr>
          <w:p w:rsidR="00A74D02" w:rsidRPr="002C641F" w:rsidRDefault="00A74D02" w:rsidP="00927197">
            <w:pPr>
              <w:contextualSpacing/>
              <w:rPr>
                <w:sz w:val="20"/>
                <w:szCs w:val="20"/>
              </w:rPr>
            </w:pPr>
            <w:r w:rsidRPr="002C641F">
              <w:rPr>
                <w:sz w:val="20"/>
                <w:szCs w:val="20"/>
              </w:rPr>
              <w:t>Hypertension in 6.0% biomass users v 3.2% liquefied petroleum gas users</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Activation of leucocytes and formation of leucocyte-platelet aggregates significantly more common in women using biomass, but differences reduced after adjustment for tobacco-chewing and exposure to environmental tobacco smoke</w:t>
            </w:r>
          </w:p>
        </w:tc>
        <w:tc>
          <w:tcPr>
            <w:tcW w:w="1985" w:type="dxa"/>
          </w:tcPr>
          <w:p w:rsidR="00A74D02" w:rsidRPr="002C641F" w:rsidRDefault="00A74D02" w:rsidP="00927197">
            <w:pPr>
              <w:contextualSpacing/>
              <w:rPr>
                <w:sz w:val="20"/>
                <w:szCs w:val="20"/>
              </w:rPr>
            </w:pPr>
            <w:r w:rsidRPr="002C641F">
              <w:rPr>
                <w:sz w:val="20"/>
                <w:szCs w:val="20"/>
              </w:rPr>
              <w:t>Age, smoking, tobacco-chewing, environmental tobacco smoke</w:t>
            </w:r>
          </w:p>
        </w:tc>
        <w:tc>
          <w:tcPr>
            <w:tcW w:w="1984" w:type="dxa"/>
          </w:tcPr>
          <w:p w:rsidR="00A74D02" w:rsidRPr="002C641F" w:rsidRDefault="00A74D02" w:rsidP="00927197">
            <w:pPr>
              <w:contextualSpacing/>
              <w:rPr>
                <w:sz w:val="20"/>
                <w:szCs w:val="20"/>
              </w:rPr>
            </w:pPr>
            <w:r w:rsidRPr="002C641F">
              <w:rPr>
                <w:sz w:val="20"/>
                <w:szCs w:val="20"/>
              </w:rPr>
              <w:t>Methods of statistical analysis not fully described</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t>Guatemala</w:t>
            </w:r>
          </w:p>
          <w:p w:rsidR="00A74D02" w:rsidRPr="003027AC" w:rsidRDefault="00A74D02" w:rsidP="00927197">
            <w:pPr>
              <w:contextualSpacing/>
              <w:rPr>
                <w:sz w:val="20"/>
                <w:szCs w:val="20"/>
                <w:vertAlign w:val="superscript"/>
              </w:rPr>
            </w:pPr>
            <w:r w:rsidRPr="002C641F">
              <w:rPr>
                <w:sz w:val="20"/>
                <w:szCs w:val="20"/>
              </w:rPr>
              <w:t>McCracken et al (2007)</w:t>
            </w:r>
            <w:r w:rsidR="003027AC">
              <w:rPr>
                <w:sz w:val="20"/>
                <w:szCs w:val="20"/>
                <w:vertAlign w:val="superscript"/>
              </w:rPr>
              <w:t>13</w:t>
            </w:r>
          </w:p>
        </w:tc>
        <w:tc>
          <w:tcPr>
            <w:tcW w:w="1418" w:type="dxa"/>
          </w:tcPr>
          <w:p w:rsidR="00A74D02" w:rsidRPr="002C641F" w:rsidRDefault="00A74D02" w:rsidP="00927197">
            <w:pPr>
              <w:contextualSpacing/>
              <w:rPr>
                <w:sz w:val="20"/>
                <w:szCs w:val="20"/>
              </w:rPr>
            </w:pPr>
            <w:r w:rsidRPr="002C641F">
              <w:rPr>
                <w:sz w:val="20"/>
                <w:szCs w:val="20"/>
              </w:rPr>
              <w:t>Controlled intervention with intervention subsequently offered to control group</w:t>
            </w:r>
          </w:p>
        </w:tc>
        <w:tc>
          <w:tcPr>
            <w:tcW w:w="1842" w:type="dxa"/>
          </w:tcPr>
          <w:p w:rsidR="00A74D02" w:rsidRPr="002C641F" w:rsidRDefault="00A74D02" w:rsidP="00927197">
            <w:pPr>
              <w:contextualSpacing/>
              <w:rPr>
                <w:sz w:val="20"/>
                <w:szCs w:val="20"/>
              </w:rPr>
            </w:pPr>
            <w:r w:rsidRPr="002C641F">
              <w:rPr>
                <w:sz w:val="20"/>
                <w:szCs w:val="20"/>
              </w:rPr>
              <w:t>120 women aged &gt;38 who cooked daily and lived in households participating in a randomised controlled trial of an improved woodstove (49 intervention and 71 controls)</w:t>
            </w:r>
          </w:p>
        </w:tc>
        <w:tc>
          <w:tcPr>
            <w:tcW w:w="1418" w:type="dxa"/>
          </w:tcPr>
          <w:p w:rsidR="00A74D02" w:rsidRPr="002C641F" w:rsidRDefault="00A74D02" w:rsidP="00927197">
            <w:pPr>
              <w:contextualSpacing/>
              <w:rPr>
                <w:sz w:val="20"/>
                <w:szCs w:val="20"/>
              </w:rPr>
            </w:pPr>
            <w:r w:rsidRPr="002C641F">
              <w:rPr>
                <w:sz w:val="20"/>
                <w:szCs w:val="20"/>
              </w:rPr>
              <w:t xml:space="preserve">Use v non-use of improved stove – </w:t>
            </w:r>
          </w:p>
          <w:p w:rsidR="00A74D02" w:rsidRPr="002C641F" w:rsidRDefault="00A74D02" w:rsidP="00927197">
            <w:pPr>
              <w:contextualSpacing/>
              <w:rPr>
                <w:sz w:val="20"/>
                <w:szCs w:val="20"/>
              </w:rPr>
            </w:pPr>
            <w:r w:rsidRPr="002C641F">
              <w:rPr>
                <w:sz w:val="20"/>
                <w:szCs w:val="20"/>
              </w:rPr>
              <w:t>Intervention v control group</w:t>
            </w:r>
          </w:p>
          <w:p w:rsidR="00A74D02" w:rsidRPr="002C641F" w:rsidRDefault="00A74D02" w:rsidP="00927197">
            <w:pPr>
              <w:contextualSpacing/>
              <w:rPr>
                <w:sz w:val="20"/>
                <w:szCs w:val="20"/>
              </w:rPr>
            </w:pPr>
            <w:r w:rsidRPr="002C641F">
              <w:rPr>
                <w:sz w:val="20"/>
                <w:szCs w:val="20"/>
              </w:rPr>
              <w:t xml:space="preserve">After v before intervention in controls who subsequently received it </w:t>
            </w:r>
          </w:p>
        </w:tc>
        <w:tc>
          <w:tcPr>
            <w:tcW w:w="1843" w:type="dxa"/>
          </w:tcPr>
          <w:p w:rsidR="00A74D02" w:rsidRPr="002C641F" w:rsidRDefault="00A74D02" w:rsidP="00927197">
            <w:pPr>
              <w:contextualSpacing/>
              <w:rPr>
                <w:sz w:val="20"/>
                <w:szCs w:val="20"/>
              </w:rPr>
            </w:pPr>
            <w:r w:rsidRPr="002C641F">
              <w:rPr>
                <w:sz w:val="20"/>
                <w:szCs w:val="20"/>
              </w:rPr>
              <w:t>Systolic and diastolic blood pressure (SBP and DBP)</w:t>
            </w:r>
          </w:p>
        </w:tc>
        <w:tc>
          <w:tcPr>
            <w:tcW w:w="3118" w:type="dxa"/>
          </w:tcPr>
          <w:p w:rsidR="00A74D02" w:rsidRPr="002C641F" w:rsidRDefault="00A74D02" w:rsidP="00927197">
            <w:pPr>
              <w:contextualSpacing/>
              <w:rPr>
                <w:sz w:val="20"/>
                <w:szCs w:val="20"/>
              </w:rPr>
            </w:pPr>
            <w:r w:rsidRPr="002C641F">
              <w:rPr>
                <w:sz w:val="20"/>
                <w:szCs w:val="20"/>
              </w:rPr>
              <w:t>Differences in blood pressure</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Intervention v control group</w:t>
            </w:r>
          </w:p>
          <w:p w:rsidR="00A74D02" w:rsidRPr="002C641F" w:rsidRDefault="00A74D02" w:rsidP="00927197">
            <w:pPr>
              <w:contextualSpacing/>
              <w:rPr>
                <w:sz w:val="20"/>
                <w:szCs w:val="20"/>
              </w:rPr>
            </w:pPr>
            <w:r w:rsidRPr="002C641F">
              <w:rPr>
                <w:sz w:val="20"/>
                <w:szCs w:val="20"/>
              </w:rPr>
              <w:t>SBP  -3.7 (95%CI -8.1 to 0.6) mm Hg</w:t>
            </w:r>
          </w:p>
          <w:p w:rsidR="00A74D02" w:rsidRPr="002C641F" w:rsidRDefault="00A74D02" w:rsidP="00927197">
            <w:pPr>
              <w:contextualSpacing/>
              <w:rPr>
                <w:sz w:val="20"/>
                <w:szCs w:val="20"/>
              </w:rPr>
            </w:pPr>
            <w:r w:rsidRPr="002C641F">
              <w:rPr>
                <w:sz w:val="20"/>
                <w:szCs w:val="20"/>
              </w:rPr>
              <w:t>DBP  -3.0 (95%CI -5.7 to -0.4) mm Hg</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Control group after v before</w:t>
            </w:r>
          </w:p>
          <w:p w:rsidR="00A74D02" w:rsidRPr="002C641F" w:rsidRDefault="00A74D02" w:rsidP="00927197">
            <w:pPr>
              <w:contextualSpacing/>
              <w:rPr>
                <w:sz w:val="20"/>
                <w:szCs w:val="20"/>
              </w:rPr>
            </w:pPr>
            <w:r w:rsidRPr="002C641F">
              <w:rPr>
                <w:sz w:val="20"/>
                <w:szCs w:val="20"/>
              </w:rPr>
              <w:t>SBP  -3.1 (95%CI -5.3 to -0.8) mm Hg</w:t>
            </w:r>
          </w:p>
          <w:p w:rsidR="00A74D02" w:rsidRPr="002C641F" w:rsidRDefault="00A74D02" w:rsidP="00927197">
            <w:pPr>
              <w:contextualSpacing/>
              <w:rPr>
                <w:sz w:val="20"/>
                <w:szCs w:val="20"/>
              </w:rPr>
            </w:pPr>
            <w:r w:rsidRPr="002C641F">
              <w:rPr>
                <w:sz w:val="20"/>
                <w:szCs w:val="20"/>
              </w:rPr>
              <w:t>DBP  -1.9 (95%CI -3.5 to -0.4) mm Hg</w:t>
            </w:r>
          </w:p>
        </w:tc>
        <w:tc>
          <w:tcPr>
            <w:tcW w:w="1985" w:type="dxa"/>
          </w:tcPr>
          <w:p w:rsidR="00A74D02" w:rsidRPr="002C641F" w:rsidRDefault="00A74D02" w:rsidP="00927197">
            <w:pPr>
              <w:contextualSpacing/>
              <w:rPr>
                <w:sz w:val="20"/>
                <w:szCs w:val="20"/>
              </w:rPr>
            </w:pPr>
            <w:r w:rsidRPr="002C641F">
              <w:rPr>
                <w:sz w:val="20"/>
                <w:szCs w:val="20"/>
              </w:rPr>
              <w:t xml:space="preserve">Age, body mass index, ambient temperature, rainy season, day of week, time of day, use of wood-heated sauna, having household electricity, an asset index, ever smoked, environmental tobacco smoke </w:t>
            </w:r>
          </w:p>
        </w:tc>
        <w:tc>
          <w:tcPr>
            <w:tcW w:w="1984" w:type="dxa"/>
          </w:tcPr>
          <w:p w:rsidR="00A74D02" w:rsidRPr="002C641F" w:rsidRDefault="00A74D02" w:rsidP="00927197">
            <w:pPr>
              <w:contextualSpacing/>
              <w:rPr>
                <w:sz w:val="20"/>
                <w:szCs w:val="20"/>
              </w:rPr>
            </w:pPr>
            <w:r w:rsidRPr="002C641F">
              <w:rPr>
                <w:sz w:val="20"/>
                <w:szCs w:val="20"/>
              </w:rPr>
              <w:t>Personal 24-h PM</w:t>
            </w:r>
            <w:r w:rsidRPr="002C641F">
              <w:rPr>
                <w:sz w:val="20"/>
                <w:szCs w:val="20"/>
                <w:vertAlign w:val="subscript"/>
              </w:rPr>
              <w:t>2.5</w:t>
            </w:r>
            <w:r w:rsidRPr="002C641F">
              <w:rPr>
                <w:sz w:val="20"/>
                <w:szCs w:val="20"/>
              </w:rPr>
              <w:t xml:space="preserve"> exposures during trial period were 264 v 102 </w:t>
            </w:r>
            <w:proofErr w:type="spellStart"/>
            <w:r w:rsidRPr="002C641F">
              <w:rPr>
                <w:sz w:val="20"/>
                <w:szCs w:val="20"/>
              </w:rPr>
              <w:t>μg</w:t>
            </w:r>
            <w:proofErr w:type="spellEnd"/>
            <w:r w:rsidRPr="002C641F">
              <w:rPr>
                <w:sz w:val="20"/>
                <w:szCs w:val="20"/>
              </w:rPr>
              <w:t>/m</w:t>
            </w:r>
            <w:r w:rsidRPr="002C641F">
              <w:rPr>
                <w:sz w:val="20"/>
                <w:szCs w:val="20"/>
                <w:vertAlign w:val="superscript"/>
              </w:rPr>
              <w:t>3</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bl>
    <w:p w:rsidR="00AF07CB" w:rsidRDefault="00AF07CB">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lastRenderedPageBreak/>
              <w:t>Turkey</w:t>
            </w:r>
          </w:p>
          <w:p w:rsidR="00A74D02" w:rsidRPr="003027AC" w:rsidRDefault="00A74D02" w:rsidP="00927197">
            <w:pPr>
              <w:contextualSpacing/>
              <w:rPr>
                <w:sz w:val="20"/>
                <w:szCs w:val="20"/>
                <w:vertAlign w:val="superscript"/>
              </w:rPr>
            </w:pPr>
            <w:r w:rsidRPr="002C641F">
              <w:rPr>
                <w:sz w:val="20"/>
                <w:szCs w:val="20"/>
              </w:rPr>
              <w:t>Davutoglu et al (2009)</w:t>
            </w:r>
            <w:r w:rsidR="003027AC">
              <w:rPr>
                <w:sz w:val="20"/>
                <w:szCs w:val="20"/>
                <w:vertAlign w:val="superscript"/>
              </w:rPr>
              <w:t>14</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40 non-smoking male indoor barbecue workers using charcoal and 48 non-smoking age-matched healthy controls</w:t>
            </w:r>
          </w:p>
        </w:tc>
        <w:tc>
          <w:tcPr>
            <w:tcW w:w="1418" w:type="dxa"/>
          </w:tcPr>
          <w:p w:rsidR="00A74D02" w:rsidRPr="002C641F" w:rsidRDefault="00A74D02" w:rsidP="00927197">
            <w:pPr>
              <w:contextualSpacing/>
              <w:rPr>
                <w:sz w:val="20"/>
                <w:szCs w:val="20"/>
              </w:rPr>
            </w:pPr>
            <w:r w:rsidRPr="002C641F">
              <w:rPr>
                <w:sz w:val="20"/>
                <w:szCs w:val="20"/>
              </w:rPr>
              <w:t>Barbecue work v control</w:t>
            </w:r>
          </w:p>
        </w:tc>
        <w:tc>
          <w:tcPr>
            <w:tcW w:w="1843" w:type="dxa"/>
          </w:tcPr>
          <w:p w:rsidR="00A74D02" w:rsidRPr="002C641F" w:rsidRDefault="00A74D02" w:rsidP="00927197">
            <w:pPr>
              <w:contextualSpacing/>
              <w:rPr>
                <w:sz w:val="20"/>
                <w:szCs w:val="20"/>
              </w:rPr>
            </w:pPr>
            <w:r w:rsidRPr="002C641F">
              <w:rPr>
                <w:sz w:val="20"/>
                <w:szCs w:val="20"/>
              </w:rPr>
              <w:t>Carotid intima media thickness (CIMT), high-sensitivity C-reactive protein (</w:t>
            </w:r>
            <w:proofErr w:type="spellStart"/>
            <w:r w:rsidRPr="002C641F">
              <w:rPr>
                <w:sz w:val="20"/>
                <w:szCs w:val="20"/>
              </w:rPr>
              <w:t>hs</w:t>
            </w:r>
            <w:proofErr w:type="spellEnd"/>
            <w:r w:rsidRPr="002C641F">
              <w:rPr>
                <w:sz w:val="20"/>
                <w:szCs w:val="20"/>
              </w:rPr>
              <w:t>-CRP), blood pressure (BP), lipid profile</w:t>
            </w:r>
          </w:p>
        </w:tc>
        <w:tc>
          <w:tcPr>
            <w:tcW w:w="3118" w:type="dxa"/>
          </w:tcPr>
          <w:p w:rsidR="00A74D02" w:rsidRPr="002C641F" w:rsidRDefault="00A74D02" w:rsidP="00927197">
            <w:pPr>
              <w:contextualSpacing/>
              <w:rPr>
                <w:sz w:val="20"/>
                <w:szCs w:val="20"/>
              </w:rPr>
            </w:pPr>
            <w:r w:rsidRPr="002C641F">
              <w:rPr>
                <w:sz w:val="20"/>
                <w:szCs w:val="20"/>
              </w:rPr>
              <w:t>CIMT 1.19 v 0.91 mm (p&lt;0.001)</w:t>
            </w:r>
          </w:p>
          <w:p w:rsidR="00A74D02" w:rsidRPr="002C641F" w:rsidRDefault="00A74D02" w:rsidP="00927197">
            <w:pPr>
              <w:contextualSpacing/>
              <w:rPr>
                <w:sz w:val="20"/>
                <w:szCs w:val="20"/>
              </w:rPr>
            </w:pPr>
            <w:proofErr w:type="spellStart"/>
            <w:r w:rsidRPr="002C641F">
              <w:rPr>
                <w:sz w:val="20"/>
                <w:szCs w:val="20"/>
              </w:rPr>
              <w:t>HsCRP</w:t>
            </w:r>
            <w:proofErr w:type="spellEnd"/>
            <w:r w:rsidRPr="002C641F">
              <w:rPr>
                <w:sz w:val="20"/>
                <w:szCs w:val="20"/>
              </w:rPr>
              <w:t xml:space="preserve"> 2.71 v 1.10 mg/L (p&lt;0.001)</w:t>
            </w:r>
          </w:p>
          <w:p w:rsidR="00A74D02" w:rsidRPr="002C641F" w:rsidRDefault="00A74D02" w:rsidP="00927197">
            <w:pPr>
              <w:contextualSpacing/>
              <w:rPr>
                <w:sz w:val="20"/>
                <w:szCs w:val="20"/>
              </w:rPr>
            </w:pPr>
            <w:r w:rsidRPr="002C641F">
              <w:rPr>
                <w:sz w:val="20"/>
                <w:szCs w:val="20"/>
              </w:rPr>
              <w:t>Systolic BP  128.3 v 124.5 mm Hg (ns)</w:t>
            </w:r>
          </w:p>
          <w:p w:rsidR="00A74D02" w:rsidRPr="002C641F" w:rsidRDefault="00A74D02" w:rsidP="00927197">
            <w:pPr>
              <w:contextualSpacing/>
              <w:rPr>
                <w:sz w:val="20"/>
                <w:szCs w:val="20"/>
              </w:rPr>
            </w:pPr>
            <w:r w:rsidRPr="002C641F">
              <w:rPr>
                <w:sz w:val="20"/>
                <w:szCs w:val="20"/>
              </w:rPr>
              <w:t>Diastolic BP  81.2 v 77.3 mm Hg (ns)</w:t>
            </w:r>
          </w:p>
          <w:p w:rsidR="00A74D02" w:rsidRPr="002C641F" w:rsidRDefault="00A74D02" w:rsidP="00927197">
            <w:pPr>
              <w:contextualSpacing/>
              <w:rPr>
                <w:sz w:val="20"/>
                <w:szCs w:val="20"/>
              </w:rPr>
            </w:pPr>
            <w:r w:rsidRPr="002C641F">
              <w:rPr>
                <w:sz w:val="20"/>
                <w:szCs w:val="20"/>
              </w:rPr>
              <w:t>Total cholesterol 171.7 v 169.0 mg/dl (ns)</w:t>
            </w:r>
          </w:p>
          <w:p w:rsidR="00A74D02" w:rsidRPr="002C641F" w:rsidRDefault="00A74D02" w:rsidP="00927197">
            <w:pPr>
              <w:contextualSpacing/>
              <w:rPr>
                <w:sz w:val="20"/>
                <w:szCs w:val="20"/>
              </w:rPr>
            </w:pPr>
            <w:r w:rsidRPr="002C641F">
              <w:rPr>
                <w:sz w:val="20"/>
                <w:szCs w:val="20"/>
              </w:rPr>
              <w:t>Low density lipoprotein cholesterol  102.7 v 99.5 mg/dl (ns)</w:t>
            </w:r>
          </w:p>
          <w:p w:rsidR="00A74D02" w:rsidRPr="002C641F" w:rsidRDefault="00A74D02" w:rsidP="00927197">
            <w:pPr>
              <w:contextualSpacing/>
              <w:rPr>
                <w:sz w:val="20"/>
                <w:szCs w:val="20"/>
              </w:rPr>
            </w:pPr>
            <w:r w:rsidRPr="002C641F">
              <w:rPr>
                <w:sz w:val="20"/>
                <w:szCs w:val="20"/>
              </w:rPr>
              <w:t xml:space="preserve">High density lipoprotein cholesterol  40.6 v 40.0 mg/dl (ns) </w:t>
            </w:r>
          </w:p>
          <w:p w:rsidR="00A74D02" w:rsidRPr="002C641F" w:rsidRDefault="00A74D02" w:rsidP="00927197">
            <w:pPr>
              <w:contextualSpacing/>
              <w:rPr>
                <w:sz w:val="20"/>
                <w:szCs w:val="20"/>
              </w:rPr>
            </w:pPr>
            <w:r w:rsidRPr="002C641F">
              <w:rPr>
                <w:sz w:val="20"/>
                <w:szCs w:val="20"/>
              </w:rPr>
              <w:t>Triglyceride  150.6 v 164.9 mg/dl (ns)</w:t>
            </w:r>
          </w:p>
        </w:tc>
        <w:tc>
          <w:tcPr>
            <w:tcW w:w="1985" w:type="dxa"/>
          </w:tcPr>
          <w:p w:rsidR="00A74D02" w:rsidRPr="002C641F" w:rsidRDefault="00A74D02" w:rsidP="00AF07CB">
            <w:pPr>
              <w:contextualSpacing/>
              <w:rPr>
                <w:sz w:val="20"/>
                <w:szCs w:val="20"/>
              </w:rPr>
            </w:pPr>
            <w:r w:rsidRPr="002C641F">
              <w:rPr>
                <w:sz w:val="20"/>
                <w:szCs w:val="20"/>
              </w:rPr>
              <w:t xml:space="preserve">Sex, age and </w:t>
            </w:r>
            <w:r w:rsidR="00AF07CB">
              <w:rPr>
                <w:sz w:val="20"/>
                <w:szCs w:val="20"/>
              </w:rPr>
              <w:t>body mass index</w:t>
            </w:r>
            <w:r w:rsidRPr="002C641F">
              <w:rPr>
                <w:sz w:val="20"/>
                <w:szCs w:val="20"/>
              </w:rPr>
              <w:t xml:space="preserve"> well matched</w:t>
            </w:r>
          </w:p>
        </w:tc>
        <w:tc>
          <w:tcPr>
            <w:tcW w:w="1984" w:type="dxa"/>
          </w:tcPr>
          <w:p w:rsidR="00A74D02" w:rsidRPr="002C641F" w:rsidRDefault="00A74D02" w:rsidP="00927197">
            <w:pPr>
              <w:contextualSpacing/>
              <w:rPr>
                <w:sz w:val="20"/>
                <w:szCs w:val="20"/>
              </w:rPr>
            </w:pPr>
            <w:r w:rsidRPr="002C641F">
              <w:rPr>
                <w:sz w:val="20"/>
                <w:szCs w:val="20"/>
              </w:rPr>
              <w:t xml:space="preserve">Mean </w:t>
            </w:r>
            <w:proofErr w:type="spellStart"/>
            <w:r w:rsidRPr="002C641F">
              <w:rPr>
                <w:sz w:val="20"/>
                <w:szCs w:val="20"/>
              </w:rPr>
              <w:t>carboxy</w:t>
            </w:r>
            <w:proofErr w:type="spellEnd"/>
            <w:r w:rsidRPr="002C641F">
              <w:rPr>
                <w:sz w:val="20"/>
                <w:szCs w:val="20"/>
              </w:rPr>
              <w:t>-haemoglobin was higher in exposed group (6.4% v 2.0%)</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t>Turkey</w:t>
            </w:r>
          </w:p>
          <w:p w:rsidR="00A74D02" w:rsidRPr="003027AC" w:rsidRDefault="00A74D02" w:rsidP="00927197">
            <w:pPr>
              <w:contextualSpacing/>
              <w:rPr>
                <w:sz w:val="20"/>
                <w:szCs w:val="20"/>
                <w:vertAlign w:val="superscript"/>
              </w:rPr>
            </w:pPr>
            <w:proofErr w:type="spellStart"/>
            <w:r w:rsidRPr="002C641F">
              <w:rPr>
                <w:sz w:val="20"/>
                <w:szCs w:val="20"/>
              </w:rPr>
              <w:t>Butarak</w:t>
            </w:r>
            <w:proofErr w:type="spellEnd"/>
            <w:r w:rsidRPr="002C641F">
              <w:rPr>
                <w:sz w:val="20"/>
                <w:szCs w:val="20"/>
              </w:rPr>
              <w:t xml:space="preserve"> et al (2010)</w:t>
            </w:r>
            <w:r w:rsidR="003027AC">
              <w:rPr>
                <w:sz w:val="20"/>
                <w:szCs w:val="20"/>
                <w:vertAlign w:val="superscript"/>
              </w:rPr>
              <w:t>15</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 xml:space="preserve">47 healthy, non-smoking subjects exposed to biomass smoke since birth and 32 healthy, non-smoking controls with no exposure to biomass </w:t>
            </w:r>
          </w:p>
        </w:tc>
        <w:tc>
          <w:tcPr>
            <w:tcW w:w="1418" w:type="dxa"/>
          </w:tcPr>
          <w:p w:rsidR="00A74D02" w:rsidRPr="002C641F" w:rsidRDefault="00A74D02" w:rsidP="00927197">
            <w:pPr>
              <w:contextualSpacing/>
              <w:rPr>
                <w:sz w:val="20"/>
                <w:szCs w:val="20"/>
              </w:rPr>
            </w:pPr>
            <w:r w:rsidRPr="002C641F">
              <w:rPr>
                <w:sz w:val="20"/>
                <w:szCs w:val="20"/>
              </w:rPr>
              <w:t>Lifelong exposure to biomass v no exposure</w:t>
            </w:r>
          </w:p>
        </w:tc>
        <w:tc>
          <w:tcPr>
            <w:tcW w:w="1843" w:type="dxa"/>
          </w:tcPr>
          <w:p w:rsidR="00A74D02" w:rsidRPr="002C641F" w:rsidRDefault="00A74D02" w:rsidP="00927197">
            <w:pPr>
              <w:contextualSpacing/>
              <w:rPr>
                <w:sz w:val="20"/>
                <w:szCs w:val="20"/>
              </w:rPr>
            </w:pPr>
            <w:r w:rsidRPr="002C641F">
              <w:rPr>
                <w:sz w:val="20"/>
                <w:szCs w:val="20"/>
              </w:rPr>
              <w:t>Carotid intima media thickness (CIMT), flow associated dilatation (FAD %) and endothelium independent vasodilatation (GTN %) assessed by ultrasound</w:t>
            </w:r>
          </w:p>
        </w:tc>
        <w:tc>
          <w:tcPr>
            <w:tcW w:w="3118" w:type="dxa"/>
          </w:tcPr>
          <w:p w:rsidR="00A74D02" w:rsidRPr="002C641F" w:rsidRDefault="00A74D02" w:rsidP="00927197">
            <w:pPr>
              <w:contextualSpacing/>
              <w:rPr>
                <w:sz w:val="20"/>
                <w:szCs w:val="20"/>
              </w:rPr>
            </w:pPr>
            <w:r w:rsidRPr="002C641F">
              <w:rPr>
                <w:sz w:val="20"/>
                <w:szCs w:val="20"/>
              </w:rPr>
              <w:t>CIMT 0.47 v 0.49 mm (p=0.138)</w:t>
            </w:r>
          </w:p>
          <w:p w:rsidR="00A74D02" w:rsidRPr="002C641F" w:rsidRDefault="00A74D02" w:rsidP="00927197">
            <w:pPr>
              <w:contextualSpacing/>
              <w:rPr>
                <w:sz w:val="20"/>
                <w:szCs w:val="20"/>
              </w:rPr>
            </w:pPr>
            <w:r w:rsidRPr="002C641F">
              <w:rPr>
                <w:sz w:val="20"/>
                <w:szCs w:val="20"/>
              </w:rPr>
              <w:t>FAD % 5.06 v 10.7 (p&lt;0.001)</w:t>
            </w:r>
          </w:p>
          <w:p w:rsidR="00A74D02" w:rsidRPr="002C641F" w:rsidRDefault="00A74D02" w:rsidP="00927197">
            <w:pPr>
              <w:contextualSpacing/>
              <w:rPr>
                <w:sz w:val="20"/>
                <w:szCs w:val="20"/>
              </w:rPr>
            </w:pPr>
            <w:r w:rsidRPr="002C641F">
              <w:rPr>
                <w:sz w:val="20"/>
                <w:szCs w:val="20"/>
              </w:rPr>
              <w:t>GTN % 14.41 v 21.85 (p&lt;0.001)</w:t>
            </w:r>
          </w:p>
        </w:tc>
        <w:tc>
          <w:tcPr>
            <w:tcW w:w="1985" w:type="dxa"/>
          </w:tcPr>
          <w:p w:rsidR="00A74D02" w:rsidRPr="002C641F" w:rsidRDefault="00A74D02" w:rsidP="00927197">
            <w:pPr>
              <w:contextualSpacing/>
              <w:rPr>
                <w:sz w:val="20"/>
                <w:szCs w:val="20"/>
              </w:rPr>
            </w:pPr>
            <w:r w:rsidRPr="002C641F">
              <w:rPr>
                <w:sz w:val="20"/>
                <w:szCs w:val="20"/>
              </w:rPr>
              <w:t>Smoking</w:t>
            </w:r>
          </w:p>
        </w:tc>
        <w:tc>
          <w:tcPr>
            <w:tcW w:w="1984" w:type="dxa"/>
          </w:tcPr>
          <w:p w:rsidR="00A74D02" w:rsidRDefault="00A74D02" w:rsidP="00927197">
            <w:pPr>
              <w:contextualSpacing/>
              <w:rPr>
                <w:sz w:val="20"/>
                <w:szCs w:val="20"/>
              </w:rPr>
            </w:pPr>
            <w:r w:rsidRPr="002C641F">
              <w:rPr>
                <w:sz w:val="20"/>
                <w:szCs w:val="20"/>
              </w:rPr>
              <w:t>No adjustment for age (on average, controls were 3.7 years younger than exposed) or other potential confounders such as body mass index</w:t>
            </w:r>
          </w:p>
          <w:p w:rsidR="00A74D02" w:rsidRPr="008A573F" w:rsidRDefault="00A74D02" w:rsidP="00927197">
            <w:pPr>
              <w:rPr>
                <w:sz w:val="20"/>
                <w:szCs w:val="20"/>
              </w:rPr>
            </w:pPr>
          </w:p>
          <w:p w:rsidR="00A74D02" w:rsidRPr="008A573F" w:rsidRDefault="00A74D02" w:rsidP="00927197">
            <w:pPr>
              <w:jc w:val="right"/>
              <w:rPr>
                <w:sz w:val="20"/>
                <w:szCs w:val="20"/>
              </w:rPr>
            </w:pP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bl>
    <w:p w:rsidR="009730AB" w:rsidRDefault="009730AB">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260"/>
        <w:gridCol w:w="1843"/>
        <w:gridCol w:w="1984"/>
      </w:tblGrid>
      <w:tr w:rsidR="00A74D02" w:rsidRPr="00BF3F0C" w:rsidTr="00C73604">
        <w:tc>
          <w:tcPr>
            <w:tcW w:w="1418" w:type="dxa"/>
          </w:tcPr>
          <w:p w:rsidR="00A74D02" w:rsidRPr="002C641F" w:rsidRDefault="00A74D02" w:rsidP="00927197">
            <w:pPr>
              <w:contextualSpacing/>
              <w:rPr>
                <w:sz w:val="20"/>
                <w:szCs w:val="20"/>
              </w:rPr>
            </w:pPr>
            <w:r w:rsidRPr="002C641F">
              <w:rPr>
                <w:sz w:val="20"/>
                <w:szCs w:val="20"/>
              </w:rPr>
              <w:lastRenderedPageBreak/>
              <w:t>India</w:t>
            </w:r>
          </w:p>
          <w:p w:rsidR="00A74D02" w:rsidRPr="003027AC" w:rsidRDefault="00A74D02" w:rsidP="00927197">
            <w:pPr>
              <w:contextualSpacing/>
              <w:rPr>
                <w:sz w:val="20"/>
                <w:szCs w:val="20"/>
                <w:vertAlign w:val="superscript"/>
              </w:rPr>
            </w:pPr>
            <w:r w:rsidRPr="002C641F">
              <w:rPr>
                <w:sz w:val="20"/>
                <w:szCs w:val="20"/>
              </w:rPr>
              <w:t>Dutta et al (2011)</w:t>
            </w:r>
            <w:r w:rsidR="003027AC">
              <w:rPr>
                <w:sz w:val="20"/>
                <w:szCs w:val="20"/>
                <w:vertAlign w:val="superscript"/>
              </w:rPr>
              <w:t>16</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244 healthy, non-smoking women aged 22-41, using biomass for cooking and 236 healthy, non-smoking women aged 23-40, using liquefied petroleum gas for cooking</w:t>
            </w:r>
          </w:p>
        </w:tc>
        <w:tc>
          <w:tcPr>
            <w:tcW w:w="1418" w:type="dxa"/>
          </w:tcPr>
          <w:p w:rsidR="00A74D02" w:rsidRPr="002C641F" w:rsidRDefault="00A74D02" w:rsidP="00927197">
            <w:pPr>
              <w:contextualSpacing/>
              <w:rPr>
                <w:sz w:val="20"/>
                <w:szCs w:val="20"/>
              </w:rPr>
            </w:pPr>
            <w:r w:rsidRPr="002C641F">
              <w:rPr>
                <w:sz w:val="20"/>
                <w:szCs w:val="20"/>
              </w:rPr>
              <w:t>Use of biomass v liquefied petroleum gas for cooking</w:t>
            </w:r>
          </w:p>
        </w:tc>
        <w:tc>
          <w:tcPr>
            <w:tcW w:w="1843" w:type="dxa"/>
          </w:tcPr>
          <w:p w:rsidR="00A74D02" w:rsidRPr="002C641F" w:rsidRDefault="00A74D02" w:rsidP="00927197">
            <w:pPr>
              <w:contextualSpacing/>
              <w:rPr>
                <w:sz w:val="20"/>
                <w:szCs w:val="20"/>
              </w:rPr>
            </w:pPr>
            <w:r w:rsidRPr="002C641F">
              <w:rPr>
                <w:sz w:val="20"/>
                <w:szCs w:val="20"/>
              </w:rPr>
              <w:t>Hypertension, expression of platelet P-selectin, platelet aggregation to collagen, generation of reactive oxygen species (ROS) in leucocytes, serum oxidised low density lipoprotein (</w:t>
            </w:r>
            <w:proofErr w:type="spellStart"/>
            <w:r w:rsidRPr="002C641F">
              <w:rPr>
                <w:sz w:val="20"/>
                <w:szCs w:val="20"/>
              </w:rPr>
              <w:t>oxLDL</w:t>
            </w:r>
            <w:proofErr w:type="spellEnd"/>
            <w:r w:rsidRPr="002C641F">
              <w:rPr>
                <w:sz w:val="20"/>
                <w:szCs w:val="20"/>
              </w:rPr>
              <w:t xml:space="preserve">), serum </w:t>
            </w:r>
            <w:proofErr w:type="spellStart"/>
            <w:r w:rsidRPr="002C641F">
              <w:rPr>
                <w:sz w:val="20"/>
                <w:szCs w:val="20"/>
              </w:rPr>
              <w:t>anticarbiolipin</w:t>
            </w:r>
            <w:proofErr w:type="spellEnd"/>
            <w:r w:rsidRPr="002C641F">
              <w:rPr>
                <w:sz w:val="20"/>
                <w:szCs w:val="20"/>
              </w:rPr>
              <w:t xml:space="preserve"> antibody (</w:t>
            </w:r>
            <w:proofErr w:type="spellStart"/>
            <w:r w:rsidRPr="002C641F">
              <w:rPr>
                <w:sz w:val="20"/>
                <w:szCs w:val="20"/>
              </w:rPr>
              <w:t>aCL</w:t>
            </w:r>
            <w:proofErr w:type="spellEnd"/>
            <w:r w:rsidRPr="002C641F">
              <w:rPr>
                <w:sz w:val="20"/>
                <w:szCs w:val="20"/>
              </w:rPr>
              <w:t xml:space="preserve">) </w:t>
            </w:r>
          </w:p>
        </w:tc>
        <w:tc>
          <w:tcPr>
            <w:tcW w:w="3260" w:type="dxa"/>
          </w:tcPr>
          <w:p w:rsidR="00A74D02" w:rsidRPr="002C641F" w:rsidRDefault="00A74D02" w:rsidP="00927197">
            <w:pPr>
              <w:contextualSpacing/>
              <w:rPr>
                <w:sz w:val="20"/>
                <w:szCs w:val="20"/>
              </w:rPr>
            </w:pPr>
            <w:r w:rsidRPr="002C641F">
              <w:rPr>
                <w:sz w:val="20"/>
                <w:szCs w:val="20"/>
              </w:rPr>
              <w:t>Prevalence of hypertension 29.5% v 11.0% (p&lt;0.05)</w:t>
            </w:r>
          </w:p>
          <w:p w:rsidR="00A74D02" w:rsidRPr="002C641F" w:rsidRDefault="00A74D02" w:rsidP="00927197">
            <w:pPr>
              <w:contextualSpacing/>
              <w:rPr>
                <w:sz w:val="20"/>
                <w:szCs w:val="20"/>
              </w:rPr>
            </w:pPr>
            <w:r w:rsidRPr="002C641F">
              <w:rPr>
                <w:sz w:val="20"/>
                <w:szCs w:val="20"/>
              </w:rPr>
              <w:t xml:space="preserve">P-selectin  9.1% v 2.4% </w:t>
            </w:r>
          </w:p>
          <w:p w:rsidR="00A74D02" w:rsidRPr="002C641F" w:rsidRDefault="00A74D02" w:rsidP="00927197">
            <w:pPr>
              <w:contextualSpacing/>
              <w:rPr>
                <w:sz w:val="20"/>
                <w:szCs w:val="20"/>
              </w:rPr>
            </w:pPr>
            <w:r w:rsidRPr="002C641F">
              <w:rPr>
                <w:sz w:val="20"/>
                <w:szCs w:val="20"/>
              </w:rPr>
              <w:t>Platelet aggregation  36% increase (p&lt;0.001)</w:t>
            </w:r>
          </w:p>
          <w:p w:rsidR="00A74D02" w:rsidRPr="002C641F" w:rsidRDefault="00A74D02" w:rsidP="00927197">
            <w:pPr>
              <w:contextualSpacing/>
              <w:rPr>
                <w:sz w:val="20"/>
                <w:szCs w:val="20"/>
              </w:rPr>
            </w:pPr>
            <w:r w:rsidRPr="002C641F">
              <w:rPr>
                <w:sz w:val="20"/>
                <w:szCs w:val="20"/>
              </w:rPr>
              <w:t>ROS significantly higher</w:t>
            </w:r>
          </w:p>
          <w:p w:rsidR="00A74D02" w:rsidRPr="002C641F" w:rsidRDefault="00A74D02" w:rsidP="00927197">
            <w:pPr>
              <w:contextualSpacing/>
              <w:rPr>
                <w:sz w:val="20"/>
                <w:szCs w:val="20"/>
              </w:rPr>
            </w:pPr>
            <w:r w:rsidRPr="002C641F">
              <w:rPr>
                <w:sz w:val="20"/>
                <w:szCs w:val="20"/>
              </w:rPr>
              <w:t xml:space="preserve">Mean </w:t>
            </w:r>
            <w:proofErr w:type="spellStart"/>
            <w:r w:rsidRPr="002C641F">
              <w:rPr>
                <w:sz w:val="20"/>
                <w:szCs w:val="20"/>
              </w:rPr>
              <w:t>oxLDL</w:t>
            </w:r>
            <w:proofErr w:type="spellEnd"/>
            <w:r w:rsidRPr="002C641F">
              <w:rPr>
                <w:sz w:val="20"/>
                <w:szCs w:val="20"/>
              </w:rPr>
              <w:t xml:space="preserve">  166.6 v 46.5 U/l (p&lt;0.001)</w:t>
            </w:r>
          </w:p>
          <w:p w:rsidR="00A74D02" w:rsidRPr="002C641F" w:rsidRDefault="00A74D02" w:rsidP="00927197">
            <w:pPr>
              <w:contextualSpacing/>
              <w:rPr>
                <w:sz w:val="20"/>
                <w:szCs w:val="20"/>
              </w:rPr>
            </w:pPr>
            <w:r w:rsidRPr="002C641F">
              <w:rPr>
                <w:sz w:val="20"/>
                <w:szCs w:val="20"/>
              </w:rPr>
              <w:t xml:space="preserve">Prevalence of elevated serum </w:t>
            </w:r>
            <w:proofErr w:type="spellStart"/>
            <w:r w:rsidRPr="002C641F">
              <w:rPr>
                <w:sz w:val="20"/>
                <w:szCs w:val="20"/>
              </w:rPr>
              <w:t>aCL</w:t>
            </w:r>
            <w:proofErr w:type="spellEnd"/>
            <w:r w:rsidRPr="002C641F">
              <w:rPr>
                <w:sz w:val="20"/>
                <w:szCs w:val="20"/>
              </w:rPr>
              <w:t xml:space="preserve"> 28.7% v 2.1% (p&lt;0.001)</w:t>
            </w:r>
          </w:p>
        </w:tc>
        <w:tc>
          <w:tcPr>
            <w:tcW w:w="1843" w:type="dxa"/>
          </w:tcPr>
          <w:p w:rsidR="00A74D02" w:rsidRPr="002C641F" w:rsidRDefault="00A74D02" w:rsidP="00927197">
            <w:pPr>
              <w:contextualSpacing/>
              <w:rPr>
                <w:sz w:val="20"/>
                <w:szCs w:val="20"/>
              </w:rPr>
            </w:pPr>
            <w:r w:rsidRPr="002C641F">
              <w:rPr>
                <w:sz w:val="20"/>
                <w:szCs w:val="20"/>
              </w:rPr>
              <w:t>Smoking, age</w:t>
            </w:r>
          </w:p>
        </w:tc>
        <w:tc>
          <w:tcPr>
            <w:tcW w:w="1984" w:type="dxa"/>
          </w:tcPr>
          <w:p w:rsidR="00A74D02" w:rsidRPr="002C641F" w:rsidRDefault="00A74D02" w:rsidP="00927197">
            <w:pPr>
              <w:contextualSpacing/>
              <w:rPr>
                <w:sz w:val="20"/>
                <w:szCs w:val="20"/>
              </w:rPr>
            </w:pPr>
            <w:r w:rsidRPr="002C641F">
              <w:rPr>
                <w:sz w:val="20"/>
                <w:szCs w:val="20"/>
              </w:rPr>
              <w:t>Women using biomass were less educated and had lower family income.</w:t>
            </w:r>
          </w:p>
          <w:p w:rsidR="00A74D02" w:rsidRPr="002C641F" w:rsidRDefault="00A74D02" w:rsidP="00927197">
            <w:pPr>
              <w:contextualSpacing/>
              <w:rPr>
                <w:sz w:val="20"/>
                <w:szCs w:val="20"/>
              </w:rPr>
            </w:pPr>
            <w:r w:rsidRPr="002C641F">
              <w:rPr>
                <w:sz w:val="20"/>
                <w:szCs w:val="20"/>
              </w:rPr>
              <w:t>8-h mean PM</w:t>
            </w:r>
            <w:r w:rsidRPr="002C641F">
              <w:rPr>
                <w:sz w:val="20"/>
                <w:szCs w:val="20"/>
                <w:vertAlign w:val="subscript"/>
              </w:rPr>
              <w:t>2.5</w:t>
            </w:r>
            <w:r w:rsidRPr="002C641F">
              <w:rPr>
                <w:sz w:val="20"/>
                <w:szCs w:val="20"/>
              </w:rPr>
              <w:t xml:space="preserve"> concentration in cooking areas 156 v 52 </w:t>
            </w:r>
            <w:proofErr w:type="spellStart"/>
            <w:r w:rsidRPr="002C641F">
              <w:rPr>
                <w:sz w:val="20"/>
                <w:szCs w:val="20"/>
              </w:rPr>
              <w:t>μg</w:t>
            </w:r>
            <w:proofErr w:type="spellEnd"/>
            <w:r w:rsidRPr="002C641F">
              <w:rPr>
                <w:sz w:val="20"/>
                <w:szCs w:val="20"/>
              </w:rPr>
              <w:t>/m</w:t>
            </w:r>
            <w:r w:rsidRPr="002C641F">
              <w:rPr>
                <w:sz w:val="20"/>
                <w:szCs w:val="20"/>
                <w:vertAlign w:val="superscript"/>
              </w:rPr>
              <w:t>3</w:t>
            </w:r>
          </w:p>
          <w:p w:rsidR="00A74D02" w:rsidRPr="002C641F" w:rsidRDefault="00A74D02" w:rsidP="00927197">
            <w:pPr>
              <w:contextualSpacing/>
              <w:rPr>
                <w:sz w:val="20"/>
                <w:szCs w:val="20"/>
              </w:rPr>
            </w:pPr>
            <w:r w:rsidRPr="002C641F">
              <w:rPr>
                <w:sz w:val="20"/>
                <w:szCs w:val="20"/>
              </w:rPr>
              <w:t>Statistical methods are poorly described</w:t>
            </w:r>
          </w:p>
        </w:tc>
      </w:tr>
      <w:tr w:rsidR="00A74D02" w:rsidRPr="00BF3F0C" w:rsidTr="00C73604">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260"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C73604">
        <w:tc>
          <w:tcPr>
            <w:tcW w:w="1418" w:type="dxa"/>
          </w:tcPr>
          <w:p w:rsidR="00A74D02" w:rsidRPr="002C641F" w:rsidRDefault="00A74D02" w:rsidP="00927197">
            <w:pPr>
              <w:contextualSpacing/>
              <w:rPr>
                <w:sz w:val="20"/>
                <w:szCs w:val="20"/>
              </w:rPr>
            </w:pPr>
            <w:r w:rsidRPr="002C641F">
              <w:rPr>
                <w:sz w:val="20"/>
                <w:szCs w:val="20"/>
              </w:rPr>
              <w:t>Nicaragua</w:t>
            </w:r>
          </w:p>
          <w:p w:rsidR="00A74D02" w:rsidRPr="003027AC" w:rsidRDefault="00A74D02" w:rsidP="00927197">
            <w:pPr>
              <w:contextualSpacing/>
              <w:rPr>
                <w:sz w:val="20"/>
                <w:szCs w:val="20"/>
                <w:vertAlign w:val="superscript"/>
              </w:rPr>
            </w:pPr>
            <w:r w:rsidRPr="002C641F">
              <w:rPr>
                <w:sz w:val="20"/>
                <w:szCs w:val="20"/>
              </w:rPr>
              <w:t>Clark et al (2011)</w:t>
            </w:r>
            <w:r w:rsidR="003027AC">
              <w:rPr>
                <w:sz w:val="20"/>
                <w:szCs w:val="20"/>
                <w:vertAlign w:val="superscript"/>
              </w:rPr>
              <w:t>17</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123 non-smoking women aged 11-80, who cooked using traditional biomass stoves</w:t>
            </w:r>
          </w:p>
        </w:tc>
        <w:tc>
          <w:tcPr>
            <w:tcW w:w="1418" w:type="dxa"/>
          </w:tcPr>
          <w:p w:rsidR="00A74D02" w:rsidRPr="002C641F" w:rsidRDefault="00A74D02" w:rsidP="00927197">
            <w:pPr>
              <w:contextualSpacing/>
              <w:rPr>
                <w:sz w:val="20"/>
                <w:szCs w:val="20"/>
              </w:rPr>
            </w:pPr>
            <w:r w:rsidRPr="002C641F">
              <w:rPr>
                <w:sz w:val="20"/>
                <w:szCs w:val="20"/>
              </w:rPr>
              <w:t>Increase by inter-quartile range in 48-hr indoor PM</w:t>
            </w:r>
            <w:r w:rsidRPr="002C641F">
              <w:rPr>
                <w:sz w:val="20"/>
                <w:szCs w:val="20"/>
                <w:vertAlign w:val="subscript"/>
              </w:rPr>
              <w:t>2.5</w:t>
            </w:r>
            <w:r w:rsidRPr="002C641F">
              <w:rPr>
                <w:sz w:val="20"/>
                <w:szCs w:val="20"/>
              </w:rPr>
              <w:t xml:space="preserve"> (1212 </w:t>
            </w:r>
            <w:proofErr w:type="spellStart"/>
            <w:r w:rsidRPr="002C641F">
              <w:rPr>
                <w:sz w:val="20"/>
                <w:szCs w:val="20"/>
              </w:rPr>
              <w:t>μg</w:t>
            </w:r>
            <w:proofErr w:type="spellEnd"/>
            <w:r w:rsidRPr="002C641F">
              <w:rPr>
                <w:sz w:val="20"/>
                <w:szCs w:val="20"/>
              </w:rPr>
              <w:t>/m</w:t>
            </w:r>
            <w:r w:rsidRPr="002C641F">
              <w:rPr>
                <w:sz w:val="20"/>
                <w:szCs w:val="20"/>
                <w:vertAlign w:val="superscript"/>
              </w:rPr>
              <w:t>3</w:t>
            </w:r>
            <w:r w:rsidRPr="002C641F">
              <w:rPr>
                <w:sz w:val="20"/>
                <w:szCs w:val="20"/>
              </w:rPr>
              <w:t xml:space="preserve">), indoor CO (24 ppm) and personal CO (2 ppm) </w:t>
            </w:r>
          </w:p>
        </w:tc>
        <w:tc>
          <w:tcPr>
            <w:tcW w:w="1843" w:type="dxa"/>
          </w:tcPr>
          <w:p w:rsidR="00A74D02" w:rsidRPr="002C641F" w:rsidRDefault="00A74D02" w:rsidP="00927197">
            <w:pPr>
              <w:contextualSpacing/>
              <w:rPr>
                <w:sz w:val="20"/>
                <w:szCs w:val="20"/>
              </w:rPr>
            </w:pPr>
            <w:r w:rsidRPr="002C641F">
              <w:rPr>
                <w:sz w:val="20"/>
                <w:szCs w:val="20"/>
              </w:rPr>
              <w:t>Difference in systolic blood pressure, diastolic blood pressure  and heart rate (assessed by pulse oximeter)</w:t>
            </w:r>
          </w:p>
        </w:tc>
        <w:tc>
          <w:tcPr>
            <w:tcW w:w="3260" w:type="dxa"/>
          </w:tcPr>
          <w:p w:rsidR="00A74D02" w:rsidRPr="002C641F" w:rsidRDefault="00A74D02" w:rsidP="00927197">
            <w:pPr>
              <w:contextualSpacing/>
              <w:rPr>
                <w:sz w:val="20"/>
                <w:szCs w:val="20"/>
              </w:rPr>
            </w:pPr>
            <w:r w:rsidRPr="002C641F">
              <w:rPr>
                <w:sz w:val="20"/>
                <w:szCs w:val="20"/>
              </w:rPr>
              <w:t>Systolic blood pressure (mm Hg)</w:t>
            </w:r>
          </w:p>
          <w:p w:rsidR="00A74D02" w:rsidRPr="002C641F" w:rsidRDefault="00A74D02" w:rsidP="00927197">
            <w:pPr>
              <w:contextualSpacing/>
              <w:rPr>
                <w:sz w:val="20"/>
                <w:szCs w:val="20"/>
              </w:rPr>
            </w:pPr>
            <w:r w:rsidRPr="002C641F">
              <w:rPr>
                <w:sz w:val="20"/>
                <w:szCs w:val="20"/>
              </w:rPr>
              <w:t>Indoor PM</w:t>
            </w:r>
            <w:r w:rsidRPr="002C641F">
              <w:rPr>
                <w:sz w:val="20"/>
                <w:szCs w:val="20"/>
                <w:vertAlign w:val="subscript"/>
              </w:rPr>
              <w:t>2.5</w:t>
            </w:r>
            <w:r w:rsidRPr="002C641F">
              <w:rPr>
                <w:sz w:val="20"/>
                <w:szCs w:val="20"/>
              </w:rPr>
              <w:t xml:space="preserve">  0.45 (95%CI -2.61 to 3.52)</w:t>
            </w:r>
          </w:p>
          <w:p w:rsidR="00A74D02" w:rsidRPr="002C641F" w:rsidRDefault="00A74D02" w:rsidP="00927197">
            <w:pPr>
              <w:contextualSpacing/>
              <w:rPr>
                <w:sz w:val="20"/>
                <w:szCs w:val="20"/>
              </w:rPr>
            </w:pPr>
            <w:r w:rsidRPr="002C641F">
              <w:rPr>
                <w:sz w:val="20"/>
                <w:szCs w:val="20"/>
              </w:rPr>
              <w:t>Indoor CO  1.78 (95%CI -1.25 to 4.81)</w:t>
            </w:r>
          </w:p>
          <w:p w:rsidR="00A74D02" w:rsidRPr="002C641F" w:rsidRDefault="00A74D02" w:rsidP="00927197">
            <w:pPr>
              <w:contextualSpacing/>
              <w:rPr>
                <w:sz w:val="20"/>
                <w:szCs w:val="20"/>
              </w:rPr>
            </w:pPr>
            <w:r w:rsidRPr="002C641F">
              <w:rPr>
                <w:sz w:val="20"/>
                <w:szCs w:val="20"/>
              </w:rPr>
              <w:t>Personal CO  1.89 (95%CI -0.48 to 4.26)</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Diastolic blood pressure</w:t>
            </w:r>
            <w:r w:rsidR="00C73604">
              <w:rPr>
                <w:sz w:val="20"/>
                <w:szCs w:val="20"/>
              </w:rPr>
              <w:t xml:space="preserve"> (mm Hg)</w:t>
            </w:r>
          </w:p>
          <w:p w:rsidR="00A74D02" w:rsidRPr="002C641F" w:rsidRDefault="00A74D02" w:rsidP="00927197">
            <w:pPr>
              <w:contextualSpacing/>
              <w:rPr>
                <w:sz w:val="20"/>
                <w:szCs w:val="20"/>
              </w:rPr>
            </w:pPr>
            <w:r w:rsidRPr="002C641F">
              <w:rPr>
                <w:sz w:val="20"/>
                <w:szCs w:val="20"/>
              </w:rPr>
              <w:t>Indoor PM</w:t>
            </w:r>
            <w:r w:rsidRPr="002C641F">
              <w:rPr>
                <w:sz w:val="20"/>
                <w:szCs w:val="20"/>
                <w:vertAlign w:val="subscript"/>
              </w:rPr>
              <w:t>2.5</w:t>
            </w:r>
            <w:r w:rsidRPr="002C641F">
              <w:rPr>
                <w:sz w:val="20"/>
                <w:szCs w:val="20"/>
              </w:rPr>
              <w:t xml:space="preserve">  -0.12 (95%CI -2.15 to 1.9) </w:t>
            </w:r>
          </w:p>
          <w:p w:rsidR="00A74D02" w:rsidRPr="002C641F" w:rsidRDefault="00A74D02" w:rsidP="00927197">
            <w:pPr>
              <w:contextualSpacing/>
              <w:rPr>
                <w:sz w:val="20"/>
                <w:szCs w:val="20"/>
              </w:rPr>
            </w:pPr>
            <w:r w:rsidRPr="002C641F">
              <w:rPr>
                <w:sz w:val="20"/>
                <w:szCs w:val="20"/>
              </w:rPr>
              <w:t>Indoor CO  0.06 (95%CI -1.95 to 2.07)</w:t>
            </w:r>
          </w:p>
          <w:p w:rsidR="00A74D02" w:rsidRPr="002C641F" w:rsidRDefault="00A74D02" w:rsidP="00927197">
            <w:pPr>
              <w:contextualSpacing/>
              <w:rPr>
                <w:sz w:val="20"/>
                <w:szCs w:val="20"/>
              </w:rPr>
            </w:pPr>
            <w:r w:rsidRPr="002C641F">
              <w:rPr>
                <w:sz w:val="20"/>
                <w:szCs w:val="20"/>
              </w:rPr>
              <w:t>Personal CO  0.5 (95%CI -1.12 to 2.13)</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Heart rate  (beats/min)</w:t>
            </w:r>
          </w:p>
          <w:p w:rsidR="00A74D02" w:rsidRPr="002C641F" w:rsidRDefault="00A74D02" w:rsidP="00927197">
            <w:pPr>
              <w:contextualSpacing/>
              <w:rPr>
                <w:sz w:val="20"/>
                <w:szCs w:val="20"/>
              </w:rPr>
            </w:pPr>
            <w:r w:rsidRPr="002C641F">
              <w:rPr>
                <w:sz w:val="20"/>
                <w:szCs w:val="20"/>
              </w:rPr>
              <w:t>Indoor PM</w:t>
            </w:r>
            <w:r w:rsidRPr="002C641F">
              <w:rPr>
                <w:sz w:val="20"/>
                <w:szCs w:val="20"/>
                <w:vertAlign w:val="subscript"/>
              </w:rPr>
              <w:t>2.5</w:t>
            </w:r>
            <w:r w:rsidRPr="002C641F">
              <w:rPr>
                <w:sz w:val="20"/>
                <w:szCs w:val="20"/>
              </w:rPr>
              <w:t xml:space="preserve">  1.55 (95%CI -0.53 to 3.63)</w:t>
            </w:r>
          </w:p>
          <w:p w:rsidR="00A74D02" w:rsidRPr="002C641F" w:rsidRDefault="00A74D02" w:rsidP="00927197">
            <w:pPr>
              <w:contextualSpacing/>
              <w:rPr>
                <w:sz w:val="20"/>
                <w:szCs w:val="20"/>
              </w:rPr>
            </w:pPr>
            <w:r w:rsidRPr="002C641F">
              <w:rPr>
                <w:sz w:val="20"/>
                <w:szCs w:val="20"/>
              </w:rPr>
              <w:t>Indoor CO  0.57 (95%CI -1.50 to 2.65)</w:t>
            </w:r>
          </w:p>
          <w:p w:rsidR="00A74D02" w:rsidRPr="002C641F" w:rsidRDefault="00A74D02" w:rsidP="00927197">
            <w:pPr>
              <w:contextualSpacing/>
              <w:rPr>
                <w:sz w:val="20"/>
                <w:szCs w:val="20"/>
              </w:rPr>
            </w:pPr>
            <w:r w:rsidRPr="002C641F">
              <w:rPr>
                <w:sz w:val="20"/>
                <w:szCs w:val="20"/>
              </w:rPr>
              <w:t>Personal CO  (1.97 (95%CI 0.22 to 3.72)</w:t>
            </w:r>
          </w:p>
        </w:tc>
        <w:tc>
          <w:tcPr>
            <w:tcW w:w="1843" w:type="dxa"/>
          </w:tcPr>
          <w:p w:rsidR="00A74D02" w:rsidRPr="002C641F" w:rsidRDefault="00A74D02" w:rsidP="00927197">
            <w:pPr>
              <w:contextualSpacing/>
              <w:rPr>
                <w:sz w:val="20"/>
                <w:szCs w:val="20"/>
              </w:rPr>
            </w:pPr>
            <w:r w:rsidRPr="002C641F">
              <w:rPr>
                <w:sz w:val="20"/>
                <w:szCs w:val="20"/>
              </w:rPr>
              <w:t>Smoking, age, body mass index,  environmental tobacco smoke, and education</w:t>
            </w:r>
          </w:p>
        </w:tc>
        <w:tc>
          <w:tcPr>
            <w:tcW w:w="1984" w:type="dxa"/>
          </w:tcPr>
          <w:p w:rsidR="00A74D02" w:rsidRPr="002C641F" w:rsidRDefault="00A74D02" w:rsidP="00927197">
            <w:pPr>
              <w:contextualSpacing/>
              <w:rPr>
                <w:sz w:val="20"/>
                <w:szCs w:val="20"/>
              </w:rPr>
            </w:pPr>
          </w:p>
        </w:tc>
      </w:tr>
      <w:tr w:rsidR="00A74D02" w:rsidRPr="00BF3F0C" w:rsidTr="00C73604">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260"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C73604">
        <w:tc>
          <w:tcPr>
            <w:tcW w:w="1418" w:type="dxa"/>
          </w:tcPr>
          <w:p w:rsidR="00A74D02" w:rsidRPr="002C641F" w:rsidRDefault="00A74D02" w:rsidP="00927197">
            <w:pPr>
              <w:contextualSpacing/>
              <w:rPr>
                <w:sz w:val="20"/>
                <w:szCs w:val="20"/>
              </w:rPr>
            </w:pPr>
            <w:r w:rsidRPr="002C641F">
              <w:rPr>
                <w:sz w:val="20"/>
                <w:szCs w:val="20"/>
              </w:rPr>
              <w:t>China</w:t>
            </w:r>
          </w:p>
          <w:p w:rsidR="00A74D02" w:rsidRPr="003027AC" w:rsidRDefault="00A74D02" w:rsidP="00927197">
            <w:pPr>
              <w:contextualSpacing/>
              <w:rPr>
                <w:sz w:val="20"/>
                <w:szCs w:val="20"/>
                <w:vertAlign w:val="superscript"/>
              </w:rPr>
            </w:pPr>
            <w:r w:rsidRPr="002C641F">
              <w:rPr>
                <w:sz w:val="20"/>
                <w:szCs w:val="20"/>
              </w:rPr>
              <w:t>Baumgartner et al (2011)</w:t>
            </w:r>
            <w:r w:rsidR="003027AC">
              <w:rPr>
                <w:sz w:val="20"/>
                <w:szCs w:val="20"/>
                <w:vertAlign w:val="superscript"/>
              </w:rPr>
              <w:t>18</w:t>
            </w:r>
          </w:p>
          <w:p w:rsidR="00A74D02" w:rsidRPr="003027AC" w:rsidRDefault="00A74D02" w:rsidP="00927197">
            <w:pPr>
              <w:contextualSpacing/>
              <w:rPr>
                <w:sz w:val="20"/>
                <w:szCs w:val="20"/>
                <w:vertAlign w:val="superscript"/>
              </w:rPr>
            </w:pPr>
            <w:r>
              <w:rPr>
                <w:sz w:val="20"/>
                <w:szCs w:val="20"/>
              </w:rPr>
              <w:t>Baumgartner et al (2014)</w:t>
            </w:r>
            <w:r w:rsidR="003027AC">
              <w:rPr>
                <w:sz w:val="20"/>
                <w:szCs w:val="20"/>
                <w:vertAlign w:val="superscript"/>
              </w:rPr>
              <w:t>19</w:t>
            </w:r>
          </w:p>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 xml:space="preserve">280 non-smoking women aged ≥25 in rural households using biomass fuels (mainly wood or charcoal) </w:t>
            </w:r>
          </w:p>
        </w:tc>
        <w:tc>
          <w:tcPr>
            <w:tcW w:w="1418" w:type="dxa"/>
          </w:tcPr>
          <w:p w:rsidR="00A74D02" w:rsidRPr="002C641F" w:rsidRDefault="00A74D02" w:rsidP="00927197">
            <w:pPr>
              <w:contextualSpacing/>
              <w:rPr>
                <w:sz w:val="20"/>
                <w:szCs w:val="20"/>
              </w:rPr>
            </w:pPr>
            <w:r w:rsidRPr="002C641F">
              <w:rPr>
                <w:sz w:val="20"/>
                <w:szCs w:val="20"/>
              </w:rPr>
              <w:t>Levels of personal 24-hr average exposure to PM</w:t>
            </w:r>
            <w:r w:rsidRPr="002C641F">
              <w:rPr>
                <w:sz w:val="20"/>
                <w:szCs w:val="20"/>
                <w:vertAlign w:val="subscript"/>
              </w:rPr>
              <w:t>2.5</w:t>
            </w:r>
            <w:r>
              <w:rPr>
                <w:sz w:val="20"/>
                <w:szCs w:val="20"/>
              </w:rPr>
              <w:t>, black carbon and water-soluble organic mass</w:t>
            </w:r>
            <w:r w:rsidRPr="002C641F">
              <w:rPr>
                <w:sz w:val="20"/>
                <w:szCs w:val="20"/>
              </w:rPr>
              <w:t xml:space="preserve"> </w:t>
            </w:r>
          </w:p>
        </w:tc>
        <w:tc>
          <w:tcPr>
            <w:tcW w:w="1843" w:type="dxa"/>
          </w:tcPr>
          <w:p w:rsidR="00A74D02" w:rsidRPr="002C641F" w:rsidRDefault="00A74D02" w:rsidP="00927197">
            <w:pPr>
              <w:contextualSpacing/>
              <w:rPr>
                <w:sz w:val="20"/>
                <w:szCs w:val="20"/>
              </w:rPr>
            </w:pPr>
            <w:r w:rsidRPr="002C641F">
              <w:rPr>
                <w:sz w:val="20"/>
                <w:szCs w:val="20"/>
              </w:rPr>
              <w:t>Systolic and diastolic blood pressure (SBP and DBP)</w:t>
            </w:r>
          </w:p>
        </w:tc>
        <w:tc>
          <w:tcPr>
            <w:tcW w:w="3260" w:type="dxa"/>
          </w:tcPr>
          <w:p w:rsidR="00A74D02" w:rsidRDefault="00A74D02" w:rsidP="00927197">
            <w:pPr>
              <w:contextualSpacing/>
              <w:rPr>
                <w:sz w:val="20"/>
                <w:szCs w:val="20"/>
              </w:rPr>
            </w:pPr>
            <w:r w:rsidRPr="002C641F">
              <w:rPr>
                <w:sz w:val="20"/>
                <w:szCs w:val="20"/>
              </w:rPr>
              <w:t>A 1-log-μg/m</w:t>
            </w:r>
            <w:r w:rsidRPr="002C641F">
              <w:rPr>
                <w:sz w:val="20"/>
                <w:szCs w:val="20"/>
                <w:vertAlign w:val="superscript"/>
              </w:rPr>
              <w:t>3</w:t>
            </w:r>
            <w:r w:rsidRPr="002C641F">
              <w:rPr>
                <w:sz w:val="20"/>
                <w:szCs w:val="20"/>
              </w:rPr>
              <w:t xml:space="preserve"> increase in PM</w:t>
            </w:r>
            <w:r w:rsidRPr="002C641F">
              <w:rPr>
                <w:sz w:val="20"/>
                <w:szCs w:val="20"/>
                <w:vertAlign w:val="subscript"/>
              </w:rPr>
              <w:t>2.5</w:t>
            </w:r>
            <w:r w:rsidRPr="002C641F">
              <w:rPr>
                <w:sz w:val="20"/>
                <w:szCs w:val="20"/>
              </w:rPr>
              <w:t xml:space="preserve"> exposures was associated with 2.2 (95%CI 0.8 to 3.7) mm Hg higher SBP and 0.5 (95%CI -0.4 to 1.3) mm Hg higher DBP</w:t>
            </w:r>
          </w:p>
          <w:p w:rsidR="00A74D02" w:rsidRPr="002C641F" w:rsidRDefault="00A74D02" w:rsidP="00927197">
            <w:pPr>
              <w:contextualSpacing/>
              <w:rPr>
                <w:sz w:val="20"/>
                <w:szCs w:val="20"/>
              </w:rPr>
            </w:pPr>
            <w:r>
              <w:rPr>
                <w:sz w:val="20"/>
                <w:szCs w:val="20"/>
              </w:rPr>
              <w:t>Among different measures of particulate air pollution, associations with SBP and DBP were strongest and most robust for black carbon.</w:t>
            </w:r>
          </w:p>
        </w:tc>
        <w:tc>
          <w:tcPr>
            <w:tcW w:w="1843" w:type="dxa"/>
          </w:tcPr>
          <w:p w:rsidR="00A74D02" w:rsidRPr="002C641F" w:rsidRDefault="00A74D02" w:rsidP="00927197">
            <w:pPr>
              <w:contextualSpacing/>
              <w:rPr>
                <w:sz w:val="20"/>
                <w:szCs w:val="20"/>
              </w:rPr>
            </w:pPr>
            <w:r w:rsidRPr="002C641F">
              <w:rPr>
                <w:sz w:val="20"/>
                <w:szCs w:val="20"/>
              </w:rPr>
              <w:t xml:space="preserve">Age, waist circumference, physical activity, socio-economic status, salt intake, day of week, time of day and average ambient temperature </w:t>
            </w:r>
          </w:p>
        </w:tc>
        <w:tc>
          <w:tcPr>
            <w:tcW w:w="1984" w:type="dxa"/>
          </w:tcPr>
          <w:p w:rsidR="00A74D02" w:rsidRPr="002C641F" w:rsidRDefault="00A74D02" w:rsidP="00927197">
            <w:pPr>
              <w:contextualSpacing/>
              <w:rPr>
                <w:sz w:val="20"/>
                <w:szCs w:val="20"/>
              </w:rPr>
            </w:pPr>
          </w:p>
        </w:tc>
      </w:tr>
      <w:tr w:rsidR="00A74D02" w:rsidRPr="00BF3F0C" w:rsidTr="00C73604">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260"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C73604">
        <w:tc>
          <w:tcPr>
            <w:tcW w:w="1418" w:type="dxa"/>
          </w:tcPr>
          <w:p w:rsidR="00A74D02" w:rsidRPr="002C641F" w:rsidRDefault="00A74D02" w:rsidP="00927197">
            <w:pPr>
              <w:contextualSpacing/>
              <w:rPr>
                <w:sz w:val="20"/>
                <w:szCs w:val="20"/>
              </w:rPr>
            </w:pPr>
            <w:r w:rsidRPr="002C641F">
              <w:rPr>
                <w:sz w:val="20"/>
                <w:szCs w:val="20"/>
              </w:rPr>
              <w:t>India</w:t>
            </w:r>
          </w:p>
          <w:p w:rsidR="00A74D02" w:rsidRPr="003027AC" w:rsidRDefault="00A74D02" w:rsidP="00927197">
            <w:pPr>
              <w:contextualSpacing/>
              <w:rPr>
                <w:sz w:val="20"/>
                <w:szCs w:val="20"/>
                <w:vertAlign w:val="superscript"/>
              </w:rPr>
            </w:pPr>
            <w:proofErr w:type="spellStart"/>
            <w:r w:rsidRPr="002C641F">
              <w:rPr>
                <w:sz w:val="20"/>
                <w:szCs w:val="20"/>
              </w:rPr>
              <w:t>Firdaus</w:t>
            </w:r>
            <w:proofErr w:type="spellEnd"/>
            <w:r w:rsidRPr="002C641F">
              <w:rPr>
                <w:sz w:val="20"/>
                <w:szCs w:val="20"/>
              </w:rPr>
              <w:t xml:space="preserve"> et al (2011)</w:t>
            </w:r>
            <w:r w:rsidR="003027AC">
              <w:rPr>
                <w:sz w:val="20"/>
                <w:szCs w:val="20"/>
                <w:vertAlign w:val="superscript"/>
              </w:rPr>
              <w:t>20</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5949 households selected by partially random multi-stage sampling</w:t>
            </w:r>
          </w:p>
        </w:tc>
        <w:tc>
          <w:tcPr>
            <w:tcW w:w="1418" w:type="dxa"/>
          </w:tcPr>
          <w:p w:rsidR="00A74D02" w:rsidRPr="002C641F" w:rsidRDefault="00A74D02" w:rsidP="00927197">
            <w:pPr>
              <w:contextualSpacing/>
              <w:rPr>
                <w:sz w:val="20"/>
                <w:szCs w:val="20"/>
              </w:rPr>
            </w:pPr>
            <w:r w:rsidRPr="002C641F">
              <w:rPr>
                <w:sz w:val="20"/>
                <w:szCs w:val="20"/>
              </w:rPr>
              <w:t>Use of traditional fuels v non-use</w:t>
            </w:r>
          </w:p>
        </w:tc>
        <w:tc>
          <w:tcPr>
            <w:tcW w:w="1843" w:type="dxa"/>
          </w:tcPr>
          <w:p w:rsidR="00A74D02" w:rsidRPr="002C641F" w:rsidRDefault="00A74D02" w:rsidP="00927197">
            <w:pPr>
              <w:contextualSpacing/>
              <w:rPr>
                <w:sz w:val="20"/>
                <w:szCs w:val="20"/>
              </w:rPr>
            </w:pPr>
            <w:r w:rsidRPr="002C641F">
              <w:rPr>
                <w:sz w:val="20"/>
                <w:szCs w:val="20"/>
              </w:rPr>
              <w:t>Cardiovascular disease the most frequently occurring disease faced by at least one household member in last 3 months</w:t>
            </w:r>
          </w:p>
        </w:tc>
        <w:tc>
          <w:tcPr>
            <w:tcW w:w="3260" w:type="dxa"/>
          </w:tcPr>
          <w:p w:rsidR="00A74D02" w:rsidRPr="002C641F" w:rsidRDefault="00A74D02" w:rsidP="00927197">
            <w:pPr>
              <w:contextualSpacing/>
              <w:rPr>
                <w:sz w:val="20"/>
                <w:szCs w:val="20"/>
              </w:rPr>
            </w:pPr>
            <w:r w:rsidRPr="002C641F">
              <w:rPr>
                <w:sz w:val="20"/>
                <w:szCs w:val="20"/>
              </w:rPr>
              <w:t>Odds ratio 1.22 (95%CI 1.09-1.35)</w:t>
            </w:r>
          </w:p>
        </w:tc>
        <w:tc>
          <w:tcPr>
            <w:tcW w:w="1843"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r w:rsidRPr="002C641F">
              <w:rPr>
                <w:sz w:val="20"/>
                <w:szCs w:val="20"/>
              </w:rPr>
              <w:t>Crude analysis with poorly specified health outcome and no control for potential confounders.</w:t>
            </w:r>
          </w:p>
        </w:tc>
      </w:tr>
      <w:tr w:rsidR="00A74D02" w:rsidRPr="00BF3F0C" w:rsidTr="00C73604">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260"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bl>
    <w:p w:rsidR="009730AB" w:rsidRDefault="009730AB">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lastRenderedPageBreak/>
              <w:t>Guatemala,</w:t>
            </w:r>
          </w:p>
          <w:p w:rsidR="00A74D02" w:rsidRPr="003027AC" w:rsidRDefault="00A74D02" w:rsidP="00927197">
            <w:pPr>
              <w:contextualSpacing/>
              <w:rPr>
                <w:sz w:val="20"/>
                <w:szCs w:val="20"/>
                <w:vertAlign w:val="superscript"/>
              </w:rPr>
            </w:pPr>
            <w:r w:rsidRPr="002C641F">
              <w:rPr>
                <w:sz w:val="20"/>
                <w:szCs w:val="20"/>
              </w:rPr>
              <w:t>McCracken et al (2011)</w:t>
            </w:r>
            <w:r w:rsidR="003027AC">
              <w:rPr>
                <w:sz w:val="20"/>
                <w:szCs w:val="20"/>
                <w:vertAlign w:val="superscript"/>
              </w:rPr>
              <w:t>21</w:t>
            </w:r>
          </w:p>
        </w:tc>
        <w:tc>
          <w:tcPr>
            <w:tcW w:w="1418" w:type="dxa"/>
          </w:tcPr>
          <w:p w:rsidR="00A74D02" w:rsidRPr="002C641F" w:rsidRDefault="00A74D02" w:rsidP="00927197">
            <w:pPr>
              <w:contextualSpacing/>
              <w:rPr>
                <w:sz w:val="20"/>
                <w:szCs w:val="20"/>
              </w:rPr>
            </w:pPr>
            <w:r w:rsidRPr="002C641F">
              <w:rPr>
                <w:sz w:val="20"/>
                <w:szCs w:val="20"/>
              </w:rPr>
              <w:t>Controlled intervention with intervention subsequently offered to control group</w:t>
            </w:r>
          </w:p>
        </w:tc>
        <w:tc>
          <w:tcPr>
            <w:tcW w:w="1842" w:type="dxa"/>
          </w:tcPr>
          <w:p w:rsidR="00A74D02" w:rsidRPr="002C641F" w:rsidRDefault="00A74D02" w:rsidP="00927197">
            <w:pPr>
              <w:contextualSpacing/>
              <w:rPr>
                <w:sz w:val="20"/>
                <w:szCs w:val="20"/>
              </w:rPr>
            </w:pPr>
            <w:r w:rsidRPr="002C641F">
              <w:rPr>
                <w:sz w:val="20"/>
                <w:szCs w:val="20"/>
              </w:rPr>
              <w:t>119 women aged &gt;38 who cooked daily and lived in households participating in a randomised controlled trial of an improved woodstove (49 intervention and 70 controls)</w:t>
            </w:r>
          </w:p>
        </w:tc>
        <w:tc>
          <w:tcPr>
            <w:tcW w:w="1418" w:type="dxa"/>
          </w:tcPr>
          <w:p w:rsidR="00A74D02" w:rsidRPr="002C641F" w:rsidRDefault="00A74D02" w:rsidP="00927197">
            <w:pPr>
              <w:contextualSpacing/>
              <w:rPr>
                <w:sz w:val="20"/>
                <w:szCs w:val="20"/>
              </w:rPr>
            </w:pPr>
            <w:r w:rsidRPr="002C641F">
              <w:rPr>
                <w:sz w:val="20"/>
                <w:szCs w:val="20"/>
              </w:rPr>
              <w:t xml:space="preserve">Use v non-use of improved stove – </w:t>
            </w:r>
          </w:p>
          <w:p w:rsidR="00A74D02" w:rsidRPr="002C641F" w:rsidRDefault="00A74D02" w:rsidP="00927197">
            <w:pPr>
              <w:contextualSpacing/>
              <w:rPr>
                <w:sz w:val="20"/>
                <w:szCs w:val="20"/>
              </w:rPr>
            </w:pPr>
            <w:r w:rsidRPr="002C641F">
              <w:rPr>
                <w:sz w:val="20"/>
                <w:szCs w:val="20"/>
              </w:rPr>
              <w:t>Intervention v control group</w:t>
            </w:r>
          </w:p>
          <w:p w:rsidR="00A74D02" w:rsidRPr="002C641F" w:rsidRDefault="00A74D02" w:rsidP="00927197">
            <w:pPr>
              <w:contextualSpacing/>
              <w:rPr>
                <w:sz w:val="20"/>
                <w:szCs w:val="20"/>
              </w:rPr>
            </w:pPr>
            <w:r w:rsidRPr="002C641F">
              <w:rPr>
                <w:sz w:val="20"/>
                <w:szCs w:val="20"/>
              </w:rPr>
              <w:t>After v before intervention in controls who subsequently receive it</w:t>
            </w:r>
          </w:p>
        </w:tc>
        <w:tc>
          <w:tcPr>
            <w:tcW w:w="1843" w:type="dxa"/>
          </w:tcPr>
          <w:p w:rsidR="009730AB" w:rsidRDefault="00A74D02" w:rsidP="009730AB">
            <w:pPr>
              <w:contextualSpacing/>
              <w:rPr>
                <w:sz w:val="20"/>
                <w:szCs w:val="20"/>
              </w:rPr>
            </w:pPr>
            <w:r w:rsidRPr="002C641F">
              <w:rPr>
                <w:sz w:val="20"/>
                <w:szCs w:val="20"/>
              </w:rPr>
              <w:t>Heart rate variability (HRV) and ST-segment depression (</w:t>
            </w:r>
            <w:r w:rsidR="009730AB">
              <w:rPr>
                <w:sz w:val="20"/>
                <w:szCs w:val="20"/>
              </w:rPr>
              <w:t xml:space="preserve">defined as </w:t>
            </w:r>
            <w:r w:rsidRPr="002C641F">
              <w:rPr>
                <w:sz w:val="20"/>
                <w:szCs w:val="20"/>
              </w:rPr>
              <w:t>average below</w:t>
            </w:r>
            <w:r w:rsidR="009730AB">
              <w:rPr>
                <w:sz w:val="20"/>
                <w:szCs w:val="20"/>
              </w:rPr>
              <w:t xml:space="preserve"> </w:t>
            </w:r>
          </w:p>
          <w:p w:rsidR="00A74D02" w:rsidRPr="002C641F" w:rsidRDefault="00A74D02" w:rsidP="009730AB">
            <w:pPr>
              <w:contextualSpacing/>
              <w:rPr>
                <w:sz w:val="20"/>
                <w:szCs w:val="20"/>
              </w:rPr>
            </w:pPr>
            <w:r w:rsidRPr="002C641F">
              <w:rPr>
                <w:sz w:val="20"/>
                <w:szCs w:val="20"/>
              </w:rPr>
              <w:t>-1 mm)</w:t>
            </w:r>
          </w:p>
        </w:tc>
        <w:tc>
          <w:tcPr>
            <w:tcW w:w="3118" w:type="dxa"/>
          </w:tcPr>
          <w:p w:rsidR="00A74D02" w:rsidRPr="002C641F" w:rsidRDefault="00A74D02" w:rsidP="00927197">
            <w:pPr>
              <w:contextualSpacing/>
              <w:rPr>
                <w:sz w:val="20"/>
                <w:szCs w:val="20"/>
              </w:rPr>
            </w:pPr>
            <w:r w:rsidRPr="002C641F">
              <w:rPr>
                <w:sz w:val="20"/>
                <w:szCs w:val="20"/>
              </w:rPr>
              <w:t>Intervention v control group</w:t>
            </w:r>
            <w:r w:rsidR="00D42E3E">
              <w:rPr>
                <w:sz w:val="20"/>
                <w:szCs w:val="20"/>
              </w:rPr>
              <w:t>:</w:t>
            </w:r>
          </w:p>
          <w:p w:rsidR="00A74D02" w:rsidRPr="002C641F" w:rsidRDefault="00A74D02" w:rsidP="00927197">
            <w:pPr>
              <w:contextualSpacing/>
              <w:rPr>
                <w:sz w:val="20"/>
                <w:szCs w:val="20"/>
              </w:rPr>
            </w:pPr>
            <w:r w:rsidRPr="002C641F">
              <w:rPr>
                <w:sz w:val="20"/>
                <w:szCs w:val="20"/>
              </w:rPr>
              <w:t>O</w:t>
            </w:r>
            <w:r w:rsidR="00D42E3E">
              <w:rPr>
                <w:sz w:val="20"/>
                <w:szCs w:val="20"/>
              </w:rPr>
              <w:t>dds ratio</w:t>
            </w:r>
            <w:r w:rsidRPr="002C641F">
              <w:rPr>
                <w:sz w:val="20"/>
                <w:szCs w:val="20"/>
              </w:rPr>
              <w:t xml:space="preserve"> for ST segment depression  0.26 (95% CI 0.08-0.90)</w:t>
            </w:r>
          </w:p>
          <w:p w:rsidR="00A74D02" w:rsidRPr="002C641F" w:rsidRDefault="00A74D02" w:rsidP="00927197">
            <w:pPr>
              <w:contextualSpacing/>
              <w:rPr>
                <w:sz w:val="20"/>
                <w:szCs w:val="20"/>
              </w:rPr>
            </w:pPr>
          </w:p>
          <w:p w:rsidR="00D42E3E" w:rsidRDefault="00D42E3E" w:rsidP="00927197">
            <w:pPr>
              <w:contextualSpacing/>
              <w:rPr>
                <w:sz w:val="20"/>
                <w:szCs w:val="20"/>
              </w:rPr>
            </w:pPr>
          </w:p>
          <w:p w:rsidR="00A74D02" w:rsidRPr="002C641F" w:rsidRDefault="00A74D02" w:rsidP="00927197">
            <w:pPr>
              <w:contextualSpacing/>
              <w:rPr>
                <w:sz w:val="20"/>
                <w:szCs w:val="20"/>
              </w:rPr>
            </w:pPr>
            <w:r w:rsidRPr="002C641F">
              <w:rPr>
                <w:sz w:val="20"/>
                <w:szCs w:val="20"/>
              </w:rPr>
              <w:t>Control group after v before</w:t>
            </w:r>
            <w:r w:rsidR="00D42E3E">
              <w:rPr>
                <w:sz w:val="20"/>
                <w:szCs w:val="20"/>
              </w:rPr>
              <w:t>:</w:t>
            </w:r>
          </w:p>
          <w:p w:rsidR="00A74D02" w:rsidRPr="002C641F" w:rsidRDefault="00A74D02" w:rsidP="00927197">
            <w:pPr>
              <w:contextualSpacing/>
              <w:rPr>
                <w:sz w:val="20"/>
                <w:szCs w:val="20"/>
              </w:rPr>
            </w:pPr>
            <w:r w:rsidRPr="002C641F">
              <w:rPr>
                <w:sz w:val="20"/>
                <w:szCs w:val="20"/>
              </w:rPr>
              <w:t>O</w:t>
            </w:r>
            <w:r w:rsidR="00D42E3E">
              <w:rPr>
                <w:sz w:val="20"/>
                <w:szCs w:val="20"/>
              </w:rPr>
              <w:t>dds ratio</w:t>
            </w:r>
            <w:r w:rsidRPr="002C641F">
              <w:rPr>
                <w:sz w:val="20"/>
                <w:szCs w:val="20"/>
              </w:rPr>
              <w:t xml:space="preserve"> for ST segment depression  0.28 (95% CI 0.12-0.63)</w:t>
            </w:r>
          </w:p>
          <w:p w:rsidR="00A74D02" w:rsidRPr="002C641F" w:rsidRDefault="00A74D02" w:rsidP="00927197">
            <w:pPr>
              <w:contextualSpacing/>
              <w:rPr>
                <w:sz w:val="20"/>
                <w:szCs w:val="20"/>
              </w:rPr>
            </w:pPr>
          </w:p>
          <w:p w:rsidR="00D42E3E" w:rsidRDefault="00D42E3E" w:rsidP="00927197">
            <w:pPr>
              <w:contextualSpacing/>
              <w:rPr>
                <w:sz w:val="20"/>
                <w:szCs w:val="20"/>
              </w:rPr>
            </w:pPr>
          </w:p>
          <w:p w:rsidR="00A74D02" w:rsidRPr="002C641F" w:rsidRDefault="00A74D02" w:rsidP="00927197">
            <w:pPr>
              <w:contextualSpacing/>
              <w:rPr>
                <w:sz w:val="20"/>
                <w:szCs w:val="20"/>
              </w:rPr>
            </w:pPr>
            <w:r w:rsidRPr="002C641F">
              <w:rPr>
                <w:sz w:val="20"/>
                <w:szCs w:val="20"/>
              </w:rPr>
              <w:t>No significant differences in HRV in either comparison</w:t>
            </w:r>
          </w:p>
        </w:tc>
        <w:tc>
          <w:tcPr>
            <w:tcW w:w="1985" w:type="dxa"/>
          </w:tcPr>
          <w:p w:rsidR="00A74D02" w:rsidRPr="002C641F" w:rsidRDefault="00A74D02" w:rsidP="00927197">
            <w:pPr>
              <w:contextualSpacing/>
              <w:rPr>
                <w:sz w:val="20"/>
                <w:szCs w:val="20"/>
              </w:rPr>
            </w:pPr>
            <w:r w:rsidRPr="002C641F">
              <w:rPr>
                <w:sz w:val="20"/>
                <w:szCs w:val="20"/>
              </w:rPr>
              <w:t xml:space="preserve">Age (quadratic), Body mass index (quadratic), asset index, ever smoked, environmental tobacco smoke, owning a wood-fired sauna, recent use of wood-fired sauna, time of day, season (wet/dry), ambient temperature and humidity, daily rainfall, interactions of weather variable with season </w:t>
            </w:r>
          </w:p>
        </w:tc>
        <w:tc>
          <w:tcPr>
            <w:tcW w:w="1984" w:type="dxa"/>
          </w:tcPr>
          <w:p w:rsidR="00A74D02" w:rsidRPr="002C641F" w:rsidRDefault="00A74D02" w:rsidP="00927197">
            <w:pPr>
              <w:contextualSpacing/>
              <w:rPr>
                <w:sz w:val="20"/>
                <w:szCs w:val="20"/>
              </w:rPr>
            </w:pPr>
            <w:r w:rsidRPr="002C641F">
              <w:rPr>
                <w:sz w:val="20"/>
                <w:szCs w:val="20"/>
              </w:rPr>
              <w:t>Adjustment for potential confounders differed according to comparison</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Personal 24-h PM</w:t>
            </w:r>
            <w:r w:rsidRPr="002C641F">
              <w:rPr>
                <w:sz w:val="20"/>
                <w:szCs w:val="20"/>
                <w:vertAlign w:val="subscript"/>
              </w:rPr>
              <w:t>2.5</w:t>
            </w:r>
            <w:r w:rsidRPr="002C641F">
              <w:rPr>
                <w:sz w:val="20"/>
                <w:szCs w:val="20"/>
              </w:rPr>
              <w:t xml:space="preserve"> exposures during trial period were 266 v 102 </w:t>
            </w:r>
            <w:proofErr w:type="spellStart"/>
            <w:r w:rsidRPr="002C641F">
              <w:rPr>
                <w:sz w:val="20"/>
                <w:szCs w:val="20"/>
              </w:rPr>
              <w:t>μg</w:t>
            </w:r>
            <w:proofErr w:type="spellEnd"/>
            <w:r w:rsidRPr="002C641F">
              <w:rPr>
                <w:sz w:val="20"/>
                <w:szCs w:val="20"/>
              </w:rPr>
              <w:t>/m</w:t>
            </w:r>
            <w:r w:rsidRPr="002C641F">
              <w:rPr>
                <w:sz w:val="20"/>
                <w:szCs w:val="20"/>
                <w:vertAlign w:val="superscript"/>
              </w:rPr>
              <w:t>3</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t>India</w:t>
            </w:r>
          </w:p>
          <w:p w:rsidR="00A74D02" w:rsidRPr="003027AC" w:rsidRDefault="00A74D02" w:rsidP="00927197">
            <w:pPr>
              <w:contextualSpacing/>
              <w:rPr>
                <w:sz w:val="20"/>
                <w:szCs w:val="20"/>
                <w:vertAlign w:val="superscript"/>
              </w:rPr>
            </w:pPr>
            <w:r w:rsidRPr="002C641F">
              <w:rPr>
                <w:sz w:val="20"/>
                <w:szCs w:val="20"/>
              </w:rPr>
              <w:t>Dutta et al (2012)</w:t>
            </w:r>
            <w:r w:rsidR="003027AC">
              <w:rPr>
                <w:sz w:val="20"/>
                <w:szCs w:val="20"/>
                <w:vertAlign w:val="superscript"/>
              </w:rPr>
              <w:t>22</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635 healthy, non-smoking women aged 24-44, using biomass for cooking and 452 healthy, non-smoking women aged 25-44, using liquefied petroleum gas for cooking</w:t>
            </w:r>
          </w:p>
        </w:tc>
        <w:tc>
          <w:tcPr>
            <w:tcW w:w="1418" w:type="dxa"/>
          </w:tcPr>
          <w:p w:rsidR="00A74D02" w:rsidRPr="002C641F" w:rsidRDefault="00A74D02" w:rsidP="00927197">
            <w:pPr>
              <w:contextualSpacing/>
              <w:rPr>
                <w:sz w:val="20"/>
                <w:szCs w:val="20"/>
              </w:rPr>
            </w:pPr>
            <w:r w:rsidRPr="002C641F">
              <w:rPr>
                <w:sz w:val="20"/>
                <w:szCs w:val="20"/>
              </w:rPr>
              <w:t>Use of biomass v liquefied petroleum gas for cooking</w:t>
            </w:r>
          </w:p>
        </w:tc>
        <w:tc>
          <w:tcPr>
            <w:tcW w:w="1843" w:type="dxa"/>
          </w:tcPr>
          <w:p w:rsidR="00A74D02" w:rsidRPr="002C641F" w:rsidRDefault="00A74D02" w:rsidP="00927197">
            <w:pPr>
              <w:contextualSpacing/>
              <w:rPr>
                <w:sz w:val="20"/>
                <w:szCs w:val="20"/>
              </w:rPr>
            </w:pPr>
            <w:r w:rsidRPr="002C641F">
              <w:rPr>
                <w:sz w:val="20"/>
                <w:szCs w:val="20"/>
              </w:rPr>
              <w:t xml:space="preserve">Hypertension, tachycardia (&gt;100 beats per minute), serum C-reactive protein (CRP), </w:t>
            </w:r>
            <w:r w:rsidR="00D42E3E">
              <w:rPr>
                <w:sz w:val="20"/>
                <w:szCs w:val="20"/>
              </w:rPr>
              <w:t>tumour necrosis factor-alpha (</w:t>
            </w:r>
            <w:r w:rsidRPr="002C641F">
              <w:rPr>
                <w:sz w:val="20"/>
                <w:szCs w:val="20"/>
              </w:rPr>
              <w:t>TNF-α</w:t>
            </w:r>
            <w:r w:rsidR="00D42E3E">
              <w:rPr>
                <w:sz w:val="20"/>
                <w:szCs w:val="20"/>
              </w:rPr>
              <w:t>)</w:t>
            </w:r>
            <w:r w:rsidRPr="002C641F">
              <w:rPr>
                <w:sz w:val="20"/>
                <w:szCs w:val="20"/>
              </w:rPr>
              <w:t xml:space="preserve">, </w:t>
            </w:r>
            <w:r w:rsidR="00D42E3E">
              <w:rPr>
                <w:sz w:val="20"/>
                <w:szCs w:val="20"/>
              </w:rPr>
              <w:t>interleukin-8 (</w:t>
            </w:r>
            <w:r w:rsidRPr="002C641F">
              <w:rPr>
                <w:sz w:val="20"/>
                <w:szCs w:val="20"/>
              </w:rPr>
              <w:t>IL-8</w:t>
            </w:r>
            <w:r w:rsidR="00D42E3E">
              <w:rPr>
                <w:sz w:val="20"/>
                <w:szCs w:val="20"/>
              </w:rPr>
              <w:t>)</w:t>
            </w:r>
            <w:r w:rsidRPr="002C641F">
              <w:rPr>
                <w:sz w:val="20"/>
                <w:szCs w:val="20"/>
              </w:rPr>
              <w:t>, IL-6,  generation of reactive oxygen species (ROS) in leucocytes, erythrocyte superoxide dismutase (SOD)</w:t>
            </w:r>
          </w:p>
        </w:tc>
        <w:tc>
          <w:tcPr>
            <w:tcW w:w="3118" w:type="dxa"/>
          </w:tcPr>
          <w:p w:rsidR="00A74D02" w:rsidRPr="002C641F" w:rsidRDefault="00A74D02" w:rsidP="00927197">
            <w:pPr>
              <w:contextualSpacing/>
              <w:rPr>
                <w:sz w:val="20"/>
                <w:szCs w:val="20"/>
              </w:rPr>
            </w:pPr>
            <w:r w:rsidRPr="002C641F">
              <w:rPr>
                <w:sz w:val="20"/>
                <w:szCs w:val="20"/>
              </w:rPr>
              <w:t>Prevalence of hypertension  30.7% v 11.5% (p=0.0005)</w:t>
            </w:r>
          </w:p>
          <w:p w:rsidR="00A74D02" w:rsidRPr="002C641F" w:rsidRDefault="00A74D02" w:rsidP="00927197">
            <w:pPr>
              <w:contextualSpacing/>
              <w:rPr>
                <w:sz w:val="20"/>
                <w:szCs w:val="20"/>
              </w:rPr>
            </w:pPr>
            <w:r w:rsidRPr="002C641F">
              <w:rPr>
                <w:sz w:val="20"/>
                <w:szCs w:val="20"/>
              </w:rPr>
              <w:t>Prevalence of tachycardia</w:t>
            </w:r>
          </w:p>
          <w:p w:rsidR="00A74D02" w:rsidRPr="002C641F" w:rsidRDefault="00A74D02" w:rsidP="00927197">
            <w:pPr>
              <w:contextualSpacing/>
              <w:rPr>
                <w:sz w:val="20"/>
                <w:szCs w:val="20"/>
              </w:rPr>
            </w:pPr>
            <w:r w:rsidRPr="002C641F">
              <w:rPr>
                <w:sz w:val="20"/>
                <w:szCs w:val="20"/>
              </w:rPr>
              <w:t>6.6% v 1.3% (p&lt;0.001)</w:t>
            </w:r>
          </w:p>
          <w:p w:rsidR="00A74D02" w:rsidRPr="002C641F" w:rsidRDefault="00A74D02" w:rsidP="00927197">
            <w:pPr>
              <w:contextualSpacing/>
              <w:rPr>
                <w:sz w:val="20"/>
                <w:szCs w:val="20"/>
              </w:rPr>
            </w:pPr>
            <w:r w:rsidRPr="002C641F">
              <w:rPr>
                <w:sz w:val="20"/>
                <w:szCs w:val="20"/>
              </w:rPr>
              <w:t>Prevalence of elevated serum CRP  91.2% v 12.4%</w:t>
            </w:r>
          </w:p>
          <w:p w:rsidR="00A74D02" w:rsidRPr="002C641F" w:rsidRDefault="00A74D02" w:rsidP="00927197">
            <w:pPr>
              <w:contextualSpacing/>
              <w:rPr>
                <w:sz w:val="20"/>
                <w:szCs w:val="20"/>
              </w:rPr>
            </w:pPr>
            <w:r w:rsidRPr="002C641F">
              <w:rPr>
                <w:sz w:val="20"/>
                <w:szCs w:val="20"/>
              </w:rPr>
              <w:t xml:space="preserve">TNF-α  29.4 v 18.1 </w:t>
            </w:r>
            <w:proofErr w:type="spellStart"/>
            <w:r w:rsidRPr="002C641F">
              <w:rPr>
                <w:sz w:val="20"/>
                <w:szCs w:val="20"/>
              </w:rPr>
              <w:t>pg</w:t>
            </w:r>
            <w:proofErr w:type="spellEnd"/>
            <w:r w:rsidRPr="002C641F">
              <w:rPr>
                <w:sz w:val="20"/>
                <w:szCs w:val="20"/>
              </w:rPr>
              <w:t>/ml (p&lt;0.0001)</w:t>
            </w:r>
          </w:p>
          <w:p w:rsidR="00A74D02" w:rsidRPr="002C641F" w:rsidRDefault="00A74D02" w:rsidP="00927197">
            <w:pPr>
              <w:contextualSpacing/>
              <w:rPr>
                <w:sz w:val="20"/>
                <w:szCs w:val="20"/>
              </w:rPr>
            </w:pPr>
            <w:r w:rsidRPr="002C641F">
              <w:rPr>
                <w:sz w:val="20"/>
                <w:szCs w:val="20"/>
              </w:rPr>
              <w:t xml:space="preserve">IL-8  29.6 v 12.2 </w:t>
            </w:r>
            <w:proofErr w:type="spellStart"/>
            <w:r w:rsidRPr="002C641F">
              <w:rPr>
                <w:sz w:val="20"/>
                <w:szCs w:val="20"/>
              </w:rPr>
              <w:t>pg</w:t>
            </w:r>
            <w:proofErr w:type="spellEnd"/>
            <w:r w:rsidRPr="002C641F">
              <w:rPr>
                <w:sz w:val="20"/>
                <w:szCs w:val="20"/>
              </w:rPr>
              <w:t>/ml (p&lt;0.0001)</w:t>
            </w:r>
          </w:p>
          <w:p w:rsidR="00A74D02" w:rsidRPr="002C641F" w:rsidRDefault="00A74D02" w:rsidP="00927197">
            <w:pPr>
              <w:contextualSpacing/>
              <w:rPr>
                <w:sz w:val="20"/>
                <w:szCs w:val="20"/>
              </w:rPr>
            </w:pPr>
            <w:r w:rsidRPr="002C641F">
              <w:rPr>
                <w:sz w:val="20"/>
                <w:szCs w:val="20"/>
              </w:rPr>
              <w:t xml:space="preserve">IL-6  5.6 v 1.6 </w:t>
            </w:r>
            <w:proofErr w:type="spellStart"/>
            <w:r w:rsidRPr="002C641F">
              <w:rPr>
                <w:sz w:val="20"/>
                <w:szCs w:val="20"/>
              </w:rPr>
              <w:t>pg</w:t>
            </w:r>
            <w:proofErr w:type="spellEnd"/>
            <w:r w:rsidRPr="002C641F">
              <w:rPr>
                <w:sz w:val="20"/>
                <w:szCs w:val="20"/>
              </w:rPr>
              <w:t>/ml (p&lt;0.0001)</w:t>
            </w:r>
          </w:p>
          <w:p w:rsidR="00A74D02" w:rsidRPr="002C641F" w:rsidRDefault="00A74D02" w:rsidP="00927197">
            <w:pPr>
              <w:contextualSpacing/>
              <w:rPr>
                <w:sz w:val="20"/>
                <w:szCs w:val="20"/>
              </w:rPr>
            </w:pPr>
            <w:r w:rsidRPr="002C641F">
              <w:rPr>
                <w:sz w:val="20"/>
                <w:szCs w:val="20"/>
              </w:rPr>
              <w:t>ROS generation significantly higher</w:t>
            </w:r>
          </w:p>
          <w:p w:rsidR="00A74D02" w:rsidRPr="002C641F" w:rsidRDefault="00A74D02" w:rsidP="00927197">
            <w:pPr>
              <w:contextualSpacing/>
              <w:rPr>
                <w:sz w:val="20"/>
                <w:szCs w:val="20"/>
              </w:rPr>
            </w:pPr>
            <w:r w:rsidRPr="002C641F">
              <w:rPr>
                <w:sz w:val="20"/>
                <w:szCs w:val="20"/>
              </w:rPr>
              <w:t>SOD significantly lower</w:t>
            </w:r>
          </w:p>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r w:rsidRPr="002C641F">
              <w:rPr>
                <w:sz w:val="20"/>
                <w:szCs w:val="20"/>
              </w:rPr>
              <w:t>Smoking</w:t>
            </w:r>
          </w:p>
          <w:p w:rsidR="00A74D02" w:rsidRPr="002C641F" w:rsidRDefault="00A74D02" w:rsidP="00927197">
            <w:pPr>
              <w:contextualSpacing/>
              <w:rPr>
                <w:sz w:val="20"/>
                <w:szCs w:val="20"/>
              </w:rPr>
            </w:pPr>
            <w:r w:rsidRPr="002C641F">
              <w:rPr>
                <w:sz w:val="20"/>
                <w:szCs w:val="20"/>
              </w:rPr>
              <w:t>Groups well matched for age, body mass index, smokers in family</w:t>
            </w:r>
          </w:p>
        </w:tc>
        <w:tc>
          <w:tcPr>
            <w:tcW w:w="1984" w:type="dxa"/>
          </w:tcPr>
          <w:p w:rsidR="00A74D02" w:rsidRPr="002C641F" w:rsidRDefault="00A74D02" w:rsidP="00927197">
            <w:pPr>
              <w:contextualSpacing/>
              <w:rPr>
                <w:sz w:val="20"/>
                <w:szCs w:val="20"/>
              </w:rPr>
            </w:pPr>
            <w:r w:rsidRPr="002C641F">
              <w:rPr>
                <w:sz w:val="20"/>
                <w:szCs w:val="20"/>
              </w:rPr>
              <w:t>Women using biomass were less educated and had lower family income.</w:t>
            </w:r>
          </w:p>
          <w:p w:rsidR="00A74D02" w:rsidRPr="002C641F" w:rsidRDefault="00A74D02" w:rsidP="00927197">
            <w:pPr>
              <w:contextualSpacing/>
              <w:rPr>
                <w:sz w:val="20"/>
                <w:szCs w:val="20"/>
              </w:rPr>
            </w:pPr>
            <w:r w:rsidRPr="002C641F">
              <w:rPr>
                <w:sz w:val="20"/>
                <w:szCs w:val="20"/>
              </w:rPr>
              <w:t>8-h mean PM</w:t>
            </w:r>
            <w:r w:rsidRPr="002C641F">
              <w:rPr>
                <w:sz w:val="20"/>
                <w:szCs w:val="20"/>
                <w:vertAlign w:val="subscript"/>
              </w:rPr>
              <w:t>2.5</w:t>
            </w:r>
            <w:r w:rsidRPr="002C641F">
              <w:rPr>
                <w:sz w:val="20"/>
                <w:szCs w:val="20"/>
              </w:rPr>
              <w:t xml:space="preserve"> concentration in cooking areas 158 v 51 </w:t>
            </w:r>
            <w:proofErr w:type="spellStart"/>
            <w:r w:rsidRPr="002C641F">
              <w:rPr>
                <w:sz w:val="20"/>
                <w:szCs w:val="20"/>
              </w:rPr>
              <w:t>μg</w:t>
            </w:r>
            <w:proofErr w:type="spellEnd"/>
            <w:r w:rsidRPr="002C641F">
              <w:rPr>
                <w:sz w:val="20"/>
                <w:szCs w:val="20"/>
              </w:rPr>
              <w:t>/m</w:t>
            </w:r>
            <w:r w:rsidRPr="002C641F">
              <w:rPr>
                <w:sz w:val="20"/>
                <w:szCs w:val="20"/>
                <w:vertAlign w:val="superscript"/>
              </w:rPr>
              <w:t>3</w:t>
            </w:r>
          </w:p>
          <w:p w:rsidR="00A74D02" w:rsidRPr="002C641F" w:rsidRDefault="00A74D02" w:rsidP="00927197">
            <w:pPr>
              <w:contextualSpacing/>
              <w:rPr>
                <w:sz w:val="20"/>
                <w:szCs w:val="20"/>
              </w:rPr>
            </w:pPr>
            <w:r w:rsidRPr="002C641F">
              <w:rPr>
                <w:sz w:val="20"/>
                <w:szCs w:val="20"/>
              </w:rPr>
              <w:t>Statistical methods are poorly described</w:t>
            </w:r>
          </w:p>
          <w:p w:rsidR="00A74D02" w:rsidRPr="002C641F" w:rsidRDefault="00A74D02" w:rsidP="00927197">
            <w:pPr>
              <w:contextualSpacing/>
              <w:rPr>
                <w:sz w:val="20"/>
                <w:szCs w:val="20"/>
              </w:rPr>
            </w:pPr>
            <w:r w:rsidRPr="002C641F">
              <w:rPr>
                <w:sz w:val="20"/>
                <w:szCs w:val="20"/>
              </w:rPr>
              <w:t xml:space="preserve">Unclear whether there is overlap with Dutta at </w:t>
            </w:r>
            <w:proofErr w:type="spellStart"/>
            <w:r w:rsidRPr="002C641F">
              <w:rPr>
                <w:sz w:val="20"/>
                <w:szCs w:val="20"/>
              </w:rPr>
              <w:t>al</w:t>
            </w:r>
            <w:proofErr w:type="spellEnd"/>
            <w:r w:rsidRPr="002C641F">
              <w:rPr>
                <w:sz w:val="20"/>
                <w:szCs w:val="20"/>
              </w:rPr>
              <w:t xml:space="preserve"> (2011) </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bl>
    <w:p w:rsidR="009730AB" w:rsidRDefault="009730AB">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lastRenderedPageBreak/>
              <w:t>Nicaragua</w:t>
            </w:r>
          </w:p>
          <w:p w:rsidR="00A74D02" w:rsidRPr="003027AC" w:rsidRDefault="00A74D02" w:rsidP="00927197">
            <w:pPr>
              <w:contextualSpacing/>
              <w:rPr>
                <w:sz w:val="20"/>
                <w:szCs w:val="20"/>
                <w:vertAlign w:val="superscript"/>
              </w:rPr>
            </w:pPr>
            <w:r w:rsidRPr="002C641F">
              <w:rPr>
                <w:sz w:val="20"/>
                <w:szCs w:val="20"/>
              </w:rPr>
              <w:t>Clark et al (2012)</w:t>
            </w:r>
            <w:r w:rsidR="003027AC">
              <w:rPr>
                <w:sz w:val="20"/>
                <w:szCs w:val="20"/>
                <w:vertAlign w:val="superscript"/>
              </w:rPr>
              <w:t>23</w:t>
            </w:r>
          </w:p>
        </w:tc>
        <w:tc>
          <w:tcPr>
            <w:tcW w:w="1418" w:type="dxa"/>
          </w:tcPr>
          <w:p w:rsidR="00A74D02" w:rsidRPr="002C641F" w:rsidRDefault="00A74D02" w:rsidP="00927197">
            <w:pPr>
              <w:contextualSpacing/>
              <w:rPr>
                <w:sz w:val="20"/>
                <w:szCs w:val="20"/>
              </w:rPr>
            </w:pPr>
            <w:r w:rsidRPr="002C641F">
              <w:rPr>
                <w:sz w:val="20"/>
                <w:szCs w:val="20"/>
              </w:rPr>
              <w:t>Intervention with before and after comparison</w:t>
            </w:r>
          </w:p>
        </w:tc>
        <w:tc>
          <w:tcPr>
            <w:tcW w:w="1842" w:type="dxa"/>
          </w:tcPr>
          <w:p w:rsidR="00A74D02" w:rsidRPr="002C641F" w:rsidRDefault="00A74D02" w:rsidP="00927197">
            <w:pPr>
              <w:contextualSpacing/>
              <w:rPr>
                <w:sz w:val="20"/>
                <w:szCs w:val="20"/>
              </w:rPr>
            </w:pPr>
            <w:r w:rsidRPr="002C641F">
              <w:rPr>
                <w:sz w:val="20"/>
                <w:szCs w:val="20"/>
              </w:rPr>
              <w:t>98 women who cooked using biomass stoves</w:t>
            </w:r>
          </w:p>
        </w:tc>
        <w:tc>
          <w:tcPr>
            <w:tcW w:w="1418" w:type="dxa"/>
          </w:tcPr>
          <w:p w:rsidR="00A74D02" w:rsidRPr="002C641F" w:rsidRDefault="00A74D02" w:rsidP="00927197">
            <w:pPr>
              <w:contextualSpacing/>
              <w:rPr>
                <w:sz w:val="20"/>
                <w:szCs w:val="20"/>
              </w:rPr>
            </w:pPr>
            <w:r w:rsidRPr="002C641F">
              <w:rPr>
                <w:sz w:val="20"/>
                <w:szCs w:val="20"/>
              </w:rPr>
              <w:t xml:space="preserve">Provision of cleaner burning </w:t>
            </w:r>
            <w:proofErr w:type="spellStart"/>
            <w:r w:rsidRPr="002C641F">
              <w:rPr>
                <w:sz w:val="20"/>
                <w:szCs w:val="20"/>
              </w:rPr>
              <w:t>cookstove</w:t>
            </w:r>
            <w:proofErr w:type="spellEnd"/>
          </w:p>
        </w:tc>
        <w:tc>
          <w:tcPr>
            <w:tcW w:w="1843" w:type="dxa"/>
          </w:tcPr>
          <w:p w:rsidR="00A74D02" w:rsidRPr="002C641F" w:rsidRDefault="00A74D02" w:rsidP="00927197">
            <w:pPr>
              <w:contextualSpacing/>
              <w:rPr>
                <w:sz w:val="20"/>
                <w:szCs w:val="20"/>
              </w:rPr>
            </w:pPr>
            <w:r w:rsidRPr="002C641F">
              <w:rPr>
                <w:sz w:val="20"/>
                <w:szCs w:val="20"/>
              </w:rPr>
              <w:t>Change in C-reactive protein measured in dried blood spot samples</w:t>
            </w:r>
          </w:p>
        </w:tc>
        <w:tc>
          <w:tcPr>
            <w:tcW w:w="3118" w:type="dxa"/>
          </w:tcPr>
          <w:p w:rsidR="00A74D02" w:rsidRPr="002C641F" w:rsidRDefault="00A74D02" w:rsidP="00927197">
            <w:pPr>
              <w:contextualSpacing/>
              <w:rPr>
                <w:sz w:val="20"/>
                <w:szCs w:val="20"/>
              </w:rPr>
            </w:pPr>
            <w:r w:rsidRPr="002C641F">
              <w:rPr>
                <w:sz w:val="20"/>
                <w:szCs w:val="20"/>
              </w:rPr>
              <w:t>Reduction of 25% (95%CI 2% to 49%) among obese women.</w:t>
            </w: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r w:rsidRPr="002C641F">
              <w:rPr>
                <w:sz w:val="20"/>
                <w:szCs w:val="20"/>
              </w:rPr>
              <w:t>Reported only as abstract</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27197">
        <w:tc>
          <w:tcPr>
            <w:tcW w:w="1418" w:type="dxa"/>
          </w:tcPr>
          <w:p w:rsidR="00A74D02" w:rsidRPr="002C641F" w:rsidRDefault="00A74D02" w:rsidP="00927197">
            <w:pPr>
              <w:contextualSpacing/>
              <w:rPr>
                <w:sz w:val="20"/>
                <w:szCs w:val="20"/>
              </w:rPr>
            </w:pPr>
            <w:r w:rsidRPr="002C641F">
              <w:rPr>
                <w:sz w:val="20"/>
                <w:szCs w:val="20"/>
              </w:rPr>
              <w:t>Sri Lanka</w:t>
            </w:r>
          </w:p>
          <w:p w:rsidR="00A74D02" w:rsidRPr="003027AC" w:rsidRDefault="00A74D02" w:rsidP="00927197">
            <w:pPr>
              <w:contextualSpacing/>
              <w:rPr>
                <w:sz w:val="20"/>
                <w:szCs w:val="20"/>
                <w:vertAlign w:val="superscript"/>
              </w:rPr>
            </w:pPr>
            <w:r w:rsidRPr="002C641F">
              <w:rPr>
                <w:sz w:val="20"/>
                <w:szCs w:val="20"/>
              </w:rPr>
              <w:t>Sathiakumar (2012)</w:t>
            </w:r>
            <w:r w:rsidR="003027AC">
              <w:rPr>
                <w:sz w:val="20"/>
                <w:szCs w:val="20"/>
                <w:vertAlign w:val="superscript"/>
              </w:rPr>
              <w:t>24</w:t>
            </w:r>
          </w:p>
        </w:tc>
        <w:tc>
          <w:tcPr>
            <w:tcW w:w="1418" w:type="dxa"/>
          </w:tcPr>
          <w:p w:rsidR="00A74D02" w:rsidRPr="002C641F" w:rsidRDefault="00A74D02" w:rsidP="00927197">
            <w:pPr>
              <w:contextualSpacing/>
              <w:rPr>
                <w:sz w:val="20"/>
                <w:szCs w:val="20"/>
              </w:rPr>
            </w:pPr>
            <w:r w:rsidRPr="002C641F">
              <w:rPr>
                <w:sz w:val="20"/>
                <w:szCs w:val="20"/>
              </w:rPr>
              <w:t>Case-control</w:t>
            </w:r>
          </w:p>
        </w:tc>
        <w:tc>
          <w:tcPr>
            <w:tcW w:w="1842" w:type="dxa"/>
          </w:tcPr>
          <w:p w:rsidR="00A74D02" w:rsidRPr="002C641F" w:rsidRDefault="00A74D02" w:rsidP="00927197">
            <w:pPr>
              <w:contextualSpacing/>
              <w:rPr>
                <w:sz w:val="20"/>
                <w:szCs w:val="20"/>
              </w:rPr>
            </w:pPr>
            <w:r w:rsidRPr="002C641F">
              <w:rPr>
                <w:sz w:val="20"/>
                <w:szCs w:val="20"/>
              </w:rPr>
              <w:t>50 women aged 40-70 years treated in hospital for acute coronary syndrome and 50 controls</w:t>
            </w:r>
          </w:p>
        </w:tc>
        <w:tc>
          <w:tcPr>
            <w:tcW w:w="1418" w:type="dxa"/>
          </w:tcPr>
          <w:p w:rsidR="00A74D02" w:rsidRPr="002C641F" w:rsidRDefault="00A74D02" w:rsidP="00927197">
            <w:pPr>
              <w:contextualSpacing/>
              <w:rPr>
                <w:sz w:val="20"/>
                <w:szCs w:val="20"/>
              </w:rPr>
            </w:pPr>
            <w:r w:rsidRPr="002C641F">
              <w:rPr>
                <w:sz w:val="20"/>
                <w:szCs w:val="20"/>
              </w:rPr>
              <w:t>Use of biomass fuel v liquefied petroleum gas</w:t>
            </w:r>
          </w:p>
        </w:tc>
        <w:tc>
          <w:tcPr>
            <w:tcW w:w="1843" w:type="dxa"/>
          </w:tcPr>
          <w:p w:rsidR="00A74D02" w:rsidRPr="002C641F" w:rsidRDefault="00A74D02" w:rsidP="00927197">
            <w:pPr>
              <w:contextualSpacing/>
              <w:rPr>
                <w:sz w:val="20"/>
                <w:szCs w:val="20"/>
              </w:rPr>
            </w:pPr>
            <w:r w:rsidRPr="002C641F">
              <w:rPr>
                <w:sz w:val="20"/>
                <w:szCs w:val="20"/>
              </w:rPr>
              <w:t>Acute coronary syndrome</w:t>
            </w:r>
          </w:p>
        </w:tc>
        <w:tc>
          <w:tcPr>
            <w:tcW w:w="3118" w:type="dxa"/>
          </w:tcPr>
          <w:p w:rsidR="00A74D02" w:rsidRPr="002C641F" w:rsidRDefault="00A74D02" w:rsidP="00D42E3E">
            <w:pPr>
              <w:contextualSpacing/>
              <w:rPr>
                <w:sz w:val="20"/>
                <w:szCs w:val="20"/>
              </w:rPr>
            </w:pPr>
            <w:r w:rsidRPr="002C641F">
              <w:rPr>
                <w:sz w:val="20"/>
                <w:szCs w:val="20"/>
              </w:rPr>
              <w:t>O</w:t>
            </w:r>
            <w:r w:rsidR="00D42E3E">
              <w:rPr>
                <w:sz w:val="20"/>
                <w:szCs w:val="20"/>
              </w:rPr>
              <w:t>dds ratio</w:t>
            </w:r>
            <w:r w:rsidRPr="002C641F">
              <w:rPr>
                <w:sz w:val="20"/>
                <w:szCs w:val="20"/>
              </w:rPr>
              <w:t xml:space="preserve">  2.57 (95%CI 1.07-6.13)</w:t>
            </w:r>
          </w:p>
        </w:tc>
        <w:tc>
          <w:tcPr>
            <w:tcW w:w="1985" w:type="dxa"/>
          </w:tcPr>
          <w:p w:rsidR="00A74D02" w:rsidRPr="002C641F" w:rsidRDefault="00A74D02" w:rsidP="00927197">
            <w:pPr>
              <w:contextualSpacing/>
              <w:rPr>
                <w:sz w:val="20"/>
                <w:szCs w:val="20"/>
              </w:rPr>
            </w:pPr>
            <w:r w:rsidRPr="002C641F">
              <w:rPr>
                <w:sz w:val="20"/>
                <w:szCs w:val="20"/>
              </w:rPr>
              <w:t>Not specified</w:t>
            </w:r>
          </w:p>
        </w:tc>
        <w:tc>
          <w:tcPr>
            <w:tcW w:w="1984" w:type="dxa"/>
          </w:tcPr>
          <w:p w:rsidR="00A74D02" w:rsidRPr="002C641F" w:rsidRDefault="00A74D02" w:rsidP="00927197">
            <w:pPr>
              <w:contextualSpacing/>
              <w:rPr>
                <w:sz w:val="20"/>
                <w:szCs w:val="20"/>
              </w:rPr>
            </w:pPr>
            <w:r w:rsidRPr="002C641F">
              <w:rPr>
                <w:sz w:val="20"/>
                <w:szCs w:val="20"/>
              </w:rPr>
              <w:t>Reported only as an abstract.</w:t>
            </w:r>
          </w:p>
          <w:p w:rsidR="00A74D02" w:rsidRPr="002C641F" w:rsidRDefault="00A74D02" w:rsidP="00927197">
            <w:pPr>
              <w:contextualSpacing/>
              <w:rPr>
                <w:sz w:val="20"/>
                <w:szCs w:val="20"/>
              </w:rPr>
            </w:pPr>
            <w:r w:rsidRPr="002C641F">
              <w:rPr>
                <w:sz w:val="20"/>
                <w:szCs w:val="20"/>
              </w:rPr>
              <w:t>Biomass included kerosene</w:t>
            </w:r>
          </w:p>
        </w:tc>
      </w:tr>
      <w:tr w:rsidR="00A74D02" w:rsidRPr="00BF3F0C" w:rsidTr="00927197">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r w:rsidRPr="002C641F">
              <w:rPr>
                <w:sz w:val="20"/>
                <w:szCs w:val="20"/>
              </w:rPr>
              <w:t>China</w:t>
            </w:r>
          </w:p>
          <w:p w:rsidR="00A74D02" w:rsidRPr="003027AC" w:rsidRDefault="00A74D02" w:rsidP="00927197">
            <w:pPr>
              <w:contextualSpacing/>
              <w:rPr>
                <w:sz w:val="20"/>
                <w:szCs w:val="20"/>
                <w:vertAlign w:val="superscript"/>
              </w:rPr>
            </w:pPr>
            <w:r w:rsidRPr="002C641F">
              <w:rPr>
                <w:sz w:val="20"/>
                <w:szCs w:val="20"/>
              </w:rPr>
              <w:t>Baumgartner et al (2012)</w:t>
            </w:r>
            <w:r w:rsidR="003027AC">
              <w:rPr>
                <w:sz w:val="20"/>
                <w:szCs w:val="20"/>
                <w:vertAlign w:val="superscript"/>
              </w:rPr>
              <w:t>25</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240 children aged 5-14 in rural households cooking with biomass</w:t>
            </w:r>
          </w:p>
        </w:tc>
        <w:tc>
          <w:tcPr>
            <w:tcW w:w="1418" w:type="dxa"/>
          </w:tcPr>
          <w:p w:rsidR="00A74D02" w:rsidRPr="002C641F" w:rsidRDefault="00A74D02" w:rsidP="00927197">
            <w:pPr>
              <w:contextualSpacing/>
              <w:rPr>
                <w:sz w:val="20"/>
                <w:szCs w:val="20"/>
              </w:rPr>
            </w:pPr>
            <w:r w:rsidRPr="002C641F">
              <w:rPr>
                <w:sz w:val="20"/>
                <w:szCs w:val="20"/>
              </w:rPr>
              <w:t>Levels of personal 24-hr average exposure to PM</w:t>
            </w:r>
            <w:r w:rsidRPr="002C641F">
              <w:rPr>
                <w:sz w:val="20"/>
                <w:szCs w:val="20"/>
                <w:vertAlign w:val="subscript"/>
              </w:rPr>
              <w:t>2.5</w:t>
            </w:r>
          </w:p>
        </w:tc>
        <w:tc>
          <w:tcPr>
            <w:tcW w:w="1843" w:type="dxa"/>
          </w:tcPr>
          <w:p w:rsidR="00A74D02" w:rsidRPr="002C641F" w:rsidRDefault="00A74D02" w:rsidP="00927197">
            <w:pPr>
              <w:contextualSpacing/>
              <w:rPr>
                <w:sz w:val="20"/>
                <w:szCs w:val="20"/>
              </w:rPr>
            </w:pPr>
            <w:r w:rsidRPr="002C641F">
              <w:rPr>
                <w:sz w:val="20"/>
                <w:szCs w:val="20"/>
              </w:rPr>
              <w:t>Systolic and diastolic blood pressure (SBP and DBP)</w:t>
            </w:r>
          </w:p>
        </w:tc>
        <w:tc>
          <w:tcPr>
            <w:tcW w:w="3118" w:type="dxa"/>
          </w:tcPr>
          <w:p w:rsidR="00A74D02" w:rsidRPr="002C641F" w:rsidRDefault="00A74D02" w:rsidP="00927197">
            <w:pPr>
              <w:contextualSpacing/>
              <w:rPr>
                <w:sz w:val="20"/>
                <w:szCs w:val="20"/>
              </w:rPr>
            </w:pPr>
            <w:r w:rsidRPr="002C641F">
              <w:rPr>
                <w:sz w:val="20"/>
                <w:szCs w:val="20"/>
              </w:rPr>
              <w:t>A 1-log-μg/m</w:t>
            </w:r>
            <w:r w:rsidRPr="002C641F">
              <w:rPr>
                <w:sz w:val="20"/>
                <w:szCs w:val="20"/>
                <w:vertAlign w:val="superscript"/>
              </w:rPr>
              <w:t>3</w:t>
            </w:r>
            <w:r w:rsidRPr="002C641F">
              <w:rPr>
                <w:sz w:val="20"/>
                <w:szCs w:val="20"/>
              </w:rPr>
              <w:t xml:space="preserve"> increase in PM</w:t>
            </w:r>
            <w:r w:rsidRPr="002C641F">
              <w:rPr>
                <w:sz w:val="20"/>
                <w:szCs w:val="20"/>
                <w:vertAlign w:val="subscript"/>
              </w:rPr>
              <w:t>2.5</w:t>
            </w:r>
            <w:r w:rsidRPr="002C641F">
              <w:rPr>
                <w:sz w:val="20"/>
                <w:szCs w:val="20"/>
              </w:rPr>
              <w:t xml:space="preserve"> exposures was associated with  a -1.8  (95%CI -3.6 to 0.1) mm Hg difference in SBP and a -0.5 (95%CI -2.1 to 1.2) mm Hg difference in DBP</w:t>
            </w:r>
          </w:p>
        </w:tc>
        <w:tc>
          <w:tcPr>
            <w:tcW w:w="1985" w:type="dxa"/>
          </w:tcPr>
          <w:p w:rsidR="00A74D02" w:rsidRPr="002C641F" w:rsidRDefault="00A74D02" w:rsidP="00927197">
            <w:pPr>
              <w:contextualSpacing/>
              <w:rPr>
                <w:sz w:val="20"/>
                <w:szCs w:val="20"/>
              </w:rPr>
            </w:pPr>
            <w:r w:rsidRPr="002C641F">
              <w:rPr>
                <w:sz w:val="20"/>
                <w:szCs w:val="20"/>
              </w:rPr>
              <w:t>Sex, age, height, body mass index, passive smoking, socioeconomic status, salt intake, monosodium glutamate use, physical activity, day of week and time of day of blood pressure measurement</w:t>
            </w: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r w:rsidRPr="002C641F">
              <w:rPr>
                <w:sz w:val="20"/>
                <w:szCs w:val="20"/>
              </w:rPr>
              <w:t>China</w:t>
            </w:r>
          </w:p>
          <w:p w:rsidR="00A74D02" w:rsidRPr="002C641F" w:rsidRDefault="00A74D02" w:rsidP="00927197">
            <w:pPr>
              <w:contextualSpacing/>
              <w:rPr>
                <w:sz w:val="20"/>
                <w:szCs w:val="20"/>
              </w:rPr>
            </w:pPr>
            <w:r w:rsidRPr="002C641F">
              <w:rPr>
                <w:sz w:val="20"/>
                <w:szCs w:val="20"/>
              </w:rPr>
              <w:t>Lee et al. (2012)</w:t>
            </w:r>
            <w:r w:rsidR="003027AC" w:rsidRPr="003027AC">
              <w:rPr>
                <w:sz w:val="20"/>
                <w:szCs w:val="20"/>
                <w:vertAlign w:val="superscript"/>
              </w:rPr>
              <w:t>26</w:t>
            </w:r>
          </w:p>
        </w:tc>
        <w:tc>
          <w:tcPr>
            <w:tcW w:w="1418" w:type="dxa"/>
          </w:tcPr>
          <w:p w:rsidR="00A74D02" w:rsidRPr="002C641F" w:rsidRDefault="00A74D02" w:rsidP="00927197">
            <w:pPr>
              <w:contextualSpacing/>
              <w:rPr>
                <w:sz w:val="20"/>
                <w:szCs w:val="20"/>
              </w:rPr>
            </w:pPr>
            <w:r w:rsidRPr="002C641F">
              <w:rPr>
                <w:sz w:val="20"/>
                <w:szCs w:val="20"/>
              </w:rPr>
              <w:t xml:space="preserve">Cross-sectional </w:t>
            </w:r>
          </w:p>
        </w:tc>
        <w:tc>
          <w:tcPr>
            <w:tcW w:w="1842" w:type="dxa"/>
          </w:tcPr>
          <w:p w:rsidR="00A74D02" w:rsidRPr="002C641F" w:rsidRDefault="00A74D02" w:rsidP="00927197">
            <w:pPr>
              <w:contextualSpacing/>
              <w:rPr>
                <w:sz w:val="20"/>
                <w:szCs w:val="20"/>
              </w:rPr>
            </w:pPr>
            <w:r w:rsidRPr="002C641F">
              <w:rPr>
                <w:sz w:val="20"/>
                <w:szCs w:val="20"/>
              </w:rPr>
              <w:t xml:space="preserve">13,438 adults randomly selected from census data </w:t>
            </w:r>
          </w:p>
        </w:tc>
        <w:tc>
          <w:tcPr>
            <w:tcW w:w="1418" w:type="dxa"/>
          </w:tcPr>
          <w:p w:rsidR="00A74D02" w:rsidRPr="002C641F" w:rsidRDefault="00A74D02" w:rsidP="00927197">
            <w:pPr>
              <w:contextualSpacing/>
              <w:rPr>
                <w:sz w:val="20"/>
                <w:szCs w:val="20"/>
              </w:rPr>
            </w:pPr>
            <w:r w:rsidRPr="002C641F">
              <w:rPr>
                <w:sz w:val="20"/>
                <w:szCs w:val="20"/>
              </w:rPr>
              <w:t>Ever v never use of solid fuel (coal or biomass)</w:t>
            </w:r>
          </w:p>
        </w:tc>
        <w:tc>
          <w:tcPr>
            <w:tcW w:w="1843" w:type="dxa"/>
          </w:tcPr>
          <w:p w:rsidR="00A74D02" w:rsidRPr="002C641F" w:rsidRDefault="00A74D02" w:rsidP="00927197">
            <w:pPr>
              <w:contextualSpacing/>
              <w:rPr>
                <w:sz w:val="20"/>
                <w:szCs w:val="20"/>
              </w:rPr>
            </w:pPr>
            <w:r w:rsidRPr="002C641F">
              <w:rPr>
                <w:sz w:val="20"/>
                <w:szCs w:val="20"/>
              </w:rPr>
              <w:t>Self-report of doctor-diagnosed CHD, hypertension</w:t>
            </w:r>
          </w:p>
        </w:tc>
        <w:tc>
          <w:tcPr>
            <w:tcW w:w="3118" w:type="dxa"/>
          </w:tcPr>
          <w:p w:rsidR="00A74D02" w:rsidRPr="002C641F" w:rsidRDefault="00A74D02" w:rsidP="00927197">
            <w:pPr>
              <w:contextualSpacing/>
              <w:rPr>
                <w:sz w:val="20"/>
                <w:szCs w:val="20"/>
              </w:rPr>
            </w:pPr>
            <w:r w:rsidRPr="002C641F">
              <w:rPr>
                <w:sz w:val="20"/>
                <w:szCs w:val="20"/>
              </w:rPr>
              <w:t>CHD  odds ratio = 2.58 (95% CI 1.53-4.32)</w:t>
            </w:r>
          </w:p>
          <w:p w:rsidR="00A74D02" w:rsidRPr="002C641F" w:rsidRDefault="00A74D02" w:rsidP="00927197">
            <w:pPr>
              <w:contextualSpacing/>
              <w:rPr>
                <w:sz w:val="20"/>
                <w:szCs w:val="20"/>
              </w:rPr>
            </w:pPr>
            <w:r w:rsidRPr="002C641F">
              <w:rPr>
                <w:sz w:val="20"/>
                <w:szCs w:val="20"/>
              </w:rPr>
              <w:t>Hypertension  odds ratio 1.70 (95% CI 1.40-2.07)</w:t>
            </w:r>
          </w:p>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r w:rsidRPr="002C641F">
              <w:rPr>
                <w:sz w:val="20"/>
                <w:szCs w:val="20"/>
              </w:rPr>
              <w:t xml:space="preserve">Age, gender, educational level, smoking, environmental tobacco smoke, pack-years smoked, body mass index and waist circumference </w:t>
            </w:r>
          </w:p>
        </w:tc>
        <w:tc>
          <w:tcPr>
            <w:tcW w:w="1984" w:type="dxa"/>
          </w:tcPr>
          <w:p w:rsidR="00A74D02" w:rsidRPr="002C641F" w:rsidRDefault="00A74D02" w:rsidP="00927197">
            <w:pPr>
              <w:contextualSpacing/>
              <w:rPr>
                <w:sz w:val="20"/>
                <w:szCs w:val="20"/>
              </w:rPr>
            </w:pPr>
            <w:r w:rsidRPr="002C641F">
              <w:rPr>
                <w:sz w:val="20"/>
                <w:szCs w:val="20"/>
              </w:rPr>
              <w:t>Risk of hypertension increased with duration of solid fuel use, but CHD did not show a consistent exposure-response relationship</w:t>
            </w: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bl>
    <w:p w:rsidR="009730AB" w:rsidRDefault="009730AB">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730AB">
        <w:tc>
          <w:tcPr>
            <w:tcW w:w="1418" w:type="dxa"/>
          </w:tcPr>
          <w:p w:rsidR="00A74D02" w:rsidRPr="002C641F" w:rsidRDefault="00A74D02" w:rsidP="00927197">
            <w:pPr>
              <w:contextualSpacing/>
              <w:rPr>
                <w:sz w:val="20"/>
                <w:szCs w:val="20"/>
              </w:rPr>
            </w:pPr>
            <w:r w:rsidRPr="002C641F">
              <w:rPr>
                <w:sz w:val="20"/>
                <w:szCs w:val="20"/>
              </w:rPr>
              <w:lastRenderedPageBreak/>
              <w:t>Iran</w:t>
            </w:r>
          </w:p>
          <w:p w:rsidR="00A74D02" w:rsidRPr="003027AC" w:rsidRDefault="00A74D02" w:rsidP="00927197">
            <w:pPr>
              <w:contextualSpacing/>
              <w:rPr>
                <w:sz w:val="20"/>
                <w:szCs w:val="20"/>
                <w:vertAlign w:val="superscript"/>
              </w:rPr>
            </w:pPr>
            <w:proofErr w:type="spellStart"/>
            <w:r w:rsidRPr="002C641F">
              <w:rPr>
                <w:sz w:val="20"/>
                <w:szCs w:val="20"/>
              </w:rPr>
              <w:t>Mitter</w:t>
            </w:r>
            <w:proofErr w:type="spellEnd"/>
            <w:r w:rsidRPr="002C641F">
              <w:rPr>
                <w:sz w:val="20"/>
                <w:szCs w:val="20"/>
              </w:rPr>
              <w:t xml:space="preserve"> et al (2012)</w:t>
            </w:r>
            <w:r w:rsidR="003027AC">
              <w:rPr>
                <w:sz w:val="20"/>
                <w:szCs w:val="20"/>
                <w:vertAlign w:val="superscript"/>
              </w:rPr>
              <w:t>27</w:t>
            </w:r>
          </w:p>
        </w:tc>
        <w:tc>
          <w:tcPr>
            <w:tcW w:w="1418" w:type="dxa"/>
          </w:tcPr>
          <w:p w:rsidR="00A74D02" w:rsidRPr="002C641F" w:rsidRDefault="00A74D02" w:rsidP="00927197">
            <w:pPr>
              <w:contextualSpacing/>
              <w:rPr>
                <w:sz w:val="20"/>
                <w:szCs w:val="20"/>
              </w:rPr>
            </w:pPr>
            <w:r w:rsidRPr="002C641F">
              <w:rPr>
                <w:sz w:val="20"/>
                <w:szCs w:val="20"/>
              </w:rPr>
              <w:t>Cohort</w:t>
            </w:r>
          </w:p>
        </w:tc>
        <w:tc>
          <w:tcPr>
            <w:tcW w:w="1842" w:type="dxa"/>
          </w:tcPr>
          <w:p w:rsidR="00A74D02" w:rsidRPr="002C641F" w:rsidRDefault="00A74D02" w:rsidP="00927197">
            <w:pPr>
              <w:contextualSpacing/>
              <w:rPr>
                <w:sz w:val="20"/>
                <w:szCs w:val="20"/>
              </w:rPr>
            </w:pPr>
            <w:r w:rsidRPr="002C641F">
              <w:rPr>
                <w:sz w:val="20"/>
                <w:szCs w:val="20"/>
              </w:rPr>
              <w:t>50,045 men</w:t>
            </w:r>
          </w:p>
        </w:tc>
        <w:tc>
          <w:tcPr>
            <w:tcW w:w="1418" w:type="dxa"/>
          </w:tcPr>
          <w:p w:rsidR="00A74D02" w:rsidRPr="002C641F" w:rsidRDefault="00A74D02" w:rsidP="00927197">
            <w:pPr>
              <w:contextualSpacing/>
              <w:rPr>
                <w:sz w:val="20"/>
                <w:szCs w:val="20"/>
              </w:rPr>
            </w:pPr>
            <w:r w:rsidRPr="002C641F">
              <w:rPr>
                <w:sz w:val="20"/>
                <w:szCs w:val="20"/>
              </w:rPr>
              <w:t>Years used wood and other biomass for cooking and heating</w:t>
            </w:r>
          </w:p>
        </w:tc>
        <w:tc>
          <w:tcPr>
            <w:tcW w:w="1843" w:type="dxa"/>
          </w:tcPr>
          <w:p w:rsidR="00A74D02" w:rsidRPr="002C641F" w:rsidRDefault="00A74D02" w:rsidP="00927197">
            <w:pPr>
              <w:contextualSpacing/>
              <w:rPr>
                <w:sz w:val="20"/>
                <w:szCs w:val="20"/>
              </w:rPr>
            </w:pPr>
            <w:r w:rsidRPr="002C641F">
              <w:rPr>
                <w:sz w:val="20"/>
                <w:szCs w:val="20"/>
              </w:rPr>
              <w:t>Mortality from heart disease</w:t>
            </w:r>
          </w:p>
        </w:tc>
        <w:tc>
          <w:tcPr>
            <w:tcW w:w="3118" w:type="dxa"/>
          </w:tcPr>
          <w:p w:rsidR="00A74D02" w:rsidRPr="002C641F" w:rsidRDefault="00A74D02" w:rsidP="00927197">
            <w:pPr>
              <w:contextualSpacing/>
              <w:rPr>
                <w:sz w:val="20"/>
                <w:szCs w:val="20"/>
              </w:rPr>
            </w:pPr>
            <w:r w:rsidRPr="002C641F">
              <w:rPr>
                <w:sz w:val="20"/>
                <w:szCs w:val="20"/>
              </w:rPr>
              <w:t>Hazard ratio for death from heart disease for each additional year of use:</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Cooking</w:t>
            </w:r>
          </w:p>
          <w:p w:rsidR="00A74D02" w:rsidRPr="002C641F" w:rsidRDefault="00A74D02" w:rsidP="00927197">
            <w:pPr>
              <w:contextualSpacing/>
              <w:rPr>
                <w:sz w:val="20"/>
                <w:szCs w:val="20"/>
              </w:rPr>
            </w:pPr>
            <w:r w:rsidRPr="002C641F">
              <w:rPr>
                <w:sz w:val="20"/>
                <w:szCs w:val="20"/>
              </w:rPr>
              <w:t>Wood  0.996 (95%CI 0.990-1.001)</w:t>
            </w:r>
          </w:p>
          <w:p w:rsidR="00A74D02" w:rsidRPr="002C641F" w:rsidRDefault="00A74D02" w:rsidP="00927197">
            <w:pPr>
              <w:contextualSpacing/>
              <w:rPr>
                <w:sz w:val="20"/>
                <w:szCs w:val="20"/>
              </w:rPr>
            </w:pPr>
            <w:r w:rsidRPr="002C641F">
              <w:rPr>
                <w:sz w:val="20"/>
                <w:szCs w:val="20"/>
              </w:rPr>
              <w:t>Other biomass 1.003 (95%CI 0.997-1.010)</w:t>
            </w:r>
          </w:p>
          <w:p w:rsidR="00A74D02" w:rsidRPr="002C641F" w:rsidRDefault="00A74D02" w:rsidP="00927197">
            <w:pPr>
              <w:contextualSpacing/>
              <w:rPr>
                <w:sz w:val="20"/>
                <w:szCs w:val="20"/>
              </w:rPr>
            </w:pPr>
          </w:p>
          <w:p w:rsidR="00A74D02" w:rsidRPr="002C641F" w:rsidRDefault="00A74D02" w:rsidP="00927197">
            <w:pPr>
              <w:contextualSpacing/>
              <w:rPr>
                <w:sz w:val="20"/>
                <w:szCs w:val="20"/>
              </w:rPr>
            </w:pPr>
            <w:r w:rsidRPr="002C641F">
              <w:rPr>
                <w:sz w:val="20"/>
                <w:szCs w:val="20"/>
              </w:rPr>
              <w:t>Heating</w:t>
            </w:r>
          </w:p>
          <w:p w:rsidR="00A74D02" w:rsidRPr="002C641F" w:rsidRDefault="00A74D02" w:rsidP="00927197">
            <w:pPr>
              <w:contextualSpacing/>
              <w:rPr>
                <w:sz w:val="20"/>
                <w:szCs w:val="20"/>
              </w:rPr>
            </w:pPr>
            <w:r w:rsidRPr="002C641F">
              <w:rPr>
                <w:sz w:val="20"/>
                <w:szCs w:val="20"/>
              </w:rPr>
              <w:t>Wood 0.999 (95%CI 0.993-1.004)</w:t>
            </w:r>
          </w:p>
          <w:p w:rsidR="00A74D02" w:rsidRPr="002C641F" w:rsidRDefault="00A74D02" w:rsidP="00927197">
            <w:pPr>
              <w:contextualSpacing/>
              <w:rPr>
                <w:sz w:val="20"/>
                <w:szCs w:val="20"/>
              </w:rPr>
            </w:pPr>
            <w:r w:rsidRPr="002C641F">
              <w:rPr>
                <w:sz w:val="20"/>
                <w:szCs w:val="20"/>
              </w:rPr>
              <w:t xml:space="preserve">Other biomass 1.003 (95%CI 0.996-1.009) </w:t>
            </w:r>
          </w:p>
        </w:tc>
        <w:tc>
          <w:tcPr>
            <w:tcW w:w="1985" w:type="dxa"/>
          </w:tcPr>
          <w:p w:rsidR="00A74D02" w:rsidRPr="002C641F" w:rsidRDefault="00A74D02" w:rsidP="00927197">
            <w:pPr>
              <w:contextualSpacing/>
              <w:rPr>
                <w:sz w:val="20"/>
                <w:szCs w:val="20"/>
              </w:rPr>
            </w:pPr>
            <w:r w:rsidRPr="002C641F">
              <w:rPr>
                <w:sz w:val="20"/>
                <w:szCs w:val="20"/>
              </w:rPr>
              <w:t>Age, sex, rural living, socioeconomic status, body mass index, smoking, use of opiates, diabetes and hypertension.</w:t>
            </w:r>
          </w:p>
        </w:tc>
        <w:tc>
          <w:tcPr>
            <w:tcW w:w="1984" w:type="dxa"/>
          </w:tcPr>
          <w:p w:rsidR="00A74D02" w:rsidRPr="002C641F" w:rsidRDefault="00A74D02" w:rsidP="009730AB">
            <w:pPr>
              <w:contextualSpacing/>
              <w:rPr>
                <w:sz w:val="20"/>
                <w:szCs w:val="20"/>
              </w:rPr>
            </w:pPr>
            <w:r w:rsidRPr="002C641F">
              <w:rPr>
                <w:sz w:val="20"/>
                <w:szCs w:val="20"/>
              </w:rPr>
              <w:t>Report</w:t>
            </w:r>
            <w:r w:rsidR="009730AB">
              <w:rPr>
                <w:sz w:val="20"/>
                <w:szCs w:val="20"/>
              </w:rPr>
              <w:t>ed</w:t>
            </w:r>
            <w:r w:rsidRPr="002C641F">
              <w:rPr>
                <w:sz w:val="20"/>
                <w:szCs w:val="20"/>
              </w:rPr>
              <w:t xml:space="preserve"> only as abstract.</w:t>
            </w: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3F278C" w:rsidTr="009730AB">
        <w:tc>
          <w:tcPr>
            <w:tcW w:w="1418" w:type="dxa"/>
          </w:tcPr>
          <w:p w:rsidR="00A74D02" w:rsidRPr="003F278C" w:rsidRDefault="00A74D02" w:rsidP="00927197">
            <w:pPr>
              <w:contextualSpacing/>
              <w:rPr>
                <w:sz w:val="20"/>
                <w:szCs w:val="20"/>
              </w:rPr>
            </w:pPr>
            <w:r w:rsidRPr="003F278C">
              <w:rPr>
                <w:sz w:val="20"/>
                <w:szCs w:val="20"/>
              </w:rPr>
              <w:t>Bangladesh</w:t>
            </w:r>
          </w:p>
          <w:p w:rsidR="00A74D02" w:rsidRPr="003027AC" w:rsidRDefault="00A74D02" w:rsidP="00927197">
            <w:pPr>
              <w:contextualSpacing/>
              <w:rPr>
                <w:sz w:val="20"/>
                <w:szCs w:val="20"/>
                <w:vertAlign w:val="superscript"/>
              </w:rPr>
            </w:pPr>
            <w:r w:rsidRPr="003F278C">
              <w:rPr>
                <w:sz w:val="20"/>
                <w:szCs w:val="20"/>
              </w:rPr>
              <w:t>Alam et al (2012)</w:t>
            </w:r>
            <w:r w:rsidR="003027AC">
              <w:rPr>
                <w:sz w:val="20"/>
                <w:szCs w:val="20"/>
                <w:vertAlign w:val="superscript"/>
              </w:rPr>
              <w:t>28</w:t>
            </w:r>
          </w:p>
        </w:tc>
        <w:tc>
          <w:tcPr>
            <w:tcW w:w="1418" w:type="dxa"/>
          </w:tcPr>
          <w:p w:rsidR="00A74D02" w:rsidRPr="003F278C" w:rsidRDefault="00A74D02" w:rsidP="00927197">
            <w:pPr>
              <w:contextualSpacing/>
              <w:rPr>
                <w:sz w:val="20"/>
                <w:szCs w:val="20"/>
              </w:rPr>
            </w:pPr>
            <w:r w:rsidRPr="003F278C">
              <w:rPr>
                <w:sz w:val="20"/>
                <w:szCs w:val="20"/>
              </w:rPr>
              <w:t>Cohort</w:t>
            </w:r>
          </w:p>
        </w:tc>
        <w:tc>
          <w:tcPr>
            <w:tcW w:w="1842" w:type="dxa"/>
          </w:tcPr>
          <w:p w:rsidR="00A74D02" w:rsidRPr="003F278C" w:rsidRDefault="00A74D02" w:rsidP="00927197">
            <w:pPr>
              <w:contextualSpacing/>
              <w:rPr>
                <w:sz w:val="20"/>
                <w:szCs w:val="20"/>
              </w:rPr>
            </w:pPr>
            <w:r w:rsidRPr="003F278C">
              <w:rPr>
                <w:sz w:val="20"/>
                <w:szCs w:val="20"/>
              </w:rPr>
              <w:t>22,337 adult residents of 11 villages (20,757 using solid fuel and 1,580 using natural gas) followed for 10 years</w:t>
            </w:r>
          </w:p>
        </w:tc>
        <w:tc>
          <w:tcPr>
            <w:tcW w:w="1418" w:type="dxa"/>
          </w:tcPr>
          <w:p w:rsidR="00A74D02" w:rsidRPr="003F278C" w:rsidRDefault="00A74D02" w:rsidP="00927197">
            <w:pPr>
              <w:contextualSpacing/>
              <w:rPr>
                <w:sz w:val="20"/>
                <w:szCs w:val="20"/>
              </w:rPr>
            </w:pPr>
            <w:r w:rsidRPr="003F278C">
              <w:rPr>
                <w:sz w:val="20"/>
                <w:szCs w:val="20"/>
              </w:rPr>
              <w:t>Use of solid fuel for cooking or heating v use of natural gas</w:t>
            </w:r>
          </w:p>
        </w:tc>
        <w:tc>
          <w:tcPr>
            <w:tcW w:w="1843" w:type="dxa"/>
          </w:tcPr>
          <w:p w:rsidR="00A74D02" w:rsidRPr="003F278C" w:rsidRDefault="00A74D02" w:rsidP="00927197">
            <w:pPr>
              <w:contextualSpacing/>
              <w:rPr>
                <w:sz w:val="20"/>
                <w:szCs w:val="20"/>
              </w:rPr>
            </w:pPr>
            <w:r w:rsidRPr="003F278C">
              <w:rPr>
                <w:sz w:val="20"/>
                <w:szCs w:val="20"/>
              </w:rPr>
              <w:t>Mortality from ischaemic heart disease (IHD) determined by verbal autopsy</w:t>
            </w:r>
          </w:p>
        </w:tc>
        <w:tc>
          <w:tcPr>
            <w:tcW w:w="3118" w:type="dxa"/>
          </w:tcPr>
          <w:p w:rsidR="00A74D02" w:rsidRPr="003F278C" w:rsidRDefault="00A74D02" w:rsidP="00927197">
            <w:pPr>
              <w:contextualSpacing/>
              <w:rPr>
                <w:sz w:val="20"/>
                <w:szCs w:val="20"/>
              </w:rPr>
            </w:pPr>
            <w:r w:rsidRPr="003F278C">
              <w:rPr>
                <w:sz w:val="20"/>
                <w:szCs w:val="20"/>
              </w:rPr>
              <w:t xml:space="preserve">Incidence rate ratios for IHD </w:t>
            </w:r>
          </w:p>
          <w:p w:rsidR="00A74D02" w:rsidRPr="003F278C" w:rsidRDefault="00A74D02" w:rsidP="00927197">
            <w:pPr>
              <w:contextualSpacing/>
              <w:rPr>
                <w:sz w:val="20"/>
                <w:szCs w:val="20"/>
              </w:rPr>
            </w:pPr>
            <w:r w:rsidRPr="003F278C">
              <w:rPr>
                <w:sz w:val="20"/>
                <w:szCs w:val="20"/>
              </w:rPr>
              <w:t>0.82 (95%CI 0.50-1.34) overall</w:t>
            </w:r>
          </w:p>
          <w:p w:rsidR="00A74D02" w:rsidRPr="003F278C" w:rsidRDefault="00A74D02" w:rsidP="00927197">
            <w:pPr>
              <w:contextualSpacing/>
              <w:rPr>
                <w:sz w:val="20"/>
                <w:szCs w:val="20"/>
              </w:rPr>
            </w:pPr>
            <w:r w:rsidRPr="003F278C">
              <w:rPr>
                <w:sz w:val="20"/>
                <w:szCs w:val="20"/>
              </w:rPr>
              <w:t>0.90 (95%CI 0.50-1.63) in men</w:t>
            </w:r>
          </w:p>
          <w:p w:rsidR="00A74D02" w:rsidRPr="003F278C" w:rsidRDefault="00A74D02" w:rsidP="00927197">
            <w:pPr>
              <w:contextualSpacing/>
              <w:rPr>
                <w:sz w:val="20"/>
                <w:szCs w:val="20"/>
              </w:rPr>
            </w:pPr>
            <w:r w:rsidRPr="003F278C">
              <w:rPr>
                <w:sz w:val="20"/>
                <w:szCs w:val="20"/>
              </w:rPr>
              <w:t>0.77 (95%CI 0.31-1.92) in women</w:t>
            </w:r>
          </w:p>
        </w:tc>
        <w:tc>
          <w:tcPr>
            <w:tcW w:w="1985" w:type="dxa"/>
          </w:tcPr>
          <w:p w:rsidR="00A74D02" w:rsidRPr="003F278C" w:rsidRDefault="00A74D02" w:rsidP="00927197">
            <w:pPr>
              <w:contextualSpacing/>
              <w:rPr>
                <w:sz w:val="20"/>
                <w:szCs w:val="20"/>
              </w:rPr>
            </w:pPr>
            <w:r w:rsidRPr="003F278C">
              <w:rPr>
                <w:sz w:val="20"/>
                <w:szCs w:val="20"/>
              </w:rPr>
              <w:t>Sex</w:t>
            </w:r>
          </w:p>
        </w:tc>
        <w:tc>
          <w:tcPr>
            <w:tcW w:w="1984" w:type="dxa"/>
          </w:tcPr>
          <w:p w:rsidR="00A74D02" w:rsidRPr="003F278C" w:rsidRDefault="00A74D02" w:rsidP="00927197">
            <w:pPr>
              <w:contextualSpacing/>
              <w:rPr>
                <w:sz w:val="20"/>
                <w:szCs w:val="20"/>
              </w:rPr>
            </w:pPr>
            <w:r w:rsidRPr="003F278C">
              <w:rPr>
                <w:sz w:val="20"/>
                <w:szCs w:val="20"/>
              </w:rPr>
              <w:t>It is unclear whether there was any adjustment for age</w:t>
            </w:r>
          </w:p>
        </w:tc>
      </w:tr>
      <w:tr w:rsidR="00A74D02" w:rsidRPr="003F278C" w:rsidTr="009730AB">
        <w:tc>
          <w:tcPr>
            <w:tcW w:w="1418" w:type="dxa"/>
          </w:tcPr>
          <w:p w:rsidR="00A74D02" w:rsidRPr="003F278C" w:rsidRDefault="00A74D02" w:rsidP="00927197">
            <w:pPr>
              <w:contextualSpacing/>
              <w:rPr>
                <w:sz w:val="20"/>
                <w:szCs w:val="20"/>
              </w:rPr>
            </w:pPr>
          </w:p>
        </w:tc>
        <w:tc>
          <w:tcPr>
            <w:tcW w:w="1418" w:type="dxa"/>
          </w:tcPr>
          <w:p w:rsidR="00A74D02" w:rsidRPr="003F278C" w:rsidRDefault="00A74D02" w:rsidP="00927197">
            <w:pPr>
              <w:contextualSpacing/>
              <w:rPr>
                <w:sz w:val="20"/>
                <w:szCs w:val="20"/>
              </w:rPr>
            </w:pPr>
          </w:p>
        </w:tc>
        <w:tc>
          <w:tcPr>
            <w:tcW w:w="1842" w:type="dxa"/>
          </w:tcPr>
          <w:p w:rsidR="00A74D02" w:rsidRPr="003F278C" w:rsidRDefault="00A74D02" w:rsidP="00927197">
            <w:pPr>
              <w:contextualSpacing/>
              <w:rPr>
                <w:sz w:val="20"/>
                <w:szCs w:val="20"/>
              </w:rPr>
            </w:pPr>
          </w:p>
        </w:tc>
        <w:tc>
          <w:tcPr>
            <w:tcW w:w="1418" w:type="dxa"/>
          </w:tcPr>
          <w:p w:rsidR="00A74D02" w:rsidRPr="003F278C" w:rsidRDefault="00A74D02" w:rsidP="00927197">
            <w:pPr>
              <w:contextualSpacing/>
              <w:rPr>
                <w:sz w:val="20"/>
                <w:szCs w:val="20"/>
              </w:rPr>
            </w:pPr>
          </w:p>
        </w:tc>
        <w:tc>
          <w:tcPr>
            <w:tcW w:w="1843" w:type="dxa"/>
          </w:tcPr>
          <w:p w:rsidR="00A74D02" w:rsidRPr="003F278C" w:rsidRDefault="00A74D02" w:rsidP="00927197">
            <w:pPr>
              <w:contextualSpacing/>
              <w:rPr>
                <w:sz w:val="20"/>
                <w:szCs w:val="20"/>
              </w:rPr>
            </w:pPr>
          </w:p>
        </w:tc>
        <w:tc>
          <w:tcPr>
            <w:tcW w:w="3118" w:type="dxa"/>
          </w:tcPr>
          <w:p w:rsidR="00A74D02" w:rsidRPr="003F278C" w:rsidRDefault="00A74D02" w:rsidP="00927197">
            <w:pPr>
              <w:contextualSpacing/>
              <w:rPr>
                <w:sz w:val="20"/>
                <w:szCs w:val="20"/>
              </w:rPr>
            </w:pPr>
          </w:p>
        </w:tc>
        <w:tc>
          <w:tcPr>
            <w:tcW w:w="1985" w:type="dxa"/>
          </w:tcPr>
          <w:p w:rsidR="00A74D02" w:rsidRPr="003F278C" w:rsidRDefault="00A74D02" w:rsidP="00927197">
            <w:pPr>
              <w:contextualSpacing/>
              <w:rPr>
                <w:sz w:val="20"/>
                <w:szCs w:val="20"/>
              </w:rPr>
            </w:pPr>
          </w:p>
        </w:tc>
        <w:tc>
          <w:tcPr>
            <w:tcW w:w="1984" w:type="dxa"/>
          </w:tcPr>
          <w:p w:rsidR="00A74D02" w:rsidRPr="003F278C" w:rsidRDefault="00A74D02" w:rsidP="00927197">
            <w:pPr>
              <w:contextualSpacing/>
              <w:rPr>
                <w:sz w:val="20"/>
                <w:szCs w:val="20"/>
              </w:rPr>
            </w:pPr>
          </w:p>
        </w:tc>
      </w:tr>
    </w:tbl>
    <w:p w:rsidR="00CE2FB8" w:rsidRDefault="00CE2FB8">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730AB">
        <w:tc>
          <w:tcPr>
            <w:tcW w:w="1418" w:type="dxa"/>
          </w:tcPr>
          <w:p w:rsidR="00A74D02" w:rsidRPr="003F278C" w:rsidRDefault="00A74D02" w:rsidP="00927197">
            <w:pPr>
              <w:contextualSpacing/>
              <w:rPr>
                <w:sz w:val="20"/>
                <w:szCs w:val="20"/>
              </w:rPr>
            </w:pPr>
            <w:r w:rsidRPr="003F278C">
              <w:rPr>
                <w:sz w:val="20"/>
                <w:szCs w:val="20"/>
              </w:rPr>
              <w:lastRenderedPageBreak/>
              <w:t>India</w:t>
            </w:r>
          </w:p>
          <w:p w:rsidR="00A74D02" w:rsidRPr="003027AC" w:rsidRDefault="00A74D02" w:rsidP="00927197">
            <w:pPr>
              <w:contextualSpacing/>
              <w:rPr>
                <w:sz w:val="20"/>
                <w:szCs w:val="20"/>
                <w:vertAlign w:val="superscript"/>
              </w:rPr>
            </w:pPr>
            <w:r w:rsidRPr="003F278C">
              <w:rPr>
                <w:sz w:val="20"/>
                <w:szCs w:val="20"/>
              </w:rPr>
              <w:t>Banerjee et al (2012)</w:t>
            </w:r>
            <w:r w:rsidR="003027AC">
              <w:rPr>
                <w:sz w:val="20"/>
                <w:szCs w:val="20"/>
                <w:vertAlign w:val="superscript"/>
              </w:rPr>
              <w:t>29</w:t>
            </w:r>
          </w:p>
        </w:tc>
        <w:tc>
          <w:tcPr>
            <w:tcW w:w="1418" w:type="dxa"/>
          </w:tcPr>
          <w:p w:rsidR="00A74D02" w:rsidRPr="003F278C" w:rsidRDefault="00A74D02" w:rsidP="00927197">
            <w:pPr>
              <w:contextualSpacing/>
              <w:rPr>
                <w:sz w:val="20"/>
                <w:szCs w:val="20"/>
              </w:rPr>
            </w:pPr>
            <w:r w:rsidRPr="003F278C">
              <w:rPr>
                <w:sz w:val="20"/>
                <w:szCs w:val="20"/>
              </w:rPr>
              <w:t>Cross-sectional</w:t>
            </w:r>
          </w:p>
        </w:tc>
        <w:tc>
          <w:tcPr>
            <w:tcW w:w="1842" w:type="dxa"/>
          </w:tcPr>
          <w:p w:rsidR="00A74D02" w:rsidRPr="003F278C" w:rsidRDefault="00A74D02" w:rsidP="00927197">
            <w:pPr>
              <w:contextualSpacing/>
              <w:rPr>
                <w:sz w:val="20"/>
                <w:szCs w:val="20"/>
              </w:rPr>
            </w:pPr>
            <w:r w:rsidRPr="003F278C">
              <w:rPr>
                <w:sz w:val="20"/>
                <w:szCs w:val="20"/>
              </w:rPr>
              <w:t>142 women aged 23-40 who had never smoked and had cooked exclusively with biomass for ≥5 years, and 126 age-matched, non-smoking controls who cooked with liquefied petroleum gas (LPG)</w:t>
            </w:r>
          </w:p>
        </w:tc>
        <w:tc>
          <w:tcPr>
            <w:tcW w:w="1418" w:type="dxa"/>
          </w:tcPr>
          <w:p w:rsidR="00A74D02" w:rsidRPr="003F278C" w:rsidRDefault="00A74D02" w:rsidP="00927197">
            <w:pPr>
              <w:contextualSpacing/>
              <w:rPr>
                <w:sz w:val="20"/>
                <w:szCs w:val="20"/>
              </w:rPr>
            </w:pPr>
            <w:r w:rsidRPr="003F278C">
              <w:rPr>
                <w:sz w:val="20"/>
                <w:szCs w:val="20"/>
              </w:rPr>
              <w:t>Use of biomass v LPG for cooking</w:t>
            </w:r>
          </w:p>
        </w:tc>
        <w:tc>
          <w:tcPr>
            <w:tcW w:w="1843" w:type="dxa"/>
          </w:tcPr>
          <w:p w:rsidR="00A74D02" w:rsidRPr="003F278C" w:rsidRDefault="00A74D02" w:rsidP="00927197">
            <w:pPr>
              <w:contextualSpacing/>
              <w:rPr>
                <w:sz w:val="20"/>
                <w:szCs w:val="20"/>
              </w:rPr>
            </w:pPr>
            <w:r w:rsidRPr="003F278C">
              <w:rPr>
                <w:sz w:val="20"/>
                <w:szCs w:val="20"/>
              </w:rPr>
              <w:t>Surface expression of CD35, CD16 and CD11b/CD18 on circulating neutrophils</w:t>
            </w:r>
          </w:p>
          <w:p w:rsidR="00A74D02" w:rsidRPr="003F278C" w:rsidRDefault="00A74D02" w:rsidP="00927197">
            <w:pPr>
              <w:contextualSpacing/>
              <w:rPr>
                <w:sz w:val="20"/>
                <w:szCs w:val="20"/>
              </w:rPr>
            </w:pPr>
            <w:r w:rsidRPr="003F278C">
              <w:rPr>
                <w:sz w:val="20"/>
                <w:szCs w:val="20"/>
              </w:rPr>
              <w:t>Plasma concentrations of tumour necrosis factor-alpha (TNF-α), interleulin-6 (IL-6), IL-8, IL-12, nitric oxide (NO)</w:t>
            </w:r>
          </w:p>
          <w:p w:rsidR="00A74D02" w:rsidRPr="003F278C" w:rsidRDefault="00A74D02" w:rsidP="00927197">
            <w:pPr>
              <w:contextualSpacing/>
              <w:rPr>
                <w:sz w:val="20"/>
                <w:szCs w:val="20"/>
              </w:rPr>
            </w:pPr>
            <w:r w:rsidRPr="003F278C">
              <w:rPr>
                <w:sz w:val="20"/>
                <w:szCs w:val="20"/>
              </w:rPr>
              <w:t>Myeloperoxidase activity in circulating neutrophils</w:t>
            </w:r>
          </w:p>
          <w:p w:rsidR="00A74D02" w:rsidRPr="003F278C" w:rsidRDefault="00A74D02" w:rsidP="00927197">
            <w:pPr>
              <w:contextualSpacing/>
              <w:rPr>
                <w:sz w:val="20"/>
                <w:szCs w:val="20"/>
              </w:rPr>
            </w:pPr>
            <w:r w:rsidRPr="003F278C">
              <w:rPr>
                <w:sz w:val="20"/>
                <w:szCs w:val="20"/>
              </w:rPr>
              <w:t xml:space="preserve">Erythrocyte level of superoxide dismutase (SOD) </w:t>
            </w:r>
          </w:p>
        </w:tc>
        <w:tc>
          <w:tcPr>
            <w:tcW w:w="3118" w:type="dxa"/>
          </w:tcPr>
          <w:p w:rsidR="00A74D02" w:rsidRPr="003F278C" w:rsidRDefault="00A74D02" w:rsidP="00927197">
            <w:pPr>
              <w:contextualSpacing/>
              <w:rPr>
                <w:sz w:val="20"/>
                <w:szCs w:val="20"/>
              </w:rPr>
            </w:pPr>
            <w:r w:rsidRPr="003F278C">
              <w:rPr>
                <w:sz w:val="20"/>
                <w:szCs w:val="20"/>
              </w:rPr>
              <w:t>Among users of biomass fuel:</w:t>
            </w:r>
          </w:p>
          <w:p w:rsidR="00A74D02" w:rsidRPr="003F278C" w:rsidRDefault="00A74D02" w:rsidP="00927197">
            <w:pPr>
              <w:contextualSpacing/>
              <w:rPr>
                <w:sz w:val="20"/>
                <w:szCs w:val="20"/>
              </w:rPr>
            </w:pPr>
            <w:r w:rsidRPr="003F278C">
              <w:rPr>
                <w:sz w:val="20"/>
                <w:szCs w:val="20"/>
              </w:rPr>
              <w:t>Expression of CD35, CD16, CD11b and CD18 was significantly higher (p&lt;0.0001);</w:t>
            </w:r>
          </w:p>
          <w:p w:rsidR="00A74D02" w:rsidRPr="003F278C" w:rsidRDefault="00A74D02" w:rsidP="00927197">
            <w:pPr>
              <w:contextualSpacing/>
              <w:rPr>
                <w:sz w:val="20"/>
                <w:szCs w:val="20"/>
              </w:rPr>
            </w:pPr>
            <w:r w:rsidRPr="003F278C">
              <w:rPr>
                <w:sz w:val="20"/>
                <w:szCs w:val="20"/>
              </w:rPr>
              <w:t>Plasma TNF-α, IL-6, IL-8 and IL-12 were significantly higher;</w:t>
            </w:r>
          </w:p>
          <w:p w:rsidR="00A74D02" w:rsidRPr="008C1FE8" w:rsidRDefault="00A74D02" w:rsidP="00927197">
            <w:pPr>
              <w:autoSpaceDE w:val="0"/>
              <w:autoSpaceDN w:val="0"/>
              <w:adjustRightInd w:val="0"/>
              <w:rPr>
                <w:rFonts w:asciiTheme="minorBidi" w:hAnsiTheme="minorBidi" w:cstheme="minorBidi"/>
                <w:color w:val="131413"/>
                <w:sz w:val="20"/>
                <w:szCs w:val="20"/>
                <w:lang w:val="en-US"/>
              </w:rPr>
            </w:pPr>
            <w:r w:rsidRPr="003F278C">
              <w:rPr>
                <w:rFonts w:asciiTheme="minorBidi" w:hAnsiTheme="minorBidi" w:cstheme="minorBidi"/>
                <w:color w:val="131413"/>
                <w:sz w:val="20"/>
                <w:szCs w:val="20"/>
                <w:lang w:val="en-US"/>
              </w:rPr>
              <w:t>S</w:t>
            </w:r>
            <w:r w:rsidRPr="008C1FE8">
              <w:rPr>
                <w:rFonts w:asciiTheme="minorBidi" w:hAnsiTheme="minorBidi" w:cstheme="minorBidi"/>
                <w:color w:val="131413"/>
                <w:sz w:val="20"/>
                <w:szCs w:val="20"/>
                <w:lang w:val="en-US"/>
              </w:rPr>
              <w:t xml:space="preserve">erum NO was increased twofold from 23.3±12.6 </w:t>
            </w:r>
            <w:proofErr w:type="spellStart"/>
            <w:r w:rsidRPr="008C1FE8">
              <w:rPr>
                <w:rFonts w:asciiTheme="minorBidi" w:hAnsiTheme="minorBidi" w:cstheme="minorBidi"/>
                <w:color w:val="131413"/>
                <w:sz w:val="20"/>
                <w:szCs w:val="20"/>
                <w:lang w:val="en-US"/>
              </w:rPr>
              <w:t>μM</w:t>
            </w:r>
            <w:proofErr w:type="spellEnd"/>
          </w:p>
          <w:p w:rsidR="00A74D02" w:rsidRPr="008C1FE8" w:rsidRDefault="00A74D02" w:rsidP="00927197">
            <w:pPr>
              <w:contextualSpacing/>
              <w:rPr>
                <w:rFonts w:asciiTheme="minorBidi" w:hAnsiTheme="minorBidi" w:cstheme="minorBidi"/>
                <w:sz w:val="20"/>
                <w:szCs w:val="20"/>
              </w:rPr>
            </w:pPr>
            <w:r w:rsidRPr="008C1FE8">
              <w:rPr>
                <w:rFonts w:asciiTheme="minorBidi" w:hAnsiTheme="minorBidi" w:cstheme="minorBidi"/>
                <w:color w:val="131413"/>
                <w:sz w:val="20"/>
                <w:szCs w:val="20"/>
                <w:lang w:val="en-US"/>
              </w:rPr>
              <w:t xml:space="preserve">in controls to 47.3±16.2 </w:t>
            </w:r>
            <w:proofErr w:type="spellStart"/>
            <w:r w:rsidRPr="008C1FE8">
              <w:rPr>
                <w:rFonts w:asciiTheme="minorBidi" w:hAnsiTheme="minorBidi" w:cstheme="minorBidi"/>
                <w:color w:val="131413"/>
                <w:sz w:val="20"/>
                <w:szCs w:val="20"/>
                <w:lang w:val="en-US"/>
              </w:rPr>
              <w:t>μM</w:t>
            </w:r>
            <w:proofErr w:type="spellEnd"/>
            <w:r w:rsidRPr="008C1FE8">
              <w:rPr>
                <w:rFonts w:asciiTheme="minorBidi" w:hAnsiTheme="minorBidi" w:cstheme="minorBidi"/>
                <w:color w:val="131413"/>
                <w:sz w:val="20"/>
                <w:szCs w:val="20"/>
                <w:lang w:val="en-US"/>
              </w:rPr>
              <w:t xml:space="preserve"> in biomass users</w:t>
            </w:r>
            <w:r w:rsidRPr="003F278C">
              <w:rPr>
                <w:rFonts w:asciiTheme="minorBidi" w:hAnsiTheme="minorBidi" w:cstheme="minorBidi"/>
                <w:color w:val="131413"/>
                <w:sz w:val="20"/>
                <w:szCs w:val="20"/>
                <w:lang w:val="en-US"/>
              </w:rPr>
              <w:t xml:space="preserve"> (p&lt;0.0001)</w:t>
            </w:r>
          </w:p>
          <w:p w:rsidR="00A74D02" w:rsidRPr="003F278C" w:rsidRDefault="00A74D02" w:rsidP="00927197">
            <w:pPr>
              <w:contextualSpacing/>
              <w:rPr>
                <w:sz w:val="20"/>
                <w:szCs w:val="20"/>
              </w:rPr>
            </w:pPr>
            <w:r w:rsidRPr="003F278C">
              <w:rPr>
                <w:sz w:val="20"/>
                <w:szCs w:val="20"/>
              </w:rPr>
              <w:t xml:space="preserve">Myeloperoxidase activity in circulating neutrophils was higher; and erythrocyte SOD was lower. </w:t>
            </w:r>
          </w:p>
        </w:tc>
        <w:tc>
          <w:tcPr>
            <w:tcW w:w="1985" w:type="dxa"/>
          </w:tcPr>
          <w:p w:rsidR="00A74D02" w:rsidRPr="003F278C" w:rsidRDefault="00CE2FB8" w:rsidP="00927197">
            <w:pPr>
              <w:contextualSpacing/>
              <w:rPr>
                <w:sz w:val="20"/>
                <w:szCs w:val="20"/>
              </w:rPr>
            </w:pPr>
            <w:r>
              <w:rPr>
                <w:sz w:val="20"/>
                <w:szCs w:val="20"/>
              </w:rPr>
              <w:t>A</w:t>
            </w:r>
            <w:r w:rsidR="00A74D02" w:rsidRPr="003F278C">
              <w:rPr>
                <w:sz w:val="20"/>
                <w:szCs w:val="20"/>
              </w:rPr>
              <w:t xml:space="preserve">ge, body mass index, years of cooking, hours of cooking per day, environmental tobacco smoke, food habits and use of mosquito </w:t>
            </w:r>
            <w:proofErr w:type="spellStart"/>
            <w:r w:rsidR="00A74D02" w:rsidRPr="003F278C">
              <w:rPr>
                <w:sz w:val="20"/>
                <w:szCs w:val="20"/>
              </w:rPr>
              <w:t>repellants</w:t>
            </w:r>
            <w:proofErr w:type="spellEnd"/>
          </w:p>
        </w:tc>
        <w:tc>
          <w:tcPr>
            <w:tcW w:w="1984" w:type="dxa"/>
          </w:tcPr>
          <w:p w:rsidR="00A74D02" w:rsidRPr="003F278C" w:rsidRDefault="00A74D02" w:rsidP="00927197">
            <w:pPr>
              <w:contextualSpacing/>
              <w:rPr>
                <w:sz w:val="20"/>
                <w:szCs w:val="20"/>
              </w:rPr>
            </w:pPr>
            <w:r w:rsidRPr="003F278C">
              <w:rPr>
                <w:sz w:val="20"/>
                <w:szCs w:val="20"/>
              </w:rPr>
              <w:t xml:space="preserve">Education, family income and </w:t>
            </w:r>
            <w:r w:rsidR="00CE2FB8">
              <w:rPr>
                <w:sz w:val="20"/>
                <w:szCs w:val="20"/>
              </w:rPr>
              <w:t xml:space="preserve">prevalence of </w:t>
            </w:r>
            <w:r w:rsidRPr="003F278C">
              <w:rPr>
                <w:sz w:val="20"/>
                <w:szCs w:val="20"/>
              </w:rPr>
              <w:t>homes with separate kitchens were lower in biomass users.</w:t>
            </w:r>
          </w:p>
          <w:p w:rsidR="00A74D02" w:rsidRPr="003F278C" w:rsidRDefault="00A74D02" w:rsidP="00927197">
            <w:pPr>
              <w:contextualSpacing/>
              <w:rPr>
                <w:sz w:val="20"/>
                <w:szCs w:val="20"/>
              </w:rPr>
            </w:pPr>
            <w:r w:rsidRPr="003F278C">
              <w:rPr>
                <w:sz w:val="20"/>
                <w:szCs w:val="20"/>
              </w:rPr>
              <w:t>The published report is unclear in places, and the methods of statistical analysis are not adequately explained</w:t>
            </w: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r w:rsidRPr="002C641F">
              <w:rPr>
                <w:sz w:val="20"/>
                <w:szCs w:val="20"/>
              </w:rPr>
              <w:t>Peru</w:t>
            </w:r>
          </w:p>
          <w:p w:rsidR="00A74D02" w:rsidRPr="003027AC" w:rsidRDefault="00A74D02" w:rsidP="00927197">
            <w:pPr>
              <w:contextualSpacing/>
              <w:rPr>
                <w:sz w:val="20"/>
                <w:szCs w:val="20"/>
                <w:vertAlign w:val="superscript"/>
              </w:rPr>
            </w:pPr>
            <w:proofErr w:type="spellStart"/>
            <w:r w:rsidRPr="002C641F">
              <w:rPr>
                <w:sz w:val="20"/>
                <w:szCs w:val="20"/>
              </w:rPr>
              <w:t>Painschab</w:t>
            </w:r>
            <w:proofErr w:type="spellEnd"/>
            <w:r w:rsidRPr="002C641F">
              <w:rPr>
                <w:sz w:val="20"/>
                <w:szCs w:val="20"/>
              </w:rPr>
              <w:t xml:space="preserve"> et al (2013)</w:t>
            </w:r>
            <w:r w:rsidR="003027AC">
              <w:rPr>
                <w:sz w:val="20"/>
                <w:szCs w:val="20"/>
                <w:vertAlign w:val="superscript"/>
              </w:rPr>
              <w:t>30</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266 adults aged ≥35 including 154 using biomass fuel and 112 using clean fuel (based on rural or urban residence)</w:t>
            </w:r>
          </w:p>
        </w:tc>
        <w:tc>
          <w:tcPr>
            <w:tcW w:w="1418" w:type="dxa"/>
          </w:tcPr>
          <w:p w:rsidR="00A74D02" w:rsidRPr="002C641F" w:rsidRDefault="00A74D02" w:rsidP="00927197">
            <w:pPr>
              <w:contextualSpacing/>
              <w:rPr>
                <w:sz w:val="20"/>
                <w:szCs w:val="20"/>
              </w:rPr>
            </w:pPr>
            <w:r w:rsidRPr="002C641F">
              <w:rPr>
                <w:sz w:val="20"/>
                <w:szCs w:val="20"/>
              </w:rPr>
              <w:t>Chronic exposure to biomass smoke v use of clean fuel</w:t>
            </w:r>
          </w:p>
        </w:tc>
        <w:tc>
          <w:tcPr>
            <w:tcW w:w="1843" w:type="dxa"/>
          </w:tcPr>
          <w:p w:rsidR="00A74D02" w:rsidRPr="002C641F" w:rsidRDefault="00A74D02" w:rsidP="00927197">
            <w:pPr>
              <w:contextualSpacing/>
              <w:rPr>
                <w:sz w:val="20"/>
                <w:szCs w:val="20"/>
              </w:rPr>
            </w:pPr>
            <w:r w:rsidRPr="002C641F">
              <w:rPr>
                <w:sz w:val="20"/>
                <w:szCs w:val="20"/>
              </w:rPr>
              <w:t>Carotid intima media thickness (CIMT) and prevalence of carotid plaque (assessed by ultrasound), blood pressure (BP)</w:t>
            </w:r>
          </w:p>
        </w:tc>
        <w:tc>
          <w:tcPr>
            <w:tcW w:w="3118" w:type="dxa"/>
          </w:tcPr>
          <w:p w:rsidR="00A74D02" w:rsidRPr="002C641F" w:rsidRDefault="00A74D02" w:rsidP="00927197">
            <w:pPr>
              <w:contextualSpacing/>
              <w:rPr>
                <w:sz w:val="20"/>
                <w:szCs w:val="20"/>
              </w:rPr>
            </w:pPr>
            <w:r w:rsidRPr="002C641F">
              <w:rPr>
                <w:sz w:val="20"/>
                <w:szCs w:val="20"/>
              </w:rPr>
              <w:t>Increase in mean CIMT 0.03 (95%CI 0.01 to 0.06) mm</w:t>
            </w:r>
          </w:p>
          <w:p w:rsidR="00A74D02" w:rsidRPr="002C641F" w:rsidRDefault="00A74D02" w:rsidP="00927197">
            <w:pPr>
              <w:contextualSpacing/>
              <w:rPr>
                <w:sz w:val="20"/>
                <w:szCs w:val="20"/>
              </w:rPr>
            </w:pPr>
            <w:r w:rsidRPr="002C641F">
              <w:rPr>
                <w:sz w:val="20"/>
                <w:szCs w:val="20"/>
              </w:rPr>
              <w:t>Increase in maximum CIMT  0.03 (95%CI 0.01 to 0.06) mm</w:t>
            </w:r>
          </w:p>
          <w:p w:rsidR="00A74D02" w:rsidRPr="002C641F" w:rsidRDefault="00A74D02" w:rsidP="00927197">
            <w:pPr>
              <w:contextualSpacing/>
              <w:rPr>
                <w:sz w:val="20"/>
                <w:szCs w:val="20"/>
              </w:rPr>
            </w:pPr>
            <w:r w:rsidRPr="002C641F">
              <w:rPr>
                <w:sz w:val="20"/>
                <w:szCs w:val="20"/>
              </w:rPr>
              <w:t>Increase in systolic BP  9.2 (95%CI 5.4 to 13.0) mm Hg</w:t>
            </w:r>
          </w:p>
          <w:p w:rsidR="00A74D02" w:rsidRPr="002C641F" w:rsidRDefault="00A74D02" w:rsidP="00927197">
            <w:pPr>
              <w:contextualSpacing/>
              <w:rPr>
                <w:sz w:val="20"/>
                <w:szCs w:val="20"/>
              </w:rPr>
            </w:pPr>
            <w:r w:rsidRPr="002C641F">
              <w:rPr>
                <w:sz w:val="20"/>
                <w:szCs w:val="20"/>
              </w:rPr>
              <w:t>Increase in diastolic BP  6.5 (95%CI 4.1 to 8.9)</w:t>
            </w:r>
          </w:p>
          <w:p w:rsidR="00A74D02" w:rsidRPr="002C641F" w:rsidRDefault="00A74D02" w:rsidP="00927197">
            <w:pPr>
              <w:contextualSpacing/>
              <w:rPr>
                <w:sz w:val="20"/>
                <w:szCs w:val="20"/>
              </w:rPr>
            </w:pPr>
            <w:r w:rsidRPr="002C641F">
              <w:rPr>
                <w:sz w:val="20"/>
                <w:szCs w:val="20"/>
              </w:rPr>
              <w:t xml:space="preserve">Odds ratio for carotid plaque  2.55 (95%CI 1.08-5.98) </w:t>
            </w:r>
          </w:p>
        </w:tc>
        <w:tc>
          <w:tcPr>
            <w:tcW w:w="1985" w:type="dxa"/>
          </w:tcPr>
          <w:p w:rsidR="00A74D02" w:rsidRPr="002C641F" w:rsidRDefault="00A74D02" w:rsidP="00927197">
            <w:pPr>
              <w:contextualSpacing/>
              <w:rPr>
                <w:sz w:val="20"/>
                <w:szCs w:val="20"/>
              </w:rPr>
            </w:pPr>
            <w:r w:rsidRPr="002C641F">
              <w:rPr>
                <w:sz w:val="20"/>
                <w:szCs w:val="20"/>
              </w:rPr>
              <w:t>Age, sex, low density lipoprotein, high density lipoprotein, body mass index, homeostasis model of assessment-insulin resistance, use of anti-hypertensives</w:t>
            </w: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bl>
    <w:p w:rsidR="00E45933" w:rsidRDefault="00E45933">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730AB">
        <w:tc>
          <w:tcPr>
            <w:tcW w:w="1418" w:type="dxa"/>
          </w:tcPr>
          <w:p w:rsidR="00A74D02" w:rsidRPr="002C641F" w:rsidRDefault="00A74D02" w:rsidP="00927197">
            <w:pPr>
              <w:contextualSpacing/>
              <w:rPr>
                <w:sz w:val="20"/>
                <w:szCs w:val="20"/>
              </w:rPr>
            </w:pPr>
            <w:r w:rsidRPr="002C641F">
              <w:rPr>
                <w:sz w:val="20"/>
                <w:szCs w:val="20"/>
              </w:rPr>
              <w:lastRenderedPageBreak/>
              <w:t>Pakistan</w:t>
            </w:r>
          </w:p>
          <w:p w:rsidR="00A74D02" w:rsidRPr="003027AC" w:rsidRDefault="00A74D02" w:rsidP="00927197">
            <w:pPr>
              <w:contextualSpacing/>
              <w:rPr>
                <w:sz w:val="20"/>
                <w:szCs w:val="20"/>
                <w:vertAlign w:val="superscript"/>
              </w:rPr>
            </w:pPr>
            <w:r w:rsidRPr="002C641F">
              <w:rPr>
                <w:sz w:val="20"/>
                <w:szCs w:val="20"/>
              </w:rPr>
              <w:t>Fatmi et al. (2014)</w:t>
            </w:r>
            <w:r w:rsidR="003027AC">
              <w:rPr>
                <w:sz w:val="20"/>
                <w:szCs w:val="20"/>
                <w:vertAlign w:val="superscript"/>
              </w:rPr>
              <w:t>31</w:t>
            </w:r>
          </w:p>
        </w:tc>
        <w:tc>
          <w:tcPr>
            <w:tcW w:w="1418" w:type="dxa"/>
          </w:tcPr>
          <w:p w:rsidR="00A74D02" w:rsidRPr="002C641F" w:rsidRDefault="00A74D02" w:rsidP="00927197">
            <w:pPr>
              <w:contextualSpacing/>
              <w:rPr>
                <w:sz w:val="20"/>
                <w:szCs w:val="20"/>
              </w:rPr>
            </w:pPr>
            <w:r w:rsidRPr="002C641F">
              <w:rPr>
                <w:sz w:val="20"/>
                <w:szCs w:val="20"/>
              </w:rPr>
              <w:t xml:space="preserve">Case-control </w:t>
            </w:r>
          </w:p>
        </w:tc>
        <w:tc>
          <w:tcPr>
            <w:tcW w:w="1842" w:type="dxa"/>
          </w:tcPr>
          <w:p w:rsidR="00A74D02" w:rsidRPr="002C641F" w:rsidRDefault="00A74D02" w:rsidP="00927197">
            <w:pPr>
              <w:contextualSpacing/>
              <w:rPr>
                <w:sz w:val="20"/>
                <w:szCs w:val="20"/>
              </w:rPr>
            </w:pPr>
            <w:r w:rsidRPr="002C641F">
              <w:rPr>
                <w:sz w:val="20"/>
                <w:szCs w:val="20"/>
              </w:rPr>
              <w:t xml:space="preserve">73 non-smoking women admitted to hospital with acute coronary syndrome and 73 non-smoking controls admitted for other reasons </w:t>
            </w:r>
          </w:p>
        </w:tc>
        <w:tc>
          <w:tcPr>
            <w:tcW w:w="1418" w:type="dxa"/>
          </w:tcPr>
          <w:p w:rsidR="00A74D02" w:rsidRPr="002C641F" w:rsidRDefault="00A74D02" w:rsidP="00927197">
            <w:pPr>
              <w:contextualSpacing/>
              <w:rPr>
                <w:sz w:val="20"/>
                <w:szCs w:val="20"/>
              </w:rPr>
            </w:pPr>
            <w:r w:rsidRPr="002C641F">
              <w:rPr>
                <w:sz w:val="20"/>
                <w:szCs w:val="20"/>
              </w:rPr>
              <w:t xml:space="preserve">Current use of biomass v natural gas for cooking </w:t>
            </w:r>
          </w:p>
        </w:tc>
        <w:tc>
          <w:tcPr>
            <w:tcW w:w="1843" w:type="dxa"/>
          </w:tcPr>
          <w:p w:rsidR="00A74D02" w:rsidRPr="002C641F" w:rsidRDefault="00A74D02" w:rsidP="00927197">
            <w:pPr>
              <w:contextualSpacing/>
              <w:rPr>
                <w:sz w:val="20"/>
                <w:szCs w:val="20"/>
              </w:rPr>
            </w:pPr>
            <w:r w:rsidRPr="002C641F">
              <w:rPr>
                <w:sz w:val="20"/>
                <w:szCs w:val="20"/>
              </w:rPr>
              <w:t>Acute coronary syndrome</w:t>
            </w:r>
          </w:p>
        </w:tc>
        <w:tc>
          <w:tcPr>
            <w:tcW w:w="3118" w:type="dxa"/>
          </w:tcPr>
          <w:p w:rsidR="00A74D02" w:rsidRPr="002C641F" w:rsidRDefault="00A74D02" w:rsidP="00927197">
            <w:pPr>
              <w:contextualSpacing/>
              <w:rPr>
                <w:sz w:val="20"/>
                <w:szCs w:val="20"/>
              </w:rPr>
            </w:pPr>
            <w:r w:rsidRPr="002C641F">
              <w:rPr>
                <w:sz w:val="20"/>
                <w:szCs w:val="20"/>
              </w:rPr>
              <w:t>Odds ratio 4.8, (95% C</w:t>
            </w:r>
            <w:r>
              <w:rPr>
                <w:sz w:val="20"/>
                <w:szCs w:val="20"/>
              </w:rPr>
              <w:t>I</w:t>
            </w:r>
            <w:r w:rsidRPr="002C641F">
              <w:rPr>
                <w:sz w:val="20"/>
                <w:szCs w:val="20"/>
              </w:rPr>
              <w:t>: 1.5-14.8)</w:t>
            </w:r>
          </w:p>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r w:rsidRPr="002C641F">
              <w:rPr>
                <w:sz w:val="20"/>
                <w:szCs w:val="20"/>
              </w:rPr>
              <w:t>Age, smoking, body mass index, educational status, type of kitchen, type of house, use of ghee and consumption of meat</w:t>
            </w:r>
          </w:p>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r w:rsidRPr="002C641F">
              <w:rPr>
                <w:sz w:val="20"/>
                <w:szCs w:val="20"/>
              </w:rPr>
              <w:t>Risk was lowest among women who had not used biomass fuel in past 15 years</w:t>
            </w: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r w:rsidRPr="002C641F">
              <w:rPr>
                <w:sz w:val="20"/>
                <w:szCs w:val="20"/>
              </w:rPr>
              <w:t>Nepal</w:t>
            </w:r>
          </w:p>
          <w:p w:rsidR="00A74D02" w:rsidRPr="002C641F" w:rsidRDefault="00A74D02" w:rsidP="00927197">
            <w:pPr>
              <w:contextualSpacing/>
              <w:rPr>
                <w:sz w:val="20"/>
                <w:szCs w:val="20"/>
              </w:rPr>
            </w:pPr>
            <w:proofErr w:type="spellStart"/>
            <w:r w:rsidRPr="002C641F">
              <w:rPr>
                <w:sz w:val="20"/>
                <w:szCs w:val="20"/>
              </w:rPr>
              <w:t>Pratali</w:t>
            </w:r>
            <w:proofErr w:type="spellEnd"/>
            <w:r w:rsidRPr="002C641F">
              <w:rPr>
                <w:sz w:val="20"/>
                <w:szCs w:val="20"/>
              </w:rPr>
              <w:t xml:space="preserve"> and </w:t>
            </w:r>
            <w:proofErr w:type="spellStart"/>
            <w:r w:rsidRPr="002C641F">
              <w:rPr>
                <w:sz w:val="20"/>
                <w:szCs w:val="20"/>
              </w:rPr>
              <w:t>Cogo</w:t>
            </w:r>
            <w:proofErr w:type="spellEnd"/>
            <w:r w:rsidRPr="002C641F">
              <w:rPr>
                <w:sz w:val="20"/>
                <w:szCs w:val="20"/>
              </w:rPr>
              <w:t xml:space="preserve">  (2014)</w:t>
            </w:r>
            <w:r w:rsidR="003027AC" w:rsidRPr="003027AC">
              <w:rPr>
                <w:sz w:val="20"/>
                <w:szCs w:val="20"/>
                <w:vertAlign w:val="superscript"/>
              </w:rPr>
              <w:t>32</w:t>
            </w:r>
          </w:p>
        </w:tc>
        <w:tc>
          <w:tcPr>
            <w:tcW w:w="1418" w:type="dxa"/>
          </w:tcPr>
          <w:p w:rsidR="00A74D02" w:rsidRPr="002C641F" w:rsidRDefault="00A74D02" w:rsidP="00927197">
            <w:pPr>
              <w:contextualSpacing/>
              <w:rPr>
                <w:sz w:val="20"/>
                <w:szCs w:val="20"/>
              </w:rPr>
            </w:pPr>
            <w:r w:rsidRPr="002C641F">
              <w:rPr>
                <w:sz w:val="20"/>
                <w:szCs w:val="20"/>
              </w:rPr>
              <w:t>Cross-sectional</w:t>
            </w:r>
          </w:p>
        </w:tc>
        <w:tc>
          <w:tcPr>
            <w:tcW w:w="1842" w:type="dxa"/>
          </w:tcPr>
          <w:p w:rsidR="00A74D02" w:rsidRPr="002C641F" w:rsidRDefault="00A74D02" w:rsidP="00927197">
            <w:pPr>
              <w:contextualSpacing/>
              <w:rPr>
                <w:sz w:val="20"/>
                <w:szCs w:val="20"/>
              </w:rPr>
            </w:pPr>
            <w:r w:rsidRPr="002C641F">
              <w:rPr>
                <w:sz w:val="20"/>
                <w:szCs w:val="20"/>
              </w:rPr>
              <w:t>82 men and women without established cardiovascular disease</w:t>
            </w:r>
          </w:p>
        </w:tc>
        <w:tc>
          <w:tcPr>
            <w:tcW w:w="1418" w:type="dxa"/>
          </w:tcPr>
          <w:p w:rsidR="00A74D02" w:rsidRPr="002C641F" w:rsidRDefault="00A74D02" w:rsidP="00927197">
            <w:pPr>
              <w:contextualSpacing/>
              <w:rPr>
                <w:sz w:val="20"/>
                <w:szCs w:val="20"/>
              </w:rPr>
            </w:pPr>
            <w:r w:rsidRPr="002C641F">
              <w:rPr>
                <w:sz w:val="20"/>
                <w:szCs w:val="20"/>
              </w:rPr>
              <w:t>Use v non-use of biomass fuels</w:t>
            </w:r>
          </w:p>
        </w:tc>
        <w:tc>
          <w:tcPr>
            <w:tcW w:w="1843" w:type="dxa"/>
          </w:tcPr>
          <w:p w:rsidR="00A74D02" w:rsidRPr="002C641F" w:rsidRDefault="00A74D02" w:rsidP="00927197">
            <w:pPr>
              <w:contextualSpacing/>
              <w:rPr>
                <w:sz w:val="20"/>
                <w:szCs w:val="20"/>
              </w:rPr>
            </w:pPr>
            <w:r w:rsidRPr="002C641F">
              <w:rPr>
                <w:sz w:val="20"/>
                <w:szCs w:val="20"/>
              </w:rPr>
              <w:t>Endothelial function in brachial artery evaluated by flow-mediated dilation (FMD)</w:t>
            </w:r>
          </w:p>
        </w:tc>
        <w:tc>
          <w:tcPr>
            <w:tcW w:w="3118" w:type="dxa"/>
          </w:tcPr>
          <w:p w:rsidR="00A74D02" w:rsidRPr="002C641F" w:rsidRDefault="00A74D02" w:rsidP="00927197">
            <w:pPr>
              <w:contextualSpacing/>
              <w:rPr>
                <w:sz w:val="20"/>
                <w:szCs w:val="20"/>
              </w:rPr>
            </w:pPr>
            <w:r w:rsidRPr="002C641F">
              <w:rPr>
                <w:sz w:val="20"/>
                <w:szCs w:val="20"/>
              </w:rPr>
              <w:t>FMD tended to be lower in people using biomass fuels</w:t>
            </w: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r w:rsidRPr="002C641F">
              <w:rPr>
                <w:sz w:val="20"/>
                <w:szCs w:val="20"/>
              </w:rPr>
              <w:t>Reported only as abstract</w:t>
            </w:r>
          </w:p>
        </w:tc>
      </w:tr>
      <w:tr w:rsidR="00A74D02" w:rsidTr="009730AB">
        <w:tc>
          <w:tcPr>
            <w:tcW w:w="1418" w:type="dxa"/>
            <w:hideMark/>
          </w:tcPr>
          <w:p w:rsidR="00A74D02" w:rsidRDefault="00A74D02" w:rsidP="00927197">
            <w:pPr>
              <w:rPr>
                <w:sz w:val="20"/>
                <w:szCs w:val="20"/>
              </w:rPr>
            </w:pPr>
            <w:r>
              <w:rPr>
                <w:sz w:val="20"/>
                <w:szCs w:val="20"/>
              </w:rPr>
              <w:t>China</w:t>
            </w:r>
          </w:p>
          <w:p w:rsidR="00A74D02" w:rsidRPr="003027AC" w:rsidRDefault="00A74D02" w:rsidP="00927197">
            <w:pPr>
              <w:rPr>
                <w:sz w:val="20"/>
                <w:szCs w:val="20"/>
                <w:vertAlign w:val="superscript"/>
              </w:rPr>
            </w:pPr>
            <w:r>
              <w:rPr>
                <w:sz w:val="20"/>
                <w:szCs w:val="20"/>
              </w:rPr>
              <w:t>Kim et al. (2014)</w:t>
            </w:r>
            <w:r w:rsidR="003027AC">
              <w:rPr>
                <w:sz w:val="20"/>
                <w:szCs w:val="20"/>
                <w:vertAlign w:val="superscript"/>
              </w:rPr>
              <w:t>33</w:t>
            </w:r>
          </w:p>
        </w:tc>
        <w:tc>
          <w:tcPr>
            <w:tcW w:w="1418" w:type="dxa"/>
            <w:hideMark/>
          </w:tcPr>
          <w:p w:rsidR="00A74D02" w:rsidRDefault="00A74D02" w:rsidP="00927197">
            <w:pPr>
              <w:rPr>
                <w:sz w:val="20"/>
                <w:szCs w:val="20"/>
              </w:rPr>
            </w:pPr>
            <w:r>
              <w:rPr>
                <w:sz w:val="20"/>
                <w:szCs w:val="20"/>
              </w:rPr>
              <w:t>Cohort study</w:t>
            </w:r>
          </w:p>
        </w:tc>
        <w:tc>
          <w:tcPr>
            <w:tcW w:w="1842" w:type="dxa"/>
            <w:hideMark/>
          </w:tcPr>
          <w:p w:rsidR="00A74D02" w:rsidRDefault="00A74D02" w:rsidP="00927197">
            <w:pPr>
              <w:rPr>
                <w:sz w:val="20"/>
                <w:szCs w:val="20"/>
              </w:rPr>
            </w:pPr>
            <w:r>
              <w:rPr>
                <w:sz w:val="20"/>
                <w:szCs w:val="20"/>
              </w:rPr>
              <w:t xml:space="preserve">73,363 women </w:t>
            </w:r>
          </w:p>
        </w:tc>
        <w:tc>
          <w:tcPr>
            <w:tcW w:w="1418" w:type="dxa"/>
            <w:hideMark/>
          </w:tcPr>
          <w:p w:rsidR="00A74D02" w:rsidRDefault="00A74D02" w:rsidP="00927197">
            <w:pPr>
              <w:rPr>
                <w:sz w:val="20"/>
                <w:szCs w:val="20"/>
              </w:rPr>
            </w:pPr>
            <w:r>
              <w:rPr>
                <w:sz w:val="20"/>
                <w:szCs w:val="20"/>
              </w:rPr>
              <w:t>Use of coal in home for &gt;30 years v never use.</w:t>
            </w:r>
          </w:p>
        </w:tc>
        <w:tc>
          <w:tcPr>
            <w:tcW w:w="1843" w:type="dxa"/>
            <w:hideMark/>
          </w:tcPr>
          <w:p w:rsidR="00A74D02" w:rsidRDefault="00A74D02" w:rsidP="00927197">
            <w:pPr>
              <w:rPr>
                <w:sz w:val="20"/>
                <w:szCs w:val="20"/>
              </w:rPr>
            </w:pPr>
            <w:r>
              <w:rPr>
                <w:sz w:val="20"/>
                <w:szCs w:val="20"/>
              </w:rPr>
              <w:t>Mortality from cardiovascular disease (CVD) and</w:t>
            </w:r>
          </w:p>
          <w:p w:rsidR="00A74D02" w:rsidRDefault="00A74D02" w:rsidP="00927197">
            <w:pPr>
              <w:rPr>
                <w:sz w:val="20"/>
                <w:szCs w:val="20"/>
              </w:rPr>
            </w:pPr>
            <w:r>
              <w:rPr>
                <w:sz w:val="20"/>
                <w:szCs w:val="20"/>
              </w:rPr>
              <w:t>myocardial infarction (MI)</w:t>
            </w:r>
          </w:p>
        </w:tc>
        <w:tc>
          <w:tcPr>
            <w:tcW w:w="3118" w:type="dxa"/>
            <w:hideMark/>
          </w:tcPr>
          <w:p w:rsidR="00A74D02" w:rsidRDefault="00A74D02" w:rsidP="00927197">
            <w:pPr>
              <w:rPr>
                <w:sz w:val="20"/>
                <w:szCs w:val="20"/>
              </w:rPr>
            </w:pPr>
            <w:r>
              <w:rPr>
                <w:sz w:val="20"/>
                <w:szCs w:val="20"/>
              </w:rPr>
              <w:t>Hazard ratios</w:t>
            </w:r>
          </w:p>
          <w:p w:rsidR="00A74D02" w:rsidRDefault="00A74D02" w:rsidP="00927197">
            <w:pPr>
              <w:rPr>
                <w:sz w:val="20"/>
                <w:szCs w:val="20"/>
              </w:rPr>
            </w:pPr>
            <w:r>
              <w:rPr>
                <w:sz w:val="20"/>
                <w:szCs w:val="20"/>
              </w:rPr>
              <w:t xml:space="preserve">CVD: 1.32 (95% CI: 1.11-1.57) MI:  1.62 (95% CI: 1.01-2.63) </w:t>
            </w:r>
          </w:p>
        </w:tc>
        <w:tc>
          <w:tcPr>
            <w:tcW w:w="1985" w:type="dxa"/>
            <w:hideMark/>
          </w:tcPr>
          <w:p w:rsidR="00A74D02" w:rsidRDefault="00A74D02" w:rsidP="00927197">
            <w:pPr>
              <w:rPr>
                <w:sz w:val="20"/>
                <w:szCs w:val="20"/>
              </w:rPr>
            </w:pPr>
            <w:r>
              <w:rPr>
                <w:sz w:val="20"/>
                <w:szCs w:val="20"/>
              </w:rPr>
              <w:t>Smoking status, family income, environmental tobacco smoke, occupational history, shift work, body mass index, hormone therapy, and parity.</w:t>
            </w:r>
          </w:p>
        </w:tc>
        <w:tc>
          <w:tcPr>
            <w:tcW w:w="1984" w:type="dxa"/>
            <w:hideMark/>
          </w:tcPr>
          <w:p w:rsidR="00A74D02" w:rsidRDefault="00A74D02" w:rsidP="00927197">
            <w:pPr>
              <w:rPr>
                <w:sz w:val="20"/>
                <w:szCs w:val="20"/>
              </w:rPr>
            </w:pPr>
            <w:r>
              <w:rPr>
                <w:sz w:val="20"/>
                <w:szCs w:val="20"/>
              </w:rPr>
              <w:t>Reported only as abstract.</w:t>
            </w:r>
          </w:p>
          <w:p w:rsidR="00A74D02" w:rsidRDefault="00A74D02" w:rsidP="00927197">
            <w:pPr>
              <w:rPr>
                <w:sz w:val="20"/>
                <w:szCs w:val="20"/>
              </w:rPr>
            </w:pPr>
            <w:r>
              <w:rPr>
                <w:sz w:val="20"/>
                <w:szCs w:val="20"/>
              </w:rPr>
              <w:t>Duration of follow-up not mentioned.</w:t>
            </w: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3F278C" w:rsidRDefault="00A74D02" w:rsidP="00927197">
            <w:pPr>
              <w:contextualSpacing/>
              <w:rPr>
                <w:sz w:val="20"/>
                <w:szCs w:val="20"/>
              </w:rPr>
            </w:pPr>
            <w:r w:rsidRPr="003F278C">
              <w:rPr>
                <w:sz w:val="20"/>
                <w:szCs w:val="20"/>
              </w:rPr>
              <w:t>Peru</w:t>
            </w:r>
          </w:p>
          <w:p w:rsidR="00A74D02" w:rsidRPr="003027AC" w:rsidRDefault="00A74D02" w:rsidP="00927197">
            <w:pPr>
              <w:contextualSpacing/>
              <w:rPr>
                <w:sz w:val="20"/>
                <w:szCs w:val="20"/>
                <w:vertAlign w:val="superscript"/>
              </w:rPr>
            </w:pPr>
            <w:proofErr w:type="spellStart"/>
            <w:r w:rsidRPr="003F278C">
              <w:rPr>
                <w:sz w:val="20"/>
                <w:szCs w:val="20"/>
              </w:rPr>
              <w:t>Caravedo</w:t>
            </w:r>
            <w:proofErr w:type="spellEnd"/>
            <w:r w:rsidRPr="003F278C">
              <w:rPr>
                <w:sz w:val="20"/>
                <w:szCs w:val="20"/>
              </w:rPr>
              <w:t xml:space="preserve"> et al (2014)</w:t>
            </w:r>
            <w:r w:rsidR="003027AC">
              <w:rPr>
                <w:sz w:val="20"/>
                <w:szCs w:val="20"/>
                <w:vertAlign w:val="superscript"/>
              </w:rPr>
              <w:t>34</w:t>
            </w:r>
          </w:p>
        </w:tc>
        <w:tc>
          <w:tcPr>
            <w:tcW w:w="1418" w:type="dxa"/>
          </w:tcPr>
          <w:p w:rsidR="00A74D02" w:rsidRPr="003F278C" w:rsidRDefault="00A74D02" w:rsidP="00927197">
            <w:pPr>
              <w:contextualSpacing/>
              <w:rPr>
                <w:sz w:val="20"/>
                <w:szCs w:val="20"/>
              </w:rPr>
            </w:pPr>
            <w:r w:rsidRPr="003F278C">
              <w:rPr>
                <w:sz w:val="20"/>
                <w:szCs w:val="20"/>
              </w:rPr>
              <w:t>Cross-sectional</w:t>
            </w:r>
          </w:p>
        </w:tc>
        <w:tc>
          <w:tcPr>
            <w:tcW w:w="1842" w:type="dxa"/>
          </w:tcPr>
          <w:p w:rsidR="00A74D02" w:rsidRPr="003F278C" w:rsidRDefault="00A74D02" w:rsidP="00927197">
            <w:pPr>
              <w:contextualSpacing/>
              <w:rPr>
                <w:sz w:val="20"/>
                <w:szCs w:val="20"/>
              </w:rPr>
            </w:pPr>
            <w:r w:rsidRPr="003F278C">
              <w:rPr>
                <w:sz w:val="20"/>
                <w:szCs w:val="20"/>
              </w:rPr>
              <w:t xml:space="preserve">519 adults aged ≥35 </w:t>
            </w:r>
          </w:p>
        </w:tc>
        <w:tc>
          <w:tcPr>
            <w:tcW w:w="1418" w:type="dxa"/>
          </w:tcPr>
          <w:p w:rsidR="00A74D02" w:rsidRPr="003F278C" w:rsidRDefault="00A74D02" w:rsidP="00927197">
            <w:pPr>
              <w:contextualSpacing/>
              <w:rPr>
                <w:sz w:val="20"/>
                <w:szCs w:val="20"/>
              </w:rPr>
            </w:pPr>
            <w:r w:rsidRPr="003F278C">
              <w:rPr>
                <w:sz w:val="20"/>
                <w:szCs w:val="20"/>
              </w:rPr>
              <w:t>Long-term use of biomass (n= 275) v clean fuels (n=244) for cooking</w:t>
            </w:r>
          </w:p>
        </w:tc>
        <w:tc>
          <w:tcPr>
            <w:tcW w:w="1843" w:type="dxa"/>
          </w:tcPr>
          <w:p w:rsidR="00A74D02" w:rsidRPr="003F278C" w:rsidRDefault="00A74D02" w:rsidP="00927197">
            <w:pPr>
              <w:contextualSpacing/>
              <w:rPr>
                <w:sz w:val="20"/>
                <w:szCs w:val="20"/>
              </w:rPr>
            </w:pPr>
            <w:r w:rsidRPr="003F278C">
              <w:rPr>
                <w:sz w:val="20"/>
                <w:szCs w:val="20"/>
              </w:rPr>
              <w:t>Serum N-terminal pro-B-type natriuretic peptide (NT-pro-BNP) Pulmonary artery systolic pressure (PASP) in subset of 159</w:t>
            </w:r>
          </w:p>
        </w:tc>
        <w:tc>
          <w:tcPr>
            <w:tcW w:w="3118" w:type="dxa"/>
          </w:tcPr>
          <w:p w:rsidR="00A74D02" w:rsidRPr="003F278C" w:rsidRDefault="00A74D02" w:rsidP="00927197">
            <w:pPr>
              <w:contextualSpacing/>
              <w:rPr>
                <w:sz w:val="20"/>
                <w:szCs w:val="20"/>
              </w:rPr>
            </w:pPr>
            <w:r w:rsidRPr="003F278C">
              <w:rPr>
                <w:sz w:val="20"/>
                <w:szCs w:val="20"/>
              </w:rPr>
              <w:t xml:space="preserve">No significant difference in NT-pro-BNP or PASP </w:t>
            </w:r>
          </w:p>
        </w:tc>
        <w:tc>
          <w:tcPr>
            <w:tcW w:w="1985" w:type="dxa"/>
          </w:tcPr>
          <w:p w:rsidR="00A74D02" w:rsidRPr="002C641F" w:rsidRDefault="00A74D02" w:rsidP="00927197">
            <w:pPr>
              <w:contextualSpacing/>
              <w:rPr>
                <w:sz w:val="20"/>
                <w:szCs w:val="20"/>
              </w:rPr>
            </w:pPr>
            <w:r w:rsidRPr="003F278C">
              <w:rPr>
                <w:sz w:val="20"/>
                <w:szCs w:val="20"/>
              </w:rPr>
              <w:t>Sex, age, height, body mass index, systolic blood pressure, hypertension, cardiovascular disease, diabetes asthma and others</w:t>
            </w: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bl>
    <w:p w:rsidR="00E45933" w:rsidRDefault="00E45933">
      <w:r>
        <w:br w:type="page"/>
      </w:r>
    </w:p>
    <w:tbl>
      <w:tblPr>
        <w:tblStyle w:val="TableGrid"/>
        <w:tblW w:w="15026" w:type="dxa"/>
        <w:tblInd w:w="-601" w:type="dxa"/>
        <w:tblLayout w:type="fixed"/>
        <w:tblLook w:val="04A0" w:firstRow="1" w:lastRow="0" w:firstColumn="1" w:lastColumn="0" w:noHBand="0" w:noVBand="1"/>
      </w:tblPr>
      <w:tblGrid>
        <w:gridCol w:w="1418"/>
        <w:gridCol w:w="1418"/>
        <w:gridCol w:w="1842"/>
        <w:gridCol w:w="1418"/>
        <w:gridCol w:w="1843"/>
        <w:gridCol w:w="3118"/>
        <w:gridCol w:w="1985"/>
        <w:gridCol w:w="1984"/>
      </w:tblGrid>
      <w:tr w:rsidR="00A74D02" w:rsidRPr="00BF3F0C" w:rsidTr="009730AB">
        <w:tc>
          <w:tcPr>
            <w:tcW w:w="1418" w:type="dxa"/>
          </w:tcPr>
          <w:p w:rsidR="00A74D02" w:rsidRPr="003F278C" w:rsidRDefault="00A74D02" w:rsidP="00927197">
            <w:pPr>
              <w:contextualSpacing/>
              <w:rPr>
                <w:sz w:val="20"/>
                <w:szCs w:val="20"/>
              </w:rPr>
            </w:pPr>
            <w:r w:rsidRPr="003F278C">
              <w:rPr>
                <w:sz w:val="20"/>
                <w:szCs w:val="20"/>
              </w:rPr>
              <w:lastRenderedPageBreak/>
              <w:t>Peru</w:t>
            </w:r>
          </w:p>
          <w:p w:rsidR="00A74D02" w:rsidRPr="003027AC" w:rsidRDefault="00A74D02" w:rsidP="00927197">
            <w:pPr>
              <w:contextualSpacing/>
              <w:rPr>
                <w:sz w:val="20"/>
                <w:szCs w:val="20"/>
                <w:vertAlign w:val="superscript"/>
              </w:rPr>
            </w:pPr>
            <w:r w:rsidRPr="003F278C">
              <w:rPr>
                <w:sz w:val="20"/>
                <w:szCs w:val="20"/>
              </w:rPr>
              <w:t>Burroughs Peña et al (2015)</w:t>
            </w:r>
            <w:r w:rsidR="003027AC">
              <w:rPr>
                <w:sz w:val="20"/>
                <w:szCs w:val="20"/>
                <w:vertAlign w:val="superscript"/>
              </w:rPr>
              <w:t>35</w:t>
            </w:r>
          </w:p>
        </w:tc>
        <w:tc>
          <w:tcPr>
            <w:tcW w:w="1418" w:type="dxa"/>
          </w:tcPr>
          <w:p w:rsidR="00A74D02" w:rsidRPr="003F278C" w:rsidRDefault="00A74D02" w:rsidP="00927197">
            <w:pPr>
              <w:contextualSpacing/>
              <w:rPr>
                <w:sz w:val="20"/>
                <w:szCs w:val="20"/>
              </w:rPr>
            </w:pPr>
            <w:r w:rsidRPr="003F278C">
              <w:rPr>
                <w:sz w:val="20"/>
                <w:szCs w:val="20"/>
              </w:rPr>
              <w:t>Cross-sectional</w:t>
            </w:r>
          </w:p>
        </w:tc>
        <w:tc>
          <w:tcPr>
            <w:tcW w:w="1842" w:type="dxa"/>
          </w:tcPr>
          <w:p w:rsidR="00A74D02" w:rsidRPr="003F278C" w:rsidRDefault="00A74D02" w:rsidP="00927197">
            <w:pPr>
              <w:contextualSpacing/>
              <w:rPr>
                <w:sz w:val="20"/>
                <w:szCs w:val="20"/>
              </w:rPr>
            </w:pPr>
            <w:r w:rsidRPr="003F278C">
              <w:rPr>
                <w:sz w:val="20"/>
                <w:szCs w:val="20"/>
              </w:rPr>
              <w:t>1004 adults aged ≥35</w:t>
            </w:r>
          </w:p>
        </w:tc>
        <w:tc>
          <w:tcPr>
            <w:tcW w:w="1418" w:type="dxa"/>
          </w:tcPr>
          <w:p w:rsidR="00A74D02" w:rsidRPr="003F278C" w:rsidRDefault="00A74D02" w:rsidP="00927197">
            <w:pPr>
              <w:contextualSpacing/>
              <w:rPr>
                <w:sz w:val="20"/>
                <w:szCs w:val="20"/>
              </w:rPr>
            </w:pPr>
            <w:r w:rsidRPr="003F278C">
              <w:rPr>
                <w:sz w:val="20"/>
                <w:szCs w:val="20"/>
              </w:rPr>
              <w:t>Daily use of biomass for cooking or heating for &gt;6 months at any time in life (n=509) v not so exposed (n=495)</w:t>
            </w:r>
          </w:p>
        </w:tc>
        <w:tc>
          <w:tcPr>
            <w:tcW w:w="1843" w:type="dxa"/>
          </w:tcPr>
          <w:p w:rsidR="00A74D02" w:rsidRPr="003F278C" w:rsidRDefault="00A74D02" w:rsidP="00927197">
            <w:pPr>
              <w:contextualSpacing/>
              <w:rPr>
                <w:sz w:val="20"/>
                <w:szCs w:val="20"/>
              </w:rPr>
            </w:pPr>
            <w:r w:rsidRPr="003F278C">
              <w:rPr>
                <w:sz w:val="20"/>
                <w:szCs w:val="20"/>
              </w:rPr>
              <w:t>Systolic and diastolic blood pressure (SBP and DBP)</w:t>
            </w:r>
          </w:p>
        </w:tc>
        <w:tc>
          <w:tcPr>
            <w:tcW w:w="3118" w:type="dxa"/>
          </w:tcPr>
          <w:p w:rsidR="00A74D02" w:rsidRPr="003F278C" w:rsidRDefault="00A74D02" w:rsidP="00927197">
            <w:pPr>
              <w:contextualSpacing/>
              <w:rPr>
                <w:sz w:val="20"/>
                <w:szCs w:val="20"/>
              </w:rPr>
            </w:pPr>
            <w:r w:rsidRPr="003F278C">
              <w:rPr>
                <w:sz w:val="20"/>
                <w:szCs w:val="20"/>
              </w:rPr>
              <w:t>SBP overall higher by 7.0 (95%CI 4.4 to 9.6) mm Hg</w:t>
            </w:r>
          </w:p>
          <w:p w:rsidR="00A74D02" w:rsidRPr="008C1FE8" w:rsidRDefault="00A74D02" w:rsidP="00927197">
            <w:pPr>
              <w:contextualSpacing/>
              <w:rPr>
                <w:sz w:val="20"/>
                <w:szCs w:val="20"/>
              </w:rPr>
            </w:pPr>
            <w:r w:rsidRPr="008C1FE8">
              <w:rPr>
                <w:sz w:val="20"/>
                <w:szCs w:val="20"/>
              </w:rPr>
              <w:t>Men: 8.7 (5.4-12.1) mmHg</w:t>
            </w:r>
          </w:p>
          <w:p w:rsidR="00A74D02" w:rsidRPr="008C1FE8" w:rsidRDefault="00A74D02" w:rsidP="00927197">
            <w:pPr>
              <w:contextualSpacing/>
              <w:rPr>
                <w:sz w:val="20"/>
                <w:szCs w:val="20"/>
              </w:rPr>
            </w:pPr>
            <w:r w:rsidRPr="008C1FE8">
              <w:rPr>
                <w:sz w:val="20"/>
                <w:szCs w:val="20"/>
              </w:rPr>
              <w:t>Women: 5.4 (1.4-9.4) mmHg</w:t>
            </w:r>
          </w:p>
          <w:p w:rsidR="00E45933" w:rsidRDefault="00E45933" w:rsidP="00927197">
            <w:pPr>
              <w:contextualSpacing/>
              <w:rPr>
                <w:sz w:val="20"/>
                <w:szCs w:val="20"/>
              </w:rPr>
            </w:pPr>
          </w:p>
          <w:p w:rsidR="00A74D02" w:rsidRPr="003F278C" w:rsidRDefault="00A74D02" w:rsidP="00927197">
            <w:pPr>
              <w:contextualSpacing/>
              <w:rPr>
                <w:sz w:val="20"/>
                <w:szCs w:val="20"/>
              </w:rPr>
            </w:pPr>
            <w:r w:rsidRPr="003F278C">
              <w:rPr>
                <w:sz w:val="20"/>
                <w:szCs w:val="20"/>
              </w:rPr>
              <w:t>DBP overall higher by 5.9 (95%CI 4.2 to 7.6) mm Hg</w:t>
            </w:r>
          </w:p>
          <w:p w:rsidR="00A74D02" w:rsidRPr="008C1FE8" w:rsidRDefault="00A74D02" w:rsidP="00927197">
            <w:pPr>
              <w:contextualSpacing/>
              <w:rPr>
                <w:sz w:val="20"/>
                <w:szCs w:val="20"/>
              </w:rPr>
            </w:pPr>
            <w:r w:rsidRPr="008C1FE8">
              <w:rPr>
                <w:sz w:val="20"/>
                <w:szCs w:val="20"/>
              </w:rPr>
              <w:t>Men: 6.0 (3.6 – 8.3)</w:t>
            </w:r>
          </w:p>
          <w:p w:rsidR="00A74D02" w:rsidRPr="003F278C" w:rsidRDefault="00A74D02" w:rsidP="00927197">
            <w:pPr>
              <w:contextualSpacing/>
              <w:rPr>
                <w:sz w:val="20"/>
                <w:szCs w:val="20"/>
              </w:rPr>
            </w:pPr>
            <w:r w:rsidRPr="008C1FE8">
              <w:rPr>
                <w:sz w:val="20"/>
                <w:szCs w:val="20"/>
              </w:rPr>
              <w:t>Women: 5.6 (3.1 – 8.1)</w:t>
            </w:r>
          </w:p>
        </w:tc>
        <w:tc>
          <w:tcPr>
            <w:tcW w:w="1985" w:type="dxa"/>
          </w:tcPr>
          <w:p w:rsidR="00A74D02" w:rsidRPr="002C641F" w:rsidRDefault="00A74D02" w:rsidP="00927197">
            <w:pPr>
              <w:contextualSpacing/>
              <w:rPr>
                <w:sz w:val="20"/>
                <w:szCs w:val="20"/>
              </w:rPr>
            </w:pPr>
            <w:r w:rsidRPr="003F278C">
              <w:rPr>
                <w:sz w:val="20"/>
                <w:szCs w:val="20"/>
              </w:rPr>
              <w:t>Sex, age, body mass index, height, wealth, education years, depressive symptoms, smoking (pack-years), alcohol abuse, low physical activity</w:t>
            </w:r>
            <w:r>
              <w:rPr>
                <w:sz w:val="20"/>
                <w:szCs w:val="20"/>
              </w:rPr>
              <w:t xml:space="preserve"> </w:t>
            </w: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2" w:type="dxa"/>
          </w:tcPr>
          <w:p w:rsidR="00A74D02" w:rsidRPr="002C641F" w:rsidRDefault="00A74D02" w:rsidP="00927197">
            <w:pPr>
              <w:contextualSpacing/>
              <w:rPr>
                <w:sz w:val="20"/>
                <w:szCs w:val="20"/>
              </w:rPr>
            </w:pPr>
          </w:p>
        </w:tc>
        <w:tc>
          <w:tcPr>
            <w:tcW w:w="1418" w:type="dxa"/>
          </w:tcPr>
          <w:p w:rsidR="00A74D02" w:rsidRPr="002C641F" w:rsidRDefault="00A74D02" w:rsidP="00927197">
            <w:pPr>
              <w:contextualSpacing/>
              <w:rPr>
                <w:sz w:val="20"/>
                <w:szCs w:val="20"/>
              </w:rPr>
            </w:pPr>
          </w:p>
        </w:tc>
        <w:tc>
          <w:tcPr>
            <w:tcW w:w="1843" w:type="dxa"/>
          </w:tcPr>
          <w:p w:rsidR="00A74D02" w:rsidRPr="002C641F" w:rsidRDefault="00A74D02" w:rsidP="00927197">
            <w:pPr>
              <w:contextualSpacing/>
              <w:rPr>
                <w:sz w:val="20"/>
                <w:szCs w:val="20"/>
              </w:rPr>
            </w:pPr>
          </w:p>
        </w:tc>
        <w:tc>
          <w:tcPr>
            <w:tcW w:w="3118" w:type="dxa"/>
          </w:tcPr>
          <w:p w:rsidR="00A74D02" w:rsidRPr="002C641F"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Pr="003F278C" w:rsidRDefault="00A74D02" w:rsidP="00927197">
            <w:pPr>
              <w:contextualSpacing/>
              <w:rPr>
                <w:sz w:val="20"/>
                <w:szCs w:val="20"/>
              </w:rPr>
            </w:pPr>
            <w:r w:rsidRPr="003F278C">
              <w:rPr>
                <w:sz w:val="20"/>
                <w:szCs w:val="20"/>
              </w:rPr>
              <w:t>Bolivia</w:t>
            </w:r>
          </w:p>
          <w:p w:rsidR="00A74D02" w:rsidRPr="003027AC" w:rsidRDefault="00A74D02" w:rsidP="00927197">
            <w:pPr>
              <w:contextualSpacing/>
              <w:rPr>
                <w:sz w:val="20"/>
                <w:szCs w:val="20"/>
                <w:vertAlign w:val="superscript"/>
              </w:rPr>
            </w:pPr>
            <w:r w:rsidRPr="003F278C">
              <w:rPr>
                <w:sz w:val="20"/>
                <w:szCs w:val="20"/>
              </w:rPr>
              <w:t>Alexander et al (2015)</w:t>
            </w:r>
            <w:r w:rsidR="003027AC">
              <w:rPr>
                <w:sz w:val="20"/>
                <w:szCs w:val="20"/>
                <w:vertAlign w:val="superscript"/>
              </w:rPr>
              <w:t>36</w:t>
            </w:r>
          </w:p>
        </w:tc>
        <w:tc>
          <w:tcPr>
            <w:tcW w:w="1418" w:type="dxa"/>
          </w:tcPr>
          <w:p w:rsidR="00A74D02" w:rsidRPr="003F278C" w:rsidRDefault="00A74D02" w:rsidP="00927197">
            <w:pPr>
              <w:contextualSpacing/>
              <w:rPr>
                <w:sz w:val="20"/>
                <w:szCs w:val="20"/>
              </w:rPr>
            </w:pPr>
            <w:r w:rsidRPr="003F278C">
              <w:rPr>
                <w:sz w:val="20"/>
                <w:szCs w:val="20"/>
              </w:rPr>
              <w:t>Intervention with before and after comparison</w:t>
            </w:r>
          </w:p>
        </w:tc>
        <w:tc>
          <w:tcPr>
            <w:tcW w:w="1842" w:type="dxa"/>
          </w:tcPr>
          <w:p w:rsidR="00A74D02" w:rsidRPr="003F278C" w:rsidRDefault="00A74D02" w:rsidP="00927197">
            <w:pPr>
              <w:contextualSpacing/>
              <w:rPr>
                <w:sz w:val="20"/>
                <w:szCs w:val="20"/>
              </w:rPr>
            </w:pPr>
            <w:r w:rsidRPr="003F278C">
              <w:rPr>
                <w:sz w:val="20"/>
                <w:szCs w:val="20"/>
              </w:rPr>
              <w:t>28 non-smoking women from a rural community</w:t>
            </w:r>
          </w:p>
        </w:tc>
        <w:tc>
          <w:tcPr>
            <w:tcW w:w="1418" w:type="dxa"/>
          </w:tcPr>
          <w:p w:rsidR="00A74D02" w:rsidRPr="003F278C" w:rsidRDefault="00A74D02" w:rsidP="00927197">
            <w:pPr>
              <w:contextualSpacing/>
              <w:rPr>
                <w:sz w:val="20"/>
                <w:szCs w:val="20"/>
              </w:rPr>
            </w:pPr>
            <w:r w:rsidRPr="003F278C">
              <w:rPr>
                <w:sz w:val="20"/>
                <w:szCs w:val="20"/>
              </w:rPr>
              <w:t xml:space="preserve">Use v non-use of improved </w:t>
            </w:r>
            <w:proofErr w:type="spellStart"/>
            <w:r w:rsidRPr="003F278C">
              <w:rPr>
                <w:sz w:val="20"/>
                <w:szCs w:val="20"/>
              </w:rPr>
              <w:t>cookstove</w:t>
            </w:r>
            <w:proofErr w:type="spellEnd"/>
          </w:p>
        </w:tc>
        <w:tc>
          <w:tcPr>
            <w:tcW w:w="1843" w:type="dxa"/>
          </w:tcPr>
          <w:p w:rsidR="00A74D02" w:rsidRPr="003F278C" w:rsidRDefault="00A74D02" w:rsidP="00927197">
            <w:pPr>
              <w:contextualSpacing/>
              <w:rPr>
                <w:sz w:val="20"/>
                <w:szCs w:val="20"/>
              </w:rPr>
            </w:pPr>
            <w:r w:rsidRPr="003F278C">
              <w:rPr>
                <w:sz w:val="20"/>
                <w:szCs w:val="20"/>
              </w:rPr>
              <w:t>Systolic and diastolic blood pressure (SDP and DBP)</w:t>
            </w:r>
          </w:p>
        </w:tc>
        <w:tc>
          <w:tcPr>
            <w:tcW w:w="3118" w:type="dxa"/>
          </w:tcPr>
          <w:p w:rsidR="00A74D02" w:rsidRPr="003F278C" w:rsidRDefault="00A74D02" w:rsidP="00927197">
            <w:pPr>
              <w:contextualSpacing/>
              <w:rPr>
                <w:sz w:val="20"/>
                <w:szCs w:val="20"/>
              </w:rPr>
            </w:pPr>
            <w:r w:rsidRPr="003F278C">
              <w:rPr>
                <w:sz w:val="20"/>
                <w:szCs w:val="20"/>
              </w:rPr>
              <w:t xml:space="preserve">Following intervention SBP fell by 5.5 mm Hg (p=0.01) and DBP by 1.1 mm Hg (p=0.5) (stratified data showed </w:t>
            </w:r>
            <w:r w:rsidRPr="008C1FE8">
              <w:rPr>
                <w:sz w:val="20"/>
                <w:szCs w:val="20"/>
              </w:rPr>
              <w:t>significant decrease only for &gt;50 years age women).</w:t>
            </w:r>
          </w:p>
          <w:p w:rsidR="00A74D02" w:rsidRPr="002C641F" w:rsidRDefault="00A74D02" w:rsidP="00927197">
            <w:pPr>
              <w:contextualSpacing/>
              <w:rPr>
                <w:sz w:val="20"/>
                <w:szCs w:val="20"/>
              </w:rPr>
            </w:pPr>
            <w:r w:rsidRPr="003F278C">
              <w:rPr>
                <w:sz w:val="20"/>
                <w:szCs w:val="20"/>
              </w:rPr>
              <w:t>In random subset of 13 women, reductions in SBP and DBP correlated with reductions in concentrations of particulate matter during cooking (p=0.01 for both)</w:t>
            </w: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Default="00A74D02" w:rsidP="00927197">
            <w:pPr>
              <w:contextualSpacing/>
              <w:rPr>
                <w:sz w:val="20"/>
                <w:szCs w:val="20"/>
              </w:rPr>
            </w:pPr>
          </w:p>
        </w:tc>
        <w:tc>
          <w:tcPr>
            <w:tcW w:w="1418" w:type="dxa"/>
          </w:tcPr>
          <w:p w:rsidR="00A74D02" w:rsidRDefault="00A74D02" w:rsidP="00927197">
            <w:pPr>
              <w:contextualSpacing/>
              <w:rPr>
                <w:sz w:val="20"/>
                <w:szCs w:val="20"/>
              </w:rPr>
            </w:pPr>
          </w:p>
        </w:tc>
        <w:tc>
          <w:tcPr>
            <w:tcW w:w="1842" w:type="dxa"/>
          </w:tcPr>
          <w:p w:rsidR="00A74D02" w:rsidRDefault="00A74D02" w:rsidP="00927197">
            <w:pPr>
              <w:contextualSpacing/>
              <w:rPr>
                <w:sz w:val="20"/>
                <w:szCs w:val="20"/>
              </w:rPr>
            </w:pPr>
          </w:p>
        </w:tc>
        <w:tc>
          <w:tcPr>
            <w:tcW w:w="1418" w:type="dxa"/>
          </w:tcPr>
          <w:p w:rsidR="00A74D02" w:rsidRDefault="00A74D02" w:rsidP="00927197">
            <w:pPr>
              <w:contextualSpacing/>
              <w:rPr>
                <w:sz w:val="20"/>
                <w:szCs w:val="20"/>
              </w:rPr>
            </w:pPr>
          </w:p>
        </w:tc>
        <w:tc>
          <w:tcPr>
            <w:tcW w:w="1843" w:type="dxa"/>
          </w:tcPr>
          <w:p w:rsidR="00A74D02" w:rsidRDefault="00A74D02" w:rsidP="00927197">
            <w:pPr>
              <w:contextualSpacing/>
              <w:rPr>
                <w:sz w:val="20"/>
                <w:szCs w:val="20"/>
              </w:rPr>
            </w:pPr>
          </w:p>
        </w:tc>
        <w:tc>
          <w:tcPr>
            <w:tcW w:w="3118" w:type="dxa"/>
          </w:tcPr>
          <w:p w:rsidR="00A74D02" w:rsidRDefault="00A74D02" w:rsidP="00927197">
            <w:pPr>
              <w:contextualSpacing/>
              <w:rPr>
                <w:sz w:val="20"/>
                <w:szCs w:val="20"/>
              </w:rPr>
            </w:pPr>
          </w:p>
        </w:tc>
        <w:tc>
          <w:tcPr>
            <w:tcW w:w="1985" w:type="dxa"/>
          </w:tcPr>
          <w:p w:rsidR="00A74D02" w:rsidRPr="002C641F" w:rsidRDefault="00A74D02" w:rsidP="00927197">
            <w:pPr>
              <w:contextualSpacing/>
              <w:rPr>
                <w:sz w:val="20"/>
                <w:szCs w:val="20"/>
              </w:rPr>
            </w:pPr>
          </w:p>
        </w:tc>
        <w:tc>
          <w:tcPr>
            <w:tcW w:w="1984" w:type="dxa"/>
          </w:tcPr>
          <w:p w:rsidR="00A74D02" w:rsidRPr="002C641F" w:rsidRDefault="00A74D02" w:rsidP="00927197">
            <w:pPr>
              <w:contextualSpacing/>
              <w:rPr>
                <w:sz w:val="20"/>
                <w:szCs w:val="20"/>
              </w:rPr>
            </w:pPr>
          </w:p>
        </w:tc>
      </w:tr>
      <w:tr w:rsidR="00A74D02" w:rsidRPr="00BF3F0C" w:rsidTr="009730AB">
        <w:tc>
          <w:tcPr>
            <w:tcW w:w="1418" w:type="dxa"/>
          </w:tcPr>
          <w:p w:rsidR="00A74D02" w:rsidRDefault="00A74D02" w:rsidP="00927197">
            <w:pPr>
              <w:contextualSpacing/>
              <w:rPr>
                <w:sz w:val="20"/>
                <w:szCs w:val="20"/>
              </w:rPr>
            </w:pPr>
            <w:r>
              <w:rPr>
                <w:sz w:val="20"/>
                <w:szCs w:val="20"/>
              </w:rPr>
              <w:t>Nepal</w:t>
            </w:r>
          </w:p>
          <w:p w:rsidR="00A74D02" w:rsidRPr="003027AC" w:rsidRDefault="00A74D02" w:rsidP="00927197">
            <w:pPr>
              <w:contextualSpacing/>
              <w:rPr>
                <w:sz w:val="20"/>
                <w:szCs w:val="20"/>
                <w:vertAlign w:val="superscript"/>
              </w:rPr>
            </w:pPr>
            <w:proofErr w:type="spellStart"/>
            <w:r>
              <w:rPr>
                <w:sz w:val="20"/>
                <w:szCs w:val="20"/>
              </w:rPr>
              <w:t>Neupane</w:t>
            </w:r>
            <w:proofErr w:type="spellEnd"/>
            <w:r>
              <w:rPr>
                <w:sz w:val="20"/>
                <w:szCs w:val="20"/>
              </w:rPr>
              <w:t xml:space="preserve"> et al (2015)</w:t>
            </w:r>
            <w:r w:rsidR="003027AC">
              <w:rPr>
                <w:sz w:val="20"/>
                <w:szCs w:val="20"/>
                <w:vertAlign w:val="superscript"/>
              </w:rPr>
              <w:t>37</w:t>
            </w:r>
          </w:p>
        </w:tc>
        <w:tc>
          <w:tcPr>
            <w:tcW w:w="1418" w:type="dxa"/>
          </w:tcPr>
          <w:p w:rsidR="00A74D02" w:rsidRDefault="00A74D02" w:rsidP="00927197">
            <w:pPr>
              <w:contextualSpacing/>
              <w:rPr>
                <w:sz w:val="20"/>
                <w:szCs w:val="20"/>
              </w:rPr>
            </w:pPr>
            <w:r>
              <w:rPr>
                <w:sz w:val="20"/>
                <w:szCs w:val="20"/>
              </w:rPr>
              <w:t>Cross-sectional</w:t>
            </w:r>
          </w:p>
        </w:tc>
        <w:tc>
          <w:tcPr>
            <w:tcW w:w="1842" w:type="dxa"/>
          </w:tcPr>
          <w:p w:rsidR="00A74D02" w:rsidRDefault="00A74D02" w:rsidP="00927197">
            <w:pPr>
              <w:contextualSpacing/>
              <w:rPr>
                <w:sz w:val="20"/>
                <w:szCs w:val="20"/>
              </w:rPr>
            </w:pPr>
            <w:r>
              <w:rPr>
                <w:sz w:val="20"/>
                <w:szCs w:val="20"/>
              </w:rPr>
              <w:t>519 women aged 30-83 in rural location</w:t>
            </w:r>
          </w:p>
        </w:tc>
        <w:tc>
          <w:tcPr>
            <w:tcW w:w="1418" w:type="dxa"/>
          </w:tcPr>
          <w:p w:rsidR="00A74D02" w:rsidRDefault="00A74D02" w:rsidP="00927197">
            <w:pPr>
              <w:contextualSpacing/>
              <w:rPr>
                <w:sz w:val="20"/>
                <w:szCs w:val="20"/>
              </w:rPr>
            </w:pPr>
            <w:r>
              <w:rPr>
                <w:sz w:val="20"/>
                <w:szCs w:val="20"/>
              </w:rPr>
              <w:t>Cooked for ≥10 years primarily with biomass (n=300) v biogas (n=219)</w:t>
            </w:r>
          </w:p>
        </w:tc>
        <w:tc>
          <w:tcPr>
            <w:tcW w:w="1843" w:type="dxa"/>
          </w:tcPr>
          <w:p w:rsidR="00A74D02" w:rsidRDefault="00A74D02" w:rsidP="00927197">
            <w:pPr>
              <w:contextualSpacing/>
              <w:rPr>
                <w:sz w:val="20"/>
                <w:szCs w:val="20"/>
              </w:rPr>
            </w:pPr>
            <w:r>
              <w:rPr>
                <w:sz w:val="20"/>
                <w:szCs w:val="20"/>
              </w:rPr>
              <w:t>Systolic and diastolic blood pressure (SBP and DBP)</w:t>
            </w:r>
          </w:p>
        </w:tc>
        <w:tc>
          <w:tcPr>
            <w:tcW w:w="3118" w:type="dxa"/>
          </w:tcPr>
          <w:p w:rsidR="00A74D02" w:rsidRDefault="00A74D02" w:rsidP="00927197">
            <w:pPr>
              <w:contextualSpacing/>
              <w:rPr>
                <w:sz w:val="20"/>
                <w:szCs w:val="20"/>
              </w:rPr>
            </w:pPr>
            <w:r>
              <w:rPr>
                <w:sz w:val="20"/>
                <w:szCs w:val="20"/>
              </w:rPr>
              <w:t>Differences in blood pressure (mm Hg) at age 30-50:</w:t>
            </w:r>
          </w:p>
          <w:p w:rsidR="00A74D02" w:rsidRDefault="00A74D02" w:rsidP="00927197">
            <w:pPr>
              <w:contextualSpacing/>
              <w:rPr>
                <w:sz w:val="20"/>
                <w:szCs w:val="20"/>
              </w:rPr>
            </w:pPr>
            <w:r>
              <w:rPr>
                <w:sz w:val="20"/>
                <w:szCs w:val="20"/>
              </w:rPr>
              <w:t xml:space="preserve">SBP  -4.38 (95%CI -7.90 to </w:t>
            </w:r>
          </w:p>
          <w:p w:rsidR="00A74D02" w:rsidRDefault="00A74D02" w:rsidP="00927197">
            <w:pPr>
              <w:contextualSpacing/>
              <w:rPr>
                <w:sz w:val="20"/>
                <w:szCs w:val="20"/>
              </w:rPr>
            </w:pPr>
            <w:r>
              <w:rPr>
                <w:sz w:val="20"/>
                <w:szCs w:val="20"/>
              </w:rPr>
              <w:t>-0.86)</w:t>
            </w:r>
          </w:p>
          <w:p w:rsidR="00A74D02" w:rsidRDefault="00A74D02" w:rsidP="00927197">
            <w:pPr>
              <w:contextualSpacing/>
              <w:rPr>
                <w:sz w:val="20"/>
                <w:szCs w:val="20"/>
              </w:rPr>
            </w:pPr>
            <w:r>
              <w:rPr>
                <w:sz w:val="20"/>
                <w:szCs w:val="20"/>
              </w:rPr>
              <w:t>DBP  -1.49 (95%CI -3.93 to 0.95)</w:t>
            </w:r>
          </w:p>
          <w:p w:rsidR="00A74D02" w:rsidRDefault="00A74D02" w:rsidP="00927197">
            <w:pPr>
              <w:contextualSpacing/>
              <w:rPr>
                <w:sz w:val="20"/>
                <w:szCs w:val="20"/>
              </w:rPr>
            </w:pPr>
            <w:r>
              <w:rPr>
                <w:sz w:val="20"/>
                <w:szCs w:val="20"/>
              </w:rPr>
              <w:t>Differences in blood pressure (mm Hg) at age &gt;50:</w:t>
            </w:r>
          </w:p>
          <w:p w:rsidR="00A74D02" w:rsidRDefault="00A74D02" w:rsidP="00927197">
            <w:pPr>
              <w:contextualSpacing/>
              <w:rPr>
                <w:sz w:val="20"/>
                <w:szCs w:val="20"/>
              </w:rPr>
            </w:pPr>
            <w:r>
              <w:rPr>
                <w:sz w:val="20"/>
                <w:szCs w:val="20"/>
              </w:rPr>
              <w:t>SBP  9.84 (95%CI -0.76 to 20.43)</w:t>
            </w:r>
          </w:p>
          <w:p w:rsidR="00A74D02" w:rsidRDefault="00A74D02" w:rsidP="00927197">
            <w:pPr>
              <w:contextualSpacing/>
              <w:rPr>
                <w:sz w:val="20"/>
                <w:szCs w:val="20"/>
              </w:rPr>
            </w:pPr>
            <w:r>
              <w:rPr>
                <w:sz w:val="20"/>
                <w:szCs w:val="20"/>
              </w:rPr>
              <w:t>DBP  6.49 (95%CI 0.82 to 12.15)</w:t>
            </w:r>
          </w:p>
        </w:tc>
        <w:tc>
          <w:tcPr>
            <w:tcW w:w="1985" w:type="dxa"/>
          </w:tcPr>
          <w:p w:rsidR="00A74D02" w:rsidRPr="002C641F" w:rsidRDefault="00A74D02" w:rsidP="00927197">
            <w:pPr>
              <w:contextualSpacing/>
              <w:rPr>
                <w:sz w:val="20"/>
                <w:szCs w:val="20"/>
              </w:rPr>
            </w:pPr>
            <w:r>
              <w:rPr>
                <w:sz w:val="20"/>
                <w:szCs w:val="20"/>
              </w:rPr>
              <w:t xml:space="preserve">Sex, age, body mass index, socio-economic status, smoking, kitchen characteristics, ventilation, additional fuel use </w:t>
            </w:r>
          </w:p>
        </w:tc>
        <w:tc>
          <w:tcPr>
            <w:tcW w:w="1984" w:type="dxa"/>
          </w:tcPr>
          <w:p w:rsidR="00A74D02" w:rsidRPr="002C641F" w:rsidRDefault="00A74D02" w:rsidP="00927197">
            <w:pPr>
              <w:contextualSpacing/>
              <w:rPr>
                <w:sz w:val="20"/>
                <w:szCs w:val="20"/>
              </w:rPr>
            </w:pPr>
          </w:p>
        </w:tc>
      </w:tr>
    </w:tbl>
    <w:p w:rsidR="0083463A" w:rsidRDefault="00A74D02" w:rsidP="003A7E6A">
      <w:pPr>
        <w:spacing w:after="200" w:line="480" w:lineRule="auto"/>
        <w:contextualSpacing/>
        <w:sectPr w:rsidR="0083463A" w:rsidSect="00DF3735">
          <w:pgSz w:w="16838" w:h="11906" w:orient="landscape"/>
          <w:pgMar w:top="1440" w:right="1440" w:bottom="1440" w:left="1440" w:header="708" w:footer="708" w:gutter="0"/>
          <w:cols w:space="708"/>
          <w:docGrid w:linePitch="360"/>
        </w:sectPr>
      </w:pPr>
      <w:proofErr w:type="gramStart"/>
      <w:r>
        <w:t>ns</w:t>
      </w:r>
      <w:proofErr w:type="gramEnd"/>
      <w:r>
        <w:t xml:space="preserve"> = not significant</w:t>
      </w:r>
    </w:p>
    <w:p w:rsidR="0083463A" w:rsidRDefault="0083463A" w:rsidP="003A7E6A">
      <w:pPr>
        <w:spacing w:after="200" w:line="480" w:lineRule="auto"/>
        <w:contextualSpacing/>
      </w:pPr>
    </w:p>
    <w:p w:rsidR="0083463A" w:rsidRDefault="0083463A" w:rsidP="003A7E6A">
      <w:pPr>
        <w:spacing w:after="200" w:line="480" w:lineRule="auto"/>
        <w:contextualSpacing/>
        <w:rPr>
          <w:b/>
        </w:rPr>
      </w:pPr>
    </w:p>
    <w:p w:rsidR="0083463A" w:rsidRDefault="0083463A" w:rsidP="003A7E6A">
      <w:pPr>
        <w:spacing w:after="200" w:line="480" w:lineRule="auto"/>
        <w:contextualSpacing/>
        <w:rPr>
          <w:b/>
        </w:rPr>
      </w:pPr>
      <w:r>
        <w:rPr>
          <w:b/>
          <w:noProof/>
          <w:lang w:eastAsia="en-GB"/>
        </w:rPr>
        <mc:AlternateContent>
          <mc:Choice Requires="wps">
            <w:drawing>
              <wp:anchor distT="0" distB="0" distL="114300" distR="114300" simplePos="0" relativeHeight="251670528" behindDoc="0" locked="0" layoutInCell="1" allowOverlap="1" wp14:anchorId="455C71C6" wp14:editId="06858F07">
                <wp:simplePos x="0" y="0"/>
                <wp:positionH relativeFrom="column">
                  <wp:posOffset>81281</wp:posOffset>
                </wp:positionH>
                <wp:positionV relativeFrom="paragraph">
                  <wp:posOffset>43180</wp:posOffset>
                </wp:positionV>
                <wp:extent cx="6035040" cy="278765"/>
                <wp:effectExtent l="0" t="0" r="22860" b="26035"/>
                <wp:wrapNone/>
                <wp:docPr id="12" name="Text Box 12"/>
                <wp:cNvGraphicFramePr/>
                <a:graphic xmlns:a="http://schemas.openxmlformats.org/drawingml/2006/main">
                  <a:graphicData uri="http://schemas.microsoft.com/office/word/2010/wordprocessingShape">
                    <wps:wsp>
                      <wps:cNvSpPr txBox="1"/>
                      <wps:spPr>
                        <a:xfrm>
                          <a:off x="0" y="0"/>
                          <a:ext cx="6035040" cy="2787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463A" w:rsidRPr="0083463A" w:rsidRDefault="0083463A" w:rsidP="0083463A">
                            <w:pPr>
                              <w:rPr>
                                <w:b/>
                              </w:rPr>
                            </w:pPr>
                            <w:r w:rsidRPr="0083463A">
                              <w:rPr>
                                <w:b/>
                              </w:rPr>
                              <w:t>Figure 1: Flow chart summarising the identification and selection of papers for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4pt;margin-top:3.4pt;width:475.2pt;height:2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" fillcolor="white [3201]" strokecolor="white [3212]" strokeweight=".5pt">
                <v:textbox>
                  <w:txbxContent>
                    <w:p w:rsidR="0083463A" w:rsidRPr="0083463A" w:rsidRDefault="0083463A" w:rsidP="0083463A">
                      <w:pPr>
                        <w:rPr>
                          <w:b/>
                        </w:rPr>
                      </w:pPr>
                      <w:r w:rsidRPr="0083463A">
                        <w:rPr>
                          <w:b/>
                        </w:rPr>
                        <w:t>Figure 1: Flow chart summarising the identification and selection of papers for review</w:t>
                      </w:r>
                    </w:p>
                  </w:txbxContent>
                </v:textbox>
              </v:shape>
            </w:pict>
          </mc:Fallback>
        </mc:AlternateContent>
      </w:r>
    </w:p>
    <w:p w:rsidR="0083463A" w:rsidRDefault="0083463A" w:rsidP="003A7E6A">
      <w:pPr>
        <w:spacing w:after="200" w:line="480" w:lineRule="auto"/>
        <w:contextualSpacing/>
        <w:rPr>
          <w:b/>
        </w:rPr>
      </w:pPr>
    </w:p>
    <w:p w:rsidR="002E7E72" w:rsidRDefault="007C3593" w:rsidP="003A7E6A">
      <w:pPr>
        <w:spacing w:after="200" w:line="480" w:lineRule="auto"/>
        <w:contextualSpacing/>
        <w:rPr>
          <w:b/>
        </w:rPr>
      </w:pPr>
      <w:r>
        <w:rPr>
          <w:b/>
          <w:noProof/>
          <w:lang w:eastAsia="en-GB"/>
        </w:rPr>
        <mc:AlternateContent>
          <mc:Choice Requires="wps">
            <w:drawing>
              <wp:anchor distT="0" distB="0" distL="114300" distR="114300" simplePos="0" relativeHeight="251660288" behindDoc="0" locked="0" layoutInCell="1" allowOverlap="1" wp14:anchorId="3D9E143E" wp14:editId="747B6031">
                <wp:simplePos x="0" y="0"/>
                <wp:positionH relativeFrom="column">
                  <wp:posOffset>405765</wp:posOffset>
                </wp:positionH>
                <wp:positionV relativeFrom="paragraph">
                  <wp:posOffset>1381760</wp:posOffset>
                </wp:positionV>
                <wp:extent cx="0" cy="1290320"/>
                <wp:effectExtent l="76200" t="0" r="114300" b="62230"/>
                <wp:wrapNone/>
                <wp:docPr id="4" name="Straight Arrow Connector 4"/>
                <wp:cNvGraphicFramePr/>
                <a:graphic xmlns:a="http://schemas.openxmlformats.org/drawingml/2006/main">
                  <a:graphicData uri="http://schemas.microsoft.com/office/word/2010/wordprocessingShape">
                    <wps:wsp>
                      <wps:cNvCnPr/>
                      <wps:spPr>
                        <a:xfrm flipH="1">
                          <a:off x="0" y="0"/>
                          <a:ext cx="0" cy="129032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1.95pt;margin-top:108.8pt;width:0;height:101.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" strokecolor="#4579b8 [3044]" strokeweight="2pt">
                <v:stroke endarrow="open"/>
              </v:shape>
            </w:pict>
          </mc:Fallback>
        </mc:AlternateContent>
      </w:r>
      <w:r>
        <w:rPr>
          <w:b/>
          <w:noProof/>
          <w:lang w:eastAsia="en-GB"/>
        </w:rPr>
        <mc:AlternateContent>
          <mc:Choice Requires="wps">
            <w:drawing>
              <wp:anchor distT="0" distB="0" distL="114300" distR="114300" simplePos="0" relativeHeight="251664384" behindDoc="0" locked="0" layoutInCell="1" allowOverlap="1" wp14:anchorId="0A7B0EAE" wp14:editId="2DEECF93">
                <wp:simplePos x="0" y="0"/>
                <wp:positionH relativeFrom="column">
                  <wp:posOffset>405989</wp:posOffset>
                </wp:positionH>
                <wp:positionV relativeFrom="paragraph">
                  <wp:posOffset>3121511</wp:posOffset>
                </wp:positionV>
                <wp:extent cx="411" cy="1255058"/>
                <wp:effectExtent l="95250" t="0" r="76200" b="59690"/>
                <wp:wrapNone/>
                <wp:docPr id="8" name="Straight Arrow Connector 8"/>
                <wp:cNvGraphicFramePr/>
                <a:graphic xmlns:a="http://schemas.openxmlformats.org/drawingml/2006/main">
                  <a:graphicData uri="http://schemas.microsoft.com/office/word/2010/wordprocessingShape">
                    <wps:wsp>
                      <wps:cNvCnPr/>
                      <wps:spPr>
                        <a:xfrm flipH="1">
                          <a:off x="0" y="0"/>
                          <a:ext cx="411" cy="1255058"/>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31.95pt;margin-top:245.8pt;width:.05pt;height:98.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" strokecolor="#4579b8 [3044]" strokeweight="2pt">
                <v:stroke endarrow="open"/>
              </v:shape>
            </w:pict>
          </mc:Fallback>
        </mc:AlternateContent>
      </w:r>
      <w:r w:rsidR="008E1F76">
        <w:rPr>
          <w:b/>
          <w:noProof/>
          <w:lang w:eastAsia="en-GB"/>
        </w:rPr>
        <mc:AlternateContent>
          <mc:Choice Requires="wps">
            <w:drawing>
              <wp:anchor distT="0" distB="0" distL="114300" distR="114300" simplePos="0" relativeHeight="251661312" behindDoc="0" locked="0" layoutInCell="1" allowOverlap="1" wp14:anchorId="1C48B6A3" wp14:editId="2C933FBE">
                <wp:simplePos x="0" y="0"/>
                <wp:positionH relativeFrom="column">
                  <wp:posOffset>225425</wp:posOffset>
                </wp:positionH>
                <wp:positionV relativeFrom="paragraph">
                  <wp:posOffset>2644775</wp:posOffset>
                </wp:positionV>
                <wp:extent cx="2144395" cy="476885"/>
                <wp:effectExtent l="0" t="0" r="27305" b="18415"/>
                <wp:wrapNone/>
                <wp:docPr id="5" name="Rounded Rectangle 5"/>
                <wp:cNvGraphicFramePr/>
                <a:graphic xmlns:a="http://schemas.openxmlformats.org/drawingml/2006/main">
                  <a:graphicData uri="http://schemas.microsoft.com/office/word/2010/wordprocessingShape">
                    <wps:wsp>
                      <wps:cNvSpPr/>
                      <wps:spPr>
                        <a:xfrm>
                          <a:off x="0" y="0"/>
                          <a:ext cx="2144395" cy="47688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3463A" w:rsidRPr="00485B59" w:rsidRDefault="0083463A" w:rsidP="002E7E72">
                            <w:pPr>
                              <w:jc w:val="center"/>
                              <w:rPr>
                                <w:color w:val="000000" w:themeColor="text1"/>
                              </w:rPr>
                            </w:pPr>
                            <w:r w:rsidRPr="00485B59">
                              <w:rPr>
                                <w:color w:val="000000" w:themeColor="text1"/>
                              </w:rPr>
                              <w:t xml:space="preserve">42 </w:t>
                            </w:r>
                            <w:r>
                              <w:rPr>
                                <w:color w:val="000000" w:themeColor="text1"/>
                              </w:rPr>
                              <w:t>paper</w:t>
                            </w:r>
                            <w:r w:rsidRPr="00485B59">
                              <w:rPr>
                                <w:color w:val="000000" w:themeColor="text1"/>
                              </w:rPr>
                              <w:t>s for full-text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margin-left:17.75pt;margin-top:208.25pt;width:168.8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" fillcolor="white [3212]" strokecolor="#243f60 [1604]" strokeweight="2pt">
                <v:textbox>
                  <w:txbxContent>
                    <w:p w:rsidR="0083463A" w:rsidRPr="00485B59" w:rsidRDefault="0083463A" w:rsidP="002E7E72">
                      <w:pPr>
                        <w:jc w:val="center"/>
                        <w:rPr>
                          <w:color w:val="000000" w:themeColor="text1"/>
                        </w:rPr>
                      </w:pPr>
                      <w:r w:rsidRPr="00485B59">
                        <w:rPr>
                          <w:color w:val="000000" w:themeColor="text1"/>
                        </w:rPr>
                        <w:t xml:space="preserve">42 </w:t>
                      </w:r>
                      <w:r>
                        <w:rPr>
                          <w:color w:val="000000" w:themeColor="text1"/>
                        </w:rPr>
                        <w:t>paper</w:t>
                      </w:r>
                      <w:r w:rsidRPr="00485B59">
                        <w:rPr>
                          <w:color w:val="000000" w:themeColor="text1"/>
                        </w:rPr>
                        <w:t>s for full-text evaluation</w:t>
                      </w:r>
                    </w:p>
                  </w:txbxContent>
                </v:textbox>
              </v:roundrect>
            </w:pict>
          </mc:Fallback>
        </mc:AlternateContent>
      </w:r>
      <w:r w:rsidR="008E1F76">
        <w:rPr>
          <w:b/>
          <w:noProof/>
          <w:lang w:eastAsia="en-GB"/>
        </w:rPr>
        <mc:AlternateContent>
          <mc:Choice Requires="wps">
            <w:drawing>
              <wp:anchor distT="0" distB="0" distL="114300" distR="114300" simplePos="0" relativeHeight="251659264" behindDoc="0" locked="0" layoutInCell="1" allowOverlap="1" wp14:anchorId="28011C2A" wp14:editId="4DA23D51">
                <wp:simplePos x="0" y="0"/>
                <wp:positionH relativeFrom="column">
                  <wp:posOffset>113665</wp:posOffset>
                </wp:positionH>
                <wp:positionV relativeFrom="paragraph">
                  <wp:posOffset>568325</wp:posOffset>
                </wp:positionV>
                <wp:extent cx="2141220" cy="779145"/>
                <wp:effectExtent l="0" t="0" r="11430" b="20955"/>
                <wp:wrapNone/>
                <wp:docPr id="2" name="Rounded Rectangle 2"/>
                <wp:cNvGraphicFramePr/>
                <a:graphic xmlns:a="http://schemas.openxmlformats.org/drawingml/2006/main">
                  <a:graphicData uri="http://schemas.microsoft.com/office/word/2010/wordprocessingShape">
                    <wps:wsp>
                      <wps:cNvSpPr/>
                      <wps:spPr>
                        <a:xfrm>
                          <a:off x="0" y="0"/>
                          <a:ext cx="2141220" cy="77914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3463A" w:rsidRPr="00485B59" w:rsidRDefault="0083463A" w:rsidP="002E7E72">
                            <w:pPr>
                              <w:rPr>
                                <w:color w:val="000000" w:themeColor="text1"/>
                              </w:rPr>
                            </w:pPr>
                            <w:r w:rsidRPr="00485B59">
                              <w:rPr>
                                <w:color w:val="000000" w:themeColor="text1"/>
                              </w:rPr>
                              <w:t xml:space="preserve">580 </w:t>
                            </w:r>
                            <w:r>
                              <w:rPr>
                                <w:color w:val="000000" w:themeColor="text1"/>
                              </w:rPr>
                              <w:t>paper</w:t>
                            </w:r>
                            <w:r w:rsidRPr="00485B59">
                              <w:rPr>
                                <w:color w:val="000000" w:themeColor="text1"/>
                              </w:rPr>
                              <w:t>s identified through database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margin-left:8.95pt;margin-top:44.75pt;width:168.6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" fillcolor="white [3212]" strokecolor="#243f60 [1604]" strokeweight="2pt">
                <v:textbox>
                  <w:txbxContent>
                    <w:p w:rsidR="0083463A" w:rsidRPr="00485B59" w:rsidRDefault="0083463A" w:rsidP="002E7E72">
                      <w:pPr>
                        <w:rPr>
                          <w:color w:val="000000" w:themeColor="text1"/>
                        </w:rPr>
                      </w:pPr>
                      <w:r w:rsidRPr="00485B59">
                        <w:rPr>
                          <w:color w:val="000000" w:themeColor="text1"/>
                        </w:rPr>
                        <w:t xml:space="preserve">580 </w:t>
                      </w:r>
                      <w:r>
                        <w:rPr>
                          <w:color w:val="000000" w:themeColor="text1"/>
                        </w:rPr>
                        <w:t>paper</w:t>
                      </w:r>
                      <w:r w:rsidRPr="00485B59">
                        <w:rPr>
                          <w:color w:val="000000" w:themeColor="text1"/>
                        </w:rPr>
                        <w:t>s identified through database search</w:t>
                      </w:r>
                    </w:p>
                  </w:txbxContent>
                </v:textbox>
              </v:roundrect>
            </w:pict>
          </mc:Fallback>
        </mc:AlternateContent>
      </w:r>
      <w:r w:rsidR="008E1F76">
        <w:rPr>
          <w:b/>
          <w:noProof/>
          <w:lang w:eastAsia="en-GB"/>
        </w:rPr>
        <mc:AlternateContent>
          <mc:Choice Requires="wps">
            <w:drawing>
              <wp:anchor distT="0" distB="0" distL="114300" distR="114300" simplePos="0" relativeHeight="251662336" behindDoc="0" locked="0" layoutInCell="1" allowOverlap="1" wp14:anchorId="64171FE5" wp14:editId="662F7B5E">
                <wp:simplePos x="0" y="0"/>
                <wp:positionH relativeFrom="column">
                  <wp:posOffset>666115</wp:posOffset>
                </wp:positionH>
                <wp:positionV relativeFrom="paragraph">
                  <wp:posOffset>1604010</wp:posOffset>
                </wp:positionV>
                <wp:extent cx="3021965" cy="745490"/>
                <wp:effectExtent l="0" t="0" r="26035" b="16510"/>
                <wp:wrapNone/>
                <wp:docPr id="6" name="Rounded Rectangle 6"/>
                <wp:cNvGraphicFramePr/>
                <a:graphic xmlns:a="http://schemas.openxmlformats.org/drawingml/2006/main">
                  <a:graphicData uri="http://schemas.microsoft.com/office/word/2010/wordprocessingShape">
                    <wps:wsp>
                      <wps:cNvSpPr/>
                      <wps:spPr>
                        <a:xfrm>
                          <a:off x="0" y="0"/>
                          <a:ext cx="3021965" cy="74549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3463A" w:rsidRPr="00485B59" w:rsidRDefault="0083463A" w:rsidP="002E7E72">
                            <w:pPr>
                              <w:jc w:val="center"/>
                              <w:rPr>
                                <w:color w:val="000000" w:themeColor="text1"/>
                              </w:rPr>
                            </w:pPr>
                            <w:r w:rsidRPr="00485B59">
                              <w:rPr>
                                <w:color w:val="000000" w:themeColor="text1"/>
                              </w:rPr>
                              <w:t xml:space="preserve">538 </w:t>
                            </w:r>
                            <w:r>
                              <w:rPr>
                                <w:color w:val="000000" w:themeColor="text1"/>
                              </w:rPr>
                              <w:t>paper</w:t>
                            </w:r>
                            <w:r w:rsidRPr="00485B59">
                              <w:rPr>
                                <w:color w:val="000000" w:themeColor="text1"/>
                              </w:rPr>
                              <w:t>s excluded: 98 duplicates; 440 did not meet inclusion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margin-left:52.45pt;margin-top:126.3pt;width:237.95pt;height:5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" fillcolor="white [3212]" strokecolor="#243f60 [1604]" strokeweight="2pt">
                <v:textbox>
                  <w:txbxContent>
                    <w:p w:rsidR="0083463A" w:rsidRPr="00485B59" w:rsidRDefault="0083463A" w:rsidP="002E7E72">
                      <w:pPr>
                        <w:jc w:val="center"/>
                        <w:rPr>
                          <w:color w:val="000000" w:themeColor="text1"/>
                        </w:rPr>
                      </w:pPr>
                      <w:r w:rsidRPr="00485B59">
                        <w:rPr>
                          <w:color w:val="000000" w:themeColor="text1"/>
                        </w:rPr>
                        <w:t xml:space="preserve">538 </w:t>
                      </w:r>
                      <w:r>
                        <w:rPr>
                          <w:color w:val="000000" w:themeColor="text1"/>
                        </w:rPr>
                        <w:t>paper</w:t>
                      </w:r>
                      <w:r w:rsidRPr="00485B59">
                        <w:rPr>
                          <w:color w:val="000000" w:themeColor="text1"/>
                        </w:rPr>
                        <w:t>s excluded: 98 duplicates; 440 did not meet inclusion criteria</w:t>
                      </w:r>
                    </w:p>
                  </w:txbxContent>
                </v:textbox>
              </v:roundrect>
            </w:pict>
          </mc:Fallback>
        </mc:AlternateContent>
      </w:r>
      <w:r w:rsidR="008E1F76">
        <w:rPr>
          <w:b/>
          <w:noProof/>
          <w:lang w:eastAsia="en-GB"/>
        </w:rPr>
        <mc:AlternateContent>
          <mc:Choice Requires="wps">
            <w:drawing>
              <wp:anchor distT="0" distB="0" distL="114300" distR="114300" simplePos="0" relativeHeight="251663360" behindDoc="0" locked="0" layoutInCell="1" allowOverlap="1" wp14:anchorId="469CA38F" wp14:editId="023B79B2">
                <wp:simplePos x="0" y="0"/>
                <wp:positionH relativeFrom="column">
                  <wp:posOffset>406400</wp:posOffset>
                </wp:positionH>
                <wp:positionV relativeFrom="paragraph">
                  <wp:posOffset>1919605</wp:posOffset>
                </wp:positionV>
                <wp:extent cx="260350" cy="6350"/>
                <wp:effectExtent l="0" t="76200" r="6350" b="107950"/>
                <wp:wrapNone/>
                <wp:docPr id="7" name="Straight Arrow Connector 7"/>
                <wp:cNvGraphicFramePr/>
                <a:graphic xmlns:a="http://schemas.openxmlformats.org/drawingml/2006/main">
                  <a:graphicData uri="http://schemas.microsoft.com/office/word/2010/wordprocessingShape">
                    <wps:wsp>
                      <wps:cNvCnPr/>
                      <wps:spPr>
                        <a:xfrm>
                          <a:off x="0" y="0"/>
                          <a:ext cx="260350" cy="635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32pt;margin-top:151.15pt;width:20.5pt;height:.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" strokecolor="#4579b8 [3044]" strokeweight="2pt">
                <v:stroke endarrow="open"/>
              </v:shape>
            </w:pict>
          </mc:Fallback>
        </mc:AlternateContent>
      </w:r>
      <w:r w:rsidR="008E1F76">
        <w:rPr>
          <w:b/>
          <w:noProof/>
          <w:lang w:eastAsia="en-GB"/>
        </w:rPr>
        <mc:AlternateContent>
          <mc:Choice Requires="wps">
            <w:drawing>
              <wp:anchor distT="0" distB="0" distL="114300" distR="114300" simplePos="0" relativeHeight="251666432" behindDoc="0" locked="0" layoutInCell="1" allowOverlap="1" wp14:anchorId="3EB865D9" wp14:editId="43281AEA">
                <wp:simplePos x="0" y="0"/>
                <wp:positionH relativeFrom="column">
                  <wp:posOffset>731520</wp:posOffset>
                </wp:positionH>
                <wp:positionV relativeFrom="paragraph">
                  <wp:posOffset>3425190</wp:posOffset>
                </wp:positionV>
                <wp:extent cx="3041015" cy="519430"/>
                <wp:effectExtent l="0" t="0" r="26035" b="13970"/>
                <wp:wrapNone/>
                <wp:docPr id="10" name="Rounded Rectangle 10"/>
                <wp:cNvGraphicFramePr/>
                <a:graphic xmlns:a="http://schemas.openxmlformats.org/drawingml/2006/main">
                  <a:graphicData uri="http://schemas.microsoft.com/office/word/2010/wordprocessingShape">
                    <wps:wsp>
                      <wps:cNvSpPr/>
                      <wps:spPr>
                        <a:xfrm>
                          <a:off x="0" y="0"/>
                          <a:ext cx="3041015" cy="51943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3463A" w:rsidRPr="00485B59" w:rsidRDefault="0083463A" w:rsidP="00485B59">
                            <w:pPr>
                              <w:rPr>
                                <w:color w:val="000000" w:themeColor="text1"/>
                              </w:rPr>
                            </w:pPr>
                            <w:r w:rsidRPr="00485B59">
                              <w:rPr>
                                <w:color w:val="000000" w:themeColor="text1"/>
                              </w:rPr>
                              <w:t xml:space="preserve">19 </w:t>
                            </w:r>
                            <w:r>
                              <w:rPr>
                                <w:color w:val="000000" w:themeColor="text1"/>
                              </w:rPr>
                              <w:t>paper</w:t>
                            </w:r>
                            <w:r w:rsidRPr="00485B59">
                              <w:rPr>
                                <w:color w:val="000000" w:themeColor="text1"/>
                              </w:rPr>
                              <w:t xml:space="preserve">s excluded: did not meet </w:t>
                            </w:r>
                            <w:r>
                              <w:rPr>
                                <w:color w:val="000000" w:themeColor="text1"/>
                              </w:rPr>
                              <w:t>inclusion</w:t>
                            </w:r>
                            <w:r w:rsidRPr="00485B59">
                              <w:rPr>
                                <w:color w:val="000000" w:themeColor="text1"/>
                              </w:rPr>
                              <w:t xml:space="preserve">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0" style="position:absolute;margin-left:57.6pt;margin-top:269.7pt;width:239.45pt;height:4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" fillcolor="white [3212]" strokecolor="#243f60 [1604]" strokeweight="2pt">
                <v:textbox>
                  <w:txbxContent>
                    <w:p w:rsidR="0083463A" w:rsidRPr="00485B59" w:rsidRDefault="0083463A" w:rsidP="00485B59">
                      <w:pPr>
                        <w:rPr>
                          <w:color w:val="000000" w:themeColor="text1"/>
                        </w:rPr>
                      </w:pPr>
                      <w:r w:rsidRPr="00485B59">
                        <w:rPr>
                          <w:color w:val="000000" w:themeColor="text1"/>
                        </w:rPr>
                        <w:t xml:space="preserve">19 </w:t>
                      </w:r>
                      <w:r>
                        <w:rPr>
                          <w:color w:val="000000" w:themeColor="text1"/>
                        </w:rPr>
                        <w:t>paper</w:t>
                      </w:r>
                      <w:r w:rsidRPr="00485B59">
                        <w:rPr>
                          <w:color w:val="000000" w:themeColor="text1"/>
                        </w:rPr>
                        <w:t xml:space="preserve">s excluded: did not meet </w:t>
                      </w:r>
                      <w:r>
                        <w:rPr>
                          <w:color w:val="000000" w:themeColor="text1"/>
                        </w:rPr>
                        <w:t>inclusion</w:t>
                      </w:r>
                      <w:r w:rsidRPr="00485B59">
                        <w:rPr>
                          <w:color w:val="000000" w:themeColor="text1"/>
                        </w:rPr>
                        <w:t xml:space="preserve"> criteria</w:t>
                      </w:r>
                    </w:p>
                  </w:txbxContent>
                </v:textbox>
              </v:roundrect>
            </w:pict>
          </mc:Fallback>
        </mc:AlternateContent>
      </w:r>
      <w:r w:rsidR="008E1F76">
        <w:rPr>
          <w:b/>
          <w:noProof/>
          <w:lang w:eastAsia="en-GB"/>
        </w:rPr>
        <mc:AlternateContent>
          <mc:Choice Requires="wps">
            <w:drawing>
              <wp:anchor distT="0" distB="0" distL="114300" distR="114300" simplePos="0" relativeHeight="251668480" behindDoc="0" locked="0" layoutInCell="1" allowOverlap="1" wp14:anchorId="749D4EC2" wp14:editId="51E35AD1">
                <wp:simplePos x="0" y="0"/>
                <wp:positionH relativeFrom="column">
                  <wp:posOffset>408940</wp:posOffset>
                </wp:positionH>
                <wp:positionV relativeFrom="paragraph">
                  <wp:posOffset>3647440</wp:posOffset>
                </wp:positionV>
                <wp:extent cx="328295" cy="0"/>
                <wp:effectExtent l="0" t="76200" r="14605" b="114300"/>
                <wp:wrapNone/>
                <wp:docPr id="11" name="Straight Arrow Connector 11"/>
                <wp:cNvGraphicFramePr/>
                <a:graphic xmlns:a="http://schemas.openxmlformats.org/drawingml/2006/main">
                  <a:graphicData uri="http://schemas.microsoft.com/office/word/2010/wordprocessingShape">
                    <wps:wsp>
                      <wps:cNvCnPr/>
                      <wps:spPr>
                        <a:xfrm>
                          <a:off x="0" y="0"/>
                          <a:ext cx="32829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32.2pt;margin-top:287.2pt;width:25.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" strokecolor="#4a7ebb" strokeweight="2pt">
                <v:stroke endarrow="open"/>
              </v:shape>
            </w:pict>
          </mc:Fallback>
        </mc:AlternateContent>
      </w:r>
      <w:r w:rsidR="008E1F76">
        <w:rPr>
          <w:b/>
          <w:noProof/>
          <w:lang w:eastAsia="en-GB"/>
        </w:rPr>
        <mc:AlternateContent>
          <mc:Choice Requires="wps">
            <w:drawing>
              <wp:anchor distT="0" distB="0" distL="114300" distR="114300" simplePos="0" relativeHeight="251665408" behindDoc="0" locked="0" layoutInCell="1" allowOverlap="1" wp14:anchorId="61440895" wp14:editId="0A0A3524">
                <wp:simplePos x="0" y="0"/>
                <wp:positionH relativeFrom="column">
                  <wp:posOffset>214630</wp:posOffset>
                </wp:positionH>
                <wp:positionV relativeFrom="paragraph">
                  <wp:posOffset>4344035</wp:posOffset>
                </wp:positionV>
                <wp:extent cx="3120390" cy="942975"/>
                <wp:effectExtent l="0" t="0" r="22860" b="28575"/>
                <wp:wrapNone/>
                <wp:docPr id="9" name="Rounded Rectangle 9"/>
                <wp:cNvGraphicFramePr/>
                <a:graphic xmlns:a="http://schemas.openxmlformats.org/drawingml/2006/main">
                  <a:graphicData uri="http://schemas.microsoft.com/office/word/2010/wordprocessingShape">
                    <wps:wsp>
                      <wps:cNvSpPr/>
                      <wps:spPr>
                        <a:xfrm>
                          <a:off x="0" y="0"/>
                          <a:ext cx="3120390" cy="9429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3463A" w:rsidRPr="00485B59" w:rsidRDefault="0083463A" w:rsidP="00051704">
                            <w:pPr>
                              <w:jc w:val="center"/>
                              <w:rPr>
                                <w:color w:val="000000" w:themeColor="text1"/>
                              </w:rPr>
                            </w:pPr>
                            <w:r w:rsidRPr="00485B59">
                              <w:rPr>
                                <w:color w:val="000000" w:themeColor="text1"/>
                              </w:rPr>
                              <w:t xml:space="preserve">26 </w:t>
                            </w:r>
                            <w:r>
                              <w:rPr>
                                <w:color w:val="000000" w:themeColor="text1"/>
                              </w:rPr>
                              <w:t>paper</w:t>
                            </w:r>
                            <w:r w:rsidRPr="00485B59">
                              <w:rPr>
                                <w:color w:val="000000" w:themeColor="text1"/>
                              </w:rPr>
                              <w:t xml:space="preserve">s included in systematic review: 23 </w:t>
                            </w:r>
                            <w:r>
                              <w:rPr>
                                <w:color w:val="000000" w:themeColor="text1"/>
                              </w:rPr>
                              <w:t>paper</w:t>
                            </w:r>
                            <w:r w:rsidRPr="00485B59">
                              <w:rPr>
                                <w:color w:val="000000" w:themeColor="text1"/>
                              </w:rPr>
                              <w:t xml:space="preserve">s from full-text evaluation </w:t>
                            </w:r>
                            <w:r>
                              <w:rPr>
                                <w:color w:val="000000" w:themeColor="text1"/>
                              </w:rPr>
                              <w:t xml:space="preserve">plus an additional </w:t>
                            </w:r>
                            <w:r w:rsidRPr="00485B59">
                              <w:rPr>
                                <w:color w:val="000000" w:themeColor="text1"/>
                              </w:rPr>
                              <w:t xml:space="preserve">3 </w:t>
                            </w:r>
                            <w:r>
                              <w:rPr>
                                <w:color w:val="000000" w:themeColor="text1"/>
                              </w:rPr>
                              <w:t>paper</w:t>
                            </w:r>
                            <w:r w:rsidRPr="00485B59">
                              <w:rPr>
                                <w:color w:val="000000" w:themeColor="text1"/>
                              </w:rPr>
                              <w:t xml:space="preserve">s identified from </w:t>
                            </w:r>
                            <w:r>
                              <w:rPr>
                                <w:color w:val="000000" w:themeColor="text1"/>
                              </w:rPr>
                              <w:t xml:space="preserve">their </w:t>
                            </w:r>
                            <w:r w:rsidRPr="00485B59">
                              <w:rPr>
                                <w:color w:val="000000" w:themeColor="text1"/>
                              </w:rPr>
                              <w:t xml:space="preserve">references </w:t>
                            </w:r>
                            <w:r>
                              <w:rPr>
                                <w:color w:val="000000" w:themeColor="text1"/>
                              </w:rPr>
                              <w:t>list</w:t>
                            </w:r>
                            <w:r w:rsidRPr="00485B59">
                              <w:rPr>
                                <w:color w:val="000000" w:themeColor="text1"/>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margin-left:16.9pt;margin-top:342.05pt;width:245.7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" fillcolor="white [3212]" strokecolor="#243f60 [1604]" strokeweight="2pt">
                <v:textbox>
                  <w:txbxContent>
                    <w:p w:rsidR="0083463A" w:rsidRPr="00485B59" w:rsidRDefault="0083463A" w:rsidP="00051704">
                      <w:pPr>
                        <w:jc w:val="center"/>
                        <w:rPr>
                          <w:color w:val="000000" w:themeColor="text1"/>
                        </w:rPr>
                      </w:pPr>
                      <w:r w:rsidRPr="00485B59">
                        <w:rPr>
                          <w:color w:val="000000" w:themeColor="text1"/>
                        </w:rPr>
                        <w:t xml:space="preserve">26 </w:t>
                      </w:r>
                      <w:r>
                        <w:rPr>
                          <w:color w:val="000000" w:themeColor="text1"/>
                        </w:rPr>
                        <w:t>paper</w:t>
                      </w:r>
                      <w:r w:rsidRPr="00485B59">
                        <w:rPr>
                          <w:color w:val="000000" w:themeColor="text1"/>
                        </w:rPr>
                        <w:t xml:space="preserve">s included in systematic review: 23 </w:t>
                      </w:r>
                      <w:r>
                        <w:rPr>
                          <w:color w:val="000000" w:themeColor="text1"/>
                        </w:rPr>
                        <w:t>paper</w:t>
                      </w:r>
                      <w:r w:rsidRPr="00485B59">
                        <w:rPr>
                          <w:color w:val="000000" w:themeColor="text1"/>
                        </w:rPr>
                        <w:t xml:space="preserve">s from full-text evaluation </w:t>
                      </w:r>
                      <w:r>
                        <w:rPr>
                          <w:color w:val="000000" w:themeColor="text1"/>
                        </w:rPr>
                        <w:t xml:space="preserve">plus an additional </w:t>
                      </w:r>
                      <w:r w:rsidRPr="00485B59">
                        <w:rPr>
                          <w:color w:val="000000" w:themeColor="text1"/>
                        </w:rPr>
                        <w:t xml:space="preserve">3 </w:t>
                      </w:r>
                      <w:r>
                        <w:rPr>
                          <w:color w:val="000000" w:themeColor="text1"/>
                        </w:rPr>
                        <w:t>paper</w:t>
                      </w:r>
                      <w:r w:rsidRPr="00485B59">
                        <w:rPr>
                          <w:color w:val="000000" w:themeColor="text1"/>
                        </w:rPr>
                        <w:t xml:space="preserve">s identified from </w:t>
                      </w:r>
                      <w:r>
                        <w:rPr>
                          <w:color w:val="000000" w:themeColor="text1"/>
                        </w:rPr>
                        <w:t xml:space="preserve">their </w:t>
                      </w:r>
                      <w:r w:rsidRPr="00485B59">
                        <w:rPr>
                          <w:color w:val="000000" w:themeColor="text1"/>
                        </w:rPr>
                        <w:t xml:space="preserve">references </w:t>
                      </w:r>
                      <w:r>
                        <w:rPr>
                          <w:color w:val="000000" w:themeColor="text1"/>
                        </w:rPr>
                        <w:t>list</w:t>
                      </w:r>
                      <w:r w:rsidRPr="00485B59">
                        <w:rPr>
                          <w:color w:val="000000" w:themeColor="text1"/>
                        </w:rPr>
                        <w:t xml:space="preserve">s </w:t>
                      </w:r>
                    </w:p>
                  </w:txbxContent>
                </v:textbox>
              </v:roundrect>
            </w:pict>
          </mc:Fallback>
        </mc:AlternateContent>
      </w:r>
    </w:p>
    <w:sectPr w:rsidR="002E7E72" w:rsidSect="008346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CA" w:rsidRDefault="003743CA" w:rsidP="00EF714E">
      <w:pPr>
        <w:spacing w:line="240" w:lineRule="auto"/>
      </w:pPr>
      <w:r>
        <w:separator/>
      </w:r>
    </w:p>
  </w:endnote>
  <w:endnote w:type="continuationSeparator" w:id="0">
    <w:p w:rsidR="003743CA" w:rsidRDefault="003743CA" w:rsidP="00EF7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388644556"/>
      <w:docPartObj>
        <w:docPartGallery w:val="Page Numbers (Bottom of Page)"/>
        <w:docPartUnique/>
      </w:docPartObj>
    </w:sdtPr>
    <w:sdtEndPr>
      <w:rPr>
        <w:noProof/>
      </w:rPr>
    </w:sdtEndPr>
    <w:sdtContent>
      <w:p w:rsidR="0083463A" w:rsidRPr="00EF714E" w:rsidRDefault="0083463A">
        <w:pPr>
          <w:pStyle w:val="Footer"/>
          <w:rPr>
            <w:rFonts w:asciiTheme="majorBidi" w:hAnsiTheme="majorBidi" w:cstheme="majorBidi"/>
          </w:rPr>
        </w:pPr>
        <w:r w:rsidRPr="00EF714E">
          <w:rPr>
            <w:rFonts w:asciiTheme="majorBidi" w:hAnsiTheme="majorBidi" w:cstheme="majorBidi"/>
          </w:rPr>
          <w:fldChar w:fldCharType="begin"/>
        </w:r>
        <w:r w:rsidRPr="00EF714E">
          <w:rPr>
            <w:rFonts w:asciiTheme="majorBidi" w:hAnsiTheme="majorBidi" w:cstheme="majorBidi"/>
          </w:rPr>
          <w:instrText xml:space="preserve"> PAGE   \* MERGEFORMAT </w:instrText>
        </w:r>
        <w:r w:rsidRPr="00EF714E">
          <w:rPr>
            <w:rFonts w:asciiTheme="majorBidi" w:hAnsiTheme="majorBidi" w:cstheme="majorBidi"/>
          </w:rPr>
          <w:fldChar w:fldCharType="separate"/>
        </w:r>
        <w:r w:rsidR="009965A9">
          <w:rPr>
            <w:rFonts w:asciiTheme="majorBidi" w:hAnsiTheme="majorBidi" w:cstheme="majorBidi"/>
            <w:noProof/>
          </w:rPr>
          <w:t>33</w:t>
        </w:r>
        <w:r w:rsidRPr="00EF714E">
          <w:rPr>
            <w:rFonts w:asciiTheme="majorBidi" w:hAnsiTheme="majorBidi" w:cstheme="majorBidi"/>
            <w:noProof/>
          </w:rPr>
          <w:fldChar w:fldCharType="end"/>
        </w:r>
      </w:p>
    </w:sdtContent>
  </w:sdt>
  <w:p w:rsidR="0083463A" w:rsidRDefault="00834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CA" w:rsidRDefault="003743CA" w:rsidP="00EF714E">
      <w:pPr>
        <w:spacing w:line="240" w:lineRule="auto"/>
      </w:pPr>
      <w:r>
        <w:separator/>
      </w:r>
    </w:p>
  </w:footnote>
  <w:footnote w:type="continuationSeparator" w:id="0">
    <w:p w:rsidR="003743CA" w:rsidRDefault="003743CA" w:rsidP="00EF71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48AB"/>
    <w:multiLevelType w:val="multilevel"/>
    <w:tmpl w:val="1BE69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79BA2F06"/>
    <w:multiLevelType w:val="hybridMultilevel"/>
    <w:tmpl w:val="83642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B2"/>
    <w:rsid w:val="0000729D"/>
    <w:rsid w:val="00020B1B"/>
    <w:rsid w:val="00024711"/>
    <w:rsid w:val="000268AE"/>
    <w:rsid w:val="00031B78"/>
    <w:rsid w:val="00046D20"/>
    <w:rsid w:val="00051704"/>
    <w:rsid w:val="000A27D3"/>
    <w:rsid w:val="000A43AA"/>
    <w:rsid w:val="000B4560"/>
    <w:rsid w:val="000B7965"/>
    <w:rsid w:val="000C3692"/>
    <w:rsid w:val="000C4E3A"/>
    <w:rsid w:val="000D677C"/>
    <w:rsid w:val="000F0361"/>
    <w:rsid w:val="000F1E46"/>
    <w:rsid w:val="000F63F9"/>
    <w:rsid w:val="001045F0"/>
    <w:rsid w:val="0012439E"/>
    <w:rsid w:val="0013210D"/>
    <w:rsid w:val="00144171"/>
    <w:rsid w:val="00167AD8"/>
    <w:rsid w:val="00177DCB"/>
    <w:rsid w:val="001B1240"/>
    <w:rsid w:val="001C1341"/>
    <w:rsid w:val="001D2FDA"/>
    <w:rsid w:val="001D7D3E"/>
    <w:rsid w:val="001F4642"/>
    <w:rsid w:val="001F4E15"/>
    <w:rsid w:val="00210E43"/>
    <w:rsid w:val="0021180A"/>
    <w:rsid w:val="00230B22"/>
    <w:rsid w:val="00235F31"/>
    <w:rsid w:val="00236C99"/>
    <w:rsid w:val="00245E2C"/>
    <w:rsid w:val="00247D33"/>
    <w:rsid w:val="0025162F"/>
    <w:rsid w:val="00251EBD"/>
    <w:rsid w:val="00255BAE"/>
    <w:rsid w:val="002564F6"/>
    <w:rsid w:val="002866A7"/>
    <w:rsid w:val="00293371"/>
    <w:rsid w:val="0029449D"/>
    <w:rsid w:val="0029729B"/>
    <w:rsid w:val="002A13BD"/>
    <w:rsid w:val="002A3DB7"/>
    <w:rsid w:val="002A5C47"/>
    <w:rsid w:val="002B148C"/>
    <w:rsid w:val="002B431B"/>
    <w:rsid w:val="002C641F"/>
    <w:rsid w:val="002E7E72"/>
    <w:rsid w:val="002F084D"/>
    <w:rsid w:val="002F2CC0"/>
    <w:rsid w:val="002F3B4C"/>
    <w:rsid w:val="002F73D0"/>
    <w:rsid w:val="003027AC"/>
    <w:rsid w:val="003115A8"/>
    <w:rsid w:val="00316CA0"/>
    <w:rsid w:val="00327489"/>
    <w:rsid w:val="003417DC"/>
    <w:rsid w:val="00343849"/>
    <w:rsid w:val="00351069"/>
    <w:rsid w:val="0036230A"/>
    <w:rsid w:val="00365D40"/>
    <w:rsid w:val="00370351"/>
    <w:rsid w:val="003743CA"/>
    <w:rsid w:val="00375F01"/>
    <w:rsid w:val="003974AC"/>
    <w:rsid w:val="003A7E6A"/>
    <w:rsid w:val="003C13C1"/>
    <w:rsid w:val="003D163E"/>
    <w:rsid w:val="00401C1E"/>
    <w:rsid w:val="00404F7D"/>
    <w:rsid w:val="00414B1B"/>
    <w:rsid w:val="00430EDC"/>
    <w:rsid w:val="0043330B"/>
    <w:rsid w:val="00434DFA"/>
    <w:rsid w:val="00441F94"/>
    <w:rsid w:val="00443CE6"/>
    <w:rsid w:val="0046423B"/>
    <w:rsid w:val="00485ABA"/>
    <w:rsid w:val="00485B59"/>
    <w:rsid w:val="004B5A6E"/>
    <w:rsid w:val="004B77A3"/>
    <w:rsid w:val="004E0148"/>
    <w:rsid w:val="004E2328"/>
    <w:rsid w:val="004E431E"/>
    <w:rsid w:val="004F37F8"/>
    <w:rsid w:val="00506759"/>
    <w:rsid w:val="00510604"/>
    <w:rsid w:val="00512AB6"/>
    <w:rsid w:val="00522DCD"/>
    <w:rsid w:val="00523D7E"/>
    <w:rsid w:val="00525C7C"/>
    <w:rsid w:val="00533071"/>
    <w:rsid w:val="0054318F"/>
    <w:rsid w:val="0055175A"/>
    <w:rsid w:val="005625F9"/>
    <w:rsid w:val="0057154F"/>
    <w:rsid w:val="00573BFB"/>
    <w:rsid w:val="00574B8F"/>
    <w:rsid w:val="0058442C"/>
    <w:rsid w:val="00584DDE"/>
    <w:rsid w:val="00597B45"/>
    <w:rsid w:val="005A0653"/>
    <w:rsid w:val="005A5F59"/>
    <w:rsid w:val="005B7E56"/>
    <w:rsid w:val="005C76C3"/>
    <w:rsid w:val="005D654F"/>
    <w:rsid w:val="005E3A7F"/>
    <w:rsid w:val="00613ADB"/>
    <w:rsid w:val="0067013D"/>
    <w:rsid w:val="0067415A"/>
    <w:rsid w:val="006743F2"/>
    <w:rsid w:val="00681CB6"/>
    <w:rsid w:val="00685AFE"/>
    <w:rsid w:val="006A0E9E"/>
    <w:rsid w:val="006B144D"/>
    <w:rsid w:val="006D34BA"/>
    <w:rsid w:val="006F48EC"/>
    <w:rsid w:val="00704D60"/>
    <w:rsid w:val="00705EE7"/>
    <w:rsid w:val="00706ED4"/>
    <w:rsid w:val="007250C0"/>
    <w:rsid w:val="00740EDA"/>
    <w:rsid w:val="00750380"/>
    <w:rsid w:val="00772E0F"/>
    <w:rsid w:val="007A38BD"/>
    <w:rsid w:val="007A5363"/>
    <w:rsid w:val="007B3646"/>
    <w:rsid w:val="007B3EF9"/>
    <w:rsid w:val="007C0CC4"/>
    <w:rsid w:val="007C0E7E"/>
    <w:rsid w:val="007C3593"/>
    <w:rsid w:val="007C5925"/>
    <w:rsid w:val="007D050B"/>
    <w:rsid w:val="007D46C9"/>
    <w:rsid w:val="007E2179"/>
    <w:rsid w:val="007E402B"/>
    <w:rsid w:val="007F0C86"/>
    <w:rsid w:val="007F46F5"/>
    <w:rsid w:val="007F6893"/>
    <w:rsid w:val="007F6F31"/>
    <w:rsid w:val="00800062"/>
    <w:rsid w:val="00825EB4"/>
    <w:rsid w:val="008314AC"/>
    <w:rsid w:val="0083463A"/>
    <w:rsid w:val="0084477C"/>
    <w:rsid w:val="0084640A"/>
    <w:rsid w:val="00854056"/>
    <w:rsid w:val="00854FCF"/>
    <w:rsid w:val="008665F1"/>
    <w:rsid w:val="00884F96"/>
    <w:rsid w:val="008A573F"/>
    <w:rsid w:val="008B293E"/>
    <w:rsid w:val="008C1265"/>
    <w:rsid w:val="008C5EC0"/>
    <w:rsid w:val="008C781C"/>
    <w:rsid w:val="008D451C"/>
    <w:rsid w:val="008E1F76"/>
    <w:rsid w:val="008E3230"/>
    <w:rsid w:val="008E6992"/>
    <w:rsid w:val="008E7E66"/>
    <w:rsid w:val="008F0E02"/>
    <w:rsid w:val="0090474C"/>
    <w:rsid w:val="00911493"/>
    <w:rsid w:val="0091405B"/>
    <w:rsid w:val="00923507"/>
    <w:rsid w:val="00926AF7"/>
    <w:rsid w:val="00927197"/>
    <w:rsid w:val="00931294"/>
    <w:rsid w:val="00932A6D"/>
    <w:rsid w:val="00935767"/>
    <w:rsid w:val="00945D0F"/>
    <w:rsid w:val="00952D1F"/>
    <w:rsid w:val="009603DF"/>
    <w:rsid w:val="00962A8F"/>
    <w:rsid w:val="0096594A"/>
    <w:rsid w:val="009730AB"/>
    <w:rsid w:val="00980DE5"/>
    <w:rsid w:val="00990082"/>
    <w:rsid w:val="00991FCB"/>
    <w:rsid w:val="009965A9"/>
    <w:rsid w:val="009A0E34"/>
    <w:rsid w:val="009B54AA"/>
    <w:rsid w:val="009B64B2"/>
    <w:rsid w:val="009C44BD"/>
    <w:rsid w:val="009E0A6A"/>
    <w:rsid w:val="009E78D7"/>
    <w:rsid w:val="00A167C8"/>
    <w:rsid w:val="00A20CBE"/>
    <w:rsid w:val="00A37A98"/>
    <w:rsid w:val="00A558CF"/>
    <w:rsid w:val="00A74D02"/>
    <w:rsid w:val="00A76BE1"/>
    <w:rsid w:val="00AA07F6"/>
    <w:rsid w:val="00AB2A00"/>
    <w:rsid w:val="00AC7179"/>
    <w:rsid w:val="00AE550E"/>
    <w:rsid w:val="00AF07CB"/>
    <w:rsid w:val="00B16F80"/>
    <w:rsid w:val="00B205F7"/>
    <w:rsid w:val="00B24288"/>
    <w:rsid w:val="00B25748"/>
    <w:rsid w:val="00B363A9"/>
    <w:rsid w:val="00B430D0"/>
    <w:rsid w:val="00B43522"/>
    <w:rsid w:val="00B44237"/>
    <w:rsid w:val="00B84161"/>
    <w:rsid w:val="00B8429A"/>
    <w:rsid w:val="00B8543A"/>
    <w:rsid w:val="00B862E1"/>
    <w:rsid w:val="00B936E0"/>
    <w:rsid w:val="00BB2B71"/>
    <w:rsid w:val="00BB5B46"/>
    <w:rsid w:val="00BF2E06"/>
    <w:rsid w:val="00BF3F0C"/>
    <w:rsid w:val="00C040DE"/>
    <w:rsid w:val="00C13DF6"/>
    <w:rsid w:val="00C17865"/>
    <w:rsid w:val="00C201BE"/>
    <w:rsid w:val="00C31F40"/>
    <w:rsid w:val="00C351C9"/>
    <w:rsid w:val="00C36153"/>
    <w:rsid w:val="00C373F3"/>
    <w:rsid w:val="00C41F08"/>
    <w:rsid w:val="00C439BF"/>
    <w:rsid w:val="00C61D23"/>
    <w:rsid w:val="00C62998"/>
    <w:rsid w:val="00C62ABE"/>
    <w:rsid w:val="00C66498"/>
    <w:rsid w:val="00C73604"/>
    <w:rsid w:val="00CA23F8"/>
    <w:rsid w:val="00CC36E2"/>
    <w:rsid w:val="00CC6927"/>
    <w:rsid w:val="00CD7B9C"/>
    <w:rsid w:val="00CE26B6"/>
    <w:rsid w:val="00CE2FB8"/>
    <w:rsid w:val="00CF28F2"/>
    <w:rsid w:val="00CF517B"/>
    <w:rsid w:val="00D1044B"/>
    <w:rsid w:val="00D1319E"/>
    <w:rsid w:val="00D1694E"/>
    <w:rsid w:val="00D2469B"/>
    <w:rsid w:val="00D321FC"/>
    <w:rsid w:val="00D32ACE"/>
    <w:rsid w:val="00D3428E"/>
    <w:rsid w:val="00D42E3E"/>
    <w:rsid w:val="00D437C4"/>
    <w:rsid w:val="00D45323"/>
    <w:rsid w:val="00D46F12"/>
    <w:rsid w:val="00D47947"/>
    <w:rsid w:val="00D51715"/>
    <w:rsid w:val="00D5582A"/>
    <w:rsid w:val="00D7585A"/>
    <w:rsid w:val="00D820C4"/>
    <w:rsid w:val="00DA6596"/>
    <w:rsid w:val="00DC6A10"/>
    <w:rsid w:val="00DD5BA8"/>
    <w:rsid w:val="00DF3735"/>
    <w:rsid w:val="00E0167E"/>
    <w:rsid w:val="00E041A3"/>
    <w:rsid w:val="00E24058"/>
    <w:rsid w:val="00E3308B"/>
    <w:rsid w:val="00E341E1"/>
    <w:rsid w:val="00E35B01"/>
    <w:rsid w:val="00E45933"/>
    <w:rsid w:val="00EA006E"/>
    <w:rsid w:val="00EA388D"/>
    <w:rsid w:val="00EA3F2C"/>
    <w:rsid w:val="00EB0562"/>
    <w:rsid w:val="00EB2420"/>
    <w:rsid w:val="00EB3C22"/>
    <w:rsid w:val="00EB503B"/>
    <w:rsid w:val="00EC7143"/>
    <w:rsid w:val="00ED4687"/>
    <w:rsid w:val="00ED6365"/>
    <w:rsid w:val="00EE42AB"/>
    <w:rsid w:val="00EF714E"/>
    <w:rsid w:val="00F05D93"/>
    <w:rsid w:val="00F15BBE"/>
    <w:rsid w:val="00F20F24"/>
    <w:rsid w:val="00F3381F"/>
    <w:rsid w:val="00F35185"/>
    <w:rsid w:val="00F430AD"/>
    <w:rsid w:val="00F4380A"/>
    <w:rsid w:val="00F572C0"/>
    <w:rsid w:val="00F648B3"/>
    <w:rsid w:val="00F92CCE"/>
    <w:rsid w:val="00F94C08"/>
    <w:rsid w:val="00FA6937"/>
    <w:rsid w:val="00FD1845"/>
    <w:rsid w:val="00FE3F79"/>
    <w:rsid w:val="00FE634A"/>
    <w:rsid w:val="00FF6939"/>
    <w:rsid w:val="00FF69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character" w:styleId="Hyperlink">
    <w:name w:val="Hyperlink"/>
    <w:basedOn w:val="DefaultParagraphFont"/>
    <w:uiPriority w:val="99"/>
    <w:unhideWhenUsed/>
    <w:rsid w:val="00F92CCE"/>
    <w:rPr>
      <w:color w:val="0000FF" w:themeColor="hyperlink"/>
      <w:u w:val="single"/>
    </w:rPr>
  </w:style>
  <w:style w:type="character" w:customStyle="1" w:styleId="highlight2">
    <w:name w:val="highlight2"/>
    <w:basedOn w:val="DefaultParagraphFont"/>
    <w:rsid w:val="00CD7B9C"/>
  </w:style>
  <w:style w:type="paragraph" w:customStyle="1" w:styleId="title1">
    <w:name w:val="title1"/>
    <w:basedOn w:val="Normal"/>
    <w:rsid w:val="00CD7B9C"/>
    <w:pPr>
      <w:spacing w:line="240" w:lineRule="auto"/>
    </w:pPr>
    <w:rPr>
      <w:rFonts w:ascii="MS PGothic" w:eastAsia="MS PGothic" w:hAnsi="MS PGothic" w:cs="MS PGothic"/>
      <w:sz w:val="27"/>
      <w:szCs w:val="27"/>
      <w:lang w:val="en-US" w:eastAsia="ja-JP"/>
    </w:rPr>
  </w:style>
  <w:style w:type="character" w:customStyle="1" w:styleId="jrnl">
    <w:name w:val="jrnl"/>
    <w:basedOn w:val="DefaultParagraphFont"/>
    <w:rsid w:val="00CD7B9C"/>
  </w:style>
  <w:style w:type="table" w:styleId="TableGrid">
    <w:name w:val="Table Grid"/>
    <w:basedOn w:val="TableNormal"/>
    <w:uiPriority w:val="39"/>
    <w:rsid w:val="00CD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77C"/>
    <w:pPr>
      <w:spacing w:after="160" w:line="259" w:lineRule="auto"/>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B8429A"/>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EF714E"/>
    <w:pPr>
      <w:tabs>
        <w:tab w:val="center" w:pos="4680"/>
        <w:tab w:val="right" w:pos="9360"/>
      </w:tabs>
      <w:spacing w:line="240" w:lineRule="auto"/>
    </w:pPr>
  </w:style>
  <w:style w:type="character" w:customStyle="1" w:styleId="HeaderChar">
    <w:name w:val="Header Char"/>
    <w:basedOn w:val="DefaultParagraphFont"/>
    <w:link w:val="Header"/>
    <w:uiPriority w:val="99"/>
    <w:rsid w:val="00EF714E"/>
    <w:rPr>
      <w:rFonts w:ascii="Arial" w:hAnsi="Arial" w:cs="Arial"/>
    </w:rPr>
  </w:style>
  <w:style w:type="paragraph" w:styleId="Footer">
    <w:name w:val="footer"/>
    <w:basedOn w:val="Normal"/>
    <w:link w:val="FooterChar"/>
    <w:uiPriority w:val="99"/>
    <w:unhideWhenUsed/>
    <w:rsid w:val="00EF714E"/>
    <w:pPr>
      <w:tabs>
        <w:tab w:val="center" w:pos="4680"/>
        <w:tab w:val="right" w:pos="9360"/>
      </w:tabs>
      <w:spacing w:line="240" w:lineRule="auto"/>
    </w:pPr>
  </w:style>
  <w:style w:type="character" w:customStyle="1" w:styleId="FooterChar">
    <w:name w:val="Footer Char"/>
    <w:basedOn w:val="DefaultParagraphFont"/>
    <w:link w:val="Footer"/>
    <w:uiPriority w:val="99"/>
    <w:rsid w:val="00EF714E"/>
    <w:rPr>
      <w:rFonts w:ascii="Arial" w:hAnsi="Arial" w:cs="Arial"/>
    </w:rPr>
  </w:style>
  <w:style w:type="character" w:styleId="LineNumber">
    <w:name w:val="line number"/>
    <w:basedOn w:val="DefaultParagraphFont"/>
    <w:uiPriority w:val="99"/>
    <w:semiHidden/>
    <w:unhideWhenUsed/>
    <w:rsid w:val="008C5EC0"/>
  </w:style>
  <w:style w:type="paragraph" w:styleId="BalloonText">
    <w:name w:val="Balloon Text"/>
    <w:basedOn w:val="Normal"/>
    <w:link w:val="BalloonTextChar"/>
    <w:uiPriority w:val="99"/>
    <w:semiHidden/>
    <w:unhideWhenUsed/>
    <w:rsid w:val="00247D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33"/>
    <w:rPr>
      <w:rFonts w:ascii="Tahoma" w:hAnsi="Tahoma" w:cs="Tahoma"/>
      <w:sz w:val="16"/>
      <w:szCs w:val="16"/>
    </w:rPr>
  </w:style>
  <w:style w:type="character" w:styleId="CommentReference">
    <w:name w:val="annotation reference"/>
    <w:basedOn w:val="DefaultParagraphFont"/>
    <w:uiPriority w:val="99"/>
    <w:semiHidden/>
    <w:unhideWhenUsed/>
    <w:rsid w:val="008A573F"/>
    <w:rPr>
      <w:sz w:val="16"/>
      <w:szCs w:val="16"/>
    </w:rPr>
  </w:style>
  <w:style w:type="paragraph" w:styleId="CommentText">
    <w:name w:val="annotation text"/>
    <w:basedOn w:val="Normal"/>
    <w:link w:val="CommentTextChar"/>
    <w:uiPriority w:val="99"/>
    <w:semiHidden/>
    <w:unhideWhenUsed/>
    <w:rsid w:val="008A573F"/>
    <w:pPr>
      <w:spacing w:line="240" w:lineRule="auto"/>
    </w:pPr>
    <w:rPr>
      <w:sz w:val="20"/>
      <w:szCs w:val="20"/>
    </w:rPr>
  </w:style>
  <w:style w:type="character" w:customStyle="1" w:styleId="CommentTextChar">
    <w:name w:val="Comment Text Char"/>
    <w:basedOn w:val="DefaultParagraphFont"/>
    <w:link w:val="CommentText"/>
    <w:uiPriority w:val="99"/>
    <w:semiHidden/>
    <w:rsid w:val="008A573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573F"/>
    <w:rPr>
      <w:b/>
      <w:bCs/>
    </w:rPr>
  </w:style>
  <w:style w:type="character" w:customStyle="1" w:styleId="CommentSubjectChar">
    <w:name w:val="Comment Subject Char"/>
    <w:basedOn w:val="CommentTextChar"/>
    <w:link w:val="CommentSubject"/>
    <w:uiPriority w:val="99"/>
    <w:semiHidden/>
    <w:rsid w:val="008A573F"/>
    <w:rPr>
      <w:rFonts w:ascii="Arial" w:hAnsi="Arial" w:cs="Arial"/>
      <w:b/>
      <w:bCs/>
      <w:sz w:val="20"/>
      <w:szCs w:val="20"/>
    </w:rPr>
  </w:style>
  <w:style w:type="table" w:customStyle="1" w:styleId="TableGrid1">
    <w:name w:val="Table Grid1"/>
    <w:basedOn w:val="TableNormal"/>
    <w:next w:val="TableGrid"/>
    <w:uiPriority w:val="39"/>
    <w:rsid w:val="004E2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2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2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autoRedefine/>
    <w:uiPriority w:val="9"/>
    <w:unhideWhenUsed/>
    <w:qFormat/>
    <w:rsid w:val="008C1265"/>
    <w:pPr>
      <w:keepNext/>
      <w:keepLines/>
      <w:spacing w:before="200"/>
      <w:jc w:val="both"/>
      <w:outlineLvl w:val="1"/>
    </w:pPr>
    <w:rPr>
      <w:rFonts w:eastAsiaTheme="majorEastAsia" w:cstheme="majorBidi"/>
      <w:bCs/>
      <w:i/>
      <w:szCs w:val="26"/>
    </w:rPr>
  </w:style>
  <w:style w:type="paragraph" w:styleId="Heading3">
    <w:name w:val="heading 3"/>
    <w:basedOn w:val="Normal"/>
    <w:next w:val="Normal"/>
    <w:link w:val="Heading3Char"/>
    <w:uiPriority w:val="9"/>
    <w:unhideWhenUsed/>
    <w:qFormat/>
    <w:rsid w:val="008C1265"/>
    <w:pPr>
      <w:keepNext/>
      <w:keepLines/>
      <w:spacing w:before="20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584DDE"/>
    <w:pPr>
      <w:keepNext/>
      <w:keepLines/>
      <w:spacing w:before="20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8C1265"/>
    <w:rPr>
      <w:rFonts w:ascii="Arial" w:eastAsiaTheme="majorEastAsia" w:hAnsi="Arial" w:cstheme="majorBidi"/>
      <w:bCs/>
      <w:i/>
      <w:szCs w:val="26"/>
    </w:rPr>
  </w:style>
  <w:style w:type="paragraph" w:styleId="NoSpacing">
    <w:name w:val="No Spacing"/>
    <w:uiPriority w:val="1"/>
    <w:qFormat/>
    <w:rsid w:val="00404F7D"/>
    <w:pPr>
      <w:spacing w:after="0"/>
    </w:pPr>
    <w:rPr>
      <w:rFonts w:ascii="Arial" w:hAnsi="Arial" w:cs="Arial"/>
      <w:i/>
    </w:rPr>
  </w:style>
  <w:style w:type="character" w:customStyle="1" w:styleId="Heading3Char">
    <w:name w:val="Heading 3 Char"/>
    <w:basedOn w:val="DefaultParagraphFont"/>
    <w:link w:val="Heading3"/>
    <w:uiPriority w:val="9"/>
    <w:rsid w:val="008C1265"/>
    <w:rPr>
      <w:rFonts w:ascii="Arial" w:eastAsiaTheme="majorEastAsia" w:hAnsi="Arial" w:cstheme="majorBidi"/>
      <w:b/>
      <w:bCs/>
      <w:i/>
    </w:rPr>
  </w:style>
  <w:style w:type="character" w:customStyle="1" w:styleId="Heading4Char">
    <w:name w:val="Heading 4 Char"/>
    <w:basedOn w:val="DefaultParagraphFont"/>
    <w:link w:val="Heading4"/>
    <w:uiPriority w:val="9"/>
    <w:rsid w:val="00584DDE"/>
    <w:rPr>
      <w:rFonts w:ascii="Arial Narrow" w:eastAsiaTheme="majorEastAsia" w:hAnsi="Arial Narrow" w:cstheme="majorBidi"/>
      <w:b/>
      <w:bCs/>
      <w:iCs/>
      <w:sz w:val="24"/>
    </w:rPr>
  </w:style>
  <w:style w:type="character" w:styleId="Hyperlink">
    <w:name w:val="Hyperlink"/>
    <w:basedOn w:val="DefaultParagraphFont"/>
    <w:uiPriority w:val="99"/>
    <w:unhideWhenUsed/>
    <w:rsid w:val="00F92CCE"/>
    <w:rPr>
      <w:color w:val="0000FF" w:themeColor="hyperlink"/>
      <w:u w:val="single"/>
    </w:rPr>
  </w:style>
  <w:style w:type="character" w:customStyle="1" w:styleId="highlight2">
    <w:name w:val="highlight2"/>
    <w:basedOn w:val="DefaultParagraphFont"/>
    <w:rsid w:val="00CD7B9C"/>
  </w:style>
  <w:style w:type="paragraph" w:customStyle="1" w:styleId="title1">
    <w:name w:val="title1"/>
    <w:basedOn w:val="Normal"/>
    <w:rsid w:val="00CD7B9C"/>
    <w:pPr>
      <w:spacing w:line="240" w:lineRule="auto"/>
    </w:pPr>
    <w:rPr>
      <w:rFonts w:ascii="MS PGothic" w:eastAsia="MS PGothic" w:hAnsi="MS PGothic" w:cs="MS PGothic"/>
      <w:sz w:val="27"/>
      <w:szCs w:val="27"/>
      <w:lang w:val="en-US" w:eastAsia="ja-JP"/>
    </w:rPr>
  </w:style>
  <w:style w:type="character" w:customStyle="1" w:styleId="jrnl">
    <w:name w:val="jrnl"/>
    <w:basedOn w:val="DefaultParagraphFont"/>
    <w:rsid w:val="00CD7B9C"/>
  </w:style>
  <w:style w:type="table" w:styleId="TableGrid">
    <w:name w:val="Table Grid"/>
    <w:basedOn w:val="TableNormal"/>
    <w:uiPriority w:val="39"/>
    <w:rsid w:val="00CD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77C"/>
    <w:pPr>
      <w:spacing w:after="160" w:line="259" w:lineRule="auto"/>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B8429A"/>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EF714E"/>
    <w:pPr>
      <w:tabs>
        <w:tab w:val="center" w:pos="4680"/>
        <w:tab w:val="right" w:pos="9360"/>
      </w:tabs>
      <w:spacing w:line="240" w:lineRule="auto"/>
    </w:pPr>
  </w:style>
  <w:style w:type="character" w:customStyle="1" w:styleId="HeaderChar">
    <w:name w:val="Header Char"/>
    <w:basedOn w:val="DefaultParagraphFont"/>
    <w:link w:val="Header"/>
    <w:uiPriority w:val="99"/>
    <w:rsid w:val="00EF714E"/>
    <w:rPr>
      <w:rFonts w:ascii="Arial" w:hAnsi="Arial" w:cs="Arial"/>
    </w:rPr>
  </w:style>
  <w:style w:type="paragraph" w:styleId="Footer">
    <w:name w:val="footer"/>
    <w:basedOn w:val="Normal"/>
    <w:link w:val="FooterChar"/>
    <w:uiPriority w:val="99"/>
    <w:unhideWhenUsed/>
    <w:rsid w:val="00EF714E"/>
    <w:pPr>
      <w:tabs>
        <w:tab w:val="center" w:pos="4680"/>
        <w:tab w:val="right" w:pos="9360"/>
      </w:tabs>
      <w:spacing w:line="240" w:lineRule="auto"/>
    </w:pPr>
  </w:style>
  <w:style w:type="character" w:customStyle="1" w:styleId="FooterChar">
    <w:name w:val="Footer Char"/>
    <w:basedOn w:val="DefaultParagraphFont"/>
    <w:link w:val="Footer"/>
    <w:uiPriority w:val="99"/>
    <w:rsid w:val="00EF714E"/>
    <w:rPr>
      <w:rFonts w:ascii="Arial" w:hAnsi="Arial" w:cs="Arial"/>
    </w:rPr>
  </w:style>
  <w:style w:type="character" w:styleId="LineNumber">
    <w:name w:val="line number"/>
    <w:basedOn w:val="DefaultParagraphFont"/>
    <w:uiPriority w:val="99"/>
    <w:semiHidden/>
    <w:unhideWhenUsed/>
    <w:rsid w:val="008C5EC0"/>
  </w:style>
  <w:style w:type="paragraph" w:styleId="BalloonText">
    <w:name w:val="Balloon Text"/>
    <w:basedOn w:val="Normal"/>
    <w:link w:val="BalloonTextChar"/>
    <w:uiPriority w:val="99"/>
    <w:semiHidden/>
    <w:unhideWhenUsed/>
    <w:rsid w:val="00247D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33"/>
    <w:rPr>
      <w:rFonts w:ascii="Tahoma" w:hAnsi="Tahoma" w:cs="Tahoma"/>
      <w:sz w:val="16"/>
      <w:szCs w:val="16"/>
    </w:rPr>
  </w:style>
  <w:style w:type="character" w:styleId="CommentReference">
    <w:name w:val="annotation reference"/>
    <w:basedOn w:val="DefaultParagraphFont"/>
    <w:uiPriority w:val="99"/>
    <w:semiHidden/>
    <w:unhideWhenUsed/>
    <w:rsid w:val="008A573F"/>
    <w:rPr>
      <w:sz w:val="16"/>
      <w:szCs w:val="16"/>
    </w:rPr>
  </w:style>
  <w:style w:type="paragraph" w:styleId="CommentText">
    <w:name w:val="annotation text"/>
    <w:basedOn w:val="Normal"/>
    <w:link w:val="CommentTextChar"/>
    <w:uiPriority w:val="99"/>
    <w:semiHidden/>
    <w:unhideWhenUsed/>
    <w:rsid w:val="008A573F"/>
    <w:pPr>
      <w:spacing w:line="240" w:lineRule="auto"/>
    </w:pPr>
    <w:rPr>
      <w:sz w:val="20"/>
      <w:szCs w:val="20"/>
    </w:rPr>
  </w:style>
  <w:style w:type="character" w:customStyle="1" w:styleId="CommentTextChar">
    <w:name w:val="Comment Text Char"/>
    <w:basedOn w:val="DefaultParagraphFont"/>
    <w:link w:val="CommentText"/>
    <w:uiPriority w:val="99"/>
    <w:semiHidden/>
    <w:rsid w:val="008A573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573F"/>
    <w:rPr>
      <w:b/>
      <w:bCs/>
    </w:rPr>
  </w:style>
  <w:style w:type="character" w:customStyle="1" w:styleId="CommentSubjectChar">
    <w:name w:val="Comment Subject Char"/>
    <w:basedOn w:val="CommentTextChar"/>
    <w:link w:val="CommentSubject"/>
    <w:uiPriority w:val="99"/>
    <w:semiHidden/>
    <w:rsid w:val="008A573F"/>
    <w:rPr>
      <w:rFonts w:ascii="Arial" w:hAnsi="Arial" w:cs="Arial"/>
      <w:b/>
      <w:bCs/>
      <w:sz w:val="20"/>
      <w:szCs w:val="20"/>
    </w:rPr>
  </w:style>
  <w:style w:type="table" w:customStyle="1" w:styleId="TableGrid1">
    <w:name w:val="Table Grid1"/>
    <w:basedOn w:val="TableNormal"/>
    <w:next w:val="TableGrid"/>
    <w:uiPriority w:val="39"/>
    <w:rsid w:val="004E2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2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2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25">
      <w:bodyDiv w:val="1"/>
      <w:marLeft w:val="0"/>
      <w:marRight w:val="0"/>
      <w:marTop w:val="0"/>
      <w:marBottom w:val="0"/>
      <w:divBdr>
        <w:top w:val="none" w:sz="0" w:space="0" w:color="auto"/>
        <w:left w:val="none" w:sz="0" w:space="0" w:color="auto"/>
        <w:bottom w:val="none" w:sz="0" w:space="0" w:color="auto"/>
        <w:right w:val="none" w:sz="0" w:space="0" w:color="auto"/>
      </w:divBdr>
    </w:div>
    <w:div w:id="11078489">
      <w:bodyDiv w:val="1"/>
      <w:marLeft w:val="0"/>
      <w:marRight w:val="0"/>
      <w:marTop w:val="0"/>
      <w:marBottom w:val="0"/>
      <w:divBdr>
        <w:top w:val="none" w:sz="0" w:space="0" w:color="auto"/>
        <w:left w:val="none" w:sz="0" w:space="0" w:color="auto"/>
        <w:bottom w:val="none" w:sz="0" w:space="0" w:color="auto"/>
        <w:right w:val="none" w:sz="0" w:space="0" w:color="auto"/>
      </w:divBdr>
    </w:div>
    <w:div w:id="280110770">
      <w:bodyDiv w:val="1"/>
      <w:marLeft w:val="0"/>
      <w:marRight w:val="0"/>
      <w:marTop w:val="0"/>
      <w:marBottom w:val="0"/>
      <w:divBdr>
        <w:top w:val="none" w:sz="0" w:space="0" w:color="auto"/>
        <w:left w:val="none" w:sz="0" w:space="0" w:color="auto"/>
        <w:bottom w:val="none" w:sz="0" w:space="0" w:color="auto"/>
        <w:right w:val="none" w:sz="0" w:space="0" w:color="auto"/>
      </w:divBdr>
    </w:div>
    <w:div w:id="293103295">
      <w:bodyDiv w:val="1"/>
      <w:marLeft w:val="0"/>
      <w:marRight w:val="0"/>
      <w:marTop w:val="0"/>
      <w:marBottom w:val="0"/>
      <w:divBdr>
        <w:top w:val="none" w:sz="0" w:space="0" w:color="auto"/>
        <w:left w:val="none" w:sz="0" w:space="0" w:color="auto"/>
        <w:bottom w:val="none" w:sz="0" w:space="0" w:color="auto"/>
        <w:right w:val="none" w:sz="0" w:space="0" w:color="auto"/>
      </w:divBdr>
    </w:div>
    <w:div w:id="352417665">
      <w:bodyDiv w:val="1"/>
      <w:marLeft w:val="0"/>
      <w:marRight w:val="0"/>
      <w:marTop w:val="0"/>
      <w:marBottom w:val="0"/>
      <w:divBdr>
        <w:top w:val="none" w:sz="0" w:space="0" w:color="auto"/>
        <w:left w:val="none" w:sz="0" w:space="0" w:color="auto"/>
        <w:bottom w:val="none" w:sz="0" w:space="0" w:color="auto"/>
        <w:right w:val="none" w:sz="0" w:space="0" w:color="auto"/>
      </w:divBdr>
    </w:div>
    <w:div w:id="361520241">
      <w:bodyDiv w:val="1"/>
      <w:marLeft w:val="0"/>
      <w:marRight w:val="0"/>
      <w:marTop w:val="0"/>
      <w:marBottom w:val="0"/>
      <w:divBdr>
        <w:top w:val="none" w:sz="0" w:space="0" w:color="auto"/>
        <w:left w:val="none" w:sz="0" w:space="0" w:color="auto"/>
        <w:bottom w:val="none" w:sz="0" w:space="0" w:color="auto"/>
        <w:right w:val="none" w:sz="0" w:space="0" w:color="auto"/>
      </w:divBdr>
    </w:div>
    <w:div w:id="400717282">
      <w:bodyDiv w:val="1"/>
      <w:marLeft w:val="0"/>
      <w:marRight w:val="0"/>
      <w:marTop w:val="0"/>
      <w:marBottom w:val="0"/>
      <w:divBdr>
        <w:top w:val="none" w:sz="0" w:space="0" w:color="auto"/>
        <w:left w:val="none" w:sz="0" w:space="0" w:color="auto"/>
        <w:bottom w:val="none" w:sz="0" w:space="0" w:color="auto"/>
        <w:right w:val="none" w:sz="0" w:space="0" w:color="auto"/>
      </w:divBdr>
    </w:div>
    <w:div w:id="483669458">
      <w:bodyDiv w:val="1"/>
      <w:marLeft w:val="0"/>
      <w:marRight w:val="0"/>
      <w:marTop w:val="0"/>
      <w:marBottom w:val="0"/>
      <w:divBdr>
        <w:top w:val="none" w:sz="0" w:space="0" w:color="auto"/>
        <w:left w:val="none" w:sz="0" w:space="0" w:color="auto"/>
        <w:bottom w:val="none" w:sz="0" w:space="0" w:color="auto"/>
        <w:right w:val="none" w:sz="0" w:space="0" w:color="auto"/>
      </w:divBdr>
    </w:div>
    <w:div w:id="520164273">
      <w:bodyDiv w:val="1"/>
      <w:marLeft w:val="0"/>
      <w:marRight w:val="0"/>
      <w:marTop w:val="0"/>
      <w:marBottom w:val="0"/>
      <w:divBdr>
        <w:top w:val="none" w:sz="0" w:space="0" w:color="auto"/>
        <w:left w:val="none" w:sz="0" w:space="0" w:color="auto"/>
        <w:bottom w:val="none" w:sz="0" w:space="0" w:color="auto"/>
        <w:right w:val="none" w:sz="0" w:space="0" w:color="auto"/>
      </w:divBdr>
    </w:div>
    <w:div w:id="589000423">
      <w:bodyDiv w:val="1"/>
      <w:marLeft w:val="0"/>
      <w:marRight w:val="0"/>
      <w:marTop w:val="0"/>
      <w:marBottom w:val="0"/>
      <w:divBdr>
        <w:top w:val="none" w:sz="0" w:space="0" w:color="auto"/>
        <w:left w:val="none" w:sz="0" w:space="0" w:color="auto"/>
        <w:bottom w:val="none" w:sz="0" w:space="0" w:color="auto"/>
        <w:right w:val="none" w:sz="0" w:space="0" w:color="auto"/>
      </w:divBdr>
    </w:div>
    <w:div w:id="649284102">
      <w:bodyDiv w:val="1"/>
      <w:marLeft w:val="0"/>
      <w:marRight w:val="0"/>
      <w:marTop w:val="0"/>
      <w:marBottom w:val="0"/>
      <w:divBdr>
        <w:top w:val="none" w:sz="0" w:space="0" w:color="auto"/>
        <w:left w:val="none" w:sz="0" w:space="0" w:color="auto"/>
        <w:bottom w:val="none" w:sz="0" w:space="0" w:color="auto"/>
        <w:right w:val="none" w:sz="0" w:space="0" w:color="auto"/>
      </w:divBdr>
    </w:div>
    <w:div w:id="817379018">
      <w:bodyDiv w:val="1"/>
      <w:marLeft w:val="0"/>
      <w:marRight w:val="0"/>
      <w:marTop w:val="0"/>
      <w:marBottom w:val="0"/>
      <w:divBdr>
        <w:top w:val="none" w:sz="0" w:space="0" w:color="auto"/>
        <w:left w:val="none" w:sz="0" w:space="0" w:color="auto"/>
        <w:bottom w:val="none" w:sz="0" w:space="0" w:color="auto"/>
        <w:right w:val="none" w:sz="0" w:space="0" w:color="auto"/>
      </w:divBdr>
    </w:div>
    <w:div w:id="949706761">
      <w:bodyDiv w:val="1"/>
      <w:marLeft w:val="0"/>
      <w:marRight w:val="0"/>
      <w:marTop w:val="0"/>
      <w:marBottom w:val="0"/>
      <w:divBdr>
        <w:top w:val="none" w:sz="0" w:space="0" w:color="auto"/>
        <w:left w:val="none" w:sz="0" w:space="0" w:color="auto"/>
        <w:bottom w:val="none" w:sz="0" w:space="0" w:color="auto"/>
        <w:right w:val="none" w:sz="0" w:space="0" w:color="auto"/>
      </w:divBdr>
    </w:div>
    <w:div w:id="1264220547">
      <w:bodyDiv w:val="1"/>
      <w:marLeft w:val="0"/>
      <w:marRight w:val="0"/>
      <w:marTop w:val="0"/>
      <w:marBottom w:val="0"/>
      <w:divBdr>
        <w:top w:val="none" w:sz="0" w:space="0" w:color="auto"/>
        <w:left w:val="none" w:sz="0" w:space="0" w:color="auto"/>
        <w:bottom w:val="none" w:sz="0" w:space="0" w:color="auto"/>
        <w:right w:val="none" w:sz="0" w:space="0" w:color="auto"/>
      </w:divBdr>
    </w:div>
    <w:div w:id="1278872939">
      <w:bodyDiv w:val="1"/>
      <w:marLeft w:val="0"/>
      <w:marRight w:val="0"/>
      <w:marTop w:val="0"/>
      <w:marBottom w:val="0"/>
      <w:divBdr>
        <w:top w:val="none" w:sz="0" w:space="0" w:color="auto"/>
        <w:left w:val="none" w:sz="0" w:space="0" w:color="auto"/>
        <w:bottom w:val="none" w:sz="0" w:space="0" w:color="auto"/>
        <w:right w:val="none" w:sz="0" w:space="0" w:color="auto"/>
      </w:divBdr>
    </w:div>
    <w:div w:id="1281913060">
      <w:bodyDiv w:val="1"/>
      <w:marLeft w:val="0"/>
      <w:marRight w:val="0"/>
      <w:marTop w:val="0"/>
      <w:marBottom w:val="0"/>
      <w:divBdr>
        <w:top w:val="none" w:sz="0" w:space="0" w:color="auto"/>
        <w:left w:val="none" w:sz="0" w:space="0" w:color="auto"/>
        <w:bottom w:val="none" w:sz="0" w:space="0" w:color="auto"/>
        <w:right w:val="none" w:sz="0" w:space="0" w:color="auto"/>
      </w:divBdr>
    </w:div>
    <w:div w:id="1352485991">
      <w:bodyDiv w:val="1"/>
      <w:marLeft w:val="0"/>
      <w:marRight w:val="0"/>
      <w:marTop w:val="0"/>
      <w:marBottom w:val="0"/>
      <w:divBdr>
        <w:top w:val="none" w:sz="0" w:space="0" w:color="auto"/>
        <w:left w:val="none" w:sz="0" w:space="0" w:color="auto"/>
        <w:bottom w:val="none" w:sz="0" w:space="0" w:color="auto"/>
        <w:right w:val="none" w:sz="0" w:space="0" w:color="auto"/>
      </w:divBdr>
    </w:div>
    <w:div w:id="1952278210">
      <w:bodyDiv w:val="1"/>
      <w:marLeft w:val="0"/>
      <w:marRight w:val="0"/>
      <w:marTop w:val="0"/>
      <w:marBottom w:val="0"/>
      <w:divBdr>
        <w:top w:val="none" w:sz="0" w:space="0" w:color="auto"/>
        <w:left w:val="none" w:sz="0" w:space="0" w:color="auto"/>
        <w:bottom w:val="none" w:sz="0" w:space="0" w:color="auto"/>
        <w:right w:val="none" w:sz="0" w:space="0" w:color="auto"/>
      </w:divBdr>
    </w:div>
    <w:div w:id="20491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Teo%20KK%5BAuthor%5D&amp;cauthor=true&amp;cauthor_uid=16920470" TargetMode="External"/><Relationship Id="rId18" Type="http://schemas.openxmlformats.org/officeDocument/2006/relationships/hyperlink" Target="http://www.ncbi.nlm.nih.gov/pubmed?term=Thun%20MJ%5BAuthor%5D&amp;cauthor=true&amp;cauthor_uid=10592142" TargetMode="External"/><Relationship Id="rId26" Type="http://schemas.openxmlformats.org/officeDocument/2006/relationships/hyperlink" Target="http://www.ncbi.nlm.nih.gov/pubmed/?term=Yamamoto%20SS%5BAuthor%5D&amp;cauthor=true&amp;cauthor_uid=24064368" TargetMode="External"/><Relationship Id="rId39" Type="http://schemas.openxmlformats.org/officeDocument/2006/relationships/hyperlink" Target="http://www.ncbi.nlm.nih.gov/pubmed/?term=Ulus%20OS%5BAuthor%5D&amp;cauthor=true&amp;cauthor_uid=21788202" TargetMode="External"/><Relationship Id="rId21" Type="http://schemas.openxmlformats.org/officeDocument/2006/relationships/hyperlink" Target="http://www.ncbi.nlm.nih.gov/pubmed?term=Cohen%20A%5BAuthor%5D&amp;cauthor=true&amp;cauthor_uid=15671704" TargetMode="External"/><Relationship Id="rId34" Type="http://schemas.openxmlformats.org/officeDocument/2006/relationships/hyperlink" Target="http://www.ncbi.nlm.nih.gov/pubmed/?term=Chimney+stove+intervention+to+reduce+long-term+wood+smoke+exposure+lowers+blood+pressure+among+Guatemalan+women" TargetMode="External"/><Relationship Id="rId42" Type="http://schemas.openxmlformats.org/officeDocument/2006/relationships/hyperlink" Target="http://www.ncbi.nlm.nih.gov/pubmed/?term=McCracken%20J%5BAuthor%5D&amp;cauthor=true&amp;cauthor_uid=21669557" TargetMode="External"/><Relationship Id="rId47" Type="http://schemas.openxmlformats.org/officeDocument/2006/relationships/hyperlink" Target="http://www.ncbi.nlm.nih.gov/pubmed/?term=Lee%20MS%5BAuthor%5D&amp;cauthor=true&amp;cauthor_uid=22455369" TargetMode="External"/><Relationship Id="rId50" Type="http://schemas.openxmlformats.org/officeDocument/2006/relationships/hyperlink" Target="http://www.ncbi.nlm.nih.gov/pubmed/?term=In-home+solid+fuel+use+and+cardiovascular+disease%3A+a+cross-sectional+analysis+of+the+Shanghai+Putuo" TargetMode="External"/><Relationship Id="rId55" Type="http://schemas.openxmlformats.org/officeDocument/2006/relationships/hyperlink" Target="http://www.ncbi.nlm.nih.gov/pubmed/?term=Fatmi%20Z%5BAuthor%5D&amp;cauthor=true&amp;cauthor_uid=24342134" TargetMode="External"/><Relationship Id="rId7" Type="http://schemas.openxmlformats.org/officeDocument/2006/relationships/footnotes" Target="footnotes.xml"/><Relationship Id="rId12" Type="http://schemas.openxmlformats.org/officeDocument/2006/relationships/hyperlink" Target="http://www.ncbi.nlm.nih.gov/pubmed/23674502" TargetMode="External"/><Relationship Id="rId17" Type="http://schemas.openxmlformats.org/officeDocument/2006/relationships/hyperlink" Target="http://www.ncbi.nlm.nih.gov/pubmed?term=Howard%20G%5BAuthor%5D&amp;cauthor=true&amp;cauthor_uid=10592142" TargetMode="External"/><Relationship Id="rId25" Type="http://schemas.openxmlformats.org/officeDocument/2006/relationships/hyperlink" Target="http://www.ncbi.nlm.nih.gov/pubmed/18639310" TargetMode="External"/><Relationship Id="rId33" Type="http://schemas.openxmlformats.org/officeDocument/2006/relationships/hyperlink" Target="http://www.ncbi.nlm.nih.gov/pubmed/?term=Smith%20KR%5BAuthor%5D&amp;cauthor=true&amp;cauthor_uid=17637912" TargetMode="External"/><Relationship Id="rId38" Type="http://schemas.openxmlformats.org/officeDocument/2006/relationships/hyperlink" Target="http://www.ncbi.nlm.nih.gov/pubmed/?term=Buturak%20A%5BAuthor%5D&amp;cauthor=true&amp;cauthor_uid=21788202" TargetMode="External"/><Relationship Id="rId46" Type="http://schemas.openxmlformats.org/officeDocument/2006/relationships/hyperlink" Target="http://www.ncbi.nlm.nih.gov/pubmed/?term=Schauer%20JJ%5BAuthor%5D&amp;cauthor=true&amp;cauthor_uid=22659548"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16920470" TargetMode="External"/><Relationship Id="rId20" Type="http://schemas.openxmlformats.org/officeDocument/2006/relationships/hyperlink" Target="http://www.ncbi.nlm.nih.gov/pubmed?term=Kaur%20S%5BAuthor%5D&amp;cauthor=true&amp;cauthor_uid=15671704" TargetMode="External"/><Relationship Id="rId29" Type="http://schemas.openxmlformats.org/officeDocument/2006/relationships/hyperlink" Target="http://www.ncbi.nlm.nih.gov/pubmed/?term=Ray%20MR%5BAuthor%5D&amp;cauthor=true&amp;cauthor_uid=17211980" TargetMode="External"/><Relationship Id="rId41" Type="http://schemas.openxmlformats.org/officeDocument/2006/relationships/hyperlink" Target="http://www.ncbi.nlm.nih.gov/pubmed/?term=Reynolds%20SJ%5BAuthor%5D&amp;cauthor=true&amp;cauthor_uid=21618943" TargetMode="External"/><Relationship Id="rId54" Type="http://schemas.openxmlformats.org/officeDocument/2006/relationships/hyperlink" Target="http://www.ncbi.nlm.nih.gov/pubmed/?term=Gilman%20RH%5BAuthor%5D&amp;cauthor=true&amp;cauthor_uid=236199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Lozano%20R%5BAuthor%5D&amp;cauthor=true&amp;cauthor_uid=23245608" TargetMode="External"/><Relationship Id="rId24" Type="http://schemas.openxmlformats.org/officeDocument/2006/relationships/hyperlink" Target="http://www.ncbi.nlm.nih.gov/pubmed/23872398" TargetMode="External"/><Relationship Id="rId32" Type="http://schemas.openxmlformats.org/officeDocument/2006/relationships/hyperlink" Target="http://www.ncbi.nlm.nih.gov/pubmed/?term=McCracken%20JP%5BAuthor%5D&amp;cauthor=true&amp;cauthor_uid=17637912" TargetMode="External"/><Relationship Id="rId37" Type="http://schemas.openxmlformats.org/officeDocument/2006/relationships/hyperlink" Target="http://www.ncbi.nlm.nih.gov/pubmed/?term=Chronic+Carbon+Monoxide+Exposure+Is+Associated+with+the+Increases+in+Carotid+Intima-Media+Thickness+and" TargetMode="External"/><Relationship Id="rId40" Type="http://schemas.openxmlformats.org/officeDocument/2006/relationships/hyperlink" Target="http://www.ncbi.nlm.nih.gov/pubmed/?term=Clark%20ML%5BAuthor%5D&amp;cauthor=true&amp;cauthor_uid=21618943" TargetMode="External"/><Relationship Id="rId45" Type="http://schemas.openxmlformats.org/officeDocument/2006/relationships/hyperlink" Target="http://www.ncbi.nlm.nih.gov/pubmed/?term=Intervention+to+lower+household+wood+smoke+exposure+in+Guatemala+reduces+st-segment+depression+on+electrocardiograms" TargetMode="External"/><Relationship Id="rId53" Type="http://schemas.openxmlformats.org/officeDocument/2006/relationships/hyperlink" Target="http://www.ncbi.nlm.nih.gov/pubmed/?term=Davila-Roman%20VG%5BAuthor%5D&amp;cauthor=true&amp;cauthor_uid=23619984"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cbi.nlm.nih.gov/pubmed?term=Hawken%20S%5BAuthor%5D&amp;cauthor=true&amp;cauthor_uid=16920470" TargetMode="External"/><Relationship Id="rId23" Type="http://schemas.openxmlformats.org/officeDocument/2006/relationships/hyperlink" Target="http://www.ncbi.nlm.nih.gov/pubmed/15671704" TargetMode="External"/><Relationship Id="rId28" Type="http://schemas.openxmlformats.org/officeDocument/2006/relationships/hyperlink" Target="http://www.ncbi.nlm.nih.gov/pubmed/?term=yamamoto+and+systematic+review+and+air" TargetMode="External"/><Relationship Id="rId36" Type="http://schemas.openxmlformats.org/officeDocument/2006/relationships/hyperlink" Target="http://www.ncbi.nlm.nih.gov/pubmed/?term=Sari%20I%5BAuthor%5D&amp;cauthor=true&amp;cauthor_uid=19851048" TargetMode="External"/><Relationship Id="rId49" Type="http://schemas.openxmlformats.org/officeDocument/2006/relationships/hyperlink" Target="http://www.ncbi.nlm.nih.gov/pubmed/?term=Zhang%20FY%5BAuthor%5D&amp;cauthor=true&amp;cauthor_uid=22455369" TargetMode="External"/><Relationship Id="rId57" Type="http://schemas.openxmlformats.org/officeDocument/2006/relationships/hyperlink" Target="http://www.ncbi.nlm.nih.gov/pubmed/?term=Kazi%20A%5BAuthor%5D&amp;cauthor=true&amp;cauthor_uid=24342134" TargetMode="External"/><Relationship Id="rId10" Type="http://schemas.openxmlformats.org/officeDocument/2006/relationships/hyperlink" Target="http://www.ncbi.nlm.nih.gov/pubmed/?term=Murray%20CJ%5BAuthor%5D&amp;cauthor=true&amp;cauthor_uid=23245608" TargetMode="External"/><Relationship Id="rId19" Type="http://schemas.openxmlformats.org/officeDocument/2006/relationships/hyperlink" Target="http://www.ncbi.nlm.nih.gov/pubmed/10592142" TargetMode="External"/><Relationship Id="rId31" Type="http://schemas.openxmlformats.org/officeDocument/2006/relationships/hyperlink" Target="http://www.ncbi.nlm.nih.gov/pubmed/?term=Platelet+activation%2C+upregulation+of+CD11b%2FCD18+expression+on+leukocytes+and+increase+in+circulating+leukocyte-platelet+aggregates+in+Indian+women+chronically+exposed" TargetMode="External"/><Relationship Id="rId44" Type="http://schemas.openxmlformats.org/officeDocument/2006/relationships/hyperlink" Target="http://www.ncbi.nlm.nih.gov/pubmed/?term=Stone%20P%5BAuthor%5D&amp;cauthor=true&amp;cauthor_uid=21669557" TargetMode="External"/><Relationship Id="rId52" Type="http://schemas.openxmlformats.org/officeDocument/2006/relationships/hyperlink" Target="http://www.ncbi.nlm.nih.gov/pubmed/?term=Painschab%20MS%5BAuthor%5D&amp;cauthor=true&amp;cauthor_uid=23619984"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nc@mrc.soton.ac.uk" TargetMode="External"/><Relationship Id="rId14" Type="http://schemas.openxmlformats.org/officeDocument/2006/relationships/hyperlink" Target="http://www.ncbi.nlm.nih.gov/pubmed?term=Ounpuu%20S%5BAuthor%5D&amp;cauthor=true&amp;cauthor_uid=16920470" TargetMode="External"/><Relationship Id="rId22" Type="http://schemas.openxmlformats.org/officeDocument/2006/relationships/hyperlink" Target="http://www.ncbi.nlm.nih.gov/pubmed?term=Dolor%20R%5BAuthor%5D&amp;cauthor=true&amp;cauthor_uid=15671704" TargetMode="External"/><Relationship Id="rId27" Type="http://schemas.openxmlformats.org/officeDocument/2006/relationships/hyperlink" Target="http://www.ncbi.nlm.nih.gov/pubmed/?term=Malik%20AA%5BAuthor%5D&amp;cauthor=true&amp;cauthor_uid=24064368" TargetMode="External"/><Relationship Id="rId30" Type="http://schemas.openxmlformats.org/officeDocument/2006/relationships/hyperlink" Target="http://www.ncbi.nlm.nih.gov/pubmed/?term=Mukherjee%20S%5BAuthor%5D&amp;cauthor=true&amp;cauthor_uid=17211980" TargetMode="External"/><Relationship Id="rId35" Type="http://schemas.openxmlformats.org/officeDocument/2006/relationships/hyperlink" Target="http://www.ncbi.nlm.nih.gov/pubmed/?term=Davutoglu%20V%5BAuthor%5D&amp;cauthor=true&amp;cauthor_uid=19851048" TargetMode="External"/><Relationship Id="rId43" Type="http://schemas.openxmlformats.org/officeDocument/2006/relationships/hyperlink" Target="http://www.ncbi.nlm.nih.gov/pubmed/?term=Smith%20KR%5BAuthor%5D&amp;cauthor=true&amp;cauthor_uid=21669557" TargetMode="External"/><Relationship Id="rId48" Type="http://schemas.openxmlformats.org/officeDocument/2006/relationships/hyperlink" Target="http://www.ncbi.nlm.nih.gov/pubmed/?term=Hang%20JQ%5BAuthor%5D&amp;cauthor=true&amp;cauthor_uid=22455369" TargetMode="External"/><Relationship Id="rId56" Type="http://schemas.openxmlformats.org/officeDocument/2006/relationships/hyperlink" Target="http://www.ncbi.nlm.nih.gov/pubmed/?term=Coggon%20D%5BAuthor%5D&amp;cauthor=true&amp;cauthor_uid=24342134" TargetMode="External"/><Relationship Id="rId8" Type="http://schemas.openxmlformats.org/officeDocument/2006/relationships/endnotes" Target="endnotes.xml"/><Relationship Id="rId51" Type="http://schemas.openxmlformats.org/officeDocument/2006/relationships/hyperlink" Target="http://www.ncbi.nlm.nih.gov/pubmed/2176944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74C7-2FE4-4FD8-8300-92FA8035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8181</Words>
  <Characters>46633</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cp:lastPrinted>2016-03-07T04:36:00Z</cp:lastPrinted>
  <dcterms:created xsi:type="dcterms:W3CDTF">2016-03-31T08:01:00Z</dcterms:created>
  <dcterms:modified xsi:type="dcterms:W3CDTF">2016-03-31T08:01:00Z</dcterms:modified>
</cp:coreProperties>
</file>