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tiff" ContentType="image/tiff"/>
  <Default Extension="wdp" ContentType="image/vnd.ms-photo"/>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A446E" w:rsidRPr="009D54E4" w:rsidRDefault="00FA446E" w:rsidP="00FA446E">
      <w:pPr>
        <w:pStyle w:val="Authors"/>
        <w:rPr>
          <w:b/>
          <w:sz w:val="32"/>
          <w:szCs w:val="28"/>
          <w:lang w:val="en-US"/>
        </w:rPr>
      </w:pPr>
      <w:r w:rsidRPr="009D54E4">
        <w:rPr>
          <w:b/>
          <w:sz w:val="32"/>
          <w:szCs w:val="28"/>
          <w:lang w:val="en-US"/>
        </w:rPr>
        <w:t>Engaging Copper(III) Corrole as an Electron Acceptor: Photoinduced Charge Separation in Zinc Porphyrin-Copper Corrole Donor-Acceptor Conjugates</w:t>
      </w:r>
    </w:p>
    <w:p w:rsidR="00D672E6" w:rsidRPr="00FA446E" w:rsidRDefault="000B2485" w:rsidP="00D672E6">
      <w:pPr>
        <w:pStyle w:val="Authors"/>
      </w:pPr>
      <w:r w:rsidRPr="000B2485">
        <w:rPr>
          <w:noProof/>
          <w:lang w:val="de-DE" w:eastAsia="zh-CN"/>
        </w:rPr>
        <w:pict>
          <v:shapetype id="_x0000_t202" coordsize="21600,21600" o:spt="202" path="m0,0l0,21600,21600,21600,21600,0xe">
            <v:stroke joinstyle="miter"/>
            <v:path gradientshapeok="t" o:connecttype="rect"/>
          </v:shapetype>
          <v:shape id="_x0000_s1054" type="#_x0000_t202" style="position:absolute;margin-left:-4.35pt;margin-top:534.35pt;width:248.05pt;height:232.3pt;z-index:251662336;mso-wrap-distance-top:14.2pt;mso-wrap-distance-right:14.2pt;mso-position-vertical-relative:page" stroked="f">
            <v:fill opacity="0"/>
            <v:textbox style="mso-next-textbox:#_x0000_s1054">
              <w:txbxContent>
                <w:p w:rsidR="002621A5" w:rsidRDefault="002621A5" w:rsidP="00FA446E">
                  <w:pPr>
                    <w:pStyle w:val="Adress"/>
                    <w:pBdr>
                      <w:top w:val="single" w:sz="4" w:space="1" w:color="000000"/>
                    </w:pBdr>
                    <w:rPr>
                      <w:lang w:val="en-GB"/>
                    </w:rPr>
                  </w:pPr>
                  <w:r w:rsidRPr="0095126A">
                    <w:rPr>
                      <w:lang w:val="en-GB"/>
                    </w:rPr>
                    <w:t>[a]</w:t>
                  </w:r>
                  <w:r w:rsidRPr="0095126A">
                    <w:rPr>
                      <w:lang w:val="en-GB"/>
                    </w:rPr>
                    <w:tab/>
                  </w:r>
                  <w:r>
                    <w:rPr>
                      <w:lang w:val="en-GB"/>
                    </w:rPr>
                    <w:t>Dr. T. H. Ngo</w:t>
                  </w:r>
                </w:p>
                <w:p w:rsidR="002621A5" w:rsidRDefault="002621A5" w:rsidP="00FA446E">
                  <w:pPr>
                    <w:pStyle w:val="Adress"/>
                    <w:pBdr>
                      <w:top w:val="single" w:sz="4" w:space="1" w:color="000000"/>
                    </w:pBdr>
                    <w:rPr>
                      <w:lang w:val="en-GB"/>
                    </w:rPr>
                  </w:pPr>
                  <w:r>
                    <w:rPr>
                      <w:lang w:val="en-GB"/>
                    </w:rPr>
                    <w:t xml:space="preserve">           </w:t>
                  </w:r>
                  <w:r w:rsidRPr="00FA446E">
                    <w:rPr>
                      <w:lang w:val="en-GB"/>
                    </w:rPr>
                    <w:t xml:space="preserve">International Center for Young Scientist (ICYS), National Institute for Materials Science, Namiki 1-1, Tsukuba, Ibaraki 305-0044, Japan. Tel: +81298608845; Fax: +81298604832; E-mail: </w:t>
                  </w:r>
                  <w:hyperlink r:id="rId7" w:history="1">
                    <w:r w:rsidR="00161BF5" w:rsidRPr="00087866">
                      <w:rPr>
                        <w:rStyle w:val="Hyperlink"/>
                        <w:lang w:val="en-GB"/>
                      </w:rPr>
                      <w:t>NGO.Huynhthien@nims.go.jp</w:t>
                    </w:r>
                  </w:hyperlink>
                  <w:r w:rsidR="00161BF5">
                    <w:rPr>
                      <w:lang w:val="en-GB"/>
                    </w:rPr>
                    <w:t xml:space="preserve"> </w:t>
                  </w:r>
                  <w:r w:rsidRPr="00FA446E">
                    <w:rPr>
                      <w:lang w:val="en-GB"/>
                    </w:rPr>
                    <w:t xml:space="preserve"> </w:t>
                  </w:r>
                </w:p>
                <w:p w:rsidR="002621A5" w:rsidRDefault="002621A5" w:rsidP="00FA446E">
                  <w:pPr>
                    <w:pStyle w:val="Adress"/>
                    <w:pBdr>
                      <w:top w:val="single" w:sz="4" w:space="1" w:color="000000"/>
                    </w:pBdr>
                    <w:rPr>
                      <w:lang w:val="en-GB"/>
                    </w:rPr>
                  </w:pPr>
                  <w:r w:rsidRPr="0095126A">
                    <w:rPr>
                      <w:lang w:val="en-GB"/>
                    </w:rPr>
                    <w:t>[b]</w:t>
                  </w:r>
                  <w:r w:rsidRPr="0095126A">
                    <w:rPr>
                      <w:lang w:val="en-GB"/>
                    </w:rPr>
                    <w:tab/>
                  </w:r>
                  <w:r>
                    <w:rPr>
                      <w:lang w:val="en-GB"/>
                    </w:rPr>
                    <w:t xml:space="preserve">Dr. T. H. Ngo, Dr. </w:t>
                  </w:r>
                  <w:r>
                    <w:t>S.</w:t>
                  </w:r>
                  <w:r w:rsidRPr="00FA446E">
                    <w:t xml:space="preserve"> Jin</w:t>
                  </w:r>
                  <w:r>
                    <w:t>, Dr. J. P. Hill, Dr. K. Ariga</w:t>
                  </w:r>
                  <w:r>
                    <w:rPr>
                      <w:lang w:val="en-GB"/>
                    </w:rPr>
                    <w:br/>
                  </w:r>
                  <w:r w:rsidRPr="00FA446E">
                    <w:rPr>
                      <w:lang w:val="en-GB"/>
                    </w:rPr>
                    <w:t xml:space="preserve">WPI Center for Materials Nanoarchitectonics, National Institute for Materials Science, Namiki 1-1, Tsukuba, Ibaraki 305-0044, Japan. Tel: +81298604399; Fax: +81298604832; E-mail: </w:t>
                  </w:r>
                  <w:hyperlink r:id="rId8" w:history="1">
                    <w:r w:rsidR="00161BF5" w:rsidRPr="00087866">
                      <w:rPr>
                        <w:rStyle w:val="Hyperlink"/>
                        <w:lang w:val="en-GB"/>
                      </w:rPr>
                      <w:t>Jonathan.Hill@nims.go.jp</w:t>
                    </w:r>
                  </w:hyperlink>
                  <w:r w:rsidR="00161BF5">
                    <w:rPr>
                      <w:lang w:val="en-GB"/>
                    </w:rPr>
                    <w:t xml:space="preserve"> </w:t>
                  </w:r>
                </w:p>
                <w:p w:rsidR="002621A5" w:rsidRDefault="002621A5" w:rsidP="00FA446E">
                  <w:pPr>
                    <w:pStyle w:val="Adress"/>
                    <w:pBdr>
                      <w:top w:val="single" w:sz="4" w:space="1" w:color="000000"/>
                    </w:pBdr>
                    <w:rPr>
                      <w:lang w:val="en-GB"/>
                    </w:rPr>
                  </w:pPr>
                  <w:r>
                    <w:rPr>
                      <w:lang w:val="en-GB"/>
                    </w:rPr>
                    <w:t>[c]       Mr. D. Zieba, Ms. S. Kord</w:t>
                  </w:r>
                </w:p>
                <w:p w:rsidR="002621A5" w:rsidRDefault="002621A5" w:rsidP="00FA446E">
                  <w:pPr>
                    <w:pStyle w:val="Adress"/>
                    <w:pBdr>
                      <w:top w:val="single" w:sz="4" w:space="1" w:color="000000"/>
                    </w:pBdr>
                    <w:rPr>
                      <w:lang w:val="en-GB"/>
                    </w:rPr>
                  </w:pPr>
                  <w:r>
                    <w:rPr>
                      <w:lang w:val="en-GB"/>
                    </w:rPr>
                    <w:t xml:space="preserve">           </w:t>
                  </w:r>
                  <w:r w:rsidRPr="00FA446E">
                    <w:rPr>
                      <w:lang w:val="en-GB"/>
                    </w:rPr>
                    <w:t>Institut für Chemie und Biochemie, Freie Universität Berlin Takustrasse 3, 14195 Berlin (Germany)</w:t>
                  </w:r>
                </w:p>
                <w:p w:rsidR="002621A5" w:rsidRDefault="002621A5" w:rsidP="00FA446E">
                  <w:pPr>
                    <w:pStyle w:val="Adress"/>
                    <w:pBdr>
                      <w:top w:val="single" w:sz="4" w:space="1" w:color="000000"/>
                    </w:pBdr>
                    <w:rPr>
                      <w:lang w:val="en-GB"/>
                    </w:rPr>
                  </w:pPr>
                  <w:r>
                    <w:rPr>
                      <w:lang w:val="en-GB"/>
                    </w:rPr>
                    <w:t xml:space="preserve">[d]       Ms. </w:t>
                  </w:r>
                  <w:r w:rsidRPr="00B9405F">
                    <w:rPr>
                      <w:lang w:val="en-GB"/>
                    </w:rPr>
                    <w:t>W. A. Webre</w:t>
                  </w:r>
                  <w:r>
                    <w:rPr>
                      <w:lang w:val="en-GB"/>
                    </w:rPr>
                    <w:t>, G.</w:t>
                  </w:r>
                  <w:r w:rsidRPr="00D672E6">
                    <w:rPr>
                      <w:lang w:val="en-GB"/>
                    </w:rPr>
                    <w:t xml:space="preserve"> N. Lim</w:t>
                  </w:r>
                  <w:r>
                    <w:rPr>
                      <w:lang w:val="en-GB"/>
                    </w:rPr>
                    <w:t xml:space="preserve">, Prof. Dr. F. </w:t>
                  </w:r>
                  <w:r w:rsidRPr="00D672E6">
                    <w:rPr>
                      <w:lang w:val="en-GB"/>
                    </w:rPr>
                    <w:t>D’Souza</w:t>
                  </w:r>
                </w:p>
                <w:p w:rsidR="002621A5" w:rsidRDefault="002621A5" w:rsidP="00D672E6">
                  <w:pPr>
                    <w:pStyle w:val="Adress"/>
                    <w:pBdr>
                      <w:top w:val="single" w:sz="4" w:space="1" w:color="000000"/>
                    </w:pBdr>
                    <w:rPr>
                      <w:lang w:val="en-GB"/>
                    </w:rPr>
                  </w:pPr>
                  <w:r>
                    <w:rPr>
                      <w:lang w:val="en-GB"/>
                    </w:rPr>
                    <w:t xml:space="preserve">           </w:t>
                  </w:r>
                  <w:r w:rsidRPr="00D672E6">
                    <w:rPr>
                      <w:lang w:val="en-GB"/>
                    </w:rPr>
                    <w:t xml:space="preserve">Department of Chemistry, University of North Texas, 1155 Union Circle, #305070, Denton, Texas 76203, USA. Tel: +940-369-8832; Fax: +940-565-4318; E-mail: </w:t>
                  </w:r>
                  <w:hyperlink r:id="rId9" w:history="1">
                    <w:r w:rsidRPr="00906C96">
                      <w:rPr>
                        <w:rStyle w:val="Hyperlink"/>
                        <w:lang w:val="en-GB"/>
                      </w:rPr>
                      <w:t>Francis.Dsouza@unt.edu</w:t>
                    </w:r>
                  </w:hyperlink>
                </w:p>
                <w:p w:rsidR="002621A5" w:rsidRDefault="002621A5" w:rsidP="00D672E6">
                  <w:pPr>
                    <w:pStyle w:val="Adress"/>
                    <w:pBdr>
                      <w:top w:val="single" w:sz="4" w:space="1" w:color="000000"/>
                    </w:pBdr>
                    <w:rPr>
                      <w:lang w:val="en-GB"/>
                    </w:rPr>
                  </w:pPr>
                  <w:r>
                    <w:rPr>
                      <w:lang w:val="en-GB"/>
                    </w:rPr>
                    <w:t>[e]       Prof. Dr. P. A. Karr</w:t>
                  </w:r>
                </w:p>
                <w:p w:rsidR="002621A5" w:rsidRDefault="002621A5" w:rsidP="00D672E6">
                  <w:pPr>
                    <w:pStyle w:val="Adress"/>
                    <w:pBdr>
                      <w:top w:val="single" w:sz="4" w:space="1" w:color="000000"/>
                    </w:pBdr>
                    <w:rPr>
                      <w:lang w:val="en-GB"/>
                    </w:rPr>
                  </w:pPr>
                  <w:r>
                    <w:rPr>
                      <w:lang w:val="en-GB"/>
                    </w:rPr>
                    <w:t xml:space="preserve">           </w:t>
                  </w:r>
                  <w:r w:rsidRPr="00681BFC">
                    <w:rPr>
                      <w:lang w:val="en-GB"/>
                    </w:rPr>
                    <w:t>Department of Physical Sciences and Mathematics, Wayne State College, 111 Main Street, Wayne, Nebraska, 68787, USA</w:t>
                  </w:r>
                </w:p>
                <w:p w:rsidR="002621A5" w:rsidRPr="00681BFC" w:rsidRDefault="002621A5" w:rsidP="00D672E6">
                  <w:pPr>
                    <w:pStyle w:val="Adress"/>
                    <w:pBdr>
                      <w:top w:val="single" w:sz="4" w:space="1" w:color="000000"/>
                    </w:pBdr>
                    <w:rPr>
                      <w:lang w:val="en-GB"/>
                    </w:rPr>
                  </w:pPr>
                  <w:r>
                    <w:rPr>
                      <w:lang w:val="en-GB"/>
                    </w:rPr>
                    <w:t>[f]</w:t>
                  </w:r>
                  <w:r>
                    <w:rPr>
                      <w:lang w:val="en-GB"/>
                    </w:rPr>
                    <w:tab/>
                    <w:t>Ms. M. Galli, Prof. Dr. S. Goldup</w:t>
                  </w:r>
                </w:p>
                <w:p w:rsidR="002621A5" w:rsidRDefault="002621A5" w:rsidP="00D672E6">
                  <w:pPr>
                    <w:pStyle w:val="Adress"/>
                    <w:pBdr>
                      <w:top w:val="single" w:sz="4" w:space="1" w:color="000000"/>
                    </w:pBdr>
                    <w:rPr>
                      <w:lang w:val="en-GB"/>
                    </w:rPr>
                  </w:pPr>
                  <w:r>
                    <w:rPr>
                      <w:lang w:val="en-GB"/>
                    </w:rPr>
                    <w:tab/>
                  </w:r>
                  <w:r w:rsidRPr="00681BFC">
                    <w:rPr>
                      <w:lang w:val="en-GB"/>
                    </w:rPr>
                    <w:t>Department of Chemistry, University of Southampton, Southampton, SO17 1BJ, UK</w:t>
                  </w:r>
                </w:p>
                <w:p w:rsidR="002621A5" w:rsidRPr="007E3A49" w:rsidRDefault="002621A5" w:rsidP="00D672E6">
                  <w:pPr>
                    <w:pStyle w:val="Adress"/>
                    <w:pBdr>
                      <w:top w:val="single" w:sz="4" w:space="1" w:color="000000"/>
                    </w:pBdr>
                  </w:pPr>
                  <w:r w:rsidRPr="007E3A49">
                    <w:tab/>
                  </w:r>
                  <w:r w:rsidRPr="004532F9">
                    <w:t xml:space="preserve">Supporting information for this article is </w:t>
                  </w:r>
                  <w:r>
                    <w:t>given via a link at the end of the document</w:t>
                  </w:r>
                  <w:r w:rsidR="00ED36CC">
                    <w:t>.</w:t>
                  </w:r>
                </w:p>
              </w:txbxContent>
            </v:textbox>
            <w10:wrap type="square" side="right" anchory="page"/>
            <w10:anchorlock/>
          </v:shape>
        </w:pict>
      </w:r>
      <w:r w:rsidR="00FA446E">
        <w:rPr>
          <w:noProof/>
          <w:lang w:val="de-DE" w:eastAsia="zh-CN"/>
        </w:rPr>
        <w:t>Thien H.</w:t>
      </w:r>
      <w:r w:rsidR="00FA446E" w:rsidRPr="00FA446E">
        <w:rPr>
          <w:noProof/>
          <w:lang w:val="de-DE" w:eastAsia="zh-CN"/>
        </w:rPr>
        <w:t xml:space="preserve"> Ngo</w:t>
      </w:r>
      <w:r w:rsidR="00D672E6" w:rsidRPr="00F007F5">
        <w:t>,</w:t>
      </w:r>
      <w:r w:rsidR="00FA446E" w:rsidRPr="00FA446E">
        <w:t xml:space="preserve"> </w:t>
      </w:r>
      <w:r w:rsidR="00FA446E" w:rsidRPr="00F007F5">
        <w:t>*</w:t>
      </w:r>
      <w:r w:rsidR="00FA446E" w:rsidRPr="00F007F5">
        <w:rPr>
          <w:vertAlign w:val="superscript"/>
        </w:rPr>
        <w:t xml:space="preserve"> </w:t>
      </w:r>
      <w:r w:rsidR="00D672E6" w:rsidRPr="00F007F5">
        <w:rPr>
          <w:vertAlign w:val="superscript"/>
        </w:rPr>
        <w:t>[</w:t>
      </w:r>
      <w:r w:rsidR="00FA446E">
        <w:rPr>
          <w:vertAlign w:val="superscript"/>
        </w:rPr>
        <w:t>a,b</w:t>
      </w:r>
      <w:r w:rsidR="00D672E6" w:rsidRPr="00F007F5">
        <w:rPr>
          <w:vertAlign w:val="superscript"/>
        </w:rPr>
        <w:t>]</w:t>
      </w:r>
      <w:r w:rsidR="00D672E6" w:rsidRPr="00F007F5">
        <w:t xml:space="preserve"> </w:t>
      </w:r>
      <w:r w:rsidR="00FA446E" w:rsidRPr="00FA446E">
        <w:t>David Zieba</w:t>
      </w:r>
      <w:r w:rsidR="00FA446E">
        <w:t>,</w:t>
      </w:r>
      <w:r w:rsidR="00FA446E" w:rsidRPr="00FA446E">
        <w:t xml:space="preserve"> </w:t>
      </w:r>
      <w:r w:rsidR="00FA446E">
        <w:rPr>
          <w:vertAlign w:val="superscript"/>
        </w:rPr>
        <w:t>[c</w:t>
      </w:r>
      <w:r w:rsidR="00D672E6" w:rsidRPr="00F007F5">
        <w:rPr>
          <w:vertAlign w:val="superscript"/>
        </w:rPr>
        <w:t>]</w:t>
      </w:r>
      <w:r w:rsidR="00FA446E">
        <w:rPr>
          <w:vertAlign w:val="superscript"/>
        </w:rPr>
        <w:t xml:space="preserve"> </w:t>
      </w:r>
      <w:r w:rsidR="00FA446E" w:rsidRPr="00FA446E">
        <w:t>Whitney A. Webre,</w:t>
      </w:r>
      <w:r w:rsidR="00FA446E" w:rsidRPr="00FA446E">
        <w:rPr>
          <w:vertAlign w:val="superscript"/>
        </w:rPr>
        <w:t xml:space="preserve">[d] </w:t>
      </w:r>
      <w:r w:rsidR="00FA446E" w:rsidRPr="00FA446E">
        <w:t>Gary N. Lim,</w:t>
      </w:r>
      <w:r w:rsidR="00FA446E" w:rsidRPr="00FA446E">
        <w:rPr>
          <w:vertAlign w:val="superscript"/>
        </w:rPr>
        <w:t>[d]</w:t>
      </w:r>
      <w:r w:rsidR="00FA446E" w:rsidRPr="00FA446E">
        <w:t xml:space="preserve"> Paul A. Karr,</w:t>
      </w:r>
      <w:r w:rsidR="00FA446E" w:rsidRPr="00FA446E">
        <w:rPr>
          <w:vertAlign w:val="superscript"/>
        </w:rPr>
        <w:t>[e]</w:t>
      </w:r>
      <w:r w:rsidR="00FA446E" w:rsidRPr="00FA446E">
        <w:t xml:space="preserve"> Scheghajegh Kord,</w:t>
      </w:r>
      <w:r w:rsidR="00FA446E" w:rsidRPr="0071003B">
        <w:rPr>
          <w:vertAlign w:val="superscript"/>
        </w:rPr>
        <w:t xml:space="preserve">[c] </w:t>
      </w:r>
      <w:r w:rsidR="00FA446E" w:rsidRPr="00FA446E">
        <w:t>Shangbin Jin,</w:t>
      </w:r>
      <w:r w:rsidR="00FA446E" w:rsidRPr="00FA446E">
        <w:rPr>
          <w:vertAlign w:val="superscript"/>
        </w:rPr>
        <w:t>[b]</w:t>
      </w:r>
      <w:r w:rsidR="00FA446E" w:rsidRPr="00FA446E">
        <w:t xml:space="preserve"> Katsuhiko Ariga,</w:t>
      </w:r>
      <w:r w:rsidR="00FA446E" w:rsidRPr="00FA446E">
        <w:rPr>
          <w:vertAlign w:val="superscript"/>
        </w:rPr>
        <w:t>[b]</w:t>
      </w:r>
      <w:r w:rsidR="00FA446E" w:rsidRPr="00FA446E">
        <w:t xml:space="preserve"> Marzia Galli,</w:t>
      </w:r>
      <w:r w:rsidR="00FA446E" w:rsidRPr="00FA446E">
        <w:rPr>
          <w:vertAlign w:val="superscript"/>
        </w:rPr>
        <w:t>[f]</w:t>
      </w:r>
      <w:r w:rsidR="00FA446E" w:rsidRPr="00FA446E">
        <w:t xml:space="preserve"> Steve Goldup,</w:t>
      </w:r>
      <w:r w:rsidR="00FA446E" w:rsidRPr="00FA446E">
        <w:rPr>
          <w:vertAlign w:val="superscript"/>
        </w:rPr>
        <w:t>[f]</w:t>
      </w:r>
      <w:r w:rsidR="00FA446E" w:rsidRPr="00FA446E">
        <w:t xml:space="preserve"> Jonathan P. Hill,*</w:t>
      </w:r>
      <w:r w:rsidR="00FA446E" w:rsidRPr="00FA446E">
        <w:rPr>
          <w:vertAlign w:val="superscript"/>
        </w:rPr>
        <w:t>,[b]</w:t>
      </w:r>
      <w:r w:rsidR="00FA446E" w:rsidRPr="00FA446E">
        <w:t xml:space="preserve"> and Francis D’Souza*</w:t>
      </w:r>
      <w:r w:rsidR="00FA446E" w:rsidRPr="00FA446E">
        <w:rPr>
          <w:vertAlign w:val="superscript"/>
        </w:rPr>
        <w:t>,[d]</w:t>
      </w:r>
    </w:p>
    <w:p w:rsidR="00D672E6" w:rsidRPr="005D1EBB" w:rsidRDefault="00D672E6" w:rsidP="00D672E6">
      <w:pPr>
        <w:pStyle w:val="Dedication"/>
        <w:rPr>
          <w:lang w:val="en-US"/>
        </w:rPr>
        <w:sectPr w:rsidR="00D672E6" w:rsidRPr="005D1EBB">
          <w:headerReference w:type="even" r:id="rId10"/>
          <w:headerReference w:type="default" r:id="rId11"/>
          <w:footerReference w:type="default" r:id="rId12"/>
          <w:headerReference w:type="first" r:id="rId13"/>
          <w:pgSz w:w="11906" w:h="16838" w:code="9"/>
          <w:pgMar w:top="1134" w:right="936" w:bottom="1134" w:left="936" w:header="1021" w:footer="0" w:gutter="0"/>
          <w:cols w:space="425"/>
          <w:docGrid w:linePitch="360"/>
        </w:sectPr>
      </w:pPr>
    </w:p>
    <w:p w:rsidR="00D672E6" w:rsidRDefault="00D672E6" w:rsidP="000D5B2F">
      <w:pPr>
        <w:pStyle w:val="Abstract"/>
      </w:pPr>
      <w:r w:rsidRPr="002D5B99">
        <w:rPr>
          <w:b/>
          <w:lang w:val="en-US"/>
        </w:rPr>
        <w:t>Abstract:</w:t>
      </w:r>
      <w:r>
        <w:rPr>
          <w:lang w:val="en-US"/>
        </w:rPr>
        <w:t xml:space="preserve"> </w:t>
      </w:r>
      <w:r w:rsidR="000D5B2F" w:rsidRPr="000D5B2F">
        <w:rPr>
          <w:lang w:val="en-US"/>
        </w:rPr>
        <w:t>An electron deficient copper(III) corrole was utilized for construction of donor-acceptor conjugates with zinc(II) porphyrin as a singlet excited state electron donor, and occurrence of photoinduced charge separation was demonstrated using transient pump-p</w:t>
      </w:r>
      <w:r w:rsidR="002621A5">
        <w:rPr>
          <w:lang w:val="en-US"/>
        </w:rPr>
        <w:t xml:space="preserve">robe spectroscopic techniques. </w:t>
      </w:r>
      <w:r w:rsidR="000D5B2F" w:rsidRPr="000D5B2F">
        <w:rPr>
          <w:lang w:val="en-US"/>
        </w:rPr>
        <w:t>In these conjugates, the number of copper corrole units was varied at 1, 2 and 4 units while maintaining a single ZnP entity to observe the effect of corrole multiplicity in facilitating the charge separation process. The conjugates and control compounds were electrochemically and spectroel</w:t>
      </w:r>
      <w:r w:rsidR="002621A5">
        <w:rPr>
          <w:lang w:val="en-US"/>
        </w:rPr>
        <w:t xml:space="preserve">ectrochemically characterized. </w:t>
      </w:r>
      <w:r w:rsidR="000D5B2F" w:rsidRPr="000D5B2F">
        <w:rPr>
          <w:lang w:val="en-US"/>
        </w:rPr>
        <w:t>Computational studies revealed ground state geometries of the compounds and the electron deficient nature of the copper(III) corrole.  An energy level diagram was established to predict the photochemical events using optical, emission, electrochemical and computational da</w:t>
      </w:r>
      <w:r w:rsidR="002621A5">
        <w:rPr>
          <w:lang w:val="en-US"/>
        </w:rPr>
        <w:t xml:space="preserve">ta. </w:t>
      </w:r>
      <w:r w:rsidR="000D5B2F" w:rsidRPr="000D5B2F">
        <w:rPr>
          <w:lang w:val="en-US"/>
        </w:rPr>
        <w:t>The occurrence of charge separation from singlet excited zinc porphyrin and charge recombination to yield directly the ground state species</w:t>
      </w:r>
      <w:r w:rsidR="002621A5">
        <w:rPr>
          <w:lang w:val="en-US"/>
        </w:rPr>
        <w:t xml:space="preserve"> were evident from the diagram.</w:t>
      </w:r>
      <w:r w:rsidR="000D5B2F" w:rsidRPr="000D5B2F">
        <w:rPr>
          <w:lang w:val="en-US"/>
        </w:rPr>
        <w:t xml:space="preserve"> Femtosecond transient absorption spectroscopy studies provided spectral evidence of charge separation in the form of the zinc porphyrin radical cation and copper(I</w:t>
      </w:r>
      <w:r w:rsidR="002621A5">
        <w:rPr>
          <w:lang w:val="en-US"/>
        </w:rPr>
        <w:t>I) corrole species as products.</w:t>
      </w:r>
      <w:r w:rsidR="000D5B2F" w:rsidRPr="000D5B2F">
        <w:rPr>
          <w:lang w:val="en-US"/>
        </w:rPr>
        <w:t xml:space="preserve"> Rates of charge separation in the conjugates were found to be of the order of 10</w:t>
      </w:r>
      <w:r w:rsidR="000D5B2F" w:rsidRPr="000D5B2F">
        <w:rPr>
          <w:vertAlign w:val="superscript"/>
          <w:lang w:val="en-US"/>
        </w:rPr>
        <w:t>10</w:t>
      </w:r>
      <w:r w:rsidR="000D5B2F" w:rsidRPr="000D5B2F">
        <w:rPr>
          <w:lang w:val="en-US"/>
        </w:rPr>
        <w:t xml:space="preserve"> s</w:t>
      </w:r>
      <w:r w:rsidR="000D5B2F" w:rsidRPr="000D5B2F">
        <w:rPr>
          <w:vertAlign w:val="superscript"/>
          <w:lang w:val="en-US"/>
        </w:rPr>
        <w:t>-1</w:t>
      </w:r>
      <w:r w:rsidR="000D5B2F" w:rsidRPr="000D5B2F">
        <w:rPr>
          <w:lang w:val="en-US"/>
        </w:rPr>
        <w:t xml:space="preserve"> and increased with increasing multiplicity of copper(III) corrole entities.  The present study demonstrates the importance of copper(III) corrole as an electron acceptor in building model photosynthetic systems.</w:t>
      </w:r>
    </w:p>
    <w:p w:rsidR="00ED36CC" w:rsidRDefault="00ED36CC" w:rsidP="00226EA0">
      <w:pPr>
        <w:pStyle w:val="H1"/>
        <w:rPr>
          <w:lang w:val="en-US"/>
        </w:rPr>
        <w:sectPr w:rsidR="00ED36CC">
          <w:type w:val="continuous"/>
          <w:pgSz w:w="11906" w:h="16838" w:code="9"/>
          <w:pgMar w:top="1673" w:right="936" w:bottom="1134" w:left="936" w:header="709" w:footer="709" w:gutter="0"/>
          <w:cols w:space="284"/>
          <w:docGrid w:linePitch="360"/>
        </w:sectPr>
      </w:pPr>
    </w:p>
    <w:p w:rsidR="00226EA0" w:rsidRPr="00226EA0" w:rsidRDefault="00226EA0" w:rsidP="00ED36CC">
      <w:pPr>
        <w:pStyle w:val="H1"/>
        <w:spacing w:before="120" w:after="120"/>
        <w:rPr>
          <w:lang w:val="en-US"/>
        </w:rPr>
      </w:pPr>
      <w:r w:rsidRPr="00226EA0">
        <w:rPr>
          <w:lang w:val="en-US"/>
        </w:rPr>
        <w:t>Introduction</w:t>
      </w:r>
    </w:p>
    <w:p w:rsidR="00BF3A14" w:rsidRDefault="00226EA0" w:rsidP="00613BDA">
      <w:pPr>
        <w:pStyle w:val="P1"/>
      </w:pPr>
      <w:r w:rsidRPr="00226EA0">
        <w:t>Increasing global energy demands and environmental concerns due to burning fossil fuels have given energy research a high priority in recent years.</w:t>
      </w:r>
      <w:r w:rsidRPr="00226EA0">
        <w:rPr>
          <w:vertAlign w:val="superscript"/>
        </w:rPr>
        <w:t>[1]</w:t>
      </w:r>
      <w:r w:rsidRPr="00226EA0">
        <w:t xml:space="preserve"> In this regard, energy-harvesting materials, especially those that mimic natural photosynthesis, have attracted much attention due to their potential capabilities for direct conversion of incident light to an electrical current being hence a useful power source.</w:t>
      </w:r>
      <w:r w:rsidRPr="00226EA0">
        <w:rPr>
          <w:vertAlign w:val="superscript"/>
        </w:rPr>
        <w:t>[2]</w:t>
      </w:r>
      <w:r w:rsidRPr="00226EA0">
        <w:t xml:space="preserve"> Porphyrins have been commonly used as photosensitizers for the construction of artificial photosynthetic systems because of their resemblance to the naturally occurring chlorophyll pigments.</w:t>
      </w:r>
      <w:r w:rsidRPr="00226EA0">
        <w:rPr>
          <w:vertAlign w:val="superscript"/>
        </w:rPr>
        <w:t>[3]</w:t>
      </w:r>
      <w:r w:rsidRPr="00226EA0">
        <w:t xml:space="preserve"> However, other sensitizers, including phthalocyanines,</w:t>
      </w:r>
      <w:r w:rsidRPr="00226EA0">
        <w:rPr>
          <w:vertAlign w:val="superscript"/>
        </w:rPr>
        <w:t>[4]</w:t>
      </w:r>
      <w:r w:rsidRPr="00226EA0">
        <w:t xml:space="preserve"> corroles,</w:t>
      </w:r>
      <w:r w:rsidRPr="00226EA0">
        <w:rPr>
          <w:vertAlign w:val="superscript"/>
        </w:rPr>
        <w:t>[5]</w:t>
      </w:r>
      <w:r w:rsidRPr="00226EA0">
        <w:t xml:space="preserve"> subphthalocyanines,</w:t>
      </w:r>
      <w:r w:rsidRPr="00226EA0">
        <w:rPr>
          <w:vertAlign w:val="superscript"/>
        </w:rPr>
        <w:t>[6]</w:t>
      </w:r>
      <w:r w:rsidRPr="00226EA0">
        <w:t xml:space="preserve"> bodipy,</w:t>
      </w:r>
      <w:r w:rsidRPr="00226EA0">
        <w:rPr>
          <w:vertAlign w:val="superscript"/>
        </w:rPr>
        <w:t>[7]</w:t>
      </w:r>
      <w:r w:rsidRPr="00226EA0">
        <w:t xml:space="preserve"> and structural isomers of porphyrins</w:t>
      </w:r>
      <w:r w:rsidRPr="00226EA0">
        <w:rPr>
          <w:vertAlign w:val="superscript"/>
        </w:rPr>
        <w:t>[8]</w:t>
      </w:r>
      <w:r w:rsidRPr="00226EA0">
        <w:t xml:space="preserve"> have also been exploited for this purpose.  Furthermore, in recent work molecular engineering has been applied in the preparation of elegant multi-modular donor-acceptor systems that are capable of wide-band capture and of generating the long sought after long-lived charge-separated states upon photoexcitation.</w:t>
      </w:r>
      <w:r w:rsidRPr="00226EA0">
        <w:rPr>
          <w:vertAlign w:val="superscript"/>
        </w:rPr>
        <w:t>[9]</w:t>
      </w:r>
      <w:r>
        <w:t xml:space="preserve"> </w:t>
      </w:r>
      <w:r w:rsidRPr="00226EA0">
        <w:t>The utilization of tribasic corroles in the construction of donor-acceptor systems has been a focus of attention in recent years because of their metal cation coordinative properties and other unique features that make them distinct from porphyrins, including easier oxidation.</w:t>
      </w:r>
      <w:r w:rsidRPr="00226EA0">
        <w:rPr>
          <w:vertAlign w:val="superscript"/>
        </w:rPr>
        <w:t>[10]</w:t>
      </w:r>
      <w:r w:rsidRPr="00226EA0">
        <w:t xml:space="preserve"> Consequently, there already exist a few reports on donor-acceptor dyads featuring corroles as photosensitizer/electron donor.</w:t>
      </w:r>
      <w:r w:rsidRPr="00226EA0">
        <w:rPr>
          <w:vertAlign w:val="superscript"/>
        </w:rPr>
        <w:t>[5]</w:t>
      </w:r>
      <w:r w:rsidRPr="00226EA0">
        <w:t xml:space="preserve">  However, application of corroles as electron acceptors has hardly been studied,</w:t>
      </w:r>
      <w:r w:rsidRPr="00226EA0">
        <w:rPr>
          <w:vertAlign w:val="superscript"/>
        </w:rPr>
        <w:t>[5i,j]</w:t>
      </w:r>
      <w:r w:rsidRPr="00226EA0">
        <w:t xml:space="preserve"> primarily due to the lack of a corrole or metallocorrole derivative with an appropriate facile reduction potential.  The exception to this generalization is provided by the recently reported copper(III) corroles that are known to undergo facile reduction from copper(III) to copper(II).</w:t>
      </w:r>
      <w:r w:rsidRPr="00226EA0">
        <w:rPr>
          <w:vertAlign w:val="superscript"/>
        </w:rPr>
        <w:t>[11]</w:t>
      </w:r>
      <w:r w:rsidRPr="00226EA0">
        <w:t xml:space="preserve"> In the majority of copper(III) corroles, the Cu</w:t>
      </w:r>
      <w:r w:rsidRPr="00226EA0">
        <w:rPr>
          <w:vertAlign w:val="superscript"/>
        </w:rPr>
        <w:t>III/II</w:t>
      </w:r>
      <w:r w:rsidRPr="00226EA0">
        <w:t xml:space="preserve"> reduction potential is lower than that of the widely used electron acceptors such as fullerenes</w:t>
      </w:r>
      <w:r w:rsidRPr="00226EA0">
        <w:rPr>
          <w:vertAlign w:val="superscript"/>
        </w:rPr>
        <w:t>[12]</w:t>
      </w:r>
      <w:r w:rsidRPr="00226EA0">
        <w:t xml:space="preserve"> and quinones.</w:t>
      </w:r>
      <w:r w:rsidRPr="00226EA0">
        <w:rPr>
          <w:vertAlign w:val="superscript"/>
        </w:rPr>
        <w:t>[13]</w:t>
      </w:r>
      <w:r>
        <w:t xml:space="preserve"> </w:t>
      </w:r>
      <w:r w:rsidRPr="002053E6">
        <w:t xml:space="preserve">In the present study, we have exploited this novel property of copper(III) corrole in the construction of covalently linked donor-acceptor dyad, triad and pentad using zinc(II) </w:t>
      </w:r>
      <w:r w:rsidR="002621A5">
        <w:t>porphyrin as an electron donor.</w:t>
      </w:r>
      <w:r w:rsidRPr="002053E6">
        <w:t xml:space="preserve"> </w:t>
      </w:r>
    </w:p>
    <w:p w:rsidR="002053E6" w:rsidRPr="00BF3A14" w:rsidRDefault="00226EA0" w:rsidP="00BF3A14">
      <w:pPr>
        <w:pStyle w:val="P1"/>
        <w:spacing w:before="120"/>
        <w:ind w:firstLine="425"/>
      </w:pPr>
      <w:r w:rsidRPr="002053E6">
        <w:t xml:space="preserve">Several corrole-porphyrin conjugates have been reported over the past ten years. Multistep sequential syntheses have been described by Paolesse, Smith, Zheng and coworkers to afford directly unsymmetrical corrole-porphyrin dyads or containing spacers with linkage through their </w:t>
      </w:r>
      <w:r w:rsidRPr="002053E6">
        <w:rPr>
          <w:i/>
        </w:rPr>
        <w:t>meso</w:t>
      </w:r>
      <w:r w:rsidRPr="002053E6">
        <w:t>-positions.</w:t>
      </w:r>
      <w:r w:rsidRPr="002053E6">
        <w:rPr>
          <w:vertAlign w:val="superscript"/>
        </w:rPr>
        <w:t>[14-16]</w:t>
      </w:r>
      <w:r w:rsidRPr="002053E6">
        <w:t xml:space="preserve"> Also, Guilard, Kadish and coworkers have described the electrochemistry, photophysics and catalytic properties of several cofacial corrole-porphyrin hybrids containing different transition metal cations.</w:t>
      </w:r>
      <w:r w:rsidRPr="002053E6">
        <w:rPr>
          <w:vertAlign w:val="superscript"/>
        </w:rPr>
        <w:t>[17-26]</w:t>
      </w:r>
      <w:r w:rsidRPr="002053E6">
        <w:t xml:space="preserve"> Other synthetic pathways reported in the literature have involved the preparation of individual corrole and porphyrin moieties followed by their intermolecular linkage. Osuka and coworkers</w:t>
      </w:r>
      <w:r w:rsidRPr="002053E6">
        <w:rPr>
          <w:vertAlign w:val="superscript"/>
        </w:rPr>
        <w:t>[27]</w:t>
      </w:r>
      <w:r w:rsidRPr="002053E6">
        <w:t xml:space="preserve"> reported preparation of </w:t>
      </w:r>
      <w:r w:rsidRPr="002053E6">
        <w:rPr>
          <w:i/>
        </w:rPr>
        <w:t>β,β</w:t>
      </w:r>
      <w:r w:rsidRPr="002053E6">
        <w:t xml:space="preserve">-linked corrole dimers by using Suzuki–Miyaura cross-coupling (after regioselective Ir-catalyzed direct borylation) while Gryko has disclosed preparation of </w:t>
      </w:r>
      <w:r w:rsidRPr="002053E6">
        <w:rPr>
          <w:i/>
        </w:rPr>
        <w:t>meso-meso</w:t>
      </w:r>
      <w:r w:rsidRPr="002053E6">
        <w:t>-corrole-porphyrin dyad containing a</w:t>
      </w:r>
      <w:r w:rsidR="002621A5">
        <w:t>n</w:t>
      </w:r>
      <w:r w:rsidRPr="002053E6">
        <w:t xml:space="preserve"> amide and imide spacer.</w:t>
      </w:r>
      <w:r w:rsidRPr="002053E6">
        <w:rPr>
          <w:vertAlign w:val="superscript"/>
        </w:rPr>
        <w:t>[28-29]</w:t>
      </w:r>
      <w:r w:rsidRPr="002053E6">
        <w:t xml:space="preserve"> </w:t>
      </w:r>
      <w:r w:rsidR="00BF3A14">
        <w:t xml:space="preserve"> In recent years, we</w:t>
      </w:r>
      <w:r w:rsidRPr="00226EA0">
        <w:t xml:space="preserve"> have focused on the synthesis and functionalization of corrole.</w:t>
      </w:r>
      <w:r w:rsidRPr="00226EA0">
        <w:rPr>
          <w:vertAlign w:val="superscript"/>
        </w:rPr>
        <w:t>[30-38]</w:t>
      </w:r>
      <w:r w:rsidRPr="00226EA0">
        <w:t xml:space="preserve"> </w:t>
      </w:r>
      <w:r w:rsidR="00BF3A14">
        <w:t>One such example involves</w:t>
      </w:r>
      <w:r w:rsidRPr="00226EA0">
        <w:t xml:space="preserve"> a high yielding preparation of a bis-porphyrin-corrole triad employing nucleophilic aromatic substitution of pyrimidinyl-substituted corroles involving phenolic porphyrins.</w:t>
      </w:r>
      <w:r w:rsidRPr="00226EA0">
        <w:rPr>
          <w:vertAlign w:val="superscript"/>
        </w:rPr>
        <w:t>[30]</w:t>
      </w:r>
      <w:r w:rsidRPr="00226EA0">
        <w:t xml:space="preserve"> The first report of the application of the click reaction in tetrapyrrole chemistry was made by Collman and Chidsey in 2006.</w:t>
      </w:r>
      <w:r w:rsidRPr="00226EA0">
        <w:rPr>
          <w:vertAlign w:val="superscript"/>
        </w:rPr>
        <w:t>[39]</w:t>
      </w:r>
      <w:r w:rsidRPr="00226EA0">
        <w:t xml:space="preserve"> Recently, Le Pleux </w:t>
      </w:r>
      <w:r w:rsidRPr="0029386A">
        <w:rPr>
          <w:i/>
        </w:rPr>
        <w:t>et. al.</w:t>
      </w:r>
      <w:r w:rsidRPr="00226EA0">
        <w:t xml:space="preserve"> described multiporphyrin arrays with different metal centers constructed by using the click reaction.</w:t>
      </w:r>
      <w:r w:rsidRPr="00226EA0">
        <w:rPr>
          <w:vertAlign w:val="superscript"/>
        </w:rPr>
        <w:t>[40]</w:t>
      </w:r>
      <w:r w:rsidRPr="00226EA0">
        <w:t xml:space="preserve"> In this work, we describe an investigation of different corrole-porphyrin conjugates prepared using the click reaction. The structures of the newly prepared donor-acceptor conjugates are shown in Figure 1 together with those of the control compounds.</w:t>
      </w:r>
      <w:r w:rsidRPr="00226EA0">
        <w:rPr>
          <w:vertAlign w:val="superscript"/>
        </w:rPr>
        <w:t>[41]</w:t>
      </w:r>
      <w:r w:rsidRPr="00226EA0">
        <w:t xml:space="preserve"> Here we report not only the high yielding synthesis of the porphyrin-corrole dyads but also provide definitive spectroscopic evidence for the occurrence of photo-induced electron transfer within these conjugates. Covalent linkage of the different units was </w:t>
      </w:r>
    </w:p>
    <w:p w:rsidR="002053E6" w:rsidRPr="002053E6" w:rsidRDefault="00BF3A14" w:rsidP="002053E6">
      <w:pPr>
        <w:pStyle w:val="H1"/>
        <w:rPr>
          <w:sz w:val="17"/>
          <w:lang w:val="en-US"/>
        </w:rPr>
      </w:pPr>
      <w:r>
        <w:rPr>
          <w:b w:val="0"/>
          <w:noProof/>
          <w:sz w:val="17"/>
          <w:lang w:val="en-US" w:eastAsia="en-US"/>
        </w:rPr>
        <w:drawing>
          <wp:anchor distT="0" distB="0" distL="114300" distR="114300" simplePos="0" relativeHeight="251623936" behindDoc="0" locked="0" layoutInCell="1" allowOverlap="1">
            <wp:simplePos x="0" y="0"/>
            <wp:positionH relativeFrom="column">
              <wp:posOffset>188003</wp:posOffset>
            </wp:positionH>
            <wp:positionV relativeFrom="paragraph">
              <wp:posOffset>175684</wp:posOffset>
            </wp:positionV>
            <wp:extent cx="2550220" cy="3887627"/>
            <wp:effectExtent l="2540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14" cstate="print">
                      <a:grayscl/>
                      <a:lum/>
                      <a:alphaModFix/>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3201" r="27612"/>
                    <a:stretch/>
                  </pic:blipFill>
                  <pic:spPr bwMode="auto">
                    <a:xfrm>
                      <a:off x="0" y="0"/>
                      <a:ext cx="2550220" cy="388762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2053E6" w:rsidRDefault="002053E6" w:rsidP="002053E6">
      <w:pPr>
        <w:pStyle w:val="H1"/>
        <w:jc w:val="both"/>
        <w:rPr>
          <w:b w:val="0"/>
          <w:sz w:val="17"/>
          <w:lang w:val="en-US"/>
        </w:rPr>
      </w:pPr>
    </w:p>
    <w:p w:rsidR="002053E6" w:rsidRDefault="002053E6" w:rsidP="002053E6">
      <w:pPr>
        <w:pStyle w:val="H1"/>
        <w:jc w:val="both"/>
        <w:rPr>
          <w:b w:val="0"/>
          <w:sz w:val="17"/>
          <w:lang w:val="en-US"/>
        </w:rPr>
      </w:pPr>
    </w:p>
    <w:p w:rsidR="002053E6" w:rsidRDefault="002053E6" w:rsidP="002053E6">
      <w:pPr>
        <w:pStyle w:val="H1"/>
        <w:jc w:val="both"/>
        <w:rPr>
          <w:b w:val="0"/>
          <w:sz w:val="17"/>
          <w:lang w:val="en-US"/>
        </w:rPr>
      </w:pPr>
    </w:p>
    <w:p w:rsidR="002053E6" w:rsidRDefault="002053E6" w:rsidP="002053E6">
      <w:pPr>
        <w:pStyle w:val="H1"/>
        <w:jc w:val="both"/>
        <w:rPr>
          <w:b w:val="0"/>
          <w:sz w:val="17"/>
          <w:lang w:val="en-US"/>
        </w:rPr>
      </w:pPr>
    </w:p>
    <w:p w:rsidR="002053E6" w:rsidRDefault="002053E6" w:rsidP="002053E6">
      <w:pPr>
        <w:pStyle w:val="H1"/>
        <w:jc w:val="both"/>
        <w:rPr>
          <w:b w:val="0"/>
          <w:sz w:val="17"/>
          <w:lang w:val="en-US"/>
        </w:rPr>
      </w:pPr>
    </w:p>
    <w:p w:rsidR="002053E6" w:rsidRDefault="002053E6" w:rsidP="002053E6">
      <w:pPr>
        <w:pStyle w:val="H1"/>
        <w:jc w:val="both"/>
        <w:rPr>
          <w:b w:val="0"/>
          <w:sz w:val="17"/>
          <w:lang w:val="en-US"/>
        </w:rPr>
      </w:pPr>
    </w:p>
    <w:p w:rsidR="002053E6" w:rsidRDefault="002053E6" w:rsidP="002053E6">
      <w:pPr>
        <w:pStyle w:val="H1"/>
        <w:jc w:val="both"/>
        <w:rPr>
          <w:b w:val="0"/>
          <w:sz w:val="17"/>
          <w:lang w:val="en-US"/>
        </w:rPr>
      </w:pPr>
    </w:p>
    <w:p w:rsidR="00613BDA" w:rsidRDefault="00613BDA" w:rsidP="00613BDA">
      <w:pPr>
        <w:pStyle w:val="FigureCaption"/>
      </w:pPr>
    </w:p>
    <w:p w:rsidR="00226EA0" w:rsidRPr="00226EA0" w:rsidRDefault="002053E6" w:rsidP="00BF3A14">
      <w:pPr>
        <w:pStyle w:val="FigureCaption"/>
        <w:spacing w:before="120" w:after="240"/>
        <w:rPr>
          <w:b/>
        </w:rPr>
      </w:pPr>
      <w:r w:rsidRPr="00613BDA">
        <w:rPr>
          <w:b/>
        </w:rPr>
        <w:t>Figure 1</w:t>
      </w:r>
      <w:r w:rsidRPr="002053E6">
        <w:t xml:space="preserve">.  Structure of the zinc porphyrin-copper corrole donor-acceptor conjugates, and the control compounds investigated in the present study. </w:t>
      </w:r>
    </w:p>
    <w:p w:rsidR="00F44C1C" w:rsidRDefault="00BF3A14" w:rsidP="00BF3A14">
      <w:pPr>
        <w:pStyle w:val="H1"/>
        <w:spacing w:before="120" w:after="120"/>
        <w:rPr>
          <w:b w:val="0"/>
          <w:sz w:val="17"/>
          <w:lang w:val="en-US"/>
        </w:rPr>
      </w:pPr>
      <w:r w:rsidRPr="00226EA0">
        <w:rPr>
          <w:b w:val="0"/>
          <w:sz w:val="17"/>
          <w:lang w:val="en-US"/>
        </w:rPr>
        <w:t>accomplished using the well-known click chemistry involving formation of 1,2,3-triazole moieties.</w:t>
      </w:r>
      <w:r w:rsidRPr="00226EA0">
        <w:rPr>
          <w:b w:val="0"/>
          <w:sz w:val="17"/>
          <w:vertAlign w:val="superscript"/>
          <w:lang w:val="en-US"/>
        </w:rPr>
        <w:t>[42]</w:t>
      </w:r>
      <w:r>
        <w:rPr>
          <w:b w:val="0"/>
          <w:sz w:val="17"/>
          <w:lang w:val="en-US"/>
        </w:rPr>
        <w:t xml:space="preserve"> </w:t>
      </w:r>
      <w:r w:rsidRPr="00226EA0">
        <w:rPr>
          <w:b w:val="0"/>
          <w:sz w:val="17"/>
          <w:lang w:val="en-US"/>
        </w:rPr>
        <w:t>Synthetic details are given in the experimental sect</w:t>
      </w:r>
      <w:r>
        <w:rPr>
          <w:b w:val="0"/>
          <w:sz w:val="17"/>
          <w:lang w:val="en-US"/>
        </w:rPr>
        <w:t>ion and Supporting Information.</w:t>
      </w:r>
      <w:r w:rsidRPr="00226EA0">
        <w:rPr>
          <w:b w:val="0"/>
          <w:sz w:val="17"/>
          <w:lang w:val="en-US"/>
        </w:rPr>
        <w:t xml:space="preserve"> Purity of the compounds was confirmed by thin layer chromatography while structures were confirmed using </w:t>
      </w:r>
      <w:r w:rsidRPr="00226EA0">
        <w:rPr>
          <w:b w:val="0"/>
          <w:sz w:val="17"/>
          <w:vertAlign w:val="superscript"/>
          <w:lang w:val="en-US"/>
        </w:rPr>
        <w:t>1</w:t>
      </w:r>
      <w:r w:rsidRPr="00226EA0">
        <w:rPr>
          <w:b w:val="0"/>
          <w:sz w:val="17"/>
          <w:lang w:val="en-US"/>
        </w:rPr>
        <w:t xml:space="preserve">H and </w:t>
      </w:r>
      <w:r w:rsidRPr="00226EA0">
        <w:rPr>
          <w:b w:val="0"/>
          <w:sz w:val="17"/>
          <w:vertAlign w:val="superscript"/>
          <w:lang w:val="en-US"/>
        </w:rPr>
        <w:t>13</w:t>
      </w:r>
      <w:r w:rsidRPr="00226EA0">
        <w:rPr>
          <w:b w:val="0"/>
          <w:sz w:val="17"/>
          <w:lang w:val="en-US"/>
        </w:rPr>
        <w:t>C NMR, mass spectrometric, and spectroscopic studies.  All compounds were ESR silent indicating that copper corrole, CuC, exists as Cu(III)C. Photoinduced electron transfer in these donor-acceptor conjugates was established and studied using femtosecond transient absorption spectroscopy.</w:t>
      </w:r>
    </w:p>
    <w:p w:rsidR="00D672E6" w:rsidRDefault="00D672E6" w:rsidP="00BF3A14">
      <w:pPr>
        <w:pStyle w:val="H1"/>
        <w:spacing w:before="120" w:after="120"/>
      </w:pPr>
      <w:r>
        <w:t>Results and Discussion</w:t>
      </w:r>
    </w:p>
    <w:p w:rsidR="00343D05" w:rsidRDefault="00F81D95" w:rsidP="00F81D95">
      <w:pPr>
        <w:pStyle w:val="P1"/>
      </w:pPr>
      <w:r w:rsidRPr="00F81D95">
        <w:rPr>
          <w:b/>
        </w:rPr>
        <w:t xml:space="preserve">Synthesis. </w:t>
      </w:r>
      <w:r w:rsidRPr="00F81D95">
        <w:t xml:space="preserve">Four different reaction conditions were investigated in the optimization of the synthetic procedure to the corrole-porphyrin conjugates from azidocorrole </w:t>
      </w:r>
      <w:r w:rsidRPr="00F81D95">
        <w:rPr>
          <w:b/>
        </w:rPr>
        <w:t xml:space="preserve">1 </w:t>
      </w:r>
      <w:r w:rsidRPr="00F81D95">
        <w:t xml:space="preserve">and porphyrins </w:t>
      </w:r>
      <w:r w:rsidRPr="00F81D95">
        <w:rPr>
          <w:b/>
        </w:rPr>
        <w:t>2-4</w:t>
      </w:r>
      <w:r w:rsidR="00343D05">
        <w:t xml:space="preserve"> (Scheme </w:t>
      </w:r>
      <w:r w:rsidRPr="00F81D95">
        <w:t>1, Table 1). The active catalytic species for the coupling is Cu(I), whic</w:t>
      </w:r>
      <w:r w:rsidR="00650874">
        <w:t>h</w:t>
      </w:r>
      <w:r w:rsidRPr="00F81D95">
        <w:t xml:space="preserve"> can be introduced directly using Cu(I) salts or by its </w:t>
      </w:r>
      <w:r w:rsidRPr="00F81D95">
        <w:rPr>
          <w:i/>
        </w:rPr>
        <w:t>in situ</w:t>
      </w:r>
      <w:r w:rsidRPr="00F81D95">
        <w:t xml:space="preserve"> generation by reduction of Cu(II). Reactions were carried out in the presence of an excess of Cu-corrole </w:t>
      </w:r>
      <w:r w:rsidRPr="00F81D95">
        <w:rPr>
          <w:b/>
        </w:rPr>
        <w:t>1</w:t>
      </w:r>
      <w:r w:rsidRPr="00F81D95">
        <w:t xml:space="preserve"> with reaction monitored by using thin layer chromatography (t.l.c.).</w:t>
      </w:r>
    </w:p>
    <w:p w:rsidR="00F44C1C" w:rsidRDefault="00F44C1C" w:rsidP="00F81D95">
      <w:pPr>
        <w:pStyle w:val="P1"/>
      </w:pPr>
    </w:p>
    <w:p w:rsidR="00F44C1C" w:rsidRDefault="00F44C1C" w:rsidP="00F81D95">
      <w:pPr>
        <w:pStyle w:val="P1"/>
      </w:pPr>
      <w:r>
        <w:rPr>
          <w:noProof/>
          <w:lang w:eastAsia="en-US"/>
        </w:rPr>
        <w:drawing>
          <wp:anchor distT="0" distB="0" distL="114300" distR="114300" simplePos="0" relativeHeight="251657728" behindDoc="0" locked="0" layoutInCell="1" allowOverlap="1">
            <wp:simplePos x="0" y="0"/>
            <wp:positionH relativeFrom="column">
              <wp:posOffset>-11430</wp:posOffset>
            </wp:positionH>
            <wp:positionV relativeFrom="paragraph">
              <wp:posOffset>15875</wp:posOffset>
            </wp:positionV>
            <wp:extent cx="3098800" cy="4025900"/>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098800" cy="4025900"/>
                    </a:xfrm>
                    <a:prstGeom prst="rect">
                      <a:avLst/>
                    </a:prstGeom>
                    <a:solidFill>
                      <a:schemeClr val="bg1"/>
                    </a:solidFill>
                    <a:ln w="9525">
                      <a:noFill/>
                      <a:miter lim="800000"/>
                      <a:headEnd/>
                      <a:tailEnd/>
                    </a:ln>
                  </pic:spPr>
                </pic:pic>
              </a:graphicData>
            </a:graphic>
          </wp:anchor>
        </w:drawing>
      </w: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43D05" w:rsidRDefault="00343D05" w:rsidP="00F81D95">
      <w:pPr>
        <w:pStyle w:val="P1"/>
      </w:pPr>
    </w:p>
    <w:p w:rsidR="003E62C1" w:rsidRDefault="00343D05" w:rsidP="00650874">
      <w:pPr>
        <w:pStyle w:val="FigureCaption"/>
        <w:spacing w:before="120" w:after="240"/>
        <w:rPr>
          <w:b/>
        </w:rPr>
      </w:pPr>
      <w:r>
        <w:t xml:space="preserve">Scheme 1: </w:t>
      </w:r>
      <w:r w:rsidRPr="00343D05">
        <w:t>Click synthesis of the conjugates</w:t>
      </w:r>
      <w:r w:rsidRPr="00343D05">
        <w:rPr>
          <w:b/>
        </w:rPr>
        <w:t xml:space="preserve"> 5</w:t>
      </w:r>
      <w:r w:rsidRPr="00343D05">
        <w:t>,</w:t>
      </w:r>
      <w:r w:rsidRPr="00343D05">
        <w:rPr>
          <w:b/>
        </w:rPr>
        <w:t xml:space="preserve"> 6 </w:t>
      </w:r>
      <w:r w:rsidRPr="00343D05">
        <w:t>and</w:t>
      </w:r>
      <w:r w:rsidRPr="00343D05">
        <w:rPr>
          <w:b/>
        </w:rPr>
        <w:t xml:space="preserve"> 7</w:t>
      </w:r>
    </w:p>
    <w:p w:rsidR="003E62C1" w:rsidRDefault="003E62C1" w:rsidP="00650874">
      <w:pPr>
        <w:pStyle w:val="P1"/>
        <w:ind w:firstLine="425"/>
        <w:rPr>
          <w:b/>
          <w:bCs/>
        </w:rPr>
      </w:pPr>
      <w:r w:rsidRPr="00F81D95">
        <w:t xml:space="preserve">Dyad </w:t>
      </w:r>
      <w:r w:rsidRPr="00F81D95">
        <w:rPr>
          <w:b/>
        </w:rPr>
        <w:t xml:space="preserve">5 </w:t>
      </w:r>
      <w:r w:rsidRPr="00F81D95">
        <w:t xml:space="preserve">was obtained in 88% yield if Cu(I) was added directly in the form of CuI while yields as high as 94% could be obtained by employing </w:t>
      </w:r>
      <w:r w:rsidRPr="00F81D95">
        <w:rPr>
          <w:i/>
        </w:rPr>
        <w:t>in situ</w:t>
      </w:r>
      <w:r w:rsidRPr="00F81D95">
        <w:t xml:space="preserve"> formation of Cu(I) catalyst by reduction of copper(II) sulfate with ascorbic acid. Hu and Wang have described acid and base promoted click reactions.</w:t>
      </w:r>
      <w:r w:rsidRPr="00F81D95">
        <w:rPr>
          <w:vertAlign w:val="superscript"/>
        </w:rPr>
        <w:t>[44,45]</w:t>
      </w:r>
      <w:r w:rsidRPr="00F81D95">
        <w:t xml:space="preserve"> By applying this procedure to our system, essentially quantitative yields could be obtained after 24 h. A similar result was obtained if </w:t>
      </w:r>
      <w:r w:rsidRPr="00F81D95">
        <w:rPr>
          <w:bCs/>
        </w:rPr>
        <w:t>tetrakis</w:t>
      </w:r>
      <w:r w:rsidRPr="00F81D95">
        <w:t>(</w:t>
      </w:r>
      <w:r w:rsidRPr="00F81D95">
        <w:rPr>
          <w:bCs/>
        </w:rPr>
        <w:t>acetonitrile</w:t>
      </w:r>
      <w:r w:rsidRPr="00F81D95">
        <w:t>)</w:t>
      </w:r>
      <w:r w:rsidRPr="00F81D95">
        <w:rPr>
          <w:bCs/>
        </w:rPr>
        <w:t>copper</w:t>
      </w:r>
      <w:r w:rsidRPr="00F81D95">
        <w:t xml:space="preserve">(I) </w:t>
      </w:r>
      <w:r w:rsidRPr="00F81D95">
        <w:rPr>
          <w:bCs/>
        </w:rPr>
        <w:t>hexafluorophosphate ([Cu(CH</w:t>
      </w:r>
      <w:r w:rsidRPr="00F81D95">
        <w:rPr>
          <w:bCs/>
          <w:vertAlign w:val="subscript"/>
        </w:rPr>
        <w:t>3</w:t>
      </w:r>
      <w:r w:rsidRPr="00F81D95">
        <w:rPr>
          <w:bCs/>
        </w:rPr>
        <w:t>CN)</w:t>
      </w:r>
      <w:r w:rsidRPr="00F81D95">
        <w:rPr>
          <w:bCs/>
          <w:vertAlign w:val="subscript"/>
        </w:rPr>
        <w:t>4</w:t>
      </w:r>
      <w:r w:rsidRPr="00F81D95">
        <w:rPr>
          <w:bCs/>
        </w:rPr>
        <w:t>]PF</w:t>
      </w:r>
      <w:r w:rsidRPr="00F81D95">
        <w:rPr>
          <w:bCs/>
          <w:vertAlign w:val="subscript"/>
        </w:rPr>
        <w:t>6</w:t>
      </w:r>
      <w:r w:rsidRPr="00F81D95">
        <w:rPr>
          <w:bCs/>
        </w:rPr>
        <w:t xml:space="preserve">) was added as catalyst. </w:t>
      </w:r>
      <w:r w:rsidRPr="00F81D95">
        <w:t xml:space="preserve">For the synthesis of triad </w:t>
      </w:r>
      <w:r w:rsidRPr="00F81D95">
        <w:rPr>
          <w:b/>
        </w:rPr>
        <w:t xml:space="preserve">6 </w:t>
      </w:r>
      <w:r w:rsidRPr="00F81D95">
        <w:t xml:space="preserve">and pentad </w:t>
      </w:r>
      <w:r w:rsidRPr="00F81D95">
        <w:rPr>
          <w:b/>
        </w:rPr>
        <w:t>7</w:t>
      </w:r>
      <w:r w:rsidRPr="00F81D95">
        <w:t xml:space="preserve">, reaction conditions with the three highest yields for the dyad were selected. The yields for the click reaction of copper corrole </w:t>
      </w:r>
      <w:r w:rsidRPr="00F81D95">
        <w:rPr>
          <w:b/>
        </w:rPr>
        <w:t>1</w:t>
      </w:r>
      <w:r w:rsidRPr="00F81D95">
        <w:t xml:space="preserve"> and bis-acetylenyl porphyrin </w:t>
      </w:r>
      <w:r w:rsidRPr="00F81D95">
        <w:rPr>
          <w:b/>
        </w:rPr>
        <w:t>3</w:t>
      </w:r>
      <w:r w:rsidRPr="00F81D95">
        <w:t xml:space="preserve"> leading to triad </w:t>
      </w:r>
      <w:r w:rsidRPr="00F81D95">
        <w:rPr>
          <w:b/>
        </w:rPr>
        <w:t xml:space="preserve">6 </w:t>
      </w:r>
      <w:r w:rsidRPr="00F81D95">
        <w:t xml:space="preserve">were slightly lower than for the dyad at 89 and 73% for the </w:t>
      </w:r>
      <w:r w:rsidRPr="00F81D95">
        <w:rPr>
          <w:i/>
        </w:rPr>
        <w:t>in situ</w:t>
      </w:r>
      <w:r w:rsidRPr="00F81D95">
        <w:t xml:space="preserve"> reduced CuSO</w:t>
      </w:r>
      <w:r w:rsidRPr="00F81D95">
        <w:rPr>
          <w:vertAlign w:val="subscript"/>
        </w:rPr>
        <w:t>4</w:t>
      </w:r>
      <w:r w:rsidRPr="00F81D95">
        <w:t xml:space="preserve"> pentahydrate and acid-base mediated CuI catalyst, respectively. As expected, the yields from the same reaction were reduced further to 79 and 63%, respectively, for the preparation of pentad </w:t>
      </w:r>
      <w:r w:rsidRPr="00F81D95">
        <w:rPr>
          <w:b/>
        </w:rPr>
        <w:t xml:space="preserve">7 </w:t>
      </w:r>
      <w:r w:rsidRPr="00F81D95">
        <w:t xml:space="preserve">from tetra-acetylenyl porphyrin </w:t>
      </w:r>
      <w:r w:rsidRPr="00F81D95">
        <w:rPr>
          <w:b/>
        </w:rPr>
        <w:t xml:space="preserve">4 </w:t>
      </w:r>
      <w:r w:rsidRPr="00F81D95">
        <w:t xml:space="preserve">and azidocorrole </w:t>
      </w:r>
      <w:r w:rsidRPr="00F81D95">
        <w:rPr>
          <w:b/>
        </w:rPr>
        <w:t>1</w:t>
      </w:r>
      <w:r w:rsidRPr="00F81D95">
        <w:t xml:space="preserve">. </w:t>
      </w:r>
      <w:r w:rsidRPr="00F81D95">
        <w:rPr>
          <w:bCs/>
        </w:rPr>
        <w:t>([Cu(CH</w:t>
      </w:r>
      <w:r w:rsidRPr="00F81D95">
        <w:rPr>
          <w:bCs/>
          <w:vertAlign w:val="subscript"/>
        </w:rPr>
        <w:t>3</w:t>
      </w:r>
      <w:r w:rsidRPr="00F81D95">
        <w:rPr>
          <w:bCs/>
        </w:rPr>
        <w:t>CN)</w:t>
      </w:r>
      <w:r w:rsidRPr="00F81D95">
        <w:rPr>
          <w:bCs/>
          <w:vertAlign w:val="subscript"/>
        </w:rPr>
        <w:t>4</w:t>
      </w:r>
      <w:r w:rsidRPr="00F81D95">
        <w:rPr>
          <w:bCs/>
        </w:rPr>
        <w:t>]PF</w:t>
      </w:r>
      <w:r w:rsidRPr="00F81D95">
        <w:rPr>
          <w:bCs/>
          <w:vertAlign w:val="subscript"/>
        </w:rPr>
        <w:t xml:space="preserve">6 </w:t>
      </w:r>
      <w:r w:rsidRPr="00F81D95">
        <w:rPr>
          <w:bCs/>
        </w:rPr>
        <w:t xml:space="preserve">gave the most satisfying results with no significant reduction in yield observed for </w:t>
      </w:r>
      <w:r w:rsidRPr="00F81D95">
        <w:rPr>
          <w:b/>
          <w:bCs/>
        </w:rPr>
        <w:t xml:space="preserve">6 </w:t>
      </w:r>
      <w:r w:rsidRPr="00F81D95">
        <w:rPr>
          <w:bCs/>
        </w:rPr>
        <w:t>and</w:t>
      </w:r>
      <w:r w:rsidRPr="00F81D95">
        <w:rPr>
          <w:b/>
          <w:bCs/>
        </w:rPr>
        <w:t xml:space="preserve"> 7. </w:t>
      </w:r>
    </w:p>
    <w:p w:rsidR="003E62C1" w:rsidRDefault="003E62C1" w:rsidP="003E62C1">
      <w:pPr>
        <w:pStyle w:val="P1"/>
        <w:rPr>
          <w:b/>
          <w:bCs/>
        </w:rPr>
      </w:pPr>
    </w:p>
    <w:tbl>
      <w:tblPr>
        <w:tblW w:w="0" w:type="auto"/>
        <w:tblInd w:w="108" w:type="dxa"/>
        <w:tblLayout w:type="fixed"/>
        <w:tblLook w:val="01E0"/>
      </w:tblPr>
      <w:tblGrid>
        <w:gridCol w:w="1593"/>
        <w:gridCol w:w="1187"/>
        <w:gridCol w:w="1087"/>
        <w:gridCol w:w="953"/>
      </w:tblGrid>
      <w:tr w:rsidR="00613BDA" w:rsidRPr="00F01D4C">
        <w:tc>
          <w:tcPr>
            <w:tcW w:w="4820" w:type="dxa"/>
            <w:gridSpan w:val="4"/>
            <w:tcBorders>
              <w:bottom w:val="single" w:sz="8" w:space="0" w:color="auto"/>
            </w:tcBorders>
            <w:shd w:val="clear" w:color="auto" w:fill="auto"/>
          </w:tcPr>
          <w:p w:rsidR="00613BDA" w:rsidRPr="00343D05" w:rsidRDefault="00613BDA" w:rsidP="004D509B">
            <w:pPr>
              <w:pStyle w:val="TableCaption"/>
              <w:rPr>
                <w:b/>
                <w:lang w:val="en-US"/>
              </w:rPr>
            </w:pPr>
            <w:r w:rsidRPr="00174265">
              <w:rPr>
                <w:b/>
                <w:lang w:val="en-US"/>
              </w:rPr>
              <w:t xml:space="preserve">Table 1: </w:t>
            </w:r>
            <w:r w:rsidRPr="00174265">
              <w:rPr>
                <w:lang w:val="en-US"/>
              </w:rPr>
              <w:t>Isolated yields (%) of conjugates 5-7 with different copper catalysts.</w:t>
            </w:r>
            <w:r w:rsidRPr="00174265">
              <w:rPr>
                <w:b/>
                <w:lang w:val="en-US"/>
              </w:rPr>
              <w:t xml:space="preserve"> </w:t>
            </w:r>
          </w:p>
        </w:tc>
      </w:tr>
      <w:tr w:rsidR="00613BDA" w:rsidRPr="00EA067A">
        <w:tc>
          <w:tcPr>
            <w:tcW w:w="1593" w:type="dxa"/>
            <w:tcBorders>
              <w:top w:val="single" w:sz="8" w:space="0" w:color="auto"/>
              <w:bottom w:val="single" w:sz="8" w:space="0" w:color="auto"/>
            </w:tcBorders>
          </w:tcPr>
          <w:p w:rsidR="00613BDA" w:rsidRPr="00EA067A" w:rsidRDefault="00613BDA" w:rsidP="004D509B">
            <w:pPr>
              <w:pStyle w:val="TableHead"/>
            </w:pPr>
          </w:p>
        </w:tc>
        <w:tc>
          <w:tcPr>
            <w:tcW w:w="1187" w:type="dxa"/>
            <w:tcBorders>
              <w:top w:val="single" w:sz="8" w:space="0" w:color="auto"/>
              <w:bottom w:val="single" w:sz="8" w:space="0" w:color="auto"/>
            </w:tcBorders>
          </w:tcPr>
          <w:p w:rsidR="00613BDA" w:rsidRPr="00F81D95" w:rsidRDefault="00613BDA" w:rsidP="004D509B">
            <w:pPr>
              <w:pStyle w:val="TableBody"/>
              <w:jc w:val="center"/>
            </w:pPr>
            <w:r w:rsidRPr="00F81D95">
              <w:t xml:space="preserve">Dyad </w:t>
            </w:r>
            <w:r w:rsidRPr="00F81D95">
              <w:rPr>
                <w:b/>
              </w:rPr>
              <w:t>5</w:t>
            </w:r>
          </w:p>
        </w:tc>
        <w:tc>
          <w:tcPr>
            <w:tcW w:w="1087" w:type="dxa"/>
            <w:tcBorders>
              <w:top w:val="single" w:sz="8" w:space="0" w:color="auto"/>
              <w:bottom w:val="single" w:sz="8" w:space="0" w:color="auto"/>
            </w:tcBorders>
          </w:tcPr>
          <w:p w:rsidR="00613BDA" w:rsidRPr="00F81D95" w:rsidRDefault="00613BDA" w:rsidP="004D509B">
            <w:pPr>
              <w:pStyle w:val="TableBody"/>
              <w:jc w:val="center"/>
              <w:rPr>
                <w:vertAlign w:val="subscript"/>
              </w:rPr>
            </w:pPr>
            <w:r w:rsidRPr="00F81D95">
              <w:t xml:space="preserve">Triad </w:t>
            </w:r>
            <w:r w:rsidRPr="00F81D95">
              <w:rPr>
                <w:b/>
              </w:rPr>
              <w:t>6</w:t>
            </w:r>
          </w:p>
        </w:tc>
        <w:tc>
          <w:tcPr>
            <w:tcW w:w="953" w:type="dxa"/>
            <w:tcBorders>
              <w:top w:val="single" w:sz="8" w:space="0" w:color="auto"/>
              <w:bottom w:val="single" w:sz="8" w:space="0" w:color="auto"/>
            </w:tcBorders>
          </w:tcPr>
          <w:p w:rsidR="00613BDA" w:rsidRPr="00F81D95" w:rsidRDefault="00613BDA" w:rsidP="004D509B">
            <w:pPr>
              <w:pStyle w:val="TableBody"/>
              <w:jc w:val="center"/>
            </w:pPr>
            <w:r w:rsidRPr="00F81D95">
              <w:t xml:space="preserve">Pentad </w:t>
            </w:r>
            <w:r w:rsidRPr="00F81D95">
              <w:rPr>
                <w:b/>
              </w:rPr>
              <w:t>7</w:t>
            </w:r>
          </w:p>
        </w:tc>
      </w:tr>
      <w:tr w:rsidR="00613BDA" w:rsidRPr="00EA067A">
        <w:tc>
          <w:tcPr>
            <w:tcW w:w="1593" w:type="dxa"/>
            <w:tcBorders>
              <w:top w:val="single" w:sz="8" w:space="0" w:color="auto"/>
            </w:tcBorders>
          </w:tcPr>
          <w:p w:rsidR="00613BDA" w:rsidRPr="00F81D95" w:rsidRDefault="00613BDA" w:rsidP="004D509B">
            <w:pPr>
              <w:pStyle w:val="TableBody"/>
              <w:jc w:val="center"/>
            </w:pPr>
            <w:r w:rsidRPr="00F81D95">
              <w:t>CuI</w:t>
            </w:r>
            <w:r w:rsidRPr="00613BDA">
              <w:rPr>
                <w:vertAlign w:val="superscript"/>
              </w:rPr>
              <w:t>[</w:t>
            </w:r>
            <w:r w:rsidRPr="00F81D95">
              <w:rPr>
                <w:vertAlign w:val="superscript"/>
              </w:rPr>
              <w:t>a</w:t>
            </w:r>
            <w:r>
              <w:rPr>
                <w:vertAlign w:val="superscript"/>
              </w:rPr>
              <w:t>]</w:t>
            </w:r>
          </w:p>
        </w:tc>
        <w:tc>
          <w:tcPr>
            <w:tcW w:w="1187" w:type="dxa"/>
            <w:tcBorders>
              <w:top w:val="single" w:sz="8" w:space="0" w:color="auto"/>
            </w:tcBorders>
          </w:tcPr>
          <w:p w:rsidR="00613BDA" w:rsidRPr="00F81D95" w:rsidRDefault="00613BDA" w:rsidP="004D509B">
            <w:pPr>
              <w:pStyle w:val="TableBody"/>
              <w:jc w:val="center"/>
            </w:pPr>
            <w:r w:rsidRPr="00F81D95">
              <w:t>88</w:t>
            </w:r>
          </w:p>
        </w:tc>
        <w:tc>
          <w:tcPr>
            <w:tcW w:w="1087" w:type="dxa"/>
            <w:tcBorders>
              <w:top w:val="single" w:sz="8" w:space="0" w:color="auto"/>
            </w:tcBorders>
          </w:tcPr>
          <w:p w:rsidR="00613BDA" w:rsidRPr="00324724" w:rsidRDefault="00613BDA" w:rsidP="004D509B">
            <w:pPr>
              <w:pStyle w:val="TableBody"/>
              <w:jc w:val="center"/>
            </w:pPr>
          </w:p>
        </w:tc>
        <w:tc>
          <w:tcPr>
            <w:tcW w:w="953" w:type="dxa"/>
            <w:tcBorders>
              <w:top w:val="single" w:sz="8" w:space="0" w:color="auto"/>
            </w:tcBorders>
          </w:tcPr>
          <w:p w:rsidR="00613BDA" w:rsidRPr="00324724" w:rsidRDefault="00613BDA" w:rsidP="004D509B">
            <w:pPr>
              <w:pStyle w:val="TableBody"/>
              <w:jc w:val="center"/>
            </w:pPr>
          </w:p>
        </w:tc>
      </w:tr>
      <w:tr w:rsidR="00613BDA" w:rsidRPr="00EA067A">
        <w:tc>
          <w:tcPr>
            <w:tcW w:w="1593" w:type="dxa"/>
            <w:tcBorders>
              <w:top w:val="single" w:sz="8" w:space="0" w:color="auto"/>
            </w:tcBorders>
          </w:tcPr>
          <w:p w:rsidR="00613BDA" w:rsidRPr="00F81D95" w:rsidRDefault="00613BDA" w:rsidP="004D509B">
            <w:pPr>
              <w:pStyle w:val="TableBody"/>
              <w:jc w:val="center"/>
            </w:pPr>
            <w:r w:rsidRPr="00F81D95">
              <w:t>CuSO</w:t>
            </w:r>
            <w:r w:rsidRPr="00F81D95">
              <w:rPr>
                <w:vertAlign w:val="subscript"/>
              </w:rPr>
              <w:t>4</w:t>
            </w:r>
            <w:r w:rsidRPr="00F81D95">
              <w:t>·5H</w:t>
            </w:r>
            <w:r w:rsidRPr="00F81D95">
              <w:rPr>
                <w:vertAlign w:val="subscript"/>
              </w:rPr>
              <w:t>2</w:t>
            </w:r>
            <w:r w:rsidRPr="00F81D95">
              <w:t xml:space="preserve">O/ascorbic </w:t>
            </w:r>
            <w:r w:rsidRPr="00174265">
              <w:rPr>
                <w:vertAlign w:val="subscript"/>
              </w:rPr>
              <w:t>acid</w:t>
            </w:r>
            <w:r>
              <w:rPr>
                <w:vertAlign w:val="subscript"/>
              </w:rPr>
              <w:t>[</w:t>
            </w:r>
            <w:r w:rsidRPr="00174265">
              <w:rPr>
                <w:vertAlign w:val="subscript"/>
              </w:rPr>
              <w:t>b</w:t>
            </w:r>
            <w:r>
              <w:rPr>
                <w:vertAlign w:val="superscript"/>
              </w:rPr>
              <w:t>]</w:t>
            </w:r>
          </w:p>
        </w:tc>
        <w:tc>
          <w:tcPr>
            <w:tcW w:w="1187" w:type="dxa"/>
            <w:tcBorders>
              <w:top w:val="single" w:sz="8" w:space="0" w:color="auto"/>
            </w:tcBorders>
          </w:tcPr>
          <w:p w:rsidR="00613BDA" w:rsidRPr="00F81D95" w:rsidRDefault="00613BDA" w:rsidP="004D509B">
            <w:pPr>
              <w:pStyle w:val="TableBody"/>
              <w:jc w:val="center"/>
            </w:pPr>
            <w:r w:rsidRPr="00F81D95">
              <w:t>94</w:t>
            </w:r>
          </w:p>
        </w:tc>
        <w:tc>
          <w:tcPr>
            <w:tcW w:w="1087" w:type="dxa"/>
            <w:tcBorders>
              <w:top w:val="single" w:sz="8" w:space="0" w:color="auto"/>
            </w:tcBorders>
          </w:tcPr>
          <w:p w:rsidR="00613BDA" w:rsidRPr="00F81D95" w:rsidRDefault="00613BDA" w:rsidP="004D509B">
            <w:pPr>
              <w:pStyle w:val="TableBody"/>
              <w:jc w:val="center"/>
            </w:pPr>
            <w:r w:rsidRPr="00F81D95">
              <w:t>89</w:t>
            </w:r>
          </w:p>
        </w:tc>
        <w:tc>
          <w:tcPr>
            <w:tcW w:w="953" w:type="dxa"/>
            <w:tcBorders>
              <w:top w:val="single" w:sz="8" w:space="0" w:color="auto"/>
            </w:tcBorders>
          </w:tcPr>
          <w:p w:rsidR="00613BDA" w:rsidRPr="00F81D95" w:rsidRDefault="00613BDA" w:rsidP="004D509B">
            <w:pPr>
              <w:pStyle w:val="TableBody"/>
              <w:jc w:val="center"/>
            </w:pPr>
            <w:r w:rsidRPr="00F81D95">
              <w:t>79</w:t>
            </w:r>
          </w:p>
        </w:tc>
      </w:tr>
      <w:tr w:rsidR="00613BDA" w:rsidRPr="00EA067A">
        <w:tc>
          <w:tcPr>
            <w:tcW w:w="1593" w:type="dxa"/>
            <w:tcBorders>
              <w:top w:val="single" w:sz="8" w:space="0" w:color="auto"/>
            </w:tcBorders>
          </w:tcPr>
          <w:p w:rsidR="00613BDA" w:rsidRPr="00F81D95" w:rsidRDefault="00613BDA" w:rsidP="004D509B">
            <w:pPr>
              <w:pStyle w:val="TableBody"/>
              <w:jc w:val="center"/>
              <w:rPr>
                <w:vertAlign w:val="superscript"/>
              </w:rPr>
            </w:pPr>
            <w:r w:rsidRPr="00F81D95">
              <w:t>CuI/DIPEA/acetic acid</w:t>
            </w:r>
            <w:r>
              <w:rPr>
                <w:vertAlign w:val="superscript"/>
              </w:rPr>
              <w:t>[</w:t>
            </w:r>
            <w:r w:rsidRPr="00F81D95">
              <w:rPr>
                <w:vertAlign w:val="superscript"/>
              </w:rPr>
              <w:t>c</w:t>
            </w:r>
            <w:r>
              <w:rPr>
                <w:vertAlign w:val="superscript"/>
              </w:rPr>
              <w:t>]</w:t>
            </w:r>
          </w:p>
        </w:tc>
        <w:tc>
          <w:tcPr>
            <w:tcW w:w="1187" w:type="dxa"/>
            <w:tcBorders>
              <w:top w:val="single" w:sz="8" w:space="0" w:color="auto"/>
            </w:tcBorders>
          </w:tcPr>
          <w:p w:rsidR="00613BDA" w:rsidRPr="00F81D95" w:rsidRDefault="00613BDA" w:rsidP="004D509B">
            <w:pPr>
              <w:pStyle w:val="TableBody"/>
              <w:jc w:val="center"/>
            </w:pPr>
            <w:r w:rsidRPr="00F81D95">
              <w:t>quantitative</w:t>
            </w:r>
          </w:p>
        </w:tc>
        <w:tc>
          <w:tcPr>
            <w:tcW w:w="1087" w:type="dxa"/>
            <w:tcBorders>
              <w:top w:val="single" w:sz="8" w:space="0" w:color="auto"/>
            </w:tcBorders>
          </w:tcPr>
          <w:p w:rsidR="00613BDA" w:rsidRPr="00F81D95" w:rsidRDefault="00613BDA" w:rsidP="004D509B">
            <w:pPr>
              <w:pStyle w:val="TableBody"/>
              <w:jc w:val="center"/>
            </w:pPr>
            <w:r w:rsidRPr="00F81D95">
              <w:t>73</w:t>
            </w:r>
          </w:p>
        </w:tc>
        <w:tc>
          <w:tcPr>
            <w:tcW w:w="953" w:type="dxa"/>
            <w:tcBorders>
              <w:top w:val="single" w:sz="8" w:space="0" w:color="auto"/>
            </w:tcBorders>
          </w:tcPr>
          <w:p w:rsidR="00613BDA" w:rsidRPr="00F81D95" w:rsidRDefault="00613BDA" w:rsidP="004D509B">
            <w:pPr>
              <w:pStyle w:val="TableBody"/>
              <w:jc w:val="center"/>
            </w:pPr>
            <w:r w:rsidRPr="00F81D95">
              <w:t>63</w:t>
            </w:r>
          </w:p>
        </w:tc>
      </w:tr>
      <w:tr w:rsidR="00613BDA" w:rsidRPr="00EA067A">
        <w:tc>
          <w:tcPr>
            <w:tcW w:w="1593" w:type="dxa"/>
            <w:tcBorders>
              <w:bottom w:val="single" w:sz="8" w:space="0" w:color="auto"/>
            </w:tcBorders>
          </w:tcPr>
          <w:p w:rsidR="00613BDA" w:rsidRPr="00F81D95" w:rsidRDefault="00613BDA" w:rsidP="004D509B">
            <w:pPr>
              <w:pStyle w:val="TableBody"/>
              <w:jc w:val="center"/>
              <w:rPr>
                <w:b/>
              </w:rPr>
            </w:pPr>
            <w:r w:rsidRPr="00F81D95">
              <w:t>[Cu(CH</w:t>
            </w:r>
            <w:r w:rsidRPr="00F81D95">
              <w:rPr>
                <w:vertAlign w:val="subscript"/>
              </w:rPr>
              <w:t>3</w:t>
            </w:r>
            <w:r w:rsidRPr="00F81D95">
              <w:t>CN)</w:t>
            </w:r>
            <w:r w:rsidRPr="00F81D95">
              <w:rPr>
                <w:vertAlign w:val="subscript"/>
              </w:rPr>
              <w:t>4</w:t>
            </w:r>
            <w:r w:rsidRPr="00F81D95">
              <w:t>]PF</w:t>
            </w:r>
            <w:r w:rsidRPr="00F81D95">
              <w:rPr>
                <w:vertAlign w:val="subscript"/>
              </w:rPr>
              <w:t>6</w:t>
            </w:r>
            <w:r w:rsidRPr="00174265">
              <w:rPr>
                <w:vertAlign w:val="superscript"/>
              </w:rPr>
              <w:t>[</w:t>
            </w:r>
            <w:r w:rsidRPr="00F81D95">
              <w:rPr>
                <w:vertAlign w:val="superscript"/>
              </w:rPr>
              <w:t>d</w:t>
            </w:r>
            <w:r>
              <w:rPr>
                <w:vertAlign w:val="superscript"/>
              </w:rPr>
              <w:t>]</w:t>
            </w:r>
          </w:p>
        </w:tc>
        <w:tc>
          <w:tcPr>
            <w:tcW w:w="1187" w:type="dxa"/>
            <w:tcBorders>
              <w:bottom w:val="single" w:sz="8" w:space="0" w:color="auto"/>
            </w:tcBorders>
          </w:tcPr>
          <w:p w:rsidR="00613BDA" w:rsidRPr="00F81D95" w:rsidRDefault="00613BDA" w:rsidP="004D509B">
            <w:pPr>
              <w:pStyle w:val="TableBody"/>
              <w:jc w:val="center"/>
            </w:pPr>
            <w:r w:rsidRPr="00F81D95">
              <w:t>quantitative</w:t>
            </w:r>
          </w:p>
        </w:tc>
        <w:tc>
          <w:tcPr>
            <w:tcW w:w="1087" w:type="dxa"/>
            <w:tcBorders>
              <w:bottom w:val="single" w:sz="8" w:space="0" w:color="auto"/>
            </w:tcBorders>
          </w:tcPr>
          <w:p w:rsidR="00613BDA" w:rsidRPr="00F81D95" w:rsidRDefault="00613BDA" w:rsidP="004D509B">
            <w:pPr>
              <w:pStyle w:val="TableBody"/>
              <w:jc w:val="center"/>
            </w:pPr>
            <w:r w:rsidRPr="00F81D95">
              <w:t>99</w:t>
            </w:r>
          </w:p>
        </w:tc>
        <w:tc>
          <w:tcPr>
            <w:tcW w:w="953" w:type="dxa"/>
            <w:tcBorders>
              <w:bottom w:val="single" w:sz="8" w:space="0" w:color="auto"/>
            </w:tcBorders>
          </w:tcPr>
          <w:p w:rsidR="00613BDA" w:rsidRPr="00F81D95" w:rsidRDefault="00613BDA" w:rsidP="004D509B">
            <w:pPr>
              <w:pStyle w:val="TableBody"/>
              <w:jc w:val="center"/>
            </w:pPr>
            <w:r w:rsidRPr="00F81D95">
              <w:t>98</w:t>
            </w:r>
          </w:p>
        </w:tc>
      </w:tr>
      <w:tr w:rsidR="00613BDA" w:rsidRPr="00F54B9B">
        <w:tc>
          <w:tcPr>
            <w:tcW w:w="4820" w:type="dxa"/>
            <w:gridSpan w:val="4"/>
            <w:tcBorders>
              <w:top w:val="single" w:sz="8" w:space="0" w:color="auto"/>
            </w:tcBorders>
          </w:tcPr>
          <w:p w:rsidR="00613BDA" w:rsidRPr="00324724" w:rsidRDefault="00613BDA" w:rsidP="004D509B">
            <w:pPr>
              <w:pStyle w:val="TableFoot"/>
            </w:pPr>
            <w:r>
              <w:t xml:space="preserve">[a] </w:t>
            </w:r>
            <w:r w:rsidRPr="00F81D95">
              <w:t>aceton</w:t>
            </w:r>
            <w:r>
              <w:t>itrile, dichloromethane, rt, 3d.</w:t>
            </w:r>
            <w:r w:rsidRPr="00C2552A">
              <w:t xml:space="preserve"> [b] </w:t>
            </w:r>
            <w:r w:rsidRPr="00F81D95">
              <w:t>DMF, 50 °C, 3d.</w:t>
            </w:r>
            <w:r>
              <w:t xml:space="preserve"> [c]</w:t>
            </w:r>
            <w:r w:rsidRPr="00F81D95">
              <w:t xml:space="preserve"> rt, 1d.</w:t>
            </w:r>
            <w:r>
              <w:t xml:space="preserve"> [d] </w:t>
            </w:r>
            <w:r w:rsidRPr="001B0712">
              <w:rPr>
                <w:lang w:val="de-DE"/>
              </w:rPr>
              <w:t>dichloromethane, 80 °C, 12-24h.</w:t>
            </w:r>
          </w:p>
        </w:tc>
      </w:tr>
    </w:tbl>
    <w:p w:rsidR="00DB25BD" w:rsidRDefault="00DB25BD" w:rsidP="00010CD9">
      <w:pPr>
        <w:pStyle w:val="P1"/>
        <w:rPr>
          <w:b/>
        </w:rPr>
      </w:pPr>
    </w:p>
    <w:p w:rsidR="00F81D95" w:rsidRPr="00010CD9" w:rsidRDefault="00010CD9" w:rsidP="00010CD9">
      <w:pPr>
        <w:pStyle w:val="P1"/>
      </w:pPr>
      <w:r w:rsidRPr="00010CD9">
        <w:rPr>
          <w:b/>
        </w:rPr>
        <w:t>Absorbance and Emission Studies</w:t>
      </w:r>
      <w:r>
        <w:rPr>
          <w:b/>
        </w:rPr>
        <w:t>.</w:t>
      </w:r>
      <w:r w:rsidR="007A685F">
        <w:rPr>
          <w:b/>
          <w:lang w:val="de-DE"/>
        </w:rPr>
        <w:t xml:space="preserve"> </w:t>
      </w:r>
      <w:r w:rsidRPr="00010CD9">
        <w:rPr>
          <w:lang w:val="de-DE"/>
        </w:rPr>
        <w:t>Figure 2a shows the absorption spectra of representative compounds in benzonitrile.  ZnP exhibits a Soret band at 428 nm, and bands in the visible range at 557 and 598 nm, respectively.  The Soret band of CuC appears at 413 nm with broad spectral features in the vi</w:t>
      </w:r>
      <w:r w:rsidR="002621A5">
        <w:rPr>
          <w:lang w:val="de-DE"/>
        </w:rPr>
        <w:t>sible range between 500-660 nm.</w:t>
      </w:r>
      <w:r w:rsidRPr="00010CD9">
        <w:rPr>
          <w:lang w:val="de-DE"/>
        </w:rPr>
        <w:t xml:space="preserve"> The spectrum of a mixture of equivalent amounts of ZnP and CuC is similar to that of the ZnP-CuC dyad.  The spectra of the triad and pentad were also simple additions of the spectra of the respective stoichiometric amounts of their individual components.  These observations suggest a lack of significant intramolecular int</w:t>
      </w:r>
      <w:r w:rsidR="002621A5">
        <w:rPr>
          <w:lang w:val="de-DE"/>
        </w:rPr>
        <w:t>eractions between the entities.</w:t>
      </w:r>
      <w:r w:rsidRPr="00010CD9">
        <w:rPr>
          <w:lang w:val="de-DE"/>
        </w:rPr>
        <w:t xml:space="preserve"> At 400 nm, the excitation wavelength of our femtosecond transient spectrometer, about 75% of the absorbance was due to CuC while about 25% was due to ZnP in the case of the dyad.</w:t>
      </w:r>
    </w:p>
    <w:p w:rsidR="00DB25BD" w:rsidRDefault="00DB25BD" w:rsidP="007A685F">
      <w:pPr>
        <w:pStyle w:val="P1"/>
        <w:ind w:firstLine="425"/>
      </w:pPr>
      <w:r w:rsidRPr="00010CD9">
        <w:t>Fluorescence spectra of the conjugates and the control co</w:t>
      </w:r>
      <w:r w:rsidR="002621A5">
        <w:t>mpounds are shown in Figure 2b.</w:t>
      </w:r>
      <w:r w:rsidRPr="00010CD9">
        <w:t xml:space="preserve"> The emission spectrum of ZnP contains peaks at 608 and 660 nm</w:t>
      </w:r>
      <w:r w:rsidR="002621A5">
        <w:t xml:space="preserve"> while CuC was non-fluorescent.</w:t>
      </w:r>
      <w:r w:rsidRPr="00010CD9">
        <w:t xml:space="preserve"> ZnP emission was quenched by less than 5% when equimolar CuC was added to the solution suggesting a lack of intermolecular association, which would lead to fluorescence </w:t>
      </w:r>
      <w:r w:rsidR="002621A5">
        <w:t>quenching between the entities.</w:t>
      </w:r>
      <w:r w:rsidRPr="00010CD9">
        <w:t xml:space="preserve"> Conversely, in the covalently linked conjugates, strong quenching was observed at 96% for ZnP-CuC, and over 99% in the case of ZnP(CuC)</w:t>
      </w:r>
      <w:r w:rsidRPr="00010CD9">
        <w:rPr>
          <w:vertAlign w:val="subscript"/>
        </w:rPr>
        <w:t>2</w:t>
      </w:r>
      <w:r w:rsidRPr="00010CD9">
        <w:t xml:space="preserve"> and ZnP-(CuC)</w:t>
      </w:r>
      <w:r w:rsidRPr="00010CD9">
        <w:rPr>
          <w:vertAlign w:val="subscript"/>
        </w:rPr>
        <w:t>4</w:t>
      </w:r>
      <w:r w:rsidR="002621A5">
        <w:t>.</w:t>
      </w:r>
      <w:r w:rsidRPr="00010CD9">
        <w:t xml:space="preserve"> Varying the excitation wavelength from 428 nm to 557 nm of ZnP lead to similar</w:t>
      </w:r>
      <w:r w:rsidR="002621A5">
        <w:t xml:space="preserve"> spectral and quenching trends.</w:t>
      </w:r>
      <w:r w:rsidRPr="00010CD9">
        <w:t xml:space="preserve"> These results suggest the occurrence of intramolecular events from singlet excited state of ZnP (</w:t>
      </w:r>
      <w:r w:rsidRPr="00010CD9">
        <w:rPr>
          <w:vertAlign w:val="superscript"/>
        </w:rPr>
        <w:t>1</w:t>
      </w:r>
      <w:r w:rsidRPr="00010CD9">
        <w:t xml:space="preserve">ZnP*) to CuC in the conjugates. </w:t>
      </w:r>
    </w:p>
    <w:p w:rsidR="00DB25BD" w:rsidRDefault="00DB25BD" w:rsidP="00D672E6">
      <w:pPr>
        <w:pStyle w:val="P1"/>
        <w:rPr>
          <w:b/>
        </w:rPr>
      </w:pPr>
    </w:p>
    <w:p w:rsidR="00D672E6" w:rsidRPr="005D1EBB" w:rsidRDefault="00DB25BD" w:rsidP="007A685F">
      <w:pPr>
        <w:pStyle w:val="P1"/>
      </w:pPr>
      <w:r w:rsidRPr="00010CD9">
        <w:rPr>
          <w:b/>
        </w:rPr>
        <w:t>Electrochemical and Spectroelectrochemical Studies</w:t>
      </w:r>
      <w:r>
        <w:rPr>
          <w:b/>
        </w:rPr>
        <w:t xml:space="preserve">. </w:t>
      </w:r>
      <w:r w:rsidRPr="00010CD9">
        <w:t xml:space="preserve">Differential pulse voltammograms (DPVs) of the ZnP-CuC dyad along with control compounds (CuC </w:t>
      </w:r>
      <w:r w:rsidR="002621A5">
        <w:t>and ZnP) are shown in Figure 3.</w:t>
      </w:r>
      <w:r w:rsidRPr="00010CD9">
        <w:t xml:space="preserve"> The first reduction of Cu</w:t>
      </w:r>
      <w:r w:rsidRPr="00010CD9">
        <w:rPr>
          <w:vertAlign w:val="superscript"/>
        </w:rPr>
        <w:t>III</w:t>
      </w:r>
      <w:r w:rsidRPr="00010CD9">
        <w:t>C is located at -0.61 V vs. Fc/Fc</w:t>
      </w:r>
      <w:r w:rsidRPr="00010CD9">
        <w:rPr>
          <w:vertAlign w:val="superscript"/>
        </w:rPr>
        <w:t>+</w:t>
      </w:r>
      <w:r w:rsidRPr="00010CD9">
        <w:t xml:space="preserve"> indicating that it is nearly 400 mV easier to reduce than the other popular electron acceptors, C</w:t>
      </w:r>
      <w:r w:rsidRPr="00010CD9">
        <w:rPr>
          <w:vertAlign w:val="subscript"/>
        </w:rPr>
        <w:t>60</w:t>
      </w:r>
      <w:r w:rsidRPr="00010CD9">
        <w:t xml:space="preserve"> and benzoquinone,</w:t>
      </w:r>
      <w:r w:rsidRPr="00010CD9">
        <w:rPr>
          <w:vertAlign w:val="superscript"/>
        </w:rPr>
        <w:t>[12a,13a]</w:t>
      </w:r>
      <w:r w:rsidRPr="00010CD9">
        <w:t xml:space="preserve"> signifying its potential as an electron acceptor in building donor-acceptor conjugates.</w:t>
      </w:r>
    </w:p>
    <w:p w:rsidR="00010CD9" w:rsidRDefault="00C503DB" w:rsidP="00D672E6">
      <w:pPr>
        <w:pStyle w:val="SchemeCaption"/>
        <w:rPr>
          <w:b/>
        </w:rPr>
      </w:pPr>
      <w:r>
        <w:rPr>
          <w:b/>
          <w:noProof/>
          <w:lang w:val="en-US" w:eastAsia="en-US"/>
        </w:rPr>
        <w:drawing>
          <wp:anchor distT="0" distB="0" distL="114300" distR="114300" simplePos="0" relativeHeight="251674112" behindDoc="0" locked="0" layoutInCell="1" allowOverlap="1">
            <wp:simplePos x="0" y="0"/>
            <wp:positionH relativeFrom="column">
              <wp:posOffset>419100</wp:posOffset>
            </wp:positionH>
            <wp:positionV relativeFrom="paragraph">
              <wp:posOffset>118745</wp:posOffset>
            </wp:positionV>
            <wp:extent cx="2522855" cy="319786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a.tif"/>
                    <pic:cNvPicPr/>
                  </pic:nvPicPr>
                  <pic:blipFill rotWithShape="1">
                    <a:blip r:embed="rId16" cstate="print">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5667" t="1507" r="31561" b="4653"/>
                    <a:stretch/>
                  </pic:blipFill>
                  <pic:spPr bwMode="auto">
                    <a:xfrm>
                      <a:off x="0" y="0"/>
                      <a:ext cx="2522855" cy="319786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010CD9" w:rsidRDefault="00010CD9" w:rsidP="00D672E6">
      <w:pPr>
        <w:pStyle w:val="SchemeCaption"/>
        <w:rPr>
          <w:b/>
        </w:rPr>
      </w:pPr>
    </w:p>
    <w:p w:rsidR="00010CD9" w:rsidRDefault="00010CD9" w:rsidP="00D672E6">
      <w:pPr>
        <w:pStyle w:val="SchemeCaption"/>
        <w:rPr>
          <w:b/>
        </w:rPr>
      </w:pPr>
    </w:p>
    <w:p w:rsidR="00010CD9" w:rsidRDefault="00010CD9" w:rsidP="00D672E6">
      <w:pPr>
        <w:pStyle w:val="SchemeCaption"/>
        <w:rPr>
          <w:b/>
        </w:rPr>
      </w:pPr>
    </w:p>
    <w:p w:rsidR="00010CD9" w:rsidRDefault="00010CD9" w:rsidP="00D672E6">
      <w:pPr>
        <w:pStyle w:val="SchemeCaption"/>
        <w:rPr>
          <w:b/>
        </w:rPr>
      </w:pPr>
    </w:p>
    <w:p w:rsidR="00C503DB" w:rsidRDefault="00C503DB" w:rsidP="00D672E6">
      <w:pPr>
        <w:pStyle w:val="SchemeCaption"/>
        <w:rPr>
          <w:b/>
        </w:rPr>
      </w:pPr>
    </w:p>
    <w:p w:rsidR="003E62C1" w:rsidRDefault="003E62C1" w:rsidP="004D509B">
      <w:pPr>
        <w:pStyle w:val="FigureCaption"/>
        <w:rPr>
          <w:b/>
        </w:rPr>
      </w:pPr>
    </w:p>
    <w:p w:rsidR="003E62C1" w:rsidRDefault="003E62C1" w:rsidP="004D509B">
      <w:pPr>
        <w:pStyle w:val="FigureCaption"/>
        <w:rPr>
          <w:b/>
        </w:rPr>
      </w:pPr>
    </w:p>
    <w:p w:rsidR="00010CD9" w:rsidRPr="00010CD9" w:rsidRDefault="00010CD9" w:rsidP="004D246C">
      <w:pPr>
        <w:pStyle w:val="FigureCaption"/>
        <w:spacing w:before="0" w:after="240"/>
      </w:pPr>
      <w:r w:rsidRPr="00010CD9">
        <w:rPr>
          <w:b/>
        </w:rPr>
        <w:t>Figure 2</w:t>
      </w:r>
      <w:r w:rsidRPr="00010CD9">
        <w:t>.  Electronic absorption and fluorescence spectra of the indicated compounds (and a mixture) in benzonitrile.  Concentration was maintained at 2.5 x 10</w:t>
      </w:r>
      <w:r w:rsidRPr="00010CD9">
        <w:rPr>
          <w:vertAlign w:val="superscript"/>
        </w:rPr>
        <w:t>-6</w:t>
      </w:r>
      <w:r w:rsidRPr="00010CD9">
        <w:t xml:space="preserve"> M for all samples. </w:t>
      </w:r>
      <w:r w:rsidRPr="00010CD9">
        <w:rPr>
          <w:rFonts w:hint="eastAsia"/>
        </w:rPr>
        <w:t>λ</w:t>
      </w:r>
      <w:r w:rsidRPr="00010CD9">
        <w:rPr>
          <w:rFonts w:hint="eastAsia"/>
          <w:vertAlign w:val="subscript"/>
        </w:rPr>
        <w:t xml:space="preserve">ex </w:t>
      </w:r>
      <w:r w:rsidRPr="00010CD9">
        <w:t>= 428 nm.</w:t>
      </w:r>
    </w:p>
    <w:p w:rsidR="00010CD9" w:rsidRPr="005814AE" w:rsidRDefault="00010CD9" w:rsidP="004D246C">
      <w:pPr>
        <w:pStyle w:val="P1"/>
        <w:ind w:firstLine="425"/>
        <w:rPr>
          <w:b/>
        </w:rPr>
      </w:pPr>
      <w:r w:rsidRPr="00010CD9">
        <w:t>On the anodic side two oxidations at 0.28 and 0.90 V vs. Fc/Fc</w:t>
      </w:r>
      <w:r w:rsidRPr="00010CD9">
        <w:rPr>
          <w:vertAlign w:val="superscript"/>
        </w:rPr>
        <w:t>+</w:t>
      </w:r>
      <w:r w:rsidRPr="00010CD9">
        <w:t xml:space="preserve"> corresponding to corrole ring oxidati</w:t>
      </w:r>
      <w:r w:rsidR="002621A5">
        <w:t xml:space="preserve">ons were observed (Figure 3a). </w:t>
      </w:r>
      <w:r w:rsidRPr="00010CD9">
        <w:t xml:space="preserve">ZnP, used as an electron donor in the present study, undergoes two oxidations at 0.32 and 0.67 V </w:t>
      </w:r>
      <w:r w:rsidRPr="004D509B">
        <w:rPr>
          <w:i/>
        </w:rPr>
        <w:t xml:space="preserve">vs. </w:t>
      </w:r>
      <w:r w:rsidRPr="00010CD9">
        <w:t>Fc/Fc</w:t>
      </w:r>
      <w:r w:rsidRPr="00010CD9">
        <w:rPr>
          <w:vertAlign w:val="superscript"/>
        </w:rPr>
        <w:t>+</w:t>
      </w:r>
      <w:r w:rsidRPr="00010CD9">
        <w:t xml:space="preserve"> corresponding </w:t>
      </w:r>
      <w:r w:rsidR="002621A5">
        <w:t>to ring oxidations (Figure 3b).</w:t>
      </w:r>
      <w:r w:rsidRPr="00010CD9">
        <w:t xml:space="preserve"> The first reduction of ZnP is</w:t>
      </w:r>
      <w:r w:rsidR="004D509B">
        <w:t xml:space="preserve"> located at -</w:t>
      </w:r>
      <w:r w:rsidRPr="00010CD9">
        <w:t xml:space="preserve">1.79 V </w:t>
      </w:r>
      <w:r w:rsidRPr="004D509B">
        <w:rPr>
          <w:i/>
        </w:rPr>
        <w:t>vs</w:t>
      </w:r>
      <w:r w:rsidRPr="00010CD9">
        <w:t>. Fc/Fc</w:t>
      </w:r>
      <w:r w:rsidRPr="00010CD9">
        <w:rPr>
          <w:vertAlign w:val="superscript"/>
        </w:rPr>
        <w:t>+</w:t>
      </w:r>
      <w:r w:rsidR="002621A5">
        <w:t>.</w:t>
      </w:r>
      <w:r w:rsidRPr="00010CD9">
        <w:t xml:space="preserve"> In the ZnP-CuC dyad, the first reduction of CuC was found to be at the same potential of -0.61 V while the first oxidation process appears as an overlap of the first oxidations of ZnP </w:t>
      </w:r>
      <w:r w:rsidR="002621A5">
        <w:t>and CuC and appeared at 0.30 V.</w:t>
      </w:r>
      <w:r w:rsidRPr="00010CD9">
        <w:t xml:space="preserve"> Other anodic processes were at potentials not significantly differ</w:t>
      </w:r>
      <w:r w:rsidR="002621A5">
        <w:t>ent from the control compounds.</w:t>
      </w:r>
      <w:r w:rsidRPr="00010CD9">
        <w:t xml:space="preserve"> Similar voltammograms were obtained for the triad and pentad although the currents of </w:t>
      </w:r>
      <w:r w:rsidR="002621A5">
        <w:t xml:space="preserve">CuC </w:t>
      </w:r>
      <w:r w:rsidRPr="00010CD9">
        <w:t xml:space="preserve">redox couples were larger as anticipated from the increased number of CuC entities (2 in the case of dyad and 4 in the case of pentad).  </w:t>
      </w:r>
    </w:p>
    <w:p w:rsidR="00010CD9" w:rsidRDefault="00732202" w:rsidP="004D246C">
      <w:pPr>
        <w:pStyle w:val="P1"/>
        <w:ind w:firstLine="425"/>
      </w:pPr>
      <w:r w:rsidRPr="00532E0F">
        <w:rPr>
          <w:rFonts w:cs="Arial"/>
          <w:szCs w:val="16"/>
          <w:lang w:val="de-DE"/>
        </w:rPr>
        <w:t>Further, spectroelectrochemical studies on the control compounds and donor-acceptor dyad were performed to characterize spectrophotometrically the one-electron oxidized and reduced species, which assists in the spectral interpretatio</w:t>
      </w:r>
      <w:r w:rsidR="002621A5">
        <w:rPr>
          <w:rFonts w:cs="Arial"/>
          <w:szCs w:val="16"/>
          <w:lang w:val="de-DE"/>
        </w:rPr>
        <w:t>n of transient absorption data.</w:t>
      </w:r>
      <w:r w:rsidRPr="00532E0F">
        <w:rPr>
          <w:rFonts w:cs="Arial"/>
          <w:szCs w:val="16"/>
          <w:lang w:val="de-DE"/>
        </w:rPr>
        <w:t xml:space="preserve"> The spectra</w:t>
      </w:r>
      <w:r w:rsidR="004D246C">
        <w:rPr>
          <w:rFonts w:cs="Arial"/>
          <w:szCs w:val="16"/>
          <w:lang w:val="de-DE"/>
        </w:rPr>
        <w:t>l</w:t>
      </w:r>
      <w:r w:rsidRPr="00532E0F">
        <w:rPr>
          <w:rFonts w:cs="Arial"/>
          <w:szCs w:val="16"/>
          <w:lang w:val="de-DE"/>
        </w:rPr>
        <w:t xml:space="preserve"> changes observed for Cu</w:t>
      </w:r>
      <w:r w:rsidRPr="00532E0F">
        <w:rPr>
          <w:rFonts w:cs="Arial"/>
          <w:szCs w:val="16"/>
          <w:vertAlign w:val="superscript"/>
          <w:lang w:val="de-DE"/>
        </w:rPr>
        <w:t>III</w:t>
      </w:r>
      <w:r w:rsidRPr="00532E0F">
        <w:rPr>
          <w:rFonts w:cs="Arial"/>
          <w:szCs w:val="16"/>
          <w:lang w:val="de-DE"/>
        </w:rPr>
        <w:t xml:space="preserve">C reduction are typical of spectral changes associated with metal </w:t>
      </w:r>
      <w:r w:rsidR="002621A5">
        <w:rPr>
          <w:rFonts w:cs="Arial"/>
          <w:szCs w:val="16"/>
          <w:lang w:val="de-DE"/>
        </w:rPr>
        <w:t xml:space="preserve">centered reduction. </w:t>
      </w:r>
      <w:r w:rsidRPr="00532E0F">
        <w:rPr>
          <w:rFonts w:cs="Arial"/>
          <w:szCs w:val="16"/>
          <w:lang w:val="de-DE"/>
        </w:rPr>
        <w:t>During reduction, the Soret band located at 414 nm diminished in intensity with the appea</w:t>
      </w:r>
      <w:r w:rsidR="002621A5">
        <w:rPr>
          <w:rFonts w:cs="Arial"/>
          <w:szCs w:val="16"/>
          <w:lang w:val="de-DE"/>
        </w:rPr>
        <w:t xml:space="preserve">rance of a new band at 435 nm. </w:t>
      </w:r>
      <w:r w:rsidRPr="00532E0F">
        <w:rPr>
          <w:rFonts w:cs="Arial"/>
          <w:szCs w:val="16"/>
          <w:lang w:val="de-DE"/>
        </w:rPr>
        <w:t>In the visible region, new peaks at 577 and 610 nm were observed (see Figure S13a).</w:t>
      </w:r>
      <w:r w:rsidRPr="00732202">
        <w:rPr>
          <w:rFonts w:cs="Arial"/>
          <w:szCs w:val="16"/>
          <w:lang w:val="de-DE"/>
        </w:rPr>
        <w:t xml:space="preserve"> </w:t>
      </w:r>
      <w:r w:rsidRPr="00532E0F">
        <w:rPr>
          <w:rFonts w:cs="Arial"/>
          <w:szCs w:val="16"/>
          <w:lang w:val="de-DE"/>
        </w:rPr>
        <w:t>Isosbestic points at 357 and 462 nm were observed and these spectral changes were</w:t>
      </w:r>
      <w:r w:rsidR="002621A5">
        <w:rPr>
          <w:rFonts w:cs="Arial"/>
          <w:szCs w:val="16"/>
          <w:lang w:val="de-DE"/>
        </w:rPr>
        <w:t xml:space="preserve"> found to be fully reversible. </w:t>
      </w:r>
      <w:r w:rsidRPr="00532E0F">
        <w:rPr>
          <w:rFonts w:cs="Arial"/>
          <w:szCs w:val="16"/>
          <w:lang w:val="de-DE"/>
        </w:rPr>
        <w:t xml:space="preserve">During the first oxidation of CuC, the 412 nm peak was diminished and red-shifted as a </w:t>
      </w:r>
      <w:r w:rsidR="002621A5">
        <w:rPr>
          <w:rFonts w:cs="Arial"/>
          <w:szCs w:val="16"/>
          <w:lang w:val="de-DE"/>
        </w:rPr>
        <w:t xml:space="preserve">broad peak centered at 421 nm. </w:t>
      </w:r>
      <w:r w:rsidRPr="00532E0F">
        <w:rPr>
          <w:rFonts w:cs="Arial"/>
          <w:szCs w:val="16"/>
          <w:lang w:val="de-DE"/>
        </w:rPr>
        <w:t>Isosbestic points at 381 and 434 nm were observed (Figure S13b).</w:t>
      </w:r>
    </w:p>
    <w:p w:rsidR="00010CD9" w:rsidRDefault="004D246C" w:rsidP="00010CD9">
      <w:pPr>
        <w:pStyle w:val="P1"/>
      </w:pPr>
      <w:r>
        <w:rPr>
          <w:noProof/>
          <w:lang w:eastAsia="en-US"/>
        </w:rPr>
        <w:drawing>
          <wp:anchor distT="0" distB="0" distL="114300" distR="114300" simplePos="0" relativeHeight="251636224" behindDoc="0" locked="0" layoutInCell="1" allowOverlap="1">
            <wp:simplePos x="0" y="0"/>
            <wp:positionH relativeFrom="column">
              <wp:posOffset>424815</wp:posOffset>
            </wp:positionH>
            <wp:positionV relativeFrom="paragraph">
              <wp:posOffset>121285</wp:posOffset>
            </wp:positionV>
            <wp:extent cx="2218055" cy="26327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8" cstate="print">
                      <a:graysc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6931" t="9206" r="33415" b="13720"/>
                    <a:stretch/>
                  </pic:blipFill>
                  <pic:spPr bwMode="auto">
                    <a:xfrm>
                      <a:off x="0" y="0"/>
                      <a:ext cx="2218055" cy="263271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010CD9" w:rsidRDefault="00010CD9" w:rsidP="00010CD9">
      <w:pPr>
        <w:pStyle w:val="P1"/>
      </w:pPr>
    </w:p>
    <w:p w:rsidR="00010CD9" w:rsidRDefault="00010CD9" w:rsidP="00010CD9">
      <w:pPr>
        <w:pStyle w:val="P1"/>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4D246C" w:rsidRDefault="004D246C" w:rsidP="00010CD9">
      <w:pPr>
        <w:pStyle w:val="P1"/>
        <w:rPr>
          <w:rFonts w:cs="Arial"/>
          <w:color w:val="FF0000"/>
          <w:sz w:val="14"/>
          <w:szCs w:val="16"/>
          <w:lang w:val="en-GB"/>
        </w:rPr>
      </w:pPr>
    </w:p>
    <w:p w:rsidR="005814AE" w:rsidRDefault="005814AE" w:rsidP="00010CD9">
      <w:pPr>
        <w:pStyle w:val="P1"/>
        <w:rPr>
          <w:rFonts w:cs="Arial"/>
          <w:color w:val="FF0000"/>
          <w:sz w:val="14"/>
          <w:szCs w:val="16"/>
          <w:lang w:val="en-GB"/>
        </w:rPr>
      </w:pPr>
    </w:p>
    <w:p w:rsidR="00115C51" w:rsidRDefault="00115C51" w:rsidP="004D246C">
      <w:pPr>
        <w:pStyle w:val="FigureCaption"/>
        <w:spacing w:after="120"/>
        <w:rPr>
          <w:b/>
        </w:rPr>
      </w:pPr>
    </w:p>
    <w:p w:rsidR="005814AE" w:rsidRPr="005814AE" w:rsidRDefault="00115C51" w:rsidP="004D246C">
      <w:pPr>
        <w:pStyle w:val="FigureCaption"/>
        <w:spacing w:before="0" w:after="120"/>
      </w:pPr>
      <w:r>
        <w:rPr>
          <w:b/>
        </w:rPr>
        <w:t xml:space="preserve">Figure </w:t>
      </w:r>
      <w:r w:rsidR="005814AE" w:rsidRPr="005814AE">
        <w:rPr>
          <w:b/>
        </w:rPr>
        <w:t>3</w:t>
      </w:r>
      <w:r>
        <w:t>. D</w:t>
      </w:r>
      <w:r w:rsidR="005814AE" w:rsidRPr="005814AE">
        <w:t>ifferential pulse voltammograms of (a) CuC, (b) ZnP and (c) ZnP-CuC dyad in benzonitrile containing 0.1 M (TBA)ClO</w:t>
      </w:r>
      <w:r w:rsidR="005814AE" w:rsidRPr="005814AE">
        <w:rPr>
          <w:vertAlign w:val="subscript"/>
        </w:rPr>
        <w:t>4</w:t>
      </w:r>
      <w:r w:rsidR="005814AE" w:rsidRPr="005814AE">
        <w:t xml:space="preserve">.  </w:t>
      </w:r>
      <w:r w:rsidR="005814AE" w:rsidRPr="005814AE">
        <w:rPr>
          <w:lang w:val="de-DE"/>
        </w:rPr>
        <w:t>Scan rate = 20 mV/s, pulse width = 50 ms, pulse height = 0.025 V. The ‘*’ corresponds to the oxidation of ferrocene used as an internal standard.</w:t>
      </w:r>
    </w:p>
    <w:p w:rsidR="00532E0F" w:rsidRPr="00532E0F" w:rsidRDefault="002F1B1E" w:rsidP="00010CD9">
      <w:pPr>
        <w:pStyle w:val="P1"/>
        <w:rPr>
          <w:rFonts w:cs="Arial"/>
          <w:color w:val="FF0000"/>
          <w:szCs w:val="16"/>
          <w:lang w:val="en-GB"/>
        </w:rPr>
      </w:pPr>
      <w:r>
        <w:rPr>
          <w:b/>
          <w:noProof/>
          <w:lang w:eastAsia="en-US"/>
        </w:rPr>
        <w:drawing>
          <wp:anchor distT="0" distB="0" distL="114300" distR="114300" simplePos="0" relativeHeight="251642368" behindDoc="0" locked="0" layoutInCell="1" allowOverlap="1">
            <wp:simplePos x="0" y="0"/>
            <wp:positionH relativeFrom="column">
              <wp:posOffset>474345</wp:posOffset>
            </wp:positionH>
            <wp:positionV relativeFrom="paragraph">
              <wp:posOffset>120015</wp:posOffset>
            </wp:positionV>
            <wp:extent cx="2134235" cy="3439795"/>
            <wp:effectExtent l="2540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2739" t="1655" r="33500" b="4416"/>
                    <a:stretch/>
                  </pic:blipFill>
                  <pic:spPr bwMode="auto">
                    <a:xfrm>
                      <a:off x="0" y="0"/>
                      <a:ext cx="2134235" cy="343979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010CD9">
      <w:pPr>
        <w:pStyle w:val="P1"/>
        <w:rPr>
          <w:rFonts w:cs="Arial"/>
          <w:color w:val="FF0000"/>
          <w:sz w:val="14"/>
          <w:szCs w:val="16"/>
          <w:lang w:val="en-GB"/>
        </w:rPr>
      </w:pPr>
    </w:p>
    <w:p w:rsidR="00532E0F" w:rsidRDefault="00532E0F" w:rsidP="00532E0F">
      <w:pPr>
        <w:pStyle w:val="P1"/>
        <w:rPr>
          <w:rFonts w:cs="Arial"/>
          <w:b/>
          <w:szCs w:val="16"/>
        </w:rPr>
      </w:pPr>
    </w:p>
    <w:p w:rsidR="00532E0F" w:rsidRDefault="00532E0F" w:rsidP="00532E0F">
      <w:pPr>
        <w:pStyle w:val="P1"/>
        <w:rPr>
          <w:rFonts w:cs="Arial"/>
          <w:b/>
          <w:szCs w:val="16"/>
        </w:rPr>
      </w:pPr>
    </w:p>
    <w:p w:rsidR="00532E0F" w:rsidRDefault="00532E0F" w:rsidP="004D246C">
      <w:pPr>
        <w:pStyle w:val="FigureCaption"/>
        <w:spacing w:before="120" w:after="120"/>
      </w:pPr>
      <w:r w:rsidRPr="00532E0F">
        <w:rPr>
          <w:b/>
        </w:rPr>
        <w:t>Figure 4.</w:t>
      </w:r>
      <w:r w:rsidRPr="00532E0F">
        <w:t xml:space="preserve"> Spectral changes observed during (a) first reduction and (b) first oxidation of ZnP-CuC dyad in benzonitrile containing 0.1 M (TBA)ClO</w:t>
      </w:r>
      <w:r w:rsidRPr="00532E0F">
        <w:rPr>
          <w:vertAlign w:val="subscript"/>
        </w:rPr>
        <w:t>4</w:t>
      </w:r>
      <w:r w:rsidRPr="00532E0F">
        <w:t>.</w:t>
      </w:r>
    </w:p>
    <w:p w:rsidR="007A3BBB" w:rsidRPr="00532E0F" w:rsidRDefault="007A3BBB" w:rsidP="002F1B1E">
      <w:pPr>
        <w:pStyle w:val="P1"/>
        <w:ind w:firstLine="425"/>
        <w:rPr>
          <w:rFonts w:cs="Arial"/>
          <w:szCs w:val="16"/>
          <w:lang w:val="en-GB"/>
        </w:rPr>
      </w:pPr>
      <w:r w:rsidRPr="00532E0F">
        <w:rPr>
          <w:rFonts w:cs="Arial"/>
          <w:szCs w:val="16"/>
          <w:lang w:val="de-DE"/>
        </w:rPr>
        <w:t>Reduction of ZnP was accompanied by the appearance of new red-shifted peaks at 438, 574 and 615 nm with these spectral changes b</w:t>
      </w:r>
      <w:r w:rsidR="002621A5">
        <w:rPr>
          <w:rFonts w:cs="Arial"/>
          <w:szCs w:val="16"/>
          <w:lang w:val="de-DE"/>
        </w:rPr>
        <w:t xml:space="preserve">eing reversible (Figure S13c). </w:t>
      </w:r>
      <w:r w:rsidRPr="00532E0F">
        <w:rPr>
          <w:rFonts w:cs="Arial"/>
          <w:szCs w:val="16"/>
          <w:lang w:val="de-DE"/>
        </w:rPr>
        <w:t xml:space="preserve">During the first oxidation of ZnP, Soret and visible bands were diminished in intensity with the appearance of new peaks at 370, </w:t>
      </w:r>
      <w:r w:rsidR="002621A5">
        <w:rPr>
          <w:rFonts w:cs="Arial"/>
          <w:szCs w:val="16"/>
          <w:lang w:val="de-DE"/>
        </w:rPr>
        <w:t>454(sh), 602 and 674(br) nm.</w:t>
      </w:r>
      <w:r w:rsidRPr="00532E0F">
        <w:rPr>
          <w:rFonts w:cs="Arial"/>
          <w:szCs w:val="16"/>
          <w:lang w:val="de-DE"/>
        </w:rPr>
        <w:t xml:space="preserve"> These spectral changes were reversible with isosbestic points at 416, 438 and 543 nm (Figure S13d).</w:t>
      </w:r>
    </w:p>
    <w:p w:rsidR="007A3BBB" w:rsidRDefault="00532E0F" w:rsidP="007344BF">
      <w:pPr>
        <w:pStyle w:val="P1"/>
        <w:ind w:firstLine="425"/>
        <w:rPr>
          <w:rFonts w:cs="Arial"/>
          <w:szCs w:val="16"/>
          <w:lang w:val="de-DE"/>
        </w:rPr>
      </w:pPr>
      <w:r w:rsidRPr="00532E0F">
        <w:rPr>
          <w:rFonts w:cs="Arial"/>
          <w:szCs w:val="16"/>
          <w:lang w:val="de-DE"/>
        </w:rPr>
        <w:t xml:space="preserve">Next, the spectroelectrochemical study on the representative ZnP-CuC dyad was performed.  As shown in Figure 4a for the first reduction, new peaks at 575 and 605 nm, that were similar to those observed during reduction </w:t>
      </w:r>
      <w:r w:rsidR="002621A5">
        <w:rPr>
          <w:rFonts w:cs="Arial"/>
          <w:szCs w:val="16"/>
          <w:lang w:val="de-DE"/>
        </w:rPr>
        <w:t>of pristine CuC, were observed.</w:t>
      </w:r>
      <w:r w:rsidRPr="00532E0F">
        <w:rPr>
          <w:rFonts w:cs="Arial"/>
          <w:szCs w:val="16"/>
          <w:lang w:val="de-DE"/>
        </w:rPr>
        <w:t xml:space="preserve"> This confirms formation of ZnP-Cu</w:t>
      </w:r>
      <w:r w:rsidRPr="00532E0F">
        <w:rPr>
          <w:rFonts w:cs="Arial"/>
          <w:szCs w:val="16"/>
          <w:vertAlign w:val="superscript"/>
          <w:lang w:val="de-DE"/>
        </w:rPr>
        <w:t>II</w:t>
      </w:r>
      <w:r w:rsidRPr="00532E0F">
        <w:rPr>
          <w:rFonts w:cs="Arial"/>
          <w:szCs w:val="16"/>
          <w:lang w:val="de-DE"/>
        </w:rPr>
        <w:t>C during the firs</w:t>
      </w:r>
      <w:r w:rsidR="002621A5">
        <w:rPr>
          <w:rFonts w:cs="Arial"/>
          <w:szCs w:val="16"/>
          <w:lang w:val="de-DE"/>
        </w:rPr>
        <w:t>t electroreduction of the dyad.</w:t>
      </w:r>
      <w:r w:rsidRPr="00532E0F">
        <w:rPr>
          <w:rFonts w:cs="Arial"/>
          <w:szCs w:val="16"/>
          <w:lang w:val="de-DE"/>
        </w:rPr>
        <w:t xml:space="preserve"> During the first oxidation, typical blue shifted ZnP Soret and broad spectral features in the 600-700 nm range characteristic of ZnP oxidation were observed (Figure 4b). This confirms formation of ZnP</w:t>
      </w:r>
      <w:r w:rsidRPr="00532E0F">
        <w:rPr>
          <w:rFonts w:cs="Arial"/>
          <w:szCs w:val="16"/>
          <w:vertAlign w:val="superscript"/>
          <w:lang w:val="de-DE"/>
        </w:rPr>
        <w:t>•+</w:t>
      </w:r>
      <w:r w:rsidRPr="00532E0F">
        <w:rPr>
          <w:rFonts w:cs="Arial"/>
          <w:szCs w:val="16"/>
          <w:lang w:val="de-DE"/>
        </w:rPr>
        <w:t>-CuC during electrooxidation of the dyad.  Observation of these peaks during transient spectral studies would confirm photoinduced electron transfer leading to formation of the ZnP</w:t>
      </w:r>
      <w:r w:rsidRPr="00532E0F">
        <w:rPr>
          <w:rFonts w:cs="Arial"/>
          <w:szCs w:val="16"/>
          <w:vertAlign w:val="superscript"/>
          <w:lang w:val="de-DE"/>
        </w:rPr>
        <w:t>•+</w:t>
      </w:r>
      <w:r w:rsidRPr="00532E0F">
        <w:rPr>
          <w:rFonts w:cs="Arial"/>
          <w:szCs w:val="16"/>
          <w:lang w:val="de-DE"/>
        </w:rPr>
        <w:t>-Cu</w:t>
      </w:r>
      <w:r w:rsidRPr="00532E0F">
        <w:rPr>
          <w:rFonts w:cs="Arial"/>
          <w:szCs w:val="16"/>
          <w:vertAlign w:val="superscript"/>
          <w:lang w:val="de-DE"/>
        </w:rPr>
        <w:t>II</w:t>
      </w:r>
      <w:r w:rsidRPr="00532E0F">
        <w:rPr>
          <w:rFonts w:cs="Arial"/>
          <w:szCs w:val="16"/>
          <w:lang w:val="de-DE"/>
        </w:rPr>
        <w:t>C radical ion-pair in these donor-acceptor conjugates.</w:t>
      </w:r>
    </w:p>
    <w:p w:rsidR="00532E0F" w:rsidRDefault="00532E0F" w:rsidP="00010CD9">
      <w:pPr>
        <w:pStyle w:val="P1"/>
        <w:rPr>
          <w:rFonts w:cs="Arial"/>
          <w:szCs w:val="16"/>
          <w:lang w:val="de-DE"/>
        </w:rPr>
      </w:pPr>
    </w:p>
    <w:p w:rsidR="00532E0F" w:rsidRPr="00532E0F" w:rsidRDefault="00532E0F" w:rsidP="00532E0F">
      <w:pPr>
        <w:pStyle w:val="P1"/>
        <w:rPr>
          <w:rFonts w:cs="Arial"/>
          <w:b/>
          <w:szCs w:val="16"/>
        </w:rPr>
      </w:pPr>
      <w:r w:rsidRPr="00532E0F">
        <w:rPr>
          <w:rFonts w:cs="Arial"/>
          <w:b/>
          <w:szCs w:val="16"/>
        </w:rPr>
        <w:t>Computational Studies</w:t>
      </w:r>
      <w:r>
        <w:rPr>
          <w:rFonts w:cs="Arial"/>
          <w:b/>
          <w:szCs w:val="16"/>
        </w:rPr>
        <w:t xml:space="preserve">. </w:t>
      </w:r>
      <w:r w:rsidRPr="00532E0F">
        <w:rPr>
          <w:rFonts w:cs="Arial"/>
          <w:szCs w:val="16"/>
          <w:lang w:val="de-DE"/>
        </w:rPr>
        <w:t xml:space="preserve">The geometry and electronic structures of the conjugates were probed using B3LYP functional and a mixed basis (H and C(6-31G), N and O(6-31G(d), and Cu and Zn(6-31G(df)) as parameterized in the </w:t>
      </w:r>
      <w:r w:rsidRPr="00532E0F">
        <w:rPr>
          <w:rFonts w:cs="Arial"/>
          <w:i/>
          <w:szCs w:val="16"/>
          <w:lang w:val="de-DE"/>
        </w:rPr>
        <w:t>Gaussian 09</w:t>
      </w:r>
      <w:r w:rsidRPr="00532E0F">
        <w:rPr>
          <w:rFonts w:cs="Arial"/>
          <w:szCs w:val="16"/>
          <w:lang w:val="de-DE"/>
        </w:rPr>
        <w:t xml:space="preserve"> software suite.</w:t>
      </w:r>
      <w:r w:rsidRPr="00532E0F">
        <w:rPr>
          <w:rFonts w:cs="Arial"/>
          <w:szCs w:val="16"/>
          <w:vertAlign w:val="superscript"/>
          <w:lang w:val="de-DE"/>
        </w:rPr>
        <w:t xml:space="preserve">[43] </w:t>
      </w:r>
      <w:r w:rsidRPr="00532E0F">
        <w:rPr>
          <w:rFonts w:cs="Arial"/>
          <w:szCs w:val="16"/>
          <w:lang w:val="de-DE"/>
        </w:rPr>
        <w:t xml:space="preserve"> The ZnP and CuC entities were constructed using the GaussView program on a local pc. After construction</w:t>
      </w:r>
      <w:r w:rsidR="00622682">
        <w:rPr>
          <w:rFonts w:cs="Arial"/>
          <w:szCs w:val="16"/>
          <w:lang w:val="de-DE"/>
        </w:rPr>
        <w:t>,</w:t>
      </w:r>
      <w:r w:rsidRPr="00532E0F">
        <w:rPr>
          <w:rFonts w:cs="Arial"/>
          <w:szCs w:val="16"/>
          <w:lang w:val="de-DE"/>
        </w:rPr>
        <w:t xml:space="preserve"> the structures were uploaded to a supercomputer and then the geometry of both were optimized to a stationary point on the Born-Oppenheimer surface using the model chemistry and software described above. Using the Gaussview program on a local pc, the optimized ZnP and CuC entities were then used to construct the dyad (compound a) the triad (compound b), and the pentad (compound c). Once constructed the geometries of dyad, triad and pentad were uploaded to a supercomputer and optimized to a stationary point o</w:t>
      </w:r>
      <w:r w:rsidR="002621A5">
        <w:rPr>
          <w:rFonts w:cs="Arial"/>
          <w:szCs w:val="16"/>
          <w:lang w:val="de-DE"/>
        </w:rPr>
        <w:t>n the Born-Oppenheimer surface.</w:t>
      </w:r>
      <w:r w:rsidRPr="00532E0F">
        <w:rPr>
          <w:rFonts w:cs="Arial"/>
          <w:szCs w:val="16"/>
          <w:lang w:val="de-DE"/>
        </w:rPr>
        <w:t xml:space="preserve"> Next, using the GaussView program, frontier orbitals were generated for each of the optimized structures as shown in Figure 5.  Symmetric disposition of the CuC entities around the central ZnP in the triad and pentad were observed.</w:t>
      </w:r>
    </w:p>
    <w:p w:rsidR="00AA77E0" w:rsidRDefault="008C5678" w:rsidP="00622682">
      <w:pPr>
        <w:pStyle w:val="P1"/>
        <w:ind w:firstLine="425"/>
        <w:rPr>
          <w:rFonts w:cs="Arial"/>
          <w:szCs w:val="16"/>
          <w:lang w:val="de-DE"/>
        </w:rPr>
      </w:pPr>
      <w:r w:rsidRPr="008C5678">
        <w:rPr>
          <w:rFonts w:cs="Arial"/>
          <w:szCs w:val="16"/>
          <w:lang w:val="de-DE"/>
        </w:rPr>
        <w:t>The Cu-Zn distance in the optimized geometry of the dyad was approximately 17.6 Å, the edge-to-edge distance was approximately 10.19 Å, the Cu-triazole center was approximately 10.4 Å, and the Zn-triazole center was approximately 10.5 Å.</w:t>
      </w:r>
      <w:r w:rsidR="00622682">
        <w:rPr>
          <w:rFonts w:cs="Arial"/>
          <w:szCs w:val="16"/>
          <w:lang w:val="de-DE"/>
        </w:rPr>
        <w:t xml:space="preserve"> </w:t>
      </w:r>
      <w:r w:rsidR="00AA77E0" w:rsidRPr="00AA77E0">
        <w:rPr>
          <w:rFonts w:cs="Arial"/>
          <w:szCs w:val="16"/>
          <w:lang w:val="de-DE"/>
        </w:rPr>
        <w:t xml:space="preserve">The Cu-Cu distance in the optimized geometry of the triad was approximately 34.9 Å, the edge-to-edge distance is approximately 44.8 Å, the average Cu-Zn distance is approximately 9.86 Å, the average Cu-triazole center is approximately  10.4 Å, and the average Zn-triazole center is approximately 10.4 Å. </w:t>
      </w:r>
    </w:p>
    <w:p w:rsidR="008C5678" w:rsidRDefault="008C5678" w:rsidP="00622682">
      <w:pPr>
        <w:pStyle w:val="P1"/>
        <w:ind w:firstLine="425"/>
        <w:rPr>
          <w:rFonts w:cs="Arial"/>
          <w:szCs w:val="16"/>
          <w:lang w:val="de-DE"/>
        </w:rPr>
      </w:pPr>
      <w:r w:rsidRPr="008C5678">
        <w:rPr>
          <w:rFonts w:cs="Arial"/>
          <w:szCs w:val="16"/>
          <w:lang w:val="de-DE"/>
        </w:rPr>
        <w:t>The average Cu-Cu distance of the “</w:t>
      </w:r>
      <w:r w:rsidRPr="008C5678">
        <w:rPr>
          <w:rFonts w:cs="Arial"/>
          <w:i/>
          <w:szCs w:val="16"/>
          <w:lang w:val="de-DE"/>
        </w:rPr>
        <w:t>cis</w:t>
      </w:r>
      <w:r w:rsidRPr="008C5678">
        <w:rPr>
          <w:rFonts w:cs="Arial"/>
          <w:szCs w:val="16"/>
          <w:lang w:val="de-DE"/>
        </w:rPr>
        <w:t>” Cu in the optimized geometry of the pentad was approximately 25.0 Å, the average Cu-Cu distance of the “</w:t>
      </w:r>
      <w:r w:rsidRPr="008C5678">
        <w:rPr>
          <w:rFonts w:cs="Arial"/>
          <w:i/>
          <w:szCs w:val="16"/>
          <w:lang w:val="de-DE"/>
        </w:rPr>
        <w:t>trans</w:t>
      </w:r>
      <w:r w:rsidRPr="008C5678">
        <w:rPr>
          <w:rFonts w:cs="Arial"/>
          <w:szCs w:val="16"/>
          <w:lang w:val="de-DE"/>
        </w:rPr>
        <w:t>” Cu is approximately 35.4 Å, the edge-to-edge distance was approximately 10.30 Å, the average Cu-Zn distance was approximately 17.7 Å, the average Cu-triazole center was approximately 10.5 Å, and the average Zn-triazole center was approximately 10.5 Å.  Importantly, no steric crowding or constraints were found in these superstructures.</w:t>
      </w:r>
    </w:p>
    <w:p w:rsidR="008C5678" w:rsidRDefault="008C5678" w:rsidP="00622682">
      <w:pPr>
        <w:pStyle w:val="P1"/>
        <w:ind w:firstLine="425"/>
        <w:rPr>
          <w:rFonts w:cs="Arial"/>
          <w:szCs w:val="16"/>
          <w:lang w:val="de-DE"/>
        </w:rPr>
      </w:pPr>
      <w:r w:rsidRPr="008C5678">
        <w:rPr>
          <w:rFonts w:cs="Arial"/>
          <w:szCs w:val="16"/>
          <w:lang w:val="de-DE"/>
        </w:rPr>
        <w:t>In agreement with the electrochemical and spectroelectrochemical results, the HOMO was found to be on the ZnP entity while the LUMO was on the CuC entity of the conjugates, establishing them to be the electron donor and electron acceptor entities within a given conjugate.</w:t>
      </w:r>
    </w:p>
    <w:p w:rsidR="00231CE7" w:rsidRDefault="00231CE7" w:rsidP="00622682">
      <w:pPr>
        <w:pStyle w:val="FigureCaption"/>
        <w:spacing w:before="120" w:after="240"/>
      </w:pPr>
      <w:r w:rsidRPr="00231CE7">
        <w:rPr>
          <w:b/>
          <w:noProof/>
          <w:lang w:val="en-US" w:eastAsia="en-US"/>
        </w:rPr>
        <w:drawing>
          <wp:anchor distT="0" distB="0" distL="114300" distR="114300" simplePos="0" relativeHeight="251644416" behindDoc="0" locked="0" layoutInCell="1" allowOverlap="1">
            <wp:simplePos x="0" y="0"/>
            <wp:positionH relativeFrom="column">
              <wp:posOffset>74930</wp:posOffset>
            </wp:positionH>
            <wp:positionV relativeFrom="paragraph">
              <wp:posOffset>57150</wp:posOffset>
            </wp:positionV>
            <wp:extent cx="3046095" cy="3039745"/>
            <wp:effectExtent l="25400" t="0" r="1905"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rotWithShape="1">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1563" t="3310" r="17205" b="1928"/>
                    <a:stretch/>
                  </pic:blipFill>
                  <pic:spPr bwMode="auto">
                    <a:xfrm>
                      <a:off x="0" y="0"/>
                      <a:ext cx="3046095" cy="303974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231CE7">
        <w:rPr>
          <w:b/>
        </w:rPr>
        <w:t>Figure 5</w:t>
      </w:r>
      <w:r w:rsidRPr="00231CE7">
        <w:t>. Frontier HOMO and LUMO of the optimized structures of (a) ZnP-CuC, (b) ZnP-(CuC)</w:t>
      </w:r>
      <w:r w:rsidRPr="00231CE7">
        <w:rPr>
          <w:vertAlign w:val="subscript"/>
        </w:rPr>
        <w:t>2</w:t>
      </w:r>
      <w:r w:rsidRPr="00231CE7">
        <w:t xml:space="preserve"> and (c) ZnP-(CuC)</w:t>
      </w:r>
      <w:r w:rsidRPr="00231CE7">
        <w:rPr>
          <w:vertAlign w:val="subscript"/>
        </w:rPr>
        <w:t>4</w:t>
      </w:r>
      <w:r w:rsidRPr="00231CE7">
        <w:t xml:space="preserve"> conjugates.</w:t>
      </w:r>
    </w:p>
    <w:p w:rsidR="00231CE7" w:rsidRPr="00231CE7" w:rsidRDefault="00231CE7" w:rsidP="00622682">
      <w:pPr>
        <w:pStyle w:val="P1"/>
        <w:ind w:firstLine="425"/>
        <w:rPr>
          <w:rFonts w:cs="Arial"/>
          <w:szCs w:val="16"/>
        </w:rPr>
      </w:pPr>
      <w:r w:rsidRPr="00231CE7">
        <w:rPr>
          <w:rFonts w:cs="Arial"/>
          <w:szCs w:val="16"/>
        </w:rPr>
        <w:t>Using the Rehm-Weller approach, free-energy calculations for charge-recombination (</w:t>
      </w:r>
      <w:r w:rsidR="00FC1083">
        <w:rPr>
          <w:rFonts w:cs="Arial"/>
          <w:szCs w:val="16"/>
        </w:rPr>
        <w:t>∆</w:t>
      </w:r>
      <w:r w:rsidRPr="00231CE7">
        <w:rPr>
          <w:rFonts w:cs="Arial"/>
          <w:i/>
          <w:szCs w:val="16"/>
        </w:rPr>
        <w:t>G</w:t>
      </w:r>
      <w:r w:rsidRPr="00231CE7">
        <w:rPr>
          <w:rFonts w:cs="Arial"/>
          <w:szCs w:val="16"/>
          <w:vertAlign w:val="subscript"/>
        </w:rPr>
        <w:t>CR</w:t>
      </w:r>
      <w:r w:rsidRPr="00231CE7">
        <w:rPr>
          <w:rFonts w:cs="Arial"/>
          <w:szCs w:val="16"/>
        </w:rPr>
        <w:t>) and charge-separation (</w:t>
      </w:r>
      <w:r w:rsidR="00FC1083">
        <w:rPr>
          <w:rFonts w:cs="Arial"/>
          <w:szCs w:val="16"/>
        </w:rPr>
        <w:t>∆</w:t>
      </w:r>
      <w:r w:rsidRPr="00231CE7">
        <w:rPr>
          <w:rFonts w:cs="Arial"/>
          <w:i/>
          <w:szCs w:val="16"/>
        </w:rPr>
        <w:t>G</w:t>
      </w:r>
      <w:r w:rsidRPr="00231CE7">
        <w:rPr>
          <w:rFonts w:cs="Arial"/>
          <w:szCs w:val="16"/>
          <w:vertAlign w:val="subscript"/>
        </w:rPr>
        <w:t>CS</w:t>
      </w:r>
      <w:r w:rsidRPr="00231CE7">
        <w:rPr>
          <w:rFonts w:cs="Arial"/>
          <w:szCs w:val="16"/>
        </w:rPr>
        <w:t>) processes were calculated according to equations 1 and 2,</w:t>
      </w:r>
      <w:r w:rsidRPr="00231CE7">
        <w:rPr>
          <w:rFonts w:cs="Arial"/>
          <w:szCs w:val="16"/>
          <w:vertAlign w:val="superscript"/>
        </w:rPr>
        <w:t>[46]</w:t>
      </w:r>
    </w:p>
    <w:p w:rsidR="00231CE7" w:rsidRPr="00231CE7" w:rsidRDefault="00231CE7" w:rsidP="00622682">
      <w:pPr>
        <w:pStyle w:val="P1"/>
        <w:spacing w:before="120" w:after="120"/>
        <w:rPr>
          <w:rFonts w:cs="Arial"/>
          <w:szCs w:val="16"/>
        </w:rPr>
      </w:pPr>
      <w:r w:rsidRPr="00231CE7">
        <w:rPr>
          <w:rFonts w:cs="Arial"/>
          <w:szCs w:val="16"/>
        </w:rPr>
        <w:tab/>
      </w:r>
      <w:r w:rsidRPr="00231CE7">
        <w:rPr>
          <w:rFonts w:cs="Arial"/>
          <w:szCs w:val="16"/>
        </w:rPr>
        <w:tab/>
        <w:t>-</w:t>
      </w:r>
      <w:r w:rsidR="00FC1083">
        <w:rPr>
          <w:rFonts w:cs="Arial"/>
          <w:szCs w:val="16"/>
        </w:rPr>
        <w:t>∆</w:t>
      </w:r>
      <w:r w:rsidRPr="00231CE7">
        <w:rPr>
          <w:rFonts w:cs="Arial"/>
          <w:i/>
          <w:szCs w:val="16"/>
        </w:rPr>
        <w:t>G</w:t>
      </w:r>
      <w:r w:rsidRPr="00231CE7">
        <w:rPr>
          <w:rFonts w:cs="Arial"/>
          <w:szCs w:val="16"/>
          <w:vertAlign w:val="subscript"/>
        </w:rPr>
        <w:t>CR</w:t>
      </w:r>
      <w:r w:rsidRPr="00231CE7">
        <w:rPr>
          <w:rFonts w:cs="Arial"/>
          <w:szCs w:val="16"/>
        </w:rPr>
        <w:t xml:space="preserve"> = (</w:t>
      </w:r>
      <w:r w:rsidRPr="00231CE7">
        <w:rPr>
          <w:rFonts w:cs="Arial"/>
          <w:i/>
          <w:szCs w:val="16"/>
        </w:rPr>
        <w:t>E</w:t>
      </w:r>
      <w:r w:rsidRPr="00231CE7">
        <w:rPr>
          <w:rFonts w:cs="Arial"/>
          <w:szCs w:val="16"/>
          <w:vertAlign w:val="subscript"/>
        </w:rPr>
        <w:t>ox</w:t>
      </w:r>
      <w:r w:rsidR="00CD7FE9">
        <w:rPr>
          <w:rFonts w:cs="Arial"/>
          <w:szCs w:val="16"/>
        </w:rPr>
        <w:t>–</w:t>
      </w:r>
      <w:r w:rsidRPr="00231CE7">
        <w:rPr>
          <w:rFonts w:cs="Arial"/>
          <w:i/>
          <w:szCs w:val="16"/>
        </w:rPr>
        <w:t>E</w:t>
      </w:r>
      <w:r w:rsidRPr="00231CE7">
        <w:rPr>
          <w:rFonts w:cs="Arial"/>
          <w:szCs w:val="16"/>
          <w:vertAlign w:val="subscript"/>
        </w:rPr>
        <w:t>red</w:t>
      </w:r>
      <w:r w:rsidRPr="00231CE7">
        <w:rPr>
          <w:rFonts w:cs="Arial"/>
          <w:szCs w:val="16"/>
        </w:rPr>
        <w:t xml:space="preserve">) + </w:t>
      </w:r>
      <w:r w:rsidR="00FC1083">
        <w:rPr>
          <w:rFonts w:cs="Arial"/>
          <w:szCs w:val="16"/>
        </w:rPr>
        <w:t>∆</w:t>
      </w:r>
      <w:r w:rsidRPr="00231CE7">
        <w:rPr>
          <w:rFonts w:cs="Arial"/>
          <w:i/>
          <w:szCs w:val="16"/>
        </w:rPr>
        <w:t>G</w:t>
      </w:r>
      <w:r w:rsidRPr="00231CE7">
        <w:rPr>
          <w:rFonts w:cs="Arial"/>
          <w:szCs w:val="16"/>
          <w:vertAlign w:val="subscript"/>
        </w:rPr>
        <w:t>S</w:t>
      </w:r>
      <w:r w:rsidRPr="00231CE7">
        <w:rPr>
          <w:rFonts w:cs="Arial"/>
          <w:szCs w:val="16"/>
        </w:rPr>
        <w:tab/>
      </w:r>
      <w:r w:rsidRPr="00231CE7">
        <w:rPr>
          <w:rFonts w:cs="Arial"/>
          <w:szCs w:val="16"/>
        </w:rPr>
        <w:tab/>
      </w:r>
      <w:r w:rsidRPr="00231CE7">
        <w:rPr>
          <w:rFonts w:cs="Arial"/>
          <w:szCs w:val="16"/>
        </w:rPr>
        <w:tab/>
      </w:r>
      <w:r w:rsidRPr="00231CE7">
        <w:rPr>
          <w:rFonts w:cs="Arial"/>
          <w:szCs w:val="16"/>
        </w:rPr>
        <w:tab/>
        <w:t>(1)</w:t>
      </w:r>
    </w:p>
    <w:p w:rsidR="00231CE7" w:rsidRPr="00231CE7" w:rsidRDefault="00231CE7" w:rsidP="00622682">
      <w:pPr>
        <w:pStyle w:val="P1"/>
        <w:spacing w:before="120" w:after="120"/>
        <w:rPr>
          <w:rFonts w:cs="Arial"/>
          <w:szCs w:val="16"/>
        </w:rPr>
      </w:pPr>
      <w:r w:rsidRPr="00231CE7">
        <w:rPr>
          <w:rFonts w:cs="Arial"/>
          <w:szCs w:val="16"/>
        </w:rPr>
        <w:tab/>
      </w:r>
      <w:r w:rsidRPr="00231CE7">
        <w:rPr>
          <w:rFonts w:cs="Arial"/>
          <w:szCs w:val="16"/>
        </w:rPr>
        <w:tab/>
        <w:t xml:space="preserve"> -</w:t>
      </w:r>
      <w:r w:rsidR="00FC1083">
        <w:rPr>
          <w:rFonts w:cs="Arial"/>
          <w:szCs w:val="16"/>
        </w:rPr>
        <w:t>∆</w:t>
      </w:r>
      <w:r w:rsidRPr="00231CE7">
        <w:rPr>
          <w:rFonts w:cs="Arial"/>
          <w:i/>
          <w:szCs w:val="16"/>
        </w:rPr>
        <w:t>G</w:t>
      </w:r>
      <w:r w:rsidRPr="00231CE7">
        <w:rPr>
          <w:rFonts w:cs="Arial"/>
          <w:szCs w:val="16"/>
          <w:vertAlign w:val="subscript"/>
        </w:rPr>
        <w:t>CS</w:t>
      </w:r>
      <w:r w:rsidRPr="00231CE7">
        <w:rPr>
          <w:rFonts w:cs="Arial"/>
          <w:szCs w:val="16"/>
        </w:rPr>
        <w:t xml:space="preserve"> = </w:t>
      </w:r>
      <w:r w:rsidR="00FC1083">
        <w:rPr>
          <w:rFonts w:cs="Arial"/>
          <w:szCs w:val="16"/>
        </w:rPr>
        <w:t>∆</w:t>
      </w:r>
      <w:r w:rsidRPr="00231CE7">
        <w:rPr>
          <w:rFonts w:cs="Arial"/>
          <w:i/>
          <w:szCs w:val="16"/>
        </w:rPr>
        <w:t>E</w:t>
      </w:r>
      <w:r w:rsidRPr="00622682">
        <w:rPr>
          <w:rFonts w:ascii="Symbol" w:hAnsi="Symbol" w:cs="Arial"/>
          <w:szCs w:val="16"/>
          <w:vertAlign w:val="subscript"/>
        </w:rPr>
        <w:t></w:t>
      </w:r>
      <w:r w:rsidRPr="00622682">
        <w:rPr>
          <w:rFonts w:ascii="Symbol" w:hAnsi="Symbol" w:cs="Arial"/>
          <w:szCs w:val="16"/>
          <w:vertAlign w:val="subscript"/>
        </w:rPr>
        <w:t></w:t>
      </w:r>
      <w:r w:rsidRPr="00622682">
        <w:rPr>
          <w:rFonts w:ascii="Symbol" w:hAnsi="Symbol" w:cs="Arial"/>
          <w:szCs w:val="16"/>
        </w:rPr>
        <w:t></w:t>
      </w:r>
      <w:r w:rsidRPr="00622682">
        <w:rPr>
          <w:rFonts w:ascii="Symbol" w:hAnsi="Symbol" w:cs="Arial"/>
          <w:szCs w:val="16"/>
        </w:rPr>
        <w:t></w:t>
      </w:r>
      <w:r w:rsidRPr="00622682">
        <w:rPr>
          <w:rFonts w:ascii="Symbol" w:hAnsi="Symbol" w:cs="Arial"/>
          <w:szCs w:val="16"/>
        </w:rPr>
        <w:t></w:t>
      </w:r>
      <w:r w:rsidRPr="00622682">
        <w:rPr>
          <w:rFonts w:ascii="Symbol" w:hAnsi="Symbol" w:cs="Arial"/>
          <w:szCs w:val="16"/>
        </w:rPr>
        <w:t></w:t>
      </w:r>
      <w:r w:rsidRPr="00231CE7">
        <w:rPr>
          <w:rFonts w:cs="Arial"/>
          <w:szCs w:val="16"/>
        </w:rPr>
        <w:t>-</w:t>
      </w:r>
      <w:r w:rsidR="00FC1083">
        <w:rPr>
          <w:rFonts w:cs="Arial"/>
          <w:szCs w:val="16"/>
        </w:rPr>
        <w:t>∆</w:t>
      </w:r>
      <w:r w:rsidRPr="00231CE7">
        <w:rPr>
          <w:rFonts w:cs="Arial"/>
          <w:i/>
          <w:szCs w:val="16"/>
        </w:rPr>
        <w:t>G</w:t>
      </w:r>
      <w:r w:rsidRPr="00231CE7">
        <w:rPr>
          <w:rFonts w:cs="Arial"/>
          <w:szCs w:val="16"/>
          <w:vertAlign w:val="subscript"/>
        </w:rPr>
        <w:t>CR</w:t>
      </w:r>
      <w:r w:rsidRPr="00622682">
        <w:rPr>
          <w:rFonts w:ascii="Symbol" w:hAnsi="Symbol" w:cs="Arial"/>
          <w:szCs w:val="16"/>
        </w:rPr>
        <w:t></w:t>
      </w:r>
      <w:r w:rsidRPr="00231CE7">
        <w:rPr>
          <w:rFonts w:cs="Arial"/>
          <w:szCs w:val="16"/>
        </w:rPr>
        <w:tab/>
      </w:r>
      <w:r w:rsidRPr="00231CE7">
        <w:rPr>
          <w:rFonts w:cs="Arial"/>
          <w:szCs w:val="16"/>
        </w:rPr>
        <w:tab/>
      </w:r>
      <w:r w:rsidRPr="00231CE7">
        <w:rPr>
          <w:rFonts w:cs="Arial"/>
          <w:szCs w:val="16"/>
        </w:rPr>
        <w:tab/>
      </w:r>
      <w:r w:rsidRPr="00231CE7">
        <w:rPr>
          <w:rFonts w:cs="Arial"/>
          <w:szCs w:val="16"/>
        </w:rPr>
        <w:tab/>
      </w:r>
      <w:r w:rsidR="00622682">
        <w:rPr>
          <w:rFonts w:cs="Arial"/>
          <w:szCs w:val="16"/>
        </w:rPr>
        <w:t>(2)</w:t>
      </w:r>
    </w:p>
    <w:p w:rsidR="00231CE7" w:rsidRPr="00231CE7" w:rsidRDefault="00231CE7" w:rsidP="00231CE7">
      <w:pPr>
        <w:pStyle w:val="P1"/>
        <w:rPr>
          <w:rFonts w:cs="Arial"/>
          <w:szCs w:val="16"/>
        </w:rPr>
      </w:pPr>
      <w:r w:rsidRPr="00231CE7">
        <w:rPr>
          <w:rFonts w:cs="Arial"/>
          <w:szCs w:val="16"/>
        </w:rPr>
        <w:t xml:space="preserve">where </w:t>
      </w:r>
      <w:r w:rsidR="00FC1083">
        <w:rPr>
          <w:rFonts w:cs="Arial"/>
          <w:szCs w:val="16"/>
        </w:rPr>
        <w:t>∆</w:t>
      </w:r>
      <w:r w:rsidRPr="00231CE7">
        <w:rPr>
          <w:rFonts w:cs="Arial"/>
          <w:i/>
          <w:szCs w:val="16"/>
        </w:rPr>
        <w:t>G</w:t>
      </w:r>
      <w:r w:rsidRPr="00231CE7">
        <w:rPr>
          <w:rFonts w:cs="Arial"/>
          <w:i/>
          <w:szCs w:val="16"/>
          <w:vertAlign w:val="subscript"/>
        </w:rPr>
        <w:t>C</w:t>
      </w:r>
      <w:r w:rsidRPr="00231CE7">
        <w:rPr>
          <w:rFonts w:cs="Arial"/>
          <w:szCs w:val="16"/>
          <w:vertAlign w:val="subscript"/>
        </w:rPr>
        <w:t>R</w:t>
      </w:r>
      <w:r w:rsidRPr="00231CE7">
        <w:rPr>
          <w:rFonts w:cs="Arial"/>
          <w:szCs w:val="16"/>
        </w:rPr>
        <w:t xml:space="preserve"> and </w:t>
      </w:r>
      <w:r w:rsidR="00FC1083">
        <w:rPr>
          <w:rFonts w:cs="Arial"/>
          <w:szCs w:val="16"/>
        </w:rPr>
        <w:t>∆</w:t>
      </w:r>
      <w:r w:rsidRPr="00231CE7">
        <w:rPr>
          <w:rFonts w:cs="Arial"/>
          <w:i/>
          <w:szCs w:val="16"/>
        </w:rPr>
        <w:t>G</w:t>
      </w:r>
      <w:r w:rsidRPr="00231CE7">
        <w:rPr>
          <w:rFonts w:cs="Arial"/>
          <w:i/>
          <w:szCs w:val="16"/>
          <w:vertAlign w:val="subscript"/>
        </w:rPr>
        <w:t>C</w:t>
      </w:r>
      <w:r w:rsidRPr="00231CE7">
        <w:rPr>
          <w:rFonts w:cs="Arial"/>
          <w:szCs w:val="16"/>
          <w:vertAlign w:val="subscript"/>
        </w:rPr>
        <w:t>S</w:t>
      </w:r>
      <w:r w:rsidRPr="00231CE7">
        <w:rPr>
          <w:rFonts w:cs="Arial"/>
          <w:szCs w:val="16"/>
        </w:rPr>
        <w:t xml:space="preserve"> are respectively</w:t>
      </w:r>
      <w:r w:rsidRPr="00231CE7" w:rsidDel="008137A1">
        <w:rPr>
          <w:rFonts w:cs="Arial"/>
          <w:szCs w:val="16"/>
        </w:rPr>
        <w:t xml:space="preserve"> </w:t>
      </w:r>
      <w:r w:rsidRPr="00231CE7">
        <w:rPr>
          <w:rFonts w:cs="Arial"/>
          <w:szCs w:val="16"/>
        </w:rPr>
        <w:t xml:space="preserve">the free-energy change for charge recombination and charge separation, and </w:t>
      </w:r>
      <w:r w:rsidR="00FC1083">
        <w:rPr>
          <w:rFonts w:cs="Arial"/>
          <w:szCs w:val="16"/>
        </w:rPr>
        <w:t>∆</w:t>
      </w:r>
      <w:r w:rsidRPr="00231CE7">
        <w:rPr>
          <w:rFonts w:cs="Arial"/>
          <w:i/>
          <w:szCs w:val="16"/>
        </w:rPr>
        <w:t>E</w:t>
      </w:r>
      <w:r w:rsidRPr="00622682">
        <w:rPr>
          <w:rFonts w:ascii="Symbol" w:hAnsi="Symbol" w:cs="Arial"/>
          <w:szCs w:val="16"/>
          <w:vertAlign w:val="subscript"/>
        </w:rPr>
        <w:t></w:t>
      </w:r>
      <w:r w:rsidRPr="00622682">
        <w:rPr>
          <w:rFonts w:ascii="Symbol" w:hAnsi="Symbol" w:cs="Arial"/>
          <w:szCs w:val="16"/>
          <w:vertAlign w:val="subscript"/>
        </w:rPr>
        <w:t></w:t>
      </w:r>
      <w:r w:rsidRPr="00231CE7">
        <w:rPr>
          <w:rFonts w:cs="Arial"/>
          <w:szCs w:val="16"/>
        </w:rPr>
        <w:t xml:space="preserve"> corresponds to the </w:t>
      </w:r>
      <w:r w:rsidRPr="00231CE7">
        <w:rPr>
          <w:rFonts w:cs="Arial"/>
          <w:szCs w:val="16"/>
          <w:lang w:val="en-GB"/>
        </w:rPr>
        <w:t>singlet state energy of ZnP (2.04 eV)</w:t>
      </w:r>
      <w:r w:rsidRPr="00231CE7">
        <w:rPr>
          <w:rFonts w:cs="Arial"/>
          <w:szCs w:val="16"/>
        </w:rPr>
        <w:t xml:space="preserve">. </w:t>
      </w:r>
      <w:r w:rsidRPr="00231CE7">
        <w:rPr>
          <w:rFonts w:cs="Arial"/>
          <w:i/>
          <w:szCs w:val="16"/>
        </w:rPr>
        <w:t>E</w:t>
      </w:r>
      <w:r w:rsidRPr="00231CE7">
        <w:rPr>
          <w:rFonts w:cs="Arial"/>
          <w:szCs w:val="16"/>
          <w:vertAlign w:val="subscript"/>
        </w:rPr>
        <w:t>ox</w:t>
      </w:r>
      <w:r w:rsidRPr="00231CE7">
        <w:rPr>
          <w:rFonts w:cs="Arial"/>
          <w:szCs w:val="16"/>
        </w:rPr>
        <w:t xml:space="preserve"> and </w:t>
      </w:r>
      <w:r w:rsidRPr="00231CE7">
        <w:rPr>
          <w:rFonts w:cs="Arial"/>
          <w:i/>
          <w:szCs w:val="16"/>
        </w:rPr>
        <w:t>E</w:t>
      </w:r>
      <w:r w:rsidRPr="00231CE7">
        <w:rPr>
          <w:rFonts w:cs="Arial"/>
          <w:szCs w:val="16"/>
          <w:vertAlign w:val="subscript"/>
        </w:rPr>
        <w:t>red</w:t>
      </w:r>
      <w:r w:rsidRPr="00231CE7">
        <w:rPr>
          <w:rFonts w:cs="Arial"/>
          <w:szCs w:val="16"/>
        </w:rPr>
        <w:t xml:space="preserve"> are the oxidation potentials of the electron donor ZnP, and the reduction potential of the electron acceptor CuC, respectively. </w:t>
      </w:r>
      <w:r w:rsidR="00FC1083">
        <w:rPr>
          <w:rFonts w:cs="Arial"/>
          <w:szCs w:val="16"/>
        </w:rPr>
        <w:t>∆</w:t>
      </w:r>
      <w:r w:rsidRPr="00231CE7">
        <w:rPr>
          <w:rFonts w:cs="Arial"/>
          <w:i/>
          <w:szCs w:val="16"/>
        </w:rPr>
        <w:t>G</w:t>
      </w:r>
      <w:r w:rsidRPr="00231CE7">
        <w:rPr>
          <w:rFonts w:cs="Arial"/>
          <w:szCs w:val="16"/>
          <w:vertAlign w:val="subscript"/>
        </w:rPr>
        <w:t>S</w:t>
      </w:r>
      <w:r w:rsidRPr="00231CE7">
        <w:rPr>
          <w:rFonts w:cs="Arial"/>
          <w:szCs w:val="16"/>
        </w:rPr>
        <w:t xml:space="preserve"> refers to the static energy, calculated by using the ‘dielectric continuum model’ according to the following equation,</w:t>
      </w:r>
    </w:p>
    <w:p w:rsidR="00231CE7" w:rsidRPr="00231CE7" w:rsidRDefault="00FC1083" w:rsidP="00622682">
      <w:pPr>
        <w:pStyle w:val="P1"/>
        <w:spacing w:before="120" w:after="120"/>
        <w:rPr>
          <w:rFonts w:cs="Arial"/>
          <w:szCs w:val="16"/>
        </w:rPr>
      </w:pPr>
      <w:r>
        <w:rPr>
          <w:rFonts w:cs="Arial"/>
          <w:szCs w:val="16"/>
        </w:rPr>
        <w:t xml:space="preserve">      </w:t>
      </w:r>
      <w:r w:rsidR="00231CE7">
        <w:rPr>
          <w:rFonts w:cs="Arial"/>
          <w:szCs w:val="16"/>
        </w:rPr>
        <w:t xml:space="preserve"> </w:t>
      </w:r>
      <w:r w:rsidR="00231CE7" w:rsidRPr="00231CE7">
        <w:rPr>
          <w:rFonts w:cs="Arial"/>
          <w:szCs w:val="16"/>
        </w:rPr>
        <w:t>-</w:t>
      </w:r>
      <w:r>
        <w:rPr>
          <w:rFonts w:cs="Arial"/>
          <w:szCs w:val="16"/>
        </w:rPr>
        <w:t>∆</w:t>
      </w:r>
      <w:r w:rsidR="00231CE7" w:rsidRPr="00231CE7">
        <w:rPr>
          <w:rFonts w:cs="Arial"/>
          <w:i/>
          <w:szCs w:val="16"/>
        </w:rPr>
        <w:t>G</w:t>
      </w:r>
      <w:r w:rsidR="00231CE7" w:rsidRPr="00231CE7">
        <w:rPr>
          <w:rFonts w:cs="Arial"/>
          <w:szCs w:val="16"/>
          <w:vertAlign w:val="subscript"/>
        </w:rPr>
        <w:t xml:space="preserve">s </w:t>
      </w:r>
      <w:r w:rsidR="00231CE7" w:rsidRPr="00231CE7">
        <w:rPr>
          <w:rFonts w:cs="Arial"/>
          <w:szCs w:val="16"/>
        </w:rPr>
        <w:t xml:space="preserve">= </w:t>
      </w:r>
      <w:r w:rsidR="00231CE7" w:rsidRPr="00231CE7">
        <w:rPr>
          <w:rFonts w:cs="Arial"/>
          <w:i/>
          <w:szCs w:val="16"/>
        </w:rPr>
        <w:t>e</w:t>
      </w:r>
      <w:r w:rsidR="00231CE7" w:rsidRPr="00231CE7">
        <w:rPr>
          <w:rFonts w:cs="Arial"/>
          <w:szCs w:val="16"/>
          <w:vertAlign w:val="superscript"/>
        </w:rPr>
        <w:t>2</w:t>
      </w:r>
      <w:r w:rsidR="00231CE7" w:rsidRPr="00231CE7">
        <w:rPr>
          <w:rFonts w:cs="Arial"/>
          <w:szCs w:val="16"/>
        </w:rPr>
        <w:t>/4</w:t>
      </w:r>
      <w:r w:rsidR="00231CE7" w:rsidRPr="00622682">
        <w:rPr>
          <w:rFonts w:ascii="Symbol" w:hAnsi="Symbol" w:cs="Arial"/>
          <w:szCs w:val="16"/>
        </w:rPr>
        <w:t></w:t>
      </w:r>
      <w:r w:rsidR="00231CE7" w:rsidRPr="00622682">
        <w:rPr>
          <w:rFonts w:ascii="Symbol" w:hAnsi="Symbol" w:cs="Arial"/>
          <w:i/>
          <w:szCs w:val="16"/>
        </w:rPr>
        <w:t></w:t>
      </w:r>
      <w:r w:rsidR="00231CE7" w:rsidRPr="00231CE7">
        <w:rPr>
          <w:rFonts w:cs="Arial"/>
          <w:szCs w:val="16"/>
          <w:vertAlign w:val="subscript"/>
        </w:rPr>
        <w:t>o</w:t>
      </w:r>
      <w:r w:rsidR="00231CE7" w:rsidRPr="00231CE7">
        <w:rPr>
          <w:rFonts w:cs="Arial"/>
          <w:szCs w:val="16"/>
        </w:rPr>
        <w:t>[(1/2</w:t>
      </w:r>
      <w:r w:rsidR="00231CE7" w:rsidRPr="00231CE7">
        <w:rPr>
          <w:rFonts w:cs="Arial"/>
          <w:i/>
          <w:szCs w:val="16"/>
        </w:rPr>
        <w:t>R</w:t>
      </w:r>
      <w:r w:rsidR="00231CE7" w:rsidRPr="00231CE7">
        <w:rPr>
          <w:rFonts w:cs="Arial"/>
          <w:szCs w:val="16"/>
          <w:vertAlign w:val="subscript"/>
        </w:rPr>
        <w:t>+</w:t>
      </w:r>
      <w:r w:rsidR="00231CE7" w:rsidRPr="00231CE7">
        <w:rPr>
          <w:rFonts w:cs="Arial"/>
          <w:szCs w:val="16"/>
        </w:rPr>
        <w:t xml:space="preserve"> + 1/2</w:t>
      </w:r>
      <w:r w:rsidR="00231CE7" w:rsidRPr="00231CE7">
        <w:rPr>
          <w:rFonts w:cs="Arial"/>
          <w:i/>
          <w:szCs w:val="16"/>
        </w:rPr>
        <w:t>R</w:t>
      </w:r>
      <w:r w:rsidR="00231CE7" w:rsidRPr="00231CE7">
        <w:rPr>
          <w:rFonts w:cs="Arial"/>
          <w:szCs w:val="16"/>
          <w:vertAlign w:val="subscript"/>
        </w:rPr>
        <w:t>-</w:t>
      </w:r>
      <w:r w:rsidR="00231CE7" w:rsidRPr="00231CE7">
        <w:rPr>
          <w:rFonts w:cs="Arial"/>
          <w:szCs w:val="16"/>
        </w:rPr>
        <w:t xml:space="preserve"> - 1/</w:t>
      </w:r>
      <w:r w:rsidR="00231CE7" w:rsidRPr="00231CE7">
        <w:rPr>
          <w:rFonts w:cs="Arial"/>
          <w:i/>
          <w:szCs w:val="16"/>
        </w:rPr>
        <w:t>R</w:t>
      </w:r>
      <w:r w:rsidR="00231CE7" w:rsidRPr="00231CE7">
        <w:rPr>
          <w:rFonts w:cs="Arial"/>
          <w:szCs w:val="16"/>
          <w:vertAlign w:val="subscript"/>
        </w:rPr>
        <w:t>CC</w:t>
      </w:r>
      <w:r w:rsidR="00231CE7" w:rsidRPr="00231CE7">
        <w:rPr>
          <w:rFonts w:cs="Arial"/>
          <w:szCs w:val="16"/>
        </w:rPr>
        <w:t>)</w:t>
      </w:r>
      <w:r w:rsidRPr="00FC1083">
        <w:rPr>
          <w:rFonts w:cs="Arial"/>
          <w:szCs w:val="16"/>
        </w:rPr>
        <w:t xml:space="preserve"> </w:t>
      </w:r>
      <w:r>
        <w:rPr>
          <w:rFonts w:cs="Arial"/>
          <w:szCs w:val="16"/>
        </w:rPr>
        <w:t>∆</w:t>
      </w:r>
      <w:r w:rsidRPr="00231CE7">
        <w:rPr>
          <w:rFonts w:cs="Arial"/>
          <w:szCs w:val="16"/>
        </w:rPr>
        <w:t xml:space="preserve"> </w:t>
      </w:r>
      <w:r w:rsidR="00231CE7" w:rsidRPr="00231CE7">
        <w:rPr>
          <w:rFonts w:cs="Arial"/>
          <w:szCs w:val="16"/>
        </w:rPr>
        <w:t>(1/</w:t>
      </w:r>
      <w:r w:rsidR="00231CE7" w:rsidRPr="00622682">
        <w:rPr>
          <w:rFonts w:ascii="Symbol" w:hAnsi="Symbol" w:cs="Arial"/>
          <w:i/>
          <w:szCs w:val="16"/>
        </w:rPr>
        <w:t></w:t>
      </w:r>
      <w:r w:rsidR="00231CE7" w:rsidRPr="00231CE7">
        <w:rPr>
          <w:rFonts w:cs="Arial"/>
          <w:szCs w:val="16"/>
          <w:vertAlign w:val="subscript"/>
        </w:rPr>
        <w:t>s</w:t>
      </w:r>
      <w:r w:rsidR="00622682">
        <w:rPr>
          <w:rFonts w:cs="Arial"/>
          <w:szCs w:val="16"/>
        </w:rPr>
        <w:t xml:space="preserve">) </w:t>
      </w:r>
      <w:r w:rsidR="00622682">
        <w:rPr>
          <w:rFonts w:cs="Arial"/>
          <w:szCs w:val="16"/>
        </w:rPr>
        <w:tab/>
        <w:t xml:space="preserve">       </w:t>
      </w:r>
      <w:r w:rsidR="00231CE7" w:rsidRPr="00231CE7">
        <w:rPr>
          <w:rFonts w:cs="Arial"/>
          <w:szCs w:val="16"/>
        </w:rPr>
        <w:t>(3)</w:t>
      </w:r>
    </w:p>
    <w:p w:rsidR="00231CE7" w:rsidRPr="00231CE7" w:rsidRDefault="00231CE7" w:rsidP="00231CE7">
      <w:pPr>
        <w:pStyle w:val="P1"/>
        <w:rPr>
          <w:rFonts w:cs="Arial"/>
          <w:szCs w:val="16"/>
        </w:rPr>
      </w:pPr>
      <w:r w:rsidRPr="00231CE7">
        <w:rPr>
          <w:rFonts w:cs="Arial"/>
          <w:szCs w:val="16"/>
        </w:rPr>
        <w:t>where</w:t>
      </w:r>
      <w:r w:rsidRPr="00231CE7">
        <w:rPr>
          <w:rFonts w:cs="Arial"/>
          <w:i/>
          <w:szCs w:val="16"/>
        </w:rPr>
        <w:t xml:space="preserve"> R</w:t>
      </w:r>
      <w:r w:rsidRPr="00231CE7">
        <w:rPr>
          <w:rFonts w:cs="Arial"/>
          <w:szCs w:val="16"/>
          <w:vertAlign w:val="subscript"/>
        </w:rPr>
        <w:t xml:space="preserve">+ </w:t>
      </w:r>
      <w:r w:rsidRPr="00231CE7">
        <w:rPr>
          <w:rFonts w:cs="Arial"/>
          <w:szCs w:val="16"/>
        </w:rPr>
        <w:t xml:space="preserve">and </w:t>
      </w:r>
      <w:r w:rsidRPr="00231CE7">
        <w:rPr>
          <w:rFonts w:cs="Arial"/>
          <w:i/>
          <w:szCs w:val="16"/>
        </w:rPr>
        <w:t>R</w:t>
      </w:r>
      <w:r w:rsidRPr="00231CE7">
        <w:rPr>
          <w:rFonts w:cs="Arial"/>
          <w:szCs w:val="16"/>
          <w:vertAlign w:val="subscript"/>
        </w:rPr>
        <w:t xml:space="preserve">- </w:t>
      </w:r>
      <w:r w:rsidRPr="00231CE7">
        <w:rPr>
          <w:rFonts w:cs="Arial"/>
          <w:szCs w:val="16"/>
        </w:rPr>
        <w:t xml:space="preserve">refer to radii of the radical cation and radical anion species, respectively.  </w:t>
      </w:r>
      <w:r w:rsidRPr="00231CE7">
        <w:rPr>
          <w:rFonts w:cs="Arial"/>
          <w:i/>
          <w:szCs w:val="16"/>
        </w:rPr>
        <w:t>R</w:t>
      </w:r>
      <w:r w:rsidRPr="00231CE7">
        <w:rPr>
          <w:rFonts w:cs="Arial"/>
          <w:szCs w:val="16"/>
          <w:vertAlign w:val="subscript"/>
        </w:rPr>
        <w:t xml:space="preserve">CC </w:t>
      </w:r>
      <w:r w:rsidRPr="00231CE7">
        <w:rPr>
          <w:rFonts w:cs="Arial" w:hint="eastAsia"/>
          <w:szCs w:val="16"/>
        </w:rPr>
        <w:t xml:space="preserve">is </w:t>
      </w:r>
      <w:r w:rsidRPr="00231CE7">
        <w:rPr>
          <w:rFonts w:cs="Arial"/>
          <w:szCs w:val="16"/>
        </w:rPr>
        <w:t xml:space="preserve">the </w:t>
      </w:r>
      <w:r w:rsidRPr="00231CE7">
        <w:rPr>
          <w:rFonts w:cs="Arial" w:hint="eastAsia"/>
          <w:szCs w:val="16"/>
        </w:rPr>
        <w:t>center-to-center distance</w:t>
      </w:r>
      <w:r w:rsidRPr="00231CE7">
        <w:rPr>
          <w:rFonts w:cs="Arial"/>
          <w:szCs w:val="16"/>
        </w:rPr>
        <w:t xml:space="preserve"> between the donor and acceptor entities from the optimized structures. Symbols </w:t>
      </w:r>
      <w:r w:rsidRPr="001749E4">
        <w:rPr>
          <w:rFonts w:ascii="Symbol" w:hAnsi="Symbol" w:cs="Arial"/>
          <w:i/>
          <w:szCs w:val="16"/>
        </w:rPr>
        <w:t></w:t>
      </w:r>
      <w:r w:rsidRPr="00231CE7">
        <w:rPr>
          <w:rFonts w:cs="Arial"/>
          <w:szCs w:val="16"/>
          <w:vertAlign w:val="subscript"/>
        </w:rPr>
        <w:t>0</w:t>
      </w:r>
      <w:r w:rsidRPr="00231CE7">
        <w:rPr>
          <w:rFonts w:cs="Arial"/>
          <w:szCs w:val="16"/>
        </w:rPr>
        <w:t xml:space="preserve"> and </w:t>
      </w:r>
      <w:r w:rsidRPr="001749E4">
        <w:rPr>
          <w:rFonts w:ascii="Symbol" w:hAnsi="Symbol" w:cs="Arial"/>
          <w:i/>
          <w:szCs w:val="16"/>
        </w:rPr>
        <w:t></w:t>
      </w:r>
      <w:r w:rsidRPr="00231CE7">
        <w:rPr>
          <w:rFonts w:cs="Arial"/>
          <w:szCs w:val="16"/>
          <w:vertAlign w:val="subscript"/>
        </w:rPr>
        <w:t>R</w:t>
      </w:r>
      <w:r w:rsidRPr="00231CE7">
        <w:rPr>
          <w:rFonts w:cs="Arial"/>
          <w:szCs w:val="16"/>
        </w:rPr>
        <w:t xml:space="preserve"> refer to vacuum permittivity and dielectric constant </w:t>
      </w:r>
      <w:r w:rsidR="002621A5">
        <w:rPr>
          <w:rFonts w:cs="Arial"/>
          <w:szCs w:val="16"/>
        </w:rPr>
        <w:t xml:space="preserve">of the solvents, respectively. </w:t>
      </w:r>
      <w:r w:rsidRPr="00231CE7">
        <w:rPr>
          <w:rFonts w:cs="Arial"/>
          <w:szCs w:val="16"/>
        </w:rPr>
        <w:t xml:space="preserve">These calculations lead to </w:t>
      </w:r>
      <w:r w:rsidR="00FC1083">
        <w:rPr>
          <w:rFonts w:cs="Arial"/>
          <w:szCs w:val="16"/>
        </w:rPr>
        <w:t>∆</w:t>
      </w:r>
      <w:r w:rsidRPr="00231CE7">
        <w:rPr>
          <w:rFonts w:cs="Arial"/>
          <w:i/>
          <w:iCs/>
          <w:szCs w:val="16"/>
        </w:rPr>
        <w:t>G</w:t>
      </w:r>
      <w:r w:rsidRPr="00231CE7">
        <w:rPr>
          <w:rFonts w:cs="Arial"/>
          <w:szCs w:val="16"/>
          <w:vertAlign w:val="subscript"/>
        </w:rPr>
        <w:t>CS</w:t>
      </w:r>
      <w:r w:rsidRPr="00231CE7">
        <w:rPr>
          <w:rFonts w:cs="Arial"/>
          <w:szCs w:val="16"/>
        </w:rPr>
        <w:t xml:space="preserve"> = -1.20 eV and </w:t>
      </w:r>
      <w:r w:rsidR="00FC1083">
        <w:rPr>
          <w:rFonts w:cs="Arial"/>
          <w:szCs w:val="16"/>
        </w:rPr>
        <w:t>∆</w:t>
      </w:r>
      <w:r w:rsidRPr="00231CE7">
        <w:rPr>
          <w:rFonts w:cs="Arial"/>
          <w:i/>
          <w:iCs/>
          <w:szCs w:val="16"/>
        </w:rPr>
        <w:t>G</w:t>
      </w:r>
      <w:r w:rsidRPr="00231CE7">
        <w:rPr>
          <w:rFonts w:cs="Arial"/>
          <w:szCs w:val="16"/>
          <w:vertAlign w:val="subscript"/>
        </w:rPr>
        <w:t>CR</w:t>
      </w:r>
      <w:r w:rsidR="002621A5">
        <w:rPr>
          <w:rFonts w:cs="Arial"/>
          <w:szCs w:val="16"/>
        </w:rPr>
        <w:t xml:space="preserve"> = -0.84 eV in benzonitrile.</w:t>
      </w:r>
      <w:r w:rsidRPr="00231CE7">
        <w:rPr>
          <w:rFonts w:cs="Arial"/>
          <w:szCs w:val="16"/>
        </w:rPr>
        <w:t xml:space="preserve"> The large negative </w:t>
      </w:r>
      <w:r w:rsidR="00FC1083">
        <w:rPr>
          <w:rFonts w:cs="Arial"/>
          <w:szCs w:val="16"/>
        </w:rPr>
        <w:t>∆</w:t>
      </w:r>
      <w:r w:rsidRPr="00231CE7">
        <w:rPr>
          <w:rFonts w:cs="Arial"/>
          <w:i/>
          <w:iCs/>
          <w:szCs w:val="16"/>
        </w:rPr>
        <w:t>G</w:t>
      </w:r>
      <w:r w:rsidRPr="00231CE7">
        <w:rPr>
          <w:rFonts w:cs="Arial"/>
          <w:szCs w:val="16"/>
          <w:vertAlign w:val="subscript"/>
        </w:rPr>
        <w:t>CS</w:t>
      </w:r>
      <w:r w:rsidRPr="00231CE7">
        <w:rPr>
          <w:rFonts w:cs="Arial"/>
          <w:szCs w:val="16"/>
        </w:rPr>
        <w:t xml:space="preserve"> value suggests that photoinduced electron transfer is thermodynamically possible in these conjugates.</w:t>
      </w:r>
    </w:p>
    <w:p w:rsidR="00231CE7" w:rsidRPr="00231CE7" w:rsidRDefault="00231CE7" w:rsidP="001749E4">
      <w:pPr>
        <w:pStyle w:val="P1"/>
        <w:ind w:firstLine="425"/>
        <w:rPr>
          <w:rFonts w:cs="Arial"/>
          <w:szCs w:val="16"/>
        </w:rPr>
      </w:pPr>
      <w:r w:rsidRPr="00231CE7">
        <w:rPr>
          <w:rFonts w:cs="Arial"/>
          <w:szCs w:val="16"/>
          <w:lang w:val="de-DE"/>
        </w:rPr>
        <w:t>An energy level diagram depicting different photochemical events in the ZnP</w:t>
      </w:r>
      <w:r w:rsidR="002621A5">
        <w:rPr>
          <w:rFonts w:cs="Arial"/>
          <w:szCs w:val="16"/>
          <w:lang w:val="de-DE"/>
        </w:rPr>
        <w:t>-CuC dyad is shown in Figure 6.</w:t>
      </w:r>
      <w:r w:rsidRPr="00231CE7">
        <w:rPr>
          <w:rFonts w:cs="Arial"/>
          <w:szCs w:val="16"/>
          <w:lang w:val="de-DE"/>
        </w:rPr>
        <w:t xml:space="preserve"> Based on similarities in the energies of different processes, similar diagrams can be envis</w:t>
      </w:r>
      <w:r w:rsidR="002621A5">
        <w:rPr>
          <w:rFonts w:cs="Arial"/>
          <w:szCs w:val="16"/>
          <w:lang w:val="de-DE"/>
        </w:rPr>
        <w:t>ioned for the triad and pentad.</w:t>
      </w:r>
      <w:r w:rsidRPr="00231CE7">
        <w:rPr>
          <w:rFonts w:cs="Arial"/>
          <w:szCs w:val="16"/>
          <w:lang w:val="de-DE"/>
        </w:rPr>
        <w:t xml:space="preserve"> In the diagram, excitation of ZnP produces </w:t>
      </w:r>
      <w:r w:rsidRPr="00231CE7">
        <w:rPr>
          <w:rFonts w:cs="Arial"/>
          <w:szCs w:val="16"/>
          <w:vertAlign w:val="superscript"/>
          <w:lang w:val="de-DE"/>
        </w:rPr>
        <w:t>1</w:t>
      </w:r>
      <w:r w:rsidRPr="00231CE7">
        <w:rPr>
          <w:rFonts w:cs="Arial"/>
          <w:szCs w:val="16"/>
          <w:lang w:val="de-DE"/>
        </w:rPr>
        <w:t>ZnP* that could undergo intersystem crossing to populate the triplet state of ZnP (</w:t>
      </w:r>
      <w:r w:rsidRPr="00231CE7">
        <w:rPr>
          <w:rFonts w:cs="Arial"/>
          <w:szCs w:val="16"/>
          <w:vertAlign w:val="superscript"/>
          <w:lang w:val="de-DE"/>
        </w:rPr>
        <w:t>3</w:t>
      </w:r>
      <w:r w:rsidRPr="00231CE7">
        <w:rPr>
          <w:rFonts w:cs="Arial"/>
          <w:szCs w:val="16"/>
          <w:lang w:val="de-DE"/>
        </w:rPr>
        <w:t>ZnP*) or, alternatively, could undergo energy or electron transfer invol</w:t>
      </w:r>
      <w:r w:rsidR="002621A5">
        <w:rPr>
          <w:rFonts w:cs="Arial"/>
          <w:szCs w:val="16"/>
          <w:lang w:val="de-DE"/>
        </w:rPr>
        <w:t>ving the covalently linked CuC.</w:t>
      </w:r>
      <w:r w:rsidRPr="00231CE7">
        <w:rPr>
          <w:rFonts w:cs="Arial"/>
          <w:szCs w:val="16"/>
          <w:lang w:val="de-DE"/>
        </w:rPr>
        <w:t xml:space="preserve"> Due to the poor spectral overlap between ZnP fluorescence and CuC absorption spectra, singlet energy transfer can be considered a minor process, although this is difficult to confirm due to </w:t>
      </w:r>
      <w:r w:rsidR="002621A5">
        <w:rPr>
          <w:rFonts w:cs="Arial"/>
          <w:szCs w:val="16"/>
          <w:lang w:val="de-DE"/>
        </w:rPr>
        <w:t>the non-emissive nature of CuC.</w:t>
      </w:r>
      <w:r w:rsidRPr="00231CE7">
        <w:rPr>
          <w:rFonts w:cs="Arial"/>
          <w:szCs w:val="16"/>
          <w:lang w:val="de-DE"/>
        </w:rPr>
        <w:t xml:space="preserve"> Photoinduced electron transfer from </w:t>
      </w:r>
      <w:r w:rsidRPr="00231CE7">
        <w:rPr>
          <w:rFonts w:cs="Arial"/>
          <w:szCs w:val="16"/>
          <w:vertAlign w:val="superscript"/>
          <w:lang w:val="de-DE"/>
        </w:rPr>
        <w:t>1</w:t>
      </w:r>
      <w:r w:rsidRPr="00231CE7">
        <w:rPr>
          <w:rFonts w:cs="Arial"/>
          <w:szCs w:val="16"/>
          <w:lang w:val="de-DE"/>
        </w:rPr>
        <w:t>ZnP* to CuC is energetically a highly favored process (</w:t>
      </w:r>
      <w:r w:rsidR="00FC1083">
        <w:rPr>
          <w:rFonts w:cs="Arial"/>
          <w:szCs w:val="16"/>
        </w:rPr>
        <w:t>∆</w:t>
      </w:r>
      <w:r w:rsidRPr="00231CE7">
        <w:rPr>
          <w:rFonts w:cs="Arial"/>
          <w:i/>
          <w:iCs/>
          <w:szCs w:val="16"/>
          <w:lang w:val="de-DE"/>
        </w:rPr>
        <w:t>G</w:t>
      </w:r>
      <w:r w:rsidRPr="00231CE7">
        <w:rPr>
          <w:rFonts w:cs="Arial"/>
          <w:szCs w:val="16"/>
          <w:vertAlign w:val="subscript"/>
          <w:lang w:val="de-DE"/>
        </w:rPr>
        <w:t>CS</w:t>
      </w:r>
      <w:r w:rsidRPr="00231CE7">
        <w:rPr>
          <w:rFonts w:cs="Arial"/>
          <w:szCs w:val="16"/>
          <w:lang w:val="de-DE"/>
        </w:rPr>
        <w:t xml:space="preserve"> = -1.20 eV) that would lead to the formation of ZnP</w:t>
      </w:r>
      <w:r w:rsidRPr="00231CE7">
        <w:rPr>
          <w:rFonts w:cs="Arial"/>
          <w:szCs w:val="16"/>
          <w:vertAlign w:val="superscript"/>
          <w:lang w:val="de-DE"/>
        </w:rPr>
        <w:t>•+</w:t>
      </w:r>
      <w:r w:rsidRPr="00231CE7">
        <w:rPr>
          <w:rFonts w:cs="Arial"/>
          <w:szCs w:val="16"/>
          <w:lang w:val="de-DE"/>
        </w:rPr>
        <w:t>-Cu</w:t>
      </w:r>
      <w:r w:rsidRPr="00231CE7">
        <w:rPr>
          <w:rFonts w:cs="Arial"/>
          <w:szCs w:val="16"/>
          <w:vertAlign w:val="superscript"/>
          <w:lang w:val="de-DE"/>
        </w:rPr>
        <w:t>II</w:t>
      </w:r>
      <w:r w:rsidR="002621A5">
        <w:rPr>
          <w:rFonts w:cs="Arial"/>
          <w:szCs w:val="16"/>
          <w:lang w:val="de-DE"/>
        </w:rPr>
        <w:t>C species.</w:t>
      </w:r>
      <w:r w:rsidRPr="00231CE7">
        <w:rPr>
          <w:rFonts w:cs="Arial"/>
          <w:szCs w:val="16"/>
          <w:lang w:val="de-DE"/>
        </w:rPr>
        <w:t xml:space="preserve"> The energy level of the ZnP</w:t>
      </w:r>
      <w:r w:rsidRPr="00231CE7">
        <w:rPr>
          <w:rFonts w:cs="Arial"/>
          <w:szCs w:val="16"/>
          <w:vertAlign w:val="superscript"/>
          <w:lang w:val="de-DE"/>
        </w:rPr>
        <w:t>•+</w:t>
      </w:r>
      <w:r w:rsidRPr="00231CE7">
        <w:rPr>
          <w:rFonts w:cs="Arial"/>
          <w:szCs w:val="16"/>
          <w:lang w:val="de-DE"/>
        </w:rPr>
        <w:t>-Cu</w:t>
      </w:r>
      <w:r w:rsidRPr="00231CE7">
        <w:rPr>
          <w:rFonts w:cs="Arial"/>
          <w:szCs w:val="16"/>
          <w:vertAlign w:val="superscript"/>
          <w:lang w:val="de-DE"/>
        </w:rPr>
        <w:t>II</w:t>
      </w:r>
      <w:r w:rsidRPr="00231CE7">
        <w:rPr>
          <w:rFonts w:cs="Arial"/>
          <w:szCs w:val="16"/>
          <w:lang w:val="de-DE"/>
        </w:rPr>
        <w:t xml:space="preserve">C (-0.84 eV) is much lower than that of </w:t>
      </w:r>
      <w:r w:rsidRPr="00231CE7">
        <w:rPr>
          <w:rFonts w:cs="Arial"/>
          <w:szCs w:val="16"/>
          <w:vertAlign w:val="superscript"/>
          <w:lang w:val="de-DE"/>
        </w:rPr>
        <w:t>3</w:t>
      </w:r>
      <w:r w:rsidR="002621A5">
        <w:rPr>
          <w:rFonts w:cs="Arial"/>
          <w:szCs w:val="16"/>
          <w:lang w:val="de-DE"/>
        </w:rPr>
        <w:t>ZnP* (1.50 eV).</w:t>
      </w:r>
      <w:r w:rsidRPr="00231CE7">
        <w:rPr>
          <w:rFonts w:cs="Arial"/>
          <w:szCs w:val="16"/>
          <w:lang w:val="de-DE"/>
        </w:rPr>
        <w:t xml:space="preserve"> Our attempts to obtain the phosphorescence spectrum of CuC at 77 K in various glass formi</w:t>
      </w:r>
      <w:r w:rsidR="002621A5">
        <w:rPr>
          <w:rFonts w:cs="Arial"/>
          <w:szCs w:val="16"/>
          <w:lang w:val="de-DE"/>
        </w:rPr>
        <w:t>ng solvents was not successful.</w:t>
      </w:r>
      <w:r w:rsidRPr="00231CE7">
        <w:rPr>
          <w:rFonts w:cs="Arial"/>
          <w:szCs w:val="16"/>
          <w:lang w:val="de-DE"/>
        </w:rPr>
        <w:t xml:space="preserve"> Based on the </w:t>
      </w:r>
      <w:r w:rsidRPr="00231CE7">
        <w:rPr>
          <w:rFonts w:cs="Arial"/>
          <w:szCs w:val="16"/>
          <w:vertAlign w:val="superscript"/>
          <w:lang w:val="de-DE"/>
        </w:rPr>
        <w:t>3</w:t>
      </w:r>
      <w:r w:rsidRPr="00231CE7">
        <w:rPr>
          <w:rFonts w:cs="Arial"/>
          <w:szCs w:val="16"/>
          <w:lang w:val="de-DE"/>
        </w:rPr>
        <w:t xml:space="preserve">MC* and </w:t>
      </w:r>
      <w:r w:rsidRPr="00231CE7">
        <w:rPr>
          <w:rFonts w:cs="Arial"/>
          <w:szCs w:val="16"/>
          <w:vertAlign w:val="superscript"/>
          <w:lang w:val="de-DE"/>
        </w:rPr>
        <w:t>3</w:t>
      </w:r>
      <w:r w:rsidRPr="00231CE7">
        <w:rPr>
          <w:rFonts w:cs="Arial"/>
          <w:szCs w:val="16"/>
          <w:lang w:val="de-DE"/>
        </w:rPr>
        <w:t xml:space="preserve">MP* energy levels of corrole and porphyrin systems (1.4-1.6 eV), we assume that the energy level of </w:t>
      </w:r>
      <w:r w:rsidRPr="00231CE7">
        <w:rPr>
          <w:rFonts w:cs="Arial"/>
          <w:szCs w:val="16"/>
          <w:vertAlign w:val="superscript"/>
          <w:lang w:val="de-DE"/>
        </w:rPr>
        <w:t>3</w:t>
      </w:r>
      <w:r w:rsidRPr="00231CE7">
        <w:rPr>
          <w:rFonts w:cs="Arial"/>
          <w:szCs w:val="16"/>
          <w:lang w:val="de-DE"/>
        </w:rPr>
        <w:t>CuC* is higher than that of the c</w:t>
      </w:r>
      <w:r w:rsidR="002621A5">
        <w:rPr>
          <w:rFonts w:cs="Arial"/>
          <w:szCs w:val="16"/>
          <w:lang w:val="de-DE"/>
        </w:rPr>
        <w:t>harge separated state (&gt; 1 eV).</w:t>
      </w:r>
      <w:r w:rsidRPr="00231CE7">
        <w:rPr>
          <w:rFonts w:cs="Arial"/>
          <w:szCs w:val="16"/>
          <w:lang w:val="de-DE"/>
        </w:rPr>
        <w:t xml:space="preserve"> In that case, the ZnP</w:t>
      </w:r>
      <w:r w:rsidRPr="00231CE7">
        <w:rPr>
          <w:rFonts w:cs="Arial"/>
          <w:szCs w:val="16"/>
          <w:vertAlign w:val="superscript"/>
          <w:lang w:val="de-DE"/>
        </w:rPr>
        <w:t>•+</w:t>
      </w:r>
      <w:r w:rsidRPr="00231CE7">
        <w:rPr>
          <w:rFonts w:cs="Arial"/>
          <w:szCs w:val="16"/>
          <w:lang w:val="de-DE"/>
        </w:rPr>
        <w:t>-Cu</w:t>
      </w:r>
      <w:r w:rsidRPr="00231CE7">
        <w:rPr>
          <w:rFonts w:cs="Arial"/>
          <w:szCs w:val="16"/>
          <w:vertAlign w:val="superscript"/>
          <w:lang w:val="de-DE"/>
        </w:rPr>
        <w:t>II</w:t>
      </w:r>
      <w:r w:rsidRPr="00231CE7">
        <w:rPr>
          <w:rFonts w:cs="Arial"/>
          <w:szCs w:val="16"/>
          <w:lang w:val="de-DE"/>
        </w:rPr>
        <w:t>C would directly charge recombine to y</w:t>
      </w:r>
      <w:r w:rsidR="002621A5">
        <w:rPr>
          <w:rFonts w:cs="Arial"/>
          <w:szCs w:val="16"/>
          <w:lang w:val="de-DE"/>
        </w:rPr>
        <w:t>ield ground state ZnP-CuC dyad.</w:t>
      </w:r>
      <w:r w:rsidRPr="00231CE7">
        <w:rPr>
          <w:rFonts w:cs="Arial"/>
          <w:szCs w:val="16"/>
          <w:lang w:val="de-DE"/>
        </w:rPr>
        <w:t xml:space="preserve"> In order to verify this mechanism and to evaluate the kinetics of these processes, femtosecond transient spectral studies were systematically performed and are discussed in the next section.</w:t>
      </w:r>
    </w:p>
    <w:p w:rsidR="00532E0F" w:rsidRDefault="00680CAF" w:rsidP="00010CD9">
      <w:pPr>
        <w:pStyle w:val="P1"/>
        <w:rPr>
          <w:rFonts w:cs="Arial"/>
          <w:szCs w:val="16"/>
          <w:lang w:val="de-DE"/>
        </w:rPr>
      </w:pPr>
      <w:r>
        <w:rPr>
          <w:rFonts w:cs="Arial"/>
          <w:noProof/>
          <w:szCs w:val="16"/>
          <w:lang w:eastAsia="en-US"/>
        </w:rPr>
        <w:drawing>
          <wp:anchor distT="0" distB="0" distL="114300" distR="114300" simplePos="0" relativeHeight="251646464" behindDoc="0" locked="0" layoutInCell="1" allowOverlap="1">
            <wp:simplePos x="0" y="0"/>
            <wp:positionH relativeFrom="column">
              <wp:posOffset>717550</wp:posOffset>
            </wp:positionH>
            <wp:positionV relativeFrom="paragraph">
              <wp:posOffset>113030</wp:posOffset>
            </wp:positionV>
            <wp:extent cx="1907540" cy="1831340"/>
            <wp:effectExtent l="25400" t="0" r="0" b="0"/>
            <wp:wrapSquare wrapText="bothSides"/>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rotWithShape="1">
                    <a:blip r:embed="rId21" cstate="print">
                      <a:graysc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2585" t="14792" r="27836" b="21587"/>
                    <a:stretch/>
                  </pic:blipFill>
                  <pic:spPr bwMode="auto">
                    <a:xfrm>
                      <a:off x="0" y="0"/>
                      <a:ext cx="1907540" cy="183134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D672E6" w:rsidRDefault="00D672E6" w:rsidP="00231CE7">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D672E6">
      <w:pPr>
        <w:pStyle w:val="P1"/>
      </w:pPr>
    </w:p>
    <w:p w:rsidR="00680CAF" w:rsidRDefault="00680CAF" w:rsidP="00680CAF">
      <w:pPr>
        <w:pStyle w:val="P1"/>
        <w:rPr>
          <w:b/>
          <w:sz w:val="14"/>
        </w:rPr>
      </w:pPr>
    </w:p>
    <w:p w:rsidR="00680CAF" w:rsidRPr="00680CAF" w:rsidRDefault="00680CAF" w:rsidP="00FC039F">
      <w:pPr>
        <w:pStyle w:val="FigureCaption"/>
        <w:spacing w:before="120" w:after="240"/>
      </w:pPr>
      <w:r w:rsidRPr="00680CAF">
        <w:rPr>
          <w:b/>
        </w:rPr>
        <w:t>Figure 6</w:t>
      </w:r>
      <w:r w:rsidRPr="00680CAF">
        <w:t>.</w:t>
      </w:r>
      <w:r>
        <w:t xml:space="preserve"> </w:t>
      </w:r>
      <w:r w:rsidRPr="00680CAF">
        <w:t xml:space="preserve">Energy level diagram showing the different photochemical events occurring in ZnP-CuC dyad in benzonitrile.  Energies of different states were evaluated from spectral and electrochemical studies.  Solid arrows indicate major photo-processes, dashed arrow indicates minor photo </w:t>
      </w:r>
      <w:r>
        <w:t>process.  ISC = i</w:t>
      </w:r>
      <w:r w:rsidRPr="00680CAF">
        <w:t>ntersystem crossing, CS = charge separation and CR = charge recombination.</w:t>
      </w:r>
    </w:p>
    <w:p w:rsidR="00680CAF" w:rsidRDefault="00680CAF" w:rsidP="00680CAF">
      <w:pPr>
        <w:pStyle w:val="P1"/>
        <w:rPr>
          <w:lang w:val="de-DE"/>
        </w:rPr>
      </w:pPr>
      <w:r w:rsidRPr="00680CAF">
        <w:rPr>
          <w:b/>
        </w:rPr>
        <w:t>Femtosecond Transient Absorption Studies</w:t>
      </w:r>
      <w:r>
        <w:rPr>
          <w:b/>
        </w:rPr>
        <w:t>.</w:t>
      </w:r>
      <w:r w:rsidRPr="00680CAF">
        <w:rPr>
          <w:lang w:val="de-DE"/>
        </w:rPr>
        <w:tab/>
        <w:t>First, femto</w:t>
      </w:r>
      <w:r>
        <w:rPr>
          <w:lang w:val="de-DE"/>
        </w:rPr>
        <w:t>-</w:t>
      </w:r>
      <w:r w:rsidRPr="00680CAF">
        <w:rPr>
          <w:lang w:val="de-DE"/>
        </w:rPr>
        <w:t>second transient spectral characterization of the control compounds, ZnP and CuC, was per</w:t>
      </w:r>
      <w:r w:rsidR="002621A5">
        <w:rPr>
          <w:lang w:val="de-DE"/>
        </w:rPr>
        <w:t>formed.</w:t>
      </w:r>
      <w:r w:rsidRPr="00680CAF">
        <w:rPr>
          <w:lang w:val="de-DE"/>
        </w:rPr>
        <w:t xml:space="preserve"> As shown in Figure 7a, excitation of ZnP revealed peaks corresponding to S</w:t>
      </w:r>
      <w:r w:rsidRPr="00680CAF">
        <w:rPr>
          <w:vertAlign w:val="subscript"/>
          <w:lang w:val="de-DE"/>
        </w:rPr>
        <w:t>0</w:t>
      </w:r>
      <w:r w:rsidRPr="00680CAF">
        <w:rPr>
          <w:lang w:val="de-DE"/>
        </w:rPr>
        <w:t>-S</w:t>
      </w:r>
      <w:r w:rsidRPr="00680CAF">
        <w:rPr>
          <w:vertAlign w:val="subscript"/>
          <w:lang w:val="de-DE"/>
        </w:rPr>
        <w:t>n</w:t>
      </w:r>
      <w:r w:rsidRPr="00680CAF">
        <w:rPr>
          <w:lang w:val="de-DE"/>
        </w:rPr>
        <w:t xml:space="preserve"> transitions with peak maxima at 458, 581, 625, and 1280 nm, and minima at 560, 600 and 663 nm </w:t>
      </w:r>
      <w:r w:rsidR="002621A5">
        <w:rPr>
          <w:lang w:val="de-DE"/>
        </w:rPr>
        <w:t xml:space="preserve">due to ground state depletion. </w:t>
      </w:r>
      <w:r w:rsidRPr="00680CAF">
        <w:rPr>
          <w:lang w:val="de-DE"/>
        </w:rPr>
        <w:t>The latter two peaks also contained contribut</w:t>
      </w:r>
      <w:r w:rsidR="002621A5">
        <w:rPr>
          <w:lang w:val="de-DE"/>
        </w:rPr>
        <w:t xml:space="preserve">ions from stimulated emission. </w:t>
      </w:r>
      <w:r w:rsidRPr="00680CAF">
        <w:rPr>
          <w:lang w:val="de-DE"/>
        </w:rPr>
        <w:t>The singlet peaks decayed in intensity over time with the appearance of new transient peaks at 474 and 850 nm corresponding to a triplet state population of ZnP due to intersystem crossing (see Figure inset for time profi</w:t>
      </w:r>
      <w:r w:rsidR="002621A5">
        <w:rPr>
          <w:lang w:val="de-DE"/>
        </w:rPr>
        <w:t xml:space="preserve">le of the 850 nm peak). </w:t>
      </w:r>
      <w:r w:rsidRPr="00680CAF">
        <w:rPr>
          <w:lang w:val="de-DE"/>
        </w:rPr>
        <w:t>As shown in the figure inset, the 1280 nm peak decayed at a rate of 6.03 x 10</w:t>
      </w:r>
      <w:r w:rsidRPr="00680CAF">
        <w:rPr>
          <w:vertAlign w:val="superscript"/>
          <w:lang w:val="de-DE"/>
        </w:rPr>
        <w:t>8</w:t>
      </w:r>
      <w:r w:rsidRPr="00680CAF">
        <w:rPr>
          <w:lang w:val="de-DE"/>
        </w:rPr>
        <w:t xml:space="preserve"> s</w:t>
      </w:r>
      <w:r w:rsidRPr="00680CAF">
        <w:rPr>
          <w:vertAlign w:val="superscript"/>
          <w:lang w:val="de-DE"/>
        </w:rPr>
        <w:t>-1</w:t>
      </w:r>
      <w:r w:rsidRPr="00680CAF">
        <w:rPr>
          <w:lang w:val="de-DE"/>
        </w:rPr>
        <w:t xml:space="preserve"> yielding a time constant of 1.7 ns in agreement with the li</w:t>
      </w:r>
      <w:r w:rsidR="002621A5">
        <w:rPr>
          <w:lang w:val="de-DE"/>
        </w:rPr>
        <w:t xml:space="preserve">fetime of ZnP in benzonitrile. </w:t>
      </w:r>
      <w:r w:rsidRPr="00680CAF">
        <w:rPr>
          <w:lang w:val="de-DE"/>
        </w:rPr>
        <w:t>The nanosecond transient absorption spectra of ZnP further revealed peaks due to the anticipated triplet state of ZnP at 47</w:t>
      </w:r>
      <w:r w:rsidR="002621A5">
        <w:rPr>
          <w:lang w:val="de-DE"/>
        </w:rPr>
        <w:t xml:space="preserve">4, 750 and 850 nm (Figure 7b). </w:t>
      </w:r>
      <w:r w:rsidRPr="00680CAF">
        <w:rPr>
          <w:lang w:val="de-DE"/>
        </w:rPr>
        <w:t xml:space="preserve">As shown in the figure inset, </w:t>
      </w:r>
      <w:r w:rsidRPr="00680CAF">
        <w:rPr>
          <w:vertAlign w:val="superscript"/>
          <w:lang w:val="de-DE"/>
        </w:rPr>
        <w:t>3</w:t>
      </w:r>
      <w:r w:rsidRPr="00680CAF">
        <w:rPr>
          <w:lang w:val="de-DE"/>
        </w:rPr>
        <w:t xml:space="preserve">ZnP* decayed with a lifetime of about 77 </w:t>
      </w:r>
      <w:r w:rsidRPr="003276D0">
        <w:rPr>
          <w:rFonts w:ascii="Symbol" w:hAnsi="Symbol"/>
          <w:lang w:val="de-DE"/>
        </w:rPr>
        <w:t></w:t>
      </w:r>
      <w:r w:rsidRPr="00680CAF">
        <w:rPr>
          <w:lang w:val="de-DE"/>
        </w:rPr>
        <w:t>s.</w:t>
      </w:r>
    </w:p>
    <w:p w:rsidR="003276D0" w:rsidRDefault="00027738" w:rsidP="00680CAF">
      <w:pPr>
        <w:pStyle w:val="P1"/>
      </w:pPr>
      <w:r>
        <w:rPr>
          <w:b/>
          <w:noProof/>
          <w:lang w:eastAsia="en-US"/>
        </w:rPr>
        <w:drawing>
          <wp:anchor distT="0" distB="0" distL="114300" distR="114300" simplePos="0" relativeHeight="251682304" behindDoc="0" locked="0" layoutInCell="1" allowOverlap="1">
            <wp:simplePos x="0" y="0"/>
            <wp:positionH relativeFrom="column">
              <wp:posOffset>3278505</wp:posOffset>
            </wp:positionH>
            <wp:positionV relativeFrom="paragraph">
              <wp:posOffset>2726055</wp:posOffset>
            </wp:positionV>
            <wp:extent cx="3105150" cy="1824355"/>
            <wp:effectExtent l="2540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a.tif"/>
                    <pic:cNvPicPr/>
                  </pic:nvPicPr>
                  <pic:blipFill rotWithShape="1">
                    <a:blip r:embed="rId22" cstate="print">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23">
                              <a14:imgEffect>
                                <a14:saturation sat="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957" t="18417" r="14530" b="15376"/>
                    <a:stretch/>
                  </pic:blipFill>
                  <pic:spPr bwMode="auto">
                    <a:xfrm>
                      <a:off x="0" y="0"/>
                      <a:ext cx="3105150" cy="182435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3276D0">
        <w:rPr>
          <w:noProof/>
          <w:lang w:eastAsia="en-US"/>
        </w:rPr>
        <w:drawing>
          <wp:anchor distT="0" distB="0" distL="114300" distR="114300" simplePos="0" relativeHeight="251662848" behindDoc="0" locked="0" layoutInCell="1" allowOverlap="1">
            <wp:simplePos x="0" y="0"/>
            <wp:positionH relativeFrom="column">
              <wp:posOffset>0</wp:posOffset>
            </wp:positionH>
            <wp:positionV relativeFrom="paragraph">
              <wp:posOffset>144145</wp:posOffset>
            </wp:positionV>
            <wp:extent cx="3067685" cy="2631440"/>
            <wp:effectExtent l="25400" t="0" r="5715"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rotWithShape="1">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665" t="4448" r="14024" b="3693"/>
                    <a:stretch/>
                  </pic:blipFill>
                  <pic:spPr bwMode="auto">
                    <a:xfrm>
                      <a:off x="0" y="0"/>
                      <a:ext cx="3067685" cy="263144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680CAF" w:rsidRPr="007621E9" w:rsidRDefault="007621E9" w:rsidP="00027738">
      <w:pPr>
        <w:pStyle w:val="FigureCaption"/>
        <w:spacing w:before="120" w:after="120"/>
      </w:pPr>
      <w:r w:rsidRPr="007621E9">
        <w:rPr>
          <w:b/>
        </w:rPr>
        <w:t>Figure 7</w:t>
      </w:r>
      <w:r w:rsidRPr="007621E9">
        <w:t>.  (a) Femtosecond transient absorption spectra of ZnP at the indicated delay times (</w:t>
      </w:r>
      <w:r w:rsidR="00887FD8" w:rsidRPr="00010CD9">
        <w:rPr>
          <w:rFonts w:hint="eastAsia"/>
        </w:rPr>
        <w:t>λ</w:t>
      </w:r>
      <w:r w:rsidRPr="007621E9">
        <w:rPr>
          <w:vertAlign w:val="subscript"/>
        </w:rPr>
        <w:t>ex</w:t>
      </w:r>
      <w:r w:rsidRPr="007621E9">
        <w:t xml:space="preserve"> = 400 nm) in benzonitrile. Figure inset: (i) time profile of the 1280 nm peak corresponding to singlet excited ZnP and (ii) time profile of the 850 nm peak corresponding to growth of </w:t>
      </w:r>
      <w:r w:rsidRPr="007621E9">
        <w:rPr>
          <w:vertAlign w:val="superscript"/>
        </w:rPr>
        <w:t>3</w:t>
      </w:r>
      <w:r w:rsidRPr="007621E9">
        <w:t>ZnP* via intersystem crossing.  (b) Nanosecond transient absorption spectra of ZnP at the indicated delay times (</w:t>
      </w:r>
      <w:r w:rsidR="00887FD8" w:rsidRPr="00010CD9">
        <w:rPr>
          <w:rFonts w:hint="eastAsia"/>
        </w:rPr>
        <w:t>λ</w:t>
      </w:r>
      <w:r w:rsidRPr="007621E9">
        <w:rPr>
          <w:vertAlign w:val="subscript"/>
        </w:rPr>
        <w:t>ex</w:t>
      </w:r>
      <w:r w:rsidRPr="007621E9">
        <w:t xml:space="preserve"> = 425 nm) in benzonitrile. Figure inset: time profile of the 474 nm peak. (c) Femtosecond transient spectra of CuC at the indicated delay times (</w:t>
      </w:r>
      <w:r w:rsidR="00887FD8" w:rsidRPr="00010CD9">
        <w:rPr>
          <w:rFonts w:hint="eastAsia"/>
        </w:rPr>
        <w:t>λ</w:t>
      </w:r>
      <w:r w:rsidRPr="007621E9">
        <w:rPr>
          <w:vertAlign w:val="subscript"/>
        </w:rPr>
        <w:t>ex</w:t>
      </w:r>
      <w:r w:rsidRPr="007621E9">
        <w:t xml:space="preserve"> = 400 nm) in benzonitrile.  Figure inset: time profile of the 667 nm peak.</w:t>
      </w:r>
    </w:p>
    <w:p w:rsidR="00BC5562" w:rsidRDefault="007621E9" w:rsidP="003276D0">
      <w:pPr>
        <w:pStyle w:val="P1"/>
        <w:ind w:firstLine="425"/>
      </w:pPr>
      <w:r w:rsidRPr="007621E9">
        <w:rPr>
          <w:lang w:val="de-DE"/>
        </w:rPr>
        <w:t>The femtosecond transient spectra of CuC revealed spectral features of instantaneously formed but short lived singlet excited CuC with peak ma</w:t>
      </w:r>
      <w:r w:rsidR="00332640">
        <w:rPr>
          <w:lang w:val="de-DE"/>
        </w:rPr>
        <w:t>xima at 667 and 609 and 753 nm.</w:t>
      </w:r>
      <w:r w:rsidRPr="007621E9">
        <w:rPr>
          <w:lang w:val="de-DE"/>
        </w:rPr>
        <w:t xml:space="preserve"> The 609 nm peak decayed at a rate greater than 10</w:t>
      </w:r>
      <w:r w:rsidRPr="007621E9">
        <w:rPr>
          <w:vertAlign w:val="superscript"/>
          <w:lang w:val="de-DE"/>
        </w:rPr>
        <w:t>10</w:t>
      </w:r>
      <w:r w:rsidRPr="007621E9">
        <w:rPr>
          <w:lang w:val="de-DE"/>
        </w:rPr>
        <w:t xml:space="preserve"> s</w:t>
      </w:r>
      <w:r w:rsidRPr="007621E9">
        <w:rPr>
          <w:vertAlign w:val="superscript"/>
          <w:lang w:val="de-DE"/>
        </w:rPr>
        <w:t>-1</w:t>
      </w:r>
      <w:r w:rsidRPr="007621E9">
        <w:rPr>
          <w:lang w:val="de-DE"/>
        </w:rPr>
        <w:t xml:space="preserve"> indicating fast intersystem crossing to popu</w:t>
      </w:r>
      <w:r w:rsidR="00332640">
        <w:rPr>
          <w:lang w:val="de-DE"/>
        </w:rPr>
        <w:t>late the triplet excited state.</w:t>
      </w:r>
      <w:r w:rsidRPr="007621E9">
        <w:rPr>
          <w:lang w:val="de-DE"/>
        </w:rPr>
        <w:t xml:space="preserve"> This result is consistent with the earlier discussed fluorescence studies where little or no fluoresce</w:t>
      </w:r>
      <w:r w:rsidR="00332640">
        <w:rPr>
          <w:lang w:val="de-DE"/>
        </w:rPr>
        <w:t>nce from CuC could be detected.</w:t>
      </w:r>
      <w:r w:rsidRPr="007621E9">
        <w:rPr>
          <w:lang w:val="de-DE"/>
        </w:rPr>
        <w:t xml:space="preserve"> The </w:t>
      </w:r>
      <w:r w:rsidRPr="007621E9">
        <w:rPr>
          <w:vertAlign w:val="superscript"/>
          <w:lang w:val="de-DE"/>
        </w:rPr>
        <w:t>1</w:t>
      </w:r>
      <w:r w:rsidRPr="007621E9">
        <w:rPr>
          <w:lang w:val="de-DE"/>
        </w:rPr>
        <w:t xml:space="preserve">CuC* decays rapidly to populate the </w:t>
      </w:r>
      <w:r w:rsidRPr="007621E9">
        <w:rPr>
          <w:vertAlign w:val="superscript"/>
          <w:lang w:val="de-DE"/>
        </w:rPr>
        <w:t>3</w:t>
      </w:r>
      <w:r w:rsidRPr="007621E9">
        <w:rPr>
          <w:lang w:val="de-DE"/>
        </w:rPr>
        <w:t>CuC* state, whi</w:t>
      </w:r>
      <w:r w:rsidR="00332640">
        <w:rPr>
          <w:lang w:val="de-DE"/>
        </w:rPr>
        <w:t>ch has peaks at 450 and 665 nm.</w:t>
      </w:r>
      <w:r w:rsidRPr="007621E9">
        <w:rPr>
          <w:lang w:val="de-DE"/>
        </w:rPr>
        <w:t xml:space="preserve"> As shown in the Figure inset, the 667 nm peak corresponding to </w:t>
      </w:r>
      <w:r w:rsidRPr="007621E9">
        <w:rPr>
          <w:vertAlign w:val="superscript"/>
          <w:lang w:val="de-DE"/>
        </w:rPr>
        <w:t>3</w:t>
      </w:r>
      <w:r w:rsidRPr="007621E9">
        <w:rPr>
          <w:lang w:val="de-DE"/>
        </w:rPr>
        <w:t>CuC* decayed at a rate of 7.0 x 10</w:t>
      </w:r>
      <w:r w:rsidRPr="007621E9">
        <w:rPr>
          <w:vertAlign w:val="superscript"/>
          <w:lang w:val="de-DE"/>
        </w:rPr>
        <w:t>9</w:t>
      </w:r>
      <w:r w:rsidRPr="007621E9">
        <w:rPr>
          <w:lang w:val="de-DE"/>
        </w:rPr>
        <w:t xml:space="preserve"> s</w:t>
      </w:r>
      <w:r w:rsidRPr="007621E9">
        <w:rPr>
          <w:vertAlign w:val="superscript"/>
          <w:lang w:val="de-DE"/>
        </w:rPr>
        <w:t>-1</w:t>
      </w:r>
      <w:r w:rsidRPr="007621E9">
        <w:rPr>
          <w:lang w:val="de-DE"/>
        </w:rPr>
        <w:t xml:space="preserve"> indicating rapid relaxation of the triplet exc</w:t>
      </w:r>
      <w:r w:rsidR="00332640">
        <w:rPr>
          <w:lang w:val="de-DE"/>
        </w:rPr>
        <w:t>ited state to the ground state.</w:t>
      </w:r>
      <w:r w:rsidRPr="007621E9">
        <w:rPr>
          <w:lang w:val="de-DE"/>
        </w:rPr>
        <w:t xml:space="preserve"> In summary, both singlet and triplet excited states of CuC are relative</w:t>
      </w:r>
      <w:r w:rsidR="00332640">
        <w:rPr>
          <w:lang w:val="de-DE"/>
        </w:rPr>
        <w:t>ly short lived in benzonitrile.</w:t>
      </w:r>
      <w:r w:rsidRPr="007621E9">
        <w:rPr>
          <w:lang w:val="de-DE"/>
        </w:rPr>
        <w:t xml:space="preserve"> Accordingly, nanosecond transient studies on CuC revealed no detectable signal.</w:t>
      </w:r>
    </w:p>
    <w:p w:rsidR="00BC5562" w:rsidRDefault="007621E9" w:rsidP="00027738">
      <w:pPr>
        <w:pStyle w:val="P1"/>
        <w:spacing w:after="120"/>
        <w:ind w:firstLine="425"/>
      </w:pPr>
      <w:r w:rsidRPr="007621E9">
        <w:rPr>
          <w:lang w:val="de-DE"/>
        </w:rPr>
        <w:t>The femtosecond transient spectra of ZnP-CuC at different delay times in benzo</w:t>
      </w:r>
      <w:r w:rsidR="00332640">
        <w:rPr>
          <w:lang w:val="de-DE"/>
        </w:rPr>
        <w:t>nitrile are shown in Figure 8a.</w:t>
      </w:r>
      <w:r w:rsidRPr="007621E9">
        <w:rPr>
          <w:lang w:val="de-DE"/>
        </w:rPr>
        <w:t xml:space="preserve"> From these data it was possible to confirm charge separation in the dyad leading to formation of the ZnP</w:t>
      </w:r>
      <w:r w:rsidRPr="007621E9">
        <w:rPr>
          <w:vertAlign w:val="superscript"/>
          <w:lang w:val="de-DE"/>
        </w:rPr>
        <w:t>•+</w:t>
      </w:r>
      <w:r w:rsidRPr="007621E9">
        <w:rPr>
          <w:lang w:val="de-DE"/>
        </w:rPr>
        <w:t>-Cu</w:t>
      </w:r>
      <w:r w:rsidRPr="007621E9">
        <w:rPr>
          <w:vertAlign w:val="superscript"/>
          <w:lang w:val="de-DE"/>
        </w:rPr>
        <w:t>II</w:t>
      </w:r>
      <w:r w:rsidR="00332640">
        <w:rPr>
          <w:lang w:val="de-DE"/>
        </w:rPr>
        <w:t>C species.</w:t>
      </w:r>
      <w:r w:rsidRPr="007621E9">
        <w:rPr>
          <w:lang w:val="de-DE"/>
        </w:rPr>
        <w:t xml:space="preserve"> On a short time scale, peaks corresponding to the singlet excited state of ZnP decayed without populating the </w:t>
      </w:r>
      <w:r w:rsidRPr="007621E9">
        <w:rPr>
          <w:vertAlign w:val="superscript"/>
          <w:lang w:val="de-DE"/>
        </w:rPr>
        <w:t>3</w:t>
      </w:r>
      <w:r w:rsidRPr="007621E9">
        <w:rPr>
          <w:lang w:val="de-DE"/>
        </w:rPr>
        <w:t>ZnP* triplet state although new transient peaks in the 610 nm region (corresponding to Cu</w:t>
      </w:r>
      <w:r w:rsidRPr="007621E9">
        <w:rPr>
          <w:vertAlign w:val="superscript"/>
          <w:lang w:val="de-DE"/>
        </w:rPr>
        <w:t>II</w:t>
      </w:r>
      <w:r w:rsidRPr="007621E9">
        <w:rPr>
          <w:lang w:val="de-DE"/>
        </w:rPr>
        <w:t>C) and a broad peak in the 625-700 nm region (corresponding to the formation of ZnPc</w:t>
      </w:r>
      <w:r w:rsidRPr="007621E9">
        <w:rPr>
          <w:vertAlign w:val="superscript"/>
          <w:lang w:val="de-DE"/>
        </w:rPr>
        <w:t>•+</w:t>
      </w:r>
      <w:r w:rsidRPr="007621E9">
        <w:rPr>
          <w:lang w:val="de-DE"/>
        </w:rPr>
        <w:t>) could clearly be observed, establishing</w:t>
      </w:r>
      <w:r w:rsidR="00332640">
        <w:rPr>
          <w:lang w:val="de-DE"/>
        </w:rPr>
        <w:t xml:space="preserve"> charge separation in the dyad.</w:t>
      </w:r>
      <w:r w:rsidRPr="007621E9">
        <w:rPr>
          <w:lang w:val="de-DE"/>
        </w:rPr>
        <w:t xml:space="preserve"> We observed charge separation from the </w:t>
      </w:r>
      <w:r w:rsidRPr="007621E9">
        <w:rPr>
          <w:vertAlign w:val="superscript"/>
          <w:lang w:val="de-DE"/>
        </w:rPr>
        <w:t>1</w:t>
      </w:r>
      <w:r w:rsidRPr="007621E9">
        <w:rPr>
          <w:lang w:val="de-DE"/>
        </w:rPr>
        <w:t xml:space="preserve">ZnP* state and not from the fast decaying </w:t>
      </w:r>
      <w:r w:rsidRPr="007621E9">
        <w:rPr>
          <w:vertAlign w:val="superscript"/>
          <w:lang w:val="de-DE"/>
        </w:rPr>
        <w:t>1</w:t>
      </w:r>
      <w:r w:rsidRPr="007621E9">
        <w:rPr>
          <w:lang w:val="de-DE"/>
        </w:rPr>
        <w:t xml:space="preserve">CuC* state, although at the excitation wavelength of 400 nm both entities can be excited. At higher delay times, decay of the charge separated state did not lead to any peaks corresponding to </w:t>
      </w:r>
      <w:r w:rsidRPr="007621E9">
        <w:rPr>
          <w:vertAlign w:val="superscript"/>
          <w:lang w:val="de-DE"/>
        </w:rPr>
        <w:t>3</w:t>
      </w:r>
      <w:r w:rsidRPr="007621E9">
        <w:rPr>
          <w:lang w:val="de-DE"/>
        </w:rPr>
        <w:t xml:space="preserve">ZnP* or </w:t>
      </w:r>
      <w:r w:rsidRPr="007621E9">
        <w:rPr>
          <w:vertAlign w:val="superscript"/>
          <w:lang w:val="de-DE"/>
        </w:rPr>
        <w:t>3</w:t>
      </w:r>
      <w:r w:rsidRPr="007621E9">
        <w:rPr>
          <w:lang w:val="de-DE"/>
        </w:rPr>
        <w:t>CuC* indicating that the charge recombination process yields dir</w:t>
      </w:r>
      <w:r w:rsidR="00332640">
        <w:rPr>
          <w:lang w:val="de-DE"/>
        </w:rPr>
        <w:t>ectly the ground state dyad.</w:t>
      </w:r>
      <w:r w:rsidRPr="007621E9">
        <w:rPr>
          <w:lang w:val="de-DE"/>
        </w:rPr>
        <w:t xml:space="preserve"> This is consistent with the energy level diagram in Figure 6 where populating </w:t>
      </w:r>
      <w:r w:rsidRPr="007621E9">
        <w:rPr>
          <w:vertAlign w:val="superscript"/>
          <w:lang w:val="de-DE"/>
        </w:rPr>
        <w:t>3</w:t>
      </w:r>
      <w:r w:rsidRPr="007621E9">
        <w:rPr>
          <w:lang w:val="de-DE"/>
        </w:rPr>
        <w:t>ZnP* from the low-lying charge-separat</w:t>
      </w:r>
      <w:r w:rsidR="00332640">
        <w:rPr>
          <w:lang w:val="de-DE"/>
        </w:rPr>
        <w:t xml:space="preserve">ed state is an uphill process. </w:t>
      </w:r>
      <w:r w:rsidRPr="007621E9">
        <w:rPr>
          <w:lang w:val="de-DE"/>
        </w:rPr>
        <w:t xml:space="preserve">To evaluate the rate of charge separation, </w:t>
      </w:r>
      <w:r w:rsidRPr="007621E9">
        <w:rPr>
          <w:i/>
          <w:lang w:val="de-DE"/>
        </w:rPr>
        <w:t>k</w:t>
      </w:r>
      <w:r w:rsidRPr="007621E9">
        <w:rPr>
          <w:vertAlign w:val="subscript"/>
          <w:lang w:val="de-DE"/>
        </w:rPr>
        <w:t>CS</w:t>
      </w:r>
      <w:r w:rsidRPr="007621E9">
        <w:rPr>
          <w:lang w:val="de-DE"/>
        </w:rPr>
        <w:t>, the decay profile of the near-IR band at 1280 nm was monito</w:t>
      </w:r>
      <w:r w:rsidR="00332640">
        <w:rPr>
          <w:lang w:val="de-DE"/>
        </w:rPr>
        <w:t xml:space="preserve">red and is shown in Figure 8b. </w:t>
      </w:r>
      <w:r w:rsidRPr="007621E9">
        <w:rPr>
          <w:lang w:val="de-DE"/>
        </w:rPr>
        <w:t xml:space="preserve">For comparative purposes, the decay profile of pristine ZnP is also shown revealing the rapid decay of </w:t>
      </w:r>
      <w:r w:rsidRPr="007621E9">
        <w:rPr>
          <w:vertAlign w:val="superscript"/>
          <w:lang w:val="de-DE"/>
        </w:rPr>
        <w:t>1</w:t>
      </w:r>
      <w:r w:rsidRPr="007621E9">
        <w:rPr>
          <w:lang w:val="de-DE"/>
        </w:rPr>
        <w:t xml:space="preserve">ZnP* in the dyad system. The </w:t>
      </w:r>
      <w:r w:rsidRPr="007621E9">
        <w:rPr>
          <w:i/>
          <w:lang w:val="de-DE"/>
        </w:rPr>
        <w:t>k</w:t>
      </w:r>
      <w:r w:rsidRPr="007621E9">
        <w:rPr>
          <w:vertAlign w:val="subscript"/>
          <w:lang w:val="de-DE"/>
        </w:rPr>
        <w:t>CS</w:t>
      </w:r>
      <w:r w:rsidRPr="007621E9">
        <w:rPr>
          <w:lang w:val="de-DE"/>
        </w:rPr>
        <w:t xml:space="preserve"> evaluated using a standard procedure was found to be 1.1 x 10</w:t>
      </w:r>
      <w:r w:rsidRPr="007621E9">
        <w:rPr>
          <w:vertAlign w:val="superscript"/>
          <w:lang w:val="de-DE"/>
        </w:rPr>
        <w:t>10</w:t>
      </w:r>
      <w:r w:rsidRPr="007621E9">
        <w:rPr>
          <w:lang w:val="de-DE"/>
        </w:rPr>
        <w:t xml:space="preserve"> s</w:t>
      </w:r>
      <w:r w:rsidRPr="007621E9">
        <w:rPr>
          <w:vertAlign w:val="superscript"/>
          <w:lang w:val="de-DE"/>
        </w:rPr>
        <w:t>-1</w:t>
      </w:r>
      <w:r w:rsidRPr="007621E9">
        <w:rPr>
          <w:lang w:val="de-DE"/>
        </w:rPr>
        <w:t xml:space="preserve"> revealing fast charge separation.  The decay of the 616 nm peak corresponding to charge recombination was found to be biexponential.  The faster decay component had a time constant of about 20 ps and the relatively slower decay component had a time constant of 270 ps.  These values result in </w:t>
      </w:r>
      <w:r w:rsidRPr="007621E9">
        <w:rPr>
          <w:i/>
          <w:lang w:val="de-DE"/>
        </w:rPr>
        <w:t>k</w:t>
      </w:r>
      <w:r w:rsidRPr="007621E9">
        <w:rPr>
          <w:vertAlign w:val="subscript"/>
          <w:lang w:val="de-DE"/>
        </w:rPr>
        <w:t>CR</w:t>
      </w:r>
      <w:r w:rsidRPr="007621E9">
        <w:rPr>
          <w:lang w:val="de-DE"/>
        </w:rPr>
        <w:t xml:space="preserve"> values of 5.0 x 10</w:t>
      </w:r>
      <w:r w:rsidRPr="007621E9">
        <w:rPr>
          <w:vertAlign w:val="superscript"/>
          <w:lang w:val="de-DE"/>
        </w:rPr>
        <w:t>10</w:t>
      </w:r>
      <w:r w:rsidRPr="007621E9">
        <w:rPr>
          <w:lang w:val="de-DE"/>
        </w:rPr>
        <w:t xml:space="preserve"> s</w:t>
      </w:r>
      <w:r w:rsidRPr="007621E9">
        <w:rPr>
          <w:vertAlign w:val="superscript"/>
          <w:lang w:val="de-DE"/>
        </w:rPr>
        <w:t>-1</w:t>
      </w:r>
      <w:r w:rsidRPr="007621E9">
        <w:rPr>
          <w:lang w:val="de-DE"/>
        </w:rPr>
        <w:t xml:space="preserve"> and 3.7 x 10</w:t>
      </w:r>
      <w:r w:rsidRPr="007621E9">
        <w:rPr>
          <w:vertAlign w:val="superscript"/>
          <w:lang w:val="de-DE"/>
        </w:rPr>
        <w:t>9</w:t>
      </w:r>
      <w:r w:rsidRPr="007621E9">
        <w:rPr>
          <w:lang w:val="de-DE"/>
        </w:rPr>
        <w:t xml:space="preserve"> s</w:t>
      </w:r>
      <w:r w:rsidRPr="007621E9">
        <w:rPr>
          <w:vertAlign w:val="superscript"/>
          <w:lang w:val="de-DE"/>
        </w:rPr>
        <w:t>-1</w:t>
      </w:r>
      <w:r w:rsidR="00332640">
        <w:rPr>
          <w:lang w:val="de-DE"/>
        </w:rPr>
        <w:t>, respectively.</w:t>
      </w:r>
      <w:r w:rsidRPr="007621E9">
        <w:rPr>
          <w:lang w:val="de-DE"/>
        </w:rPr>
        <w:t xml:space="preserve"> However, at the monitoring wavelength of 610 nm, overlapping peaks of the singlet excited state of are also present.  Hence, the values of </w:t>
      </w:r>
      <w:r w:rsidRPr="007621E9">
        <w:rPr>
          <w:i/>
          <w:lang w:val="de-DE"/>
        </w:rPr>
        <w:t>k</w:t>
      </w:r>
      <w:r w:rsidRPr="007621E9">
        <w:rPr>
          <w:vertAlign w:val="subscript"/>
          <w:lang w:val="de-DE"/>
        </w:rPr>
        <w:t>CR</w:t>
      </w:r>
      <w:r w:rsidRPr="007621E9">
        <w:rPr>
          <w:lang w:val="de-DE"/>
        </w:rPr>
        <w:t xml:space="preserve"> reported here should be treated as estimates.</w:t>
      </w:r>
    </w:p>
    <w:p w:rsidR="007621E9" w:rsidRPr="007621E9" w:rsidRDefault="007621E9" w:rsidP="00B647D1">
      <w:pPr>
        <w:pStyle w:val="FigureCaption"/>
        <w:spacing w:before="120" w:after="240"/>
      </w:pPr>
      <w:r w:rsidRPr="007621E9">
        <w:rPr>
          <w:b/>
        </w:rPr>
        <w:t>Figure 8</w:t>
      </w:r>
      <w:r w:rsidRPr="007621E9">
        <w:t>.  (a) Femtosecond transient absorption spectra of ZnP-CuC dyad at the indicated delay times (</w:t>
      </w:r>
      <w:r w:rsidRPr="00B647D1">
        <w:rPr>
          <w:rFonts w:ascii="Symbol" w:hAnsi="Symbol"/>
        </w:rPr>
        <w:t></w:t>
      </w:r>
      <w:r w:rsidRPr="007621E9">
        <w:rPr>
          <w:vertAlign w:val="subscript"/>
        </w:rPr>
        <w:t>ex</w:t>
      </w:r>
      <w:r w:rsidRPr="007621E9">
        <w:t xml:space="preserve"> = 400 nm) in benzonitrile. (b) Time profile of the 1280 nm peak corresponding to singlet excited ZnPin pristine ZnP (</w:t>
      </w:r>
      <w:r w:rsidR="00B647D1">
        <w:t>curve i</w:t>
      </w:r>
      <w:r w:rsidRPr="007621E9">
        <w:t>) and in the dyad (</w:t>
      </w:r>
      <w:r w:rsidR="00B647D1">
        <w:t>curve ii</w:t>
      </w:r>
      <w:r w:rsidRPr="007621E9">
        <w:t>). (c) Time profile of the 616 nm peak corresponding to Cu</w:t>
      </w:r>
      <w:r w:rsidRPr="007621E9">
        <w:rPr>
          <w:vertAlign w:val="superscript"/>
        </w:rPr>
        <w:t>II</w:t>
      </w:r>
      <w:r w:rsidRPr="007621E9">
        <w:t xml:space="preserve">C. </w:t>
      </w:r>
    </w:p>
    <w:p w:rsidR="007F3C98" w:rsidRDefault="007F3C98" w:rsidP="00027738">
      <w:pPr>
        <w:pStyle w:val="P1"/>
        <w:ind w:firstLine="425"/>
        <w:rPr>
          <w:lang w:val="de-DE"/>
        </w:rPr>
      </w:pPr>
      <w:r w:rsidRPr="007F3C98">
        <w:rPr>
          <w:lang w:val="de-DE"/>
        </w:rPr>
        <w:t>The transient spectral data for the triad and pentad are shown in</w:t>
      </w:r>
      <w:r w:rsidR="00332640">
        <w:rPr>
          <w:lang w:val="de-DE"/>
        </w:rPr>
        <w:t xml:space="preserve"> Figure 9a and b, respectively.</w:t>
      </w:r>
      <w:r w:rsidRPr="007F3C98">
        <w:rPr>
          <w:lang w:val="de-DE"/>
        </w:rPr>
        <w:t xml:space="preserve"> In the case of the triad, spectral features were similar to the dyad discussed earlier with a peak at 610 nm corresponding to Cu</w:t>
      </w:r>
      <w:r w:rsidRPr="007F3C98">
        <w:rPr>
          <w:vertAlign w:val="superscript"/>
          <w:lang w:val="de-DE"/>
        </w:rPr>
        <w:t>II</w:t>
      </w:r>
      <w:r w:rsidRPr="007F3C98">
        <w:rPr>
          <w:lang w:val="de-DE"/>
        </w:rPr>
        <w:t>C and in the 625-700 nm range corresponding to ZnP</w:t>
      </w:r>
      <w:r w:rsidRPr="007F3C98">
        <w:rPr>
          <w:vertAlign w:val="superscript"/>
          <w:lang w:val="de-DE"/>
        </w:rPr>
        <w:t>•+</w:t>
      </w:r>
      <w:r w:rsidRPr="007F3C98">
        <w:rPr>
          <w:lang w:val="de-DE"/>
        </w:rPr>
        <w:t xml:space="preserve">, again establishing charge separation in the triad.  The </w:t>
      </w:r>
      <w:r w:rsidRPr="007F3C98">
        <w:rPr>
          <w:i/>
          <w:lang w:val="de-DE"/>
        </w:rPr>
        <w:t>k</w:t>
      </w:r>
      <w:r w:rsidRPr="007F3C98">
        <w:rPr>
          <w:vertAlign w:val="subscript"/>
          <w:lang w:val="de-DE"/>
        </w:rPr>
        <w:t>CS</w:t>
      </w:r>
      <w:r w:rsidRPr="007F3C98">
        <w:rPr>
          <w:lang w:val="de-DE"/>
        </w:rPr>
        <w:t xml:space="preserve"> determined from the time profile of the 1280 nm band was found to be 1.2 x 10</w:t>
      </w:r>
      <w:r w:rsidRPr="007F3C98">
        <w:rPr>
          <w:vertAlign w:val="superscript"/>
          <w:lang w:val="de-DE"/>
        </w:rPr>
        <w:t>10</w:t>
      </w:r>
      <w:r w:rsidRPr="007F3C98">
        <w:rPr>
          <w:lang w:val="de-DE"/>
        </w:rPr>
        <w:t xml:space="preserve"> s</w:t>
      </w:r>
      <w:r w:rsidRPr="007F3C98">
        <w:rPr>
          <w:vertAlign w:val="superscript"/>
          <w:lang w:val="de-DE"/>
        </w:rPr>
        <w:t>-1</w:t>
      </w:r>
      <w:r w:rsidRPr="007F3C98">
        <w:rPr>
          <w:lang w:val="de-DE"/>
        </w:rPr>
        <w:t xml:space="preserve">, slightly faster than that observed in the </w:t>
      </w:r>
      <w:r w:rsidR="00332640">
        <w:rPr>
          <w:lang w:val="de-DE"/>
        </w:rPr>
        <w:t xml:space="preserve">case of dyad. </w:t>
      </w:r>
      <w:r w:rsidRPr="007F3C98">
        <w:rPr>
          <w:lang w:val="de-DE"/>
        </w:rPr>
        <w:t xml:space="preserve">The decay of the 610 nm peak corresponding to charge recombination is a biexponential process (see Figure 9a inset) with </w:t>
      </w:r>
      <w:r w:rsidRPr="007F3C98">
        <w:rPr>
          <w:i/>
          <w:lang w:val="de-DE"/>
        </w:rPr>
        <w:t>k</w:t>
      </w:r>
      <w:r w:rsidRPr="007F3C98">
        <w:rPr>
          <w:vertAlign w:val="subscript"/>
          <w:lang w:val="de-DE"/>
        </w:rPr>
        <w:t>CR</w:t>
      </w:r>
      <w:r w:rsidRPr="007F3C98">
        <w:rPr>
          <w:lang w:val="de-DE"/>
        </w:rPr>
        <w:t xml:space="preserve"> estimated from the long component being around 5 x 10</w:t>
      </w:r>
      <w:r w:rsidRPr="007F3C98">
        <w:rPr>
          <w:vertAlign w:val="superscript"/>
          <w:lang w:val="de-DE"/>
        </w:rPr>
        <w:t>9</w:t>
      </w:r>
      <w:r w:rsidRPr="007F3C98">
        <w:rPr>
          <w:lang w:val="de-DE"/>
        </w:rPr>
        <w:t xml:space="preserve"> s</w:t>
      </w:r>
      <w:r w:rsidRPr="007F3C98">
        <w:rPr>
          <w:vertAlign w:val="superscript"/>
          <w:lang w:val="de-DE"/>
        </w:rPr>
        <w:t>-1</w:t>
      </w:r>
      <w:r w:rsidRPr="007F3C98">
        <w:rPr>
          <w:lang w:val="de-DE"/>
        </w:rPr>
        <w:t>.</w:t>
      </w:r>
    </w:p>
    <w:p w:rsidR="00BC5562" w:rsidRDefault="007F3C98" w:rsidP="00D672E6">
      <w:pPr>
        <w:pStyle w:val="P1"/>
      </w:pPr>
      <w:r>
        <w:rPr>
          <w:noProof/>
          <w:lang w:eastAsia="en-US"/>
        </w:rPr>
        <w:drawing>
          <wp:anchor distT="0" distB="0" distL="114300" distR="114300" simplePos="0" relativeHeight="251648512" behindDoc="0" locked="0" layoutInCell="1" allowOverlap="1">
            <wp:simplePos x="0" y="0"/>
            <wp:positionH relativeFrom="column">
              <wp:posOffset>534035</wp:posOffset>
            </wp:positionH>
            <wp:positionV relativeFrom="paragraph">
              <wp:posOffset>27305</wp:posOffset>
            </wp:positionV>
            <wp:extent cx="2092325" cy="3200400"/>
            <wp:effectExtent l="25400" t="0" r="0" b="0"/>
            <wp:wrapSquare wrapText="bothSides"/>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rotWithShape="1">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8239" t="4240" r="36132" b="2443"/>
                    <a:stretch/>
                  </pic:blipFill>
                  <pic:spPr bwMode="auto">
                    <a:xfrm>
                      <a:off x="0" y="0"/>
                      <a:ext cx="2092325" cy="32004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BC5562" w:rsidRDefault="00BC5562"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Default="007F3C98" w:rsidP="00D672E6">
      <w:pPr>
        <w:pStyle w:val="P1"/>
      </w:pPr>
    </w:p>
    <w:p w:rsidR="007F3C98" w:rsidRPr="007F3C98" w:rsidRDefault="007F3C98" w:rsidP="000B0BDB">
      <w:pPr>
        <w:pStyle w:val="FigureCaption"/>
        <w:spacing w:before="120" w:after="240"/>
      </w:pPr>
      <w:r w:rsidRPr="007F3C98">
        <w:rPr>
          <w:b/>
        </w:rPr>
        <w:t>Figure 9</w:t>
      </w:r>
      <w:r w:rsidRPr="007F3C98">
        <w:t>.  (a) Femtosecond transient absorption spectra of ZnP-(CuC)</w:t>
      </w:r>
      <w:r w:rsidRPr="007F3C98">
        <w:rPr>
          <w:vertAlign w:val="subscript"/>
        </w:rPr>
        <w:t>2</w:t>
      </w:r>
      <w:r w:rsidRPr="007F3C98">
        <w:t xml:space="preserve"> triad at the indicated delay times (</w:t>
      </w:r>
      <w:r w:rsidRPr="000B0BDB">
        <w:rPr>
          <w:rFonts w:ascii="Symbol" w:hAnsi="Symbol"/>
        </w:rPr>
        <w:t></w:t>
      </w:r>
      <w:r w:rsidRPr="007F3C98">
        <w:rPr>
          <w:vertAlign w:val="subscript"/>
        </w:rPr>
        <w:t>ex</w:t>
      </w:r>
      <w:r w:rsidRPr="007F3C98">
        <w:t xml:space="preserve"> = 400 nm) in benzonitrile. Inset: time profile of the 616 nm peak. (b) Transient absorption spectra of ZnP-(CuC)</w:t>
      </w:r>
      <w:r w:rsidRPr="007F3C98">
        <w:rPr>
          <w:vertAlign w:val="subscript"/>
        </w:rPr>
        <w:t>4</w:t>
      </w:r>
      <w:r w:rsidRPr="007F3C98">
        <w:t xml:space="preserve"> pentad at the indicated delay times (</w:t>
      </w:r>
      <w:r w:rsidRPr="000B0BDB">
        <w:rPr>
          <w:rFonts w:ascii="Symbol" w:hAnsi="Symbol"/>
        </w:rPr>
        <w:t></w:t>
      </w:r>
      <w:r w:rsidRPr="007F3C98">
        <w:rPr>
          <w:vertAlign w:val="subscript"/>
        </w:rPr>
        <w:t>ex</w:t>
      </w:r>
      <w:r w:rsidRPr="007F3C98">
        <w:t xml:space="preserve"> = 400 nm) in benzonitrile. Inset: time profile of the 616 nm peak</w:t>
      </w:r>
    </w:p>
    <w:p w:rsidR="007F3C98" w:rsidRPr="001F05ED" w:rsidRDefault="001F05ED" w:rsidP="005D59CF">
      <w:pPr>
        <w:pStyle w:val="P1"/>
        <w:ind w:firstLine="425"/>
        <w:rPr>
          <w:lang w:val="de-DE"/>
        </w:rPr>
      </w:pPr>
      <w:r w:rsidRPr="001F05ED">
        <w:rPr>
          <w:lang w:val="de-DE"/>
        </w:rPr>
        <w:t>The spectral features observed for the ZnP-(CuC)</w:t>
      </w:r>
      <w:r w:rsidRPr="001F05ED">
        <w:rPr>
          <w:vertAlign w:val="subscript"/>
          <w:lang w:val="de-DE"/>
        </w:rPr>
        <w:t>4</w:t>
      </w:r>
      <w:r w:rsidRPr="001F05ED">
        <w:rPr>
          <w:lang w:val="de-DE"/>
        </w:rPr>
        <w:t xml:space="preserve"> pentad (Figure 9b) are also supportive of charge separation but, owing to the presence of four CuC entities, intensities of the peaks corresponding to the charge separated species were minimal.  Also, the 1280 nm peak of </w:t>
      </w:r>
      <w:r w:rsidRPr="001F05ED">
        <w:rPr>
          <w:vertAlign w:val="superscript"/>
          <w:lang w:val="de-DE"/>
        </w:rPr>
        <w:t>1</w:t>
      </w:r>
      <w:r w:rsidRPr="001F05ED">
        <w:rPr>
          <w:lang w:val="de-DE"/>
        </w:rPr>
        <w:t xml:space="preserve">ZnP* was too low in intensity for its use in the calculation of </w:t>
      </w:r>
      <w:r w:rsidRPr="001F05ED">
        <w:rPr>
          <w:i/>
          <w:lang w:val="de-DE"/>
        </w:rPr>
        <w:t>k</w:t>
      </w:r>
      <w:r w:rsidRPr="001F05ED">
        <w:rPr>
          <w:vertAlign w:val="subscript"/>
          <w:lang w:val="de-DE"/>
        </w:rPr>
        <w:t>CS</w:t>
      </w:r>
      <w:r w:rsidRPr="001F05ED">
        <w:rPr>
          <w:lang w:val="de-DE"/>
        </w:rPr>
        <w:t xml:space="preserve">, so that a rate greater than that calculated in the cases of </w:t>
      </w:r>
      <w:r w:rsidR="00332640">
        <w:rPr>
          <w:lang w:val="de-DE"/>
        </w:rPr>
        <w:t>the dyad and triad is expected.</w:t>
      </w:r>
      <w:r w:rsidRPr="001F05ED">
        <w:rPr>
          <w:lang w:val="de-DE"/>
        </w:rPr>
        <w:t xml:space="preserve"> The same could be said for </w:t>
      </w:r>
      <w:r w:rsidRPr="001F05ED">
        <w:rPr>
          <w:i/>
          <w:lang w:val="de-DE"/>
        </w:rPr>
        <w:t>k</w:t>
      </w:r>
      <w:r w:rsidRPr="001F05ED">
        <w:rPr>
          <w:vertAlign w:val="subscript"/>
          <w:lang w:val="de-DE"/>
        </w:rPr>
        <w:t>CR</w:t>
      </w:r>
      <w:r w:rsidRPr="001F05ED">
        <w:rPr>
          <w:lang w:val="de-DE"/>
        </w:rPr>
        <w:t xml:space="preserve"> (see Figure 9b inset for time profile of the 610 nm peak), where the decay corresponding to Cu</w:t>
      </w:r>
      <w:r w:rsidRPr="001F05ED">
        <w:rPr>
          <w:vertAlign w:val="superscript"/>
          <w:lang w:val="de-DE"/>
        </w:rPr>
        <w:t>II</w:t>
      </w:r>
      <w:r w:rsidR="00332640">
        <w:rPr>
          <w:lang w:val="de-DE"/>
        </w:rPr>
        <w:t>C was very rapid.</w:t>
      </w:r>
      <w:r w:rsidRPr="001F05ED">
        <w:rPr>
          <w:lang w:val="de-DE"/>
        </w:rPr>
        <w:t xml:space="preserve"> Hence, although charge separation is evident, values of </w:t>
      </w:r>
      <w:r w:rsidRPr="001F05ED">
        <w:rPr>
          <w:i/>
          <w:lang w:val="de-DE"/>
        </w:rPr>
        <w:t>k</w:t>
      </w:r>
      <w:r w:rsidRPr="001F05ED">
        <w:rPr>
          <w:vertAlign w:val="subscript"/>
          <w:lang w:val="de-DE"/>
        </w:rPr>
        <w:t>CR</w:t>
      </w:r>
      <w:r w:rsidRPr="001F05ED">
        <w:rPr>
          <w:lang w:val="de-DE"/>
        </w:rPr>
        <w:t xml:space="preserve"> and </w:t>
      </w:r>
      <w:r w:rsidRPr="001F05ED">
        <w:rPr>
          <w:i/>
          <w:lang w:val="de-DE"/>
        </w:rPr>
        <w:t>k</w:t>
      </w:r>
      <w:r w:rsidRPr="001F05ED">
        <w:rPr>
          <w:vertAlign w:val="subscript"/>
          <w:lang w:val="de-DE"/>
        </w:rPr>
        <w:t>CR</w:t>
      </w:r>
      <w:r w:rsidRPr="001F05ED">
        <w:rPr>
          <w:lang w:val="de-DE"/>
        </w:rPr>
        <w:t xml:space="preserve"> cannot be reported here for the pentad.</w:t>
      </w:r>
    </w:p>
    <w:p w:rsidR="00D672E6" w:rsidRDefault="001F05ED" w:rsidP="005D59CF">
      <w:pPr>
        <w:pStyle w:val="H1"/>
        <w:spacing w:before="360" w:after="120"/>
      </w:pPr>
      <w:r>
        <w:t>C</w:t>
      </w:r>
      <w:r w:rsidR="00D672E6">
        <w:t>onclusions</w:t>
      </w:r>
    </w:p>
    <w:p w:rsidR="001F05ED" w:rsidRPr="00AB32BE" w:rsidRDefault="001F05ED" w:rsidP="00D62F32">
      <w:pPr>
        <w:pStyle w:val="P1"/>
        <w:rPr>
          <w:vertAlign w:val="superscript"/>
        </w:rPr>
      </w:pPr>
      <w:r w:rsidRPr="00AB32BE">
        <w:t>In summary, syntheses of a series of donor-acceptor conjugates based on zinc porphyrin as an electron donor and copper(III) corrole as an electron acceptor have been successfully accompl</w:t>
      </w:r>
      <w:r w:rsidR="00332640">
        <w:t xml:space="preserve">ished with outstanding yields. </w:t>
      </w:r>
      <w:r w:rsidRPr="00AB32BE">
        <w:t xml:space="preserve">Electrochemical and computational studies revealed the electron deficient nature of copper(III) corrole in the conjugates in terms of facile reduction and </w:t>
      </w:r>
      <w:r w:rsidR="00332640">
        <w:t>the locations of LUMO orbitals.</w:t>
      </w:r>
      <w:r w:rsidRPr="00AB32BE">
        <w:t xml:space="preserve"> Free energy calculations were suggestive of occurrence of photoinduced electron transfer from the singlet excited zinc porphyrin to copper corrole and, accordingly, steady-state fluorescence studies revealed almost complete quenching of ZnP </w:t>
      </w:r>
      <w:r w:rsidR="00332640">
        <w:t>fluorescence in the conjugates.</w:t>
      </w:r>
      <w:r w:rsidRPr="00AB32BE">
        <w:t xml:space="preserve"> The oxidized and reduced products of the conjugates were characterized spectroelectrochemically and used in the interpretation of transient spectral data from femto</w:t>
      </w:r>
      <w:r w:rsidR="00332640">
        <w:t xml:space="preserve">second transient measurements. </w:t>
      </w:r>
      <w:r w:rsidRPr="00AB32BE">
        <w:t xml:space="preserve">The energy level diagram, established using the spectroscopic, electrochemical and computational data, predicts occurrence of charge separation from </w:t>
      </w:r>
      <w:r w:rsidRPr="00AB32BE">
        <w:rPr>
          <w:vertAlign w:val="superscript"/>
        </w:rPr>
        <w:t>1</w:t>
      </w:r>
      <w:r w:rsidRPr="00AB32BE">
        <w:t>ZnP*, and indicates that the charge separated state relaxes directly to the ground state during the charge recombination process.  Proof for charge separation was obtained from femtosecond transient spectroscopic studies since it was possible to spectrally characterize the existence of ZnP</w:t>
      </w:r>
      <w:r w:rsidRPr="00AB32BE">
        <w:rPr>
          <w:vertAlign w:val="superscript"/>
        </w:rPr>
        <w:t>•+</w:t>
      </w:r>
      <w:r w:rsidRPr="00AB32BE">
        <w:t xml:space="preserve"> and Cu</w:t>
      </w:r>
      <w:r w:rsidRPr="00AB32BE">
        <w:rPr>
          <w:vertAlign w:val="superscript"/>
        </w:rPr>
        <w:t>II</w:t>
      </w:r>
      <w:r w:rsidRPr="00AB32BE">
        <w:t xml:space="preserve">C species. The </w:t>
      </w:r>
      <w:r w:rsidRPr="00AB32BE">
        <w:rPr>
          <w:i/>
        </w:rPr>
        <w:t>k</w:t>
      </w:r>
      <w:r w:rsidRPr="00AB32BE">
        <w:rPr>
          <w:vertAlign w:val="subscript"/>
        </w:rPr>
        <w:t>CS</w:t>
      </w:r>
      <w:r w:rsidRPr="00AB32BE">
        <w:t xml:space="preserve"> determined for the conjugates were of the order of 10</w:t>
      </w:r>
      <w:r w:rsidRPr="00AB32BE">
        <w:rPr>
          <w:vertAlign w:val="superscript"/>
        </w:rPr>
        <w:t>10</w:t>
      </w:r>
      <w:r w:rsidRPr="00AB32BE">
        <w:t xml:space="preserve"> s</w:t>
      </w:r>
      <w:r w:rsidRPr="00AB32BE">
        <w:rPr>
          <w:vertAlign w:val="superscript"/>
        </w:rPr>
        <w:t>-1</w:t>
      </w:r>
      <w:r w:rsidRPr="00AB32BE">
        <w:t xml:space="preserve"> reveali</w:t>
      </w:r>
      <w:r w:rsidR="00332640">
        <w:t>ng ultrafast charge separation.</w:t>
      </w:r>
      <w:r w:rsidRPr="00AB32BE">
        <w:t xml:space="preserve"> These studies illustrate the importance of copper(III) corrole as a potent electron acceptor for the construction of energy harvesting model compounds, and constitute the first defintive proof of charge separation in ZnP-Cu</w:t>
      </w:r>
      <w:r w:rsidRPr="00AB32BE">
        <w:rPr>
          <w:vertAlign w:val="superscript"/>
        </w:rPr>
        <w:t>III</w:t>
      </w:r>
      <w:r w:rsidRPr="00AB32BE">
        <w:t>C systems.</w:t>
      </w:r>
    </w:p>
    <w:p w:rsidR="00D672E6" w:rsidRPr="00D62F32" w:rsidRDefault="00D672E6" w:rsidP="00A03771">
      <w:pPr>
        <w:pStyle w:val="HExperimentalSection"/>
      </w:pPr>
      <w:r w:rsidRPr="00D62F32">
        <w:t>Experimental Section</w:t>
      </w:r>
    </w:p>
    <w:p w:rsidR="002053E6" w:rsidRPr="002053E6" w:rsidRDefault="002053E6" w:rsidP="00D62F32">
      <w:pPr>
        <w:pStyle w:val="ExperimentalSection"/>
      </w:pPr>
      <w:r w:rsidRPr="00D62F32">
        <w:rPr>
          <w:b/>
        </w:rPr>
        <w:t>General</w:t>
      </w:r>
      <w:r w:rsidRPr="002053E6">
        <w:t>. Solvents and reagents were obtained from Aldrich Chemicals (Milwaukee, WI), Tokyo Kasei Chemical Co. Ltd. (TCI), Fischer Chemicals (Plano, TX), or Wako Chemical Co. Ltd. Tetra-</w:t>
      </w:r>
      <w:r w:rsidRPr="002053E6">
        <w:rPr>
          <w:i/>
        </w:rPr>
        <w:t>n</w:t>
      </w:r>
      <w:r w:rsidRPr="002053E6">
        <w:t>-butylammonium perchlorate, (</w:t>
      </w:r>
      <w:r w:rsidRPr="002053E6">
        <w:rPr>
          <w:i/>
        </w:rPr>
        <w:t>n</w:t>
      </w:r>
      <w:r w:rsidRPr="002053E6">
        <w:t>-Bu</w:t>
      </w:r>
      <w:r w:rsidRPr="002053E6">
        <w:rPr>
          <w:vertAlign w:val="subscript"/>
        </w:rPr>
        <w:t>4</w:t>
      </w:r>
      <w:r w:rsidRPr="002053E6">
        <w:t>N)ClO</w:t>
      </w:r>
      <w:r w:rsidRPr="002053E6">
        <w:rPr>
          <w:vertAlign w:val="subscript"/>
        </w:rPr>
        <w:t>4</w:t>
      </w:r>
      <w:r w:rsidRPr="002053E6">
        <w:t xml:space="preserve"> used in electrochemical studies was obtained from Fluka Chemicals (Ronkonkoma, NY). NMR spectra were acquired using a JEOL BX300 spectrometer and chemical shifts (</w:t>
      </w:r>
      <w:r w:rsidRPr="002053E6">
        <w:rPr>
          <w:rFonts w:hint="eastAsia"/>
          <w:i/>
        </w:rPr>
        <w:t>δ</w:t>
      </w:r>
      <w:r w:rsidRPr="002053E6">
        <w:t xml:space="preserve">) are reported in parts per million (ppm) relative to tetramethylsilane. ESI mass spectra were measured using a MaXis (Bruker Daltonics, Bremen, Germany) mass spectrometer equipped with a Time of Flight (TOF) analyser.  Mass spectra were measured using a Shimadzu Axima </w:t>
      </w:r>
      <w:r w:rsidRPr="002053E6">
        <w:rPr>
          <w:i/>
        </w:rPr>
        <w:t>CFR</w:t>
      </w:r>
      <w:r w:rsidRPr="002053E6">
        <w:t xml:space="preserve">+ spectrometer using dithranol as matrix. Infrared spectra were measured using a Thermo-Nicolet 760X FTIR spectrophotometer from samples deposited on a barium fluoride disc from dichloromethane solution followed by drying in air. </w:t>
      </w:r>
      <w:r w:rsidRPr="002053E6">
        <w:rPr>
          <w:rFonts w:hint="eastAsia"/>
        </w:rPr>
        <w:t xml:space="preserve">Electron spin resonance spectra were measured at room temperature from solutions of the compounds in dichloromethane </w:t>
      </w:r>
      <w:r w:rsidRPr="002053E6">
        <w:t>using a JEOL JES-FA-200</w:t>
      </w:r>
      <w:r w:rsidRPr="002053E6">
        <w:rPr>
          <w:rFonts w:hint="eastAsia"/>
        </w:rPr>
        <w:t xml:space="preserve"> X-band ESR spectrometer.</w:t>
      </w:r>
    </w:p>
    <w:p w:rsidR="002053E6" w:rsidRPr="002053E6" w:rsidRDefault="002053E6" w:rsidP="00D62F32">
      <w:pPr>
        <w:pStyle w:val="ExperimentalSection"/>
      </w:pPr>
      <w:r w:rsidRPr="00D62F32">
        <w:rPr>
          <w:b/>
        </w:rPr>
        <w:t>Synthesis of ZnP-CuC Donor-Acceptor Conjugates.</w:t>
      </w:r>
      <w:r w:rsidRPr="002053E6">
        <w:t xml:space="preserve"> Four different methods were used in the optimization of the synthesis of dyad 5, triad 6 and pentad 7. Typical procedures are given for dyad 5 with corresponding procedures for 6 and 7 given in the Supporting Information.</w:t>
      </w:r>
    </w:p>
    <w:p w:rsidR="002053E6" w:rsidRDefault="002053E6" w:rsidP="00D62F32">
      <w:pPr>
        <w:pStyle w:val="ExperimentalSection"/>
      </w:pPr>
      <w:r w:rsidRPr="002053E6">
        <w:rPr>
          <w:u w:val="single"/>
        </w:rPr>
        <w:t>Method (a)</w:t>
      </w:r>
      <w:r w:rsidRPr="002053E6">
        <w:t>: CuI (2 mg, 1.05 × 10</w:t>
      </w:r>
      <w:r w:rsidRPr="002053E6">
        <w:rPr>
          <w:rFonts w:hint="eastAsia"/>
          <w:vertAlign w:val="superscript"/>
        </w:rPr>
        <w:t>−</w:t>
      </w:r>
      <w:r w:rsidRPr="002053E6">
        <w:rPr>
          <w:vertAlign w:val="superscript"/>
        </w:rPr>
        <w:t>5</w:t>
      </w:r>
      <w:r w:rsidRPr="002053E6">
        <w:t xml:space="preserve"> mol) was added to a solution of porphyrin 2 (10 mg, 9.63 × 10</w:t>
      </w:r>
      <w:r w:rsidRPr="002053E6">
        <w:rPr>
          <w:rFonts w:hint="eastAsia"/>
          <w:vertAlign w:val="superscript"/>
        </w:rPr>
        <w:t>−</w:t>
      </w:r>
      <w:r w:rsidRPr="002053E6">
        <w:rPr>
          <w:vertAlign w:val="superscript"/>
        </w:rPr>
        <w:t>6</w:t>
      </w:r>
      <w:r w:rsidRPr="002053E6">
        <w:t xml:space="preserve"> mol, 1 eq.) and corrole 1 (7 mg, 9.64 × 10</w:t>
      </w:r>
      <w:r w:rsidRPr="002053E6">
        <w:rPr>
          <w:rFonts w:hint="eastAsia"/>
          <w:vertAlign w:val="superscript"/>
        </w:rPr>
        <w:t>−</w:t>
      </w:r>
      <w:r w:rsidRPr="002053E6">
        <w:rPr>
          <w:vertAlign w:val="superscript"/>
        </w:rPr>
        <w:t xml:space="preserve">6 </w:t>
      </w:r>
      <w:r w:rsidRPr="002053E6">
        <w:t>mol) in dry dichloromethane (3 mL) and acetonitrile (0.5 mL). The reaction mixture was stirred under argon atmosphere for 3 d at r.t. The crude product was purified by size extrusion chromatography (Biobeads SX-1) eluting with tetrahydrofuran to afford the corrole-porphyrin diconjugate 5 as a brown solid (15 mg, 88%).</w:t>
      </w:r>
    </w:p>
    <w:p w:rsidR="002053E6" w:rsidRPr="002053E6" w:rsidRDefault="002053E6" w:rsidP="00D62F32">
      <w:pPr>
        <w:pStyle w:val="ExperimentalSection"/>
      </w:pPr>
      <w:r w:rsidRPr="002053E6">
        <w:rPr>
          <w:u w:val="single"/>
        </w:rPr>
        <w:t>Method (b)</w:t>
      </w:r>
      <w:r w:rsidRPr="002053E6">
        <w:t>: CuSO</w:t>
      </w:r>
      <w:r w:rsidRPr="002053E6">
        <w:rPr>
          <w:vertAlign w:val="subscript"/>
        </w:rPr>
        <w:t>4</w:t>
      </w:r>
      <w:r w:rsidRPr="002053E6">
        <w:t>· 5H</w:t>
      </w:r>
      <w:r w:rsidRPr="002053E6">
        <w:rPr>
          <w:vertAlign w:val="subscript"/>
        </w:rPr>
        <w:t>2</w:t>
      </w:r>
      <w:r w:rsidRPr="002053E6">
        <w:t>O (2 mg, 7.7 × 10</w:t>
      </w:r>
      <w:r w:rsidRPr="002053E6">
        <w:rPr>
          <w:rFonts w:hint="eastAsia"/>
          <w:vertAlign w:val="superscript"/>
        </w:rPr>
        <w:t>−</w:t>
      </w:r>
      <w:r w:rsidRPr="002053E6">
        <w:rPr>
          <w:vertAlign w:val="superscript"/>
        </w:rPr>
        <w:t>6</w:t>
      </w:r>
      <w:r w:rsidRPr="002053E6">
        <w:t xml:space="preserve"> mol) and ascorbic acid (1.7 mg, 9.64 × 10</w:t>
      </w:r>
      <w:r w:rsidRPr="002053E6">
        <w:rPr>
          <w:rFonts w:hint="eastAsia"/>
          <w:vertAlign w:val="superscript"/>
        </w:rPr>
        <w:t>−</w:t>
      </w:r>
      <w:r w:rsidRPr="002053E6">
        <w:rPr>
          <w:vertAlign w:val="superscript"/>
        </w:rPr>
        <w:t>6</w:t>
      </w:r>
      <w:r w:rsidRPr="002053E6">
        <w:t xml:space="preserve"> mol) were added to a solution of porphyrin 2 (10 mg, 9.63 × 10</w:t>
      </w:r>
      <w:r w:rsidRPr="002053E6">
        <w:rPr>
          <w:rFonts w:hint="eastAsia"/>
          <w:vertAlign w:val="superscript"/>
        </w:rPr>
        <w:t>−</w:t>
      </w:r>
      <w:r w:rsidRPr="002053E6">
        <w:rPr>
          <w:vertAlign w:val="superscript"/>
        </w:rPr>
        <w:t>6</w:t>
      </w:r>
      <w:r w:rsidRPr="002053E6">
        <w:t xml:space="preserve"> mol, 1 eq.) and corrole 1 (7 mg, 9.64 × 10</w:t>
      </w:r>
      <w:r w:rsidRPr="002053E6">
        <w:rPr>
          <w:rFonts w:hint="eastAsia"/>
          <w:vertAlign w:val="superscript"/>
        </w:rPr>
        <w:t>−</w:t>
      </w:r>
      <w:r w:rsidRPr="002053E6">
        <w:rPr>
          <w:vertAlign w:val="superscript"/>
        </w:rPr>
        <w:t>6</w:t>
      </w:r>
      <w:r w:rsidRPr="002053E6">
        <w:t xml:space="preserve"> mol, 1 eq.) in dry DMF (3 mL) under an argon atmosphere. After stirring for 3 d at 50°C the reaction mixture was partitioned between dichloromethane (20 mL) and H</w:t>
      </w:r>
      <w:r w:rsidRPr="002053E6">
        <w:rPr>
          <w:vertAlign w:val="subscript"/>
        </w:rPr>
        <w:t>2</w:t>
      </w:r>
      <w:r w:rsidRPr="002053E6">
        <w:t>O (20 mL) and the layers separated. The organic layer was washed with H</w:t>
      </w:r>
      <w:r w:rsidRPr="002053E6">
        <w:rPr>
          <w:vertAlign w:val="subscript"/>
        </w:rPr>
        <w:t>2</w:t>
      </w:r>
      <w:r w:rsidRPr="002053E6">
        <w:t>O (3 × 20 mL), dried over Na</w:t>
      </w:r>
      <w:r w:rsidRPr="002053E6">
        <w:rPr>
          <w:vertAlign w:val="subscript"/>
        </w:rPr>
        <w:t>2</w:t>
      </w:r>
      <w:r w:rsidRPr="002053E6">
        <w:t>SO</w:t>
      </w:r>
      <w:r w:rsidRPr="002053E6">
        <w:rPr>
          <w:vertAlign w:val="subscript"/>
        </w:rPr>
        <w:t>4</w:t>
      </w:r>
      <w:r w:rsidRPr="002053E6">
        <w:t xml:space="preserve"> and the solvent removed under reduced pressure. The crude product was purified by size extrusion chromatography (Biobeads SX-1) eluting with tetrahydrofuran affording the corrole-porphyrin diconjugate 5 as a brown solid (16 mg, 94%).</w:t>
      </w:r>
    </w:p>
    <w:p w:rsidR="002053E6" w:rsidRPr="002053E6" w:rsidRDefault="002053E6" w:rsidP="00D62F32">
      <w:pPr>
        <w:pStyle w:val="ExperimentalSection"/>
      </w:pPr>
      <w:r w:rsidRPr="002053E6">
        <w:rPr>
          <w:u w:val="single"/>
        </w:rPr>
        <w:t>Method (c)</w:t>
      </w:r>
      <w:r w:rsidRPr="002053E6">
        <w:t>: CuI (1 mg, 5.25 × 10</w:t>
      </w:r>
      <w:r w:rsidRPr="002053E6">
        <w:rPr>
          <w:rFonts w:hint="eastAsia"/>
          <w:vertAlign w:val="superscript"/>
        </w:rPr>
        <w:t>−</w:t>
      </w:r>
      <w:r w:rsidRPr="002053E6">
        <w:rPr>
          <w:vertAlign w:val="superscript"/>
        </w:rPr>
        <w:t>6</w:t>
      </w:r>
      <w:r w:rsidRPr="002053E6">
        <w:t xml:space="preserve"> mol, 0.5 eq.), DIPEA (1 mg, 7.74 × 10</w:t>
      </w:r>
      <w:r w:rsidRPr="002053E6">
        <w:rPr>
          <w:rFonts w:hint="eastAsia"/>
          <w:vertAlign w:val="superscript"/>
        </w:rPr>
        <w:t>−</w:t>
      </w:r>
      <w:r w:rsidRPr="002053E6">
        <w:rPr>
          <w:vertAlign w:val="superscript"/>
        </w:rPr>
        <w:t>6</w:t>
      </w:r>
      <w:r w:rsidRPr="002053E6">
        <w:t xml:space="preserve"> mol) and acetic acid (1 mg, 1.67 × 10</w:t>
      </w:r>
      <w:r w:rsidRPr="002053E6">
        <w:rPr>
          <w:rFonts w:hint="eastAsia"/>
          <w:vertAlign w:val="superscript"/>
        </w:rPr>
        <w:t>−</w:t>
      </w:r>
      <w:r w:rsidRPr="002053E6">
        <w:rPr>
          <w:vertAlign w:val="superscript"/>
        </w:rPr>
        <w:t>5</w:t>
      </w:r>
      <w:r w:rsidRPr="002053E6">
        <w:t xml:space="preserve"> mol) were added to a solution of porphyrin 2 (10 mg, 9.63 × 10</w:t>
      </w:r>
      <w:r w:rsidRPr="002053E6">
        <w:rPr>
          <w:rFonts w:hint="eastAsia"/>
          <w:vertAlign w:val="superscript"/>
        </w:rPr>
        <w:t>−</w:t>
      </w:r>
      <w:r w:rsidRPr="002053E6">
        <w:rPr>
          <w:vertAlign w:val="superscript"/>
        </w:rPr>
        <w:t>6</w:t>
      </w:r>
      <w:r w:rsidRPr="002053E6">
        <w:t xml:space="preserve"> mol, 1 eq.) and corrole 1 (7 mg, 9.64 × 10</w:t>
      </w:r>
      <w:r w:rsidRPr="002053E6">
        <w:rPr>
          <w:rFonts w:hint="eastAsia"/>
          <w:vertAlign w:val="superscript"/>
        </w:rPr>
        <w:t>−</w:t>
      </w:r>
      <w:r w:rsidRPr="002053E6">
        <w:rPr>
          <w:vertAlign w:val="superscript"/>
        </w:rPr>
        <w:t>6</w:t>
      </w:r>
      <w:r w:rsidRPr="002053E6">
        <w:t xml:space="preserve"> mol) in dry dichloromethane (3 mL). The reaction mixture was stirred for 1d at r.t. The crude product was purified by size extrusion chromatography (Biobeads SX-1) eluting with tetrahydrofuran to afford the corrole-porphyrin diconjugate 5 as a brown solid (17 mg, quant.).</w:t>
      </w:r>
    </w:p>
    <w:p w:rsidR="002053E6" w:rsidRPr="002053E6" w:rsidRDefault="002053E6" w:rsidP="00D62F32">
      <w:pPr>
        <w:pStyle w:val="ExperimentalSection"/>
      </w:pPr>
      <w:r w:rsidRPr="002053E6">
        <w:rPr>
          <w:u w:val="single"/>
        </w:rPr>
        <w:t>Method (d)</w:t>
      </w:r>
      <w:r w:rsidRPr="002053E6">
        <w:t>: A solution of azidocorrole 1 (18.1 mg, 2.72 × 10</w:t>
      </w:r>
      <w:r w:rsidRPr="002053E6">
        <w:rPr>
          <w:rFonts w:hint="eastAsia"/>
          <w:vertAlign w:val="superscript"/>
        </w:rPr>
        <w:t>−</w:t>
      </w:r>
      <w:r w:rsidRPr="002053E6">
        <w:rPr>
          <w:vertAlign w:val="superscript"/>
        </w:rPr>
        <w:t>5</w:t>
      </w:r>
      <w:r w:rsidRPr="002053E6">
        <w:t xml:space="preserve"> mol), porphyrin 2 (26 mg, 2.5 × 10</w:t>
      </w:r>
      <w:r w:rsidRPr="002053E6">
        <w:rPr>
          <w:rFonts w:hint="eastAsia"/>
          <w:vertAlign w:val="superscript"/>
        </w:rPr>
        <w:t>−</w:t>
      </w:r>
      <w:r w:rsidRPr="002053E6">
        <w:rPr>
          <w:vertAlign w:val="superscript"/>
        </w:rPr>
        <w:t>5</w:t>
      </w:r>
      <w:r w:rsidRPr="002053E6">
        <w:t xml:space="preserve"> mol) and </w:t>
      </w:r>
      <w:r w:rsidRPr="002053E6">
        <w:rPr>
          <w:bCs/>
        </w:rPr>
        <w:t>[Cu(CH</w:t>
      </w:r>
      <w:r w:rsidRPr="002053E6">
        <w:rPr>
          <w:bCs/>
          <w:vertAlign w:val="subscript"/>
        </w:rPr>
        <w:t>3</w:t>
      </w:r>
      <w:r w:rsidRPr="002053E6">
        <w:rPr>
          <w:bCs/>
        </w:rPr>
        <w:t>CN)</w:t>
      </w:r>
      <w:r w:rsidRPr="002053E6">
        <w:rPr>
          <w:bCs/>
          <w:vertAlign w:val="subscript"/>
        </w:rPr>
        <w:t>4</w:t>
      </w:r>
      <w:r w:rsidRPr="002053E6">
        <w:rPr>
          <w:bCs/>
        </w:rPr>
        <w:t>]PF</w:t>
      </w:r>
      <w:r w:rsidRPr="002053E6">
        <w:rPr>
          <w:bCs/>
          <w:vertAlign w:val="subscript"/>
        </w:rPr>
        <w:t>6</w:t>
      </w:r>
      <w:r w:rsidRPr="002053E6">
        <w:t xml:space="preserve"> (12 mg, 3.26 × 10</w:t>
      </w:r>
      <w:r w:rsidRPr="002053E6">
        <w:rPr>
          <w:rFonts w:hint="eastAsia"/>
          <w:vertAlign w:val="superscript"/>
        </w:rPr>
        <w:t>−</w:t>
      </w:r>
      <w:r w:rsidRPr="002053E6">
        <w:rPr>
          <w:vertAlign w:val="superscript"/>
        </w:rPr>
        <w:t>5</w:t>
      </w:r>
      <w:r w:rsidRPr="002053E6">
        <w:t xml:space="preserve"> mol) in 4 mL DCM was stirred at 80 °C under N</w:t>
      </w:r>
      <w:r w:rsidRPr="002053E6">
        <w:rPr>
          <w:vertAlign w:val="subscript"/>
        </w:rPr>
        <w:t>2</w:t>
      </w:r>
      <w:r w:rsidRPr="002053E6">
        <w:t xml:space="preserve"> atmosphere. The reaction was monitored using t.l.c. After completion, water (20 mL) was added and the mixture was extracted with dichloromethane (3x 20 mL). The combined organic phases were dried over Na</w:t>
      </w:r>
      <w:r w:rsidRPr="002053E6">
        <w:rPr>
          <w:vertAlign w:val="subscript"/>
        </w:rPr>
        <w:t>2</w:t>
      </w:r>
      <w:r w:rsidRPr="002053E6">
        <w:t>SO</w:t>
      </w:r>
      <w:r w:rsidRPr="002053E6">
        <w:rPr>
          <w:vertAlign w:val="subscript"/>
        </w:rPr>
        <w:t>4</w:t>
      </w:r>
      <w:r w:rsidRPr="002053E6">
        <w:t xml:space="preserve"> and solvent evaporated under reduced pressure. Purification by size extrusion chromatography (Biobeads SX-1) eluting with chloroform afforded 44 mg (quant.) of dyad 5 as a brown solid.</w:t>
      </w:r>
    </w:p>
    <w:p w:rsidR="002053E6" w:rsidRPr="002053E6" w:rsidRDefault="002053E6" w:rsidP="00D62F32">
      <w:pPr>
        <w:pStyle w:val="ExperimentalSection"/>
      </w:pPr>
      <w:r w:rsidRPr="00D62F32">
        <w:rPr>
          <w:b/>
        </w:rPr>
        <w:t>Dyad 5</w:t>
      </w:r>
      <w:r w:rsidR="00D62F32">
        <w:t>.</w:t>
      </w:r>
      <w:r w:rsidRPr="002053E6">
        <w:t xml:space="preserve"> </w:t>
      </w:r>
      <w:r w:rsidRPr="00EA531B">
        <w:rPr>
          <w:vertAlign w:val="superscript"/>
        </w:rPr>
        <w:t>1</w:t>
      </w:r>
      <w:r w:rsidRPr="002053E6">
        <w:t xml:space="preserve">H−NMR (300 MHz, </w:t>
      </w:r>
      <w:r w:rsidR="00EA531B" w:rsidRPr="00EA531B">
        <w:t>CDCl</w:t>
      </w:r>
      <w:r w:rsidR="00EA531B" w:rsidRPr="00EA531B">
        <w:rPr>
          <w:vertAlign w:val="subscript"/>
        </w:rPr>
        <w:t>3</w:t>
      </w:r>
      <w:r w:rsidR="00EA531B" w:rsidRPr="00EA531B">
        <w:t>, 25°C, TMS</w:t>
      </w:r>
      <w:r w:rsidR="00EA531B">
        <w:t>): δ=</w:t>
      </w:r>
      <w:r w:rsidRPr="002053E6">
        <w:t>9.00 (m, 8H, H</w:t>
      </w:r>
      <w:r w:rsidRPr="003D5B25">
        <w:rPr>
          <w:vertAlign w:val="subscript"/>
        </w:rPr>
        <w:t>β′</w:t>
      </w:r>
      <w:r w:rsidRPr="002053E6">
        <w:t xml:space="preserve">), 8.29 (d, </w:t>
      </w:r>
      <w:r w:rsidR="00EA531B" w:rsidRPr="00EA531B">
        <w:rPr>
          <w:vertAlign w:val="superscript"/>
        </w:rPr>
        <w:t>3</w:t>
      </w:r>
      <w:r w:rsidRPr="00EA531B">
        <w:rPr>
          <w:i/>
        </w:rPr>
        <w:t>J</w:t>
      </w:r>
      <w:r w:rsidR="00EA531B">
        <w:t>(H,H)</w:t>
      </w:r>
      <w:r w:rsidRPr="002053E6">
        <w:t xml:space="preserve"> = 7.7 Hz, 2H, H</w:t>
      </w:r>
      <w:r w:rsidRPr="003D5B25">
        <w:rPr>
          <w:vertAlign w:val="subscript"/>
        </w:rPr>
        <w:t>ar</w:t>
      </w:r>
      <w:r w:rsidRPr="002053E6">
        <w:t xml:space="preserve">), 8.20 (d, </w:t>
      </w:r>
      <w:r w:rsidR="00EA531B" w:rsidRPr="00EA531B">
        <w:rPr>
          <w:vertAlign w:val="superscript"/>
        </w:rPr>
        <w:t>3</w:t>
      </w:r>
      <w:r w:rsidR="00EA531B" w:rsidRPr="00EA531B">
        <w:rPr>
          <w:i/>
        </w:rPr>
        <w:t>J</w:t>
      </w:r>
      <w:r w:rsidR="00EA531B">
        <w:t>(H,H)</w:t>
      </w:r>
      <w:r w:rsidR="00EA531B" w:rsidRPr="002053E6">
        <w:t xml:space="preserve"> </w:t>
      </w:r>
      <w:r w:rsidRPr="002053E6">
        <w:t>= 7.7 Hz, 2H, H</w:t>
      </w:r>
      <w:r w:rsidRPr="003D5B25">
        <w:rPr>
          <w:vertAlign w:val="subscript"/>
        </w:rPr>
        <w:t>ar</w:t>
      </w:r>
      <w:r w:rsidRPr="002053E6">
        <w:t>), 8.09 (s, 6H, H</w:t>
      </w:r>
      <w:r w:rsidRPr="003D5B25">
        <w:rPr>
          <w:vertAlign w:val="subscript"/>
        </w:rPr>
        <w:t>C</w:t>
      </w:r>
      <w:r w:rsidRPr="002053E6">
        <w:t>), 7.98 (s</w:t>
      </w:r>
      <w:r w:rsidRPr="003D5B25">
        <w:rPr>
          <w:vertAlign w:val="subscript"/>
        </w:rPr>
        <w:t>br</w:t>
      </w:r>
      <w:r w:rsidRPr="002053E6">
        <w:t>, 3H, H</w:t>
      </w:r>
      <w:r w:rsidRPr="003D5B25">
        <w:rPr>
          <w:vertAlign w:val="subscript"/>
        </w:rPr>
        <w:t>D</w:t>
      </w:r>
      <w:r w:rsidRPr="002053E6">
        <w:t>+H</w:t>
      </w:r>
      <w:r w:rsidRPr="003D5B25">
        <w:rPr>
          <w:vertAlign w:val="subscript"/>
        </w:rPr>
        <w:t>β′</w:t>
      </w:r>
      <w:r w:rsidRPr="002053E6">
        <w:t xml:space="preserve"> ), 7.79 (s, 3H, H</w:t>
      </w:r>
      <w:r w:rsidRPr="003D5B25">
        <w:rPr>
          <w:vertAlign w:val="subscript"/>
        </w:rPr>
        <w:t>A</w:t>
      </w:r>
      <w:r w:rsidRPr="002053E6">
        <w:t xml:space="preserve">), 7.66 (d, </w:t>
      </w:r>
      <w:r w:rsidR="00EA531B" w:rsidRPr="00EA531B">
        <w:rPr>
          <w:vertAlign w:val="superscript"/>
        </w:rPr>
        <w:t>3</w:t>
      </w:r>
      <w:r w:rsidR="00EA531B" w:rsidRPr="00EA531B">
        <w:rPr>
          <w:i/>
        </w:rPr>
        <w:t>J</w:t>
      </w:r>
      <w:r w:rsidR="00EA531B">
        <w:t>(H,H)</w:t>
      </w:r>
      <w:r w:rsidR="00EA531B" w:rsidRPr="002053E6">
        <w:t xml:space="preserve"> </w:t>
      </w:r>
      <w:r w:rsidRPr="002053E6">
        <w:t>= 7.5 Hz, 2H, H</w:t>
      </w:r>
      <w:r w:rsidRPr="003D5B25">
        <w:rPr>
          <w:vertAlign w:val="subscript"/>
        </w:rPr>
        <w:t>ar</w:t>
      </w:r>
      <w:r w:rsidRPr="002053E6">
        <w:t xml:space="preserve">), 7.53 (d, </w:t>
      </w:r>
      <w:r w:rsidR="00EA531B" w:rsidRPr="00EA531B">
        <w:rPr>
          <w:vertAlign w:val="superscript"/>
        </w:rPr>
        <w:t>3</w:t>
      </w:r>
      <w:r w:rsidR="00EA531B" w:rsidRPr="00EA531B">
        <w:rPr>
          <w:i/>
        </w:rPr>
        <w:t>J</w:t>
      </w:r>
      <w:r w:rsidR="00EA531B">
        <w:t>(H,H)</w:t>
      </w:r>
      <w:r w:rsidR="00EA531B" w:rsidRPr="002053E6">
        <w:t xml:space="preserve"> </w:t>
      </w:r>
      <w:r w:rsidRPr="002053E6">
        <w:t>= 7.4 Hz, 2H, H</w:t>
      </w:r>
      <w:r w:rsidRPr="003D5B25">
        <w:rPr>
          <w:vertAlign w:val="subscript"/>
        </w:rPr>
        <w:t>ar</w:t>
      </w:r>
      <w:r w:rsidRPr="002053E6">
        <w:t>), 7.35 (s</w:t>
      </w:r>
      <w:r w:rsidRPr="003D5B25">
        <w:rPr>
          <w:vertAlign w:val="subscript"/>
        </w:rPr>
        <w:t>br</w:t>
      </w:r>
      <w:r w:rsidRPr="002053E6">
        <w:t>, 2H, H</w:t>
      </w:r>
      <w:r w:rsidRPr="003D5B25">
        <w:rPr>
          <w:vertAlign w:val="subscript"/>
        </w:rPr>
        <w:t>β</w:t>
      </w:r>
      <w:r w:rsidRPr="002053E6">
        <w:t>), 7.25 (s</w:t>
      </w:r>
      <w:r w:rsidRPr="003D5B25">
        <w:rPr>
          <w:vertAlign w:val="subscript"/>
        </w:rPr>
        <w:t>br</w:t>
      </w:r>
      <w:r w:rsidRPr="002053E6">
        <w:t>, 2H, H</w:t>
      </w:r>
      <w:r w:rsidRPr="003D5B25">
        <w:rPr>
          <w:vertAlign w:val="subscript"/>
        </w:rPr>
        <w:t>β</w:t>
      </w:r>
      <w:r w:rsidRPr="002053E6">
        <w:t xml:space="preserve">), 7.14 (d, </w:t>
      </w:r>
      <w:r w:rsidR="00EA531B" w:rsidRPr="00EA531B">
        <w:rPr>
          <w:vertAlign w:val="superscript"/>
        </w:rPr>
        <w:t>3</w:t>
      </w:r>
      <w:r w:rsidR="00EA531B" w:rsidRPr="00EA531B">
        <w:rPr>
          <w:i/>
        </w:rPr>
        <w:t>J</w:t>
      </w:r>
      <w:r w:rsidR="00EA531B">
        <w:t>(H,H)</w:t>
      </w:r>
      <w:r w:rsidR="00EA531B" w:rsidRPr="002053E6">
        <w:t xml:space="preserve"> </w:t>
      </w:r>
      <w:r w:rsidRPr="002053E6">
        <w:t>= 4.4 Hz, 2H, H</w:t>
      </w:r>
      <w:r w:rsidRPr="003D5B25">
        <w:rPr>
          <w:vertAlign w:val="subscript"/>
        </w:rPr>
        <w:t>β</w:t>
      </w:r>
      <w:r w:rsidRPr="002053E6">
        <w:t>), 7.03 (s, 4H, H</w:t>
      </w:r>
      <w:r w:rsidRPr="003D5B25">
        <w:rPr>
          <w:vertAlign w:val="subscript"/>
        </w:rPr>
        <w:t>G</w:t>
      </w:r>
      <w:r w:rsidRPr="002053E6">
        <w:t>), 5.79 (s, 2H, H</w:t>
      </w:r>
      <w:r w:rsidRPr="003D5B25">
        <w:rPr>
          <w:vertAlign w:val="subscript"/>
        </w:rPr>
        <w:t>E</w:t>
      </w:r>
      <w:r w:rsidRPr="002053E6">
        <w:t>), 2.39 (s, 6H, H</w:t>
      </w:r>
      <w:r w:rsidRPr="003D5B25">
        <w:rPr>
          <w:vertAlign w:val="subscript"/>
        </w:rPr>
        <w:t>H</w:t>
      </w:r>
      <w:r w:rsidRPr="002053E6">
        <w:t>), 2.07 (s, 12H, H</w:t>
      </w:r>
      <w:r w:rsidRPr="003D5B25">
        <w:rPr>
          <w:vertAlign w:val="subscript"/>
        </w:rPr>
        <w:t>F</w:t>
      </w:r>
      <w:r w:rsidRPr="002053E6">
        <w:t>), 1.52 (s, 54H, H</w:t>
      </w:r>
      <w:r w:rsidRPr="003D5B25">
        <w:rPr>
          <w:vertAlign w:val="subscript"/>
        </w:rPr>
        <w:t>B</w:t>
      </w:r>
      <w:r w:rsidRPr="002053E6">
        <w:t xml:space="preserve">) ppm. </w:t>
      </w:r>
      <w:r w:rsidRPr="00EA531B">
        <w:rPr>
          <w:vertAlign w:val="superscript"/>
        </w:rPr>
        <w:t>13</w:t>
      </w:r>
      <w:r w:rsidRPr="002053E6">
        <w:t xml:space="preserve">C−NMR (75 MHz, </w:t>
      </w:r>
      <w:r w:rsidR="00EA531B" w:rsidRPr="00EA531B">
        <w:t>CDCl</w:t>
      </w:r>
      <w:r w:rsidR="00EA531B" w:rsidRPr="00EA531B">
        <w:rPr>
          <w:vertAlign w:val="subscript"/>
        </w:rPr>
        <w:t>3</w:t>
      </w:r>
      <w:r w:rsidR="00EA531B" w:rsidRPr="00EA531B">
        <w:t>, 25°C, TMS</w:t>
      </w:r>
      <w:r w:rsidRPr="002053E6">
        <w:t>): δ 150.51, 150.44, 149.99, 148.78, 148.56, 148.47, 143.12, 141.85, 137.64, 135.23, 134.85 (CH), 132.25 (CH), 132.24 (CH), 132.16 (CH), 131.54 (CH), 129.64 (CH), 129.59 (CH), 128.19 (CH), 127.68 (CH), 123.97(CH), 122.63 (CH), 122.49, 121.09 (CH), 120.81 (CH), 120.06, 119.98, 77.20, 54.09 (CH</w:t>
      </w:r>
      <w:r w:rsidRPr="003D5B25">
        <w:rPr>
          <w:vertAlign w:val="subscript"/>
        </w:rPr>
        <w:t>2</w:t>
      </w:r>
      <w:r w:rsidRPr="002053E6">
        <w:t>), 35.05, 31.77 (CH</w:t>
      </w:r>
      <w:r w:rsidRPr="003D5B25">
        <w:rPr>
          <w:vertAlign w:val="subscript"/>
        </w:rPr>
        <w:t>3</w:t>
      </w:r>
      <w:r w:rsidRPr="002053E6">
        <w:t>), 29.70, 21.19 (CH</w:t>
      </w:r>
      <w:r w:rsidRPr="003D5B25">
        <w:rPr>
          <w:vertAlign w:val="subscript"/>
        </w:rPr>
        <w:t>3</w:t>
      </w:r>
      <w:r w:rsidRPr="002053E6">
        <w:t>), 19.78 (CH</w:t>
      </w:r>
      <w:r w:rsidRPr="003D5B25">
        <w:rPr>
          <w:vertAlign w:val="subscript"/>
        </w:rPr>
        <w:t>3</w:t>
      </w:r>
      <w:r w:rsidRPr="002053E6">
        <w:t>) ppm. MS (ESI): calc: 1761.77; found: 1761.76</w:t>
      </w:r>
    </w:p>
    <w:p w:rsidR="002053E6" w:rsidRPr="002053E6" w:rsidRDefault="002053E6" w:rsidP="00D62F32">
      <w:pPr>
        <w:pStyle w:val="ExperimentalSection"/>
      </w:pPr>
      <w:r w:rsidRPr="00D62F32">
        <w:rPr>
          <w:b/>
        </w:rPr>
        <w:t>Triad 6.</w:t>
      </w:r>
      <w:r w:rsidRPr="002053E6">
        <w:t xml:space="preserve"> </w:t>
      </w:r>
      <w:r w:rsidRPr="00EA531B">
        <w:rPr>
          <w:vertAlign w:val="superscript"/>
        </w:rPr>
        <w:t>1</w:t>
      </w:r>
      <w:r w:rsidRPr="002053E6">
        <w:t>H−NMR (</w:t>
      </w:r>
      <w:r w:rsidR="00EA531B" w:rsidRPr="002053E6">
        <w:t xml:space="preserve">300 MHz, </w:t>
      </w:r>
      <w:r w:rsidR="00EA531B" w:rsidRPr="00EA531B">
        <w:t>CDCl</w:t>
      </w:r>
      <w:r w:rsidR="00EA531B" w:rsidRPr="00EA531B">
        <w:rPr>
          <w:vertAlign w:val="subscript"/>
        </w:rPr>
        <w:t>3</w:t>
      </w:r>
      <w:r w:rsidR="00EA531B" w:rsidRPr="00EA531B">
        <w:t>, 25°C, TMS</w:t>
      </w:r>
      <w:r w:rsidR="00EA531B">
        <w:t>): δ=</w:t>
      </w:r>
      <w:r w:rsidRPr="002053E6">
        <w:t xml:space="preserve">8.91 (d, </w:t>
      </w:r>
      <w:r w:rsidR="00EA531B" w:rsidRPr="00EA531B">
        <w:rPr>
          <w:vertAlign w:val="superscript"/>
        </w:rPr>
        <w:t>3</w:t>
      </w:r>
      <w:r w:rsidR="00EA531B" w:rsidRPr="00EA531B">
        <w:rPr>
          <w:i/>
        </w:rPr>
        <w:t>J</w:t>
      </w:r>
      <w:r w:rsidR="00EA531B">
        <w:t>(H,H)</w:t>
      </w:r>
      <w:r w:rsidR="00EA531B" w:rsidRPr="002053E6">
        <w:t xml:space="preserve"> </w:t>
      </w:r>
      <w:r w:rsidRPr="002053E6">
        <w:t>= 4.5 Hz, 4H, H</w:t>
      </w:r>
      <w:r w:rsidRPr="003D5B25">
        <w:rPr>
          <w:vertAlign w:val="subscript"/>
        </w:rPr>
        <w:t>β′</w:t>
      </w:r>
      <w:r w:rsidRPr="002053E6">
        <w:t xml:space="preserve">), 8.78 (d, </w:t>
      </w:r>
      <w:r w:rsidR="00EA531B" w:rsidRPr="00EA531B">
        <w:rPr>
          <w:vertAlign w:val="superscript"/>
        </w:rPr>
        <w:t>3</w:t>
      </w:r>
      <w:r w:rsidR="00EA531B" w:rsidRPr="00EA531B">
        <w:rPr>
          <w:i/>
        </w:rPr>
        <w:t>J</w:t>
      </w:r>
      <w:r w:rsidR="00EA531B">
        <w:t>(H,H)</w:t>
      </w:r>
      <w:r w:rsidR="00EA531B" w:rsidRPr="002053E6">
        <w:t xml:space="preserve"> </w:t>
      </w:r>
      <w:r w:rsidRPr="002053E6">
        <w:t>= 4.6 Hz, 4H, H</w:t>
      </w:r>
      <w:r w:rsidRPr="003D5B25">
        <w:rPr>
          <w:vertAlign w:val="subscript"/>
        </w:rPr>
        <w:t>β′</w:t>
      </w:r>
      <w:r w:rsidRPr="002053E6">
        <w:t xml:space="preserve">), 8.29 (d, </w:t>
      </w:r>
      <w:r w:rsidR="00EA531B" w:rsidRPr="00EA531B">
        <w:rPr>
          <w:vertAlign w:val="superscript"/>
        </w:rPr>
        <w:t>3</w:t>
      </w:r>
      <w:r w:rsidR="00EA531B" w:rsidRPr="00EA531B">
        <w:rPr>
          <w:i/>
        </w:rPr>
        <w:t>J</w:t>
      </w:r>
      <w:r w:rsidR="00EA531B">
        <w:t>(H,H)</w:t>
      </w:r>
      <w:r w:rsidR="00EA531B" w:rsidRPr="002053E6">
        <w:t xml:space="preserve"> </w:t>
      </w:r>
      <w:r w:rsidRPr="002053E6">
        <w:t>= 7.7 Hz, 4H, H</w:t>
      </w:r>
      <w:r w:rsidRPr="003D5B25">
        <w:rPr>
          <w:vertAlign w:val="subscript"/>
        </w:rPr>
        <w:t>ar</w:t>
      </w:r>
      <w:r w:rsidRPr="002053E6">
        <w:t xml:space="preserve">), 8.18 (d, </w:t>
      </w:r>
      <w:r w:rsidR="00EA531B" w:rsidRPr="00EA531B">
        <w:rPr>
          <w:vertAlign w:val="superscript"/>
        </w:rPr>
        <w:t>3</w:t>
      </w:r>
      <w:r w:rsidR="00EA531B" w:rsidRPr="00EA531B">
        <w:rPr>
          <w:i/>
        </w:rPr>
        <w:t>J</w:t>
      </w:r>
      <w:r w:rsidR="00EA531B">
        <w:t>(H,H)</w:t>
      </w:r>
      <w:r w:rsidR="00EA531B" w:rsidRPr="002053E6">
        <w:t xml:space="preserve"> </w:t>
      </w:r>
      <w:r w:rsidRPr="002053E6">
        <w:t>= 7.5 Hz, 4H, H</w:t>
      </w:r>
      <w:r w:rsidRPr="003D5B25">
        <w:rPr>
          <w:vertAlign w:val="subscript"/>
        </w:rPr>
        <w:t>ar</w:t>
      </w:r>
      <w:r w:rsidRPr="002053E6">
        <w:t>), 8.02 (sbr, 6H, H</w:t>
      </w:r>
      <w:r w:rsidRPr="002053E6">
        <w:rPr>
          <w:vertAlign w:val="subscript"/>
        </w:rPr>
        <w:t>E</w:t>
      </w:r>
      <w:r w:rsidRPr="002053E6">
        <w:t>+H</w:t>
      </w:r>
      <w:r w:rsidRPr="003D5B25">
        <w:rPr>
          <w:vertAlign w:val="subscript"/>
        </w:rPr>
        <w:t>β</w:t>
      </w:r>
      <w:r w:rsidRPr="002053E6">
        <w:t xml:space="preserve">), 7.65 (d, </w:t>
      </w:r>
      <w:r w:rsidR="00EA531B" w:rsidRPr="00EA531B">
        <w:rPr>
          <w:vertAlign w:val="superscript"/>
        </w:rPr>
        <w:t>3</w:t>
      </w:r>
      <w:r w:rsidR="00EA531B" w:rsidRPr="00EA531B">
        <w:rPr>
          <w:i/>
        </w:rPr>
        <w:t>J</w:t>
      </w:r>
      <w:r w:rsidR="00EA531B">
        <w:t>(H,H)</w:t>
      </w:r>
      <w:r w:rsidR="00EA531B" w:rsidRPr="002053E6">
        <w:t xml:space="preserve"> </w:t>
      </w:r>
      <w:r w:rsidRPr="002053E6">
        <w:t>= 7.9 Hz, 4H, H</w:t>
      </w:r>
      <w:r w:rsidRPr="003D5B25">
        <w:rPr>
          <w:vertAlign w:val="subscript"/>
        </w:rPr>
        <w:t>ar</w:t>
      </w:r>
      <w:r w:rsidRPr="002053E6">
        <w:t xml:space="preserve">), 7.51 (d, </w:t>
      </w:r>
      <w:r w:rsidR="00EA531B" w:rsidRPr="00EA531B">
        <w:rPr>
          <w:vertAlign w:val="superscript"/>
        </w:rPr>
        <w:t>3</w:t>
      </w:r>
      <w:r w:rsidR="00EA531B" w:rsidRPr="00EA531B">
        <w:rPr>
          <w:i/>
        </w:rPr>
        <w:t>J</w:t>
      </w:r>
      <w:r w:rsidR="00EA531B">
        <w:t>(H,H)</w:t>
      </w:r>
      <w:r w:rsidR="00EA531B" w:rsidRPr="002053E6">
        <w:t xml:space="preserve"> </w:t>
      </w:r>
      <w:r w:rsidRPr="002053E6">
        <w:t>= 7.6 Hz, 4H, H</w:t>
      </w:r>
      <w:r w:rsidRPr="003D5B25">
        <w:rPr>
          <w:vertAlign w:val="subscript"/>
        </w:rPr>
        <w:t>ar</w:t>
      </w:r>
      <w:r w:rsidRPr="002053E6">
        <w:t>), 7.35 (s, 4H, H</w:t>
      </w:r>
      <w:r w:rsidRPr="003D5B25">
        <w:rPr>
          <w:vertAlign w:val="subscript"/>
        </w:rPr>
        <w:t>β</w:t>
      </w:r>
      <w:r w:rsidRPr="002053E6">
        <w:t>), 7.27 (s, 4H, H</w:t>
      </w:r>
      <w:r w:rsidRPr="003D5B25">
        <w:rPr>
          <w:vertAlign w:val="subscript"/>
        </w:rPr>
        <w:t>G</w:t>
      </w:r>
      <w:r w:rsidRPr="002053E6">
        <w:t>), 7.23 (sbr, 4H, H</w:t>
      </w:r>
      <w:r w:rsidRPr="003D5B25">
        <w:rPr>
          <w:vertAlign w:val="subscript"/>
        </w:rPr>
        <w:t>β</w:t>
      </w:r>
      <w:r w:rsidRPr="002053E6">
        <w:t>), 7.14 (sbr, 4H, H</w:t>
      </w:r>
      <w:r w:rsidRPr="003D5B25">
        <w:rPr>
          <w:vertAlign w:val="subscript"/>
        </w:rPr>
        <w:t>β</w:t>
      </w:r>
      <w:r w:rsidRPr="002053E6">
        <w:t>), 7.02 (s</w:t>
      </w:r>
      <w:r w:rsidRPr="003D5B25">
        <w:rPr>
          <w:vertAlign w:val="subscript"/>
        </w:rPr>
        <w:t>br</w:t>
      </w:r>
      <w:r w:rsidRPr="002053E6">
        <w:t>, 8H, H</w:t>
      </w:r>
      <w:r w:rsidRPr="003D5B25">
        <w:rPr>
          <w:vertAlign w:val="subscript"/>
        </w:rPr>
        <w:t>B</w:t>
      </w:r>
      <w:r w:rsidRPr="002053E6">
        <w:t>), 5.77 (s, 4H, H</w:t>
      </w:r>
      <w:r w:rsidRPr="003D5B25">
        <w:rPr>
          <w:vertAlign w:val="subscript"/>
        </w:rPr>
        <w:t>D</w:t>
      </w:r>
      <w:r w:rsidRPr="002053E6">
        <w:t>), 2.62 (s, 6H, H</w:t>
      </w:r>
      <w:r w:rsidRPr="003D5B25">
        <w:rPr>
          <w:vertAlign w:val="subscript"/>
        </w:rPr>
        <w:t>H</w:t>
      </w:r>
      <w:r w:rsidRPr="002053E6">
        <w:t>), 2.39 (s, 12H, H</w:t>
      </w:r>
      <w:r w:rsidRPr="003D5B25">
        <w:rPr>
          <w:vertAlign w:val="subscript"/>
        </w:rPr>
        <w:t>A</w:t>
      </w:r>
      <w:r w:rsidRPr="002053E6">
        <w:t>), 2.07 (s, 24H, H</w:t>
      </w:r>
      <w:r w:rsidRPr="003D5B25">
        <w:rPr>
          <w:vertAlign w:val="subscript"/>
        </w:rPr>
        <w:t>C</w:t>
      </w:r>
      <w:r w:rsidRPr="002053E6">
        <w:t>), 1.83 (s, 12H, H</w:t>
      </w:r>
      <w:r w:rsidRPr="003D5B25">
        <w:rPr>
          <w:vertAlign w:val="subscript"/>
        </w:rPr>
        <w:t>F</w:t>
      </w:r>
      <w:r w:rsidRPr="002053E6">
        <w:t xml:space="preserve">) ppm. </w:t>
      </w:r>
      <w:r w:rsidRPr="00EA531B">
        <w:rPr>
          <w:vertAlign w:val="superscript"/>
        </w:rPr>
        <w:t>13</w:t>
      </w:r>
      <w:r w:rsidR="00EA531B">
        <w:t xml:space="preserve">C−NMR (75 MHz, </w:t>
      </w:r>
      <w:r w:rsidR="00EA531B" w:rsidRPr="00EA531B">
        <w:t>CDCl</w:t>
      </w:r>
      <w:r w:rsidR="00EA531B" w:rsidRPr="00EA531B">
        <w:rPr>
          <w:vertAlign w:val="subscript"/>
        </w:rPr>
        <w:t>3</w:t>
      </w:r>
      <w:r w:rsidR="00EA531B" w:rsidRPr="00EA531B">
        <w:t>, 25°C, TMS</w:t>
      </w:r>
      <w:r w:rsidR="00EA531B">
        <w:t>): δ=</w:t>
      </w:r>
      <w:r w:rsidRPr="002053E6">
        <w:t>150.02, 148.79, 148.44, 144.02, 143.68, 142.94, 139.25, 139.00, 137.65, 137.48, 135.26 (CH), 134.96, 132.22 (CH), 131.63 (CH), 130.87, 129.68, 128.19 (CH), 127.67 (CH), 124.01 (CH), 121.06, 120.02 (CH), 77.20 (CH), 54.10 (CH</w:t>
      </w:r>
      <w:r w:rsidRPr="003D5B25">
        <w:rPr>
          <w:vertAlign w:val="subscript"/>
        </w:rPr>
        <w:t>2</w:t>
      </w:r>
      <w:r w:rsidRPr="002053E6">
        <w:t>), 29.71 (CH</w:t>
      </w:r>
      <w:r w:rsidRPr="003D5B25">
        <w:rPr>
          <w:vertAlign w:val="subscript"/>
        </w:rPr>
        <w:t>2</w:t>
      </w:r>
      <w:r w:rsidRPr="002053E6">
        <w:t>), 21.62 (CH</w:t>
      </w:r>
      <w:r w:rsidRPr="003D5B25">
        <w:rPr>
          <w:vertAlign w:val="subscript"/>
        </w:rPr>
        <w:t>3</w:t>
      </w:r>
      <w:r w:rsidRPr="002053E6">
        <w:t>), 21.44 (CH</w:t>
      </w:r>
      <w:r w:rsidRPr="003D5B25">
        <w:rPr>
          <w:vertAlign w:val="subscript"/>
        </w:rPr>
        <w:t>3</w:t>
      </w:r>
      <w:r w:rsidRPr="002053E6">
        <w:t>), 21.18 (CH</w:t>
      </w:r>
      <w:r w:rsidRPr="003D5B25">
        <w:rPr>
          <w:vertAlign w:val="subscript"/>
        </w:rPr>
        <w:t>3</w:t>
      </w:r>
      <w:r w:rsidRPr="002053E6">
        <w:t>), 19.77 (CH3) ppm. MS (ESI): calc.: 2258.72; found: 2259.71</w:t>
      </w:r>
    </w:p>
    <w:p w:rsidR="002053E6" w:rsidRPr="002053E6" w:rsidRDefault="002053E6" w:rsidP="00D62F32">
      <w:pPr>
        <w:pStyle w:val="ExperimentalSection"/>
      </w:pPr>
      <w:r w:rsidRPr="00D62F32">
        <w:rPr>
          <w:b/>
        </w:rPr>
        <w:t>Pentad 7.</w:t>
      </w:r>
      <w:r w:rsidRPr="002053E6">
        <w:t xml:space="preserve"> </w:t>
      </w:r>
      <w:r w:rsidRPr="002053E6">
        <w:rPr>
          <w:vertAlign w:val="superscript"/>
        </w:rPr>
        <w:t>1</w:t>
      </w:r>
      <w:r w:rsidRPr="002053E6">
        <w:t>H−NMR (</w:t>
      </w:r>
      <w:r w:rsidR="00EA531B" w:rsidRPr="002053E6">
        <w:t xml:space="preserve">300 MHz, </w:t>
      </w:r>
      <w:r w:rsidR="00EA531B" w:rsidRPr="00EA531B">
        <w:t>CDCl</w:t>
      </w:r>
      <w:r w:rsidR="00EA531B" w:rsidRPr="00EA531B">
        <w:rPr>
          <w:vertAlign w:val="subscript"/>
        </w:rPr>
        <w:t>3</w:t>
      </w:r>
      <w:r w:rsidR="00EA531B" w:rsidRPr="00EA531B">
        <w:t>, 25°C, TMS</w:t>
      </w:r>
      <w:r w:rsidRPr="002053E6">
        <w:t>): δ 8.98 (s</w:t>
      </w:r>
      <w:r w:rsidRPr="002053E6">
        <w:rPr>
          <w:vertAlign w:val="subscript"/>
        </w:rPr>
        <w:t>br</w:t>
      </w:r>
      <w:r w:rsidRPr="002053E6">
        <w:t>, 4H, H</w:t>
      </w:r>
      <w:r w:rsidRPr="002053E6">
        <w:rPr>
          <w:vertAlign w:val="subscript"/>
        </w:rPr>
        <w:t>E</w:t>
      </w:r>
      <w:r w:rsidRPr="002053E6">
        <w:t xml:space="preserve"> ), 8.23 (s</w:t>
      </w:r>
      <w:r w:rsidRPr="002053E6">
        <w:rPr>
          <w:vertAlign w:val="subscript"/>
        </w:rPr>
        <w:t>br</w:t>
      </w:r>
      <w:r w:rsidRPr="002053E6">
        <w:t>, 8H, H</w:t>
      </w:r>
      <w:r w:rsidRPr="002053E6">
        <w:rPr>
          <w:vertAlign w:val="subscript"/>
        </w:rPr>
        <w:t>ar</w:t>
      </w:r>
      <w:r w:rsidRPr="002053E6">
        <w:t>), 7.97 (s</w:t>
      </w:r>
      <w:r w:rsidRPr="002053E6">
        <w:rPr>
          <w:vertAlign w:val="subscript"/>
        </w:rPr>
        <w:t>br</w:t>
      </w:r>
      <w:r w:rsidRPr="002053E6">
        <w:t>, 8H, H</w:t>
      </w:r>
      <w:r w:rsidRPr="002053E6">
        <w:rPr>
          <w:vertAlign w:val="subscript"/>
        </w:rPr>
        <w:t>β</w:t>
      </w:r>
      <w:r w:rsidRPr="002053E6">
        <w:t>), 7.65 (s</w:t>
      </w:r>
      <w:r w:rsidRPr="002053E6">
        <w:rPr>
          <w:vertAlign w:val="subscript"/>
        </w:rPr>
        <w:t>br</w:t>
      </w:r>
      <w:r w:rsidRPr="002053E6">
        <w:t>, 8H, H</w:t>
      </w:r>
      <w:r w:rsidRPr="002053E6">
        <w:rPr>
          <w:vertAlign w:val="subscript"/>
        </w:rPr>
        <w:t>ar</w:t>
      </w:r>
      <w:r w:rsidRPr="002053E6">
        <w:t>), 7.51 (s</w:t>
      </w:r>
      <w:r w:rsidRPr="002053E6">
        <w:rPr>
          <w:vertAlign w:val="subscript"/>
        </w:rPr>
        <w:t>br</w:t>
      </w:r>
      <w:r w:rsidRPr="002053E6">
        <w:t>, 8H, H</w:t>
      </w:r>
      <w:r w:rsidRPr="002053E6">
        <w:rPr>
          <w:vertAlign w:val="subscript"/>
        </w:rPr>
        <w:t>ar</w:t>
      </w:r>
      <w:r w:rsidRPr="002053E6">
        <w:t>), 7.34 (s</w:t>
      </w:r>
      <w:r w:rsidRPr="002053E6">
        <w:rPr>
          <w:vertAlign w:val="subscript"/>
        </w:rPr>
        <w:t>br</w:t>
      </w:r>
      <w:r w:rsidRPr="002053E6">
        <w:t>, 8H, H</w:t>
      </w:r>
      <w:r w:rsidRPr="002053E6">
        <w:rPr>
          <w:vertAlign w:val="subscript"/>
        </w:rPr>
        <w:t>β</w:t>
      </w:r>
      <w:r w:rsidRPr="002053E6">
        <w:t>), 7.30 (s</w:t>
      </w:r>
      <w:r w:rsidRPr="002053E6">
        <w:rPr>
          <w:vertAlign w:val="subscript"/>
        </w:rPr>
        <w:t>br</w:t>
      </w:r>
      <w:r w:rsidRPr="002053E6">
        <w:t>, 8H, Har), 7.26 (s</w:t>
      </w:r>
      <w:r w:rsidRPr="002053E6">
        <w:rPr>
          <w:vertAlign w:val="subscript"/>
        </w:rPr>
        <w:t>br</w:t>
      </w:r>
      <w:r w:rsidRPr="002053E6">
        <w:t>, 8H, Har), 7.20 (8H, H</w:t>
      </w:r>
      <w:r w:rsidRPr="002053E6">
        <w:rPr>
          <w:vertAlign w:val="subscript"/>
        </w:rPr>
        <w:t>β</w:t>
      </w:r>
      <w:r w:rsidRPr="002053E6">
        <w:t>), 7.15 (8H, H</w:t>
      </w:r>
      <w:r w:rsidRPr="002053E6">
        <w:rPr>
          <w:vertAlign w:val="subscript"/>
        </w:rPr>
        <w:t>β</w:t>
      </w:r>
      <w:r w:rsidRPr="002053E6">
        <w:t>), 7.00 (s, 16H, H</w:t>
      </w:r>
      <w:r w:rsidRPr="002053E6">
        <w:rPr>
          <w:vertAlign w:val="subscript"/>
        </w:rPr>
        <w:t>B</w:t>
      </w:r>
      <w:r w:rsidRPr="002053E6">
        <w:t>), 5.78 (s, 8H, H</w:t>
      </w:r>
      <w:r w:rsidRPr="002053E6">
        <w:rPr>
          <w:vertAlign w:val="subscript"/>
        </w:rPr>
        <w:t>D</w:t>
      </w:r>
      <w:r w:rsidRPr="002053E6">
        <w:t>), 2.37 (s, 24H, H</w:t>
      </w:r>
      <w:r w:rsidRPr="002053E6">
        <w:rPr>
          <w:vertAlign w:val="subscript"/>
        </w:rPr>
        <w:t>A</w:t>
      </w:r>
      <w:r w:rsidRPr="002053E6">
        <w:t>), 2.05 (s, 48H, H</w:t>
      </w:r>
      <w:r w:rsidRPr="002053E6">
        <w:rPr>
          <w:vertAlign w:val="subscript"/>
        </w:rPr>
        <w:t>C</w:t>
      </w:r>
      <w:r w:rsidRPr="002053E6">
        <w:t xml:space="preserve">) ppm. </w:t>
      </w:r>
      <w:r w:rsidRPr="002053E6">
        <w:rPr>
          <w:vertAlign w:val="superscript"/>
        </w:rPr>
        <w:t>13</w:t>
      </w:r>
      <w:r w:rsidR="00EA531B">
        <w:t xml:space="preserve">C−NMR (75 MHz, </w:t>
      </w:r>
      <w:r w:rsidR="00EA531B" w:rsidRPr="00EA531B">
        <w:t>CDCl</w:t>
      </w:r>
      <w:r w:rsidR="00EA531B" w:rsidRPr="00EA531B">
        <w:rPr>
          <w:vertAlign w:val="subscript"/>
        </w:rPr>
        <w:t>3</w:t>
      </w:r>
      <w:r w:rsidR="00EA531B" w:rsidRPr="00EA531B">
        <w:t>, 25°C, TMS</w:t>
      </w:r>
      <w:r w:rsidR="00EA531B">
        <w:t>): δ=</w:t>
      </w:r>
      <w:r w:rsidRPr="002053E6">
        <w:t>150.14, 148.78, 148.26, 144.17, 143.62, 142.72, 138.26 (CH), 137.61, 135.16/135.14 (CH), 134.87, 132.03 (CH), 131.38 (CH), 129.71 (CH), 128.15 (CH), 127.54 (CH), 123.95, 121.14 (CH), 120.71, 120.01, 77.20, 54.00 (CH</w:t>
      </w:r>
      <w:r w:rsidRPr="003D5B25">
        <w:rPr>
          <w:vertAlign w:val="subscript"/>
        </w:rPr>
        <w:t>2</w:t>
      </w:r>
      <w:r w:rsidRPr="002053E6">
        <w:t>), 21.18 (CH</w:t>
      </w:r>
      <w:r w:rsidRPr="003D5B25">
        <w:rPr>
          <w:vertAlign w:val="subscript"/>
        </w:rPr>
        <w:t>3</w:t>
      </w:r>
      <w:r w:rsidRPr="002053E6">
        <w:t>), 19.77 (CH</w:t>
      </w:r>
      <w:r w:rsidRPr="003D5B25">
        <w:rPr>
          <w:vertAlign w:val="subscript"/>
        </w:rPr>
        <w:t>3</w:t>
      </w:r>
      <w:r w:rsidRPr="002053E6">
        <w:t>) ppm. MS (ESI): calc.: 3677.09; found: 3679.12 [M+2H]. MALDI-TOF-MS (dithranol): found 3675.84 [M-H]</w:t>
      </w:r>
    </w:p>
    <w:p w:rsidR="002053E6" w:rsidRPr="002053E6" w:rsidRDefault="002053E6" w:rsidP="00D62F32">
      <w:pPr>
        <w:pStyle w:val="ExperimentalSection"/>
      </w:pPr>
      <w:r w:rsidRPr="00D62F32">
        <w:rPr>
          <w:b/>
        </w:rPr>
        <w:t>Spectrophotometric and Electrochemical Studies.</w:t>
      </w:r>
      <w:r w:rsidRPr="002053E6">
        <w:t xml:space="preserve"> Electronic absorption spectra were measured using a </w:t>
      </w:r>
      <w:r w:rsidRPr="002053E6">
        <w:rPr>
          <w:bCs/>
        </w:rPr>
        <w:t>Shimadzu Model 2550 double monochromator UV-visible spectrophotometer</w:t>
      </w:r>
      <w:r w:rsidRPr="002053E6">
        <w:t xml:space="preserve"> or a JASCO V-570 UV/Vis/NIR spectrophotometer. Differential pulse voltammograms (DPVs) were recorded using an EG&amp;G Model 263A potentiostat with a three electrode system.  A platinum button electrode was used as the working electrode.  A platinum wire served as the counter electrode and a</w:t>
      </w:r>
      <w:r w:rsidRPr="002053E6">
        <w:rPr>
          <w:rFonts w:hint="eastAsia"/>
        </w:rPr>
        <w:t>n</w:t>
      </w:r>
      <w:r w:rsidRPr="002053E6">
        <w:t xml:space="preserve"> Ag/AgCl </w:t>
      </w:r>
      <w:r w:rsidRPr="002053E6">
        <w:rPr>
          <w:rFonts w:hint="eastAsia"/>
        </w:rPr>
        <w:t xml:space="preserve">electrode </w:t>
      </w:r>
      <w:r w:rsidRPr="002053E6">
        <w:t>was used as the reference.  Ferrocene/ferrocenium redox couple was used as an internal standard.  All the solutions were purged prior to electrochemical and spectral measurements using argon gas.  Spectroelectrochemical study was performed by using a cell assembly (SEC-C) supplied by ALS Co., Ltd. (Tokyo, Japan). This assembly comprised of a Pt counter electrode, a 6 mm Pt Gauze working electrode, and an Ag/AgCl reference electrode in a 1.0 mm path length quartz cell. The optical transmission was limited to 6 mm covering the Pt Gauze working electrode.</w:t>
      </w:r>
    </w:p>
    <w:p w:rsidR="002053E6" w:rsidRPr="002053E6" w:rsidRDefault="002053E6" w:rsidP="00D62F32">
      <w:pPr>
        <w:pStyle w:val="ExperimentalSection"/>
      </w:pPr>
      <w:r w:rsidRPr="00D62F32">
        <w:rPr>
          <w:b/>
        </w:rPr>
        <w:t>Computational Studies.</w:t>
      </w:r>
      <w:r w:rsidRPr="002053E6">
        <w:t xml:space="preserve"> Computational geometry optimizations were performed using B3LYP functional and a mixed basis (H and C(6-31G), N and O(6-31G(d), and Cu and Zn(6-31G(df)) using GAUSSIAN 09 software package.</w:t>
      </w:r>
      <w:r w:rsidRPr="002053E6">
        <w:rPr>
          <w:vertAlign w:val="superscript"/>
        </w:rPr>
        <w:t>[43]</w:t>
      </w:r>
      <w:r w:rsidRPr="002053E6">
        <w:t xml:space="preserve"> The copper corrole and zinc porphyrin structures were first optimized and those structures were used to construct the combined conjugates. </w:t>
      </w:r>
      <w:r w:rsidRPr="002053E6">
        <w:rPr>
          <w:i/>
        </w:rPr>
        <w:t xml:space="preserve">GaussView </w:t>
      </w:r>
      <w:r w:rsidRPr="002053E6">
        <w:t xml:space="preserve">program of GAUSSIAN was used to generate frontier HOMO and LUMO orbitals.  </w:t>
      </w:r>
    </w:p>
    <w:p w:rsidR="002053E6" w:rsidRPr="002053E6" w:rsidRDefault="002053E6" w:rsidP="00D62F32">
      <w:pPr>
        <w:pStyle w:val="ExperimentalSection"/>
      </w:pPr>
      <w:r w:rsidRPr="00D62F32">
        <w:rPr>
          <w:b/>
        </w:rPr>
        <w:t>Femtosecond Laser Flash Photolysis.</w:t>
      </w:r>
      <w:r w:rsidRPr="002053E6">
        <w:t xml:space="preserve"> Femtosecond transient absorption spectroscopy experiments were performed using an Ultrafast Femtosecond Laser Source (Libra) by Coherent incorporating diode-pumped, mode locked Ti:Sapphire laser (Vitesse) and diode-pumped intra cavity doubled Nd:YLF laser (Evolution) to generate a compressed laser output of 1.45 W. For optical detection, a Helios transient absorption spectrometer coupled with femtosecond harmonics generator both provided by Ultrafast Systems LLC was used. The source for the pump and probe pulses was derived from the fundamental output of Libra (Compressed output 1.45 W, pulse width 100 fs) at a repetition rate of 1 kHz. 95% of the fundamental output of the laser was introduced into a harmonic generator, which produces second and third harmonics of 400 and 267 nm besides the fundamental 800 nm for excitation, while the rest of the output was used for generation of a white light continuum. In the present study, the second harmonic 400 nm excitation pump was used in all the experiments. Kinetic traces at appropriate wavelengths were assembled from the time-resolved spectral data. Data analysis was performed using Surface Xplorer software supplied by Ultrafast Systems.  All measurements were conducted in degassed solutions at 298 K.</w:t>
      </w:r>
    </w:p>
    <w:p w:rsidR="002053E6" w:rsidRPr="002053E6" w:rsidRDefault="002053E6" w:rsidP="00D62F32">
      <w:pPr>
        <w:pStyle w:val="ExperimentalSection"/>
      </w:pPr>
      <w:r w:rsidRPr="00D62F32">
        <w:rPr>
          <w:b/>
        </w:rPr>
        <w:t>Nanosecond laser flash photolysis.</w:t>
      </w:r>
      <w:r w:rsidRPr="002053E6">
        <w:t xml:space="preserve"> The compounds studied were excited by using an Opolette HE 355 LD pumped by a high energy Nd:YAG laser with second and third harmonics OPO (tuning range 410-2200 nm, pulse repetition rate 20 Hz, pulse length 7 ns) with power of 1.0 to 3 mJ per pulse. Transient absorption measurements were performed using a Proteus UV-Vis-NIR flash photolysis spectrometer (Ultrafast Systems, Sarasota, FL) with a fibre optic delivered white probe light and either a fast rise Si photodiode detector covering the 200-1000 nm range or an InGaAs photodiode detector covering the 900-1600 nm range. The outputs from the photodiodes and a photomultiplier tube were recorded using a digitizing Tektronix oscilloscope.</w:t>
      </w:r>
    </w:p>
    <w:p w:rsidR="00D672E6" w:rsidRDefault="00D672E6" w:rsidP="002053E6">
      <w:pPr>
        <w:pStyle w:val="HAcknowledgements"/>
        <w:rPr>
          <w:color w:val="FF0000"/>
        </w:rPr>
      </w:pPr>
      <w:r>
        <w:t xml:space="preserve">Acknowledgements </w:t>
      </w:r>
    </w:p>
    <w:p w:rsidR="00074D8C" w:rsidRDefault="00074D8C" w:rsidP="00D62F32">
      <w:pPr>
        <w:pStyle w:val="Acknowledgements"/>
        <w:rPr>
          <w:lang w:val="en-US"/>
        </w:rPr>
      </w:pPr>
      <w:r w:rsidRPr="00074D8C">
        <w:rPr>
          <w:lang w:val="en-US"/>
        </w:rPr>
        <w:t xml:space="preserve">The authors thank the International Center for Young Scientists (ICYS) for continuing support (THN). This work was partly supported by World Premier International Research Center Initiative (WPI Initiative), MEXT, Japan. The authors are also grateful to the </w:t>
      </w:r>
      <w:r w:rsidR="00161BF5">
        <w:rPr>
          <w:lang w:val="en-US"/>
        </w:rPr>
        <w:t>US-</w:t>
      </w:r>
      <w:r w:rsidRPr="00074D8C">
        <w:rPr>
          <w:lang w:val="en-US"/>
        </w:rPr>
        <w:t>National Science Foundation (Grant No. 1401188 t</w:t>
      </w:r>
      <w:r w:rsidR="00A16998">
        <w:rPr>
          <w:lang w:val="en-US"/>
        </w:rPr>
        <w:t>o FD) for support of this work.</w:t>
      </w:r>
      <w:r w:rsidRPr="00074D8C">
        <w:rPr>
          <w:lang w:val="en-US"/>
        </w:rPr>
        <w:t xml:space="preserve"> The computational work was performed at the Holland Computing Center of the University of Nebraska. We are grateful to Prof. Wouter Maes and Dr. Julija Kudrjasova for fruitful discussions and purification of the conjugates.</w:t>
      </w:r>
    </w:p>
    <w:p w:rsidR="00D672E6" w:rsidRDefault="00D672E6" w:rsidP="00D672E6">
      <w:pPr>
        <w:pStyle w:val="Keywords"/>
      </w:pPr>
      <w:r w:rsidRPr="009B7AB7">
        <w:rPr>
          <w:b/>
        </w:rPr>
        <w:t>Keywords:</w:t>
      </w:r>
      <w:r w:rsidRPr="009B7AB7">
        <w:t xml:space="preserve"> </w:t>
      </w:r>
      <w:r w:rsidR="00AB32BE" w:rsidRPr="00AB32BE">
        <w:t>Corrole</w:t>
      </w:r>
      <w:r w:rsidRPr="00AB32BE">
        <w:t xml:space="preserve"> • </w:t>
      </w:r>
      <w:r w:rsidR="00AB32BE" w:rsidRPr="00AB32BE">
        <w:t>Porphyrin</w:t>
      </w:r>
      <w:r w:rsidRPr="00AB32BE">
        <w:t xml:space="preserve"> • </w:t>
      </w:r>
      <w:r w:rsidR="00AB32BE" w:rsidRPr="00AB32BE">
        <w:t>Electron Transfer</w:t>
      </w:r>
      <w:r w:rsidRPr="00AB32BE">
        <w:t xml:space="preserve"> • </w:t>
      </w:r>
      <w:r w:rsidR="00AB32BE" w:rsidRPr="00AB32BE">
        <w:t>Supramolecular Chemistry</w:t>
      </w:r>
      <w:r w:rsidRPr="00AB32BE">
        <w:t xml:space="preserve"> • </w:t>
      </w:r>
      <w:r w:rsidR="00AB32BE">
        <w:t>Copper(III)</w:t>
      </w:r>
    </w:p>
    <w:p w:rsidR="0072720F" w:rsidRDefault="00D672E6" w:rsidP="00D672E6">
      <w:pPr>
        <w:pStyle w:val="References"/>
        <w:rPr>
          <w:color w:val="FF0000"/>
          <w:lang w:val="es-ES"/>
        </w:rPr>
      </w:pPr>
      <w:r w:rsidRPr="00390DD7">
        <w:t>[1]</w:t>
      </w:r>
      <w:r w:rsidRPr="00390DD7">
        <w:tab/>
      </w:r>
      <w:r w:rsidR="0072720F" w:rsidRPr="0072720F">
        <w:rPr>
          <w:lang w:val="en-US"/>
        </w:rPr>
        <w:t xml:space="preserve">a) N. S. Lewis, D. G.  Nocera, </w:t>
      </w:r>
      <w:r w:rsidR="0072720F" w:rsidRPr="0072720F">
        <w:rPr>
          <w:i/>
          <w:lang w:val="en-US"/>
        </w:rPr>
        <w:t>Proc. Natal. Acad. Sci. U. S. A</w:t>
      </w:r>
      <w:r w:rsidR="0072720F" w:rsidRPr="0072720F">
        <w:rPr>
          <w:lang w:val="en-US"/>
        </w:rPr>
        <w:t xml:space="preserve">. </w:t>
      </w:r>
      <w:r w:rsidR="0072720F" w:rsidRPr="0072720F">
        <w:rPr>
          <w:b/>
          <w:lang w:val="en-US"/>
        </w:rPr>
        <w:t>2006</w:t>
      </w:r>
      <w:r w:rsidR="0072720F" w:rsidRPr="0072720F">
        <w:rPr>
          <w:lang w:val="en-US"/>
        </w:rPr>
        <w:t xml:space="preserve">, </w:t>
      </w:r>
      <w:r w:rsidR="0072720F" w:rsidRPr="0072720F">
        <w:rPr>
          <w:i/>
          <w:lang w:val="en-US"/>
        </w:rPr>
        <w:t>103</w:t>
      </w:r>
      <w:r w:rsidR="0072720F" w:rsidRPr="0072720F">
        <w:rPr>
          <w:lang w:val="en-US"/>
        </w:rPr>
        <w:t>, 15729</w:t>
      </w:r>
      <w:r w:rsidR="0072720F">
        <w:rPr>
          <w:lang w:val="en-US"/>
        </w:rPr>
        <w:t>–</w:t>
      </w:r>
      <w:r w:rsidR="0072720F" w:rsidRPr="0072720F">
        <w:rPr>
          <w:lang w:val="en-US"/>
        </w:rPr>
        <w:t xml:space="preserve">15735; b) P. V. Kamat, </w:t>
      </w:r>
      <w:r w:rsidR="0072720F" w:rsidRPr="0072720F">
        <w:rPr>
          <w:i/>
          <w:lang w:val="en-US"/>
        </w:rPr>
        <w:t>J. Phys. Chem. C</w:t>
      </w:r>
      <w:r w:rsidR="0072720F" w:rsidRPr="0072720F">
        <w:rPr>
          <w:lang w:val="en-US"/>
        </w:rPr>
        <w:t xml:space="preserve">, </w:t>
      </w:r>
      <w:r w:rsidR="0072720F" w:rsidRPr="0072720F">
        <w:rPr>
          <w:b/>
          <w:lang w:val="en-US"/>
        </w:rPr>
        <w:t>2007</w:t>
      </w:r>
      <w:r w:rsidR="0072720F" w:rsidRPr="0072720F">
        <w:rPr>
          <w:lang w:val="en-US"/>
        </w:rPr>
        <w:t xml:space="preserve">, </w:t>
      </w:r>
      <w:r w:rsidR="0072720F" w:rsidRPr="0072720F">
        <w:rPr>
          <w:i/>
          <w:lang w:val="en-US"/>
        </w:rPr>
        <w:t>111</w:t>
      </w:r>
      <w:r w:rsidR="0072720F" w:rsidRPr="0072720F">
        <w:rPr>
          <w:lang w:val="en-US"/>
        </w:rPr>
        <w:t>, 2834</w:t>
      </w:r>
      <w:r w:rsidR="0072720F">
        <w:rPr>
          <w:lang w:val="en-US"/>
        </w:rPr>
        <w:t>–</w:t>
      </w:r>
      <w:r w:rsidR="0072720F" w:rsidRPr="0072720F">
        <w:rPr>
          <w:lang w:val="en-US"/>
        </w:rPr>
        <w:t xml:space="preserve">2860; c) T. Umeyama, H. Imahori, </w:t>
      </w:r>
      <w:r w:rsidR="0072720F" w:rsidRPr="0072720F">
        <w:rPr>
          <w:i/>
          <w:lang w:val="en-US"/>
        </w:rPr>
        <w:t>Energy Environ. Sci.</w:t>
      </w:r>
      <w:r w:rsidR="0072720F" w:rsidRPr="0072720F">
        <w:rPr>
          <w:lang w:val="en-US"/>
        </w:rPr>
        <w:t xml:space="preserve"> </w:t>
      </w:r>
      <w:r w:rsidR="0072720F" w:rsidRPr="0072720F">
        <w:rPr>
          <w:b/>
          <w:lang w:val="en-US"/>
        </w:rPr>
        <w:t>2008</w:t>
      </w:r>
      <w:r w:rsidR="0072720F" w:rsidRPr="0072720F">
        <w:rPr>
          <w:lang w:val="en-US"/>
        </w:rPr>
        <w:t xml:space="preserve">, </w:t>
      </w:r>
      <w:r w:rsidR="0072720F" w:rsidRPr="0072720F">
        <w:rPr>
          <w:i/>
          <w:lang w:val="en-US"/>
        </w:rPr>
        <w:t>1</w:t>
      </w:r>
      <w:r w:rsidR="0072720F" w:rsidRPr="0072720F">
        <w:rPr>
          <w:lang w:val="en-US"/>
        </w:rPr>
        <w:t>, 120</w:t>
      </w:r>
      <w:r w:rsidR="0072720F">
        <w:rPr>
          <w:lang w:val="en-US"/>
        </w:rPr>
        <w:t>–</w:t>
      </w:r>
      <w:r w:rsidR="0072720F" w:rsidRPr="0072720F">
        <w:rPr>
          <w:lang w:val="en-US"/>
        </w:rPr>
        <w:t xml:space="preserve">133; d) T. </w:t>
      </w:r>
      <w:r w:rsidR="0072720F" w:rsidRPr="0072720F">
        <w:rPr>
          <w:lang w:val="de-DE"/>
        </w:rPr>
        <w:t xml:space="preserve">Hasobe, </w:t>
      </w:r>
      <w:r w:rsidR="0072720F" w:rsidRPr="0072720F">
        <w:rPr>
          <w:bCs/>
          <w:i/>
          <w:iCs/>
          <w:lang w:val="en-US"/>
        </w:rPr>
        <w:t>Phys. Chem. Chem. Phys.</w:t>
      </w:r>
      <w:r w:rsidR="0072720F" w:rsidRPr="0072720F">
        <w:rPr>
          <w:lang w:val="en-US"/>
        </w:rPr>
        <w:t xml:space="preserve"> </w:t>
      </w:r>
      <w:r w:rsidR="0072720F" w:rsidRPr="0072720F">
        <w:rPr>
          <w:b/>
          <w:lang w:val="en-US"/>
        </w:rPr>
        <w:t>2010</w:t>
      </w:r>
      <w:r w:rsidR="0072720F" w:rsidRPr="0072720F">
        <w:rPr>
          <w:lang w:val="en-US"/>
        </w:rPr>
        <w:t xml:space="preserve">, </w:t>
      </w:r>
      <w:r w:rsidR="0072720F" w:rsidRPr="0072720F">
        <w:rPr>
          <w:bCs/>
          <w:i/>
          <w:lang w:val="en-US"/>
        </w:rPr>
        <w:t>12</w:t>
      </w:r>
      <w:r w:rsidR="0072720F" w:rsidRPr="0072720F">
        <w:rPr>
          <w:lang w:val="en-US"/>
        </w:rPr>
        <w:t>, 44</w:t>
      </w:r>
      <w:r w:rsidR="0072720F">
        <w:rPr>
          <w:lang w:val="en-US"/>
        </w:rPr>
        <w:t>–</w:t>
      </w:r>
      <w:r w:rsidR="0072720F" w:rsidRPr="0072720F">
        <w:rPr>
          <w:lang w:val="en-US"/>
        </w:rPr>
        <w:t>57</w:t>
      </w:r>
      <w:r w:rsidR="0072720F">
        <w:rPr>
          <w:lang w:val="en-US"/>
        </w:rPr>
        <w:t xml:space="preserve">; </w:t>
      </w:r>
      <w:r w:rsidR="0072720F" w:rsidRPr="0072720F">
        <w:rPr>
          <w:lang w:val="en-US"/>
        </w:rPr>
        <w:t xml:space="preserve">e) V. </w:t>
      </w:r>
      <w:r w:rsidR="0072720F" w:rsidRPr="0072720F">
        <w:rPr>
          <w:lang w:val="es-ES"/>
        </w:rPr>
        <w:t xml:space="preserve">Balzani, A. Credi, M. Venturi, </w:t>
      </w:r>
      <w:r w:rsidR="0072720F" w:rsidRPr="0072720F">
        <w:rPr>
          <w:i/>
          <w:lang w:val="es-ES"/>
        </w:rPr>
        <w:t>ChemSusChem</w:t>
      </w:r>
      <w:r w:rsidR="0072720F" w:rsidRPr="0072720F">
        <w:rPr>
          <w:lang w:val="es-ES"/>
        </w:rPr>
        <w:t xml:space="preserve">, </w:t>
      </w:r>
      <w:r w:rsidR="0072720F" w:rsidRPr="0072720F">
        <w:rPr>
          <w:b/>
          <w:lang w:val="es-ES"/>
        </w:rPr>
        <w:t>2008</w:t>
      </w:r>
      <w:r w:rsidR="0072720F" w:rsidRPr="0072720F">
        <w:rPr>
          <w:lang w:val="es-ES"/>
        </w:rPr>
        <w:t xml:space="preserve">, </w:t>
      </w:r>
      <w:r w:rsidR="0072720F" w:rsidRPr="0072720F">
        <w:rPr>
          <w:i/>
          <w:lang w:val="es-ES"/>
        </w:rPr>
        <w:t>1</w:t>
      </w:r>
      <w:r w:rsidR="0072720F" w:rsidRPr="0072720F">
        <w:rPr>
          <w:lang w:val="es-ES"/>
        </w:rPr>
        <w:t>, 26</w:t>
      </w:r>
      <w:r w:rsidR="0072720F">
        <w:rPr>
          <w:lang w:val="es-ES"/>
        </w:rPr>
        <w:t>–</w:t>
      </w:r>
      <w:r w:rsidR="0072720F" w:rsidRPr="0072720F">
        <w:rPr>
          <w:lang w:val="es-ES"/>
        </w:rPr>
        <w:t>58.</w:t>
      </w:r>
      <w:r w:rsidR="0072720F" w:rsidRPr="0072720F">
        <w:rPr>
          <w:color w:val="FF0000"/>
          <w:lang w:val="es-ES"/>
        </w:rPr>
        <w:t xml:space="preserve"> </w:t>
      </w:r>
    </w:p>
    <w:p w:rsidR="0072720F" w:rsidRDefault="00D672E6" w:rsidP="00D672E6">
      <w:pPr>
        <w:pStyle w:val="References"/>
        <w:rPr>
          <w:lang w:val="de-DE"/>
        </w:rPr>
      </w:pPr>
      <w:r>
        <w:t>[2]</w:t>
      </w:r>
      <w:r>
        <w:tab/>
      </w:r>
      <w:r w:rsidR="0072720F" w:rsidRPr="0072720F">
        <w:rPr>
          <w:lang w:val="en-US"/>
        </w:rPr>
        <w:t>a)</w:t>
      </w:r>
      <w:r w:rsidR="0072720F" w:rsidRPr="0072720F">
        <w:rPr>
          <w:i/>
          <w:lang w:val="en-US"/>
        </w:rPr>
        <w:t xml:space="preserve"> Energy Harvesting Materials</w:t>
      </w:r>
      <w:r w:rsidR="0072720F" w:rsidRPr="0072720F">
        <w:rPr>
          <w:lang w:val="en-US"/>
        </w:rPr>
        <w:t xml:space="preserve">, D. L. Andrews, Ed.; World Scientific, Singapore, 2005. b) M. R. Wasielewski, </w:t>
      </w:r>
      <w:r w:rsidR="0072720F" w:rsidRPr="0072720F">
        <w:rPr>
          <w:i/>
          <w:lang w:val="en-US"/>
        </w:rPr>
        <w:t>Acc. Chem. Res.</w:t>
      </w:r>
      <w:r w:rsidR="0072720F" w:rsidRPr="0072720F">
        <w:rPr>
          <w:lang w:val="en-US"/>
        </w:rPr>
        <w:t xml:space="preserve"> </w:t>
      </w:r>
      <w:r w:rsidR="0072720F" w:rsidRPr="0072720F">
        <w:rPr>
          <w:b/>
          <w:lang w:val="en-US"/>
        </w:rPr>
        <w:t>2009</w:t>
      </w:r>
      <w:r w:rsidR="0072720F" w:rsidRPr="0072720F">
        <w:rPr>
          <w:lang w:val="en-US"/>
        </w:rPr>
        <w:t xml:space="preserve">, </w:t>
      </w:r>
      <w:r w:rsidR="0072720F" w:rsidRPr="0072720F">
        <w:rPr>
          <w:i/>
          <w:lang w:val="en-US"/>
        </w:rPr>
        <w:t>42</w:t>
      </w:r>
      <w:r w:rsidR="0072720F" w:rsidRPr="0072720F">
        <w:rPr>
          <w:lang w:val="en-US"/>
        </w:rPr>
        <w:t>, 1910</w:t>
      </w:r>
      <w:r w:rsidR="0072720F">
        <w:rPr>
          <w:lang w:val="en-US"/>
        </w:rPr>
        <w:t>–</w:t>
      </w:r>
      <w:r w:rsidR="0072720F" w:rsidRPr="0072720F">
        <w:rPr>
          <w:lang w:val="en-US"/>
        </w:rPr>
        <w:t>1921;</w:t>
      </w:r>
      <w:r w:rsidR="0072720F" w:rsidRPr="0072720F">
        <w:rPr>
          <w:lang w:val="pl-PL"/>
        </w:rPr>
        <w:t xml:space="preserve"> </w:t>
      </w:r>
      <w:r w:rsidR="0072720F" w:rsidRPr="0072720F">
        <w:rPr>
          <w:lang w:val="es-ES"/>
        </w:rPr>
        <w:t xml:space="preserve">c) D. </w:t>
      </w:r>
      <w:r w:rsidR="0072720F" w:rsidRPr="0072720F">
        <w:rPr>
          <w:lang w:val="pl-PL"/>
        </w:rPr>
        <w:t xml:space="preserve">Gust, T. A. Moore, A. L. Moore, </w:t>
      </w:r>
      <w:r w:rsidR="0072720F" w:rsidRPr="0072720F">
        <w:rPr>
          <w:i/>
          <w:lang w:val="pl-PL"/>
        </w:rPr>
        <w:t>Acc. Chem. Res</w:t>
      </w:r>
      <w:r w:rsidR="0072720F" w:rsidRPr="0072720F">
        <w:rPr>
          <w:lang w:val="pl-PL"/>
        </w:rPr>
        <w:t>.</w:t>
      </w:r>
      <w:r w:rsidR="0072720F" w:rsidRPr="0072720F">
        <w:rPr>
          <w:b/>
          <w:lang w:val="pl-PL"/>
        </w:rPr>
        <w:t xml:space="preserve"> 2009</w:t>
      </w:r>
      <w:r w:rsidR="0072720F" w:rsidRPr="0072720F">
        <w:rPr>
          <w:lang w:val="pl-PL"/>
        </w:rPr>
        <w:t xml:space="preserve">, </w:t>
      </w:r>
      <w:r w:rsidR="0072720F" w:rsidRPr="0072720F">
        <w:rPr>
          <w:i/>
          <w:lang w:val="pl-PL"/>
        </w:rPr>
        <w:t>42</w:t>
      </w:r>
      <w:r w:rsidR="0072720F" w:rsidRPr="0072720F">
        <w:rPr>
          <w:lang w:val="pl-PL"/>
        </w:rPr>
        <w:t>, 1890</w:t>
      </w:r>
      <w:r w:rsidR="0072720F">
        <w:rPr>
          <w:lang w:val="pl-PL"/>
        </w:rPr>
        <w:t>–</w:t>
      </w:r>
      <w:r w:rsidR="0072720F" w:rsidRPr="0072720F">
        <w:rPr>
          <w:lang w:val="pl-PL"/>
        </w:rPr>
        <w:t xml:space="preserve">1898; </w:t>
      </w:r>
      <w:r w:rsidR="0072720F" w:rsidRPr="0072720F">
        <w:rPr>
          <w:lang w:val="en-US"/>
        </w:rPr>
        <w:t xml:space="preserve">d) J. L. Sessler, C. M. Lawrence, J. Jayawickramarajah, </w:t>
      </w:r>
      <w:r w:rsidR="0072720F" w:rsidRPr="0072720F">
        <w:rPr>
          <w:i/>
          <w:lang w:val="en-US"/>
        </w:rPr>
        <w:t>Chem. Soc. Rev</w:t>
      </w:r>
      <w:r w:rsidR="0072720F" w:rsidRPr="0072720F">
        <w:rPr>
          <w:lang w:val="en-US"/>
        </w:rPr>
        <w:t xml:space="preserve">. </w:t>
      </w:r>
      <w:r w:rsidR="0072720F" w:rsidRPr="0072720F">
        <w:rPr>
          <w:b/>
          <w:lang w:val="en-US"/>
        </w:rPr>
        <w:t>2007</w:t>
      </w:r>
      <w:r w:rsidR="0072720F" w:rsidRPr="0072720F">
        <w:rPr>
          <w:lang w:val="en-US"/>
        </w:rPr>
        <w:t xml:space="preserve">, </w:t>
      </w:r>
      <w:r w:rsidR="0072720F" w:rsidRPr="0072720F">
        <w:rPr>
          <w:i/>
          <w:lang w:val="en-US"/>
        </w:rPr>
        <w:t>36</w:t>
      </w:r>
      <w:r w:rsidR="0072720F" w:rsidRPr="0072720F">
        <w:rPr>
          <w:lang w:val="en-US"/>
        </w:rPr>
        <w:t>, 314</w:t>
      </w:r>
      <w:r w:rsidR="0072720F">
        <w:rPr>
          <w:lang w:val="en-US"/>
        </w:rPr>
        <w:t>–</w:t>
      </w:r>
      <w:r w:rsidR="0072720F" w:rsidRPr="0072720F">
        <w:rPr>
          <w:lang w:val="en-US"/>
        </w:rPr>
        <w:t>325</w:t>
      </w:r>
      <w:r w:rsidR="0072720F">
        <w:rPr>
          <w:lang w:val="en-US"/>
        </w:rPr>
        <w:t>;</w:t>
      </w:r>
      <w:r w:rsidR="0072720F" w:rsidRPr="0072720F">
        <w:rPr>
          <w:lang w:val="en-US"/>
        </w:rPr>
        <w:t xml:space="preserve"> e) S. Fukuzumi, K. Ohkubo, </w:t>
      </w:r>
      <w:r w:rsidR="0072720F" w:rsidRPr="0072720F">
        <w:rPr>
          <w:i/>
          <w:lang w:val="en-US"/>
        </w:rPr>
        <w:t>J. Mater. Chem</w:t>
      </w:r>
      <w:r w:rsidR="0072720F" w:rsidRPr="0072720F">
        <w:rPr>
          <w:lang w:val="en-US"/>
        </w:rPr>
        <w:t xml:space="preserve">. </w:t>
      </w:r>
      <w:r w:rsidR="0072720F" w:rsidRPr="0072720F">
        <w:rPr>
          <w:b/>
          <w:lang w:val="en-US"/>
        </w:rPr>
        <w:t>2012</w:t>
      </w:r>
      <w:r w:rsidR="0072720F" w:rsidRPr="0072720F">
        <w:rPr>
          <w:lang w:val="en-US"/>
        </w:rPr>
        <w:t xml:space="preserve">, </w:t>
      </w:r>
      <w:r w:rsidR="0072720F" w:rsidRPr="0072720F">
        <w:rPr>
          <w:i/>
          <w:lang w:val="en-US"/>
        </w:rPr>
        <w:t>22</w:t>
      </w:r>
      <w:r w:rsidR="0072720F" w:rsidRPr="0072720F">
        <w:rPr>
          <w:lang w:val="en-US"/>
        </w:rPr>
        <w:t>, 4575</w:t>
      </w:r>
      <w:r w:rsidR="0072720F">
        <w:rPr>
          <w:lang w:val="en-US"/>
        </w:rPr>
        <w:t>–</w:t>
      </w:r>
      <w:r w:rsidR="0072720F" w:rsidRPr="0072720F">
        <w:rPr>
          <w:lang w:val="en-US"/>
        </w:rPr>
        <w:t xml:space="preserve">4587; f) D. M. </w:t>
      </w:r>
      <w:r w:rsidR="0072720F" w:rsidRPr="0072720F">
        <w:rPr>
          <w:lang w:val="pl-PL"/>
        </w:rPr>
        <w:t xml:space="preserve">Guldi, G. M. A. Rahman, F. Zerbetto, M. Prato, </w:t>
      </w:r>
      <w:r w:rsidR="0072720F" w:rsidRPr="0072720F">
        <w:rPr>
          <w:i/>
          <w:lang w:val="pl-PL"/>
        </w:rPr>
        <w:t>Acc. Chem. Res</w:t>
      </w:r>
      <w:r w:rsidR="0072720F" w:rsidRPr="0072720F">
        <w:rPr>
          <w:lang w:val="pl-PL"/>
        </w:rPr>
        <w:t xml:space="preserve">. </w:t>
      </w:r>
      <w:r w:rsidR="0072720F" w:rsidRPr="0072720F">
        <w:rPr>
          <w:b/>
          <w:lang w:val="pl-PL"/>
        </w:rPr>
        <w:t>2005</w:t>
      </w:r>
      <w:r w:rsidR="0072720F" w:rsidRPr="0072720F">
        <w:rPr>
          <w:lang w:val="pl-PL"/>
        </w:rPr>
        <w:t xml:space="preserve">, </w:t>
      </w:r>
      <w:r w:rsidR="0072720F" w:rsidRPr="0072720F">
        <w:rPr>
          <w:i/>
          <w:lang w:val="pl-PL"/>
        </w:rPr>
        <w:t>38</w:t>
      </w:r>
      <w:r w:rsidR="0072720F" w:rsidRPr="0072720F">
        <w:rPr>
          <w:lang w:val="pl-PL"/>
        </w:rPr>
        <w:t>, 871</w:t>
      </w:r>
      <w:r w:rsidR="0072720F">
        <w:rPr>
          <w:lang w:val="pl-PL"/>
        </w:rPr>
        <w:t>–</w:t>
      </w:r>
      <w:r w:rsidR="0072720F" w:rsidRPr="0072720F">
        <w:rPr>
          <w:lang w:val="pl-PL"/>
        </w:rPr>
        <w:t xml:space="preserve">878; g) L. </w:t>
      </w:r>
      <w:r w:rsidR="0072720F" w:rsidRPr="0072720F">
        <w:rPr>
          <w:lang w:val="en-US"/>
        </w:rPr>
        <w:t xml:space="preserve">Sanchez, N. Martín, D. M. Guldi, </w:t>
      </w:r>
      <w:r w:rsidR="0072720F" w:rsidRPr="0072720F">
        <w:rPr>
          <w:i/>
          <w:iCs/>
          <w:lang w:val="en-US"/>
        </w:rPr>
        <w:t>Angew. Chem.</w:t>
      </w:r>
      <w:r w:rsidR="0072720F" w:rsidRPr="0072720F">
        <w:rPr>
          <w:lang w:val="en-US"/>
        </w:rPr>
        <w:t xml:space="preserve">, </w:t>
      </w:r>
      <w:r w:rsidR="0072720F" w:rsidRPr="0072720F">
        <w:rPr>
          <w:i/>
          <w:iCs/>
          <w:lang w:val="en-US"/>
        </w:rPr>
        <w:t>Int. Ed</w:t>
      </w:r>
      <w:r w:rsidR="0072720F" w:rsidRPr="0072720F">
        <w:rPr>
          <w:lang w:val="en-US"/>
        </w:rPr>
        <w:t xml:space="preserve">. </w:t>
      </w:r>
      <w:r w:rsidR="0072720F" w:rsidRPr="0072720F">
        <w:rPr>
          <w:b/>
          <w:bCs/>
          <w:lang w:val="en-US"/>
        </w:rPr>
        <w:t>2005</w:t>
      </w:r>
      <w:r w:rsidR="0072720F" w:rsidRPr="0072720F">
        <w:rPr>
          <w:lang w:val="en-US"/>
        </w:rPr>
        <w:t xml:space="preserve">, </w:t>
      </w:r>
      <w:r w:rsidR="0072720F" w:rsidRPr="0072720F">
        <w:rPr>
          <w:i/>
          <w:iCs/>
          <w:lang w:val="en-US"/>
        </w:rPr>
        <w:t>44</w:t>
      </w:r>
      <w:r w:rsidR="0072720F" w:rsidRPr="0072720F">
        <w:rPr>
          <w:lang w:val="en-US"/>
        </w:rPr>
        <w:t>, 5374</w:t>
      </w:r>
      <w:r w:rsidR="0072720F">
        <w:rPr>
          <w:lang w:val="en-US"/>
        </w:rPr>
        <w:t>–</w:t>
      </w:r>
      <w:r w:rsidR="0072720F" w:rsidRPr="0072720F">
        <w:rPr>
          <w:lang w:val="en-US"/>
        </w:rPr>
        <w:t xml:space="preserve">5382; h) S. </w:t>
      </w:r>
      <w:r w:rsidR="0072720F">
        <w:rPr>
          <w:lang w:val="es-ES"/>
        </w:rPr>
        <w:t>Fukuzumi,</w:t>
      </w:r>
      <w:r w:rsidR="0072720F" w:rsidRPr="0072720F">
        <w:rPr>
          <w:lang w:val="es-ES"/>
        </w:rPr>
        <w:t xml:space="preserve"> </w:t>
      </w:r>
      <w:r w:rsidR="0072720F" w:rsidRPr="0072720F">
        <w:rPr>
          <w:i/>
          <w:lang w:val="es-ES"/>
        </w:rPr>
        <w:t>Phys. Chem. Chem. Phys</w:t>
      </w:r>
      <w:r w:rsidR="0072720F" w:rsidRPr="0072720F">
        <w:rPr>
          <w:lang w:val="es-ES"/>
        </w:rPr>
        <w:t xml:space="preserve">. </w:t>
      </w:r>
      <w:r w:rsidR="0072720F" w:rsidRPr="0072720F">
        <w:rPr>
          <w:b/>
          <w:lang w:val="es-ES"/>
        </w:rPr>
        <w:t>2008</w:t>
      </w:r>
      <w:r w:rsidR="0072720F" w:rsidRPr="0072720F">
        <w:rPr>
          <w:lang w:val="es-ES"/>
        </w:rPr>
        <w:t xml:space="preserve">, </w:t>
      </w:r>
      <w:r w:rsidR="0072720F" w:rsidRPr="0072720F">
        <w:rPr>
          <w:i/>
          <w:lang w:val="es-ES"/>
        </w:rPr>
        <w:t>10</w:t>
      </w:r>
      <w:r w:rsidR="0072720F" w:rsidRPr="0072720F">
        <w:rPr>
          <w:lang w:val="es-ES"/>
        </w:rPr>
        <w:t>, 2283</w:t>
      </w:r>
      <w:r w:rsidR="0072720F">
        <w:rPr>
          <w:lang w:val="es-ES"/>
        </w:rPr>
        <w:t>–</w:t>
      </w:r>
      <w:r w:rsidR="0072720F" w:rsidRPr="0072720F">
        <w:rPr>
          <w:lang w:val="es-ES"/>
        </w:rPr>
        <w:t xml:space="preserve">2297; i) M. E. </w:t>
      </w:r>
      <w:r w:rsidR="0072720F" w:rsidRPr="0072720F">
        <w:rPr>
          <w:lang w:val="en-US"/>
        </w:rPr>
        <w:t xml:space="preserve">El-Khouly, O. Ito, P. M.  Smith, F.  D’Souza, </w:t>
      </w:r>
      <w:r w:rsidR="0072720F" w:rsidRPr="0072720F">
        <w:rPr>
          <w:i/>
          <w:iCs/>
          <w:lang w:val="en-US"/>
        </w:rPr>
        <w:t>J.</w:t>
      </w:r>
      <w:r w:rsidR="0072720F" w:rsidRPr="0072720F">
        <w:rPr>
          <w:lang w:val="en-US"/>
        </w:rPr>
        <w:t xml:space="preserve"> </w:t>
      </w:r>
      <w:r w:rsidR="0072720F" w:rsidRPr="0072720F">
        <w:rPr>
          <w:i/>
          <w:iCs/>
          <w:lang w:val="en-US"/>
        </w:rPr>
        <w:t xml:space="preserve">Photochem. Photobiol. C </w:t>
      </w:r>
      <w:r w:rsidR="0072720F" w:rsidRPr="0072720F">
        <w:rPr>
          <w:b/>
          <w:bCs/>
          <w:lang w:val="en-US"/>
        </w:rPr>
        <w:t>2004</w:t>
      </w:r>
      <w:r w:rsidR="0072720F" w:rsidRPr="0072720F">
        <w:rPr>
          <w:lang w:val="en-US"/>
        </w:rPr>
        <w:t xml:space="preserve">, </w:t>
      </w:r>
      <w:r w:rsidR="0072720F" w:rsidRPr="0072720F">
        <w:rPr>
          <w:i/>
          <w:iCs/>
          <w:lang w:val="en-US"/>
        </w:rPr>
        <w:t>5</w:t>
      </w:r>
      <w:r w:rsidR="0072720F" w:rsidRPr="0072720F">
        <w:rPr>
          <w:lang w:val="en-US"/>
        </w:rPr>
        <w:t>, 79</w:t>
      </w:r>
      <w:r w:rsidR="0072720F">
        <w:rPr>
          <w:lang w:val="en-US"/>
        </w:rPr>
        <w:t>–</w:t>
      </w:r>
      <w:r w:rsidR="0072720F" w:rsidRPr="0072720F">
        <w:rPr>
          <w:lang w:val="en-US"/>
        </w:rPr>
        <w:t xml:space="preserve">104; </w:t>
      </w:r>
      <w:r w:rsidR="0072720F" w:rsidRPr="0072720F">
        <w:rPr>
          <w:lang w:val="pl-PL"/>
        </w:rPr>
        <w:t xml:space="preserve">j) S. Fukuzumi, K. Ohkubo, F. D’Souza, J. L. Sessler, </w:t>
      </w:r>
      <w:r w:rsidR="0072720F" w:rsidRPr="0072720F">
        <w:rPr>
          <w:i/>
          <w:lang w:val="pl-PL"/>
        </w:rPr>
        <w:t>Chem. Commun</w:t>
      </w:r>
      <w:r w:rsidR="0072720F" w:rsidRPr="0072720F">
        <w:rPr>
          <w:lang w:val="pl-PL"/>
        </w:rPr>
        <w:t xml:space="preserve">. </w:t>
      </w:r>
      <w:r w:rsidR="0072720F" w:rsidRPr="0072720F">
        <w:rPr>
          <w:b/>
          <w:lang w:val="pl-PL"/>
        </w:rPr>
        <w:t>2012</w:t>
      </w:r>
      <w:r w:rsidR="0072720F" w:rsidRPr="0072720F">
        <w:rPr>
          <w:lang w:val="pl-PL"/>
        </w:rPr>
        <w:t xml:space="preserve">, </w:t>
      </w:r>
      <w:r w:rsidR="0072720F" w:rsidRPr="0072720F">
        <w:rPr>
          <w:i/>
          <w:lang w:val="pl-PL"/>
        </w:rPr>
        <w:t>48</w:t>
      </w:r>
      <w:r w:rsidR="0072720F" w:rsidRPr="0072720F">
        <w:rPr>
          <w:lang w:val="pl-PL"/>
        </w:rPr>
        <w:t>, 9801</w:t>
      </w:r>
      <w:r w:rsidR="0072720F">
        <w:rPr>
          <w:lang w:val="pl-PL"/>
        </w:rPr>
        <w:t>–</w:t>
      </w:r>
      <w:r w:rsidR="0072720F" w:rsidRPr="0072720F">
        <w:rPr>
          <w:lang w:val="pl-PL"/>
        </w:rPr>
        <w:t>9815.</w:t>
      </w:r>
      <w:r w:rsidR="0072720F" w:rsidRPr="0072720F">
        <w:rPr>
          <w:lang w:val="de-DE"/>
        </w:rPr>
        <w:t xml:space="preserve"> </w:t>
      </w:r>
    </w:p>
    <w:p w:rsidR="0072720F" w:rsidRPr="0072720F" w:rsidRDefault="0072720F" w:rsidP="00D672E6">
      <w:pPr>
        <w:pStyle w:val="References"/>
        <w:rPr>
          <w:lang w:val="de-DE"/>
        </w:rPr>
      </w:pPr>
      <w:r>
        <w:rPr>
          <w:lang w:val="de-DE"/>
        </w:rPr>
        <w:t xml:space="preserve">[3] </w:t>
      </w:r>
      <w:r>
        <w:rPr>
          <w:lang w:val="de-DE"/>
        </w:rPr>
        <w:tab/>
      </w:r>
      <w:r w:rsidRPr="0072720F">
        <w:rPr>
          <w:i/>
          <w:iCs/>
          <w:lang w:val="en-US"/>
        </w:rPr>
        <w:t>The Porphyrin Handbook</w:t>
      </w:r>
      <w:r w:rsidRPr="0072720F">
        <w:rPr>
          <w:lang w:val="en-US"/>
        </w:rPr>
        <w:t>; (Eds.: K. M. Kadish, K. M. Smith, R. Guilard), Academic Press: San Diego, CA, 2000; Vol. 1-20.</w:t>
      </w:r>
    </w:p>
    <w:p w:rsidR="0072720F" w:rsidRPr="0072720F" w:rsidRDefault="0072720F" w:rsidP="00B9405F">
      <w:pPr>
        <w:pStyle w:val="References"/>
      </w:pPr>
      <w:r w:rsidRPr="0072720F">
        <w:t xml:space="preserve">[4] </w:t>
      </w:r>
      <w:r>
        <w:tab/>
      </w:r>
      <w:r w:rsidRPr="0072720F">
        <w:t xml:space="preserve">a) </w:t>
      </w:r>
      <w:r w:rsidRPr="0072720F">
        <w:rPr>
          <w:i/>
        </w:rPr>
        <w:t>Phthalocyanine: Properties and Applications</w:t>
      </w:r>
      <w:r w:rsidRPr="0072720F">
        <w:t xml:space="preserve">; (Eds.: C. C. Leznoff, A. B. P. Lever), VCH: New York, 1993; b) G. Bottaria, O. Trukhinaa, M. Incea, T. Torres </w:t>
      </w:r>
      <w:r w:rsidRPr="0072720F">
        <w:rPr>
          <w:i/>
        </w:rPr>
        <w:t>Coord. Chem. Rev.</w:t>
      </w:r>
      <w:r w:rsidRPr="0072720F">
        <w:t xml:space="preserve"> </w:t>
      </w:r>
      <w:r w:rsidRPr="0072720F">
        <w:rPr>
          <w:b/>
        </w:rPr>
        <w:t>2012</w:t>
      </w:r>
      <w:r w:rsidRPr="0072720F">
        <w:t xml:space="preserve">, </w:t>
      </w:r>
      <w:r w:rsidRPr="0072720F">
        <w:rPr>
          <w:i/>
        </w:rPr>
        <w:t>256</w:t>
      </w:r>
      <w:r w:rsidR="00B9405F">
        <w:t>, 2453–</w:t>
      </w:r>
      <w:r w:rsidRPr="0072720F">
        <w:t xml:space="preserve">2477. c) A. Satake, Y. Kobuke </w:t>
      </w:r>
      <w:r w:rsidRPr="0072720F">
        <w:rPr>
          <w:i/>
        </w:rPr>
        <w:t>Org. Biomol. Chem</w:t>
      </w:r>
      <w:r w:rsidRPr="0072720F">
        <w:t xml:space="preserve">. </w:t>
      </w:r>
      <w:r w:rsidRPr="0072720F">
        <w:rPr>
          <w:b/>
        </w:rPr>
        <w:t>2007</w:t>
      </w:r>
      <w:r w:rsidRPr="0072720F">
        <w:t xml:space="preserve">, </w:t>
      </w:r>
      <w:r w:rsidRPr="0072720F">
        <w:rPr>
          <w:i/>
        </w:rPr>
        <w:t>5</w:t>
      </w:r>
      <w:r w:rsidR="00B9405F">
        <w:t>, 1679–</w:t>
      </w:r>
      <w:r w:rsidRPr="0072720F">
        <w:t>1691.</w:t>
      </w:r>
    </w:p>
    <w:p w:rsidR="0072720F" w:rsidRPr="0072720F" w:rsidRDefault="0072720F" w:rsidP="00B9405F">
      <w:pPr>
        <w:pStyle w:val="References"/>
      </w:pPr>
      <w:r w:rsidRPr="0072720F">
        <w:t xml:space="preserve">[5] </w:t>
      </w:r>
      <w:r>
        <w:tab/>
      </w:r>
      <w:r w:rsidRPr="0072720F">
        <w:t xml:space="preserve">a) F. D'Souza, R. Chitta, K. Ohkubo, M. Tasior, N. K. Subbaiyan, M. E. Zandler, M. K. Rogacki, D. T. Gryko, S. Fukuzumi, </w:t>
      </w:r>
      <w:r w:rsidRPr="0072720F">
        <w:rPr>
          <w:i/>
        </w:rPr>
        <w:t>J. Am. Chem. Soc</w:t>
      </w:r>
      <w:r w:rsidRPr="0072720F">
        <w:t xml:space="preserve">. </w:t>
      </w:r>
      <w:r w:rsidRPr="0072720F">
        <w:rPr>
          <w:b/>
        </w:rPr>
        <w:t>2008</w:t>
      </w:r>
      <w:r w:rsidRPr="0072720F">
        <w:t xml:space="preserve">, </w:t>
      </w:r>
      <w:r w:rsidRPr="0072720F">
        <w:rPr>
          <w:i/>
        </w:rPr>
        <w:t>130</w:t>
      </w:r>
      <w:r w:rsidR="00B9405F">
        <w:t>, 14263–</w:t>
      </w:r>
      <w:r w:rsidRPr="0072720F">
        <w:t xml:space="preserve">14272; b) G. Rotas, G. Chralambidis, L. Glatzl, D. T. Gryko, A. Kahnt, A. G. Coutsolelos, N. Tagmatarchis, </w:t>
      </w:r>
      <w:r w:rsidRPr="0072720F">
        <w:rPr>
          <w:i/>
        </w:rPr>
        <w:t>Chem. Commun</w:t>
      </w:r>
      <w:r w:rsidRPr="0072720F">
        <w:t xml:space="preserve">. </w:t>
      </w:r>
      <w:r w:rsidRPr="0072720F">
        <w:rPr>
          <w:b/>
        </w:rPr>
        <w:t>2013</w:t>
      </w:r>
      <w:r w:rsidRPr="0072720F">
        <w:t xml:space="preserve">, </w:t>
      </w:r>
      <w:r w:rsidRPr="0072720F">
        <w:rPr>
          <w:i/>
        </w:rPr>
        <w:t>49</w:t>
      </w:r>
      <w:r w:rsidR="00B9405F">
        <w:t xml:space="preserve">, 9128 </w:t>
      </w:r>
      <w:r w:rsidRPr="0072720F">
        <w:t xml:space="preserve">9130; c) B. Liu, L.Hongyun, C. Xiaofang, B. Wenting, R. Lipiao, M. Rudolf, F. Plass, L. Fan, X. Lu, D. M. Guldi, </w:t>
      </w:r>
      <w:r w:rsidRPr="0072720F">
        <w:rPr>
          <w:i/>
        </w:rPr>
        <w:t>Chem. Eur. J</w:t>
      </w:r>
      <w:r w:rsidRPr="0072720F">
        <w:t xml:space="preserve">. </w:t>
      </w:r>
      <w:r w:rsidRPr="0072720F">
        <w:rPr>
          <w:b/>
        </w:rPr>
        <w:t>2015</w:t>
      </w:r>
      <w:r w:rsidRPr="0072720F">
        <w:t xml:space="preserve">, </w:t>
      </w:r>
      <w:r w:rsidRPr="0072720F">
        <w:rPr>
          <w:i/>
        </w:rPr>
        <w:t>21</w:t>
      </w:r>
      <w:r w:rsidRPr="0072720F">
        <w:t>, 746</w:t>
      </w:r>
      <w:r w:rsidR="00CD7FE9">
        <w:t>–</w:t>
      </w:r>
      <w:r w:rsidRPr="0072720F">
        <w:t xml:space="preserve">752; d) C. Li, J. Zhang, Z. Xiujun, Y. Zhou, D. Sun, P. Cheng, B. Zhang, Y. Feng, </w:t>
      </w:r>
      <w:r w:rsidRPr="0072720F">
        <w:rPr>
          <w:i/>
        </w:rPr>
        <w:t>RSC Advances</w:t>
      </w:r>
      <w:r w:rsidRPr="0072720F">
        <w:t xml:space="preserve">, </w:t>
      </w:r>
      <w:r w:rsidRPr="0072720F">
        <w:rPr>
          <w:b/>
        </w:rPr>
        <w:t>2014</w:t>
      </w:r>
      <w:r w:rsidRPr="0072720F">
        <w:t xml:space="preserve">, </w:t>
      </w:r>
      <w:r w:rsidRPr="0072720F">
        <w:rPr>
          <w:i/>
        </w:rPr>
        <w:t>4</w:t>
      </w:r>
      <w:r w:rsidR="00B9405F">
        <w:t>, 40758–</w:t>
      </w:r>
      <w:r w:rsidRPr="0072720F">
        <w:t xml:space="preserve">40762; e) Y. Wang, Z. Wang, X. Guo, R. Cui, X. Gai, S. Yang, F. Chang, J. Dong, B. Sun, </w:t>
      </w:r>
      <w:r w:rsidRPr="0072720F">
        <w:rPr>
          <w:i/>
        </w:rPr>
        <w:t>J. Nanoscience Nanotech</w:t>
      </w:r>
      <w:r w:rsidRPr="0072720F">
        <w:t xml:space="preserve">. </w:t>
      </w:r>
      <w:r w:rsidRPr="0072720F">
        <w:rPr>
          <w:b/>
        </w:rPr>
        <w:t>2014</w:t>
      </w:r>
      <w:r w:rsidRPr="0072720F">
        <w:t xml:space="preserve">, </w:t>
      </w:r>
      <w:r w:rsidRPr="0072720F">
        <w:rPr>
          <w:i/>
        </w:rPr>
        <w:t>14</w:t>
      </w:r>
      <w:r w:rsidRPr="0072720F">
        <w:t>, 5370</w:t>
      </w:r>
      <w:r w:rsidR="00CD7FE9">
        <w:t>–</w:t>
      </w:r>
      <w:r w:rsidRPr="0072720F">
        <w:t xml:space="preserve">5374; f) B. Bursa, D. Wrobel, K. Lewandowska, A. Graja, M. Grzybowski, D. T. Gryko, </w:t>
      </w:r>
      <w:r w:rsidRPr="0072720F">
        <w:rPr>
          <w:i/>
        </w:rPr>
        <w:t>Synthetic Metals</w:t>
      </w:r>
      <w:r w:rsidRPr="0072720F">
        <w:t xml:space="preserve">, </w:t>
      </w:r>
      <w:r w:rsidRPr="0072720F">
        <w:rPr>
          <w:b/>
        </w:rPr>
        <w:t>2013</w:t>
      </w:r>
      <w:r w:rsidRPr="0072720F">
        <w:t xml:space="preserve">, </w:t>
      </w:r>
      <w:r w:rsidRPr="0072720F">
        <w:rPr>
          <w:i/>
        </w:rPr>
        <w:t>176</w:t>
      </w:r>
      <w:r w:rsidR="00B9405F">
        <w:t>, 18–</w:t>
      </w:r>
      <w:r w:rsidRPr="0072720F">
        <w:t xml:space="preserve">25; g) K. Lewandowska, B. Barszca, J. Wolak, A. Graja, M. Grzybowski, D. T. Gryko, </w:t>
      </w:r>
      <w:r w:rsidRPr="0072720F">
        <w:rPr>
          <w:i/>
        </w:rPr>
        <w:t>Dye and Pigments</w:t>
      </w:r>
      <w:r w:rsidRPr="0072720F">
        <w:t xml:space="preserve"> </w:t>
      </w:r>
      <w:r w:rsidRPr="0072720F">
        <w:rPr>
          <w:b/>
        </w:rPr>
        <w:t>2013</w:t>
      </w:r>
      <w:r w:rsidRPr="0072720F">
        <w:t xml:space="preserve">, </w:t>
      </w:r>
      <w:r w:rsidRPr="0072720F">
        <w:rPr>
          <w:i/>
        </w:rPr>
        <w:t>96</w:t>
      </w:r>
      <w:r w:rsidR="00B9405F">
        <w:t>, 249–</w:t>
      </w:r>
      <w:r w:rsidRPr="0072720F">
        <w:t xml:space="preserve">255; h) K. Sudhakar, S. Gokulnath, L. Giribabu, G. N. Lim, T. Tram, F. D’Souza, </w:t>
      </w:r>
      <w:r w:rsidRPr="0072720F">
        <w:rPr>
          <w:i/>
        </w:rPr>
        <w:t>Chem. Asian J.</w:t>
      </w:r>
      <w:r w:rsidRPr="0072720F">
        <w:t xml:space="preserve"> </w:t>
      </w:r>
      <w:r w:rsidRPr="0072720F">
        <w:rPr>
          <w:b/>
        </w:rPr>
        <w:t>2015</w:t>
      </w:r>
      <w:r w:rsidRPr="0072720F">
        <w:t xml:space="preserve">, in press; i) V. Nikolaou, K. Karikis, Y. Farre, G. Charalambidis, F. Odobel, A. G. Coutsolelos, </w:t>
      </w:r>
      <w:r w:rsidRPr="0072720F">
        <w:rPr>
          <w:i/>
        </w:rPr>
        <w:t>Dalton Trans</w:t>
      </w:r>
      <w:r w:rsidRPr="0072720F">
        <w:t xml:space="preserve">. </w:t>
      </w:r>
      <w:r w:rsidRPr="0072720F">
        <w:rPr>
          <w:b/>
        </w:rPr>
        <w:t>2015</w:t>
      </w:r>
      <w:r w:rsidRPr="0072720F">
        <w:t xml:space="preserve">, </w:t>
      </w:r>
      <w:r w:rsidRPr="0072720F">
        <w:rPr>
          <w:i/>
        </w:rPr>
        <w:t>44</w:t>
      </w:r>
      <w:r w:rsidR="00B9405F">
        <w:t>, 13473–</w:t>
      </w:r>
      <w:r w:rsidRPr="0072720F">
        <w:t xml:space="preserve">13479; j) H. L. Buckley, L. K. Rubin, M. Chrominski, B. J. McNicholas, K. H. Y. Tsen, D. T. Gryko, J. Arnold, </w:t>
      </w:r>
      <w:r w:rsidRPr="0072720F">
        <w:rPr>
          <w:i/>
        </w:rPr>
        <w:t>Inorg. Chem</w:t>
      </w:r>
      <w:r w:rsidRPr="0072720F">
        <w:t xml:space="preserve">. </w:t>
      </w:r>
      <w:r w:rsidRPr="0072720F">
        <w:rPr>
          <w:b/>
        </w:rPr>
        <w:t>2014</w:t>
      </w:r>
      <w:r w:rsidRPr="0072720F">
        <w:t xml:space="preserve">, </w:t>
      </w:r>
      <w:r w:rsidRPr="0072720F">
        <w:rPr>
          <w:i/>
        </w:rPr>
        <w:t>53</w:t>
      </w:r>
      <w:r w:rsidRPr="0072720F">
        <w:t>, 7941</w:t>
      </w:r>
      <w:r w:rsidR="00CD7FE9">
        <w:t>–</w:t>
      </w:r>
      <w:r w:rsidRPr="0072720F">
        <w:t>7950.</w:t>
      </w:r>
    </w:p>
    <w:p w:rsidR="0072720F" w:rsidRPr="0072720F" w:rsidRDefault="0072720F" w:rsidP="00B9405F">
      <w:pPr>
        <w:pStyle w:val="References"/>
      </w:pPr>
      <w:r w:rsidRPr="0072720F">
        <w:t>[6]</w:t>
      </w:r>
      <w:r>
        <w:tab/>
      </w:r>
      <w:r w:rsidRPr="0072720F">
        <w:t xml:space="preserve"> a) N. Kobayashi, R. Kondo, S. Nakajima, T. Osa, </w:t>
      </w:r>
      <w:r w:rsidRPr="0072720F">
        <w:rPr>
          <w:i/>
        </w:rPr>
        <w:t>J. Am. Chem. Soc</w:t>
      </w:r>
      <w:r w:rsidRPr="0072720F">
        <w:t xml:space="preserve">. </w:t>
      </w:r>
      <w:r w:rsidRPr="0072720F">
        <w:rPr>
          <w:b/>
        </w:rPr>
        <w:t>1990</w:t>
      </w:r>
      <w:r w:rsidRPr="0072720F">
        <w:t xml:space="preserve">, </w:t>
      </w:r>
      <w:r w:rsidRPr="0072720F">
        <w:rPr>
          <w:i/>
        </w:rPr>
        <w:t>112</w:t>
      </w:r>
      <w:r w:rsidRPr="0072720F">
        <w:t>, 9640</w:t>
      </w:r>
      <w:r w:rsidR="00CD7FE9">
        <w:t>–</w:t>
      </w:r>
      <w:r w:rsidRPr="0072720F">
        <w:t xml:space="preserve">9641; b) C. G. Claessens, D. González-Rodriguez, M. S. Rodriguez-Morgade, A. Medina, T. Torres, </w:t>
      </w:r>
      <w:r w:rsidRPr="0072720F">
        <w:rPr>
          <w:i/>
        </w:rPr>
        <w:t>Chem. Rev.</w:t>
      </w:r>
      <w:r w:rsidRPr="0072720F">
        <w:t xml:space="preserve"> </w:t>
      </w:r>
      <w:r w:rsidRPr="0072720F">
        <w:rPr>
          <w:b/>
        </w:rPr>
        <w:t>2014</w:t>
      </w:r>
      <w:r w:rsidRPr="0072720F">
        <w:t xml:space="preserve">, </w:t>
      </w:r>
      <w:r w:rsidRPr="0072720F">
        <w:rPr>
          <w:i/>
        </w:rPr>
        <w:t>114</w:t>
      </w:r>
      <w:r w:rsidRPr="0072720F">
        <w:t>, 2192</w:t>
      </w:r>
      <w:r w:rsidR="00CD7FE9">
        <w:t>–</w:t>
      </w:r>
      <w:r w:rsidRPr="0072720F">
        <w:t xml:space="preserve">2277; c) C. B. KC, G. N. Lim, F. D'Souza, </w:t>
      </w:r>
      <w:r w:rsidRPr="0072720F">
        <w:rPr>
          <w:i/>
        </w:rPr>
        <w:t>Angew. Chem. Int. Ed</w:t>
      </w:r>
      <w:r w:rsidRPr="0072720F">
        <w:t xml:space="preserve">. </w:t>
      </w:r>
      <w:r w:rsidRPr="0072720F">
        <w:rPr>
          <w:b/>
        </w:rPr>
        <w:t>2015</w:t>
      </w:r>
      <w:r w:rsidRPr="0072720F">
        <w:t xml:space="preserve">, </w:t>
      </w:r>
      <w:r w:rsidRPr="0072720F">
        <w:rPr>
          <w:i/>
        </w:rPr>
        <w:t>54</w:t>
      </w:r>
      <w:r w:rsidRPr="0072720F">
        <w:t>, 5088</w:t>
      </w:r>
      <w:r w:rsidR="00CD7FE9">
        <w:t>–</w:t>
      </w:r>
      <w:r w:rsidRPr="0072720F">
        <w:t xml:space="preserve">5092; d) M. Rudolf, O. Trukhina, J. Perles, L. Feng, T. Akasaka, T. Torres, D. M. Guldi, </w:t>
      </w:r>
      <w:r w:rsidRPr="0072720F">
        <w:rPr>
          <w:i/>
        </w:rPr>
        <w:t>Chem. Sci</w:t>
      </w:r>
      <w:r w:rsidRPr="0072720F">
        <w:t xml:space="preserve">. </w:t>
      </w:r>
      <w:r w:rsidRPr="0072720F">
        <w:rPr>
          <w:b/>
        </w:rPr>
        <w:t>2015</w:t>
      </w:r>
      <w:r w:rsidRPr="0072720F">
        <w:t xml:space="preserve">, </w:t>
      </w:r>
      <w:r w:rsidRPr="0072720F">
        <w:rPr>
          <w:i/>
        </w:rPr>
        <w:t>6</w:t>
      </w:r>
      <w:r w:rsidRPr="0072720F">
        <w:t>, 4141</w:t>
      </w:r>
      <w:r w:rsidR="00CD7FE9">
        <w:t>–</w:t>
      </w:r>
      <w:r w:rsidRPr="0072720F">
        <w:t>4147.</w:t>
      </w:r>
    </w:p>
    <w:p w:rsidR="0072720F" w:rsidRPr="0072720F" w:rsidRDefault="0072720F" w:rsidP="00B9405F">
      <w:pPr>
        <w:pStyle w:val="References"/>
      </w:pPr>
      <w:r w:rsidRPr="0072720F">
        <w:t xml:space="preserve">[7] </w:t>
      </w:r>
      <w:r>
        <w:tab/>
      </w:r>
      <w:r w:rsidRPr="0072720F">
        <w:t xml:space="preserve">a) G. Ulrich, R. Ziessel, A. Harriman, </w:t>
      </w:r>
      <w:r w:rsidRPr="0072720F">
        <w:rPr>
          <w:i/>
        </w:rPr>
        <w:t>Angew. Chem. Int. Ed</w:t>
      </w:r>
      <w:r w:rsidRPr="0072720F">
        <w:t xml:space="preserve">. </w:t>
      </w:r>
      <w:r w:rsidRPr="0072720F">
        <w:rPr>
          <w:b/>
        </w:rPr>
        <w:t>2008</w:t>
      </w:r>
      <w:r w:rsidRPr="0072720F">
        <w:t xml:space="preserve">, </w:t>
      </w:r>
      <w:r w:rsidRPr="0072720F">
        <w:rPr>
          <w:i/>
        </w:rPr>
        <w:t>47,</w:t>
      </w:r>
      <w:r w:rsidRPr="0072720F">
        <w:t xml:space="preserve"> 1184</w:t>
      </w:r>
      <w:r w:rsidR="00CD7FE9">
        <w:t>–</w:t>
      </w:r>
      <w:r w:rsidRPr="0072720F">
        <w:t xml:space="preserve">1201; b) M. El-Khouly, S. Fukuzumi, F. D’Souza, </w:t>
      </w:r>
      <w:r w:rsidRPr="0072720F">
        <w:rPr>
          <w:i/>
        </w:rPr>
        <w:t>ChemPhysChem</w:t>
      </w:r>
      <w:r w:rsidRPr="0072720F">
        <w:t xml:space="preserve"> </w:t>
      </w:r>
      <w:r w:rsidRPr="0072720F">
        <w:rPr>
          <w:b/>
        </w:rPr>
        <w:t>2014</w:t>
      </w:r>
      <w:r w:rsidRPr="0072720F">
        <w:t xml:space="preserve">, </w:t>
      </w:r>
      <w:r w:rsidRPr="0072720F">
        <w:rPr>
          <w:i/>
        </w:rPr>
        <w:t>15,</w:t>
      </w:r>
      <w:r w:rsidRPr="0072720F">
        <w:t xml:space="preserve"> 30</w:t>
      </w:r>
      <w:r w:rsidR="00CD7FE9">
        <w:t>–</w:t>
      </w:r>
      <w:r w:rsidRPr="0072720F">
        <w:t xml:space="preserve">47; c) J.-Y. Liu, Y. Huang, R. Menting, B. Röder, E. A. Ermilov, D. K. P. Ng </w:t>
      </w:r>
      <w:r w:rsidRPr="0072720F">
        <w:rPr>
          <w:i/>
        </w:rPr>
        <w:t>Chem. Commun</w:t>
      </w:r>
      <w:r w:rsidRPr="0072720F">
        <w:t xml:space="preserve">. </w:t>
      </w:r>
      <w:r w:rsidRPr="0072720F">
        <w:rPr>
          <w:b/>
        </w:rPr>
        <w:t>2013</w:t>
      </w:r>
      <w:r w:rsidRPr="0072720F">
        <w:t xml:space="preserve">, </w:t>
      </w:r>
      <w:r w:rsidRPr="0072720F">
        <w:rPr>
          <w:i/>
        </w:rPr>
        <w:t>49</w:t>
      </w:r>
      <w:r w:rsidRPr="0072720F">
        <w:t>, 2998</w:t>
      </w:r>
      <w:r w:rsidR="00CD7FE9">
        <w:t>–</w:t>
      </w:r>
      <w:r w:rsidRPr="0072720F">
        <w:t xml:space="preserve">3000; d) C. B. KC, G. N. Lim, V. N. Nesterov, P. A. Karr, F. D'Souza, </w:t>
      </w:r>
      <w:r w:rsidRPr="0072720F">
        <w:rPr>
          <w:i/>
        </w:rPr>
        <w:t>Chem. Eur. J.</w:t>
      </w:r>
      <w:r w:rsidRPr="0072720F">
        <w:t xml:space="preserve"> </w:t>
      </w:r>
      <w:r w:rsidRPr="0072720F">
        <w:rPr>
          <w:b/>
        </w:rPr>
        <w:t xml:space="preserve">2014, </w:t>
      </w:r>
      <w:r w:rsidRPr="0072720F">
        <w:rPr>
          <w:i/>
        </w:rPr>
        <w:t>20</w:t>
      </w:r>
      <w:r w:rsidRPr="0072720F">
        <w:t>, 17100</w:t>
      </w:r>
      <w:r w:rsidR="00CD7FE9">
        <w:t>–</w:t>
      </w:r>
      <w:r w:rsidRPr="0072720F">
        <w:t>17112.</w:t>
      </w:r>
    </w:p>
    <w:p w:rsidR="0072720F" w:rsidRPr="0072720F" w:rsidRDefault="0072720F" w:rsidP="00B9405F">
      <w:pPr>
        <w:pStyle w:val="References"/>
      </w:pPr>
      <w:r w:rsidRPr="0072720F">
        <w:t>[8]</w:t>
      </w:r>
      <w:r>
        <w:tab/>
      </w:r>
      <w:r w:rsidRPr="0072720F">
        <w:t xml:space="preserve">M. Fujitsuka, </w:t>
      </w:r>
      <w:r w:rsidRPr="0072720F">
        <w:rPr>
          <w:i/>
        </w:rPr>
        <w:t>Chem. Asian J</w:t>
      </w:r>
      <w:r w:rsidRPr="0072720F">
        <w:t xml:space="preserve">. </w:t>
      </w:r>
      <w:r w:rsidRPr="0072720F">
        <w:rPr>
          <w:b/>
        </w:rPr>
        <w:t>2015</w:t>
      </w:r>
      <w:r w:rsidRPr="0072720F">
        <w:t>, in press, DOI: 10.1002/asia.201500649 and referenced cited therein.</w:t>
      </w:r>
    </w:p>
    <w:p w:rsidR="0072720F" w:rsidRPr="0072720F" w:rsidRDefault="0072720F" w:rsidP="00B9405F">
      <w:pPr>
        <w:pStyle w:val="References"/>
      </w:pPr>
      <w:r w:rsidRPr="0072720F">
        <w:t xml:space="preserve">[9] </w:t>
      </w:r>
      <w:r>
        <w:tab/>
      </w:r>
      <w:r w:rsidRPr="0072720F">
        <w:t xml:space="preserve">a) V. </w:t>
      </w:r>
      <w:r w:rsidRPr="0072720F">
        <w:rPr>
          <w:bCs/>
        </w:rPr>
        <w:t xml:space="preserve">Bandi, S. K.  Das, S. G. Awuah, Y. You, F. D’Souza, </w:t>
      </w:r>
      <w:r w:rsidRPr="0072720F">
        <w:rPr>
          <w:bCs/>
          <w:i/>
        </w:rPr>
        <w:t>J. Am. Chem. Soc</w:t>
      </w:r>
      <w:r w:rsidRPr="0072720F">
        <w:rPr>
          <w:bCs/>
        </w:rPr>
        <w:t xml:space="preserve">. </w:t>
      </w:r>
      <w:r w:rsidRPr="0072720F">
        <w:rPr>
          <w:b/>
          <w:bCs/>
        </w:rPr>
        <w:t>2014</w:t>
      </w:r>
      <w:r w:rsidRPr="0072720F">
        <w:rPr>
          <w:bCs/>
        </w:rPr>
        <w:t xml:space="preserve">, </w:t>
      </w:r>
      <w:r w:rsidRPr="0072720F">
        <w:rPr>
          <w:bCs/>
          <w:i/>
        </w:rPr>
        <w:t>136</w:t>
      </w:r>
      <w:r w:rsidRPr="0072720F">
        <w:rPr>
          <w:bCs/>
        </w:rPr>
        <w:t>, 7571</w:t>
      </w:r>
      <w:r w:rsidR="00CD7FE9">
        <w:rPr>
          <w:bCs/>
        </w:rPr>
        <w:t>–</w:t>
      </w:r>
      <w:r w:rsidRPr="0072720F">
        <w:t>7574</w:t>
      </w:r>
      <w:r w:rsidRPr="0072720F">
        <w:rPr>
          <w:bCs/>
        </w:rPr>
        <w:t xml:space="preserve">; b) V. Bandi, H. B. Gobeze, F. D’Souza, </w:t>
      </w:r>
      <w:r w:rsidRPr="0072720F">
        <w:rPr>
          <w:bCs/>
          <w:i/>
        </w:rPr>
        <w:t>Chem. Eur. J</w:t>
      </w:r>
      <w:r w:rsidRPr="0072720F">
        <w:rPr>
          <w:bCs/>
        </w:rPr>
        <w:t xml:space="preserve">. </w:t>
      </w:r>
      <w:r w:rsidRPr="0072720F">
        <w:rPr>
          <w:b/>
          <w:bCs/>
        </w:rPr>
        <w:t>2015</w:t>
      </w:r>
      <w:r w:rsidRPr="0072720F">
        <w:rPr>
          <w:bCs/>
        </w:rPr>
        <w:t xml:space="preserve">, </w:t>
      </w:r>
      <w:r w:rsidRPr="0072720F">
        <w:rPr>
          <w:bCs/>
          <w:i/>
        </w:rPr>
        <w:t>21</w:t>
      </w:r>
      <w:r w:rsidRPr="0072720F">
        <w:rPr>
          <w:bCs/>
        </w:rPr>
        <w:t>, 11483</w:t>
      </w:r>
      <w:r w:rsidR="00CD7FE9">
        <w:rPr>
          <w:bCs/>
        </w:rPr>
        <w:t>–</w:t>
      </w:r>
      <w:r w:rsidRPr="0072720F">
        <w:rPr>
          <w:bCs/>
        </w:rPr>
        <w:t xml:space="preserve">11494; c) </w:t>
      </w:r>
      <w:r w:rsidRPr="0072720F">
        <w:t xml:space="preserve">S. Shao, H. B. Gobeze, P. A. Karr, F. D’Souza, </w:t>
      </w:r>
      <w:r w:rsidRPr="0072720F">
        <w:rPr>
          <w:i/>
        </w:rPr>
        <w:t>Chem. Eur. J.</w:t>
      </w:r>
      <w:r w:rsidRPr="0072720F">
        <w:t xml:space="preserve"> </w:t>
      </w:r>
      <w:r w:rsidRPr="0072720F">
        <w:rPr>
          <w:b/>
        </w:rPr>
        <w:t>2015</w:t>
      </w:r>
      <w:r w:rsidRPr="0072720F">
        <w:t xml:space="preserve"> in press and references cited therein.</w:t>
      </w:r>
    </w:p>
    <w:p w:rsidR="0072720F" w:rsidRPr="0072720F" w:rsidRDefault="0072720F" w:rsidP="00B9405F">
      <w:pPr>
        <w:pStyle w:val="References"/>
      </w:pPr>
      <w:r w:rsidRPr="0072720F">
        <w:t xml:space="preserve">[10] </w:t>
      </w:r>
      <w:r>
        <w:tab/>
      </w:r>
      <w:r w:rsidRPr="0072720F">
        <w:t xml:space="preserve">a) I. Aviv-Harel, Z. Gross, </w:t>
      </w:r>
      <w:r w:rsidRPr="0072720F">
        <w:rPr>
          <w:i/>
        </w:rPr>
        <w:t>Coord. Chem. Rev</w:t>
      </w:r>
      <w:r w:rsidRPr="0072720F">
        <w:t xml:space="preserve">. </w:t>
      </w:r>
      <w:r w:rsidRPr="0072720F">
        <w:rPr>
          <w:b/>
        </w:rPr>
        <w:t>2011</w:t>
      </w:r>
      <w:r w:rsidRPr="0072720F">
        <w:t xml:space="preserve">, </w:t>
      </w:r>
      <w:r w:rsidRPr="0072720F">
        <w:rPr>
          <w:i/>
        </w:rPr>
        <w:t>255</w:t>
      </w:r>
      <w:r w:rsidRPr="0072720F">
        <w:t>, 717</w:t>
      </w:r>
      <w:r w:rsidR="00CD7FE9">
        <w:t>–</w:t>
      </w:r>
      <w:r w:rsidRPr="0072720F">
        <w:t xml:space="preserve">736; b) L. Flamigni, D. T. Gryko, </w:t>
      </w:r>
      <w:r w:rsidRPr="0072720F">
        <w:rPr>
          <w:i/>
        </w:rPr>
        <w:t>Chem. Soc. Rev</w:t>
      </w:r>
      <w:r w:rsidRPr="0072720F">
        <w:t xml:space="preserve">. </w:t>
      </w:r>
      <w:r w:rsidRPr="0072720F">
        <w:rPr>
          <w:b/>
        </w:rPr>
        <w:t>2009</w:t>
      </w:r>
      <w:r w:rsidRPr="0072720F">
        <w:t xml:space="preserve">, </w:t>
      </w:r>
      <w:r w:rsidRPr="0072720F">
        <w:rPr>
          <w:i/>
        </w:rPr>
        <w:t>38</w:t>
      </w:r>
      <w:r w:rsidRPr="0072720F">
        <w:t>, 1635</w:t>
      </w:r>
      <w:r w:rsidR="00CD7FE9">
        <w:t>–</w:t>
      </w:r>
      <w:r w:rsidRPr="0072720F">
        <w:t xml:space="preserve">1646. </w:t>
      </w:r>
    </w:p>
    <w:p w:rsidR="0072720F" w:rsidRPr="0072720F" w:rsidRDefault="0072720F" w:rsidP="00B9405F">
      <w:pPr>
        <w:pStyle w:val="References"/>
      </w:pPr>
      <w:r w:rsidRPr="0072720F">
        <w:t xml:space="preserve">[11] </w:t>
      </w:r>
      <w:r>
        <w:tab/>
      </w:r>
      <w:r w:rsidRPr="0072720F">
        <w:t xml:space="preserve">a) R. Guilard, C. P. Gros, J.-M. Barbe, E. Espinosa, F. Jerome, A. Tabard, </w:t>
      </w:r>
      <w:r w:rsidRPr="0072720F">
        <w:rPr>
          <w:i/>
        </w:rPr>
        <w:t>Inorg. Chem</w:t>
      </w:r>
      <w:r w:rsidRPr="0072720F">
        <w:t xml:space="preserve">. </w:t>
      </w:r>
      <w:r w:rsidRPr="0072720F">
        <w:rPr>
          <w:b/>
        </w:rPr>
        <w:t>2004</w:t>
      </w:r>
      <w:r w:rsidRPr="0072720F">
        <w:t xml:space="preserve">, </w:t>
      </w:r>
      <w:r w:rsidRPr="0072720F">
        <w:rPr>
          <w:i/>
        </w:rPr>
        <w:t>43</w:t>
      </w:r>
      <w:r w:rsidRPr="0072720F">
        <w:t>, 7441</w:t>
      </w:r>
      <w:r w:rsidR="00CD7FE9">
        <w:t>–</w:t>
      </w:r>
      <w:r w:rsidRPr="0072720F">
        <w:t xml:space="preserve">7455; b) I. Luobeznova, L. Simkhovich, I. Goldberg, Z. Gross, </w:t>
      </w:r>
      <w:r w:rsidRPr="0072720F">
        <w:rPr>
          <w:i/>
        </w:rPr>
        <w:t>Eur. J. Inorg. Chem</w:t>
      </w:r>
      <w:r w:rsidRPr="0072720F">
        <w:t xml:space="preserve">. </w:t>
      </w:r>
      <w:r w:rsidRPr="0072720F">
        <w:rPr>
          <w:b/>
        </w:rPr>
        <w:t>2004</w:t>
      </w:r>
      <w:r w:rsidRPr="0072720F">
        <w:t>, 1724</w:t>
      </w:r>
      <w:r w:rsidR="00CD7FE9">
        <w:t>–</w:t>
      </w:r>
      <w:r w:rsidRPr="0072720F">
        <w:t xml:space="preserve">1732; c) Z. Ou, J. Shao, H. Zhao, K. Ohkubo, I. H. Wasbotten, S. Fukuzumi, A. Ghosh, K. M. Kadish, </w:t>
      </w:r>
      <w:r w:rsidRPr="0072720F">
        <w:rPr>
          <w:i/>
        </w:rPr>
        <w:t>J. Porphyrins Phthalocyanines</w:t>
      </w:r>
      <w:r w:rsidRPr="0072720F">
        <w:t xml:space="preserve">, </w:t>
      </w:r>
      <w:r w:rsidRPr="0072720F">
        <w:rPr>
          <w:b/>
        </w:rPr>
        <w:t>2004</w:t>
      </w:r>
      <w:r w:rsidRPr="0072720F">
        <w:t xml:space="preserve">, </w:t>
      </w:r>
      <w:r w:rsidRPr="0072720F">
        <w:rPr>
          <w:i/>
        </w:rPr>
        <w:t>8</w:t>
      </w:r>
      <w:r w:rsidRPr="0072720F">
        <w:t>, 1236</w:t>
      </w:r>
      <w:r w:rsidR="00CD7FE9">
        <w:t>–</w:t>
      </w:r>
      <w:r w:rsidRPr="0072720F">
        <w:t>1247.</w:t>
      </w:r>
    </w:p>
    <w:p w:rsidR="0072720F" w:rsidRPr="0072720F" w:rsidRDefault="0072720F" w:rsidP="00B9405F">
      <w:pPr>
        <w:pStyle w:val="References"/>
        <w:rPr>
          <w:lang w:val="pl-PL"/>
        </w:rPr>
      </w:pPr>
      <w:r w:rsidRPr="0072720F">
        <w:t xml:space="preserve">[12] </w:t>
      </w:r>
      <w:r>
        <w:tab/>
      </w:r>
      <w:r w:rsidRPr="0072720F">
        <w:t xml:space="preserve">a) Q. Xie, E.  Perez-Cordero, L. Echegoyen, </w:t>
      </w:r>
      <w:r w:rsidRPr="0072720F">
        <w:rPr>
          <w:i/>
        </w:rPr>
        <w:t>J. Am. Chem. Soc</w:t>
      </w:r>
      <w:r w:rsidRPr="0072720F">
        <w:t xml:space="preserve">. </w:t>
      </w:r>
      <w:r w:rsidRPr="0072720F">
        <w:rPr>
          <w:b/>
        </w:rPr>
        <w:t>1992</w:t>
      </w:r>
      <w:r w:rsidRPr="0072720F">
        <w:t xml:space="preserve">, </w:t>
      </w:r>
      <w:r w:rsidRPr="0072720F">
        <w:rPr>
          <w:i/>
        </w:rPr>
        <w:t>114</w:t>
      </w:r>
      <w:r w:rsidRPr="0072720F">
        <w:t>, 3978</w:t>
      </w:r>
      <w:r w:rsidR="00CD7FE9">
        <w:t>–</w:t>
      </w:r>
      <w:r w:rsidRPr="0072720F">
        <w:t xml:space="preserve">3980; </w:t>
      </w:r>
      <w:r w:rsidRPr="0072720F">
        <w:rPr>
          <w:lang w:val="pl-PL"/>
        </w:rPr>
        <w:t xml:space="preserve">b) L. </w:t>
      </w:r>
      <w:r w:rsidRPr="0072720F">
        <w:t xml:space="preserve">Sanchez, N. Martín, D. M. Guldi, </w:t>
      </w:r>
      <w:r w:rsidRPr="0072720F">
        <w:rPr>
          <w:i/>
          <w:iCs/>
        </w:rPr>
        <w:t>Angew. Chem.</w:t>
      </w:r>
      <w:r w:rsidRPr="0072720F">
        <w:t xml:space="preserve">, </w:t>
      </w:r>
      <w:r w:rsidRPr="0072720F">
        <w:rPr>
          <w:i/>
          <w:iCs/>
        </w:rPr>
        <w:t>Int. Ed</w:t>
      </w:r>
      <w:r w:rsidRPr="0072720F">
        <w:t xml:space="preserve">. </w:t>
      </w:r>
      <w:r w:rsidRPr="0072720F">
        <w:rPr>
          <w:b/>
          <w:bCs/>
        </w:rPr>
        <w:t>2005</w:t>
      </w:r>
      <w:r w:rsidRPr="0072720F">
        <w:t xml:space="preserve">, </w:t>
      </w:r>
      <w:r w:rsidRPr="0072720F">
        <w:rPr>
          <w:i/>
          <w:iCs/>
        </w:rPr>
        <w:t>44</w:t>
      </w:r>
      <w:r w:rsidRPr="0072720F">
        <w:t>, 5374</w:t>
      </w:r>
      <w:r w:rsidR="00CD7FE9">
        <w:t>–</w:t>
      </w:r>
      <w:r w:rsidRPr="0072720F">
        <w:t xml:space="preserve">5382; c) S. </w:t>
      </w:r>
      <w:r w:rsidRPr="0072720F">
        <w:rPr>
          <w:lang w:val="es-ES"/>
        </w:rPr>
        <w:t xml:space="preserve">Fukuzumi,  </w:t>
      </w:r>
      <w:r w:rsidRPr="0072720F">
        <w:rPr>
          <w:i/>
          <w:lang w:val="es-ES"/>
        </w:rPr>
        <w:t>Phys. Chem. Chem. Phys</w:t>
      </w:r>
      <w:r w:rsidRPr="0072720F">
        <w:rPr>
          <w:lang w:val="es-ES"/>
        </w:rPr>
        <w:t xml:space="preserve">. </w:t>
      </w:r>
      <w:r w:rsidRPr="0072720F">
        <w:rPr>
          <w:b/>
          <w:lang w:val="es-ES"/>
        </w:rPr>
        <w:t>2008</w:t>
      </w:r>
      <w:r w:rsidRPr="0072720F">
        <w:rPr>
          <w:lang w:val="es-ES"/>
        </w:rPr>
        <w:t xml:space="preserve">, </w:t>
      </w:r>
      <w:r w:rsidRPr="0072720F">
        <w:rPr>
          <w:i/>
          <w:lang w:val="es-ES"/>
        </w:rPr>
        <w:t>10</w:t>
      </w:r>
      <w:r w:rsidRPr="0072720F">
        <w:rPr>
          <w:lang w:val="es-ES"/>
        </w:rPr>
        <w:t>, 2283</w:t>
      </w:r>
      <w:r w:rsidR="00CD7FE9">
        <w:rPr>
          <w:lang w:val="es-ES"/>
        </w:rPr>
        <w:t>–</w:t>
      </w:r>
      <w:r w:rsidRPr="0072720F">
        <w:t>2</w:t>
      </w:r>
      <w:bookmarkStart w:id="0" w:name="_GoBack"/>
      <w:bookmarkEnd w:id="0"/>
      <w:r w:rsidRPr="0072720F">
        <w:t>297</w:t>
      </w:r>
      <w:r w:rsidRPr="0072720F">
        <w:rPr>
          <w:lang w:val="es-ES"/>
        </w:rPr>
        <w:t>; d</w:t>
      </w:r>
      <w:r w:rsidRPr="0072720F">
        <w:t xml:space="preserve">) D. I. </w:t>
      </w:r>
      <w:r w:rsidRPr="0072720F">
        <w:rPr>
          <w:lang w:val="pl-PL"/>
        </w:rPr>
        <w:t xml:space="preserve">Schuster, K.  Li, D. M.  Guldi, </w:t>
      </w:r>
      <w:r w:rsidRPr="0072720F">
        <w:rPr>
          <w:i/>
          <w:lang w:val="pl-PL"/>
        </w:rPr>
        <w:t>C. R. Chemie</w:t>
      </w:r>
      <w:r w:rsidRPr="0072720F">
        <w:rPr>
          <w:lang w:val="pl-PL"/>
        </w:rPr>
        <w:t xml:space="preserve">, </w:t>
      </w:r>
      <w:r w:rsidRPr="0072720F">
        <w:rPr>
          <w:b/>
          <w:lang w:val="pl-PL"/>
        </w:rPr>
        <w:t>2006</w:t>
      </w:r>
      <w:r w:rsidRPr="0072720F">
        <w:rPr>
          <w:lang w:val="pl-PL"/>
        </w:rPr>
        <w:t xml:space="preserve">, </w:t>
      </w:r>
      <w:r w:rsidRPr="0072720F">
        <w:rPr>
          <w:i/>
          <w:lang w:val="pl-PL"/>
        </w:rPr>
        <w:t>9</w:t>
      </w:r>
      <w:r w:rsidRPr="0072720F">
        <w:rPr>
          <w:lang w:val="pl-PL"/>
        </w:rPr>
        <w:t>, 892</w:t>
      </w:r>
      <w:r w:rsidR="00CD7FE9">
        <w:rPr>
          <w:lang w:val="pl-PL"/>
        </w:rPr>
        <w:t>–</w:t>
      </w:r>
      <w:r w:rsidRPr="0072720F">
        <w:t>908</w:t>
      </w:r>
      <w:r w:rsidRPr="0072720F">
        <w:rPr>
          <w:lang w:val="pl-PL"/>
        </w:rPr>
        <w:t xml:space="preserve">; e) F. D’Souza, </w:t>
      </w:r>
      <w:r w:rsidR="000C0FAF">
        <w:rPr>
          <w:lang w:val="pl-PL"/>
        </w:rPr>
        <w:t xml:space="preserve">O. Ito, </w:t>
      </w:r>
      <w:r w:rsidR="000C0FAF" w:rsidRPr="000C0FAF">
        <w:rPr>
          <w:i/>
          <w:lang w:val="pl-PL"/>
        </w:rPr>
        <w:t>Sci. Prog</w:t>
      </w:r>
      <w:r w:rsidR="000C0FAF">
        <w:rPr>
          <w:lang w:val="pl-PL"/>
        </w:rPr>
        <w:t xml:space="preserve">. </w:t>
      </w:r>
      <w:r w:rsidR="000C0FAF" w:rsidRPr="000C0FAF">
        <w:rPr>
          <w:b/>
          <w:lang w:val="pl-PL"/>
        </w:rPr>
        <w:t>2013</w:t>
      </w:r>
      <w:r w:rsidR="000C0FAF">
        <w:rPr>
          <w:lang w:val="pl-PL"/>
        </w:rPr>
        <w:t xml:space="preserve">, </w:t>
      </w:r>
      <w:r w:rsidR="000C0FAF" w:rsidRPr="000C0FAF">
        <w:rPr>
          <w:i/>
          <w:lang w:val="pl-PL"/>
        </w:rPr>
        <w:t>96</w:t>
      </w:r>
      <w:r w:rsidR="000C0FAF">
        <w:rPr>
          <w:lang w:val="pl-PL"/>
        </w:rPr>
        <w:t xml:space="preserve">, 369-397. </w:t>
      </w:r>
      <w:r w:rsidRPr="0072720F">
        <w:rPr>
          <w:lang w:val="pl-PL"/>
        </w:rPr>
        <w:t xml:space="preserve"> </w:t>
      </w:r>
    </w:p>
    <w:p w:rsidR="0072720F" w:rsidRPr="0072720F" w:rsidRDefault="0072720F" w:rsidP="00B9405F">
      <w:pPr>
        <w:pStyle w:val="References"/>
      </w:pPr>
      <w:r w:rsidRPr="0072720F">
        <w:t xml:space="preserve">[13] </w:t>
      </w:r>
      <w:r>
        <w:tab/>
      </w:r>
      <w:r w:rsidRPr="0072720F">
        <w:t xml:space="preserve">a) F. D’Souza, </w:t>
      </w:r>
      <w:r w:rsidRPr="0072720F">
        <w:rPr>
          <w:i/>
        </w:rPr>
        <w:t>J. Am. Chem. Soc</w:t>
      </w:r>
      <w:r w:rsidRPr="0072720F">
        <w:t xml:space="preserve">. </w:t>
      </w:r>
      <w:r w:rsidRPr="0072720F">
        <w:rPr>
          <w:b/>
        </w:rPr>
        <w:t>1996</w:t>
      </w:r>
      <w:r w:rsidRPr="0072720F">
        <w:t xml:space="preserve">, </w:t>
      </w:r>
      <w:r w:rsidRPr="0072720F">
        <w:rPr>
          <w:i/>
        </w:rPr>
        <w:t>118</w:t>
      </w:r>
      <w:r w:rsidRPr="0072720F">
        <w:t>, 923</w:t>
      </w:r>
      <w:r w:rsidR="00CD7FE9">
        <w:t>–</w:t>
      </w:r>
      <w:r w:rsidRPr="0072720F">
        <w:t>924. b) J. Dalton, L. R.</w:t>
      </w:r>
      <w:r w:rsidRPr="0072720F">
        <w:rPr>
          <w:rFonts w:hint="eastAsia"/>
        </w:rPr>
        <w:t xml:space="preserve"> </w:t>
      </w:r>
      <w:r w:rsidRPr="0072720F">
        <w:t xml:space="preserve">Milgrom </w:t>
      </w:r>
      <w:r w:rsidRPr="0072720F">
        <w:rPr>
          <w:i/>
          <w:iCs/>
        </w:rPr>
        <w:t>J. Chem. Soc., Chem. Commun.</w:t>
      </w:r>
      <w:r w:rsidRPr="0072720F">
        <w:rPr>
          <w:b/>
        </w:rPr>
        <w:t>1979</w:t>
      </w:r>
      <w:r w:rsidRPr="0072720F">
        <w:t>, 609</w:t>
      </w:r>
      <w:r w:rsidR="00CD7FE9">
        <w:t>–</w:t>
      </w:r>
      <w:r w:rsidRPr="0072720F">
        <w:t xml:space="preserve">610; c) F. D’Souza, N. K. Subbaiyan, Y. Xie, J. P. Hill, K. Ariga, K. Ohkubo and S. Fukuzumi, </w:t>
      </w:r>
      <w:r w:rsidRPr="0072720F">
        <w:rPr>
          <w:i/>
        </w:rPr>
        <w:t xml:space="preserve">J. Am. Chem. Soc. </w:t>
      </w:r>
      <w:r w:rsidRPr="0072720F">
        <w:t xml:space="preserve">2009, </w:t>
      </w:r>
      <w:r w:rsidRPr="0072720F">
        <w:rPr>
          <w:b/>
        </w:rPr>
        <w:t>131</w:t>
      </w:r>
      <w:r w:rsidRPr="0072720F">
        <w:t>, 16138</w:t>
      </w:r>
      <w:r w:rsidR="00CD7FE9">
        <w:t>–</w:t>
      </w:r>
      <w:r w:rsidRPr="0072720F">
        <w:t xml:space="preserve">16146; d) Y. Xie,  J. P. Hill, A. L. Schumacher, A. S. D. Sandanayaka, Y. Araki, P. A. Karr, J. Labuta, F. D'Souza, O. Ito, C. E. Anson, A. K. Powell, K. Ariga, </w:t>
      </w:r>
      <w:r w:rsidRPr="0072720F">
        <w:rPr>
          <w:i/>
        </w:rPr>
        <w:t>J. Phys. Chem. C</w:t>
      </w:r>
      <w:r w:rsidRPr="0072720F">
        <w:t xml:space="preserve"> </w:t>
      </w:r>
      <w:r w:rsidRPr="0072720F">
        <w:rPr>
          <w:b/>
        </w:rPr>
        <w:t>2008</w:t>
      </w:r>
      <w:r w:rsidRPr="0072720F">
        <w:t xml:space="preserve">, </w:t>
      </w:r>
      <w:r w:rsidRPr="0072720F">
        <w:rPr>
          <w:i/>
        </w:rPr>
        <w:t>112</w:t>
      </w:r>
      <w:r w:rsidRPr="0072720F">
        <w:t>, 10559</w:t>
      </w:r>
      <w:r w:rsidR="00CD7FE9">
        <w:t>–</w:t>
      </w:r>
      <w:r w:rsidRPr="0072720F">
        <w:t xml:space="preserve">10579; e) A. L. Schumacher, A. S. D. Sandanayaka, J. P. Hill, K. Ariga, P. A. Karr, Y. Araki, O. Ito, F. D'Souza, </w:t>
      </w:r>
      <w:r w:rsidRPr="0072720F">
        <w:rPr>
          <w:i/>
        </w:rPr>
        <w:t>Chem.–Eur. J.</w:t>
      </w:r>
      <w:r w:rsidRPr="0072720F">
        <w:t xml:space="preserve"> </w:t>
      </w:r>
      <w:r w:rsidRPr="0072720F">
        <w:rPr>
          <w:b/>
        </w:rPr>
        <w:t>2007</w:t>
      </w:r>
      <w:r w:rsidRPr="0072720F">
        <w:t xml:space="preserve">, </w:t>
      </w:r>
      <w:r w:rsidRPr="0072720F">
        <w:rPr>
          <w:i/>
        </w:rPr>
        <w:t>13</w:t>
      </w:r>
      <w:r w:rsidRPr="0072720F">
        <w:t>, 4628</w:t>
      </w:r>
      <w:r w:rsidR="00CD7FE9">
        <w:t>–</w:t>
      </w:r>
      <w:r w:rsidRPr="0072720F">
        <w:t xml:space="preserve">4635. </w:t>
      </w:r>
    </w:p>
    <w:p w:rsidR="0072720F" w:rsidRPr="0072720F" w:rsidRDefault="0072720F" w:rsidP="00B9405F">
      <w:pPr>
        <w:pStyle w:val="References"/>
      </w:pPr>
      <w:r w:rsidRPr="0072720F">
        <w:t xml:space="preserve">[14] </w:t>
      </w:r>
      <w:r>
        <w:tab/>
      </w:r>
      <w:r w:rsidRPr="0072720F">
        <w:t>R. Paolesse, R. K. Pandey, T. P. Forsyth, L. Jaquinod, K. R. Gerzevske, D. J. Nurco, M. O. Senge, S. Licoccia, T. Boschi, K. M.</w:t>
      </w:r>
      <w:r w:rsidRPr="0072720F">
        <w:rPr>
          <w:i/>
        </w:rPr>
        <w:t xml:space="preserve"> </w:t>
      </w:r>
      <w:r w:rsidRPr="0072720F">
        <w:t xml:space="preserve">Smith </w:t>
      </w:r>
      <w:r w:rsidRPr="0072720F">
        <w:rPr>
          <w:i/>
        </w:rPr>
        <w:t>J. Am. Chem. Soc</w:t>
      </w:r>
      <w:r w:rsidRPr="0072720F">
        <w:t xml:space="preserve">. </w:t>
      </w:r>
      <w:r w:rsidRPr="0072720F">
        <w:rPr>
          <w:b/>
        </w:rPr>
        <w:t>1996</w:t>
      </w:r>
      <w:r w:rsidRPr="0072720F">
        <w:t xml:space="preserve">. </w:t>
      </w:r>
      <w:r w:rsidRPr="0072720F">
        <w:rPr>
          <w:i/>
        </w:rPr>
        <w:t>118</w:t>
      </w:r>
      <w:r w:rsidRPr="0072720F">
        <w:t>, 3869</w:t>
      </w:r>
      <w:r w:rsidR="00CD7FE9">
        <w:t>–</w:t>
      </w:r>
      <w:r w:rsidRPr="0072720F">
        <w:t>3882.</w:t>
      </w:r>
    </w:p>
    <w:p w:rsidR="0072720F" w:rsidRPr="0072720F" w:rsidRDefault="0072720F" w:rsidP="00B9405F">
      <w:pPr>
        <w:pStyle w:val="References"/>
      </w:pPr>
      <w:r w:rsidRPr="0072720F">
        <w:t xml:space="preserve">[15] </w:t>
      </w:r>
      <w:r>
        <w:tab/>
      </w:r>
      <w:r w:rsidRPr="0072720F">
        <w:t xml:space="preserve">R. Paolesse, F. Sagone, A. Macagnano, T. Boschi, L. Prodi, M. Montalti, N. Zaccheroni, F. Bolletta, K. M. Smith, </w:t>
      </w:r>
      <w:r w:rsidRPr="0072720F">
        <w:rPr>
          <w:i/>
        </w:rPr>
        <w:t>J. Porphyrins Phthalocyanines</w:t>
      </w:r>
      <w:r w:rsidRPr="0072720F">
        <w:t xml:space="preserve">, </w:t>
      </w:r>
      <w:r w:rsidRPr="0072720F">
        <w:rPr>
          <w:b/>
        </w:rPr>
        <w:t>1999</w:t>
      </w:r>
      <w:r w:rsidRPr="0072720F">
        <w:t xml:space="preserve">, </w:t>
      </w:r>
      <w:r w:rsidRPr="0072720F">
        <w:rPr>
          <w:i/>
        </w:rPr>
        <w:t>3</w:t>
      </w:r>
      <w:r w:rsidRPr="0072720F">
        <w:t>, 364</w:t>
      </w:r>
      <w:r w:rsidR="00CD7FE9">
        <w:t>–</w:t>
      </w:r>
      <w:r w:rsidRPr="0072720F">
        <w:t>370.</w:t>
      </w:r>
    </w:p>
    <w:p w:rsidR="0072720F" w:rsidRPr="0072720F" w:rsidRDefault="0072720F" w:rsidP="00B9405F">
      <w:pPr>
        <w:pStyle w:val="References"/>
      </w:pPr>
      <w:r w:rsidRPr="0072720F">
        <w:t xml:space="preserve">[16] </w:t>
      </w:r>
      <w:r>
        <w:tab/>
      </w:r>
      <w:r w:rsidRPr="0072720F">
        <w:t xml:space="preserve">C. Chen, Y.-Z. Zhu, Q.-J. Fan, H.-B. Song, J.-Y. Zheng, </w:t>
      </w:r>
      <w:r w:rsidRPr="0072720F">
        <w:rPr>
          <w:i/>
        </w:rPr>
        <w:t>Chem. Lett.</w:t>
      </w:r>
      <w:r w:rsidRPr="0072720F">
        <w:t xml:space="preserve"> </w:t>
      </w:r>
      <w:r w:rsidRPr="0072720F">
        <w:rPr>
          <w:b/>
        </w:rPr>
        <w:t>2013</w:t>
      </w:r>
      <w:r w:rsidRPr="0072720F">
        <w:t xml:space="preserve">. </w:t>
      </w:r>
      <w:r w:rsidRPr="0072720F">
        <w:rPr>
          <w:i/>
        </w:rPr>
        <w:t>42</w:t>
      </w:r>
      <w:r w:rsidRPr="0072720F">
        <w:t>, 936</w:t>
      </w:r>
      <w:r w:rsidR="00CD7FE9">
        <w:t>–</w:t>
      </w:r>
      <w:r w:rsidRPr="0072720F">
        <w:t>938.</w:t>
      </w:r>
    </w:p>
    <w:p w:rsidR="0072720F" w:rsidRPr="0072720F" w:rsidRDefault="0072720F" w:rsidP="00B9405F">
      <w:pPr>
        <w:pStyle w:val="References"/>
      </w:pPr>
      <w:r w:rsidRPr="0072720F">
        <w:t xml:space="preserve">[17] </w:t>
      </w:r>
      <w:r>
        <w:tab/>
      </w:r>
      <w:r w:rsidRPr="0072720F">
        <w:t>K. M. Kadish, Z. Ou, J. Shao, C. P. Gros, J. M. Barbe, F. Jerome, F. Bolze, F. Burdet, R. Guilard</w:t>
      </w:r>
      <w:r w:rsidR="000C0FAF">
        <w:t>,</w:t>
      </w:r>
      <w:r w:rsidRPr="0072720F">
        <w:t xml:space="preserve"> </w:t>
      </w:r>
      <w:r w:rsidRPr="0072720F">
        <w:rPr>
          <w:i/>
        </w:rPr>
        <w:t>Inorg. Chem</w:t>
      </w:r>
      <w:r w:rsidRPr="0072720F">
        <w:t xml:space="preserve">. </w:t>
      </w:r>
      <w:r w:rsidRPr="0072720F">
        <w:rPr>
          <w:b/>
        </w:rPr>
        <w:t>2002</w:t>
      </w:r>
      <w:r w:rsidRPr="0072720F">
        <w:t xml:space="preserve">. </w:t>
      </w:r>
      <w:r w:rsidRPr="0072720F">
        <w:rPr>
          <w:i/>
        </w:rPr>
        <w:t>41</w:t>
      </w:r>
      <w:r w:rsidRPr="0072720F">
        <w:t>, 3990</w:t>
      </w:r>
      <w:r w:rsidR="00CD7FE9">
        <w:t>–</w:t>
      </w:r>
      <w:r w:rsidRPr="0072720F">
        <w:t>4005.</w:t>
      </w:r>
    </w:p>
    <w:p w:rsidR="0072720F" w:rsidRPr="0072720F" w:rsidRDefault="0072720F" w:rsidP="00B9405F">
      <w:pPr>
        <w:pStyle w:val="References"/>
      </w:pPr>
      <w:r w:rsidRPr="0072720F">
        <w:t xml:space="preserve">[18] </w:t>
      </w:r>
      <w:r>
        <w:tab/>
      </w:r>
      <w:r w:rsidRPr="0072720F">
        <w:t>R. Guilard, C. P. Gros, J. M. Barbe, E. Espinosa, F. Jerome, A. Tabard, J. M. Latour, J. Shao, Z. Ou, K. M</w:t>
      </w:r>
      <w:r w:rsidRPr="0072720F">
        <w:rPr>
          <w:i/>
        </w:rPr>
        <w:t xml:space="preserve">. </w:t>
      </w:r>
      <w:r w:rsidRPr="0072720F">
        <w:t xml:space="preserve">Kadish, </w:t>
      </w:r>
      <w:r w:rsidRPr="0072720F">
        <w:rPr>
          <w:i/>
        </w:rPr>
        <w:t>Inorg. Chem.</w:t>
      </w:r>
      <w:r w:rsidRPr="0072720F">
        <w:t xml:space="preserve"> </w:t>
      </w:r>
      <w:r w:rsidRPr="0072720F">
        <w:rPr>
          <w:b/>
        </w:rPr>
        <w:t>2004</w:t>
      </w:r>
      <w:r w:rsidRPr="0072720F">
        <w:t xml:space="preserve">. </w:t>
      </w:r>
      <w:r w:rsidRPr="0072720F">
        <w:rPr>
          <w:i/>
        </w:rPr>
        <w:t>43</w:t>
      </w:r>
      <w:r w:rsidRPr="0072720F">
        <w:t>, 7441</w:t>
      </w:r>
      <w:r w:rsidR="00CD7FE9">
        <w:t>–</w:t>
      </w:r>
      <w:r w:rsidRPr="0072720F">
        <w:t>7455.</w:t>
      </w:r>
    </w:p>
    <w:p w:rsidR="0072720F" w:rsidRPr="0072720F" w:rsidRDefault="0072720F" w:rsidP="00B9405F">
      <w:pPr>
        <w:pStyle w:val="References"/>
      </w:pPr>
      <w:r w:rsidRPr="0072720F">
        <w:t xml:space="preserve">[19] </w:t>
      </w:r>
      <w:r>
        <w:tab/>
      </w:r>
      <w:r w:rsidRPr="0072720F">
        <w:t xml:space="preserve">K. M. Kadish, L. Fremond, J. Shen, P. Chen, K. Ohkubo, S. Fukuzumi, M. El Ojaimi, C. P. Gros, J. M. Barbe, R. Guilard, </w:t>
      </w:r>
      <w:r w:rsidRPr="0072720F">
        <w:rPr>
          <w:i/>
        </w:rPr>
        <w:t>Inorg. Chem.</w:t>
      </w:r>
      <w:r w:rsidRPr="0072720F">
        <w:t xml:space="preserve"> </w:t>
      </w:r>
      <w:r w:rsidRPr="0072720F">
        <w:rPr>
          <w:b/>
        </w:rPr>
        <w:t>2009</w:t>
      </w:r>
      <w:r w:rsidRPr="0072720F">
        <w:t xml:space="preserve">. </w:t>
      </w:r>
      <w:r w:rsidRPr="0072720F">
        <w:rPr>
          <w:i/>
        </w:rPr>
        <w:t>48</w:t>
      </w:r>
      <w:r w:rsidRPr="0072720F">
        <w:t>, 2571</w:t>
      </w:r>
      <w:r w:rsidR="00CD7FE9">
        <w:t>–</w:t>
      </w:r>
      <w:r w:rsidRPr="0072720F">
        <w:t>2582.</w:t>
      </w:r>
    </w:p>
    <w:p w:rsidR="0072720F" w:rsidRPr="0072720F" w:rsidRDefault="0072720F" w:rsidP="00B9405F">
      <w:pPr>
        <w:pStyle w:val="References"/>
      </w:pPr>
      <w:r w:rsidRPr="0072720F">
        <w:t xml:space="preserve">[20] </w:t>
      </w:r>
      <w:r>
        <w:tab/>
      </w:r>
      <w:r w:rsidRPr="0072720F">
        <w:t xml:space="preserve">K. M. Kadish, L. Fremond, Z. P. Ou, J. G. Shao, C. N. Shi, F. C. Anson, F. Burdet, C. P. Gros, J. M. Barbe, R. Guilard, </w:t>
      </w:r>
      <w:r w:rsidRPr="0072720F">
        <w:rPr>
          <w:i/>
        </w:rPr>
        <w:t>J. Am. Chem. Soc.</w:t>
      </w:r>
      <w:r w:rsidRPr="0072720F">
        <w:t xml:space="preserve"> </w:t>
      </w:r>
      <w:r w:rsidRPr="0072720F">
        <w:rPr>
          <w:b/>
        </w:rPr>
        <w:t>2005</w:t>
      </w:r>
      <w:r w:rsidRPr="0072720F">
        <w:t xml:space="preserve">, </w:t>
      </w:r>
      <w:r w:rsidRPr="0072720F">
        <w:rPr>
          <w:i/>
        </w:rPr>
        <w:t>127</w:t>
      </w:r>
      <w:r w:rsidRPr="0072720F">
        <w:t>, 5625</w:t>
      </w:r>
      <w:r w:rsidR="00CD7FE9">
        <w:t>–</w:t>
      </w:r>
      <w:r w:rsidRPr="0072720F">
        <w:t>5631.</w:t>
      </w:r>
    </w:p>
    <w:p w:rsidR="0072720F" w:rsidRPr="0072720F" w:rsidRDefault="0072720F" w:rsidP="00B9405F">
      <w:pPr>
        <w:pStyle w:val="References"/>
      </w:pPr>
      <w:r w:rsidRPr="0072720F">
        <w:t xml:space="preserve">[21] </w:t>
      </w:r>
      <w:r>
        <w:tab/>
      </w:r>
      <w:r w:rsidRPr="0072720F">
        <w:t xml:space="preserve">K. M. Kadish, J. Shao, Z. Ou, L. Fremond, R. Zhan, F. Burdet, J. M. Barbe, C. P. Gros, R. Guilard, </w:t>
      </w:r>
      <w:r w:rsidRPr="0072720F">
        <w:rPr>
          <w:i/>
        </w:rPr>
        <w:t>Inorg. Chem.</w:t>
      </w:r>
      <w:r w:rsidRPr="0072720F">
        <w:t xml:space="preserve"> </w:t>
      </w:r>
      <w:r w:rsidRPr="0072720F">
        <w:rPr>
          <w:b/>
        </w:rPr>
        <w:t>2005</w:t>
      </w:r>
      <w:r w:rsidRPr="0072720F">
        <w:t xml:space="preserve">, </w:t>
      </w:r>
      <w:r w:rsidRPr="0072720F">
        <w:rPr>
          <w:i/>
        </w:rPr>
        <w:t>44</w:t>
      </w:r>
      <w:r w:rsidRPr="0072720F">
        <w:t>, 6744</w:t>
      </w:r>
      <w:r w:rsidR="00CD7FE9">
        <w:t>–</w:t>
      </w:r>
      <w:r w:rsidRPr="0072720F">
        <w:t>6754.</w:t>
      </w:r>
    </w:p>
    <w:p w:rsidR="0072720F" w:rsidRPr="0072720F" w:rsidRDefault="0072720F" w:rsidP="00B9405F">
      <w:pPr>
        <w:pStyle w:val="References"/>
      </w:pPr>
      <w:r w:rsidRPr="0072720F">
        <w:t xml:space="preserve">[22] </w:t>
      </w:r>
      <w:r>
        <w:tab/>
      </w:r>
      <w:r w:rsidRPr="0072720F">
        <w:t xml:space="preserve">K. M. Kadish, J. Shao, Z. Ou, R. Zhan, F. Burdet, J. M. Barbe, C. P. Gros, R. Guilard, , </w:t>
      </w:r>
      <w:r w:rsidRPr="0072720F">
        <w:rPr>
          <w:i/>
        </w:rPr>
        <w:t>Inorg. Chem.</w:t>
      </w:r>
      <w:r w:rsidRPr="0072720F">
        <w:t xml:space="preserve"> </w:t>
      </w:r>
      <w:r w:rsidRPr="0072720F">
        <w:rPr>
          <w:b/>
        </w:rPr>
        <w:t>2005</w:t>
      </w:r>
      <w:r w:rsidRPr="0072720F">
        <w:t xml:space="preserve">, </w:t>
      </w:r>
      <w:r w:rsidRPr="0072720F">
        <w:rPr>
          <w:i/>
        </w:rPr>
        <w:t>44</w:t>
      </w:r>
      <w:r w:rsidRPr="0072720F">
        <w:t>, 9023</w:t>
      </w:r>
      <w:r w:rsidR="00CD7FE9">
        <w:t>–</w:t>
      </w:r>
      <w:r w:rsidRPr="0072720F">
        <w:t>9038.</w:t>
      </w:r>
    </w:p>
    <w:p w:rsidR="0072720F" w:rsidRPr="0072720F" w:rsidRDefault="0072720F" w:rsidP="00B9405F">
      <w:pPr>
        <w:pStyle w:val="References"/>
      </w:pPr>
      <w:r w:rsidRPr="0072720F">
        <w:t xml:space="preserve">[23] </w:t>
      </w:r>
      <w:r>
        <w:tab/>
      </w:r>
      <w:r w:rsidRPr="0072720F">
        <w:t xml:space="preserve">R. Guilard, F. Burdet, J. M. Barbe, C. P. Gros, E. Espinosa, J. Shao, Z. Ou, R. Zhan, K. M. Kadish, </w:t>
      </w:r>
      <w:r w:rsidRPr="0072720F">
        <w:rPr>
          <w:i/>
        </w:rPr>
        <w:t>Inorg. Chem.</w:t>
      </w:r>
      <w:r w:rsidRPr="0072720F">
        <w:t xml:space="preserve"> </w:t>
      </w:r>
      <w:r w:rsidRPr="0072720F">
        <w:rPr>
          <w:b/>
        </w:rPr>
        <w:t>2005</w:t>
      </w:r>
      <w:r w:rsidRPr="0072720F">
        <w:t xml:space="preserve">, </w:t>
      </w:r>
      <w:r w:rsidRPr="0072720F">
        <w:rPr>
          <w:i/>
        </w:rPr>
        <w:t>44</w:t>
      </w:r>
      <w:r w:rsidRPr="0072720F">
        <w:t>, 3972</w:t>
      </w:r>
      <w:r w:rsidR="00CD7FE9">
        <w:t>–</w:t>
      </w:r>
      <w:r w:rsidRPr="0072720F">
        <w:t>3983.</w:t>
      </w:r>
    </w:p>
    <w:p w:rsidR="0072720F" w:rsidRPr="0072720F" w:rsidRDefault="0072720F" w:rsidP="00B9405F">
      <w:pPr>
        <w:pStyle w:val="References"/>
      </w:pPr>
      <w:r w:rsidRPr="0072720F">
        <w:t xml:space="preserve">[24] </w:t>
      </w:r>
      <w:r>
        <w:tab/>
      </w:r>
      <w:r w:rsidRPr="0072720F">
        <w:t xml:space="preserve">C. P. Gros, F. Brisach, A. Meristoudi, E. Espinosa, R. Guilard, P. D. Harvey, </w:t>
      </w:r>
      <w:r w:rsidRPr="0072720F">
        <w:rPr>
          <w:i/>
        </w:rPr>
        <w:t>Inorg. Chem.</w:t>
      </w:r>
      <w:r w:rsidRPr="0072720F">
        <w:t xml:space="preserve"> </w:t>
      </w:r>
      <w:r w:rsidRPr="0072720F">
        <w:rPr>
          <w:b/>
        </w:rPr>
        <w:t>2007</w:t>
      </w:r>
      <w:r w:rsidRPr="0072720F">
        <w:t xml:space="preserve">, </w:t>
      </w:r>
      <w:r w:rsidRPr="0072720F">
        <w:rPr>
          <w:i/>
        </w:rPr>
        <w:t>46</w:t>
      </w:r>
      <w:r w:rsidRPr="0072720F">
        <w:t>, 125</w:t>
      </w:r>
      <w:r w:rsidR="00CD7FE9">
        <w:t>–</w:t>
      </w:r>
      <w:r w:rsidRPr="0072720F">
        <w:t>135.</w:t>
      </w:r>
    </w:p>
    <w:p w:rsidR="0072720F" w:rsidRPr="0072720F" w:rsidRDefault="0072720F" w:rsidP="00B9405F">
      <w:pPr>
        <w:pStyle w:val="References"/>
      </w:pPr>
      <w:r w:rsidRPr="0072720F">
        <w:t xml:space="preserve">[25] </w:t>
      </w:r>
      <w:r>
        <w:tab/>
      </w:r>
      <w:r w:rsidRPr="0072720F">
        <w:t xml:space="preserve">J. M. Barbe, F. Burdet, E. Espinosa, C. P. Gros, R. Guilard, </w:t>
      </w:r>
      <w:r w:rsidRPr="0072720F">
        <w:rPr>
          <w:i/>
        </w:rPr>
        <w:t>J</w:t>
      </w:r>
      <w:r w:rsidR="000C0FAF">
        <w:rPr>
          <w:i/>
        </w:rPr>
        <w:t xml:space="preserve">. </w:t>
      </w:r>
      <w:r w:rsidRPr="0072720F">
        <w:rPr>
          <w:i/>
        </w:rPr>
        <w:t>Porphyrins Phthalocyanines</w:t>
      </w:r>
      <w:r w:rsidRPr="0072720F">
        <w:t xml:space="preserve"> </w:t>
      </w:r>
      <w:r w:rsidRPr="0072720F">
        <w:rPr>
          <w:b/>
        </w:rPr>
        <w:t>2003</w:t>
      </w:r>
      <w:r w:rsidRPr="0072720F">
        <w:t xml:space="preserve">, </w:t>
      </w:r>
      <w:r w:rsidRPr="0072720F">
        <w:rPr>
          <w:i/>
        </w:rPr>
        <w:t>7</w:t>
      </w:r>
      <w:r w:rsidRPr="0072720F">
        <w:t>, 365</w:t>
      </w:r>
      <w:r w:rsidR="00CD7FE9">
        <w:t>–</w:t>
      </w:r>
      <w:r w:rsidRPr="0072720F">
        <w:t>374.</w:t>
      </w:r>
    </w:p>
    <w:p w:rsidR="0072720F" w:rsidRPr="0072720F" w:rsidRDefault="0072720F" w:rsidP="00B9405F">
      <w:pPr>
        <w:pStyle w:val="References"/>
      </w:pPr>
      <w:r w:rsidRPr="0072720F">
        <w:t xml:space="preserve">[26] </w:t>
      </w:r>
      <w:r>
        <w:tab/>
      </w:r>
      <w:r w:rsidRPr="0072720F">
        <w:t xml:space="preserve">F. Jerome, C. P. Gros, C. Tardieux, J.-M. Barbe, R. Guilard, </w:t>
      </w:r>
      <w:r w:rsidRPr="0072720F">
        <w:rPr>
          <w:i/>
        </w:rPr>
        <w:t>New J. Chem.</w:t>
      </w:r>
      <w:r w:rsidRPr="0072720F">
        <w:t xml:space="preserve"> </w:t>
      </w:r>
      <w:r w:rsidRPr="0072720F">
        <w:rPr>
          <w:b/>
        </w:rPr>
        <w:t>1998</w:t>
      </w:r>
      <w:r w:rsidRPr="0072720F">
        <w:t xml:space="preserve">, </w:t>
      </w:r>
      <w:r w:rsidRPr="0072720F">
        <w:rPr>
          <w:i/>
        </w:rPr>
        <w:t>22</w:t>
      </w:r>
      <w:r w:rsidRPr="0072720F">
        <w:t xml:space="preserve">, </w:t>
      </w:r>
      <w:r w:rsidRPr="0072720F">
        <w:rPr>
          <w:bCs/>
        </w:rPr>
        <w:t>1327</w:t>
      </w:r>
      <w:r w:rsidR="00CD7FE9">
        <w:rPr>
          <w:bCs/>
        </w:rPr>
        <w:t>–</w:t>
      </w:r>
      <w:r w:rsidRPr="0072720F">
        <w:t>1329.</w:t>
      </w:r>
    </w:p>
    <w:p w:rsidR="0072720F" w:rsidRPr="0072720F" w:rsidRDefault="0072720F" w:rsidP="00B9405F">
      <w:pPr>
        <w:pStyle w:val="References"/>
      </w:pPr>
      <w:r w:rsidRPr="0072720F">
        <w:t xml:space="preserve">[27] </w:t>
      </w:r>
      <w:r>
        <w:tab/>
      </w:r>
      <w:r w:rsidRPr="0072720F">
        <w:t xml:space="preserve">S. Hiroto, I. Hisaki, H. Shinokubo, A. Osuka, </w:t>
      </w:r>
      <w:r w:rsidRPr="0072720F">
        <w:rPr>
          <w:i/>
        </w:rPr>
        <w:t>Angew. Chem. Int. Ed.</w:t>
      </w:r>
      <w:r w:rsidRPr="0072720F">
        <w:t xml:space="preserve"> </w:t>
      </w:r>
      <w:r w:rsidRPr="0072720F">
        <w:rPr>
          <w:b/>
        </w:rPr>
        <w:t>2005</w:t>
      </w:r>
      <w:r w:rsidRPr="0072720F">
        <w:t xml:space="preserve">, </w:t>
      </w:r>
      <w:r w:rsidRPr="0072720F">
        <w:rPr>
          <w:i/>
        </w:rPr>
        <w:t>44</w:t>
      </w:r>
      <w:r w:rsidRPr="0072720F">
        <w:t>, 6763</w:t>
      </w:r>
      <w:r w:rsidR="00CD7FE9">
        <w:t>–</w:t>
      </w:r>
      <w:r w:rsidRPr="0072720F">
        <w:t>6766.</w:t>
      </w:r>
    </w:p>
    <w:p w:rsidR="0072720F" w:rsidRPr="0072720F" w:rsidRDefault="0072720F" w:rsidP="00B9405F">
      <w:pPr>
        <w:pStyle w:val="References"/>
      </w:pPr>
      <w:r w:rsidRPr="0072720F">
        <w:t xml:space="preserve">[28] </w:t>
      </w:r>
      <w:r>
        <w:tab/>
      </w:r>
      <w:r w:rsidRPr="0072720F">
        <w:t xml:space="preserve">A. I. Ciuciu, L. Flamigni, R. Voloshchuk, D. T. Gryko, </w:t>
      </w:r>
      <w:r w:rsidRPr="0072720F">
        <w:rPr>
          <w:i/>
        </w:rPr>
        <w:t xml:space="preserve">Chem. Asian J. </w:t>
      </w:r>
      <w:r w:rsidRPr="0072720F">
        <w:rPr>
          <w:b/>
        </w:rPr>
        <w:t>2013</w:t>
      </w:r>
      <w:r w:rsidRPr="0072720F">
        <w:t xml:space="preserve">, </w:t>
      </w:r>
      <w:r w:rsidRPr="0072720F">
        <w:rPr>
          <w:i/>
        </w:rPr>
        <w:t>8</w:t>
      </w:r>
      <w:r w:rsidRPr="0072720F">
        <w:t>, 1004</w:t>
      </w:r>
      <w:r w:rsidR="00CD7FE9">
        <w:t>–</w:t>
      </w:r>
      <w:r w:rsidRPr="0072720F">
        <w:t>1014.</w:t>
      </w:r>
    </w:p>
    <w:p w:rsidR="0072720F" w:rsidRPr="0072720F" w:rsidRDefault="0072720F" w:rsidP="00B9405F">
      <w:pPr>
        <w:pStyle w:val="References"/>
      </w:pPr>
      <w:r w:rsidRPr="0072720F">
        <w:t xml:space="preserve">[29] </w:t>
      </w:r>
      <w:r>
        <w:tab/>
      </w:r>
      <w:r w:rsidRPr="0072720F">
        <w:t xml:space="preserve">L. Flamigni, B. Ventura, M. Tasior, D. T. Gryko, </w:t>
      </w:r>
      <w:r w:rsidRPr="0072720F">
        <w:rPr>
          <w:i/>
        </w:rPr>
        <w:t>Inorg. Chim. Acta</w:t>
      </w:r>
      <w:r w:rsidRPr="0072720F">
        <w:t xml:space="preserve"> </w:t>
      </w:r>
      <w:r w:rsidRPr="0072720F">
        <w:rPr>
          <w:b/>
        </w:rPr>
        <w:t>2007</w:t>
      </w:r>
      <w:r w:rsidRPr="0072720F">
        <w:t xml:space="preserve">, </w:t>
      </w:r>
      <w:r w:rsidRPr="0072720F">
        <w:rPr>
          <w:i/>
        </w:rPr>
        <w:t>360</w:t>
      </w:r>
      <w:r w:rsidRPr="0072720F">
        <w:t>, 803</w:t>
      </w:r>
      <w:r w:rsidR="00CD7FE9">
        <w:t>–</w:t>
      </w:r>
      <w:r w:rsidRPr="0072720F">
        <w:t>813.</w:t>
      </w:r>
    </w:p>
    <w:p w:rsidR="0072720F" w:rsidRPr="0072720F" w:rsidRDefault="0072720F" w:rsidP="00B9405F">
      <w:pPr>
        <w:pStyle w:val="References"/>
      </w:pPr>
      <w:r w:rsidRPr="0072720F">
        <w:t xml:space="preserve">[30] </w:t>
      </w:r>
      <w:r>
        <w:tab/>
      </w:r>
      <w:r w:rsidRPr="0072720F">
        <w:t xml:space="preserve">T. H. Ngo, F. Nastasi, F. Puntoriero, S. Campagna, W. Dehaen, W. Maes, </w:t>
      </w:r>
      <w:r w:rsidRPr="0072720F">
        <w:rPr>
          <w:i/>
        </w:rPr>
        <w:t>Eur. J. Org. Chem.</w:t>
      </w:r>
      <w:r w:rsidRPr="0072720F">
        <w:t xml:space="preserve"> </w:t>
      </w:r>
      <w:r w:rsidRPr="0072720F">
        <w:rPr>
          <w:b/>
        </w:rPr>
        <w:t>2012</w:t>
      </w:r>
      <w:r w:rsidRPr="0072720F">
        <w:t>, 5605</w:t>
      </w:r>
      <w:r w:rsidR="00CD7FE9">
        <w:t>–</w:t>
      </w:r>
      <w:r w:rsidRPr="0072720F">
        <w:t>5617.</w:t>
      </w:r>
    </w:p>
    <w:p w:rsidR="0072720F" w:rsidRPr="0072720F" w:rsidRDefault="0072720F" w:rsidP="00B9405F">
      <w:pPr>
        <w:pStyle w:val="References"/>
      </w:pPr>
      <w:r w:rsidRPr="0072720F">
        <w:t xml:space="preserve">[31] </w:t>
      </w:r>
      <w:r>
        <w:tab/>
      </w:r>
      <w:r w:rsidRPr="0072720F">
        <w:t xml:space="preserve">T. H. Ngo, W. Van Rossom, W. Dehaen, W. Maes, </w:t>
      </w:r>
      <w:r w:rsidRPr="0072720F">
        <w:rPr>
          <w:i/>
        </w:rPr>
        <w:t>Org. Biomol. Chem.</w:t>
      </w:r>
      <w:r w:rsidRPr="0072720F">
        <w:t xml:space="preserve"> </w:t>
      </w:r>
      <w:r w:rsidRPr="0072720F">
        <w:rPr>
          <w:b/>
        </w:rPr>
        <w:t>2009</w:t>
      </w:r>
      <w:r w:rsidRPr="0072720F">
        <w:t xml:space="preserve">, </w:t>
      </w:r>
      <w:r w:rsidRPr="0072720F">
        <w:rPr>
          <w:i/>
        </w:rPr>
        <w:t>7</w:t>
      </w:r>
      <w:r w:rsidRPr="0072720F">
        <w:t>, 439</w:t>
      </w:r>
      <w:r w:rsidR="00CD7FE9">
        <w:t>–</w:t>
      </w:r>
      <w:r w:rsidRPr="0072720F">
        <w:t>443.</w:t>
      </w:r>
    </w:p>
    <w:p w:rsidR="0072720F" w:rsidRPr="0072720F" w:rsidRDefault="0072720F" w:rsidP="00B9405F">
      <w:pPr>
        <w:pStyle w:val="References"/>
      </w:pPr>
      <w:r w:rsidRPr="0072720F">
        <w:t xml:space="preserve">[32] </w:t>
      </w:r>
      <w:r>
        <w:tab/>
      </w:r>
      <w:r w:rsidRPr="0072720F">
        <w:t xml:space="preserve">W. Beenken, M. Presselt, T. H. Ngo, W. Dehaen, W. Maes, M. Kruk, </w:t>
      </w:r>
      <w:r w:rsidRPr="0072720F">
        <w:rPr>
          <w:i/>
        </w:rPr>
        <w:t>J. Phys. Chem. A</w:t>
      </w:r>
      <w:r w:rsidRPr="0072720F">
        <w:t xml:space="preserve"> </w:t>
      </w:r>
      <w:r w:rsidRPr="0072720F">
        <w:rPr>
          <w:b/>
        </w:rPr>
        <w:t>2014</w:t>
      </w:r>
      <w:r w:rsidRPr="0072720F">
        <w:t xml:space="preserve">, </w:t>
      </w:r>
      <w:r w:rsidRPr="0072720F">
        <w:rPr>
          <w:i/>
        </w:rPr>
        <w:t>118</w:t>
      </w:r>
      <w:r w:rsidRPr="0072720F">
        <w:t>, 862</w:t>
      </w:r>
      <w:r w:rsidR="00CD7FE9">
        <w:t>–</w:t>
      </w:r>
      <w:r w:rsidRPr="0072720F">
        <w:t>871.</w:t>
      </w:r>
    </w:p>
    <w:p w:rsidR="0072720F" w:rsidRPr="0072720F" w:rsidRDefault="0072720F" w:rsidP="00B9405F">
      <w:pPr>
        <w:pStyle w:val="References"/>
      </w:pPr>
      <w:r w:rsidRPr="0072720F">
        <w:t xml:space="preserve">[33] </w:t>
      </w:r>
      <w:r>
        <w:tab/>
      </w:r>
      <w:r w:rsidRPr="0072720F">
        <w:t xml:space="preserve">Y. B. Ivanova, V. A. Savva, N. Z. Mamardashvili, A. S. Starukhin, T. H. Ngo, W. Dehaen, W. Maes, M. M. Kruk, </w:t>
      </w:r>
      <w:r w:rsidRPr="0072720F">
        <w:rPr>
          <w:i/>
        </w:rPr>
        <w:t>J. Phys. Chem. A</w:t>
      </w:r>
      <w:r w:rsidRPr="0072720F">
        <w:t xml:space="preserve"> </w:t>
      </w:r>
      <w:r w:rsidRPr="0072720F">
        <w:rPr>
          <w:b/>
        </w:rPr>
        <w:t>2012</w:t>
      </w:r>
      <w:r w:rsidRPr="0072720F">
        <w:t xml:space="preserve">, </w:t>
      </w:r>
      <w:r w:rsidRPr="0072720F">
        <w:rPr>
          <w:i/>
        </w:rPr>
        <w:t>116</w:t>
      </w:r>
      <w:r w:rsidRPr="0072720F">
        <w:t>, 10683</w:t>
      </w:r>
      <w:r w:rsidR="00CD7FE9">
        <w:t>–</w:t>
      </w:r>
      <w:r w:rsidRPr="0072720F">
        <w:t>10694.</w:t>
      </w:r>
    </w:p>
    <w:p w:rsidR="0072720F" w:rsidRPr="0072720F" w:rsidRDefault="0072720F" w:rsidP="00B9405F">
      <w:pPr>
        <w:pStyle w:val="References"/>
      </w:pPr>
      <w:r w:rsidRPr="0072720F">
        <w:t xml:space="preserve">[34] </w:t>
      </w:r>
      <w:r>
        <w:tab/>
      </w:r>
      <w:r w:rsidRPr="0072720F">
        <w:t xml:space="preserve">M. Kruk, T. H. Ngo, V. Savva, A. Starukhin, W. Dehaen, W. Maes, </w:t>
      </w:r>
      <w:r w:rsidRPr="0072720F">
        <w:rPr>
          <w:i/>
        </w:rPr>
        <w:t>J. Phys. Chem. A</w:t>
      </w:r>
      <w:r w:rsidRPr="0072720F">
        <w:t xml:space="preserve"> </w:t>
      </w:r>
      <w:r w:rsidRPr="0072720F">
        <w:rPr>
          <w:b/>
        </w:rPr>
        <w:t>2012</w:t>
      </w:r>
      <w:r w:rsidRPr="0072720F">
        <w:t xml:space="preserve">, </w:t>
      </w:r>
      <w:r w:rsidRPr="0072720F">
        <w:rPr>
          <w:i/>
        </w:rPr>
        <w:t>116</w:t>
      </w:r>
      <w:r w:rsidRPr="0072720F">
        <w:t>, 10704</w:t>
      </w:r>
      <w:r w:rsidR="00CD7FE9">
        <w:t>–</w:t>
      </w:r>
      <w:r w:rsidRPr="0072720F">
        <w:t>10711.</w:t>
      </w:r>
    </w:p>
    <w:p w:rsidR="0072720F" w:rsidRPr="0072720F" w:rsidRDefault="0072720F" w:rsidP="00B9405F">
      <w:pPr>
        <w:pStyle w:val="References"/>
      </w:pPr>
      <w:r w:rsidRPr="0072720F">
        <w:t xml:space="preserve">[35] </w:t>
      </w:r>
      <w:r>
        <w:tab/>
      </w:r>
      <w:r w:rsidRPr="0072720F">
        <w:t xml:space="preserve">M. Kruk, T. H. Ngo, P. Verstappen, A. Starukhin, J. Hofkens, W. Dehaen, W. Maes, </w:t>
      </w:r>
      <w:r w:rsidRPr="0072720F">
        <w:rPr>
          <w:i/>
        </w:rPr>
        <w:t>J. Phys. Chem. A</w:t>
      </w:r>
      <w:r w:rsidRPr="0072720F">
        <w:t xml:space="preserve"> </w:t>
      </w:r>
      <w:r w:rsidRPr="0072720F">
        <w:rPr>
          <w:b/>
        </w:rPr>
        <w:t>2012</w:t>
      </w:r>
      <w:r w:rsidRPr="0072720F">
        <w:t xml:space="preserve">, </w:t>
      </w:r>
      <w:r w:rsidRPr="0072720F">
        <w:rPr>
          <w:i/>
        </w:rPr>
        <w:t>116</w:t>
      </w:r>
      <w:r w:rsidRPr="0072720F">
        <w:t>, 10695</w:t>
      </w:r>
      <w:r w:rsidR="00CD7FE9">
        <w:t>–</w:t>
      </w:r>
      <w:r w:rsidRPr="0072720F">
        <w:t>10703.</w:t>
      </w:r>
    </w:p>
    <w:p w:rsidR="0072720F" w:rsidRPr="0072720F" w:rsidRDefault="0072720F" w:rsidP="00B9405F">
      <w:pPr>
        <w:pStyle w:val="References"/>
      </w:pPr>
      <w:r w:rsidRPr="0072720F">
        <w:t xml:space="preserve">[36] </w:t>
      </w:r>
      <w:r>
        <w:tab/>
      </w:r>
      <w:r w:rsidRPr="0072720F">
        <w:t xml:space="preserve">W. Maes, T. H. Ngo, J. Vanderhaeghen, W. Dehaen, </w:t>
      </w:r>
      <w:r w:rsidRPr="0072720F">
        <w:rPr>
          <w:i/>
        </w:rPr>
        <w:t>Org. Lett.</w:t>
      </w:r>
      <w:r w:rsidRPr="0072720F">
        <w:t xml:space="preserve"> </w:t>
      </w:r>
      <w:r w:rsidRPr="0072720F">
        <w:rPr>
          <w:b/>
        </w:rPr>
        <w:t>2007</w:t>
      </w:r>
      <w:r w:rsidRPr="0072720F">
        <w:t xml:space="preserve">, </w:t>
      </w:r>
      <w:r w:rsidRPr="0072720F">
        <w:rPr>
          <w:i/>
        </w:rPr>
        <w:t>9</w:t>
      </w:r>
      <w:r w:rsidRPr="0072720F">
        <w:t>, 3165</w:t>
      </w:r>
      <w:r w:rsidR="00CD7FE9">
        <w:t>–</w:t>
      </w:r>
      <w:r w:rsidRPr="0072720F">
        <w:t>3168.</w:t>
      </w:r>
    </w:p>
    <w:p w:rsidR="0072720F" w:rsidRPr="0072720F" w:rsidRDefault="0072720F" w:rsidP="00B9405F">
      <w:pPr>
        <w:pStyle w:val="References"/>
      </w:pPr>
      <w:r w:rsidRPr="0072720F">
        <w:t xml:space="preserve">[37] </w:t>
      </w:r>
      <w:r>
        <w:tab/>
      </w:r>
      <w:r w:rsidRPr="0072720F">
        <w:t xml:space="preserve">F. Nastasi, S. Campagna, T. H. Ngo, W. Dehaen, W. Maes, M. Kruk, </w:t>
      </w:r>
      <w:r w:rsidRPr="0072720F">
        <w:rPr>
          <w:i/>
        </w:rPr>
        <w:t>Photochem. Photobiol. Sci.</w:t>
      </w:r>
      <w:r w:rsidRPr="0072720F">
        <w:t xml:space="preserve"> </w:t>
      </w:r>
      <w:r w:rsidRPr="0072720F">
        <w:rPr>
          <w:b/>
        </w:rPr>
        <w:t>2011</w:t>
      </w:r>
      <w:r w:rsidRPr="0072720F">
        <w:t xml:space="preserve">, </w:t>
      </w:r>
      <w:r w:rsidRPr="0072720F">
        <w:rPr>
          <w:i/>
        </w:rPr>
        <w:t>10</w:t>
      </w:r>
      <w:r w:rsidRPr="0072720F">
        <w:t>, 143</w:t>
      </w:r>
      <w:r w:rsidR="00CD7FE9">
        <w:t>–</w:t>
      </w:r>
      <w:r w:rsidRPr="0072720F">
        <w:t>150.</w:t>
      </w:r>
    </w:p>
    <w:p w:rsidR="0072720F" w:rsidRPr="0072720F" w:rsidRDefault="0072720F" w:rsidP="00B9405F">
      <w:pPr>
        <w:pStyle w:val="References"/>
      </w:pPr>
      <w:r w:rsidRPr="0072720F">
        <w:t xml:space="preserve">[38] </w:t>
      </w:r>
      <w:r>
        <w:tab/>
      </w:r>
      <w:r w:rsidRPr="0072720F">
        <w:t xml:space="preserve">T. H. Ngo, F. Puntoriero, F. Nastasi, K. Robeyns, L. Van Meervelt, S. Campagna, W. Dehaen, W. Maes, </w:t>
      </w:r>
      <w:r w:rsidRPr="0072720F">
        <w:rPr>
          <w:i/>
        </w:rPr>
        <w:t>Chem. Eur. J.</w:t>
      </w:r>
      <w:r w:rsidRPr="0072720F">
        <w:t xml:space="preserve"> </w:t>
      </w:r>
      <w:r w:rsidRPr="0072720F">
        <w:rPr>
          <w:b/>
        </w:rPr>
        <w:t>2010</w:t>
      </w:r>
      <w:r w:rsidRPr="0072720F">
        <w:t xml:space="preserve">, </w:t>
      </w:r>
      <w:r w:rsidRPr="0072720F">
        <w:rPr>
          <w:i/>
        </w:rPr>
        <w:t>16</w:t>
      </w:r>
      <w:r w:rsidRPr="0072720F">
        <w:t>, 5691</w:t>
      </w:r>
      <w:r w:rsidR="00CD7FE9">
        <w:t>–</w:t>
      </w:r>
      <w:r w:rsidRPr="0072720F">
        <w:t>5705.</w:t>
      </w:r>
    </w:p>
    <w:p w:rsidR="0072720F" w:rsidRPr="0072720F" w:rsidRDefault="0072720F" w:rsidP="00B9405F">
      <w:pPr>
        <w:pStyle w:val="References"/>
      </w:pPr>
      <w:r w:rsidRPr="0072720F">
        <w:t xml:space="preserve">[39] </w:t>
      </w:r>
      <w:r>
        <w:tab/>
      </w:r>
      <w:r w:rsidRPr="0072720F">
        <w:t xml:space="preserve">N. K. Devaraj, R. A. Decreau, W. Ebina, J. P. Collman, C. E. D. Chidsey, </w:t>
      </w:r>
      <w:r w:rsidRPr="0072720F">
        <w:rPr>
          <w:i/>
        </w:rPr>
        <w:t>J. Phys. Chem. B</w:t>
      </w:r>
      <w:r w:rsidRPr="0072720F">
        <w:t xml:space="preserve"> </w:t>
      </w:r>
      <w:r w:rsidRPr="0072720F">
        <w:rPr>
          <w:b/>
        </w:rPr>
        <w:t>2006</w:t>
      </w:r>
      <w:r w:rsidRPr="0072720F">
        <w:t xml:space="preserve">, </w:t>
      </w:r>
      <w:r w:rsidRPr="0072720F">
        <w:rPr>
          <w:i/>
        </w:rPr>
        <w:t>110</w:t>
      </w:r>
      <w:r w:rsidRPr="0072720F">
        <w:t>, 15955</w:t>
      </w:r>
      <w:r w:rsidR="00CD7FE9">
        <w:t>–</w:t>
      </w:r>
      <w:r w:rsidRPr="0072720F">
        <w:t>15962.</w:t>
      </w:r>
    </w:p>
    <w:p w:rsidR="0072720F" w:rsidRPr="0072720F" w:rsidRDefault="0072720F" w:rsidP="00B9405F">
      <w:pPr>
        <w:pStyle w:val="References"/>
      </w:pPr>
      <w:r w:rsidRPr="0072720F">
        <w:t xml:space="preserve">[40] </w:t>
      </w:r>
      <w:r>
        <w:tab/>
      </w:r>
      <w:r w:rsidRPr="0072720F">
        <w:t xml:space="preserve">L. C. Le Pleux, Y. Pellegrin, E. Blart, F. Odobel, A. Harriman, </w:t>
      </w:r>
      <w:r w:rsidRPr="0072720F">
        <w:rPr>
          <w:i/>
        </w:rPr>
        <w:t>J. Phys. Chem. A</w:t>
      </w:r>
      <w:r w:rsidRPr="0072720F">
        <w:t xml:space="preserve"> </w:t>
      </w:r>
      <w:r w:rsidRPr="0072720F">
        <w:rPr>
          <w:b/>
        </w:rPr>
        <w:t>2011</w:t>
      </w:r>
      <w:r w:rsidRPr="0072720F">
        <w:t xml:space="preserve">, </w:t>
      </w:r>
      <w:r w:rsidRPr="0072720F">
        <w:rPr>
          <w:i/>
        </w:rPr>
        <w:t>115</w:t>
      </w:r>
      <w:r w:rsidR="00CD7FE9">
        <w:t xml:space="preserve">, 5069 </w:t>
      </w:r>
      <w:r w:rsidRPr="0072720F">
        <w:t>5080.</w:t>
      </w:r>
    </w:p>
    <w:p w:rsidR="0072720F" w:rsidRPr="0072720F" w:rsidRDefault="0072720F" w:rsidP="00B9405F">
      <w:pPr>
        <w:pStyle w:val="References"/>
      </w:pPr>
      <w:r w:rsidRPr="0072720F">
        <w:t xml:space="preserve">[41] </w:t>
      </w:r>
      <w:r>
        <w:tab/>
      </w:r>
      <w:r w:rsidRPr="0072720F">
        <w:t>During this work, Nikolaou and coworkers reported a synthesis (also using the click reaction) of a porphyrin-corrole dyad and some of its photophysical and electrochemical properties.</w:t>
      </w:r>
      <w:r w:rsidRPr="0072720F">
        <w:rPr>
          <w:vertAlign w:val="superscript"/>
        </w:rPr>
        <w:t>[5i]</w:t>
      </w:r>
      <w:r w:rsidRPr="0072720F">
        <w:t xml:space="preserve"> They assigned the phenomenon of fluorescence quenching in their dyad as a possible symptom of electron transfer from porphyrin to copper corrole although this was not unequivocally demonstrated. </w:t>
      </w:r>
    </w:p>
    <w:p w:rsidR="0072720F" w:rsidRPr="0072720F" w:rsidRDefault="0072720F" w:rsidP="00B9405F">
      <w:pPr>
        <w:pStyle w:val="References"/>
      </w:pPr>
      <w:r w:rsidRPr="0072720F">
        <w:t xml:space="preserve">[42] </w:t>
      </w:r>
      <w:r>
        <w:tab/>
      </w:r>
      <w:r w:rsidRPr="0072720F">
        <w:t xml:space="preserve">V. V. Rostovtsev, L. G. Green, V. V. Fokin, K. B. Sharpless, </w:t>
      </w:r>
      <w:r w:rsidRPr="0072720F">
        <w:rPr>
          <w:i/>
        </w:rPr>
        <w:t>Angew. Chem. Int Ed</w:t>
      </w:r>
      <w:r w:rsidRPr="0072720F">
        <w:t xml:space="preserve">. </w:t>
      </w:r>
      <w:r w:rsidRPr="0072720F">
        <w:rPr>
          <w:b/>
        </w:rPr>
        <w:t>2002</w:t>
      </w:r>
      <w:r w:rsidR="00CD7FE9">
        <w:t>, 41, 2596–</w:t>
      </w:r>
      <w:r w:rsidRPr="0072720F">
        <w:t>2599.</w:t>
      </w:r>
    </w:p>
    <w:p w:rsidR="0072720F" w:rsidRPr="0072720F" w:rsidRDefault="0072720F" w:rsidP="00B9405F">
      <w:pPr>
        <w:pStyle w:val="References"/>
      </w:pPr>
      <w:r w:rsidRPr="0072720F">
        <w:t xml:space="preserve">[43] </w:t>
      </w:r>
      <w:r>
        <w:tab/>
      </w:r>
      <w:r w:rsidRPr="0072720F">
        <w:t xml:space="preserve">Gaussian 09, Revision </w:t>
      </w:r>
      <w:r w:rsidRPr="0072720F">
        <w:rPr>
          <w:bCs/>
        </w:rPr>
        <w:t>D.01</w:t>
      </w:r>
      <w:r w:rsidRPr="0072720F">
        <w:t>,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and D. J. Fox, Gaussian, Inc., Wallingford CT, 2009.</w:t>
      </w:r>
    </w:p>
    <w:p w:rsidR="0072720F" w:rsidRPr="0072720F" w:rsidRDefault="0072720F" w:rsidP="00B9405F">
      <w:pPr>
        <w:pStyle w:val="References"/>
      </w:pPr>
      <w:r w:rsidRPr="0072720F">
        <w:t xml:space="preserve">[44] </w:t>
      </w:r>
      <w:r>
        <w:tab/>
      </w:r>
      <w:r w:rsidRPr="0072720F">
        <w:t xml:space="preserve">C. Shao, X. Wang, J. Xu, J. Zhao, Q. Zhang, Y. Hu, </w:t>
      </w:r>
      <w:r w:rsidRPr="0072720F">
        <w:rPr>
          <w:i/>
        </w:rPr>
        <w:t>J. Org. Chem.</w:t>
      </w:r>
      <w:r w:rsidRPr="0072720F">
        <w:t xml:space="preserve"> </w:t>
      </w:r>
      <w:r w:rsidRPr="0072720F">
        <w:rPr>
          <w:b/>
        </w:rPr>
        <w:t>2010</w:t>
      </w:r>
      <w:r w:rsidRPr="0072720F">
        <w:t xml:space="preserve">, </w:t>
      </w:r>
      <w:r w:rsidRPr="0072720F">
        <w:rPr>
          <w:i/>
        </w:rPr>
        <w:t>75</w:t>
      </w:r>
      <w:r w:rsidR="000C0FAF">
        <w:t>, 7002-</w:t>
      </w:r>
      <w:r w:rsidRPr="0072720F">
        <w:t>7005.</w:t>
      </w:r>
    </w:p>
    <w:p w:rsidR="0072720F" w:rsidRPr="0072720F" w:rsidRDefault="0072720F" w:rsidP="00B9405F">
      <w:pPr>
        <w:pStyle w:val="References"/>
      </w:pPr>
      <w:r w:rsidRPr="0072720F">
        <w:t xml:space="preserve">[45] </w:t>
      </w:r>
      <w:r>
        <w:tab/>
      </w:r>
      <w:r w:rsidRPr="0072720F">
        <w:t xml:space="preserve">C. Shao, X. Wang, Q. Zhang, S. Luo, J. Zhao, Y. Hu, </w:t>
      </w:r>
      <w:r w:rsidRPr="0072720F">
        <w:rPr>
          <w:i/>
        </w:rPr>
        <w:t>J. Org. Chem.</w:t>
      </w:r>
      <w:r w:rsidRPr="0072720F">
        <w:t xml:space="preserve"> </w:t>
      </w:r>
      <w:r w:rsidRPr="0072720F">
        <w:rPr>
          <w:b/>
        </w:rPr>
        <w:t>2011</w:t>
      </w:r>
      <w:r w:rsidRPr="0072720F">
        <w:t xml:space="preserve">, </w:t>
      </w:r>
      <w:r w:rsidRPr="0072720F">
        <w:rPr>
          <w:i/>
        </w:rPr>
        <w:t>76</w:t>
      </w:r>
      <w:r w:rsidR="00CD7FE9">
        <w:t>, 6832–</w:t>
      </w:r>
      <w:r w:rsidRPr="0072720F">
        <w:t>6836.</w:t>
      </w:r>
    </w:p>
    <w:p w:rsidR="00D672E6" w:rsidRPr="006722A0" w:rsidRDefault="0072720F" w:rsidP="00B9405F">
      <w:pPr>
        <w:pStyle w:val="References"/>
      </w:pPr>
      <w:r w:rsidRPr="0072720F">
        <w:t xml:space="preserve">[46] </w:t>
      </w:r>
      <w:r>
        <w:tab/>
      </w:r>
      <w:r w:rsidRPr="0072720F">
        <w:t xml:space="preserve">D. Rehm, A. Weller, </w:t>
      </w:r>
      <w:r w:rsidRPr="0072720F">
        <w:rPr>
          <w:i/>
          <w:iCs/>
        </w:rPr>
        <w:t xml:space="preserve">Isr. J. Chem. </w:t>
      </w:r>
      <w:r w:rsidRPr="0072720F">
        <w:rPr>
          <w:b/>
          <w:bCs/>
        </w:rPr>
        <w:t>1970</w:t>
      </w:r>
      <w:r w:rsidRPr="0072720F">
        <w:t xml:space="preserve">, </w:t>
      </w:r>
      <w:r w:rsidRPr="0072720F">
        <w:rPr>
          <w:i/>
          <w:iCs/>
        </w:rPr>
        <w:t>8</w:t>
      </w:r>
      <w:r w:rsidR="00CD7FE9">
        <w:t>, 259–</w:t>
      </w:r>
      <w:r w:rsidRPr="0072720F">
        <w:t>271.</w:t>
      </w:r>
    </w:p>
    <w:p w:rsidR="00D672E6" w:rsidRPr="006722A0" w:rsidRDefault="00D672E6" w:rsidP="00D672E6">
      <w:pPr>
        <w:rPr>
          <w:lang w:val="en-GB"/>
        </w:rPr>
        <w:sectPr w:rsidR="00D672E6" w:rsidRPr="006722A0">
          <w:type w:val="continuous"/>
          <w:pgSz w:w="11906" w:h="16838" w:code="9"/>
          <w:pgMar w:top="1673" w:right="936" w:bottom="1134" w:left="936" w:header="709" w:footer="709" w:gutter="0"/>
          <w:cols w:num="2" w:space="284"/>
          <w:docGrid w:linePitch="360"/>
        </w:sectPr>
      </w:pPr>
    </w:p>
    <w:p w:rsidR="00D672E6" w:rsidRDefault="00D672E6" w:rsidP="00D672E6">
      <w:pPr>
        <w:rPr>
          <w:bCs/>
          <w:lang w:val="en-GB"/>
        </w:rPr>
      </w:pPr>
    </w:p>
    <w:p w:rsidR="00D672E6" w:rsidRDefault="00D672E6" w:rsidP="00D672E6">
      <w:pPr>
        <w:rPr>
          <w:bCs/>
          <w:lang w:val="en-GB"/>
        </w:rPr>
        <w:sectPr w:rsidR="00D672E6">
          <w:type w:val="continuous"/>
          <w:pgSz w:w="11906" w:h="16838" w:code="9"/>
          <w:pgMar w:top="1134" w:right="936" w:bottom="1134" w:left="936" w:header="1021" w:footer="0" w:gutter="0"/>
          <w:cols w:num="2" w:space="284"/>
          <w:docGrid w:linePitch="360"/>
        </w:sectPr>
      </w:pPr>
    </w:p>
    <w:p w:rsidR="00D672E6" w:rsidRDefault="00D672E6" w:rsidP="00D672E6">
      <w:pPr>
        <w:rPr>
          <w:bCs/>
          <w:lang w:val="en-GB"/>
        </w:rPr>
      </w:pPr>
    </w:p>
    <w:p w:rsidR="00D672E6" w:rsidRDefault="00D672E6" w:rsidP="00D672E6">
      <w:pPr>
        <w:rPr>
          <w:b/>
          <w:lang w:val="en-GB"/>
        </w:rPr>
      </w:pPr>
      <w:r w:rsidRPr="00621868">
        <w:rPr>
          <w:b/>
          <w:lang w:val="en-GB"/>
        </w:rPr>
        <w:t>Entry for the Table of Contents</w:t>
      </w:r>
      <w:r>
        <w:rPr>
          <w:lang w:val="en-GB"/>
        </w:rPr>
        <w:t xml:space="preserve"> (Please choose one layout)</w:t>
      </w:r>
    </w:p>
    <w:p w:rsidR="00D672E6" w:rsidRDefault="00D672E6" w:rsidP="00D672E6">
      <w:pPr>
        <w:rPr>
          <w:lang w:val="en-GB"/>
        </w:rPr>
      </w:pPr>
    </w:p>
    <w:p w:rsidR="00D672E6" w:rsidRDefault="00D672E6" w:rsidP="00D672E6">
      <w:pPr>
        <w:rPr>
          <w:lang w:val="en-GB"/>
        </w:rPr>
      </w:pPr>
    </w:p>
    <w:p w:rsidR="00D672E6" w:rsidRDefault="00D672E6" w:rsidP="00D672E6">
      <w:pPr>
        <w:spacing w:after="240"/>
        <w:rPr>
          <w:lang w:val="en-GB"/>
        </w:rPr>
      </w:pPr>
      <w:r w:rsidRPr="00621868">
        <w:rPr>
          <w:lang w:val="en-GB"/>
        </w:rPr>
        <w:t>Layout 2:</w:t>
      </w:r>
    </w:p>
    <w:tbl>
      <w:tblPr>
        <w:tblW w:w="10093" w:type="dxa"/>
        <w:tblLayout w:type="fixed"/>
        <w:tblLook w:val="01E0"/>
      </w:tblPr>
      <w:tblGrid>
        <w:gridCol w:w="6520"/>
        <w:gridCol w:w="284"/>
        <w:gridCol w:w="3289"/>
      </w:tblGrid>
      <w:tr w:rsidR="00D672E6">
        <w:trPr>
          <w:trHeight w:hRule="exact" w:val="340"/>
        </w:trPr>
        <w:tc>
          <w:tcPr>
            <w:tcW w:w="10093" w:type="dxa"/>
            <w:gridSpan w:val="3"/>
            <w:tcBorders>
              <w:bottom w:val="single" w:sz="36" w:space="0" w:color="BFBFBF"/>
            </w:tcBorders>
            <w:shd w:val="clear" w:color="auto" w:fill="auto"/>
          </w:tcPr>
          <w:p w:rsidR="00D672E6" w:rsidRDefault="00D672E6" w:rsidP="00D672E6">
            <w:pPr>
              <w:pStyle w:val="ColumnTitleTOC"/>
            </w:pPr>
            <w:r>
              <w:t>FULL PAPER</w:t>
            </w:r>
          </w:p>
        </w:tc>
      </w:tr>
      <w:tr w:rsidR="00D672E6">
        <w:trPr>
          <w:trHeight w:val="340"/>
        </w:trPr>
        <w:tc>
          <w:tcPr>
            <w:tcW w:w="6520" w:type="dxa"/>
            <w:vMerge w:val="restart"/>
            <w:tcBorders>
              <w:top w:val="single" w:sz="36" w:space="0" w:color="BFBFBF"/>
            </w:tcBorders>
            <w:shd w:val="clear" w:color="auto" w:fill="auto"/>
          </w:tcPr>
          <w:p w:rsidR="00D672E6" w:rsidRPr="00E4290B" w:rsidRDefault="000B2485" w:rsidP="00E4290B">
            <w:pPr>
              <w:pStyle w:val="TableOfContentText"/>
              <w:spacing w:before="1680"/>
              <w:jc w:val="both"/>
              <w:rPr>
                <w:b/>
              </w:rPr>
            </w:pPr>
            <w:r w:rsidRPr="000B2485">
              <w:rPr>
                <w:b/>
                <w:noProof/>
              </w:rPr>
              <w:pict>
                <v:rect id="_x0000_s1063" style="position:absolute;left:0;text-align:left;margin-left:-5.8pt;margin-top:5.75pt;width:326pt;height:63.7pt;z-index:251663360;mso-position-horizontal-relative:text;mso-position-vertical-relative:text" fillcolor="#eaeaea" stroked="f">
                  <v:textbox style="mso-next-textbox:#_x0000_s1063">
                    <w:txbxContent>
                      <w:p w:rsidR="002621A5" w:rsidRPr="00426970" w:rsidRDefault="002621A5" w:rsidP="00426970">
                        <w:r w:rsidRPr="00426970">
                          <w:rPr>
                            <w:noProof/>
                            <w:sz w:val="18"/>
                            <w:lang w:val="en-US" w:eastAsia="en-US"/>
                          </w:rPr>
                          <w:drawing>
                            <wp:inline distT="0" distB="0" distL="0" distR="0">
                              <wp:extent cx="1731324" cy="733052"/>
                              <wp:effectExtent l="25400" t="0" r="0" b="0"/>
                              <wp:docPr id="6"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rotWithShape="1">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7471" t="23481" r="27832" b="51277"/>
                                      <a:stretch/>
                                    </pic:blipFill>
                                    <pic:spPr bwMode="auto">
                                      <a:xfrm>
                                        <a:off x="0" y="0"/>
                                        <a:ext cx="1736261" cy="73514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sidR="00426970" w:rsidRPr="00E4290B">
              <w:rPr>
                <w:b/>
              </w:rPr>
              <w:t>Donor-acceptor conjugates based on zinc porphyrin as an electron donor and copper(III) corrole as an electron acceptor have been successfully prepared with outstanding yields. Electrochemical and computational studies revealed the electron deficient nature of copper(III) corrole leading to phenomena of photoinduced electron transfer from the singlet excited z</w:t>
            </w:r>
            <w:r w:rsidR="000C0FAF">
              <w:rPr>
                <w:b/>
              </w:rPr>
              <w:t>inc porphyrin to copper corrole, as demonstrated by femtosecond transient spectroscopy.</w:t>
            </w:r>
          </w:p>
        </w:tc>
        <w:tc>
          <w:tcPr>
            <w:tcW w:w="284" w:type="dxa"/>
            <w:tcBorders>
              <w:top w:val="single" w:sz="36" w:space="0" w:color="BFBFBF"/>
            </w:tcBorders>
            <w:shd w:val="clear" w:color="auto" w:fill="auto"/>
          </w:tcPr>
          <w:p w:rsidR="00D672E6" w:rsidRDefault="00D672E6" w:rsidP="00D672E6">
            <w:pPr>
              <w:rPr>
                <w:lang w:val="en-GB"/>
              </w:rPr>
            </w:pPr>
          </w:p>
        </w:tc>
        <w:tc>
          <w:tcPr>
            <w:tcW w:w="3289" w:type="dxa"/>
            <w:vMerge w:val="restart"/>
            <w:tcBorders>
              <w:top w:val="single" w:sz="36" w:space="0" w:color="BFBFBF"/>
            </w:tcBorders>
            <w:shd w:val="clear" w:color="auto" w:fill="auto"/>
          </w:tcPr>
          <w:p w:rsidR="00E4290B" w:rsidRPr="000C0FAF" w:rsidRDefault="00E4290B" w:rsidP="00E4290B">
            <w:pPr>
              <w:pStyle w:val="AuthorsTOC"/>
              <w:rPr>
                <w:vertAlign w:val="superscript"/>
              </w:rPr>
            </w:pPr>
            <w:r w:rsidRPr="000C0FAF">
              <w:t>Thien H. Ngo,</w:t>
            </w:r>
            <w:r w:rsidRPr="000C0FAF">
              <w:rPr>
                <w:vertAlign w:val="superscript"/>
              </w:rPr>
              <w:t>*</w:t>
            </w:r>
            <w:r w:rsidRPr="000C0FAF">
              <w:t xml:space="preserve"> David Zieba,</w:t>
            </w:r>
            <w:r w:rsidRPr="000C0FAF">
              <w:rPr>
                <w:vertAlign w:val="superscript"/>
              </w:rPr>
              <w:t xml:space="preserve"> </w:t>
            </w:r>
            <w:r w:rsidRPr="000C0FAF">
              <w:t>Whitney A. Webre, Gary N. Lim, Paul A. Karr, Scheghajegh Kord, Shangbin Jin,</w:t>
            </w:r>
            <w:r w:rsidRPr="000C0FAF">
              <w:rPr>
                <w:vertAlign w:val="superscript"/>
              </w:rPr>
              <w:t xml:space="preserve"> </w:t>
            </w:r>
            <w:r w:rsidRPr="000C0FAF">
              <w:t xml:space="preserve">Katsuhiko Ariga, </w:t>
            </w:r>
            <w:r w:rsidRPr="000C0FAF">
              <w:rPr>
                <w:bCs/>
              </w:rPr>
              <w:t>Marzia Galli,</w:t>
            </w:r>
            <w:r w:rsidRPr="000C0FAF">
              <w:t xml:space="preserve"> Steve Goldup, Jonathan P. Hill,</w:t>
            </w:r>
            <w:r w:rsidRPr="000C0FAF">
              <w:rPr>
                <w:vertAlign w:val="superscript"/>
              </w:rPr>
              <w:t>*</w:t>
            </w:r>
            <w:r w:rsidRPr="000C0FAF">
              <w:t xml:space="preserve"> and Francis D’Souza</w:t>
            </w:r>
            <w:r w:rsidRPr="000C0FAF">
              <w:rPr>
                <w:vertAlign w:val="superscript"/>
              </w:rPr>
              <w:t>*</w:t>
            </w:r>
          </w:p>
          <w:p w:rsidR="00D672E6" w:rsidRPr="009E5C87" w:rsidRDefault="00D672E6" w:rsidP="00D672E6">
            <w:pPr>
              <w:pStyle w:val="PageNumbers"/>
              <w:rPr>
                <w:lang w:val="en-GB"/>
              </w:rPr>
            </w:pPr>
            <w:r w:rsidRPr="009E5C87">
              <w:rPr>
                <w:lang w:val="en-GB"/>
              </w:rPr>
              <w:t>Page No.</w:t>
            </w:r>
            <w:r w:rsidR="00CD7FE9">
              <w:rPr>
                <w:lang w:val="en-GB"/>
              </w:rPr>
              <w:t>–</w:t>
            </w:r>
            <w:r w:rsidRPr="009E5C87">
              <w:rPr>
                <w:lang w:val="en-GB"/>
              </w:rPr>
              <w:t>Page No.</w:t>
            </w:r>
          </w:p>
          <w:p w:rsidR="00E4290B" w:rsidRPr="00E4290B" w:rsidRDefault="00E4290B" w:rsidP="00E4290B">
            <w:pPr>
              <w:pStyle w:val="TitleTOC"/>
              <w:framePr w:wrap="around"/>
            </w:pPr>
            <w:r w:rsidRPr="00E4290B">
              <w:t>Engaging Copper(III) Corrole as an Electron Acceptor: Photoinduced Charge Separation in Zinc Porphyrin-Copper Corrole Donor-Acceptor Conjugates</w:t>
            </w:r>
          </w:p>
          <w:p w:rsidR="00D672E6" w:rsidRDefault="00D672E6" w:rsidP="00D672E6">
            <w:pPr>
              <w:pStyle w:val="TitleTOC"/>
              <w:framePr w:wrap="around"/>
            </w:pPr>
          </w:p>
          <w:p w:rsidR="00D672E6" w:rsidRPr="009E5C87" w:rsidRDefault="00D672E6" w:rsidP="00D672E6">
            <w:pPr>
              <w:framePr w:hSpace="141" w:wrap="around" w:vAnchor="page" w:hAnchor="margin" w:y="1504"/>
              <w:rPr>
                <w:lang w:val="en-GB"/>
              </w:rPr>
            </w:pPr>
          </w:p>
        </w:tc>
      </w:tr>
      <w:tr w:rsidR="00D672E6">
        <w:trPr>
          <w:trHeight w:hRule="exact" w:val="2887"/>
        </w:trPr>
        <w:tc>
          <w:tcPr>
            <w:tcW w:w="6520" w:type="dxa"/>
            <w:vMerge/>
            <w:shd w:val="clear" w:color="auto" w:fill="auto"/>
          </w:tcPr>
          <w:p w:rsidR="00D672E6" w:rsidRDefault="00D672E6" w:rsidP="00D672E6">
            <w:pPr>
              <w:rPr>
                <w:lang w:val="en-GB"/>
              </w:rPr>
            </w:pPr>
          </w:p>
        </w:tc>
        <w:tc>
          <w:tcPr>
            <w:tcW w:w="284" w:type="dxa"/>
            <w:shd w:val="clear" w:color="auto" w:fill="auto"/>
          </w:tcPr>
          <w:p w:rsidR="00D672E6" w:rsidRDefault="00D672E6" w:rsidP="00D672E6">
            <w:pPr>
              <w:rPr>
                <w:lang w:val="en-GB"/>
              </w:rPr>
            </w:pPr>
          </w:p>
        </w:tc>
        <w:tc>
          <w:tcPr>
            <w:tcW w:w="3289" w:type="dxa"/>
            <w:vMerge/>
            <w:shd w:val="clear" w:color="auto" w:fill="auto"/>
          </w:tcPr>
          <w:p w:rsidR="00D672E6" w:rsidRDefault="00D672E6" w:rsidP="00D672E6">
            <w:pPr>
              <w:rPr>
                <w:lang w:val="en-GB"/>
              </w:rPr>
            </w:pPr>
          </w:p>
        </w:tc>
      </w:tr>
    </w:tbl>
    <w:p w:rsidR="00D672E6" w:rsidRDefault="00D672E6" w:rsidP="00D672E6">
      <w:pPr>
        <w:rPr>
          <w:lang w:val="en-GB"/>
        </w:rPr>
      </w:pPr>
    </w:p>
    <w:p w:rsidR="00D672E6" w:rsidRPr="008F525A" w:rsidRDefault="00D672E6" w:rsidP="00D672E6">
      <w:pPr>
        <w:rPr>
          <w:bCs/>
          <w:lang w:val="en-GB"/>
        </w:rPr>
      </w:pPr>
    </w:p>
    <w:sectPr w:rsidR="00D672E6" w:rsidRPr="008F525A" w:rsidSect="00D672E6">
      <w:pgSz w:w="11906" w:h="16838" w:code="9"/>
      <w:pgMar w:top="1134" w:right="936" w:bottom="1134" w:left="936" w:header="1021" w:footer="0" w:gutter="0"/>
      <w:cols w:space="284"/>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4B4" w:rsidRDefault="007A04B4">
      <w:r>
        <w:separator/>
      </w:r>
    </w:p>
  </w:endnote>
  <w:endnote w:type="continuationSeparator" w:id="0">
    <w:p w:rsidR="007A04B4" w:rsidRDefault="007A0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A5" w:rsidRDefault="002621A5" w:rsidP="00D672E6">
    <w:pPr>
      <w:pStyle w:val="Footer"/>
      <w:pBdr>
        <w:top w:val="single" w:sz="18" w:space="1" w:color="C0C0C0"/>
      </w:pBdr>
    </w:pPr>
  </w:p>
  <w:p w:rsidR="002621A5" w:rsidRDefault="002621A5" w:rsidP="00D672E6">
    <w:pPr>
      <w:pStyle w:val="Footer"/>
    </w:pPr>
  </w:p>
  <w:p w:rsidR="002621A5" w:rsidRDefault="002621A5" w:rsidP="00D672E6">
    <w:pPr>
      <w:pStyle w:val="Footer"/>
    </w:pPr>
  </w:p>
  <w:p w:rsidR="002621A5" w:rsidRPr="00205632" w:rsidRDefault="002621A5" w:rsidP="00D672E6">
    <w:pPr>
      <w:pStyle w:val="Footer"/>
    </w:pPr>
  </w:p>
  <w:p w:rsidR="002621A5" w:rsidRPr="0095126A" w:rsidRDefault="002621A5" w:rsidP="00D672E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4B4" w:rsidRDefault="007A04B4">
      <w:r>
        <w:separator/>
      </w:r>
    </w:p>
  </w:footnote>
  <w:footnote w:type="continuationSeparator" w:id="0">
    <w:p w:rsidR="007A04B4" w:rsidRDefault="007A04B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A5" w:rsidRPr="00C8278A" w:rsidRDefault="000B2485" w:rsidP="00D672E6">
    <w:pPr>
      <w:pStyle w:val="Header"/>
      <w:pBdr>
        <w:bottom w:val="single" w:sz="36" w:space="1" w:color="C0C0C0"/>
      </w:pBdr>
      <w:rPr>
        <w:rFonts w:ascii="Arial Narrow" w:hAnsi="Arial Narrow" w:cs="Arial"/>
        <w:b/>
        <w:bCs/>
        <w:color w:val="C0C0C0"/>
        <w:sz w:val="36"/>
        <w:szCs w:val="36"/>
      </w:rPr>
    </w:pPr>
    <w:r w:rsidRPr="000B2485">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621A5">
      <w:rPr>
        <w:rFonts w:ascii="Arial Narrow" w:hAnsi="Arial Narrow" w:cs="Arial"/>
        <w:b/>
        <w:bCs/>
        <w:noProof/>
        <w:color w:val="C0C0C0"/>
        <w:sz w:val="40"/>
        <w:szCs w:val="36"/>
        <w:lang w:val="en-US" w:eastAsia="en-US"/>
      </w:rPr>
      <w:drawing>
        <wp:inline distT="0" distB="0" distL="0" distR="0">
          <wp:extent cx="1439545" cy="416560"/>
          <wp:effectExtent l="2540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439545" cy="416560"/>
                  </a:xfrm>
                  <a:prstGeom prst="rect">
                    <a:avLst/>
                  </a:prstGeom>
                  <a:noFill/>
                  <a:ln w="9525">
                    <a:noFill/>
                    <a:miter lim="800000"/>
                    <a:headEnd/>
                    <a:tailEnd/>
                  </a:ln>
                </pic:spPr>
              </pic:pic>
            </a:graphicData>
          </a:graphic>
        </wp:inline>
      </w:drawing>
    </w:r>
    <w:r w:rsidR="002621A5">
      <w:rPr>
        <w:rFonts w:ascii="Arial Narrow" w:hAnsi="Arial Narrow" w:cs="Arial"/>
        <w:b/>
        <w:bCs/>
        <w:color w:val="C0C0C0"/>
        <w:sz w:val="40"/>
        <w:szCs w:val="36"/>
      </w:rPr>
      <w:tab/>
    </w:r>
    <w:r w:rsidR="002621A5">
      <w:rPr>
        <w:rFonts w:ascii="Arial Narrow" w:hAnsi="Arial Narrow" w:cs="Arial"/>
        <w:b/>
        <w:bCs/>
        <w:color w:val="C0C0C0"/>
        <w:sz w:val="40"/>
        <w:szCs w:val="36"/>
      </w:rPr>
      <w:tab/>
      <w:t xml:space="preserve">                            </w:t>
    </w:r>
    <w:r w:rsidR="002621A5" w:rsidRPr="00FB4551">
      <w:rPr>
        <w:rFonts w:ascii="Arial" w:hAnsi="Arial" w:cs="Arial"/>
        <w:b/>
        <w:bCs/>
        <w:color w:val="C0C0C0"/>
      </w:rPr>
      <w:t>www.chemsuschem.org</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A5" w:rsidRPr="00863DFC" w:rsidRDefault="000B2485" w:rsidP="00D672E6">
    <w:pPr>
      <w:pStyle w:val="Header"/>
      <w:pBdr>
        <w:bottom w:val="single" w:sz="18" w:space="1" w:color="C0C0C0"/>
      </w:pBdr>
    </w:pPr>
    <w:r w:rsidRPr="000B2485">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621A5">
      <w:rPr>
        <w:rFonts w:ascii="Arial Narrow" w:hAnsi="Arial Narrow" w:cs="Arial"/>
        <w:b/>
        <w:bCs/>
        <w:noProof/>
        <w:color w:val="C0C0C0"/>
        <w:sz w:val="32"/>
        <w:szCs w:val="36"/>
        <w:lang w:val="en-US" w:eastAsia="en-US"/>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2540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srcRect/>
                  <a:stretch>
                    <a:fillRect/>
                  </a:stretch>
                </pic:blipFill>
                <pic:spPr bwMode="auto">
                  <a:xfrm>
                    <a:off x="0" y="0"/>
                    <a:ext cx="1079500" cy="273050"/>
                  </a:xfrm>
                  <a:prstGeom prst="rect">
                    <a:avLst/>
                  </a:prstGeom>
                  <a:noFill/>
                  <a:ln w="9525">
                    <a:noFill/>
                    <a:miter lim="800000"/>
                    <a:headEnd/>
                    <a:tailEnd/>
                  </a:ln>
                </pic:spPr>
              </pic:pic>
            </a:graphicData>
          </a:graphic>
        </wp:anchor>
      </w:drawing>
    </w:r>
    <w:r w:rsidR="002621A5">
      <w:rPr>
        <w:rFonts w:ascii="Arial Narrow" w:hAnsi="Arial Narrow" w:cs="Arial"/>
        <w:b/>
        <w:bCs/>
        <w:color w:val="C0C0C0"/>
        <w:sz w:val="32"/>
        <w:szCs w:val="36"/>
      </w:rPr>
      <w:t>FULL PAPER</w:t>
    </w:r>
    <w:r w:rsidR="002621A5" w:rsidRPr="00971FC5">
      <w:rPr>
        <w:rFonts w:ascii="Arial Narrow" w:hAnsi="Arial Narrow" w:cs="Arial"/>
        <w:sz w:val="32"/>
        <w:szCs w:val="36"/>
      </w:rPr>
      <w:tab/>
    </w:r>
    <w:r w:rsidR="002621A5" w:rsidRPr="00971FC5">
      <w:rPr>
        <w:rFonts w:ascii="Arial Narrow" w:hAnsi="Arial Narrow" w:cs="Arial"/>
        <w:sz w:val="32"/>
        <w:szCs w:val="36"/>
      </w:rPr>
      <w:tab/>
    </w:r>
    <w:r w:rsidR="002621A5">
      <w:rPr>
        <w:rFonts w:ascii="Arial Narrow" w:hAnsi="Arial Narrow" w:cs="Arial"/>
        <w:sz w:val="32"/>
        <w:szCs w:val="36"/>
      </w:rP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A5" w:rsidRDefault="000B2485">
    <w:pPr>
      <w:pStyle w:val="Header"/>
    </w:pPr>
    <w:r w:rsidRPr="000B2485">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2pt;height:20.75pt" o:bullet="t">
        <v:imagedata r:id="rId1" o:title=""/>
      </v:shape>
    </w:pict>
  </w:numPicBullet>
  <w:abstractNum w:abstractNumId="0">
    <w:nsid w:val="2B6B75A4"/>
    <w:multiLevelType w:val="hybridMultilevel"/>
    <w:tmpl w:val="FCD29562"/>
    <w:lvl w:ilvl="0" w:tplc="B86C84E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3"/>
  <w:doNotDisplayPageBoundaries/>
  <w:hideSpellingErrors/>
  <w:doNotTrackMoves/>
  <w:defaultTabStop w:val="425"/>
  <w:hyphenationZone w:val="425"/>
  <w:drawingGridHorizontalSpacing w:val="120"/>
  <w:displayHorizontalDrawingGridEvery w:val="2"/>
  <w:noPunctuationKerning/>
  <w:characterSpacingControl w:val="doNotCompress"/>
  <w:hdrShapeDefaults>
    <o:shapedefaults v:ext="edit" spidmax="2059">
      <o:colormru v:ext="edit" colors="#eaeaea"/>
    </o:shapedefaults>
    <o:shapelayout v:ext="edit">
      <o:idmap v:ext="edit" data="2"/>
    </o:shapelayout>
  </w:hdrShapeDefaults>
  <w:footnotePr>
    <w:footnote w:id="-1"/>
    <w:footnote w:id="0"/>
  </w:footnotePr>
  <w:endnotePr>
    <w:endnote w:id="-1"/>
    <w:endnote w:id="0"/>
  </w:endnotePr>
  <w:compat>
    <w:useFELayout/>
  </w:compat>
  <w:rsids>
    <w:rsidRoot w:val="00D672E6"/>
    <w:rsid w:val="00010CD9"/>
    <w:rsid w:val="00027738"/>
    <w:rsid w:val="00074D8C"/>
    <w:rsid w:val="000B0BDB"/>
    <w:rsid w:val="000B2485"/>
    <w:rsid w:val="000C0FAF"/>
    <w:rsid w:val="000D5B2F"/>
    <w:rsid w:val="00115C51"/>
    <w:rsid w:val="00161BF5"/>
    <w:rsid w:val="001749E4"/>
    <w:rsid w:val="001845C1"/>
    <w:rsid w:val="00191395"/>
    <w:rsid w:val="001E2812"/>
    <w:rsid w:val="001F05ED"/>
    <w:rsid w:val="002053E6"/>
    <w:rsid w:val="00226EA0"/>
    <w:rsid w:val="00231CE7"/>
    <w:rsid w:val="002621A5"/>
    <w:rsid w:val="0029386A"/>
    <w:rsid w:val="002F1B1E"/>
    <w:rsid w:val="003276D0"/>
    <w:rsid w:val="00332640"/>
    <w:rsid w:val="00343D05"/>
    <w:rsid w:val="003D5B25"/>
    <w:rsid w:val="003E62C1"/>
    <w:rsid w:val="00426970"/>
    <w:rsid w:val="00426DB2"/>
    <w:rsid w:val="004D246C"/>
    <w:rsid w:val="004D509B"/>
    <w:rsid w:val="00532E0F"/>
    <w:rsid w:val="005812F2"/>
    <w:rsid w:val="005814AE"/>
    <w:rsid w:val="005D59CF"/>
    <w:rsid w:val="00602ACF"/>
    <w:rsid w:val="00613BDA"/>
    <w:rsid w:val="00622682"/>
    <w:rsid w:val="00626FBC"/>
    <w:rsid w:val="00650874"/>
    <w:rsid w:val="00680CAF"/>
    <w:rsid w:val="00681BFC"/>
    <w:rsid w:val="00692235"/>
    <w:rsid w:val="006A4305"/>
    <w:rsid w:val="006B6D2B"/>
    <w:rsid w:val="0071003B"/>
    <w:rsid w:val="00711610"/>
    <w:rsid w:val="0072720F"/>
    <w:rsid w:val="00732202"/>
    <w:rsid w:val="007344BF"/>
    <w:rsid w:val="007621E9"/>
    <w:rsid w:val="007A04B4"/>
    <w:rsid w:val="007A3BBB"/>
    <w:rsid w:val="007A685F"/>
    <w:rsid w:val="007A79B0"/>
    <w:rsid w:val="007E2B72"/>
    <w:rsid w:val="007F3C98"/>
    <w:rsid w:val="008028ED"/>
    <w:rsid w:val="008438E4"/>
    <w:rsid w:val="00887FD8"/>
    <w:rsid w:val="008C3E35"/>
    <w:rsid w:val="008C5678"/>
    <w:rsid w:val="00906E7C"/>
    <w:rsid w:val="009570F9"/>
    <w:rsid w:val="009F6274"/>
    <w:rsid w:val="00A03771"/>
    <w:rsid w:val="00A16998"/>
    <w:rsid w:val="00AA77E0"/>
    <w:rsid w:val="00AB32BE"/>
    <w:rsid w:val="00B647D1"/>
    <w:rsid w:val="00B9405F"/>
    <w:rsid w:val="00BC5562"/>
    <w:rsid w:val="00BF3A14"/>
    <w:rsid w:val="00C503DB"/>
    <w:rsid w:val="00C905B1"/>
    <w:rsid w:val="00CD7FE9"/>
    <w:rsid w:val="00D02D95"/>
    <w:rsid w:val="00D62F32"/>
    <w:rsid w:val="00D672E6"/>
    <w:rsid w:val="00DB25BD"/>
    <w:rsid w:val="00DD0A9F"/>
    <w:rsid w:val="00E4290B"/>
    <w:rsid w:val="00E80700"/>
    <w:rsid w:val="00EA531B"/>
    <w:rsid w:val="00ED36CC"/>
    <w:rsid w:val="00F420B9"/>
    <w:rsid w:val="00F44C1C"/>
    <w:rsid w:val="00F81D95"/>
    <w:rsid w:val="00FA446E"/>
    <w:rsid w:val="00FC039F"/>
    <w:rsid w:val="00FC1083"/>
  </w:rsids>
  <m:mathPr>
    <m:mathFont m:val="@ＭＳ 明朝"/>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7E2B72"/>
    <w:rPr>
      <w:lang w:val="de-DE"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A03771"/>
    <w:pPr>
      <w:spacing w:before="360" w:after="120" w:line="230" w:lineRule="atLeast"/>
      <w:jc w:val="both"/>
    </w:pPr>
    <w:rPr>
      <w:rFonts w:ascii="Arial" w:hAnsi="Arial"/>
      <w:b/>
      <w:sz w:val="22"/>
      <w:szCs w:val="20"/>
      <w:lang w:val="en-US"/>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E4290B"/>
    <w:pPr>
      <w:framePr w:hSpace="141" w:wrap="around" w:vAnchor="page" w:hAnchor="margin" w:y="1504"/>
    </w:pPr>
    <w:rPr>
      <w:b/>
      <w:i w:val="0"/>
      <w:lang w:val="en-US"/>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rsid w:val="00FA446E"/>
    <w:rPr>
      <w:color w:val="0000FF" w:themeColor="hyperlink"/>
      <w:u w:val="single"/>
    </w:rPr>
  </w:style>
  <w:style w:type="character" w:customStyle="1" w:styleId="formelementstext">
    <w:name w:val="form_elements_text"/>
    <w:basedOn w:val="DefaultParagraphFont"/>
    <w:rsid w:val="002053E6"/>
  </w:style>
  <w:style w:type="paragraph" w:styleId="NormalWeb">
    <w:name w:val="Normal (Web)"/>
    <w:basedOn w:val="Normal"/>
    <w:uiPriority w:val="99"/>
    <w:unhideWhenUsed/>
    <w:rsid w:val="002053E6"/>
    <w:pPr>
      <w:spacing w:before="100" w:beforeAutospacing="1" w:after="100" w:afterAutospacing="1"/>
    </w:pPr>
    <w:rPr>
      <w:rFonts w:eastAsia="Times New Roman"/>
      <w:lang w:val="en-US" w:eastAsia="en-US"/>
    </w:rPr>
  </w:style>
  <w:style w:type="paragraph" w:customStyle="1" w:styleId="TAMainText">
    <w:name w:val="TA_Main_Text"/>
    <w:basedOn w:val="Normal"/>
    <w:rsid w:val="002053E6"/>
    <w:pPr>
      <w:spacing w:line="480" w:lineRule="auto"/>
      <w:ind w:firstLine="202"/>
      <w:jc w:val="both"/>
    </w:pPr>
    <w:rPr>
      <w:rFonts w:ascii="Times" w:hAnsi="Times"/>
      <w:szCs w:val="20"/>
      <w:lang w:val="en-US" w:eastAsia="en-US"/>
    </w:rPr>
  </w:style>
  <w:style w:type="paragraph" w:customStyle="1" w:styleId="MainText">
    <w:name w:val="Main Text"/>
    <w:basedOn w:val="Normal"/>
    <w:link w:val="MainTextChar"/>
    <w:rsid w:val="002053E6"/>
    <w:pPr>
      <w:spacing w:line="480" w:lineRule="auto"/>
    </w:pPr>
    <w:rPr>
      <w:lang w:val="en-US"/>
    </w:rPr>
  </w:style>
  <w:style w:type="character" w:customStyle="1" w:styleId="MainTextChar">
    <w:name w:val="Main Text Char"/>
    <w:link w:val="MainText"/>
    <w:rsid w:val="002053E6"/>
    <w:rPr>
      <w:rFonts w:eastAsia="MS Mincho"/>
      <w:lang w:eastAsia="ja-JP"/>
    </w:rPr>
  </w:style>
  <w:style w:type="character" w:styleId="FollowedHyperlink">
    <w:name w:val="FollowedHyperlink"/>
    <w:basedOn w:val="DefaultParagraphFont"/>
    <w:uiPriority w:val="99"/>
    <w:unhideWhenUsed/>
    <w:rsid w:val="002053E6"/>
    <w:rPr>
      <w:color w:val="800080" w:themeColor="followedHyperlink"/>
      <w:u w:val="single"/>
    </w:rPr>
  </w:style>
  <w:style w:type="table" w:styleId="TableGrid">
    <w:name w:val="Table Grid"/>
    <w:basedOn w:val="TableNormal"/>
    <w:rsid w:val="002053E6"/>
    <w:rPr>
      <w:rFonts w:asciiTheme="minorHAnsi" w:eastAsiaTheme="minorEastAsia" w:hAnsiTheme="minorHAnsi" w:cstheme="minorBidi"/>
      <w:sz w:val="22"/>
      <w:szCs w:val="22"/>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
    <w:name w:val="EndNote Bibliography"/>
    <w:basedOn w:val="Normal"/>
    <w:rsid w:val="002053E6"/>
    <w:pPr>
      <w:spacing w:after="160"/>
    </w:pPr>
    <w:rPr>
      <w:rFonts w:ascii="Cambria" w:eastAsiaTheme="minorEastAsia" w:hAnsi="Cambria" w:cstheme="minorBidi"/>
      <w:sz w:val="22"/>
      <w:szCs w:val="22"/>
      <w:lang w:val="en-US"/>
    </w:rPr>
  </w:style>
  <w:style w:type="paragraph" w:customStyle="1" w:styleId="N3References">
    <w:name w:val="N3 References"/>
    <w:rsid w:val="002053E6"/>
    <w:pPr>
      <w:tabs>
        <w:tab w:val="left" w:pos="284"/>
      </w:tabs>
      <w:spacing w:line="190" w:lineRule="exact"/>
      <w:ind w:left="284" w:hanging="284"/>
      <w:jc w:val="both"/>
    </w:pPr>
    <w:rPr>
      <w:noProof/>
      <w:sz w:val="16"/>
      <w:szCs w:val="20"/>
      <w:lang w:val="en-GB" w:eastAsia="en-GB"/>
    </w:rPr>
  </w:style>
  <w:style w:type="paragraph" w:customStyle="1" w:styleId="schemecaptions">
    <w:name w:val="schemecaptions"/>
    <w:basedOn w:val="P1"/>
    <w:rsid w:val="00343D05"/>
  </w:style>
</w:styles>
</file>

<file path=word/webSettings.xml><?xml version="1.0" encoding="utf-8"?>
<w:webSettings xmlns:r="http://schemas.openxmlformats.org/officeDocument/2006/relationships" xmlns:w="http://schemas.openxmlformats.org/wordprocessingml/2006/main">
  <w:divs>
    <w:div w:id="1234658839">
      <w:bodyDiv w:val="1"/>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0"/>
          <w:marRight w:val="0"/>
          <w:marTop w:val="0"/>
          <w:marBottom w:val="0"/>
          <w:divBdr>
            <w:top w:val="none" w:sz="0" w:space="0" w:color="auto"/>
            <w:left w:val="none" w:sz="0" w:space="0" w:color="auto"/>
            <w:bottom w:val="none" w:sz="0" w:space="0" w:color="auto"/>
            <w:right w:val="none" w:sz="0" w:space="0" w:color="auto"/>
          </w:divBdr>
          <w:divsChild>
            <w:div w:id="921569015">
              <w:marLeft w:val="0"/>
              <w:marRight w:val="0"/>
              <w:marTop w:val="0"/>
              <w:marBottom w:val="0"/>
              <w:divBdr>
                <w:top w:val="none" w:sz="0" w:space="0" w:color="auto"/>
                <w:left w:val="none" w:sz="0" w:space="0" w:color="auto"/>
                <w:bottom w:val="none" w:sz="0" w:space="0" w:color="auto"/>
                <w:right w:val="none" w:sz="0" w:space="0" w:color="auto"/>
              </w:divBdr>
              <w:divsChild>
                <w:div w:id="7424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Francis.Dsouza@unt.edu" TargetMode="External"/><Relationship Id="rId20" Type="http://schemas.openxmlformats.org/officeDocument/2006/relationships/image" Target="media/image12.tiff"/><Relationship Id="rId21" Type="http://schemas.openxmlformats.org/officeDocument/2006/relationships/image" Target="media/image13.tiff"/><Relationship Id="rId22" Type="http://schemas.openxmlformats.org/officeDocument/2006/relationships/image" Target="media/image14.png"/><Relationship Id="rId23" Type="http://schemas.microsoft.com/office/2007/relationships/hdphoto" Target="media/hdphoto2.wdp"/><Relationship Id="rId24" Type="http://schemas.openxmlformats.org/officeDocument/2006/relationships/image" Target="media/image15.tiff"/><Relationship Id="rId25" Type="http://schemas.openxmlformats.org/officeDocument/2006/relationships/image" Target="media/image16.tiff"/><Relationship Id="rId26" Type="http://schemas.openxmlformats.org/officeDocument/2006/relationships/image" Target="media/image17.tif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image" Target="media/image7.tiff"/><Relationship Id="rId15" Type="http://schemas.openxmlformats.org/officeDocument/2006/relationships/image" Target="media/image8.png"/><Relationship Id="rId16" Type="http://schemas.openxmlformats.org/officeDocument/2006/relationships/image" Target="media/image9.png"/><Relationship Id="rId17" Type="http://schemas.microsoft.com/office/2007/relationships/hdphoto" Target="media/hdphoto1.wdp"/><Relationship Id="rId18" Type="http://schemas.openxmlformats.org/officeDocument/2006/relationships/image" Target="media/image10.tiff"/><Relationship Id="rId19" Type="http://schemas.openxmlformats.org/officeDocument/2006/relationships/image" Target="media/image11.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NGO.Huynhthien@nims.go.jp" TargetMode="External"/><Relationship Id="rId8" Type="http://schemas.openxmlformats.org/officeDocument/2006/relationships/hyperlink" Target="mailto:Jonathan.Hill@nims.go.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7330</Words>
  <Characters>41782</Characters>
  <Application>Microsoft Macintosh Word</Application>
  <DocSecurity>0</DocSecurity>
  <Lines>348</Lines>
  <Paragraphs>83</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51311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Huynh Thien Ngo</dc:creator>
  <cp:keywords/>
  <cp:lastModifiedBy>Huynh Thien Ngo</cp:lastModifiedBy>
  <cp:revision>2</cp:revision>
  <cp:lastPrinted>2015-09-01T09:54:00Z</cp:lastPrinted>
  <dcterms:created xsi:type="dcterms:W3CDTF">2015-10-13T13:27:00Z</dcterms:created>
  <dcterms:modified xsi:type="dcterms:W3CDTF">2015-10-13T13:27:00Z</dcterms:modified>
</cp:coreProperties>
</file>