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4A8E4" w14:textId="77777777" w:rsidR="00CF01B2" w:rsidRPr="009B670F" w:rsidRDefault="00CF01B2" w:rsidP="00CF01B2">
      <w:pPr>
        <w:pStyle w:val="Heading2"/>
      </w:pPr>
      <w:bookmarkStart w:id="0" w:name="_Toc395539466"/>
      <w:bookmarkStart w:id="1" w:name="_Toc123028189"/>
      <w:bookmarkStart w:id="2" w:name="_GoBack"/>
      <w:bookmarkEnd w:id="2"/>
      <w:r>
        <w:t>U</w:t>
      </w:r>
      <w:r w:rsidRPr="009B670F">
        <w:t>pper extremity musculoskeletal pain among office workers in three Spanish speaking-countries: findings from the CUPID study.</w:t>
      </w:r>
      <w:bookmarkEnd w:id="0"/>
    </w:p>
    <w:p w14:paraId="0CEFF3B8" w14:textId="77777777" w:rsidR="00CF01B2" w:rsidRPr="009B670F" w:rsidRDefault="00CF01B2" w:rsidP="00CF01B2">
      <w:pPr>
        <w:pStyle w:val="ListParagraph"/>
        <w:widowControl w:val="0"/>
        <w:ind w:left="0"/>
        <w:contextualSpacing w:val="0"/>
        <w:rPr>
          <w:b/>
          <w:bCs/>
        </w:rPr>
      </w:pPr>
    </w:p>
    <w:p w14:paraId="6C6598DB" w14:textId="77777777" w:rsidR="00CF01B2" w:rsidRPr="009B670F" w:rsidRDefault="00CF01B2" w:rsidP="00CF01B2">
      <w:pPr>
        <w:pStyle w:val="ListParagraph"/>
        <w:widowControl w:val="0"/>
        <w:ind w:left="0"/>
        <w:contextualSpacing w:val="0"/>
        <w:rPr>
          <w:bCs/>
        </w:rPr>
      </w:pPr>
    </w:p>
    <w:p w14:paraId="10A6008C" w14:textId="77777777" w:rsidR="00CF01B2" w:rsidRPr="00366612" w:rsidRDefault="00CF01B2" w:rsidP="00CF01B2">
      <w:pPr>
        <w:pStyle w:val="ListParagraph"/>
        <w:widowControl w:val="0"/>
        <w:spacing w:line="360" w:lineRule="auto"/>
        <w:ind w:left="0"/>
        <w:rPr>
          <w:bCs/>
          <w:lang w:val="es-ES"/>
        </w:rPr>
      </w:pPr>
      <w:r w:rsidRPr="00366612">
        <w:rPr>
          <w:bCs/>
          <w:lang w:val="es-ES"/>
        </w:rPr>
        <w:t xml:space="preserve">Adriana Campos-Fumero (1, 2), George L. Delclos (1,3,4), David I. Douphrate (1), Sarah A. Felknor (1,6), Sergio Vargas-Prada (3,4), Consol Serra (3,4,5), </w:t>
      </w:r>
      <w:r w:rsidR="00D73DC3">
        <w:rPr>
          <w:bCs/>
          <w:lang w:val="es-ES"/>
        </w:rPr>
        <w:t>David Coggon (7</w:t>
      </w:r>
      <w:r w:rsidR="00676BEE">
        <w:rPr>
          <w:bCs/>
          <w:lang w:val="es-ES"/>
        </w:rPr>
        <w:t>,8</w:t>
      </w:r>
      <w:r w:rsidR="00D73DC3">
        <w:rPr>
          <w:bCs/>
          <w:lang w:val="es-ES"/>
        </w:rPr>
        <w:t xml:space="preserve">), </w:t>
      </w:r>
      <w:r w:rsidRPr="00EF6268">
        <w:rPr>
          <w:bCs/>
          <w:lang w:val="es-ES"/>
        </w:rPr>
        <w:t>David Gimeno</w:t>
      </w:r>
      <w:r w:rsidRPr="00366612">
        <w:rPr>
          <w:bCs/>
          <w:lang w:val="es-ES"/>
        </w:rPr>
        <w:t xml:space="preserve"> (1,3,4)</w:t>
      </w:r>
    </w:p>
    <w:p w14:paraId="4B6FBF6B" w14:textId="77777777" w:rsidR="00CF01B2" w:rsidRPr="00366612" w:rsidRDefault="00CF01B2" w:rsidP="00CF01B2">
      <w:pPr>
        <w:pStyle w:val="ListParagraph"/>
        <w:widowControl w:val="0"/>
        <w:spacing w:line="360" w:lineRule="auto"/>
        <w:ind w:left="0"/>
        <w:contextualSpacing w:val="0"/>
        <w:rPr>
          <w:bCs/>
          <w:lang w:val="es-ES"/>
        </w:rPr>
      </w:pPr>
    </w:p>
    <w:p w14:paraId="190F4D6E" w14:textId="77777777" w:rsidR="00CF01B2" w:rsidRPr="009B670F" w:rsidRDefault="00CF01B2" w:rsidP="00CF01B2">
      <w:pPr>
        <w:pStyle w:val="ListParagraph"/>
        <w:widowControl w:val="0"/>
        <w:numPr>
          <w:ilvl w:val="0"/>
          <w:numId w:val="13"/>
        </w:numPr>
        <w:spacing w:line="360" w:lineRule="auto"/>
        <w:contextualSpacing w:val="0"/>
        <w:rPr>
          <w:bCs/>
        </w:rPr>
      </w:pPr>
      <w:r w:rsidRPr="009B670F">
        <w:rPr>
          <w:bCs/>
        </w:rPr>
        <w:t>The University of Texas Health Science Center at Houston, School of Public Health, Houston, Texas, USA.</w:t>
      </w:r>
    </w:p>
    <w:p w14:paraId="7B1A3B77" w14:textId="77777777" w:rsidR="00CF01B2" w:rsidRDefault="00CF01B2" w:rsidP="00CF01B2">
      <w:pPr>
        <w:pStyle w:val="ListParagraph"/>
        <w:widowControl w:val="0"/>
        <w:numPr>
          <w:ilvl w:val="0"/>
          <w:numId w:val="13"/>
        </w:numPr>
        <w:spacing w:line="360" w:lineRule="auto"/>
        <w:contextualSpacing w:val="0"/>
        <w:rPr>
          <w:bCs/>
          <w:lang w:val="es-ES"/>
        </w:rPr>
      </w:pPr>
      <w:r w:rsidRPr="000B7254">
        <w:rPr>
          <w:bCs/>
          <w:lang w:val="es-ES"/>
        </w:rPr>
        <w:t>Instituto Te</w:t>
      </w:r>
      <w:r w:rsidRPr="0023573E">
        <w:rPr>
          <w:bCs/>
          <w:lang w:val="es-ES"/>
        </w:rPr>
        <w:t>cno</w:t>
      </w:r>
      <w:r w:rsidRPr="009B670F">
        <w:rPr>
          <w:bCs/>
          <w:lang w:val="es-ES"/>
        </w:rPr>
        <w:t>lógico de Costa Rica, Cartago, Costa Rica.</w:t>
      </w:r>
    </w:p>
    <w:p w14:paraId="38684183" w14:textId="77777777" w:rsidR="00CF01B2" w:rsidRDefault="00CF01B2" w:rsidP="00CF01B2">
      <w:pPr>
        <w:pStyle w:val="ListParagraph"/>
        <w:widowControl w:val="0"/>
        <w:numPr>
          <w:ilvl w:val="0"/>
          <w:numId w:val="13"/>
        </w:numPr>
        <w:spacing w:line="360" w:lineRule="auto"/>
        <w:contextualSpacing w:val="0"/>
        <w:rPr>
          <w:bCs/>
        </w:rPr>
      </w:pPr>
      <w:r w:rsidRPr="00EF6268">
        <w:rPr>
          <w:bCs/>
        </w:rPr>
        <w:t xml:space="preserve">Center for Research in Occupational Health </w:t>
      </w:r>
      <w:r>
        <w:rPr>
          <w:bCs/>
        </w:rPr>
        <w:t>(CiSAL), Universitat Pompeu Fabra, Barcelona, Spain.</w:t>
      </w:r>
    </w:p>
    <w:p w14:paraId="12A60D0B" w14:textId="77777777" w:rsidR="00CF01B2" w:rsidRPr="00EF6268" w:rsidRDefault="00CF01B2" w:rsidP="00CF01B2">
      <w:pPr>
        <w:pStyle w:val="ListParagraph"/>
        <w:widowControl w:val="0"/>
        <w:numPr>
          <w:ilvl w:val="0"/>
          <w:numId w:val="13"/>
        </w:numPr>
        <w:spacing w:line="360" w:lineRule="auto"/>
        <w:contextualSpacing w:val="0"/>
        <w:rPr>
          <w:bCs/>
          <w:lang w:val="es-ES"/>
        </w:rPr>
      </w:pPr>
      <w:r w:rsidRPr="00EF6268">
        <w:rPr>
          <w:bCs/>
          <w:lang w:val="es-ES"/>
        </w:rPr>
        <w:t>CIBER Epidemiología y Salud Pública (CIBERESP), Spain</w:t>
      </w:r>
      <w:r>
        <w:rPr>
          <w:bCs/>
          <w:lang w:val="es-ES"/>
        </w:rPr>
        <w:t>.</w:t>
      </w:r>
    </w:p>
    <w:p w14:paraId="074F194B" w14:textId="77777777" w:rsidR="00CF01B2" w:rsidRPr="00EF6268" w:rsidRDefault="00CF01B2" w:rsidP="00CF01B2">
      <w:pPr>
        <w:pStyle w:val="ListParagraph"/>
        <w:widowControl w:val="0"/>
        <w:numPr>
          <w:ilvl w:val="0"/>
          <w:numId w:val="13"/>
        </w:numPr>
        <w:spacing w:line="360" w:lineRule="auto"/>
        <w:contextualSpacing w:val="0"/>
        <w:rPr>
          <w:bCs/>
        </w:rPr>
      </w:pPr>
      <w:r w:rsidRPr="00EF6268">
        <w:rPr>
          <w:bCs/>
        </w:rPr>
        <w:t>Department of Occupational Health, Parc de Salut Mar, Barcelona, Spain.</w:t>
      </w:r>
    </w:p>
    <w:p w14:paraId="008A11DD" w14:textId="77777777" w:rsidR="00CF01B2" w:rsidRDefault="00CF01B2" w:rsidP="00CF01B2">
      <w:pPr>
        <w:pStyle w:val="ListParagraph"/>
        <w:widowControl w:val="0"/>
        <w:numPr>
          <w:ilvl w:val="0"/>
          <w:numId w:val="13"/>
        </w:numPr>
        <w:spacing w:line="360" w:lineRule="auto"/>
        <w:rPr>
          <w:bCs/>
        </w:rPr>
      </w:pPr>
      <w:r>
        <w:rPr>
          <w:bCs/>
        </w:rPr>
        <w:t>National Institute for Occupational Safety and Health (NIOSH), Atlanta, USA.</w:t>
      </w:r>
    </w:p>
    <w:p w14:paraId="4BDC06ED" w14:textId="77777777" w:rsidR="00676BEE" w:rsidRDefault="00676BEE" w:rsidP="00D73DC3">
      <w:pPr>
        <w:pStyle w:val="ListParagraph"/>
        <w:widowControl w:val="0"/>
        <w:numPr>
          <w:ilvl w:val="0"/>
          <w:numId w:val="13"/>
        </w:numPr>
        <w:spacing w:line="360" w:lineRule="auto"/>
        <w:rPr>
          <w:bCs/>
        </w:rPr>
      </w:pPr>
      <w:r>
        <w:rPr>
          <w:bCs/>
        </w:rPr>
        <w:t>Arthritis Research-UK/MRC Centre for Musculoskeletal Health and Work, University of Southampton, UK</w:t>
      </w:r>
    </w:p>
    <w:p w14:paraId="5302A26A" w14:textId="77777777" w:rsidR="00D73DC3" w:rsidRPr="00D73DC3" w:rsidRDefault="00D73DC3" w:rsidP="00D73DC3">
      <w:pPr>
        <w:pStyle w:val="ListParagraph"/>
        <w:widowControl w:val="0"/>
        <w:numPr>
          <w:ilvl w:val="0"/>
          <w:numId w:val="13"/>
        </w:numPr>
        <w:spacing w:line="360" w:lineRule="auto"/>
        <w:rPr>
          <w:bCs/>
        </w:rPr>
      </w:pPr>
      <w:r>
        <w:rPr>
          <w:bCs/>
        </w:rPr>
        <w:t>Medical Research Council Lifecourse Epidemiology Unit, University of Southamptom, UK.</w:t>
      </w:r>
    </w:p>
    <w:p w14:paraId="38707FB9" w14:textId="77777777" w:rsidR="00CF01B2" w:rsidRPr="00EF6268" w:rsidRDefault="00CF01B2" w:rsidP="00CF01B2">
      <w:pPr>
        <w:spacing w:line="276" w:lineRule="auto"/>
        <w:rPr>
          <w:b/>
        </w:rPr>
      </w:pPr>
    </w:p>
    <w:p w14:paraId="4EE0BD63" w14:textId="77777777" w:rsidR="00CF01B2" w:rsidRPr="00133706" w:rsidRDefault="00CF01B2" w:rsidP="00CF01B2">
      <w:pPr>
        <w:spacing w:line="276" w:lineRule="auto"/>
        <w:rPr>
          <w:lang w:val="es-ES"/>
        </w:rPr>
      </w:pPr>
      <w:r w:rsidRPr="00133706">
        <w:rPr>
          <w:b/>
          <w:lang w:val="es-ES"/>
        </w:rPr>
        <w:t>Correspondence:</w:t>
      </w:r>
      <w:r w:rsidRPr="00133706">
        <w:rPr>
          <w:lang w:val="es-ES"/>
        </w:rPr>
        <w:t xml:space="preserve"> </w:t>
      </w:r>
    </w:p>
    <w:p w14:paraId="1ECE6F5C" w14:textId="77777777" w:rsidR="00CF01B2" w:rsidRPr="00133706" w:rsidRDefault="00CF01B2" w:rsidP="00CF01B2">
      <w:pPr>
        <w:spacing w:line="276" w:lineRule="auto"/>
        <w:rPr>
          <w:lang w:val="es-ES"/>
        </w:rPr>
      </w:pPr>
      <w:r w:rsidRPr="00133706">
        <w:rPr>
          <w:lang w:val="es-ES"/>
        </w:rPr>
        <w:t>Adriana Campos Fumero</w:t>
      </w:r>
    </w:p>
    <w:p w14:paraId="7092E194" w14:textId="77777777" w:rsidR="00CF01B2" w:rsidRPr="00133706" w:rsidRDefault="00CF01B2" w:rsidP="00CF01B2">
      <w:pPr>
        <w:spacing w:line="276" w:lineRule="auto"/>
        <w:rPr>
          <w:lang w:val="es-ES"/>
        </w:rPr>
      </w:pPr>
      <w:r w:rsidRPr="00133706">
        <w:rPr>
          <w:lang w:val="es-ES"/>
        </w:rPr>
        <w:t>Instituto Tecnológico de Costa Rica</w:t>
      </w:r>
    </w:p>
    <w:p w14:paraId="4DE4DDB5" w14:textId="77777777" w:rsidR="00CF01B2" w:rsidRPr="00133706" w:rsidRDefault="0050390B" w:rsidP="00CF01B2">
      <w:pPr>
        <w:spacing w:line="276" w:lineRule="auto"/>
        <w:rPr>
          <w:lang w:val="es-ES"/>
        </w:rPr>
      </w:pPr>
      <w:hyperlink r:id="rId9" w:history="1">
        <w:r w:rsidR="00CF01B2" w:rsidRPr="00133706">
          <w:rPr>
            <w:lang w:val="es-ES"/>
          </w:rPr>
          <w:t>Escuela de Ingeniería en Seguridad Laboral e Higiene Ambiental</w:t>
        </w:r>
      </w:hyperlink>
    </w:p>
    <w:p w14:paraId="601A34CE" w14:textId="77777777" w:rsidR="00CF01B2" w:rsidRPr="00F109B9" w:rsidRDefault="00CF01B2" w:rsidP="00CF01B2">
      <w:pPr>
        <w:spacing w:line="276" w:lineRule="auto"/>
        <w:rPr>
          <w:lang w:val="es-ES"/>
        </w:rPr>
      </w:pPr>
      <w:r w:rsidRPr="00F109B9">
        <w:rPr>
          <w:lang w:val="es-ES"/>
        </w:rPr>
        <w:t>Apartado 159-7050 Cartago, Costa Rica</w:t>
      </w:r>
    </w:p>
    <w:p w14:paraId="6868AAAF" w14:textId="77777777" w:rsidR="00CF01B2" w:rsidRPr="008C33F1" w:rsidRDefault="00CF01B2" w:rsidP="00CF01B2">
      <w:pPr>
        <w:spacing w:line="276" w:lineRule="auto"/>
        <w:rPr>
          <w:lang w:val="es-ES"/>
        </w:rPr>
      </w:pPr>
      <w:r w:rsidRPr="008C33F1">
        <w:rPr>
          <w:lang w:val="es-ES"/>
        </w:rPr>
        <w:t xml:space="preserve">Email: </w:t>
      </w:r>
      <w:hyperlink r:id="rId10" w:history="1">
        <w:r w:rsidRPr="008C33F1">
          <w:rPr>
            <w:rStyle w:val="Hyperlink"/>
            <w:lang w:val="es-ES"/>
          </w:rPr>
          <w:t>acampos@itcr.ac.cr</w:t>
        </w:r>
      </w:hyperlink>
      <w:r w:rsidRPr="008C33F1">
        <w:rPr>
          <w:lang w:val="es-ES"/>
        </w:rPr>
        <w:t xml:space="preserve"> </w:t>
      </w:r>
    </w:p>
    <w:p w14:paraId="62F7B2C8" w14:textId="3700D753" w:rsidR="009D1CE9" w:rsidRPr="009D1CE9" w:rsidRDefault="009D1CE9" w:rsidP="00CF01B2">
      <w:pPr>
        <w:spacing w:line="276" w:lineRule="auto"/>
      </w:pPr>
      <w:r>
        <w:t>Telephone: (506) 2550-2161/ Fax: (506) 2551-5348</w:t>
      </w:r>
    </w:p>
    <w:p w14:paraId="5F25A342" w14:textId="77777777" w:rsidR="00CF01B2" w:rsidRPr="009D1CE9" w:rsidRDefault="00CF01B2" w:rsidP="00CF01B2">
      <w:pPr>
        <w:spacing w:line="276" w:lineRule="auto"/>
      </w:pPr>
    </w:p>
    <w:p w14:paraId="41F508E6" w14:textId="77777777" w:rsidR="00CF01B2" w:rsidRDefault="00CF01B2" w:rsidP="00CF01B2">
      <w:r>
        <w:rPr>
          <w:b/>
        </w:rPr>
        <w:t>Key w</w:t>
      </w:r>
      <w:r w:rsidRPr="009B670F">
        <w:rPr>
          <w:b/>
        </w:rPr>
        <w:t>ords:</w:t>
      </w:r>
      <w:r w:rsidRPr="004072A1">
        <w:t xml:space="preserve"> C</w:t>
      </w:r>
      <w:r>
        <w:t xml:space="preserve">ross-national studies; Longitudinal; </w:t>
      </w:r>
      <w:r w:rsidRPr="00AA67CE">
        <w:t>Musculoskeletal pain</w:t>
      </w:r>
      <w:r>
        <w:t>; Risk factors.</w:t>
      </w:r>
    </w:p>
    <w:p w14:paraId="706324F0" w14:textId="77777777" w:rsidR="00051B10" w:rsidRDefault="00CF01B2" w:rsidP="00CF01B2">
      <w:r w:rsidRPr="00C14B62">
        <w:rPr>
          <w:b/>
        </w:rPr>
        <w:t>Word count</w:t>
      </w:r>
      <w:r>
        <w:t xml:space="preserve"> </w:t>
      </w:r>
    </w:p>
    <w:p w14:paraId="268CECAC" w14:textId="489FBE81" w:rsidR="00CF01B2" w:rsidRPr="00AA67CE" w:rsidRDefault="00051B10" w:rsidP="00CF01B2">
      <w:pPr>
        <w:rPr>
          <w:b/>
        </w:rPr>
      </w:pPr>
      <w:r>
        <w:t xml:space="preserve">   M</w:t>
      </w:r>
      <w:r w:rsidR="00CF01B2">
        <w:t>ain text</w:t>
      </w:r>
      <w:r w:rsidR="00E567EE" w:rsidRPr="00E567EE">
        <w:t xml:space="preserve">: </w:t>
      </w:r>
      <w:r w:rsidR="008B3C82">
        <w:t>4,498</w:t>
      </w:r>
    </w:p>
    <w:p w14:paraId="0760421A" w14:textId="0313D00F" w:rsidR="00051B10" w:rsidRPr="00051B10" w:rsidRDefault="00051B10" w:rsidP="00CF01B2">
      <w:r w:rsidRPr="00051B10">
        <w:t xml:space="preserve">   </w:t>
      </w:r>
      <w:r w:rsidR="0020433B">
        <w:t xml:space="preserve">Abstract: </w:t>
      </w:r>
      <w:r w:rsidR="00D60D5F">
        <w:rPr>
          <w:color w:val="000000" w:themeColor="text1"/>
        </w:rPr>
        <w:t>254</w:t>
      </w:r>
    </w:p>
    <w:p w14:paraId="1F1D3127" w14:textId="0CAB7395" w:rsidR="009D1CE9" w:rsidRDefault="00051B10" w:rsidP="00CF01B2">
      <w:r w:rsidRPr="00051B10">
        <w:t xml:space="preserve"> </w:t>
      </w:r>
      <w:r w:rsidR="009D1CE9" w:rsidRPr="00B85136">
        <w:rPr>
          <w:color w:val="000000" w:themeColor="text1"/>
        </w:rPr>
        <w:t>Reference</w:t>
      </w:r>
      <w:r w:rsidR="00A44BB2" w:rsidRPr="00B85136">
        <w:rPr>
          <w:color w:val="000000" w:themeColor="text1"/>
        </w:rPr>
        <w:t>s</w:t>
      </w:r>
      <w:r w:rsidR="009D1CE9">
        <w:t>: 51</w:t>
      </w:r>
    </w:p>
    <w:p w14:paraId="12D49B17" w14:textId="3B0FA9F3" w:rsidR="00CF01B2" w:rsidRPr="00051B10" w:rsidRDefault="009D1CE9" w:rsidP="00CF01B2">
      <w:r>
        <w:t xml:space="preserve">   </w:t>
      </w:r>
      <w:r w:rsidR="00CF01B2" w:rsidRPr="00051B10">
        <w:t>Tables: 3</w:t>
      </w:r>
    </w:p>
    <w:p w14:paraId="014E8B50" w14:textId="77777777" w:rsidR="00CF01B2" w:rsidRDefault="00051B10" w:rsidP="00CF01B2">
      <w:r w:rsidRPr="00051B10">
        <w:t xml:space="preserve">   </w:t>
      </w:r>
      <w:r w:rsidR="00CF01B2" w:rsidRPr="00051B10">
        <w:t>Figures: 0</w:t>
      </w:r>
    </w:p>
    <w:p w14:paraId="4D1AC00B" w14:textId="77777777" w:rsidR="009D1CE9" w:rsidRDefault="009D1CE9">
      <w:pPr>
        <w:spacing w:after="160" w:line="259" w:lineRule="auto"/>
      </w:pPr>
      <w:r>
        <w:br w:type="page"/>
      </w:r>
    </w:p>
    <w:p w14:paraId="05B79282" w14:textId="1A571477" w:rsidR="00CF01B2" w:rsidRPr="009B670F" w:rsidRDefault="00CF01B2" w:rsidP="00F02C02">
      <w:pPr>
        <w:pStyle w:val="ListParagraph"/>
        <w:widowControl w:val="0"/>
        <w:spacing w:line="480" w:lineRule="auto"/>
        <w:ind w:left="0"/>
        <w:contextualSpacing w:val="0"/>
        <w:jc w:val="both"/>
        <w:rPr>
          <w:b/>
        </w:rPr>
      </w:pPr>
      <w:r w:rsidRPr="009B670F">
        <w:rPr>
          <w:b/>
        </w:rPr>
        <w:lastRenderedPageBreak/>
        <w:t>ABSTRACT</w:t>
      </w:r>
    </w:p>
    <w:p w14:paraId="0B872E4A" w14:textId="77777777" w:rsidR="008C1331" w:rsidRPr="009B670F" w:rsidRDefault="008C1331" w:rsidP="008C1331">
      <w:pPr>
        <w:pStyle w:val="ListParagraph"/>
        <w:widowControl w:val="0"/>
        <w:spacing w:line="480" w:lineRule="auto"/>
        <w:ind w:left="0"/>
        <w:contextualSpacing w:val="0"/>
        <w:jc w:val="both"/>
        <w:rPr>
          <w:b/>
        </w:rPr>
      </w:pPr>
      <w:r w:rsidRPr="009B670F">
        <w:rPr>
          <w:b/>
        </w:rPr>
        <w:t>Objectives:</w:t>
      </w:r>
      <w:r w:rsidRPr="009B670F">
        <w:t xml:space="preserve"> To estimate </w:t>
      </w:r>
      <w:r>
        <w:t xml:space="preserve">the </w:t>
      </w:r>
      <w:r w:rsidRPr="009B670F">
        <w:t xml:space="preserve">prevalence and incidence of upper extremity musculoskeletal pain (UEMP) and </w:t>
      </w:r>
      <w:r>
        <w:t xml:space="preserve">related </w:t>
      </w:r>
      <w:r w:rsidRPr="009B670F">
        <w:t>disab</w:t>
      </w:r>
      <w:r>
        <w:t xml:space="preserve">ility </w:t>
      </w:r>
      <w:r w:rsidRPr="009B670F">
        <w:t xml:space="preserve">among office </w:t>
      </w:r>
      <w:r>
        <w:t>worker</w:t>
      </w:r>
      <w:r w:rsidRPr="009B670F">
        <w:t>s in Costa Rica, Nicaragua and Spain</w:t>
      </w:r>
      <w:r w:rsidRPr="009B670F">
        <w:rPr>
          <w:b/>
        </w:rPr>
        <w:t>.</w:t>
      </w:r>
    </w:p>
    <w:p w14:paraId="5C078CB8" w14:textId="2D016C9E" w:rsidR="008C1331" w:rsidRPr="009B670F" w:rsidRDefault="008C1331" w:rsidP="008C1331">
      <w:pPr>
        <w:pStyle w:val="ListParagraph"/>
        <w:widowControl w:val="0"/>
        <w:spacing w:line="480" w:lineRule="auto"/>
        <w:ind w:left="0"/>
        <w:contextualSpacing w:val="0"/>
        <w:jc w:val="both"/>
      </w:pPr>
      <w:r w:rsidRPr="009B670F">
        <w:rPr>
          <w:b/>
        </w:rPr>
        <w:t>Methods:</w:t>
      </w:r>
      <w:r w:rsidRPr="009B670F">
        <w:t xml:space="preserve"> </w:t>
      </w:r>
      <w:r>
        <w:t>D</w:t>
      </w:r>
      <w:r w:rsidRPr="009B670F">
        <w:t xml:space="preserve">ata </w:t>
      </w:r>
      <w:r w:rsidR="00425FC1" w:rsidRPr="00B85136">
        <w:rPr>
          <w:color w:val="000000" w:themeColor="text1"/>
        </w:rPr>
        <w:t>from</w:t>
      </w:r>
      <w:r w:rsidRPr="009B670F">
        <w:t xml:space="preserve"> the </w:t>
      </w:r>
      <w:r>
        <w:t xml:space="preserve">multinational </w:t>
      </w:r>
      <w:r w:rsidRPr="009B670F">
        <w:t>CUPID study</w:t>
      </w:r>
      <w:r>
        <w:t xml:space="preserve"> on </w:t>
      </w:r>
      <w:r w:rsidRPr="009B670F">
        <w:t xml:space="preserve">947 (93%) participants at baseline </w:t>
      </w:r>
      <w:r>
        <w:t>with</w:t>
      </w:r>
      <w:r w:rsidRPr="009B670F">
        <w:t xml:space="preserve"> 90% follow-up</w:t>
      </w:r>
      <w:r>
        <w:t xml:space="preserve"> </w:t>
      </w:r>
      <w:r w:rsidRPr="009B670F">
        <w:t>after 12 months</w:t>
      </w:r>
      <w:r w:rsidRPr="00B85136">
        <w:rPr>
          <w:color w:val="000000" w:themeColor="text1"/>
        </w:rPr>
        <w:t>.</w:t>
      </w:r>
      <w:r w:rsidRPr="009B670F">
        <w:t xml:space="preserve"> logistic regression was used to estimate the association</w:t>
      </w:r>
      <w:r>
        <w:t>s</w:t>
      </w:r>
      <w:r w:rsidRPr="009B670F">
        <w:t xml:space="preserve"> (odds ratio</w:t>
      </w:r>
      <w:r>
        <w:t>s</w:t>
      </w:r>
      <w:r w:rsidRPr="009B670F">
        <w:t xml:space="preserve"> [OR</w:t>
      </w:r>
      <w:r>
        <w:t>s</w:t>
      </w:r>
      <w:r w:rsidRPr="009B670F">
        <w:t>] and corresponding 95% confidence intervals [95%CI</w:t>
      </w:r>
      <w:r>
        <w:t>s</w:t>
      </w:r>
      <w:r w:rsidRPr="009B670F">
        <w:t xml:space="preserve">]) between </w:t>
      </w:r>
      <w:r>
        <w:t>country and</w:t>
      </w:r>
      <w:r w:rsidRPr="009B670F">
        <w:t xml:space="preserve"> six outcomes</w:t>
      </w:r>
      <w:r>
        <w:t xml:space="preserve">: </w:t>
      </w:r>
      <w:r w:rsidRPr="009B670F">
        <w:t>baseline prevalence</w:t>
      </w:r>
      <w:r>
        <w:t xml:space="preserve"> of</w:t>
      </w:r>
      <w:r w:rsidRPr="009B670F">
        <w:t xml:space="preserve"> (1) UEMP in </w:t>
      </w:r>
      <w:r>
        <w:t>p</w:t>
      </w:r>
      <w:r w:rsidRPr="009B670F">
        <w:t xml:space="preserve">ast 12 months, (2) UEMP in past month, </w:t>
      </w:r>
      <w:r>
        <w:t xml:space="preserve">and </w:t>
      </w:r>
      <w:r w:rsidRPr="009B670F">
        <w:t>(3) disabling UEMP</w:t>
      </w:r>
      <w:r>
        <w:t xml:space="preserve"> in past month</w:t>
      </w:r>
      <w:r w:rsidRPr="009B670F">
        <w:t xml:space="preserve">; (4) </w:t>
      </w:r>
      <w:r>
        <w:t xml:space="preserve">incidence of new </w:t>
      </w:r>
      <w:r w:rsidRPr="009B670F">
        <w:t xml:space="preserve">UEMP </w:t>
      </w:r>
      <w:r>
        <w:t xml:space="preserve">at follow-up; (5) incidence of new disabling </w:t>
      </w:r>
      <w:r w:rsidRPr="009B670F">
        <w:t>UEMP</w:t>
      </w:r>
      <w:r>
        <w:t xml:space="preserve"> at follow-up; and</w:t>
      </w:r>
      <w:r w:rsidRPr="009B670F">
        <w:t xml:space="preserve"> (6) persistence of UEMP</w:t>
      </w:r>
      <w:r>
        <w:t xml:space="preserve"> at follow-up, after adjustment for </w:t>
      </w:r>
      <w:r w:rsidRPr="009B670F">
        <w:t xml:space="preserve">sociodemographic, job-related and health-related </w:t>
      </w:r>
      <w:r>
        <w:t>co</w:t>
      </w:r>
      <w:r w:rsidRPr="009B670F">
        <w:t>varia</w:t>
      </w:r>
      <w:r>
        <w:t>t</w:t>
      </w:r>
      <w:r w:rsidRPr="009B670F">
        <w:t xml:space="preserve">es. </w:t>
      </w:r>
    </w:p>
    <w:p w14:paraId="28AE65C2" w14:textId="758FA8F3" w:rsidR="008C1331" w:rsidRPr="009B670F" w:rsidRDefault="008C1331" w:rsidP="008C1331">
      <w:pPr>
        <w:pStyle w:val="ListParagraph"/>
        <w:widowControl w:val="0"/>
        <w:spacing w:line="480" w:lineRule="auto"/>
        <w:ind w:left="0"/>
        <w:contextualSpacing w:val="0"/>
        <w:jc w:val="both"/>
      </w:pPr>
      <w:r w:rsidRPr="00113495">
        <w:rPr>
          <w:b/>
        </w:rPr>
        <w:t>Results:</w:t>
      </w:r>
      <w:r w:rsidRPr="009B670F">
        <w:t xml:space="preserve"> </w:t>
      </w:r>
      <w:r>
        <w:t>Baseline</w:t>
      </w:r>
      <w:r w:rsidRPr="009B670F">
        <w:t xml:space="preserve"> prevalence </w:t>
      </w:r>
      <w:r>
        <w:t xml:space="preserve">of UEMP </w:t>
      </w:r>
      <w:r w:rsidRPr="009B670F">
        <w:t xml:space="preserve">in the past month was </w:t>
      </w:r>
      <w:r w:rsidR="00425FC1" w:rsidRPr="00B85136">
        <w:rPr>
          <w:color w:val="000000" w:themeColor="text1"/>
        </w:rPr>
        <w:t>higher</w:t>
      </w:r>
      <w:r w:rsidRPr="009B670F">
        <w:t xml:space="preserve"> in Costa Rica (53.6</w:t>
      </w:r>
      <w:r w:rsidRPr="00B85136">
        <w:rPr>
          <w:color w:val="000000" w:themeColor="text1"/>
        </w:rPr>
        <w:t>%)</w:t>
      </w:r>
      <w:r w:rsidR="00ED11B7" w:rsidRPr="00B85136">
        <w:rPr>
          <w:color w:val="000000" w:themeColor="text1"/>
        </w:rPr>
        <w:t xml:space="preserve"> (OR=1.89; </w:t>
      </w:r>
      <w:r w:rsidR="001A0FF0">
        <w:rPr>
          <w:color w:val="000000" w:themeColor="text1"/>
        </w:rPr>
        <w:t>95% CI</w:t>
      </w:r>
      <w:r w:rsidR="00ED11B7" w:rsidRPr="00B85136">
        <w:rPr>
          <w:color w:val="000000" w:themeColor="text1"/>
        </w:rPr>
        <w:t>: 1.36-2.62)</w:t>
      </w:r>
      <w:r w:rsidRPr="00B85136">
        <w:rPr>
          <w:color w:val="000000" w:themeColor="text1"/>
        </w:rPr>
        <w:t xml:space="preserve">, </w:t>
      </w:r>
      <w:r w:rsidR="00425FC1" w:rsidRPr="00B85136">
        <w:rPr>
          <w:color w:val="000000" w:themeColor="text1"/>
        </w:rPr>
        <w:t>and</w:t>
      </w:r>
      <w:r w:rsidRPr="00B85136">
        <w:rPr>
          <w:color w:val="000000" w:themeColor="text1"/>
        </w:rPr>
        <w:t xml:space="preserve"> </w:t>
      </w:r>
      <w:r w:rsidRPr="009B670F">
        <w:t xml:space="preserve">Nicaragua (51.9%) </w:t>
      </w:r>
      <w:r w:rsidR="00ED11B7" w:rsidRPr="00B85136">
        <w:rPr>
          <w:color w:val="000000" w:themeColor="text1"/>
        </w:rPr>
        <w:t xml:space="preserve">(OR=1.74; </w:t>
      </w:r>
      <w:r w:rsidR="001A0FF0">
        <w:rPr>
          <w:color w:val="000000" w:themeColor="text1"/>
        </w:rPr>
        <w:t>95% CI</w:t>
      </w:r>
      <w:r w:rsidR="00ED11B7" w:rsidRPr="00B85136">
        <w:rPr>
          <w:color w:val="000000" w:themeColor="text1"/>
        </w:rPr>
        <w:t xml:space="preserve">: 1.28-2.35) </w:t>
      </w:r>
      <w:r w:rsidR="00425FC1" w:rsidRPr="00B85136">
        <w:rPr>
          <w:color w:val="000000" w:themeColor="text1"/>
        </w:rPr>
        <w:t>than in</w:t>
      </w:r>
      <w:r w:rsidRPr="009B670F">
        <w:t xml:space="preserve"> Spain (38.4%). Compare</w:t>
      </w:r>
      <w:r>
        <w:t>d</w:t>
      </w:r>
      <w:r w:rsidRPr="009B670F">
        <w:t xml:space="preserve"> to Spain (33.2%), the incidence of </w:t>
      </w:r>
      <w:r>
        <w:t xml:space="preserve">new </w:t>
      </w:r>
      <w:r w:rsidRPr="009B670F">
        <w:t xml:space="preserve">UEMP was 50.4% in Costa Rica (OR=2.04; 95% CI: 1.34-3.12), </w:t>
      </w:r>
      <w:r>
        <w:t xml:space="preserve">and </w:t>
      </w:r>
      <w:r w:rsidRPr="009B670F">
        <w:t>60.2% i</w:t>
      </w:r>
      <w:r>
        <w:t>n Nicaragua (OR=3.04; 95% CI: 2.06-4.50</w:t>
      </w:r>
      <w:r w:rsidRPr="009B670F">
        <w:t xml:space="preserve">). </w:t>
      </w:r>
      <w:r>
        <w:t>The i</w:t>
      </w:r>
      <w:r w:rsidRPr="009B670F">
        <w:t>ncidence of disabling UEMP was higher in Nicaragua (OR=2.57; 95% CI:</w:t>
      </w:r>
      <w:r w:rsidRPr="009B670F" w:rsidDel="000B2B3A">
        <w:t xml:space="preserve"> </w:t>
      </w:r>
      <w:r w:rsidRPr="009B670F">
        <w:t>1.50-4.41) and Costa Rica (OR=2.16; 95%</w:t>
      </w:r>
      <w:r>
        <w:t xml:space="preserve"> </w:t>
      </w:r>
      <w:r w:rsidRPr="009B670F">
        <w:t>CI:</w:t>
      </w:r>
      <w:r w:rsidRPr="009B670F" w:rsidDel="000B2B3A">
        <w:t xml:space="preserve"> </w:t>
      </w:r>
      <w:r w:rsidRPr="009B670F">
        <w:t xml:space="preserve">1.22-3.84) </w:t>
      </w:r>
      <w:r>
        <w:t xml:space="preserve">when </w:t>
      </w:r>
      <w:r w:rsidRPr="009B670F">
        <w:t xml:space="preserve">compared to Spain. </w:t>
      </w:r>
    </w:p>
    <w:p w14:paraId="2E03FE28" w14:textId="07B8D254" w:rsidR="00CF01B2" w:rsidRDefault="008C1331" w:rsidP="008C1331">
      <w:pPr>
        <w:pStyle w:val="ListParagraph"/>
        <w:widowControl w:val="0"/>
        <w:spacing w:line="480" w:lineRule="auto"/>
        <w:ind w:left="0"/>
        <w:contextualSpacing w:val="0"/>
        <w:jc w:val="both"/>
      </w:pPr>
      <w:r w:rsidRPr="001822E2">
        <w:rPr>
          <w:b/>
        </w:rPr>
        <w:t>Conclusion</w:t>
      </w:r>
      <w:r w:rsidRPr="001822E2">
        <w:t>: Prevalence of UEMP was approximately 2-fold higher and its incidence 2- to 3-fold higher in Costa Rica and Nicaragua as compared with Spain. Between-country differences were only partially explained by the covariates analyzed. Research is needed to explore other aspects of work and cultural attributes that might explain the residual differences in UEMP.</w:t>
      </w:r>
    </w:p>
    <w:p w14:paraId="3A9E4EDB" w14:textId="77777777" w:rsidR="008C1331" w:rsidRDefault="008C1331" w:rsidP="008C1331">
      <w:pPr>
        <w:pStyle w:val="ListParagraph"/>
        <w:widowControl w:val="0"/>
        <w:spacing w:line="480" w:lineRule="auto"/>
        <w:ind w:left="0"/>
        <w:contextualSpacing w:val="0"/>
        <w:jc w:val="both"/>
        <w:rPr>
          <w:b/>
          <w:bCs/>
        </w:rPr>
      </w:pPr>
    </w:p>
    <w:p w14:paraId="72D42B18" w14:textId="77777777" w:rsidR="00D94C14" w:rsidRDefault="00D94C14">
      <w:pPr>
        <w:spacing w:after="160" w:line="259" w:lineRule="auto"/>
        <w:rPr>
          <w:b/>
        </w:rPr>
      </w:pPr>
      <w:r>
        <w:rPr>
          <w:b/>
        </w:rPr>
        <w:lastRenderedPageBreak/>
        <w:br w:type="page"/>
      </w:r>
    </w:p>
    <w:p w14:paraId="66ECDF24" w14:textId="5740FA6E" w:rsidR="001203EF" w:rsidRPr="00E41169" w:rsidRDefault="001203EF" w:rsidP="001203EF">
      <w:pPr>
        <w:spacing w:line="480" w:lineRule="auto"/>
        <w:jc w:val="both"/>
        <w:rPr>
          <w:b/>
        </w:rPr>
      </w:pPr>
      <w:r w:rsidRPr="00E41169">
        <w:rPr>
          <w:b/>
        </w:rPr>
        <w:lastRenderedPageBreak/>
        <w:t xml:space="preserve">What this paper adds </w:t>
      </w:r>
    </w:p>
    <w:p w14:paraId="28394DE8" w14:textId="77777777" w:rsidR="001203EF" w:rsidRPr="00E41169" w:rsidRDefault="001203EF" w:rsidP="001203EF">
      <w:pPr>
        <w:pStyle w:val="ListParagraph"/>
        <w:numPr>
          <w:ilvl w:val="0"/>
          <w:numId w:val="14"/>
        </w:numPr>
        <w:spacing w:after="160" w:line="480" w:lineRule="auto"/>
        <w:jc w:val="both"/>
        <w:rPr>
          <w:rFonts w:eastAsia="Calibri"/>
          <w:b/>
        </w:rPr>
      </w:pPr>
      <w:r w:rsidRPr="00E41169">
        <w:rPr>
          <w:rFonts w:cs="Arial"/>
        </w:rPr>
        <w:t xml:space="preserve">In Latin America, there is a lack of reliable data on working conditions </w:t>
      </w:r>
      <w:r w:rsidRPr="00E41169">
        <w:t>and their effect on workers’ health, particularly on highly prevalent problems such as musculoskeletal health</w:t>
      </w:r>
      <w:r>
        <w:t xml:space="preserve"> among office workers. </w:t>
      </w:r>
    </w:p>
    <w:p w14:paraId="396E915A" w14:textId="77777777" w:rsidR="001203EF" w:rsidRPr="00E41169" w:rsidRDefault="001203EF" w:rsidP="001203EF">
      <w:pPr>
        <w:pStyle w:val="ListParagraph"/>
        <w:numPr>
          <w:ilvl w:val="0"/>
          <w:numId w:val="14"/>
        </w:numPr>
        <w:spacing w:after="160" w:line="480" w:lineRule="auto"/>
        <w:jc w:val="both"/>
        <w:rPr>
          <w:rFonts w:eastAsia="Calibri"/>
          <w:b/>
        </w:rPr>
      </w:pPr>
      <w:r>
        <w:t>M</w:t>
      </w:r>
      <w:r w:rsidRPr="00E41169">
        <w:t>ost research in musculoskeletal pain ha</w:t>
      </w:r>
      <w:r>
        <w:t>s</w:t>
      </w:r>
      <w:r w:rsidRPr="00E41169">
        <w:t xml:space="preserve"> been conducted in Western countries</w:t>
      </w:r>
      <w:r w:rsidR="001E3C83" w:rsidRPr="00B85136">
        <w:rPr>
          <w:color w:val="000000" w:themeColor="text1"/>
        </w:rPr>
        <w:t>,</w:t>
      </w:r>
      <w:r w:rsidRPr="00E41169">
        <w:t xml:space="preserve"> </w:t>
      </w:r>
      <w:r>
        <w:t xml:space="preserve">with </w:t>
      </w:r>
      <w:r w:rsidRPr="00E41169">
        <w:t xml:space="preserve">hardly any </w:t>
      </w:r>
      <w:r>
        <w:t>research in Central America</w:t>
      </w:r>
      <w:r w:rsidR="001E3C83" w:rsidRPr="00B85136">
        <w:rPr>
          <w:color w:val="000000" w:themeColor="text1"/>
        </w:rPr>
        <w:t>,</w:t>
      </w:r>
      <w:r>
        <w:t xml:space="preserve"> so generalizability of findings to low and middle income countries such as </w:t>
      </w:r>
      <w:r w:rsidRPr="00E41169">
        <w:t>Costa Rica and Nicaragua</w:t>
      </w:r>
      <w:r>
        <w:t xml:space="preserve"> is uncertain. </w:t>
      </w:r>
    </w:p>
    <w:p w14:paraId="61CAFBE4" w14:textId="77777777" w:rsidR="001203EF" w:rsidRDefault="001203EF" w:rsidP="001203EF">
      <w:pPr>
        <w:pStyle w:val="ListParagraph"/>
        <w:numPr>
          <w:ilvl w:val="0"/>
          <w:numId w:val="14"/>
        </w:numPr>
        <w:spacing w:after="160" w:line="480" w:lineRule="auto"/>
        <w:jc w:val="both"/>
        <w:rPr>
          <w:rFonts w:eastAsia="Calibri"/>
          <w:b/>
        </w:rPr>
      </w:pPr>
      <w:r>
        <w:t xml:space="preserve">This </w:t>
      </w:r>
      <w:r w:rsidRPr="00E41169">
        <w:t>study examines the prevalence and incidence of upper extremity musculoskeletal pain and associated disability among office workers in Nicaragua and Costa Rica</w:t>
      </w:r>
      <w:r>
        <w:t xml:space="preserve"> </w:t>
      </w:r>
      <w:r w:rsidRPr="00E41169">
        <w:t xml:space="preserve">and compares the findings to those from workers performing similar jobs in Spain, a high-income country with a shared language and cultural similarities. </w:t>
      </w:r>
    </w:p>
    <w:p w14:paraId="432E3DA2" w14:textId="77777777" w:rsidR="001203EF" w:rsidRPr="00F02C02" w:rsidRDefault="001203EF" w:rsidP="001203EF">
      <w:pPr>
        <w:pStyle w:val="ListParagraph"/>
        <w:numPr>
          <w:ilvl w:val="0"/>
          <w:numId w:val="14"/>
        </w:numPr>
        <w:spacing w:after="160" w:line="480" w:lineRule="auto"/>
        <w:jc w:val="both"/>
        <w:rPr>
          <w:rFonts w:eastAsia="Calibri"/>
          <w:b/>
        </w:rPr>
      </w:pPr>
      <w:r>
        <w:t>The results provide</w:t>
      </w:r>
      <w:r w:rsidRPr="001600D0">
        <w:t xml:space="preserve"> valuable information </w:t>
      </w:r>
      <w:r w:rsidRPr="00F31FD6">
        <w:t>that is lacking in Latin Ameri</w:t>
      </w:r>
      <w:r>
        <w:t xml:space="preserve">ca and that should increase the awareness of the role of </w:t>
      </w:r>
      <w:r w:rsidRPr="00F02C02">
        <w:rPr>
          <w:rFonts w:cs="Arial"/>
        </w:rPr>
        <w:t xml:space="preserve">working conditions on </w:t>
      </w:r>
      <w:r w:rsidRPr="001600D0">
        <w:t xml:space="preserve">musculoskeletal </w:t>
      </w:r>
      <w:r>
        <w:t>health as well as support t</w:t>
      </w:r>
      <w:r w:rsidRPr="001600D0">
        <w:t xml:space="preserve">he development of </w:t>
      </w:r>
      <w:r>
        <w:t xml:space="preserve">interventions </w:t>
      </w:r>
      <w:r w:rsidRPr="001600D0">
        <w:t xml:space="preserve">to reduce </w:t>
      </w:r>
      <w:r>
        <w:t xml:space="preserve">musculoskeletal </w:t>
      </w:r>
      <w:r w:rsidRPr="001600D0">
        <w:t xml:space="preserve">health problems among </w:t>
      </w:r>
      <w:r>
        <w:t xml:space="preserve">office </w:t>
      </w:r>
      <w:r w:rsidRPr="001600D0">
        <w:t xml:space="preserve">workers in </w:t>
      </w:r>
      <w:r>
        <w:t>Central America</w:t>
      </w:r>
      <w:r w:rsidRPr="001600D0">
        <w:t xml:space="preserve">. </w:t>
      </w:r>
    </w:p>
    <w:p w14:paraId="5FFF4797" w14:textId="77777777" w:rsidR="001203EF" w:rsidRDefault="001203EF" w:rsidP="001203EF">
      <w:pPr>
        <w:spacing w:after="160" w:line="259" w:lineRule="auto"/>
      </w:pPr>
      <w:r>
        <w:br w:type="page"/>
      </w:r>
    </w:p>
    <w:p w14:paraId="6A3A22B7" w14:textId="77777777" w:rsidR="00CF01B2" w:rsidRPr="009B670F" w:rsidRDefault="00CF01B2" w:rsidP="00CF01B2">
      <w:pPr>
        <w:pStyle w:val="ListParagraph"/>
        <w:widowControl w:val="0"/>
        <w:spacing w:line="480" w:lineRule="auto"/>
        <w:ind w:left="0"/>
        <w:contextualSpacing w:val="0"/>
        <w:jc w:val="both"/>
        <w:rPr>
          <w:b/>
          <w:bCs/>
        </w:rPr>
      </w:pPr>
      <w:r w:rsidRPr="009B670F">
        <w:rPr>
          <w:b/>
          <w:bCs/>
        </w:rPr>
        <w:lastRenderedPageBreak/>
        <w:t>Background</w:t>
      </w:r>
    </w:p>
    <w:p w14:paraId="5352ACAF" w14:textId="3097260C" w:rsidR="00CF01B2" w:rsidRDefault="00CF01B2" w:rsidP="00CF01B2">
      <w:pPr>
        <w:spacing w:line="480" w:lineRule="auto"/>
        <w:ind w:firstLine="720"/>
        <w:jc w:val="both"/>
      </w:pPr>
      <w:r>
        <w:t>M</w:t>
      </w:r>
      <w:r w:rsidRPr="009B670F">
        <w:t xml:space="preserve">usculoskeletal disorders (MSDs) are a major cause of morbidity and disability </w:t>
      </w:r>
      <w:r>
        <w:rPr>
          <w:vertAlign w:val="superscript"/>
        </w:rPr>
        <w:fldChar w:fldCharType="begin"/>
      </w:r>
      <w:r w:rsidR="00C23091">
        <w:rPr>
          <w:vertAlign w:val="superscript"/>
        </w:rPr>
        <w:instrText>ADDIN RW.CITE{{397 Parent-Thirion,A. 2007}}</w:instrText>
      </w:r>
      <w:r>
        <w:rPr>
          <w:vertAlign w:val="superscript"/>
        </w:rPr>
        <w:fldChar w:fldCharType="separate"/>
      </w:r>
      <w:r w:rsidR="00C23091" w:rsidRPr="00C23091">
        <w:rPr>
          <w:vertAlign w:val="superscript"/>
        </w:rPr>
        <w:t>1</w:t>
      </w:r>
      <w:r>
        <w:rPr>
          <w:vertAlign w:val="superscript"/>
        </w:rPr>
        <w:fldChar w:fldCharType="end"/>
      </w:r>
      <w:r w:rsidRPr="0025361F">
        <w:rPr>
          <w:vertAlign w:val="superscript"/>
        </w:rPr>
        <w:t xml:space="preserve"> </w:t>
      </w:r>
      <w:r>
        <w:t xml:space="preserve">and have been identified as the </w:t>
      </w:r>
      <w:r w:rsidRPr="009B670F">
        <w:t xml:space="preserve">most common work-related </w:t>
      </w:r>
      <w:r w:rsidR="00F734A7">
        <w:t xml:space="preserve">health </w:t>
      </w:r>
      <w:r w:rsidRPr="009B670F">
        <w:t>problem</w:t>
      </w:r>
      <w:r>
        <w:t xml:space="preserve">, </w:t>
      </w:r>
      <w:r w:rsidR="00F734A7">
        <w:t>affecting</w:t>
      </w:r>
      <w:r w:rsidR="00F734A7" w:rsidRPr="009B670F">
        <w:t xml:space="preserve"> </w:t>
      </w:r>
      <w:r w:rsidRPr="009B670F">
        <w:t>tens of millions of workers</w:t>
      </w:r>
      <w:r w:rsidR="00F734A7">
        <w:t xml:space="preserve"> globally</w:t>
      </w:r>
      <w:r>
        <w:fldChar w:fldCharType="begin"/>
      </w:r>
      <w:r w:rsidR="00C23091">
        <w:instrText>ADDIN RW.CITE{{356 Niu,Shengli 2010}}</w:instrText>
      </w:r>
      <w:r>
        <w:fldChar w:fldCharType="separate"/>
      </w:r>
      <w:r w:rsidR="00C23091" w:rsidRPr="00C23091">
        <w:rPr>
          <w:vertAlign w:val="superscript"/>
        </w:rPr>
        <w:t>2</w:t>
      </w:r>
      <w:r>
        <w:fldChar w:fldCharType="end"/>
      </w:r>
      <w:r>
        <w:t xml:space="preserve">. </w:t>
      </w:r>
      <w:r w:rsidR="00F734A7">
        <w:t xml:space="preserve">The impact of </w:t>
      </w:r>
      <w:r>
        <w:t>MSDs</w:t>
      </w:r>
      <w:r w:rsidRPr="009B670F">
        <w:t xml:space="preserve"> can vary from mild symptoms to </w:t>
      </w:r>
      <w:r w:rsidR="004D71F3">
        <w:t>major</w:t>
      </w:r>
      <w:r w:rsidR="00F734A7">
        <w:t xml:space="preserve"> </w:t>
      </w:r>
      <w:r w:rsidRPr="009B670F">
        <w:t>functional impairment</w:t>
      </w:r>
      <w:r>
        <w:fldChar w:fldCharType="begin"/>
      </w:r>
      <w:r w:rsidR="00C23091">
        <w:instrText>ADDIN RW.CITE{{409 Rempel,DavidM 1992}}</w:instrText>
      </w:r>
      <w:r>
        <w:fldChar w:fldCharType="separate"/>
      </w:r>
      <w:r w:rsidR="00C23091" w:rsidRPr="00C23091">
        <w:rPr>
          <w:vertAlign w:val="superscript"/>
        </w:rPr>
        <w:t>3</w:t>
      </w:r>
      <w:r>
        <w:fldChar w:fldCharType="end"/>
      </w:r>
      <w:r w:rsidRPr="009B670F">
        <w:t xml:space="preserve"> </w:t>
      </w:r>
      <w:r w:rsidR="00F734A7">
        <w:t>with reduced</w:t>
      </w:r>
      <w:r w:rsidR="00F734A7" w:rsidRPr="009B670F">
        <w:t xml:space="preserve"> </w:t>
      </w:r>
      <w:r w:rsidRPr="009B670F">
        <w:t>quality of life</w:t>
      </w:r>
      <w:r>
        <w:fldChar w:fldCharType="begin"/>
      </w:r>
      <w:r w:rsidR="00C23091">
        <w:instrText>ADDIN RW.CITE{{321 Punnett,L. 2004; 42 Meijer,ElineM. 2008}}</w:instrText>
      </w:r>
      <w:r>
        <w:fldChar w:fldCharType="separate"/>
      </w:r>
      <w:r w:rsidR="00C23091" w:rsidRPr="00C23091">
        <w:rPr>
          <w:vertAlign w:val="superscript"/>
        </w:rPr>
        <w:t>4,5</w:t>
      </w:r>
      <w:r>
        <w:fldChar w:fldCharType="end"/>
      </w:r>
      <w:r w:rsidR="00F734A7">
        <w:t>, lower</w:t>
      </w:r>
      <w:r w:rsidR="00F734A7" w:rsidRPr="009B670F">
        <w:t xml:space="preserve"> </w:t>
      </w:r>
      <w:r w:rsidRPr="009B670F">
        <w:t>productivity</w:t>
      </w:r>
      <w:r w:rsidR="00F734A7">
        <w:t xml:space="preserve"> at work</w:t>
      </w:r>
      <w:r w:rsidRPr="009B670F">
        <w:t xml:space="preserve">, </w:t>
      </w:r>
      <w:r w:rsidR="00F734A7">
        <w:t xml:space="preserve">including </w:t>
      </w:r>
      <w:r w:rsidRPr="009B670F">
        <w:t>lost time</w:t>
      </w:r>
      <w:r>
        <w:fldChar w:fldCharType="begin"/>
      </w:r>
      <w:r w:rsidR="00C23091">
        <w:instrText>ADDIN RW.CITE{{43 Haufler,AJ. 2000}}</w:instrText>
      </w:r>
      <w:r>
        <w:fldChar w:fldCharType="separate"/>
      </w:r>
      <w:r w:rsidR="00C23091" w:rsidRPr="00C23091">
        <w:rPr>
          <w:vertAlign w:val="superscript"/>
        </w:rPr>
        <w:t>6</w:t>
      </w:r>
      <w:r>
        <w:fldChar w:fldCharType="end"/>
      </w:r>
      <w:r w:rsidRPr="009B670F">
        <w:t xml:space="preserve">, </w:t>
      </w:r>
      <w:r w:rsidR="00F734A7">
        <w:t xml:space="preserve">and </w:t>
      </w:r>
      <w:r w:rsidR="003E1EEB" w:rsidRPr="00B85136">
        <w:rPr>
          <w:color w:val="000000" w:themeColor="text1"/>
        </w:rPr>
        <w:t xml:space="preserve">increased </w:t>
      </w:r>
      <w:r w:rsidRPr="009B670F">
        <w:t>medical expenses and costs due to disability</w:t>
      </w:r>
      <w:r>
        <w:fldChar w:fldCharType="begin"/>
      </w:r>
      <w:r w:rsidR="00C23091">
        <w:instrText>ADDIN RW.CITE{{409 Rempel,DavidM 1992; 321 Punnett,L. 2004}}</w:instrText>
      </w:r>
      <w:r>
        <w:fldChar w:fldCharType="separate"/>
      </w:r>
      <w:r w:rsidR="00C23091" w:rsidRPr="00C23091">
        <w:rPr>
          <w:vertAlign w:val="superscript"/>
        </w:rPr>
        <w:t>3,4</w:t>
      </w:r>
      <w:r>
        <w:fldChar w:fldCharType="end"/>
      </w:r>
      <w:r w:rsidRPr="009B670F">
        <w:t>.</w:t>
      </w:r>
      <w:r>
        <w:t xml:space="preserve"> </w:t>
      </w:r>
      <w:r w:rsidRPr="009B670F">
        <w:t xml:space="preserve">MSDs are </w:t>
      </w:r>
      <w:r>
        <w:t xml:space="preserve">considered </w:t>
      </w:r>
      <w:r w:rsidRPr="009B670F">
        <w:t xml:space="preserve">a </w:t>
      </w:r>
      <w:r w:rsidR="00F734A7" w:rsidRPr="009B670F">
        <w:t>high</w:t>
      </w:r>
      <w:r w:rsidR="00F734A7">
        <w:t>-</w:t>
      </w:r>
      <w:r w:rsidRPr="009B670F">
        <w:t xml:space="preserve">cost national health problem in </w:t>
      </w:r>
      <w:r w:rsidR="003E1EEB" w:rsidRPr="00B85136">
        <w:rPr>
          <w:color w:val="000000" w:themeColor="text1"/>
        </w:rPr>
        <w:t xml:space="preserve">the </w:t>
      </w:r>
      <w:r w:rsidRPr="009B670F">
        <w:t>United States</w:t>
      </w:r>
      <w:r>
        <w:fldChar w:fldCharType="begin"/>
      </w:r>
      <w:r w:rsidR="00C23091">
        <w:instrText>ADDIN RW.CITE{{325 NationalResearchCouncil(US).PanelonMusculoskeletalDisorders 2001}}</w:instrText>
      </w:r>
      <w:r>
        <w:fldChar w:fldCharType="separate"/>
      </w:r>
      <w:r w:rsidR="00C23091" w:rsidRPr="00C23091">
        <w:rPr>
          <w:vertAlign w:val="superscript"/>
        </w:rPr>
        <w:t>7</w:t>
      </w:r>
      <w:r>
        <w:fldChar w:fldCharType="end"/>
      </w:r>
      <w:r>
        <w:t xml:space="preserve">, </w:t>
      </w:r>
      <w:r w:rsidR="00F734A7">
        <w:t>accounting for</w:t>
      </w:r>
      <w:r w:rsidR="00F734A7" w:rsidRPr="009B670F">
        <w:t xml:space="preserve"> </w:t>
      </w:r>
      <w:r w:rsidRPr="009B670F">
        <w:t xml:space="preserve">more than one third of </w:t>
      </w:r>
      <w:r w:rsidR="00F734A7">
        <w:t xml:space="preserve">reported </w:t>
      </w:r>
      <w:r w:rsidRPr="009B670F">
        <w:t>work-related illness</w:t>
      </w:r>
      <w:r>
        <w:fldChar w:fldCharType="begin"/>
      </w:r>
      <w:r w:rsidR="00C23091">
        <w:instrText>ADDIN RW.CITE{{321 Punnett,L. 2004; 323 Bernard,BP(Editor) 1997}}</w:instrText>
      </w:r>
      <w:r>
        <w:fldChar w:fldCharType="separate"/>
      </w:r>
      <w:r w:rsidR="00C23091" w:rsidRPr="00C23091">
        <w:rPr>
          <w:vertAlign w:val="superscript"/>
        </w:rPr>
        <w:t>4,8</w:t>
      </w:r>
      <w:r>
        <w:fldChar w:fldCharType="end"/>
      </w:r>
      <w:r w:rsidR="00F734A7">
        <w:t xml:space="preserve">, and </w:t>
      </w:r>
      <w:r w:rsidR="004D71F3">
        <w:t xml:space="preserve">estimated to </w:t>
      </w:r>
      <w:r w:rsidR="00F734A7">
        <w:t>affect</w:t>
      </w:r>
      <w:r w:rsidRPr="009B670F">
        <w:t xml:space="preserve"> over 500,000 employees each year</w:t>
      </w:r>
      <w:r>
        <w:fldChar w:fldCharType="begin"/>
      </w:r>
      <w:r w:rsidR="00C23091">
        <w:instrText>ADDIN RW.CITE{{324 Tanaka,S. 2001}}</w:instrText>
      </w:r>
      <w:r>
        <w:fldChar w:fldCharType="separate"/>
      </w:r>
      <w:r w:rsidR="00C23091" w:rsidRPr="00C23091">
        <w:rPr>
          <w:vertAlign w:val="superscript"/>
        </w:rPr>
        <w:t>9</w:t>
      </w:r>
      <w:r>
        <w:fldChar w:fldCharType="end"/>
      </w:r>
      <w:r w:rsidRPr="009B670F">
        <w:t>.</w:t>
      </w:r>
      <w:r>
        <w:t xml:space="preserve"> While MSDs</w:t>
      </w:r>
      <w:r w:rsidRPr="004F0B05">
        <w:t xml:space="preserve"> </w:t>
      </w:r>
      <w:r w:rsidR="00F734A7">
        <w:t xml:space="preserve">occur in </w:t>
      </w:r>
      <w:r>
        <w:t xml:space="preserve">workers </w:t>
      </w:r>
      <w:r w:rsidR="00F734A7">
        <w:t xml:space="preserve">from </w:t>
      </w:r>
      <w:r w:rsidRPr="009B670F">
        <w:t>all employment sectors</w:t>
      </w:r>
      <w:r>
        <w:t xml:space="preserve">, the rapid incorporation of information technology in the workplace has </w:t>
      </w:r>
      <w:r w:rsidR="00F734A7">
        <w:t>meant that</w:t>
      </w:r>
      <w:r>
        <w:t xml:space="preserve"> many jobs, </w:t>
      </w:r>
      <w:r w:rsidR="00F734A7">
        <w:t>in particular</w:t>
      </w:r>
      <w:r>
        <w:t xml:space="preserve"> office jobs, </w:t>
      </w:r>
      <w:r w:rsidR="00F734A7">
        <w:t xml:space="preserve">now involve exposure to </w:t>
      </w:r>
      <w:r>
        <w:t xml:space="preserve">perceived risk factors for upper extremity MSDs, such as poor body posture, </w:t>
      </w:r>
      <w:r w:rsidR="00F734A7">
        <w:t>prolonged</w:t>
      </w:r>
      <w:r>
        <w:t xml:space="preserve"> sitting </w:t>
      </w:r>
      <w:r w:rsidR="00F734A7">
        <w:t>and</w:t>
      </w:r>
      <w:r>
        <w:t xml:space="preserve"> repetitive motions. These may partly explain the high prevalence of upper extremity MSDs in various parts of the world</w:t>
      </w:r>
      <w:r>
        <w:fldChar w:fldCharType="begin"/>
      </w:r>
      <w:r w:rsidR="00C23091">
        <w:instrText>ADDIN RW.CITE{{321 Punnett,L. 2004}}</w:instrText>
      </w:r>
      <w:r>
        <w:fldChar w:fldCharType="separate"/>
      </w:r>
      <w:r w:rsidR="00C23091" w:rsidRPr="00C23091">
        <w:rPr>
          <w:vertAlign w:val="superscript"/>
        </w:rPr>
        <w:t>4</w:t>
      </w:r>
      <w:r>
        <w:fldChar w:fldCharType="end"/>
      </w:r>
      <w:r>
        <w:t xml:space="preserve">. </w:t>
      </w:r>
    </w:p>
    <w:p w14:paraId="25B78620" w14:textId="791745BD" w:rsidR="00CF01B2" w:rsidRDefault="00CF01B2" w:rsidP="00CF01B2">
      <w:pPr>
        <w:spacing w:line="480" w:lineRule="auto"/>
        <w:ind w:firstLine="720"/>
        <w:jc w:val="both"/>
      </w:pPr>
      <w:r>
        <w:t>Upper extremity musculoskeletal pain (UEMP) is common in office environments worldwide</w:t>
      </w:r>
      <w:r>
        <w:fldChar w:fldCharType="begin"/>
      </w:r>
      <w:r w:rsidR="00C23091">
        <w:instrText>ADDIN RW.CITE{{404 Gerr,Fredric 1991; 80 Gerr,F. 2004}}</w:instrText>
      </w:r>
      <w:r>
        <w:fldChar w:fldCharType="separate"/>
      </w:r>
      <w:r w:rsidR="00C23091" w:rsidRPr="00C23091">
        <w:rPr>
          <w:vertAlign w:val="superscript"/>
        </w:rPr>
        <w:t>10,11</w:t>
      </w:r>
      <w:r>
        <w:fldChar w:fldCharType="end"/>
      </w:r>
      <w:r>
        <w:t>. The availability of statistical data, however, is uneven</w:t>
      </w:r>
      <w:r w:rsidR="00F734A7">
        <w:t>,</w:t>
      </w:r>
      <w:r>
        <w:t xml:space="preserve"> and most findings come from high income economies, such as the European Union member </w:t>
      </w:r>
      <w:r w:rsidR="00D239A9">
        <w:t xml:space="preserve">states </w:t>
      </w:r>
      <w:r>
        <w:t xml:space="preserve">and the U.S. For instance, European data </w:t>
      </w:r>
      <w:r w:rsidR="00D239A9">
        <w:t>have indicated a</w:t>
      </w:r>
      <w:r>
        <w:t xml:space="preserve"> one-year prevalence for neck/upper-limb pain </w:t>
      </w:r>
      <w:r w:rsidR="00D239A9">
        <w:t xml:space="preserve">of </w:t>
      </w:r>
      <w:r>
        <w:t>41.3%</w:t>
      </w:r>
      <w:r w:rsidRPr="005F1A68">
        <w:t xml:space="preserve"> </w:t>
      </w:r>
      <w:r>
        <w:t>among office clerks</w:t>
      </w:r>
      <w:r>
        <w:fldChar w:fldCharType="begin"/>
      </w:r>
      <w:r w:rsidR="00C23091">
        <w:instrText>ADDIN RW.CITE{{351 Farioli,Andrea 2014}}</w:instrText>
      </w:r>
      <w:r>
        <w:fldChar w:fldCharType="separate"/>
      </w:r>
      <w:r w:rsidR="00C23091" w:rsidRPr="00C23091">
        <w:rPr>
          <w:vertAlign w:val="superscript"/>
        </w:rPr>
        <w:t>12</w:t>
      </w:r>
      <w:r>
        <w:fldChar w:fldCharType="end"/>
      </w:r>
      <w:r>
        <w:t>.</w:t>
      </w:r>
      <w:r w:rsidRPr="004F0B05">
        <w:t xml:space="preserve"> </w:t>
      </w:r>
      <w:r w:rsidR="004D71F3">
        <w:t xml:space="preserve">However, </w:t>
      </w:r>
      <w:r>
        <w:t>data from low- and middle-income countries, such as those in the Central America region, are largely lacking</w:t>
      </w:r>
      <w:r>
        <w:fldChar w:fldCharType="begin"/>
      </w:r>
      <w:r w:rsidR="00C23091">
        <w:instrText>ADDIN RW.CITE{{405 Coury,H..C.G. 2005; 402 Benavides,F.G. 2014}}</w:instrText>
      </w:r>
      <w:r>
        <w:fldChar w:fldCharType="separate"/>
      </w:r>
      <w:r w:rsidR="00C23091" w:rsidRPr="00C23091">
        <w:rPr>
          <w:vertAlign w:val="superscript"/>
        </w:rPr>
        <w:t>13,14</w:t>
      </w:r>
      <w:r>
        <w:fldChar w:fldCharType="end"/>
      </w:r>
      <w:r>
        <w:t xml:space="preserve">. Recently, the first Central American Survey of Working Conditions and Health reported high exposure to repetitive movements (&gt;43%), including </w:t>
      </w:r>
      <w:r w:rsidR="004D71F3">
        <w:t xml:space="preserve">in </w:t>
      </w:r>
      <w:r>
        <w:t>Costa Rica and Nicaragua, but without distinguishing by occupation</w:t>
      </w:r>
      <w:r>
        <w:fldChar w:fldCharType="begin"/>
      </w:r>
      <w:r w:rsidR="00C23091">
        <w:instrText>ADDIN RW.CITE{{402 Benavides,F.G. 2014}}</w:instrText>
      </w:r>
      <w:r>
        <w:fldChar w:fldCharType="separate"/>
      </w:r>
      <w:r w:rsidR="00C23091" w:rsidRPr="00C23091">
        <w:rPr>
          <w:vertAlign w:val="superscript"/>
        </w:rPr>
        <w:t>14</w:t>
      </w:r>
      <w:r>
        <w:fldChar w:fldCharType="end"/>
      </w:r>
      <w:r>
        <w:t xml:space="preserve">. </w:t>
      </w:r>
    </w:p>
    <w:p w14:paraId="0CA13738" w14:textId="13EC7332" w:rsidR="00CF01B2" w:rsidRDefault="00CF01B2" w:rsidP="00CF01B2">
      <w:pPr>
        <w:spacing w:line="480" w:lineRule="auto"/>
        <w:ind w:firstLine="720"/>
        <w:jc w:val="both"/>
      </w:pPr>
      <w:r>
        <w:t xml:space="preserve">The etiology of </w:t>
      </w:r>
      <w:r w:rsidRPr="00893CBE">
        <w:t>MSDs</w:t>
      </w:r>
      <w:r>
        <w:t>, and by extension that of UEMP,</w:t>
      </w:r>
      <w:r w:rsidRPr="00893CBE">
        <w:t xml:space="preserve"> </w:t>
      </w:r>
      <w:r>
        <w:t xml:space="preserve">is </w:t>
      </w:r>
      <w:r w:rsidRPr="00893CBE">
        <w:t>multifactorial</w:t>
      </w:r>
      <w:r>
        <w:fldChar w:fldCharType="begin"/>
      </w:r>
      <w:r w:rsidR="00C23091">
        <w:instrText>ADDIN RW.CITE{{321 Punnett,L. 2004; 316 Bongers,P.M. 1993; 144 Wahlstrom,J. 2005}}</w:instrText>
      </w:r>
      <w:r>
        <w:fldChar w:fldCharType="separate"/>
      </w:r>
      <w:r w:rsidR="00C23091" w:rsidRPr="00C23091">
        <w:rPr>
          <w:vertAlign w:val="superscript"/>
        </w:rPr>
        <w:t>4,15,16</w:t>
      </w:r>
      <w:r>
        <w:fldChar w:fldCharType="end"/>
      </w:r>
      <w:r w:rsidRPr="009B670F">
        <w:t>. Work-related risk factors associated with the onset of MSDs include physical</w:t>
      </w:r>
      <w:r>
        <w:t xml:space="preserve"> and </w:t>
      </w:r>
      <w:r w:rsidRPr="009B670F">
        <w:lastRenderedPageBreak/>
        <w:t xml:space="preserve">psychosocial </w:t>
      </w:r>
      <w:r w:rsidR="00D239A9">
        <w:t>determinants</w:t>
      </w:r>
      <w:r>
        <w:fldChar w:fldCharType="begin"/>
      </w:r>
      <w:r w:rsidR="00C23091">
        <w:instrText>ADDIN RW.CITE{{42 Meijer,ElineM. 2008; 43 Haufler,AJ. 2000; 25 Feuerstein,M. 2004}}</w:instrText>
      </w:r>
      <w:r>
        <w:fldChar w:fldCharType="separate"/>
      </w:r>
      <w:r w:rsidR="00C23091" w:rsidRPr="00C23091">
        <w:rPr>
          <w:vertAlign w:val="superscript"/>
        </w:rPr>
        <w:t>5,6,17</w:t>
      </w:r>
      <w:r>
        <w:fldChar w:fldCharType="end"/>
      </w:r>
      <w:r w:rsidRPr="009B670F">
        <w:t xml:space="preserve">, </w:t>
      </w:r>
      <w:r>
        <w:t xml:space="preserve">as well as </w:t>
      </w:r>
      <w:r w:rsidRPr="009B670F">
        <w:t xml:space="preserve">individual </w:t>
      </w:r>
      <w:r>
        <w:t>characteristics</w:t>
      </w:r>
      <w:r>
        <w:fldChar w:fldCharType="begin"/>
      </w:r>
      <w:r w:rsidR="00C23091">
        <w:instrText>ADDIN RW.CITE{{316 Bongers,P.M. 1993; 141 Waersted,M. 2010}}</w:instrText>
      </w:r>
      <w:r>
        <w:fldChar w:fldCharType="separate"/>
      </w:r>
      <w:r w:rsidR="00C23091" w:rsidRPr="00C23091">
        <w:rPr>
          <w:vertAlign w:val="superscript"/>
        </w:rPr>
        <w:t>15,18</w:t>
      </w:r>
      <w:r>
        <w:fldChar w:fldCharType="end"/>
      </w:r>
      <w:r w:rsidRPr="009B670F">
        <w:t>.</w:t>
      </w:r>
      <w:r>
        <w:t xml:space="preserve"> P</w:t>
      </w:r>
      <w:r w:rsidRPr="009B670F">
        <w:t>sychological and social factors</w:t>
      </w:r>
      <w:r>
        <w:fldChar w:fldCharType="begin"/>
      </w:r>
      <w:r w:rsidR="00C23091">
        <w:instrText>ADDIN RW.CITE{{316 Bongers,P.M. 1993; 326 Marras,W.S. 2009}}</w:instrText>
      </w:r>
      <w:r>
        <w:fldChar w:fldCharType="separate"/>
      </w:r>
      <w:r w:rsidR="00C23091" w:rsidRPr="00C23091">
        <w:rPr>
          <w:vertAlign w:val="superscript"/>
        </w:rPr>
        <w:t>15,19</w:t>
      </w:r>
      <w:r>
        <w:fldChar w:fldCharType="end"/>
      </w:r>
      <w:r>
        <w:t xml:space="preserve">, including </w:t>
      </w:r>
      <w:r w:rsidR="00416927">
        <w:t xml:space="preserve">a </w:t>
      </w:r>
      <w:r>
        <w:t>role of culture</w:t>
      </w:r>
      <w:r>
        <w:fldChar w:fldCharType="begin"/>
      </w:r>
      <w:r w:rsidR="00C23091">
        <w:instrText>ADDIN RW.CITE{{291 Coggon,D. 2012}}</w:instrText>
      </w:r>
      <w:r>
        <w:fldChar w:fldCharType="separate"/>
      </w:r>
      <w:r w:rsidR="00C23091" w:rsidRPr="00C23091">
        <w:rPr>
          <w:vertAlign w:val="superscript"/>
        </w:rPr>
        <w:t>20</w:t>
      </w:r>
      <w:r>
        <w:fldChar w:fldCharType="end"/>
      </w:r>
      <w:r>
        <w:t>, are increasingly being</w:t>
      </w:r>
      <w:r w:rsidRPr="009B670F">
        <w:t xml:space="preserve"> </w:t>
      </w:r>
      <w:r>
        <w:t xml:space="preserve">considered important contributing factors </w:t>
      </w:r>
      <w:r w:rsidR="00D239A9">
        <w:t xml:space="preserve">in </w:t>
      </w:r>
      <w:r>
        <w:t>MSD</w:t>
      </w:r>
      <w:r w:rsidR="00D239A9">
        <w:t>s</w:t>
      </w:r>
      <w:r>
        <w:t xml:space="preserve"> and related </w:t>
      </w:r>
      <w:r w:rsidRPr="009B670F">
        <w:t>disability</w:t>
      </w:r>
      <w:r>
        <w:fldChar w:fldCharType="begin"/>
      </w:r>
      <w:r w:rsidR="00C23091">
        <w:instrText>ADDIN RW.CITE{{102 Madan,I. 2008; 310 Coggon,D. 2005; 329 Armstrong,T.J. 1993}}</w:instrText>
      </w:r>
      <w:r>
        <w:fldChar w:fldCharType="separate"/>
      </w:r>
      <w:r w:rsidR="00C23091" w:rsidRPr="00C23091">
        <w:rPr>
          <w:vertAlign w:val="superscript"/>
        </w:rPr>
        <w:t>21-23</w:t>
      </w:r>
      <w:r>
        <w:fldChar w:fldCharType="end"/>
      </w:r>
      <w:r w:rsidRPr="009B670F">
        <w:t>.</w:t>
      </w:r>
      <w:r>
        <w:t xml:space="preserve"> However, </w:t>
      </w:r>
      <w:r w:rsidRPr="009B670F">
        <w:t xml:space="preserve">it is not clear whether </w:t>
      </w:r>
      <w:r>
        <w:t xml:space="preserve">these risk factors explain differences in </w:t>
      </w:r>
      <w:r w:rsidR="00D239A9">
        <w:t xml:space="preserve">the occurrence of </w:t>
      </w:r>
      <w:r>
        <w:t xml:space="preserve">upper extremity </w:t>
      </w:r>
      <w:r w:rsidR="00D239A9">
        <w:t xml:space="preserve">MSDs </w:t>
      </w:r>
      <w:r>
        <w:t>between high and low</w:t>
      </w:r>
      <w:r w:rsidR="00D239A9">
        <w:t>/</w:t>
      </w:r>
      <w:r>
        <w:t xml:space="preserve">middle-income </w:t>
      </w:r>
      <w:r w:rsidRPr="009B670F">
        <w:t xml:space="preserve">economies </w:t>
      </w:r>
      <w:r w:rsidR="00D239A9">
        <w:t xml:space="preserve">among </w:t>
      </w:r>
      <w:r>
        <w:t>specific occupational groups such as office workers</w:t>
      </w:r>
      <w:r>
        <w:fldChar w:fldCharType="begin"/>
      </w:r>
      <w:r w:rsidR="00C23091">
        <w:instrText>ADDIN RW.CITE{{292 Warnakulasuriya,SSP 2012}}</w:instrText>
      </w:r>
      <w:r>
        <w:fldChar w:fldCharType="separate"/>
      </w:r>
      <w:r w:rsidR="00C23091" w:rsidRPr="00C23091">
        <w:rPr>
          <w:vertAlign w:val="superscript"/>
        </w:rPr>
        <w:t>24</w:t>
      </w:r>
      <w:r>
        <w:fldChar w:fldCharType="end"/>
      </w:r>
      <w:r w:rsidRPr="009B670F">
        <w:t>.</w:t>
      </w:r>
      <w:r>
        <w:t xml:space="preserve"> </w:t>
      </w:r>
    </w:p>
    <w:p w14:paraId="1FD01EA9" w14:textId="742BD34A" w:rsidR="00CF01B2" w:rsidRDefault="00CF01B2" w:rsidP="00CF01B2">
      <w:pPr>
        <w:spacing w:line="480" w:lineRule="auto"/>
        <w:ind w:firstLine="720"/>
        <w:jc w:val="both"/>
      </w:pPr>
      <w:r w:rsidRPr="00862F0E">
        <w:t>T</w:t>
      </w:r>
      <w:r>
        <w:t>he aim of this study was t</w:t>
      </w:r>
      <w:r w:rsidRPr="00862F0E">
        <w:t xml:space="preserve">o estimate </w:t>
      </w:r>
      <w:r>
        <w:t xml:space="preserve">the </w:t>
      </w:r>
      <w:r w:rsidRPr="00862F0E">
        <w:t>prevalence and incidence of upper extremity musculoskeletal pain (UEMP) and associated disab</w:t>
      </w:r>
      <w:r w:rsidR="00D239A9">
        <w:t>ility</w:t>
      </w:r>
      <w:r w:rsidRPr="00862F0E">
        <w:t xml:space="preserve"> among office </w:t>
      </w:r>
      <w:r>
        <w:t>workers</w:t>
      </w:r>
      <w:r w:rsidRPr="00862F0E">
        <w:t xml:space="preserve"> in </w:t>
      </w:r>
      <w:r>
        <w:t xml:space="preserve">two Spanish-speaking </w:t>
      </w:r>
      <w:r w:rsidRPr="009B670F">
        <w:t>middle</w:t>
      </w:r>
      <w:r>
        <w:t xml:space="preserve">-income economies, </w:t>
      </w:r>
      <w:r w:rsidRPr="00862F0E">
        <w:t>Costa Rica</w:t>
      </w:r>
      <w:r>
        <w:t xml:space="preserve"> and </w:t>
      </w:r>
      <w:r w:rsidRPr="00862F0E">
        <w:t>Nicaragua</w:t>
      </w:r>
      <w:r w:rsidR="00374B1D">
        <w:fldChar w:fldCharType="begin"/>
      </w:r>
      <w:r w:rsidR="00C23091">
        <w:instrText>ADDIN RW.CITE{{374 TheWorldBankGroup 07022013}}</w:instrText>
      </w:r>
      <w:r w:rsidR="00374B1D">
        <w:fldChar w:fldCharType="separate"/>
      </w:r>
      <w:r w:rsidR="00C23091" w:rsidRPr="00C23091">
        <w:rPr>
          <w:vertAlign w:val="superscript"/>
        </w:rPr>
        <w:t>25</w:t>
      </w:r>
      <w:r w:rsidR="00374B1D">
        <w:fldChar w:fldCharType="end"/>
      </w:r>
      <w:r>
        <w:t>,</w:t>
      </w:r>
      <w:r w:rsidRPr="00862F0E">
        <w:t xml:space="preserve"> and </w:t>
      </w:r>
      <w:r>
        <w:t xml:space="preserve">compare them to </w:t>
      </w:r>
      <w:r w:rsidRPr="009B670F">
        <w:t xml:space="preserve">a </w:t>
      </w:r>
      <w:r w:rsidR="00ED3BFD" w:rsidRPr="00ED3BFD">
        <w:t xml:space="preserve">similar group of office workers also in a </w:t>
      </w:r>
      <w:r>
        <w:t xml:space="preserve">Spanish-speaking </w:t>
      </w:r>
      <w:r w:rsidR="00ED3BFD" w:rsidRPr="00ED3BFD">
        <w:t xml:space="preserve">country but a </w:t>
      </w:r>
      <w:r w:rsidRPr="009B670F">
        <w:t>high-income economy</w:t>
      </w:r>
      <w:r w:rsidR="00ED3BFD" w:rsidRPr="00ED3BFD">
        <w:t xml:space="preserve"> such as</w:t>
      </w:r>
      <w:r>
        <w:t xml:space="preserve"> Spain</w:t>
      </w:r>
      <w:r w:rsidR="00F03F77">
        <w:fldChar w:fldCharType="begin"/>
      </w:r>
      <w:r w:rsidR="00C23091">
        <w:instrText>ADDIN RW.CITE{{374 TheWorldBankGroup 07022013}}</w:instrText>
      </w:r>
      <w:r w:rsidR="00F03F77">
        <w:fldChar w:fldCharType="separate"/>
      </w:r>
      <w:r w:rsidR="00C23091" w:rsidRPr="00C23091">
        <w:rPr>
          <w:vertAlign w:val="superscript"/>
        </w:rPr>
        <w:t>25</w:t>
      </w:r>
      <w:r w:rsidR="00F03F77">
        <w:fldChar w:fldCharType="end"/>
      </w:r>
      <w:r>
        <w:t xml:space="preserve">. In addition, we examined </w:t>
      </w:r>
      <w:r w:rsidR="00D239A9">
        <w:t xml:space="preserve">the extent to which </w:t>
      </w:r>
      <w:r>
        <w:t>sociodemographic</w:t>
      </w:r>
      <w:r w:rsidR="00D239A9">
        <w:t xml:space="preserve"> </w:t>
      </w:r>
      <w:r w:rsidR="006802A4">
        <w:t>characteristics</w:t>
      </w:r>
      <w:r>
        <w:t xml:space="preserve">, </w:t>
      </w:r>
      <w:r w:rsidR="00D239A9">
        <w:t xml:space="preserve">aspects of </w:t>
      </w:r>
      <w:r>
        <w:t xml:space="preserve">employment and working conditions, </w:t>
      </w:r>
      <w:r w:rsidR="00416927">
        <w:t>and</w:t>
      </w:r>
      <w:r>
        <w:t xml:space="preserve"> health-related </w:t>
      </w:r>
      <w:r w:rsidR="00D239A9">
        <w:t xml:space="preserve">variables </w:t>
      </w:r>
      <w:r>
        <w:t xml:space="preserve">explained any differences </w:t>
      </w:r>
      <w:r w:rsidR="00D239A9">
        <w:t xml:space="preserve">that were observed </w:t>
      </w:r>
      <w:r w:rsidR="003E1EEB" w:rsidRPr="00B85136">
        <w:rPr>
          <w:color w:val="000000" w:themeColor="text1"/>
        </w:rPr>
        <w:t>among</w:t>
      </w:r>
      <w:r w:rsidR="00D239A9">
        <w:t xml:space="preserve"> the</w:t>
      </w:r>
      <w:r>
        <w:t xml:space="preserve"> three countries.</w:t>
      </w:r>
    </w:p>
    <w:p w14:paraId="0E34FF88" w14:textId="77777777" w:rsidR="00CF01B2" w:rsidRDefault="00CF01B2" w:rsidP="00CF01B2">
      <w:pPr>
        <w:pStyle w:val="ListParagraph"/>
        <w:widowControl w:val="0"/>
        <w:spacing w:line="480" w:lineRule="auto"/>
        <w:ind w:left="0"/>
        <w:contextualSpacing w:val="0"/>
        <w:jc w:val="both"/>
        <w:rPr>
          <w:b/>
        </w:rPr>
      </w:pPr>
    </w:p>
    <w:p w14:paraId="223BB87C" w14:textId="77777777" w:rsidR="00CF01B2" w:rsidRPr="009B670F" w:rsidRDefault="00CF01B2" w:rsidP="00CF01B2">
      <w:pPr>
        <w:pStyle w:val="ListParagraph"/>
        <w:widowControl w:val="0"/>
        <w:spacing w:line="480" w:lineRule="auto"/>
        <w:ind w:left="0"/>
        <w:contextualSpacing w:val="0"/>
        <w:jc w:val="both"/>
        <w:rPr>
          <w:b/>
        </w:rPr>
      </w:pPr>
      <w:r w:rsidRPr="009B670F">
        <w:rPr>
          <w:b/>
        </w:rPr>
        <w:t>Methods</w:t>
      </w:r>
    </w:p>
    <w:p w14:paraId="682129BD" w14:textId="77777777" w:rsidR="00CF01B2" w:rsidRPr="005468BC" w:rsidRDefault="00CF01B2" w:rsidP="00CF01B2">
      <w:pPr>
        <w:spacing w:line="480" w:lineRule="auto"/>
        <w:rPr>
          <w:u w:val="single"/>
        </w:rPr>
      </w:pPr>
      <w:r w:rsidRPr="005468BC">
        <w:rPr>
          <w:u w:val="single"/>
        </w:rPr>
        <w:t>Study design and participants</w:t>
      </w:r>
    </w:p>
    <w:p w14:paraId="5B4B1671" w14:textId="1A8958C2" w:rsidR="00CF01B2" w:rsidRPr="005468BC" w:rsidRDefault="00CF01B2" w:rsidP="00CF01B2">
      <w:pPr>
        <w:pStyle w:val="TextSection"/>
        <w:ind w:firstLine="720"/>
      </w:pPr>
      <w:r w:rsidRPr="005468BC">
        <w:t xml:space="preserve">We </w:t>
      </w:r>
      <w:r w:rsidR="00732A2A">
        <w:t>focused on</w:t>
      </w:r>
      <w:r w:rsidR="00732A2A" w:rsidRPr="005468BC">
        <w:t xml:space="preserve"> </w:t>
      </w:r>
      <w:r w:rsidRPr="005468BC">
        <w:t>office workers in Costa Rica, Nicaragua and Spain using data collected as part of CUPID (</w:t>
      </w:r>
      <w:r w:rsidRPr="005468BC">
        <w:rPr>
          <w:bCs/>
        </w:rPr>
        <w:t>Cultural and Psychosocial Influences on Disability),</w:t>
      </w:r>
      <w:r w:rsidRPr="005468BC">
        <w:t xml:space="preserve"> an international longitudinal study</w:t>
      </w:r>
      <w:r w:rsidRPr="005468BC">
        <w:fldChar w:fldCharType="begin"/>
      </w:r>
      <w:r w:rsidR="00C23091">
        <w:instrText>ADDIN RW.CITE{{291 Coggon,D. 2012}}</w:instrText>
      </w:r>
      <w:r w:rsidRPr="005468BC">
        <w:fldChar w:fldCharType="separate"/>
      </w:r>
      <w:r w:rsidR="00C23091" w:rsidRPr="00C23091">
        <w:rPr>
          <w:vertAlign w:val="superscript"/>
        </w:rPr>
        <w:t>20</w:t>
      </w:r>
      <w:r w:rsidRPr="005468BC">
        <w:fldChar w:fldCharType="end"/>
      </w:r>
      <w:r w:rsidRPr="005468BC">
        <w:t xml:space="preserve">, which </w:t>
      </w:r>
      <w:r w:rsidR="00732A2A" w:rsidRPr="005468BC">
        <w:t>ex</w:t>
      </w:r>
      <w:r w:rsidR="00732A2A">
        <w:t>plor</w:t>
      </w:r>
      <w:r w:rsidR="00732A2A" w:rsidRPr="005468BC">
        <w:t xml:space="preserve">es </w:t>
      </w:r>
      <w:r w:rsidRPr="005468BC">
        <w:t xml:space="preserve">the influence of </w:t>
      </w:r>
      <w:r w:rsidR="00732A2A">
        <w:t xml:space="preserve">culturally determined </w:t>
      </w:r>
      <w:r w:rsidRPr="005468BC">
        <w:t xml:space="preserve">health beliefs and </w:t>
      </w:r>
      <w:r w:rsidR="00732A2A">
        <w:t>other psychosocial factors</w:t>
      </w:r>
      <w:r w:rsidRPr="005468BC">
        <w:t xml:space="preserve"> on MSDs and </w:t>
      </w:r>
      <w:r w:rsidR="00732A2A">
        <w:t>associated</w:t>
      </w:r>
      <w:r w:rsidRPr="005468BC">
        <w:t xml:space="preserve"> disability. In each </w:t>
      </w:r>
      <w:r w:rsidR="00732A2A">
        <w:t xml:space="preserve">of the three </w:t>
      </w:r>
      <w:r w:rsidR="00732A2A" w:rsidRPr="005468BC">
        <w:t>countr</w:t>
      </w:r>
      <w:r w:rsidR="00732A2A">
        <w:t>ies</w:t>
      </w:r>
      <w:r w:rsidRPr="005468BC">
        <w:t>, a minimum of 200 office workers who used computers regularly were randomly sampled from payroll records</w:t>
      </w:r>
      <w:r w:rsidR="00732A2A">
        <w:t>,</w:t>
      </w:r>
      <w:r w:rsidRPr="005468BC">
        <w:t xml:space="preserve"> and two rounds of interviews were conducted, at baseline and after 12 months (follow-up). In Costa Rica, the sample was recruited from the </w:t>
      </w:r>
      <w:r w:rsidRPr="005468BC">
        <w:lastRenderedPageBreak/>
        <w:t>central offices of the Costa Rican Social Security System between March 2009 and July 2011. In Nicaragua, participants were recruited between February 2008 and November 2010 from among employees of the Ministry of Labor and Nicaraguan Institute of Social Security. In Spain, data collection occurred between November 2007 and February 2010 among workers from four hospitals and a public university in Barcelona</w:t>
      </w:r>
      <w:r w:rsidRPr="005468BC">
        <w:fldChar w:fldCharType="begin"/>
      </w:r>
      <w:r w:rsidR="00C23091">
        <w:instrText>ADDIN RW.CITE{{300 Vargas-Prada,S. 2012}}</w:instrText>
      </w:r>
      <w:r w:rsidRPr="005468BC">
        <w:fldChar w:fldCharType="separate"/>
      </w:r>
      <w:r w:rsidR="00C23091" w:rsidRPr="00C23091">
        <w:rPr>
          <w:vertAlign w:val="superscript"/>
        </w:rPr>
        <w:t>26</w:t>
      </w:r>
      <w:r w:rsidRPr="005468BC">
        <w:fldChar w:fldCharType="end"/>
      </w:r>
      <w:r w:rsidRPr="005468BC">
        <w:t xml:space="preserve">. Detailed information about the data collection and </w:t>
      </w:r>
      <w:r w:rsidR="008B3C82">
        <w:t xml:space="preserve">sample </w:t>
      </w:r>
      <w:r w:rsidRPr="005468BC">
        <w:t>characteristics can be found elsewhere</w:t>
      </w:r>
      <w:r w:rsidRPr="005468BC">
        <w:fldChar w:fldCharType="begin"/>
      </w:r>
      <w:r w:rsidR="00C23091">
        <w:instrText>ADDIN RW.CITE{{291 Coggon,D. 2012}}</w:instrText>
      </w:r>
      <w:r w:rsidRPr="005468BC">
        <w:fldChar w:fldCharType="separate"/>
      </w:r>
      <w:r w:rsidR="00C23091" w:rsidRPr="00C23091">
        <w:rPr>
          <w:vertAlign w:val="superscript"/>
        </w:rPr>
        <w:t>20</w:t>
      </w:r>
      <w:r w:rsidRPr="005468BC">
        <w:fldChar w:fldCharType="end"/>
      </w:r>
      <w:r w:rsidRPr="005468BC">
        <w:t xml:space="preserve">. Ethical review and approval were obtained prior to data collection </w:t>
      </w:r>
      <w:r w:rsidR="00732A2A">
        <w:t>from</w:t>
      </w:r>
      <w:r w:rsidR="00732A2A" w:rsidRPr="005468BC">
        <w:t xml:space="preserve"> </w:t>
      </w:r>
      <w:r w:rsidRPr="005468BC">
        <w:t xml:space="preserve">institutional review committees in each country, </w:t>
      </w:r>
      <w:r w:rsidR="003E1EEB" w:rsidRPr="00B85136">
        <w:rPr>
          <w:color w:val="000000" w:themeColor="text1"/>
        </w:rPr>
        <w:t>and</w:t>
      </w:r>
      <w:r w:rsidRPr="005468BC">
        <w:t xml:space="preserve"> from the University of Texas Health Science Center Committee for the Protection of Human Subjects.</w:t>
      </w:r>
    </w:p>
    <w:p w14:paraId="6AA8E4A2" w14:textId="4DD6C483" w:rsidR="00CF01B2" w:rsidRPr="009B670F" w:rsidRDefault="00CF01B2" w:rsidP="00CF01B2">
      <w:pPr>
        <w:pStyle w:val="ListParagraph"/>
        <w:widowControl w:val="0"/>
        <w:spacing w:line="480" w:lineRule="auto"/>
        <w:ind w:left="0" w:firstLine="720"/>
        <w:contextualSpacing w:val="0"/>
        <w:jc w:val="both"/>
      </w:pPr>
      <w:r>
        <w:t>Initial p</w:t>
      </w:r>
      <w:r w:rsidRPr="009B670F">
        <w:t xml:space="preserve">articipation </w:t>
      </w:r>
      <w:r>
        <w:t xml:space="preserve">rates were </w:t>
      </w:r>
      <w:r w:rsidRPr="009B670F">
        <w:t>91% in Costa Rica, 100% in Nicaragua and 98% in Spain</w:t>
      </w:r>
      <w:r>
        <w:fldChar w:fldCharType="begin"/>
      </w:r>
      <w:r w:rsidR="00C23091">
        <w:instrText>ADDIN RW.CITE{{291 Coggon,D. 2012}}</w:instrText>
      </w:r>
      <w:r>
        <w:fldChar w:fldCharType="separate"/>
      </w:r>
      <w:r w:rsidR="00C23091" w:rsidRPr="00C23091">
        <w:rPr>
          <w:vertAlign w:val="superscript"/>
        </w:rPr>
        <w:t>20</w:t>
      </w:r>
      <w:r>
        <w:fldChar w:fldCharType="end"/>
      </w:r>
      <w:r w:rsidR="003E1EEB" w:rsidRPr="00B85136">
        <w:rPr>
          <w:color w:val="000000" w:themeColor="text1"/>
        </w:rPr>
        <w:t>.</w:t>
      </w:r>
      <w:r w:rsidR="00732A2A">
        <w:t xml:space="preserve"> </w:t>
      </w:r>
      <w:r w:rsidR="003E6C3F">
        <w:t>A</w:t>
      </w:r>
      <w:r>
        <w:t xml:space="preserve">fter </w:t>
      </w:r>
      <w:r w:rsidR="00732A2A">
        <w:t>e</w:t>
      </w:r>
      <w:r w:rsidR="00416927">
        <w:t>liminat</w:t>
      </w:r>
      <w:r w:rsidR="00732A2A">
        <w:t xml:space="preserve">ion of </w:t>
      </w:r>
      <w:r>
        <w:t xml:space="preserve">73 subjects who did </w:t>
      </w:r>
      <w:r w:rsidRPr="009B670F">
        <w:t xml:space="preserve">not meet the inclusion criteria (20-59 years of age and worked </w:t>
      </w:r>
      <w:r w:rsidR="00732A2A">
        <w:t xml:space="preserve">in </w:t>
      </w:r>
      <w:r w:rsidR="001E3C83" w:rsidRPr="00B85136">
        <w:rPr>
          <w:color w:val="000000" w:themeColor="text1"/>
        </w:rPr>
        <w:t xml:space="preserve">the </w:t>
      </w:r>
      <w:r>
        <w:t xml:space="preserve">current job </w:t>
      </w:r>
      <w:r w:rsidR="00732A2A">
        <w:t xml:space="preserve">for </w:t>
      </w:r>
      <w:r>
        <w:t xml:space="preserve">at least one year), the final </w:t>
      </w:r>
      <w:r w:rsidR="00732A2A">
        <w:t xml:space="preserve">baseline </w:t>
      </w:r>
      <w:r>
        <w:t xml:space="preserve">sample </w:t>
      </w:r>
      <w:r w:rsidR="00732A2A">
        <w:t>comprised</w:t>
      </w:r>
      <w:r>
        <w:t xml:space="preserve"> </w:t>
      </w:r>
      <w:r w:rsidRPr="009B670F">
        <w:t>947</w:t>
      </w:r>
      <w:r>
        <w:t xml:space="preserve"> </w:t>
      </w:r>
      <w:r w:rsidRPr="009B670F">
        <w:t>(9</w:t>
      </w:r>
      <w:r>
        <w:t>3</w:t>
      </w:r>
      <w:r w:rsidRPr="009B670F">
        <w:t>%) participants</w:t>
      </w:r>
      <w:r>
        <w:t xml:space="preserve">. </w:t>
      </w:r>
      <w:r w:rsidR="00732A2A">
        <w:t>These included</w:t>
      </w:r>
      <w:r>
        <w:t xml:space="preserve"> 22</w:t>
      </w:r>
      <w:r w:rsidRPr="009B670F">
        <w:t>4 in Costa Rica, 285 in Nicaragua, and 438 in Spain. Participation at follow up (</w:t>
      </w:r>
      <w:r>
        <w:t>n=</w:t>
      </w:r>
      <w:r w:rsidRPr="009B670F">
        <w:t>853)</w:t>
      </w:r>
      <w:r>
        <w:t xml:space="preserve"> was </w:t>
      </w:r>
      <w:r w:rsidRPr="009B670F">
        <w:t xml:space="preserve">92% in Costa Rica, 89% in Nicaragua and </w:t>
      </w:r>
      <w:r>
        <w:t>90</w:t>
      </w:r>
      <w:r w:rsidRPr="009B670F">
        <w:t xml:space="preserve">% in Spain. </w:t>
      </w:r>
    </w:p>
    <w:p w14:paraId="56CBC1D3" w14:textId="7C2BD03A" w:rsidR="00AA2E29" w:rsidRPr="00B85136" w:rsidRDefault="00AA2E29" w:rsidP="00386960">
      <w:pPr>
        <w:pStyle w:val="PlainText"/>
        <w:spacing w:line="480" w:lineRule="auto"/>
        <w:ind w:firstLine="720"/>
        <w:jc w:val="both"/>
        <w:rPr>
          <w:rFonts w:ascii="Times New Roman" w:hAnsi="Times New Roman" w:cs="Times New Roman"/>
          <w:color w:val="000000" w:themeColor="text1"/>
          <w:sz w:val="24"/>
          <w:szCs w:val="24"/>
        </w:rPr>
      </w:pPr>
      <w:r w:rsidRPr="00B85136">
        <w:rPr>
          <w:rFonts w:ascii="Times New Roman" w:hAnsi="Times New Roman" w:cs="Times New Roman"/>
          <w:color w:val="000000" w:themeColor="text1"/>
          <w:sz w:val="24"/>
          <w:szCs w:val="24"/>
        </w:rPr>
        <w:t xml:space="preserve">Although there were two other Spanish-speaking countries that were part of the CUPID study (i.e., Ecuador and Colombia), we did not include them in our study for reasons other than their official language. Colombia was excluded </w:t>
      </w:r>
      <w:r w:rsidR="00F419EC">
        <w:rPr>
          <w:rFonts w:ascii="Times New Roman" w:hAnsi="Times New Roman" w:cs="Times New Roman"/>
          <w:color w:val="000000" w:themeColor="text1"/>
          <w:sz w:val="24"/>
          <w:szCs w:val="24"/>
        </w:rPr>
        <w:t xml:space="preserve">since </w:t>
      </w:r>
      <w:r w:rsidRPr="00B85136">
        <w:rPr>
          <w:rFonts w:ascii="Times New Roman" w:hAnsi="Times New Roman" w:cs="Times New Roman"/>
          <w:color w:val="000000" w:themeColor="text1"/>
          <w:sz w:val="24"/>
          <w:szCs w:val="24"/>
        </w:rPr>
        <w:t xml:space="preserve">only baseline data were collected. Ecuador had follow-up data but was </w:t>
      </w:r>
      <w:r w:rsidR="00F419EC">
        <w:rPr>
          <w:rFonts w:ascii="Times New Roman" w:hAnsi="Times New Roman" w:cs="Times New Roman"/>
          <w:color w:val="000000" w:themeColor="text1"/>
          <w:sz w:val="24"/>
          <w:szCs w:val="24"/>
        </w:rPr>
        <w:t xml:space="preserve">excluded </w:t>
      </w:r>
      <w:r w:rsidRPr="00B85136">
        <w:rPr>
          <w:rFonts w:ascii="Times New Roman" w:hAnsi="Times New Roman" w:cs="Times New Roman"/>
          <w:color w:val="000000" w:themeColor="text1"/>
          <w:sz w:val="24"/>
          <w:szCs w:val="24"/>
        </w:rPr>
        <w:t>since, despite sharing language similarities, Ecuador is geographically located in South America and differs from Costa Rica and Nicaragua in important aspects. For instance, historically Ecuador has been more linked to Colombia than to Central America, affecting its cultural and socio-economic development.</w:t>
      </w:r>
    </w:p>
    <w:p w14:paraId="6C581728" w14:textId="77777777" w:rsidR="00CF01B2" w:rsidRDefault="00CF01B2" w:rsidP="00CF01B2">
      <w:pPr>
        <w:spacing w:line="480" w:lineRule="auto"/>
        <w:rPr>
          <w:u w:val="single"/>
        </w:rPr>
      </w:pPr>
    </w:p>
    <w:p w14:paraId="0A7D407D" w14:textId="77777777" w:rsidR="00CF01B2" w:rsidRPr="005468BC" w:rsidRDefault="00CF01B2" w:rsidP="00CF01B2">
      <w:pPr>
        <w:spacing w:line="480" w:lineRule="auto"/>
        <w:rPr>
          <w:u w:val="single"/>
        </w:rPr>
      </w:pPr>
      <w:r w:rsidRPr="005468BC">
        <w:rPr>
          <w:u w:val="single"/>
        </w:rPr>
        <w:lastRenderedPageBreak/>
        <w:t>Questionnaire</w:t>
      </w:r>
    </w:p>
    <w:p w14:paraId="021F9EB5" w14:textId="2E6938B0" w:rsidR="00CF01B2" w:rsidRPr="003A1057" w:rsidRDefault="00CF01B2" w:rsidP="00CF01B2">
      <w:pPr>
        <w:pStyle w:val="TextSection"/>
        <w:ind w:firstLine="720"/>
      </w:pPr>
      <w:r w:rsidRPr="003A1057">
        <w:t xml:space="preserve">The interviewer-administered questionnaires, both </w:t>
      </w:r>
      <w:r w:rsidR="002A6AB7">
        <w:t xml:space="preserve">at </w:t>
      </w:r>
      <w:r w:rsidRPr="003A1057">
        <w:t xml:space="preserve">baseline and </w:t>
      </w:r>
      <w:r w:rsidR="002A6AB7">
        <w:t xml:space="preserve">at </w:t>
      </w:r>
      <w:r w:rsidRPr="003A1057">
        <w:t>follow-up, were first developed in English</w:t>
      </w:r>
      <w:r w:rsidRPr="003A1057">
        <w:fldChar w:fldCharType="begin"/>
      </w:r>
      <w:r w:rsidR="00C23091">
        <w:instrText>ADDIN RW.CITE{{291 Coggon,D. 2012}}</w:instrText>
      </w:r>
      <w:r w:rsidRPr="003A1057">
        <w:fldChar w:fldCharType="separate"/>
      </w:r>
      <w:r w:rsidR="00C23091" w:rsidRPr="00C23091">
        <w:rPr>
          <w:vertAlign w:val="superscript"/>
        </w:rPr>
        <w:t>20</w:t>
      </w:r>
      <w:r w:rsidRPr="003A1057">
        <w:fldChar w:fldCharType="end"/>
      </w:r>
      <w:r w:rsidRPr="003A1057">
        <w:t xml:space="preserve"> and then translated into Spanish with independent back translation to detect misinterpretations</w:t>
      </w:r>
      <w:r w:rsidRPr="003A1057">
        <w:fldChar w:fldCharType="begin"/>
      </w:r>
      <w:r w:rsidR="00C23091">
        <w:instrText>ADDIN RW.CITE{{300 Vargas-Prada,S. 2012}}</w:instrText>
      </w:r>
      <w:r w:rsidRPr="003A1057">
        <w:fldChar w:fldCharType="separate"/>
      </w:r>
      <w:r w:rsidR="00C23091" w:rsidRPr="00C23091">
        <w:rPr>
          <w:vertAlign w:val="superscript"/>
        </w:rPr>
        <w:t>26</w:t>
      </w:r>
      <w:r w:rsidRPr="003A1057">
        <w:fldChar w:fldCharType="end"/>
      </w:r>
      <w:r w:rsidRPr="003A1057">
        <w:t xml:space="preserve">. Additional adjustments to local terminology were </w:t>
      </w:r>
      <w:r w:rsidR="002A6AB7">
        <w:t>made</w:t>
      </w:r>
      <w:r w:rsidR="002A6AB7" w:rsidRPr="003A1057">
        <w:t xml:space="preserve"> </w:t>
      </w:r>
      <w:r w:rsidRPr="003A1057">
        <w:t xml:space="preserve">to ensure better understanding of the questions by the respondents. </w:t>
      </w:r>
      <w:r w:rsidR="002A6AB7">
        <w:t>The q</w:t>
      </w:r>
      <w:r w:rsidR="002A6AB7" w:rsidRPr="003A1057">
        <w:t xml:space="preserve">uestionnaires </w:t>
      </w:r>
      <w:r w:rsidRPr="003A1057">
        <w:t xml:space="preserve">were </w:t>
      </w:r>
      <w:r w:rsidR="002A6AB7" w:rsidRPr="003A1057">
        <w:t>pilot</w:t>
      </w:r>
      <w:r w:rsidR="002A6AB7">
        <w:t>-</w:t>
      </w:r>
      <w:r w:rsidRPr="003A1057">
        <w:t xml:space="preserve">tested in each country </w:t>
      </w:r>
      <w:r w:rsidR="002A6AB7">
        <w:t>in</w:t>
      </w:r>
      <w:r w:rsidR="002A6AB7" w:rsidRPr="003A1057">
        <w:t xml:space="preserve"> </w:t>
      </w:r>
      <w:r w:rsidRPr="003A1057">
        <w:t xml:space="preserve">workers similar to the intended </w:t>
      </w:r>
      <w:r w:rsidR="002A6AB7">
        <w:t xml:space="preserve">study </w:t>
      </w:r>
      <w:r w:rsidRPr="003A1057">
        <w:t>population</w:t>
      </w:r>
      <w:r w:rsidR="002A6AB7">
        <w:t>, but</w:t>
      </w:r>
      <w:r w:rsidR="002A6AB7" w:rsidRPr="003A1057">
        <w:t xml:space="preserve"> </w:t>
      </w:r>
      <w:r w:rsidRPr="003A1057">
        <w:t xml:space="preserve">these workers were not included in the final sample. </w:t>
      </w:r>
    </w:p>
    <w:p w14:paraId="12182813" w14:textId="31A75309" w:rsidR="00CF01B2" w:rsidRPr="003A1057" w:rsidRDefault="00CF01B2" w:rsidP="00CF01B2">
      <w:pPr>
        <w:pStyle w:val="TextSection"/>
        <w:ind w:firstLine="720"/>
      </w:pPr>
      <w:r w:rsidRPr="003A1057">
        <w:t xml:space="preserve">The baseline questionnaire </w:t>
      </w:r>
      <w:r w:rsidR="002A6AB7">
        <w:t>provided information about</w:t>
      </w:r>
      <w:r w:rsidRPr="003A1057">
        <w:t xml:space="preserve"> sociodemographic</w:t>
      </w:r>
      <w:r w:rsidR="002A6AB7">
        <w:t xml:space="preserve"> characteristics</w:t>
      </w:r>
      <w:r w:rsidRPr="003A1057">
        <w:t xml:space="preserve"> (age, sex, education, height, and dominant hand), health-related behaviours (</w:t>
      </w:r>
      <w:r w:rsidR="002A6AB7">
        <w:t>e.g</w:t>
      </w:r>
      <w:r w:rsidR="002A6AB7" w:rsidRPr="00B85136">
        <w:rPr>
          <w:color w:val="000000" w:themeColor="text1"/>
        </w:rPr>
        <w:t>.</w:t>
      </w:r>
      <w:r w:rsidR="00531E30" w:rsidRPr="00B85136">
        <w:rPr>
          <w:color w:val="000000" w:themeColor="text1"/>
        </w:rPr>
        <w:t>,</w:t>
      </w:r>
      <w:r w:rsidRPr="003A1057">
        <w:t xml:space="preserve"> smoking habits) and </w:t>
      </w:r>
      <w:r w:rsidR="002A6AB7">
        <w:t>aspects of work</w:t>
      </w:r>
      <w:r w:rsidRPr="003A1057">
        <w:t xml:space="preserve"> (occupation, </w:t>
      </w:r>
      <w:r w:rsidR="002A6AB7">
        <w:t>duration of employment in</w:t>
      </w:r>
      <w:r w:rsidRPr="003A1057">
        <w:t xml:space="preserve"> current job, physical activities </w:t>
      </w:r>
      <w:r w:rsidR="002A6AB7">
        <w:t>in an average</w:t>
      </w:r>
      <w:r w:rsidRPr="003A1057">
        <w:t xml:space="preserve"> work</w:t>
      </w:r>
      <w:r w:rsidR="002A6AB7">
        <w:t>ing day</w:t>
      </w:r>
      <w:r w:rsidRPr="003A1057">
        <w:t xml:space="preserve">, job control, social support, job satisfaction, and job security). </w:t>
      </w:r>
      <w:r w:rsidR="001E3C83" w:rsidRPr="00B85136">
        <w:rPr>
          <w:color w:val="000000" w:themeColor="text1"/>
        </w:rPr>
        <w:t>S</w:t>
      </w:r>
      <w:r w:rsidRPr="00B85136">
        <w:rPr>
          <w:color w:val="000000" w:themeColor="text1"/>
        </w:rPr>
        <w:t>ection</w:t>
      </w:r>
      <w:r w:rsidR="002A6AB7" w:rsidRPr="00B85136">
        <w:rPr>
          <w:color w:val="000000" w:themeColor="text1"/>
        </w:rPr>
        <w:t>s</w:t>
      </w:r>
      <w:r w:rsidRPr="00B85136">
        <w:rPr>
          <w:color w:val="000000" w:themeColor="text1"/>
        </w:rPr>
        <w:t xml:space="preserve"> </w:t>
      </w:r>
      <w:r w:rsidR="001E3C83" w:rsidRPr="00B85136">
        <w:rPr>
          <w:color w:val="000000" w:themeColor="text1"/>
        </w:rPr>
        <w:t>on pain</w:t>
      </w:r>
      <w:r w:rsidRPr="003A1057">
        <w:t xml:space="preserve"> asked about pain </w:t>
      </w:r>
      <w:r w:rsidR="00416927">
        <w:t>in</w:t>
      </w:r>
      <w:r w:rsidR="00416927" w:rsidRPr="003A1057">
        <w:t xml:space="preserve"> </w:t>
      </w:r>
      <w:r w:rsidRPr="003A1057">
        <w:t>different anatomical regions</w:t>
      </w:r>
      <w:r w:rsidR="001E3C83" w:rsidRPr="00B85136">
        <w:rPr>
          <w:color w:val="000000" w:themeColor="text1"/>
        </w:rPr>
        <w:t>,</w:t>
      </w:r>
      <w:r w:rsidRPr="003A1057">
        <w:t xml:space="preserve"> including </w:t>
      </w:r>
      <w:r w:rsidR="002A6AB7">
        <w:t xml:space="preserve">the </w:t>
      </w:r>
      <w:r w:rsidRPr="003A1057">
        <w:t>shoulder, elbow, and wrist/hand in the past month and past 12 months</w:t>
      </w:r>
      <w:r w:rsidR="002A6AB7">
        <w:t>,</w:t>
      </w:r>
      <w:r w:rsidRPr="003A1057">
        <w:t xml:space="preserve"> using Standardized Nordic Questionnaire</w:t>
      </w:r>
      <w:r>
        <w:t>-</w:t>
      </w:r>
      <w:r w:rsidRPr="003A1057">
        <w:t>style diagrams</w:t>
      </w:r>
      <w:r w:rsidRPr="003A1057">
        <w:fldChar w:fldCharType="begin"/>
      </w:r>
      <w:r w:rsidR="00C23091">
        <w:instrText>ADDIN RW.CITE{{333 Kuorinka,I. 1987}}</w:instrText>
      </w:r>
      <w:r w:rsidRPr="003A1057">
        <w:fldChar w:fldCharType="separate"/>
      </w:r>
      <w:r w:rsidR="00C23091" w:rsidRPr="00C23091">
        <w:rPr>
          <w:vertAlign w:val="superscript"/>
        </w:rPr>
        <w:t>27</w:t>
      </w:r>
      <w:r w:rsidRPr="003A1057">
        <w:fldChar w:fldCharType="end"/>
      </w:r>
      <w:r w:rsidRPr="003A1057">
        <w:t xml:space="preserve">; </w:t>
      </w:r>
      <w:r w:rsidR="002A6AB7">
        <w:t>whether pain had made</w:t>
      </w:r>
      <w:r w:rsidRPr="003A1057">
        <w:t xml:space="preserve"> </w:t>
      </w:r>
      <w:r w:rsidR="002A6AB7">
        <w:t xml:space="preserve">specified </w:t>
      </w:r>
      <w:r w:rsidRPr="003A1057">
        <w:t xml:space="preserve">daily tasks </w:t>
      </w:r>
      <w:r w:rsidR="002A6AB7">
        <w:t>difficult or impossible during</w:t>
      </w:r>
      <w:r w:rsidRPr="003A1057">
        <w:t xml:space="preserve"> the past month; awareness of other people with </w:t>
      </w:r>
      <w:r w:rsidR="002A6AB7">
        <w:t xml:space="preserve">upper limb </w:t>
      </w:r>
      <w:r w:rsidRPr="003A1057">
        <w:t xml:space="preserve">pain; beliefs </w:t>
      </w:r>
      <w:r w:rsidR="002A6AB7">
        <w:t>about the</w:t>
      </w:r>
      <w:r w:rsidRPr="003A1057">
        <w:t xml:space="preserve"> cause</w:t>
      </w:r>
      <w:r w:rsidR="002A6AB7">
        <w:t>s</w:t>
      </w:r>
      <w:r w:rsidRPr="003A1057">
        <w:t xml:space="preserve"> and consequences of </w:t>
      </w:r>
      <w:r w:rsidR="002A6AB7">
        <w:t xml:space="preserve">upper limb </w:t>
      </w:r>
      <w:r w:rsidRPr="003A1057">
        <w:t>pain (fear-avoidance beliefs</w:t>
      </w:r>
      <w:r w:rsidRPr="00B85136">
        <w:rPr>
          <w:color w:val="000000" w:themeColor="text1"/>
        </w:rPr>
        <w:t>)</w:t>
      </w:r>
      <w:r w:rsidR="00D25AF2" w:rsidRPr="00B85136">
        <w:rPr>
          <w:color w:val="000000" w:themeColor="text1"/>
        </w:rPr>
        <w:t>,</w:t>
      </w:r>
      <w:r w:rsidRPr="003A1057">
        <w:t xml:space="preserve"> adapted from the Fear Avoidance Beliefs Questionnaire</w:t>
      </w:r>
      <w:r w:rsidRPr="003A1057">
        <w:fldChar w:fldCharType="begin"/>
      </w:r>
      <w:r w:rsidR="00C23091">
        <w:instrText>ADDIN RW.CITE{{330 Waddell,G. 1993}}</w:instrText>
      </w:r>
      <w:r w:rsidRPr="003A1057">
        <w:fldChar w:fldCharType="separate"/>
      </w:r>
      <w:r w:rsidR="00C23091" w:rsidRPr="00C23091">
        <w:rPr>
          <w:vertAlign w:val="superscript"/>
        </w:rPr>
        <w:t>28</w:t>
      </w:r>
      <w:r w:rsidRPr="003A1057">
        <w:fldChar w:fldCharType="end"/>
      </w:r>
      <w:r w:rsidRPr="003A1057">
        <w:t xml:space="preserve">; awareness of </w:t>
      </w:r>
      <w:r w:rsidR="002A6AB7">
        <w:t xml:space="preserve">the term, </w:t>
      </w:r>
      <w:r w:rsidRPr="003A1057">
        <w:t xml:space="preserve">repetitive strain </w:t>
      </w:r>
      <w:r w:rsidR="002A6AB7" w:rsidRPr="003A1057">
        <w:t>injur</w:t>
      </w:r>
      <w:r w:rsidR="002A6AB7">
        <w:t>y (or equivalent)</w:t>
      </w:r>
      <w:r w:rsidRPr="003A1057">
        <w:t xml:space="preserve">; mental health </w:t>
      </w:r>
      <w:r w:rsidR="002A6AB7">
        <w:t>(using questions from</w:t>
      </w:r>
      <w:r w:rsidRPr="003A1057">
        <w:t xml:space="preserve"> the Short Form-36</w:t>
      </w:r>
      <w:r w:rsidRPr="003A1057">
        <w:fldChar w:fldCharType="begin"/>
      </w:r>
      <w:r w:rsidR="00C23091">
        <w:instrText>ADDIN RW.CITE{{332 WareJr,J.E. 1992}}</w:instrText>
      </w:r>
      <w:r w:rsidRPr="003A1057">
        <w:fldChar w:fldCharType="separate"/>
      </w:r>
      <w:r w:rsidR="00C23091" w:rsidRPr="00C23091">
        <w:rPr>
          <w:vertAlign w:val="superscript"/>
        </w:rPr>
        <w:t>29</w:t>
      </w:r>
      <w:r w:rsidRPr="003A1057">
        <w:fldChar w:fldCharType="end"/>
      </w:r>
      <w:r w:rsidR="002A6AB7">
        <w:t>)</w:t>
      </w:r>
      <w:r w:rsidRPr="003A1057">
        <w:t xml:space="preserve">; and </w:t>
      </w:r>
      <w:r w:rsidR="00416927">
        <w:t>d</w:t>
      </w:r>
      <w:r w:rsidR="002A6AB7">
        <w:t xml:space="preserve">istress from common </w:t>
      </w:r>
      <w:r w:rsidRPr="003A1057">
        <w:t xml:space="preserve">somatic symptoms </w:t>
      </w:r>
      <w:r w:rsidR="002A6AB7">
        <w:t>(</w:t>
      </w:r>
      <w:r w:rsidRPr="003A1057">
        <w:t xml:space="preserve">using </w:t>
      </w:r>
      <w:r w:rsidR="002A6AB7">
        <w:t xml:space="preserve">questions from </w:t>
      </w:r>
      <w:r w:rsidRPr="003A1057">
        <w:t>the Brief Symptom Inventory</w:t>
      </w:r>
      <w:r w:rsidRPr="003A1057">
        <w:fldChar w:fldCharType="begin"/>
      </w:r>
      <w:r w:rsidR="00C23091">
        <w:instrText>ADDIN RW.CITE{{331 Derogatis,L.R. 1983}}</w:instrText>
      </w:r>
      <w:r w:rsidRPr="003A1057">
        <w:fldChar w:fldCharType="separate"/>
      </w:r>
      <w:r w:rsidR="00C23091" w:rsidRPr="00C23091">
        <w:rPr>
          <w:vertAlign w:val="superscript"/>
        </w:rPr>
        <w:t>30</w:t>
      </w:r>
      <w:r w:rsidRPr="003A1057">
        <w:fldChar w:fldCharType="end"/>
      </w:r>
      <w:r w:rsidR="002A6AB7">
        <w:t>)</w:t>
      </w:r>
      <w:r w:rsidRPr="003A1057">
        <w:t xml:space="preserve">. The follow-up questionnaire </w:t>
      </w:r>
      <w:r w:rsidR="00B8047A">
        <w:t xml:space="preserve">again </w:t>
      </w:r>
      <w:r w:rsidRPr="003A1057">
        <w:t xml:space="preserve">asked about pain </w:t>
      </w:r>
      <w:r w:rsidR="00B8047A">
        <w:t>during the past month</w:t>
      </w:r>
      <w:r w:rsidRPr="003A1057">
        <w:t xml:space="preserve">, and </w:t>
      </w:r>
      <w:r w:rsidR="00B8047A">
        <w:t>whether it had been disabling</w:t>
      </w:r>
      <w:r w:rsidRPr="003A1057">
        <w:t xml:space="preserve"> for daily living tasks. </w:t>
      </w:r>
    </w:p>
    <w:p w14:paraId="43C61BB9" w14:textId="77777777" w:rsidR="00CF01B2" w:rsidRDefault="00CF01B2" w:rsidP="00CF01B2">
      <w:pPr>
        <w:spacing w:line="480" w:lineRule="auto"/>
        <w:rPr>
          <w:u w:val="single"/>
        </w:rPr>
      </w:pPr>
    </w:p>
    <w:p w14:paraId="2222693E" w14:textId="77777777" w:rsidR="00CF01B2" w:rsidRPr="005468BC" w:rsidRDefault="00CF01B2" w:rsidP="00CF01B2">
      <w:pPr>
        <w:spacing w:line="480" w:lineRule="auto"/>
        <w:rPr>
          <w:u w:val="single"/>
        </w:rPr>
      </w:pPr>
      <w:r w:rsidRPr="005468BC">
        <w:rPr>
          <w:u w:val="single"/>
        </w:rPr>
        <w:t xml:space="preserve">Outcomes </w:t>
      </w:r>
    </w:p>
    <w:p w14:paraId="1D2C2B9E" w14:textId="7EB3AF13" w:rsidR="00CF01B2" w:rsidRPr="005468BC" w:rsidRDefault="00CF01B2" w:rsidP="00CF01B2">
      <w:pPr>
        <w:pStyle w:val="TextSection"/>
        <w:ind w:firstLine="720"/>
        <w:rPr>
          <w:lang w:eastAsia="es-ES"/>
        </w:rPr>
      </w:pPr>
      <w:r w:rsidRPr="003A1057">
        <w:lastRenderedPageBreak/>
        <w:t>The outcome of interest was upper extremity musculoskeletal pain (UEMP</w:t>
      </w:r>
      <w:r w:rsidRPr="00B85136">
        <w:rPr>
          <w:color w:val="000000" w:themeColor="text1"/>
        </w:rPr>
        <w:t>)</w:t>
      </w:r>
      <w:r w:rsidR="00D25AF2" w:rsidRPr="00B85136">
        <w:rPr>
          <w:color w:val="000000" w:themeColor="text1"/>
        </w:rPr>
        <w:t>.</w:t>
      </w:r>
      <w:r w:rsidR="00B8047A" w:rsidRPr="003A1057">
        <w:t xml:space="preserve"> </w:t>
      </w:r>
      <w:r w:rsidRPr="003A1057">
        <w:t>dichotomous variable</w:t>
      </w:r>
      <w:r w:rsidR="00B8047A">
        <w:t>s</w:t>
      </w:r>
      <w:r w:rsidRPr="003A1057">
        <w:t xml:space="preserve"> </w:t>
      </w:r>
      <w:r w:rsidR="00B8047A">
        <w:t>were</w:t>
      </w:r>
      <w:r w:rsidR="00B8047A" w:rsidRPr="003A1057">
        <w:t xml:space="preserve"> </w:t>
      </w:r>
      <w:r w:rsidRPr="003A1057">
        <w:t xml:space="preserve">created indicating </w:t>
      </w:r>
      <w:r w:rsidR="00B8047A">
        <w:t xml:space="preserve">whether pain was </w:t>
      </w:r>
      <w:r w:rsidRPr="003A1057">
        <w:t>presen</w:t>
      </w:r>
      <w:r w:rsidR="00B8047A">
        <w:t>t or absent</w:t>
      </w:r>
      <w:r w:rsidRPr="003A1057">
        <w:t xml:space="preserve"> </w:t>
      </w:r>
      <w:r w:rsidR="00B8047A">
        <w:t>at</w:t>
      </w:r>
      <w:r w:rsidR="00B8047A" w:rsidRPr="003A1057">
        <w:t xml:space="preserve"> </w:t>
      </w:r>
      <w:r w:rsidR="00B8047A">
        <w:t>one or more</w:t>
      </w:r>
      <w:r w:rsidR="00B8047A" w:rsidRPr="003A1057">
        <w:t xml:space="preserve"> </w:t>
      </w:r>
      <w:r w:rsidRPr="003A1057">
        <w:t xml:space="preserve">of </w:t>
      </w:r>
      <w:r w:rsidR="00B8047A">
        <w:t>six</w:t>
      </w:r>
      <w:r w:rsidR="00B8047A" w:rsidRPr="003A1057">
        <w:t xml:space="preserve"> </w:t>
      </w:r>
      <w:r w:rsidR="003802D7" w:rsidRPr="00B85136">
        <w:rPr>
          <w:color w:val="000000" w:themeColor="text1"/>
        </w:rPr>
        <w:t xml:space="preserve">upper limb </w:t>
      </w:r>
      <w:r w:rsidRPr="003A1057">
        <w:t xml:space="preserve">body </w:t>
      </w:r>
      <w:r w:rsidR="00B8047A">
        <w:t>sites</w:t>
      </w:r>
      <w:r w:rsidR="00B8047A" w:rsidRPr="003A1057">
        <w:t xml:space="preserve"> </w:t>
      </w:r>
      <w:r w:rsidRPr="003A1057">
        <w:t>(</w:t>
      </w:r>
      <w:r w:rsidR="00B8047A">
        <w:t xml:space="preserve">right and left </w:t>
      </w:r>
      <w:r w:rsidRPr="003A1057">
        <w:t xml:space="preserve">shoulder, elbow and wrist/hand); sample size limited our ability to analyse each body </w:t>
      </w:r>
      <w:r w:rsidR="00B8047A">
        <w:t>site</w:t>
      </w:r>
      <w:r w:rsidR="00B8047A" w:rsidRPr="003A1057">
        <w:t xml:space="preserve"> </w:t>
      </w:r>
      <w:r w:rsidRPr="003A1057">
        <w:t xml:space="preserve">separately. </w:t>
      </w:r>
      <w:r w:rsidR="00B8047A">
        <w:t xml:space="preserve">According to anatomical site, pain was </w:t>
      </w:r>
      <w:r w:rsidR="00386960" w:rsidRPr="00B85136">
        <w:rPr>
          <w:color w:val="000000" w:themeColor="text1"/>
        </w:rPr>
        <w:t>classified</w:t>
      </w:r>
      <w:r w:rsidR="00B8047A">
        <w:t xml:space="preserve"> as</w:t>
      </w:r>
      <w:r w:rsidRPr="003A1057">
        <w:t xml:space="preserve"> disabling </w:t>
      </w:r>
      <w:r w:rsidR="00B8047A">
        <w:t>if</w:t>
      </w:r>
      <w:r w:rsidRPr="003A1057">
        <w:t xml:space="preserve"> it </w:t>
      </w:r>
      <w:r w:rsidR="00B8047A">
        <w:t xml:space="preserve">had </w:t>
      </w:r>
      <w:r w:rsidRPr="003A1057">
        <w:t xml:space="preserve">interfered with </w:t>
      </w:r>
      <w:r w:rsidR="00B8047A">
        <w:t xml:space="preserve">specified </w:t>
      </w:r>
      <w:r w:rsidRPr="003A1057">
        <w:t xml:space="preserve">daily activities such as combing or brushing hair, bathing/showering, getting dressed, opening bottles, jars, or taps, writing, </w:t>
      </w:r>
      <w:r w:rsidR="00B8047A">
        <w:t xml:space="preserve">and </w:t>
      </w:r>
      <w:r w:rsidRPr="003A1057">
        <w:t xml:space="preserve">locking and unlocking doors. </w:t>
      </w:r>
      <w:r w:rsidR="00F419EC">
        <w:t xml:space="preserve">As in </w:t>
      </w:r>
      <w:r w:rsidR="00F419EC" w:rsidRPr="003A1057">
        <w:t>previous CUPID studies</w:t>
      </w:r>
      <w:r w:rsidR="00F419EC" w:rsidRPr="003A1057">
        <w:fldChar w:fldCharType="begin"/>
      </w:r>
      <w:r w:rsidR="00F419EC">
        <w:instrText>ADDIN RW.CITE{{407 Vargas-Prada,S. 2013}}</w:instrText>
      </w:r>
      <w:r w:rsidR="00F419EC" w:rsidRPr="003A1057">
        <w:fldChar w:fldCharType="separate"/>
      </w:r>
      <w:r w:rsidR="00F419EC" w:rsidRPr="00C23091">
        <w:rPr>
          <w:vertAlign w:val="superscript"/>
        </w:rPr>
        <w:t>31</w:t>
      </w:r>
      <w:r w:rsidR="00F419EC" w:rsidRPr="003A1057">
        <w:fldChar w:fldCharType="end"/>
      </w:r>
      <w:r w:rsidR="00F419EC">
        <w:t>, r</w:t>
      </w:r>
      <w:r w:rsidR="00386960" w:rsidRPr="00B85136">
        <w:rPr>
          <w:color w:val="000000" w:themeColor="text1"/>
        </w:rPr>
        <w:t xml:space="preserve">esponses to this question were coded as 1 if it was difficult or impossible to perform the activity and 0 if no difficulties were reported. </w:t>
      </w:r>
    </w:p>
    <w:p w14:paraId="429219CD" w14:textId="0E0D591A" w:rsidR="00CF01B2" w:rsidRPr="003A1057" w:rsidRDefault="00CF01B2" w:rsidP="00CF01B2">
      <w:pPr>
        <w:pStyle w:val="TextSection"/>
        <w:ind w:firstLine="720"/>
      </w:pPr>
      <w:r w:rsidRPr="003A1057">
        <w:t>We created six outcome measures</w:t>
      </w:r>
      <w:r w:rsidR="00B8047A">
        <w:t>:</w:t>
      </w:r>
      <w:r w:rsidRPr="003A1057">
        <w:t xml:space="preserve"> baseline prevalence</w:t>
      </w:r>
      <w:r w:rsidR="00B8047A">
        <w:t xml:space="preserve"> of</w:t>
      </w:r>
      <w:r w:rsidR="00B8047A" w:rsidRPr="003A1057">
        <w:t xml:space="preserve"> </w:t>
      </w:r>
      <w:r w:rsidRPr="003A1057">
        <w:t xml:space="preserve">(1) </w:t>
      </w:r>
      <w:r w:rsidR="00B81A92">
        <w:t>UEMP</w:t>
      </w:r>
      <w:r w:rsidR="00B81A92" w:rsidRPr="003A1057">
        <w:t xml:space="preserve"> </w:t>
      </w:r>
      <w:r w:rsidRPr="003A1057">
        <w:t xml:space="preserve">in </w:t>
      </w:r>
      <w:r w:rsidR="00B8047A">
        <w:t>the past</w:t>
      </w:r>
      <w:r w:rsidR="00B8047A" w:rsidRPr="003A1057">
        <w:t xml:space="preserve"> </w:t>
      </w:r>
      <w:r w:rsidRPr="003A1057">
        <w:t xml:space="preserve">12 months, (2) </w:t>
      </w:r>
      <w:r w:rsidR="00B81A92">
        <w:t>UEMP</w:t>
      </w:r>
      <w:r w:rsidR="00B81A92" w:rsidRPr="003A1057">
        <w:t xml:space="preserve"> </w:t>
      </w:r>
      <w:r w:rsidRPr="003A1057">
        <w:t xml:space="preserve">in </w:t>
      </w:r>
      <w:r w:rsidR="00B8047A">
        <w:t xml:space="preserve">the </w:t>
      </w:r>
      <w:r w:rsidRPr="003A1057">
        <w:t xml:space="preserve">past month, and (3) disabling </w:t>
      </w:r>
      <w:r w:rsidR="00B81A92">
        <w:t xml:space="preserve">UEMP </w:t>
      </w:r>
      <w:r w:rsidR="00B8047A">
        <w:t>in the past month</w:t>
      </w:r>
      <w:r w:rsidRPr="003A1057">
        <w:t xml:space="preserve">; </w:t>
      </w:r>
      <w:r w:rsidR="00B81A92">
        <w:t xml:space="preserve">(4) </w:t>
      </w:r>
      <w:r w:rsidRPr="003A1057">
        <w:t xml:space="preserve">incidence </w:t>
      </w:r>
      <w:r w:rsidR="00B81A92">
        <w:t xml:space="preserve">of new UEMP </w:t>
      </w:r>
      <w:r w:rsidRPr="003A1057">
        <w:t>at the 12-month follow-up</w:t>
      </w:r>
      <w:r w:rsidR="00B81A92">
        <w:t xml:space="preserve"> among subjects who initially were free from the symptom;</w:t>
      </w:r>
      <w:r w:rsidRPr="003A1057">
        <w:t xml:space="preserve"> (5) </w:t>
      </w:r>
      <w:r w:rsidR="00B81A92">
        <w:t xml:space="preserve">incidence of new </w:t>
      </w:r>
      <w:r w:rsidRPr="003A1057">
        <w:t xml:space="preserve">disabling </w:t>
      </w:r>
      <w:r w:rsidR="00B81A92">
        <w:t>UEMP at follow-up in participants who did not have UEMP at baseline</w:t>
      </w:r>
      <w:r w:rsidRPr="003A1057">
        <w:t xml:space="preserve">, and (6) persistence of </w:t>
      </w:r>
      <w:r w:rsidR="00B81A92">
        <w:t>UEMP at follow-up in those who had UEMP in the past month at baseline</w:t>
      </w:r>
      <w:r w:rsidRPr="003A1057">
        <w:t xml:space="preserve">. </w:t>
      </w:r>
    </w:p>
    <w:p w14:paraId="79F4994C" w14:textId="77777777" w:rsidR="00CF01B2" w:rsidRDefault="00CF01B2" w:rsidP="00CF01B2">
      <w:pPr>
        <w:spacing w:line="480" w:lineRule="auto"/>
        <w:rPr>
          <w:u w:val="single"/>
          <w:lang w:val="en-GB"/>
        </w:rPr>
      </w:pPr>
    </w:p>
    <w:p w14:paraId="37A9F1EB" w14:textId="332AAF0F" w:rsidR="00CF01B2" w:rsidRPr="005468BC" w:rsidRDefault="00CF01B2" w:rsidP="00CF01B2">
      <w:pPr>
        <w:spacing w:line="480" w:lineRule="auto"/>
        <w:rPr>
          <w:u w:val="single"/>
        </w:rPr>
      </w:pPr>
      <w:r w:rsidRPr="00491F97">
        <w:rPr>
          <w:u w:val="single"/>
        </w:rPr>
        <w:t xml:space="preserve">Independent variable and </w:t>
      </w:r>
      <w:r w:rsidR="00B81A92" w:rsidRPr="00491F97">
        <w:rPr>
          <w:u w:val="single"/>
        </w:rPr>
        <w:t>covaria</w:t>
      </w:r>
      <w:r w:rsidR="00B81A92">
        <w:rPr>
          <w:u w:val="single"/>
        </w:rPr>
        <w:t>t</w:t>
      </w:r>
      <w:r w:rsidR="00B81A92" w:rsidRPr="00491F97">
        <w:rPr>
          <w:u w:val="single"/>
        </w:rPr>
        <w:t>es</w:t>
      </w:r>
    </w:p>
    <w:p w14:paraId="0202CBBB" w14:textId="4E505B8C" w:rsidR="00226067" w:rsidRPr="00B85136" w:rsidRDefault="00CF01B2" w:rsidP="00386960">
      <w:pPr>
        <w:spacing w:line="480" w:lineRule="auto"/>
        <w:ind w:firstLine="720"/>
        <w:jc w:val="both"/>
        <w:rPr>
          <w:color w:val="000000" w:themeColor="text1"/>
        </w:rPr>
      </w:pPr>
      <w:r w:rsidRPr="003A1057">
        <w:t>The main independent variable was country (Costa Rica, Nicaragua and Spain</w:t>
      </w:r>
      <w:r w:rsidRPr="00B85136">
        <w:rPr>
          <w:color w:val="000000" w:themeColor="text1"/>
        </w:rPr>
        <w:t>)</w:t>
      </w:r>
      <w:r w:rsidR="00B46ACB" w:rsidRPr="00B85136">
        <w:rPr>
          <w:color w:val="000000" w:themeColor="text1"/>
        </w:rPr>
        <w:t>,</w:t>
      </w:r>
      <w:r w:rsidRPr="003A1057">
        <w:t xml:space="preserve"> with Spain as the reference. The </w:t>
      </w:r>
      <w:r w:rsidR="00B81A92" w:rsidRPr="003A1057">
        <w:t>covaria</w:t>
      </w:r>
      <w:r w:rsidR="00B81A92">
        <w:t>t</w:t>
      </w:r>
      <w:r w:rsidR="00B81A92" w:rsidRPr="003A1057">
        <w:t xml:space="preserve">es </w:t>
      </w:r>
      <w:r w:rsidRPr="003A1057">
        <w:t xml:space="preserve">examined were: (a) sociodemographic characteristics (sex, age, </w:t>
      </w:r>
      <w:r w:rsidR="00B81A92">
        <w:t>age</w:t>
      </w:r>
      <w:r w:rsidR="00B81A92" w:rsidRPr="003A1057">
        <w:t xml:space="preserve"> </w:t>
      </w:r>
      <w:r w:rsidRPr="003A1057">
        <w:t xml:space="preserve">when full time education was completed, participant’s dominant hand and height); (b) employment-related characteristics (years </w:t>
      </w:r>
      <w:r w:rsidR="00B81A92">
        <w:t>in</w:t>
      </w:r>
      <w:r w:rsidR="00B81A92" w:rsidRPr="003A1057">
        <w:t xml:space="preserve"> </w:t>
      </w:r>
      <w:r w:rsidRPr="003A1057">
        <w:t>current job, number of hours worked per week, contract type and other jobs); (c) working conditions</w:t>
      </w:r>
      <w:r w:rsidR="00B46ACB" w:rsidRPr="00B85136">
        <w:rPr>
          <w:color w:val="000000" w:themeColor="text1"/>
        </w:rPr>
        <w:t>,</w:t>
      </w:r>
      <w:r w:rsidRPr="003A1057">
        <w:t xml:space="preserve"> including physical job demands over a typical work shift (use of a keyboard &gt;4 hours, other repeated wrist/hand movements &gt;4 hours, repeated elbow bending &gt;1 hour, </w:t>
      </w:r>
      <w:r w:rsidR="00B81A92">
        <w:t xml:space="preserve">work with </w:t>
      </w:r>
      <w:r w:rsidRPr="003A1057">
        <w:lastRenderedPageBreak/>
        <w:t xml:space="preserve">hands above shoulder height &gt;1 hour, lifting 25 </w:t>
      </w:r>
      <w:r>
        <w:t>kg</w:t>
      </w:r>
      <w:r w:rsidRPr="003A1057">
        <w:t xml:space="preserve"> (56 lbs.) by hand, kneeling or squatting &gt;1 hour</w:t>
      </w:r>
      <w:r w:rsidR="00B81A92">
        <w:t>, and</w:t>
      </w:r>
      <w:r w:rsidRPr="003A1057">
        <w:t xml:space="preserve"> climbing up or down &gt;30 flights of stairs) and </w:t>
      </w:r>
      <w:r w:rsidR="00AA2E29" w:rsidRPr="00B85136">
        <w:rPr>
          <w:color w:val="000000" w:themeColor="text1"/>
        </w:rPr>
        <w:t xml:space="preserve">a list of </w:t>
      </w:r>
      <w:r w:rsidRPr="003A1057">
        <w:t xml:space="preserve">psychosocial job </w:t>
      </w:r>
      <w:r w:rsidR="00AA2E29" w:rsidRPr="00B85136">
        <w:rPr>
          <w:color w:val="000000" w:themeColor="text1"/>
        </w:rPr>
        <w:t xml:space="preserve">conditions including in the CUPID baseline questionnaire based on items typically used when investigating psychosocial work risk factors: </w:t>
      </w:r>
      <w:r w:rsidRPr="003A1057">
        <w:t xml:space="preserve">incentives, bonus </w:t>
      </w:r>
      <w:r w:rsidRPr="00051B10">
        <w:t>payment</w:t>
      </w:r>
      <w:r w:rsidR="00B81A92">
        <w:t>s</w:t>
      </w:r>
      <w:r w:rsidRPr="00051B10">
        <w:t>, time pressure, lack of choice, lack of support, job dissatisfaction, and percept</w:t>
      </w:r>
      <w:r w:rsidR="00974A97" w:rsidRPr="00051B10">
        <w:t>ion of job insecurity</w:t>
      </w:r>
      <w:r w:rsidR="00AA2E29" w:rsidRPr="00B85136">
        <w:rPr>
          <w:color w:val="000000" w:themeColor="text1"/>
        </w:rPr>
        <w:t>.</w:t>
      </w:r>
    </w:p>
    <w:p w14:paraId="0DB2A136" w14:textId="1748CE18" w:rsidR="00CF01B2" w:rsidRPr="003A1057" w:rsidRDefault="00226067" w:rsidP="00CF01B2">
      <w:pPr>
        <w:spacing w:line="480" w:lineRule="auto"/>
        <w:ind w:firstLine="720"/>
        <w:jc w:val="both"/>
      </w:pPr>
      <w:r w:rsidRPr="00B85136">
        <w:rPr>
          <w:color w:val="000000" w:themeColor="text1"/>
        </w:rPr>
        <w:t>In addition, there was a section</w:t>
      </w:r>
      <w:r w:rsidR="00866486" w:rsidRPr="00B85136">
        <w:rPr>
          <w:color w:val="000000" w:themeColor="text1"/>
        </w:rPr>
        <w:t xml:space="preserve"> </w:t>
      </w:r>
      <w:r w:rsidRPr="00B85136">
        <w:rPr>
          <w:color w:val="000000" w:themeColor="text1"/>
        </w:rPr>
        <w:t>on</w:t>
      </w:r>
      <w:r w:rsidR="00CF01B2" w:rsidRPr="00051B10">
        <w:t xml:space="preserve"> health-related variables</w:t>
      </w:r>
      <w:r w:rsidR="00B46ACB" w:rsidRPr="00B85136">
        <w:rPr>
          <w:color w:val="000000" w:themeColor="text1"/>
        </w:rPr>
        <w:t>,</w:t>
      </w:r>
      <w:r w:rsidR="005C4E9C" w:rsidRPr="00B85136">
        <w:rPr>
          <w:color w:val="000000" w:themeColor="text1"/>
        </w:rPr>
        <w:t xml:space="preserve"> includ</w:t>
      </w:r>
      <w:r w:rsidR="00B46ACB" w:rsidRPr="00B85136">
        <w:rPr>
          <w:color w:val="000000" w:themeColor="text1"/>
        </w:rPr>
        <w:t>ing</w:t>
      </w:r>
      <w:r w:rsidR="005C4E9C" w:rsidRPr="00051B10">
        <w:t xml:space="preserve"> adverse</w:t>
      </w:r>
      <w:r w:rsidR="00CF01B2" w:rsidRPr="00051B10">
        <w:t xml:space="preserve"> beliefs</w:t>
      </w:r>
      <w:r w:rsidR="005C4E9C" w:rsidRPr="00051B10">
        <w:t xml:space="preserve"> regarding causes of </w:t>
      </w:r>
      <w:r w:rsidR="00B81A92">
        <w:t>UEMP</w:t>
      </w:r>
      <w:r w:rsidR="00B81A92" w:rsidRPr="00051B10">
        <w:t xml:space="preserve"> </w:t>
      </w:r>
      <w:r w:rsidR="00CF01B2" w:rsidRPr="00051B10">
        <w:t>(</w:t>
      </w:r>
      <w:r w:rsidR="00B81A92" w:rsidRPr="00B85136">
        <w:rPr>
          <w:color w:val="000000" w:themeColor="text1"/>
        </w:rPr>
        <w:t>class</w:t>
      </w:r>
      <w:r w:rsidR="00B46ACB" w:rsidRPr="00B85136">
        <w:rPr>
          <w:color w:val="000000" w:themeColor="text1"/>
        </w:rPr>
        <w:t>ifi</w:t>
      </w:r>
      <w:r w:rsidR="00B81A92" w:rsidRPr="00B85136">
        <w:rPr>
          <w:color w:val="000000" w:themeColor="text1"/>
        </w:rPr>
        <w:t>ed</w:t>
      </w:r>
      <w:r w:rsidR="00B81A92" w:rsidRPr="00051B10">
        <w:t xml:space="preserve"> </w:t>
      </w:r>
      <w:r w:rsidR="00CF01B2" w:rsidRPr="00051B10">
        <w:t xml:space="preserve">as </w:t>
      </w:r>
      <w:r w:rsidR="00B81A92">
        <w:t>present</w:t>
      </w:r>
      <w:r w:rsidR="00CF01B2" w:rsidRPr="00051B10">
        <w:t xml:space="preserve"> if the participant completely agreed that </w:t>
      </w:r>
      <w:r w:rsidR="00B81A92">
        <w:t xml:space="preserve">such </w:t>
      </w:r>
      <w:r w:rsidR="00CF01B2" w:rsidRPr="00051B10">
        <w:t>pain is commonly caused by people's work</w:t>
      </w:r>
      <w:r w:rsidR="00974A97" w:rsidRPr="00051B10">
        <w:t>)</w:t>
      </w:r>
      <w:r w:rsidR="005C4E9C" w:rsidRPr="00051B10">
        <w:t>, beliefs that</w:t>
      </w:r>
      <w:r w:rsidR="00CF01B2" w:rsidRPr="00051B10">
        <w:t xml:space="preserve"> physical activity is harmful (</w:t>
      </w:r>
      <w:r w:rsidR="00B81A92" w:rsidRPr="00B85136">
        <w:rPr>
          <w:color w:val="000000" w:themeColor="text1"/>
        </w:rPr>
        <w:t>class</w:t>
      </w:r>
      <w:r w:rsidR="00B46ACB" w:rsidRPr="00B85136">
        <w:rPr>
          <w:color w:val="000000" w:themeColor="text1"/>
        </w:rPr>
        <w:t>ifi</w:t>
      </w:r>
      <w:r w:rsidR="00B81A92" w:rsidRPr="00B85136">
        <w:rPr>
          <w:color w:val="000000" w:themeColor="text1"/>
        </w:rPr>
        <w:t>ed</w:t>
      </w:r>
      <w:r w:rsidR="00B81A92" w:rsidRPr="00051B10">
        <w:t xml:space="preserve"> </w:t>
      </w:r>
      <w:r w:rsidR="00974A97" w:rsidRPr="00051B10">
        <w:t xml:space="preserve">as </w:t>
      </w:r>
      <w:r w:rsidR="00B81A92">
        <w:t>present</w:t>
      </w:r>
      <w:r w:rsidR="00974A97" w:rsidRPr="00051B10">
        <w:t xml:space="preserve"> if the participant completely agreed that </w:t>
      </w:r>
      <w:r w:rsidR="00B81A92">
        <w:t xml:space="preserve">in people with UEMP, </w:t>
      </w:r>
      <w:r w:rsidR="00CF01B2" w:rsidRPr="00051B10">
        <w:t>physical activity should be avoided and rest is ne</w:t>
      </w:r>
      <w:r w:rsidR="005C4E9C" w:rsidRPr="00051B10">
        <w:t xml:space="preserve">eded to </w:t>
      </w:r>
      <w:r w:rsidR="00C5560D" w:rsidRPr="00B85136">
        <w:rPr>
          <w:color w:val="000000" w:themeColor="text1"/>
        </w:rPr>
        <w:t>improve</w:t>
      </w:r>
      <w:r w:rsidR="005C4E9C" w:rsidRPr="00051B10">
        <w:t xml:space="preserve">), beliefs that </w:t>
      </w:r>
      <w:r w:rsidR="00B81A92">
        <w:t>UEMP</w:t>
      </w:r>
      <w:r w:rsidR="00B81A92" w:rsidRPr="00051B10">
        <w:t xml:space="preserve"> </w:t>
      </w:r>
      <w:r w:rsidR="005C4E9C" w:rsidRPr="00051B10">
        <w:t xml:space="preserve">has </w:t>
      </w:r>
      <w:r w:rsidR="00C5560D" w:rsidRPr="00B85136">
        <w:rPr>
          <w:color w:val="000000" w:themeColor="text1"/>
        </w:rPr>
        <w:t xml:space="preserve">a </w:t>
      </w:r>
      <w:r w:rsidR="005C4E9C" w:rsidRPr="00051B10">
        <w:t>poor prognosis</w:t>
      </w:r>
      <w:r w:rsidR="00CF01B2" w:rsidRPr="00051B10">
        <w:t xml:space="preserve"> </w:t>
      </w:r>
      <w:r w:rsidR="005C4E9C" w:rsidRPr="00051B10">
        <w:t>(</w:t>
      </w:r>
      <w:r w:rsidR="00B81A92" w:rsidRPr="00B85136">
        <w:rPr>
          <w:color w:val="000000" w:themeColor="text1"/>
        </w:rPr>
        <w:t>class</w:t>
      </w:r>
      <w:r w:rsidR="00C5560D" w:rsidRPr="00B85136">
        <w:rPr>
          <w:color w:val="000000" w:themeColor="text1"/>
        </w:rPr>
        <w:t>ifi</w:t>
      </w:r>
      <w:r w:rsidR="00B81A92" w:rsidRPr="00B85136">
        <w:rPr>
          <w:color w:val="000000" w:themeColor="text1"/>
        </w:rPr>
        <w:t>ed</w:t>
      </w:r>
      <w:r w:rsidR="00B81A92" w:rsidRPr="00051B10">
        <w:t xml:space="preserve"> </w:t>
      </w:r>
      <w:r w:rsidR="00974A97" w:rsidRPr="00051B10">
        <w:t xml:space="preserve">as </w:t>
      </w:r>
      <w:r w:rsidR="00B81A92">
        <w:t>present</w:t>
      </w:r>
      <w:r w:rsidR="00974A97" w:rsidRPr="00051B10">
        <w:t xml:space="preserve"> if the participant completely agreed that </w:t>
      </w:r>
      <w:r w:rsidR="00CF01B2" w:rsidRPr="00051B10">
        <w:t xml:space="preserve">neglecting </w:t>
      </w:r>
      <w:r w:rsidR="00B81A92">
        <w:t xml:space="preserve">such </w:t>
      </w:r>
      <w:r w:rsidR="00CF01B2" w:rsidRPr="00051B10">
        <w:t xml:space="preserve">pain can cause permanent health problems, and </w:t>
      </w:r>
      <w:r w:rsidR="00974A97" w:rsidRPr="00051B10">
        <w:t xml:space="preserve">completely </w:t>
      </w:r>
      <w:r w:rsidR="00CF01B2" w:rsidRPr="00051B10">
        <w:t>disagree</w:t>
      </w:r>
      <w:r w:rsidR="00C017B2">
        <w:t>d</w:t>
      </w:r>
      <w:r w:rsidR="00CF01B2" w:rsidRPr="00051B10">
        <w:t xml:space="preserve"> that </w:t>
      </w:r>
      <w:r w:rsidR="00C017B2">
        <w:t>it</w:t>
      </w:r>
      <w:r w:rsidR="00C017B2" w:rsidRPr="00051B10">
        <w:t xml:space="preserve"> </w:t>
      </w:r>
      <w:r w:rsidR="00CF01B2" w:rsidRPr="00051B10">
        <w:t xml:space="preserve">usually </w:t>
      </w:r>
      <w:r w:rsidR="00CF01B2" w:rsidRPr="00B85136">
        <w:rPr>
          <w:color w:val="000000" w:themeColor="text1"/>
        </w:rPr>
        <w:t>get</w:t>
      </w:r>
      <w:r w:rsidR="00EE1E5C" w:rsidRPr="00B85136">
        <w:rPr>
          <w:color w:val="000000" w:themeColor="text1"/>
        </w:rPr>
        <w:t>s</w:t>
      </w:r>
      <w:r w:rsidR="00CF01B2" w:rsidRPr="00051B10">
        <w:t xml:space="preserve"> better within 3 months), awareness of “repetitive strain injury”</w:t>
      </w:r>
      <w:r w:rsidR="00CF01B2" w:rsidRPr="003A1057">
        <w:t xml:space="preserve"> or similar terms, awareness of someone outside work with </w:t>
      </w:r>
      <w:r w:rsidR="00C017B2">
        <w:t>UEMP</w:t>
      </w:r>
      <w:r w:rsidR="00CF01B2" w:rsidRPr="003A1057">
        <w:t>, somatizing tendency (number of distressing somatic symptoms in past week</w:t>
      </w:r>
      <w:r w:rsidR="00C017B2">
        <w:t>,</w:t>
      </w:r>
      <w:r w:rsidR="00CF01B2" w:rsidRPr="003A1057">
        <w:t xml:space="preserve"> categorized as </w:t>
      </w:r>
      <w:r w:rsidR="00C017B2">
        <w:t>0,</w:t>
      </w:r>
      <w:r w:rsidR="00C017B2" w:rsidRPr="003A1057">
        <w:t xml:space="preserve"> </w:t>
      </w:r>
      <w:r w:rsidR="00C017B2">
        <w:t>1 or</w:t>
      </w:r>
      <w:r w:rsidR="00CF01B2" w:rsidRPr="003A1057">
        <w:t xml:space="preserve"> </w:t>
      </w:r>
      <w:r w:rsidR="00C017B2">
        <w:t>≥</w:t>
      </w:r>
      <w:r w:rsidR="00CF01B2" w:rsidRPr="003A1057">
        <w:t>2</w:t>
      </w:r>
      <w:r w:rsidR="00C017B2">
        <w:t>,</w:t>
      </w:r>
      <w:r w:rsidR="00CF01B2" w:rsidRPr="003A1057">
        <w:t xml:space="preserve"> </w:t>
      </w:r>
      <w:r w:rsidR="00C017B2">
        <w:t>from</w:t>
      </w:r>
      <w:r w:rsidR="00CF01B2" w:rsidRPr="003A1057">
        <w:t xml:space="preserve"> faintness or dizziness, chest pains, nausea or upset stomach, difficulty breathing, numbness or tingling</w:t>
      </w:r>
      <w:r w:rsidR="00C017B2">
        <w:t>,</w:t>
      </w:r>
      <w:r w:rsidR="00CF01B2" w:rsidRPr="003A1057">
        <w:t xml:space="preserve"> feeling weak in parts of the body, </w:t>
      </w:r>
      <w:r w:rsidR="00C017B2">
        <w:t xml:space="preserve">and </w:t>
      </w:r>
      <w:r w:rsidR="00CF01B2" w:rsidRPr="003A1057">
        <w:t>hot or cold spells) and mental health (</w:t>
      </w:r>
      <w:r w:rsidR="00C017B2">
        <w:t>dichotom</w:t>
      </w:r>
      <w:r w:rsidR="00C017B2" w:rsidRPr="003A1057">
        <w:t xml:space="preserve">ized </w:t>
      </w:r>
      <w:r w:rsidR="00CF01B2" w:rsidRPr="003A1057">
        <w:t xml:space="preserve">as good </w:t>
      </w:r>
      <w:r w:rsidR="00C017B2">
        <w:t>or</w:t>
      </w:r>
      <w:r w:rsidR="00C017B2" w:rsidRPr="003A1057">
        <w:t xml:space="preserve"> </w:t>
      </w:r>
      <w:r w:rsidR="00CF01B2" w:rsidRPr="003A1057">
        <w:t xml:space="preserve">intermediate/poor </w:t>
      </w:r>
      <w:r w:rsidR="00C017B2">
        <w:t>according to a previously defined classification</w:t>
      </w:r>
      <w:r w:rsidR="00CF01B2" w:rsidRPr="003A1057">
        <w:fldChar w:fldCharType="begin"/>
      </w:r>
      <w:r w:rsidR="00C23091">
        <w:instrText>ADDIN RW.CITE{{291 Coggon,D. 2012}}</w:instrText>
      </w:r>
      <w:r w:rsidR="00CF01B2" w:rsidRPr="003A1057">
        <w:fldChar w:fldCharType="separate"/>
      </w:r>
      <w:r w:rsidR="00C23091" w:rsidRPr="00C23091">
        <w:rPr>
          <w:vertAlign w:val="superscript"/>
        </w:rPr>
        <w:t>20</w:t>
      </w:r>
      <w:r w:rsidR="00CF01B2" w:rsidRPr="003A1057">
        <w:fldChar w:fldCharType="end"/>
      </w:r>
      <w:r w:rsidR="00EE1E5C" w:rsidRPr="00B85136">
        <w:rPr>
          <w:color w:val="000000" w:themeColor="text1"/>
        </w:rPr>
        <w:t>)</w:t>
      </w:r>
      <w:r w:rsidR="00CF01B2" w:rsidRPr="00B85136">
        <w:rPr>
          <w:color w:val="000000" w:themeColor="text1"/>
        </w:rPr>
        <w:t xml:space="preserve">. </w:t>
      </w:r>
      <w:r w:rsidR="004C7456" w:rsidRPr="00B85136">
        <w:rPr>
          <w:color w:val="000000" w:themeColor="text1"/>
        </w:rPr>
        <w:t xml:space="preserve">Due to small </w:t>
      </w:r>
      <w:r w:rsidR="00C7564E" w:rsidRPr="00B85136">
        <w:rPr>
          <w:color w:val="000000" w:themeColor="text1"/>
        </w:rPr>
        <w:t xml:space="preserve">cell </w:t>
      </w:r>
      <w:r w:rsidR="004C7456" w:rsidRPr="00B85136">
        <w:rPr>
          <w:color w:val="000000" w:themeColor="text1"/>
        </w:rPr>
        <w:t>number</w:t>
      </w:r>
      <w:r w:rsidR="00C7564E" w:rsidRPr="00B85136">
        <w:rPr>
          <w:color w:val="000000" w:themeColor="text1"/>
        </w:rPr>
        <w:t>s</w:t>
      </w:r>
      <w:r w:rsidR="004C7456" w:rsidRPr="00B85136">
        <w:rPr>
          <w:color w:val="000000" w:themeColor="text1"/>
        </w:rPr>
        <w:t>, the covariates of hours worked per week</w:t>
      </w:r>
      <w:r w:rsidR="000F2663" w:rsidRPr="00B85136">
        <w:rPr>
          <w:color w:val="000000" w:themeColor="text1"/>
        </w:rPr>
        <w:t xml:space="preserve"> (</w:t>
      </w:r>
      <w:r w:rsidR="00AA2E29" w:rsidRPr="00B85136">
        <w:rPr>
          <w:color w:val="000000" w:themeColor="text1"/>
        </w:rPr>
        <w:t>most participants worked</w:t>
      </w:r>
      <w:r w:rsidR="000F2663" w:rsidRPr="00B85136">
        <w:rPr>
          <w:color w:val="000000" w:themeColor="text1"/>
        </w:rPr>
        <w:t xml:space="preserve"> 31-49 hours) </w:t>
      </w:r>
      <w:r w:rsidR="004C7456" w:rsidRPr="00B85136">
        <w:rPr>
          <w:color w:val="000000" w:themeColor="text1"/>
        </w:rPr>
        <w:t xml:space="preserve">and contract type </w:t>
      </w:r>
      <w:r w:rsidR="000F2663" w:rsidRPr="00B85136">
        <w:rPr>
          <w:color w:val="000000" w:themeColor="text1"/>
        </w:rPr>
        <w:t xml:space="preserve">(most participants had a permanent contract) </w:t>
      </w:r>
      <w:r w:rsidR="004C7456" w:rsidRPr="00B85136">
        <w:rPr>
          <w:color w:val="000000" w:themeColor="text1"/>
        </w:rPr>
        <w:t>could not be investigated for their effects on the outcomes.</w:t>
      </w:r>
    </w:p>
    <w:p w14:paraId="18DF4A1E" w14:textId="77777777" w:rsidR="00CF01B2" w:rsidRPr="003A1057" w:rsidRDefault="00CF01B2" w:rsidP="00CF01B2">
      <w:pPr>
        <w:spacing w:line="480" w:lineRule="auto"/>
      </w:pPr>
    </w:p>
    <w:p w14:paraId="492B2EE6" w14:textId="77777777" w:rsidR="00CF01B2" w:rsidRPr="005468BC" w:rsidRDefault="00CF01B2" w:rsidP="00CF01B2">
      <w:pPr>
        <w:spacing w:line="480" w:lineRule="auto"/>
        <w:rPr>
          <w:u w:val="single"/>
        </w:rPr>
      </w:pPr>
      <w:r w:rsidRPr="005468BC">
        <w:rPr>
          <w:u w:val="single"/>
        </w:rPr>
        <w:t>Statistical analysis</w:t>
      </w:r>
    </w:p>
    <w:p w14:paraId="18B30AC5" w14:textId="2C149E33" w:rsidR="00CF01B2" w:rsidRDefault="00CF01B2" w:rsidP="00CF01B2">
      <w:pPr>
        <w:spacing w:line="480" w:lineRule="auto"/>
        <w:ind w:firstLine="720"/>
        <w:jc w:val="both"/>
      </w:pPr>
      <w:r w:rsidRPr="003A1057">
        <w:lastRenderedPageBreak/>
        <w:t xml:space="preserve">Initially, participant characteristics were compared </w:t>
      </w:r>
      <w:r w:rsidR="00766023" w:rsidRPr="00B85136">
        <w:rPr>
          <w:color w:val="000000" w:themeColor="text1"/>
        </w:rPr>
        <w:t>among</w:t>
      </w:r>
      <w:r w:rsidRPr="003A1057">
        <w:t xml:space="preserve"> the three countries by chi-square</w:t>
      </w:r>
      <w:r w:rsidR="00416927">
        <w:t>d</w:t>
      </w:r>
      <w:r w:rsidRPr="003A1057">
        <w:t xml:space="preserve"> tests. Next, we used </w:t>
      </w:r>
      <w:r>
        <w:t xml:space="preserve">unconditional </w:t>
      </w:r>
      <w:r w:rsidRPr="003A1057">
        <w:t>logistic regression to calculate odd ratios (OR</w:t>
      </w:r>
      <w:r w:rsidR="00B039CA">
        <w:t>s</w:t>
      </w:r>
      <w:r w:rsidRPr="003A1057">
        <w:t>) and their corresponding 95% confidence intervals (95%CI</w:t>
      </w:r>
      <w:r w:rsidR="00B039CA">
        <w:t>s</w:t>
      </w:r>
      <w:r w:rsidRPr="003A1057">
        <w:t>) for association</w:t>
      </w:r>
      <w:r w:rsidR="00B039CA">
        <w:t>s</w:t>
      </w:r>
      <w:r w:rsidRPr="003A1057">
        <w:t xml:space="preserve"> between independent variables and the UEMP outcomes. For each outcome we followed Hosmer and Lemeshow’s </w:t>
      </w:r>
      <w:r w:rsidR="00B039CA" w:rsidRPr="003A1057">
        <w:t>model</w:t>
      </w:r>
      <w:r w:rsidR="00B039CA">
        <w:t>-</w:t>
      </w:r>
      <w:r w:rsidRPr="003A1057">
        <w:t>building guidelines</w:t>
      </w:r>
      <w:r w:rsidRPr="003A1057">
        <w:fldChar w:fldCharType="begin"/>
      </w:r>
      <w:r w:rsidR="00C23091">
        <w:instrText>ADDIN RW.CITE{{262 Hosmer,D.W. 2000}}</w:instrText>
      </w:r>
      <w:r w:rsidRPr="003A1057">
        <w:fldChar w:fldCharType="separate"/>
      </w:r>
      <w:r w:rsidR="00C23091" w:rsidRPr="00C23091">
        <w:rPr>
          <w:vertAlign w:val="superscript"/>
        </w:rPr>
        <w:t>32</w:t>
      </w:r>
      <w:r w:rsidRPr="003A1057">
        <w:fldChar w:fldCharType="end"/>
      </w:r>
      <w:r w:rsidRPr="003A1057">
        <w:t xml:space="preserve">. </w:t>
      </w:r>
      <w:r w:rsidR="00B039CA">
        <w:t>F</w:t>
      </w:r>
      <w:r w:rsidRPr="003A1057">
        <w:t xml:space="preserve">ollowing Amick </w:t>
      </w:r>
      <w:r w:rsidRPr="003A1057">
        <w:rPr>
          <w:i/>
        </w:rPr>
        <w:t>et al</w:t>
      </w:r>
      <w:r w:rsidR="00C67A70" w:rsidRPr="00C67A70">
        <w:rPr>
          <w:i/>
          <w:color w:val="000000" w:themeColor="text1"/>
        </w:rPr>
        <w:t>.</w:t>
      </w:r>
      <w:r w:rsidRPr="003A1057">
        <w:fldChar w:fldCharType="begin"/>
      </w:r>
      <w:r w:rsidR="00C23091">
        <w:instrText>ADDIN RW.CITE{{350 AmickIII,BenjaminC 2004}}</w:instrText>
      </w:r>
      <w:r w:rsidRPr="003A1057">
        <w:fldChar w:fldCharType="separate"/>
      </w:r>
      <w:r w:rsidR="00C23091" w:rsidRPr="00C23091">
        <w:rPr>
          <w:vertAlign w:val="superscript"/>
        </w:rPr>
        <w:t>33</w:t>
      </w:r>
      <w:r w:rsidRPr="003A1057">
        <w:fldChar w:fldCharType="end"/>
      </w:r>
      <w:r w:rsidRPr="003A1057">
        <w:t xml:space="preserve">, and due to the large number of variables, we selected variables for the final models by groups (socio-demographic, employment, health-related and working conditions). First, we selected variables with a p-value &lt;0.25 </w:t>
      </w:r>
      <w:r w:rsidR="00B039CA">
        <w:t>for</w:t>
      </w:r>
      <w:r w:rsidR="00B039CA" w:rsidRPr="003A1057">
        <w:t xml:space="preserve"> </w:t>
      </w:r>
      <w:r w:rsidRPr="003A1057">
        <w:t xml:space="preserve">the association with the outcome of interest </w:t>
      </w:r>
      <w:r w:rsidR="00B039CA">
        <w:t xml:space="preserve">in </w:t>
      </w:r>
      <w:r w:rsidR="00766023" w:rsidRPr="00B85136">
        <w:rPr>
          <w:color w:val="000000" w:themeColor="text1"/>
        </w:rPr>
        <w:t>b</w:t>
      </w:r>
      <w:r w:rsidR="00B039CA" w:rsidRPr="00B85136">
        <w:rPr>
          <w:color w:val="000000" w:themeColor="text1"/>
        </w:rPr>
        <w:t>ivariate</w:t>
      </w:r>
      <w:r w:rsidR="00B039CA">
        <w:t xml:space="preserve"> analyses</w:t>
      </w:r>
      <w:r w:rsidRPr="003A1057">
        <w:t xml:space="preserve">. </w:t>
      </w:r>
      <w:r w:rsidR="00B039CA">
        <w:t>Next</w:t>
      </w:r>
      <w:r w:rsidRPr="003A1057">
        <w:t xml:space="preserve">, we created two </w:t>
      </w:r>
      <w:r w:rsidR="00B039CA" w:rsidRPr="00B85136">
        <w:rPr>
          <w:color w:val="000000" w:themeColor="text1"/>
        </w:rPr>
        <w:t>multivaria</w:t>
      </w:r>
      <w:r w:rsidR="00766023" w:rsidRPr="00B85136">
        <w:rPr>
          <w:color w:val="000000" w:themeColor="text1"/>
        </w:rPr>
        <w:t>ble</w:t>
      </w:r>
      <w:r w:rsidR="00B039CA" w:rsidRPr="003A1057">
        <w:t xml:space="preserve"> </w:t>
      </w:r>
      <w:r w:rsidRPr="003A1057">
        <w:t xml:space="preserve">models: </w:t>
      </w:r>
      <w:r w:rsidR="003A26BC" w:rsidRPr="00B85136">
        <w:rPr>
          <w:color w:val="000000" w:themeColor="text1"/>
        </w:rPr>
        <w:t xml:space="preserve">(1) </w:t>
      </w:r>
      <w:r w:rsidRPr="003A1057">
        <w:t>an individual-level model</w:t>
      </w:r>
      <w:r w:rsidR="00766023" w:rsidRPr="00B85136">
        <w:rPr>
          <w:color w:val="000000" w:themeColor="text1"/>
        </w:rPr>
        <w:t>,</w:t>
      </w:r>
      <w:r w:rsidRPr="003A1057">
        <w:t xml:space="preserve"> including all the variables selected from step 1 regarding socio-demographic</w:t>
      </w:r>
      <w:r w:rsidR="00B039CA">
        <w:t xml:space="preserve"> </w:t>
      </w:r>
      <w:r w:rsidR="00F776DA">
        <w:t>characteristics</w:t>
      </w:r>
      <w:r w:rsidRPr="003A1057">
        <w:t xml:space="preserve">, employment and health; </w:t>
      </w:r>
      <w:r w:rsidR="003A26BC" w:rsidRPr="00B85136">
        <w:rPr>
          <w:color w:val="000000" w:themeColor="text1"/>
        </w:rPr>
        <w:t>(2)</w:t>
      </w:r>
      <w:r w:rsidRPr="003A1057">
        <w:t xml:space="preserve"> an organizational-level model</w:t>
      </w:r>
      <w:r w:rsidR="00766023" w:rsidRPr="00B85136">
        <w:rPr>
          <w:color w:val="000000" w:themeColor="text1"/>
        </w:rPr>
        <w:t>,</w:t>
      </w:r>
      <w:r w:rsidRPr="003A1057">
        <w:t xml:space="preserve"> including all </w:t>
      </w:r>
      <w:r w:rsidR="00B039CA">
        <w:t xml:space="preserve">of </w:t>
      </w:r>
      <w:r w:rsidRPr="003A1057">
        <w:t xml:space="preserve">the variables selected from step 1 regarding working conditions. All variables with a p-value &lt;0.10 </w:t>
      </w:r>
      <w:r w:rsidR="00B039CA">
        <w:t xml:space="preserve">in these analyses </w:t>
      </w:r>
      <w:r w:rsidRPr="003A1057">
        <w:t xml:space="preserve">were </w:t>
      </w:r>
      <w:r w:rsidR="00B039CA">
        <w:t xml:space="preserve">then </w:t>
      </w:r>
      <w:r w:rsidRPr="003A1057">
        <w:t xml:space="preserve">combined into a </w:t>
      </w:r>
      <w:r w:rsidR="00B039CA">
        <w:t xml:space="preserve">single </w:t>
      </w:r>
      <w:r w:rsidR="00766023" w:rsidRPr="00B85136">
        <w:rPr>
          <w:color w:val="000000" w:themeColor="text1"/>
        </w:rPr>
        <w:t>multivariable</w:t>
      </w:r>
      <w:r w:rsidRPr="003A1057">
        <w:t xml:space="preserve"> </w:t>
      </w:r>
      <w:r w:rsidRPr="003A1057">
        <w:rPr>
          <w:color w:val="000000" w:themeColor="text1"/>
        </w:rPr>
        <w:t>model</w:t>
      </w:r>
      <w:r w:rsidR="00766023" w:rsidRPr="00B85136">
        <w:rPr>
          <w:color w:val="000000" w:themeColor="text1"/>
        </w:rPr>
        <w:t>.</w:t>
      </w:r>
      <w:r w:rsidR="00B039CA" w:rsidRPr="00B85136">
        <w:rPr>
          <w:color w:val="000000" w:themeColor="text1"/>
        </w:rPr>
        <w:t xml:space="preserve"> </w:t>
      </w:r>
      <w:r w:rsidR="000D28BC" w:rsidRPr="00B85136">
        <w:rPr>
          <w:color w:val="000000" w:themeColor="text1"/>
        </w:rPr>
        <w:t>Variables</w:t>
      </w:r>
      <w:r w:rsidRPr="003A1057">
        <w:rPr>
          <w:color w:val="000000" w:themeColor="text1"/>
        </w:rPr>
        <w:t xml:space="preserve"> with a p-value &lt;0.05 </w:t>
      </w:r>
      <w:r w:rsidR="00B039CA">
        <w:rPr>
          <w:color w:val="000000" w:themeColor="text1"/>
        </w:rPr>
        <w:t xml:space="preserve">(see Table 1) </w:t>
      </w:r>
      <w:r w:rsidRPr="003A1057">
        <w:rPr>
          <w:color w:val="000000" w:themeColor="text1"/>
        </w:rPr>
        <w:t xml:space="preserve">were </w:t>
      </w:r>
      <w:r w:rsidR="00B039CA">
        <w:rPr>
          <w:color w:val="000000" w:themeColor="text1"/>
        </w:rPr>
        <w:t>retained</w:t>
      </w:r>
      <w:r w:rsidR="00B039CA" w:rsidRPr="003A1057">
        <w:rPr>
          <w:color w:val="000000" w:themeColor="text1"/>
        </w:rPr>
        <w:t xml:space="preserve"> </w:t>
      </w:r>
      <w:r w:rsidR="00826E98" w:rsidRPr="00B85136">
        <w:rPr>
          <w:color w:val="000000" w:themeColor="text1"/>
        </w:rPr>
        <w:t>and adjusted</w:t>
      </w:r>
      <w:r w:rsidR="00B039CA">
        <w:rPr>
          <w:color w:val="000000" w:themeColor="text1"/>
        </w:rPr>
        <w:t xml:space="preserve"> when assessing</w:t>
      </w:r>
      <w:r w:rsidRPr="003A1057">
        <w:rPr>
          <w:color w:val="000000" w:themeColor="text1"/>
        </w:rPr>
        <w:t xml:space="preserve"> the differences in prevalence/incidence between cou</w:t>
      </w:r>
      <w:r w:rsidRPr="003A1057">
        <w:t xml:space="preserve">ntries. Hosmer and Lemeshow’s goodness-of-fit tests </w:t>
      </w:r>
      <w:r w:rsidR="00B039CA">
        <w:t xml:space="preserve">of </w:t>
      </w:r>
      <w:r w:rsidRPr="003A1057">
        <w:t xml:space="preserve">the final models had </w:t>
      </w:r>
      <w:r w:rsidR="00AA2E29" w:rsidRPr="00B85136">
        <w:rPr>
          <w:color w:val="000000" w:themeColor="text1"/>
        </w:rPr>
        <w:t xml:space="preserve">p-values &gt;0.80, except one with p=0.50, but all of them indicating </w:t>
      </w:r>
      <w:r w:rsidRPr="003A1057">
        <w:t>a good fit</w:t>
      </w:r>
      <w:r w:rsidR="006D48D0">
        <w:t xml:space="preserve"> </w:t>
      </w:r>
      <w:r w:rsidR="00AA2E29" w:rsidRPr="00B85136">
        <w:rPr>
          <w:color w:val="000000" w:themeColor="text1"/>
        </w:rPr>
        <w:t>of the final models</w:t>
      </w:r>
      <w:r w:rsidR="006D48D0" w:rsidRPr="003A1057">
        <w:fldChar w:fldCharType="begin"/>
      </w:r>
      <w:r w:rsidR="006D48D0">
        <w:instrText>ADDIN RW.CITE{{262 Hosmer,D.W. 2000}}</w:instrText>
      </w:r>
      <w:r w:rsidR="006D48D0" w:rsidRPr="003A1057">
        <w:fldChar w:fldCharType="separate"/>
      </w:r>
      <w:r w:rsidR="006D48D0" w:rsidRPr="00C23091">
        <w:rPr>
          <w:vertAlign w:val="superscript"/>
        </w:rPr>
        <w:t>32</w:t>
      </w:r>
      <w:r w:rsidR="006D48D0" w:rsidRPr="003A1057">
        <w:fldChar w:fldCharType="end"/>
      </w:r>
      <w:r w:rsidR="00AA2E29" w:rsidRPr="00B85136">
        <w:rPr>
          <w:color w:val="000000" w:themeColor="text1"/>
        </w:rPr>
        <w:t>.</w:t>
      </w:r>
      <w:r w:rsidRPr="003A1057">
        <w:t xml:space="preserve"> </w:t>
      </w:r>
      <w:r w:rsidR="00F419EC">
        <w:t>A</w:t>
      </w:r>
      <w:r w:rsidRPr="003A1057">
        <w:t xml:space="preserve">nalyses were performed </w:t>
      </w:r>
      <w:r>
        <w:t>with</w:t>
      </w:r>
      <w:r w:rsidRPr="003A1057">
        <w:t xml:space="preserve"> Stata</w:t>
      </w:r>
      <w:r>
        <w:t xml:space="preserve"> v. </w:t>
      </w:r>
      <w:r w:rsidRPr="003A1057">
        <w:t>13</w:t>
      </w:r>
      <w:r w:rsidRPr="003A1057">
        <w:fldChar w:fldCharType="begin"/>
      </w:r>
      <w:r w:rsidR="00C23091">
        <w:instrText>ADDIN RW.CITE{{396 StataCorp.2013 [No Information]}}</w:instrText>
      </w:r>
      <w:r w:rsidRPr="003A1057">
        <w:fldChar w:fldCharType="separate"/>
      </w:r>
      <w:r w:rsidR="00C23091" w:rsidRPr="00C23091">
        <w:rPr>
          <w:vertAlign w:val="superscript"/>
        </w:rPr>
        <w:t>34</w:t>
      </w:r>
      <w:r w:rsidRPr="003A1057">
        <w:fldChar w:fldCharType="end"/>
      </w:r>
      <w:r w:rsidRPr="003A1057">
        <w:t xml:space="preserve">. </w:t>
      </w:r>
    </w:p>
    <w:p w14:paraId="27B0D98C" w14:textId="77777777" w:rsidR="00CF01B2" w:rsidRPr="009B670F" w:rsidRDefault="00CF01B2" w:rsidP="00CF01B2">
      <w:pPr>
        <w:pStyle w:val="TextSection"/>
      </w:pPr>
    </w:p>
    <w:p w14:paraId="46968941" w14:textId="77777777" w:rsidR="00CF01B2" w:rsidRPr="009B670F" w:rsidRDefault="00CF01B2" w:rsidP="00CF01B2">
      <w:pPr>
        <w:pStyle w:val="ListParagraph"/>
        <w:widowControl w:val="0"/>
        <w:spacing w:line="480" w:lineRule="auto"/>
        <w:ind w:left="0"/>
        <w:contextualSpacing w:val="0"/>
        <w:jc w:val="both"/>
        <w:rPr>
          <w:b/>
        </w:rPr>
      </w:pPr>
      <w:r w:rsidRPr="009B670F">
        <w:rPr>
          <w:b/>
        </w:rPr>
        <w:t>Results</w:t>
      </w:r>
    </w:p>
    <w:p w14:paraId="00DFFBFC" w14:textId="2948DCC9" w:rsidR="00386960" w:rsidRPr="00B85136" w:rsidRDefault="00CF01B2" w:rsidP="00386960">
      <w:pPr>
        <w:widowControl w:val="0"/>
        <w:spacing w:line="480" w:lineRule="auto"/>
        <w:ind w:firstLine="720"/>
        <w:jc w:val="both"/>
        <w:rPr>
          <w:color w:val="000000" w:themeColor="text1"/>
        </w:rPr>
      </w:pPr>
      <w:r w:rsidRPr="009B670F">
        <w:t>Table 1 summarizes the characteristics of participants by country</w:t>
      </w:r>
      <w:r>
        <w:t>.</w:t>
      </w:r>
      <w:r w:rsidRPr="009B670F">
        <w:t xml:space="preserve"> More than </w:t>
      </w:r>
      <w:r w:rsidR="00386960" w:rsidRPr="00B85136">
        <w:rPr>
          <w:color w:val="000000" w:themeColor="text1"/>
        </w:rPr>
        <w:t xml:space="preserve">three fifths in all three countries </w:t>
      </w:r>
      <w:r w:rsidRPr="009B670F">
        <w:t>were female</w:t>
      </w:r>
      <w:r w:rsidR="00386960" w:rsidRPr="00B85136">
        <w:rPr>
          <w:color w:val="000000" w:themeColor="text1"/>
        </w:rPr>
        <w:t>, with increasing percentages in office workers, ranging from 63% in Costa Rica</w:t>
      </w:r>
      <w:r w:rsidRPr="009B670F">
        <w:t xml:space="preserve"> and </w:t>
      </w:r>
      <w:r w:rsidR="00386960" w:rsidRPr="00B85136">
        <w:rPr>
          <w:color w:val="000000" w:themeColor="text1"/>
        </w:rPr>
        <w:t xml:space="preserve">73% in Nicaragua to 84% in Spain. Most participants were </w:t>
      </w:r>
      <w:r w:rsidRPr="009B670F">
        <w:t>less than 50 years old</w:t>
      </w:r>
      <w:r w:rsidR="00386960" w:rsidRPr="00B85136">
        <w:rPr>
          <w:color w:val="000000" w:themeColor="text1"/>
        </w:rPr>
        <w:t xml:space="preserve"> although the group of 20-29 year olds was about half the size in Spain (17%) than in both Costa Rica</w:t>
      </w:r>
      <w:r w:rsidRPr="009B670F">
        <w:t xml:space="preserve"> </w:t>
      </w:r>
      <w:r w:rsidR="00676BEE">
        <w:t xml:space="preserve">and </w:t>
      </w:r>
      <w:r w:rsidR="00386960" w:rsidRPr="00B85136">
        <w:rPr>
          <w:color w:val="000000" w:themeColor="text1"/>
        </w:rPr>
        <w:t xml:space="preserve">Nicaragua (33%). </w:t>
      </w:r>
      <w:r>
        <w:t xml:space="preserve">In </w:t>
      </w:r>
      <w:r w:rsidR="00676BEE">
        <w:t xml:space="preserve">all </w:t>
      </w:r>
      <w:r>
        <w:t>three countries, a</w:t>
      </w:r>
      <w:r w:rsidRPr="009B670F">
        <w:t xml:space="preserve"> large </w:t>
      </w:r>
      <w:r w:rsidRPr="009B670F">
        <w:lastRenderedPageBreak/>
        <w:t>majority worked 31-49 hours per week (</w:t>
      </w:r>
      <w:r w:rsidR="00676BEE">
        <w:t>i.e</w:t>
      </w:r>
      <w:r w:rsidR="00386960" w:rsidRPr="00B85136">
        <w:rPr>
          <w:color w:val="000000" w:themeColor="text1"/>
        </w:rPr>
        <w:t>.,</w:t>
      </w:r>
      <w:r w:rsidR="00676BEE">
        <w:t xml:space="preserve"> </w:t>
      </w:r>
      <w:r w:rsidR="00676BEE" w:rsidRPr="009B670F">
        <w:t>full</w:t>
      </w:r>
      <w:r w:rsidR="00676BEE">
        <w:t>-</w:t>
      </w:r>
      <w:r w:rsidRPr="009B670F">
        <w:t xml:space="preserve">time) </w:t>
      </w:r>
      <w:r w:rsidR="00386960" w:rsidRPr="00B85136">
        <w:rPr>
          <w:color w:val="000000" w:themeColor="text1"/>
        </w:rPr>
        <w:t xml:space="preserve">although in Spain there was a larger group working 30 or less hours per week (12%) than in Nicaragua (5%) or Costa Rica (1.4%). In Costa Rica about 5% worked 50 or more hours versus only 1.4% in Nicaragua </w:t>
      </w:r>
      <w:r w:rsidRPr="009B670F">
        <w:t xml:space="preserve">and </w:t>
      </w:r>
      <w:r w:rsidR="00386960" w:rsidRPr="00B85136">
        <w:rPr>
          <w:color w:val="000000" w:themeColor="text1"/>
        </w:rPr>
        <w:t xml:space="preserve">virtually </w:t>
      </w:r>
      <w:r w:rsidR="00F419EC">
        <w:rPr>
          <w:color w:val="000000" w:themeColor="text1"/>
        </w:rPr>
        <w:t>nobody</w:t>
      </w:r>
      <w:r w:rsidR="00386960" w:rsidRPr="00B85136">
        <w:rPr>
          <w:color w:val="000000" w:themeColor="text1"/>
        </w:rPr>
        <w:t xml:space="preserve"> in Spain (0.2%).</w:t>
      </w:r>
      <w:r w:rsidR="003F7897" w:rsidRPr="003F7897">
        <w:rPr>
          <w:i/>
          <w:color w:val="000000" w:themeColor="text1"/>
        </w:rPr>
        <w:t xml:space="preserve"> </w:t>
      </w:r>
      <w:r w:rsidR="00386960" w:rsidRPr="00B85136">
        <w:rPr>
          <w:color w:val="000000" w:themeColor="text1"/>
        </w:rPr>
        <w:t>Having</w:t>
      </w:r>
      <w:r w:rsidRPr="009B670F">
        <w:t xml:space="preserve"> a permanent contract </w:t>
      </w:r>
      <w:r w:rsidR="00386960" w:rsidRPr="00B85136">
        <w:rPr>
          <w:color w:val="000000" w:themeColor="text1"/>
        </w:rPr>
        <w:t xml:space="preserve">was the most common type of contract </w:t>
      </w:r>
      <w:r w:rsidRPr="009B670F">
        <w:t>(</w:t>
      </w:r>
      <w:r>
        <w:t xml:space="preserve">over </w:t>
      </w:r>
      <w:r w:rsidRPr="009B670F">
        <w:t>8</w:t>
      </w:r>
      <w:r>
        <w:t>0</w:t>
      </w:r>
      <w:r w:rsidR="00386960" w:rsidRPr="00B85136">
        <w:rPr>
          <w:color w:val="000000" w:themeColor="text1"/>
        </w:rPr>
        <w:t xml:space="preserve">% in </w:t>
      </w:r>
      <w:r w:rsidR="00F419EC">
        <w:rPr>
          <w:color w:val="000000" w:themeColor="text1"/>
        </w:rPr>
        <w:t xml:space="preserve">all </w:t>
      </w:r>
      <w:r w:rsidR="00386960" w:rsidRPr="00B85136">
        <w:rPr>
          <w:color w:val="000000" w:themeColor="text1"/>
        </w:rPr>
        <w:t xml:space="preserve">countries), although temporary contracts were not infrequent in Costa Rica (15%) and Spain (20%). </w:t>
      </w:r>
    </w:p>
    <w:p w14:paraId="181C61B3" w14:textId="41960D74" w:rsidR="00CF01B2" w:rsidRPr="009B670F" w:rsidRDefault="00386960" w:rsidP="00CF01B2">
      <w:pPr>
        <w:pStyle w:val="ListParagraph"/>
        <w:widowControl w:val="0"/>
        <w:spacing w:line="480" w:lineRule="auto"/>
        <w:ind w:left="0" w:firstLine="720"/>
        <w:contextualSpacing w:val="0"/>
        <w:jc w:val="both"/>
      </w:pPr>
      <w:r w:rsidRPr="00B85136">
        <w:rPr>
          <w:color w:val="000000" w:themeColor="text1"/>
        </w:rPr>
        <w:t>Regarding psychosocial working conditions,</w:t>
      </w:r>
      <w:r w:rsidR="00CF01B2" w:rsidRPr="009B670F">
        <w:t xml:space="preserve"> </w:t>
      </w:r>
      <w:r w:rsidR="00BD3BD5">
        <w:t>i</w:t>
      </w:r>
      <w:r w:rsidR="00CF01B2">
        <w:rPr>
          <w:color w:val="000000" w:themeColor="text1"/>
        </w:rPr>
        <w:t>n both Costa Rica and Nicaragua</w:t>
      </w:r>
      <w:r w:rsidR="00676BEE">
        <w:rPr>
          <w:color w:val="000000" w:themeColor="text1"/>
        </w:rPr>
        <w:t>,</w:t>
      </w:r>
      <w:r w:rsidR="00CF01B2">
        <w:rPr>
          <w:color w:val="000000" w:themeColor="text1"/>
        </w:rPr>
        <w:t xml:space="preserve"> over three quarters of the participants reported </w:t>
      </w:r>
      <w:r w:rsidR="00CF01B2" w:rsidRPr="003E1059">
        <w:rPr>
          <w:color w:val="000000" w:themeColor="text1"/>
        </w:rPr>
        <w:t xml:space="preserve">working under time pressure </w:t>
      </w:r>
      <w:r w:rsidR="00676BEE">
        <w:rPr>
          <w:color w:val="000000" w:themeColor="text1"/>
        </w:rPr>
        <w:t xml:space="preserve">as compared with </w:t>
      </w:r>
      <w:r w:rsidR="00CF01B2">
        <w:rPr>
          <w:color w:val="000000" w:themeColor="text1"/>
        </w:rPr>
        <w:t xml:space="preserve">only </w:t>
      </w:r>
      <w:r w:rsidR="00CF01B2" w:rsidRPr="003E1059">
        <w:rPr>
          <w:color w:val="000000" w:themeColor="text1"/>
        </w:rPr>
        <w:t>54%</w:t>
      </w:r>
      <w:r w:rsidR="00CF01B2">
        <w:rPr>
          <w:color w:val="000000" w:themeColor="text1"/>
        </w:rPr>
        <w:t xml:space="preserve"> in Spain; in Nicaragua</w:t>
      </w:r>
      <w:r w:rsidRPr="00B85136">
        <w:rPr>
          <w:color w:val="000000" w:themeColor="text1"/>
        </w:rPr>
        <w:t>,</w:t>
      </w:r>
      <w:r w:rsidR="00CF01B2">
        <w:rPr>
          <w:color w:val="000000" w:themeColor="text1"/>
        </w:rPr>
        <w:t xml:space="preserve"> 40% reported lack of </w:t>
      </w:r>
      <w:r w:rsidR="00CF01B2" w:rsidRPr="003E1059">
        <w:rPr>
          <w:color w:val="000000" w:themeColor="text1"/>
        </w:rPr>
        <w:t>support from supervisors and co-workers</w:t>
      </w:r>
      <w:r w:rsidRPr="00B85136">
        <w:rPr>
          <w:color w:val="000000" w:themeColor="text1"/>
        </w:rPr>
        <w:t>,</w:t>
      </w:r>
      <w:r w:rsidR="00CF01B2" w:rsidRPr="003E1059">
        <w:rPr>
          <w:color w:val="000000" w:themeColor="text1"/>
        </w:rPr>
        <w:t xml:space="preserve"> </w:t>
      </w:r>
      <w:r w:rsidR="00676BEE">
        <w:rPr>
          <w:color w:val="000000" w:themeColor="text1"/>
        </w:rPr>
        <w:t xml:space="preserve">whereas </w:t>
      </w:r>
      <w:r w:rsidR="00CF01B2">
        <w:rPr>
          <w:color w:val="000000" w:themeColor="text1"/>
        </w:rPr>
        <w:t xml:space="preserve">fewer reported </w:t>
      </w:r>
      <w:r w:rsidRPr="00B85136">
        <w:rPr>
          <w:color w:val="000000" w:themeColor="text1"/>
        </w:rPr>
        <w:t>this exposure -</w:t>
      </w:r>
      <w:r w:rsidR="00CF01B2">
        <w:rPr>
          <w:color w:val="000000" w:themeColor="text1"/>
        </w:rPr>
        <w:t>in Costa Rica (</w:t>
      </w:r>
      <w:r w:rsidR="00CF01B2" w:rsidRPr="003E1059">
        <w:rPr>
          <w:color w:val="000000" w:themeColor="text1"/>
        </w:rPr>
        <w:t>2</w:t>
      </w:r>
      <w:r w:rsidR="00CF01B2">
        <w:rPr>
          <w:color w:val="000000" w:themeColor="text1"/>
        </w:rPr>
        <w:t>7</w:t>
      </w:r>
      <w:r w:rsidR="00CF01B2" w:rsidRPr="003E1059">
        <w:rPr>
          <w:color w:val="000000" w:themeColor="text1"/>
        </w:rPr>
        <w:t>%)</w:t>
      </w:r>
      <w:r w:rsidR="00CF01B2">
        <w:rPr>
          <w:color w:val="000000" w:themeColor="text1"/>
        </w:rPr>
        <w:t xml:space="preserve"> or Spain (21%)</w:t>
      </w:r>
      <w:r w:rsidR="00CF01B2" w:rsidRPr="003E1059">
        <w:rPr>
          <w:color w:val="000000" w:themeColor="text1"/>
        </w:rPr>
        <w:t xml:space="preserve">. </w:t>
      </w:r>
      <w:r w:rsidR="00AA2E29" w:rsidRPr="00B85136">
        <w:rPr>
          <w:color w:val="000000" w:themeColor="text1"/>
        </w:rPr>
        <w:t xml:space="preserve">There were also country differences in </w:t>
      </w:r>
      <w:r w:rsidR="00D94C14">
        <w:rPr>
          <w:color w:val="000000" w:themeColor="text1"/>
        </w:rPr>
        <w:t>a</w:t>
      </w:r>
      <w:r w:rsidR="00CF01B2" w:rsidRPr="003E1059">
        <w:rPr>
          <w:color w:val="000000" w:themeColor="text1"/>
        </w:rPr>
        <w:t>dverse health belief</w:t>
      </w:r>
      <w:r w:rsidR="00CF01B2" w:rsidRPr="009B670F">
        <w:t xml:space="preserve">s regarding </w:t>
      </w:r>
      <w:r w:rsidR="00CF01B2">
        <w:t>UEMP</w:t>
      </w:r>
      <w:r w:rsidR="00AA2E29" w:rsidRPr="00B85136">
        <w:rPr>
          <w:color w:val="000000" w:themeColor="text1"/>
        </w:rPr>
        <w:t>. Twelve percent of Costa Rican</w:t>
      </w:r>
      <w:r w:rsidR="00CF01B2" w:rsidRPr="009B670F">
        <w:t xml:space="preserve"> participants believed that </w:t>
      </w:r>
      <w:r w:rsidR="00676BEE">
        <w:t xml:space="preserve">upper limb </w:t>
      </w:r>
      <w:r w:rsidR="00CF01B2" w:rsidRPr="009B670F">
        <w:t>pain is commonly caused by work</w:t>
      </w:r>
      <w:r w:rsidR="00AA2E29" w:rsidRPr="00B85136">
        <w:rPr>
          <w:color w:val="000000" w:themeColor="text1"/>
        </w:rPr>
        <w:t xml:space="preserve"> but in Spain this percentage was 20% and in Nicaragua 32%. Only 3% of participants in Costa Rica</w:t>
      </w:r>
      <w:r w:rsidR="00CF01B2" w:rsidRPr="009B670F">
        <w:t xml:space="preserve"> thought that physical activity should be avoided and </w:t>
      </w:r>
      <w:r w:rsidR="00676BEE">
        <w:t xml:space="preserve">that </w:t>
      </w:r>
      <w:r w:rsidR="00CF01B2" w:rsidRPr="009B670F">
        <w:t xml:space="preserve">rest is needed to recover </w:t>
      </w:r>
      <w:r w:rsidR="00CF01B2">
        <w:t xml:space="preserve">(physical activity is harmful) </w:t>
      </w:r>
      <w:r w:rsidR="00AA2E29" w:rsidRPr="00B85136">
        <w:rPr>
          <w:color w:val="000000" w:themeColor="text1"/>
        </w:rPr>
        <w:t>from UEMP, but percentages were higher in Spain (10%) and Nicaragua (13%). This rank order was reversed with the highest proportion of participants in Costa Rica (</w:t>
      </w:r>
      <w:r w:rsidR="00CF01B2" w:rsidRPr="009B670F">
        <w:t>22</w:t>
      </w:r>
      <w:r w:rsidR="00AA2E29" w:rsidRPr="00B85136">
        <w:rPr>
          <w:color w:val="000000" w:themeColor="text1"/>
        </w:rPr>
        <w:t>%) reporting</w:t>
      </w:r>
      <w:r w:rsidR="00CF01B2" w:rsidRPr="009B670F">
        <w:t xml:space="preserve"> that pain does not improve and that neglecting </w:t>
      </w:r>
      <w:r w:rsidR="00676BEE">
        <w:t xml:space="preserve">such </w:t>
      </w:r>
      <w:r w:rsidR="00CF01B2" w:rsidRPr="009B670F">
        <w:t>pain is dangerous (poor prognosis</w:t>
      </w:r>
      <w:r w:rsidR="00AA2E29" w:rsidRPr="00B85136">
        <w:rPr>
          <w:color w:val="000000" w:themeColor="text1"/>
        </w:rPr>
        <w:t>) compared to 15% in Spain and 9% in Nicaragua.</w:t>
      </w:r>
      <w:r w:rsidR="00CF01B2" w:rsidRPr="009B670F">
        <w:t xml:space="preserve"> Somatizing tendency was </w:t>
      </w:r>
      <w:r w:rsidR="00676BEE">
        <w:t>common</w:t>
      </w:r>
      <w:r w:rsidR="00CF01B2">
        <w:t>,</w:t>
      </w:r>
      <w:r w:rsidR="00CF01B2" w:rsidRPr="009B670F">
        <w:t xml:space="preserve"> </w:t>
      </w:r>
      <w:r w:rsidR="00676BEE">
        <w:t xml:space="preserve">especially in Costa Rica and Nicaragua, where </w:t>
      </w:r>
      <w:r w:rsidR="003F6218">
        <w:t>61% and 58% of participants reported distress from two or more somatic symptoms</w:t>
      </w:r>
      <w:r w:rsidR="00AA2E29" w:rsidRPr="00B85136">
        <w:rPr>
          <w:color w:val="000000" w:themeColor="text1"/>
        </w:rPr>
        <w:t xml:space="preserve"> versus only 40% of them in Spain.</w:t>
      </w:r>
      <w:r w:rsidR="003F7897" w:rsidRPr="003F7897">
        <w:rPr>
          <w:color w:val="000000" w:themeColor="text1"/>
        </w:rPr>
        <w:t xml:space="preserve"> </w:t>
      </w:r>
      <w:r w:rsidRPr="00B85136">
        <w:rPr>
          <w:color w:val="000000" w:themeColor="text1"/>
        </w:rPr>
        <w:t>Finally, while</w:t>
      </w:r>
      <w:r w:rsidR="00CF01B2" w:rsidRPr="009B670F">
        <w:t xml:space="preserve"> </w:t>
      </w:r>
      <w:r w:rsidR="00CF01B2">
        <w:t xml:space="preserve">In </w:t>
      </w:r>
      <w:r w:rsidR="00CF01B2" w:rsidRPr="009B670F">
        <w:t xml:space="preserve">Spain </w:t>
      </w:r>
      <w:r w:rsidR="00CF01B2">
        <w:t xml:space="preserve">24% </w:t>
      </w:r>
      <w:r w:rsidRPr="00B85136">
        <w:rPr>
          <w:color w:val="000000" w:themeColor="text1"/>
        </w:rPr>
        <w:t xml:space="preserve">participants </w:t>
      </w:r>
      <w:r w:rsidR="00CF01B2">
        <w:t>reported intermediate/</w:t>
      </w:r>
      <w:r w:rsidR="00CF01B2" w:rsidRPr="009B670F">
        <w:t xml:space="preserve">poor mental health, </w:t>
      </w:r>
      <w:r w:rsidRPr="00B85136">
        <w:rPr>
          <w:color w:val="000000" w:themeColor="text1"/>
        </w:rPr>
        <w:t>percentages were higher</w:t>
      </w:r>
      <w:r w:rsidR="0037514F">
        <w:t xml:space="preserve"> in</w:t>
      </w:r>
      <w:r w:rsidR="00CF01B2" w:rsidRPr="009B670F">
        <w:t xml:space="preserve"> Costa Rica (30%) and Nicaragua (36%).</w:t>
      </w:r>
      <w:r w:rsidR="00CF01B2" w:rsidRPr="00A8687E">
        <w:t xml:space="preserve"> </w:t>
      </w:r>
    </w:p>
    <w:p w14:paraId="13DCD6C3" w14:textId="1F554D4D" w:rsidR="00CF01B2" w:rsidRPr="003E1059" w:rsidRDefault="00CF01B2" w:rsidP="00CF01B2">
      <w:pPr>
        <w:pStyle w:val="ListParagraph"/>
        <w:widowControl w:val="0"/>
        <w:spacing w:line="480" w:lineRule="auto"/>
        <w:ind w:left="0" w:firstLine="720"/>
        <w:contextualSpacing w:val="0"/>
        <w:jc w:val="both"/>
        <w:rPr>
          <w:color w:val="000000" w:themeColor="text1"/>
        </w:rPr>
      </w:pPr>
      <w:r w:rsidRPr="009B670F">
        <w:t xml:space="preserve">Table 2 shows </w:t>
      </w:r>
      <w:r>
        <w:t xml:space="preserve">the </w:t>
      </w:r>
      <w:r w:rsidRPr="009B670F">
        <w:t xml:space="preserve">crude and adjusted ORs for the prevalence of </w:t>
      </w:r>
      <w:r>
        <w:t xml:space="preserve">upper extremity pain </w:t>
      </w:r>
      <w:r w:rsidRPr="009B670F">
        <w:t>and disabling pain</w:t>
      </w:r>
      <w:r w:rsidR="003F6218">
        <w:t xml:space="preserve"> at baseline. Crude ORs</w:t>
      </w:r>
      <w:r w:rsidR="002B0D9E">
        <w:t xml:space="preserve">, </w:t>
      </w:r>
      <w:r w:rsidR="002B0D9E" w:rsidRPr="009B670F">
        <w:t>as compared to Spain</w:t>
      </w:r>
      <w:r w:rsidR="002B0D9E">
        <w:t>,</w:t>
      </w:r>
      <w:r w:rsidRPr="009B670F">
        <w:t xml:space="preserve"> were </w:t>
      </w:r>
      <w:r w:rsidR="002B0D9E">
        <w:t xml:space="preserve">between </w:t>
      </w:r>
      <w:r w:rsidR="003F6218">
        <w:t>1.</w:t>
      </w:r>
      <w:r w:rsidR="00D94C14">
        <w:t>6</w:t>
      </w:r>
      <w:r w:rsidR="003F6218">
        <w:t xml:space="preserve">7 </w:t>
      </w:r>
      <w:r w:rsidR="001A0FF0">
        <w:rPr>
          <w:color w:val="000000" w:themeColor="text1"/>
        </w:rPr>
        <w:lastRenderedPageBreak/>
        <w:t xml:space="preserve">(95% </w:t>
      </w:r>
      <w:r w:rsidR="00AA2E29" w:rsidRPr="00B85136">
        <w:rPr>
          <w:color w:val="000000" w:themeColor="text1"/>
        </w:rPr>
        <w:t xml:space="preserve">CI: 1.18-2.36) </w:t>
      </w:r>
      <w:r w:rsidR="002B0D9E">
        <w:rPr>
          <w:color w:val="000000" w:themeColor="text1"/>
        </w:rPr>
        <w:t xml:space="preserve">for prevalence of disabling pain in Costa Rica </w:t>
      </w:r>
      <w:r w:rsidR="003F6218">
        <w:t>to 2.1</w:t>
      </w:r>
      <w:r w:rsidR="00D94C14">
        <w:t>4</w:t>
      </w:r>
      <w:r w:rsidR="003F6218">
        <w:t xml:space="preserve"> </w:t>
      </w:r>
      <w:r w:rsidR="00AA2E29" w:rsidRPr="00B85136">
        <w:rPr>
          <w:color w:val="000000" w:themeColor="text1"/>
        </w:rPr>
        <w:t xml:space="preserve">(95% CI: 1.57-2.93) </w:t>
      </w:r>
      <w:r w:rsidR="003F6218">
        <w:t>for</w:t>
      </w:r>
      <w:r w:rsidRPr="009B670F">
        <w:t xml:space="preserve"> </w:t>
      </w:r>
      <w:r w:rsidR="002B0D9E">
        <w:t xml:space="preserve">prevalence of UEMP in the past 12 months in </w:t>
      </w:r>
      <w:r w:rsidRPr="009B670F">
        <w:t xml:space="preserve">Nicaragua. After adjustment for relevant </w:t>
      </w:r>
      <w:r w:rsidR="003F6218">
        <w:t>covariates</w:t>
      </w:r>
      <w:r w:rsidRPr="003E1059">
        <w:rPr>
          <w:color w:val="000000" w:themeColor="text1"/>
        </w:rPr>
        <w:t xml:space="preserve"> (see Table 2 footnotes), </w:t>
      </w:r>
      <w:r w:rsidR="002B0D9E" w:rsidRPr="00F419EC">
        <w:rPr>
          <w:color w:val="000000" w:themeColor="text1"/>
        </w:rPr>
        <w:t>only the 12-month (</w:t>
      </w:r>
      <w:r w:rsidR="002B0D9E" w:rsidRPr="00F419EC">
        <w:rPr>
          <w:color w:val="000000"/>
        </w:rPr>
        <w:t>OR=1.93 [1.31-2.84] in Costa Rica</w:t>
      </w:r>
      <w:r w:rsidR="002B0D9E" w:rsidRPr="00F419EC">
        <w:rPr>
          <w:color w:val="000000" w:themeColor="text1"/>
        </w:rPr>
        <w:t xml:space="preserve"> and OR=1.78 [95% CI: 1.24-2.57] in Nicaragua) and one month (OR=</w:t>
      </w:r>
      <w:r w:rsidR="002B0D9E" w:rsidRPr="00F419EC">
        <w:rPr>
          <w:color w:val="000000"/>
        </w:rPr>
        <w:t>1.</w:t>
      </w:r>
      <w:r w:rsidR="00BD3BD5" w:rsidRPr="00F419EC">
        <w:rPr>
          <w:color w:val="000000"/>
        </w:rPr>
        <w:t>63</w:t>
      </w:r>
      <w:r w:rsidR="002B0D9E" w:rsidRPr="00F419EC">
        <w:rPr>
          <w:color w:val="000000"/>
        </w:rPr>
        <w:t xml:space="preserve"> [95% CI: </w:t>
      </w:r>
      <w:r w:rsidR="00BD3BD5" w:rsidRPr="00F419EC">
        <w:rPr>
          <w:color w:val="000000"/>
        </w:rPr>
        <w:t>1.12-2.38</w:t>
      </w:r>
      <w:r w:rsidR="002B0D9E" w:rsidRPr="00F419EC">
        <w:rPr>
          <w:color w:val="000000"/>
        </w:rPr>
        <w:t>] in Costa Rica and OR=</w:t>
      </w:r>
      <w:r w:rsidR="00BD3BD5" w:rsidRPr="00F419EC">
        <w:rPr>
          <w:color w:val="000000"/>
        </w:rPr>
        <w:t xml:space="preserve">1.45 [95% CI: 1.03-2.03] </w:t>
      </w:r>
      <w:r w:rsidR="002B0D9E" w:rsidRPr="00F419EC">
        <w:rPr>
          <w:color w:val="000000"/>
        </w:rPr>
        <w:t xml:space="preserve">in Nicaragua) </w:t>
      </w:r>
      <w:r w:rsidR="002B0D9E" w:rsidRPr="00F419EC">
        <w:rPr>
          <w:color w:val="000000" w:themeColor="text1"/>
        </w:rPr>
        <w:t xml:space="preserve">prevalence </w:t>
      </w:r>
      <w:r w:rsidR="003F6218" w:rsidRPr="00F419EC">
        <w:rPr>
          <w:color w:val="000000" w:themeColor="text1"/>
        </w:rPr>
        <w:t xml:space="preserve">of </w:t>
      </w:r>
      <w:r w:rsidRPr="00F419EC">
        <w:rPr>
          <w:color w:val="000000" w:themeColor="text1"/>
        </w:rPr>
        <w:t>pain</w:t>
      </w:r>
      <w:r w:rsidR="003F6218" w:rsidRPr="00F419EC">
        <w:rPr>
          <w:color w:val="000000" w:themeColor="text1"/>
        </w:rPr>
        <w:t xml:space="preserve"> remained statistically significant</w:t>
      </w:r>
      <w:r w:rsidRPr="00F419EC">
        <w:rPr>
          <w:color w:val="000000" w:themeColor="text1"/>
        </w:rPr>
        <w:t xml:space="preserve">. Within the upper </w:t>
      </w:r>
      <w:r w:rsidR="003F6218" w:rsidRPr="00F419EC">
        <w:rPr>
          <w:color w:val="000000" w:themeColor="text1"/>
        </w:rPr>
        <w:t>extremity</w:t>
      </w:r>
      <w:r w:rsidRPr="00F419EC">
        <w:rPr>
          <w:color w:val="000000" w:themeColor="text1"/>
        </w:rPr>
        <w:t>, the one-month prevalence</w:t>
      </w:r>
      <w:r w:rsidRPr="003E1059">
        <w:rPr>
          <w:color w:val="000000" w:themeColor="text1"/>
        </w:rPr>
        <w:t xml:space="preserve"> of </w:t>
      </w:r>
      <w:r w:rsidR="003F6218">
        <w:rPr>
          <w:color w:val="000000" w:themeColor="text1"/>
        </w:rPr>
        <w:t>wrist/</w:t>
      </w:r>
      <w:r w:rsidRPr="003E1059">
        <w:rPr>
          <w:color w:val="000000" w:themeColor="text1"/>
        </w:rPr>
        <w:t>hand pain was higher in Nicaragua (39%) and Costa Rica (38%) than in Spain (17%)</w:t>
      </w:r>
      <w:r w:rsidR="003F6218" w:rsidRPr="003E1059">
        <w:rPr>
          <w:color w:val="000000" w:themeColor="text1"/>
        </w:rPr>
        <w:t xml:space="preserve"> (data not shown)</w:t>
      </w:r>
      <w:r w:rsidR="003F6218">
        <w:rPr>
          <w:color w:val="000000" w:themeColor="text1"/>
        </w:rPr>
        <w:t>, while</w:t>
      </w:r>
      <w:r w:rsidR="003F6218" w:rsidRPr="003E1059">
        <w:rPr>
          <w:color w:val="000000" w:themeColor="text1"/>
        </w:rPr>
        <w:t xml:space="preserve"> </w:t>
      </w:r>
      <w:r w:rsidRPr="003E1059">
        <w:rPr>
          <w:color w:val="000000" w:themeColor="text1"/>
        </w:rPr>
        <w:t xml:space="preserve">the 12-month prevalence was higher in Nicaragua (54%) than in Costa Rica (46%) </w:t>
      </w:r>
      <w:r w:rsidR="003F6218">
        <w:rPr>
          <w:color w:val="000000" w:themeColor="text1"/>
        </w:rPr>
        <w:t>and</w:t>
      </w:r>
      <w:r w:rsidR="003F6218" w:rsidRPr="003E1059">
        <w:rPr>
          <w:color w:val="000000" w:themeColor="text1"/>
        </w:rPr>
        <w:t xml:space="preserve"> </w:t>
      </w:r>
      <w:r w:rsidRPr="003E1059">
        <w:rPr>
          <w:color w:val="000000" w:themeColor="text1"/>
        </w:rPr>
        <w:t>Spain (23%).</w:t>
      </w:r>
      <w:r w:rsidR="00386960" w:rsidRPr="00B85136">
        <w:rPr>
          <w:color w:val="000000" w:themeColor="text1"/>
        </w:rPr>
        <w:t xml:space="preserve"> Covariate adjustment in the models for prevalence varied slightly by model (see Table 2) but, overall, the following covariates were included in the final models: sex, age, hours worked/week, pain-commonly caused by people’s work, physical activity is harmful, awareness-someone outside work with pain, prognosis, somatizing tendency, time pressure, lack of support and mental health.</w:t>
      </w:r>
    </w:p>
    <w:p w14:paraId="1A27BC4D" w14:textId="268350C0" w:rsidR="00CF01B2" w:rsidRDefault="00CF01B2" w:rsidP="00CF01B2">
      <w:pPr>
        <w:pStyle w:val="ListParagraph"/>
        <w:widowControl w:val="0"/>
        <w:spacing w:line="480" w:lineRule="auto"/>
        <w:ind w:left="0" w:firstLine="720"/>
        <w:contextualSpacing w:val="0"/>
        <w:jc w:val="both"/>
      </w:pPr>
      <w:r w:rsidRPr="003E1059">
        <w:rPr>
          <w:color w:val="000000" w:themeColor="text1"/>
        </w:rPr>
        <w:t>Amo</w:t>
      </w:r>
      <w:r w:rsidRPr="009B670F">
        <w:t xml:space="preserve">ng the 853 participants </w:t>
      </w:r>
      <w:r w:rsidR="000A0E85">
        <w:t>who</w:t>
      </w:r>
      <w:r w:rsidR="000A0E85" w:rsidRPr="009B670F">
        <w:t xml:space="preserve"> </w:t>
      </w:r>
      <w:r w:rsidRPr="009B670F">
        <w:t xml:space="preserve">completed the follow up, </w:t>
      </w:r>
      <w:r w:rsidR="007F1D70">
        <w:t>265</w:t>
      </w:r>
      <w:r w:rsidR="005002C6">
        <w:t xml:space="preserve"> had no pain in the upper extremities at baseline, but had</w:t>
      </w:r>
      <w:r w:rsidRPr="009B670F">
        <w:t xml:space="preserve"> developed pain at </w:t>
      </w:r>
      <w:r w:rsidR="005002C6" w:rsidRPr="009B670F">
        <w:t>follow</w:t>
      </w:r>
      <w:r w:rsidR="005002C6">
        <w:t>-</w:t>
      </w:r>
      <w:r w:rsidRPr="009B670F">
        <w:t xml:space="preserve">up (Table 3). The incidence of </w:t>
      </w:r>
      <w:r w:rsidR="005002C6">
        <w:t xml:space="preserve">new </w:t>
      </w:r>
      <w:r w:rsidR="00AC3D98">
        <w:t xml:space="preserve">pain was </w:t>
      </w:r>
      <w:r w:rsidR="00AA2E29" w:rsidRPr="00B85136">
        <w:rPr>
          <w:color w:val="000000" w:themeColor="text1"/>
        </w:rPr>
        <w:t>33.2</w:t>
      </w:r>
      <w:r w:rsidRPr="009B670F">
        <w:t>%</w:t>
      </w:r>
      <w:r w:rsidR="005002C6">
        <w:t xml:space="preserve"> in Spain</w:t>
      </w:r>
      <w:r w:rsidR="00AC3D98">
        <w:t xml:space="preserve">, </w:t>
      </w:r>
      <w:r w:rsidR="00AA2E29" w:rsidRPr="00B85136">
        <w:rPr>
          <w:color w:val="000000" w:themeColor="text1"/>
        </w:rPr>
        <w:t>50.4</w:t>
      </w:r>
      <w:r w:rsidR="00AC3D98">
        <w:t xml:space="preserve">% in Costa Rica and </w:t>
      </w:r>
      <w:r w:rsidR="00AA2E29" w:rsidRPr="00B85136">
        <w:rPr>
          <w:color w:val="000000" w:themeColor="text1"/>
        </w:rPr>
        <w:t>60.2</w:t>
      </w:r>
      <w:r w:rsidRPr="009B670F">
        <w:t>% in Nicaragua</w:t>
      </w:r>
      <w:r>
        <w:t>,</w:t>
      </w:r>
      <w:r w:rsidRPr="009B670F">
        <w:t xml:space="preserve"> </w:t>
      </w:r>
      <w:r w:rsidR="005002C6">
        <w:t xml:space="preserve">differences that were statistically significant </w:t>
      </w:r>
      <w:r w:rsidRPr="009B670F">
        <w:t xml:space="preserve">with </w:t>
      </w:r>
      <w:r w:rsidR="005002C6">
        <w:t xml:space="preserve">adjusted </w:t>
      </w:r>
      <w:r w:rsidRPr="009B670F">
        <w:t xml:space="preserve">ORs </w:t>
      </w:r>
      <w:r w:rsidR="005002C6">
        <w:t>of</w:t>
      </w:r>
      <w:r w:rsidRPr="009B670F">
        <w:t xml:space="preserve"> 2.</w:t>
      </w:r>
      <w:r w:rsidR="00BD3BD5">
        <w:t>17</w:t>
      </w:r>
      <w:r w:rsidR="005002C6" w:rsidRPr="009B670F">
        <w:t xml:space="preserve"> </w:t>
      </w:r>
      <w:r w:rsidR="00AA2E29" w:rsidRPr="00B85136">
        <w:rPr>
          <w:color w:val="000000" w:themeColor="text1"/>
        </w:rPr>
        <w:t>(95% CI: 1.36-</w:t>
      </w:r>
      <w:r w:rsidRPr="009B670F">
        <w:t>3.</w:t>
      </w:r>
      <w:r w:rsidR="00AA2E29" w:rsidRPr="00B85136">
        <w:rPr>
          <w:color w:val="000000" w:themeColor="text1"/>
        </w:rPr>
        <w:t>47) and 3.</w:t>
      </w:r>
      <w:r w:rsidR="00BD3BD5">
        <w:rPr>
          <w:color w:val="000000" w:themeColor="text1"/>
        </w:rPr>
        <w:t>15</w:t>
      </w:r>
      <w:r w:rsidR="00AA2E29" w:rsidRPr="00B85136">
        <w:rPr>
          <w:color w:val="000000" w:themeColor="text1"/>
        </w:rPr>
        <w:t xml:space="preserve"> (95% CI: 2.05-4.83)</w:t>
      </w:r>
      <w:r w:rsidR="00ED7FD3">
        <w:t xml:space="preserve"> </w:t>
      </w:r>
      <w:r w:rsidR="005002C6">
        <w:t xml:space="preserve">respectively when </w:t>
      </w:r>
      <w:r w:rsidRPr="009B670F">
        <w:t xml:space="preserve">compared to Spain. </w:t>
      </w:r>
      <w:r w:rsidR="005002C6">
        <w:t>Among 581 s</w:t>
      </w:r>
      <w:r w:rsidR="005002C6" w:rsidRPr="009B670F">
        <w:t xml:space="preserve">ubjects </w:t>
      </w:r>
      <w:r w:rsidRPr="009B670F">
        <w:t xml:space="preserve">without disabling </w:t>
      </w:r>
      <w:r w:rsidR="005002C6">
        <w:t xml:space="preserve">upper limb </w:t>
      </w:r>
      <w:r w:rsidRPr="009B670F">
        <w:t>pain at baseline</w:t>
      </w:r>
      <w:r w:rsidR="000A0E85">
        <w:t>,</w:t>
      </w:r>
      <w:r w:rsidRPr="009B670F">
        <w:t xml:space="preserve"> </w:t>
      </w:r>
      <w:r w:rsidR="005002C6">
        <w:t xml:space="preserve">89 reported </w:t>
      </w:r>
      <w:r w:rsidR="00A26C93">
        <w:t>disabling pain at follow up</w:t>
      </w:r>
      <w:r w:rsidR="005002C6">
        <w:t>, giving incidence rates of</w:t>
      </w:r>
      <w:r w:rsidR="00F11D77">
        <w:t xml:space="preserve"> </w:t>
      </w:r>
      <w:r w:rsidR="00AA2E29" w:rsidRPr="00B85136">
        <w:rPr>
          <w:color w:val="000000" w:themeColor="text1"/>
        </w:rPr>
        <w:t>9.9</w:t>
      </w:r>
      <w:r w:rsidR="00F11D77">
        <w:t xml:space="preserve">% in Spain, </w:t>
      </w:r>
      <w:r w:rsidR="00AA2E29" w:rsidRPr="00B85136">
        <w:rPr>
          <w:color w:val="000000" w:themeColor="text1"/>
        </w:rPr>
        <w:t>19.3</w:t>
      </w:r>
      <w:r w:rsidRPr="009B670F">
        <w:t xml:space="preserve">% in </w:t>
      </w:r>
      <w:r w:rsidR="00F11D77">
        <w:t xml:space="preserve">Costa Rica and </w:t>
      </w:r>
      <w:r w:rsidR="00AA2E29" w:rsidRPr="00B85136">
        <w:rPr>
          <w:color w:val="000000" w:themeColor="text1"/>
        </w:rPr>
        <w:t>22.1</w:t>
      </w:r>
      <w:r w:rsidRPr="00051B10">
        <w:t xml:space="preserve">% in Nicaragua. </w:t>
      </w:r>
      <w:r w:rsidR="005002C6">
        <w:t>Again,</w:t>
      </w:r>
      <w:r w:rsidR="00B259F3" w:rsidRPr="00051B10">
        <w:t xml:space="preserve"> </w:t>
      </w:r>
      <w:r w:rsidRPr="00051B10">
        <w:t>adjusted odds ratios</w:t>
      </w:r>
      <w:r w:rsidR="005002C6">
        <w:t xml:space="preserve"> were significantly</w:t>
      </w:r>
      <w:r w:rsidRPr="009B670F">
        <w:t xml:space="preserve"> </w:t>
      </w:r>
      <w:r w:rsidR="005002C6">
        <w:t>elevated</w:t>
      </w:r>
      <w:r w:rsidRPr="009B670F">
        <w:t xml:space="preserve"> for Costa Rica and Nicaragua as compared </w:t>
      </w:r>
      <w:r w:rsidR="005002C6">
        <w:t>with</w:t>
      </w:r>
      <w:r w:rsidR="005002C6" w:rsidRPr="009B670F">
        <w:t xml:space="preserve"> </w:t>
      </w:r>
      <w:r w:rsidRPr="009B670F">
        <w:t>Spain</w:t>
      </w:r>
      <w:r w:rsidR="005002C6">
        <w:t xml:space="preserve"> (ORs </w:t>
      </w:r>
      <w:r w:rsidR="000A0E85">
        <w:t>o</w:t>
      </w:r>
      <w:r w:rsidR="00F11D77">
        <w:t>f 2.2</w:t>
      </w:r>
      <w:r w:rsidR="00BD3BD5">
        <w:t>1</w:t>
      </w:r>
      <w:r w:rsidR="00F11D77">
        <w:t xml:space="preserve"> </w:t>
      </w:r>
      <w:r w:rsidR="00BD3BD5">
        <w:rPr>
          <w:color w:val="000000" w:themeColor="text1"/>
        </w:rPr>
        <w:t>[95% CI: 1.20-4.04] and 2.39</w:t>
      </w:r>
      <w:r w:rsidR="00AA2E29" w:rsidRPr="00B85136">
        <w:rPr>
          <w:color w:val="000000" w:themeColor="text1"/>
        </w:rPr>
        <w:t xml:space="preserve"> [95% CI: 1.35-4.22]</w:t>
      </w:r>
      <w:r w:rsidR="005002C6">
        <w:t xml:space="preserve"> respectively)</w:t>
      </w:r>
      <w:r w:rsidRPr="009B670F">
        <w:t xml:space="preserve">. Among </w:t>
      </w:r>
      <w:r>
        <w:t xml:space="preserve">388 </w:t>
      </w:r>
      <w:r w:rsidRPr="009B670F">
        <w:t xml:space="preserve">subjects </w:t>
      </w:r>
      <w:r w:rsidR="005002C6">
        <w:t xml:space="preserve">who </w:t>
      </w:r>
      <w:r w:rsidR="005002C6" w:rsidRPr="009B670F">
        <w:t>report</w:t>
      </w:r>
      <w:r w:rsidR="005002C6">
        <w:t>ed</w:t>
      </w:r>
      <w:r w:rsidR="005002C6" w:rsidRPr="009B670F">
        <w:t xml:space="preserve"> </w:t>
      </w:r>
      <w:r w:rsidR="005002C6">
        <w:t xml:space="preserve">upper limb </w:t>
      </w:r>
      <w:r w:rsidRPr="009B670F">
        <w:t>pain at baseline,</w:t>
      </w:r>
      <w:r>
        <w:t xml:space="preserve"> 181</w:t>
      </w:r>
      <w:r w:rsidRPr="009B670F">
        <w:t xml:space="preserve"> </w:t>
      </w:r>
      <w:r>
        <w:t>(</w:t>
      </w:r>
      <w:r w:rsidRPr="009B670F">
        <w:t>47%</w:t>
      </w:r>
      <w:r>
        <w:t>)</w:t>
      </w:r>
      <w:r w:rsidRPr="009B670F">
        <w:t xml:space="preserve"> </w:t>
      </w:r>
      <w:r w:rsidR="005002C6">
        <w:t>still had</w:t>
      </w:r>
      <w:r w:rsidR="005002C6" w:rsidRPr="009B670F">
        <w:t xml:space="preserve"> </w:t>
      </w:r>
      <w:r w:rsidRPr="009B670F">
        <w:t xml:space="preserve">pain at </w:t>
      </w:r>
      <w:r w:rsidRPr="009B670F">
        <w:lastRenderedPageBreak/>
        <w:t xml:space="preserve">follow up. </w:t>
      </w:r>
      <w:r w:rsidRPr="00D60D5F">
        <w:t xml:space="preserve">As compared to Spain, Nicaragua had a higher </w:t>
      </w:r>
      <w:r w:rsidR="005002C6" w:rsidRPr="00D60D5F">
        <w:t>rate of persistence</w:t>
      </w:r>
      <w:r w:rsidR="001A0FF0" w:rsidRPr="00D60D5F">
        <w:rPr>
          <w:color w:val="000000" w:themeColor="text1"/>
        </w:rPr>
        <w:t xml:space="preserve"> (OR=2.</w:t>
      </w:r>
      <w:r w:rsidR="00D60D5F" w:rsidRPr="00D60D5F">
        <w:rPr>
          <w:color w:val="000000" w:themeColor="text1"/>
        </w:rPr>
        <w:t>28</w:t>
      </w:r>
      <w:r w:rsidR="00AA2E29" w:rsidRPr="00D60D5F">
        <w:rPr>
          <w:color w:val="000000" w:themeColor="text1"/>
        </w:rPr>
        <w:t xml:space="preserve">; </w:t>
      </w:r>
      <w:r w:rsidR="001A0FF0" w:rsidRPr="00D60D5F">
        <w:rPr>
          <w:color w:val="000000" w:themeColor="text1"/>
        </w:rPr>
        <w:t>95% CI</w:t>
      </w:r>
      <w:r w:rsidR="00AA2E29" w:rsidRPr="00D60D5F">
        <w:rPr>
          <w:color w:val="000000" w:themeColor="text1"/>
        </w:rPr>
        <w:t xml:space="preserve">: </w:t>
      </w:r>
      <w:r w:rsidR="001A0FF0" w:rsidRPr="00D60D5F">
        <w:rPr>
          <w:color w:val="000000" w:themeColor="text1"/>
        </w:rPr>
        <w:t>1.4</w:t>
      </w:r>
      <w:r w:rsidR="00D60D5F" w:rsidRPr="00D60D5F">
        <w:rPr>
          <w:color w:val="000000" w:themeColor="text1"/>
        </w:rPr>
        <w:t>1</w:t>
      </w:r>
      <w:r w:rsidR="001A0FF0" w:rsidRPr="00D60D5F">
        <w:rPr>
          <w:color w:val="000000" w:themeColor="text1"/>
        </w:rPr>
        <w:t>-3.</w:t>
      </w:r>
      <w:r w:rsidR="00D60D5F" w:rsidRPr="00D60D5F">
        <w:rPr>
          <w:color w:val="000000" w:themeColor="text1"/>
        </w:rPr>
        <w:t>67</w:t>
      </w:r>
      <w:r w:rsidR="00AA2E29" w:rsidRPr="00D60D5F">
        <w:rPr>
          <w:color w:val="000000" w:themeColor="text1"/>
        </w:rPr>
        <w:t>),</w:t>
      </w:r>
      <w:r w:rsidRPr="00D60D5F">
        <w:t xml:space="preserve"> but </w:t>
      </w:r>
      <w:r w:rsidR="005002C6" w:rsidRPr="00D60D5F">
        <w:t xml:space="preserve">in </w:t>
      </w:r>
      <w:r w:rsidRPr="00D60D5F">
        <w:t xml:space="preserve">Costa Rica </w:t>
      </w:r>
      <w:r w:rsidR="005002C6" w:rsidRPr="00D60D5F">
        <w:t xml:space="preserve">it was </w:t>
      </w:r>
      <w:r w:rsidRPr="00D60D5F">
        <w:t>lower</w:t>
      </w:r>
      <w:r w:rsidR="001A0FF0" w:rsidRPr="00D60D5F">
        <w:rPr>
          <w:color w:val="000000" w:themeColor="text1"/>
        </w:rPr>
        <w:t xml:space="preserve"> (OR=0.3</w:t>
      </w:r>
      <w:r w:rsidR="00D60D5F" w:rsidRPr="00D60D5F">
        <w:rPr>
          <w:color w:val="000000" w:themeColor="text1"/>
        </w:rPr>
        <w:t>8</w:t>
      </w:r>
      <w:r w:rsidR="00AA2E29" w:rsidRPr="00D60D5F">
        <w:rPr>
          <w:color w:val="000000" w:themeColor="text1"/>
        </w:rPr>
        <w:t xml:space="preserve">; </w:t>
      </w:r>
      <w:r w:rsidR="001A0FF0" w:rsidRPr="00D60D5F">
        <w:rPr>
          <w:color w:val="000000" w:themeColor="text1"/>
        </w:rPr>
        <w:t>95% CI</w:t>
      </w:r>
      <w:r w:rsidR="00AA2E29" w:rsidRPr="00D60D5F">
        <w:rPr>
          <w:color w:val="000000" w:themeColor="text1"/>
        </w:rPr>
        <w:t>: 0.2</w:t>
      </w:r>
      <w:r w:rsidR="001A0FF0" w:rsidRPr="00D60D5F">
        <w:rPr>
          <w:color w:val="000000" w:themeColor="text1"/>
        </w:rPr>
        <w:t>2-0.</w:t>
      </w:r>
      <w:r w:rsidR="00D60D5F" w:rsidRPr="00D60D5F">
        <w:rPr>
          <w:color w:val="000000" w:themeColor="text1"/>
        </w:rPr>
        <w:t>65</w:t>
      </w:r>
      <w:r w:rsidR="00AA2E29" w:rsidRPr="00D60D5F">
        <w:rPr>
          <w:color w:val="000000" w:themeColor="text1"/>
        </w:rPr>
        <w:t>),</w:t>
      </w:r>
      <w:r w:rsidRPr="00D60D5F">
        <w:t xml:space="preserve"> </w:t>
      </w:r>
      <w:r w:rsidR="005002C6" w:rsidRPr="00D60D5F">
        <w:t>a</w:t>
      </w:r>
      <w:r w:rsidRPr="00D60D5F">
        <w:t xml:space="preserve"> pattern </w:t>
      </w:r>
      <w:r w:rsidR="005002C6" w:rsidRPr="00D60D5F">
        <w:t xml:space="preserve">which </w:t>
      </w:r>
      <w:r w:rsidRPr="00D60D5F">
        <w:t xml:space="preserve">did not change </w:t>
      </w:r>
      <w:r w:rsidR="005002C6" w:rsidRPr="00D60D5F">
        <w:t xml:space="preserve">with </w:t>
      </w:r>
      <w:r w:rsidRPr="00D60D5F">
        <w:t>adjust</w:t>
      </w:r>
      <w:r w:rsidR="005002C6" w:rsidRPr="00D60D5F">
        <w:t>ment for covariate</w:t>
      </w:r>
      <w:r w:rsidRPr="00D60D5F">
        <w:t>s.</w:t>
      </w:r>
      <w:r w:rsidRPr="009B670F">
        <w:t xml:space="preserve"> </w:t>
      </w:r>
      <w:r w:rsidR="00386960" w:rsidRPr="00B85136">
        <w:rPr>
          <w:color w:val="000000" w:themeColor="text1"/>
        </w:rPr>
        <w:t>A slightly different set of covariates were included in the final models for incidence and persistence (see Table 3) but, overall, models were adjusted for sex, age, awareness-someone outside work with pain, non-disabling pain at baseline, pain-commonly caused by people’s work, lack of support and somatizing tendency.</w:t>
      </w:r>
    </w:p>
    <w:p w14:paraId="016F9810" w14:textId="77777777" w:rsidR="00CF01B2" w:rsidRPr="009B670F" w:rsidRDefault="00CF01B2" w:rsidP="00CF01B2">
      <w:pPr>
        <w:pStyle w:val="ListParagraph"/>
        <w:widowControl w:val="0"/>
        <w:spacing w:line="480" w:lineRule="auto"/>
        <w:ind w:left="0" w:firstLine="720"/>
        <w:contextualSpacing w:val="0"/>
        <w:jc w:val="both"/>
      </w:pPr>
    </w:p>
    <w:p w14:paraId="3129593B" w14:textId="77777777" w:rsidR="00CF01B2" w:rsidRPr="009B670F" w:rsidRDefault="00CF01B2" w:rsidP="00CF01B2">
      <w:pPr>
        <w:pStyle w:val="ListParagraph"/>
        <w:widowControl w:val="0"/>
        <w:spacing w:line="480" w:lineRule="auto"/>
        <w:ind w:left="0"/>
        <w:contextualSpacing w:val="0"/>
        <w:jc w:val="both"/>
        <w:rPr>
          <w:b/>
        </w:rPr>
      </w:pPr>
      <w:r w:rsidRPr="009B670F">
        <w:rPr>
          <w:b/>
        </w:rPr>
        <w:t>Discussion</w:t>
      </w:r>
    </w:p>
    <w:p w14:paraId="1A5107DA" w14:textId="4475424B" w:rsidR="00CF01B2" w:rsidRPr="00DC454B" w:rsidRDefault="00CF01B2" w:rsidP="00CF01B2">
      <w:pPr>
        <w:pStyle w:val="ListParagraph"/>
        <w:widowControl w:val="0"/>
        <w:spacing w:line="480" w:lineRule="auto"/>
        <w:ind w:left="0" w:firstLine="720"/>
        <w:contextualSpacing w:val="0"/>
        <w:jc w:val="both"/>
      </w:pPr>
      <w:r w:rsidRPr="00DC454B">
        <w:t>T</w:t>
      </w:r>
      <w:r>
        <w:t xml:space="preserve">o our knowledge, this is </w:t>
      </w:r>
      <w:r w:rsidRPr="00DC454B">
        <w:t xml:space="preserve">the first </w:t>
      </w:r>
      <w:r w:rsidR="00371018">
        <w:t xml:space="preserve">study </w:t>
      </w:r>
      <w:r w:rsidRPr="00DC454B">
        <w:t xml:space="preserve">to examine the prevalence and incidence of UEMP and </w:t>
      </w:r>
      <w:r w:rsidR="00371018">
        <w:t xml:space="preserve">associated </w:t>
      </w:r>
      <w:r w:rsidRPr="00DC454B">
        <w:t>disab</w:t>
      </w:r>
      <w:r w:rsidR="00371018">
        <w:t>ility</w:t>
      </w:r>
      <w:r w:rsidRPr="00DC454B">
        <w:t xml:space="preserve"> </w:t>
      </w:r>
      <w:r w:rsidR="00371018">
        <w:t xml:space="preserve">among office workers </w:t>
      </w:r>
      <w:r w:rsidRPr="00DC454B">
        <w:t>in Nicaragu</w:t>
      </w:r>
      <w:r>
        <w:t>a and Costa Rica, two low-</w:t>
      </w:r>
      <w:r w:rsidR="0009010C">
        <w:t>and</w:t>
      </w:r>
      <w:r>
        <w:t>-</w:t>
      </w:r>
      <w:r w:rsidRPr="00DC454B">
        <w:t xml:space="preserve">middle income countries, </w:t>
      </w:r>
      <w:r w:rsidR="00371018">
        <w:t>and to</w:t>
      </w:r>
      <w:r w:rsidRPr="00DC454B">
        <w:t xml:space="preserve"> </w:t>
      </w:r>
      <w:r w:rsidR="00371018" w:rsidRPr="00DC454B">
        <w:t>compar</w:t>
      </w:r>
      <w:r w:rsidR="00371018">
        <w:t>e</w:t>
      </w:r>
      <w:r w:rsidR="00371018" w:rsidRPr="00DC454B">
        <w:t xml:space="preserve"> </w:t>
      </w:r>
      <w:r w:rsidRPr="00DC454B">
        <w:t>the</w:t>
      </w:r>
      <w:r w:rsidR="00371018">
        <w:t xml:space="preserve"> findings</w:t>
      </w:r>
      <w:r w:rsidRPr="00DC454B">
        <w:t xml:space="preserve"> to those from </w:t>
      </w:r>
      <w:r w:rsidR="00371018">
        <w:t>workers</w:t>
      </w:r>
      <w:r w:rsidR="00371018" w:rsidRPr="00DC454B">
        <w:t xml:space="preserve"> </w:t>
      </w:r>
      <w:r w:rsidRPr="00DC454B">
        <w:t xml:space="preserve">performing similar jobs in Spain, a high-income country with a shared language and cultural similarities. We found that both </w:t>
      </w:r>
      <w:r w:rsidR="00371018">
        <w:t xml:space="preserve">the </w:t>
      </w:r>
      <w:r w:rsidR="00371018" w:rsidRPr="00DC454B">
        <w:t>prevalen</w:t>
      </w:r>
      <w:r w:rsidR="00371018">
        <w:t>ce</w:t>
      </w:r>
      <w:r w:rsidR="00371018" w:rsidRPr="00DC454B">
        <w:t xml:space="preserve"> </w:t>
      </w:r>
      <w:r w:rsidRPr="00DC454B">
        <w:t xml:space="preserve">and </w:t>
      </w:r>
      <w:r w:rsidR="00371018" w:rsidRPr="00DC454B">
        <w:t>inciden</w:t>
      </w:r>
      <w:r w:rsidR="00371018">
        <w:t>ce</w:t>
      </w:r>
      <w:r w:rsidR="00371018" w:rsidRPr="00DC454B">
        <w:t xml:space="preserve"> </w:t>
      </w:r>
      <w:r w:rsidR="00371018">
        <w:t xml:space="preserve">of </w:t>
      </w:r>
      <w:r w:rsidRPr="00DC454B">
        <w:t xml:space="preserve">upper extremity pain and </w:t>
      </w:r>
      <w:r w:rsidR="00371018">
        <w:t>disability</w:t>
      </w:r>
      <w:r w:rsidRPr="00DC454B">
        <w:t xml:space="preserve"> varied by country, generally showing higher </w:t>
      </w:r>
      <w:r w:rsidR="00661A01" w:rsidRPr="00B85136">
        <w:rPr>
          <w:color w:val="000000" w:themeColor="text1"/>
        </w:rPr>
        <w:t>incidence and prevalence</w:t>
      </w:r>
      <w:r w:rsidR="00371018" w:rsidRPr="00DC454B">
        <w:t xml:space="preserve"> </w:t>
      </w:r>
      <w:r w:rsidRPr="00DC454B">
        <w:t xml:space="preserve">in Costa Rica and Nicaragua than in Spain. </w:t>
      </w:r>
      <w:r w:rsidR="0097586C" w:rsidRPr="00B85136">
        <w:rPr>
          <w:color w:val="000000" w:themeColor="text1"/>
        </w:rPr>
        <w:t>The between-country</w:t>
      </w:r>
      <w:r w:rsidR="00371018">
        <w:t xml:space="preserve"> </w:t>
      </w:r>
      <w:r w:rsidRPr="00DC454B">
        <w:t xml:space="preserve">differences </w:t>
      </w:r>
      <w:r w:rsidR="0097586C" w:rsidRPr="00B85136">
        <w:rPr>
          <w:color w:val="000000" w:themeColor="text1"/>
        </w:rPr>
        <w:t>were mostly independent of several factors such as basic demographic indicators</w:t>
      </w:r>
      <w:r w:rsidRPr="00DC454B">
        <w:t xml:space="preserve">, health-related </w:t>
      </w:r>
      <w:r w:rsidR="0097586C" w:rsidRPr="00B85136">
        <w:rPr>
          <w:color w:val="000000" w:themeColor="text1"/>
        </w:rPr>
        <w:t xml:space="preserve">factors </w:t>
      </w:r>
      <w:r w:rsidRPr="00DC454B">
        <w:t xml:space="preserve">and employment </w:t>
      </w:r>
      <w:r w:rsidR="0097586C" w:rsidRPr="00B85136">
        <w:rPr>
          <w:color w:val="000000" w:themeColor="text1"/>
        </w:rPr>
        <w:t>and working conditions</w:t>
      </w:r>
      <w:r w:rsidR="008F4E79" w:rsidRPr="00B85136">
        <w:rPr>
          <w:color w:val="000000" w:themeColor="text1"/>
        </w:rPr>
        <w:t>, including</w:t>
      </w:r>
      <w:r w:rsidRPr="00DC454B">
        <w:t xml:space="preserve"> </w:t>
      </w:r>
      <w:r w:rsidR="00371018">
        <w:t xml:space="preserve">physical and psychosocial aspects of </w:t>
      </w:r>
      <w:r w:rsidRPr="00DC454B">
        <w:t xml:space="preserve">work. </w:t>
      </w:r>
    </w:p>
    <w:p w14:paraId="329E1E90" w14:textId="1FCA267B" w:rsidR="00AA2E29" w:rsidRPr="00B85136" w:rsidRDefault="00CF01B2" w:rsidP="00386960">
      <w:pPr>
        <w:pStyle w:val="ListParagraph"/>
        <w:widowControl w:val="0"/>
        <w:spacing w:line="480" w:lineRule="auto"/>
        <w:ind w:left="0" w:firstLine="720"/>
        <w:contextualSpacing w:val="0"/>
        <w:jc w:val="both"/>
        <w:rPr>
          <w:color w:val="000000" w:themeColor="text1"/>
        </w:rPr>
      </w:pPr>
      <w:r w:rsidRPr="00DC454B">
        <w:t xml:space="preserve">There are </w:t>
      </w:r>
      <w:r w:rsidR="00956046">
        <w:t>only a few</w:t>
      </w:r>
      <w:r w:rsidRPr="00DC454B">
        <w:t xml:space="preserve"> studies </w:t>
      </w:r>
      <w:r w:rsidR="00956046">
        <w:t>with</w:t>
      </w:r>
      <w:r w:rsidR="00956046" w:rsidRPr="00DC454B">
        <w:t xml:space="preserve"> </w:t>
      </w:r>
      <w:r w:rsidRPr="00DC454B">
        <w:t xml:space="preserve">which our findings can be compared, </w:t>
      </w:r>
      <w:r w:rsidR="009566AF" w:rsidRPr="00B85136">
        <w:rPr>
          <w:color w:val="000000" w:themeColor="text1"/>
        </w:rPr>
        <w:t>in particular</w:t>
      </w:r>
      <w:r w:rsidRPr="00DC454B">
        <w:t xml:space="preserve"> </w:t>
      </w:r>
      <w:r w:rsidR="00956046">
        <w:t xml:space="preserve">studies </w:t>
      </w:r>
      <w:r w:rsidRPr="00DC454B">
        <w:t xml:space="preserve">concerning office workers. </w:t>
      </w:r>
      <w:r w:rsidR="00956046">
        <w:t>P</w:t>
      </w:r>
      <w:r w:rsidRPr="00DC454B">
        <w:t xml:space="preserve">revious </w:t>
      </w:r>
      <w:r w:rsidR="00956046">
        <w:t>report</w:t>
      </w:r>
      <w:r w:rsidR="00956046" w:rsidRPr="00DC454B">
        <w:t xml:space="preserve">s </w:t>
      </w:r>
      <w:r w:rsidRPr="00DC454B">
        <w:t xml:space="preserve">from the CUPID study </w:t>
      </w:r>
      <w:r w:rsidR="00956046">
        <w:t>have</w:t>
      </w:r>
      <w:r w:rsidR="00956046" w:rsidRPr="00DC454B">
        <w:t xml:space="preserve"> </w:t>
      </w:r>
      <w:r w:rsidR="00956046">
        <w:t xml:space="preserve">indicated </w:t>
      </w:r>
      <w:r w:rsidRPr="00DC454B">
        <w:t xml:space="preserve">significant variation in the prevalence of musculoskeletal pain among office workers performing similar tasks. None of </w:t>
      </w:r>
      <w:r>
        <w:t>these, however,</w:t>
      </w:r>
      <w:r w:rsidRPr="00DC454B">
        <w:t xml:space="preserve"> </w:t>
      </w:r>
      <w:r w:rsidR="00956046">
        <w:t xml:space="preserve">have </w:t>
      </w:r>
      <w:r w:rsidRPr="00DC454B">
        <w:t xml:space="preserve">examined upper extremity pain </w:t>
      </w:r>
      <w:r w:rsidR="00943164" w:rsidRPr="00B85136">
        <w:rPr>
          <w:color w:val="000000" w:themeColor="text1"/>
        </w:rPr>
        <w:t>by</w:t>
      </w:r>
      <w:r w:rsidRPr="00DC454B">
        <w:t xml:space="preserve"> collapsing </w:t>
      </w:r>
      <w:r w:rsidR="00956046">
        <w:t xml:space="preserve">data from </w:t>
      </w:r>
      <w:r w:rsidRPr="00DC454B">
        <w:t xml:space="preserve">several upper extremity anatomical sites </w:t>
      </w:r>
      <w:r w:rsidR="00956046">
        <w:t>to provide</w:t>
      </w:r>
      <w:r w:rsidR="00956046" w:rsidRPr="00DC454B">
        <w:t xml:space="preserve"> </w:t>
      </w:r>
      <w:r w:rsidR="00956046">
        <w:t>combined</w:t>
      </w:r>
      <w:r w:rsidRPr="00DC454B">
        <w:t xml:space="preserve"> outcome</w:t>
      </w:r>
      <w:r w:rsidR="00956046">
        <w:t xml:space="preserve"> </w:t>
      </w:r>
      <w:r w:rsidR="00956046">
        <w:lastRenderedPageBreak/>
        <w:t>measures</w:t>
      </w:r>
      <w:r w:rsidR="0006411F" w:rsidRPr="00B85136">
        <w:rPr>
          <w:color w:val="000000" w:themeColor="text1"/>
        </w:rPr>
        <w:t xml:space="preserve">. </w:t>
      </w:r>
      <w:r w:rsidR="00386960" w:rsidRPr="00B85136">
        <w:rPr>
          <w:color w:val="000000" w:themeColor="text1"/>
        </w:rPr>
        <w:t>Certainly, even within the same body region, differences in reported musculoskeletal pain might also be found for specific body sites regarding their distribution by country, which was the main goal of our study. Unfortunately, our study sample size limited our ability to analyze the between-country variability for each body site separately.</w:t>
      </w:r>
      <w:r w:rsidR="003F7897" w:rsidRPr="003F7897">
        <w:rPr>
          <w:i/>
          <w:color w:val="000000" w:themeColor="text1"/>
        </w:rPr>
        <w:t xml:space="preserve"> </w:t>
      </w:r>
      <w:r w:rsidRPr="00B85136">
        <w:rPr>
          <w:color w:val="000000" w:themeColor="text1"/>
        </w:rPr>
        <w:t>S</w:t>
      </w:r>
      <w:r w:rsidR="00956046" w:rsidRPr="00B85136">
        <w:rPr>
          <w:color w:val="000000" w:themeColor="text1"/>
        </w:rPr>
        <w:t xml:space="preserve">ome </w:t>
      </w:r>
      <w:r w:rsidR="00943164" w:rsidRPr="00B85136">
        <w:rPr>
          <w:color w:val="000000" w:themeColor="text1"/>
        </w:rPr>
        <w:t>studies</w:t>
      </w:r>
      <w:r w:rsidR="00956046" w:rsidRPr="00B85136">
        <w:rPr>
          <w:color w:val="000000" w:themeColor="text1"/>
        </w:rPr>
        <w:t xml:space="preserve"> </w:t>
      </w:r>
      <w:r w:rsidR="00D15EDB" w:rsidRPr="00B85136">
        <w:rPr>
          <w:color w:val="000000" w:themeColor="text1"/>
        </w:rPr>
        <w:t>with larger samples</w:t>
      </w:r>
      <w:r w:rsidR="00956046">
        <w:t xml:space="preserve"> have</w:t>
      </w:r>
      <w:r w:rsidRPr="00DC454B">
        <w:t xml:space="preserve"> examine</w:t>
      </w:r>
      <w:r w:rsidR="00956046">
        <w:t>d</w:t>
      </w:r>
      <w:r w:rsidRPr="00DC454B">
        <w:t xml:space="preserve"> </w:t>
      </w:r>
      <w:r w:rsidR="00956046">
        <w:t>wrist/</w:t>
      </w:r>
      <w:r w:rsidRPr="00DC454B">
        <w:t>hand pain</w:t>
      </w:r>
      <w:r w:rsidR="00956046">
        <w:t xml:space="preserve"> specifically</w:t>
      </w:r>
      <w:r w:rsidRPr="00DC454B">
        <w:t xml:space="preserve">, a subset of upper extremity pain. For example, the </w:t>
      </w:r>
      <w:r w:rsidR="00956046" w:rsidRPr="00DC454B">
        <w:t>one</w:t>
      </w:r>
      <w:r w:rsidR="00956046">
        <w:t>-</w:t>
      </w:r>
      <w:r w:rsidRPr="00DC454B">
        <w:t>month prevalence of wrist</w:t>
      </w:r>
      <w:r w:rsidR="00956046">
        <w:t>/hand</w:t>
      </w:r>
      <w:r w:rsidRPr="00DC454B">
        <w:t xml:space="preserve"> pain in Sri Lanka (8</w:t>
      </w:r>
      <w:r w:rsidRPr="00B85136">
        <w:rPr>
          <w:color w:val="000000" w:themeColor="text1"/>
        </w:rPr>
        <w:t>%)</w:t>
      </w:r>
      <w:r>
        <w:fldChar w:fldCharType="begin"/>
      </w:r>
      <w:r w:rsidR="00C23091">
        <w:instrText>ADDIN RW.CITE{{292 Warnakulasuriya,SSP 2012}}</w:instrText>
      </w:r>
      <w:r>
        <w:fldChar w:fldCharType="separate"/>
      </w:r>
      <w:r w:rsidR="00C23091" w:rsidRPr="00C23091">
        <w:rPr>
          <w:vertAlign w:val="superscript"/>
        </w:rPr>
        <w:t>24</w:t>
      </w:r>
      <w:r>
        <w:fldChar w:fldCharType="end"/>
      </w:r>
      <w:r w:rsidRPr="00DC454B">
        <w:t xml:space="preserve"> and Japan (6</w:t>
      </w:r>
      <w:r w:rsidRPr="00B85136">
        <w:rPr>
          <w:color w:val="000000" w:themeColor="text1"/>
        </w:rPr>
        <w:t>%)</w:t>
      </w:r>
      <w:r>
        <w:fldChar w:fldCharType="begin"/>
      </w:r>
      <w:r w:rsidR="00C23091">
        <w:instrText>ADDIN RW.CITE{{288 Matsudaira,K. 2011}}</w:instrText>
      </w:r>
      <w:r>
        <w:fldChar w:fldCharType="separate"/>
      </w:r>
      <w:r w:rsidR="00C23091" w:rsidRPr="00C23091">
        <w:rPr>
          <w:vertAlign w:val="superscript"/>
        </w:rPr>
        <w:t>35</w:t>
      </w:r>
      <w:r>
        <w:fldChar w:fldCharType="end"/>
      </w:r>
      <w:r w:rsidRPr="00DC454B">
        <w:t xml:space="preserve">, two countries of very different economic </w:t>
      </w:r>
      <w:r w:rsidRPr="00B85136">
        <w:rPr>
          <w:color w:val="000000" w:themeColor="text1"/>
        </w:rPr>
        <w:t>level</w:t>
      </w:r>
      <w:r w:rsidR="005C71B6" w:rsidRPr="00B85136">
        <w:rPr>
          <w:color w:val="000000" w:themeColor="text1"/>
        </w:rPr>
        <w:t>s</w:t>
      </w:r>
      <w:r w:rsidRPr="00DC454B">
        <w:t>, was much lower than the prevalence in Costa Rica (38%) and Nicaragua (39%)</w:t>
      </w:r>
      <w:r w:rsidR="00956046">
        <w:t>, whereas t</w:t>
      </w:r>
      <w:r w:rsidRPr="00DC454B">
        <w:t xml:space="preserve">he </w:t>
      </w:r>
      <w:r w:rsidR="00956046" w:rsidRPr="00DC454B">
        <w:t>one</w:t>
      </w:r>
      <w:r w:rsidR="00956046">
        <w:t>-</w:t>
      </w:r>
      <w:r w:rsidRPr="00DC454B">
        <w:t xml:space="preserve">year prevalence of </w:t>
      </w:r>
      <w:r w:rsidR="00956046">
        <w:t>wrist/</w:t>
      </w:r>
      <w:r w:rsidRPr="00DC454B">
        <w:t>hand pain in New Zealand (33</w:t>
      </w:r>
      <w:r w:rsidRPr="00B85136">
        <w:rPr>
          <w:color w:val="000000" w:themeColor="text1"/>
        </w:rPr>
        <w:t>%)</w:t>
      </w:r>
      <w:r>
        <w:fldChar w:fldCharType="begin"/>
      </w:r>
      <w:r w:rsidR="00C23091">
        <w:instrText>ADDIN RW.CITE{{293 Harcombe,H. 2009}}</w:instrText>
      </w:r>
      <w:r>
        <w:fldChar w:fldCharType="separate"/>
      </w:r>
      <w:r w:rsidR="00C23091" w:rsidRPr="00C23091">
        <w:rPr>
          <w:vertAlign w:val="superscript"/>
        </w:rPr>
        <w:t>36</w:t>
      </w:r>
      <w:r>
        <w:fldChar w:fldCharType="end"/>
      </w:r>
      <w:r>
        <w:t xml:space="preserve"> </w:t>
      </w:r>
      <w:r w:rsidRPr="00DC454B">
        <w:t xml:space="preserve">was similar to that in Costa Rica (46%) and Nicaragua (54%). Other studies have shown that up to 50% of newly hired computer users who engage in prolonged periods of typing </w:t>
      </w:r>
      <w:r w:rsidR="00956046">
        <w:t>fr</w:t>
      </w:r>
      <w:r w:rsidR="003B2CAB">
        <w:t>e</w:t>
      </w:r>
      <w:r w:rsidR="00956046">
        <w:t>quently</w:t>
      </w:r>
      <w:r w:rsidR="00956046" w:rsidRPr="00DC454B">
        <w:t xml:space="preserve"> </w:t>
      </w:r>
      <w:r w:rsidRPr="00DC454B">
        <w:t>experience</w:t>
      </w:r>
      <w:r w:rsidR="003B2CAB">
        <w:t>d</w:t>
      </w:r>
      <w:r w:rsidRPr="00DC454B">
        <w:t xml:space="preserve"> MSD symptoms within the first 12 months of work and </w:t>
      </w:r>
      <w:r w:rsidR="00956046">
        <w:t xml:space="preserve">that </w:t>
      </w:r>
      <w:r w:rsidRPr="00DC454B">
        <w:t xml:space="preserve">46% </w:t>
      </w:r>
      <w:r w:rsidR="00956046" w:rsidRPr="00DC454B">
        <w:t>ha</w:t>
      </w:r>
      <w:r w:rsidR="00956046">
        <w:t>d</w:t>
      </w:r>
      <w:r w:rsidR="00956046" w:rsidRPr="00DC454B">
        <w:t xml:space="preserve"> </w:t>
      </w:r>
      <w:r w:rsidRPr="00DC454B">
        <w:t xml:space="preserve">musculoskeletal pain in the neck/shoulder and hand/arm areas after the first month of </w:t>
      </w:r>
      <w:r w:rsidR="00956046" w:rsidRPr="00DC454B">
        <w:t>follow</w:t>
      </w:r>
      <w:r w:rsidR="00956046">
        <w:t>-</w:t>
      </w:r>
      <w:r w:rsidRPr="00DC454B">
        <w:t>up</w:t>
      </w:r>
      <w:r>
        <w:fldChar w:fldCharType="begin"/>
      </w:r>
      <w:r w:rsidR="00C23091">
        <w:instrText>ADDIN RW.CITE{{186 Gerr,F. 2002}}</w:instrText>
      </w:r>
      <w:r>
        <w:fldChar w:fldCharType="separate"/>
      </w:r>
      <w:r w:rsidR="00C23091" w:rsidRPr="00C23091">
        <w:rPr>
          <w:vertAlign w:val="superscript"/>
        </w:rPr>
        <w:t>37</w:t>
      </w:r>
      <w:r>
        <w:fldChar w:fldCharType="end"/>
      </w:r>
      <w:r w:rsidRPr="00DC454B">
        <w:t xml:space="preserve">, </w:t>
      </w:r>
      <w:r w:rsidR="00956046">
        <w:t>which accords with</w:t>
      </w:r>
      <w:r w:rsidRPr="00DC454B">
        <w:t xml:space="preserve"> our results. Regarding the </w:t>
      </w:r>
      <w:r w:rsidR="00956046" w:rsidRPr="00DC454B">
        <w:t>one</w:t>
      </w:r>
      <w:r w:rsidR="00956046">
        <w:t>-</w:t>
      </w:r>
      <w:r w:rsidRPr="00DC454B">
        <w:t xml:space="preserve">month prevalence of disabling </w:t>
      </w:r>
      <w:r w:rsidR="00801A2D" w:rsidRPr="00B85136">
        <w:rPr>
          <w:color w:val="000000" w:themeColor="text1"/>
        </w:rPr>
        <w:t xml:space="preserve">wrist/hand </w:t>
      </w:r>
      <w:r w:rsidRPr="00DC454B">
        <w:t>pain, there was a large variation in rates among countries in the CUPID study</w:t>
      </w:r>
      <w:r w:rsidR="00956046">
        <w:t xml:space="preserve"> –</w:t>
      </w:r>
      <w:r w:rsidR="008626D3">
        <w:t xml:space="preserve"> </w:t>
      </w:r>
      <w:r w:rsidRPr="00DC454B">
        <w:t xml:space="preserve">more than </w:t>
      </w:r>
      <w:r w:rsidR="00956046" w:rsidRPr="00DC454B">
        <w:t>14</w:t>
      </w:r>
      <w:r w:rsidR="00956046">
        <w:t>-</w:t>
      </w:r>
      <w:r w:rsidRPr="00DC454B">
        <w:t>fold</w:t>
      </w:r>
      <w:r>
        <w:fldChar w:fldCharType="begin"/>
      </w:r>
      <w:r w:rsidR="00C23091">
        <w:instrText>ADDIN RW.CITE{{344 Coggon,David 2013}}</w:instrText>
      </w:r>
      <w:r>
        <w:fldChar w:fldCharType="separate"/>
      </w:r>
      <w:r w:rsidR="00C23091" w:rsidRPr="00C23091">
        <w:rPr>
          <w:vertAlign w:val="superscript"/>
        </w:rPr>
        <w:t>38</w:t>
      </w:r>
      <w:r>
        <w:fldChar w:fldCharType="end"/>
      </w:r>
      <w:r>
        <w:t>.</w:t>
      </w:r>
      <w:r w:rsidRPr="00DC454B">
        <w:t xml:space="preserve"> </w:t>
      </w:r>
      <w:r>
        <w:t>A</w:t>
      </w:r>
      <w:r w:rsidRPr="00D3657A">
        <w:t>t the lower end</w:t>
      </w:r>
      <w:r>
        <w:t xml:space="preserve"> </w:t>
      </w:r>
      <w:r w:rsidR="005C71B6" w:rsidRPr="00B85136">
        <w:rPr>
          <w:color w:val="000000" w:themeColor="text1"/>
        </w:rPr>
        <w:t>of the range</w:t>
      </w:r>
      <w:r w:rsidRPr="00B85136">
        <w:rPr>
          <w:color w:val="000000" w:themeColor="text1"/>
        </w:rPr>
        <w:t xml:space="preserve"> </w:t>
      </w:r>
      <w:r>
        <w:t xml:space="preserve">were </w:t>
      </w:r>
      <w:r w:rsidRPr="00DC454B">
        <w:t>Pakistan (2.2%) and Japan (2.3%)</w:t>
      </w:r>
      <w:r w:rsidR="00956046">
        <w:t>,</w:t>
      </w:r>
      <w:r w:rsidRPr="00DC454B">
        <w:t xml:space="preserve"> </w:t>
      </w:r>
      <w:r w:rsidRPr="00D3657A">
        <w:t xml:space="preserve">Spain </w:t>
      </w:r>
      <w:r w:rsidR="00956046">
        <w:t xml:space="preserve">was intermediate </w:t>
      </w:r>
      <w:r w:rsidRPr="00D3657A">
        <w:t>(12.6%)</w:t>
      </w:r>
      <w:r w:rsidR="00956046">
        <w:t>,</w:t>
      </w:r>
      <w:r w:rsidRPr="00D3657A">
        <w:t xml:space="preserve"> and Costa Rica (27.4%) and Nicaragua (31.6%)</w:t>
      </w:r>
      <w:r w:rsidR="00956046">
        <w:t xml:space="preserve"> were at the upper end of the range</w:t>
      </w:r>
      <w:r w:rsidR="00956046">
        <w:fldChar w:fldCharType="begin"/>
      </w:r>
      <w:r w:rsidR="00C23091">
        <w:instrText>ADDIN RW.CITE{{344 Coggon,David 2013}}</w:instrText>
      </w:r>
      <w:r w:rsidR="00956046">
        <w:fldChar w:fldCharType="separate"/>
      </w:r>
      <w:r w:rsidR="00C23091" w:rsidRPr="00C23091">
        <w:rPr>
          <w:vertAlign w:val="superscript"/>
        </w:rPr>
        <w:t>38</w:t>
      </w:r>
      <w:r w:rsidR="00956046">
        <w:fldChar w:fldCharType="end"/>
      </w:r>
      <w:r w:rsidRPr="00D3657A">
        <w:t>.</w:t>
      </w:r>
      <w:r w:rsidR="00F419EC">
        <w:t xml:space="preserve"> </w:t>
      </w:r>
      <w:r w:rsidR="00AA2E29" w:rsidRPr="00B85136">
        <w:rPr>
          <w:color w:val="000000" w:themeColor="text1"/>
        </w:rPr>
        <w:t xml:space="preserve">As for the unexpected lower prevalence of persistent pain in Costa Rica, we are unable to provide any possible and adequate explanation. This result is unclear pending confirmation from other research and may well be spurious. </w:t>
      </w:r>
    </w:p>
    <w:p w14:paraId="69F7CA12" w14:textId="77777777" w:rsidR="004C52F4" w:rsidRDefault="00CF01B2" w:rsidP="00386960">
      <w:pPr>
        <w:pStyle w:val="ListParagraph"/>
        <w:widowControl w:val="0"/>
        <w:spacing w:line="480" w:lineRule="auto"/>
        <w:ind w:left="0" w:firstLine="720"/>
        <w:contextualSpacing w:val="0"/>
        <w:jc w:val="both"/>
        <w:rPr>
          <w:color w:val="000000" w:themeColor="text1"/>
        </w:rPr>
      </w:pPr>
      <w:r w:rsidRPr="00D5205C">
        <w:rPr>
          <w:color w:val="0D0D0D" w:themeColor="text1" w:themeTint="F2"/>
        </w:rPr>
        <w:t xml:space="preserve">Regarding the </w:t>
      </w:r>
      <w:r>
        <w:rPr>
          <w:color w:val="0D0D0D" w:themeColor="text1" w:themeTint="F2"/>
        </w:rPr>
        <w:t>role</w:t>
      </w:r>
      <w:r w:rsidRPr="00D5205C">
        <w:rPr>
          <w:color w:val="0D0D0D" w:themeColor="text1" w:themeTint="F2"/>
        </w:rPr>
        <w:t xml:space="preserve"> of </w:t>
      </w:r>
      <w:r>
        <w:rPr>
          <w:color w:val="0D0D0D" w:themeColor="text1" w:themeTint="F2"/>
        </w:rPr>
        <w:t xml:space="preserve">potentially </w:t>
      </w:r>
      <w:r w:rsidRPr="00D5205C">
        <w:rPr>
          <w:color w:val="0D0D0D" w:themeColor="text1" w:themeTint="F2"/>
        </w:rPr>
        <w:t>confounding factors we found that</w:t>
      </w:r>
      <w:r w:rsidR="00DA73C8" w:rsidRPr="00B85136">
        <w:rPr>
          <w:color w:val="000000" w:themeColor="text1"/>
        </w:rPr>
        <w:t>, as indicated by the variables retained in the various final statistical models</w:t>
      </w:r>
      <w:r w:rsidR="009566AF" w:rsidRPr="00B85136">
        <w:rPr>
          <w:color w:val="000000" w:themeColor="text1"/>
        </w:rPr>
        <w:t>,</w:t>
      </w:r>
      <w:r w:rsidRPr="00D5205C">
        <w:rPr>
          <w:color w:val="0D0D0D" w:themeColor="text1" w:themeTint="F2"/>
        </w:rPr>
        <w:t xml:space="preserve"> the incidence and persistence of UEMP were</w:t>
      </w:r>
      <w:r w:rsidR="00F419EC">
        <w:rPr>
          <w:color w:val="0D0D0D" w:themeColor="text1" w:themeTint="F2"/>
        </w:rPr>
        <w:t xml:space="preserve"> </w:t>
      </w:r>
      <w:r w:rsidRPr="00D5205C">
        <w:rPr>
          <w:color w:val="0D0D0D" w:themeColor="text1" w:themeTint="F2"/>
        </w:rPr>
        <w:t xml:space="preserve">related to </w:t>
      </w:r>
      <w:r w:rsidR="00D37CD5" w:rsidRPr="00B85136">
        <w:rPr>
          <w:color w:val="000000" w:themeColor="text1"/>
        </w:rPr>
        <w:t xml:space="preserve">of adverse health beliefs (i.e., </w:t>
      </w:r>
      <w:r w:rsidRPr="00D5205C">
        <w:rPr>
          <w:color w:val="0D0D0D" w:themeColor="text1" w:themeTint="F2"/>
        </w:rPr>
        <w:t xml:space="preserve">beliefs that </w:t>
      </w:r>
      <w:r w:rsidR="00956046">
        <w:rPr>
          <w:color w:val="0D0D0D" w:themeColor="text1" w:themeTint="F2"/>
        </w:rPr>
        <w:t xml:space="preserve">such </w:t>
      </w:r>
      <w:r w:rsidRPr="00D5205C">
        <w:rPr>
          <w:color w:val="0D0D0D" w:themeColor="text1" w:themeTint="F2"/>
        </w:rPr>
        <w:t>pain is work</w:t>
      </w:r>
      <w:r>
        <w:rPr>
          <w:color w:val="0D0D0D" w:themeColor="text1" w:themeTint="F2"/>
        </w:rPr>
        <w:t>-related</w:t>
      </w:r>
      <w:r w:rsidRPr="00D5205C">
        <w:rPr>
          <w:color w:val="0D0D0D" w:themeColor="text1" w:themeTint="F2"/>
        </w:rPr>
        <w:t xml:space="preserve">, </w:t>
      </w:r>
      <w:r w:rsidR="00956046">
        <w:rPr>
          <w:color w:val="0D0D0D" w:themeColor="text1" w:themeTint="F2"/>
        </w:rPr>
        <w:t xml:space="preserve">tendency to </w:t>
      </w:r>
      <w:r w:rsidR="00956046" w:rsidRPr="00D5205C">
        <w:rPr>
          <w:color w:val="0D0D0D" w:themeColor="text1" w:themeTint="F2"/>
        </w:rPr>
        <w:t>somatiz</w:t>
      </w:r>
      <w:r w:rsidR="00956046">
        <w:rPr>
          <w:color w:val="0D0D0D" w:themeColor="text1" w:themeTint="F2"/>
        </w:rPr>
        <w:t>e</w:t>
      </w:r>
      <w:r w:rsidR="00956046" w:rsidRPr="00D5205C">
        <w:rPr>
          <w:color w:val="0D0D0D" w:themeColor="text1" w:themeTint="F2"/>
        </w:rPr>
        <w:t xml:space="preserve"> </w:t>
      </w:r>
      <w:r w:rsidRPr="00D5205C">
        <w:rPr>
          <w:color w:val="0D0D0D" w:themeColor="text1" w:themeTint="F2"/>
        </w:rPr>
        <w:t xml:space="preserve">and </w:t>
      </w:r>
      <w:r w:rsidR="00A703B0" w:rsidRPr="00B85136">
        <w:rPr>
          <w:color w:val="000000" w:themeColor="text1"/>
        </w:rPr>
        <w:t>beliefs on physical activity being harmful</w:t>
      </w:r>
      <w:r w:rsidR="00576FDE" w:rsidRPr="00B85136">
        <w:rPr>
          <w:color w:val="000000" w:themeColor="text1"/>
        </w:rPr>
        <w:t>)</w:t>
      </w:r>
      <w:r w:rsidR="008431EC" w:rsidRPr="00B85136">
        <w:rPr>
          <w:color w:val="000000" w:themeColor="text1"/>
        </w:rPr>
        <w:t xml:space="preserve">, </w:t>
      </w:r>
      <w:r w:rsidR="00893871" w:rsidRPr="00B85136">
        <w:rPr>
          <w:color w:val="000000" w:themeColor="text1"/>
        </w:rPr>
        <w:t xml:space="preserve">and </w:t>
      </w:r>
      <w:r w:rsidRPr="00D5205C">
        <w:rPr>
          <w:color w:val="0D0D0D" w:themeColor="text1" w:themeTint="F2"/>
        </w:rPr>
        <w:t xml:space="preserve">awareness of </w:t>
      </w:r>
      <w:r w:rsidRPr="00D5205C">
        <w:rPr>
          <w:color w:val="0D0D0D" w:themeColor="text1" w:themeTint="F2"/>
        </w:rPr>
        <w:lastRenderedPageBreak/>
        <w:t>others with pain at work</w:t>
      </w:r>
      <w:r w:rsidR="00893871" w:rsidRPr="00B85136">
        <w:rPr>
          <w:color w:val="000000" w:themeColor="text1"/>
        </w:rPr>
        <w:t>)</w:t>
      </w:r>
      <w:r w:rsidR="009664E3" w:rsidRPr="00B85136">
        <w:rPr>
          <w:color w:val="000000" w:themeColor="text1"/>
        </w:rPr>
        <w:t>.</w:t>
      </w:r>
      <w:r w:rsidR="009A5938" w:rsidRPr="00B85136">
        <w:rPr>
          <w:color w:val="000000" w:themeColor="text1"/>
        </w:rPr>
        <w:t xml:space="preserve"> Others</w:t>
      </w:r>
      <w:r w:rsidRPr="00D5205C">
        <w:rPr>
          <w:color w:val="0D0D0D" w:themeColor="text1" w:themeTint="F2"/>
        </w:rPr>
        <w:t xml:space="preserve"> have reported</w:t>
      </w:r>
      <w:r w:rsidRPr="00D5205C">
        <w:rPr>
          <w:color w:val="0D0D0D" w:themeColor="text1" w:themeTint="F2"/>
        </w:rPr>
        <w:fldChar w:fldCharType="begin"/>
      </w:r>
      <w:r w:rsidR="00C23091">
        <w:rPr>
          <w:color w:val="0D0D0D" w:themeColor="text1" w:themeTint="F2"/>
        </w:rPr>
        <w:instrText>ADDIN RW.CITE{{288 Matsudaira,K. 2011; 345 Palmer,KT 2008; 354 Macfarlane,G.J. 2000; 347 Fujii,Tomoko 2013; 348 Sadeghian,Farideh 2013; 289 Solidaki,E. 2010; 408 Solidaki,E. 2013; 293 Harcombe,H. 2009; 349 Coggon,David 2013}}</w:instrText>
      </w:r>
      <w:r w:rsidRPr="00D5205C">
        <w:rPr>
          <w:color w:val="0D0D0D" w:themeColor="text1" w:themeTint="F2"/>
        </w:rPr>
        <w:fldChar w:fldCharType="separate"/>
      </w:r>
      <w:r w:rsidR="00C23091" w:rsidRPr="00C23091">
        <w:rPr>
          <w:color w:val="0D0D0D" w:themeColor="text1" w:themeTint="F2"/>
          <w:vertAlign w:val="superscript"/>
        </w:rPr>
        <w:t>35,36,39-45</w:t>
      </w:r>
      <w:r w:rsidRPr="00D5205C">
        <w:rPr>
          <w:color w:val="0D0D0D" w:themeColor="text1" w:themeTint="F2"/>
        </w:rPr>
        <w:fldChar w:fldCharType="end"/>
      </w:r>
      <w:r w:rsidR="009A5938" w:rsidRPr="00B85136">
        <w:rPr>
          <w:color w:val="000000" w:themeColor="text1"/>
        </w:rPr>
        <w:t>similar effects</w:t>
      </w:r>
      <w:r w:rsidR="00461A7A">
        <w:rPr>
          <w:color w:val="0D0D0D" w:themeColor="text1" w:themeTint="F2"/>
        </w:rPr>
        <w:t>.</w:t>
      </w:r>
      <w:r>
        <w:rPr>
          <w:color w:val="0D0D0D" w:themeColor="text1" w:themeTint="F2"/>
        </w:rPr>
        <w:t xml:space="preserve"> </w:t>
      </w:r>
      <w:r w:rsidR="00576FDE" w:rsidRPr="00B85136">
        <w:rPr>
          <w:color w:val="000000" w:themeColor="text1"/>
        </w:rPr>
        <w:t xml:space="preserve">Palmer </w:t>
      </w:r>
      <w:r w:rsidR="00C67A70" w:rsidRPr="00C67A70">
        <w:rPr>
          <w:i/>
          <w:color w:val="000000" w:themeColor="text1"/>
        </w:rPr>
        <w:t>et al.</w:t>
      </w:r>
      <w:r w:rsidR="00576FDE" w:rsidRPr="00B85136">
        <w:rPr>
          <w:color w:val="000000" w:themeColor="text1"/>
        </w:rPr>
        <w:t xml:space="preserve"> found that persistence of pain was more common among people that believe pain is caused by their work and expect symptoms to continue being a problem 12 months later</w:t>
      </w:r>
      <w:r w:rsidR="00576FDE" w:rsidRPr="00B85136">
        <w:rPr>
          <w:color w:val="000000" w:themeColor="text1"/>
          <w:vertAlign w:val="superscript"/>
        </w:rPr>
        <w:t>39</w:t>
      </w:r>
      <w:r w:rsidR="00576FDE" w:rsidRPr="00B85136">
        <w:rPr>
          <w:color w:val="000000" w:themeColor="text1"/>
        </w:rPr>
        <w:t xml:space="preserve">. </w:t>
      </w:r>
    </w:p>
    <w:p w14:paraId="7B18283F" w14:textId="3DAD6AC2" w:rsidR="008431EC" w:rsidRPr="00B85136" w:rsidRDefault="008431EC" w:rsidP="00386960">
      <w:pPr>
        <w:pStyle w:val="ListParagraph"/>
        <w:widowControl w:val="0"/>
        <w:spacing w:line="480" w:lineRule="auto"/>
        <w:ind w:left="0" w:firstLine="720"/>
        <w:contextualSpacing w:val="0"/>
        <w:jc w:val="both"/>
        <w:rPr>
          <w:color w:val="000000" w:themeColor="text1"/>
        </w:rPr>
      </w:pPr>
      <w:r w:rsidRPr="00B85136">
        <w:rPr>
          <w:color w:val="000000" w:themeColor="text1"/>
        </w:rPr>
        <w:t>Tendency to</w:t>
      </w:r>
      <w:r w:rsidR="009333E3" w:rsidRPr="00B85136">
        <w:rPr>
          <w:color w:val="000000" w:themeColor="text1"/>
        </w:rPr>
        <w:t xml:space="preserve"> somatize was also associated to UEMP. </w:t>
      </w:r>
      <w:r w:rsidR="006D48D0">
        <w:rPr>
          <w:color w:val="000000" w:themeColor="text1"/>
        </w:rPr>
        <w:t>O</w:t>
      </w:r>
      <w:r w:rsidR="00CF01B2" w:rsidRPr="00D5205C">
        <w:rPr>
          <w:color w:val="0D0D0D" w:themeColor="text1" w:themeTint="F2"/>
        </w:rPr>
        <w:t xml:space="preserve">ur findings </w:t>
      </w:r>
      <w:r w:rsidR="009333E3" w:rsidRPr="00B85136">
        <w:rPr>
          <w:color w:val="000000" w:themeColor="text1"/>
        </w:rPr>
        <w:t>regarding the role of somatization agree with those observed in previous studies</w:t>
      </w:r>
      <w:r w:rsidR="009333E3" w:rsidRPr="00B85136">
        <w:rPr>
          <w:color w:val="000000" w:themeColor="text1"/>
          <w:vertAlign w:val="superscript"/>
        </w:rPr>
        <w:t>35,41-44</w:t>
      </w:r>
      <w:r w:rsidR="009333E3" w:rsidRPr="00B85136">
        <w:rPr>
          <w:color w:val="000000" w:themeColor="text1"/>
        </w:rPr>
        <w:t xml:space="preserve">. </w:t>
      </w:r>
      <w:r w:rsidR="004C52F4">
        <w:rPr>
          <w:color w:val="000000" w:themeColor="text1"/>
        </w:rPr>
        <w:t xml:space="preserve">In </w:t>
      </w:r>
      <w:r w:rsidR="009721FB" w:rsidRPr="00B85136">
        <w:rPr>
          <w:color w:val="000000" w:themeColor="text1"/>
        </w:rPr>
        <w:t xml:space="preserve">a prospective study by Macfarlane </w:t>
      </w:r>
      <w:r w:rsidR="00C67A70" w:rsidRPr="00C67A70">
        <w:rPr>
          <w:i/>
          <w:color w:val="000000" w:themeColor="text1"/>
        </w:rPr>
        <w:t>et al</w:t>
      </w:r>
      <w:r w:rsidR="006D48D0">
        <w:rPr>
          <w:i/>
          <w:color w:val="000000" w:themeColor="text1"/>
        </w:rPr>
        <w:t>.</w:t>
      </w:r>
      <w:r w:rsidR="006D48D0" w:rsidRPr="00B85136">
        <w:rPr>
          <w:color w:val="000000" w:themeColor="text1"/>
          <w:vertAlign w:val="superscript"/>
        </w:rPr>
        <w:t>40</w:t>
      </w:r>
      <w:r w:rsidR="009721FB" w:rsidRPr="00B85136">
        <w:rPr>
          <w:color w:val="000000" w:themeColor="text1"/>
        </w:rPr>
        <w:t xml:space="preserve">, somatizing </w:t>
      </w:r>
      <w:r w:rsidR="00EC6323" w:rsidRPr="00B85136">
        <w:rPr>
          <w:color w:val="000000" w:themeColor="text1"/>
        </w:rPr>
        <w:t xml:space="preserve">tendency </w:t>
      </w:r>
      <w:r w:rsidR="00893871" w:rsidRPr="00B85136">
        <w:rPr>
          <w:color w:val="000000" w:themeColor="text1"/>
        </w:rPr>
        <w:t xml:space="preserve">was reported to be </w:t>
      </w:r>
      <w:r w:rsidR="009721FB" w:rsidRPr="00B85136">
        <w:rPr>
          <w:color w:val="000000" w:themeColor="text1"/>
        </w:rPr>
        <w:t>an important predictor of the onset of forearm pain</w:t>
      </w:r>
      <w:r w:rsidR="009333E3" w:rsidRPr="00B85136">
        <w:rPr>
          <w:color w:val="000000" w:themeColor="text1"/>
        </w:rPr>
        <w:t xml:space="preserve"> and </w:t>
      </w:r>
      <w:r w:rsidR="00893871" w:rsidRPr="00B85136">
        <w:rPr>
          <w:color w:val="000000" w:themeColor="text1"/>
        </w:rPr>
        <w:t xml:space="preserve">prior </w:t>
      </w:r>
      <w:r w:rsidR="009333E3" w:rsidRPr="00B85136">
        <w:rPr>
          <w:color w:val="000000" w:themeColor="text1"/>
        </w:rPr>
        <w:t xml:space="preserve">studies </w:t>
      </w:r>
      <w:r w:rsidR="00893871" w:rsidRPr="00B85136">
        <w:rPr>
          <w:color w:val="000000" w:themeColor="text1"/>
        </w:rPr>
        <w:t xml:space="preserve">have also reported </w:t>
      </w:r>
      <w:r w:rsidR="009333E3" w:rsidRPr="00B85136">
        <w:rPr>
          <w:color w:val="000000" w:themeColor="text1"/>
        </w:rPr>
        <w:t>that p</w:t>
      </w:r>
      <w:r w:rsidR="009721FB" w:rsidRPr="00B85136">
        <w:rPr>
          <w:color w:val="000000" w:themeColor="text1"/>
        </w:rPr>
        <w:t>eople who tend to worry about common symptoms might be more aware of musculoskeletal pain and be more likely to report</w:t>
      </w:r>
      <w:r w:rsidRPr="00B85136">
        <w:rPr>
          <w:color w:val="000000" w:themeColor="text1"/>
        </w:rPr>
        <w:t xml:space="preserve"> it</w:t>
      </w:r>
      <w:r w:rsidR="009721FB" w:rsidRPr="00B85136">
        <w:rPr>
          <w:color w:val="000000" w:themeColor="text1"/>
          <w:vertAlign w:val="superscript"/>
        </w:rPr>
        <w:t>38</w:t>
      </w:r>
      <w:r w:rsidR="009721FB" w:rsidRPr="00B85136">
        <w:rPr>
          <w:color w:val="000000" w:themeColor="text1"/>
        </w:rPr>
        <w:t>.</w:t>
      </w:r>
      <w:r w:rsidR="003F7897" w:rsidRPr="003F7897">
        <w:rPr>
          <w:i/>
          <w:color w:val="000000" w:themeColor="text1"/>
        </w:rPr>
        <w:t xml:space="preserve"> </w:t>
      </w:r>
      <w:r w:rsidR="004C52F4" w:rsidRPr="004C52F4">
        <w:rPr>
          <w:color w:val="000000" w:themeColor="text1"/>
        </w:rPr>
        <w:t>I</w:t>
      </w:r>
      <w:r w:rsidRPr="00B85136">
        <w:rPr>
          <w:color w:val="000000" w:themeColor="text1"/>
        </w:rPr>
        <w:t>n our study, awareness of others with pain at work was also, to some extent, associated with the prevalence and incidence of UEMP. This finding is</w:t>
      </w:r>
      <w:r w:rsidR="00CF01B2" w:rsidRPr="00D5205C">
        <w:rPr>
          <w:color w:val="0D0D0D" w:themeColor="text1" w:themeTint="F2"/>
        </w:rPr>
        <w:t xml:space="preserve"> in agreement with previous reports on disabling wrist</w:t>
      </w:r>
      <w:r w:rsidR="009721FB" w:rsidRPr="00B85136">
        <w:rPr>
          <w:color w:val="000000" w:themeColor="text1"/>
        </w:rPr>
        <w:t xml:space="preserve"> and </w:t>
      </w:r>
      <w:r w:rsidR="00CF01B2" w:rsidRPr="00D5205C">
        <w:rPr>
          <w:color w:val="0D0D0D" w:themeColor="text1" w:themeTint="F2"/>
        </w:rPr>
        <w:t xml:space="preserve">hand pain such as knowing someone outside work with arm pain and </w:t>
      </w:r>
      <w:r w:rsidR="00465CA8" w:rsidRPr="00B85136">
        <w:rPr>
          <w:color w:val="000000" w:themeColor="text1"/>
        </w:rPr>
        <w:t>having</w:t>
      </w:r>
      <w:r w:rsidR="009721FB" w:rsidRPr="00B85136">
        <w:rPr>
          <w:color w:val="000000" w:themeColor="text1"/>
        </w:rPr>
        <w:t xml:space="preserve"> </w:t>
      </w:r>
      <w:r w:rsidR="00CF01B2" w:rsidRPr="00D5205C">
        <w:rPr>
          <w:color w:val="0D0D0D" w:themeColor="text1" w:themeTint="F2"/>
        </w:rPr>
        <w:t>adverse beliefs (poor prognosis</w:t>
      </w:r>
      <w:r w:rsidR="009721FB" w:rsidRPr="00B85136">
        <w:rPr>
          <w:color w:val="000000" w:themeColor="text1"/>
        </w:rPr>
        <w:t xml:space="preserve"> of arm pain), both of which may increase the reported prevalence</w:t>
      </w:r>
      <w:r w:rsidR="009721FB" w:rsidRPr="00B85136">
        <w:rPr>
          <w:color w:val="000000" w:themeColor="text1"/>
          <w:vertAlign w:val="superscript"/>
        </w:rPr>
        <w:t>38</w:t>
      </w:r>
      <w:r w:rsidRPr="00B85136">
        <w:rPr>
          <w:color w:val="000000" w:themeColor="text1"/>
        </w:rPr>
        <w:t>.</w:t>
      </w:r>
      <w:r w:rsidR="007B3379" w:rsidRPr="00B85136">
        <w:rPr>
          <w:color w:val="000000" w:themeColor="text1"/>
        </w:rPr>
        <w:t xml:space="preserve"> </w:t>
      </w:r>
    </w:p>
    <w:p w14:paraId="57D1ACF5" w14:textId="56BF4FE8" w:rsidR="006D48D0" w:rsidRDefault="004C52F4" w:rsidP="006D48D0">
      <w:pPr>
        <w:pStyle w:val="ListParagraph"/>
        <w:widowControl w:val="0"/>
        <w:spacing w:line="480" w:lineRule="auto"/>
        <w:ind w:left="0" w:firstLine="720"/>
        <w:contextualSpacing w:val="0"/>
        <w:jc w:val="both"/>
        <w:rPr>
          <w:color w:val="0D0D0D" w:themeColor="text1" w:themeTint="F2"/>
        </w:rPr>
      </w:pPr>
      <w:r w:rsidRPr="00B85136">
        <w:rPr>
          <w:color w:val="000000" w:themeColor="text1"/>
        </w:rPr>
        <w:t>Additionally</w:t>
      </w:r>
      <w:r w:rsidR="002A215B" w:rsidRPr="00B85136">
        <w:rPr>
          <w:color w:val="000000" w:themeColor="text1"/>
        </w:rPr>
        <w:t xml:space="preserve">, our results did not support the idea that higher exposure to </w:t>
      </w:r>
      <w:r w:rsidR="00465CA8" w:rsidRPr="00B85136">
        <w:rPr>
          <w:color w:val="000000" w:themeColor="text1"/>
        </w:rPr>
        <w:t xml:space="preserve">physical </w:t>
      </w:r>
      <w:r w:rsidR="009721FB" w:rsidRPr="00B85136">
        <w:rPr>
          <w:color w:val="000000" w:themeColor="text1"/>
        </w:rPr>
        <w:t>demands of the job</w:t>
      </w:r>
      <w:r w:rsidR="002A215B" w:rsidRPr="00B85136">
        <w:rPr>
          <w:color w:val="000000" w:themeColor="text1"/>
        </w:rPr>
        <w:t xml:space="preserve"> was</w:t>
      </w:r>
      <w:r w:rsidR="001F23D8">
        <w:rPr>
          <w:color w:val="0D0D0D" w:themeColor="text1" w:themeTint="F2"/>
        </w:rPr>
        <w:t xml:space="preserve"> associated with higher</w:t>
      </w:r>
      <w:r w:rsidR="00CF01B2" w:rsidRPr="00D5205C">
        <w:rPr>
          <w:color w:val="0D0D0D" w:themeColor="text1" w:themeTint="F2"/>
        </w:rPr>
        <w:fldChar w:fldCharType="begin"/>
      </w:r>
      <w:r w:rsidR="00C23091">
        <w:rPr>
          <w:color w:val="0D0D0D" w:themeColor="text1" w:themeTint="F2"/>
        </w:rPr>
        <w:instrText>ADDIN RW.CITE{{344 Coggon,David 2013}}</w:instrText>
      </w:r>
      <w:r w:rsidR="00CF01B2" w:rsidRPr="00D5205C">
        <w:rPr>
          <w:color w:val="0D0D0D" w:themeColor="text1" w:themeTint="F2"/>
        </w:rPr>
        <w:fldChar w:fldCharType="separate"/>
      </w:r>
      <w:r w:rsidR="00C23091" w:rsidRPr="00C23091">
        <w:rPr>
          <w:color w:val="0D0D0D" w:themeColor="text1" w:themeTint="F2"/>
          <w:vertAlign w:val="superscript"/>
        </w:rPr>
        <w:t>38</w:t>
      </w:r>
      <w:r w:rsidR="00CF01B2" w:rsidRPr="00D5205C">
        <w:rPr>
          <w:color w:val="0D0D0D" w:themeColor="text1" w:themeTint="F2"/>
        </w:rPr>
        <w:fldChar w:fldCharType="end"/>
      </w:r>
      <w:r w:rsidR="006D48D0">
        <w:rPr>
          <w:color w:val="0D0D0D" w:themeColor="text1" w:themeTint="F2"/>
        </w:rPr>
        <w:t xml:space="preserve"> </w:t>
      </w:r>
      <w:r w:rsidR="002A215B" w:rsidRPr="00B85136">
        <w:rPr>
          <w:color w:val="000000" w:themeColor="text1"/>
        </w:rPr>
        <w:t xml:space="preserve">reports of UEMP. </w:t>
      </w:r>
      <w:r w:rsidR="001F39AD" w:rsidRPr="00B85136">
        <w:rPr>
          <w:color w:val="000000" w:themeColor="text1"/>
        </w:rPr>
        <w:t xml:space="preserve">This results should not </w:t>
      </w:r>
      <w:r w:rsidR="00A4506B" w:rsidRPr="00B85136">
        <w:rPr>
          <w:color w:val="000000" w:themeColor="text1"/>
        </w:rPr>
        <w:t>be a surprise g</w:t>
      </w:r>
      <w:r w:rsidR="002A215B" w:rsidRPr="00B85136">
        <w:rPr>
          <w:color w:val="000000" w:themeColor="text1"/>
        </w:rPr>
        <w:t xml:space="preserve">iven the homogeneity of exposure in our study sample of office workers (e.g., more than 90% of the participants declared </w:t>
      </w:r>
      <w:r w:rsidR="009721FB" w:rsidRPr="00B85136">
        <w:rPr>
          <w:color w:val="000000" w:themeColor="text1"/>
        </w:rPr>
        <w:t>us</w:t>
      </w:r>
      <w:r w:rsidR="0002622A" w:rsidRPr="00B85136">
        <w:rPr>
          <w:color w:val="000000" w:themeColor="text1"/>
        </w:rPr>
        <w:t>ing the keyboard for more than four</w:t>
      </w:r>
      <w:r w:rsidR="009721FB" w:rsidRPr="00B85136">
        <w:rPr>
          <w:color w:val="000000" w:themeColor="text1"/>
        </w:rPr>
        <w:t xml:space="preserve"> hours per day</w:t>
      </w:r>
      <w:r w:rsidR="002A215B" w:rsidRPr="00B85136">
        <w:rPr>
          <w:color w:val="000000" w:themeColor="text1"/>
        </w:rPr>
        <w:t>)</w:t>
      </w:r>
      <w:r w:rsidR="009721FB" w:rsidRPr="00B85136">
        <w:rPr>
          <w:color w:val="000000" w:themeColor="text1"/>
        </w:rPr>
        <w:t>.</w:t>
      </w:r>
      <w:r w:rsidR="00A4506B" w:rsidRPr="00B85136">
        <w:rPr>
          <w:color w:val="000000" w:themeColor="text1"/>
        </w:rPr>
        <w:t xml:space="preserve"> This type of homogeneity was, in fact, aimed at by design in the CUPID study</w:t>
      </w:r>
      <w:r w:rsidR="009721FB" w:rsidRPr="00B85136">
        <w:rPr>
          <w:color w:val="000000" w:themeColor="text1"/>
        </w:rPr>
        <w:t xml:space="preserve"> </w:t>
      </w:r>
      <w:r w:rsidR="00A4506B" w:rsidRPr="00B85136">
        <w:rPr>
          <w:color w:val="000000" w:themeColor="text1"/>
        </w:rPr>
        <w:t>to reduce the influence of the phys</w:t>
      </w:r>
      <w:r w:rsidR="001A0FF0">
        <w:rPr>
          <w:color w:val="000000" w:themeColor="text1"/>
        </w:rPr>
        <w:t xml:space="preserve">ical features in the analysis. </w:t>
      </w:r>
      <w:r w:rsidR="00EF4C22" w:rsidRPr="00B85136">
        <w:rPr>
          <w:color w:val="000000" w:themeColor="text1"/>
        </w:rPr>
        <w:t xml:space="preserve">Furthermore, we fund that </w:t>
      </w:r>
      <w:r w:rsidR="00CF01B2">
        <w:rPr>
          <w:color w:val="0D0D0D" w:themeColor="text1" w:themeTint="F2"/>
        </w:rPr>
        <w:t>p</w:t>
      </w:r>
      <w:r w:rsidR="00CF01B2" w:rsidRPr="00D5205C">
        <w:rPr>
          <w:color w:val="0D0D0D" w:themeColor="text1" w:themeTint="F2"/>
        </w:rPr>
        <w:t xml:space="preserve">sychosocial demands of </w:t>
      </w:r>
      <w:r w:rsidR="009721FB" w:rsidRPr="00B85136">
        <w:rPr>
          <w:color w:val="000000" w:themeColor="text1"/>
        </w:rPr>
        <w:t>the job</w:t>
      </w:r>
      <w:r w:rsidR="00EF4C22" w:rsidRPr="00B85136">
        <w:rPr>
          <w:color w:val="000000" w:themeColor="text1"/>
        </w:rPr>
        <w:t xml:space="preserve">, in particular </w:t>
      </w:r>
      <w:r w:rsidR="009721FB" w:rsidRPr="00B85136">
        <w:rPr>
          <w:color w:val="000000" w:themeColor="text1"/>
        </w:rPr>
        <w:t>time pressure and lack of support</w:t>
      </w:r>
      <w:r w:rsidR="00EF4C22" w:rsidRPr="00B85136">
        <w:rPr>
          <w:color w:val="000000" w:themeColor="text1"/>
        </w:rPr>
        <w:t xml:space="preserve">, were significant predictors of UEMP. </w:t>
      </w:r>
      <w:r w:rsidR="00E0740F" w:rsidRPr="00B85136">
        <w:rPr>
          <w:color w:val="000000" w:themeColor="text1"/>
        </w:rPr>
        <w:t xml:space="preserve">These results </w:t>
      </w:r>
      <w:r w:rsidR="00CF01B2">
        <w:rPr>
          <w:color w:val="0D0D0D" w:themeColor="text1" w:themeTint="F2"/>
        </w:rPr>
        <w:t xml:space="preserve">also </w:t>
      </w:r>
      <w:r w:rsidR="00E0740F" w:rsidRPr="00B85136">
        <w:rPr>
          <w:color w:val="000000" w:themeColor="text1"/>
        </w:rPr>
        <w:t>accord</w:t>
      </w:r>
      <w:r w:rsidR="00CF01B2">
        <w:rPr>
          <w:color w:val="0D0D0D" w:themeColor="text1" w:themeTint="F2"/>
        </w:rPr>
        <w:t xml:space="preserve"> with </w:t>
      </w:r>
      <w:r w:rsidR="001F23D8">
        <w:rPr>
          <w:color w:val="0D0D0D" w:themeColor="text1" w:themeTint="F2"/>
        </w:rPr>
        <w:t xml:space="preserve">earlier </w:t>
      </w:r>
      <w:r w:rsidR="00CF01B2">
        <w:rPr>
          <w:color w:val="0D0D0D" w:themeColor="text1" w:themeTint="F2"/>
        </w:rPr>
        <w:t>research</w:t>
      </w:r>
      <w:r w:rsidR="00A053DA">
        <w:rPr>
          <w:color w:val="0D0D0D" w:themeColor="text1" w:themeTint="F2"/>
        </w:rPr>
        <w:fldChar w:fldCharType="begin"/>
      </w:r>
      <w:r w:rsidR="00C23091">
        <w:rPr>
          <w:color w:val="0D0D0D" w:themeColor="text1" w:themeTint="F2"/>
        </w:rPr>
        <w:instrText>ADDIN RW.CITE{{347 Fujii,Tomoko 2013; 348 Sadeghian,Farideh 2013; 349 Coggon,David 2013}}</w:instrText>
      </w:r>
      <w:r w:rsidR="00A053DA">
        <w:rPr>
          <w:color w:val="0D0D0D" w:themeColor="text1" w:themeTint="F2"/>
        </w:rPr>
        <w:fldChar w:fldCharType="separate"/>
      </w:r>
      <w:r w:rsidR="00C23091" w:rsidRPr="00C23091">
        <w:rPr>
          <w:color w:val="0D0D0D" w:themeColor="text1" w:themeTint="F2"/>
          <w:vertAlign w:val="superscript"/>
        </w:rPr>
        <w:t>41,42,45</w:t>
      </w:r>
      <w:r w:rsidR="00A053DA">
        <w:rPr>
          <w:color w:val="0D0D0D" w:themeColor="text1" w:themeTint="F2"/>
        </w:rPr>
        <w:fldChar w:fldCharType="end"/>
      </w:r>
      <w:r w:rsidR="00CF01B2" w:rsidRPr="00D5205C">
        <w:rPr>
          <w:color w:val="0D0D0D" w:themeColor="text1" w:themeTint="F2"/>
        </w:rPr>
        <w:t>.</w:t>
      </w:r>
    </w:p>
    <w:p w14:paraId="6ACE13AF" w14:textId="09BCD57F" w:rsidR="00CF01B2" w:rsidRPr="006D48D0" w:rsidRDefault="00AA2E29" w:rsidP="006D48D0">
      <w:pPr>
        <w:pStyle w:val="ListParagraph"/>
        <w:widowControl w:val="0"/>
        <w:spacing w:line="480" w:lineRule="auto"/>
        <w:ind w:left="0" w:firstLine="720"/>
        <w:contextualSpacing w:val="0"/>
        <w:jc w:val="both"/>
        <w:rPr>
          <w:color w:val="000000" w:themeColor="text1"/>
        </w:rPr>
      </w:pPr>
      <w:r w:rsidRPr="006D48D0">
        <w:rPr>
          <w:color w:val="000000" w:themeColor="text1"/>
        </w:rPr>
        <w:t xml:space="preserve">Furthermore, there was evidence of between-country variability with large proportional </w:t>
      </w:r>
      <w:r w:rsidR="00CF01B2" w:rsidRPr="006D48D0">
        <w:rPr>
          <w:color w:val="0D0D0D" w:themeColor="text1" w:themeTint="F2"/>
        </w:rPr>
        <w:t xml:space="preserve">differences </w:t>
      </w:r>
      <w:r w:rsidRPr="006D48D0">
        <w:rPr>
          <w:color w:val="000000" w:themeColor="text1"/>
        </w:rPr>
        <w:t xml:space="preserve">between the highest and lowest percentages. For instance, for the three measures of health beliefs, the difference was of one third for somatizing tendency, </w:t>
      </w:r>
      <w:r w:rsidRPr="006D48D0">
        <w:rPr>
          <w:color w:val="000000" w:themeColor="text1"/>
        </w:rPr>
        <w:lastRenderedPageBreak/>
        <w:t>about two thirds for beliefs</w:t>
      </w:r>
      <w:r w:rsidR="00CF01B2" w:rsidRPr="006D48D0">
        <w:rPr>
          <w:color w:val="0D0D0D" w:themeColor="text1" w:themeTint="F2"/>
        </w:rPr>
        <w:t xml:space="preserve"> of pain </w:t>
      </w:r>
      <w:r w:rsidRPr="006D48D0">
        <w:rPr>
          <w:color w:val="000000" w:themeColor="text1"/>
        </w:rPr>
        <w:t>caused by work and three quarters for beliefs on physical activity being harmful.</w:t>
      </w:r>
      <w:r w:rsidR="004C52F4">
        <w:rPr>
          <w:color w:val="000000" w:themeColor="text1"/>
        </w:rPr>
        <w:t xml:space="preserve"> W</w:t>
      </w:r>
      <w:r w:rsidRPr="006D48D0">
        <w:rPr>
          <w:color w:val="000000" w:themeColor="text1"/>
        </w:rPr>
        <w:t xml:space="preserve">hile this contributed to reducing the magnitude of the differences in upper extremity musculoskeletal pain between the three countries under study, they were not enough to totally account for the variability in the UEMP prevalence, incidence and persistence </w:t>
      </w:r>
      <w:r w:rsidR="00CF01B2" w:rsidRPr="006D48D0">
        <w:rPr>
          <w:color w:val="0D0D0D" w:themeColor="text1" w:themeTint="F2"/>
        </w:rPr>
        <w:t>between Costa Rica, Nicaragua and Spain</w:t>
      </w:r>
      <w:r w:rsidRPr="006D48D0">
        <w:rPr>
          <w:color w:val="000000" w:themeColor="text1"/>
        </w:rPr>
        <w:t xml:space="preserve">. In the final adjusted models, the between-country differences remained at </w:t>
      </w:r>
      <w:r w:rsidR="00CF01B2" w:rsidRPr="006D48D0">
        <w:rPr>
          <w:color w:val="0D0D0D" w:themeColor="text1" w:themeTint="F2"/>
        </w:rPr>
        <w:t xml:space="preserve">1.5 </w:t>
      </w:r>
      <w:r w:rsidRPr="006D48D0">
        <w:rPr>
          <w:color w:val="000000" w:themeColor="text1"/>
        </w:rPr>
        <w:t>(95% CI: 1.03-</w:t>
      </w:r>
      <w:r w:rsidR="001F23D8" w:rsidRPr="006D48D0">
        <w:rPr>
          <w:color w:val="0D0D0D" w:themeColor="text1" w:themeTint="F2"/>
        </w:rPr>
        <w:t>2</w:t>
      </w:r>
      <w:r w:rsidRPr="006D48D0">
        <w:rPr>
          <w:color w:val="000000" w:themeColor="text1"/>
        </w:rPr>
        <w:t xml:space="preserve">.03) </w:t>
      </w:r>
      <w:r w:rsidR="006D48D0" w:rsidRPr="006D48D0">
        <w:rPr>
          <w:color w:val="000000" w:themeColor="text1"/>
        </w:rPr>
        <w:t xml:space="preserve">for prevalence of pain in past month in Nicaragua </w:t>
      </w:r>
      <w:r w:rsidRPr="006D48D0">
        <w:rPr>
          <w:color w:val="000000" w:themeColor="text1"/>
        </w:rPr>
        <w:t xml:space="preserve">to </w:t>
      </w:r>
      <w:r w:rsidR="006D48D0">
        <w:rPr>
          <w:color w:val="000000" w:themeColor="text1"/>
        </w:rPr>
        <w:t>3</w:t>
      </w:r>
      <w:r w:rsidRPr="006D48D0">
        <w:rPr>
          <w:color w:val="000000" w:themeColor="text1"/>
        </w:rPr>
        <w:t xml:space="preserve"> fold (95% CI: </w:t>
      </w:r>
      <w:r w:rsidR="006D48D0">
        <w:rPr>
          <w:color w:val="000000" w:themeColor="text1"/>
        </w:rPr>
        <w:t>2.05</w:t>
      </w:r>
      <w:r w:rsidRPr="006D48D0">
        <w:rPr>
          <w:color w:val="000000" w:themeColor="text1"/>
        </w:rPr>
        <w:t>-</w:t>
      </w:r>
      <w:r w:rsidR="006D48D0">
        <w:rPr>
          <w:color w:val="000000" w:themeColor="text1"/>
        </w:rPr>
        <w:t>4.83</w:t>
      </w:r>
      <w:r w:rsidRPr="006D48D0">
        <w:rPr>
          <w:color w:val="000000" w:themeColor="text1"/>
        </w:rPr>
        <w:t>)</w:t>
      </w:r>
      <w:r w:rsidR="00D15720">
        <w:rPr>
          <w:color w:val="000000" w:themeColor="text1"/>
        </w:rPr>
        <w:t xml:space="preserve"> </w:t>
      </w:r>
      <w:r w:rsidR="006D48D0">
        <w:rPr>
          <w:color w:val="000000" w:themeColor="text1"/>
        </w:rPr>
        <w:t>for i</w:t>
      </w:r>
      <w:r w:rsidR="006D48D0" w:rsidRPr="006D48D0">
        <w:rPr>
          <w:color w:val="000000" w:themeColor="text1"/>
        </w:rPr>
        <w:t>ncidence of pain in past month</w:t>
      </w:r>
      <w:r w:rsidR="006D48D0">
        <w:rPr>
          <w:color w:val="000000" w:themeColor="text1"/>
        </w:rPr>
        <w:t xml:space="preserve"> also in Nicaragua</w:t>
      </w:r>
      <w:r w:rsidRPr="006D48D0">
        <w:rPr>
          <w:color w:val="000000" w:themeColor="text1"/>
        </w:rPr>
        <w:t>.</w:t>
      </w:r>
    </w:p>
    <w:p w14:paraId="7ED61D70" w14:textId="3B438863" w:rsidR="00CF01B2" w:rsidRPr="00DC454B" w:rsidRDefault="00CF01B2" w:rsidP="00CF01B2">
      <w:pPr>
        <w:spacing w:line="480" w:lineRule="auto"/>
        <w:ind w:firstLine="720"/>
        <w:jc w:val="both"/>
      </w:pPr>
      <w:r w:rsidRPr="00FF6B9C">
        <w:t>The question</w:t>
      </w:r>
      <w:r w:rsidR="001F23D8">
        <w:t xml:space="preserve"> remains</w:t>
      </w:r>
      <w:r w:rsidRPr="00FF6B9C">
        <w:t>, therefore, what else could explain the differences between the three countries</w:t>
      </w:r>
      <w:r w:rsidR="00AA2E29" w:rsidRPr="00B85136">
        <w:rPr>
          <w:color w:val="000000" w:themeColor="text1"/>
        </w:rPr>
        <w:t>?</w:t>
      </w:r>
      <w:r w:rsidR="003B2CAB" w:rsidRPr="00DC454B">
        <w:t xml:space="preserve"> </w:t>
      </w:r>
      <w:r w:rsidRPr="00DC454B">
        <w:t xml:space="preserve">There could be unmeasured </w:t>
      </w:r>
      <w:r w:rsidR="001F23D8">
        <w:t>risk</w:t>
      </w:r>
      <w:r w:rsidR="001F23D8" w:rsidRPr="00DC454B">
        <w:t xml:space="preserve"> </w:t>
      </w:r>
      <w:r w:rsidRPr="00DC454B">
        <w:t>factors</w:t>
      </w:r>
      <w:r w:rsidR="00AA2E29" w:rsidRPr="00B85136">
        <w:rPr>
          <w:color w:val="000000" w:themeColor="text1"/>
        </w:rPr>
        <w:t>,</w:t>
      </w:r>
      <w:r w:rsidRPr="00DC454B">
        <w:t xml:space="preserve"> such as ergonomic </w:t>
      </w:r>
      <w:r w:rsidR="001F23D8">
        <w:t>aspects of work</w:t>
      </w:r>
      <w:r w:rsidRPr="00DC454B">
        <w:t xml:space="preserve">, previous </w:t>
      </w:r>
      <w:r w:rsidR="001F23D8">
        <w:t>occupational</w:t>
      </w:r>
      <w:r w:rsidR="001F23D8" w:rsidRPr="00DC454B">
        <w:t xml:space="preserve"> </w:t>
      </w:r>
      <w:r w:rsidRPr="00DC454B">
        <w:t>exposure</w:t>
      </w:r>
      <w:r w:rsidR="001F23D8">
        <w:t>s</w:t>
      </w:r>
      <w:r w:rsidRPr="00DC454B">
        <w:t xml:space="preserve"> (work history) or </w:t>
      </w:r>
      <w:r w:rsidR="001F23D8">
        <w:t>non-occupational</w:t>
      </w:r>
      <w:r w:rsidR="001F23D8" w:rsidRPr="00DC454B">
        <w:t xml:space="preserve"> </w:t>
      </w:r>
      <w:r w:rsidRPr="00DC454B">
        <w:t>activities (hobbies, sports, home res</w:t>
      </w:r>
      <w:r>
        <w:t>ponsibilities</w:t>
      </w:r>
      <w:r w:rsidR="00AA2E29" w:rsidRPr="00B85136">
        <w:rPr>
          <w:color w:val="000000" w:themeColor="text1"/>
        </w:rPr>
        <w:t>).</w:t>
      </w:r>
      <w:r>
        <w:t xml:space="preserve"> Beyond </w:t>
      </w:r>
      <w:r w:rsidR="001F23D8">
        <w:t xml:space="preserve">self-report of </w:t>
      </w:r>
      <w:r>
        <w:t xml:space="preserve">a few </w:t>
      </w:r>
      <w:r w:rsidR="001F23D8">
        <w:t>work tasks</w:t>
      </w:r>
      <w:r>
        <w:t xml:space="preserve"> (e.g., keyboard use), ergonomic assessments were not </w:t>
      </w:r>
      <w:r w:rsidR="001F23D8">
        <w:t xml:space="preserve">included </w:t>
      </w:r>
      <w:r>
        <w:t xml:space="preserve">in the study design, so we </w:t>
      </w:r>
      <w:r w:rsidR="001F23D8">
        <w:t xml:space="preserve">were unable to </w:t>
      </w:r>
      <w:r w:rsidRPr="00DC454B">
        <w:t xml:space="preserve">examine the role of </w:t>
      </w:r>
      <w:r w:rsidR="001F23D8">
        <w:t xml:space="preserve">ergonomic </w:t>
      </w:r>
      <w:r>
        <w:t>factors</w:t>
      </w:r>
      <w:r w:rsidRPr="00DC454B">
        <w:t xml:space="preserve"> </w:t>
      </w:r>
      <w:r w:rsidR="001F23D8">
        <w:t>assessed by</w:t>
      </w:r>
      <w:r w:rsidR="001F23D8" w:rsidRPr="00DC454B">
        <w:t xml:space="preserve"> </w:t>
      </w:r>
      <w:r w:rsidRPr="00DC454B">
        <w:t>direct observation</w:t>
      </w:r>
      <w:r>
        <w:fldChar w:fldCharType="begin"/>
      </w:r>
      <w:r w:rsidR="00C23091">
        <w:instrText>ADDIN RW.CITE{{349 Coggon,David 2013}}</w:instrText>
      </w:r>
      <w:r>
        <w:fldChar w:fldCharType="separate"/>
      </w:r>
      <w:r w:rsidR="00C23091" w:rsidRPr="00C23091">
        <w:rPr>
          <w:vertAlign w:val="superscript"/>
        </w:rPr>
        <w:t>45</w:t>
      </w:r>
      <w:r>
        <w:fldChar w:fldCharType="end"/>
      </w:r>
      <w:r w:rsidRPr="00DC454B">
        <w:t xml:space="preserve">. While all study participants performed similar office jobs, ergonomic differences in work settings (e.g., not all </w:t>
      </w:r>
      <w:r w:rsidR="008F2096">
        <w:t>chairs and work stations</w:t>
      </w:r>
      <w:r w:rsidRPr="00DC454B">
        <w:t xml:space="preserve"> are designed </w:t>
      </w:r>
      <w:r w:rsidR="008F2096">
        <w:t>identically</w:t>
      </w:r>
      <w:r w:rsidRPr="00DC454B">
        <w:t xml:space="preserve">) might explain some of the </w:t>
      </w:r>
      <w:r w:rsidR="008F2096" w:rsidRPr="00DC454B">
        <w:t>between</w:t>
      </w:r>
      <w:r w:rsidR="008F2096">
        <w:t>-</w:t>
      </w:r>
      <w:r w:rsidRPr="00DC454B">
        <w:t>country</w:t>
      </w:r>
      <w:r w:rsidR="008F2096">
        <w:t xml:space="preserve"> </w:t>
      </w:r>
      <w:r w:rsidRPr="00DC454B">
        <w:t>differences.</w:t>
      </w:r>
    </w:p>
    <w:p w14:paraId="2E671BDE" w14:textId="041BBA7E" w:rsidR="00CF01B2" w:rsidRPr="00DC454B" w:rsidRDefault="003B67FC" w:rsidP="00CF01B2">
      <w:pPr>
        <w:pStyle w:val="ListParagraph"/>
        <w:widowControl w:val="0"/>
        <w:spacing w:line="480" w:lineRule="auto"/>
        <w:ind w:left="0" w:firstLine="720"/>
        <w:contextualSpacing w:val="0"/>
        <w:jc w:val="both"/>
      </w:pPr>
      <w:r>
        <w:t>D</w:t>
      </w:r>
      <w:r w:rsidR="00CF01B2" w:rsidRPr="00DC454B">
        <w:t xml:space="preserve">ifferences </w:t>
      </w:r>
      <w:r>
        <w:t>in</w:t>
      </w:r>
      <w:r w:rsidR="00CF01B2" w:rsidRPr="00DC454B">
        <w:t xml:space="preserve"> </w:t>
      </w:r>
      <w:r>
        <w:t xml:space="preserve">systems for </w:t>
      </w:r>
      <w:r w:rsidR="00CF01B2" w:rsidRPr="00DC454B">
        <w:t xml:space="preserve">compensation and financial support </w:t>
      </w:r>
      <w:r>
        <w:t>of people with</w:t>
      </w:r>
      <w:r w:rsidR="00CF01B2" w:rsidRPr="00DC454B">
        <w:t xml:space="preserve"> work-related MSDs </w:t>
      </w:r>
      <w:r w:rsidR="00CF01B2">
        <w:t xml:space="preserve">may </w:t>
      </w:r>
      <w:r>
        <w:t>be another factor in</w:t>
      </w:r>
      <w:r w:rsidR="00CF01B2" w:rsidRPr="00DC454B">
        <w:t xml:space="preserve"> the </w:t>
      </w:r>
      <w:r w:rsidR="00AA2E29" w:rsidRPr="00B85136">
        <w:rPr>
          <w:color w:val="000000" w:themeColor="text1"/>
        </w:rPr>
        <w:t>variability among</w:t>
      </w:r>
      <w:r w:rsidR="00CF01B2" w:rsidRPr="00DC454B">
        <w:t xml:space="preserve"> countries. </w:t>
      </w:r>
      <w:r>
        <w:t>A</w:t>
      </w:r>
      <w:r w:rsidR="00CF01B2" w:rsidRPr="00DC454B">
        <w:t xml:space="preserve">t the beginning of the study, Costa Rica </w:t>
      </w:r>
      <w:r>
        <w:t>was thought</w:t>
      </w:r>
      <w:r w:rsidRPr="00DC454B">
        <w:t xml:space="preserve"> </w:t>
      </w:r>
      <w:r w:rsidR="00CF01B2" w:rsidRPr="00DC454B">
        <w:t xml:space="preserve">to have the lowest rate </w:t>
      </w:r>
      <w:r>
        <w:t xml:space="preserve">of unemployment </w:t>
      </w:r>
      <w:r w:rsidR="00CF01B2" w:rsidRPr="00DC454B">
        <w:t>(less than 5%), followed by Spain (5</w:t>
      </w:r>
      <w:r w:rsidR="00AA2E29" w:rsidRPr="00B85136">
        <w:rPr>
          <w:color w:val="000000" w:themeColor="text1"/>
        </w:rPr>
        <w:t xml:space="preserve">% to </w:t>
      </w:r>
      <w:r w:rsidR="00CF01B2" w:rsidRPr="00DC454B">
        <w:t>9%) and Nicaragua (10</w:t>
      </w:r>
      <w:r w:rsidR="00AA2E29" w:rsidRPr="00B85136">
        <w:rPr>
          <w:color w:val="000000" w:themeColor="text1"/>
        </w:rPr>
        <w:t xml:space="preserve">% to </w:t>
      </w:r>
      <w:r w:rsidR="00CF01B2" w:rsidRPr="00DC454B">
        <w:t>14</w:t>
      </w:r>
      <w:r w:rsidR="00AA2E29" w:rsidRPr="00B85136">
        <w:rPr>
          <w:color w:val="000000" w:themeColor="text1"/>
        </w:rPr>
        <w:t>%)</w:t>
      </w:r>
      <w:r w:rsidR="00CF01B2">
        <w:fldChar w:fldCharType="begin"/>
      </w:r>
      <w:r w:rsidR="00C23091">
        <w:instrText>ADDIN RW.CITE{{291 Coggon,D. 2012}}</w:instrText>
      </w:r>
      <w:r w:rsidR="00CF01B2">
        <w:fldChar w:fldCharType="separate"/>
      </w:r>
      <w:r w:rsidR="00C23091" w:rsidRPr="00C23091">
        <w:rPr>
          <w:vertAlign w:val="superscript"/>
        </w:rPr>
        <w:t>20</w:t>
      </w:r>
      <w:r w:rsidR="00CF01B2">
        <w:fldChar w:fldCharType="end"/>
      </w:r>
      <w:r w:rsidR="00CF01B2" w:rsidRPr="00DC454B">
        <w:t>. At follow-up (2010) (i.e., in the midst of the worldwide economic recession</w:t>
      </w:r>
      <w:r>
        <w:t>)</w:t>
      </w:r>
      <w:r w:rsidR="00CF01B2" w:rsidRPr="00DC454B">
        <w:t xml:space="preserve">, the unemployment rate in Costa Rica (7%) was higher than that reported at the beginning of the study, </w:t>
      </w:r>
      <w:r w:rsidR="00AA2E29" w:rsidRPr="00B85136">
        <w:rPr>
          <w:color w:val="000000" w:themeColor="text1"/>
        </w:rPr>
        <w:t xml:space="preserve">while it was lower in </w:t>
      </w:r>
      <w:r w:rsidR="00CF01B2" w:rsidRPr="00DC454B">
        <w:t xml:space="preserve">Nicaragua (8%) </w:t>
      </w:r>
      <w:r w:rsidR="00AA2E29" w:rsidRPr="00B85136">
        <w:rPr>
          <w:color w:val="000000" w:themeColor="text1"/>
        </w:rPr>
        <w:t xml:space="preserve">but </w:t>
      </w:r>
      <w:r w:rsidR="00CF01B2" w:rsidRPr="00DC454B">
        <w:t>substantially higher</w:t>
      </w:r>
      <w:r w:rsidR="00CF01B2">
        <w:fldChar w:fldCharType="begin"/>
      </w:r>
      <w:r w:rsidR="00C23091">
        <w:instrText>ADDIN RW.CITE{{394 TheWorldBankGroup 07022013}}</w:instrText>
      </w:r>
      <w:r w:rsidR="00CF01B2">
        <w:fldChar w:fldCharType="separate"/>
      </w:r>
      <w:r w:rsidR="00C23091" w:rsidRPr="00C23091">
        <w:rPr>
          <w:vertAlign w:val="superscript"/>
        </w:rPr>
        <w:t>4</w:t>
      </w:r>
      <w:r w:rsidR="008C33F1">
        <w:rPr>
          <w:vertAlign w:val="superscript"/>
        </w:rPr>
        <w:t>6</w:t>
      </w:r>
      <w:r w:rsidR="00CF01B2">
        <w:fldChar w:fldCharType="end"/>
      </w:r>
      <w:r w:rsidR="00D15720">
        <w:t xml:space="preserve"> </w:t>
      </w:r>
      <w:r w:rsidR="00AA2E29" w:rsidRPr="00B85136">
        <w:rPr>
          <w:color w:val="000000" w:themeColor="text1"/>
        </w:rPr>
        <w:t>in Spain (20%).</w:t>
      </w:r>
      <w:r w:rsidR="00CF01B2" w:rsidRPr="00DC454B">
        <w:t xml:space="preserve"> </w:t>
      </w:r>
    </w:p>
    <w:p w14:paraId="44A4E53F" w14:textId="194C8105" w:rsidR="00CF01B2" w:rsidRPr="00DC454B" w:rsidRDefault="00CF01B2" w:rsidP="00CF01B2">
      <w:pPr>
        <w:pStyle w:val="ListParagraph"/>
        <w:widowControl w:val="0"/>
        <w:spacing w:line="480" w:lineRule="auto"/>
        <w:ind w:left="0" w:firstLine="720"/>
        <w:contextualSpacing w:val="0"/>
        <w:jc w:val="both"/>
      </w:pPr>
      <w:r w:rsidRPr="00DC454B">
        <w:lastRenderedPageBreak/>
        <w:t xml:space="preserve">Spain provides more benefits </w:t>
      </w:r>
      <w:r w:rsidR="003B67FC">
        <w:t>to citizens with</w:t>
      </w:r>
      <w:r w:rsidRPr="00DC454B">
        <w:t xml:space="preserve"> health-related incapacity for work than Costa Rica </w:t>
      </w:r>
      <w:r w:rsidR="003B67FC">
        <w:t>or</w:t>
      </w:r>
      <w:r w:rsidR="003B67FC" w:rsidRPr="00DC454B">
        <w:t xml:space="preserve"> </w:t>
      </w:r>
      <w:r w:rsidRPr="00DC454B">
        <w:t xml:space="preserve">Nicaragua. For example, </w:t>
      </w:r>
      <w:r w:rsidR="003B67FC">
        <w:t>it offers</w:t>
      </w:r>
      <w:r w:rsidRPr="00DC454B">
        <w:t xml:space="preserve"> social security </w:t>
      </w:r>
      <w:r w:rsidR="00AA2E29" w:rsidRPr="00B85136">
        <w:rPr>
          <w:color w:val="000000" w:themeColor="text1"/>
        </w:rPr>
        <w:t>provisions</w:t>
      </w:r>
      <w:r w:rsidRPr="00DC454B">
        <w:t xml:space="preserve"> for unemployment, whereas the other two countries do not. Regarding ill-health retirement, Costa Rica usually provides </w:t>
      </w:r>
      <w:r w:rsidR="003B67FC">
        <w:t xml:space="preserve">financial </w:t>
      </w:r>
      <w:r w:rsidRPr="00DC454B">
        <w:t>support</w:t>
      </w:r>
      <w:r w:rsidR="00AA2E29" w:rsidRPr="00B85136">
        <w:rPr>
          <w:color w:val="000000" w:themeColor="text1"/>
        </w:rPr>
        <w:t>;</w:t>
      </w:r>
      <w:r w:rsidRPr="00DC454B">
        <w:t xml:space="preserve"> Spain </w:t>
      </w:r>
      <w:r w:rsidR="003B67FC">
        <w:t xml:space="preserve">does </w:t>
      </w:r>
      <w:r w:rsidRPr="00DC454B">
        <w:t xml:space="preserve">sometimes and Nicaragua does not. All countries provide compensation for work-related MSDs and sick pay in </w:t>
      </w:r>
      <w:r w:rsidR="00AA2E29" w:rsidRPr="00B85136">
        <w:rPr>
          <w:color w:val="000000" w:themeColor="text1"/>
        </w:rPr>
        <w:t xml:space="preserve">the </w:t>
      </w:r>
      <w:r w:rsidRPr="00DC454B">
        <w:t>first three m</w:t>
      </w:r>
      <w:r w:rsidRPr="00051B10">
        <w:t>onths</w:t>
      </w:r>
      <w:r w:rsidR="003B67FC">
        <w:t xml:space="preserve"> of absence</w:t>
      </w:r>
      <w:r w:rsidRPr="00051B10">
        <w:fldChar w:fldCharType="begin"/>
      </w:r>
      <w:r w:rsidR="00C23091">
        <w:instrText>ADDIN RW.CITE{{291 Coggon,D. 2012}}</w:instrText>
      </w:r>
      <w:r w:rsidRPr="00051B10">
        <w:fldChar w:fldCharType="separate"/>
      </w:r>
      <w:r w:rsidR="00C23091" w:rsidRPr="00C23091">
        <w:rPr>
          <w:vertAlign w:val="superscript"/>
        </w:rPr>
        <w:t>20</w:t>
      </w:r>
      <w:r w:rsidRPr="00051B10">
        <w:fldChar w:fldCharType="end"/>
      </w:r>
      <w:r w:rsidRPr="00051B10">
        <w:t xml:space="preserve">. There are no </w:t>
      </w:r>
      <w:r w:rsidR="003B67FC">
        <w:t xml:space="preserve">major </w:t>
      </w:r>
      <w:r w:rsidRPr="00051B10">
        <w:t xml:space="preserve">differences </w:t>
      </w:r>
      <w:r w:rsidR="003B67FC">
        <w:t>in</w:t>
      </w:r>
      <w:r w:rsidR="003B67FC" w:rsidRPr="00051B10">
        <w:t xml:space="preserve"> </w:t>
      </w:r>
      <w:r w:rsidR="009B1B0B">
        <w:t>the availability of</w:t>
      </w:r>
      <w:r w:rsidRPr="00051B10">
        <w:t xml:space="preserve"> healthcare for MSDs, </w:t>
      </w:r>
      <w:r w:rsidR="003B67FC">
        <w:t xml:space="preserve">insofar </w:t>
      </w:r>
      <w:r w:rsidRPr="00051B10">
        <w:t xml:space="preserve">as all three countries </w:t>
      </w:r>
      <w:r w:rsidR="00C92D32" w:rsidRPr="00051B10">
        <w:t>offer</w:t>
      </w:r>
      <w:r w:rsidRPr="00051B10">
        <w:t xml:space="preserve"> free access to primary care, hospital and other practitioners</w:t>
      </w:r>
      <w:r w:rsidR="009B1B0B">
        <w:t>,</w:t>
      </w:r>
      <w:r w:rsidRPr="00051B10">
        <w:t xml:space="preserve"> </w:t>
      </w:r>
      <w:r w:rsidR="009B1B0B">
        <w:t xml:space="preserve">either </w:t>
      </w:r>
      <w:r w:rsidRPr="00051B10">
        <w:t>through the</w:t>
      </w:r>
      <w:r w:rsidRPr="00DC454B">
        <w:t xml:space="preserve"> employer or external services for insured employees. However, there could be important differences related to the quality of the healthcare services provided for </w:t>
      </w:r>
      <w:r w:rsidR="009B1B0B">
        <w:t>diagnosis</w:t>
      </w:r>
      <w:r w:rsidRPr="00DC454B">
        <w:t xml:space="preserve"> and management </w:t>
      </w:r>
      <w:r w:rsidR="009B1B0B">
        <w:t>of MSDs,</w:t>
      </w:r>
      <w:r w:rsidRPr="00DC454B">
        <w:t xml:space="preserve"> </w:t>
      </w:r>
      <w:r w:rsidR="00AA2E29" w:rsidRPr="00B85136">
        <w:rPr>
          <w:color w:val="000000" w:themeColor="text1"/>
        </w:rPr>
        <w:t>partly suggested by</w:t>
      </w:r>
      <w:r w:rsidRPr="00DC454B">
        <w:t xml:space="preserve"> </w:t>
      </w:r>
      <w:r w:rsidR="009B1B0B">
        <w:t xml:space="preserve">major </w:t>
      </w:r>
      <w:r w:rsidR="00AA2E29" w:rsidRPr="00B85136">
        <w:rPr>
          <w:color w:val="000000" w:themeColor="text1"/>
        </w:rPr>
        <w:t>variations</w:t>
      </w:r>
      <w:r w:rsidR="00C02FAC" w:rsidRPr="00DC454B">
        <w:t xml:space="preserve"> </w:t>
      </w:r>
      <w:r w:rsidRPr="00DC454B">
        <w:t xml:space="preserve">in total </w:t>
      </w:r>
      <w:r w:rsidR="00AA2E29" w:rsidRPr="00B85136">
        <w:rPr>
          <w:color w:val="000000" w:themeColor="text1"/>
        </w:rPr>
        <w:t>expenditures</w:t>
      </w:r>
      <w:r w:rsidRPr="00DC454B">
        <w:t xml:space="preserve"> on health</w:t>
      </w:r>
      <w:r w:rsidR="009B1B0B">
        <w:t xml:space="preserve"> per </w:t>
      </w:r>
      <w:r w:rsidRPr="00DC454B">
        <w:t xml:space="preserve">capita </w:t>
      </w:r>
      <w:r w:rsidR="009B1B0B">
        <w:t>(</w:t>
      </w:r>
      <w:r w:rsidRPr="00DC454B">
        <w:t>Nicaragua $144, Costa Rica $951 and Spain $2,808</w:t>
      </w:r>
      <w:r w:rsidR="00AA2E29" w:rsidRPr="00B85136">
        <w:rPr>
          <w:color w:val="000000" w:themeColor="text1"/>
        </w:rPr>
        <w:t>)</w:t>
      </w:r>
      <w:r w:rsidR="009B1B0B">
        <w:fldChar w:fldCharType="begin"/>
      </w:r>
      <w:r w:rsidR="00C23091">
        <w:instrText>ADDIN RW.CITE{{395 WorldHealthOrganization 2014}}</w:instrText>
      </w:r>
      <w:r w:rsidR="009B1B0B">
        <w:fldChar w:fldCharType="separate"/>
      </w:r>
      <w:r w:rsidR="008C33F1">
        <w:rPr>
          <w:vertAlign w:val="superscript"/>
        </w:rPr>
        <w:t>47</w:t>
      </w:r>
      <w:r w:rsidR="009B1B0B">
        <w:fldChar w:fldCharType="end"/>
      </w:r>
      <w:r w:rsidRPr="00DC454B">
        <w:t xml:space="preserve">. </w:t>
      </w:r>
      <w:r w:rsidR="009B1B0B" w:rsidRPr="00DC454B">
        <w:t>Wh</w:t>
      </w:r>
      <w:r w:rsidR="009B1B0B">
        <w:t>ile</w:t>
      </w:r>
      <w:r w:rsidR="009B1B0B" w:rsidRPr="00DC454B">
        <w:t xml:space="preserve"> </w:t>
      </w:r>
      <w:r w:rsidR="009B1B0B">
        <w:t xml:space="preserve">differences in </w:t>
      </w:r>
      <w:r w:rsidRPr="00DC454B">
        <w:t xml:space="preserve">health care </w:t>
      </w:r>
      <w:r w:rsidR="009B1B0B">
        <w:t>are unlikely to</w:t>
      </w:r>
      <w:r w:rsidRPr="00DC454B">
        <w:t xml:space="preserve"> explain </w:t>
      </w:r>
      <w:r w:rsidR="009B1B0B">
        <w:t xml:space="preserve">variations in </w:t>
      </w:r>
      <w:r w:rsidRPr="00DC454B">
        <w:t xml:space="preserve">the incidence of pain, </w:t>
      </w:r>
      <w:r w:rsidR="009B1B0B">
        <w:t>they</w:t>
      </w:r>
      <w:r w:rsidR="009B1B0B" w:rsidRPr="00DC454B">
        <w:t xml:space="preserve"> </w:t>
      </w:r>
      <w:r w:rsidRPr="00DC454B">
        <w:t>may contribut</w:t>
      </w:r>
      <w:r w:rsidR="009B1B0B">
        <w:t>e</w:t>
      </w:r>
      <w:r w:rsidRPr="00DC454B">
        <w:t xml:space="preserve"> to </w:t>
      </w:r>
      <w:r w:rsidR="009B1B0B">
        <w:t>differences in its</w:t>
      </w:r>
      <w:r w:rsidR="009B1B0B" w:rsidRPr="00DC454B">
        <w:t xml:space="preserve"> </w:t>
      </w:r>
      <w:r w:rsidRPr="00DC454B">
        <w:t xml:space="preserve">persistence and </w:t>
      </w:r>
      <w:r w:rsidR="00AA2E29" w:rsidRPr="00B85136">
        <w:rPr>
          <w:color w:val="000000" w:themeColor="text1"/>
        </w:rPr>
        <w:t>resulting</w:t>
      </w:r>
      <w:r w:rsidR="009B1B0B">
        <w:t xml:space="preserve"> d</w:t>
      </w:r>
      <w:r w:rsidR="00C02FAC">
        <w:t>i</w:t>
      </w:r>
      <w:r w:rsidR="009B1B0B">
        <w:t>sability</w:t>
      </w:r>
      <w:r w:rsidRPr="00DC454B">
        <w:t xml:space="preserve">. </w:t>
      </w:r>
      <w:r w:rsidR="009B1B0B">
        <w:t>D</w:t>
      </w:r>
      <w:r w:rsidRPr="00DC454B">
        <w:t xml:space="preserve">ata on </w:t>
      </w:r>
      <w:r w:rsidR="009B1B0B">
        <w:t>the</w:t>
      </w:r>
      <w:r w:rsidR="009B1B0B" w:rsidRPr="00DC454B">
        <w:t xml:space="preserve"> </w:t>
      </w:r>
      <w:r w:rsidRPr="00DC454B">
        <w:t xml:space="preserve">tests and treatments </w:t>
      </w:r>
      <w:r w:rsidR="009B1B0B">
        <w:t>provided for</w:t>
      </w:r>
      <w:r w:rsidRPr="00DC454B">
        <w:t xml:space="preserve"> UEMP in each country </w:t>
      </w:r>
      <w:r>
        <w:t>are</w:t>
      </w:r>
      <w:r w:rsidRPr="00DC454B">
        <w:t xml:space="preserve"> not directly available</w:t>
      </w:r>
      <w:r w:rsidR="009B1B0B">
        <w:t>,</w:t>
      </w:r>
      <w:r w:rsidRPr="00DC454B">
        <w:t xml:space="preserve"> and further studies </w:t>
      </w:r>
      <w:r w:rsidR="009B1B0B">
        <w:t>would be</w:t>
      </w:r>
      <w:r w:rsidR="009B1B0B" w:rsidRPr="00DC454B">
        <w:t xml:space="preserve"> </w:t>
      </w:r>
      <w:r w:rsidRPr="00DC454B">
        <w:t>need</w:t>
      </w:r>
      <w:r>
        <w:t>ed</w:t>
      </w:r>
      <w:r w:rsidRPr="00DC454B">
        <w:t xml:space="preserve"> to </w:t>
      </w:r>
      <w:r w:rsidR="009B1B0B">
        <w:t>explore this</w:t>
      </w:r>
      <w:r w:rsidRPr="00DC454B">
        <w:t xml:space="preserve">. </w:t>
      </w:r>
    </w:p>
    <w:p w14:paraId="13A3D728" w14:textId="1F4300AE" w:rsidR="00F72930" w:rsidRPr="00F72930" w:rsidRDefault="00CF01B2" w:rsidP="00F72930">
      <w:pPr>
        <w:spacing w:line="480" w:lineRule="auto"/>
        <w:ind w:firstLine="720"/>
        <w:jc w:val="both"/>
      </w:pPr>
      <w:r w:rsidRPr="00DC454B">
        <w:t>The strengths of th</w:t>
      </w:r>
      <w:r w:rsidR="00BC74A5">
        <w:t>is</w:t>
      </w:r>
      <w:r w:rsidRPr="00DC454B">
        <w:t xml:space="preserve"> study </w:t>
      </w:r>
      <w:r w:rsidR="00BC74A5">
        <w:t>we</w:t>
      </w:r>
      <w:r w:rsidR="00BC74A5" w:rsidRPr="00DC454B">
        <w:t xml:space="preserve">re </w:t>
      </w:r>
      <w:r w:rsidRPr="00DC454B">
        <w:t>its longitudinal design</w:t>
      </w:r>
      <w:r w:rsidR="00BC74A5">
        <w:t>,</w:t>
      </w:r>
      <w:r w:rsidRPr="00DC454B">
        <w:t xml:space="preserve"> the hig</w:t>
      </w:r>
      <w:r>
        <w:t xml:space="preserve">h response rates at baseline (&gt;96%) </w:t>
      </w:r>
      <w:r w:rsidR="00BC74A5">
        <w:t>and</w:t>
      </w:r>
      <w:r>
        <w:t xml:space="preserve"> follow-up (&gt;</w:t>
      </w:r>
      <w:r w:rsidRPr="00DC454B">
        <w:t>90.2%)</w:t>
      </w:r>
      <w:r w:rsidR="00BC74A5">
        <w:t xml:space="preserve">, and the </w:t>
      </w:r>
      <w:r w:rsidR="00C02FAC">
        <w:t>c</w:t>
      </w:r>
      <w:r w:rsidR="00BC74A5">
        <w:t>ollection of data</w:t>
      </w:r>
      <w:r w:rsidRPr="00DC454B">
        <w:t xml:space="preserve"> by standardized questions from validated instruments with predictive validity and acceptable reliability</w:t>
      </w:r>
      <w:r>
        <w:fldChar w:fldCharType="begin"/>
      </w:r>
      <w:r w:rsidR="00C23091">
        <w:instrText>ADDIN RW.CITE{{291 Coggon,D. 2012}}</w:instrText>
      </w:r>
      <w:r>
        <w:fldChar w:fldCharType="separate"/>
      </w:r>
      <w:r w:rsidR="00C23091" w:rsidRPr="00C23091">
        <w:rPr>
          <w:vertAlign w:val="superscript"/>
        </w:rPr>
        <w:t>20</w:t>
      </w:r>
      <w:r>
        <w:fldChar w:fldCharType="end"/>
      </w:r>
      <w:r w:rsidRPr="00DC454B">
        <w:t xml:space="preserve">. </w:t>
      </w:r>
      <w:r w:rsidR="00BC74A5">
        <w:t>Its</w:t>
      </w:r>
      <w:r w:rsidRPr="00DC454B">
        <w:t xml:space="preserve"> limitations </w:t>
      </w:r>
      <w:r w:rsidR="00BC74A5">
        <w:t>include the possibility of</w:t>
      </w:r>
      <w:r w:rsidRPr="00DC454B">
        <w:t xml:space="preserve"> selection bias due to </w:t>
      </w:r>
      <w:r w:rsidR="00C02FAC">
        <w:t>a</w:t>
      </w:r>
      <w:r w:rsidR="00C02FAC" w:rsidRPr="00DC454B">
        <w:t xml:space="preserve"> </w:t>
      </w:r>
      <w:r w:rsidRPr="00DC454B">
        <w:t xml:space="preserve">healthy worker effect if, for example, subjects with UEMP were absent on sick leave </w:t>
      </w:r>
      <w:r w:rsidR="00BC74A5">
        <w:t>at</w:t>
      </w:r>
      <w:r w:rsidR="00BC74A5" w:rsidRPr="00DC454B">
        <w:t xml:space="preserve"> </w:t>
      </w:r>
      <w:r w:rsidRPr="00DC454B">
        <w:t xml:space="preserve">the time the surveys were collected. Information bias could have occurred </w:t>
      </w:r>
      <w:r w:rsidR="00BC74A5">
        <w:t>from</w:t>
      </w:r>
      <w:r w:rsidRPr="00DC454B">
        <w:t xml:space="preserve"> </w:t>
      </w:r>
      <w:r w:rsidR="00BC74A5">
        <w:t xml:space="preserve">differences in </w:t>
      </w:r>
      <w:r w:rsidRPr="00DC454B">
        <w:t xml:space="preserve">the way symptoms </w:t>
      </w:r>
      <w:r w:rsidR="00BC74A5">
        <w:t>we</w:t>
      </w:r>
      <w:r w:rsidR="00BC74A5" w:rsidRPr="00DC454B">
        <w:t xml:space="preserve">re </w:t>
      </w:r>
      <w:r w:rsidRPr="00DC454B">
        <w:t>interpreted and understood in different cultures</w:t>
      </w:r>
      <w:r>
        <w:fldChar w:fldCharType="begin"/>
      </w:r>
      <w:r w:rsidR="00C23091">
        <w:instrText>ADDIN RW.CITE{{344 Coggon,David 2013}}</w:instrText>
      </w:r>
      <w:r>
        <w:fldChar w:fldCharType="separate"/>
      </w:r>
      <w:r w:rsidR="00C23091" w:rsidRPr="00C23091">
        <w:rPr>
          <w:vertAlign w:val="superscript"/>
        </w:rPr>
        <w:t>38</w:t>
      </w:r>
      <w:r>
        <w:fldChar w:fldCharType="end"/>
      </w:r>
      <w:r w:rsidRPr="00DC454B">
        <w:t xml:space="preserve">, but the use of diagrams to illustrate the anatomical sites </w:t>
      </w:r>
      <w:r w:rsidR="00BC74A5">
        <w:t xml:space="preserve">of interest </w:t>
      </w:r>
      <w:r w:rsidRPr="00DC454B">
        <w:t xml:space="preserve">is likely to have reduced </w:t>
      </w:r>
      <w:r w:rsidR="00BC74A5">
        <w:t>such</w:t>
      </w:r>
      <w:r w:rsidR="00BC74A5" w:rsidRPr="00DC454B">
        <w:t xml:space="preserve"> </w:t>
      </w:r>
      <w:r w:rsidRPr="00DC454B">
        <w:t xml:space="preserve">bias. Another possible </w:t>
      </w:r>
      <w:r w:rsidR="00BC74A5">
        <w:t xml:space="preserve">source of </w:t>
      </w:r>
      <w:r w:rsidR="00500452" w:rsidRPr="00B85136">
        <w:rPr>
          <w:color w:val="000000" w:themeColor="text1"/>
        </w:rPr>
        <w:t xml:space="preserve">measurement </w:t>
      </w:r>
      <w:r w:rsidR="00BC74A5">
        <w:t>error</w:t>
      </w:r>
      <w:r w:rsidRPr="00DC454B">
        <w:t xml:space="preserve"> was </w:t>
      </w:r>
      <w:r w:rsidR="00BC74A5">
        <w:t>the reliance on</w:t>
      </w:r>
      <w:r w:rsidRPr="00DC454B">
        <w:t xml:space="preserve"> participants</w:t>
      </w:r>
      <w:r w:rsidR="00BC74A5">
        <w:t>’</w:t>
      </w:r>
      <w:r w:rsidRPr="00DC454B">
        <w:t xml:space="preserve"> recall </w:t>
      </w:r>
      <w:r w:rsidR="00BC74A5">
        <w:t xml:space="preserve">of </w:t>
      </w:r>
      <w:r w:rsidRPr="00DC454B">
        <w:t xml:space="preserve">symptoms and disability, </w:t>
      </w:r>
      <w:r w:rsidR="00BC74A5">
        <w:lastRenderedPageBreak/>
        <w:t>which</w:t>
      </w:r>
      <w:r w:rsidR="00BC74A5" w:rsidRPr="00DC454B">
        <w:t xml:space="preserve"> </w:t>
      </w:r>
      <w:r w:rsidR="00500452" w:rsidRPr="00B85136">
        <w:rPr>
          <w:color w:val="000000" w:themeColor="text1"/>
        </w:rPr>
        <w:t>were</w:t>
      </w:r>
      <w:r w:rsidRPr="00DC454B">
        <w:t xml:space="preserve"> not confirmed by physical examination or clinical assessment</w:t>
      </w:r>
      <w:r w:rsidR="00BC74A5">
        <w:t xml:space="preserve">, and may not always have been </w:t>
      </w:r>
      <w:r w:rsidR="00500452" w:rsidRPr="00B85136">
        <w:rPr>
          <w:color w:val="000000" w:themeColor="text1"/>
        </w:rPr>
        <w:t>valid</w:t>
      </w:r>
      <w:r w:rsidRPr="00DC454B">
        <w:t xml:space="preserve">. In addition, while the study sample </w:t>
      </w:r>
      <w:r>
        <w:t>consisted of</w:t>
      </w:r>
      <w:r w:rsidRPr="00DC454B">
        <w:t xml:space="preserve"> workers, the outcomes were not specifically work-related. </w:t>
      </w:r>
      <w:r w:rsidR="00BC74A5">
        <w:t>In</w:t>
      </w:r>
      <w:r w:rsidRPr="00DC454B">
        <w:t xml:space="preserve"> particular</w:t>
      </w:r>
      <w:r w:rsidR="00BC74A5">
        <w:t>,</w:t>
      </w:r>
      <w:r w:rsidRPr="00DC454B">
        <w:t xml:space="preserve"> disabling pain reflect</w:t>
      </w:r>
      <w:r w:rsidR="00BC74A5">
        <w:t>ed</w:t>
      </w:r>
      <w:r w:rsidRPr="00DC454B">
        <w:t xml:space="preserve"> difficulty or impossibility </w:t>
      </w:r>
      <w:r w:rsidR="00BC74A5">
        <w:t>i</w:t>
      </w:r>
      <w:r w:rsidR="00BC74A5" w:rsidRPr="00DC454B">
        <w:t xml:space="preserve">n </w:t>
      </w:r>
      <w:r w:rsidRPr="00DC454B">
        <w:t xml:space="preserve">performing certain </w:t>
      </w:r>
      <w:r w:rsidR="00BC74A5">
        <w:t xml:space="preserve">activities of </w:t>
      </w:r>
      <w:r w:rsidRPr="00DC454B">
        <w:t xml:space="preserve">daily life, but not </w:t>
      </w:r>
      <w:r w:rsidR="00BC74A5">
        <w:t>occupational</w:t>
      </w:r>
      <w:r w:rsidRPr="00DC454B">
        <w:t xml:space="preserve"> tasks. </w:t>
      </w:r>
      <w:r w:rsidR="00BC74A5">
        <w:t>Nevertheless</w:t>
      </w:r>
      <w:r w:rsidRPr="00DC454B">
        <w:t xml:space="preserve">, if </w:t>
      </w:r>
      <w:r w:rsidR="00BC74A5">
        <w:t xml:space="preserve">for example, </w:t>
      </w:r>
      <w:r w:rsidRPr="00DC454B">
        <w:t>a person has difficult</w:t>
      </w:r>
      <w:r>
        <w:t>y</w:t>
      </w:r>
      <w:r w:rsidRPr="00DC454B">
        <w:t xml:space="preserve"> dressing, </w:t>
      </w:r>
      <w:r w:rsidR="00BC74A5">
        <w:t>it is likely that there will also be</w:t>
      </w:r>
      <w:r w:rsidRPr="00DC454B">
        <w:t xml:space="preserve"> impact</w:t>
      </w:r>
      <w:r w:rsidR="00BC74A5">
        <w:t>s on</w:t>
      </w:r>
      <w:r w:rsidRPr="00DC454B">
        <w:t xml:space="preserve"> their job performance. </w:t>
      </w:r>
      <w:r w:rsidR="00F72930" w:rsidRPr="00F72930">
        <w:t>Finally, although the office worker sample in our study was intended to represent workers regularly performing tasks involving computer use, full representation may have not been accomplished given unmeasured differences on office working conditions (e.g., workstation ergonomic features</w:t>
      </w:r>
      <w:r w:rsidR="00F72930" w:rsidRPr="00B85136">
        <w:rPr>
          <w:color w:val="000000" w:themeColor="text1"/>
        </w:rPr>
        <w:t>)</w:t>
      </w:r>
      <w:r w:rsidR="007B5F94" w:rsidRPr="00B85136">
        <w:rPr>
          <w:color w:val="000000" w:themeColor="text1"/>
        </w:rPr>
        <w:t xml:space="preserve">, </w:t>
      </w:r>
      <w:r w:rsidR="008758DD" w:rsidRPr="00B85136">
        <w:rPr>
          <w:color w:val="000000" w:themeColor="text1"/>
        </w:rPr>
        <w:t>work history</w:t>
      </w:r>
      <w:r w:rsidR="007B5F94" w:rsidRPr="00B85136">
        <w:rPr>
          <w:color w:val="000000" w:themeColor="text1"/>
        </w:rPr>
        <w:t xml:space="preserve"> and non-occupational activities</w:t>
      </w:r>
      <w:r w:rsidR="00F72930" w:rsidRPr="00B85136">
        <w:rPr>
          <w:color w:val="000000" w:themeColor="text1"/>
        </w:rPr>
        <w:t>.</w:t>
      </w:r>
      <w:r w:rsidR="00F112F8" w:rsidRPr="00B85136">
        <w:rPr>
          <w:color w:val="000000" w:themeColor="text1"/>
        </w:rPr>
        <w:t xml:space="preserve"> </w:t>
      </w:r>
    </w:p>
    <w:p w14:paraId="043856B0" w14:textId="60419F0A" w:rsidR="00AA2E29" w:rsidRPr="00B85136" w:rsidRDefault="004C52F4" w:rsidP="00386960">
      <w:pPr>
        <w:pStyle w:val="PlainText"/>
        <w:spacing w:line="480" w:lineRule="auto"/>
        <w:ind w:firstLine="576"/>
        <w:jc w:val="both"/>
        <w:rPr>
          <w:rFonts w:ascii="Times New Roman" w:hAnsi="Times New Roman" w:cs="Times New Roman"/>
          <w:b/>
          <w:color w:val="000000" w:themeColor="text1"/>
          <w:sz w:val="24"/>
          <w:szCs w:val="24"/>
        </w:rPr>
      </w:pPr>
      <w:r w:rsidRPr="004C52F4">
        <w:rPr>
          <w:rFonts w:ascii="Times New Roman" w:hAnsi="Times New Roman" w:cs="Times New Roman"/>
          <w:color w:val="000000" w:themeColor="text1"/>
          <w:sz w:val="24"/>
          <w:szCs w:val="24"/>
        </w:rPr>
        <w:t>Other limitations that may have influenced our findings relate to the parent CUPID study.</w:t>
      </w:r>
      <w:r>
        <w:rPr>
          <w:rFonts w:ascii="Times New Roman" w:hAnsi="Times New Roman" w:cs="Times New Roman"/>
          <w:color w:val="000000" w:themeColor="text1"/>
          <w:sz w:val="24"/>
          <w:szCs w:val="24"/>
        </w:rPr>
        <w:t xml:space="preserve"> </w:t>
      </w:r>
      <w:r w:rsidR="00AA2E29" w:rsidRPr="00B85136">
        <w:rPr>
          <w:rFonts w:ascii="Times New Roman" w:hAnsi="Times New Roman" w:cs="Times New Roman"/>
          <w:color w:val="000000" w:themeColor="text1"/>
          <w:sz w:val="24"/>
          <w:szCs w:val="24"/>
        </w:rPr>
        <w:t xml:space="preserve">On the one hand, as in any multinational research, there are challenges with translation and cultural adaptation to local languages, even within the same language as was the case in our study. There is always some degree of uncertainty regarding how people in different cultural contexts understand and respond to a question, even if the question has been “perfectly” adapted to the context where the research is to be conducted. On the other hand, </w:t>
      </w:r>
      <w:r w:rsidR="00AA2E29" w:rsidRPr="008C33F1">
        <w:rPr>
          <w:rFonts w:ascii="Times New Roman" w:hAnsi="Times New Roman" w:cs="Times New Roman"/>
          <w:color w:val="000000" w:themeColor="text1"/>
          <w:sz w:val="24"/>
          <w:szCs w:val="24"/>
        </w:rPr>
        <w:t>and most importantly, research has shown that cultural differences should not be overlooked when examining health disparities</w:t>
      </w:r>
      <w:r w:rsidR="00E93A3B" w:rsidRPr="008C33F1">
        <w:rPr>
          <w:rFonts w:ascii="Times New Roman" w:hAnsi="Times New Roman" w:cs="Times New Roman"/>
          <w:sz w:val="24"/>
          <w:szCs w:val="24"/>
        </w:rPr>
        <w:fldChar w:fldCharType="begin"/>
      </w:r>
      <w:r w:rsidR="00E93A3B" w:rsidRPr="008C33F1">
        <w:rPr>
          <w:rFonts w:ascii="Times New Roman" w:hAnsi="Times New Roman" w:cs="Times New Roman"/>
          <w:sz w:val="24"/>
          <w:szCs w:val="24"/>
        </w:rPr>
        <w:instrText>ADDIN RW.CITE{{413 Mansyur,CarolLeler 2009}}</w:instrText>
      </w:r>
      <w:r w:rsidR="00E93A3B" w:rsidRPr="008C33F1">
        <w:rPr>
          <w:rFonts w:ascii="Times New Roman" w:hAnsi="Times New Roman" w:cs="Times New Roman"/>
          <w:sz w:val="24"/>
          <w:szCs w:val="24"/>
        </w:rPr>
        <w:fldChar w:fldCharType="separate"/>
      </w:r>
      <w:r w:rsidR="00E93A3B" w:rsidRPr="008C33F1">
        <w:rPr>
          <w:rFonts w:ascii="Times New Roman" w:hAnsi="Times New Roman" w:cs="Times New Roman"/>
          <w:sz w:val="24"/>
          <w:szCs w:val="24"/>
          <w:vertAlign w:val="superscript"/>
        </w:rPr>
        <w:t>4</w:t>
      </w:r>
      <w:r w:rsidR="008C33F1">
        <w:rPr>
          <w:rFonts w:ascii="Times New Roman" w:hAnsi="Times New Roman" w:cs="Times New Roman"/>
          <w:sz w:val="24"/>
          <w:szCs w:val="24"/>
          <w:vertAlign w:val="superscript"/>
        </w:rPr>
        <w:t>8</w:t>
      </w:r>
      <w:r w:rsidR="00E93A3B" w:rsidRPr="008C33F1">
        <w:rPr>
          <w:rFonts w:ascii="Times New Roman" w:hAnsi="Times New Roman" w:cs="Times New Roman"/>
          <w:sz w:val="24"/>
          <w:szCs w:val="24"/>
        </w:rPr>
        <w:fldChar w:fldCharType="end"/>
      </w:r>
      <w:r w:rsidR="00AA2E29" w:rsidRPr="008C33F1">
        <w:rPr>
          <w:rFonts w:ascii="Times New Roman" w:hAnsi="Times New Roman" w:cs="Times New Roman"/>
          <w:color w:val="000000" w:themeColor="text1"/>
          <w:sz w:val="24"/>
          <w:szCs w:val="24"/>
        </w:rPr>
        <w:t>. Thus, while the three countries in our study shared the</w:t>
      </w:r>
      <w:r w:rsidR="00AA2E29" w:rsidRPr="00B85136">
        <w:rPr>
          <w:rFonts w:ascii="Times New Roman" w:hAnsi="Times New Roman" w:cs="Times New Roman"/>
          <w:color w:val="000000" w:themeColor="text1"/>
          <w:sz w:val="24"/>
          <w:szCs w:val="24"/>
        </w:rPr>
        <w:t xml:space="preserve"> same language and have similarities in culture, and </w:t>
      </w:r>
      <w:r w:rsidR="00AA2E29" w:rsidRPr="00E93A3B">
        <w:rPr>
          <w:rFonts w:ascii="Times New Roman" w:hAnsi="Times New Roman" w:cs="Times New Roman"/>
          <w:color w:val="000000" w:themeColor="text1"/>
          <w:sz w:val="24"/>
          <w:szCs w:val="24"/>
        </w:rPr>
        <w:t xml:space="preserve">the CUPID study was intended to explore the impact of cultural and psychosocial influences on musculoskeletal symptoms, it may have failed to include metrics on the potential </w:t>
      </w:r>
      <w:r w:rsidR="00E93A3B" w:rsidRPr="00E93A3B">
        <w:rPr>
          <w:rFonts w:ascii="Times New Roman" w:hAnsi="Times New Roman" w:cs="Times New Roman"/>
          <w:sz w:val="24"/>
          <w:szCs w:val="24"/>
        </w:rPr>
        <w:t>cultural (e.g., based on Hofstede’s power distance, uncertainty avoidance, individualism and masculinity dimensions)</w:t>
      </w:r>
      <w:r w:rsidR="00E93A3B" w:rsidRPr="00E93A3B">
        <w:rPr>
          <w:rFonts w:ascii="Times New Roman" w:hAnsi="Times New Roman" w:cs="Times New Roman"/>
          <w:sz w:val="24"/>
          <w:szCs w:val="24"/>
        </w:rPr>
        <w:fldChar w:fldCharType="begin"/>
      </w:r>
      <w:r w:rsidR="00E93A3B" w:rsidRPr="00E93A3B">
        <w:rPr>
          <w:rFonts w:ascii="Times New Roman" w:hAnsi="Times New Roman" w:cs="Times New Roman"/>
          <w:sz w:val="24"/>
          <w:szCs w:val="24"/>
        </w:rPr>
        <w:instrText>ADDIN RW.CITE{{414 Hofstede,Geert,GertJanHofstedeandMichaelMinkov. 2010}}</w:instrText>
      </w:r>
      <w:r w:rsidR="00E93A3B" w:rsidRPr="00E93A3B">
        <w:rPr>
          <w:rFonts w:ascii="Times New Roman" w:hAnsi="Times New Roman" w:cs="Times New Roman"/>
          <w:sz w:val="24"/>
          <w:szCs w:val="24"/>
        </w:rPr>
        <w:fldChar w:fldCharType="separate"/>
      </w:r>
      <w:r w:rsidR="00E93A3B" w:rsidRPr="00E93A3B">
        <w:rPr>
          <w:rFonts w:ascii="Times New Roman" w:hAnsi="Times New Roman" w:cs="Times New Roman"/>
          <w:sz w:val="24"/>
          <w:szCs w:val="24"/>
          <w:vertAlign w:val="superscript"/>
        </w:rPr>
        <w:t>4</w:t>
      </w:r>
      <w:r w:rsidR="008C33F1">
        <w:rPr>
          <w:rFonts w:ascii="Times New Roman" w:hAnsi="Times New Roman" w:cs="Times New Roman"/>
          <w:sz w:val="24"/>
          <w:szCs w:val="24"/>
          <w:vertAlign w:val="superscript"/>
        </w:rPr>
        <w:t>9</w:t>
      </w:r>
      <w:r w:rsidR="00E93A3B" w:rsidRPr="00E93A3B">
        <w:rPr>
          <w:rFonts w:ascii="Times New Roman" w:hAnsi="Times New Roman" w:cs="Times New Roman"/>
          <w:sz w:val="24"/>
          <w:szCs w:val="24"/>
        </w:rPr>
        <w:fldChar w:fldCharType="end"/>
      </w:r>
      <w:r w:rsidR="00E93A3B" w:rsidRPr="00E93A3B">
        <w:rPr>
          <w:rFonts w:ascii="Times New Roman" w:hAnsi="Times New Roman" w:cs="Times New Roman"/>
          <w:sz w:val="24"/>
          <w:szCs w:val="24"/>
        </w:rPr>
        <w:t xml:space="preserve"> as well as societal (e.g., social networks and participation or societal trust)</w:t>
      </w:r>
      <w:r w:rsidR="00E93A3B" w:rsidRPr="00E93A3B">
        <w:rPr>
          <w:rFonts w:ascii="Times New Roman" w:hAnsi="Times New Roman" w:cs="Times New Roman"/>
          <w:sz w:val="24"/>
          <w:szCs w:val="24"/>
        </w:rPr>
        <w:fldChar w:fldCharType="begin"/>
      </w:r>
      <w:r w:rsidR="00E93A3B" w:rsidRPr="00E93A3B">
        <w:rPr>
          <w:rFonts w:ascii="Times New Roman" w:hAnsi="Times New Roman" w:cs="Times New Roman"/>
          <w:sz w:val="24"/>
          <w:szCs w:val="24"/>
        </w:rPr>
        <w:instrText>ADDIN RW.CITE{{415 Mansyur,CarolLeler 2009}}</w:instrText>
      </w:r>
      <w:r w:rsidR="00E93A3B" w:rsidRPr="00E93A3B">
        <w:rPr>
          <w:rFonts w:ascii="Times New Roman" w:hAnsi="Times New Roman" w:cs="Times New Roman"/>
          <w:sz w:val="24"/>
          <w:szCs w:val="24"/>
        </w:rPr>
        <w:fldChar w:fldCharType="separate"/>
      </w:r>
      <w:r w:rsidR="008C33F1">
        <w:rPr>
          <w:rFonts w:ascii="Times New Roman" w:hAnsi="Times New Roman" w:cs="Times New Roman"/>
          <w:sz w:val="24"/>
          <w:szCs w:val="24"/>
          <w:vertAlign w:val="superscript"/>
        </w:rPr>
        <w:t>50</w:t>
      </w:r>
      <w:r w:rsidR="00E93A3B" w:rsidRPr="00E93A3B">
        <w:rPr>
          <w:rFonts w:ascii="Times New Roman" w:hAnsi="Times New Roman" w:cs="Times New Roman"/>
          <w:sz w:val="24"/>
          <w:szCs w:val="24"/>
        </w:rPr>
        <w:fldChar w:fldCharType="end"/>
      </w:r>
      <w:r w:rsidR="00AA2E29" w:rsidRPr="00E93A3B">
        <w:rPr>
          <w:rFonts w:ascii="Times New Roman" w:hAnsi="Times New Roman" w:cs="Times New Roman"/>
          <w:color w:val="000000" w:themeColor="text1"/>
          <w:sz w:val="24"/>
          <w:szCs w:val="24"/>
        </w:rPr>
        <w:t xml:space="preserve"> </w:t>
      </w:r>
      <w:r w:rsidRPr="00E93A3B">
        <w:rPr>
          <w:rFonts w:ascii="Times New Roman" w:hAnsi="Times New Roman" w:cs="Times New Roman"/>
          <w:color w:val="000000" w:themeColor="text1"/>
          <w:sz w:val="24"/>
          <w:szCs w:val="24"/>
        </w:rPr>
        <w:t>between</w:t>
      </w:r>
      <w:r>
        <w:rPr>
          <w:rFonts w:ascii="Times New Roman" w:hAnsi="Times New Roman" w:cs="Times New Roman"/>
          <w:color w:val="000000" w:themeColor="text1"/>
          <w:sz w:val="24"/>
          <w:szCs w:val="24"/>
        </w:rPr>
        <w:t>-</w:t>
      </w:r>
      <w:r w:rsidRPr="00E93A3B">
        <w:rPr>
          <w:rFonts w:ascii="Times New Roman" w:hAnsi="Times New Roman" w:cs="Times New Roman"/>
          <w:color w:val="000000" w:themeColor="text1"/>
          <w:sz w:val="24"/>
          <w:szCs w:val="24"/>
        </w:rPr>
        <w:t xml:space="preserve">countries </w:t>
      </w:r>
      <w:r w:rsidR="00AA2E29" w:rsidRPr="00E93A3B">
        <w:rPr>
          <w:rFonts w:ascii="Times New Roman" w:hAnsi="Times New Roman" w:cs="Times New Roman"/>
          <w:color w:val="000000" w:themeColor="text1"/>
          <w:sz w:val="24"/>
          <w:szCs w:val="24"/>
        </w:rPr>
        <w:t xml:space="preserve">differences which may have contributed to, as well as helped interpret, </w:t>
      </w:r>
      <w:r w:rsidR="00AA2E29" w:rsidRPr="00E93A3B">
        <w:rPr>
          <w:rFonts w:ascii="Times New Roman" w:hAnsi="Times New Roman" w:cs="Times New Roman"/>
          <w:color w:val="000000" w:themeColor="text1"/>
          <w:sz w:val="24"/>
          <w:szCs w:val="24"/>
        </w:rPr>
        <w:lastRenderedPageBreak/>
        <w:t>the differences in prevalence</w:t>
      </w:r>
      <w:r w:rsidR="00AA2E29" w:rsidRPr="00B85136">
        <w:rPr>
          <w:rFonts w:ascii="Times New Roman" w:hAnsi="Times New Roman" w:cs="Times New Roman"/>
          <w:color w:val="000000" w:themeColor="text1"/>
          <w:sz w:val="24"/>
          <w:szCs w:val="24"/>
        </w:rPr>
        <w:t xml:space="preserve"> and incidence of UEMP </w:t>
      </w:r>
      <w:r>
        <w:rPr>
          <w:rFonts w:ascii="Times New Roman" w:hAnsi="Times New Roman" w:cs="Times New Roman"/>
          <w:color w:val="000000" w:themeColor="text1"/>
          <w:sz w:val="24"/>
          <w:szCs w:val="24"/>
        </w:rPr>
        <w:t>in our st</w:t>
      </w:r>
      <w:r w:rsidR="008B3C82">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dy</w:t>
      </w:r>
      <w:r w:rsidR="00AA2E29" w:rsidRPr="00B85136">
        <w:rPr>
          <w:rFonts w:ascii="Times New Roman" w:hAnsi="Times New Roman" w:cs="Times New Roman"/>
          <w:color w:val="000000" w:themeColor="text1"/>
          <w:sz w:val="24"/>
          <w:szCs w:val="24"/>
        </w:rPr>
        <w:t>.</w:t>
      </w:r>
      <w:r w:rsidR="003F7897" w:rsidRPr="003F7897">
        <w:rPr>
          <w:rFonts w:ascii="Times New Roman" w:hAnsi="Times New Roman" w:cs="Times New Roman"/>
          <w:i/>
          <w:color w:val="000000" w:themeColor="text1"/>
          <w:sz w:val="24"/>
          <w:szCs w:val="24"/>
        </w:rPr>
        <w:t xml:space="preserve"> </w:t>
      </w:r>
      <w:r w:rsidR="00AA2E29" w:rsidRPr="00B85136">
        <w:rPr>
          <w:rFonts w:ascii="Times New Roman" w:hAnsi="Times New Roman" w:cs="Times New Roman"/>
          <w:color w:val="000000" w:themeColor="text1"/>
          <w:sz w:val="24"/>
          <w:szCs w:val="24"/>
        </w:rPr>
        <w:t>Still, these details may be difficult to grasp through quantitative survey research only so alternative qualitative research methods would be useful to help interpret the complex reality and implications of the data obtained via quantitative research methods.</w:t>
      </w:r>
    </w:p>
    <w:p w14:paraId="362C10BD" w14:textId="15D7AF4D" w:rsidR="00CF01B2" w:rsidRPr="009B670F" w:rsidRDefault="00CF01B2" w:rsidP="0020433B">
      <w:pPr>
        <w:spacing w:line="480" w:lineRule="auto"/>
        <w:ind w:firstLine="720"/>
        <w:jc w:val="both"/>
        <w:rPr>
          <w:rFonts w:eastAsia="Calibri"/>
          <w:b/>
        </w:rPr>
      </w:pPr>
      <w:r w:rsidRPr="00DC454B">
        <w:t xml:space="preserve">In summary, </w:t>
      </w:r>
      <w:r>
        <w:t>i</w:t>
      </w:r>
      <w:r w:rsidRPr="00DC454B">
        <w:t xml:space="preserve">nformation about musculoskeletal pain and </w:t>
      </w:r>
      <w:r w:rsidR="00BC74A5">
        <w:t>its</w:t>
      </w:r>
      <w:r w:rsidR="00BC74A5" w:rsidRPr="00DC454B">
        <w:t xml:space="preserve"> </w:t>
      </w:r>
      <w:r w:rsidR="00FA1524">
        <w:t xml:space="preserve">implications for </w:t>
      </w:r>
      <w:r w:rsidRPr="00DC454B">
        <w:t>workers</w:t>
      </w:r>
      <w:r w:rsidR="00BC74A5">
        <w:t>’</w:t>
      </w:r>
      <w:r w:rsidRPr="00DC454B">
        <w:t xml:space="preserve"> health has received little attention in Latin America</w:t>
      </w:r>
      <w:r>
        <w:fldChar w:fldCharType="begin"/>
      </w:r>
      <w:r w:rsidR="00C23091">
        <w:instrText>ADDIN RW.CITE{{29 Ortiz-Hernandez,L. 2003}}</w:instrText>
      </w:r>
      <w:r>
        <w:fldChar w:fldCharType="separate"/>
      </w:r>
      <w:r w:rsidR="00C23091" w:rsidRPr="00C23091">
        <w:rPr>
          <w:vertAlign w:val="superscript"/>
        </w:rPr>
        <w:t>51</w:t>
      </w:r>
      <w:r>
        <w:fldChar w:fldCharType="end"/>
      </w:r>
      <w:r w:rsidRPr="00DC454B">
        <w:t xml:space="preserve">, most </w:t>
      </w:r>
      <w:r w:rsidR="00BC74A5">
        <w:t>research having been conducted in</w:t>
      </w:r>
      <w:r w:rsidRPr="00DC454B">
        <w:t xml:space="preserve"> Western countries. To our knowledge, no other studies </w:t>
      </w:r>
      <w:r w:rsidR="00BC74A5">
        <w:t xml:space="preserve">in </w:t>
      </w:r>
      <w:r w:rsidR="004C52F4">
        <w:t>the Central American</w:t>
      </w:r>
      <w:r w:rsidR="00BC74A5">
        <w:t xml:space="preserve"> region </w:t>
      </w:r>
      <w:r w:rsidRPr="00DC454B">
        <w:t xml:space="preserve">have estimated </w:t>
      </w:r>
      <w:r w:rsidR="00BC74A5">
        <w:t xml:space="preserve">the </w:t>
      </w:r>
      <w:r w:rsidRPr="00DC454B">
        <w:t xml:space="preserve">prevalence </w:t>
      </w:r>
      <w:r w:rsidR="00BC74A5">
        <w:t>and</w:t>
      </w:r>
      <w:r w:rsidR="00BC74A5" w:rsidRPr="00DC454B">
        <w:t xml:space="preserve"> </w:t>
      </w:r>
      <w:r w:rsidRPr="00DC454B">
        <w:t xml:space="preserve">incidence of UEMP. </w:t>
      </w:r>
      <w:r>
        <w:t>T</w:t>
      </w:r>
      <w:r w:rsidRPr="00DC454B">
        <w:t xml:space="preserve">his study provides valuable information that can </w:t>
      </w:r>
      <w:r w:rsidR="00BC74A5">
        <w:t>assist</w:t>
      </w:r>
      <w:r w:rsidR="00BC74A5" w:rsidRPr="00DC454B">
        <w:t xml:space="preserve"> </w:t>
      </w:r>
      <w:r w:rsidR="00993AB3">
        <w:t xml:space="preserve">in </w:t>
      </w:r>
      <w:r w:rsidRPr="00DC454B">
        <w:t xml:space="preserve">the development of </w:t>
      </w:r>
      <w:r w:rsidR="00993AB3">
        <w:t xml:space="preserve">programs </w:t>
      </w:r>
      <w:r w:rsidR="00993AB3" w:rsidRPr="00DC454B">
        <w:t xml:space="preserve">to reduce UEMP among office </w:t>
      </w:r>
      <w:r w:rsidR="00993AB3">
        <w:t>worker</w:t>
      </w:r>
      <w:r w:rsidR="00993AB3" w:rsidRPr="00DC454B">
        <w:t xml:space="preserve">s in </w:t>
      </w:r>
      <w:r w:rsidR="004C52F4">
        <w:t xml:space="preserve">the region </w:t>
      </w:r>
      <w:r w:rsidR="00993AB3">
        <w:t>and in the planning of</w:t>
      </w:r>
      <w:r w:rsidRPr="00DC454B">
        <w:t xml:space="preserve"> research</w:t>
      </w:r>
      <w:r w:rsidR="00993AB3">
        <w:t xml:space="preserve"> to evaluate</w:t>
      </w:r>
      <w:r w:rsidR="00BC74A5">
        <w:t xml:space="preserve"> </w:t>
      </w:r>
      <w:r w:rsidRPr="00DC454B">
        <w:t xml:space="preserve">the impact of </w:t>
      </w:r>
      <w:r w:rsidR="00993AB3">
        <w:t xml:space="preserve">such </w:t>
      </w:r>
      <w:r w:rsidRPr="00DC454B">
        <w:t xml:space="preserve">interventions. </w:t>
      </w:r>
    </w:p>
    <w:p w14:paraId="538AF229" w14:textId="77777777" w:rsidR="00CF01B2" w:rsidRDefault="00CF01B2" w:rsidP="00CF01B2">
      <w:pPr>
        <w:rPr>
          <w:b/>
        </w:rPr>
      </w:pPr>
      <w:r>
        <w:rPr>
          <w:b/>
        </w:rPr>
        <w:br w:type="page"/>
      </w:r>
    </w:p>
    <w:p w14:paraId="1478DE06" w14:textId="77777777" w:rsidR="00CF01B2" w:rsidRPr="009B670F" w:rsidRDefault="00CF01B2" w:rsidP="00043F18">
      <w:pPr>
        <w:pStyle w:val="ListParagraph"/>
        <w:widowControl w:val="0"/>
        <w:spacing w:line="360" w:lineRule="auto"/>
        <w:ind w:left="0"/>
        <w:contextualSpacing w:val="0"/>
        <w:jc w:val="both"/>
        <w:rPr>
          <w:b/>
        </w:rPr>
      </w:pPr>
      <w:r w:rsidRPr="009B670F">
        <w:rPr>
          <w:b/>
        </w:rPr>
        <w:lastRenderedPageBreak/>
        <w:t>Acknowledgements</w:t>
      </w:r>
    </w:p>
    <w:p w14:paraId="6384EE1E" w14:textId="77777777" w:rsidR="00CF01B2" w:rsidRDefault="00CF01B2" w:rsidP="00043F18">
      <w:pPr>
        <w:pStyle w:val="ListParagraph"/>
        <w:widowControl w:val="0"/>
        <w:spacing w:line="360" w:lineRule="auto"/>
        <w:ind w:left="0"/>
        <w:contextualSpacing w:val="0"/>
        <w:jc w:val="both"/>
      </w:pPr>
      <w:r w:rsidRPr="009B670F">
        <w:t>Funding for this research was supported by Grant No. 5T42OH008421 from the National Institute for Occupational Safety and Health (NIOSH) / Centers for Disease Control and Prevention (CDC) to the Southwest Center for Occupational and Environmental Health (SWCOEH), a NIOSH Education and Research Center, Fogarty grant No. 5D43TW000644-13 and Col</w:t>
      </w:r>
      <w:r>
        <w:t xml:space="preserve">t Foundation CF/03/05. </w:t>
      </w:r>
      <w:r w:rsidRPr="00AA67CE">
        <w:t xml:space="preserve">We thank </w:t>
      </w:r>
      <w:r>
        <w:t xml:space="preserve">the University of Southampton coordinating team, </w:t>
      </w:r>
      <w:r w:rsidRPr="00AA67CE">
        <w:t>all coordinators</w:t>
      </w:r>
      <w:r>
        <w:t xml:space="preserve"> in Nicaragua, Costa Rica and Spain</w:t>
      </w:r>
      <w:r w:rsidRPr="00AA67CE">
        <w:t xml:space="preserve">, </w:t>
      </w:r>
      <w:r w:rsidRPr="009B670F">
        <w:t>all</w:t>
      </w:r>
      <w:r>
        <w:t xml:space="preserve"> other</w:t>
      </w:r>
      <w:r w:rsidRPr="009B670F">
        <w:t xml:space="preserve"> coordinators, data collectors</w:t>
      </w:r>
      <w:r>
        <w:t>,</w:t>
      </w:r>
      <w:r w:rsidRPr="009B670F">
        <w:t xml:space="preserve"> all </w:t>
      </w:r>
      <w:r>
        <w:t xml:space="preserve">the </w:t>
      </w:r>
      <w:r w:rsidRPr="009B670F">
        <w:t xml:space="preserve">organizations that allowed their employees </w:t>
      </w:r>
      <w:r>
        <w:t xml:space="preserve">to </w:t>
      </w:r>
      <w:r w:rsidRPr="009B670F">
        <w:t>participat</w:t>
      </w:r>
      <w:r>
        <w:t>e</w:t>
      </w:r>
      <w:r w:rsidRPr="009B670F">
        <w:t>; and</w:t>
      </w:r>
      <w:r>
        <w:t>, especially,</w:t>
      </w:r>
      <w:r w:rsidRPr="009B670F">
        <w:t xml:space="preserve"> all the workers that participated in the study.</w:t>
      </w:r>
    </w:p>
    <w:p w14:paraId="1CE7EFBF" w14:textId="77777777" w:rsidR="009C3311" w:rsidRDefault="009C3311" w:rsidP="00043F18">
      <w:pPr>
        <w:pStyle w:val="ListParagraph"/>
        <w:widowControl w:val="0"/>
        <w:spacing w:line="360" w:lineRule="auto"/>
        <w:ind w:left="0"/>
        <w:contextualSpacing w:val="0"/>
        <w:jc w:val="both"/>
      </w:pPr>
    </w:p>
    <w:p w14:paraId="3A948B53" w14:textId="77777777" w:rsidR="009C3311" w:rsidRPr="009C3311" w:rsidRDefault="009C3311" w:rsidP="00043F18">
      <w:pPr>
        <w:widowControl w:val="0"/>
        <w:spacing w:line="360" w:lineRule="auto"/>
        <w:jc w:val="both"/>
        <w:rPr>
          <w:b/>
        </w:rPr>
      </w:pPr>
      <w:r w:rsidRPr="009C3311">
        <w:rPr>
          <w:b/>
        </w:rPr>
        <w:t xml:space="preserve">Contributors </w:t>
      </w:r>
    </w:p>
    <w:p w14:paraId="08E54543" w14:textId="4F7968CD" w:rsidR="009C3311" w:rsidRDefault="009C3311" w:rsidP="00043F18">
      <w:pPr>
        <w:widowControl w:val="0"/>
        <w:spacing w:line="360" w:lineRule="auto"/>
        <w:jc w:val="both"/>
      </w:pPr>
      <w:r>
        <w:t xml:space="preserve">ACF is the guarantor of the present article. ACF, DG and GLD designed the study and DC conceptualized the idea of the parent CUPID study. ACF and DG planned the statistical analysis and analysed the data. DG, SAF and DC were responsible for supervision of fieldwork, data cleaning and management. </w:t>
      </w:r>
      <w:r w:rsidR="00253959">
        <w:t xml:space="preserve">DID, SVP and CS helped in the interpretation of the results. </w:t>
      </w:r>
      <w:r>
        <w:t>All the coauthors contributed sufficiently to the manuscript, and approved the final version.</w:t>
      </w:r>
    </w:p>
    <w:p w14:paraId="7FB67163" w14:textId="77777777" w:rsidR="00253959" w:rsidRDefault="00253959" w:rsidP="00043F18">
      <w:pPr>
        <w:widowControl w:val="0"/>
        <w:spacing w:line="360" w:lineRule="auto"/>
        <w:rPr>
          <w:b/>
        </w:rPr>
      </w:pPr>
    </w:p>
    <w:p w14:paraId="4EA0BD7B" w14:textId="77777777" w:rsidR="009C3311" w:rsidRDefault="009C3311" w:rsidP="00043F18">
      <w:pPr>
        <w:widowControl w:val="0"/>
        <w:spacing w:line="360" w:lineRule="auto"/>
      </w:pPr>
      <w:r w:rsidRPr="009C3311">
        <w:rPr>
          <w:b/>
        </w:rPr>
        <w:t>Competing interests</w:t>
      </w:r>
      <w:r>
        <w:t xml:space="preserve"> </w:t>
      </w:r>
    </w:p>
    <w:p w14:paraId="6873804D" w14:textId="0791FA85" w:rsidR="009C3311" w:rsidRDefault="009C3311" w:rsidP="00043F18">
      <w:pPr>
        <w:widowControl w:val="0"/>
        <w:spacing w:line="360" w:lineRule="auto"/>
      </w:pPr>
      <w:r>
        <w:t>None declared.</w:t>
      </w:r>
    </w:p>
    <w:p w14:paraId="25CC5B61" w14:textId="77777777" w:rsidR="009C3311" w:rsidRDefault="009C3311" w:rsidP="00043F18">
      <w:pPr>
        <w:pStyle w:val="ListParagraph"/>
        <w:widowControl w:val="0"/>
        <w:spacing w:line="360" w:lineRule="auto"/>
        <w:ind w:left="0"/>
        <w:rPr>
          <w:b/>
        </w:rPr>
      </w:pPr>
    </w:p>
    <w:p w14:paraId="08B6BFF8" w14:textId="77777777" w:rsidR="009C3311" w:rsidRDefault="009C3311" w:rsidP="00043F18">
      <w:pPr>
        <w:pStyle w:val="ListParagraph"/>
        <w:widowControl w:val="0"/>
        <w:spacing w:line="360" w:lineRule="auto"/>
        <w:ind w:left="0"/>
      </w:pPr>
      <w:r w:rsidRPr="009C3311">
        <w:rPr>
          <w:b/>
        </w:rPr>
        <w:t>Ethics approval</w:t>
      </w:r>
      <w:r>
        <w:t xml:space="preserve"> </w:t>
      </w:r>
    </w:p>
    <w:p w14:paraId="5E5B6628" w14:textId="4BC70E5D" w:rsidR="00CF01B2" w:rsidRPr="00673468" w:rsidRDefault="009C3311" w:rsidP="00043F18">
      <w:pPr>
        <w:spacing w:line="360" w:lineRule="auto"/>
        <w:rPr>
          <w:b/>
        </w:rPr>
      </w:pPr>
      <w:r>
        <w:t>T</w:t>
      </w:r>
      <w:r w:rsidRPr="009C3311">
        <w:t>he University of Texas Health Science Center Committee for the Protection of Human Subjects</w:t>
      </w:r>
      <w:r>
        <w:t>.</w:t>
      </w:r>
      <w:r w:rsidRPr="009C3311">
        <w:t xml:space="preserve"> </w:t>
      </w:r>
      <w:r w:rsidR="00CF01B2" w:rsidRPr="00673468">
        <w:rPr>
          <w:b/>
        </w:rPr>
        <w:br w:type="page"/>
      </w:r>
    </w:p>
    <w:p w14:paraId="736AEF5C" w14:textId="77777777" w:rsidR="00CF01B2" w:rsidRPr="00133706" w:rsidRDefault="00CF01B2" w:rsidP="00CF01B2">
      <w:pPr>
        <w:pStyle w:val="TableTitle"/>
      </w:pPr>
    </w:p>
    <w:tbl>
      <w:tblPr>
        <w:tblW w:w="4622" w:type="pct"/>
        <w:tblInd w:w="108" w:type="dxa"/>
        <w:tblLayout w:type="fixed"/>
        <w:tblLook w:val="04A0" w:firstRow="1" w:lastRow="0" w:firstColumn="1" w:lastColumn="0" w:noHBand="0" w:noVBand="1"/>
      </w:tblPr>
      <w:tblGrid>
        <w:gridCol w:w="4500"/>
        <w:gridCol w:w="588"/>
        <w:gridCol w:w="698"/>
        <w:gridCol w:w="616"/>
        <w:gridCol w:w="728"/>
        <w:gridCol w:w="569"/>
        <w:gridCol w:w="671"/>
      </w:tblGrid>
      <w:tr w:rsidR="00CF01B2" w:rsidRPr="00E6232D" w14:paraId="4DBA337E" w14:textId="77777777" w:rsidTr="007E6041">
        <w:trPr>
          <w:trHeight w:val="161"/>
        </w:trPr>
        <w:tc>
          <w:tcPr>
            <w:tcW w:w="5000" w:type="pct"/>
            <w:gridSpan w:val="7"/>
            <w:tcBorders>
              <w:left w:val="nil"/>
              <w:bottom w:val="single" w:sz="4" w:space="0" w:color="auto"/>
              <w:right w:val="nil"/>
            </w:tcBorders>
            <w:shd w:val="clear" w:color="auto" w:fill="auto"/>
            <w:noWrap/>
            <w:vAlign w:val="bottom"/>
          </w:tcPr>
          <w:p w14:paraId="686D8CAA" w14:textId="77777777" w:rsidR="00CF01B2" w:rsidRPr="00E6232D" w:rsidRDefault="00CF01B2" w:rsidP="007E6041">
            <w:pPr>
              <w:widowControl w:val="0"/>
              <w:rPr>
                <w:b/>
                <w:bCs/>
                <w:color w:val="000000"/>
                <w:sz w:val="22"/>
                <w:szCs w:val="22"/>
              </w:rPr>
            </w:pPr>
            <w:bookmarkStart w:id="3" w:name="_Toc395535320"/>
            <w:r w:rsidRPr="00366612">
              <w:rPr>
                <w:b/>
              </w:rPr>
              <w:t xml:space="preserve">Table 1. </w:t>
            </w:r>
            <w:r w:rsidRPr="00133706">
              <w:t xml:space="preserve">Sample </w:t>
            </w:r>
            <w:r w:rsidR="009E53D6" w:rsidRPr="00B85136">
              <w:rPr>
                <w:color w:val="000000" w:themeColor="text1"/>
              </w:rPr>
              <w:t xml:space="preserve">baseline </w:t>
            </w:r>
            <w:r w:rsidRPr="00133706">
              <w:t>characteristics by country.</w:t>
            </w:r>
            <w:bookmarkEnd w:id="3"/>
          </w:p>
        </w:tc>
      </w:tr>
      <w:tr w:rsidR="00CF01B2" w:rsidRPr="00E6232D" w14:paraId="63B862AC" w14:textId="77777777" w:rsidTr="007E6041">
        <w:trPr>
          <w:trHeight w:val="161"/>
        </w:trPr>
        <w:tc>
          <w:tcPr>
            <w:tcW w:w="2688" w:type="pct"/>
            <w:tcBorders>
              <w:top w:val="single" w:sz="4" w:space="0" w:color="auto"/>
              <w:left w:val="nil"/>
              <w:bottom w:val="nil"/>
              <w:right w:val="nil"/>
            </w:tcBorders>
            <w:shd w:val="clear" w:color="auto" w:fill="auto"/>
            <w:noWrap/>
            <w:vAlign w:val="bottom"/>
          </w:tcPr>
          <w:p w14:paraId="7B564B87" w14:textId="77777777" w:rsidR="00CF01B2" w:rsidRPr="00E6232D" w:rsidRDefault="00CF01B2" w:rsidP="007E6041">
            <w:pPr>
              <w:widowControl w:val="0"/>
              <w:rPr>
                <w:color w:val="000000"/>
                <w:sz w:val="22"/>
                <w:szCs w:val="22"/>
              </w:rPr>
            </w:pPr>
          </w:p>
        </w:tc>
        <w:tc>
          <w:tcPr>
            <w:tcW w:w="768" w:type="pct"/>
            <w:gridSpan w:val="2"/>
            <w:tcBorders>
              <w:top w:val="single" w:sz="4" w:space="0" w:color="auto"/>
              <w:left w:val="nil"/>
              <w:bottom w:val="nil"/>
              <w:right w:val="nil"/>
            </w:tcBorders>
            <w:shd w:val="clear" w:color="auto" w:fill="auto"/>
            <w:noWrap/>
            <w:vAlign w:val="bottom"/>
          </w:tcPr>
          <w:p w14:paraId="389C6351" w14:textId="77777777" w:rsidR="00CF01B2" w:rsidRPr="00E6232D" w:rsidRDefault="00CF01B2" w:rsidP="007E6041">
            <w:pPr>
              <w:widowControl w:val="0"/>
              <w:jc w:val="center"/>
              <w:rPr>
                <w:b/>
                <w:bCs/>
                <w:color w:val="000000"/>
                <w:sz w:val="22"/>
                <w:szCs w:val="22"/>
              </w:rPr>
            </w:pPr>
            <w:r w:rsidRPr="00E6232D">
              <w:rPr>
                <w:b/>
                <w:bCs/>
                <w:color w:val="000000"/>
                <w:sz w:val="22"/>
                <w:szCs w:val="22"/>
              </w:rPr>
              <w:t>Costa Rica</w:t>
            </w:r>
          </w:p>
        </w:tc>
        <w:tc>
          <w:tcPr>
            <w:tcW w:w="803" w:type="pct"/>
            <w:gridSpan w:val="2"/>
            <w:tcBorders>
              <w:top w:val="single" w:sz="4" w:space="0" w:color="auto"/>
              <w:left w:val="nil"/>
              <w:bottom w:val="nil"/>
              <w:right w:val="nil"/>
            </w:tcBorders>
            <w:shd w:val="clear" w:color="auto" w:fill="auto"/>
            <w:noWrap/>
            <w:vAlign w:val="bottom"/>
          </w:tcPr>
          <w:p w14:paraId="629AFC35" w14:textId="77777777" w:rsidR="00CF01B2" w:rsidRPr="00E6232D" w:rsidRDefault="00CF01B2" w:rsidP="007E6041">
            <w:pPr>
              <w:widowControl w:val="0"/>
              <w:jc w:val="center"/>
              <w:rPr>
                <w:b/>
                <w:bCs/>
                <w:color w:val="000000"/>
                <w:sz w:val="22"/>
                <w:szCs w:val="22"/>
              </w:rPr>
            </w:pPr>
            <w:r w:rsidRPr="00E6232D">
              <w:rPr>
                <w:b/>
                <w:bCs/>
                <w:color w:val="000000"/>
                <w:sz w:val="22"/>
                <w:szCs w:val="22"/>
              </w:rPr>
              <w:t>Nicaragua</w:t>
            </w:r>
          </w:p>
        </w:tc>
        <w:tc>
          <w:tcPr>
            <w:tcW w:w="741" w:type="pct"/>
            <w:gridSpan w:val="2"/>
            <w:tcBorders>
              <w:top w:val="single" w:sz="4" w:space="0" w:color="auto"/>
              <w:left w:val="nil"/>
              <w:bottom w:val="nil"/>
              <w:right w:val="nil"/>
            </w:tcBorders>
            <w:shd w:val="clear" w:color="auto" w:fill="auto"/>
            <w:noWrap/>
            <w:vAlign w:val="bottom"/>
          </w:tcPr>
          <w:p w14:paraId="6ECA58AA" w14:textId="77777777" w:rsidR="00CF01B2" w:rsidRPr="00E6232D" w:rsidRDefault="00CF01B2" w:rsidP="007E6041">
            <w:pPr>
              <w:widowControl w:val="0"/>
              <w:jc w:val="center"/>
              <w:rPr>
                <w:b/>
                <w:bCs/>
                <w:color w:val="000000"/>
                <w:sz w:val="22"/>
                <w:szCs w:val="22"/>
              </w:rPr>
            </w:pPr>
            <w:r w:rsidRPr="00E6232D">
              <w:rPr>
                <w:b/>
                <w:bCs/>
                <w:color w:val="000000"/>
                <w:sz w:val="22"/>
                <w:szCs w:val="22"/>
              </w:rPr>
              <w:t>Spain</w:t>
            </w:r>
          </w:p>
        </w:tc>
      </w:tr>
      <w:tr w:rsidR="00CF01B2" w:rsidRPr="00E6232D" w14:paraId="6325A433" w14:textId="77777777" w:rsidTr="007E6041">
        <w:trPr>
          <w:trHeight w:val="180"/>
        </w:trPr>
        <w:tc>
          <w:tcPr>
            <w:tcW w:w="2688" w:type="pct"/>
            <w:tcBorders>
              <w:top w:val="nil"/>
              <w:left w:val="nil"/>
              <w:bottom w:val="nil"/>
              <w:right w:val="nil"/>
            </w:tcBorders>
            <w:shd w:val="clear" w:color="auto" w:fill="auto"/>
            <w:noWrap/>
            <w:vAlign w:val="bottom"/>
          </w:tcPr>
          <w:p w14:paraId="33AE567F" w14:textId="77777777" w:rsidR="00CF01B2" w:rsidRPr="00E6232D" w:rsidRDefault="00CF01B2" w:rsidP="007E6041">
            <w:pPr>
              <w:widowControl w:val="0"/>
              <w:rPr>
                <w:color w:val="000000"/>
                <w:sz w:val="22"/>
                <w:szCs w:val="22"/>
              </w:rPr>
            </w:pPr>
          </w:p>
        </w:tc>
        <w:tc>
          <w:tcPr>
            <w:tcW w:w="768" w:type="pct"/>
            <w:gridSpan w:val="2"/>
            <w:tcBorders>
              <w:top w:val="nil"/>
              <w:left w:val="nil"/>
              <w:bottom w:val="nil"/>
              <w:right w:val="nil"/>
            </w:tcBorders>
            <w:shd w:val="clear" w:color="auto" w:fill="auto"/>
            <w:noWrap/>
            <w:vAlign w:val="bottom"/>
          </w:tcPr>
          <w:p w14:paraId="42392333" w14:textId="77777777" w:rsidR="00CF01B2" w:rsidRPr="00E6232D" w:rsidRDefault="00CF01B2" w:rsidP="007E6041">
            <w:pPr>
              <w:widowControl w:val="0"/>
              <w:jc w:val="center"/>
              <w:rPr>
                <w:b/>
                <w:bCs/>
                <w:color w:val="000000"/>
                <w:sz w:val="22"/>
                <w:szCs w:val="22"/>
              </w:rPr>
            </w:pPr>
            <w:r w:rsidRPr="00E6232D">
              <w:rPr>
                <w:b/>
                <w:bCs/>
                <w:color w:val="000000"/>
                <w:sz w:val="22"/>
                <w:szCs w:val="22"/>
              </w:rPr>
              <w:t>(n = 224)</w:t>
            </w:r>
          </w:p>
        </w:tc>
        <w:tc>
          <w:tcPr>
            <w:tcW w:w="803" w:type="pct"/>
            <w:gridSpan w:val="2"/>
            <w:tcBorders>
              <w:top w:val="nil"/>
              <w:left w:val="nil"/>
              <w:bottom w:val="nil"/>
              <w:right w:val="nil"/>
            </w:tcBorders>
            <w:shd w:val="clear" w:color="auto" w:fill="auto"/>
            <w:noWrap/>
            <w:vAlign w:val="bottom"/>
          </w:tcPr>
          <w:p w14:paraId="250825EF" w14:textId="77777777" w:rsidR="00CF01B2" w:rsidRPr="00E6232D" w:rsidRDefault="00CF01B2" w:rsidP="007E6041">
            <w:pPr>
              <w:widowControl w:val="0"/>
              <w:jc w:val="center"/>
              <w:rPr>
                <w:b/>
                <w:bCs/>
                <w:color w:val="000000"/>
                <w:sz w:val="22"/>
                <w:szCs w:val="22"/>
              </w:rPr>
            </w:pPr>
            <w:r w:rsidRPr="00E6232D">
              <w:rPr>
                <w:b/>
                <w:bCs/>
                <w:color w:val="000000"/>
                <w:sz w:val="22"/>
                <w:szCs w:val="22"/>
              </w:rPr>
              <w:t>(n = 285)</w:t>
            </w:r>
          </w:p>
        </w:tc>
        <w:tc>
          <w:tcPr>
            <w:tcW w:w="741" w:type="pct"/>
            <w:gridSpan w:val="2"/>
            <w:tcBorders>
              <w:top w:val="nil"/>
              <w:left w:val="nil"/>
              <w:bottom w:val="nil"/>
              <w:right w:val="nil"/>
            </w:tcBorders>
            <w:shd w:val="clear" w:color="auto" w:fill="auto"/>
            <w:noWrap/>
            <w:vAlign w:val="bottom"/>
          </w:tcPr>
          <w:p w14:paraId="44A40376" w14:textId="77777777" w:rsidR="00CF01B2" w:rsidRPr="00E6232D" w:rsidRDefault="00CF01B2" w:rsidP="007E6041">
            <w:pPr>
              <w:widowControl w:val="0"/>
              <w:jc w:val="center"/>
              <w:rPr>
                <w:b/>
                <w:bCs/>
                <w:color w:val="000000"/>
                <w:sz w:val="22"/>
                <w:szCs w:val="22"/>
              </w:rPr>
            </w:pPr>
            <w:r w:rsidRPr="00E6232D">
              <w:rPr>
                <w:b/>
                <w:bCs/>
                <w:color w:val="000000"/>
                <w:sz w:val="22"/>
                <w:szCs w:val="22"/>
              </w:rPr>
              <w:t>(n = 438)</w:t>
            </w:r>
          </w:p>
        </w:tc>
      </w:tr>
      <w:tr w:rsidR="00CF01B2" w:rsidRPr="00E6232D" w14:paraId="2E27C921" w14:textId="77777777" w:rsidTr="007E6041">
        <w:trPr>
          <w:trHeight w:val="188"/>
        </w:trPr>
        <w:tc>
          <w:tcPr>
            <w:tcW w:w="2688" w:type="pct"/>
            <w:tcBorders>
              <w:top w:val="nil"/>
              <w:left w:val="nil"/>
              <w:bottom w:val="single" w:sz="4" w:space="0" w:color="auto"/>
              <w:right w:val="nil"/>
            </w:tcBorders>
            <w:shd w:val="clear" w:color="auto" w:fill="auto"/>
            <w:noWrap/>
            <w:vAlign w:val="bottom"/>
          </w:tcPr>
          <w:p w14:paraId="36192CAB" w14:textId="77777777" w:rsidR="00CF01B2" w:rsidRPr="00E6232D" w:rsidRDefault="00CF01B2" w:rsidP="007E6041">
            <w:pPr>
              <w:widowControl w:val="0"/>
              <w:rPr>
                <w:b/>
                <w:bCs/>
                <w:color w:val="000000"/>
                <w:sz w:val="22"/>
                <w:szCs w:val="22"/>
              </w:rPr>
            </w:pPr>
          </w:p>
        </w:tc>
        <w:tc>
          <w:tcPr>
            <w:tcW w:w="351" w:type="pct"/>
            <w:tcBorders>
              <w:top w:val="single" w:sz="4" w:space="0" w:color="auto"/>
              <w:left w:val="nil"/>
              <w:bottom w:val="single" w:sz="4" w:space="0" w:color="auto"/>
              <w:right w:val="nil"/>
            </w:tcBorders>
            <w:shd w:val="clear" w:color="auto" w:fill="auto"/>
            <w:noWrap/>
            <w:vAlign w:val="bottom"/>
          </w:tcPr>
          <w:p w14:paraId="7ED3646C" w14:textId="77777777" w:rsidR="00CF01B2" w:rsidRPr="00E6232D" w:rsidRDefault="00CF01B2" w:rsidP="007E6041">
            <w:pPr>
              <w:widowControl w:val="0"/>
              <w:jc w:val="center"/>
              <w:rPr>
                <w:b/>
                <w:bCs/>
                <w:color w:val="000000"/>
                <w:sz w:val="22"/>
                <w:szCs w:val="22"/>
              </w:rPr>
            </w:pPr>
            <w:r w:rsidRPr="00E6232D">
              <w:rPr>
                <w:b/>
                <w:bCs/>
                <w:color w:val="000000"/>
                <w:sz w:val="22"/>
                <w:szCs w:val="22"/>
              </w:rPr>
              <w:t>n</w:t>
            </w:r>
          </w:p>
        </w:tc>
        <w:tc>
          <w:tcPr>
            <w:tcW w:w="417" w:type="pct"/>
            <w:tcBorders>
              <w:top w:val="single" w:sz="4" w:space="0" w:color="auto"/>
              <w:left w:val="nil"/>
              <w:bottom w:val="single" w:sz="4" w:space="0" w:color="auto"/>
              <w:right w:val="nil"/>
            </w:tcBorders>
            <w:shd w:val="clear" w:color="auto" w:fill="auto"/>
            <w:noWrap/>
            <w:vAlign w:val="bottom"/>
          </w:tcPr>
          <w:p w14:paraId="0EC08E4E" w14:textId="77777777" w:rsidR="00CF01B2" w:rsidRPr="00E6232D" w:rsidRDefault="00CF01B2" w:rsidP="007E6041">
            <w:pPr>
              <w:widowControl w:val="0"/>
              <w:jc w:val="right"/>
              <w:rPr>
                <w:b/>
                <w:bCs/>
                <w:color w:val="000000"/>
                <w:sz w:val="22"/>
                <w:szCs w:val="22"/>
              </w:rPr>
            </w:pPr>
            <w:r w:rsidRPr="00E6232D">
              <w:rPr>
                <w:b/>
                <w:bCs/>
                <w:color w:val="000000"/>
                <w:sz w:val="22"/>
                <w:szCs w:val="22"/>
              </w:rPr>
              <w:t>%</w:t>
            </w:r>
          </w:p>
        </w:tc>
        <w:tc>
          <w:tcPr>
            <w:tcW w:w="368" w:type="pct"/>
            <w:tcBorders>
              <w:top w:val="single" w:sz="4" w:space="0" w:color="auto"/>
              <w:left w:val="nil"/>
              <w:bottom w:val="single" w:sz="4" w:space="0" w:color="auto"/>
              <w:right w:val="nil"/>
            </w:tcBorders>
            <w:shd w:val="clear" w:color="auto" w:fill="auto"/>
            <w:noWrap/>
            <w:vAlign w:val="bottom"/>
          </w:tcPr>
          <w:p w14:paraId="0C1FFE9C" w14:textId="77777777" w:rsidR="00CF01B2" w:rsidRPr="00E6232D" w:rsidRDefault="00CF01B2" w:rsidP="007E6041">
            <w:pPr>
              <w:widowControl w:val="0"/>
              <w:jc w:val="center"/>
              <w:rPr>
                <w:b/>
                <w:bCs/>
                <w:color w:val="000000"/>
                <w:sz w:val="22"/>
                <w:szCs w:val="22"/>
              </w:rPr>
            </w:pPr>
            <w:r w:rsidRPr="00E6232D">
              <w:rPr>
                <w:b/>
                <w:bCs/>
                <w:color w:val="000000"/>
                <w:sz w:val="22"/>
                <w:szCs w:val="22"/>
              </w:rPr>
              <w:t>n</w:t>
            </w:r>
          </w:p>
        </w:tc>
        <w:tc>
          <w:tcPr>
            <w:tcW w:w="435" w:type="pct"/>
            <w:tcBorders>
              <w:top w:val="single" w:sz="4" w:space="0" w:color="auto"/>
              <w:left w:val="nil"/>
              <w:bottom w:val="single" w:sz="4" w:space="0" w:color="auto"/>
              <w:right w:val="nil"/>
            </w:tcBorders>
            <w:shd w:val="clear" w:color="auto" w:fill="auto"/>
            <w:noWrap/>
            <w:vAlign w:val="bottom"/>
          </w:tcPr>
          <w:p w14:paraId="427769F5" w14:textId="77777777" w:rsidR="00CF01B2" w:rsidRPr="00E6232D" w:rsidRDefault="00CF01B2" w:rsidP="007E6041">
            <w:pPr>
              <w:widowControl w:val="0"/>
              <w:jc w:val="center"/>
              <w:rPr>
                <w:b/>
                <w:bCs/>
                <w:color w:val="000000"/>
                <w:sz w:val="22"/>
                <w:szCs w:val="22"/>
              </w:rPr>
            </w:pPr>
            <w:r w:rsidRPr="00E6232D">
              <w:rPr>
                <w:b/>
                <w:bCs/>
                <w:color w:val="000000"/>
                <w:sz w:val="22"/>
                <w:szCs w:val="22"/>
              </w:rPr>
              <w:t>%</w:t>
            </w:r>
          </w:p>
        </w:tc>
        <w:tc>
          <w:tcPr>
            <w:tcW w:w="340" w:type="pct"/>
            <w:tcBorders>
              <w:top w:val="single" w:sz="4" w:space="0" w:color="auto"/>
              <w:left w:val="nil"/>
              <w:bottom w:val="single" w:sz="4" w:space="0" w:color="auto"/>
              <w:right w:val="nil"/>
            </w:tcBorders>
            <w:shd w:val="clear" w:color="auto" w:fill="auto"/>
            <w:noWrap/>
            <w:vAlign w:val="bottom"/>
          </w:tcPr>
          <w:p w14:paraId="7A28BA2F" w14:textId="77777777" w:rsidR="00CF01B2" w:rsidRPr="00E6232D" w:rsidRDefault="00CF01B2" w:rsidP="007E6041">
            <w:pPr>
              <w:widowControl w:val="0"/>
              <w:jc w:val="center"/>
              <w:rPr>
                <w:b/>
                <w:bCs/>
                <w:color w:val="000000"/>
                <w:sz w:val="22"/>
                <w:szCs w:val="22"/>
              </w:rPr>
            </w:pPr>
            <w:r w:rsidRPr="00E6232D">
              <w:rPr>
                <w:b/>
                <w:bCs/>
                <w:color w:val="000000"/>
                <w:sz w:val="22"/>
                <w:szCs w:val="22"/>
              </w:rPr>
              <w:t>n</w:t>
            </w:r>
          </w:p>
        </w:tc>
        <w:tc>
          <w:tcPr>
            <w:tcW w:w="401" w:type="pct"/>
            <w:tcBorders>
              <w:top w:val="single" w:sz="4" w:space="0" w:color="auto"/>
              <w:left w:val="nil"/>
              <w:bottom w:val="single" w:sz="4" w:space="0" w:color="auto"/>
              <w:right w:val="nil"/>
            </w:tcBorders>
            <w:shd w:val="clear" w:color="auto" w:fill="auto"/>
            <w:noWrap/>
            <w:vAlign w:val="bottom"/>
          </w:tcPr>
          <w:p w14:paraId="077BA9A5" w14:textId="77777777" w:rsidR="00CF01B2" w:rsidRPr="00E6232D" w:rsidRDefault="00CF01B2" w:rsidP="007E6041">
            <w:pPr>
              <w:widowControl w:val="0"/>
              <w:jc w:val="right"/>
              <w:rPr>
                <w:b/>
                <w:bCs/>
                <w:color w:val="000000"/>
                <w:sz w:val="22"/>
                <w:szCs w:val="22"/>
              </w:rPr>
            </w:pPr>
            <w:r w:rsidRPr="00E6232D">
              <w:rPr>
                <w:b/>
                <w:bCs/>
                <w:color w:val="000000"/>
                <w:sz w:val="22"/>
                <w:szCs w:val="22"/>
              </w:rPr>
              <w:t>%</w:t>
            </w:r>
          </w:p>
        </w:tc>
      </w:tr>
      <w:tr w:rsidR="00CF01B2" w:rsidRPr="00E6232D" w14:paraId="5DD6F2A8" w14:textId="77777777" w:rsidTr="007E6041">
        <w:tc>
          <w:tcPr>
            <w:tcW w:w="2688" w:type="pct"/>
            <w:tcBorders>
              <w:top w:val="single" w:sz="4" w:space="0" w:color="auto"/>
              <w:left w:val="nil"/>
              <w:right w:val="nil"/>
            </w:tcBorders>
            <w:shd w:val="clear" w:color="auto" w:fill="auto"/>
            <w:noWrap/>
            <w:vAlign w:val="bottom"/>
          </w:tcPr>
          <w:p w14:paraId="475BB494" w14:textId="77777777" w:rsidR="00CF01B2" w:rsidRPr="00212064" w:rsidRDefault="00CF01B2" w:rsidP="007E6041">
            <w:pPr>
              <w:widowControl w:val="0"/>
              <w:rPr>
                <w:b/>
                <w:color w:val="000000"/>
                <w:sz w:val="22"/>
                <w:szCs w:val="22"/>
              </w:rPr>
            </w:pPr>
            <w:r w:rsidRPr="00212064">
              <w:rPr>
                <w:b/>
                <w:color w:val="000000"/>
                <w:sz w:val="22"/>
                <w:szCs w:val="22"/>
              </w:rPr>
              <w:t>Socio-demographic characteristics</w:t>
            </w:r>
          </w:p>
        </w:tc>
        <w:tc>
          <w:tcPr>
            <w:tcW w:w="351" w:type="pct"/>
            <w:tcBorders>
              <w:top w:val="single" w:sz="4" w:space="0" w:color="auto"/>
              <w:left w:val="nil"/>
              <w:right w:val="nil"/>
            </w:tcBorders>
            <w:shd w:val="clear" w:color="auto" w:fill="auto"/>
            <w:noWrap/>
            <w:vAlign w:val="bottom"/>
          </w:tcPr>
          <w:p w14:paraId="242B7772" w14:textId="77777777" w:rsidR="00CF01B2" w:rsidRPr="00212064" w:rsidRDefault="00CF01B2" w:rsidP="007E6041">
            <w:pPr>
              <w:widowControl w:val="0"/>
              <w:jc w:val="right"/>
              <w:rPr>
                <w:color w:val="000000"/>
                <w:sz w:val="22"/>
                <w:szCs w:val="22"/>
              </w:rPr>
            </w:pPr>
          </w:p>
        </w:tc>
        <w:tc>
          <w:tcPr>
            <w:tcW w:w="417" w:type="pct"/>
            <w:tcBorders>
              <w:top w:val="single" w:sz="4" w:space="0" w:color="auto"/>
              <w:left w:val="nil"/>
              <w:right w:val="nil"/>
            </w:tcBorders>
            <w:shd w:val="clear" w:color="auto" w:fill="auto"/>
            <w:noWrap/>
            <w:vAlign w:val="bottom"/>
          </w:tcPr>
          <w:p w14:paraId="3292168C" w14:textId="77777777" w:rsidR="00CF01B2" w:rsidRPr="00212064" w:rsidRDefault="00CF01B2" w:rsidP="007E6041">
            <w:pPr>
              <w:widowControl w:val="0"/>
              <w:jc w:val="right"/>
              <w:rPr>
                <w:color w:val="000000"/>
                <w:sz w:val="22"/>
                <w:szCs w:val="22"/>
              </w:rPr>
            </w:pPr>
          </w:p>
        </w:tc>
        <w:tc>
          <w:tcPr>
            <w:tcW w:w="368" w:type="pct"/>
            <w:tcBorders>
              <w:top w:val="single" w:sz="4" w:space="0" w:color="auto"/>
              <w:left w:val="nil"/>
              <w:right w:val="nil"/>
            </w:tcBorders>
            <w:shd w:val="clear" w:color="auto" w:fill="auto"/>
            <w:noWrap/>
            <w:vAlign w:val="bottom"/>
          </w:tcPr>
          <w:p w14:paraId="2977D34D" w14:textId="77777777" w:rsidR="00CF01B2" w:rsidRPr="00212064" w:rsidRDefault="00CF01B2" w:rsidP="007E6041">
            <w:pPr>
              <w:widowControl w:val="0"/>
              <w:jc w:val="right"/>
              <w:rPr>
                <w:color w:val="000000"/>
                <w:sz w:val="22"/>
                <w:szCs w:val="22"/>
              </w:rPr>
            </w:pPr>
          </w:p>
        </w:tc>
        <w:tc>
          <w:tcPr>
            <w:tcW w:w="435" w:type="pct"/>
            <w:tcBorders>
              <w:top w:val="single" w:sz="4" w:space="0" w:color="auto"/>
              <w:left w:val="nil"/>
              <w:right w:val="nil"/>
            </w:tcBorders>
            <w:shd w:val="clear" w:color="auto" w:fill="auto"/>
            <w:noWrap/>
            <w:vAlign w:val="bottom"/>
          </w:tcPr>
          <w:p w14:paraId="74F1EDA9" w14:textId="77777777" w:rsidR="00CF01B2" w:rsidRPr="00212064" w:rsidRDefault="00CF01B2" w:rsidP="007E6041">
            <w:pPr>
              <w:widowControl w:val="0"/>
              <w:jc w:val="right"/>
              <w:rPr>
                <w:color w:val="000000"/>
                <w:sz w:val="22"/>
                <w:szCs w:val="22"/>
              </w:rPr>
            </w:pPr>
          </w:p>
        </w:tc>
        <w:tc>
          <w:tcPr>
            <w:tcW w:w="340" w:type="pct"/>
            <w:tcBorders>
              <w:top w:val="single" w:sz="4" w:space="0" w:color="auto"/>
              <w:left w:val="nil"/>
              <w:right w:val="nil"/>
            </w:tcBorders>
            <w:shd w:val="clear" w:color="auto" w:fill="auto"/>
            <w:noWrap/>
            <w:vAlign w:val="bottom"/>
          </w:tcPr>
          <w:p w14:paraId="0037718C" w14:textId="77777777" w:rsidR="00CF01B2" w:rsidRPr="00212064" w:rsidRDefault="00CF01B2" w:rsidP="007E6041">
            <w:pPr>
              <w:widowControl w:val="0"/>
              <w:jc w:val="right"/>
              <w:rPr>
                <w:color w:val="000000"/>
                <w:sz w:val="22"/>
                <w:szCs w:val="22"/>
              </w:rPr>
            </w:pPr>
          </w:p>
        </w:tc>
        <w:tc>
          <w:tcPr>
            <w:tcW w:w="401" w:type="pct"/>
            <w:tcBorders>
              <w:top w:val="single" w:sz="4" w:space="0" w:color="auto"/>
              <w:left w:val="nil"/>
              <w:right w:val="nil"/>
            </w:tcBorders>
            <w:shd w:val="clear" w:color="auto" w:fill="auto"/>
            <w:noWrap/>
            <w:vAlign w:val="bottom"/>
          </w:tcPr>
          <w:p w14:paraId="6A0BB2CB" w14:textId="77777777" w:rsidR="00CF01B2" w:rsidRPr="00212064" w:rsidRDefault="00CF01B2" w:rsidP="007E6041">
            <w:pPr>
              <w:widowControl w:val="0"/>
              <w:jc w:val="right"/>
              <w:rPr>
                <w:color w:val="000000"/>
                <w:sz w:val="22"/>
                <w:szCs w:val="22"/>
              </w:rPr>
            </w:pPr>
          </w:p>
        </w:tc>
      </w:tr>
      <w:tr w:rsidR="00CF01B2" w:rsidRPr="00E6232D" w14:paraId="742680C7" w14:textId="77777777" w:rsidTr="007E6041">
        <w:tc>
          <w:tcPr>
            <w:tcW w:w="2688" w:type="pct"/>
            <w:tcBorders>
              <w:left w:val="nil"/>
              <w:bottom w:val="nil"/>
              <w:right w:val="nil"/>
            </w:tcBorders>
            <w:shd w:val="clear" w:color="auto" w:fill="auto"/>
            <w:noWrap/>
            <w:vAlign w:val="bottom"/>
          </w:tcPr>
          <w:p w14:paraId="1A280840" w14:textId="77777777" w:rsidR="00CF01B2" w:rsidRPr="00212064" w:rsidRDefault="00CF01B2" w:rsidP="007E6041">
            <w:pPr>
              <w:widowControl w:val="0"/>
              <w:rPr>
                <w:color w:val="000000"/>
                <w:sz w:val="22"/>
                <w:szCs w:val="22"/>
              </w:rPr>
            </w:pPr>
            <w:r w:rsidRPr="00212064">
              <w:rPr>
                <w:color w:val="000000"/>
                <w:sz w:val="22"/>
                <w:szCs w:val="22"/>
              </w:rPr>
              <w:t xml:space="preserve">    Sex</w:t>
            </w:r>
          </w:p>
        </w:tc>
        <w:tc>
          <w:tcPr>
            <w:tcW w:w="351" w:type="pct"/>
            <w:tcBorders>
              <w:left w:val="nil"/>
              <w:bottom w:val="nil"/>
              <w:right w:val="nil"/>
            </w:tcBorders>
            <w:shd w:val="clear" w:color="auto" w:fill="auto"/>
            <w:noWrap/>
            <w:vAlign w:val="bottom"/>
          </w:tcPr>
          <w:p w14:paraId="0CD14456" w14:textId="31260EEB" w:rsidR="00CF01B2" w:rsidRPr="00212064" w:rsidRDefault="00CF01B2" w:rsidP="007E6041">
            <w:pPr>
              <w:widowControl w:val="0"/>
              <w:jc w:val="right"/>
              <w:rPr>
                <w:color w:val="000000"/>
                <w:sz w:val="22"/>
                <w:szCs w:val="22"/>
              </w:rPr>
            </w:pPr>
          </w:p>
        </w:tc>
        <w:tc>
          <w:tcPr>
            <w:tcW w:w="417" w:type="pct"/>
            <w:tcBorders>
              <w:left w:val="nil"/>
              <w:bottom w:val="nil"/>
              <w:right w:val="nil"/>
            </w:tcBorders>
            <w:shd w:val="clear" w:color="auto" w:fill="auto"/>
            <w:noWrap/>
            <w:vAlign w:val="bottom"/>
          </w:tcPr>
          <w:p w14:paraId="53375CDA" w14:textId="1C1708CB" w:rsidR="00CF01B2" w:rsidRPr="00212064" w:rsidRDefault="00CF01B2" w:rsidP="007E6041">
            <w:pPr>
              <w:widowControl w:val="0"/>
              <w:jc w:val="right"/>
              <w:rPr>
                <w:color w:val="000000"/>
                <w:sz w:val="22"/>
                <w:szCs w:val="22"/>
              </w:rPr>
            </w:pPr>
          </w:p>
        </w:tc>
        <w:tc>
          <w:tcPr>
            <w:tcW w:w="368" w:type="pct"/>
            <w:tcBorders>
              <w:left w:val="nil"/>
              <w:bottom w:val="nil"/>
              <w:right w:val="nil"/>
            </w:tcBorders>
            <w:shd w:val="clear" w:color="auto" w:fill="auto"/>
            <w:noWrap/>
            <w:vAlign w:val="bottom"/>
          </w:tcPr>
          <w:p w14:paraId="0DF1E739" w14:textId="3AB908CC" w:rsidR="00CF01B2" w:rsidRPr="00212064" w:rsidRDefault="00CF01B2" w:rsidP="007E6041">
            <w:pPr>
              <w:widowControl w:val="0"/>
              <w:jc w:val="right"/>
              <w:rPr>
                <w:color w:val="000000"/>
                <w:sz w:val="22"/>
                <w:szCs w:val="22"/>
              </w:rPr>
            </w:pPr>
          </w:p>
        </w:tc>
        <w:tc>
          <w:tcPr>
            <w:tcW w:w="435" w:type="pct"/>
            <w:tcBorders>
              <w:left w:val="nil"/>
              <w:bottom w:val="nil"/>
              <w:right w:val="nil"/>
            </w:tcBorders>
            <w:shd w:val="clear" w:color="auto" w:fill="auto"/>
            <w:noWrap/>
            <w:vAlign w:val="bottom"/>
          </w:tcPr>
          <w:p w14:paraId="144028E3" w14:textId="679344A9" w:rsidR="00CF01B2" w:rsidRPr="00212064" w:rsidRDefault="00CF01B2" w:rsidP="007E6041">
            <w:pPr>
              <w:widowControl w:val="0"/>
              <w:jc w:val="right"/>
              <w:rPr>
                <w:color w:val="000000"/>
                <w:sz w:val="22"/>
                <w:szCs w:val="22"/>
              </w:rPr>
            </w:pPr>
          </w:p>
        </w:tc>
        <w:tc>
          <w:tcPr>
            <w:tcW w:w="340" w:type="pct"/>
            <w:tcBorders>
              <w:left w:val="nil"/>
              <w:bottom w:val="nil"/>
              <w:right w:val="nil"/>
            </w:tcBorders>
            <w:shd w:val="clear" w:color="auto" w:fill="auto"/>
            <w:noWrap/>
            <w:vAlign w:val="bottom"/>
          </w:tcPr>
          <w:p w14:paraId="7C6D4243" w14:textId="17BDFD56" w:rsidR="00CF01B2" w:rsidRPr="00212064" w:rsidRDefault="00CF01B2" w:rsidP="007E6041">
            <w:pPr>
              <w:widowControl w:val="0"/>
              <w:jc w:val="right"/>
              <w:rPr>
                <w:color w:val="000000"/>
                <w:sz w:val="22"/>
                <w:szCs w:val="22"/>
              </w:rPr>
            </w:pPr>
          </w:p>
        </w:tc>
        <w:tc>
          <w:tcPr>
            <w:tcW w:w="401" w:type="pct"/>
            <w:tcBorders>
              <w:left w:val="nil"/>
              <w:bottom w:val="nil"/>
              <w:right w:val="nil"/>
            </w:tcBorders>
            <w:shd w:val="clear" w:color="auto" w:fill="auto"/>
            <w:noWrap/>
            <w:vAlign w:val="bottom"/>
          </w:tcPr>
          <w:p w14:paraId="0693EE38" w14:textId="6EAC7BF8" w:rsidR="00CF01B2" w:rsidRPr="00212064" w:rsidRDefault="00CF01B2" w:rsidP="007E6041">
            <w:pPr>
              <w:widowControl w:val="0"/>
              <w:jc w:val="right"/>
              <w:rPr>
                <w:color w:val="000000"/>
                <w:sz w:val="22"/>
                <w:szCs w:val="22"/>
              </w:rPr>
            </w:pPr>
          </w:p>
        </w:tc>
      </w:tr>
      <w:tr w:rsidR="00CF01B2" w:rsidRPr="00E6232D" w14:paraId="3C12A369" w14:textId="77777777" w:rsidTr="007E6041">
        <w:tc>
          <w:tcPr>
            <w:tcW w:w="2688" w:type="pct"/>
            <w:tcBorders>
              <w:top w:val="nil"/>
              <w:left w:val="nil"/>
              <w:bottom w:val="nil"/>
              <w:right w:val="nil"/>
            </w:tcBorders>
            <w:shd w:val="clear" w:color="auto" w:fill="auto"/>
            <w:noWrap/>
            <w:vAlign w:val="bottom"/>
          </w:tcPr>
          <w:p w14:paraId="04275978" w14:textId="77777777" w:rsidR="00CF01B2" w:rsidRPr="00212064" w:rsidRDefault="00CF01B2" w:rsidP="007E6041">
            <w:pPr>
              <w:widowControl w:val="0"/>
              <w:rPr>
                <w:color w:val="000000"/>
                <w:sz w:val="22"/>
                <w:szCs w:val="22"/>
              </w:rPr>
            </w:pPr>
            <w:r w:rsidRPr="00212064">
              <w:rPr>
                <w:color w:val="000000"/>
                <w:sz w:val="22"/>
                <w:szCs w:val="22"/>
              </w:rPr>
              <w:t xml:space="preserve">        Male</w:t>
            </w:r>
          </w:p>
        </w:tc>
        <w:tc>
          <w:tcPr>
            <w:tcW w:w="351" w:type="pct"/>
            <w:tcBorders>
              <w:top w:val="nil"/>
              <w:left w:val="nil"/>
              <w:bottom w:val="nil"/>
              <w:right w:val="nil"/>
            </w:tcBorders>
            <w:shd w:val="clear" w:color="auto" w:fill="auto"/>
            <w:noWrap/>
            <w:vAlign w:val="bottom"/>
          </w:tcPr>
          <w:p w14:paraId="749FF7C7" w14:textId="77777777" w:rsidR="00CF01B2" w:rsidRPr="00212064" w:rsidRDefault="00CF01B2" w:rsidP="007E6041">
            <w:pPr>
              <w:widowControl w:val="0"/>
              <w:jc w:val="right"/>
              <w:rPr>
                <w:color w:val="000000"/>
                <w:sz w:val="22"/>
                <w:szCs w:val="22"/>
              </w:rPr>
            </w:pPr>
            <w:r w:rsidRPr="00212064">
              <w:rPr>
                <w:color w:val="000000"/>
                <w:sz w:val="22"/>
                <w:szCs w:val="22"/>
              </w:rPr>
              <w:t>84</w:t>
            </w:r>
          </w:p>
        </w:tc>
        <w:tc>
          <w:tcPr>
            <w:tcW w:w="417" w:type="pct"/>
            <w:tcBorders>
              <w:top w:val="nil"/>
              <w:left w:val="nil"/>
              <w:bottom w:val="nil"/>
              <w:right w:val="nil"/>
            </w:tcBorders>
            <w:shd w:val="clear" w:color="auto" w:fill="auto"/>
            <w:noWrap/>
            <w:vAlign w:val="bottom"/>
          </w:tcPr>
          <w:p w14:paraId="37F18D6C" w14:textId="77777777" w:rsidR="00CF01B2" w:rsidRPr="00212064" w:rsidRDefault="00CF01B2" w:rsidP="007E6041">
            <w:pPr>
              <w:widowControl w:val="0"/>
              <w:jc w:val="right"/>
              <w:rPr>
                <w:color w:val="000000"/>
                <w:sz w:val="22"/>
                <w:szCs w:val="22"/>
              </w:rPr>
            </w:pPr>
            <w:r w:rsidRPr="00212064">
              <w:rPr>
                <w:color w:val="000000"/>
                <w:sz w:val="22"/>
                <w:szCs w:val="22"/>
              </w:rPr>
              <w:t>37.5</w:t>
            </w:r>
          </w:p>
        </w:tc>
        <w:tc>
          <w:tcPr>
            <w:tcW w:w="368" w:type="pct"/>
            <w:tcBorders>
              <w:top w:val="nil"/>
              <w:left w:val="nil"/>
              <w:bottom w:val="nil"/>
              <w:right w:val="nil"/>
            </w:tcBorders>
            <w:shd w:val="clear" w:color="auto" w:fill="auto"/>
            <w:noWrap/>
            <w:vAlign w:val="bottom"/>
          </w:tcPr>
          <w:p w14:paraId="48CB3316" w14:textId="77777777" w:rsidR="00CF01B2" w:rsidRPr="00212064" w:rsidRDefault="00CF01B2" w:rsidP="007E6041">
            <w:pPr>
              <w:widowControl w:val="0"/>
              <w:jc w:val="right"/>
              <w:rPr>
                <w:color w:val="000000"/>
                <w:sz w:val="22"/>
                <w:szCs w:val="22"/>
              </w:rPr>
            </w:pPr>
            <w:r w:rsidRPr="00212064">
              <w:rPr>
                <w:color w:val="000000"/>
                <w:sz w:val="22"/>
                <w:szCs w:val="22"/>
              </w:rPr>
              <w:t>78</w:t>
            </w:r>
          </w:p>
        </w:tc>
        <w:tc>
          <w:tcPr>
            <w:tcW w:w="435" w:type="pct"/>
            <w:tcBorders>
              <w:top w:val="nil"/>
              <w:left w:val="nil"/>
              <w:bottom w:val="nil"/>
              <w:right w:val="nil"/>
            </w:tcBorders>
            <w:shd w:val="clear" w:color="auto" w:fill="auto"/>
            <w:noWrap/>
            <w:vAlign w:val="bottom"/>
          </w:tcPr>
          <w:p w14:paraId="3673BE71" w14:textId="77777777" w:rsidR="00CF01B2" w:rsidRPr="00212064" w:rsidRDefault="00CF01B2" w:rsidP="007E6041">
            <w:pPr>
              <w:widowControl w:val="0"/>
              <w:jc w:val="right"/>
              <w:rPr>
                <w:color w:val="000000"/>
                <w:sz w:val="22"/>
                <w:szCs w:val="22"/>
              </w:rPr>
            </w:pPr>
            <w:r w:rsidRPr="00212064">
              <w:rPr>
                <w:color w:val="000000"/>
                <w:sz w:val="22"/>
                <w:szCs w:val="22"/>
              </w:rPr>
              <w:t>27.4</w:t>
            </w:r>
          </w:p>
        </w:tc>
        <w:tc>
          <w:tcPr>
            <w:tcW w:w="340" w:type="pct"/>
            <w:tcBorders>
              <w:top w:val="nil"/>
              <w:left w:val="nil"/>
              <w:bottom w:val="nil"/>
              <w:right w:val="nil"/>
            </w:tcBorders>
            <w:shd w:val="clear" w:color="auto" w:fill="auto"/>
            <w:noWrap/>
            <w:vAlign w:val="bottom"/>
          </w:tcPr>
          <w:p w14:paraId="115DBAAA" w14:textId="77777777" w:rsidR="00CF01B2" w:rsidRPr="00212064" w:rsidRDefault="00CF01B2" w:rsidP="007E6041">
            <w:pPr>
              <w:widowControl w:val="0"/>
              <w:jc w:val="right"/>
              <w:rPr>
                <w:color w:val="000000"/>
                <w:sz w:val="22"/>
                <w:szCs w:val="22"/>
              </w:rPr>
            </w:pPr>
            <w:r w:rsidRPr="00212064">
              <w:rPr>
                <w:color w:val="000000"/>
                <w:sz w:val="22"/>
                <w:szCs w:val="22"/>
              </w:rPr>
              <w:t>72</w:t>
            </w:r>
          </w:p>
        </w:tc>
        <w:tc>
          <w:tcPr>
            <w:tcW w:w="401" w:type="pct"/>
            <w:tcBorders>
              <w:top w:val="nil"/>
              <w:left w:val="nil"/>
              <w:bottom w:val="nil"/>
              <w:right w:val="nil"/>
            </w:tcBorders>
            <w:shd w:val="clear" w:color="auto" w:fill="auto"/>
            <w:noWrap/>
            <w:vAlign w:val="bottom"/>
          </w:tcPr>
          <w:p w14:paraId="53CEB56B" w14:textId="77777777" w:rsidR="00CF01B2" w:rsidRPr="00212064" w:rsidRDefault="00CF01B2" w:rsidP="007E6041">
            <w:pPr>
              <w:widowControl w:val="0"/>
              <w:jc w:val="right"/>
              <w:rPr>
                <w:color w:val="000000"/>
                <w:sz w:val="22"/>
                <w:szCs w:val="22"/>
              </w:rPr>
            </w:pPr>
            <w:r w:rsidRPr="00212064">
              <w:rPr>
                <w:color w:val="000000"/>
                <w:sz w:val="22"/>
                <w:szCs w:val="22"/>
              </w:rPr>
              <w:t>16.4</w:t>
            </w:r>
          </w:p>
        </w:tc>
      </w:tr>
      <w:tr w:rsidR="00CF01B2" w:rsidRPr="00E6232D" w14:paraId="744A6CC9" w14:textId="77777777" w:rsidTr="007E6041">
        <w:tc>
          <w:tcPr>
            <w:tcW w:w="2688" w:type="pct"/>
            <w:tcBorders>
              <w:top w:val="nil"/>
              <w:left w:val="nil"/>
              <w:bottom w:val="nil"/>
              <w:right w:val="nil"/>
            </w:tcBorders>
            <w:shd w:val="clear" w:color="auto" w:fill="auto"/>
            <w:noWrap/>
            <w:vAlign w:val="bottom"/>
          </w:tcPr>
          <w:p w14:paraId="3213CF4F" w14:textId="77777777" w:rsidR="00CF01B2" w:rsidRPr="00212064" w:rsidRDefault="00CF01B2" w:rsidP="007E6041">
            <w:pPr>
              <w:widowControl w:val="0"/>
              <w:rPr>
                <w:color w:val="000000"/>
                <w:sz w:val="22"/>
                <w:szCs w:val="22"/>
              </w:rPr>
            </w:pPr>
            <w:r w:rsidRPr="00212064">
              <w:rPr>
                <w:color w:val="000000"/>
                <w:sz w:val="22"/>
                <w:szCs w:val="22"/>
              </w:rPr>
              <w:t xml:space="preserve">        Female</w:t>
            </w:r>
          </w:p>
        </w:tc>
        <w:tc>
          <w:tcPr>
            <w:tcW w:w="351" w:type="pct"/>
            <w:tcBorders>
              <w:top w:val="nil"/>
              <w:left w:val="nil"/>
              <w:bottom w:val="nil"/>
              <w:right w:val="nil"/>
            </w:tcBorders>
            <w:shd w:val="clear" w:color="auto" w:fill="auto"/>
            <w:noWrap/>
            <w:vAlign w:val="bottom"/>
          </w:tcPr>
          <w:p w14:paraId="3D04CD36" w14:textId="77777777" w:rsidR="00CF01B2" w:rsidRPr="00212064" w:rsidRDefault="00CF01B2" w:rsidP="007E6041">
            <w:pPr>
              <w:widowControl w:val="0"/>
              <w:jc w:val="right"/>
              <w:rPr>
                <w:color w:val="000000"/>
                <w:sz w:val="22"/>
                <w:szCs w:val="22"/>
              </w:rPr>
            </w:pPr>
            <w:r w:rsidRPr="00212064">
              <w:rPr>
                <w:color w:val="000000"/>
                <w:sz w:val="22"/>
                <w:szCs w:val="22"/>
              </w:rPr>
              <w:t>140</w:t>
            </w:r>
          </w:p>
        </w:tc>
        <w:tc>
          <w:tcPr>
            <w:tcW w:w="417" w:type="pct"/>
            <w:tcBorders>
              <w:top w:val="nil"/>
              <w:left w:val="nil"/>
              <w:bottom w:val="nil"/>
              <w:right w:val="nil"/>
            </w:tcBorders>
            <w:shd w:val="clear" w:color="auto" w:fill="auto"/>
            <w:noWrap/>
            <w:vAlign w:val="bottom"/>
          </w:tcPr>
          <w:p w14:paraId="7C415D57" w14:textId="77777777" w:rsidR="00CF01B2" w:rsidRPr="00212064" w:rsidRDefault="00CF01B2" w:rsidP="007E6041">
            <w:pPr>
              <w:widowControl w:val="0"/>
              <w:jc w:val="right"/>
              <w:rPr>
                <w:color w:val="000000"/>
                <w:sz w:val="22"/>
                <w:szCs w:val="22"/>
              </w:rPr>
            </w:pPr>
            <w:r w:rsidRPr="00212064">
              <w:rPr>
                <w:color w:val="000000"/>
                <w:sz w:val="22"/>
                <w:szCs w:val="22"/>
              </w:rPr>
              <w:t>62.5</w:t>
            </w:r>
          </w:p>
        </w:tc>
        <w:tc>
          <w:tcPr>
            <w:tcW w:w="368" w:type="pct"/>
            <w:tcBorders>
              <w:top w:val="nil"/>
              <w:left w:val="nil"/>
              <w:bottom w:val="nil"/>
              <w:right w:val="nil"/>
            </w:tcBorders>
            <w:shd w:val="clear" w:color="auto" w:fill="auto"/>
            <w:noWrap/>
            <w:vAlign w:val="bottom"/>
          </w:tcPr>
          <w:p w14:paraId="72A6D2CE" w14:textId="77777777" w:rsidR="00CF01B2" w:rsidRPr="00212064" w:rsidRDefault="00CF01B2" w:rsidP="007E6041">
            <w:pPr>
              <w:widowControl w:val="0"/>
              <w:jc w:val="right"/>
              <w:rPr>
                <w:color w:val="000000"/>
                <w:sz w:val="22"/>
                <w:szCs w:val="22"/>
              </w:rPr>
            </w:pPr>
            <w:r w:rsidRPr="00212064">
              <w:rPr>
                <w:color w:val="000000"/>
                <w:sz w:val="22"/>
                <w:szCs w:val="22"/>
              </w:rPr>
              <w:t>207</w:t>
            </w:r>
          </w:p>
        </w:tc>
        <w:tc>
          <w:tcPr>
            <w:tcW w:w="435" w:type="pct"/>
            <w:tcBorders>
              <w:top w:val="nil"/>
              <w:left w:val="nil"/>
              <w:bottom w:val="nil"/>
              <w:right w:val="nil"/>
            </w:tcBorders>
            <w:shd w:val="clear" w:color="auto" w:fill="auto"/>
            <w:noWrap/>
            <w:vAlign w:val="bottom"/>
          </w:tcPr>
          <w:p w14:paraId="04F220F3" w14:textId="77777777" w:rsidR="00CF01B2" w:rsidRPr="00212064" w:rsidRDefault="00CF01B2" w:rsidP="007E6041">
            <w:pPr>
              <w:widowControl w:val="0"/>
              <w:jc w:val="right"/>
              <w:rPr>
                <w:color w:val="000000"/>
                <w:sz w:val="22"/>
                <w:szCs w:val="22"/>
              </w:rPr>
            </w:pPr>
            <w:r w:rsidRPr="00212064">
              <w:rPr>
                <w:color w:val="000000"/>
                <w:sz w:val="22"/>
                <w:szCs w:val="22"/>
              </w:rPr>
              <w:t>72.6</w:t>
            </w:r>
          </w:p>
        </w:tc>
        <w:tc>
          <w:tcPr>
            <w:tcW w:w="340" w:type="pct"/>
            <w:tcBorders>
              <w:top w:val="nil"/>
              <w:left w:val="nil"/>
              <w:bottom w:val="nil"/>
              <w:right w:val="nil"/>
            </w:tcBorders>
            <w:shd w:val="clear" w:color="auto" w:fill="auto"/>
            <w:noWrap/>
            <w:vAlign w:val="bottom"/>
          </w:tcPr>
          <w:p w14:paraId="57E6C458" w14:textId="77777777" w:rsidR="00CF01B2" w:rsidRPr="00212064" w:rsidRDefault="00CF01B2" w:rsidP="007E6041">
            <w:pPr>
              <w:widowControl w:val="0"/>
              <w:jc w:val="right"/>
              <w:rPr>
                <w:color w:val="000000"/>
                <w:sz w:val="22"/>
                <w:szCs w:val="22"/>
              </w:rPr>
            </w:pPr>
            <w:r w:rsidRPr="00212064">
              <w:rPr>
                <w:color w:val="000000"/>
                <w:sz w:val="22"/>
                <w:szCs w:val="22"/>
              </w:rPr>
              <w:t>366</w:t>
            </w:r>
          </w:p>
        </w:tc>
        <w:tc>
          <w:tcPr>
            <w:tcW w:w="401" w:type="pct"/>
            <w:tcBorders>
              <w:top w:val="nil"/>
              <w:left w:val="nil"/>
              <w:bottom w:val="nil"/>
              <w:right w:val="nil"/>
            </w:tcBorders>
            <w:shd w:val="clear" w:color="auto" w:fill="auto"/>
            <w:noWrap/>
            <w:vAlign w:val="bottom"/>
          </w:tcPr>
          <w:p w14:paraId="4B075B67" w14:textId="77777777" w:rsidR="00CF01B2" w:rsidRPr="00212064" w:rsidRDefault="00CF01B2" w:rsidP="007E6041">
            <w:pPr>
              <w:widowControl w:val="0"/>
              <w:jc w:val="right"/>
              <w:rPr>
                <w:color w:val="000000"/>
                <w:sz w:val="22"/>
                <w:szCs w:val="22"/>
              </w:rPr>
            </w:pPr>
            <w:r w:rsidRPr="00212064">
              <w:rPr>
                <w:color w:val="000000"/>
                <w:sz w:val="22"/>
                <w:szCs w:val="22"/>
              </w:rPr>
              <w:t>83.6</w:t>
            </w:r>
          </w:p>
        </w:tc>
      </w:tr>
      <w:tr w:rsidR="00CF01B2" w:rsidRPr="0019181C" w14:paraId="0BA3EA8A" w14:textId="77777777" w:rsidTr="007E6041">
        <w:tc>
          <w:tcPr>
            <w:tcW w:w="2688" w:type="pct"/>
            <w:tcBorders>
              <w:top w:val="nil"/>
              <w:left w:val="nil"/>
              <w:bottom w:val="nil"/>
              <w:right w:val="nil"/>
            </w:tcBorders>
            <w:shd w:val="clear" w:color="auto" w:fill="auto"/>
            <w:noWrap/>
            <w:vAlign w:val="bottom"/>
          </w:tcPr>
          <w:p w14:paraId="663C4A36" w14:textId="77777777" w:rsidR="00CF01B2" w:rsidRPr="00212064" w:rsidRDefault="00CF01B2" w:rsidP="007E6041">
            <w:pPr>
              <w:widowControl w:val="0"/>
              <w:rPr>
                <w:color w:val="000000"/>
                <w:sz w:val="22"/>
                <w:szCs w:val="22"/>
              </w:rPr>
            </w:pPr>
            <w:r w:rsidRPr="00212064">
              <w:rPr>
                <w:color w:val="000000"/>
                <w:sz w:val="22"/>
                <w:szCs w:val="22"/>
              </w:rPr>
              <w:t xml:space="preserve">    Age (years)</w:t>
            </w:r>
          </w:p>
        </w:tc>
        <w:tc>
          <w:tcPr>
            <w:tcW w:w="351" w:type="pct"/>
            <w:tcBorders>
              <w:top w:val="nil"/>
              <w:left w:val="nil"/>
              <w:bottom w:val="nil"/>
              <w:right w:val="nil"/>
            </w:tcBorders>
            <w:shd w:val="clear" w:color="auto" w:fill="auto"/>
            <w:noWrap/>
            <w:vAlign w:val="bottom"/>
          </w:tcPr>
          <w:p w14:paraId="31F7E8BD" w14:textId="77777777" w:rsidR="00CF01B2" w:rsidRPr="00212064" w:rsidRDefault="00CF01B2" w:rsidP="007E6041">
            <w:pPr>
              <w:widowControl w:val="0"/>
              <w:jc w:val="right"/>
              <w:rPr>
                <w:color w:val="000000"/>
                <w:sz w:val="22"/>
                <w:szCs w:val="22"/>
              </w:rPr>
            </w:pPr>
          </w:p>
        </w:tc>
        <w:tc>
          <w:tcPr>
            <w:tcW w:w="417" w:type="pct"/>
            <w:tcBorders>
              <w:top w:val="nil"/>
              <w:left w:val="nil"/>
              <w:bottom w:val="nil"/>
              <w:right w:val="nil"/>
            </w:tcBorders>
            <w:shd w:val="clear" w:color="auto" w:fill="auto"/>
            <w:noWrap/>
            <w:vAlign w:val="bottom"/>
          </w:tcPr>
          <w:p w14:paraId="0EA85C73" w14:textId="77777777" w:rsidR="00CF01B2" w:rsidRPr="00212064" w:rsidRDefault="00CF01B2" w:rsidP="007E6041">
            <w:pPr>
              <w:widowControl w:val="0"/>
              <w:jc w:val="right"/>
              <w:rPr>
                <w:color w:val="000000"/>
                <w:sz w:val="22"/>
                <w:szCs w:val="22"/>
              </w:rPr>
            </w:pPr>
          </w:p>
        </w:tc>
        <w:tc>
          <w:tcPr>
            <w:tcW w:w="368" w:type="pct"/>
            <w:tcBorders>
              <w:top w:val="nil"/>
              <w:left w:val="nil"/>
              <w:bottom w:val="nil"/>
              <w:right w:val="nil"/>
            </w:tcBorders>
            <w:shd w:val="clear" w:color="auto" w:fill="auto"/>
            <w:noWrap/>
            <w:vAlign w:val="bottom"/>
          </w:tcPr>
          <w:p w14:paraId="6BEF6DAF" w14:textId="77777777" w:rsidR="00CF01B2" w:rsidRPr="00212064" w:rsidRDefault="00CF01B2" w:rsidP="007E6041">
            <w:pPr>
              <w:widowControl w:val="0"/>
              <w:jc w:val="right"/>
              <w:rPr>
                <w:color w:val="000000"/>
                <w:sz w:val="22"/>
                <w:szCs w:val="22"/>
              </w:rPr>
            </w:pPr>
          </w:p>
        </w:tc>
        <w:tc>
          <w:tcPr>
            <w:tcW w:w="435" w:type="pct"/>
            <w:tcBorders>
              <w:top w:val="nil"/>
              <w:left w:val="nil"/>
              <w:bottom w:val="nil"/>
              <w:right w:val="nil"/>
            </w:tcBorders>
            <w:shd w:val="clear" w:color="auto" w:fill="auto"/>
            <w:noWrap/>
            <w:vAlign w:val="bottom"/>
          </w:tcPr>
          <w:p w14:paraId="5B4FBE78" w14:textId="77777777" w:rsidR="00CF01B2" w:rsidRPr="00212064" w:rsidRDefault="00CF01B2" w:rsidP="007E6041">
            <w:pPr>
              <w:widowControl w:val="0"/>
              <w:jc w:val="right"/>
              <w:rPr>
                <w:color w:val="000000"/>
                <w:sz w:val="22"/>
                <w:szCs w:val="22"/>
              </w:rPr>
            </w:pPr>
          </w:p>
        </w:tc>
        <w:tc>
          <w:tcPr>
            <w:tcW w:w="340" w:type="pct"/>
            <w:tcBorders>
              <w:top w:val="nil"/>
              <w:left w:val="nil"/>
              <w:bottom w:val="nil"/>
              <w:right w:val="nil"/>
            </w:tcBorders>
            <w:shd w:val="clear" w:color="auto" w:fill="auto"/>
            <w:noWrap/>
            <w:vAlign w:val="bottom"/>
          </w:tcPr>
          <w:p w14:paraId="1D4AF104" w14:textId="77777777" w:rsidR="00CF01B2" w:rsidRPr="00212064" w:rsidRDefault="00CF01B2" w:rsidP="007E6041">
            <w:pPr>
              <w:widowControl w:val="0"/>
              <w:jc w:val="right"/>
              <w:rPr>
                <w:color w:val="000000"/>
                <w:sz w:val="22"/>
                <w:szCs w:val="22"/>
              </w:rPr>
            </w:pPr>
          </w:p>
        </w:tc>
        <w:tc>
          <w:tcPr>
            <w:tcW w:w="401" w:type="pct"/>
            <w:tcBorders>
              <w:top w:val="nil"/>
              <w:left w:val="nil"/>
              <w:bottom w:val="nil"/>
              <w:right w:val="nil"/>
            </w:tcBorders>
            <w:shd w:val="clear" w:color="auto" w:fill="auto"/>
            <w:noWrap/>
            <w:vAlign w:val="bottom"/>
          </w:tcPr>
          <w:p w14:paraId="5F0CDDC0" w14:textId="77777777" w:rsidR="00CF01B2" w:rsidRPr="00212064" w:rsidRDefault="00CF01B2" w:rsidP="007E6041">
            <w:pPr>
              <w:widowControl w:val="0"/>
              <w:jc w:val="right"/>
              <w:rPr>
                <w:color w:val="000000"/>
                <w:sz w:val="22"/>
                <w:szCs w:val="22"/>
              </w:rPr>
            </w:pPr>
          </w:p>
        </w:tc>
      </w:tr>
      <w:tr w:rsidR="00CF01B2" w:rsidRPr="00E6232D" w14:paraId="2B4DCA22" w14:textId="77777777" w:rsidTr="007E6041">
        <w:tc>
          <w:tcPr>
            <w:tcW w:w="2688" w:type="pct"/>
            <w:tcBorders>
              <w:top w:val="nil"/>
              <w:left w:val="nil"/>
              <w:bottom w:val="nil"/>
              <w:right w:val="nil"/>
            </w:tcBorders>
            <w:shd w:val="clear" w:color="auto" w:fill="auto"/>
            <w:noWrap/>
            <w:vAlign w:val="bottom"/>
          </w:tcPr>
          <w:p w14:paraId="2A69772B" w14:textId="77777777" w:rsidR="00CF01B2" w:rsidRPr="00212064" w:rsidRDefault="00CF01B2" w:rsidP="007E6041">
            <w:pPr>
              <w:widowControl w:val="0"/>
              <w:rPr>
                <w:color w:val="000000"/>
                <w:sz w:val="22"/>
                <w:szCs w:val="22"/>
              </w:rPr>
            </w:pPr>
            <w:r w:rsidRPr="00212064">
              <w:rPr>
                <w:color w:val="000000"/>
                <w:sz w:val="22"/>
                <w:szCs w:val="22"/>
              </w:rPr>
              <w:t xml:space="preserve">        20-29</w:t>
            </w:r>
          </w:p>
        </w:tc>
        <w:tc>
          <w:tcPr>
            <w:tcW w:w="351" w:type="pct"/>
            <w:tcBorders>
              <w:top w:val="nil"/>
              <w:left w:val="nil"/>
              <w:bottom w:val="nil"/>
              <w:right w:val="nil"/>
            </w:tcBorders>
            <w:shd w:val="clear" w:color="auto" w:fill="auto"/>
            <w:noWrap/>
            <w:vAlign w:val="bottom"/>
          </w:tcPr>
          <w:p w14:paraId="2B0D6797" w14:textId="77777777" w:rsidR="00CF01B2" w:rsidRPr="00212064" w:rsidRDefault="00CF01B2" w:rsidP="007E6041">
            <w:pPr>
              <w:widowControl w:val="0"/>
              <w:jc w:val="right"/>
              <w:rPr>
                <w:color w:val="000000"/>
                <w:sz w:val="22"/>
                <w:szCs w:val="22"/>
              </w:rPr>
            </w:pPr>
            <w:r w:rsidRPr="00212064">
              <w:rPr>
                <w:color w:val="000000"/>
                <w:sz w:val="22"/>
                <w:szCs w:val="22"/>
              </w:rPr>
              <w:t>73</w:t>
            </w:r>
          </w:p>
        </w:tc>
        <w:tc>
          <w:tcPr>
            <w:tcW w:w="417" w:type="pct"/>
            <w:tcBorders>
              <w:top w:val="nil"/>
              <w:left w:val="nil"/>
              <w:bottom w:val="nil"/>
              <w:right w:val="nil"/>
            </w:tcBorders>
            <w:shd w:val="clear" w:color="auto" w:fill="auto"/>
            <w:noWrap/>
            <w:vAlign w:val="bottom"/>
          </w:tcPr>
          <w:p w14:paraId="3C4BE3D2" w14:textId="77777777" w:rsidR="00CF01B2" w:rsidRPr="00212064" w:rsidRDefault="00CF01B2" w:rsidP="007E6041">
            <w:pPr>
              <w:widowControl w:val="0"/>
              <w:jc w:val="right"/>
              <w:rPr>
                <w:color w:val="000000"/>
                <w:sz w:val="22"/>
                <w:szCs w:val="22"/>
              </w:rPr>
            </w:pPr>
            <w:r w:rsidRPr="00212064">
              <w:rPr>
                <w:color w:val="000000"/>
                <w:sz w:val="22"/>
                <w:szCs w:val="22"/>
              </w:rPr>
              <w:t>32.6</w:t>
            </w:r>
          </w:p>
        </w:tc>
        <w:tc>
          <w:tcPr>
            <w:tcW w:w="368" w:type="pct"/>
            <w:tcBorders>
              <w:top w:val="nil"/>
              <w:left w:val="nil"/>
              <w:bottom w:val="nil"/>
              <w:right w:val="nil"/>
            </w:tcBorders>
            <w:shd w:val="clear" w:color="auto" w:fill="auto"/>
            <w:noWrap/>
            <w:vAlign w:val="bottom"/>
          </w:tcPr>
          <w:p w14:paraId="466FD292" w14:textId="77777777" w:rsidR="00CF01B2" w:rsidRPr="00212064" w:rsidRDefault="00CF01B2" w:rsidP="007E6041">
            <w:pPr>
              <w:widowControl w:val="0"/>
              <w:jc w:val="right"/>
              <w:rPr>
                <w:color w:val="000000"/>
                <w:sz w:val="22"/>
                <w:szCs w:val="22"/>
              </w:rPr>
            </w:pPr>
            <w:r w:rsidRPr="00212064">
              <w:rPr>
                <w:color w:val="000000"/>
                <w:sz w:val="22"/>
                <w:szCs w:val="22"/>
              </w:rPr>
              <w:t>95</w:t>
            </w:r>
          </w:p>
        </w:tc>
        <w:tc>
          <w:tcPr>
            <w:tcW w:w="435" w:type="pct"/>
            <w:tcBorders>
              <w:top w:val="nil"/>
              <w:left w:val="nil"/>
              <w:bottom w:val="nil"/>
              <w:right w:val="nil"/>
            </w:tcBorders>
            <w:shd w:val="clear" w:color="auto" w:fill="auto"/>
            <w:noWrap/>
            <w:vAlign w:val="bottom"/>
          </w:tcPr>
          <w:p w14:paraId="4AEDF85D" w14:textId="77777777" w:rsidR="00CF01B2" w:rsidRPr="00212064" w:rsidRDefault="00CF01B2" w:rsidP="007E6041">
            <w:pPr>
              <w:widowControl w:val="0"/>
              <w:jc w:val="right"/>
              <w:rPr>
                <w:color w:val="000000"/>
                <w:sz w:val="22"/>
                <w:szCs w:val="22"/>
              </w:rPr>
            </w:pPr>
            <w:r w:rsidRPr="00212064">
              <w:rPr>
                <w:color w:val="000000"/>
                <w:sz w:val="22"/>
                <w:szCs w:val="22"/>
              </w:rPr>
              <w:t>33.3</w:t>
            </w:r>
          </w:p>
        </w:tc>
        <w:tc>
          <w:tcPr>
            <w:tcW w:w="340" w:type="pct"/>
            <w:tcBorders>
              <w:top w:val="nil"/>
              <w:left w:val="nil"/>
              <w:bottom w:val="nil"/>
              <w:right w:val="nil"/>
            </w:tcBorders>
            <w:shd w:val="clear" w:color="auto" w:fill="auto"/>
            <w:noWrap/>
            <w:vAlign w:val="bottom"/>
          </w:tcPr>
          <w:p w14:paraId="265DF302" w14:textId="77777777" w:rsidR="00CF01B2" w:rsidRPr="00212064" w:rsidRDefault="00CF01B2" w:rsidP="007E6041">
            <w:pPr>
              <w:widowControl w:val="0"/>
              <w:jc w:val="right"/>
              <w:rPr>
                <w:color w:val="000000"/>
                <w:sz w:val="22"/>
                <w:szCs w:val="22"/>
              </w:rPr>
            </w:pPr>
            <w:r w:rsidRPr="00212064">
              <w:rPr>
                <w:color w:val="000000"/>
                <w:sz w:val="22"/>
                <w:szCs w:val="22"/>
              </w:rPr>
              <w:t>73</w:t>
            </w:r>
          </w:p>
        </w:tc>
        <w:tc>
          <w:tcPr>
            <w:tcW w:w="401" w:type="pct"/>
            <w:tcBorders>
              <w:top w:val="nil"/>
              <w:left w:val="nil"/>
              <w:bottom w:val="nil"/>
              <w:right w:val="nil"/>
            </w:tcBorders>
            <w:shd w:val="clear" w:color="auto" w:fill="auto"/>
            <w:noWrap/>
            <w:vAlign w:val="bottom"/>
          </w:tcPr>
          <w:p w14:paraId="7D406ACA" w14:textId="77777777" w:rsidR="00CF01B2" w:rsidRPr="00212064" w:rsidRDefault="00CF01B2" w:rsidP="007E6041">
            <w:pPr>
              <w:widowControl w:val="0"/>
              <w:jc w:val="right"/>
              <w:rPr>
                <w:color w:val="000000"/>
                <w:sz w:val="22"/>
                <w:szCs w:val="22"/>
              </w:rPr>
            </w:pPr>
            <w:r w:rsidRPr="00212064">
              <w:rPr>
                <w:color w:val="000000"/>
                <w:sz w:val="22"/>
                <w:szCs w:val="22"/>
              </w:rPr>
              <w:t>16.7</w:t>
            </w:r>
          </w:p>
        </w:tc>
      </w:tr>
      <w:tr w:rsidR="00CF01B2" w:rsidRPr="00E6232D" w14:paraId="4D3155A5" w14:textId="77777777" w:rsidTr="007E6041">
        <w:tc>
          <w:tcPr>
            <w:tcW w:w="2688" w:type="pct"/>
            <w:tcBorders>
              <w:top w:val="nil"/>
              <w:left w:val="nil"/>
              <w:bottom w:val="nil"/>
              <w:right w:val="nil"/>
            </w:tcBorders>
            <w:shd w:val="clear" w:color="auto" w:fill="auto"/>
            <w:noWrap/>
            <w:vAlign w:val="bottom"/>
          </w:tcPr>
          <w:p w14:paraId="625052D7" w14:textId="77777777" w:rsidR="00CF01B2" w:rsidRPr="00212064" w:rsidRDefault="00CF01B2" w:rsidP="007E6041">
            <w:pPr>
              <w:widowControl w:val="0"/>
              <w:rPr>
                <w:color w:val="000000"/>
                <w:sz w:val="22"/>
                <w:szCs w:val="22"/>
              </w:rPr>
            </w:pPr>
            <w:r w:rsidRPr="00212064">
              <w:rPr>
                <w:color w:val="000000"/>
                <w:sz w:val="22"/>
                <w:szCs w:val="22"/>
              </w:rPr>
              <w:t xml:space="preserve">        30-39</w:t>
            </w:r>
          </w:p>
        </w:tc>
        <w:tc>
          <w:tcPr>
            <w:tcW w:w="351" w:type="pct"/>
            <w:tcBorders>
              <w:top w:val="nil"/>
              <w:left w:val="nil"/>
              <w:bottom w:val="nil"/>
              <w:right w:val="nil"/>
            </w:tcBorders>
            <w:shd w:val="clear" w:color="auto" w:fill="auto"/>
            <w:noWrap/>
            <w:vAlign w:val="bottom"/>
          </w:tcPr>
          <w:p w14:paraId="3E86EFCD" w14:textId="77777777" w:rsidR="00CF01B2" w:rsidRPr="00212064" w:rsidRDefault="00CF01B2" w:rsidP="007E6041">
            <w:pPr>
              <w:widowControl w:val="0"/>
              <w:jc w:val="right"/>
              <w:rPr>
                <w:color w:val="000000"/>
                <w:sz w:val="22"/>
                <w:szCs w:val="22"/>
              </w:rPr>
            </w:pPr>
            <w:r w:rsidRPr="00212064">
              <w:rPr>
                <w:color w:val="000000"/>
                <w:sz w:val="22"/>
                <w:szCs w:val="22"/>
              </w:rPr>
              <w:t>64</w:t>
            </w:r>
          </w:p>
        </w:tc>
        <w:tc>
          <w:tcPr>
            <w:tcW w:w="417" w:type="pct"/>
            <w:tcBorders>
              <w:top w:val="nil"/>
              <w:left w:val="nil"/>
              <w:bottom w:val="nil"/>
              <w:right w:val="nil"/>
            </w:tcBorders>
            <w:shd w:val="clear" w:color="auto" w:fill="auto"/>
            <w:noWrap/>
            <w:vAlign w:val="bottom"/>
          </w:tcPr>
          <w:p w14:paraId="59AA6250" w14:textId="77777777" w:rsidR="00CF01B2" w:rsidRPr="00212064" w:rsidRDefault="00CF01B2" w:rsidP="007E6041">
            <w:pPr>
              <w:widowControl w:val="0"/>
              <w:jc w:val="right"/>
              <w:rPr>
                <w:color w:val="000000"/>
                <w:sz w:val="22"/>
                <w:szCs w:val="22"/>
              </w:rPr>
            </w:pPr>
            <w:r w:rsidRPr="00212064">
              <w:rPr>
                <w:color w:val="000000"/>
                <w:sz w:val="22"/>
                <w:szCs w:val="22"/>
              </w:rPr>
              <w:t>28.6</w:t>
            </w:r>
          </w:p>
        </w:tc>
        <w:tc>
          <w:tcPr>
            <w:tcW w:w="368" w:type="pct"/>
            <w:tcBorders>
              <w:top w:val="nil"/>
              <w:left w:val="nil"/>
              <w:bottom w:val="nil"/>
              <w:right w:val="nil"/>
            </w:tcBorders>
            <w:shd w:val="clear" w:color="auto" w:fill="auto"/>
            <w:noWrap/>
            <w:vAlign w:val="bottom"/>
          </w:tcPr>
          <w:p w14:paraId="788A84E7" w14:textId="77777777" w:rsidR="00CF01B2" w:rsidRPr="00212064" w:rsidRDefault="00CF01B2" w:rsidP="007E6041">
            <w:pPr>
              <w:widowControl w:val="0"/>
              <w:jc w:val="right"/>
              <w:rPr>
                <w:color w:val="000000"/>
                <w:sz w:val="22"/>
                <w:szCs w:val="22"/>
              </w:rPr>
            </w:pPr>
            <w:r w:rsidRPr="00212064">
              <w:rPr>
                <w:color w:val="000000"/>
                <w:sz w:val="22"/>
                <w:szCs w:val="22"/>
              </w:rPr>
              <w:t>100</w:t>
            </w:r>
          </w:p>
        </w:tc>
        <w:tc>
          <w:tcPr>
            <w:tcW w:w="435" w:type="pct"/>
            <w:tcBorders>
              <w:top w:val="nil"/>
              <w:left w:val="nil"/>
              <w:bottom w:val="nil"/>
              <w:right w:val="nil"/>
            </w:tcBorders>
            <w:shd w:val="clear" w:color="auto" w:fill="auto"/>
            <w:noWrap/>
            <w:vAlign w:val="bottom"/>
          </w:tcPr>
          <w:p w14:paraId="75199D0F" w14:textId="77777777" w:rsidR="00CF01B2" w:rsidRPr="00212064" w:rsidRDefault="00CF01B2" w:rsidP="007E6041">
            <w:pPr>
              <w:widowControl w:val="0"/>
              <w:jc w:val="right"/>
              <w:rPr>
                <w:color w:val="000000"/>
                <w:sz w:val="22"/>
                <w:szCs w:val="22"/>
              </w:rPr>
            </w:pPr>
            <w:r w:rsidRPr="00212064">
              <w:rPr>
                <w:color w:val="000000"/>
                <w:sz w:val="22"/>
                <w:szCs w:val="22"/>
              </w:rPr>
              <w:t>35.1</w:t>
            </w:r>
          </w:p>
        </w:tc>
        <w:tc>
          <w:tcPr>
            <w:tcW w:w="340" w:type="pct"/>
            <w:tcBorders>
              <w:top w:val="nil"/>
              <w:left w:val="nil"/>
              <w:bottom w:val="nil"/>
              <w:right w:val="nil"/>
            </w:tcBorders>
            <w:shd w:val="clear" w:color="auto" w:fill="auto"/>
            <w:noWrap/>
            <w:vAlign w:val="bottom"/>
          </w:tcPr>
          <w:p w14:paraId="72AB2E20" w14:textId="77777777" w:rsidR="00CF01B2" w:rsidRPr="00212064" w:rsidRDefault="00CF01B2" w:rsidP="007E6041">
            <w:pPr>
              <w:widowControl w:val="0"/>
              <w:jc w:val="right"/>
              <w:rPr>
                <w:color w:val="000000"/>
                <w:sz w:val="22"/>
                <w:szCs w:val="22"/>
              </w:rPr>
            </w:pPr>
            <w:r w:rsidRPr="00212064">
              <w:rPr>
                <w:color w:val="000000"/>
                <w:sz w:val="22"/>
                <w:szCs w:val="22"/>
              </w:rPr>
              <w:t>165</w:t>
            </w:r>
          </w:p>
        </w:tc>
        <w:tc>
          <w:tcPr>
            <w:tcW w:w="401" w:type="pct"/>
            <w:tcBorders>
              <w:top w:val="nil"/>
              <w:left w:val="nil"/>
              <w:bottom w:val="nil"/>
              <w:right w:val="nil"/>
            </w:tcBorders>
            <w:shd w:val="clear" w:color="auto" w:fill="auto"/>
            <w:noWrap/>
            <w:vAlign w:val="bottom"/>
          </w:tcPr>
          <w:p w14:paraId="2C156E33" w14:textId="77777777" w:rsidR="00CF01B2" w:rsidRPr="00212064" w:rsidRDefault="00CF01B2" w:rsidP="007E6041">
            <w:pPr>
              <w:widowControl w:val="0"/>
              <w:jc w:val="right"/>
              <w:rPr>
                <w:color w:val="000000"/>
                <w:sz w:val="22"/>
                <w:szCs w:val="22"/>
              </w:rPr>
            </w:pPr>
            <w:r w:rsidRPr="00212064">
              <w:rPr>
                <w:color w:val="000000"/>
                <w:sz w:val="22"/>
                <w:szCs w:val="22"/>
              </w:rPr>
              <w:t>37.7</w:t>
            </w:r>
          </w:p>
        </w:tc>
      </w:tr>
      <w:tr w:rsidR="00CF01B2" w:rsidRPr="00E6232D" w14:paraId="31CE287D" w14:textId="77777777" w:rsidTr="007E6041">
        <w:tc>
          <w:tcPr>
            <w:tcW w:w="2688" w:type="pct"/>
            <w:tcBorders>
              <w:top w:val="nil"/>
              <w:left w:val="nil"/>
              <w:bottom w:val="nil"/>
              <w:right w:val="nil"/>
            </w:tcBorders>
            <w:shd w:val="clear" w:color="auto" w:fill="auto"/>
            <w:noWrap/>
            <w:vAlign w:val="bottom"/>
          </w:tcPr>
          <w:p w14:paraId="78AF80D7" w14:textId="77777777" w:rsidR="00CF01B2" w:rsidRPr="00212064" w:rsidRDefault="00CF01B2" w:rsidP="007E6041">
            <w:pPr>
              <w:widowControl w:val="0"/>
              <w:rPr>
                <w:color w:val="000000"/>
                <w:sz w:val="22"/>
                <w:szCs w:val="22"/>
              </w:rPr>
            </w:pPr>
            <w:r w:rsidRPr="00212064">
              <w:rPr>
                <w:color w:val="000000"/>
                <w:sz w:val="22"/>
                <w:szCs w:val="22"/>
              </w:rPr>
              <w:t xml:space="preserve">        40-49</w:t>
            </w:r>
          </w:p>
        </w:tc>
        <w:tc>
          <w:tcPr>
            <w:tcW w:w="351" w:type="pct"/>
            <w:tcBorders>
              <w:top w:val="nil"/>
              <w:left w:val="nil"/>
              <w:bottom w:val="nil"/>
              <w:right w:val="nil"/>
            </w:tcBorders>
            <w:shd w:val="clear" w:color="auto" w:fill="auto"/>
            <w:noWrap/>
            <w:vAlign w:val="bottom"/>
          </w:tcPr>
          <w:p w14:paraId="7FEEB981" w14:textId="77777777" w:rsidR="00CF01B2" w:rsidRPr="00212064" w:rsidRDefault="00CF01B2" w:rsidP="007E6041">
            <w:pPr>
              <w:widowControl w:val="0"/>
              <w:jc w:val="right"/>
              <w:rPr>
                <w:color w:val="000000"/>
                <w:sz w:val="22"/>
                <w:szCs w:val="22"/>
              </w:rPr>
            </w:pPr>
            <w:r w:rsidRPr="00212064">
              <w:rPr>
                <w:color w:val="000000"/>
                <w:sz w:val="22"/>
                <w:szCs w:val="22"/>
              </w:rPr>
              <w:t>56</w:t>
            </w:r>
          </w:p>
        </w:tc>
        <w:tc>
          <w:tcPr>
            <w:tcW w:w="417" w:type="pct"/>
            <w:tcBorders>
              <w:top w:val="nil"/>
              <w:left w:val="nil"/>
              <w:bottom w:val="nil"/>
              <w:right w:val="nil"/>
            </w:tcBorders>
            <w:shd w:val="clear" w:color="auto" w:fill="auto"/>
            <w:noWrap/>
            <w:vAlign w:val="bottom"/>
          </w:tcPr>
          <w:p w14:paraId="044F7E61" w14:textId="77777777" w:rsidR="00CF01B2" w:rsidRPr="00212064" w:rsidRDefault="00CF01B2" w:rsidP="007E6041">
            <w:pPr>
              <w:widowControl w:val="0"/>
              <w:jc w:val="right"/>
              <w:rPr>
                <w:color w:val="000000"/>
                <w:sz w:val="22"/>
                <w:szCs w:val="22"/>
              </w:rPr>
            </w:pPr>
            <w:r w:rsidRPr="00212064">
              <w:rPr>
                <w:color w:val="000000"/>
                <w:sz w:val="22"/>
                <w:szCs w:val="22"/>
              </w:rPr>
              <w:t>25.0</w:t>
            </w:r>
          </w:p>
        </w:tc>
        <w:tc>
          <w:tcPr>
            <w:tcW w:w="368" w:type="pct"/>
            <w:tcBorders>
              <w:top w:val="nil"/>
              <w:left w:val="nil"/>
              <w:bottom w:val="nil"/>
              <w:right w:val="nil"/>
            </w:tcBorders>
            <w:shd w:val="clear" w:color="auto" w:fill="auto"/>
            <w:noWrap/>
            <w:vAlign w:val="bottom"/>
          </w:tcPr>
          <w:p w14:paraId="78B01418" w14:textId="77777777" w:rsidR="00CF01B2" w:rsidRPr="00212064" w:rsidRDefault="00CF01B2" w:rsidP="007E6041">
            <w:pPr>
              <w:widowControl w:val="0"/>
              <w:jc w:val="right"/>
              <w:rPr>
                <w:color w:val="000000"/>
                <w:sz w:val="22"/>
                <w:szCs w:val="22"/>
              </w:rPr>
            </w:pPr>
            <w:r w:rsidRPr="00212064">
              <w:rPr>
                <w:color w:val="000000"/>
                <w:sz w:val="22"/>
                <w:szCs w:val="22"/>
              </w:rPr>
              <w:t>63</w:t>
            </w:r>
          </w:p>
        </w:tc>
        <w:tc>
          <w:tcPr>
            <w:tcW w:w="435" w:type="pct"/>
            <w:tcBorders>
              <w:top w:val="nil"/>
              <w:left w:val="nil"/>
              <w:bottom w:val="nil"/>
              <w:right w:val="nil"/>
            </w:tcBorders>
            <w:shd w:val="clear" w:color="auto" w:fill="auto"/>
            <w:noWrap/>
            <w:vAlign w:val="bottom"/>
          </w:tcPr>
          <w:p w14:paraId="15FFDA27" w14:textId="77777777" w:rsidR="00CF01B2" w:rsidRPr="00212064" w:rsidRDefault="00CF01B2" w:rsidP="007E6041">
            <w:pPr>
              <w:widowControl w:val="0"/>
              <w:jc w:val="right"/>
              <w:rPr>
                <w:color w:val="000000"/>
                <w:sz w:val="22"/>
                <w:szCs w:val="22"/>
              </w:rPr>
            </w:pPr>
            <w:r w:rsidRPr="00212064">
              <w:rPr>
                <w:color w:val="000000"/>
                <w:sz w:val="22"/>
                <w:szCs w:val="22"/>
              </w:rPr>
              <w:t>22.1</w:t>
            </w:r>
          </w:p>
        </w:tc>
        <w:tc>
          <w:tcPr>
            <w:tcW w:w="340" w:type="pct"/>
            <w:tcBorders>
              <w:top w:val="nil"/>
              <w:left w:val="nil"/>
              <w:bottom w:val="nil"/>
              <w:right w:val="nil"/>
            </w:tcBorders>
            <w:shd w:val="clear" w:color="auto" w:fill="auto"/>
            <w:noWrap/>
            <w:vAlign w:val="bottom"/>
          </w:tcPr>
          <w:p w14:paraId="1360C058" w14:textId="77777777" w:rsidR="00CF01B2" w:rsidRPr="00212064" w:rsidRDefault="00CF01B2" w:rsidP="007E6041">
            <w:pPr>
              <w:widowControl w:val="0"/>
              <w:jc w:val="right"/>
              <w:rPr>
                <w:color w:val="000000"/>
                <w:sz w:val="22"/>
                <w:szCs w:val="22"/>
              </w:rPr>
            </w:pPr>
            <w:r w:rsidRPr="00212064">
              <w:rPr>
                <w:color w:val="000000"/>
                <w:sz w:val="22"/>
                <w:szCs w:val="22"/>
              </w:rPr>
              <w:t>152</w:t>
            </w:r>
          </w:p>
        </w:tc>
        <w:tc>
          <w:tcPr>
            <w:tcW w:w="401" w:type="pct"/>
            <w:tcBorders>
              <w:top w:val="nil"/>
              <w:left w:val="nil"/>
              <w:bottom w:val="nil"/>
              <w:right w:val="nil"/>
            </w:tcBorders>
            <w:shd w:val="clear" w:color="auto" w:fill="auto"/>
            <w:noWrap/>
            <w:vAlign w:val="bottom"/>
          </w:tcPr>
          <w:p w14:paraId="01BFAFF6" w14:textId="77777777" w:rsidR="00CF01B2" w:rsidRPr="00212064" w:rsidRDefault="00CF01B2" w:rsidP="007E6041">
            <w:pPr>
              <w:widowControl w:val="0"/>
              <w:jc w:val="right"/>
              <w:rPr>
                <w:color w:val="000000"/>
                <w:sz w:val="22"/>
                <w:szCs w:val="22"/>
              </w:rPr>
            </w:pPr>
            <w:r w:rsidRPr="00212064">
              <w:rPr>
                <w:color w:val="000000"/>
                <w:sz w:val="22"/>
                <w:szCs w:val="22"/>
              </w:rPr>
              <w:t>34.7</w:t>
            </w:r>
          </w:p>
        </w:tc>
      </w:tr>
      <w:tr w:rsidR="00CF01B2" w:rsidRPr="00E6232D" w14:paraId="4D67A627" w14:textId="77777777" w:rsidTr="007E6041">
        <w:tc>
          <w:tcPr>
            <w:tcW w:w="2688" w:type="pct"/>
            <w:tcBorders>
              <w:top w:val="nil"/>
              <w:left w:val="nil"/>
              <w:bottom w:val="nil"/>
              <w:right w:val="nil"/>
            </w:tcBorders>
            <w:shd w:val="clear" w:color="auto" w:fill="auto"/>
            <w:noWrap/>
            <w:vAlign w:val="bottom"/>
          </w:tcPr>
          <w:p w14:paraId="4CF41F20" w14:textId="77777777" w:rsidR="00CF01B2" w:rsidRPr="00212064" w:rsidRDefault="00CF01B2" w:rsidP="007E6041">
            <w:pPr>
              <w:widowControl w:val="0"/>
              <w:rPr>
                <w:color w:val="000000"/>
                <w:sz w:val="22"/>
                <w:szCs w:val="22"/>
              </w:rPr>
            </w:pPr>
            <w:r w:rsidRPr="00212064">
              <w:rPr>
                <w:color w:val="000000"/>
                <w:sz w:val="22"/>
                <w:szCs w:val="22"/>
              </w:rPr>
              <w:t xml:space="preserve">        50-59</w:t>
            </w:r>
          </w:p>
        </w:tc>
        <w:tc>
          <w:tcPr>
            <w:tcW w:w="351" w:type="pct"/>
            <w:tcBorders>
              <w:top w:val="nil"/>
              <w:left w:val="nil"/>
              <w:bottom w:val="nil"/>
              <w:right w:val="nil"/>
            </w:tcBorders>
            <w:shd w:val="clear" w:color="auto" w:fill="auto"/>
            <w:noWrap/>
            <w:vAlign w:val="bottom"/>
          </w:tcPr>
          <w:p w14:paraId="4C5AE5B1" w14:textId="77777777" w:rsidR="00CF01B2" w:rsidRPr="00212064" w:rsidRDefault="00CF01B2" w:rsidP="007E6041">
            <w:pPr>
              <w:widowControl w:val="0"/>
              <w:jc w:val="right"/>
              <w:rPr>
                <w:color w:val="000000"/>
                <w:sz w:val="22"/>
                <w:szCs w:val="22"/>
              </w:rPr>
            </w:pPr>
            <w:r w:rsidRPr="00212064">
              <w:rPr>
                <w:color w:val="000000"/>
                <w:sz w:val="22"/>
                <w:szCs w:val="22"/>
              </w:rPr>
              <w:t>31</w:t>
            </w:r>
          </w:p>
        </w:tc>
        <w:tc>
          <w:tcPr>
            <w:tcW w:w="417" w:type="pct"/>
            <w:tcBorders>
              <w:top w:val="nil"/>
              <w:left w:val="nil"/>
              <w:bottom w:val="nil"/>
              <w:right w:val="nil"/>
            </w:tcBorders>
            <w:shd w:val="clear" w:color="auto" w:fill="auto"/>
            <w:noWrap/>
            <w:vAlign w:val="bottom"/>
          </w:tcPr>
          <w:p w14:paraId="562A93B0" w14:textId="77777777" w:rsidR="00CF01B2" w:rsidRPr="00212064" w:rsidRDefault="00CF01B2" w:rsidP="007E6041">
            <w:pPr>
              <w:widowControl w:val="0"/>
              <w:jc w:val="right"/>
              <w:rPr>
                <w:color w:val="000000"/>
                <w:sz w:val="22"/>
                <w:szCs w:val="22"/>
              </w:rPr>
            </w:pPr>
            <w:r w:rsidRPr="00212064">
              <w:rPr>
                <w:color w:val="000000"/>
                <w:sz w:val="22"/>
                <w:szCs w:val="22"/>
              </w:rPr>
              <w:t>13.8</w:t>
            </w:r>
          </w:p>
        </w:tc>
        <w:tc>
          <w:tcPr>
            <w:tcW w:w="368" w:type="pct"/>
            <w:tcBorders>
              <w:top w:val="nil"/>
              <w:left w:val="nil"/>
              <w:bottom w:val="nil"/>
              <w:right w:val="nil"/>
            </w:tcBorders>
            <w:shd w:val="clear" w:color="auto" w:fill="auto"/>
            <w:noWrap/>
            <w:vAlign w:val="bottom"/>
          </w:tcPr>
          <w:p w14:paraId="3A709F5B" w14:textId="77777777" w:rsidR="00CF01B2" w:rsidRPr="00212064" w:rsidRDefault="00CF01B2" w:rsidP="007E6041">
            <w:pPr>
              <w:widowControl w:val="0"/>
              <w:jc w:val="right"/>
              <w:rPr>
                <w:color w:val="000000"/>
                <w:sz w:val="22"/>
                <w:szCs w:val="22"/>
              </w:rPr>
            </w:pPr>
            <w:r w:rsidRPr="00212064">
              <w:rPr>
                <w:color w:val="000000"/>
                <w:sz w:val="22"/>
                <w:szCs w:val="22"/>
              </w:rPr>
              <w:t>27</w:t>
            </w:r>
          </w:p>
        </w:tc>
        <w:tc>
          <w:tcPr>
            <w:tcW w:w="435" w:type="pct"/>
            <w:tcBorders>
              <w:top w:val="nil"/>
              <w:left w:val="nil"/>
              <w:bottom w:val="nil"/>
              <w:right w:val="nil"/>
            </w:tcBorders>
            <w:shd w:val="clear" w:color="auto" w:fill="auto"/>
            <w:noWrap/>
            <w:vAlign w:val="bottom"/>
          </w:tcPr>
          <w:p w14:paraId="0D9E266D" w14:textId="77777777" w:rsidR="00CF01B2" w:rsidRPr="00212064" w:rsidRDefault="00CF01B2" w:rsidP="007E6041">
            <w:pPr>
              <w:widowControl w:val="0"/>
              <w:jc w:val="right"/>
              <w:rPr>
                <w:color w:val="000000"/>
                <w:sz w:val="22"/>
                <w:szCs w:val="22"/>
              </w:rPr>
            </w:pPr>
            <w:r w:rsidRPr="00212064">
              <w:rPr>
                <w:color w:val="000000"/>
                <w:sz w:val="22"/>
                <w:szCs w:val="22"/>
              </w:rPr>
              <w:t>9.5</w:t>
            </w:r>
          </w:p>
        </w:tc>
        <w:tc>
          <w:tcPr>
            <w:tcW w:w="340" w:type="pct"/>
            <w:tcBorders>
              <w:top w:val="nil"/>
              <w:left w:val="nil"/>
              <w:bottom w:val="nil"/>
              <w:right w:val="nil"/>
            </w:tcBorders>
            <w:shd w:val="clear" w:color="auto" w:fill="auto"/>
            <w:noWrap/>
            <w:vAlign w:val="bottom"/>
          </w:tcPr>
          <w:p w14:paraId="0734D833" w14:textId="77777777" w:rsidR="00CF01B2" w:rsidRPr="00212064" w:rsidRDefault="00CF01B2" w:rsidP="007E6041">
            <w:pPr>
              <w:widowControl w:val="0"/>
              <w:jc w:val="right"/>
              <w:rPr>
                <w:color w:val="000000"/>
                <w:sz w:val="22"/>
                <w:szCs w:val="22"/>
              </w:rPr>
            </w:pPr>
            <w:r w:rsidRPr="00212064">
              <w:rPr>
                <w:color w:val="000000"/>
                <w:sz w:val="22"/>
                <w:szCs w:val="22"/>
              </w:rPr>
              <w:t>48</w:t>
            </w:r>
          </w:p>
        </w:tc>
        <w:tc>
          <w:tcPr>
            <w:tcW w:w="401" w:type="pct"/>
            <w:tcBorders>
              <w:top w:val="nil"/>
              <w:left w:val="nil"/>
              <w:bottom w:val="nil"/>
              <w:right w:val="nil"/>
            </w:tcBorders>
            <w:shd w:val="clear" w:color="auto" w:fill="auto"/>
            <w:noWrap/>
            <w:vAlign w:val="bottom"/>
          </w:tcPr>
          <w:p w14:paraId="1156E3A3" w14:textId="77777777" w:rsidR="00CF01B2" w:rsidRPr="00212064" w:rsidRDefault="00CF01B2" w:rsidP="007E6041">
            <w:pPr>
              <w:widowControl w:val="0"/>
              <w:jc w:val="right"/>
              <w:rPr>
                <w:color w:val="000000"/>
                <w:sz w:val="22"/>
                <w:szCs w:val="22"/>
              </w:rPr>
            </w:pPr>
            <w:r w:rsidRPr="00212064">
              <w:rPr>
                <w:color w:val="000000"/>
                <w:sz w:val="22"/>
                <w:szCs w:val="22"/>
              </w:rPr>
              <w:t>11.0</w:t>
            </w:r>
          </w:p>
        </w:tc>
      </w:tr>
      <w:tr w:rsidR="00CF01B2" w:rsidRPr="00E6232D" w14:paraId="0DC0C1BA" w14:textId="77777777" w:rsidTr="007E6041">
        <w:tc>
          <w:tcPr>
            <w:tcW w:w="2688" w:type="pct"/>
            <w:tcBorders>
              <w:top w:val="nil"/>
              <w:left w:val="nil"/>
              <w:bottom w:val="nil"/>
              <w:right w:val="nil"/>
            </w:tcBorders>
            <w:shd w:val="clear" w:color="auto" w:fill="auto"/>
            <w:noWrap/>
            <w:vAlign w:val="bottom"/>
          </w:tcPr>
          <w:p w14:paraId="1C5DFA04" w14:textId="77777777" w:rsidR="00CF01B2" w:rsidRPr="00212064" w:rsidRDefault="00CF01B2" w:rsidP="007E6041">
            <w:pPr>
              <w:widowControl w:val="0"/>
              <w:rPr>
                <w:b/>
                <w:color w:val="000000"/>
                <w:sz w:val="22"/>
                <w:szCs w:val="22"/>
              </w:rPr>
            </w:pPr>
            <w:r>
              <w:rPr>
                <w:b/>
                <w:color w:val="000000"/>
                <w:sz w:val="22"/>
                <w:szCs w:val="22"/>
              </w:rPr>
              <w:t>Employment</w:t>
            </w:r>
            <w:r w:rsidRPr="00212064">
              <w:rPr>
                <w:b/>
                <w:color w:val="000000"/>
                <w:sz w:val="22"/>
                <w:szCs w:val="22"/>
              </w:rPr>
              <w:t>-related characteristics</w:t>
            </w:r>
          </w:p>
        </w:tc>
        <w:tc>
          <w:tcPr>
            <w:tcW w:w="351" w:type="pct"/>
            <w:tcBorders>
              <w:top w:val="nil"/>
              <w:left w:val="nil"/>
              <w:bottom w:val="nil"/>
              <w:right w:val="nil"/>
            </w:tcBorders>
            <w:shd w:val="clear" w:color="auto" w:fill="auto"/>
            <w:noWrap/>
            <w:vAlign w:val="bottom"/>
          </w:tcPr>
          <w:p w14:paraId="5C4D28BE" w14:textId="77777777" w:rsidR="00CF01B2" w:rsidRPr="00212064" w:rsidRDefault="00CF01B2" w:rsidP="007E6041">
            <w:pPr>
              <w:widowControl w:val="0"/>
              <w:jc w:val="right"/>
              <w:rPr>
                <w:color w:val="000000"/>
                <w:sz w:val="22"/>
                <w:szCs w:val="22"/>
              </w:rPr>
            </w:pPr>
          </w:p>
        </w:tc>
        <w:tc>
          <w:tcPr>
            <w:tcW w:w="417" w:type="pct"/>
            <w:tcBorders>
              <w:top w:val="nil"/>
              <w:left w:val="nil"/>
              <w:bottom w:val="nil"/>
              <w:right w:val="nil"/>
            </w:tcBorders>
            <w:shd w:val="clear" w:color="auto" w:fill="auto"/>
            <w:noWrap/>
            <w:vAlign w:val="bottom"/>
          </w:tcPr>
          <w:p w14:paraId="1720F132" w14:textId="77777777" w:rsidR="00CF01B2" w:rsidRPr="00212064" w:rsidRDefault="00CF01B2" w:rsidP="007E6041">
            <w:pPr>
              <w:widowControl w:val="0"/>
              <w:jc w:val="right"/>
              <w:rPr>
                <w:color w:val="000000"/>
                <w:sz w:val="22"/>
                <w:szCs w:val="22"/>
              </w:rPr>
            </w:pPr>
          </w:p>
        </w:tc>
        <w:tc>
          <w:tcPr>
            <w:tcW w:w="368" w:type="pct"/>
            <w:tcBorders>
              <w:top w:val="nil"/>
              <w:left w:val="nil"/>
              <w:bottom w:val="nil"/>
              <w:right w:val="nil"/>
            </w:tcBorders>
            <w:shd w:val="clear" w:color="auto" w:fill="auto"/>
            <w:noWrap/>
            <w:vAlign w:val="bottom"/>
          </w:tcPr>
          <w:p w14:paraId="65D1BB6A" w14:textId="77777777" w:rsidR="00CF01B2" w:rsidRPr="00212064" w:rsidRDefault="00CF01B2" w:rsidP="007E6041">
            <w:pPr>
              <w:widowControl w:val="0"/>
              <w:jc w:val="right"/>
              <w:rPr>
                <w:color w:val="000000"/>
                <w:sz w:val="22"/>
                <w:szCs w:val="22"/>
              </w:rPr>
            </w:pPr>
          </w:p>
        </w:tc>
        <w:tc>
          <w:tcPr>
            <w:tcW w:w="435" w:type="pct"/>
            <w:tcBorders>
              <w:top w:val="nil"/>
              <w:left w:val="nil"/>
              <w:bottom w:val="nil"/>
              <w:right w:val="nil"/>
            </w:tcBorders>
            <w:shd w:val="clear" w:color="auto" w:fill="auto"/>
            <w:noWrap/>
            <w:vAlign w:val="bottom"/>
          </w:tcPr>
          <w:p w14:paraId="3A0FD0D0" w14:textId="77777777" w:rsidR="00CF01B2" w:rsidRPr="00212064" w:rsidRDefault="00CF01B2" w:rsidP="007E6041">
            <w:pPr>
              <w:widowControl w:val="0"/>
              <w:jc w:val="right"/>
              <w:rPr>
                <w:color w:val="000000"/>
                <w:sz w:val="22"/>
                <w:szCs w:val="22"/>
              </w:rPr>
            </w:pPr>
          </w:p>
        </w:tc>
        <w:tc>
          <w:tcPr>
            <w:tcW w:w="340" w:type="pct"/>
            <w:tcBorders>
              <w:top w:val="nil"/>
              <w:left w:val="nil"/>
              <w:bottom w:val="nil"/>
              <w:right w:val="nil"/>
            </w:tcBorders>
            <w:shd w:val="clear" w:color="auto" w:fill="auto"/>
            <w:noWrap/>
            <w:vAlign w:val="bottom"/>
          </w:tcPr>
          <w:p w14:paraId="0BCA8658" w14:textId="77777777" w:rsidR="00CF01B2" w:rsidRPr="00212064" w:rsidRDefault="00CF01B2" w:rsidP="007E6041">
            <w:pPr>
              <w:widowControl w:val="0"/>
              <w:jc w:val="right"/>
              <w:rPr>
                <w:color w:val="000000"/>
                <w:sz w:val="22"/>
                <w:szCs w:val="22"/>
              </w:rPr>
            </w:pPr>
          </w:p>
        </w:tc>
        <w:tc>
          <w:tcPr>
            <w:tcW w:w="401" w:type="pct"/>
            <w:tcBorders>
              <w:top w:val="nil"/>
              <w:left w:val="nil"/>
              <w:bottom w:val="nil"/>
              <w:right w:val="nil"/>
            </w:tcBorders>
            <w:shd w:val="clear" w:color="auto" w:fill="auto"/>
            <w:noWrap/>
            <w:vAlign w:val="bottom"/>
          </w:tcPr>
          <w:p w14:paraId="73909C15" w14:textId="77777777" w:rsidR="00CF01B2" w:rsidRPr="00212064" w:rsidRDefault="00CF01B2" w:rsidP="007E6041">
            <w:pPr>
              <w:widowControl w:val="0"/>
              <w:jc w:val="right"/>
              <w:rPr>
                <w:color w:val="000000"/>
                <w:sz w:val="22"/>
                <w:szCs w:val="22"/>
              </w:rPr>
            </w:pPr>
          </w:p>
        </w:tc>
      </w:tr>
      <w:tr w:rsidR="00CF01B2" w:rsidRPr="00E6232D" w14:paraId="7BA8DEBC" w14:textId="77777777" w:rsidTr="007E6041">
        <w:tc>
          <w:tcPr>
            <w:tcW w:w="2688" w:type="pct"/>
            <w:tcBorders>
              <w:top w:val="nil"/>
              <w:left w:val="nil"/>
              <w:bottom w:val="nil"/>
              <w:right w:val="nil"/>
            </w:tcBorders>
            <w:shd w:val="clear" w:color="auto" w:fill="auto"/>
            <w:noWrap/>
            <w:vAlign w:val="bottom"/>
          </w:tcPr>
          <w:p w14:paraId="36D4A5DB" w14:textId="77777777" w:rsidR="00CF01B2" w:rsidRPr="00212064" w:rsidRDefault="00CF01B2" w:rsidP="007E6041">
            <w:pPr>
              <w:widowControl w:val="0"/>
              <w:rPr>
                <w:color w:val="000000"/>
                <w:sz w:val="22"/>
                <w:szCs w:val="22"/>
              </w:rPr>
            </w:pPr>
            <w:r>
              <w:rPr>
                <w:color w:val="000000"/>
                <w:sz w:val="22"/>
                <w:szCs w:val="22"/>
              </w:rPr>
              <w:t xml:space="preserve">    Hours worked per week</w:t>
            </w:r>
          </w:p>
        </w:tc>
        <w:tc>
          <w:tcPr>
            <w:tcW w:w="351" w:type="pct"/>
            <w:tcBorders>
              <w:top w:val="nil"/>
              <w:left w:val="nil"/>
              <w:bottom w:val="nil"/>
              <w:right w:val="nil"/>
            </w:tcBorders>
            <w:shd w:val="clear" w:color="auto" w:fill="auto"/>
            <w:noWrap/>
            <w:vAlign w:val="bottom"/>
          </w:tcPr>
          <w:p w14:paraId="16EB9F9F" w14:textId="77777777" w:rsidR="00CF01B2" w:rsidRPr="00212064" w:rsidRDefault="00CF01B2" w:rsidP="007E6041">
            <w:pPr>
              <w:widowControl w:val="0"/>
              <w:jc w:val="right"/>
              <w:rPr>
                <w:color w:val="000000"/>
                <w:sz w:val="22"/>
                <w:szCs w:val="22"/>
              </w:rPr>
            </w:pPr>
          </w:p>
        </w:tc>
        <w:tc>
          <w:tcPr>
            <w:tcW w:w="417" w:type="pct"/>
            <w:tcBorders>
              <w:top w:val="nil"/>
              <w:left w:val="nil"/>
              <w:bottom w:val="nil"/>
              <w:right w:val="nil"/>
            </w:tcBorders>
            <w:shd w:val="clear" w:color="auto" w:fill="auto"/>
            <w:noWrap/>
            <w:vAlign w:val="bottom"/>
          </w:tcPr>
          <w:p w14:paraId="6857612A" w14:textId="77777777" w:rsidR="00CF01B2" w:rsidRPr="00212064" w:rsidRDefault="00CF01B2" w:rsidP="007E6041">
            <w:pPr>
              <w:widowControl w:val="0"/>
              <w:jc w:val="right"/>
              <w:rPr>
                <w:color w:val="000000"/>
                <w:sz w:val="22"/>
                <w:szCs w:val="22"/>
              </w:rPr>
            </w:pPr>
          </w:p>
        </w:tc>
        <w:tc>
          <w:tcPr>
            <w:tcW w:w="368" w:type="pct"/>
            <w:tcBorders>
              <w:top w:val="nil"/>
              <w:left w:val="nil"/>
              <w:bottom w:val="nil"/>
              <w:right w:val="nil"/>
            </w:tcBorders>
            <w:shd w:val="clear" w:color="auto" w:fill="auto"/>
            <w:noWrap/>
            <w:vAlign w:val="bottom"/>
          </w:tcPr>
          <w:p w14:paraId="7B377041" w14:textId="77777777" w:rsidR="00CF01B2" w:rsidRPr="00212064" w:rsidRDefault="00CF01B2" w:rsidP="007E6041">
            <w:pPr>
              <w:widowControl w:val="0"/>
              <w:jc w:val="right"/>
              <w:rPr>
                <w:color w:val="000000"/>
                <w:sz w:val="22"/>
                <w:szCs w:val="22"/>
              </w:rPr>
            </w:pPr>
          </w:p>
        </w:tc>
        <w:tc>
          <w:tcPr>
            <w:tcW w:w="435" w:type="pct"/>
            <w:tcBorders>
              <w:top w:val="nil"/>
              <w:left w:val="nil"/>
              <w:bottom w:val="nil"/>
              <w:right w:val="nil"/>
            </w:tcBorders>
            <w:shd w:val="clear" w:color="auto" w:fill="auto"/>
            <w:noWrap/>
            <w:vAlign w:val="bottom"/>
          </w:tcPr>
          <w:p w14:paraId="18DA7250" w14:textId="77777777" w:rsidR="00CF01B2" w:rsidRPr="00212064" w:rsidRDefault="00CF01B2" w:rsidP="007E6041">
            <w:pPr>
              <w:widowControl w:val="0"/>
              <w:jc w:val="right"/>
              <w:rPr>
                <w:color w:val="000000"/>
                <w:sz w:val="22"/>
                <w:szCs w:val="22"/>
              </w:rPr>
            </w:pPr>
          </w:p>
        </w:tc>
        <w:tc>
          <w:tcPr>
            <w:tcW w:w="340" w:type="pct"/>
            <w:tcBorders>
              <w:top w:val="nil"/>
              <w:left w:val="nil"/>
              <w:bottom w:val="nil"/>
              <w:right w:val="nil"/>
            </w:tcBorders>
            <w:shd w:val="clear" w:color="auto" w:fill="auto"/>
            <w:noWrap/>
            <w:vAlign w:val="bottom"/>
          </w:tcPr>
          <w:p w14:paraId="0F6034EB" w14:textId="77777777" w:rsidR="00CF01B2" w:rsidRPr="00212064" w:rsidRDefault="00CF01B2" w:rsidP="007E6041">
            <w:pPr>
              <w:widowControl w:val="0"/>
              <w:jc w:val="right"/>
              <w:rPr>
                <w:color w:val="000000"/>
                <w:sz w:val="22"/>
                <w:szCs w:val="22"/>
              </w:rPr>
            </w:pPr>
          </w:p>
        </w:tc>
        <w:tc>
          <w:tcPr>
            <w:tcW w:w="401" w:type="pct"/>
            <w:tcBorders>
              <w:top w:val="nil"/>
              <w:left w:val="nil"/>
              <w:bottom w:val="nil"/>
              <w:right w:val="nil"/>
            </w:tcBorders>
            <w:shd w:val="clear" w:color="auto" w:fill="auto"/>
            <w:noWrap/>
            <w:vAlign w:val="bottom"/>
          </w:tcPr>
          <w:p w14:paraId="78DAC447" w14:textId="77777777" w:rsidR="00CF01B2" w:rsidRPr="00212064" w:rsidRDefault="00CF01B2" w:rsidP="007E6041">
            <w:pPr>
              <w:widowControl w:val="0"/>
              <w:jc w:val="right"/>
              <w:rPr>
                <w:color w:val="000000"/>
                <w:sz w:val="22"/>
                <w:szCs w:val="22"/>
              </w:rPr>
            </w:pPr>
          </w:p>
        </w:tc>
      </w:tr>
      <w:tr w:rsidR="00CF01B2" w:rsidRPr="00E6232D" w14:paraId="78EDFAAD" w14:textId="77777777" w:rsidTr="007E6041">
        <w:tc>
          <w:tcPr>
            <w:tcW w:w="2688" w:type="pct"/>
            <w:tcBorders>
              <w:top w:val="nil"/>
              <w:left w:val="nil"/>
              <w:bottom w:val="nil"/>
              <w:right w:val="nil"/>
            </w:tcBorders>
            <w:shd w:val="clear" w:color="auto" w:fill="auto"/>
            <w:noWrap/>
            <w:vAlign w:val="bottom"/>
          </w:tcPr>
          <w:p w14:paraId="1875D7BF" w14:textId="77777777" w:rsidR="00CF01B2" w:rsidRPr="00212064" w:rsidRDefault="00CF01B2" w:rsidP="007E6041">
            <w:pPr>
              <w:widowControl w:val="0"/>
              <w:rPr>
                <w:color w:val="000000"/>
                <w:sz w:val="22"/>
                <w:szCs w:val="22"/>
              </w:rPr>
            </w:pPr>
            <w:r w:rsidRPr="00212064">
              <w:rPr>
                <w:color w:val="000000"/>
                <w:sz w:val="22"/>
                <w:szCs w:val="22"/>
              </w:rPr>
              <w:t xml:space="preserve">        ≤ 30</w:t>
            </w:r>
          </w:p>
        </w:tc>
        <w:tc>
          <w:tcPr>
            <w:tcW w:w="351" w:type="pct"/>
            <w:tcBorders>
              <w:top w:val="nil"/>
              <w:left w:val="nil"/>
              <w:bottom w:val="nil"/>
              <w:right w:val="nil"/>
            </w:tcBorders>
            <w:shd w:val="clear" w:color="auto" w:fill="auto"/>
            <w:noWrap/>
            <w:vAlign w:val="bottom"/>
          </w:tcPr>
          <w:p w14:paraId="7BE28131" w14:textId="77777777" w:rsidR="00CF01B2" w:rsidRPr="00212064" w:rsidRDefault="00CF01B2" w:rsidP="007E6041">
            <w:pPr>
              <w:widowControl w:val="0"/>
              <w:jc w:val="right"/>
              <w:rPr>
                <w:color w:val="000000"/>
                <w:sz w:val="22"/>
                <w:szCs w:val="22"/>
              </w:rPr>
            </w:pPr>
            <w:r w:rsidRPr="00212064">
              <w:rPr>
                <w:color w:val="000000"/>
                <w:sz w:val="22"/>
                <w:szCs w:val="22"/>
              </w:rPr>
              <w:t>3</w:t>
            </w:r>
          </w:p>
        </w:tc>
        <w:tc>
          <w:tcPr>
            <w:tcW w:w="417" w:type="pct"/>
            <w:tcBorders>
              <w:top w:val="nil"/>
              <w:left w:val="nil"/>
              <w:bottom w:val="nil"/>
              <w:right w:val="nil"/>
            </w:tcBorders>
            <w:shd w:val="clear" w:color="auto" w:fill="auto"/>
            <w:noWrap/>
            <w:vAlign w:val="bottom"/>
          </w:tcPr>
          <w:p w14:paraId="3B832797" w14:textId="77777777" w:rsidR="00CF01B2" w:rsidRPr="00212064" w:rsidRDefault="00CF01B2" w:rsidP="007E6041">
            <w:pPr>
              <w:widowControl w:val="0"/>
              <w:jc w:val="right"/>
              <w:rPr>
                <w:color w:val="000000"/>
                <w:sz w:val="22"/>
                <w:szCs w:val="22"/>
              </w:rPr>
            </w:pPr>
            <w:r w:rsidRPr="00212064">
              <w:rPr>
                <w:color w:val="000000"/>
                <w:sz w:val="22"/>
                <w:szCs w:val="22"/>
              </w:rPr>
              <w:t>1.4</w:t>
            </w:r>
          </w:p>
        </w:tc>
        <w:tc>
          <w:tcPr>
            <w:tcW w:w="368" w:type="pct"/>
            <w:tcBorders>
              <w:top w:val="nil"/>
              <w:left w:val="nil"/>
              <w:bottom w:val="nil"/>
              <w:right w:val="nil"/>
            </w:tcBorders>
            <w:shd w:val="clear" w:color="auto" w:fill="auto"/>
            <w:noWrap/>
            <w:vAlign w:val="bottom"/>
          </w:tcPr>
          <w:p w14:paraId="3192B030" w14:textId="77777777" w:rsidR="00CF01B2" w:rsidRPr="00212064" w:rsidRDefault="00CF01B2" w:rsidP="007E6041">
            <w:pPr>
              <w:widowControl w:val="0"/>
              <w:jc w:val="right"/>
              <w:rPr>
                <w:color w:val="000000"/>
                <w:sz w:val="22"/>
                <w:szCs w:val="22"/>
              </w:rPr>
            </w:pPr>
            <w:r w:rsidRPr="00212064">
              <w:rPr>
                <w:color w:val="000000"/>
                <w:sz w:val="22"/>
                <w:szCs w:val="22"/>
              </w:rPr>
              <w:t>15</w:t>
            </w:r>
          </w:p>
        </w:tc>
        <w:tc>
          <w:tcPr>
            <w:tcW w:w="435" w:type="pct"/>
            <w:tcBorders>
              <w:top w:val="nil"/>
              <w:left w:val="nil"/>
              <w:bottom w:val="nil"/>
              <w:right w:val="nil"/>
            </w:tcBorders>
            <w:shd w:val="clear" w:color="auto" w:fill="auto"/>
            <w:noWrap/>
            <w:vAlign w:val="bottom"/>
          </w:tcPr>
          <w:p w14:paraId="637DDD3A" w14:textId="77777777" w:rsidR="00CF01B2" w:rsidRPr="00212064" w:rsidRDefault="00CF01B2" w:rsidP="007E6041">
            <w:pPr>
              <w:widowControl w:val="0"/>
              <w:jc w:val="right"/>
              <w:rPr>
                <w:color w:val="000000"/>
                <w:sz w:val="22"/>
                <w:szCs w:val="22"/>
              </w:rPr>
            </w:pPr>
            <w:r w:rsidRPr="00212064">
              <w:rPr>
                <w:color w:val="000000"/>
                <w:sz w:val="22"/>
                <w:szCs w:val="22"/>
              </w:rPr>
              <w:t>5.3</w:t>
            </w:r>
          </w:p>
        </w:tc>
        <w:tc>
          <w:tcPr>
            <w:tcW w:w="340" w:type="pct"/>
            <w:tcBorders>
              <w:top w:val="nil"/>
              <w:left w:val="nil"/>
              <w:bottom w:val="nil"/>
              <w:right w:val="nil"/>
            </w:tcBorders>
            <w:shd w:val="clear" w:color="auto" w:fill="auto"/>
            <w:noWrap/>
            <w:vAlign w:val="bottom"/>
          </w:tcPr>
          <w:p w14:paraId="6E9CF852" w14:textId="77777777" w:rsidR="00CF01B2" w:rsidRPr="00212064" w:rsidRDefault="00CF01B2" w:rsidP="007E6041">
            <w:pPr>
              <w:widowControl w:val="0"/>
              <w:jc w:val="right"/>
              <w:rPr>
                <w:color w:val="000000"/>
                <w:sz w:val="22"/>
                <w:szCs w:val="22"/>
              </w:rPr>
            </w:pPr>
            <w:r w:rsidRPr="00212064">
              <w:rPr>
                <w:color w:val="000000"/>
                <w:sz w:val="22"/>
                <w:szCs w:val="22"/>
              </w:rPr>
              <w:t>51</w:t>
            </w:r>
          </w:p>
        </w:tc>
        <w:tc>
          <w:tcPr>
            <w:tcW w:w="401" w:type="pct"/>
            <w:tcBorders>
              <w:top w:val="nil"/>
              <w:left w:val="nil"/>
              <w:bottom w:val="nil"/>
              <w:right w:val="nil"/>
            </w:tcBorders>
            <w:shd w:val="clear" w:color="auto" w:fill="auto"/>
            <w:noWrap/>
            <w:vAlign w:val="bottom"/>
          </w:tcPr>
          <w:p w14:paraId="16EF6478" w14:textId="77777777" w:rsidR="00CF01B2" w:rsidRPr="00212064" w:rsidRDefault="00CF01B2" w:rsidP="007E6041">
            <w:pPr>
              <w:widowControl w:val="0"/>
              <w:jc w:val="right"/>
              <w:rPr>
                <w:color w:val="000000"/>
                <w:sz w:val="22"/>
                <w:szCs w:val="22"/>
              </w:rPr>
            </w:pPr>
            <w:r w:rsidRPr="00212064">
              <w:rPr>
                <w:color w:val="000000"/>
                <w:sz w:val="22"/>
                <w:szCs w:val="22"/>
              </w:rPr>
              <w:t>11.6</w:t>
            </w:r>
          </w:p>
        </w:tc>
      </w:tr>
      <w:tr w:rsidR="00CF01B2" w:rsidRPr="00E6232D" w14:paraId="5B18D9B3" w14:textId="77777777" w:rsidTr="007E6041">
        <w:tc>
          <w:tcPr>
            <w:tcW w:w="2688" w:type="pct"/>
            <w:tcBorders>
              <w:top w:val="nil"/>
              <w:left w:val="nil"/>
              <w:bottom w:val="nil"/>
              <w:right w:val="nil"/>
            </w:tcBorders>
            <w:shd w:val="clear" w:color="auto" w:fill="auto"/>
            <w:noWrap/>
            <w:vAlign w:val="bottom"/>
          </w:tcPr>
          <w:p w14:paraId="5CB6A9B2" w14:textId="77777777" w:rsidR="00CF01B2" w:rsidRPr="00212064" w:rsidRDefault="00CF01B2" w:rsidP="007E6041">
            <w:pPr>
              <w:widowControl w:val="0"/>
              <w:rPr>
                <w:color w:val="000000"/>
                <w:sz w:val="22"/>
                <w:szCs w:val="22"/>
              </w:rPr>
            </w:pPr>
            <w:r>
              <w:rPr>
                <w:color w:val="000000"/>
                <w:sz w:val="22"/>
                <w:szCs w:val="22"/>
              </w:rPr>
              <w:t xml:space="preserve">        31-</w:t>
            </w:r>
            <w:r w:rsidRPr="00212064">
              <w:rPr>
                <w:color w:val="000000"/>
                <w:sz w:val="22"/>
                <w:szCs w:val="22"/>
              </w:rPr>
              <w:t>49</w:t>
            </w:r>
          </w:p>
        </w:tc>
        <w:tc>
          <w:tcPr>
            <w:tcW w:w="351" w:type="pct"/>
            <w:tcBorders>
              <w:top w:val="nil"/>
              <w:left w:val="nil"/>
              <w:bottom w:val="nil"/>
              <w:right w:val="nil"/>
            </w:tcBorders>
            <w:shd w:val="clear" w:color="auto" w:fill="auto"/>
            <w:noWrap/>
            <w:vAlign w:val="bottom"/>
          </w:tcPr>
          <w:p w14:paraId="6698EC66" w14:textId="77777777" w:rsidR="00CF01B2" w:rsidRPr="00212064" w:rsidRDefault="00CF01B2" w:rsidP="007E6041">
            <w:pPr>
              <w:widowControl w:val="0"/>
              <w:jc w:val="right"/>
              <w:rPr>
                <w:color w:val="000000"/>
                <w:sz w:val="22"/>
                <w:szCs w:val="22"/>
              </w:rPr>
            </w:pPr>
            <w:r w:rsidRPr="00212064">
              <w:rPr>
                <w:color w:val="000000"/>
                <w:sz w:val="22"/>
                <w:szCs w:val="22"/>
              </w:rPr>
              <w:t>209</w:t>
            </w:r>
          </w:p>
        </w:tc>
        <w:tc>
          <w:tcPr>
            <w:tcW w:w="417" w:type="pct"/>
            <w:tcBorders>
              <w:top w:val="nil"/>
              <w:left w:val="nil"/>
              <w:bottom w:val="nil"/>
              <w:right w:val="nil"/>
            </w:tcBorders>
            <w:shd w:val="clear" w:color="auto" w:fill="auto"/>
            <w:noWrap/>
            <w:vAlign w:val="bottom"/>
          </w:tcPr>
          <w:p w14:paraId="13B203FC" w14:textId="77777777" w:rsidR="00CF01B2" w:rsidRPr="00212064" w:rsidRDefault="00CF01B2" w:rsidP="007E6041">
            <w:pPr>
              <w:widowControl w:val="0"/>
              <w:jc w:val="right"/>
              <w:rPr>
                <w:color w:val="000000"/>
                <w:sz w:val="22"/>
                <w:szCs w:val="22"/>
              </w:rPr>
            </w:pPr>
            <w:r w:rsidRPr="00212064">
              <w:rPr>
                <w:color w:val="000000"/>
                <w:sz w:val="22"/>
                <w:szCs w:val="22"/>
              </w:rPr>
              <w:t>93.7</w:t>
            </w:r>
          </w:p>
        </w:tc>
        <w:tc>
          <w:tcPr>
            <w:tcW w:w="368" w:type="pct"/>
            <w:tcBorders>
              <w:top w:val="nil"/>
              <w:left w:val="nil"/>
              <w:bottom w:val="nil"/>
              <w:right w:val="nil"/>
            </w:tcBorders>
            <w:shd w:val="clear" w:color="auto" w:fill="auto"/>
            <w:noWrap/>
            <w:vAlign w:val="bottom"/>
          </w:tcPr>
          <w:p w14:paraId="2F4FA8D9" w14:textId="77777777" w:rsidR="00CF01B2" w:rsidRPr="00212064" w:rsidRDefault="00CF01B2" w:rsidP="007E6041">
            <w:pPr>
              <w:widowControl w:val="0"/>
              <w:jc w:val="right"/>
              <w:rPr>
                <w:color w:val="000000"/>
                <w:sz w:val="22"/>
                <w:szCs w:val="22"/>
              </w:rPr>
            </w:pPr>
            <w:r w:rsidRPr="00212064">
              <w:rPr>
                <w:color w:val="000000"/>
                <w:sz w:val="22"/>
                <w:szCs w:val="22"/>
              </w:rPr>
              <w:t>266</w:t>
            </w:r>
          </w:p>
        </w:tc>
        <w:tc>
          <w:tcPr>
            <w:tcW w:w="435" w:type="pct"/>
            <w:tcBorders>
              <w:top w:val="nil"/>
              <w:left w:val="nil"/>
              <w:bottom w:val="nil"/>
              <w:right w:val="nil"/>
            </w:tcBorders>
            <w:shd w:val="clear" w:color="auto" w:fill="auto"/>
            <w:noWrap/>
            <w:vAlign w:val="bottom"/>
          </w:tcPr>
          <w:p w14:paraId="1E0D5F8E" w14:textId="77777777" w:rsidR="00CF01B2" w:rsidRPr="00212064" w:rsidRDefault="00CF01B2" w:rsidP="007E6041">
            <w:pPr>
              <w:widowControl w:val="0"/>
              <w:jc w:val="right"/>
              <w:rPr>
                <w:color w:val="000000"/>
                <w:sz w:val="22"/>
                <w:szCs w:val="22"/>
              </w:rPr>
            </w:pPr>
            <w:r w:rsidRPr="00212064">
              <w:rPr>
                <w:color w:val="000000"/>
                <w:sz w:val="22"/>
                <w:szCs w:val="22"/>
              </w:rPr>
              <w:t>93.3</w:t>
            </w:r>
          </w:p>
        </w:tc>
        <w:tc>
          <w:tcPr>
            <w:tcW w:w="340" w:type="pct"/>
            <w:tcBorders>
              <w:top w:val="nil"/>
              <w:left w:val="nil"/>
              <w:bottom w:val="nil"/>
              <w:right w:val="nil"/>
            </w:tcBorders>
            <w:shd w:val="clear" w:color="auto" w:fill="auto"/>
            <w:noWrap/>
            <w:vAlign w:val="bottom"/>
          </w:tcPr>
          <w:p w14:paraId="02179272" w14:textId="77777777" w:rsidR="00CF01B2" w:rsidRPr="00212064" w:rsidRDefault="00CF01B2" w:rsidP="007E6041">
            <w:pPr>
              <w:widowControl w:val="0"/>
              <w:jc w:val="right"/>
              <w:rPr>
                <w:color w:val="000000"/>
                <w:sz w:val="22"/>
                <w:szCs w:val="22"/>
              </w:rPr>
            </w:pPr>
            <w:r w:rsidRPr="00212064">
              <w:rPr>
                <w:color w:val="000000"/>
                <w:sz w:val="22"/>
                <w:szCs w:val="22"/>
              </w:rPr>
              <w:t>386</w:t>
            </w:r>
          </w:p>
        </w:tc>
        <w:tc>
          <w:tcPr>
            <w:tcW w:w="401" w:type="pct"/>
            <w:tcBorders>
              <w:top w:val="nil"/>
              <w:left w:val="nil"/>
              <w:bottom w:val="nil"/>
              <w:right w:val="nil"/>
            </w:tcBorders>
            <w:shd w:val="clear" w:color="auto" w:fill="auto"/>
            <w:noWrap/>
            <w:vAlign w:val="bottom"/>
          </w:tcPr>
          <w:p w14:paraId="5D59DA4E" w14:textId="77777777" w:rsidR="00CF01B2" w:rsidRPr="00212064" w:rsidRDefault="00CF01B2" w:rsidP="007E6041">
            <w:pPr>
              <w:widowControl w:val="0"/>
              <w:jc w:val="right"/>
              <w:rPr>
                <w:color w:val="000000"/>
                <w:sz w:val="22"/>
                <w:szCs w:val="22"/>
              </w:rPr>
            </w:pPr>
            <w:r w:rsidRPr="00212064">
              <w:rPr>
                <w:color w:val="000000"/>
                <w:sz w:val="22"/>
                <w:szCs w:val="22"/>
              </w:rPr>
              <w:t>88.1</w:t>
            </w:r>
          </w:p>
        </w:tc>
      </w:tr>
      <w:tr w:rsidR="00CF01B2" w:rsidRPr="00E6232D" w14:paraId="67108A5A" w14:textId="77777777" w:rsidTr="007E6041">
        <w:tc>
          <w:tcPr>
            <w:tcW w:w="2688" w:type="pct"/>
            <w:tcBorders>
              <w:top w:val="nil"/>
              <w:left w:val="nil"/>
              <w:bottom w:val="nil"/>
              <w:right w:val="nil"/>
            </w:tcBorders>
            <w:shd w:val="clear" w:color="auto" w:fill="auto"/>
            <w:noWrap/>
            <w:vAlign w:val="bottom"/>
          </w:tcPr>
          <w:p w14:paraId="63648011" w14:textId="77777777" w:rsidR="00CF01B2" w:rsidRPr="00212064" w:rsidRDefault="00CF01B2" w:rsidP="007E6041">
            <w:pPr>
              <w:widowControl w:val="0"/>
              <w:rPr>
                <w:color w:val="000000"/>
                <w:sz w:val="22"/>
                <w:szCs w:val="22"/>
              </w:rPr>
            </w:pPr>
            <w:r w:rsidRPr="00212064">
              <w:rPr>
                <w:color w:val="000000"/>
                <w:sz w:val="22"/>
                <w:szCs w:val="22"/>
              </w:rPr>
              <w:t xml:space="preserve">        ≥ 50</w:t>
            </w:r>
          </w:p>
        </w:tc>
        <w:tc>
          <w:tcPr>
            <w:tcW w:w="351" w:type="pct"/>
            <w:tcBorders>
              <w:top w:val="nil"/>
              <w:left w:val="nil"/>
              <w:bottom w:val="nil"/>
              <w:right w:val="nil"/>
            </w:tcBorders>
            <w:shd w:val="clear" w:color="auto" w:fill="auto"/>
            <w:noWrap/>
            <w:vAlign w:val="bottom"/>
          </w:tcPr>
          <w:p w14:paraId="2191F66D" w14:textId="77777777" w:rsidR="00CF01B2" w:rsidRPr="00212064" w:rsidRDefault="00CF01B2" w:rsidP="007E6041">
            <w:pPr>
              <w:widowControl w:val="0"/>
              <w:jc w:val="right"/>
              <w:rPr>
                <w:color w:val="000000"/>
                <w:sz w:val="22"/>
                <w:szCs w:val="22"/>
              </w:rPr>
            </w:pPr>
            <w:r w:rsidRPr="00212064">
              <w:rPr>
                <w:color w:val="000000"/>
                <w:sz w:val="22"/>
                <w:szCs w:val="22"/>
              </w:rPr>
              <w:t>11</w:t>
            </w:r>
          </w:p>
        </w:tc>
        <w:tc>
          <w:tcPr>
            <w:tcW w:w="417" w:type="pct"/>
            <w:tcBorders>
              <w:top w:val="nil"/>
              <w:left w:val="nil"/>
              <w:bottom w:val="nil"/>
              <w:right w:val="nil"/>
            </w:tcBorders>
            <w:shd w:val="clear" w:color="auto" w:fill="auto"/>
            <w:noWrap/>
            <w:vAlign w:val="bottom"/>
          </w:tcPr>
          <w:p w14:paraId="77A77CCD" w14:textId="77777777" w:rsidR="00CF01B2" w:rsidRPr="00212064" w:rsidRDefault="00CF01B2" w:rsidP="007E6041">
            <w:pPr>
              <w:widowControl w:val="0"/>
              <w:jc w:val="right"/>
              <w:rPr>
                <w:color w:val="000000"/>
                <w:sz w:val="22"/>
                <w:szCs w:val="22"/>
              </w:rPr>
            </w:pPr>
            <w:r w:rsidRPr="00212064">
              <w:rPr>
                <w:color w:val="000000"/>
                <w:sz w:val="22"/>
                <w:szCs w:val="22"/>
              </w:rPr>
              <w:t>4.9</w:t>
            </w:r>
          </w:p>
        </w:tc>
        <w:tc>
          <w:tcPr>
            <w:tcW w:w="368" w:type="pct"/>
            <w:tcBorders>
              <w:top w:val="nil"/>
              <w:left w:val="nil"/>
              <w:bottom w:val="nil"/>
              <w:right w:val="nil"/>
            </w:tcBorders>
            <w:shd w:val="clear" w:color="auto" w:fill="auto"/>
            <w:noWrap/>
            <w:vAlign w:val="bottom"/>
          </w:tcPr>
          <w:p w14:paraId="6F6BB011" w14:textId="77777777" w:rsidR="00CF01B2" w:rsidRPr="00212064" w:rsidRDefault="00CF01B2" w:rsidP="007E6041">
            <w:pPr>
              <w:widowControl w:val="0"/>
              <w:jc w:val="right"/>
              <w:rPr>
                <w:color w:val="000000"/>
                <w:sz w:val="22"/>
                <w:szCs w:val="22"/>
              </w:rPr>
            </w:pPr>
            <w:r w:rsidRPr="00212064">
              <w:rPr>
                <w:color w:val="000000"/>
                <w:sz w:val="22"/>
                <w:szCs w:val="22"/>
              </w:rPr>
              <w:t>4</w:t>
            </w:r>
          </w:p>
        </w:tc>
        <w:tc>
          <w:tcPr>
            <w:tcW w:w="435" w:type="pct"/>
            <w:tcBorders>
              <w:top w:val="nil"/>
              <w:left w:val="nil"/>
              <w:bottom w:val="nil"/>
              <w:right w:val="nil"/>
            </w:tcBorders>
            <w:shd w:val="clear" w:color="auto" w:fill="auto"/>
            <w:noWrap/>
            <w:vAlign w:val="bottom"/>
          </w:tcPr>
          <w:p w14:paraId="114E7616" w14:textId="77777777" w:rsidR="00CF01B2" w:rsidRPr="00212064" w:rsidRDefault="00CF01B2" w:rsidP="007E6041">
            <w:pPr>
              <w:widowControl w:val="0"/>
              <w:jc w:val="right"/>
              <w:rPr>
                <w:color w:val="000000"/>
                <w:sz w:val="22"/>
                <w:szCs w:val="22"/>
              </w:rPr>
            </w:pPr>
            <w:r w:rsidRPr="00212064">
              <w:rPr>
                <w:color w:val="000000"/>
                <w:sz w:val="22"/>
                <w:szCs w:val="22"/>
              </w:rPr>
              <w:t>1.4</w:t>
            </w:r>
          </w:p>
        </w:tc>
        <w:tc>
          <w:tcPr>
            <w:tcW w:w="340" w:type="pct"/>
            <w:tcBorders>
              <w:top w:val="nil"/>
              <w:left w:val="nil"/>
              <w:bottom w:val="nil"/>
              <w:right w:val="nil"/>
            </w:tcBorders>
            <w:shd w:val="clear" w:color="auto" w:fill="auto"/>
            <w:noWrap/>
            <w:vAlign w:val="bottom"/>
          </w:tcPr>
          <w:p w14:paraId="0A14F1DA" w14:textId="77777777" w:rsidR="00CF01B2" w:rsidRPr="00212064" w:rsidRDefault="00CF01B2" w:rsidP="007E6041">
            <w:pPr>
              <w:widowControl w:val="0"/>
              <w:jc w:val="right"/>
              <w:rPr>
                <w:color w:val="000000"/>
                <w:sz w:val="22"/>
                <w:szCs w:val="22"/>
              </w:rPr>
            </w:pPr>
            <w:r w:rsidRPr="00212064">
              <w:rPr>
                <w:color w:val="000000"/>
                <w:sz w:val="22"/>
                <w:szCs w:val="22"/>
              </w:rPr>
              <w:t>1</w:t>
            </w:r>
          </w:p>
        </w:tc>
        <w:tc>
          <w:tcPr>
            <w:tcW w:w="401" w:type="pct"/>
            <w:tcBorders>
              <w:top w:val="nil"/>
              <w:left w:val="nil"/>
              <w:bottom w:val="nil"/>
              <w:right w:val="nil"/>
            </w:tcBorders>
            <w:shd w:val="clear" w:color="auto" w:fill="auto"/>
            <w:noWrap/>
            <w:vAlign w:val="bottom"/>
          </w:tcPr>
          <w:p w14:paraId="608EF316" w14:textId="77777777" w:rsidR="00CF01B2" w:rsidRPr="00212064" w:rsidRDefault="00CF01B2" w:rsidP="007E6041">
            <w:pPr>
              <w:widowControl w:val="0"/>
              <w:jc w:val="right"/>
              <w:rPr>
                <w:color w:val="000000"/>
                <w:sz w:val="22"/>
                <w:szCs w:val="22"/>
              </w:rPr>
            </w:pPr>
            <w:r w:rsidRPr="00212064">
              <w:rPr>
                <w:color w:val="000000"/>
                <w:sz w:val="22"/>
                <w:szCs w:val="22"/>
              </w:rPr>
              <w:t>0.2</w:t>
            </w:r>
          </w:p>
        </w:tc>
      </w:tr>
      <w:tr w:rsidR="00CF01B2" w:rsidRPr="00E6232D" w14:paraId="3B4779C1" w14:textId="77777777" w:rsidTr="007E6041">
        <w:tc>
          <w:tcPr>
            <w:tcW w:w="2688" w:type="pct"/>
            <w:tcBorders>
              <w:top w:val="nil"/>
              <w:left w:val="nil"/>
              <w:bottom w:val="nil"/>
              <w:right w:val="nil"/>
            </w:tcBorders>
            <w:shd w:val="clear" w:color="auto" w:fill="auto"/>
            <w:noWrap/>
            <w:vAlign w:val="bottom"/>
          </w:tcPr>
          <w:p w14:paraId="0098861A" w14:textId="77777777" w:rsidR="00CF01B2" w:rsidRPr="00212064" w:rsidRDefault="00CF01B2" w:rsidP="007E6041">
            <w:pPr>
              <w:widowControl w:val="0"/>
              <w:rPr>
                <w:color w:val="000000"/>
                <w:sz w:val="22"/>
                <w:szCs w:val="22"/>
              </w:rPr>
            </w:pPr>
            <w:r w:rsidRPr="00212064">
              <w:rPr>
                <w:color w:val="000000"/>
                <w:sz w:val="22"/>
                <w:szCs w:val="22"/>
              </w:rPr>
              <w:t xml:space="preserve">    Contract type</w:t>
            </w:r>
          </w:p>
        </w:tc>
        <w:tc>
          <w:tcPr>
            <w:tcW w:w="351" w:type="pct"/>
            <w:tcBorders>
              <w:top w:val="nil"/>
              <w:left w:val="nil"/>
              <w:bottom w:val="nil"/>
              <w:right w:val="nil"/>
            </w:tcBorders>
            <w:shd w:val="clear" w:color="auto" w:fill="auto"/>
            <w:noWrap/>
            <w:vAlign w:val="bottom"/>
          </w:tcPr>
          <w:p w14:paraId="765D3A08" w14:textId="77777777" w:rsidR="00CF01B2" w:rsidRPr="00212064" w:rsidRDefault="00CF01B2" w:rsidP="007E6041">
            <w:pPr>
              <w:widowControl w:val="0"/>
              <w:jc w:val="right"/>
              <w:rPr>
                <w:color w:val="000000"/>
                <w:sz w:val="22"/>
                <w:szCs w:val="22"/>
              </w:rPr>
            </w:pPr>
          </w:p>
        </w:tc>
        <w:tc>
          <w:tcPr>
            <w:tcW w:w="417" w:type="pct"/>
            <w:tcBorders>
              <w:top w:val="nil"/>
              <w:left w:val="nil"/>
              <w:bottom w:val="nil"/>
              <w:right w:val="nil"/>
            </w:tcBorders>
            <w:shd w:val="clear" w:color="auto" w:fill="auto"/>
            <w:noWrap/>
            <w:vAlign w:val="bottom"/>
          </w:tcPr>
          <w:p w14:paraId="718833A6" w14:textId="77777777" w:rsidR="00CF01B2" w:rsidRPr="00212064" w:rsidRDefault="00CF01B2" w:rsidP="007E6041">
            <w:pPr>
              <w:widowControl w:val="0"/>
              <w:jc w:val="right"/>
              <w:rPr>
                <w:color w:val="000000"/>
                <w:sz w:val="22"/>
                <w:szCs w:val="22"/>
              </w:rPr>
            </w:pPr>
          </w:p>
        </w:tc>
        <w:tc>
          <w:tcPr>
            <w:tcW w:w="368" w:type="pct"/>
            <w:tcBorders>
              <w:top w:val="nil"/>
              <w:left w:val="nil"/>
              <w:bottom w:val="nil"/>
              <w:right w:val="nil"/>
            </w:tcBorders>
            <w:shd w:val="clear" w:color="auto" w:fill="auto"/>
            <w:noWrap/>
            <w:vAlign w:val="bottom"/>
          </w:tcPr>
          <w:p w14:paraId="11325E85" w14:textId="77777777" w:rsidR="00CF01B2" w:rsidRPr="00212064" w:rsidRDefault="00CF01B2" w:rsidP="007E6041">
            <w:pPr>
              <w:widowControl w:val="0"/>
              <w:jc w:val="right"/>
              <w:rPr>
                <w:color w:val="000000"/>
                <w:sz w:val="22"/>
                <w:szCs w:val="22"/>
              </w:rPr>
            </w:pPr>
          </w:p>
        </w:tc>
        <w:tc>
          <w:tcPr>
            <w:tcW w:w="435" w:type="pct"/>
            <w:tcBorders>
              <w:top w:val="nil"/>
              <w:left w:val="nil"/>
              <w:bottom w:val="nil"/>
              <w:right w:val="nil"/>
            </w:tcBorders>
            <w:shd w:val="clear" w:color="auto" w:fill="auto"/>
            <w:noWrap/>
            <w:vAlign w:val="bottom"/>
          </w:tcPr>
          <w:p w14:paraId="5460C77E" w14:textId="77777777" w:rsidR="00CF01B2" w:rsidRPr="00212064" w:rsidRDefault="00CF01B2" w:rsidP="007E6041">
            <w:pPr>
              <w:widowControl w:val="0"/>
              <w:jc w:val="right"/>
              <w:rPr>
                <w:color w:val="000000"/>
                <w:sz w:val="22"/>
                <w:szCs w:val="22"/>
              </w:rPr>
            </w:pPr>
          </w:p>
        </w:tc>
        <w:tc>
          <w:tcPr>
            <w:tcW w:w="340" w:type="pct"/>
            <w:tcBorders>
              <w:top w:val="nil"/>
              <w:left w:val="nil"/>
              <w:bottom w:val="nil"/>
              <w:right w:val="nil"/>
            </w:tcBorders>
            <w:shd w:val="clear" w:color="auto" w:fill="auto"/>
            <w:noWrap/>
            <w:vAlign w:val="bottom"/>
          </w:tcPr>
          <w:p w14:paraId="1FD208F0" w14:textId="77777777" w:rsidR="00CF01B2" w:rsidRPr="00212064" w:rsidRDefault="00CF01B2" w:rsidP="007E6041">
            <w:pPr>
              <w:widowControl w:val="0"/>
              <w:jc w:val="right"/>
              <w:rPr>
                <w:color w:val="000000"/>
                <w:sz w:val="22"/>
                <w:szCs w:val="22"/>
              </w:rPr>
            </w:pPr>
          </w:p>
        </w:tc>
        <w:tc>
          <w:tcPr>
            <w:tcW w:w="401" w:type="pct"/>
            <w:tcBorders>
              <w:top w:val="nil"/>
              <w:left w:val="nil"/>
              <w:bottom w:val="nil"/>
              <w:right w:val="nil"/>
            </w:tcBorders>
            <w:shd w:val="clear" w:color="auto" w:fill="auto"/>
            <w:noWrap/>
            <w:vAlign w:val="bottom"/>
          </w:tcPr>
          <w:p w14:paraId="57ADA2B2" w14:textId="77777777" w:rsidR="00CF01B2" w:rsidRPr="00212064" w:rsidRDefault="00CF01B2" w:rsidP="007E6041">
            <w:pPr>
              <w:widowControl w:val="0"/>
              <w:jc w:val="right"/>
              <w:rPr>
                <w:color w:val="000000"/>
                <w:sz w:val="22"/>
                <w:szCs w:val="22"/>
              </w:rPr>
            </w:pPr>
          </w:p>
        </w:tc>
      </w:tr>
      <w:tr w:rsidR="00CF01B2" w:rsidRPr="00E6232D" w14:paraId="2D7ECF6C" w14:textId="77777777" w:rsidTr="007E6041">
        <w:tc>
          <w:tcPr>
            <w:tcW w:w="2688" w:type="pct"/>
            <w:tcBorders>
              <w:top w:val="nil"/>
              <w:left w:val="nil"/>
              <w:bottom w:val="nil"/>
              <w:right w:val="nil"/>
            </w:tcBorders>
            <w:shd w:val="clear" w:color="auto" w:fill="auto"/>
            <w:noWrap/>
            <w:vAlign w:val="bottom"/>
          </w:tcPr>
          <w:p w14:paraId="4016BAF4" w14:textId="77777777" w:rsidR="00CF01B2" w:rsidRPr="00212064" w:rsidRDefault="00CF01B2" w:rsidP="007E6041">
            <w:pPr>
              <w:widowControl w:val="0"/>
              <w:rPr>
                <w:color w:val="000000"/>
                <w:sz w:val="22"/>
                <w:szCs w:val="22"/>
              </w:rPr>
            </w:pPr>
            <w:r w:rsidRPr="00212064">
              <w:rPr>
                <w:color w:val="000000"/>
                <w:sz w:val="22"/>
                <w:szCs w:val="22"/>
              </w:rPr>
              <w:t xml:space="preserve">        Permanent</w:t>
            </w:r>
          </w:p>
        </w:tc>
        <w:tc>
          <w:tcPr>
            <w:tcW w:w="351" w:type="pct"/>
            <w:tcBorders>
              <w:top w:val="nil"/>
              <w:left w:val="nil"/>
              <w:bottom w:val="nil"/>
              <w:right w:val="nil"/>
            </w:tcBorders>
            <w:shd w:val="clear" w:color="auto" w:fill="auto"/>
            <w:noWrap/>
            <w:vAlign w:val="bottom"/>
          </w:tcPr>
          <w:p w14:paraId="430EF450" w14:textId="77777777" w:rsidR="00CF01B2" w:rsidRPr="00212064" w:rsidRDefault="00CF01B2" w:rsidP="007E6041">
            <w:pPr>
              <w:widowControl w:val="0"/>
              <w:jc w:val="right"/>
              <w:rPr>
                <w:color w:val="000000"/>
                <w:sz w:val="22"/>
                <w:szCs w:val="22"/>
              </w:rPr>
            </w:pPr>
            <w:r w:rsidRPr="00212064">
              <w:rPr>
                <w:color w:val="000000"/>
                <w:sz w:val="22"/>
                <w:szCs w:val="22"/>
              </w:rPr>
              <w:t>189</w:t>
            </w:r>
          </w:p>
        </w:tc>
        <w:tc>
          <w:tcPr>
            <w:tcW w:w="417" w:type="pct"/>
            <w:tcBorders>
              <w:top w:val="nil"/>
              <w:left w:val="nil"/>
              <w:bottom w:val="nil"/>
              <w:right w:val="nil"/>
            </w:tcBorders>
            <w:shd w:val="clear" w:color="auto" w:fill="auto"/>
            <w:noWrap/>
            <w:vAlign w:val="bottom"/>
          </w:tcPr>
          <w:p w14:paraId="2FBF7A74" w14:textId="77777777" w:rsidR="00CF01B2" w:rsidRPr="00212064" w:rsidRDefault="00CF01B2" w:rsidP="007E6041">
            <w:pPr>
              <w:widowControl w:val="0"/>
              <w:jc w:val="right"/>
              <w:rPr>
                <w:color w:val="000000"/>
                <w:sz w:val="22"/>
                <w:szCs w:val="22"/>
              </w:rPr>
            </w:pPr>
            <w:r w:rsidRPr="00212064">
              <w:rPr>
                <w:color w:val="000000"/>
                <w:sz w:val="22"/>
                <w:szCs w:val="22"/>
              </w:rPr>
              <w:t>85.1</w:t>
            </w:r>
          </w:p>
        </w:tc>
        <w:tc>
          <w:tcPr>
            <w:tcW w:w="368" w:type="pct"/>
            <w:tcBorders>
              <w:top w:val="nil"/>
              <w:left w:val="nil"/>
              <w:bottom w:val="nil"/>
              <w:right w:val="nil"/>
            </w:tcBorders>
            <w:shd w:val="clear" w:color="auto" w:fill="auto"/>
            <w:noWrap/>
            <w:vAlign w:val="bottom"/>
          </w:tcPr>
          <w:p w14:paraId="5FC9825D" w14:textId="77777777" w:rsidR="00CF01B2" w:rsidRPr="00212064" w:rsidRDefault="00CF01B2" w:rsidP="007E6041">
            <w:pPr>
              <w:widowControl w:val="0"/>
              <w:jc w:val="right"/>
              <w:rPr>
                <w:color w:val="000000"/>
                <w:sz w:val="22"/>
                <w:szCs w:val="22"/>
              </w:rPr>
            </w:pPr>
            <w:r w:rsidRPr="00212064">
              <w:rPr>
                <w:color w:val="000000"/>
                <w:sz w:val="22"/>
                <w:szCs w:val="22"/>
              </w:rPr>
              <w:t>279</w:t>
            </w:r>
          </w:p>
        </w:tc>
        <w:tc>
          <w:tcPr>
            <w:tcW w:w="435" w:type="pct"/>
            <w:tcBorders>
              <w:top w:val="nil"/>
              <w:left w:val="nil"/>
              <w:bottom w:val="nil"/>
              <w:right w:val="nil"/>
            </w:tcBorders>
            <w:shd w:val="clear" w:color="auto" w:fill="auto"/>
            <w:noWrap/>
            <w:vAlign w:val="bottom"/>
          </w:tcPr>
          <w:p w14:paraId="509B1BE6" w14:textId="77777777" w:rsidR="00CF01B2" w:rsidRPr="00212064" w:rsidRDefault="00CF01B2" w:rsidP="007E6041">
            <w:pPr>
              <w:widowControl w:val="0"/>
              <w:jc w:val="right"/>
              <w:rPr>
                <w:color w:val="000000"/>
                <w:sz w:val="22"/>
                <w:szCs w:val="22"/>
              </w:rPr>
            </w:pPr>
            <w:r w:rsidRPr="00212064">
              <w:rPr>
                <w:color w:val="000000"/>
                <w:sz w:val="22"/>
                <w:szCs w:val="22"/>
              </w:rPr>
              <w:t>98.9</w:t>
            </w:r>
          </w:p>
        </w:tc>
        <w:tc>
          <w:tcPr>
            <w:tcW w:w="340" w:type="pct"/>
            <w:tcBorders>
              <w:top w:val="nil"/>
              <w:left w:val="nil"/>
              <w:bottom w:val="nil"/>
              <w:right w:val="nil"/>
            </w:tcBorders>
            <w:shd w:val="clear" w:color="auto" w:fill="auto"/>
            <w:noWrap/>
            <w:vAlign w:val="bottom"/>
          </w:tcPr>
          <w:p w14:paraId="698A38E5" w14:textId="77777777" w:rsidR="00CF01B2" w:rsidRPr="00212064" w:rsidRDefault="00CF01B2" w:rsidP="007E6041">
            <w:pPr>
              <w:widowControl w:val="0"/>
              <w:jc w:val="right"/>
              <w:rPr>
                <w:color w:val="000000"/>
                <w:sz w:val="22"/>
                <w:szCs w:val="22"/>
              </w:rPr>
            </w:pPr>
            <w:r w:rsidRPr="00212064">
              <w:rPr>
                <w:color w:val="000000"/>
                <w:sz w:val="22"/>
                <w:szCs w:val="22"/>
              </w:rPr>
              <w:t>352</w:t>
            </w:r>
          </w:p>
        </w:tc>
        <w:tc>
          <w:tcPr>
            <w:tcW w:w="401" w:type="pct"/>
            <w:tcBorders>
              <w:top w:val="nil"/>
              <w:left w:val="nil"/>
              <w:bottom w:val="nil"/>
              <w:right w:val="nil"/>
            </w:tcBorders>
            <w:shd w:val="clear" w:color="auto" w:fill="auto"/>
            <w:noWrap/>
            <w:vAlign w:val="bottom"/>
          </w:tcPr>
          <w:p w14:paraId="76B58A12" w14:textId="77777777" w:rsidR="00CF01B2" w:rsidRPr="00212064" w:rsidRDefault="00CF01B2" w:rsidP="007E6041">
            <w:pPr>
              <w:widowControl w:val="0"/>
              <w:jc w:val="right"/>
              <w:rPr>
                <w:color w:val="000000"/>
                <w:sz w:val="22"/>
                <w:szCs w:val="22"/>
              </w:rPr>
            </w:pPr>
            <w:r w:rsidRPr="00212064">
              <w:rPr>
                <w:color w:val="000000"/>
                <w:sz w:val="22"/>
                <w:szCs w:val="22"/>
              </w:rPr>
              <w:t>80.4</w:t>
            </w:r>
          </w:p>
        </w:tc>
      </w:tr>
      <w:tr w:rsidR="00CF01B2" w:rsidRPr="00E6232D" w14:paraId="5565AA28" w14:textId="77777777" w:rsidTr="007E6041">
        <w:tc>
          <w:tcPr>
            <w:tcW w:w="2688" w:type="pct"/>
            <w:tcBorders>
              <w:top w:val="nil"/>
              <w:left w:val="nil"/>
              <w:bottom w:val="nil"/>
              <w:right w:val="nil"/>
            </w:tcBorders>
            <w:shd w:val="clear" w:color="auto" w:fill="auto"/>
            <w:noWrap/>
            <w:vAlign w:val="bottom"/>
          </w:tcPr>
          <w:p w14:paraId="74E837E0" w14:textId="77777777" w:rsidR="00CF01B2" w:rsidRPr="00212064" w:rsidRDefault="00CF01B2" w:rsidP="007E6041">
            <w:pPr>
              <w:widowControl w:val="0"/>
              <w:rPr>
                <w:color w:val="000000"/>
                <w:sz w:val="22"/>
                <w:szCs w:val="22"/>
              </w:rPr>
            </w:pPr>
            <w:r w:rsidRPr="00212064">
              <w:rPr>
                <w:color w:val="000000"/>
                <w:sz w:val="22"/>
                <w:szCs w:val="22"/>
              </w:rPr>
              <w:t xml:space="preserve">        Temporary</w:t>
            </w:r>
          </w:p>
        </w:tc>
        <w:tc>
          <w:tcPr>
            <w:tcW w:w="351" w:type="pct"/>
            <w:tcBorders>
              <w:top w:val="nil"/>
              <w:left w:val="nil"/>
              <w:bottom w:val="nil"/>
              <w:right w:val="nil"/>
            </w:tcBorders>
            <w:shd w:val="clear" w:color="auto" w:fill="auto"/>
            <w:noWrap/>
            <w:vAlign w:val="bottom"/>
          </w:tcPr>
          <w:p w14:paraId="0BB47DD2" w14:textId="77777777" w:rsidR="00CF01B2" w:rsidRPr="00212064" w:rsidRDefault="00CF01B2" w:rsidP="007E6041">
            <w:pPr>
              <w:widowControl w:val="0"/>
              <w:jc w:val="right"/>
              <w:rPr>
                <w:color w:val="000000"/>
                <w:sz w:val="22"/>
                <w:szCs w:val="22"/>
              </w:rPr>
            </w:pPr>
            <w:r w:rsidRPr="00212064">
              <w:rPr>
                <w:color w:val="000000"/>
                <w:sz w:val="22"/>
                <w:szCs w:val="22"/>
              </w:rPr>
              <w:t>33</w:t>
            </w:r>
          </w:p>
        </w:tc>
        <w:tc>
          <w:tcPr>
            <w:tcW w:w="417" w:type="pct"/>
            <w:tcBorders>
              <w:top w:val="nil"/>
              <w:left w:val="nil"/>
              <w:bottom w:val="nil"/>
              <w:right w:val="nil"/>
            </w:tcBorders>
            <w:shd w:val="clear" w:color="auto" w:fill="auto"/>
            <w:noWrap/>
            <w:vAlign w:val="bottom"/>
          </w:tcPr>
          <w:p w14:paraId="264B9511" w14:textId="77777777" w:rsidR="00CF01B2" w:rsidRPr="00212064" w:rsidRDefault="00CF01B2" w:rsidP="007E6041">
            <w:pPr>
              <w:widowControl w:val="0"/>
              <w:jc w:val="right"/>
              <w:rPr>
                <w:color w:val="000000"/>
                <w:sz w:val="22"/>
                <w:szCs w:val="22"/>
              </w:rPr>
            </w:pPr>
            <w:r w:rsidRPr="00212064">
              <w:rPr>
                <w:color w:val="000000"/>
                <w:sz w:val="22"/>
                <w:szCs w:val="22"/>
              </w:rPr>
              <w:t>14.9</w:t>
            </w:r>
          </w:p>
        </w:tc>
        <w:tc>
          <w:tcPr>
            <w:tcW w:w="368" w:type="pct"/>
            <w:tcBorders>
              <w:top w:val="nil"/>
              <w:left w:val="nil"/>
              <w:bottom w:val="nil"/>
              <w:right w:val="nil"/>
            </w:tcBorders>
            <w:shd w:val="clear" w:color="auto" w:fill="auto"/>
            <w:noWrap/>
            <w:vAlign w:val="bottom"/>
          </w:tcPr>
          <w:p w14:paraId="3CA2745C" w14:textId="77777777" w:rsidR="00CF01B2" w:rsidRPr="00212064" w:rsidRDefault="00CF01B2" w:rsidP="007E6041">
            <w:pPr>
              <w:widowControl w:val="0"/>
              <w:jc w:val="right"/>
              <w:rPr>
                <w:color w:val="000000"/>
                <w:sz w:val="22"/>
                <w:szCs w:val="22"/>
              </w:rPr>
            </w:pPr>
            <w:r w:rsidRPr="00212064">
              <w:rPr>
                <w:color w:val="000000"/>
                <w:sz w:val="22"/>
                <w:szCs w:val="22"/>
              </w:rPr>
              <w:t>3</w:t>
            </w:r>
          </w:p>
        </w:tc>
        <w:tc>
          <w:tcPr>
            <w:tcW w:w="435" w:type="pct"/>
            <w:tcBorders>
              <w:top w:val="nil"/>
              <w:left w:val="nil"/>
              <w:bottom w:val="nil"/>
              <w:right w:val="nil"/>
            </w:tcBorders>
            <w:shd w:val="clear" w:color="auto" w:fill="auto"/>
            <w:noWrap/>
            <w:vAlign w:val="bottom"/>
          </w:tcPr>
          <w:p w14:paraId="3F56B654" w14:textId="77777777" w:rsidR="00CF01B2" w:rsidRPr="00212064" w:rsidRDefault="00CF01B2" w:rsidP="007E6041">
            <w:pPr>
              <w:widowControl w:val="0"/>
              <w:jc w:val="right"/>
              <w:rPr>
                <w:color w:val="000000"/>
                <w:sz w:val="22"/>
                <w:szCs w:val="22"/>
              </w:rPr>
            </w:pPr>
            <w:r w:rsidRPr="00212064">
              <w:rPr>
                <w:color w:val="000000"/>
                <w:sz w:val="22"/>
                <w:szCs w:val="22"/>
              </w:rPr>
              <w:t>1.1</w:t>
            </w:r>
          </w:p>
        </w:tc>
        <w:tc>
          <w:tcPr>
            <w:tcW w:w="340" w:type="pct"/>
            <w:tcBorders>
              <w:top w:val="nil"/>
              <w:left w:val="nil"/>
              <w:bottom w:val="nil"/>
              <w:right w:val="nil"/>
            </w:tcBorders>
            <w:shd w:val="clear" w:color="auto" w:fill="auto"/>
            <w:noWrap/>
            <w:vAlign w:val="bottom"/>
          </w:tcPr>
          <w:p w14:paraId="7C9D843C" w14:textId="77777777" w:rsidR="00CF01B2" w:rsidRPr="00212064" w:rsidRDefault="00CF01B2" w:rsidP="007E6041">
            <w:pPr>
              <w:widowControl w:val="0"/>
              <w:jc w:val="right"/>
              <w:rPr>
                <w:color w:val="000000"/>
                <w:sz w:val="22"/>
                <w:szCs w:val="22"/>
              </w:rPr>
            </w:pPr>
            <w:r w:rsidRPr="00212064">
              <w:rPr>
                <w:color w:val="000000"/>
                <w:sz w:val="22"/>
                <w:szCs w:val="22"/>
              </w:rPr>
              <w:t>86</w:t>
            </w:r>
          </w:p>
        </w:tc>
        <w:tc>
          <w:tcPr>
            <w:tcW w:w="401" w:type="pct"/>
            <w:tcBorders>
              <w:top w:val="nil"/>
              <w:left w:val="nil"/>
              <w:bottom w:val="nil"/>
              <w:right w:val="nil"/>
            </w:tcBorders>
            <w:shd w:val="clear" w:color="auto" w:fill="auto"/>
            <w:noWrap/>
            <w:vAlign w:val="bottom"/>
          </w:tcPr>
          <w:p w14:paraId="41E6FC31" w14:textId="77777777" w:rsidR="00CF01B2" w:rsidRPr="00212064" w:rsidRDefault="00CF01B2" w:rsidP="007E6041">
            <w:pPr>
              <w:widowControl w:val="0"/>
              <w:jc w:val="right"/>
              <w:rPr>
                <w:color w:val="000000"/>
                <w:sz w:val="22"/>
                <w:szCs w:val="22"/>
              </w:rPr>
            </w:pPr>
            <w:r w:rsidRPr="00212064">
              <w:rPr>
                <w:color w:val="000000"/>
                <w:sz w:val="22"/>
                <w:szCs w:val="22"/>
              </w:rPr>
              <w:t>19.6</w:t>
            </w:r>
          </w:p>
        </w:tc>
      </w:tr>
      <w:tr w:rsidR="00CF01B2" w:rsidRPr="00E6232D" w14:paraId="6340D8E9" w14:textId="77777777" w:rsidTr="007E6041">
        <w:tc>
          <w:tcPr>
            <w:tcW w:w="2688" w:type="pct"/>
            <w:tcBorders>
              <w:top w:val="nil"/>
              <w:left w:val="nil"/>
              <w:bottom w:val="nil"/>
              <w:right w:val="nil"/>
            </w:tcBorders>
            <w:shd w:val="clear" w:color="auto" w:fill="auto"/>
            <w:noWrap/>
            <w:vAlign w:val="bottom"/>
          </w:tcPr>
          <w:p w14:paraId="383DAFE0" w14:textId="77777777" w:rsidR="00CF01B2" w:rsidRPr="00212064" w:rsidRDefault="00CF01B2" w:rsidP="007E6041">
            <w:pPr>
              <w:widowControl w:val="0"/>
              <w:rPr>
                <w:b/>
                <w:color w:val="000000"/>
                <w:sz w:val="22"/>
                <w:szCs w:val="22"/>
              </w:rPr>
            </w:pPr>
            <w:r>
              <w:rPr>
                <w:b/>
                <w:color w:val="000000"/>
                <w:sz w:val="22"/>
                <w:szCs w:val="22"/>
              </w:rPr>
              <w:t>Psychosocial Working conditions</w:t>
            </w:r>
          </w:p>
        </w:tc>
        <w:tc>
          <w:tcPr>
            <w:tcW w:w="351" w:type="pct"/>
            <w:tcBorders>
              <w:top w:val="nil"/>
              <w:left w:val="nil"/>
              <w:bottom w:val="nil"/>
              <w:right w:val="nil"/>
            </w:tcBorders>
            <w:shd w:val="clear" w:color="auto" w:fill="auto"/>
            <w:noWrap/>
            <w:vAlign w:val="bottom"/>
          </w:tcPr>
          <w:p w14:paraId="3190FB11" w14:textId="77777777" w:rsidR="00CF01B2" w:rsidRPr="00212064" w:rsidRDefault="00CF01B2" w:rsidP="007E6041">
            <w:pPr>
              <w:widowControl w:val="0"/>
              <w:jc w:val="right"/>
              <w:rPr>
                <w:color w:val="000000"/>
                <w:sz w:val="22"/>
                <w:szCs w:val="22"/>
              </w:rPr>
            </w:pPr>
          </w:p>
        </w:tc>
        <w:tc>
          <w:tcPr>
            <w:tcW w:w="417" w:type="pct"/>
            <w:tcBorders>
              <w:top w:val="nil"/>
              <w:left w:val="nil"/>
              <w:bottom w:val="nil"/>
              <w:right w:val="nil"/>
            </w:tcBorders>
            <w:shd w:val="clear" w:color="auto" w:fill="auto"/>
            <w:noWrap/>
            <w:vAlign w:val="bottom"/>
          </w:tcPr>
          <w:p w14:paraId="21FC9B16" w14:textId="77777777" w:rsidR="00CF01B2" w:rsidRPr="00212064" w:rsidRDefault="00CF01B2" w:rsidP="007E6041">
            <w:pPr>
              <w:widowControl w:val="0"/>
              <w:jc w:val="right"/>
              <w:rPr>
                <w:color w:val="000000"/>
                <w:sz w:val="22"/>
                <w:szCs w:val="22"/>
              </w:rPr>
            </w:pPr>
          </w:p>
        </w:tc>
        <w:tc>
          <w:tcPr>
            <w:tcW w:w="368" w:type="pct"/>
            <w:tcBorders>
              <w:top w:val="nil"/>
              <w:left w:val="nil"/>
              <w:bottom w:val="nil"/>
              <w:right w:val="nil"/>
            </w:tcBorders>
            <w:shd w:val="clear" w:color="auto" w:fill="auto"/>
            <w:noWrap/>
            <w:vAlign w:val="bottom"/>
          </w:tcPr>
          <w:p w14:paraId="72D661A6" w14:textId="77777777" w:rsidR="00CF01B2" w:rsidRPr="00212064" w:rsidRDefault="00CF01B2" w:rsidP="007E6041">
            <w:pPr>
              <w:widowControl w:val="0"/>
              <w:jc w:val="right"/>
              <w:rPr>
                <w:color w:val="000000"/>
                <w:sz w:val="22"/>
                <w:szCs w:val="22"/>
              </w:rPr>
            </w:pPr>
          </w:p>
        </w:tc>
        <w:tc>
          <w:tcPr>
            <w:tcW w:w="435" w:type="pct"/>
            <w:tcBorders>
              <w:top w:val="nil"/>
              <w:left w:val="nil"/>
              <w:bottom w:val="nil"/>
              <w:right w:val="nil"/>
            </w:tcBorders>
            <w:shd w:val="clear" w:color="auto" w:fill="auto"/>
            <w:noWrap/>
            <w:vAlign w:val="bottom"/>
          </w:tcPr>
          <w:p w14:paraId="256D0229" w14:textId="77777777" w:rsidR="00CF01B2" w:rsidRPr="00212064" w:rsidRDefault="00CF01B2" w:rsidP="007E6041">
            <w:pPr>
              <w:widowControl w:val="0"/>
              <w:jc w:val="right"/>
              <w:rPr>
                <w:color w:val="000000"/>
                <w:sz w:val="22"/>
                <w:szCs w:val="22"/>
              </w:rPr>
            </w:pPr>
          </w:p>
        </w:tc>
        <w:tc>
          <w:tcPr>
            <w:tcW w:w="340" w:type="pct"/>
            <w:tcBorders>
              <w:top w:val="nil"/>
              <w:left w:val="nil"/>
              <w:bottom w:val="nil"/>
              <w:right w:val="nil"/>
            </w:tcBorders>
            <w:shd w:val="clear" w:color="auto" w:fill="auto"/>
            <w:noWrap/>
            <w:vAlign w:val="bottom"/>
          </w:tcPr>
          <w:p w14:paraId="61F8A540" w14:textId="77777777" w:rsidR="00CF01B2" w:rsidRPr="00212064" w:rsidRDefault="00CF01B2" w:rsidP="007E6041">
            <w:pPr>
              <w:widowControl w:val="0"/>
              <w:jc w:val="right"/>
              <w:rPr>
                <w:color w:val="000000"/>
                <w:sz w:val="22"/>
                <w:szCs w:val="22"/>
              </w:rPr>
            </w:pPr>
          </w:p>
        </w:tc>
        <w:tc>
          <w:tcPr>
            <w:tcW w:w="401" w:type="pct"/>
            <w:tcBorders>
              <w:top w:val="nil"/>
              <w:left w:val="nil"/>
              <w:bottom w:val="nil"/>
              <w:right w:val="nil"/>
            </w:tcBorders>
            <w:shd w:val="clear" w:color="auto" w:fill="auto"/>
            <w:noWrap/>
            <w:vAlign w:val="bottom"/>
          </w:tcPr>
          <w:p w14:paraId="1AE87799" w14:textId="77777777" w:rsidR="00CF01B2" w:rsidRPr="00212064" w:rsidRDefault="00CF01B2" w:rsidP="007E6041">
            <w:pPr>
              <w:widowControl w:val="0"/>
              <w:jc w:val="right"/>
              <w:rPr>
                <w:color w:val="000000"/>
                <w:sz w:val="22"/>
                <w:szCs w:val="22"/>
              </w:rPr>
            </w:pPr>
          </w:p>
        </w:tc>
      </w:tr>
      <w:tr w:rsidR="00CF01B2" w:rsidRPr="00E6232D" w14:paraId="69C76E8D" w14:textId="77777777" w:rsidTr="007E6041">
        <w:tc>
          <w:tcPr>
            <w:tcW w:w="2688" w:type="pct"/>
            <w:tcBorders>
              <w:top w:val="nil"/>
              <w:left w:val="nil"/>
              <w:right w:val="nil"/>
            </w:tcBorders>
            <w:shd w:val="clear" w:color="auto" w:fill="auto"/>
            <w:noWrap/>
            <w:vAlign w:val="bottom"/>
          </w:tcPr>
          <w:p w14:paraId="49CE428D" w14:textId="77777777" w:rsidR="00CF01B2" w:rsidRPr="00212064" w:rsidRDefault="00CF01B2" w:rsidP="007E6041">
            <w:pPr>
              <w:widowControl w:val="0"/>
              <w:rPr>
                <w:color w:val="000000"/>
                <w:sz w:val="22"/>
                <w:szCs w:val="22"/>
              </w:rPr>
            </w:pPr>
            <w:r w:rsidRPr="00212064">
              <w:rPr>
                <w:color w:val="000000"/>
                <w:sz w:val="22"/>
                <w:szCs w:val="22"/>
              </w:rPr>
              <w:t xml:space="preserve">        Time pressure</w:t>
            </w:r>
          </w:p>
        </w:tc>
        <w:tc>
          <w:tcPr>
            <w:tcW w:w="351" w:type="pct"/>
            <w:tcBorders>
              <w:top w:val="nil"/>
              <w:left w:val="nil"/>
              <w:right w:val="nil"/>
            </w:tcBorders>
            <w:shd w:val="clear" w:color="auto" w:fill="auto"/>
            <w:noWrap/>
            <w:vAlign w:val="bottom"/>
          </w:tcPr>
          <w:p w14:paraId="08DC083F" w14:textId="77777777" w:rsidR="00CF01B2" w:rsidRPr="00212064" w:rsidRDefault="00CF01B2" w:rsidP="007E6041">
            <w:pPr>
              <w:widowControl w:val="0"/>
              <w:jc w:val="right"/>
              <w:rPr>
                <w:color w:val="000000"/>
                <w:sz w:val="22"/>
                <w:szCs w:val="22"/>
              </w:rPr>
            </w:pPr>
            <w:r w:rsidRPr="00212064">
              <w:rPr>
                <w:color w:val="000000"/>
                <w:sz w:val="22"/>
                <w:szCs w:val="22"/>
              </w:rPr>
              <w:t>175</w:t>
            </w:r>
          </w:p>
        </w:tc>
        <w:tc>
          <w:tcPr>
            <w:tcW w:w="417" w:type="pct"/>
            <w:tcBorders>
              <w:top w:val="nil"/>
              <w:left w:val="nil"/>
              <w:right w:val="nil"/>
            </w:tcBorders>
            <w:shd w:val="clear" w:color="auto" w:fill="auto"/>
            <w:noWrap/>
            <w:vAlign w:val="bottom"/>
          </w:tcPr>
          <w:p w14:paraId="7C351760" w14:textId="77777777" w:rsidR="00CF01B2" w:rsidRPr="00212064" w:rsidRDefault="00CF01B2" w:rsidP="007E6041">
            <w:pPr>
              <w:widowControl w:val="0"/>
              <w:jc w:val="right"/>
              <w:rPr>
                <w:color w:val="000000"/>
                <w:sz w:val="22"/>
                <w:szCs w:val="22"/>
              </w:rPr>
            </w:pPr>
            <w:r w:rsidRPr="00212064">
              <w:rPr>
                <w:color w:val="000000"/>
                <w:sz w:val="22"/>
                <w:szCs w:val="22"/>
              </w:rPr>
              <w:t>78.1</w:t>
            </w:r>
          </w:p>
        </w:tc>
        <w:tc>
          <w:tcPr>
            <w:tcW w:w="368" w:type="pct"/>
            <w:tcBorders>
              <w:top w:val="nil"/>
              <w:left w:val="nil"/>
              <w:right w:val="nil"/>
            </w:tcBorders>
            <w:shd w:val="clear" w:color="auto" w:fill="auto"/>
            <w:noWrap/>
            <w:vAlign w:val="bottom"/>
          </w:tcPr>
          <w:p w14:paraId="1BCEAA73" w14:textId="77777777" w:rsidR="00CF01B2" w:rsidRPr="00212064" w:rsidRDefault="00CF01B2" w:rsidP="007E6041">
            <w:pPr>
              <w:widowControl w:val="0"/>
              <w:jc w:val="right"/>
              <w:rPr>
                <w:color w:val="000000"/>
                <w:sz w:val="22"/>
                <w:szCs w:val="22"/>
              </w:rPr>
            </w:pPr>
            <w:r w:rsidRPr="00212064">
              <w:rPr>
                <w:color w:val="000000"/>
                <w:sz w:val="22"/>
                <w:szCs w:val="22"/>
              </w:rPr>
              <w:t>228</w:t>
            </w:r>
          </w:p>
        </w:tc>
        <w:tc>
          <w:tcPr>
            <w:tcW w:w="435" w:type="pct"/>
            <w:tcBorders>
              <w:top w:val="nil"/>
              <w:left w:val="nil"/>
              <w:right w:val="nil"/>
            </w:tcBorders>
            <w:shd w:val="clear" w:color="auto" w:fill="auto"/>
            <w:noWrap/>
            <w:vAlign w:val="bottom"/>
          </w:tcPr>
          <w:p w14:paraId="626DB8E5" w14:textId="77777777" w:rsidR="00CF01B2" w:rsidRPr="00212064" w:rsidRDefault="00CF01B2" w:rsidP="007E6041">
            <w:pPr>
              <w:widowControl w:val="0"/>
              <w:jc w:val="right"/>
              <w:rPr>
                <w:color w:val="000000"/>
                <w:sz w:val="22"/>
                <w:szCs w:val="22"/>
              </w:rPr>
            </w:pPr>
            <w:r w:rsidRPr="00212064">
              <w:rPr>
                <w:color w:val="000000"/>
                <w:sz w:val="22"/>
                <w:szCs w:val="22"/>
              </w:rPr>
              <w:t>80.0</w:t>
            </w:r>
          </w:p>
        </w:tc>
        <w:tc>
          <w:tcPr>
            <w:tcW w:w="340" w:type="pct"/>
            <w:tcBorders>
              <w:top w:val="nil"/>
              <w:left w:val="nil"/>
              <w:right w:val="nil"/>
            </w:tcBorders>
            <w:shd w:val="clear" w:color="auto" w:fill="auto"/>
            <w:noWrap/>
            <w:vAlign w:val="bottom"/>
          </w:tcPr>
          <w:p w14:paraId="265B0F19" w14:textId="77777777" w:rsidR="00CF01B2" w:rsidRPr="00212064" w:rsidRDefault="00CF01B2" w:rsidP="007E6041">
            <w:pPr>
              <w:widowControl w:val="0"/>
              <w:jc w:val="right"/>
              <w:rPr>
                <w:color w:val="000000"/>
                <w:sz w:val="22"/>
                <w:szCs w:val="22"/>
              </w:rPr>
            </w:pPr>
            <w:r w:rsidRPr="00212064">
              <w:rPr>
                <w:color w:val="000000"/>
                <w:sz w:val="22"/>
                <w:szCs w:val="22"/>
              </w:rPr>
              <w:t>238</w:t>
            </w:r>
          </w:p>
        </w:tc>
        <w:tc>
          <w:tcPr>
            <w:tcW w:w="401" w:type="pct"/>
            <w:tcBorders>
              <w:top w:val="nil"/>
              <w:left w:val="nil"/>
              <w:right w:val="nil"/>
            </w:tcBorders>
            <w:shd w:val="clear" w:color="auto" w:fill="auto"/>
            <w:noWrap/>
            <w:vAlign w:val="bottom"/>
          </w:tcPr>
          <w:p w14:paraId="0E5EE6C3" w14:textId="77777777" w:rsidR="00CF01B2" w:rsidRPr="00212064" w:rsidRDefault="00CF01B2" w:rsidP="007E6041">
            <w:pPr>
              <w:widowControl w:val="0"/>
              <w:jc w:val="right"/>
              <w:rPr>
                <w:color w:val="000000"/>
                <w:sz w:val="22"/>
                <w:szCs w:val="22"/>
              </w:rPr>
            </w:pPr>
            <w:r w:rsidRPr="00212064">
              <w:rPr>
                <w:color w:val="000000"/>
                <w:sz w:val="22"/>
                <w:szCs w:val="22"/>
              </w:rPr>
              <w:t>54.3</w:t>
            </w:r>
          </w:p>
        </w:tc>
      </w:tr>
      <w:tr w:rsidR="00CF01B2" w:rsidRPr="00E6232D" w14:paraId="27E31B1C" w14:textId="77777777" w:rsidTr="007E6041">
        <w:tc>
          <w:tcPr>
            <w:tcW w:w="2688" w:type="pct"/>
            <w:tcBorders>
              <w:top w:val="nil"/>
              <w:left w:val="nil"/>
              <w:right w:val="nil"/>
            </w:tcBorders>
            <w:shd w:val="clear" w:color="auto" w:fill="auto"/>
            <w:noWrap/>
            <w:vAlign w:val="bottom"/>
          </w:tcPr>
          <w:p w14:paraId="22E8FB67" w14:textId="77777777" w:rsidR="00CF01B2" w:rsidRPr="00212064" w:rsidRDefault="00CF01B2" w:rsidP="007E6041">
            <w:pPr>
              <w:widowControl w:val="0"/>
              <w:rPr>
                <w:color w:val="000000"/>
                <w:sz w:val="22"/>
                <w:szCs w:val="22"/>
              </w:rPr>
            </w:pPr>
            <w:r w:rsidRPr="00212064">
              <w:rPr>
                <w:color w:val="000000"/>
                <w:sz w:val="22"/>
                <w:szCs w:val="22"/>
              </w:rPr>
              <w:t xml:space="preserve">        Lack of support</w:t>
            </w:r>
          </w:p>
        </w:tc>
        <w:tc>
          <w:tcPr>
            <w:tcW w:w="351" w:type="pct"/>
            <w:tcBorders>
              <w:top w:val="nil"/>
              <w:left w:val="nil"/>
              <w:right w:val="nil"/>
            </w:tcBorders>
            <w:shd w:val="clear" w:color="auto" w:fill="auto"/>
            <w:noWrap/>
            <w:vAlign w:val="bottom"/>
          </w:tcPr>
          <w:p w14:paraId="5F0172A3" w14:textId="77777777" w:rsidR="00CF01B2" w:rsidRPr="00212064" w:rsidRDefault="00CF01B2" w:rsidP="007E6041">
            <w:pPr>
              <w:widowControl w:val="0"/>
              <w:jc w:val="right"/>
              <w:rPr>
                <w:color w:val="000000"/>
                <w:sz w:val="22"/>
                <w:szCs w:val="22"/>
              </w:rPr>
            </w:pPr>
            <w:r w:rsidRPr="00212064">
              <w:rPr>
                <w:color w:val="000000"/>
                <w:sz w:val="22"/>
                <w:szCs w:val="22"/>
              </w:rPr>
              <w:t>60</w:t>
            </w:r>
          </w:p>
        </w:tc>
        <w:tc>
          <w:tcPr>
            <w:tcW w:w="417" w:type="pct"/>
            <w:tcBorders>
              <w:top w:val="nil"/>
              <w:left w:val="nil"/>
              <w:right w:val="nil"/>
            </w:tcBorders>
            <w:shd w:val="clear" w:color="auto" w:fill="auto"/>
            <w:noWrap/>
            <w:vAlign w:val="bottom"/>
          </w:tcPr>
          <w:p w14:paraId="5597B759" w14:textId="77777777" w:rsidR="00CF01B2" w:rsidRPr="00212064" w:rsidRDefault="00CF01B2" w:rsidP="007E6041">
            <w:pPr>
              <w:widowControl w:val="0"/>
              <w:jc w:val="right"/>
              <w:rPr>
                <w:color w:val="000000"/>
                <w:sz w:val="22"/>
                <w:szCs w:val="22"/>
              </w:rPr>
            </w:pPr>
            <w:r w:rsidRPr="00212064">
              <w:rPr>
                <w:color w:val="000000"/>
                <w:sz w:val="22"/>
                <w:szCs w:val="22"/>
              </w:rPr>
              <w:t>26.8</w:t>
            </w:r>
          </w:p>
        </w:tc>
        <w:tc>
          <w:tcPr>
            <w:tcW w:w="368" w:type="pct"/>
            <w:tcBorders>
              <w:top w:val="nil"/>
              <w:left w:val="nil"/>
              <w:right w:val="nil"/>
            </w:tcBorders>
            <w:shd w:val="clear" w:color="auto" w:fill="auto"/>
            <w:noWrap/>
            <w:vAlign w:val="bottom"/>
          </w:tcPr>
          <w:p w14:paraId="3861ACE5" w14:textId="77777777" w:rsidR="00CF01B2" w:rsidRPr="00212064" w:rsidRDefault="00CF01B2" w:rsidP="007E6041">
            <w:pPr>
              <w:widowControl w:val="0"/>
              <w:jc w:val="right"/>
              <w:rPr>
                <w:color w:val="000000"/>
                <w:sz w:val="22"/>
                <w:szCs w:val="22"/>
              </w:rPr>
            </w:pPr>
            <w:r w:rsidRPr="00212064">
              <w:rPr>
                <w:color w:val="000000"/>
                <w:sz w:val="22"/>
                <w:szCs w:val="22"/>
              </w:rPr>
              <w:t>115</w:t>
            </w:r>
          </w:p>
        </w:tc>
        <w:tc>
          <w:tcPr>
            <w:tcW w:w="435" w:type="pct"/>
            <w:tcBorders>
              <w:top w:val="nil"/>
              <w:left w:val="nil"/>
              <w:right w:val="nil"/>
            </w:tcBorders>
            <w:shd w:val="clear" w:color="auto" w:fill="auto"/>
            <w:noWrap/>
            <w:vAlign w:val="bottom"/>
          </w:tcPr>
          <w:p w14:paraId="1632A5AF" w14:textId="77777777" w:rsidR="00CF01B2" w:rsidRPr="00212064" w:rsidRDefault="00CF01B2" w:rsidP="007E6041">
            <w:pPr>
              <w:widowControl w:val="0"/>
              <w:jc w:val="right"/>
              <w:rPr>
                <w:color w:val="000000"/>
                <w:sz w:val="22"/>
                <w:szCs w:val="22"/>
              </w:rPr>
            </w:pPr>
            <w:r w:rsidRPr="00212064">
              <w:rPr>
                <w:color w:val="000000"/>
                <w:sz w:val="22"/>
                <w:szCs w:val="22"/>
              </w:rPr>
              <w:t>40.4</w:t>
            </w:r>
          </w:p>
        </w:tc>
        <w:tc>
          <w:tcPr>
            <w:tcW w:w="340" w:type="pct"/>
            <w:tcBorders>
              <w:top w:val="nil"/>
              <w:left w:val="nil"/>
              <w:right w:val="nil"/>
            </w:tcBorders>
            <w:shd w:val="clear" w:color="auto" w:fill="auto"/>
            <w:noWrap/>
            <w:vAlign w:val="bottom"/>
          </w:tcPr>
          <w:p w14:paraId="300AF1E8" w14:textId="77777777" w:rsidR="00CF01B2" w:rsidRPr="00212064" w:rsidRDefault="00CF01B2" w:rsidP="007E6041">
            <w:pPr>
              <w:widowControl w:val="0"/>
              <w:jc w:val="right"/>
              <w:rPr>
                <w:color w:val="000000"/>
                <w:sz w:val="22"/>
                <w:szCs w:val="22"/>
              </w:rPr>
            </w:pPr>
            <w:r w:rsidRPr="00212064">
              <w:rPr>
                <w:color w:val="000000"/>
                <w:sz w:val="22"/>
                <w:szCs w:val="22"/>
              </w:rPr>
              <w:t>94</w:t>
            </w:r>
          </w:p>
        </w:tc>
        <w:tc>
          <w:tcPr>
            <w:tcW w:w="401" w:type="pct"/>
            <w:tcBorders>
              <w:top w:val="nil"/>
              <w:left w:val="nil"/>
              <w:right w:val="nil"/>
            </w:tcBorders>
            <w:shd w:val="clear" w:color="auto" w:fill="auto"/>
            <w:noWrap/>
            <w:vAlign w:val="bottom"/>
          </w:tcPr>
          <w:p w14:paraId="2EEF2820" w14:textId="77777777" w:rsidR="00CF01B2" w:rsidRPr="00212064" w:rsidRDefault="00CF01B2" w:rsidP="007E6041">
            <w:pPr>
              <w:widowControl w:val="0"/>
              <w:jc w:val="right"/>
              <w:rPr>
                <w:color w:val="000000"/>
                <w:sz w:val="22"/>
                <w:szCs w:val="22"/>
              </w:rPr>
            </w:pPr>
            <w:r w:rsidRPr="00212064">
              <w:rPr>
                <w:color w:val="000000"/>
                <w:sz w:val="22"/>
                <w:szCs w:val="22"/>
              </w:rPr>
              <w:t>21.5</w:t>
            </w:r>
          </w:p>
        </w:tc>
      </w:tr>
      <w:tr w:rsidR="00CF01B2" w:rsidRPr="00E6232D" w14:paraId="1F5C37F2" w14:textId="77777777" w:rsidTr="007E6041">
        <w:tc>
          <w:tcPr>
            <w:tcW w:w="2688" w:type="pct"/>
            <w:tcBorders>
              <w:left w:val="nil"/>
              <w:bottom w:val="nil"/>
              <w:right w:val="nil"/>
            </w:tcBorders>
            <w:shd w:val="clear" w:color="auto" w:fill="auto"/>
            <w:noWrap/>
            <w:vAlign w:val="bottom"/>
          </w:tcPr>
          <w:p w14:paraId="4E93BF96" w14:textId="77777777" w:rsidR="00CF01B2" w:rsidRPr="00212064" w:rsidRDefault="00CF01B2" w:rsidP="007E6041">
            <w:pPr>
              <w:widowControl w:val="0"/>
              <w:rPr>
                <w:b/>
                <w:color w:val="000000"/>
                <w:sz w:val="22"/>
                <w:szCs w:val="22"/>
              </w:rPr>
            </w:pPr>
            <w:r w:rsidRPr="00212064">
              <w:rPr>
                <w:b/>
                <w:color w:val="000000"/>
                <w:sz w:val="22"/>
                <w:szCs w:val="22"/>
              </w:rPr>
              <w:t>Health-related variables</w:t>
            </w:r>
          </w:p>
        </w:tc>
        <w:tc>
          <w:tcPr>
            <w:tcW w:w="351" w:type="pct"/>
            <w:tcBorders>
              <w:left w:val="nil"/>
              <w:bottom w:val="nil"/>
              <w:right w:val="nil"/>
            </w:tcBorders>
            <w:shd w:val="clear" w:color="auto" w:fill="auto"/>
            <w:noWrap/>
            <w:vAlign w:val="bottom"/>
          </w:tcPr>
          <w:p w14:paraId="1529C319" w14:textId="77777777" w:rsidR="00CF01B2" w:rsidRPr="00212064" w:rsidRDefault="00CF01B2" w:rsidP="007E6041">
            <w:pPr>
              <w:widowControl w:val="0"/>
              <w:jc w:val="right"/>
              <w:rPr>
                <w:color w:val="000000"/>
                <w:sz w:val="22"/>
                <w:szCs w:val="22"/>
              </w:rPr>
            </w:pPr>
          </w:p>
        </w:tc>
        <w:tc>
          <w:tcPr>
            <w:tcW w:w="417" w:type="pct"/>
            <w:tcBorders>
              <w:left w:val="nil"/>
              <w:bottom w:val="nil"/>
              <w:right w:val="nil"/>
            </w:tcBorders>
            <w:shd w:val="clear" w:color="auto" w:fill="auto"/>
            <w:noWrap/>
            <w:vAlign w:val="bottom"/>
          </w:tcPr>
          <w:p w14:paraId="7E2E553E" w14:textId="77777777" w:rsidR="00CF01B2" w:rsidRPr="00212064" w:rsidRDefault="00CF01B2" w:rsidP="007E6041">
            <w:pPr>
              <w:widowControl w:val="0"/>
              <w:jc w:val="right"/>
              <w:rPr>
                <w:color w:val="000000"/>
                <w:sz w:val="22"/>
                <w:szCs w:val="22"/>
              </w:rPr>
            </w:pPr>
          </w:p>
        </w:tc>
        <w:tc>
          <w:tcPr>
            <w:tcW w:w="368" w:type="pct"/>
            <w:tcBorders>
              <w:left w:val="nil"/>
              <w:bottom w:val="nil"/>
              <w:right w:val="nil"/>
            </w:tcBorders>
            <w:shd w:val="clear" w:color="auto" w:fill="auto"/>
            <w:noWrap/>
            <w:vAlign w:val="bottom"/>
          </w:tcPr>
          <w:p w14:paraId="52893072" w14:textId="77777777" w:rsidR="00CF01B2" w:rsidRPr="00212064" w:rsidRDefault="00CF01B2" w:rsidP="007E6041">
            <w:pPr>
              <w:widowControl w:val="0"/>
              <w:jc w:val="right"/>
              <w:rPr>
                <w:color w:val="000000"/>
                <w:sz w:val="22"/>
                <w:szCs w:val="22"/>
              </w:rPr>
            </w:pPr>
          </w:p>
        </w:tc>
        <w:tc>
          <w:tcPr>
            <w:tcW w:w="435" w:type="pct"/>
            <w:tcBorders>
              <w:left w:val="nil"/>
              <w:bottom w:val="nil"/>
              <w:right w:val="nil"/>
            </w:tcBorders>
            <w:shd w:val="clear" w:color="auto" w:fill="auto"/>
            <w:noWrap/>
            <w:vAlign w:val="bottom"/>
          </w:tcPr>
          <w:p w14:paraId="7414683E" w14:textId="77777777" w:rsidR="00CF01B2" w:rsidRPr="00212064" w:rsidRDefault="00CF01B2" w:rsidP="007E6041">
            <w:pPr>
              <w:widowControl w:val="0"/>
              <w:jc w:val="right"/>
              <w:rPr>
                <w:color w:val="000000"/>
                <w:sz w:val="22"/>
                <w:szCs w:val="22"/>
              </w:rPr>
            </w:pPr>
          </w:p>
        </w:tc>
        <w:tc>
          <w:tcPr>
            <w:tcW w:w="340" w:type="pct"/>
            <w:tcBorders>
              <w:left w:val="nil"/>
              <w:bottom w:val="nil"/>
              <w:right w:val="nil"/>
            </w:tcBorders>
            <w:shd w:val="clear" w:color="auto" w:fill="auto"/>
            <w:noWrap/>
            <w:vAlign w:val="bottom"/>
          </w:tcPr>
          <w:p w14:paraId="4DF002C4" w14:textId="77777777" w:rsidR="00CF01B2" w:rsidRPr="00212064" w:rsidRDefault="00CF01B2" w:rsidP="007E6041">
            <w:pPr>
              <w:widowControl w:val="0"/>
              <w:jc w:val="right"/>
              <w:rPr>
                <w:color w:val="000000"/>
                <w:sz w:val="22"/>
                <w:szCs w:val="22"/>
              </w:rPr>
            </w:pPr>
          </w:p>
        </w:tc>
        <w:tc>
          <w:tcPr>
            <w:tcW w:w="401" w:type="pct"/>
            <w:tcBorders>
              <w:left w:val="nil"/>
              <w:bottom w:val="nil"/>
              <w:right w:val="nil"/>
            </w:tcBorders>
            <w:shd w:val="clear" w:color="auto" w:fill="auto"/>
            <w:noWrap/>
            <w:vAlign w:val="bottom"/>
          </w:tcPr>
          <w:p w14:paraId="0BA6F6F1" w14:textId="77777777" w:rsidR="00CF01B2" w:rsidRPr="00212064" w:rsidRDefault="00CF01B2" w:rsidP="007E6041">
            <w:pPr>
              <w:widowControl w:val="0"/>
              <w:jc w:val="right"/>
              <w:rPr>
                <w:color w:val="000000"/>
                <w:sz w:val="22"/>
                <w:szCs w:val="22"/>
              </w:rPr>
            </w:pPr>
          </w:p>
        </w:tc>
      </w:tr>
      <w:tr w:rsidR="00CF01B2" w:rsidRPr="008452A8" w14:paraId="57809CCA" w14:textId="77777777" w:rsidTr="007E6041">
        <w:tc>
          <w:tcPr>
            <w:tcW w:w="2688" w:type="pct"/>
            <w:tcBorders>
              <w:top w:val="nil"/>
              <w:left w:val="nil"/>
              <w:bottom w:val="nil"/>
              <w:right w:val="nil"/>
            </w:tcBorders>
            <w:shd w:val="clear" w:color="auto" w:fill="auto"/>
            <w:noWrap/>
            <w:vAlign w:val="bottom"/>
          </w:tcPr>
          <w:p w14:paraId="2FDB01D4" w14:textId="77777777" w:rsidR="00CF01B2" w:rsidRPr="00212064" w:rsidRDefault="00CF01B2" w:rsidP="007E6041">
            <w:pPr>
              <w:widowControl w:val="0"/>
              <w:rPr>
                <w:color w:val="000000"/>
                <w:sz w:val="22"/>
                <w:szCs w:val="22"/>
              </w:rPr>
            </w:pPr>
            <w:r w:rsidRPr="00212064">
              <w:rPr>
                <w:color w:val="000000"/>
                <w:sz w:val="22"/>
                <w:szCs w:val="22"/>
              </w:rPr>
              <w:t xml:space="preserve">    Adverse health beliefs of UE pain</w:t>
            </w:r>
          </w:p>
        </w:tc>
        <w:tc>
          <w:tcPr>
            <w:tcW w:w="351" w:type="pct"/>
            <w:tcBorders>
              <w:top w:val="nil"/>
              <w:left w:val="nil"/>
              <w:bottom w:val="nil"/>
              <w:right w:val="nil"/>
            </w:tcBorders>
            <w:shd w:val="clear" w:color="auto" w:fill="auto"/>
            <w:noWrap/>
            <w:vAlign w:val="bottom"/>
          </w:tcPr>
          <w:p w14:paraId="7FE1DD5B" w14:textId="77777777" w:rsidR="00CF01B2" w:rsidRPr="00212064" w:rsidRDefault="00CF01B2" w:rsidP="007E6041">
            <w:pPr>
              <w:widowControl w:val="0"/>
              <w:jc w:val="right"/>
              <w:rPr>
                <w:color w:val="000000"/>
                <w:sz w:val="22"/>
                <w:szCs w:val="22"/>
              </w:rPr>
            </w:pPr>
          </w:p>
        </w:tc>
        <w:tc>
          <w:tcPr>
            <w:tcW w:w="417" w:type="pct"/>
            <w:tcBorders>
              <w:top w:val="nil"/>
              <w:left w:val="nil"/>
              <w:bottom w:val="nil"/>
              <w:right w:val="nil"/>
            </w:tcBorders>
            <w:shd w:val="clear" w:color="auto" w:fill="auto"/>
            <w:noWrap/>
            <w:vAlign w:val="bottom"/>
          </w:tcPr>
          <w:p w14:paraId="16F5E6DE" w14:textId="77777777" w:rsidR="00CF01B2" w:rsidRPr="00212064" w:rsidRDefault="00CF01B2" w:rsidP="007E6041">
            <w:pPr>
              <w:widowControl w:val="0"/>
              <w:jc w:val="right"/>
              <w:rPr>
                <w:color w:val="000000"/>
                <w:sz w:val="22"/>
                <w:szCs w:val="22"/>
              </w:rPr>
            </w:pPr>
          </w:p>
        </w:tc>
        <w:tc>
          <w:tcPr>
            <w:tcW w:w="368" w:type="pct"/>
            <w:tcBorders>
              <w:top w:val="nil"/>
              <w:left w:val="nil"/>
              <w:bottom w:val="nil"/>
              <w:right w:val="nil"/>
            </w:tcBorders>
            <w:shd w:val="clear" w:color="auto" w:fill="auto"/>
            <w:noWrap/>
            <w:vAlign w:val="bottom"/>
          </w:tcPr>
          <w:p w14:paraId="72A6A165" w14:textId="77777777" w:rsidR="00CF01B2" w:rsidRPr="00212064" w:rsidRDefault="00CF01B2" w:rsidP="007E6041">
            <w:pPr>
              <w:widowControl w:val="0"/>
              <w:jc w:val="right"/>
              <w:rPr>
                <w:color w:val="000000"/>
                <w:sz w:val="22"/>
                <w:szCs w:val="22"/>
              </w:rPr>
            </w:pPr>
          </w:p>
        </w:tc>
        <w:tc>
          <w:tcPr>
            <w:tcW w:w="435" w:type="pct"/>
            <w:tcBorders>
              <w:top w:val="nil"/>
              <w:left w:val="nil"/>
              <w:bottom w:val="nil"/>
              <w:right w:val="nil"/>
            </w:tcBorders>
            <w:shd w:val="clear" w:color="auto" w:fill="auto"/>
            <w:noWrap/>
            <w:vAlign w:val="bottom"/>
          </w:tcPr>
          <w:p w14:paraId="7D8A9C38" w14:textId="77777777" w:rsidR="00CF01B2" w:rsidRPr="00212064" w:rsidRDefault="00CF01B2" w:rsidP="007E6041">
            <w:pPr>
              <w:widowControl w:val="0"/>
              <w:jc w:val="right"/>
              <w:rPr>
                <w:color w:val="000000"/>
                <w:sz w:val="22"/>
                <w:szCs w:val="22"/>
              </w:rPr>
            </w:pPr>
          </w:p>
        </w:tc>
        <w:tc>
          <w:tcPr>
            <w:tcW w:w="340" w:type="pct"/>
            <w:tcBorders>
              <w:top w:val="nil"/>
              <w:left w:val="nil"/>
              <w:bottom w:val="nil"/>
              <w:right w:val="nil"/>
            </w:tcBorders>
            <w:shd w:val="clear" w:color="auto" w:fill="auto"/>
            <w:noWrap/>
            <w:vAlign w:val="bottom"/>
          </w:tcPr>
          <w:p w14:paraId="49980C5A" w14:textId="77777777" w:rsidR="00CF01B2" w:rsidRPr="00212064" w:rsidRDefault="00CF01B2" w:rsidP="007E6041">
            <w:pPr>
              <w:widowControl w:val="0"/>
              <w:jc w:val="right"/>
              <w:rPr>
                <w:color w:val="000000"/>
                <w:sz w:val="22"/>
                <w:szCs w:val="22"/>
              </w:rPr>
            </w:pPr>
          </w:p>
        </w:tc>
        <w:tc>
          <w:tcPr>
            <w:tcW w:w="401" w:type="pct"/>
            <w:tcBorders>
              <w:top w:val="nil"/>
              <w:left w:val="nil"/>
              <w:bottom w:val="nil"/>
              <w:right w:val="nil"/>
            </w:tcBorders>
            <w:shd w:val="clear" w:color="auto" w:fill="auto"/>
            <w:noWrap/>
            <w:vAlign w:val="bottom"/>
          </w:tcPr>
          <w:p w14:paraId="691EA3D9" w14:textId="77777777" w:rsidR="00CF01B2" w:rsidRPr="00212064" w:rsidRDefault="00CF01B2" w:rsidP="007E6041">
            <w:pPr>
              <w:widowControl w:val="0"/>
              <w:jc w:val="right"/>
              <w:rPr>
                <w:color w:val="000000"/>
                <w:sz w:val="22"/>
                <w:szCs w:val="22"/>
              </w:rPr>
            </w:pPr>
          </w:p>
        </w:tc>
      </w:tr>
      <w:tr w:rsidR="00CF01B2" w:rsidRPr="00E6232D" w14:paraId="3EA4F78A" w14:textId="77777777" w:rsidTr="007E6041">
        <w:tc>
          <w:tcPr>
            <w:tcW w:w="2688" w:type="pct"/>
            <w:tcBorders>
              <w:top w:val="nil"/>
              <w:left w:val="nil"/>
              <w:bottom w:val="nil"/>
              <w:right w:val="nil"/>
            </w:tcBorders>
            <w:shd w:val="clear" w:color="auto" w:fill="auto"/>
            <w:noWrap/>
            <w:vAlign w:val="bottom"/>
          </w:tcPr>
          <w:p w14:paraId="7C0BCCDE" w14:textId="77777777" w:rsidR="00CF01B2" w:rsidRPr="00212064" w:rsidRDefault="00CF01B2" w:rsidP="007E6041">
            <w:pPr>
              <w:widowControl w:val="0"/>
              <w:rPr>
                <w:color w:val="000000"/>
                <w:sz w:val="22"/>
                <w:szCs w:val="22"/>
              </w:rPr>
            </w:pPr>
            <w:r w:rsidRPr="00212064">
              <w:rPr>
                <w:color w:val="000000"/>
                <w:sz w:val="22"/>
                <w:szCs w:val="22"/>
              </w:rPr>
              <w:t xml:space="preserve">         Commonly caused by people’s work</w:t>
            </w:r>
          </w:p>
        </w:tc>
        <w:tc>
          <w:tcPr>
            <w:tcW w:w="351" w:type="pct"/>
            <w:tcBorders>
              <w:top w:val="nil"/>
              <w:left w:val="nil"/>
              <w:bottom w:val="nil"/>
              <w:right w:val="nil"/>
            </w:tcBorders>
            <w:shd w:val="clear" w:color="auto" w:fill="auto"/>
            <w:noWrap/>
            <w:vAlign w:val="bottom"/>
          </w:tcPr>
          <w:p w14:paraId="6BBF5888" w14:textId="77777777" w:rsidR="00CF01B2" w:rsidRPr="00212064" w:rsidRDefault="00CF01B2" w:rsidP="007E6041">
            <w:pPr>
              <w:widowControl w:val="0"/>
              <w:jc w:val="right"/>
              <w:rPr>
                <w:color w:val="000000"/>
                <w:sz w:val="22"/>
                <w:szCs w:val="22"/>
              </w:rPr>
            </w:pPr>
            <w:r w:rsidRPr="00212064">
              <w:rPr>
                <w:color w:val="000000"/>
                <w:sz w:val="22"/>
                <w:szCs w:val="22"/>
              </w:rPr>
              <w:t>27</w:t>
            </w:r>
          </w:p>
        </w:tc>
        <w:tc>
          <w:tcPr>
            <w:tcW w:w="417" w:type="pct"/>
            <w:tcBorders>
              <w:top w:val="nil"/>
              <w:left w:val="nil"/>
              <w:bottom w:val="nil"/>
              <w:right w:val="nil"/>
            </w:tcBorders>
            <w:shd w:val="clear" w:color="auto" w:fill="auto"/>
            <w:noWrap/>
            <w:vAlign w:val="bottom"/>
          </w:tcPr>
          <w:p w14:paraId="26B44B39" w14:textId="77777777" w:rsidR="00CF01B2" w:rsidRPr="00212064" w:rsidRDefault="00CF01B2" w:rsidP="007E6041">
            <w:pPr>
              <w:widowControl w:val="0"/>
              <w:jc w:val="right"/>
              <w:rPr>
                <w:color w:val="000000"/>
                <w:sz w:val="22"/>
                <w:szCs w:val="22"/>
              </w:rPr>
            </w:pPr>
            <w:r w:rsidRPr="00212064">
              <w:rPr>
                <w:color w:val="000000"/>
                <w:sz w:val="22"/>
                <w:szCs w:val="22"/>
              </w:rPr>
              <w:t>12.1</w:t>
            </w:r>
          </w:p>
        </w:tc>
        <w:tc>
          <w:tcPr>
            <w:tcW w:w="368" w:type="pct"/>
            <w:tcBorders>
              <w:top w:val="nil"/>
              <w:left w:val="nil"/>
              <w:bottom w:val="nil"/>
              <w:right w:val="nil"/>
            </w:tcBorders>
            <w:shd w:val="clear" w:color="auto" w:fill="auto"/>
            <w:noWrap/>
            <w:vAlign w:val="bottom"/>
          </w:tcPr>
          <w:p w14:paraId="6DB6A03F" w14:textId="77777777" w:rsidR="00CF01B2" w:rsidRPr="00212064" w:rsidRDefault="00CF01B2" w:rsidP="007E6041">
            <w:pPr>
              <w:widowControl w:val="0"/>
              <w:jc w:val="right"/>
              <w:rPr>
                <w:color w:val="000000"/>
                <w:sz w:val="22"/>
                <w:szCs w:val="22"/>
              </w:rPr>
            </w:pPr>
            <w:r w:rsidRPr="00212064">
              <w:rPr>
                <w:color w:val="000000"/>
                <w:sz w:val="22"/>
                <w:szCs w:val="22"/>
              </w:rPr>
              <w:t>92</w:t>
            </w:r>
          </w:p>
        </w:tc>
        <w:tc>
          <w:tcPr>
            <w:tcW w:w="435" w:type="pct"/>
            <w:tcBorders>
              <w:top w:val="nil"/>
              <w:left w:val="nil"/>
              <w:bottom w:val="nil"/>
              <w:right w:val="nil"/>
            </w:tcBorders>
            <w:shd w:val="clear" w:color="auto" w:fill="auto"/>
            <w:noWrap/>
            <w:vAlign w:val="bottom"/>
          </w:tcPr>
          <w:p w14:paraId="122E893A" w14:textId="77777777" w:rsidR="00CF01B2" w:rsidRPr="00212064" w:rsidRDefault="00CF01B2" w:rsidP="007E6041">
            <w:pPr>
              <w:widowControl w:val="0"/>
              <w:jc w:val="right"/>
              <w:rPr>
                <w:color w:val="000000"/>
                <w:sz w:val="22"/>
                <w:szCs w:val="22"/>
              </w:rPr>
            </w:pPr>
            <w:r w:rsidRPr="00212064">
              <w:rPr>
                <w:color w:val="000000"/>
                <w:sz w:val="22"/>
                <w:szCs w:val="22"/>
              </w:rPr>
              <w:t>32.3</w:t>
            </w:r>
          </w:p>
        </w:tc>
        <w:tc>
          <w:tcPr>
            <w:tcW w:w="340" w:type="pct"/>
            <w:tcBorders>
              <w:top w:val="nil"/>
              <w:left w:val="nil"/>
              <w:bottom w:val="nil"/>
              <w:right w:val="nil"/>
            </w:tcBorders>
            <w:shd w:val="clear" w:color="auto" w:fill="auto"/>
            <w:noWrap/>
            <w:vAlign w:val="bottom"/>
          </w:tcPr>
          <w:p w14:paraId="1E531EC2" w14:textId="77777777" w:rsidR="00CF01B2" w:rsidRPr="00212064" w:rsidRDefault="00CF01B2" w:rsidP="007E6041">
            <w:pPr>
              <w:widowControl w:val="0"/>
              <w:jc w:val="right"/>
              <w:rPr>
                <w:color w:val="000000"/>
                <w:sz w:val="22"/>
                <w:szCs w:val="22"/>
              </w:rPr>
            </w:pPr>
            <w:r w:rsidRPr="00212064">
              <w:rPr>
                <w:color w:val="000000"/>
                <w:sz w:val="22"/>
                <w:szCs w:val="22"/>
              </w:rPr>
              <w:t>86</w:t>
            </w:r>
          </w:p>
        </w:tc>
        <w:tc>
          <w:tcPr>
            <w:tcW w:w="401" w:type="pct"/>
            <w:tcBorders>
              <w:top w:val="nil"/>
              <w:left w:val="nil"/>
              <w:bottom w:val="nil"/>
              <w:right w:val="nil"/>
            </w:tcBorders>
            <w:shd w:val="clear" w:color="auto" w:fill="auto"/>
            <w:noWrap/>
            <w:vAlign w:val="bottom"/>
          </w:tcPr>
          <w:p w14:paraId="75CFC427" w14:textId="77777777" w:rsidR="00CF01B2" w:rsidRPr="00212064" w:rsidRDefault="00CF01B2" w:rsidP="007E6041">
            <w:pPr>
              <w:widowControl w:val="0"/>
              <w:jc w:val="right"/>
              <w:rPr>
                <w:color w:val="000000"/>
                <w:sz w:val="22"/>
                <w:szCs w:val="22"/>
              </w:rPr>
            </w:pPr>
            <w:r w:rsidRPr="00212064">
              <w:rPr>
                <w:color w:val="000000"/>
                <w:sz w:val="22"/>
                <w:szCs w:val="22"/>
              </w:rPr>
              <w:t>19.6</w:t>
            </w:r>
          </w:p>
        </w:tc>
      </w:tr>
      <w:tr w:rsidR="00CF01B2" w:rsidRPr="00E6232D" w14:paraId="59B561E6" w14:textId="77777777" w:rsidTr="007E6041">
        <w:tc>
          <w:tcPr>
            <w:tcW w:w="2688" w:type="pct"/>
            <w:tcBorders>
              <w:top w:val="nil"/>
              <w:left w:val="nil"/>
              <w:bottom w:val="nil"/>
              <w:right w:val="nil"/>
            </w:tcBorders>
            <w:shd w:val="clear" w:color="auto" w:fill="auto"/>
            <w:noWrap/>
            <w:vAlign w:val="bottom"/>
          </w:tcPr>
          <w:p w14:paraId="59B94E36" w14:textId="77777777" w:rsidR="00CF01B2" w:rsidRPr="00212064" w:rsidRDefault="00CF01B2" w:rsidP="007E6041">
            <w:pPr>
              <w:widowControl w:val="0"/>
              <w:rPr>
                <w:color w:val="000000"/>
                <w:sz w:val="22"/>
                <w:szCs w:val="22"/>
              </w:rPr>
            </w:pPr>
            <w:r w:rsidRPr="00212064">
              <w:rPr>
                <w:color w:val="000000"/>
                <w:sz w:val="22"/>
                <w:szCs w:val="22"/>
              </w:rPr>
              <w:t xml:space="preserve">         Physical activity is harmful</w:t>
            </w:r>
          </w:p>
        </w:tc>
        <w:tc>
          <w:tcPr>
            <w:tcW w:w="351" w:type="pct"/>
            <w:tcBorders>
              <w:top w:val="nil"/>
              <w:left w:val="nil"/>
              <w:bottom w:val="nil"/>
              <w:right w:val="nil"/>
            </w:tcBorders>
            <w:shd w:val="clear" w:color="auto" w:fill="auto"/>
            <w:noWrap/>
            <w:vAlign w:val="bottom"/>
          </w:tcPr>
          <w:p w14:paraId="34FA48BB" w14:textId="77777777" w:rsidR="00CF01B2" w:rsidRPr="00212064" w:rsidRDefault="00CF01B2" w:rsidP="007E6041">
            <w:pPr>
              <w:widowControl w:val="0"/>
              <w:jc w:val="right"/>
              <w:rPr>
                <w:color w:val="000000"/>
                <w:sz w:val="22"/>
                <w:szCs w:val="22"/>
              </w:rPr>
            </w:pPr>
            <w:r w:rsidRPr="00212064">
              <w:rPr>
                <w:color w:val="000000"/>
                <w:sz w:val="22"/>
                <w:szCs w:val="22"/>
              </w:rPr>
              <w:t>7</w:t>
            </w:r>
          </w:p>
        </w:tc>
        <w:tc>
          <w:tcPr>
            <w:tcW w:w="417" w:type="pct"/>
            <w:tcBorders>
              <w:top w:val="nil"/>
              <w:left w:val="nil"/>
              <w:bottom w:val="nil"/>
              <w:right w:val="nil"/>
            </w:tcBorders>
            <w:shd w:val="clear" w:color="auto" w:fill="auto"/>
            <w:noWrap/>
            <w:vAlign w:val="bottom"/>
          </w:tcPr>
          <w:p w14:paraId="00C502FB" w14:textId="77777777" w:rsidR="00CF01B2" w:rsidRPr="00212064" w:rsidRDefault="00CF01B2" w:rsidP="007E6041">
            <w:pPr>
              <w:widowControl w:val="0"/>
              <w:jc w:val="right"/>
              <w:rPr>
                <w:color w:val="000000"/>
                <w:sz w:val="22"/>
                <w:szCs w:val="22"/>
              </w:rPr>
            </w:pPr>
            <w:r w:rsidRPr="00212064">
              <w:rPr>
                <w:color w:val="000000"/>
                <w:sz w:val="22"/>
                <w:szCs w:val="22"/>
              </w:rPr>
              <w:t>3.1</w:t>
            </w:r>
          </w:p>
        </w:tc>
        <w:tc>
          <w:tcPr>
            <w:tcW w:w="368" w:type="pct"/>
            <w:tcBorders>
              <w:top w:val="nil"/>
              <w:left w:val="nil"/>
              <w:bottom w:val="nil"/>
              <w:right w:val="nil"/>
            </w:tcBorders>
            <w:shd w:val="clear" w:color="auto" w:fill="auto"/>
            <w:noWrap/>
            <w:vAlign w:val="bottom"/>
          </w:tcPr>
          <w:p w14:paraId="211010E1" w14:textId="77777777" w:rsidR="00CF01B2" w:rsidRPr="00212064" w:rsidRDefault="00CF01B2" w:rsidP="007E6041">
            <w:pPr>
              <w:widowControl w:val="0"/>
              <w:jc w:val="right"/>
              <w:rPr>
                <w:color w:val="000000"/>
                <w:sz w:val="22"/>
                <w:szCs w:val="22"/>
              </w:rPr>
            </w:pPr>
            <w:r w:rsidRPr="00212064">
              <w:rPr>
                <w:color w:val="000000"/>
                <w:sz w:val="22"/>
                <w:szCs w:val="22"/>
              </w:rPr>
              <w:t>36</w:t>
            </w:r>
          </w:p>
        </w:tc>
        <w:tc>
          <w:tcPr>
            <w:tcW w:w="435" w:type="pct"/>
            <w:tcBorders>
              <w:top w:val="nil"/>
              <w:left w:val="nil"/>
              <w:bottom w:val="nil"/>
              <w:right w:val="nil"/>
            </w:tcBorders>
            <w:shd w:val="clear" w:color="auto" w:fill="auto"/>
            <w:noWrap/>
            <w:vAlign w:val="bottom"/>
          </w:tcPr>
          <w:p w14:paraId="00645C56" w14:textId="77777777" w:rsidR="00CF01B2" w:rsidRPr="00212064" w:rsidRDefault="00CF01B2" w:rsidP="007E6041">
            <w:pPr>
              <w:widowControl w:val="0"/>
              <w:jc w:val="right"/>
              <w:rPr>
                <w:color w:val="000000"/>
                <w:sz w:val="22"/>
                <w:szCs w:val="22"/>
              </w:rPr>
            </w:pPr>
            <w:r w:rsidRPr="00212064">
              <w:rPr>
                <w:color w:val="000000"/>
                <w:sz w:val="22"/>
                <w:szCs w:val="22"/>
              </w:rPr>
              <w:t>12.6</w:t>
            </w:r>
          </w:p>
        </w:tc>
        <w:tc>
          <w:tcPr>
            <w:tcW w:w="340" w:type="pct"/>
            <w:tcBorders>
              <w:top w:val="nil"/>
              <w:left w:val="nil"/>
              <w:bottom w:val="nil"/>
              <w:right w:val="nil"/>
            </w:tcBorders>
            <w:shd w:val="clear" w:color="auto" w:fill="auto"/>
            <w:noWrap/>
            <w:vAlign w:val="bottom"/>
          </w:tcPr>
          <w:p w14:paraId="253710FE" w14:textId="77777777" w:rsidR="00CF01B2" w:rsidRPr="00212064" w:rsidRDefault="00CF01B2" w:rsidP="007E6041">
            <w:pPr>
              <w:widowControl w:val="0"/>
              <w:jc w:val="right"/>
              <w:rPr>
                <w:color w:val="000000"/>
                <w:sz w:val="22"/>
                <w:szCs w:val="22"/>
              </w:rPr>
            </w:pPr>
            <w:r w:rsidRPr="00212064">
              <w:rPr>
                <w:color w:val="000000"/>
                <w:sz w:val="22"/>
                <w:szCs w:val="22"/>
              </w:rPr>
              <w:t>42</w:t>
            </w:r>
          </w:p>
        </w:tc>
        <w:tc>
          <w:tcPr>
            <w:tcW w:w="401" w:type="pct"/>
            <w:tcBorders>
              <w:top w:val="nil"/>
              <w:left w:val="nil"/>
              <w:bottom w:val="nil"/>
              <w:right w:val="nil"/>
            </w:tcBorders>
            <w:shd w:val="clear" w:color="auto" w:fill="auto"/>
            <w:noWrap/>
            <w:vAlign w:val="bottom"/>
          </w:tcPr>
          <w:p w14:paraId="4C93B5E1" w14:textId="77777777" w:rsidR="00CF01B2" w:rsidRPr="00212064" w:rsidRDefault="00CF01B2" w:rsidP="007E6041">
            <w:pPr>
              <w:widowControl w:val="0"/>
              <w:jc w:val="right"/>
              <w:rPr>
                <w:color w:val="000000"/>
                <w:sz w:val="22"/>
                <w:szCs w:val="22"/>
              </w:rPr>
            </w:pPr>
            <w:r w:rsidRPr="00212064">
              <w:rPr>
                <w:color w:val="000000"/>
                <w:sz w:val="22"/>
                <w:szCs w:val="22"/>
              </w:rPr>
              <w:t>9.6</w:t>
            </w:r>
          </w:p>
        </w:tc>
      </w:tr>
      <w:tr w:rsidR="00CF01B2" w:rsidRPr="00E6232D" w14:paraId="08E24EB3" w14:textId="77777777" w:rsidTr="007E6041">
        <w:tc>
          <w:tcPr>
            <w:tcW w:w="2688" w:type="pct"/>
            <w:tcBorders>
              <w:top w:val="nil"/>
              <w:left w:val="nil"/>
              <w:bottom w:val="nil"/>
              <w:right w:val="nil"/>
            </w:tcBorders>
            <w:shd w:val="clear" w:color="auto" w:fill="auto"/>
            <w:noWrap/>
            <w:vAlign w:val="bottom"/>
          </w:tcPr>
          <w:p w14:paraId="1E799EF5" w14:textId="77777777" w:rsidR="00CF01B2" w:rsidRPr="00212064" w:rsidRDefault="00CF01B2" w:rsidP="007E6041">
            <w:pPr>
              <w:widowControl w:val="0"/>
              <w:rPr>
                <w:color w:val="000000"/>
                <w:sz w:val="22"/>
                <w:szCs w:val="22"/>
              </w:rPr>
            </w:pPr>
            <w:r w:rsidRPr="00212064">
              <w:rPr>
                <w:color w:val="000000"/>
                <w:sz w:val="22"/>
                <w:szCs w:val="22"/>
              </w:rPr>
              <w:t xml:space="preserve">         Poor prognosis</w:t>
            </w:r>
          </w:p>
        </w:tc>
        <w:tc>
          <w:tcPr>
            <w:tcW w:w="351" w:type="pct"/>
            <w:tcBorders>
              <w:top w:val="nil"/>
              <w:left w:val="nil"/>
              <w:bottom w:val="nil"/>
              <w:right w:val="nil"/>
            </w:tcBorders>
            <w:shd w:val="clear" w:color="auto" w:fill="auto"/>
            <w:noWrap/>
            <w:vAlign w:val="bottom"/>
          </w:tcPr>
          <w:p w14:paraId="3AD3CDC8" w14:textId="77777777" w:rsidR="00CF01B2" w:rsidRPr="00212064" w:rsidRDefault="00CF01B2" w:rsidP="007E6041">
            <w:pPr>
              <w:widowControl w:val="0"/>
              <w:jc w:val="right"/>
              <w:rPr>
                <w:color w:val="000000"/>
                <w:sz w:val="22"/>
                <w:szCs w:val="22"/>
              </w:rPr>
            </w:pPr>
            <w:r w:rsidRPr="00212064">
              <w:rPr>
                <w:color w:val="000000"/>
                <w:sz w:val="22"/>
                <w:szCs w:val="22"/>
              </w:rPr>
              <w:t>49</w:t>
            </w:r>
          </w:p>
        </w:tc>
        <w:tc>
          <w:tcPr>
            <w:tcW w:w="417" w:type="pct"/>
            <w:tcBorders>
              <w:top w:val="nil"/>
              <w:left w:val="nil"/>
              <w:bottom w:val="nil"/>
              <w:right w:val="nil"/>
            </w:tcBorders>
            <w:shd w:val="clear" w:color="auto" w:fill="auto"/>
            <w:noWrap/>
            <w:vAlign w:val="bottom"/>
          </w:tcPr>
          <w:p w14:paraId="6A8A5502" w14:textId="77777777" w:rsidR="00CF01B2" w:rsidRPr="00212064" w:rsidRDefault="00CF01B2" w:rsidP="007E6041">
            <w:pPr>
              <w:widowControl w:val="0"/>
              <w:jc w:val="right"/>
              <w:rPr>
                <w:color w:val="000000"/>
                <w:sz w:val="22"/>
                <w:szCs w:val="22"/>
              </w:rPr>
            </w:pPr>
            <w:r w:rsidRPr="00212064">
              <w:rPr>
                <w:color w:val="000000"/>
                <w:sz w:val="22"/>
                <w:szCs w:val="22"/>
              </w:rPr>
              <w:t>21.9</w:t>
            </w:r>
          </w:p>
        </w:tc>
        <w:tc>
          <w:tcPr>
            <w:tcW w:w="368" w:type="pct"/>
            <w:tcBorders>
              <w:top w:val="nil"/>
              <w:left w:val="nil"/>
              <w:bottom w:val="nil"/>
              <w:right w:val="nil"/>
            </w:tcBorders>
            <w:shd w:val="clear" w:color="auto" w:fill="auto"/>
            <w:noWrap/>
            <w:vAlign w:val="bottom"/>
          </w:tcPr>
          <w:p w14:paraId="57EC2862" w14:textId="77777777" w:rsidR="00CF01B2" w:rsidRPr="00212064" w:rsidRDefault="00CF01B2" w:rsidP="007E6041">
            <w:pPr>
              <w:widowControl w:val="0"/>
              <w:jc w:val="right"/>
              <w:rPr>
                <w:color w:val="000000"/>
                <w:sz w:val="22"/>
                <w:szCs w:val="22"/>
              </w:rPr>
            </w:pPr>
            <w:r w:rsidRPr="00212064">
              <w:rPr>
                <w:color w:val="000000"/>
                <w:sz w:val="22"/>
                <w:szCs w:val="22"/>
              </w:rPr>
              <w:t>26</w:t>
            </w:r>
          </w:p>
        </w:tc>
        <w:tc>
          <w:tcPr>
            <w:tcW w:w="435" w:type="pct"/>
            <w:tcBorders>
              <w:top w:val="nil"/>
              <w:left w:val="nil"/>
              <w:bottom w:val="nil"/>
              <w:right w:val="nil"/>
            </w:tcBorders>
            <w:shd w:val="clear" w:color="auto" w:fill="auto"/>
            <w:noWrap/>
            <w:vAlign w:val="bottom"/>
          </w:tcPr>
          <w:p w14:paraId="19D61EB5" w14:textId="77777777" w:rsidR="00CF01B2" w:rsidRPr="00212064" w:rsidRDefault="00CF01B2" w:rsidP="007E6041">
            <w:pPr>
              <w:widowControl w:val="0"/>
              <w:jc w:val="right"/>
              <w:rPr>
                <w:color w:val="000000"/>
                <w:sz w:val="22"/>
                <w:szCs w:val="22"/>
              </w:rPr>
            </w:pPr>
            <w:r w:rsidRPr="00212064">
              <w:rPr>
                <w:color w:val="000000"/>
                <w:sz w:val="22"/>
                <w:szCs w:val="22"/>
              </w:rPr>
              <w:t>9.1</w:t>
            </w:r>
          </w:p>
        </w:tc>
        <w:tc>
          <w:tcPr>
            <w:tcW w:w="340" w:type="pct"/>
            <w:tcBorders>
              <w:top w:val="nil"/>
              <w:left w:val="nil"/>
              <w:bottom w:val="nil"/>
              <w:right w:val="nil"/>
            </w:tcBorders>
            <w:shd w:val="clear" w:color="auto" w:fill="auto"/>
            <w:noWrap/>
            <w:vAlign w:val="bottom"/>
          </w:tcPr>
          <w:p w14:paraId="4664B6D5" w14:textId="77777777" w:rsidR="00CF01B2" w:rsidRPr="00212064" w:rsidRDefault="00CF01B2" w:rsidP="007E6041">
            <w:pPr>
              <w:widowControl w:val="0"/>
              <w:jc w:val="right"/>
              <w:rPr>
                <w:color w:val="000000"/>
                <w:sz w:val="22"/>
                <w:szCs w:val="22"/>
              </w:rPr>
            </w:pPr>
            <w:r w:rsidRPr="00212064">
              <w:rPr>
                <w:color w:val="000000"/>
                <w:sz w:val="22"/>
                <w:szCs w:val="22"/>
              </w:rPr>
              <w:t>67</w:t>
            </w:r>
          </w:p>
        </w:tc>
        <w:tc>
          <w:tcPr>
            <w:tcW w:w="401" w:type="pct"/>
            <w:tcBorders>
              <w:top w:val="nil"/>
              <w:left w:val="nil"/>
              <w:bottom w:val="nil"/>
              <w:right w:val="nil"/>
            </w:tcBorders>
            <w:shd w:val="clear" w:color="auto" w:fill="auto"/>
            <w:noWrap/>
            <w:vAlign w:val="bottom"/>
          </w:tcPr>
          <w:p w14:paraId="20C6E23F" w14:textId="77777777" w:rsidR="00CF01B2" w:rsidRPr="00212064" w:rsidRDefault="00CF01B2" w:rsidP="007E6041">
            <w:pPr>
              <w:widowControl w:val="0"/>
              <w:jc w:val="right"/>
              <w:rPr>
                <w:color w:val="000000"/>
                <w:sz w:val="22"/>
                <w:szCs w:val="22"/>
              </w:rPr>
            </w:pPr>
            <w:r w:rsidRPr="00212064">
              <w:rPr>
                <w:color w:val="000000"/>
                <w:sz w:val="22"/>
                <w:szCs w:val="22"/>
              </w:rPr>
              <w:t>15.3</w:t>
            </w:r>
          </w:p>
        </w:tc>
      </w:tr>
      <w:tr w:rsidR="00CF01B2" w:rsidRPr="00E6232D" w14:paraId="61C967BE" w14:textId="77777777" w:rsidTr="007E6041">
        <w:tc>
          <w:tcPr>
            <w:tcW w:w="2688" w:type="pct"/>
            <w:tcBorders>
              <w:top w:val="nil"/>
              <w:left w:val="nil"/>
              <w:bottom w:val="nil"/>
              <w:right w:val="nil"/>
            </w:tcBorders>
            <w:shd w:val="clear" w:color="auto" w:fill="auto"/>
            <w:noWrap/>
            <w:vAlign w:val="bottom"/>
          </w:tcPr>
          <w:p w14:paraId="6CF1EB43" w14:textId="77777777" w:rsidR="00CF01B2" w:rsidRPr="00E33047" w:rsidRDefault="00CF01B2" w:rsidP="007E6041">
            <w:pPr>
              <w:widowControl w:val="0"/>
              <w:rPr>
                <w:color w:val="000000"/>
                <w:sz w:val="22"/>
                <w:szCs w:val="22"/>
              </w:rPr>
            </w:pPr>
            <w:r w:rsidRPr="00212064">
              <w:rPr>
                <w:color w:val="000000"/>
                <w:sz w:val="22"/>
                <w:szCs w:val="22"/>
              </w:rPr>
              <w:t xml:space="preserve">    </w:t>
            </w:r>
            <w:r w:rsidRPr="00E33047">
              <w:rPr>
                <w:color w:val="000000"/>
                <w:sz w:val="22"/>
                <w:szCs w:val="22"/>
              </w:rPr>
              <w:t>Someone outside work with UE pain</w:t>
            </w:r>
          </w:p>
        </w:tc>
        <w:tc>
          <w:tcPr>
            <w:tcW w:w="351" w:type="pct"/>
            <w:tcBorders>
              <w:top w:val="nil"/>
              <w:left w:val="nil"/>
              <w:bottom w:val="nil"/>
              <w:right w:val="nil"/>
            </w:tcBorders>
            <w:shd w:val="clear" w:color="auto" w:fill="auto"/>
            <w:noWrap/>
            <w:vAlign w:val="bottom"/>
          </w:tcPr>
          <w:p w14:paraId="17DB5910" w14:textId="77777777" w:rsidR="00CF01B2" w:rsidRPr="00E33047" w:rsidRDefault="00CF01B2" w:rsidP="007E6041">
            <w:pPr>
              <w:widowControl w:val="0"/>
              <w:jc w:val="right"/>
              <w:rPr>
                <w:color w:val="000000"/>
                <w:sz w:val="22"/>
                <w:szCs w:val="22"/>
              </w:rPr>
            </w:pPr>
            <w:r w:rsidRPr="00E33047">
              <w:rPr>
                <w:color w:val="000000"/>
                <w:sz w:val="22"/>
                <w:szCs w:val="22"/>
              </w:rPr>
              <w:t>108</w:t>
            </w:r>
          </w:p>
        </w:tc>
        <w:tc>
          <w:tcPr>
            <w:tcW w:w="417" w:type="pct"/>
            <w:tcBorders>
              <w:top w:val="nil"/>
              <w:left w:val="nil"/>
              <w:bottom w:val="nil"/>
              <w:right w:val="nil"/>
            </w:tcBorders>
            <w:shd w:val="clear" w:color="auto" w:fill="auto"/>
            <w:noWrap/>
            <w:vAlign w:val="bottom"/>
          </w:tcPr>
          <w:p w14:paraId="54F467B2" w14:textId="77777777" w:rsidR="00CF01B2" w:rsidRPr="00E33047" w:rsidRDefault="00CF01B2" w:rsidP="007E6041">
            <w:pPr>
              <w:widowControl w:val="0"/>
              <w:jc w:val="right"/>
              <w:rPr>
                <w:color w:val="000000"/>
                <w:sz w:val="22"/>
                <w:szCs w:val="22"/>
              </w:rPr>
            </w:pPr>
            <w:r w:rsidRPr="00E33047">
              <w:rPr>
                <w:color w:val="000000"/>
                <w:sz w:val="22"/>
                <w:szCs w:val="22"/>
              </w:rPr>
              <w:t>49.5</w:t>
            </w:r>
          </w:p>
        </w:tc>
        <w:tc>
          <w:tcPr>
            <w:tcW w:w="368" w:type="pct"/>
            <w:tcBorders>
              <w:top w:val="nil"/>
              <w:left w:val="nil"/>
              <w:bottom w:val="nil"/>
              <w:right w:val="nil"/>
            </w:tcBorders>
            <w:shd w:val="clear" w:color="auto" w:fill="auto"/>
            <w:noWrap/>
            <w:vAlign w:val="bottom"/>
          </w:tcPr>
          <w:p w14:paraId="3F3AE9F0" w14:textId="77777777" w:rsidR="00CF01B2" w:rsidRPr="00E33047" w:rsidRDefault="00CF01B2" w:rsidP="007E6041">
            <w:pPr>
              <w:widowControl w:val="0"/>
              <w:jc w:val="right"/>
              <w:rPr>
                <w:color w:val="000000"/>
                <w:sz w:val="22"/>
                <w:szCs w:val="22"/>
              </w:rPr>
            </w:pPr>
            <w:r w:rsidRPr="00E33047">
              <w:rPr>
                <w:color w:val="000000"/>
                <w:sz w:val="22"/>
                <w:szCs w:val="22"/>
              </w:rPr>
              <w:t>146</w:t>
            </w:r>
          </w:p>
        </w:tc>
        <w:tc>
          <w:tcPr>
            <w:tcW w:w="435" w:type="pct"/>
            <w:tcBorders>
              <w:top w:val="nil"/>
              <w:left w:val="nil"/>
              <w:bottom w:val="nil"/>
              <w:right w:val="nil"/>
            </w:tcBorders>
            <w:shd w:val="clear" w:color="auto" w:fill="auto"/>
            <w:noWrap/>
            <w:vAlign w:val="bottom"/>
          </w:tcPr>
          <w:p w14:paraId="522D6099" w14:textId="77777777" w:rsidR="00CF01B2" w:rsidRPr="00E33047" w:rsidRDefault="00CF01B2" w:rsidP="007E6041">
            <w:pPr>
              <w:widowControl w:val="0"/>
              <w:jc w:val="right"/>
              <w:rPr>
                <w:color w:val="000000"/>
                <w:sz w:val="22"/>
                <w:szCs w:val="22"/>
              </w:rPr>
            </w:pPr>
            <w:r w:rsidRPr="00E33047">
              <w:rPr>
                <w:color w:val="000000"/>
                <w:sz w:val="22"/>
                <w:szCs w:val="22"/>
              </w:rPr>
              <w:t>51.4</w:t>
            </w:r>
          </w:p>
        </w:tc>
        <w:tc>
          <w:tcPr>
            <w:tcW w:w="340" w:type="pct"/>
            <w:tcBorders>
              <w:top w:val="nil"/>
              <w:left w:val="nil"/>
              <w:bottom w:val="nil"/>
              <w:right w:val="nil"/>
            </w:tcBorders>
            <w:shd w:val="clear" w:color="auto" w:fill="auto"/>
            <w:noWrap/>
            <w:vAlign w:val="bottom"/>
          </w:tcPr>
          <w:p w14:paraId="31DFA134" w14:textId="77777777" w:rsidR="00CF01B2" w:rsidRPr="00E33047" w:rsidRDefault="00CF01B2" w:rsidP="007E6041">
            <w:pPr>
              <w:widowControl w:val="0"/>
              <w:jc w:val="right"/>
              <w:rPr>
                <w:color w:val="000000"/>
                <w:sz w:val="22"/>
                <w:szCs w:val="22"/>
              </w:rPr>
            </w:pPr>
            <w:r w:rsidRPr="00E33047">
              <w:rPr>
                <w:color w:val="000000"/>
                <w:sz w:val="22"/>
                <w:szCs w:val="22"/>
              </w:rPr>
              <w:t>198</w:t>
            </w:r>
          </w:p>
        </w:tc>
        <w:tc>
          <w:tcPr>
            <w:tcW w:w="401" w:type="pct"/>
            <w:tcBorders>
              <w:top w:val="nil"/>
              <w:left w:val="nil"/>
              <w:bottom w:val="nil"/>
              <w:right w:val="nil"/>
            </w:tcBorders>
            <w:shd w:val="clear" w:color="auto" w:fill="auto"/>
            <w:noWrap/>
            <w:vAlign w:val="bottom"/>
          </w:tcPr>
          <w:p w14:paraId="6B3816A3" w14:textId="77777777" w:rsidR="00CF01B2" w:rsidRPr="00E33047" w:rsidRDefault="00CF01B2" w:rsidP="007E6041">
            <w:pPr>
              <w:widowControl w:val="0"/>
              <w:jc w:val="right"/>
              <w:rPr>
                <w:color w:val="000000"/>
                <w:sz w:val="22"/>
                <w:szCs w:val="22"/>
              </w:rPr>
            </w:pPr>
            <w:r w:rsidRPr="00E33047">
              <w:rPr>
                <w:color w:val="000000"/>
                <w:sz w:val="22"/>
                <w:szCs w:val="22"/>
              </w:rPr>
              <w:t>45.2</w:t>
            </w:r>
          </w:p>
        </w:tc>
      </w:tr>
      <w:tr w:rsidR="00CF01B2" w:rsidRPr="00E6232D" w14:paraId="2084CFD7" w14:textId="77777777" w:rsidTr="007E6041">
        <w:tc>
          <w:tcPr>
            <w:tcW w:w="2688" w:type="pct"/>
            <w:tcBorders>
              <w:top w:val="nil"/>
              <w:left w:val="nil"/>
              <w:bottom w:val="nil"/>
              <w:right w:val="nil"/>
            </w:tcBorders>
            <w:shd w:val="clear" w:color="auto" w:fill="auto"/>
            <w:noWrap/>
            <w:vAlign w:val="bottom"/>
          </w:tcPr>
          <w:p w14:paraId="069DE009" w14:textId="77777777" w:rsidR="00CF01B2" w:rsidRPr="00212064" w:rsidRDefault="00CF01B2" w:rsidP="007E6041">
            <w:pPr>
              <w:widowControl w:val="0"/>
              <w:rPr>
                <w:color w:val="000000"/>
                <w:sz w:val="22"/>
                <w:szCs w:val="22"/>
              </w:rPr>
            </w:pPr>
            <w:r w:rsidRPr="00212064">
              <w:rPr>
                <w:color w:val="000000"/>
                <w:sz w:val="22"/>
                <w:szCs w:val="22"/>
              </w:rPr>
              <w:t xml:space="preserve">   </w:t>
            </w:r>
            <w:r>
              <w:rPr>
                <w:color w:val="000000"/>
                <w:sz w:val="22"/>
                <w:szCs w:val="22"/>
              </w:rPr>
              <w:t xml:space="preserve"> </w:t>
            </w:r>
            <w:r w:rsidRPr="00212064">
              <w:rPr>
                <w:color w:val="000000"/>
                <w:sz w:val="22"/>
                <w:szCs w:val="22"/>
              </w:rPr>
              <w:t>Somatizing tendency (number of symptoms)</w:t>
            </w:r>
          </w:p>
        </w:tc>
        <w:tc>
          <w:tcPr>
            <w:tcW w:w="351" w:type="pct"/>
            <w:tcBorders>
              <w:top w:val="nil"/>
              <w:left w:val="nil"/>
              <w:bottom w:val="nil"/>
              <w:right w:val="nil"/>
            </w:tcBorders>
            <w:shd w:val="clear" w:color="auto" w:fill="auto"/>
            <w:noWrap/>
            <w:vAlign w:val="bottom"/>
          </w:tcPr>
          <w:p w14:paraId="71A85DFB" w14:textId="77777777" w:rsidR="00CF01B2" w:rsidRPr="00212064" w:rsidRDefault="00CF01B2" w:rsidP="007E6041">
            <w:pPr>
              <w:widowControl w:val="0"/>
              <w:jc w:val="right"/>
              <w:rPr>
                <w:color w:val="000000"/>
                <w:sz w:val="22"/>
                <w:szCs w:val="22"/>
              </w:rPr>
            </w:pPr>
          </w:p>
        </w:tc>
        <w:tc>
          <w:tcPr>
            <w:tcW w:w="417" w:type="pct"/>
            <w:tcBorders>
              <w:top w:val="nil"/>
              <w:left w:val="nil"/>
              <w:bottom w:val="nil"/>
              <w:right w:val="nil"/>
            </w:tcBorders>
            <w:shd w:val="clear" w:color="auto" w:fill="auto"/>
            <w:noWrap/>
            <w:vAlign w:val="bottom"/>
          </w:tcPr>
          <w:p w14:paraId="632A6689" w14:textId="77777777" w:rsidR="00CF01B2" w:rsidRPr="00212064" w:rsidRDefault="00CF01B2" w:rsidP="007E6041">
            <w:pPr>
              <w:widowControl w:val="0"/>
              <w:jc w:val="right"/>
              <w:rPr>
                <w:color w:val="000000"/>
                <w:sz w:val="22"/>
                <w:szCs w:val="22"/>
              </w:rPr>
            </w:pPr>
          </w:p>
        </w:tc>
        <w:tc>
          <w:tcPr>
            <w:tcW w:w="368" w:type="pct"/>
            <w:tcBorders>
              <w:top w:val="nil"/>
              <w:left w:val="nil"/>
              <w:bottom w:val="nil"/>
              <w:right w:val="nil"/>
            </w:tcBorders>
            <w:shd w:val="clear" w:color="auto" w:fill="auto"/>
            <w:noWrap/>
            <w:vAlign w:val="bottom"/>
          </w:tcPr>
          <w:p w14:paraId="6CAC7573" w14:textId="77777777" w:rsidR="00CF01B2" w:rsidRPr="00212064" w:rsidRDefault="00CF01B2" w:rsidP="007E6041">
            <w:pPr>
              <w:widowControl w:val="0"/>
              <w:jc w:val="right"/>
              <w:rPr>
                <w:color w:val="000000"/>
                <w:sz w:val="22"/>
                <w:szCs w:val="22"/>
              </w:rPr>
            </w:pPr>
          </w:p>
        </w:tc>
        <w:tc>
          <w:tcPr>
            <w:tcW w:w="435" w:type="pct"/>
            <w:tcBorders>
              <w:top w:val="nil"/>
              <w:left w:val="nil"/>
              <w:bottom w:val="nil"/>
              <w:right w:val="nil"/>
            </w:tcBorders>
            <w:shd w:val="clear" w:color="auto" w:fill="auto"/>
            <w:noWrap/>
            <w:vAlign w:val="bottom"/>
          </w:tcPr>
          <w:p w14:paraId="2F22BB42" w14:textId="77777777" w:rsidR="00CF01B2" w:rsidRPr="00212064" w:rsidRDefault="00CF01B2" w:rsidP="007E6041">
            <w:pPr>
              <w:widowControl w:val="0"/>
              <w:jc w:val="right"/>
              <w:rPr>
                <w:color w:val="000000"/>
                <w:sz w:val="22"/>
                <w:szCs w:val="22"/>
              </w:rPr>
            </w:pPr>
          </w:p>
        </w:tc>
        <w:tc>
          <w:tcPr>
            <w:tcW w:w="340" w:type="pct"/>
            <w:tcBorders>
              <w:top w:val="nil"/>
              <w:left w:val="nil"/>
              <w:bottom w:val="nil"/>
              <w:right w:val="nil"/>
            </w:tcBorders>
            <w:shd w:val="clear" w:color="auto" w:fill="auto"/>
            <w:noWrap/>
            <w:vAlign w:val="bottom"/>
          </w:tcPr>
          <w:p w14:paraId="62769DD4" w14:textId="77777777" w:rsidR="00CF01B2" w:rsidRPr="00212064" w:rsidRDefault="00CF01B2" w:rsidP="007E6041">
            <w:pPr>
              <w:widowControl w:val="0"/>
              <w:jc w:val="right"/>
              <w:rPr>
                <w:color w:val="000000"/>
                <w:sz w:val="22"/>
                <w:szCs w:val="22"/>
              </w:rPr>
            </w:pPr>
          </w:p>
        </w:tc>
        <w:tc>
          <w:tcPr>
            <w:tcW w:w="401" w:type="pct"/>
            <w:tcBorders>
              <w:top w:val="nil"/>
              <w:left w:val="nil"/>
              <w:bottom w:val="nil"/>
              <w:right w:val="nil"/>
            </w:tcBorders>
            <w:shd w:val="clear" w:color="auto" w:fill="auto"/>
            <w:noWrap/>
            <w:vAlign w:val="bottom"/>
          </w:tcPr>
          <w:p w14:paraId="7B91B976" w14:textId="77777777" w:rsidR="00CF01B2" w:rsidRPr="00212064" w:rsidRDefault="00CF01B2" w:rsidP="007E6041">
            <w:pPr>
              <w:widowControl w:val="0"/>
              <w:jc w:val="right"/>
              <w:rPr>
                <w:color w:val="000000"/>
                <w:sz w:val="22"/>
                <w:szCs w:val="22"/>
              </w:rPr>
            </w:pPr>
          </w:p>
        </w:tc>
      </w:tr>
      <w:tr w:rsidR="00CF01B2" w:rsidRPr="00E6232D" w14:paraId="1364B342" w14:textId="77777777" w:rsidTr="007E6041">
        <w:tc>
          <w:tcPr>
            <w:tcW w:w="2688" w:type="pct"/>
            <w:tcBorders>
              <w:top w:val="nil"/>
              <w:left w:val="nil"/>
              <w:bottom w:val="nil"/>
              <w:right w:val="nil"/>
            </w:tcBorders>
            <w:shd w:val="clear" w:color="auto" w:fill="auto"/>
            <w:noWrap/>
            <w:vAlign w:val="bottom"/>
          </w:tcPr>
          <w:p w14:paraId="22263B35" w14:textId="77777777" w:rsidR="00CF01B2" w:rsidRPr="00212064" w:rsidRDefault="00CF01B2" w:rsidP="007E6041">
            <w:pPr>
              <w:widowControl w:val="0"/>
              <w:rPr>
                <w:color w:val="000000"/>
                <w:sz w:val="22"/>
                <w:szCs w:val="22"/>
              </w:rPr>
            </w:pPr>
            <w:r w:rsidRPr="00212064">
              <w:rPr>
                <w:color w:val="000000"/>
                <w:sz w:val="22"/>
                <w:szCs w:val="22"/>
              </w:rPr>
              <w:t xml:space="preserve">        0</w:t>
            </w:r>
          </w:p>
        </w:tc>
        <w:tc>
          <w:tcPr>
            <w:tcW w:w="351" w:type="pct"/>
            <w:tcBorders>
              <w:top w:val="nil"/>
              <w:left w:val="nil"/>
              <w:bottom w:val="nil"/>
              <w:right w:val="nil"/>
            </w:tcBorders>
            <w:shd w:val="clear" w:color="auto" w:fill="auto"/>
            <w:noWrap/>
            <w:vAlign w:val="bottom"/>
          </w:tcPr>
          <w:p w14:paraId="2FBA1A66" w14:textId="77777777" w:rsidR="00CF01B2" w:rsidRPr="00212064" w:rsidRDefault="00CF01B2" w:rsidP="007E6041">
            <w:pPr>
              <w:widowControl w:val="0"/>
              <w:jc w:val="right"/>
              <w:rPr>
                <w:color w:val="000000"/>
                <w:sz w:val="22"/>
                <w:szCs w:val="22"/>
              </w:rPr>
            </w:pPr>
            <w:r w:rsidRPr="00212064">
              <w:rPr>
                <w:color w:val="000000"/>
                <w:sz w:val="22"/>
                <w:szCs w:val="22"/>
              </w:rPr>
              <w:t>46</w:t>
            </w:r>
          </w:p>
        </w:tc>
        <w:tc>
          <w:tcPr>
            <w:tcW w:w="417" w:type="pct"/>
            <w:tcBorders>
              <w:top w:val="nil"/>
              <w:left w:val="nil"/>
              <w:bottom w:val="nil"/>
              <w:right w:val="nil"/>
            </w:tcBorders>
            <w:shd w:val="clear" w:color="auto" w:fill="auto"/>
            <w:noWrap/>
            <w:vAlign w:val="bottom"/>
          </w:tcPr>
          <w:p w14:paraId="11939319" w14:textId="77777777" w:rsidR="00CF01B2" w:rsidRPr="00212064" w:rsidRDefault="00CF01B2" w:rsidP="007E6041">
            <w:pPr>
              <w:widowControl w:val="0"/>
              <w:jc w:val="right"/>
              <w:rPr>
                <w:color w:val="000000"/>
                <w:sz w:val="22"/>
                <w:szCs w:val="22"/>
              </w:rPr>
            </w:pPr>
            <w:r w:rsidRPr="00212064">
              <w:rPr>
                <w:color w:val="000000"/>
                <w:sz w:val="22"/>
                <w:szCs w:val="22"/>
              </w:rPr>
              <w:t>20.7</w:t>
            </w:r>
          </w:p>
        </w:tc>
        <w:tc>
          <w:tcPr>
            <w:tcW w:w="368" w:type="pct"/>
            <w:tcBorders>
              <w:top w:val="nil"/>
              <w:left w:val="nil"/>
              <w:bottom w:val="nil"/>
              <w:right w:val="nil"/>
            </w:tcBorders>
            <w:shd w:val="clear" w:color="auto" w:fill="auto"/>
            <w:noWrap/>
            <w:vAlign w:val="bottom"/>
          </w:tcPr>
          <w:p w14:paraId="657EE9F7" w14:textId="77777777" w:rsidR="00CF01B2" w:rsidRPr="00212064" w:rsidRDefault="00CF01B2" w:rsidP="007E6041">
            <w:pPr>
              <w:widowControl w:val="0"/>
              <w:jc w:val="right"/>
              <w:rPr>
                <w:color w:val="000000"/>
                <w:sz w:val="22"/>
                <w:szCs w:val="22"/>
              </w:rPr>
            </w:pPr>
            <w:r w:rsidRPr="00212064">
              <w:rPr>
                <w:color w:val="000000"/>
                <w:sz w:val="22"/>
                <w:szCs w:val="22"/>
              </w:rPr>
              <w:t>76</w:t>
            </w:r>
          </w:p>
        </w:tc>
        <w:tc>
          <w:tcPr>
            <w:tcW w:w="435" w:type="pct"/>
            <w:tcBorders>
              <w:top w:val="nil"/>
              <w:left w:val="nil"/>
              <w:bottom w:val="nil"/>
              <w:right w:val="nil"/>
            </w:tcBorders>
            <w:shd w:val="clear" w:color="auto" w:fill="auto"/>
            <w:noWrap/>
            <w:vAlign w:val="bottom"/>
          </w:tcPr>
          <w:p w14:paraId="50E2984C" w14:textId="77777777" w:rsidR="00CF01B2" w:rsidRPr="00212064" w:rsidRDefault="00CF01B2" w:rsidP="007E6041">
            <w:pPr>
              <w:widowControl w:val="0"/>
              <w:jc w:val="right"/>
              <w:rPr>
                <w:color w:val="000000"/>
                <w:sz w:val="22"/>
                <w:szCs w:val="22"/>
              </w:rPr>
            </w:pPr>
            <w:r w:rsidRPr="00212064">
              <w:rPr>
                <w:color w:val="000000"/>
                <w:sz w:val="22"/>
                <w:szCs w:val="22"/>
              </w:rPr>
              <w:t>26.8</w:t>
            </w:r>
          </w:p>
        </w:tc>
        <w:tc>
          <w:tcPr>
            <w:tcW w:w="340" w:type="pct"/>
            <w:tcBorders>
              <w:top w:val="nil"/>
              <w:left w:val="nil"/>
              <w:bottom w:val="nil"/>
              <w:right w:val="nil"/>
            </w:tcBorders>
            <w:shd w:val="clear" w:color="auto" w:fill="auto"/>
            <w:noWrap/>
            <w:vAlign w:val="bottom"/>
          </w:tcPr>
          <w:p w14:paraId="1FF98735" w14:textId="77777777" w:rsidR="00CF01B2" w:rsidRPr="00212064" w:rsidRDefault="00CF01B2" w:rsidP="007E6041">
            <w:pPr>
              <w:widowControl w:val="0"/>
              <w:jc w:val="right"/>
              <w:rPr>
                <w:color w:val="000000"/>
                <w:sz w:val="22"/>
                <w:szCs w:val="22"/>
              </w:rPr>
            </w:pPr>
            <w:r w:rsidRPr="00212064">
              <w:rPr>
                <w:color w:val="000000"/>
                <w:sz w:val="22"/>
                <w:szCs w:val="22"/>
              </w:rPr>
              <w:t>145</w:t>
            </w:r>
          </w:p>
        </w:tc>
        <w:tc>
          <w:tcPr>
            <w:tcW w:w="401" w:type="pct"/>
            <w:tcBorders>
              <w:top w:val="nil"/>
              <w:left w:val="nil"/>
              <w:bottom w:val="nil"/>
              <w:right w:val="nil"/>
            </w:tcBorders>
            <w:shd w:val="clear" w:color="auto" w:fill="auto"/>
            <w:noWrap/>
            <w:vAlign w:val="bottom"/>
          </w:tcPr>
          <w:p w14:paraId="42C4CFCD" w14:textId="77777777" w:rsidR="00CF01B2" w:rsidRPr="00212064" w:rsidRDefault="00CF01B2" w:rsidP="007E6041">
            <w:pPr>
              <w:widowControl w:val="0"/>
              <w:jc w:val="right"/>
              <w:rPr>
                <w:color w:val="000000"/>
                <w:sz w:val="22"/>
                <w:szCs w:val="22"/>
              </w:rPr>
            </w:pPr>
            <w:r w:rsidRPr="00212064">
              <w:rPr>
                <w:color w:val="000000"/>
                <w:sz w:val="22"/>
                <w:szCs w:val="22"/>
              </w:rPr>
              <w:t>33.1</w:t>
            </w:r>
          </w:p>
        </w:tc>
      </w:tr>
      <w:tr w:rsidR="00CF01B2" w:rsidRPr="00E6232D" w14:paraId="06E2DDD5" w14:textId="77777777" w:rsidTr="007E6041">
        <w:tc>
          <w:tcPr>
            <w:tcW w:w="2688" w:type="pct"/>
            <w:tcBorders>
              <w:top w:val="nil"/>
              <w:left w:val="nil"/>
              <w:bottom w:val="nil"/>
              <w:right w:val="nil"/>
            </w:tcBorders>
            <w:shd w:val="clear" w:color="auto" w:fill="auto"/>
            <w:noWrap/>
            <w:vAlign w:val="bottom"/>
          </w:tcPr>
          <w:p w14:paraId="193D9EE8" w14:textId="77777777" w:rsidR="00CF01B2" w:rsidRPr="00212064" w:rsidRDefault="00CF01B2" w:rsidP="007E6041">
            <w:pPr>
              <w:widowControl w:val="0"/>
              <w:rPr>
                <w:color w:val="000000"/>
                <w:sz w:val="22"/>
                <w:szCs w:val="22"/>
              </w:rPr>
            </w:pPr>
            <w:r w:rsidRPr="00212064">
              <w:rPr>
                <w:color w:val="000000"/>
                <w:sz w:val="22"/>
                <w:szCs w:val="22"/>
              </w:rPr>
              <w:t xml:space="preserve">        </w:t>
            </w:r>
            <w:r w:rsidRPr="00212064">
              <w:rPr>
                <w:bCs/>
                <w:color w:val="000000"/>
                <w:sz w:val="22"/>
                <w:szCs w:val="22"/>
              </w:rPr>
              <w:t>1</w:t>
            </w:r>
          </w:p>
        </w:tc>
        <w:tc>
          <w:tcPr>
            <w:tcW w:w="351" w:type="pct"/>
            <w:tcBorders>
              <w:top w:val="nil"/>
              <w:left w:val="nil"/>
              <w:bottom w:val="nil"/>
              <w:right w:val="nil"/>
            </w:tcBorders>
            <w:shd w:val="clear" w:color="auto" w:fill="auto"/>
            <w:noWrap/>
            <w:vAlign w:val="bottom"/>
          </w:tcPr>
          <w:p w14:paraId="6C05D909" w14:textId="77777777" w:rsidR="00CF01B2" w:rsidRPr="00212064" w:rsidRDefault="00CF01B2" w:rsidP="007E6041">
            <w:pPr>
              <w:widowControl w:val="0"/>
              <w:jc w:val="right"/>
              <w:rPr>
                <w:color w:val="000000"/>
                <w:sz w:val="22"/>
                <w:szCs w:val="22"/>
              </w:rPr>
            </w:pPr>
            <w:r w:rsidRPr="00212064">
              <w:rPr>
                <w:color w:val="000000"/>
                <w:sz w:val="22"/>
                <w:szCs w:val="22"/>
              </w:rPr>
              <w:t>40</w:t>
            </w:r>
          </w:p>
        </w:tc>
        <w:tc>
          <w:tcPr>
            <w:tcW w:w="417" w:type="pct"/>
            <w:tcBorders>
              <w:top w:val="nil"/>
              <w:left w:val="nil"/>
              <w:bottom w:val="nil"/>
              <w:right w:val="nil"/>
            </w:tcBorders>
            <w:shd w:val="clear" w:color="auto" w:fill="auto"/>
            <w:noWrap/>
            <w:vAlign w:val="bottom"/>
          </w:tcPr>
          <w:p w14:paraId="3764154C" w14:textId="77777777" w:rsidR="00CF01B2" w:rsidRPr="00212064" w:rsidRDefault="00CF01B2" w:rsidP="007E6041">
            <w:pPr>
              <w:widowControl w:val="0"/>
              <w:jc w:val="right"/>
              <w:rPr>
                <w:color w:val="000000"/>
                <w:sz w:val="22"/>
                <w:szCs w:val="22"/>
              </w:rPr>
            </w:pPr>
            <w:r w:rsidRPr="00212064">
              <w:rPr>
                <w:color w:val="000000"/>
                <w:sz w:val="22"/>
                <w:szCs w:val="22"/>
              </w:rPr>
              <w:t>18.0</w:t>
            </w:r>
          </w:p>
        </w:tc>
        <w:tc>
          <w:tcPr>
            <w:tcW w:w="368" w:type="pct"/>
            <w:tcBorders>
              <w:top w:val="nil"/>
              <w:left w:val="nil"/>
              <w:bottom w:val="nil"/>
              <w:right w:val="nil"/>
            </w:tcBorders>
            <w:shd w:val="clear" w:color="auto" w:fill="auto"/>
            <w:noWrap/>
            <w:vAlign w:val="bottom"/>
          </w:tcPr>
          <w:p w14:paraId="1591D529" w14:textId="77777777" w:rsidR="00CF01B2" w:rsidRPr="00212064" w:rsidRDefault="00CF01B2" w:rsidP="007E6041">
            <w:pPr>
              <w:widowControl w:val="0"/>
              <w:jc w:val="right"/>
              <w:rPr>
                <w:color w:val="000000"/>
                <w:sz w:val="22"/>
                <w:szCs w:val="22"/>
              </w:rPr>
            </w:pPr>
            <w:r w:rsidRPr="00212064">
              <w:rPr>
                <w:color w:val="000000"/>
                <w:sz w:val="22"/>
                <w:szCs w:val="22"/>
              </w:rPr>
              <w:t>43</w:t>
            </w:r>
          </w:p>
        </w:tc>
        <w:tc>
          <w:tcPr>
            <w:tcW w:w="435" w:type="pct"/>
            <w:tcBorders>
              <w:top w:val="nil"/>
              <w:left w:val="nil"/>
              <w:bottom w:val="nil"/>
              <w:right w:val="nil"/>
            </w:tcBorders>
            <w:shd w:val="clear" w:color="auto" w:fill="auto"/>
            <w:noWrap/>
            <w:vAlign w:val="bottom"/>
          </w:tcPr>
          <w:p w14:paraId="16AB437D" w14:textId="77777777" w:rsidR="00CF01B2" w:rsidRPr="00212064" w:rsidRDefault="00CF01B2" w:rsidP="007E6041">
            <w:pPr>
              <w:widowControl w:val="0"/>
              <w:jc w:val="right"/>
              <w:rPr>
                <w:color w:val="000000"/>
                <w:sz w:val="22"/>
                <w:szCs w:val="22"/>
              </w:rPr>
            </w:pPr>
            <w:r w:rsidRPr="00212064">
              <w:rPr>
                <w:color w:val="000000"/>
                <w:sz w:val="22"/>
                <w:szCs w:val="22"/>
              </w:rPr>
              <w:t>15.1</w:t>
            </w:r>
          </w:p>
        </w:tc>
        <w:tc>
          <w:tcPr>
            <w:tcW w:w="340" w:type="pct"/>
            <w:tcBorders>
              <w:top w:val="nil"/>
              <w:left w:val="nil"/>
              <w:bottom w:val="nil"/>
              <w:right w:val="nil"/>
            </w:tcBorders>
            <w:shd w:val="clear" w:color="auto" w:fill="auto"/>
            <w:noWrap/>
            <w:vAlign w:val="bottom"/>
          </w:tcPr>
          <w:p w14:paraId="4348D1BA" w14:textId="77777777" w:rsidR="00CF01B2" w:rsidRPr="00212064" w:rsidRDefault="00CF01B2" w:rsidP="007E6041">
            <w:pPr>
              <w:widowControl w:val="0"/>
              <w:jc w:val="right"/>
              <w:rPr>
                <w:color w:val="000000"/>
                <w:sz w:val="22"/>
                <w:szCs w:val="22"/>
              </w:rPr>
            </w:pPr>
            <w:r w:rsidRPr="00212064">
              <w:rPr>
                <w:color w:val="000000"/>
                <w:sz w:val="22"/>
                <w:szCs w:val="22"/>
              </w:rPr>
              <w:t>118</w:t>
            </w:r>
          </w:p>
        </w:tc>
        <w:tc>
          <w:tcPr>
            <w:tcW w:w="401" w:type="pct"/>
            <w:tcBorders>
              <w:top w:val="nil"/>
              <w:left w:val="nil"/>
              <w:bottom w:val="nil"/>
              <w:right w:val="nil"/>
            </w:tcBorders>
            <w:shd w:val="clear" w:color="auto" w:fill="auto"/>
            <w:noWrap/>
            <w:vAlign w:val="bottom"/>
          </w:tcPr>
          <w:p w14:paraId="5BA292B4" w14:textId="77777777" w:rsidR="00CF01B2" w:rsidRPr="00212064" w:rsidRDefault="00CF01B2" w:rsidP="007E6041">
            <w:pPr>
              <w:widowControl w:val="0"/>
              <w:jc w:val="right"/>
              <w:rPr>
                <w:color w:val="000000"/>
                <w:sz w:val="22"/>
                <w:szCs w:val="22"/>
              </w:rPr>
            </w:pPr>
            <w:r w:rsidRPr="00212064">
              <w:rPr>
                <w:color w:val="000000"/>
                <w:sz w:val="22"/>
                <w:szCs w:val="22"/>
              </w:rPr>
              <w:t>26.9</w:t>
            </w:r>
          </w:p>
        </w:tc>
      </w:tr>
      <w:tr w:rsidR="00CF01B2" w:rsidRPr="00E6232D" w14:paraId="021DECEF" w14:textId="77777777" w:rsidTr="007E6041">
        <w:tc>
          <w:tcPr>
            <w:tcW w:w="2688" w:type="pct"/>
            <w:tcBorders>
              <w:top w:val="nil"/>
              <w:left w:val="nil"/>
              <w:bottom w:val="nil"/>
              <w:right w:val="nil"/>
            </w:tcBorders>
            <w:shd w:val="clear" w:color="auto" w:fill="auto"/>
            <w:noWrap/>
            <w:vAlign w:val="bottom"/>
          </w:tcPr>
          <w:p w14:paraId="4864F112" w14:textId="77777777" w:rsidR="00CF01B2" w:rsidRPr="00212064" w:rsidRDefault="00CF01B2" w:rsidP="007E6041">
            <w:pPr>
              <w:widowControl w:val="0"/>
              <w:rPr>
                <w:color w:val="000000"/>
                <w:sz w:val="22"/>
                <w:szCs w:val="22"/>
              </w:rPr>
            </w:pPr>
            <w:r w:rsidRPr="00212064">
              <w:rPr>
                <w:color w:val="000000"/>
                <w:sz w:val="22"/>
                <w:szCs w:val="22"/>
              </w:rPr>
              <w:t xml:space="preserve">        ≥2</w:t>
            </w:r>
          </w:p>
        </w:tc>
        <w:tc>
          <w:tcPr>
            <w:tcW w:w="351" w:type="pct"/>
            <w:tcBorders>
              <w:top w:val="nil"/>
              <w:left w:val="nil"/>
              <w:bottom w:val="nil"/>
              <w:right w:val="nil"/>
            </w:tcBorders>
            <w:shd w:val="clear" w:color="auto" w:fill="auto"/>
            <w:noWrap/>
            <w:vAlign w:val="bottom"/>
          </w:tcPr>
          <w:p w14:paraId="63811E52" w14:textId="77777777" w:rsidR="00CF01B2" w:rsidRPr="00212064" w:rsidRDefault="00CF01B2" w:rsidP="007E6041">
            <w:pPr>
              <w:widowControl w:val="0"/>
              <w:jc w:val="right"/>
              <w:rPr>
                <w:color w:val="000000"/>
                <w:sz w:val="22"/>
                <w:szCs w:val="22"/>
              </w:rPr>
            </w:pPr>
            <w:r w:rsidRPr="00212064">
              <w:rPr>
                <w:color w:val="000000"/>
                <w:sz w:val="22"/>
                <w:szCs w:val="22"/>
              </w:rPr>
              <w:t>136</w:t>
            </w:r>
          </w:p>
        </w:tc>
        <w:tc>
          <w:tcPr>
            <w:tcW w:w="417" w:type="pct"/>
            <w:tcBorders>
              <w:top w:val="nil"/>
              <w:left w:val="nil"/>
              <w:bottom w:val="nil"/>
              <w:right w:val="nil"/>
            </w:tcBorders>
            <w:shd w:val="clear" w:color="auto" w:fill="auto"/>
            <w:noWrap/>
            <w:vAlign w:val="bottom"/>
          </w:tcPr>
          <w:p w14:paraId="6B75275F" w14:textId="77777777" w:rsidR="00CF01B2" w:rsidRPr="00212064" w:rsidRDefault="00CF01B2" w:rsidP="007E6041">
            <w:pPr>
              <w:widowControl w:val="0"/>
              <w:jc w:val="right"/>
              <w:rPr>
                <w:color w:val="000000"/>
                <w:sz w:val="22"/>
                <w:szCs w:val="22"/>
              </w:rPr>
            </w:pPr>
            <w:r w:rsidRPr="00212064">
              <w:rPr>
                <w:color w:val="000000"/>
                <w:sz w:val="22"/>
                <w:szCs w:val="22"/>
              </w:rPr>
              <w:t>61.3</w:t>
            </w:r>
          </w:p>
        </w:tc>
        <w:tc>
          <w:tcPr>
            <w:tcW w:w="368" w:type="pct"/>
            <w:tcBorders>
              <w:top w:val="nil"/>
              <w:left w:val="nil"/>
              <w:bottom w:val="nil"/>
              <w:right w:val="nil"/>
            </w:tcBorders>
            <w:shd w:val="clear" w:color="auto" w:fill="auto"/>
            <w:noWrap/>
            <w:vAlign w:val="bottom"/>
          </w:tcPr>
          <w:p w14:paraId="087463D2" w14:textId="77777777" w:rsidR="00CF01B2" w:rsidRPr="00212064" w:rsidRDefault="00CF01B2" w:rsidP="007E6041">
            <w:pPr>
              <w:widowControl w:val="0"/>
              <w:jc w:val="right"/>
              <w:rPr>
                <w:color w:val="000000"/>
                <w:sz w:val="22"/>
                <w:szCs w:val="22"/>
              </w:rPr>
            </w:pPr>
            <w:r w:rsidRPr="00212064">
              <w:rPr>
                <w:color w:val="000000"/>
                <w:sz w:val="22"/>
                <w:szCs w:val="22"/>
              </w:rPr>
              <w:t>165</w:t>
            </w:r>
          </w:p>
        </w:tc>
        <w:tc>
          <w:tcPr>
            <w:tcW w:w="435" w:type="pct"/>
            <w:tcBorders>
              <w:top w:val="nil"/>
              <w:left w:val="nil"/>
              <w:bottom w:val="nil"/>
              <w:right w:val="nil"/>
            </w:tcBorders>
            <w:shd w:val="clear" w:color="auto" w:fill="auto"/>
            <w:noWrap/>
            <w:vAlign w:val="bottom"/>
          </w:tcPr>
          <w:p w14:paraId="74262FF3" w14:textId="77777777" w:rsidR="00CF01B2" w:rsidRPr="00212064" w:rsidRDefault="00CF01B2" w:rsidP="007E6041">
            <w:pPr>
              <w:widowControl w:val="0"/>
              <w:jc w:val="right"/>
              <w:rPr>
                <w:color w:val="000000"/>
                <w:sz w:val="22"/>
                <w:szCs w:val="22"/>
              </w:rPr>
            </w:pPr>
            <w:r w:rsidRPr="00212064">
              <w:rPr>
                <w:color w:val="000000"/>
                <w:sz w:val="22"/>
                <w:szCs w:val="22"/>
              </w:rPr>
              <w:t>58.1</w:t>
            </w:r>
          </w:p>
        </w:tc>
        <w:tc>
          <w:tcPr>
            <w:tcW w:w="340" w:type="pct"/>
            <w:tcBorders>
              <w:top w:val="nil"/>
              <w:left w:val="nil"/>
              <w:bottom w:val="nil"/>
              <w:right w:val="nil"/>
            </w:tcBorders>
            <w:shd w:val="clear" w:color="auto" w:fill="auto"/>
            <w:noWrap/>
            <w:vAlign w:val="bottom"/>
          </w:tcPr>
          <w:p w14:paraId="780A741C" w14:textId="77777777" w:rsidR="00CF01B2" w:rsidRPr="00212064" w:rsidRDefault="00CF01B2" w:rsidP="007E6041">
            <w:pPr>
              <w:widowControl w:val="0"/>
              <w:jc w:val="right"/>
              <w:rPr>
                <w:color w:val="000000"/>
                <w:sz w:val="22"/>
                <w:szCs w:val="22"/>
              </w:rPr>
            </w:pPr>
            <w:r w:rsidRPr="00212064">
              <w:rPr>
                <w:color w:val="000000"/>
                <w:sz w:val="22"/>
                <w:szCs w:val="22"/>
              </w:rPr>
              <w:t>175</w:t>
            </w:r>
          </w:p>
        </w:tc>
        <w:tc>
          <w:tcPr>
            <w:tcW w:w="401" w:type="pct"/>
            <w:tcBorders>
              <w:top w:val="nil"/>
              <w:left w:val="nil"/>
              <w:bottom w:val="nil"/>
              <w:right w:val="nil"/>
            </w:tcBorders>
            <w:shd w:val="clear" w:color="auto" w:fill="auto"/>
            <w:noWrap/>
            <w:vAlign w:val="bottom"/>
          </w:tcPr>
          <w:p w14:paraId="441559AC" w14:textId="77777777" w:rsidR="00CF01B2" w:rsidRPr="00212064" w:rsidRDefault="00CF01B2" w:rsidP="007E6041">
            <w:pPr>
              <w:widowControl w:val="0"/>
              <w:jc w:val="right"/>
              <w:rPr>
                <w:color w:val="000000"/>
                <w:sz w:val="22"/>
                <w:szCs w:val="22"/>
              </w:rPr>
            </w:pPr>
            <w:r w:rsidRPr="00212064">
              <w:rPr>
                <w:color w:val="000000"/>
                <w:sz w:val="22"/>
                <w:szCs w:val="22"/>
              </w:rPr>
              <w:t>40.0</w:t>
            </w:r>
          </w:p>
        </w:tc>
      </w:tr>
      <w:tr w:rsidR="00CF01B2" w:rsidRPr="00E6232D" w14:paraId="11516907" w14:textId="77777777" w:rsidTr="007E6041">
        <w:tc>
          <w:tcPr>
            <w:tcW w:w="2688" w:type="pct"/>
            <w:tcBorders>
              <w:top w:val="nil"/>
              <w:left w:val="nil"/>
              <w:right w:val="nil"/>
            </w:tcBorders>
            <w:shd w:val="clear" w:color="auto" w:fill="auto"/>
            <w:noWrap/>
            <w:vAlign w:val="bottom"/>
          </w:tcPr>
          <w:p w14:paraId="5117514F" w14:textId="77777777" w:rsidR="00CF01B2" w:rsidRPr="002755C7" w:rsidRDefault="00CF01B2" w:rsidP="007E6041">
            <w:pPr>
              <w:widowControl w:val="0"/>
              <w:rPr>
                <w:sz w:val="22"/>
                <w:szCs w:val="22"/>
                <w:highlight w:val="yellow"/>
              </w:rPr>
            </w:pPr>
            <w:r w:rsidRPr="00212064">
              <w:rPr>
                <w:color w:val="000000"/>
                <w:sz w:val="22"/>
                <w:szCs w:val="22"/>
              </w:rPr>
              <w:t xml:space="preserve">    </w:t>
            </w:r>
            <w:r w:rsidRPr="00E33047">
              <w:rPr>
                <w:sz w:val="22"/>
                <w:szCs w:val="22"/>
              </w:rPr>
              <w:t>Mental Health</w:t>
            </w:r>
          </w:p>
        </w:tc>
        <w:tc>
          <w:tcPr>
            <w:tcW w:w="351" w:type="pct"/>
            <w:tcBorders>
              <w:top w:val="nil"/>
              <w:left w:val="nil"/>
              <w:right w:val="nil"/>
            </w:tcBorders>
            <w:shd w:val="clear" w:color="auto" w:fill="auto"/>
            <w:noWrap/>
            <w:vAlign w:val="bottom"/>
          </w:tcPr>
          <w:p w14:paraId="06971E4B" w14:textId="77777777" w:rsidR="00CF01B2" w:rsidRPr="002755C7" w:rsidRDefault="00CF01B2" w:rsidP="007E6041">
            <w:pPr>
              <w:widowControl w:val="0"/>
              <w:jc w:val="right"/>
              <w:rPr>
                <w:sz w:val="22"/>
                <w:szCs w:val="22"/>
                <w:highlight w:val="yellow"/>
              </w:rPr>
            </w:pPr>
          </w:p>
        </w:tc>
        <w:tc>
          <w:tcPr>
            <w:tcW w:w="417" w:type="pct"/>
            <w:tcBorders>
              <w:top w:val="nil"/>
              <w:left w:val="nil"/>
              <w:right w:val="nil"/>
            </w:tcBorders>
            <w:shd w:val="clear" w:color="auto" w:fill="auto"/>
            <w:noWrap/>
            <w:vAlign w:val="bottom"/>
          </w:tcPr>
          <w:p w14:paraId="6E71DE83" w14:textId="77777777" w:rsidR="00CF01B2" w:rsidRPr="002755C7" w:rsidRDefault="00CF01B2" w:rsidP="007E6041">
            <w:pPr>
              <w:widowControl w:val="0"/>
              <w:jc w:val="right"/>
              <w:rPr>
                <w:sz w:val="22"/>
                <w:szCs w:val="22"/>
                <w:highlight w:val="yellow"/>
              </w:rPr>
            </w:pPr>
          </w:p>
        </w:tc>
        <w:tc>
          <w:tcPr>
            <w:tcW w:w="368" w:type="pct"/>
            <w:tcBorders>
              <w:top w:val="nil"/>
              <w:left w:val="nil"/>
              <w:right w:val="nil"/>
            </w:tcBorders>
            <w:shd w:val="clear" w:color="auto" w:fill="auto"/>
            <w:noWrap/>
            <w:vAlign w:val="bottom"/>
          </w:tcPr>
          <w:p w14:paraId="21723B6E" w14:textId="77777777" w:rsidR="00CF01B2" w:rsidRPr="002755C7" w:rsidRDefault="00CF01B2" w:rsidP="007E6041">
            <w:pPr>
              <w:widowControl w:val="0"/>
              <w:jc w:val="right"/>
              <w:rPr>
                <w:sz w:val="22"/>
                <w:szCs w:val="22"/>
                <w:highlight w:val="yellow"/>
              </w:rPr>
            </w:pPr>
          </w:p>
        </w:tc>
        <w:tc>
          <w:tcPr>
            <w:tcW w:w="435" w:type="pct"/>
            <w:tcBorders>
              <w:top w:val="nil"/>
              <w:left w:val="nil"/>
              <w:right w:val="nil"/>
            </w:tcBorders>
            <w:shd w:val="clear" w:color="auto" w:fill="auto"/>
            <w:noWrap/>
            <w:vAlign w:val="bottom"/>
          </w:tcPr>
          <w:p w14:paraId="365EBDE8" w14:textId="77777777" w:rsidR="00CF01B2" w:rsidRPr="002755C7" w:rsidRDefault="00CF01B2" w:rsidP="007E6041">
            <w:pPr>
              <w:widowControl w:val="0"/>
              <w:jc w:val="right"/>
              <w:rPr>
                <w:sz w:val="22"/>
                <w:szCs w:val="22"/>
                <w:highlight w:val="yellow"/>
              </w:rPr>
            </w:pPr>
          </w:p>
        </w:tc>
        <w:tc>
          <w:tcPr>
            <w:tcW w:w="340" w:type="pct"/>
            <w:tcBorders>
              <w:top w:val="nil"/>
              <w:left w:val="nil"/>
              <w:right w:val="nil"/>
            </w:tcBorders>
            <w:shd w:val="clear" w:color="auto" w:fill="auto"/>
            <w:noWrap/>
            <w:vAlign w:val="bottom"/>
          </w:tcPr>
          <w:p w14:paraId="6BA84A0A" w14:textId="77777777" w:rsidR="00CF01B2" w:rsidRPr="002755C7" w:rsidRDefault="00CF01B2" w:rsidP="007E6041">
            <w:pPr>
              <w:widowControl w:val="0"/>
              <w:jc w:val="right"/>
              <w:rPr>
                <w:sz w:val="22"/>
                <w:szCs w:val="22"/>
                <w:highlight w:val="yellow"/>
              </w:rPr>
            </w:pPr>
          </w:p>
        </w:tc>
        <w:tc>
          <w:tcPr>
            <w:tcW w:w="401" w:type="pct"/>
            <w:tcBorders>
              <w:top w:val="nil"/>
              <w:left w:val="nil"/>
              <w:right w:val="nil"/>
            </w:tcBorders>
            <w:shd w:val="clear" w:color="auto" w:fill="auto"/>
            <w:noWrap/>
            <w:vAlign w:val="bottom"/>
          </w:tcPr>
          <w:p w14:paraId="322D5CE4" w14:textId="77777777" w:rsidR="00CF01B2" w:rsidRPr="002755C7" w:rsidRDefault="00CF01B2" w:rsidP="007E6041">
            <w:pPr>
              <w:widowControl w:val="0"/>
              <w:jc w:val="right"/>
              <w:rPr>
                <w:sz w:val="22"/>
                <w:szCs w:val="22"/>
                <w:highlight w:val="yellow"/>
              </w:rPr>
            </w:pPr>
          </w:p>
        </w:tc>
      </w:tr>
      <w:tr w:rsidR="00CF01B2" w:rsidRPr="00E6232D" w14:paraId="7D289B7E" w14:textId="77777777" w:rsidTr="007E6041">
        <w:tc>
          <w:tcPr>
            <w:tcW w:w="2688" w:type="pct"/>
            <w:tcBorders>
              <w:top w:val="nil"/>
              <w:left w:val="nil"/>
              <w:right w:val="nil"/>
            </w:tcBorders>
            <w:shd w:val="clear" w:color="auto" w:fill="auto"/>
            <w:noWrap/>
            <w:vAlign w:val="bottom"/>
          </w:tcPr>
          <w:p w14:paraId="7B36EEFB" w14:textId="77777777" w:rsidR="00CF01B2" w:rsidRPr="00212064" w:rsidRDefault="00CF01B2" w:rsidP="007E6041">
            <w:pPr>
              <w:widowControl w:val="0"/>
              <w:rPr>
                <w:sz w:val="22"/>
                <w:szCs w:val="22"/>
              </w:rPr>
            </w:pPr>
            <w:r w:rsidRPr="00212064">
              <w:rPr>
                <w:color w:val="000000"/>
                <w:sz w:val="22"/>
                <w:szCs w:val="22"/>
              </w:rPr>
              <w:t xml:space="preserve">        </w:t>
            </w:r>
            <w:r w:rsidRPr="00212064">
              <w:rPr>
                <w:sz w:val="22"/>
                <w:szCs w:val="22"/>
              </w:rPr>
              <w:t>Good</w:t>
            </w:r>
          </w:p>
        </w:tc>
        <w:tc>
          <w:tcPr>
            <w:tcW w:w="351" w:type="pct"/>
            <w:tcBorders>
              <w:top w:val="nil"/>
              <w:left w:val="nil"/>
              <w:right w:val="nil"/>
            </w:tcBorders>
            <w:shd w:val="clear" w:color="auto" w:fill="auto"/>
            <w:noWrap/>
            <w:vAlign w:val="bottom"/>
          </w:tcPr>
          <w:p w14:paraId="057B114B" w14:textId="77777777" w:rsidR="00CF01B2" w:rsidRPr="00212064" w:rsidRDefault="00CF01B2" w:rsidP="007E6041">
            <w:pPr>
              <w:widowControl w:val="0"/>
              <w:jc w:val="right"/>
              <w:rPr>
                <w:sz w:val="22"/>
                <w:szCs w:val="22"/>
              </w:rPr>
            </w:pPr>
            <w:r w:rsidRPr="00212064">
              <w:rPr>
                <w:sz w:val="22"/>
                <w:szCs w:val="22"/>
              </w:rPr>
              <w:t>156</w:t>
            </w:r>
          </w:p>
        </w:tc>
        <w:tc>
          <w:tcPr>
            <w:tcW w:w="417" w:type="pct"/>
            <w:tcBorders>
              <w:top w:val="nil"/>
              <w:left w:val="nil"/>
              <w:right w:val="nil"/>
            </w:tcBorders>
            <w:shd w:val="clear" w:color="auto" w:fill="auto"/>
            <w:noWrap/>
            <w:vAlign w:val="bottom"/>
          </w:tcPr>
          <w:p w14:paraId="5D531255" w14:textId="77777777" w:rsidR="00CF01B2" w:rsidRPr="00212064" w:rsidRDefault="00CF01B2" w:rsidP="007E6041">
            <w:pPr>
              <w:widowControl w:val="0"/>
              <w:jc w:val="right"/>
              <w:rPr>
                <w:sz w:val="22"/>
                <w:szCs w:val="22"/>
              </w:rPr>
            </w:pPr>
            <w:r w:rsidRPr="00212064">
              <w:rPr>
                <w:sz w:val="22"/>
                <w:szCs w:val="22"/>
              </w:rPr>
              <w:t>70.0</w:t>
            </w:r>
          </w:p>
        </w:tc>
        <w:tc>
          <w:tcPr>
            <w:tcW w:w="368" w:type="pct"/>
            <w:tcBorders>
              <w:top w:val="nil"/>
              <w:left w:val="nil"/>
              <w:right w:val="nil"/>
            </w:tcBorders>
            <w:shd w:val="clear" w:color="auto" w:fill="auto"/>
            <w:noWrap/>
            <w:vAlign w:val="bottom"/>
          </w:tcPr>
          <w:p w14:paraId="56F32789" w14:textId="77777777" w:rsidR="00CF01B2" w:rsidRPr="00212064" w:rsidRDefault="00CF01B2" w:rsidP="007E6041">
            <w:pPr>
              <w:widowControl w:val="0"/>
              <w:jc w:val="right"/>
              <w:rPr>
                <w:sz w:val="22"/>
                <w:szCs w:val="22"/>
              </w:rPr>
            </w:pPr>
            <w:r w:rsidRPr="00212064">
              <w:rPr>
                <w:sz w:val="22"/>
                <w:szCs w:val="22"/>
              </w:rPr>
              <w:t>183</w:t>
            </w:r>
          </w:p>
        </w:tc>
        <w:tc>
          <w:tcPr>
            <w:tcW w:w="435" w:type="pct"/>
            <w:tcBorders>
              <w:top w:val="nil"/>
              <w:left w:val="nil"/>
              <w:right w:val="nil"/>
            </w:tcBorders>
            <w:shd w:val="clear" w:color="auto" w:fill="auto"/>
            <w:noWrap/>
            <w:vAlign w:val="bottom"/>
          </w:tcPr>
          <w:p w14:paraId="494098BF" w14:textId="77777777" w:rsidR="00CF01B2" w:rsidRPr="00212064" w:rsidRDefault="00CF01B2" w:rsidP="007E6041">
            <w:pPr>
              <w:widowControl w:val="0"/>
              <w:jc w:val="right"/>
              <w:rPr>
                <w:sz w:val="22"/>
                <w:szCs w:val="22"/>
              </w:rPr>
            </w:pPr>
            <w:r w:rsidRPr="00212064">
              <w:rPr>
                <w:sz w:val="22"/>
                <w:szCs w:val="22"/>
              </w:rPr>
              <w:t>64.4</w:t>
            </w:r>
          </w:p>
        </w:tc>
        <w:tc>
          <w:tcPr>
            <w:tcW w:w="340" w:type="pct"/>
            <w:tcBorders>
              <w:top w:val="nil"/>
              <w:left w:val="nil"/>
              <w:right w:val="nil"/>
            </w:tcBorders>
            <w:shd w:val="clear" w:color="auto" w:fill="auto"/>
            <w:noWrap/>
            <w:vAlign w:val="bottom"/>
          </w:tcPr>
          <w:p w14:paraId="4E30B964" w14:textId="77777777" w:rsidR="00CF01B2" w:rsidRPr="00212064" w:rsidRDefault="00CF01B2" w:rsidP="007E6041">
            <w:pPr>
              <w:widowControl w:val="0"/>
              <w:jc w:val="right"/>
              <w:rPr>
                <w:sz w:val="22"/>
                <w:szCs w:val="22"/>
              </w:rPr>
            </w:pPr>
            <w:r w:rsidRPr="00212064">
              <w:rPr>
                <w:sz w:val="22"/>
                <w:szCs w:val="22"/>
              </w:rPr>
              <w:t>331</w:t>
            </w:r>
          </w:p>
        </w:tc>
        <w:tc>
          <w:tcPr>
            <w:tcW w:w="401" w:type="pct"/>
            <w:tcBorders>
              <w:top w:val="nil"/>
              <w:left w:val="nil"/>
              <w:right w:val="nil"/>
            </w:tcBorders>
            <w:shd w:val="clear" w:color="auto" w:fill="auto"/>
            <w:noWrap/>
            <w:vAlign w:val="bottom"/>
          </w:tcPr>
          <w:p w14:paraId="3E4521A5" w14:textId="77777777" w:rsidR="00CF01B2" w:rsidRPr="00212064" w:rsidRDefault="00CF01B2" w:rsidP="007E6041">
            <w:pPr>
              <w:widowControl w:val="0"/>
              <w:jc w:val="right"/>
              <w:rPr>
                <w:sz w:val="22"/>
                <w:szCs w:val="22"/>
              </w:rPr>
            </w:pPr>
            <w:r w:rsidRPr="00212064">
              <w:rPr>
                <w:sz w:val="22"/>
                <w:szCs w:val="22"/>
              </w:rPr>
              <w:t>75.6</w:t>
            </w:r>
          </w:p>
        </w:tc>
      </w:tr>
      <w:tr w:rsidR="00CF01B2" w:rsidRPr="00E6232D" w14:paraId="5FC4833B" w14:textId="77777777" w:rsidTr="007E6041">
        <w:tc>
          <w:tcPr>
            <w:tcW w:w="2688" w:type="pct"/>
            <w:tcBorders>
              <w:top w:val="nil"/>
              <w:left w:val="nil"/>
              <w:bottom w:val="single" w:sz="4" w:space="0" w:color="auto"/>
              <w:right w:val="nil"/>
            </w:tcBorders>
            <w:shd w:val="clear" w:color="auto" w:fill="auto"/>
            <w:noWrap/>
            <w:vAlign w:val="bottom"/>
          </w:tcPr>
          <w:p w14:paraId="19E227D6" w14:textId="77777777" w:rsidR="00CF01B2" w:rsidRPr="00212064" w:rsidRDefault="00CF01B2" w:rsidP="007E6041">
            <w:pPr>
              <w:widowControl w:val="0"/>
              <w:rPr>
                <w:sz w:val="22"/>
                <w:szCs w:val="22"/>
              </w:rPr>
            </w:pPr>
            <w:r w:rsidRPr="00212064">
              <w:rPr>
                <w:color w:val="000000"/>
                <w:sz w:val="22"/>
                <w:szCs w:val="22"/>
              </w:rPr>
              <w:t xml:space="preserve">        </w:t>
            </w:r>
            <w:r>
              <w:rPr>
                <w:color w:val="000000"/>
                <w:sz w:val="22"/>
                <w:szCs w:val="22"/>
              </w:rPr>
              <w:t>Intermediate/</w:t>
            </w:r>
            <w:r w:rsidRPr="00212064">
              <w:rPr>
                <w:sz w:val="22"/>
                <w:szCs w:val="22"/>
              </w:rPr>
              <w:t>Poor</w:t>
            </w:r>
          </w:p>
        </w:tc>
        <w:tc>
          <w:tcPr>
            <w:tcW w:w="351" w:type="pct"/>
            <w:tcBorders>
              <w:top w:val="nil"/>
              <w:left w:val="nil"/>
              <w:bottom w:val="single" w:sz="4" w:space="0" w:color="auto"/>
              <w:right w:val="nil"/>
            </w:tcBorders>
            <w:shd w:val="clear" w:color="auto" w:fill="auto"/>
            <w:noWrap/>
            <w:vAlign w:val="bottom"/>
          </w:tcPr>
          <w:p w14:paraId="141F0859" w14:textId="77777777" w:rsidR="00CF01B2" w:rsidRPr="00212064" w:rsidRDefault="00CF01B2" w:rsidP="007E6041">
            <w:pPr>
              <w:widowControl w:val="0"/>
              <w:jc w:val="right"/>
              <w:rPr>
                <w:sz w:val="22"/>
                <w:szCs w:val="22"/>
              </w:rPr>
            </w:pPr>
            <w:r w:rsidRPr="00212064">
              <w:rPr>
                <w:sz w:val="22"/>
                <w:szCs w:val="22"/>
              </w:rPr>
              <w:t>67</w:t>
            </w:r>
          </w:p>
        </w:tc>
        <w:tc>
          <w:tcPr>
            <w:tcW w:w="417" w:type="pct"/>
            <w:tcBorders>
              <w:top w:val="nil"/>
              <w:left w:val="nil"/>
              <w:bottom w:val="single" w:sz="4" w:space="0" w:color="auto"/>
              <w:right w:val="nil"/>
            </w:tcBorders>
            <w:shd w:val="clear" w:color="auto" w:fill="auto"/>
            <w:noWrap/>
            <w:vAlign w:val="bottom"/>
          </w:tcPr>
          <w:p w14:paraId="058FFC60" w14:textId="77777777" w:rsidR="00CF01B2" w:rsidRPr="00212064" w:rsidRDefault="00CF01B2" w:rsidP="007E6041">
            <w:pPr>
              <w:widowControl w:val="0"/>
              <w:jc w:val="right"/>
              <w:rPr>
                <w:sz w:val="22"/>
                <w:szCs w:val="22"/>
              </w:rPr>
            </w:pPr>
            <w:r w:rsidRPr="00212064">
              <w:rPr>
                <w:sz w:val="22"/>
                <w:szCs w:val="22"/>
              </w:rPr>
              <w:t>30.0</w:t>
            </w:r>
          </w:p>
        </w:tc>
        <w:tc>
          <w:tcPr>
            <w:tcW w:w="368" w:type="pct"/>
            <w:tcBorders>
              <w:top w:val="nil"/>
              <w:left w:val="nil"/>
              <w:bottom w:val="single" w:sz="4" w:space="0" w:color="auto"/>
              <w:right w:val="nil"/>
            </w:tcBorders>
            <w:shd w:val="clear" w:color="auto" w:fill="auto"/>
            <w:noWrap/>
            <w:vAlign w:val="bottom"/>
          </w:tcPr>
          <w:p w14:paraId="7FD1B1A2" w14:textId="77777777" w:rsidR="00CF01B2" w:rsidRPr="00212064" w:rsidRDefault="00CF01B2" w:rsidP="007E6041">
            <w:pPr>
              <w:widowControl w:val="0"/>
              <w:jc w:val="right"/>
              <w:rPr>
                <w:sz w:val="22"/>
                <w:szCs w:val="22"/>
              </w:rPr>
            </w:pPr>
            <w:r w:rsidRPr="00212064">
              <w:rPr>
                <w:sz w:val="22"/>
                <w:szCs w:val="22"/>
              </w:rPr>
              <w:t>101</w:t>
            </w:r>
          </w:p>
        </w:tc>
        <w:tc>
          <w:tcPr>
            <w:tcW w:w="435" w:type="pct"/>
            <w:tcBorders>
              <w:top w:val="nil"/>
              <w:left w:val="nil"/>
              <w:bottom w:val="single" w:sz="4" w:space="0" w:color="auto"/>
              <w:right w:val="nil"/>
            </w:tcBorders>
            <w:shd w:val="clear" w:color="auto" w:fill="auto"/>
            <w:noWrap/>
            <w:vAlign w:val="bottom"/>
          </w:tcPr>
          <w:p w14:paraId="2A988DFC" w14:textId="77777777" w:rsidR="00CF01B2" w:rsidRPr="00212064" w:rsidRDefault="00CF01B2" w:rsidP="007E6041">
            <w:pPr>
              <w:widowControl w:val="0"/>
              <w:jc w:val="right"/>
              <w:rPr>
                <w:sz w:val="22"/>
                <w:szCs w:val="22"/>
              </w:rPr>
            </w:pPr>
            <w:r w:rsidRPr="00212064">
              <w:rPr>
                <w:sz w:val="22"/>
                <w:szCs w:val="22"/>
              </w:rPr>
              <w:t>35.6</w:t>
            </w:r>
          </w:p>
        </w:tc>
        <w:tc>
          <w:tcPr>
            <w:tcW w:w="340" w:type="pct"/>
            <w:tcBorders>
              <w:top w:val="nil"/>
              <w:left w:val="nil"/>
              <w:bottom w:val="single" w:sz="4" w:space="0" w:color="auto"/>
              <w:right w:val="nil"/>
            </w:tcBorders>
            <w:shd w:val="clear" w:color="auto" w:fill="auto"/>
            <w:noWrap/>
            <w:vAlign w:val="bottom"/>
          </w:tcPr>
          <w:p w14:paraId="398BD962" w14:textId="77777777" w:rsidR="00CF01B2" w:rsidRPr="00212064" w:rsidRDefault="00CF01B2" w:rsidP="007E6041">
            <w:pPr>
              <w:widowControl w:val="0"/>
              <w:jc w:val="right"/>
              <w:rPr>
                <w:sz w:val="22"/>
                <w:szCs w:val="22"/>
              </w:rPr>
            </w:pPr>
            <w:r w:rsidRPr="00212064">
              <w:rPr>
                <w:sz w:val="22"/>
                <w:szCs w:val="22"/>
              </w:rPr>
              <w:t>107</w:t>
            </w:r>
          </w:p>
        </w:tc>
        <w:tc>
          <w:tcPr>
            <w:tcW w:w="401" w:type="pct"/>
            <w:tcBorders>
              <w:top w:val="nil"/>
              <w:left w:val="nil"/>
              <w:bottom w:val="single" w:sz="4" w:space="0" w:color="auto"/>
              <w:right w:val="nil"/>
            </w:tcBorders>
            <w:shd w:val="clear" w:color="auto" w:fill="auto"/>
            <w:noWrap/>
            <w:vAlign w:val="bottom"/>
          </w:tcPr>
          <w:p w14:paraId="451F6077" w14:textId="77777777" w:rsidR="00CF01B2" w:rsidRPr="00212064" w:rsidRDefault="00CF01B2" w:rsidP="007E6041">
            <w:pPr>
              <w:widowControl w:val="0"/>
              <w:jc w:val="right"/>
              <w:rPr>
                <w:sz w:val="22"/>
                <w:szCs w:val="22"/>
              </w:rPr>
            </w:pPr>
            <w:r w:rsidRPr="00212064">
              <w:rPr>
                <w:sz w:val="22"/>
                <w:szCs w:val="22"/>
              </w:rPr>
              <w:t>24.4</w:t>
            </w:r>
          </w:p>
        </w:tc>
      </w:tr>
    </w:tbl>
    <w:p w14:paraId="10EB4BA6" w14:textId="77777777" w:rsidR="00CF01B2" w:rsidRDefault="00CF01B2" w:rsidP="00CF01B2">
      <w:pPr>
        <w:widowControl w:val="0"/>
        <w:ind w:left="90"/>
        <w:rPr>
          <w:rFonts w:eastAsia="Calibri"/>
          <w:sz w:val="20"/>
        </w:rPr>
        <w:sectPr w:rsidR="00CF01B2" w:rsidSect="007E6041">
          <w:headerReference w:type="default" r:id="rId11"/>
          <w:footerReference w:type="default" r:id="rId12"/>
          <w:footerReference w:type="first" r:id="rId13"/>
          <w:pgSz w:w="12240" w:h="15840"/>
          <w:pgMar w:top="1417" w:right="1701" w:bottom="1417" w:left="1701" w:header="720" w:footer="720" w:gutter="0"/>
          <w:cols w:space="720"/>
          <w:docGrid w:linePitch="360"/>
        </w:sectPr>
      </w:pPr>
    </w:p>
    <w:p w14:paraId="2DC1D149" w14:textId="77777777" w:rsidR="00CF01B2" w:rsidRPr="00212064" w:rsidRDefault="00CF01B2" w:rsidP="00CF01B2">
      <w:pPr>
        <w:pStyle w:val="TableTitle"/>
      </w:pPr>
    </w:p>
    <w:tbl>
      <w:tblPr>
        <w:tblStyle w:val="TableGrid"/>
        <w:tblW w:w="1130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30"/>
        <w:gridCol w:w="1223"/>
        <w:gridCol w:w="1280"/>
        <w:gridCol w:w="700"/>
        <w:gridCol w:w="1334"/>
        <w:gridCol w:w="1315"/>
        <w:gridCol w:w="681"/>
        <w:gridCol w:w="1416"/>
        <w:gridCol w:w="1315"/>
      </w:tblGrid>
      <w:tr w:rsidR="00CF01B2" w:rsidRPr="00212064" w14:paraId="69586E17" w14:textId="77777777" w:rsidTr="007E6041">
        <w:trPr>
          <w:trHeight w:val="386"/>
        </w:trPr>
        <w:tc>
          <w:tcPr>
            <w:tcW w:w="11305" w:type="dxa"/>
            <w:gridSpan w:val="10"/>
            <w:vAlign w:val="bottom"/>
          </w:tcPr>
          <w:p w14:paraId="7F8696E9" w14:textId="77777777" w:rsidR="00CF01B2" w:rsidRPr="00212064" w:rsidRDefault="00CF01B2" w:rsidP="007E6041">
            <w:pPr>
              <w:rPr>
                <w:b/>
                <w:sz w:val="22"/>
                <w:szCs w:val="22"/>
              </w:rPr>
            </w:pPr>
            <w:bookmarkStart w:id="4" w:name="_Toc395535321"/>
            <w:r w:rsidRPr="00366612">
              <w:rPr>
                <w:b/>
              </w:rPr>
              <w:t>Table 2.</w:t>
            </w:r>
            <w:r w:rsidRPr="00212064">
              <w:t xml:space="preserve"> Prevalence of </w:t>
            </w:r>
            <w:r w:rsidRPr="00212064">
              <w:rPr>
                <w:color w:val="000000"/>
              </w:rPr>
              <w:t xml:space="preserve">upper extremity </w:t>
            </w:r>
            <w:r>
              <w:rPr>
                <w:color w:val="000000"/>
              </w:rPr>
              <w:t xml:space="preserve">musculoskeletal </w:t>
            </w:r>
            <w:r w:rsidRPr="00212064">
              <w:rPr>
                <w:color w:val="000000"/>
              </w:rPr>
              <w:t>pain</w:t>
            </w:r>
            <w:r w:rsidRPr="00212064">
              <w:t xml:space="preserve"> by country at baseline.</w:t>
            </w:r>
            <w:bookmarkEnd w:id="4"/>
          </w:p>
        </w:tc>
      </w:tr>
      <w:tr w:rsidR="00CF01B2" w:rsidRPr="00212064" w14:paraId="020710AD" w14:textId="77777777" w:rsidTr="007E6041">
        <w:trPr>
          <w:trHeight w:val="386"/>
        </w:trPr>
        <w:tc>
          <w:tcPr>
            <w:tcW w:w="1411" w:type="dxa"/>
            <w:tcBorders>
              <w:top w:val="single" w:sz="6" w:space="0" w:color="auto"/>
            </w:tcBorders>
            <w:vAlign w:val="bottom"/>
          </w:tcPr>
          <w:p w14:paraId="00845588" w14:textId="77777777" w:rsidR="00CF01B2" w:rsidRPr="00212064" w:rsidRDefault="00CF01B2" w:rsidP="007E6041">
            <w:pPr>
              <w:rPr>
                <w:sz w:val="22"/>
                <w:szCs w:val="22"/>
              </w:rPr>
            </w:pPr>
          </w:p>
        </w:tc>
        <w:tc>
          <w:tcPr>
            <w:tcW w:w="3133" w:type="dxa"/>
            <w:gridSpan w:val="3"/>
            <w:tcBorders>
              <w:top w:val="single" w:sz="6" w:space="0" w:color="auto"/>
              <w:bottom w:val="single" w:sz="6" w:space="0" w:color="auto"/>
            </w:tcBorders>
            <w:vAlign w:val="bottom"/>
          </w:tcPr>
          <w:p w14:paraId="6FD1E878" w14:textId="2B897262" w:rsidR="00CF01B2" w:rsidRPr="00212064" w:rsidRDefault="00CF01B2">
            <w:pPr>
              <w:jc w:val="center"/>
              <w:rPr>
                <w:b/>
                <w:sz w:val="22"/>
                <w:szCs w:val="22"/>
              </w:rPr>
            </w:pPr>
            <w:r w:rsidRPr="00212064">
              <w:rPr>
                <w:b/>
                <w:sz w:val="22"/>
                <w:szCs w:val="22"/>
              </w:rPr>
              <w:t xml:space="preserve">Prevalence of pain </w:t>
            </w:r>
            <w:r w:rsidRPr="00212064">
              <w:rPr>
                <w:b/>
                <w:sz w:val="22"/>
                <w:szCs w:val="22"/>
              </w:rPr>
              <w:br/>
              <w:t xml:space="preserve">in the </w:t>
            </w:r>
            <w:r w:rsidR="007C0943">
              <w:rPr>
                <w:b/>
                <w:sz w:val="22"/>
                <w:szCs w:val="22"/>
              </w:rPr>
              <w:t>p</w:t>
            </w:r>
            <w:r w:rsidR="007C0943" w:rsidRPr="00212064">
              <w:rPr>
                <w:b/>
                <w:sz w:val="22"/>
                <w:szCs w:val="22"/>
              </w:rPr>
              <w:t xml:space="preserve">ast </w:t>
            </w:r>
            <w:r w:rsidRPr="00212064">
              <w:rPr>
                <w:b/>
                <w:sz w:val="22"/>
                <w:szCs w:val="22"/>
              </w:rPr>
              <w:t>12 months</w:t>
            </w:r>
          </w:p>
        </w:tc>
        <w:tc>
          <w:tcPr>
            <w:tcW w:w="3349" w:type="dxa"/>
            <w:gridSpan w:val="3"/>
            <w:tcBorders>
              <w:top w:val="single" w:sz="6" w:space="0" w:color="auto"/>
              <w:bottom w:val="single" w:sz="6" w:space="0" w:color="auto"/>
            </w:tcBorders>
            <w:vAlign w:val="bottom"/>
          </w:tcPr>
          <w:p w14:paraId="62D027EC" w14:textId="77777777" w:rsidR="00CF01B2" w:rsidRPr="00212064" w:rsidRDefault="00CF01B2" w:rsidP="007E6041">
            <w:pPr>
              <w:jc w:val="center"/>
              <w:rPr>
                <w:b/>
                <w:sz w:val="22"/>
                <w:szCs w:val="22"/>
              </w:rPr>
            </w:pPr>
            <w:r w:rsidRPr="00212064">
              <w:rPr>
                <w:b/>
                <w:sz w:val="22"/>
                <w:szCs w:val="22"/>
              </w:rPr>
              <w:t>Prevalence of pain</w:t>
            </w:r>
            <w:r w:rsidRPr="00212064">
              <w:rPr>
                <w:b/>
                <w:sz w:val="22"/>
                <w:szCs w:val="22"/>
              </w:rPr>
              <w:br/>
              <w:t xml:space="preserve"> in past month</w:t>
            </w:r>
          </w:p>
        </w:tc>
        <w:tc>
          <w:tcPr>
            <w:tcW w:w="3412" w:type="dxa"/>
            <w:gridSpan w:val="3"/>
            <w:tcBorders>
              <w:top w:val="single" w:sz="6" w:space="0" w:color="auto"/>
              <w:bottom w:val="single" w:sz="6" w:space="0" w:color="auto"/>
            </w:tcBorders>
            <w:vAlign w:val="bottom"/>
          </w:tcPr>
          <w:p w14:paraId="66987681" w14:textId="77777777" w:rsidR="00CF01B2" w:rsidRPr="00212064" w:rsidRDefault="00CF01B2" w:rsidP="007E6041">
            <w:pPr>
              <w:jc w:val="center"/>
              <w:rPr>
                <w:b/>
                <w:sz w:val="22"/>
                <w:szCs w:val="22"/>
              </w:rPr>
            </w:pPr>
            <w:r w:rsidRPr="00212064">
              <w:rPr>
                <w:b/>
                <w:bCs/>
                <w:color w:val="000000"/>
                <w:sz w:val="22"/>
                <w:szCs w:val="22"/>
              </w:rPr>
              <w:t>Prevalence of disabling pain</w:t>
            </w:r>
          </w:p>
        </w:tc>
      </w:tr>
      <w:tr w:rsidR="00CF01B2" w:rsidRPr="00212064" w14:paraId="3EF58122" w14:textId="77777777" w:rsidTr="007E6041">
        <w:tc>
          <w:tcPr>
            <w:tcW w:w="1411" w:type="dxa"/>
            <w:vAlign w:val="bottom"/>
          </w:tcPr>
          <w:p w14:paraId="64178035" w14:textId="77777777" w:rsidR="00CF01B2" w:rsidRPr="00212064" w:rsidRDefault="00CF01B2" w:rsidP="007E6041">
            <w:pPr>
              <w:rPr>
                <w:sz w:val="22"/>
                <w:szCs w:val="22"/>
              </w:rPr>
            </w:pPr>
          </w:p>
        </w:tc>
        <w:tc>
          <w:tcPr>
            <w:tcW w:w="630" w:type="dxa"/>
            <w:tcBorders>
              <w:top w:val="single" w:sz="6" w:space="0" w:color="auto"/>
              <w:bottom w:val="single" w:sz="4" w:space="0" w:color="auto"/>
            </w:tcBorders>
            <w:vAlign w:val="bottom"/>
          </w:tcPr>
          <w:p w14:paraId="749E5668" w14:textId="77777777" w:rsidR="00CF01B2" w:rsidRPr="00212064" w:rsidRDefault="00CF01B2" w:rsidP="007E6041">
            <w:pPr>
              <w:jc w:val="center"/>
              <w:rPr>
                <w:b/>
                <w:sz w:val="22"/>
                <w:szCs w:val="22"/>
              </w:rPr>
            </w:pPr>
          </w:p>
        </w:tc>
        <w:tc>
          <w:tcPr>
            <w:tcW w:w="2503" w:type="dxa"/>
            <w:gridSpan w:val="2"/>
            <w:tcBorders>
              <w:top w:val="single" w:sz="6" w:space="0" w:color="auto"/>
              <w:bottom w:val="single" w:sz="4" w:space="0" w:color="auto"/>
            </w:tcBorders>
            <w:vAlign w:val="bottom"/>
          </w:tcPr>
          <w:p w14:paraId="7965CCDD" w14:textId="77777777" w:rsidR="00CF01B2" w:rsidRPr="00212064" w:rsidRDefault="00CF01B2" w:rsidP="007E6041">
            <w:pPr>
              <w:jc w:val="center"/>
              <w:rPr>
                <w:sz w:val="22"/>
                <w:szCs w:val="22"/>
              </w:rPr>
            </w:pPr>
            <w:r w:rsidRPr="00212064">
              <w:rPr>
                <w:b/>
                <w:bCs/>
                <w:color w:val="000000"/>
                <w:sz w:val="22"/>
                <w:szCs w:val="22"/>
              </w:rPr>
              <w:t>OR (95%CI)</w:t>
            </w:r>
          </w:p>
        </w:tc>
        <w:tc>
          <w:tcPr>
            <w:tcW w:w="700" w:type="dxa"/>
            <w:tcBorders>
              <w:top w:val="single" w:sz="6" w:space="0" w:color="auto"/>
              <w:bottom w:val="single" w:sz="4" w:space="0" w:color="auto"/>
            </w:tcBorders>
            <w:vAlign w:val="bottom"/>
          </w:tcPr>
          <w:p w14:paraId="51712881" w14:textId="77777777" w:rsidR="00CF01B2" w:rsidRPr="00212064" w:rsidRDefault="00CF01B2" w:rsidP="007E6041">
            <w:pPr>
              <w:jc w:val="center"/>
              <w:rPr>
                <w:sz w:val="22"/>
                <w:szCs w:val="22"/>
              </w:rPr>
            </w:pPr>
          </w:p>
        </w:tc>
        <w:tc>
          <w:tcPr>
            <w:tcW w:w="2649" w:type="dxa"/>
            <w:gridSpan w:val="2"/>
            <w:tcBorders>
              <w:top w:val="single" w:sz="6" w:space="0" w:color="auto"/>
              <w:bottom w:val="single" w:sz="4" w:space="0" w:color="auto"/>
            </w:tcBorders>
            <w:vAlign w:val="bottom"/>
          </w:tcPr>
          <w:p w14:paraId="7D2BBE31" w14:textId="77777777" w:rsidR="00CF01B2" w:rsidRPr="00212064" w:rsidRDefault="00CF01B2" w:rsidP="007E6041">
            <w:pPr>
              <w:jc w:val="center"/>
              <w:rPr>
                <w:sz w:val="22"/>
                <w:szCs w:val="22"/>
              </w:rPr>
            </w:pPr>
            <w:r w:rsidRPr="00212064">
              <w:rPr>
                <w:b/>
                <w:bCs/>
                <w:color w:val="000000"/>
                <w:sz w:val="22"/>
                <w:szCs w:val="22"/>
              </w:rPr>
              <w:t>OR (95%CI)</w:t>
            </w:r>
          </w:p>
        </w:tc>
        <w:tc>
          <w:tcPr>
            <w:tcW w:w="681" w:type="dxa"/>
            <w:tcBorders>
              <w:top w:val="single" w:sz="6" w:space="0" w:color="auto"/>
              <w:bottom w:val="single" w:sz="4" w:space="0" w:color="auto"/>
            </w:tcBorders>
            <w:vAlign w:val="bottom"/>
          </w:tcPr>
          <w:p w14:paraId="122C5C22" w14:textId="77777777" w:rsidR="00CF01B2" w:rsidRPr="00212064" w:rsidRDefault="00CF01B2" w:rsidP="007E6041">
            <w:pPr>
              <w:jc w:val="center"/>
              <w:rPr>
                <w:sz w:val="22"/>
                <w:szCs w:val="22"/>
              </w:rPr>
            </w:pPr>
          </w:p>
        </w:tc>
        <w:tc>
          <w:tcPr>
            <w:tcW w:w="2731" w:type="dxa"/>
            <w:gridSpan w:val="2"/>
            <w:tcBorders>
              <w:top w:val="single" w:sz="6" w:space="0" w:color="auto"/>
              <w:bottom w:val="single" w:sz="6" w:space="0" w:color="auto"/>
            </w:tcBorders>
            <w:vAlign w:val="bottom"/>
          </w:tcPr>
          <w:p w14:paraId="4AD7416B" w14:textId="77777777" w:rsidR="00CF01B2" w:rsidRPr="00212064" w:rsidRDefault="00CF01B2" w:rsidP="007E6041">
            <w:pPr>
              <w:jc w:val="center"/>
              <w:rPr>
                <w:sz w:val="22"/>
                <w:szCs w:val="22"/>
              </w:rPr>
            </w:pPr>
            <w:r w:rsidRPr="00212064">
              <w:rPr>
                <w:b/>
                <w:bCs/>
                <w:color w:val="000000"/>
                <w:sz w:val="22"/>
                <w:szCs w:val="22"/>
              </w:rPr>
              <w:t>OR (95%CI)</w:t>
            </w:r>
          </w:p>
        </w:tc>
      </w:tr>
      <w:tr w:rsidR="00CF01B2" w:rsidRPr="00212064" w14:paraId="2E7333AF" w14:textId="77777777" w:rsidTr="007E6041">
        <w:tc>
          <w:tcPr>
            <w:tcW w:w="1411" w:type="dxa"/>
            <w:tcBorders>
              <w:bottom w:val="single" w:sz="6" w:space="0" w:color="auto"/>
            </w:tcBorders>
            <w:vAlign w:val="bottom"/>
          </w:tcPr>
          <w:p w14:paraId="6B67D854" w14:textId="77777777" w:rsidR="00CF01B2" w:rsidRPr="00212064" w:rsidRDefault="00CF01B2" w:rsidP="007E6041">
            <w:pPr>
              <w:rPr>
                <w:sz w:val="22"/>
                <w:szCs w:val="22"/>
              </w:rPr>
            </w:pPr>
          </w:p>
        </w:tc>
        <w:tc>
          <w:tcPr>
            <w:tcW w:w="630" w:type="dxa"/>
            <w:tcBorders>
              <w:top w:val="single" w:sz="4" w:space="0" w:color="auto"/>
              <w:bottom w:val="single" w:sz="6" w:space="0" w:color="auto"/>
            </w:tcBorders>
            <w:vAlign w:val="bottom"/>
          </w:tcPr>
          <w:p w14:paraId="09E30CB3" w14:textId="77777777" w:rsidR="00CF01B2" w:rsidRPr="00212064" w:rsidRDefault="00CF01B2" w:rsidP="007E6041">
            <w:pPr>
              <w:jc w:val="center"/>
              <w:rPr>
                <w:b/>
                <w:sz w:val="22"/>
                <w:szCs w:val="22"/>
              </w:rPr>
            </w:pPr>
            <w:r w:rsidRPr="00212064">
              <w:rPr>
                <w:b/>
                <w:sz w:val="22"/>
                <w:szCs w:val="22"/>
              </w:rPr>
              <w:t>%</w:t>
            </w:r>
          </w:p>
        </w:tc>
        <w:tc>
          <w:tcPr>
            <w:tcW w:w="1223" w:type="dxa"/>
            <w:tcBorders>
              <w:top w:val="single" w:sz="4" w:space="0" w:color="auto"/>
              <w:bottom w:val="single" w:sz="6" w:space="0" w:color="auto"/>
            </w:tcBorders>
            <w:vAlign w:val="bottom"/>
          </w:tcPr>
          <w:p w14:paraId="666ADE01" w14:textId="77777777" w:rsidR="00CF01B2" w:rsidRPr="00212064" w:rsidRDefault="00CF01B2" w:rsidP="007E6041">
            <w:pPr>
              <w:jc w:val="center"/>
              <w:rPr>
                <w:b/>
                <w:bCs/>
                <w:color w:val="000000"/>
                <w:sz w:val="22"/>
                <w:szCs w:val="22"/>
              </w:rPr>
            </w:pPr>
            <w:r w:rsidRPr="00212064">
              <w:rPr>
                <w:b/>
                <w:bCs/>
                <w:color w:val="000000"/>
                <w:sz w:val="22"/>
                <w:szCs w:val="22"/>
              </w:rPr>
              <w:t>Crude</w:t>
            </w:r>
          </w:p>
        </w:tc>
        <w:tc>
          <w:tcPr>
            <w:tcW w:w="1280" w:type="dxa"/>
            <w:tcBorders>
              <w:top w:val="single" w:sz="4" w:space="0" w:color="auto"/>
              <w:bottom w:val="single" w:sz="6" w:space="0" w:color="auto"/>
            </w:tcBorders>
            <w:vAlign w:val="bottom"/>
          </w:tcPr>
          <w:p w14:paraId="2CD3C84C" w14:textId="77777777" w:rsidR="00CF01B2" w:rsidRPr="00212064" w:rsidRDefault="00CF01B2" w:rsidP="007E6041">
            <w:pPr>
              <w:jc w:val="center"/>
              <w:rPr>
                <w:b/>
                <w:bCs/>
                <w:color w:val="000000"/>
                <w:sz w:val="22"/>
                <w:szCs w:val="22"/>
              </w:rPr>
            </w:pPr>
            <w:r w:rsidRPr="00212064">
              <w:rPr>
                <w:b/>
                <w:bCs/>
                <w:color w:val="000000"/>
                <w:sz w:val="22"/>
                <w:szCs w:val="22"/>
              </w:rPr>
              <w:t>Adjusted</w:t>
            </w:r>
            <w:r w:rsidRPr="00366612">
              <w:rPr>
                <w:bCs/>
                <w:color w:val="000000"/>
                <w:sz w:val="22"/>
                <w:szCs w:val="22"/>
                <w:vertAlign w:val="superscript"/>
              </w:rPr>
              <w:t>a</w:t>
            </w:r>
          </w:p>
        </w:tc>
        <w:tc>
          <w:tcPr>
            <w:tcW w:w="700" w:type="dxa"/>
            <w:tcBorders>
              <w:top w:val="single" w:sz="4" w:space="0" w:color="auto"/>
              <w:bottom w:val="single" w:sz="6" w:space="0" w:color="auto"/>
            </w:tcBorders>
            <w:vAlign w:val="bottom"/>
          </w:tcPr>
          <w:p w14:paraId="53B7CFB8" w14:textId="77777777" w:rsidR="00CF01B2" w:rsidRPr="00212064" w:rsidRDefault="00CF01B2" w:rsidP="007E6041">
            <w:pPr>
              <w:jc w:val="center"/>
              <w:rPr>
                <w:b/>
                <w:sz w:val="22"/>
                <w:szCs w:val="22"/>
              </w:rPr>
            </w:pPr>
            <w:r w:rsidRPr="00212064">
              <w:rPr>
                <w:b/>
                <w:sz w:val="22"/>
                <w:szCs w:val="22"/>
              </w:rPr>
              <w:t>%</w:t>
            </w:r>
          </w:p>
        </w:tc>
        <w:tc>
          <w:tcPr>
            <w:tcW w:w="1334" w:type="dxa"/>
            <w:tcBorders>
              <w:top w:val="single" w:sz="4" w:space="0" w:color="auto"/>
              <w:bottom w:val="single" w:sz="6" w:space="0" w:color="auto"/>
            </w:tcBorders>
            <w:vAlign w:val="bottom"/>
          </w:tcPr>
          <w:p w14:paraId="4DA8A3F4" w14:textId="77777777" w:rsidR="00CF01B2" w:rsidRPr="00212064" w:rsidRDefault="00CF01B2" w:rsidP="007E6041">
            <w:pPr>
              <w:jc w:val="center"/>
              <w:rPr>
                <w:b/>
                <w:bCs/>
                <w:color w:val="000000"/>
                <w:sz w:val="22"/>
                <w:szCs w:val="22"/>
              </w:rPr>
            </w:pPr>
            <w:r w:rsidRPr="00212064">
              <w:rPr>
                <w:b/>
                <w:bCs/>
                <w:color w:val="000000"/>
                <w:sz w:val="22"/>
                <w:szCs w:val="22"/>
              </w:rPr>
              <w:t>Crude</w:t>
            </w:r>
          </w:p>
        </w:tc>
        <w:tc>
          <w:tcPr>
            <w:tcW w:w="1315" w:type="dxa"/>
            <w:tcBorders>
              <w:top w:val="single" w:sz="4" w:space="0" w:color="auto"/>
              <w:bottom w:val="single" w:sz="6" w:space="0" w:color="auto"/>
            </w:tcBorders>
            <w:vAlign w:val="bottom"/>
          </w:tcPr>
          <w:p w14:paraId="59A6A6E0" w14:textId="77777777" w:rsidR="00CF01B2" w:rsidRPr="00212064" w:rsidRDefault="00CF01B2" w:rsidP="007E6041">
            <w:pPr>
              <w:jc w:val="center"/>
              <w:rPr>
                <w:b/>
                <w:bCs/>
                <w:color w:val="000000"/>
                <w:sz w:val="22"/>
                <w:szCs w:val="22"/>
              </w:rPr>
            </w:pPr>
            <w:r w:rsidRPr="00212064">
              <w:rPr>
                <w:b/>
                <w:bCs/>
                <w:color w:val="000000"/>
                <w:sz w:val="22"/>
                <w:szCs w:val="22"/>
              </w:rPr>
              <w:t>Adjusted</w:t>
            </w:r>
            <w:r w:rsidRPr="00366612">
              <w:rPr>
                <w:b/>
                <w:bCs/>
                <w:color w:val="000000"/>
                <w:sz w:val="22"/>
                <w:szCs w:val="22"/>
                <w:vertAlign w:val="superscript"/>
              </w:rPr>
              <w:t>b</w:t>
            </w:r>
          </w:p>
        </w:tc>
        <w:tc>
          <w:tcPr>
            <w:tcW w:w="681" w:type="dxa"/>
            <w:tcBorders>
              <w:top w:val="single" w:sz="4" w:space="0" w:color="auto"/>
              <w:bottom w:val="single" w:sz="6" w:space="0" w:color="auto"/>
            </w:tcBorders>
            <w:vAlign w:val="bottom"/>
          </w:tcPr>
          <w:p w14:paraId="695CB40B" w14:textId="77777777" w:rsidR="00CF01B2" w:rsidRPr="00212064" w:rsidRDefault="00CF01B2" w:rsidP="007E6041">
            <w:pPr>
              <w:jc w:val="center"/>
              <w:rPr>
                <w:b/>
                <w:sz w:val="22"/>
                <w:szCs w:val="22"/>
              </w:rPr>
            </w:pPr>
            <w:r w:rsidRPr="00212064">
              <w:rPr>
                <w:b/>
                <w:sz w:val="22"/>
                <w:szCs w:val="22"/>
              </w:rPr>
              <w:t>%</w:t>
            </w:r>
          </w:p>
        </w:tc>
        <w:tc>
          <w:tcPr>
            <w:tcW w:w="1416" w:type="dxa"/>
            <w:tcBorders>
              <w:bottom w:val="single" w:sz="6" w:space="0" w:color="auto"/>
            </w:tcBorders>
            <w:vAlign w:val="bottom"/>
          </w:tcPr>
          <w:p w14:paraId="2473ED94" w14:textId="77777777" w:rsidR="00CF01B2" w:rsidRPr="00212064" w:rsidRDefault="00CF01B2" w:rsidP="007E6041">
            <w:pPr>
              <w:jc w:val="center"/>
              <w:rPr>
                <w:b/>
                <w:bCs/>
                <w:color w:val="000000"/>
                <w:sz w:val="22"/>
                <w:szCs w:val="22"/>
              </w:rPr>
            </w:pPr>
            <w:r w:rsidRPr="00212064">
              <w:rPr>
                <w:b/>
                <w:bCs/>
                <w:color w:val="000000"/>
                <w:sz w:val="22"/>
                <w:szCs w:val="22"/>
              </w:rPr>
              <w:t>Crude</w:t>
            </w:r>
          </w:p>
        </w:tc>
        <w:tc>
          <w:tcPr>
            <w:tcW w:w="1315" w:type="dxa"/>
            <w:tcBorders>
              <w:bottom w:val="single" w:sz="6" w:space="0" w:color="auto"/>
            </w:tcBorders>
            <w:vAlign w:val="bottom"/>
          </w:tcPr>
          <w:p w14:paraId="0E6E099B" w14:textId="77777777" w:rsidR="00CF01B2" w:rsidRPr="00212064" w:rsidRDefault="00CF01B2" w:rsidP="007E6041">
            <w:pPr>
              <w:jc w:val="center"/>
              <w:rPr>
                <w:b/>
                <w:bCs/>
                <w:color w:val="000000"/>
                <w:sz w:val="22"/>
                <w:szCs w:val="22"/>
              </w:rPr>
            </w:pPr>
            <w:r w:rsidRPr="00212064">
              <w:rPr>
                <w:b/>
                <w:bCs/>
                <w:color w:val="000000"/>
                <w:sz w:val="22"/>
                <w:szCs w:val="22"/>
              </w:rPr>
              <w:t>Adjusted</w:t>
            </w:r>
            <w:r w:rsidRPr="00366612">
              <w:rPr>
                <w:b/>
                <w:bCs/>
                <w:color w:val="000000"/>
                <w:sz w:val="22"/>
                <w:szCs w:val="22"/>
                <w:vertAlign w:val="superscript"/>
              </w:rPr>
              <w:t>c</w:t>
            </w:r>
          </w:p>
        </w:tc>
      </w:tr>
      <w:tr w:rsidR="00CF01B2" w:rsidRPr="00212064" w14:paraId="4FE41506" w14:textId="77777777" w:rsidTr="007E6041">
        <w:trPr>
          <w:trHeight w:val="611"/>
        </w:trPr>
        <w:tc>
          <w:tcPr>
            <w:tcW w:w="1411" w:type="dxa"/>
            <w:tcBorders>
              <w:top w:val="single" w:sz="6" w:space="0" w:color="auto"/>
            </w:tcBorders>
            <w:vAlign w:val="bottom"/>
          </w:tcPr>
          <w:p w14:paraId="14929924" w14:textId="77777777" w:rsidR="00CF01B2" w:rsidRPr="00212064" w:rsidRDefault="00CF01B2" w:rsidP="007E6041">
            <w:pPr>
              <w:spacing w:before="120"/>
              <w:rPr>
                <w:sz w:val="22"/>
                <w:szCs w:val="22"/>
              </w:rPr>
            </w:pPr>
            <w:r w:rsidRPr="00212064">
              <w:rPr>
                <w:sz w:val="22"/>
                <w:szCs w:val="22"/>
              </w:rPr>
              <w:t>Spain</w:t>
            </w:r>
            <w:r>
              <w:rPr>
                <w:sz w:val="22"/>
                <w:szCs w:val="22"/>
              </w:rPr>
              <w:br/>
              <w:t xml:space="preserve">   </w:t>
            </w:r>
            <w:r w:rsidRPr="00212064">
              <w:rPr>
                <w:sz w:val="22"/>
                <w:szCs w:val="22"/>
              </w:rPr>
              <w:t xml:space="preserve"> (n=438)</w:t>
            </w:r>
          </w:p>
        </w:tc>
        <w:tc>
          <w:tcPr>
            <w:tcW w:w="630" w:type="dxa"/>
            <w:tcBorders>
              <w:top w:val="single" w:sz="6" w:space="0" w:color="auto"/>
            </w:tcBorders>
            <w:vAlign w:val="bottom"/>
          </w:tcPr>
          <w:p w14:paraId="5709C861" w14:textId="77777777" w:rsidR="00CF01B2" w:rsidRPr="00212064" w:rsidRDefault="00CF01B2" w:rsidP="007E6041">
            <w:pPr>
              <w:spacing w:before="120"/>
              <w:jc w:val="center"/>
              <w:rPr>
                <w:sz w:val="22"/>
                <w:szCs w:val="22"/>
              </w:rPr>
            </w:pPr>
            <w:r w:rsidRPr="00212064">
              <w:rPr>
                <w:sz w:val="22"/>
                <w:szCs w:val="22"/>
              </w:rPr>
              <w:t>50.7</w:t>
            </w:r>
          </w:p>
        </w:tc>
        <w:tc>
          <w:tcPr>
            <w:tcW w:w="1223" w:type="dxa"/>
            <w:tcBorders>
              <w:top w:val="single" w:sz="6" w:space="0" w:color="auto"/>
            </w:tcBorders>
            <w:vAlign w:val="bottom"/>
          </w:tcPr>
          <w:p w14:paraId="2D5903F6" w14:textId="77777777" w:rsidR="00CF01B2" w:rsidRPr="00212064" w:rsidRDefault="00CF01B2" w:rsidP="007E6041">
            <w:pPr>
              <w:spacing w:before="120"/>
              <w:jc w:val="center"/>
              <w:rPr>
                <w:sz w:val="22"/>
                <w:szCs w:val="22"/>
              </w:rPr>
            </w:pPr>
            <w:r w:rsidRPr="00212064">
              <w:rPr>
                <w:sz w:val="22"/>
                <w:szCs w:val="22"/>
              </w:rPr>
              <w:t>1</w:t>
            </w:r>
          </w:p>
        </w:tc>
        <w:tc>
          <w:tcPr>
            <w:tcW w:w="1280" w:type="dxa"/>
            <w:tcBorders>
              <w:top w:val="single" w:sz="6" w:space="0" w:color="auto"/>
            </w:tcBorders>
            <w:vAlign w:val="bottom"/>
          </w:tcPr>
          <w:p w14:paraId="4AF9BC39" w14:textId="77777777" w:rsidR="00CF01B2" w:rsidRPr="00212064" w:rsidRDefault="00CF01B2" w:rsidP="007E6041">
            <w:pPr>
              <w:spacing w:before="120"/>
              <w:jc w:val="center"/>
              <w:rPr>
                <w:sz w:val="22"/>
                <w:szCs w:val="22"/>
              </w:rPr>
            </w:pPr>
            <w:r w:rsidRPr="00212064">
              <w:rPr>
                <w:sz w:val="22"/>
                <w:szCs w:val="22"/>
              </w:rPr>
              <w:t>1</w:t>
            </w:r>
          </w:p>
        </w:tc>
        <w:tc>
          <w:tcPr>
            <w:tcW w:w="700" w:type="dxa"/>
            <w:tcBorders>
              <w:top w:val="single" w:sz="6" w:space="0" w:color="auto"/>
            </w:tcBorders>
            <w:vAlign w:val="bottom"/>
          </w:tcPr>
          <w:p w14:paraId="69B6B7F6" w14:textId="77777777" w:rsidR="00CF01B2" w:rsidRPr="00212064" w:rsidRDefault="00CF01B2" w:rsidP="007E6041">
            <w:pPr>
              <w:spacing w:before="120"/>
              <w:jc w:val="center"/>
              <w:rPr>
                <w:sz w:val="22"/>
                <w:szCs w:val="22"/>
              </w:rPr>
            </w:pPr>
            <w:r w:rsidRPr="00212064">
              <w:rPr>
                <w:sz w:val="22"/>
                <w:szCs w:val="22"/>
              </w:rPr>
              <w:t>38.4</w:t>
            </w:r>
          </w:p>
        </w:tc>
        <w:tc>
          <w:tcPr>
            <w:tcW w:w="1334" w:type="dxa"/>
            <w:tcBorders>
              <w:top w:val="single" w:sz="6" w:space="0" w:color="auto"/>
            </w:tcBorders>
            <w:vAlign w:val="bottom"/>
          </w:tcPr>
          <w:p w14:paraId="21BC4FBB" w14:textId="77777777" w:rsidR="00CF01B2" w:rsidRPr="00212064" w:rsidRDefault="00CF01B2" w:rsidP="007E6041">
            <w:pPr>
              <w:spacing w:before="120"/>
              <w:jc w:val="center"/>
              <w:rPr>
                <w:sz w:val="22"/>
                <w:szCs w:val="22"/>
              </w:rPr>
            </w:pPr>
            <w:r w:rsidRPr="00212064">
              <w:rPr>
                <w:sz w:val="22"/>
                <w:szCs w:val="22"/>
              </w:rPr>
              <w:t>1</w:t>
            </w:r>
          </w:p>
        </w:tc>
        <w:tc>
          <w:tcPr>
            <w:tcW w:w="1315" w:type="dxa"/>
            <w:tcBorders>
              <w:top w:val="single" w:sz="6" w:space="0" w:color="auto"/>
            </w:tcBorders>
            <w:vAlign w:val="bottom"/>
          </w:tcPr>
          <w:p w14:paraId="504B79F8" w14:textId="77777777" w:rsidR="00CF01B2" w:rsidRPr="00212064" w:rsidRDefault="00CF01B2" w:rsidP="007E6041">
            <w:pPr>
              <w:spacing w:before="120"/>
              <w:jc w:val="center"/>
              <w:rPr>
                <w:sz w:val="22"/>
                <w:szCs w:val="22"/>
              </w:rPr>
            </w:pPr>
            <w:r w:rsidRPr="00212064">
              <w:rPr>
                <w:sz w:val="22"/>
                <w:szCs w:val="22"/>
              </w:rPr>
              <w:t>1</w:t>
            </w:r>
          </w:p>
        </w:tc>
        <w:tc>
          <w:tcPr>
            <w:tcW w:w="681" w:type="dxa"/>
            <w:tcBorders>
              <w:top w:val="single" w:sz="6" w:space="0" w:color="auto"/>
            </w:tcBorders>
            <w:vAlign w:val="bottom"/>
          </w:tcPr>
          <w:p w14:paraId="7A931268" w14:textId="77777777" w:rsidR="00CF01B2" w:rsidRPr="00212064" w:rsidRDefault="00CF01B2" w:rsidP="007E6041">
            <w:pPr>
              <w:spacing w:before="120"/>
              <w:jc w:val="center"/>
              <w:rPr>
                <w:sz w:val="22"/>
                <w:szCs w:val="22"/>
              </w:rPr>
            </w:pPr>
            <w:r w:rsidRPr="00212064">
              <w:rPr>
                <w:iCs/>
                <w:color w:val="000000"/>
                <w:sz w:val="22"/>
                <w:szCs w:val="22"/>
              </w:rPr>
              <w:t>25.3</w:t>
            </w:r>
          </w:p>
        </w:tc>
        <w:tc>
          <w:tcPr>
            <w:tcW w:w="1416" w:type="dxa"/>
            <w:tcBorders>
              <w:top w:val="single" w:sz="6" w:space="0" w:color="auto"/>
            </w:tcBorders>
            <w:vAlign w:val="bottom"/>
          </w:tcPr>
          <w:p w14:paraId="77360E86" w14:textId="77777777" w:rsidR="00CF01B2" w:rsidRPr="00212064" w:rsidRDefault="00CF01B2" w:rsidP="007E6041">
            <w:pPr>
              <w:spacing w:before="120"/>
              <w:jc w:val="center"/>
              <w:rPr>
                <w:sz w:val="22"/>
                <w:szCs w:val="22"/>
              </w:rPr>
            </w:pPr>
            <w:r w:rsidRPr="00212064">
              <w:rPr>
                <w:sz w:val="22"/>
                <w:szCs w:val="22"/>
              </w:rPr>
              <w:t>1</w:t>
            </w:r>
          </w:p>
        </w:tc>
        <w:tc>
          <w:tcPr>
            <w:tcW w:w="1315" w:type="dxa"/>
            <w:tcBorders>
              <w:top w:val="single" w:sz="6" w:space="0" w:color="auto"/>
            </w:tcBorders>
            <w:vAlign w:val="bottom"/>
          </w:tcPr>
          <w:p w14:paraId="6FD81680" w14:textId="77777777" w:rsidR="00CF01B2" w:rsidRPr="00212064" w:rsidRDefault="00CF01B2" w:rsidP="007E6041">
            <w:pPr>
              <w:spacing w:before="120"/>
              <w:jc w:val="center"/>
              <w:rPr>
                <w:sz w:val="22"/>
                <w:szCs w:val="22"/>
              </w:rPr>
            </w:pPr>
            <w:r w:rsidRPr="00212064">
              <w:rPr>
                <w:sz w:val="22"/>
                <w:szCs w:val="22"/>
              </w:rPr>
              <w:t>1</w:t>
            </w:r>
          </w:p>
        </w:tc>
      </w:tr>
      <w:tr w:rsidR="00CF01B2" w:rsidRPr="00212064" w14:paraId="3B9129B6" w14:textId="77777777" w:rsidTr="007E6041">
        <w:trPr>
          <w:trHeight w:val="764"/>
        </w:trPr>
        <w:tc>
          <w:tcPr>
            <w:tcW w:w="1411" w:type="dxa"/>
            <w:vAlign w:val="bottom"/>
          </w:tcPr>
          <w:p w14:paraId="7C077000" w14:textId="77777777" w:rsidR="00CF01B2" w:rsidRPr="00212064" w:rsidRDefault="00CF01B2" w:rsidP="007E6041">
            <w:pPr>
              <w:spacing w:before="120"/>
              <w:rPr>
                <w:sz w:val="22"/>
                <w:szCs w:val="22"/>
              </w:rPr>
            </w:pPr>
            <w:r w:rsidRPr="00212064">
              <w:rPr>
                <w:sz w:val="22"/>
                <w:szCs w:val="22"/>
              </w:rPr>
              <w:t xml:space="preserve">Costa Rica </w:t>
            </w:r>
            <w:r>
              <w:rPr>
                <w:sz w:val="22"/>
                <w:szCs w:val="22"/>
              </w:rPr>
              <w:br/>
              <w:t xml:space="preserve">    </w:t>
            </w:r>
            <w:r w:rsidRPr="00212064">
              <w:rPr>
                <w:sz w:val="22"/>
                <w:szCs w:val="22"/>
              </w:rPr>
              <w:t>(n=224)</w:t>
            </w:r>
          </w:p>
        </w:tc>
        <w:tc>
          <w:tcPr>
            <w:tcW w:w="630" w:type="dxa"/>
            <w:vAlign w:val="bottom"/>
          </w:tcPr>
          <w:p w14:paraId="4460B4A0" w14:textId="77777777" w:rsidR="00CF01B2" w:rsidRPr="00212064" w:rsidRDefault="00CF01B2" w:rsidP="007E6041">
            <w:pPr>
              <w:spacing w:before="120"/>
              <w:jc w:val="center"/>
              <w:rPr>
                <w:sz w:val="22"/>
                <w:szCs w:val="22"/>
              </w:rPr>
            </w:pPr>
            <w:r w:rsidRPr="00212064">
              <w:rPr>
                <w:sz w:val="22"/>
                <w:szCs w:val="22"/>
              </w:rPr>
              <w:t>67.0</w:t>
            </w:r>
          </w:p>
        </w:tc>
        <w:tc>
          <w:tcPr>
            <w:tcW w:w="1223" w:type="dxa"/>
            <w:vAlign w:val="bottom"/>
          </w:tcPr>
          <w:p w14:paraId="4CFE2515" w14:textId="77777777" w:rsidR="00CF01B2" w:rsidRPr="00212064" w:rsidRDefault="00CF01B2" w:rsidP="007E6041">
            <w:pPr>
              <w:spacing w:before="120"/>
              <w:jc w:val="center"/>
              <w:rPr>
                <w:sz w:val="22"/>
                <w:szCs w:val="22"/>
              </w:rPr>
            </w:pPr>
            <w:r w:rsidRPr="00212064">
              <w:rPr>
                <w:color w:val="000000"/>
                <w:sz w:val="22"/>
                <w:szCs w:val="22"/>
              </w:rPr>
              <w:t xml:space="preserve">2.03 </w:t>
            </w:r>
            <w:r w:rsidRPr="00212064">
              <w:rPr>
                <w:color w:val="000000"/>
                <w:sz w:val="22"/>
                <w:szCs w:val="22"/>
              </w:rPr>
              <w:br/>
              <w:t>(1.45-2.84)</w:t>
            </w:r>
          </w:p>
        </w:tc>
        <w:tc>
          <w:tcPr>
            <w:tcW w:w="1280" w:type="dxa"/>
            <w:vAlign w:val="bottom"/>
          </w:tcPr>
          <w:p w14:paraId="4CE170FE" w14:textId="70CDB6F4" w:rsidR="00CF01B2" w:rsidRPr="00212064" w:rsidRDefault="00337F83" w:rsidP="00337F83">
            <w:pPr>
              <w:spacing w:before="120"/>
              <w:jc w:val="center"/>
              <w:rPr>
                <w:color w:val="000000"/>
                <w:sz w:val="22"/>
                <w:szCs w:val="22"/>
              </w:rPr>
            </w:pPr>
            <w:r>
              <w:rPr>
                <w:color w:val="000000"/>
                <w:sz w:val="22"/>
                <w:szCs w:val="22"/>
              </w:rPr>
              <w:t>1.93</w:t>
            </w:r>
            <w:r w:rsidR="0043408E">
              <w:rPr>
                <w:color w:val="000000"/>
                <w:sz w:val="22"/>
                <w:szCs w:val="22"/>
              </w:rPr>
              <w:t xml:space="preserve"> </w:t>
            </w:r>
            <w:r w:rsidR="0043408E">
              <w:rPr>
                <w:color w:val="000000"/>
                <w:sz w:val="22"/>
                <w:szCs w:val="22"/>
              </w:rPr>
              <w:br/>
              <w:t>(1.</w:t>
            </w:r>
            <w:r>
              <w:rPr>
                <w:color w:val="000000"/>
                <w:sz w:val="22"/>
                <w:szCs w:val="22"/>
              </w:rPr>
              <w:t>31</w:t>
            </w:r>
            <w:r w:rsidR="0043408E">
              <w:rPr>
                <w:color w:val="000000"/>
                <w:sz w:val="22"/>
                <w:szCs w:val="22"/>
              </w:rPr>
              <w:t>-2.</w:t>
            </w:r>
            <w:r>
              <w:rPr>
                <w:color w:val="000000"/>
                <w:sz w:val="22"/>
                <w:szCs w:val="22"/>
              </w:rPr>
              <w:t>84</w:t>
            </w:r>
            <w:r w:rsidR="00CF01B2" w:rsidRPr="00212064">
              <w:rPr>
                <w:color w:val="000000"/>
                <w:sz w:val="22"/>
                <w:szCs w:val="22"/>
              </w:rPr>
              <w:t>)</w:t>
            </w:r>
          </w:p>
        </w:tc>
        <w:tc>
          <w:tcPr>
            <w:tcW w:w="700" w:type="dxa"/>
            <w:vAlign w:val="bottom"/>
          </w:tcPr>
          <w:p w14:paraId="7FB89C5B" w14:textId="77777777" w:rsidR="00CF01B2" w:rsidRPr="00212064" w:rsidRDefault="00CF01B2" w:rsidP="007E6041">
            <w:pPr>
              <w:spacing w:before="120"/>
              <w:jc w:val="center"/>
              <w:rPr>
                <w:sz w:val="22"/>
                <w:szCs w:val="22"/>
              </w:rPr>
            </w:pPr>
            <w:r w:rsidRPr="00212064">
              <w:rPr>
                <w:sz w:val="22"/>
                <w:szCs w:val="22"/>
              </w:rPr>
              <w:t>53.6</w:t>
            </w:r>
          </w:p>
        </w:tc>
        <w:tc>
          <w:tcPr>
            <w:tcW w:w="1334" w:type="dxa"/>
            <w:vAlign w:val="bottom"/>
          </w:tcPr>
          <w:p w14:paraId="68535853" w14:textId="77777777" w:rsidR="00CF01B2" w:rsidRPr="00212064" w:rsidRDefault="00CF01B2" w:rsidP="007E6041">
            <w:pPr>
              <w:spacing w:before="120"/>
              <w:jc w:val="center"/>
              <w:rPr>
                <w:sz w:val="22"/>
                <w:szCs w:val="22"/>
              </w:rPr>
            </w:pPr>
            <w:r w:rsidRPr="00212064">
              <w:rPr>
                <w:color w:val="000000"/>
                <w:sz w:val="22"/>
                <w:szCs w:val="22"/>
              </w:rPr>
              <w:t>1.89</w:t>
            </w:r>
            <w:r w:rsidRPr="00212064">
              <w:rPr>
                <w:color w:val="000000"/>
                <w:sz w:val="22"/>
                <w:szCs w:val="22"/>
              </w:rPr>
              <w:br/>
              <w:t xml:space="preserve"> (1.36-2.62)</w:t>
            </w:r>
          </w:p>
        </w:tc>
        <w:tc>
          <w:tcPr>
            <w:tcW w:w="1315" w:type="dxa"/>
            <w:vAlign w:val="bottom"/>
          </w:tcPr>
          <w:p w14:paraId="60705F5D" w14:textId="0FE2A3F1" w:rsidR="00CF01B2" w:rsidRPr="00212064" w:rsidRDefault="00695ACA" w:rsidP="007E6041">
            <w:pPr>
              <w:spacing w:before="120"/>
              <w:jc w:val="center"/>
              <w:rPr>
                <w:sz w:val="22"/>
                <w:szCs w:val="22"/>
              </w:rPr>
            </w:pPr>
            <w:r>
              <w:rPr>
                <w:color w:val="000000"/>
                <w:sz w:val="22"/>
                <w:szCs w:val="22"/>
              </w:rPr>
              <w:t xml:space="preserve">1.63 </w:t>
            </w:r>
            <w:r>
              <w:rPr>
                <w:color w:val="000000"/>
                <w:sz w:val="22"/>
                <w:szCs w:val="22"/>
              </w:rPr>
              <w:br/>
              <w:t>(1.12-2.38</w:t>
            </w:r>
            <w:r w:rsidR="00CF01B2" w:rsidRPr="00212064">
              <w:rPr>
                <w:color w:val="000000"/>
                <w:sz w:val="22"/>
                <w:szCs w:val="22"/>
              </w:rPr>
              <w:t>)</w:t>
            </w:r>
          </w:p>
        </w:tc>
        <w:tc>
          <w:tcPr>
            <w:tcW w:w="681" w:type="dxa"/>
            <w:vAlign w:val="bottom"/>
          </w:tcPr>
          <w:p w14:paraId="52074C40" w14:textId="77777777" w:rsidR="00CF01B2" w:rsidRPr="00212064" w:rsidRDefault="00CF01B2" w:rsidP="007E6041">
            <w:pPr>
              <w:spacing w:before="120"/>
              <w:jc w:val="center"/>
              <w:rPr>
                <w:sz w:val="22"/>
                <w:szCs w:val="22"/>
              </w:rPr>
            </w:pPr>
            <w:r w:rsidRPr="00212064">
              <w:rPr>
                <w:iCs/>
                <w:color w:val="000000"/>
                <w:sz w:val="22"/>
                <w:szCs w:val="22"/>
              </w:rPr>
              <w:t>36.2</w:t>
            </w:r>
          </w:p>
        </w:tc>
        <w:tc>
          <w:tcPr>
            <w:tcW w:w="1416" w:type="dxa"/>
            <w:vAlign w:val="bottom"/>
          </w:tcPr>
          <w:p w14:paraId="7D050871" w14:textId="77777777" w:rsidR="00CF01B2" w:rsidRPr="00212064" w:rsidRDefault="00CF01B2" w:rsidP="007E6041">
            <w:pPr>
              <w:spacing w:before="120"/>
              <w:jc w:val="center"/>
              <w:rPr>
                <w:sz w:val="22"/>
                <w:szCs w:val="22"/>
              </w:rPr>
            </w:pPr>
            <w:r w:rsidRPr="00212064">
              <w:rPr>
                <w:color w:val="000000"/>
                <w:sz w:val="22"/>
                <w:szCs w:val="22"/>
              </w:rPr>
              <w:t xml:space="preserve">1.67 </w:t>
            </w:r>
            <w:r w:rsidRPr="00212064">
              <w:rPr>
                <w:color w:val="000000"/>
                <w:sz w:val="22"/>
                <w:szCs w:val="22"/>
              </w:rPr>
              <w:br/>
              <w:t>(1.18-2.36)</w:t>
            </w:r>
          </w:p>
        </w:tc>
        <w:tc>
          <w:tcPr>
            <w:tcW w:w="1315" w:type="dxa"/>
            <w:vAlign w:val="bottom"/>
          </w:tcPr>
          <w:p w14:paraId="4521C50C" w14:textId="04F76AC2" w:rsidR="00CF01B2" w:rsidRPr="00212064" w:rsidRDefault="00337F83" w:rsidP="00337F83">
            <w:pPr>
              <w:spacing w:before="120"/>
              <w:jc w:val="center"/>
              <w:rPr>
                <w:sz w:val="22"/>
                <w:szCs w:val="22"/>
              </w:rPr>
            </w:pPr>
            <w:r>
              <w:rPr>
                <w:color w:val="000000"/>
                <w:sz w:val="22"/>
                <w:szCs w:val="22"/>
              </w:rPr>
              <w:t>1.34</w:t>
            </w:r>
            <w:r w:rsidR="00695ACA">
              <w:rPr>
                <w:color w:val="000000"/>
                <w:sz w:val="22"/>
                <w:szCs w:val="22"/>
              </w:rPr>
              <w:br/>
              <w:t xml:space="preserve"> (0.8</w:t>
            </w:r>
            <w:r>
              <w:rPr>
                <w:color w:val="000000"/>
                <w:sz w:val="22"/>
                <w:szCs w:val="22"/>
              </w:rPr>
              <w:t>9</w:t>
            </w:r>
            <w:r w:rsidR="00695ACA">
              <w:rPr>
                <w:color w:val="000000"/>
                <w:sz w:val="22"/>
                <w:szCs w:val="22"/>
              </w:rPr>
              <w:t>-</w:t>
            </w:r>
            <w:r>
              <w:rPr>
                <w:color w:val="000000"/>
                <w:sz w:val="22"/>
                <w:szCs w:val="22"/>
              </w:rPr>
              <w:t>2.01</w:t>
            </w:r>
            <w:r w:rsidR="00CF01B2" w:rsidRPr="00212064">
              <w:rPr>
                <w:color w:val="000000"/>
                <w:sz w:val="22"/>
                <w:szCs w:val="22"/>
              </w:rPr>
              <w:t>)</w:t>
            </w:r>
          </w:p>
        </w:tc>
      </w:tr>
      <w:tr w:rsidR="00CF01B2" w:rsidRPr="00212064" w14:paraId="36C9399D" w14:textId="77777777" w:rsidTr="007E6041">
        <w:trPr>
          <w:trHeight w:val="701"/>
        </w:trPr>
        <w:tc>
          <w:tcPr>
            <w:tcW w:w="1411" w:type="dxa"/>
            <w:tcBorders>
              <w:bottom w:val="single" w:sz="6" w:space="0" w:color="auto"/>
            </w:tcBorders>
            <w:vAlign w:val="bottom"/>
          </w:tcPr>
          <w:p w14:paraId="4AFA087A" w14:textId="77777777" w:rsidR="00CF01B2" w:rsidRPr="00212064" w:rsidRDefault="00CF01B2" w:rsidP="007E6041">
            <w:pPr>
              <w:spacing w:before="120"/>
              <w:rPr>
                <w:sz w:val="22"/>
                <w:szCs w:val="22"/>
              </w:rPr>
            </w:pPr>
            <w:r w:rsidRPr="00212064">
              <w:rPr>
                <w:sz w:val="22"/>
                <w:szCs w:val="22"/>
              </w:rPr>
              <w:t>Nicaragua</w:t>
            </w:r>
            <w:r>
              <w:rPr>
                <w:sz w:val="22"/>
                <w:szCs w:val="22"/>
              </w:rPr>
              <w:br/>
              <w:t xml:space="preserve">    </w:t>
            </w:r>
            <w:r w:rsidRPr="00212064">
              <w:rPr>
                <w:sz w:val="22"/>
                <w:szCs w:val="22"/>
              </w:rPr>
              <w:t>(n=285)</w:t>
            </w:r>
          </w:p>
        </w:tc>
        <w:tc>
          <w:tcPr>
            <w:tcW w:w="630" w:type="dxa"/>
            <w:tcBorders>
              <w:bottom w:val="single" w:sz="6" w:space="0" w:color="auto"/>
            </w:tcBorders>
            <w:vAlign w:val="bottom"/>
          </w:tcPr>
          <w:p w14:paraId="75241698" w14:textId="77777777" w:rsidR="00CF01B2" w:rsidRPr="00212064" w:rsidRDefault="00CF01B2" w:rsidP="007E6041">
            <w:pPr>
              <w:spacing w:before="120"/>
              <w:jc w:val="center"/>
              <w:rPr>
                <w:sz w:val="22"/>
                <w:szCs w:val="22"/>
              </w:rPr>
            </w:pPr>
            <w:r w:rsidRPr="00212064">
              <w:rPr>
                <w:sz w:val="22"/>
                <w:szCs w:val="22"/>
              </w:rPr>
              <w:t>68.8</w:t>
            </w:r>
          </w:p>
        </w:tc>
        <w:tc>
          <w:tcPr>
            <w:tcW w:w="1223" w:type="dxa"/>
            <w:tcBorders>
              <w:bottom w:val="single" w:sz="6" w:space="0" w:color="auto"/>
            </w:tcBorders>
            <w:vAlign w:val="bottom"/>
          </w:tcPr>
          <w:p w14:paraId="0483C31A" w14:textId="77777777" w:rsidR="00CF01B2" w:rsidRPr="00212064" w:rsidRDefault="00CF01B2" w:rsidP="007E6041">
            <w:pPr>
              <w:spacing w:before="120"/>
              <w:jc w:val="center"/>
              <w:rPr>
                <w:color w:val="000000"/>
                <w:sz w:val="22"/>
                <w:szCs w:val="22"/>
              </w:rPr>
            </w:pPr>
            <w:r w:rsidRPr="00212064">
              <w:rPr>
                <w:color w:val="000000"/>
                <w:sz w:val="22"/>
                <w:szCs w:val="22"/>
              </w:rPr>
              <w:t xml:space="preserve">2.14 </w:t>
            </w:r>
            <w:r w:rsidRPr="00212064">
              <w:rPr>
                <w:color w:val="000000"/>
                <w:sz w:val="22"/>
                <w:szCs w:val="22"/>
              </w:rPr>
              <w:br/>
              <w:t>(1.57-2.93)</w:t>
            </w:r>
          </w:p>
        </w:tc>
        <w:tc>
          <w:tcPr>
            <w:tcW w:w="1280" w:type="dxa"/>
            <w:tcBorders>
              <w:bottom w:val="single" w:sz="6" w:space="0" w:color="auto"/>
            </w:tcBorders>
            <w:vAlign w:val="bottom"/>
          </w:tcPr>
          <w:p w14:paraId="4DE075EA" w14:textId="6CB79876" w:rsidR="00CF01B2" w:rsidRPr="00212064" w:rsidRDefault="00337F83" w:rsidP="00337F83">
            <w:pPr>
              <w:spacing w:before="120"/>
              <w:jc w:val="center"/>
              <w:rPr>
                <w:color w:val="000000"/>
                <w:sz w:val="22"/>
                <w:szCs w:val="22"/>
              </w:rPr>
            </w:pPr>
            <w:r>
              <w:rPr>
                <w:color w:val="000000"/>
                <w:sz w:val="22"/>
                <w:szCs w:val="22"/>
              </w:rPr>
              <w:t>1.78</w:t>
            </w:r>
            <w:r w:rsidR="0043408E">
              <w:rPr>
                <w:color w:val="000000"/>
                <w:sz w:val="22"/>
                <w:szCs w:val="22"/>
              </w:rPr>
              <w:br/>
              <w:t>(1.2</w:t>
            </w:r>
            <w:r>
              <w:rPr>
                <w:color w:val="000000"/>
                <w:sz w:val="22"/>
                <w:szCs w:val="22"/>
              </w:rPr>
              <w:t>4</w:t>
            </w:r>
            <w:r w:rsidR="0043408E">
              <w:rPr>
                <w:color w:val="000000"/>
                <w:sz w:val="22"/>
                <w:szCs w:val="22"/>
              </w:rPr>
              <w:t>-2.5</w:t>
            </w:r>
            <w:r>
              <w:rPr>
                <w:color w:val="000000"/>
                <w:sz w:val="22"/>
                <w:szCs w:val="22"/>
              </w:rPr>
              <w:t>7</w:t>
            </w:r>
            <w:r w:rsidR="00CF01B2" w:rsidRPr="00212064">
              <w:rPr>
                <w:color w:val="000000"/>
                <w:sz w:val="22"/>
                <w:szCs w:val="22"/>
              </w:rPr>
              <w:t>)</w:t>
            </w:r>
          </w:p>
        </w:tc>
        <w:tc>
          <w:tcPr>
            <w:tcW w:w="700" w:type="dxa"/>
            <w:tcBorders>
              <w:bottom w:val="single" w:sz="6" w:space="0" w:color="auto"/>
            </w:tcBorders>
            <w:vAlign w:val="bottom"/>
          </w:tcPr>
          <w:p w14:paraId="37187810" w14:textId="77777777" w:rsidR="00CF01B2" w:rsidRPr="00212064" w:rsidRDefault="00CF01B2" w:rsidP="007E6041">
            <w:pPr>
              <w:spacing w:before="120"/>
              <w:jc w:val="center"/>
              <w:rPr>
                <w:sz w:val="22"/>
                <w:szCs w:val="22"/>
              </w:rPr>
            </w:pPr>
            <w:r w:rsidRPr="00212064">
              <w:rPr>
                <w:sz w:val="22"/>
                <w:szCs w:val="22"/>
              </w:rPr>
              <w:t>51.9</w:t>
            </w:r>
          </w:p>
        </w:tc>
        <w:tc>
          <w:tcPr>
            <w:tcW w:w="1334" w:type="dxa"/>
            <w:tcBorders>
              <w:bottom w:val="single" w:sz="6" w:space="0" w:color="auto"/>
            </w:tcBorders>
            <w:vAlign w:val="bottom"/>
          </w:tcPr>
          <w:p w14:paraId="40C2C06D" w14:textId="77777777" w:rsidR="00CF01B2" w:rsidRPr="00212064" w:rsidRDefault="00CF01B2" w:rsidP="007E6041">
            <w:pPr>
              <w:spacing w:before="120"/>
              <w:jc w:val="center"/>
              <w:rPr>
                <w:sz w:val="22"/>
                <w:szCs w:val="22"/>
              </w:rPr>
            </w:pPr>
            <w:r w:rsidRPr="00212064">
              <w:rPr>
                <w:color w:val="000000"/>
                <w:sz w:val="22"/>
                <w:szCs w:val="22"/>
              </w:rPr>
              <w:t xml:space="preserve">1.74 </w:t>
            </w:r>
            <w:r w:rsidRPr="00212064">
              <w:rPr>
                <w:color w:val="000000"/>
                <w:sz w:val="22"/>
                <w:szCs w:val="22"/>
              </w:rPr>
              <w:br/>
              <w:t>(1.28-2.35)</w:t>
            </w:r>
          </w:p>
        </w:tc>
        <w:tc>
          <w:tcPr>
            <w:tcW w:w="1315" w:type="dxa"/>
            <w:tcBorders>
              <w:bottom w:val="single" w:sz="6" w:space="0" w:color="auto"/>
            </w:tcBorders>
            <w:vAlign w:val="bottom"/>
          </w:tcPr>
          <w:p w14:paraId="0A5CDB6F" w14:textId="3A834A0B" w:rsidR="00CF01B2" w:rsidRPr="00212064" w:rsidRDefault="00695ACA" w:rsidP="007E6041">
            <w:pPr>
              <w:spacing w:before="120"/>
              <w:jc w:val="center"/>
              <w:rPr>
                <w:sz w:val="22"/>
                <w:szCs w:val="22"/>
              </w:rPr>
            </w:pPr>
            <w:r>
              <w:rPr>
                <w:color w:val="000000"/>
                <w:sz w:val="22"/>
                <w:szCs w:val="22"/>
              </w:rPr>
              <w:t>1.45</w:t>
            </w:r>
            <w:r>
              <w:rPr>
                <w:color w:val="000000"/>
                <w:sz w:val="22"/>
                <w:szCs w:val="22"/>
              </w:rPr>
              <w:br/>
              <w:t xml:space="preserve"> (1.03-2.03</w:t>
            </w:r>
            <w:r w:rsidR="00CF01B2" w:rsidRPr="00212064">
              <w:rPr>
                <w:color w:val="000000"/>
                <w:sz w:val="22"/>
                <w:szCs w:val="22"/>
              </w:rPr>
              <w:t>)</w:t>
            </w:r>
          </w:p>
        </w:tc>
        <w:tc>
          <w:tcPr>
            <w:tcW w:w="681" w:type="dxa"/>
            <w:tcBorders>
              <w:bottom w:val="single" w:sz="6" w:space="0" w:color="auto"/>
            </w:tcBorders>
            <w:vAlign w:val="bottom"/>
          </w:tcPr>
          <w:p w14:paraId="275AEFE4" w14:textId="77777777" w:rsidR="00CF01B2" w:rsidRPr="00212064" w:rsidRDefault="00CF01B2" w:rsidP="007E6041">
            <w:pPr>
              <w:spacing w:before="120"/>
              <w:jc w:val="center"/>
              <w:rPr>
                <w:sz w:val="22"/>
                <w:szCs w:val="22"/>
              </w:rPr>
            </w:pPr>
            <w:r w:rsidRPr="00212064">
              <w:rPr>
                <w:color w:val="000000"/>
                <w:sz w:val="22"/>
                <w:szCs w:val="22"/>
              </w:rPr>
              <w:t>39.3</w:t>
            </w:r>
          </w:p>
        </w:tc>
        <w:tc>
          <w:tcPr>
            <w:tcW w:w="1416" w:type="dxa"/>
            <w:tcBorders>
              <w:bottom w:val="single" w:sz="6" w:space="0" w:color="auto"/>
            </w:tcBorders>
            <w:vAlign w:val="bottom"/>
          </w:tcPr>
          <w:p w14:paraId="66B1CB01" w14:textId="7C03D772" w:rsidR="00CF01B2" w:rsidRPr="00212064" w:rsidRDefault="00CF01B2" w:rsidP="006D48D0">
            <w:pPr>
              <w:spacing w:before="120"/>
              <w:jc w:val="center"/>
              <w:rPr>
                <w:sz w:val="22"/>
                <w:szCs w:val="22"/>
              </w:rPr>
            </w:pPr>
            <w:r w:rsidRPr="00212064">
              <w:rPr>
                <w:color w:val="000000"/>
                <w:sz w:val="22"/>
                <w:szCs w:val="22"/>
              </w:rPr>
              <w:t>1.91</w:t>
            </w:r>
            <w:r w:rsidRPr="00212064">
              <w:rPr>
                <w:color w:val="000000"/>
                <w:sz w:val="22"/>
                <w:szCs w:val="22"/>
              </w:rPr>
              <w:br/>
              <w:t>(1.38-2.63)</w:t>
            </w:r>
          </w:p>
        </w:tc>
        <w:tc>
          <w:tcPr>
            <w:tcW w:w="1315" w:type="dxa"/>
            <w:tcBorders>
              <w:bottom w:val="single" w:sz="6" w:space="0" w:color="auto"/>
            </w:tcBorders>
            <w:vAlign w:val="bottom"/>
          </w:tcPr>
          <w:p w14:paraId="4DC5C2A6" w14:textId="0F2F62A7" w:rsidR="00CF01B2" w:rsidRPr="00212064" w:rsidRDefault="00695ACA" w:rsidP="00D94C14">
            <w:pPr>
              <w:spacing w:before="120"/>
              <w:jc w:val="center"/>
              <w:rPr>
                <w:sz w:val="22"/>
                <w:szCs w:val="22"/>
              </w:rPr>
            </w:pPr>
            <w:r>
              <w:rPr>
                <w:color w:val="000000"/>
                <w:sz w:val="22"/>
                <w:szCs w:val="22"/>
              </w:rPr>
              <w:t>1.</w:t>
            </w:r>
            <w:r w:rsidR="00337F83">
              <w:rPr>
                <w:color w:val="000000"/>
                <w:sz w:val="22"/>
                <w:szCs w:val="22"/>
              </w:rPr>
              <w:t>4</w:t>
            </w:r>
            <w:r>
              <w:rPr>
                <w:color w:val="000000"/>
                <w:sz w:val="22"/>
                <w:szCs w:val="22"/>
              </w:rPr>
              <w:t>0</w:t>
            </w:r>
            <w:r>
              <w:rPr>
                <w:color w:val="000000"/>
                <w:sz w:val="22"/>
                <w:szCs w:val="22"/>
              </w:rPr>
              <w:br/>
              <w:t xml:space="preserve"> (0.</w:t>
            </w:r>
            <w:r w:rsidR="00337F83">
              <w:rPr>
                <w:color w:val="000000"/>
                <w:sz w:val="22"/>
                <w:szCs w:val="22"/>
              </w:rPr>
              <w:t>97</w:t>
            </w:r>
            <w:r>
              <w:rPr>
                <w:color w:val="000000"/>
                <w:sz w:val="22"/>
                <w:szCs w:val="22"/>
              </w:rPr>
              <w:t>-</w:t>
            </w:r>
            <w:r w:rsidR="00337F83">
              <w:rPr>
                <w:color w:val="000000"/>
                <w:sz w:val="22"/>
                <w:szCs w:val="22"/>
              </w:rPr>
              <w:t>2.0</w:t>
            </w:r>
            <w:r w:rsidR="00D94C14">
              <w:rPr>
                <w:color w:val="000000"/>
                <w:sz w:val="22"/>
                <w:szCs w:val="22"/>
              </w:rPr>
              <w:t>1</w:t>
            </w:r>
            <w:r w:rsidR="00CF01B2" w:rsidRPr="00212064">
              <w:rPr>
                <w:color w:val="000000"/>
                <w:sz w:val="22"/>
                <w:szCs w:val="22"/>
              </w:rPr>
              <w:t>)</w:t>
            </w:r>
          </w:p>
        </w:tc>
      </w:tr>
    </w:tbl>
    <w:p w14:paraId="60B417AC" w14:textId="1446A497" w:rsidR="00CF01B2" w:rsidRPr="00212064" w:rsidRDefault="00CF01B2" w:rsidP="00CF01B2">
      <w:pPr>
        <w:spacing w:before="60"/>
        <w:ind w:left="734" w:right="1170" w:hanging="187"/>
        <w:rPr>
          <w:color w:val="000000"/>
          <w:sz w:val="20"/>
          <w:szCs w:val="20"/>
        </w:rPr>
      </w:pPr>
      <w:r w:rsidRPr="00212064">
        <w:rPr>
          <w:color w:val="000000"/>
          <w:sz w:val="20"/>
          <w:szCs w:val="20"/>
          <w:vertAlign w:val="superscript"/>
        </w:rPr>
        <w:t>a</w:t>
      </w:r>
      <w:r w:rsidRPr="00212064">
        <w:rPr>
          <w:color w:val="000000"/>
          <w:sz w:val="20"/>
          <w:szCs w:val="20"/>
        </w:rPr>
        <w:t xml:space="preserve"> Adjusted for sex, age, pain-commonly caused by people’s work, physical activity is harmful, awareness-someone outside work with pain, somatizing</w:t>
      </w:r>
      <w:r w:rsidR="00D106E7" w:rsidRPr="00B85136">
        <w:rPr>
          <w:color w:val="000000" w:themeColor="text1"/>
          <w:sz w:val="20"/>
          <w:szCs w:val="20"/>
        </w:rPr>
        <w:t xml:space="preserve"> tendency</w:t>
      </w:r>
      <w:r w:rsidRPr="00212064">
        <w:rPr>
          <w:color w:val="000000"/>
          <w:sz w:val="20"/>
          <w:szCs w:val="20"/>
        </w:rPr>
        <w:t>, time pressure</w:t>
      </w:r>
      <w:r>
        <w:rPr>
          <w:color w:val="000000"/>
          <w:sz w:val="20"/>
          <w:szCs w:val="20"/>
        </w:rPr>
        <w:t>,</w:t>
      </w:r>
      <w:r w:rsidRPr="00212064">
        <w:rPr>
          <w:color w:val="000000"/>
          <w:sz w:val="20"/>
          <w:szCs w:val="20"/>
        </w:rPr>
        <w:t xml:space="preserve"> lack of support.</w:t>
      </w:r>
    </w:p>
    <w:p w14:paraId="77FD00F1" w14:textId="77777777" w:rsidR="00CF01B2" w:rsidRPr="00212064" w:rsidRDefault="00CF01B2" w:rsidP="00CF01B2">
      <w:pPr>
        <w:ind w:left="720" w:right="1170" w:hanging="180"/>
        <w:rPr>
          <w:color w:val="000000"/>
          <w:sz w:val="20"/>
          <w:szCs w:val="20"/>
          <w:u w:val="single"/>
        </w:rPr>
      </w:pPr>
      <w:r w:rsidRPr="00212064">
        <w:rPr>
          <w:color w:val="000000"/>
          <w:sz w:val="20"/>
          <w:szCs w:val="20"/>
          <w:vertAlign w:val="superscript"/>
        </w:rPr>
        <w:t>b</w:t>
      </w:r>
      <w:r w:rsidRPr="00212064">
        <w:rPr>
          <w:color w:val="000000"/>
          <w:sz w:val="20"/>
          <w:szCs w:val="20"/>
        </w:rPr>
        <w:t xml:space="preserve"> Adjusted for sex, age, pain-commonly caused by people’s work, prognosis, awareness-someone outside work with pain, somatizing</w:t>
      </w:r>
      <w:r w:rsidR="00D106E7" w:rsidRPr="00B85136">
        <w:rPr>
          <w:color w:val="000000" w:themeColor="text1"/>
          <w:sz w:val="20"/>
          <w:szCs w:val="20"/>
        </w:rPr>
        <w:t xml:space="preserve"> tendency</w:t>
      </w:r>
      <w:r w:rsidRPr="00212064">
        <w:rPr>
          <w:color w:val="000000"/>
          <w:sz w:val="20"/>
          <w:szCs w:val="20"/>
        </w:rPr>
        <w:t>, time pressure.</w:t>
      </w:r>
    </w:p>
    <w:p w14:paraId="401A0720" w14:textId="3926CB63" w:rsidR="00CF01B2" w:rsidRPr="00212064" w:rsidRDefault="00CF01B2" w:rsidP="00CF01B2">
      <w:pPr>
        <w:ind w:left="720" w:right="1170" w:hanging="180"/>
        <w:rPr>
          <w:color w:val="000000"/>
          <w:sz w:val="20"/>
          <w:szCs w:val="20"/>
        </w:rPr>
      </w:pPr>
      <w:r w:rsidRPr="00212064">
        <w:rPr>
          <w:color w:val="000000"/>
          <w:sz w:val="20"/>
          <w:szCs w:val="20"/>
          <w:vertAlign w:val="superscript"/>
        </w:rPr>
        <w:t>c</w:t>
      </w:r>
      <w:r w:rsidRPr="00212064">
        <w:rPr>
          <w:color w:val="000000"/>
          <w:sz w:val="20"/>
          <w:szCs w:val="20"/>
        </w:rPr>
        <w:t xml:space="preserve"> Adjusted for sex, age, pain-commonly caus</w:t>
      </w:r>
      <w:r>
        <w:rPr>
          <w:color w:val="000000"/>
          <w:sz w:val="20"/>
          <w:szCs w:val="20"/>
        </w:rPr>
        <w:t xml:space="preserve">ed by people’s work, prognosis, </w:t>
      </w:r>
      <w:r w:rsidRPr="00212064">
        <w:rPr>
          <w:color w:val="000000"/>
          <w:sz w:val="20"/>
          <w:szCs w:val="20"/>
        </w:rPr>
        <w:t>awareness-someone outside work with pain, somatizing</w:t>
      </w:r>
      <w:r w:rsidR="00EC6323" w:rsidRPr="00B85136">
        <w:rPr>
          <w:color w:val="000000" w:themeColor="text1"/>
          <w:sz w:val="20"/>
          <w:szCs w:val="20"/>
        </w:rPr>
        <w:t xml:space="preserve"> tendency</w:t>
      </w:r>
      <w:r w:rsidRPr="00212064">
        <w:rPr>
          <w:color w:val="000000"/>
          <w:sz w:val="20"/>
          <w:szCs w:val="20"/>
        </w:rPr>
        <w:t>, mental health, time pressure.</w:t>
      </w:r>
    </w:p>
    <w:p w14:paraId="41902DEB" w14:textId="77777777" w:rsidR="00CF01B2" w:rsidRPr="00673468" w:rsidRDefault="00CF01B2" w:rsidP="00CF01B2">
      <w:pPr>
        <w:rPr>
          <w:b/>
        </w:rPr>
      </w:pPr>
    </w:p>
    <w:p w14:paraId="533E5B4C" w14:textId="77777777" w:rsidR="00CF01B2" w:rsidRDefault="00CF01B2" w:rsidP="00CF01B2">
      <w:pPr>
        <w:spacing w:after="200" w:line="276" w:lineRule="auto"/>
        <w:rPr>
          <w:b/>
        </w:rPr>
      </w:pPr>
      <w:r>
        <w:rPr>
          <w:b/>
        </w:rPr>
        <w:br w:type="page"/>
      </w:r>
    </w:p>
    <w:p w14:paraId="1A416507" w14:textId="77777777" w:rsidR="00CF01B2" w:rsidRPr="00D110C0" w:rsidRDefault="00CF01B2" w:rsidP="00CF01B2">
      <w:pPr>
        <w:pStyle w:val="TableTitle"/>
      </w:pPr>
    </w:p>
    <w:p w14:paraId="1FD7D21D" w14:textId="77777777" w:rsidR="00416AF1" w:rsidRPr="00B85136" w:rsidRDefault="00416AF1" w:rsidP="00416AF1">
      <w:pPr>
        <w:keepNext/>
        <w:tabs>
          <w:tab w:val="left" w:pos="1080"/>
        </w:tabs>
        <w:ind w:left="540"/>
        <w:jc w:val="both"/>
        <w:rPr>
          <w:rFonts w:eastAsiaTheme="minorEastAsia"/>
          <w:color w:val="000000" w:themeColor="text1"/>
          <w:szCs w:val="22"/>
        </w:rPr>
      </w:pPr>
      <w:bookmarkStart w:id="5" w:name="_Toc395535322"/>
      <w:r w:rsidRPr="00B85136">
        <w:rPr>
          <w:rFonts w:eastAsiaTheme="minorEastAsia"/>
          <w:b/>
          <w:color w:val="000000" w:themeColor="text1"/>
          <w:szCs w:val="22"/>
        </w:rPr>
        <w:t>Table 3.</w:t>
      </w:r>
      <w:r w:rsidRPr="00B85136">
        <w:rPr>
          <w:rFonts w:eastAsiaTheme="minorEastAsia"/>
          <w:color w:val="000000" w:themeColor="text1"/>
          <w:szCs w:val="22"/>
        </w:rPr>
        <w:t xml:space="preserve"> Incidence and persistence of upper extremity pain by country at follow-up.</w:t>
      </w:r>
    </w:p>
    <w:bookmarkEnd w:id="5"/>
    <w:tbl>
      <w:tblPr>
        <w:tblStyle w:val="TableGrid"/>
        <w:tblW w:w="1143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30"/>
        <w:gridCol w:w="1223"/>
        <w:gridCol w:w="1280"/>
        <w:gridCol w:w="700"/>
        <w:gridCol w:w="1334"/>
        <w:gridCol w:w="1315"/>
        <w:gridCol w:w="681"/>
        <w:gridCol w:w="1416"/>
        <w:gridCol w:w="1440"/>
      </w:tblGrid>
      <w:tr w:rsidR="00CF01B2" w:rsidRPr="00212064" w14:paraId="66BEE882" w14:textId="77777777" w:rsidTr="00337F83">
        <w:trPr>
          <w:trHeight w:val="386"/>
        </w:trPr>
        <w:tc>
          <w:tcPr>
            <w:tcW w:w="1411" w:type="dxa"/>
            <w:tcBorders>
              <w:top w:val="single" w:sz="6" w:space="0" w:color="auto"/>
            </w:tcBorders>
            <w:vAlign w:val="bottom"/>
          </w:tcPr>
          <w:p w14:paraId="7DBD545A" w14:textId="77777777" w:rsidR="00CF01B2" w:rsidRPr="00212064" w:rsidRDefault="00CF01B2" w:rsidP="007E6041">
            <w:pPr>
              <w:rPr>
                <w:sz w:val="22"/>
                <w:szCs w:val="22"/>
              </w:rPr>
            </w:pPr>
          </w:p>
        </w:tc>
        <w:tc>
          <w:tcPr>
            <w:tcW w:w="3133" w:type="dxa"/>
            <w:gridSpan w:val="3"/>
            <w:tcBorders>
              <w:top w:val="single" w:sz="6" w:space="0" w:color="auto"/>
              <w:bottom w:val="single" w:sz="6" w:space="0" w:color="auto"/>
            </w:tcBorders>
            <w:vAlign w:val="bottom"/>
          </w:tcPr>
          <w:p w14:paraId="35A45C28" w14:textId="2BA7BD47" w:rsidR="00416AF1" w:rsidRPr="00B85136" w:rsidRDefault="00CF01B2" w:rsidP="00416AF1">
            <w:pPr>
              <w:jc w:val="center"/>
              <w:rPr>
                <w:rFonts w:eastAsiaTheme="minorHAnsi"/>
                <w:b/>
                <w:color w:val="000000" w:themeColor="text1"/>
                <w:sz w:val="22"/>
                <w:szCs w:val="22"/>
              </w:rPr>
            </w:pPr>
            <w:r w:rsidRPr="00212064">
              <w:rPr>
                <w:b/>
                <w:sz w:val="22"/>
                <w:szCs w:val="22"/>
              </w:rPr>
              <w:t>Incidence of pain</w:t>
            </w:r>
            <w:r w:rsidR="00416AF1" w:rsidRPr="00B85136">
              <w:rPr>
                <w:rFonts w:eastAsiaTheme="minorHAnsi"/>
                <w:b/>
                <w:color w:val="000000" w:themeColor="text1"/>
                <w:sz w:val="22"/>
                <w:szCs w:val="22"/>
              </w:rPr>
              <w:t xml:space="preserve"> in past month</w:t>
            </w:r>
          </w:p>
          <w:p w14:paraId="6359EE9D" w14:textId="52F5E3C8" w:rsidR="00CF01B2" w:rsidRPr="00212064" w:rsidRDefault="00416AF1">
            <w:pPr>
              <w:jc w:val="center"/>
              <w:rPr>
                <w:b/>
                <w:sz w:val="22"/>
                <w:szCs w:val="22"/>
              </w:rPr>
            </w:pPr>
            <w:r w:rsidRPr="00B85136">
              <w:rPr>
                <w:rFonts w:eastAsiaTheme="minorHAnsi"/>
                <w:color w:val="000000" w:themeColor="text1"/>
                <w:sz w:val="22"/>
                <w:szCs w:val="22"/>
                <w:lang w:val="en-GB"/>
              </w:rPr>
              <w:t>[in participants who did not have upper extremity pain at baseline]</w:t>
            </w:r>
          </w:p>
        </w:tc>
        <w:tc>
          <w:tcPr>
            <w:tcW w:w="3349" w:type="dxa"/>
            <w:gridSpan w:val="3"/>
            <w:tcBorders>
              <w:top w:val="single" w:sz="6" w:space="0" w:color="auto"/>
              <w:bottom w:val="single" w:sz="6" w:space="0" w:color="auto"/>
            </w:tcBorders>
            <w:vAlign w:val="bottom"/>
          </w:tcPr>
          <w:p w14:paraId="55273743" w14:textId="77777777" w:rsidR="00416AF1" w:rsidRPr="00B85136" w:rsidRDefault="00CF01B2" w:rsidP="00416AF1">
            <w:pPr>
              <w:jc w:val="center"/>
              <w:rPr>
                <w:rFonts w:eastAsiaTheme="minorHAnsi"/>
                <w:b/>
                <w:bCs/>
                <w:color w:val="000000" w:themeColor="text1"/>
                <w:sz w:val="22"/>
                <w:szCs w:val="22"/>
              </w:rPr>
            </w:pPr>
            <w:r w:rsidRPr="00212064">
              <w:rPr>
                <w:b/>
                <w:bCs/>
                <w:color w:val="000000"/>
                <w:sz w:val="22"/>
                <w:szCs w:val="22"/>
              </w:rPr>
              <w:t>Incidence of disabling pain</w:t>
            </w:r>
          </w:p>
          <w:p w14:paraId="0C23E8DC" w14:textId="77777777" w:rsidR="00CF01B2" w:rsidRPr="00212064" w:rsidRDefault="00416AF1" w:rsidP="007E6041">
            <w:pPr>
              <w:jc w:val="center"/>
              <w:rPr>
                <w:b/>
                <w:sz w:val="22"/>
                <w:szCs w:val="22"/>
              </w:rPr>
            </w:pPr>
            <w:r w:rsidRPr="00B85136">
              <w:rPr>
                <w:rFonts w:eastAsiaTheme="minorHAnsi"/>
                <w:color w:val="000000" w:themeColor="text1"/>
                <w:sz w:val="22"/>
                <w:szCs w:val="22"/>
                <w:lang w:val="en-GB"/>
              </w:rPr>
              <w:t>[in participants who did not have upper extremity pain at baseline]</w:t>
            </w:r>
          </w:p>
        </w:tc>
        <w:tc>
          <w:tcPr>
            <w:tcW w:w="3537" w:type="dxa"/>
            <w:gridSpan w:val="3"/>
            <w:tcBorders>
              <w:top w:val="single" w:sz="6" w:space="0" w:color="auto"/>
              <w:bottom w:val="single" w:sz="6" w:space="0" w:color="auto"/>
            </w:tcBorders>
            <w:vAlign w:val="bottom"/>
          </w:tcPr>
          <w:p w14:paraId="33819847" w14:textId="77777777" w:rsidR="00416AF1" w:rsidRPr="00B85136" w:rsidRDefault="00CF01B2" w:rsidP="00416AF1">
            <w:pPr>
              <w:jc w:val="center"/>
              <w:rPr>
                <w:rFonts w:eastAsiaTheme="minorHAnsi"/>
                <w:color w:val="000000" w:themeColor="text1"/>
                <w:sz w:val="22"/>
                <w:szCs w:val="22"/>
                <w:lang w:val="en-GB"/>
              </w:rPr>
            </w:pPr>
            <w:r w:rsidRPr="00212064">
              <w:rPr>
                <w:b/>
                <w:bCs/>
                <w:color w:val="000000"/>
                <w:sz w:val="22"/>
                <w:szCs w:val="22"/>
              </w:rPr>
              <w:t>Persistence of pain</w:t>
            </w:r>
            <w:r w:rsidR="00416AF1" w:rsidRPr="00B85136">
              <w:rPr>
                <w:rFonts w:eastAsiaTheme="minorHAnsi"/>
                <w:color w:val="000000" w:themeColor="text1"/>
                <w:sz w:val="22"/>
                <w:szCs w:val="22"/>
                <w:lang w:val="en-GB"/>
              </w:rPr>
              <w:t xml:space="preserve"> </w:t>
            </w:r>
          </w:p>
          <w:p w14:paraId="58A90202" w14:textId="77777777" w:rsidR="00CF01B2" w:rsidRPr="00212064" w:rsidRDefault="00416AF1" w:rsidP="007E6041">
            <w:pPr>
              <w:jc w:val="center"/>
              <w:rPr>
                <w:b/>
                <w:sz w:val="22"/>
                <w:szCs w:val="22"/>
              </w:rPr>
            </w:pPr>
            <w:r w:rsidRPr="00B85136">
              <w:rPr>
                <w:rFonts w:eastAsiaTheme="minorHAnsi"/>
                <w:color w:val="000000" w:themeColor="text1"/>
                <w:sz w:val="22"/>
                <w:szCs w:val="22"/>
                <w:lang w:val="en-GB"/>
              </w:rPr>
              <w:t>[in participants who had upper extremity pain the past month at baseline]</w:t>
            </w:r>
          </w:p>
        </w:tc>
      </w:tr>
      <w:tr w:rsidR="00CF01B2" w:rsidRPr="00212064" w14:paraId="3B3F00B5" w14:textId="77777777" w:rsidTr="00337F83">
        <w:tc>
          <w:tcPr>
            <w:tcW w:w="1411" w:type="dxa"/>
            <w:vAlign w:val="bottom"/>
          </w:tcPr>
          <w:p w14:paraId="44EA9EA4" w14:textId="77777777" w:rsidR="00CF01B2" w:rsidRPr="00212064" w:rsidRDefault="00CF01B2" w:rsidP="007E6041">
            <w:pPr>
              <w:rPr>
                <w:sz w:val="22"/>
                <w:szCs w:val="22"/>
              </w:rPr>
            </w:pPr>
          </w:p>
        </w:tc>
        <w:tc>
          <w:tcPr>
            <w:tcW w:w="630" w:type="dxa"/>
            <w:tcBorders>
              <w:top w:val="single" w:sz="6" w:space="0" w:color="auto"/>
              <w:bottom w:val="single" w:sz="4" w:space="0" w:color="auto"/>
            </w:tcBorders>
            <w:vAlign w:val="bottom"/>
          </w:tcPr>
          <w:p w14:paraId="77D4C421" w14:textId="77777777" w:rsidR="00CF01B2" w:rsidRPr="00212064" w:rsidRDefault="00CF01B2" w:rsidP="007E6041">
            <w:pPr>
              <w:jc w:val="center"/>
              <w:rPr>
                <w:b/>
                <w:sz w:val="22"/>
                <w:szCs w:val="22"/>
              </w:rPr>
            </w:pPr>
          </w:p>
        </w:tc>
        <w:tc>
          <w:tcPr>
            <w:tcW w:w="2503" w:type="dxa"/>
            <w:gridSpan w:val="2"/>
            <w:tcBorders>
              <w:top w:val="single" w:sz="6" w:space="0" w:color="auto"/>
              <w:bottom w:val="single" w:sz="4" w:space="0" w:color="auto"/>
            </w:tcBorders>
            <w:vAlign w:val="bottom"/>
          </w:tcPr>
          <w:p w14:paraId="38751BED" w14:textId="77777777" w:rsidR="00CF01B2" w:rsidRPr="00212064" w:rsidRDefault="00CF01B2" w:rsidP="007E6041">
            <w:pPr>
              <w:jc w:val="center"/>
              <w:rPr>
                <w:sz w:val="22"/>
                <w:szCs w:val="22"/>
              </w:rPr>
            </w:pPr>
            <w:r w:rsidRPr="00212064">
              <w:rPr>
                <w:b/>
                <w:bCs/>
                <w:color w:val="000000"/>
                <w:sz w:val="22"/>
                <w:szCs w:val="22"/>
              </w:rPr>
              <w:t>OR (95%CI)</w:t>
            </w:r>
          </w:p>
        </w:tc>
        <w:tc>
          <w:tcPr>
            <w:tcW w:w="700" w:type="dxa"/>
            <w:tcBorders>
              <w:top w:val="single" w:sz="6" w:space="0" w:color="auto"/>
              <w:bottom w:val="single" w:sz="4" w:space="0" w:color="auto"/>
            </w:tcBorders>
            <w:vAlign w:val="bottom"/>
          </w:tcPr>
          <w:p w14:paraId="7FBD2956" w14:textId="77777777" w:rsidR="00CF01B2" w:rsidRPr="00212064" w:rsidRDefault="00CF01B2" w:rsidP="007E6041">
            <w:pPr>
              <w:jc w:val="center"/>
              <w:rPr>
                <w:sz w:val="22"/>
                <w:szCs w:val="22"/>
              </w:rPr>
            </w:pPr>
          </w:p>
        </w:tc>
        <w:tc>
          <w:tcPr>
            <w:tcW w:w="2649" w:type="dxa"/>
            <w:gridSpan w:val="2"/>
            <w:tcBorders>
              <w:top w:val="single" w:sz="6" w:space="0" w:color="auto"/>
              <w:bottom w:val="single" w:sz="4" w:space="0" w:color="auto"/>
            </w:tcBorders>
            <w:vAlign w:val="bottom"/>
          </w:tcPr>
          <w:p w14:paraId="16E7CB12" w14:textId="77777777" w:rsidR="00CF01B2" w:rsidRPr="00212064" w:rsidRDefault="00CF01B2" w:rsidP="007E6041">
            <w:pPr>
              <w:jc w:val="center"/>
              <w:rPr>
                <w:sz w:val="22"/>
                <w:szCs w:val="22"/>
              </w:rPr>
            </w:pPr>
            <w:r w:rsidRPr="00212064">
              <w:rPr>
                <w:b/>
                <w:bCs/>
                <w:color w:val="000000"/>
                <w:sz w:val="22"/>
                <w:szCs w:val="22"/>
              </w:rPr>
              <w:t>OR (95%CI)</w:t>
            </w:r>
          </w:p>
        </w:tc>
        <w:tc>
          <w:tcPr>
            <w:tcW w:w="681" w:type="dxa"/>
            <w:tcBorders>
              <w:top w:val="single" w:sz="6" w:space="0" w:color="auto"/>
              <w:bottom w:val="single" w:sz="4" w:space="0" w:color="auto"/>
            </w:tcBorders>
            <w:vAlign w:val="bottom"/>
          </w:tcPr>
          <w:p w14:paraId="55662AB5" w14:textId="77777777" w:rsidR="00CF01B2" w:rsidRPr="00212064" w:rsidRDefault="00CF01B2" w:rsidP="007E6041">
            <w:pPr>
              <w:jc w:val="center"/>
              <w:rPr>
                <w:sz w:val="22"/>
                <w:szCs w:val="22"/>
              </w:rPr>
            </w:pPr>
          </w:p>
        </w:tc>
        <w:tc>
          <w:tcPr>
            <w:tcW w:w="2856" w:type="dxa"/>
            <w:gridSpan w:val="2"/>
            <w:tcBorders>
              <w:top w:val="single" w:sz="6" w:space="0" w:color="auto"/>
              <w:bottom w:val="single" w:sz="4" w:space="0" w:color="auto"/>
            </w:tcBorders>
            <w:vAlign w:val="bottom"/>
          </w:tcPr>
          <w:p w14:paraId="4B81524C" w14:textId="77777777" w:rsidR="00CF01B2" w:rsidRPr="00212064" w:rsidRDefault="00CF01B2" w:rsidP="007E6041">
            <w:pPr>
              <w:jc w:val="center"/>
              <w:rPr>
                <w:sz w:val="22"/>
                <w:szCs w:val="22"/>
              </w:rPr>
            </w:pPr>
            <w:r w:rsidRPr="00212064">
              <w:rPr>
                <w:b/>
                <w:bCs/>
                <w:color w:val="000000"/>
                <w:sz w:val="22"/>
                <w:szCs w:val="22"/>
              </w:rPr>
              <w:t>OR (95%CI)</w:t>
            </w:r>
          </w:p>
        </w:tc>
      </w:tr>
      <w:tr w:rsidR="00337F83" w:rsidRPr="00212064" w14:paraId="1386AAB2" w14:textId="77777777" w:rsidTr="00337F83">
        <w:tc>
          <w:tcPr>
            <w:tcW w:w="1411" w:type="dxa"/>
            <w:tcBorders>
              <w:bottom w:val="single" w:sz="6" w:space="0" w:color="auto"/>
            </w:tcBorders>
            <w:vAlign w:val="bottom"/>
          </w:tcPr>
          <w:p w14:paraId="4E8CFE42" w14:textId="77777777" w:rsidR="00337F83" w:rsidRPr="00212064" w:rsidRDefault="00337F83" w:rsidP="00337F83">
            <w:pPr>
              <w:rPr>
                <w:sz w:val="22"/>
                <w:szCs w:val="22"/>
              </w:rPr>
            </w:pPr>
          </w:p>
        </w:tc>
        <w:tc>
          <w:tcPr>
            <w:tcW w:w="630" w:type="dxa"/>
            <w:tcBorders>
              <w:top w:val="single" w:sz="4" w:space="0" w:color="auto"/>
              <w:bottom w:val="single" w:sz="6" w:space="0" w:color="auto"/>
            </w:tcBorders>
            <w:vAlign w:val="bottom"/>
          </w:tcPr>
          <w:p w14:paraId="1202F941" w14:textId="77777777" w:rsidR="00337F83" w:rsidRPr="00212064" w:rsidRDefault="00337F83" w:rsidP="00337F83">
            <w:pPr>
              <w:jc w:val="center"/>
              <w:rPr>
                <w:b/>
                <w:sz w:val="22"/>
                <w:szCs w:val="22"/>
              </w:rPr>
            </w:pPr>
            <w:r w:rsidRPr="00212064">
              <w:rPr>
                <w:b/>
                <w:sz w:val="22"/>
                <w:szCs w:val="22"/>
              </w:rPr>
              <w:t>%</w:t>
            </w:r>
          </w:p>
        </w:tc>
        <w:tc>
          <w:tcPr>
            <w:tcW w:w="1223" w:type="dxa"/>
            <w:tcBorders>
              <w:top w:val="single" w:sz="4" w:space="0" w:color="auto"/>
              <w:bottom w:val="single" w:sz="6" w:space="0" w:color="auto"/>
            </w:tcBorders>
            <w:vAlign w:val="bottom"/>
          </w:tcPr>
          <w:p w14:paraId="1720ECD6" w14:textId="77777777" w:rsidR="00337F83" w:rsidRPr="00212064" w:rsidRDefault="00337F83" w:rsidP="00337F83">
            <w:pPr>
              <w:jc w:val="center"/>
              <w:rPr>
                <w:b/>
                <w:bCs/>
                <w:color w:val="000000"/>
                <w:sz w:val="22"/>
                <w:szCs w:val="22"/>
              </w:rPr>
            </w:pPr>
            <w:r w:rsidRPr="00212064">
              <w:rPr>
                <w:b/>
                <w:bCs/>
                <w:color w:val="000000"/>
                <w:sz w:val="22"/>
                <w:szCs w:val="22"/>
              </w:rPr>
              <w:t>Crude</w:t>
            </w:r>
          </w:p>
        </w:tc>
        <w:tc>
          <w:tcPr>
            <w:tcW w:w="1280" w:type="dxa"/>
            <w:tcBorders>
              <w:top w:val="single" w:sz="4" w:space="0" w:color="auto"/>
              <w:bottom w:val="single" w:sz="6" w:space="0" w:color="auto"/>
            </w:tcBorders>
            <w:vAlign w:val="bottom"/>
          </w:tcPr>
          <w:p w14:paraId="652A8663" w14:textId="77777777" w:rsidR="00337F83" w:rsidRPr="00212064" w:rsidRDefault="00337F83" w:rsidP="00337F83">
            <w:pPr>
              <w:jc w:val="center"/>
              <w:rPr>
                <w:b/>
                <w:bCs/>
                <w:color w:val="000000"/>
                <w:sz w:val="22"/>
                <w:szCs w:val="22"/>
              </w:rPr>
            </w:pPr>
            <w:r w:rsidRPr="00212064">
              <w:rPr>
                <w:b/>
                <w:bCs/>
                <w:color w:val="000000"/>
                <w:sz w:val="22"/>
                <w:szCs w:val="22"/>
              </w:rPr>
              <w:t>Adjusted</w:t>
            </w:r>
            <w:r w:rsidRPr="00366612">
              <w:rPr>
                <w:bCs/>
                <w:color w:val="000000"/>
                <w:sz w:val="22"/>
                <w:szCs w:val="22"/>
                <w:vertAlign w:val="superscript"/>
              </w:rPr>
              <w:t>a</w:t>
            </w:r>
          </w:p>
        </w:tc>
        <w:tc>
          <w:tcPr>
            <w:tcW w:w="700" w:type="dxa"/>
            <w:tcBorders>
              <w:top w:val="single" w:sz="4" w:space="0" w:color="auto"/>
              <w:bottom w:val="single" w:sz="6" w:space="0" w:color="auto"/>
            </w:tcBorders>
            <w:vAlign w:val="bottom"/>
          </w:tcPr>
          <w:p w14:paraId="2B726A18" w14:textId="77777777" w:rsidR="00337F83" w:rsidRPr="00212064" w:rsidRDefault="00337F83" w:rsidP="00337F83">
            <w:pPr>
              <w:jc w:val="center"/>
              <w:rPr>
                <w:b/>
                <w:sz w:val="22"/>
                <w:szCs w:val="22"/>
              </w:rPr>
            </w:pPr>
            <w:r w:rsidRPr="00212064">
              <w:rPr>
                <w:b/>
                <w:sz w:val="22"/>
                <w:szCs w:val="22"/>
              </w:rPr>
              <w:t>%</w:t>
            </w:r>
          </w:p>
        </w:tc>
        <w:tc>
          <w:tcPr>
            <w:tcW w:w="1334" w:type="dxa"/>
            <w:tcBorders>
              <w:top w:val="single" w:sz="4" w:space="0" w:color="auto"/>
              <w:bottom w:val="single" w:sz="6" w:space="0" w:color="auto"/>
            </w:tcBorders>
            <w:vAlign w:val="bottom"/>
          </w:tcPr>
          <w:p w14:paraId="5F5CE44C" w14:textId="77777777" w:rsidR="00337F83" w:rsidRPr="00212064" w:rsidRDefault="00337F83" w:rsidP="00337F83">
            <w:pPr>
              <w:jc w:val="center"/>
              <w:rPr>
                <w:b/>
                <w:bCs/>
                <w:color w:val="000000"/>
                <w:sz w:val="22"/>
                <w:szCs w:val="22"/>
              </w:rPr>
            </w:pPr>
            <w:r w:rsidRPr="00212064">
              <w:rPr>
                <w:b/>
                <w:bCs/>
                <w:color w:val="000000"/>
                <w:sz w:val="22"/>
                <w:szCs w:val="22"/>
              </w:rPr>
              <w:t>Crude</w:t>
            </w:r>
          </w:p>
        </w:tc>
        <w:tc>
          <w:tcPr>
            <w:tcW w:w="1315" w:type="dxa"/>
            <w:tcBorders>
              <w:top w:val="single" w:sz="4" w:space="0" w:color="auto"/>
              <w:bottom w:val="single" w:sz="6" w:space="0" w:color="auto"/>
            </w:tcBorders>
            <w:vAlign w:val="bottom"/>
          </w:tcPr>
          <w:p w14:paraId="09AF1FB0" w14:textId="77777777" w:rsidR="00337F83" w:rsidRPr="00212064" w:rsidRDefault="00337F83" w:rsidP="00337F83">
            <w:pPr>
              <w:jc w:val="center"/>
              <w:rPr>
                <w:b/>
                <w:bCs/>
                <w:color w:val="000000"/>
                <w:sz w:val="22"/>
                <w:szCs w:val="22"/>
              </w:rPr>
            </w:pPr>
            <w:r w:rsidRPr="00212064">
              <w:rPr>
                <w:b/>
                <w:bCs/>
                <w:color w:val="000000"/>
                <w:sz w:val="22"/>
                <w:szCs w:val="22"/>
              </w:rPr>
              <w:t>Adjusted</w:t>
            </w:r>
            <w:r w:rsidRPr="00366612">
              <w:rPr>
                <w:b/>
                <w:bCs/>
                <w:color w:val="000000"/>
                <w:sz w:val="22"/>
                <w:szCs w:val="22"/>
                <w:vertAlign w:val="superscript"/>
              </w:rPr>
              <w:t>b</w:t>
            </w:r>
          </w:p>
        </w:tc>
        <w:tc>
          <w:tcPr>
            <w:tcW w:w="681" w:type="dxa"/>
            <w:tcBorders>
              <w:top w:val="single" w:sz="4" w:space="0" w:color="auto"/>
              <w:bottom w:val="single" w:sz="6" w:space="0" w:color="auto"/>
            </w:tcBorders>
            <w:vAlign w:val="bottom"/>
          </w:tcPr>
          <w:p w14:paraId="1E5F61E1" w14:textId="77777777" w:rsidR="00337F83" w:rsidRPr="00212064" w:rsidRDefault="00337F83" w:rsidP="00337F83">
            <w:pPr>
              <w:jc w:val="center"/>
              <w:rPr>
                <w:b/>
                <w:sz w:val="22"/>
                <w:szCs w:val="22"/>
              </w:rPr>
            </w:pPr>
            <w:r w:rsidRPr="00212064">
              <w:rPr>
                <w:b/>
                <w:sz w:val="22"/>
                <w:szCs w:val="22"/>
              </w:rPr>
              <w:t>%</w:t>
            </w:r>
          </w:p>
        </w:tc>
        <w:tc>
          <w:tcPr>
            <w:tcW w:w="1416" w:type="dxa"/>
            <w:tcBorders>
              <w:top w:val="single" w:sz="4" w:space="0" w:color="auto"/>
              <w:bottom w:val="single" w:sz="6" w:space="0" w:color="auto"/>
            </w:tcBorders>
            <w:vAlign w:val="bottom"/>
          </w:tcPr>
          <w:p w14:paraId="4C3ABE64" w14:textId="77777777" w:rsidR="00337F83" w:rsidRPr="00212064" w:rsidRDefault="00337F83" w:rsidP="00337F83">
            <w:pPr>
              <w:jc w:val="center"/>
              <w:rPr>
                <w:b/>
                <w:bCs/>
                <w:color w:val="000000"/>
                <w:sz w:val="22"/>
                <w:szCs w:val="22"/>
              </w:rPr>
            </w:pPr>
            <w:r w:rsidRPr="00212064">
              <w:rPr>
                <w:b/>
                <w:bCs/>
                <w:color w:val="000000"/>
                <w:sz w:val="22"/>
                <w:szCs w:val="22"/>
              </w:rPr>
              <w:t>Crude</w:t>
            </w:r>
          </w:p>
        </w:tc>
        <w:tc>
          <w:tcPr>
            <w:tcW w:w="1440" w:type="dxa"/>
            <w:tcBorders>
              <w:top w:val="single" w:sz="4" w:space="0" w:color="auto"/>
              <w:bottom w:val="single" w:sz="6" w:space="0" w:color="auto"/>
            </w:tcBorders>
            <w:vAlign w:val="bottom"/>
          </w:tcPr>
          <w:p w14:paraId="04A6F160" w14:textId="77777777" w:rsidR="00337F83" w:rsidRPr="00212064" w:rsidRDefault="00337F83" w:rsidP="00337F83">
            <w:pPr>
              <w:jc w:val="center"/>
              <w:rPr>
                <w:b/>
                <w:bCs/>
                <w:color w:val="000000"/>
                <w:sz w:val="22"/>
                <w:szCs w:val="22"/>
              </w:rPr>
            </w:pPr>
            <w:r w:rsidRPr="00212064">
              <w:rPr>
                <w:b/>
                <w:bCs/>
                <w:color w:val="000000"/>
                <w:sz w:val="22"/>
                <w:szCs w:val="22"/>
              </w:rPr>
              <w:t>Adjusted</w:t>
            </w:r>
            <w:r w:rsidRPr="00366612">
              <w:rPr>
                <w:b/>
                <w:bCs/>
                <w:color w:val="000000"/>
                <w:sz w:val="22"/>
                <w:szCs w:val="22"/>
                <w:vertAlign w:val="superscript"/>
              </w:rPr>
              <w:t>c</w:t>
            </w:r>
          </w:p>
        </w:tc>
      </w:tr>
      <w:tr w:rsidR="00337F83" w:rsidRPr="00212064" w14:paraId="09408BB7" w14:textId="77777777" w:rsidTr="00337F83">
        <w:trPr>
          <w:trHeight w:val="399"/>
        </w:trPr>
        <w:tc>
          <w:tcPr>
            <w:tcW w:w="1411" w:type="dxa"/>
            <w:vMerge w:val="restart"/>
            <w:tcBorders>
              <w:top w:val="single" w:sz="6" w:space="0" w:color="auto"/>
            </w:tcBorders>
            <w:vAlign w:val="bottom"/>
          </w:tcPr>
          <w:p w14:paraId="7B0AE416" w14:textId="586B1AD2" w:rsidR="00337F83" w:rsidRPr="00212064" w:rsidRDefault="00337F83" w:rsidP="00337F83">
            <w:pPr>
              <w:rPr>
                <w:sz w:val="22"/>
                <w:szCs w:val="22"/>
              </w:rPr>
            </w:pPr>
            <w:r w:rsidRPr="00B85136">
              <w:rPr>
                <w:rFonts w:eastAsiaTheme="minorHAnsi"/>
                <w:color w:val="000000" w:themeColor="text1"/>
                <w:sz w:val="22"/>
                <w:szCs w:val="22"/>
              </w:rPr>
              <w:t>Spain (reference)</w:t>
            </w:r>
          </w:p>
        </w:tc>
        <w:tc>
          <w:tcPr>
            <w:tcW w:w="3133" w:type="dxa"/>
            <w:gridSpan w:val="3"/>
            <w:tcBorders>
              <w:top w:val="single" w:sz="6" w:space="0" w:color="auto"/>
            </w:tcBorders>
            <w:vAlign w:val="bottom"/>
          </w:tcPr>
          <w:p w14:paraId="761FD151" w14:textId="1C6E6DE2" w:rsidR="00337F83" w:rsidRPr="00212064" w:rsidRDefault="00337F83" w:rsidP="00337F83">
            <w:pPr>
              <w:jc w:val="center"/>
              <w:rPr>
                <w:b/>
                <w:bCs/>
                <w:color w:val="000000"/>
                <w:sz w:val="22"/>
                <w:szCs w:val="22"/>
              </w:rPr>
            </w:pPr>
            <w:r w:rsidRPr="00B85136">
              <w:rPr>
                <w:rFonts w:eastAsiaTheme="minorHAnsi"/>
                <w:color w:val="000000" w:themeColor="text1"/>
                <w:sz w:val="22"/>
                <w:szCs w:val="22"/>
              </w:rPr>
              <w:t>(Cases=94 / N=283)</w:t>
            </w:r>
          </w:p>
        </w:tc>
        <w:tc>
          <w:tcPr>
            <w:tcW w:w="3349" w:type="dxa"/>
            <w:gridSpan w:val="3"/>
            <w:tcBorders>
              <w:top w:val="single" w:sz="6" w:space="0" w:color="auto"/>
            </w:tcBorders>
            <w:vAlign w:val="bottom"/>
          </w:tcPr>
          <w:p w14:paraId="74586312" w14:textId="1A75EF54" w:rsidR="00337F83" w:rsidRPr="00212064" w:rsidRDefault="00337F83" w:rsidP="00337F83">
            <w:pPr>
              <w:jc w:val="center"/>
              <w:rPr>
                <w:b/>
                <w:bCs/>
                <w:color w:val="000000"/>
                <w:sz w:val="22"/>
                <w:szCs w:val="22"/>
              </w:rPr>
            </w:pPr>
            <w:r w:rsidRPr="00B85136">
              <w:rPr>
                <w:rFonts w:eastAsiaTheme="minorHAnsi"/>
                <w:color w:val="000000" w:themeColor="text1"/>
                <w:sz w:val="22"/>
                <w:szCs w:val="22"/>
              </w:rPr>
              <w:t>(Cases=29 / N=292)</w:t>
            </w:r>
          </w:p>
        </w:tc>
        <w:tc>
          <w:tcPr>
            <w:tcW w:w="3537" w:type="dxa"/>
            <w:gridSpan w:val="3"/>
            <w:tcBorders>
              <w:top w:val="single" w:sz="6" w:space="0" w:color="auto"/>
            </w:tcBorders>
            <w:vAlign w:val="bottom"/>
          </w:tcPr>
          <w:p w14:paraId="2A333337" w14:textId="0CC0E9E4" w:rsidR="00337F83" w:rsidRPr="00212064" w:rsidRDefault="00337F83" w:rsidP="00337F83">
            <w:pPr>
              <w:jc w:val="center"/>
              <w:rPr>
                <w:b/>
                <w:bCs/>
                <w:color w:val="000000"/>
                <w:sz w:val="22"/>
                <w:szCs w:val="22"/>
              </w:rPr>
            </w:pPr>
            <w:r w:rsidRPr="00B85136">
              <w:rPr>
                <w:rFonts w:eastAsiaTheme="minorHAnsi"/>
                <w:color w:val="000000" w:themeColor="text1"/>
                <w:sz w:val="22"/>
                <w:szCs w:val="22"/>
              </w:rPr>
              <w:t>(Cases=69 / N=152)</w:t>
            </w:r>
          </w:p>
        </w:tc>
      </w:tr>
      <w:tr w:rsidR="00337F83" w:rsidRPr="00212064" w14:paraId="34305DB0" w14:textId="77777777" w:rsidTr="00337F83">
        <w:trPr>
          <w:trHeight w:val="360"/>
        </w:trPr>
        <w:tc>
          <w:tcPr>
            <w:tcW w:w="1411" w:type="dxa"/>
            <w:vMerge/>
            <w:tcBorders>
              <w:bottom w:val="single" w:sz="6" w:space="0" w:color="auto"/>
            </w:tcBorders>
            <w:vAlign w:val="bottom"/>
          </w:tcPr>
          <w:p w14:paraId="18F9E552" w14:textId="77777777" w:rsidR="00337F83" w:rsidRPr="00212064" w:rsidRDefault="00337F83" w:rsidP="00337F83">
            <w:pPr>
              <w:rPr>
                <w:sz w:val="22"/>
                <w:szCs w:val="22"/>
              </w:rPr>
            </w:pPr>
          </w:p>
        </w:tc>
        <w:tc>
          <w:tcPr>
            <w:tcW w:w="630" w:type="dxa"/>
            <w:tcBorders>
              <w:bottom w:val="single" w:sz="6" w:space="0" w:color="auto"/>
            </w:tcBorders>
            <w:vAlign w:val="bottom"/>
          </w:tcPr>
          <w:p w14:paraId="45DF456B" w14:textId="4F992688" w:rsidR="00337F83" w:rsidRPr="00212064" w:rsidRDefault="00337F83" w:rsidP="00337F83">
            <w:pPr>
              <w:jc w:val="center"/>
              <w:rPr>
                <w:b/>
                <w:sz w:val="22"/>
                <w:szCs w:val="22"/>
              </w:rPr>
            </w:pPr>
            <w:r w:rsidRPr="00B85136">
              <w:rPr>
                <w:rFonts w:eastAsiaTheme="minorHAnsi"/>
                <w:color w:val="000000" w:themeColor="text1"/>
                <w:sz w:val="22"/>
                <w:szCs w:val="22"/>
              </w:rPr>
              <w:t>33.2</w:t>
            </w:r>
          </w:p>
        </w:tc>
        <w:tc>
          <w:tcPr>
            <w:tcW w:w="1223" w:type="dxa"/>
            <w:tcBorders>
              <w:bottom w:val="single" w:sz="6" w:space="0" w:color="auto"/>
            </w:tcBorders>
            <w:vAlign w:val="bottom"/>
          </w:tcPr>
          <w:p w14:paraId="2176F06A" w14:textId="41681C5A" w:rsidR="00337F83" w:rsidRPr="00212064" w:rsidRDefault="00337F83" w:rsidP="00337F83">
            <w:pPr>
              <w:jc w:val="center"/>
              <w:rPr>
                <w:b/>
                <w:bCs/>
                <w:color w:val="000000"/>
                <w:sz w:val="22"/>
                <w:szCs w:val="22"/>
              </w:rPr>
            </w:pPr>
            <w:r w:rsidRPr="00212064">
              <w:rPr>
                <w:sz w:val="22"/>
                <w:szCs w:val="22"/>
              </w:rPr>
              <w:t>1</w:t>
            </w:r>
          </w:p>
        </w:tc>
        <w:tc>
          <w:tcPr>
            <w:tcW w:w="1280" w:type="dxa"/>
            <w:tcBorders>
              <w:bottom w:val="single" w:sz="6" w:space="0" w:color="auto"/>
            </w:tcBorders>
            <w:vAlign w:val="bottom"/>
          </w:tcPr>
          <w:p w14:paraId="6AF1E47A" w14:textId="52148694" w:rsidR="00337F83" w:rsidRPr="00212064" w:rsidRDefault="00337F83" w:rsidP="00337F83">
            <w:pPr>
              <w:jc w:val="center"/>
              <w:rPr>
                <w:b/>
                <w:bCs/>
                <w:color w:val="000000"/>
                <w:sz w:val="22"/>
                <w:szCs w:val="22"/>
              </w:rPr>
            </w:pPr>
            <w:r w:rsidRPr="00212064">
              <w:rPr>
                <w:sz w:val="22"/>
                <w:szCs w:val="22"/>
              </w:rPr>
              <w:t>1</w:t>
            </w:r>
          </w:p>
        </w:tc>
        <w:tc>
          <w:tcPr>
            <w:tcW w:w="700" w:type="dxa"/>
            <w:tcBorders>
              <w:bottom w:val="single" w:sz="6" w:space="0" w:color="auto"/>
            </w:tcBorders>
            <w:vAlign w:val="bottom"/>
          </w:tcPr>
          <w:p w14:paraId="5CD71195" w14:textId="787BCC74" w:rsidR="00337F83" w:rsidRPr="00212064" w:rsidRDefault="00337F83" w:rsidP="00337F83">
            <w:pPr>
              <w:jc w:val="center"/>
              <w:rPr>
                <w:b/>
                <w:sz w:val="22"/>
                <w:szCs w:val="22"/>
              </w:rPr>
            </w:pPr>
            <w:r w:rsidRPr="00B85136">
              <w:rPr>
                <w:rFonts w:eastAsiaTheme="minorHAnsi"/>
                <w:color w:val="000000" w:themeColor="text1"/>
                <w:sz w:val="22"/>
                <w:szCs w:val="22"/>
              </w:rPr>
              <w:t>9.9</w:t>
            </w:r>
          </w:p>
        </w:tc>
        <w:tc>
          <w:tcPr>
            <w:tcW w:w="1334" w:type="dxa"/>
            <w:tcBorders>
              <w:bottom w:val="single" w:sz="6" w:space="0" w:color="auto"/>
            </w:tcBorders>
            <w:vAlign w:val="bottom"/>
          </w:tcPr>
          <w:p w14:paraId="41CA654F" w14:textId="405F8589" w:rsidR="00337F83" w:rsidRPr="00212064" w:rsidRDefault="00337F83" w:rsidP="00337F83">
            <w:pPr>
              <w:jc w:val="center"/>
              <w:rPr>
                <w:b/>
                <w:bCs/>
                <w:color w:val="000000"/>
                <w:sz w:val="22"/>
                <w:szCs w:val="22"/>
              </w:rPr>
            </w:pPr>
            <w:r w:rsidRPr="00212064">
              <w:rPr>
                <w:sz w:val="22"/>
                <w:szCs w:val="22"/>
              </w:rPr>
              <w:t>1</w:t>
            </w:r>
          </w:p>
        </w:tc>
        <w:tc>
          <w:tcPr>
            <w:tcW w:w="1315" w:type="dxa"/>
            <w:tcBorders>
              <w:bottom w:val="single" w:sz="6" w:space="0" w:color="auto"/>
            </w:tcBorders>
            <w:vAlign w:val="bottom"/>
          </w:tcPr>
          <w:p w14:paraId="0C9D5BEC" w14:textId="2B92BB4D" w:rsidR="00337F83" w:rsidRPr="00212064" w:rsidRDefault="00337F83" w:rsidP="00337F83">
            <w:pPr>
              <w:jc w:val="center"/>
              <w:rPr>
                <w:b/>
                <w:bCs/>
                <w:color w:val="000000"/>
                <w:sz w:val="22"/>
                <w:szCs w:val="22"/>
              </w:rPr>
            </w:pPr>
            <w:r w:rsidRPr="00212064">
              <w:rPr>
                <w:sz w:val="22"/>
                <w:szCs w:val="22"/>
              </w:rPr>
              <w:t>1</w:t>
            </w:r>
          </w:p>
        </w:tc>
        <w:tc>
          <w:tcPr>
            <w:tcW w:w="681" w:type="dxa"/>
            <w:tcBorders>
              <w:bottom w:val="single" w:sz="6" w:space="0" w:color="auto"/>
            </w:tcBorders>
            <w:vAlign w:val="bottom"/>
          </w:tcPr>
          <w:p w14:paraId="0BDC2682" w14:textId="37284D58" w:rsidR="00337F83" w:rsidRPr="00212064" w:rsidRDefault="00337F83" w:rsidP="00337F83">
            <w:pPr>
              <w:jc w:val="center"/>
              <w:rPr>
                <w:b/>
                <w:sz w:val="22"/>
                <w:szCs w:val="22"/>
              </w:rPr>
            </w:pPr>
            <w:r w:rsidRPr="00B85136">
              <w:rPr>
                <w:rFonts w:eastAsiaTheme="minorHAnsi"/>
                <w:color w:val="000000" w:themeColor="text1"/>
                <w:sz w:val="22"/>
                <w:szCs w:val="22"/>
              </w:rPr>
              <w:t>45.4</w:t>
            </w:r>
          </w:p>
        </w:tc>
        <w:tc>
          <w:tcPr>
            <w:tcW w:w="1416" w:type="dxa"/>
            <w:tcBorders>
              <w:bottom w:val="single" w:sz="6" w:space="0" w:color="auto"/>
            </w:tcBorders>
            <w:vAlign w:val="bottom"/>
          </w:tcPr>
          <w:p w14:paraId="17BDFE6E" w14:textId="202BF0AD" w:rsidR="00337F83" w:rsidRPr="00212064" w:rsidRDefault="00337F83" w:rsidP="00337F83">
            <w:pPr>
              <w:jc w:val="center"/>
              <w:rPr>
                <w:b/>
                <w:bCs/>
                <w:color w:val="000000"/>
                <w:sz w:val="22"/>
                <w:szCs w:val="22"/>
              </w:rPr>
            </w:pPr>
            <w:r w:rsidRPr="00212064">
              <w:rPr>
                <w:sz w:val="22"/>
                <w:szCs w:val="22"/>
              </w:rPr>
              <w:t>1</w:t>
            </w:r>
          </w:p>
        </w:tc>
        <w:tc>
          <w:tcPr>
            <w:tcW w:w="1440" w:type="dxa"/>
            <w:tcBorders>
              <w:bottom w:val="single" w:sz="6" w:space="0" w:color="auto"/>
            </w:tcBorders>
            <w:vAlign w:val="bottom"/>
          </w:tcPr>
          <w:p w14:paraId="6ED67416" w14:textId="50BCF02B" w:rsidR="00337F83" w:rsidRPr="00212064" w:rsidRDefault="00337F83" w:rsidP="00337F83">
            <w:pPr>
              <w:jc w:val="center"/>
              <w:rPr>
                <w:b/>
                <w:bCs/>
                <w:color w:val="000000"/>
                <w:sz w:val="22"/>
                <w:szCs w:val="22"/>
              </w:rPr>
            </w:pPr>
            <w:r w:rsidRPr="00212064">
              <w:rPr>
                <w:sz w:val="22"/>
                <w:szCs w:val="22"/>
              </w:rPr>
              <w:t>1</w:t>
            </w:r>
          </w:p>
        </w:tc>
      </w:tr>
      <w:tr w:rsidR="00337F83" w:rsidRPr="00D60D5F" w14:paraId="376D56FC" w14:textId="77777777" w:rsidTr="00337F83">
        <w:trPr>
          <w:trHeight w:val="363"/>
        </w:trPr>
        <w:tc>
          <w:tcPr>
            <w:tcW w:w="1411" w:type="dxa"/>
            <w:vMerge w:val="restart"/>
            <w:tcBorders>
              <w:top w:val="single" w:sz="6" w:space="0" w:color="auto"/>
            </w:tcBorders>
            <w:vAlign w:val="bottom"/>
          </w:tcPr>
          <w:p w14:paraId="50CB6267" w14:textId="78302E0B" w:rsidR="00337F83" w:rsidRPr="00D60D5F" w:rsidRDefault="00337F83" w:rsidP="00337F83">
            <w:pPr>
              <w:rPr>
                <w:sz w:val="22"/>
                <w:szCs w:val="22"/>
              </w:rPr>
            </w:pPr>
            <w:r w:rsidRPr="00D60D5F">
              <w:rPr>
                <w:rFonts w:eastAsiaTheme="minorHAnsi"/>
                <w:color w:val="000000" w:themeColor="text1"/>
                <w:sz w:val="22"/>
                <w:szCs w:val="22"/>
              </w:rPr>
              <w:t>Costa Rica</w:t>
            </w:r>
          </w:p>
        </w:tc>
        <w:tc>
          <w:tcPr>
            <w:tcW w:w="3133" w:type="dxa"/>
            <w:gridSpan w:val="3"/>
            <w:tcBorders>
              <w:top w:val="single" w:sz="6" w:space="0" w:color="auto"/>
            </w:tcBorders>
            <w:vAlign w:val="bottom"/>
          </w:tcPr>
          <w:p w14:paraId="3DCC8281" w14:textId="6B6356CD" w:rsidR="00337F83" w:rsidRPr="00D60D5F" w:rsidRDefault="00337F83" w:rsidP="00337F83">
            <w:pPr>
              <w:jc w:val="center"/>
              <w:rPr>
                <w:sz w:val="22"/>
                <w:szCs w:val="22"/>
              </w:rPr>
            </w:pPr>
            <w:r w:rsidRPr="00D60D5F">
              <w:rPr>
                <w:rFonts w:eastAsiaTheme="minorHAnsi"/>
                <w:color w:val="000000" w:themeColor="text1"/>
                <w:sz w:val="22"/>
                <w:szCs w:val="22"/>
              </w:rPr>
              <w:t>(Cases=65 / N=129)</w:t>
            </w:r>
          </w:p>
        </w:tc>
        <w:tc>
          <w:tcPr>
            <w:tcW w:w="3349" w:type="dxa"/>
            <w:gridSpan w:val="3"/>
            <w:tcBorders>
              <w:top w:val="single" w:sz="6" w:space="0" w:color="auto"/>
            </w:tcBorders>
            <w:vAlign w:val="bottom"/>
          </w:tcPr>
          <w:p w14:paraId="651D5139" w14:textId="5D05EB96" w:rsidR="00337F83" w:rsidRPr="00D60D5F" w:rsidRDefault="00337F83" w:rsidP="00337F83">
            <w:pPr>
              <w:jc w:val="center"/>
              <w:rPr>
                <w:sz w:val="22"/>
                <w:szCs w:val="22"/>
              </w:rPr>
            </w:pPr>
            <w:r w:rsidRPr="00D60D5F">
              <w:rPr>
                <w:rFonts w:eastAsiaTheme="minorHAnsi"/>
                <w:color w:val="000000" w:themeColor="text1"/>
                <w:sz w:val="22"/>
                <w:szCs w:val="22"/>
              </w:rPr>
              <w:t>(Cases=26 / N=135)</w:t>
            </w:r>
          </w:p>
        </w:tc>
        <w:tc>
          <w:tcPr>
            <w:tcW w:w="3537" w:type="dxa"/>
            <w:gridSpan w:val="3"/>
            <w:tcBorders>
              <w:top w:val="single" w:sz="6" w:space="0" w:color="auto"/>
            </w:tcBorders>
            <w:vAlign w:val="bottom"/>
          </w:tcPr>
          <w:p w14:paraId="0A1DE1D5" w14:textId="472BAFBC" w:rsidR="00337F83" w:rsidRPr="00D60D5F" w:rsidRDefault="00337F83" w:rsidP="00337F83">
            <w:pPr>
              <w:jc w:val="center"/>
              <w:rPr>
                <w:sz w:val="22"/>
                <w:szCs w:val="22"/>
              </w:rPr>
            </w:pPr>
            <w:r w:rsidRPr="00D60D5F">
              <w:rPr>
                <w:rFonts w:eastAsiaTheme="minorHAnsi"/>
                <w:color w:val="000000" w:themeColor="text1"/>
                <w:sz w:val="22"/>
                <w:szCs w:val="22"/>
              </w:rPr>
              <w:t>(Cases=25 / N=104)</w:t>
            </w:r>
          </w:p>
        </w:tc>
      </w:tr>
      <w:tr w:rsidR="00337F83" w:rsidRPr="00D60D5F" w14:paraId="34E79161" w14:textId="77777777" w:rsidTr="00337F83">
        <w:tc>
          <w:tcPr>
            <w:tcW w:w="1411" w:type="dxa"/>
            <w:vMerge/>
            <w:tcBorders>
              <w:bottom w:val="single" w:sz="6" w:space="0" w:color="auto"/>
            </w:tcBorders>
            <w:vAlign w:val="bottom"/>
          </w:tcPr>
          <w:p w14:paraId="0D7BE6A0" w14:textId="77777777" w:rsidR="00337F83" w:rsidRPr="00D60D5F" w:rsidRDefault="00337F83" w:rsidP="00337F83">
            <w:pPr>
              <w:rPr>
                <w:sz w:val="22"/>
                <w:szCs w:val="22"/>
              </w:rPr>
            </w:pPr>
          </w:p>
        </w:tc>
        <w:tc>
          <w:tcPr>
            <w:tcW w:w="630" w:type="dxa"/>
            <w:tcBorders>
              <w:bottom w:val="single" w:sz="6" w:space="0" w:color="auto"/>
            </w:tcBorders>
            <w:vAlign w:val="bottom"/>
          </w:tcPr>
          <w:p w14:paraId="654B41AB" w14:textId="2CCA823D" w:rsidR="00337F83" w:rsidRPr="00D60D5F" w:rsidRDefault="00337F83" w:rsidP="00337F83">
            <w:pPr>
              <w:jc w:val="center"/>
              <w:rPr>
                <w:rFonts w:eastAsiaTheme="minorHAnsi"/>
                <w:color w:val="000000" w:themeColor="text1"/>
                <w:sz w:val="22"/>
                <w:szCs w:val="22"/>
              </w:rPr>
            </w:pPr>
            <w:r w:rsidRPr="00D60D5F">
              <w:rPr>
                <w:rFonts w:eastAsiaTheme="minorHAnsi"/>
                <w:color w:val="000000" w:themeColor="text1"/>
                <w:sz w:val="22"/>
                <w:szCs w:val="22"/>
              </w:rPr>
              <w:t>50.4</w:t>
            </w:r>
          </w:p>
        </w:tc>
        <w:tc>
          <w:tcPr>
            <w:tcW w:w="1223" w:type="dxa"/>
            <w:tcBorders>
              <w:bottom w:val="single" w:sz="6" w:space="0" w:color="auto"/>
            </w:tcBorders>
            <w:vAlign w:val="bottom"/>
          </w:tcPr>
          <w:p w14:paraId="6FF32A36" w14:textId="77777777" w:rsidR="00337F83" w:rsidRPr="00D60D5F" w:rsidRDefault="00337F83" w:rsidP="00337F83">
            <w:pPr>
              <w:spacing w:line="276" w:lineRule="auto"/>
              <w:jc w:val="center"/>
              <w:rPr>
                <w:sz w:val="22"/>
                <w:szCs w:val="22"/>
              </w:rPr>
            </w:pPr>
            <w:r w:rsidRPr="00D60D5F">
              <w:rPr>
                <w:sz w:val="22"/>
                <w:szCs w:val="22"/>
              </w:rPr>
              <w:t>2.04</w:t>
            </w:r>
          </w:p>
          <w:p w14:paraId="13232A25" w14:textId="5EA74177" w:rsidR="00337F83" w:rsidRPr="00D60D5F" w:rsidRDefault="00337F83" w:rsidP="00337F83">
            <w:pPr>
              <w:jc w:val="center"/>
              <w:rPr>
                <w:sz w:val="22"/>
                <w:szCs w:val="22"/>
              </w:rPr>
            </w:pPr>
            <w:r w:rsidRPr="00D60D5F">
              <w:rPr>
                <w:sz w:val="22"/>
                <w:szCs w:val="22"/>
              </w:rPr>
              <w:t>(1.34-3.12)</w:t>
            </w:r>
          </w:p>
        </w:tc>
        <w:tc>
          <w:tcPr>
            <w:tcW w:w="1280" w:type="dxa"/>
            <w:tcBorders>
              <w:bottom w:val="single" w:sz="6" w:space="0" w:color="auto"/>
            </w:tcBorders>
            <w:vAlign w:val="bottom"/>
          </w:tcPr>
          <w:p w14:paraId="51876924" w14:textId="77777777" w:rsidR="00337F83" w:rsidRPr="00D60D5F" w:rsidRDefault="00337F83" w:rsidP="00337F83">
            <w:pPr>
              <w:spacing w:line="276" w:lineRule="auto"/>
              <w:jc w:val="center"/>
              <w:rPr>
                <w:sz w:val="22"/>
                <w:szCs w:val="22"/>
              </w:rPr>
            </w:pPr>
            <w:r w:rsidRPr="00D60D5F">
              <w:rPr>
                <w:sz w:val="22"/>
                <w:szCs w:val="22"/>
              </w:rPr>
              <w:t>2.17</w:t>
            </w:r>
          </w:p>
          <w:p w14:paraId="47148BEE" w14:textId="52D96E08" w:rsidR="00337F83" w:rsidRPr="00D60D5F" w:rsidRDefault="00337F83" w:rsidP="00337F83">
            <w:pPr>
              <w:jc w:val="center"/>
              <w:rPr>
                <w:sz w:val="22"/>
                <w:szCs w:val="22"/>
              </w:rPr>
            </w:pPr>
            <w:r w:rsidRPr="00D60D5F">
              <w:rPr>
                <w:sz w:val="22"/>
                <w:szCs w:val="22"/>
              </w:rPr>
              <w:t>(1.36-3.47)</w:t>
            </w:r>
          </w:p>
        </w:tc>
        <w:tc>
          <w:tcPr>
            <w:tcW w:w="700" w:type="dxa"/>
            <w:tcBorders>
              <w:bottom w:val="single" w:sz="6" w:space="0" w:color="auto"/>
            </w:tcBorders>
            <w:vAlign w:val="bottom"/>
          </w:tcPr>
          <w:p w14:paraId="7A491607" w14:textId="7A5F0E95" w:rsidR="00337F83" w:rsidRPr="00D60D5F" w:rsidRDefault="00337F83" w:rsidP="00337F83">
            <w:pPr>
              <w:jc w:val="center"/>
              <w:rPr>
                <w:rFonts w:eastAsiaTheme="minorHAnsi"/>
                <w:color w:val="000000" w:themeColor="text1"/>
                <w:sz w:val="22"/>
                <w:szCs w:val="22"/>
              </w:rPr>
            </w:pPr>
            <w:r w:rsidRPr="00D60D5F">
              <w:rPr>
                <w:rFonts w:eastAsiaTheme="minorHAnsi"/>
                <w:color w:val="000000" w:themeColor="text1"/>
                <w:sz w:val="22"/>
                <w:szCs w:val="22"/>
              </w:rPr>
              <w:t>19.3</w:t>
            </w:r>
          </w:p>
        </w:tc>
        <w:tc>
          <w:tcPr>
            <w:tcW w:w="1334" w:type="dxa"/>
            <w:tcBorders>
              <w:bottom w:val="single" w:sz="6" w:space="0" w:color="auto"/>
            </w:tcBorders>
            <w:vAlign w:val="bottom"/>
          </w:tcPr>
          <w:p w14:paraId="2BBF56A0" w14:textId="77777777" w:rsidR="00337F83" w:rsidRPr="00D60D5F" w:rsidRDefault="00337F83" w:rsidP="00337F83">
            <w:pPr>
              <w:spacing w:line="276" w:lineRule="auto"/>
              <w:jc w:val="center"/>
              <w:rPr>
                <w:sz w:val="22"/>
                <w:szCs w:val="22"/>
              </w:rPr>
            </w:pPr>
            <w:r w:rsidRPr="00D60D5F">
              <w:rPr>
                <w:sz w:val="22"/>
                <w:szCs w:val="22"/>
              </w:rPr>
              <w:t>2.16</w:t>
            </w:r>
          </w:p>
          <w:p w14:paraId="60DF1250" w14:textId="666B1290" w:rsidR="00337F83" w:rsidRPr="00D60D5F" w:rsidRDefault="00337F83" w:rsidP="00337F83">
            <w:pPr>
              <w:jc w:val="center"/>
              <w:rPr>
                <w:sz w:val="22"/>
                <w:szCs w:val="22"/>
              </w:rPr>
            </w:pPr>
            <w:r w:rsidRPr="00D60D5F">
              <w:rPr>
                <w:sz w:val="22"/>
                <w:szCs w:val="22"/>
              </w:rPr>
              <w:t>(1.22-3.84)</w:t>
            </w:r>
          </w:p>
        </w:tc>
        <w:tc>
          <w:tcPr>
            <w:tcW w:w="1315" w:type="dxa"/>
            <w:tcBorders>
              <w:bottom w:val="single" w:sz="6" w:space="0" w:color="auto"/>
            </w:tcBorders>
            <w:vAlign w:val="bottom"/>
          </w:tcPr>
          <w:p w14:paraId="34B4015E" w14:textId="77777777" w:rsidR="00337F83" w:rsidRPr="00D60D5F" w:rsidRDefault="00337F83" w:rsidP="00337F83">
            <w:pPr>
              <w:spacing w:line="276" w:lineRule="auto"/>
              <w:jc w:val="center"/>
              <w:rPr>
                <w:sz w:val="22"/>
                <w:szCs w:val="22"/>
              </w:rPr>
            </w:pPr>
            <w:r w:rsidRPr="00D60D5F">
              <w:rPr>
                <w:sz w:val="22"/>
                <w:szCs w:val="22"/>
              </w:rPr>
              <w:t>2.21</w:t>
            </w:r>
          </w:p>
          <w:p w14:paraId="68CE65FF" w14:textId="78A551EE" w:rsidR="00337F83" w:rsidRPr="00D60D5F" w:rsidRDefault="00337F83" w:rsidP="00337F83">
            <w:pPr>
              <w:jc w:val="center"/>
              <w:rPr>
                <w:sz w:val="22"/>
                <w:szCs w:val="22"/>
              </w:rPr>
            </w:pPr>
            <w:r w:rsidRPr="00D60D5F">
              <w:rPr>
                <w:sz w:val="22"/>
                <w:szCs w:val="22"/>
              </w:rPr>
              <w:t>(1.20-4.04)</w:t>
            </w:r>
          </w:p>
        </w:tc>
        <w:tc>
          <w:tcPr>
            <w:tcW w:w="681" w:type="dxa"/>
            <w:tcBorders>
              <w:bottom w:val="single" w:sz="6" w:space="0" w:color="auto"/>
            </w:tcBorders>
            <w:vAlign w:val="bottom"/>
          </w:tcPr>
          <w:p w14:paraId="512BC6CC" w14:textId="79450F0B" w:rsidR="00337F83" w:rsidRPr="00D60D5F" w:rsidRDefault="00337F83" w:rsidP="00337F83">
            <w:pPr>
              <w:jc w:val="center"/>
              <w:rPr>
                <w:rFonts w:eastAsiaTheme="minorHAnsi"/>
                <w:color w:val="000000" w:themeColor="text1"/>
                <w:sz w:val="22"/>
                <w:szCs w:val="22"/>
              </w:rPr>
            </w:pPr>
            <w:r w:rsidRPr="00D60D5F">
              <w:rPr>
                <w:rFonts w:eastAsiaTheme="minorHAnsi"/>
                <w:color w:val="000000" w:themeColor="text1"/>
                <w:sz w:val="22"/>
                <w:szCs w:val="22"/>
              </w:rPr>
              <w:t>24.0</w:t>
            </w:r>
          </w:p>
        </w:tc>
        <w:tc>
          <w:tcPr>
            <w:tcW w:w="1416" w:type="dxa"/>
            <w:tcBorders>
              <w:bottom w:val="single" w:sz="6" w:space="0" w:color="auto"/>
            </w:tcBorders>
            <w:vAlign w:val="bottom"/>
          </w:tcPr>
          <w:p w14:paraId="695F154D" w14:textId="77777777" w:rsidR="00337F83" w:rsidRPr="00D60D5F" w:rsidRDefault="00337F83" w:rsidP="00337F83">
            <w:pPr>
              <w:spacing w:line="276" w:lineRule="auto"/>
              <w:jc w:val="center"/>
              <w:rPr>
                <w:sz w:val="22"/>
                <w:szCs w:val="22"/>
              </w:rPr>
            </w:pPr>
            <w:r w:rsidRPr="00D60D5F">
              <w:rPr>
                <w:sz w:val="22"/>
                <w:szCs w:val="22"/>
              </w:rPr>
              <w:t>0.38</w:t>
            </w:r>
          </w:p>
          <w:p w14:paraId="17764DD0" w14:textId="34B38457" w:rsidR="00337F83" w:rsidRPr="00D60D5F" w:rsidRDefault="00337F83" w:rsidP="00E93A3B">
            <w:pPr>
              <w:jc w:val="center"/>
              <w:rPr>
                <w:sz w:val="22"/>
                <w:szCs w:val="22"/>
              </w:rPr>
            </w:pPr>
            <w:r w:rsidRPr="00D60D5F">
              <w:rPr>
                <w:sz w:val="22"/>
                <w:szCs w:val="22"/>
              </w:rPr>
              <w:t>(0.22-0.</w:t>
            </w:r>
            <w:r w:rsidRPr="00D60D5F">
              <w:rPr>
                <w:rFonts w:eastAsiaTheme="minorHAnsi"/>
                <w:color w:val="000000" w:themeColor="text1"/>
                <w:sz w:val="22"/>
                <w:szCs w:val="22"/>
              </w:rPr>
              <w:t>6</w:t>
            </w:r>
            <w:r w:rsidR="00E93A3B" w:rsidRPr="00D60D5F">
              <w:rPr>
                <w:rFonts w:eastAsiaTheme="minorHAnsi"/>
                <w:color w:val="000000" w:themeColor="text1"/>
                <w:sz w:val="22"/>
                <w:szCs w:val="22"/>
              </w:rPr>
              <w:t>5</w:t>
            </w:r>
            <w:r w:rsidRPr="00D60D5F">
              <w:rPr>
                <w:sz w:val="22"/>
                <w:szCs w:val="22"/>
              </w:rPr>
              <w:t>)</w:t>
            </w:r>
          </w:p>
        </w:tc>
        <w:tc>
          <w:tcPr>
            <w:tcW w:w="1440" w:type="dxa"/>
            <w:tcBorders>
              <w:bottom w:val="single" w:sz="6" w:space="0" w:color="auto"/>
            </w:tcBorders>
            <w:vAlign w:val="bottom"/>
          </w:tcPr>
          <w:p w14:paraId="2CDC5A79" w14:textId="3016E82A" w:rsidR="00337F83" w:rsidRPr="00D60D5F" w:rsidRDefault="00337F83" w:rsidP="00337F83">
            <w:pPr>
              <w:spacing w:line="276" w:lineRule="auto"/>
              <w:jc w:val="center"/>
              <w:rPr>
                <w:sz w:val="22"/>
                <w:szCs w:val="22"/>
              </w:rPr>
            </w:pPr>
            <w:r w:rsidRPr="00D60D5F">
              <w:rPr>
                <w:sz w:val="22"/>
                <w:szCs w:val="22"/>
              </w:rPr>
              <w:t>0.</w:t>
            </w:r>
            <w:r w:rsidRPr="00D60D5F">
              <w:rPr>
                <w:rFonts w:eastAsiaTheme="minorHAnsi"/>
                <w:color w:val="000000" w:themeColor="text1"/>
                <w:sz w:val="22"/>
                <w:szCs w:val="22"/>
              </w:rPr>
              <w:t>3</w:t>
            </w:r>
            <w:r w:rsidR="00E93A3B" w:rsidRPr="00D60D5F">
              <w:rPr>
                <w:rFonts w:eastAsiaTheme="minorHAnsi"/>
                <w:color w:val="000000" w:themeColor="text1"/>
                <w:sz w:val="22"/>
                <w:szCs w:val="22"/>
              </w:rPr>
              <w:t>7</w:t>
            </w:r>
          </w:p>
          <w:p w14:paraId="3093E5E7" w14:textId="6A4DD502" w:rsidR="00337F83" w:rsidRPr="00D60D5F" w:rsidRDefault="00337F83" w:rsidP="00E93A3B">
            <w:pPr>
              <w:jc w:val="center"/>
              <w:rPr>
                <w:sz w:val="22"/>
                <w:szCs w:val="22"/>
              </w:rPr>
            </w:pPr>
            <w:r w:rsidRPr="00D60D5F">
              <w:rPr>
                <w:sz w:val="22"/>
                <w:szCs w:val="22"/>
              </w:rPr>
              <w:t>(0.</w:t>
            </w:r>
            <w:r w:rsidRPr="00D60D5F">
              <w:rPr>
                <w:rFonts w:eastAsiaTheme="minorHAnsi"/>
                <w:color w:val="000000" w:themeColor="text1"/>
                <w:sz w:val="22"/>
                <w:szCs w:val="22"/>
              </w:rPr>
              <w:t>2</w:t>
            </w:r>
            <w:r w:rsidR="00E93A3B" w:rsidRPr="00D60D5F">
              <w:rPr>
                <w:rFonts w:eastAsiaTheme="minorHAnsi"/>
                <w:color w:val="000000" w:themeColor="text1"/>
                <w:sz w:val="22"/>
                <w:szCs w:val="22"/>
              </w:rPr>
              <w:t>1</w:t>
            </w:r>
            <w:r w:rsidRPr="00D60D5F">
              <w:rPr>
                <w:sz w:val="22"/>
                <w:szCs w:val="22"/>
              </w:rPr>
              <w:t>-0.</w:t>
            </w:r>
            <w:r w:rsidR="00E93A3B" w:rsidRPr="00D60D5F">
              <w:rPr>
                <w:sz w:val="22"/>
                <w:szCs w:val="22"/>
              </w:rPr>
              <w:t>68</w:t>
            </w:r>
            <w:r w:rsidRPr="00D60D5F">
              <w:rPr>
                <w:sz w:val="22"/>
                <w:szCs w:val="22"/>
              </w:rPr>
              <w:t>)</w:t>
            </w:r>
          </w:p>
        </w:tc>
      </w:tr>
      <w:tr w:rsidR="00337F83" w:rsidRPr="00D60D5F" w14:paraId="409D2C2B" w14:textId="77777777" w:rsidTr="00337F83">
        <w:trPr>
          <w:trHeight w:val="417"/>
        </w:trPr>
        <w:tc>
          <w:tcPr>
            <w:tcW w:w="1411" w:type="dxa"/>
            <w:vMerge w:val="restart"/>
            <w:tcBorders>
              <w:top w:val="single" w:sz="6" w:space="0" w:color="auto"/>
            </w:tcBorders>
            <w:vAlign w:val="bottom"/>
          </w:tcPr>
          <w:p w14:paraId="2AA8258D" w14:textId="6E959AAA" w:rsidR="00337F83" w:rsidRPr="00D60D5F" w:rsidRDefault="00337F83" w:rsidP="00337F83">
            <w:pPr>
              <w:rPr>
                <w:sz w:val="22"/>
                <w:szCs w:val="22"/>
              </w:rPr>
            </w:pPr>
            <w:r w:rsidRPr="00D60D5F">
              <w:rPr>
                <w:rFonts w:eastAsiaTheme="minorHAnsi"/>
                <w:color w:val="000000" w:themeColor="text1"/>
                <w:sz w:val="22"/>
                <w:szCs w:val="22"/>
              </w:rPr>
              <w:t>Nicaragua</w:t>
            </w:r>
          </w:p>
        </w:tc>
        <w:tc>
          <w:tcPr>
            <w:tcW w:w="3133" w:type="dxa"/>
            <w:gridSpan w:val="3"/>
            <w:tcBorders>
              <w:top w:val="single" w:sz="6" w:space="0" w:color="auto"/>
            </w:tcBorders>
            <w:vAlign w:val="bottom"/>
          </w:tcPr>
          <w:p w14:paraId="0BB1706B" w14:textId="5ADAC2B1" w:rsidR="00337F83" w:rsidRPr="00D60D5F" w:rsidRDefault="00337F83" w:rsidP="00337F83">
            <w:pPr>
              <w:jc w:val="center"/>
              <w:rPr>
                <w:sz w:val="22"/>
                <w:szCs w:val="22"/>
              </w:rPr>
            </w:pPr>
            <w:r w:rsidRPr="00D60D5F">
              <w:rPr>
                <w:rFonts w:eastAsiaTheme="minorHAnsi"/>
                <w:color w:val="000000" w:themeColor="text1"/>
                <w:sz w:val="22"/>
                <w:szCs w:val="22"/>
              </w:rPr>
              <w:t>(Cases=106 / N=176)</w:t>
            </w:r>
          </w:p>
        </w:tc>
        <w:tc>
          <w:tcPr>
            <w:tcW w:w="3349" w:type="dxa"/>
            <w:gridSpan w:val="3"/>
            <w:tcBorders>
              <w:top w:val="single" w:sz="6" w:space="0" w:color="auto"/>
            </w:tcBorders>
            <w:vAlign w:val="bottom"/>
          </w:tcPr>
          <w:p w14:paraId="1C70424D" w14:textId="156BF99D" w:rsidR="00337F83" w:rsidRPr="00D60D5F" w:rsidRDefault="00337F83" w:rsidP="00337F83">
            <w:pPr>
              <w:jc w:val="center"/>
              <w:rPr>
                <w:sz w:val="22"/>
                <w:szCs w:val="22"/>
              </w:rPr>
            </w:pPr>
            <w:r w:rsidRPr="00D60D5F">
              <w:rPr>
                <w:rFonts w:eastAsiaTheme="minorHAnsi"/>
                <w:color w:val="000000" w:themeColor="text1"/>
                <w:sz w:val="22"/>
                <w:szCs w:val="22"/>
              </w:rPr>
              <w:t>(Cases=34 / N=154)</w:t>
            </w:r>
          </w:p>
        </w:tc>
        <w:tc>
          <w:tcPr>
            <w:tcW w:w="3537" w:type="dxa"/>
            <w:gridSpan w:val="3"/>
            <w:tcBorders>
              <w:top w:val="single" w:sz="6" w:space="0" w:color="auto"/>
            </w:tcBorders>
            <w:vAlign w:val="bottom"/>
          </w:tcPr>
          <w:p w14:paraId="441A50DE" w14:textId="6A53B26E" w:rsidR="00337F83" w:rsidRPr="00D60D5F" w:rsidRDefault="00337F83" w:rsidP="00337F83">
            <w:pPr>
              <w:jc w:val="center"/>
              <w:rPr>
                <w:sz w:val="22"/>
                <w:szCs w:val="22"/>
              </w:rPr>
            </w:pPr>
            <w:r w:rsidRPr="00D60D5F">
              <w:rPr>
                <w:rFonts w:eastAsiaTheme="minorHAnsi"/>
                <w:color w:val="000000" w:themeColor="text1"/>
                <w:sz w:val="22"/>
                <w:szCs w:val="22"/>
              </w:rPr>
              <w:t>(Cases=87 / N=132)</w:t>
            </w:r>
          </w:p>
        </w:tc>
      </w:tr>
      <w:tr w:rsidR="00337F83" w:rsidRPr="00D60D5F" w14:paraId="01F0A50C" w14:textId="77777777" w:rsidTr="00337F83">
        <w:tc>
          <w:tcPr>
            <w:tcW w:w="1411" w:type="dxa"/>
            <w:vMerge/>
            <w:tcBorders>
              <w:bottom w:val="single" w:sz="4" w:space="0" w:color="auto"/>
            </w:tcBorders>
            <w:vAlign w:val="bottom"/>
          </w:tcPr>
          <w:p w14:paraId="786397F8" w14:textId="77777777" w:rsidR="00337F83" w:rsidRPr="00D60D5F" w:rsidRDefault="00337F83" w:rsidP="00337F83">
            <w:pPr>
              <w:rPr>
                <w:sz w:val="22"/>
                <w:szCs w:val="22"/>
              </w:rPr>
            </w:pPr>
          </w:p>
        </w:tc>
        <w:tc>
          <w:tcPr>
            <w:tcW w:w="630" w:type="dxa"/>
            <w:tcBorders>
              <w:bottom w:val="single" w:sz="4" w:space="0" w:color="auto"/>
            </w:tcBorders>
            <w:vAlign w:val="bottom"/>
          </w:tcPr>
          <w:p w14:paraId="1FCA0380" w14:textId="4B17C237" w:rsidR="00337F83" w:rsidRPr="00D60D5F" w:rsidRDefault="00337F83" w:rsidP="00337F83">
            <w:pPr>
              <w:jc w:val="center"/>
              <w:rPr>
                <w:rFonts w:eastAsiaTheme="minorHAnsi"/>
                <w:color w:val="000000" w:themeColor="text1"/>
                <w:sz w:val="22"/>
                <w:szCs w:val="22"/>
              </w:rPr>
            </w:pPr>
            <w:r w:rsidRPr="00D60D5F">
              <w:rPr>
                <w:rFonts w:eastAsiaTheme="minorHAnsi"/>
                <w:color w:val="000000" w:themeColor="text1"/>
                <w:sz w:val="22"/>
                <w:szCs w:val="22"/>
              </w:rPr>
              <w:t>60</w:t>
            </w:r>
            <w:r w:rsidRPr="00D60D5F">
              <w:rPr>
                <w:sz w:val="22"/>
                <w:szCs w:val="22"/>
              </w:rPr>
              <w:t>.2</w:t>
            </w:r>
          </w:p>
        </w:tc>
        <w:tc>
          <w:tcPr>
            <w:tcW w:w="1223" w:type="dxa"/>
            <w:tcBorders>
              <w:bottom w:val="single" w:sz="4" w:space="0" w:color="auto"/>
            </w:tcBorders>
            <w:vAlign w:val="bottom"/>
          </w:tcPr>
          <w:p w14:paraId="69829198" w14:textId="77777777" w:rsidR="00337F83" w:rsidRPr="00D60D5F" w:rsidRDefault="00337F83" w:rsidP="00337F83">
            <w:pPr>
              <w:spacing w:line="276" w:lineRule="auto"/>
              <w:jc w:val="center"/>
              <w:rPr>
                <w:sz w:val="22"/>
                <w:szCs w:val="22"/>
              </w:rPr>
            </w:pPr>
            <w:r w:rsidRPr="00D60D5F">
              <w:rPr>
                <w:sz w:val="22"/>
                <w:szCs w:val="22"/>
              </w:rPr>
              <w:t>3.04</w:t>
            </w:r>
          </w:p>
          <w:p w14:paraId="23F50976" w14:textId="51185759" w:rsidR="00337F83" w:rsidRPr="00D60D5F" w:rsidRDefault="00337F83" w:rsidP="00337F83">
            <w:pPr>
              <w:jc w:val="center"/>
              <w:rPr>
                <w:sz w:val="22"/>
                <w:szCs w:val="22"/>
              </w:rPr>
            </w:pPr>
            <w:r w:rsidRPr="00D60D5F">
              <w:rPr>
                <w:sz w:val="22"/>
                <w:szCs w:val="22"/>
              </w:rPr>
              <w:t>(2.06-4.50)</w:t>
            </w:r>
          </w:p>
        </w:tc>
        <w:tc>
          <w:tcPr>
            <w:tcW w:w="1280" w:type="dxa"/>
            <w:tcBorders>
              <w:bottom w:val="single" w:sz="4" w:space="0" w:color="auto"/>
            </w:tcBorders>
            <w:vAlign w:val="bottom"/>
          </w:tcPr>
          <w:p w14:paraId="2DDBD716" w14:textId="77777777" w:rsidR="00337F83" w:rsidRPr="00D60D5F" w:rsidRDefault="00337F83" w:rsidP="00337F83">
            <w:pPr>
              <w:spacing w:line="276" w:lineRule="auto"/>
              <w:jc w:val="center"/>
              <w:rPr>
                <w:sz w:val="22"/>
                <w:szCs w:val="22"/>
              </w:rPr>
            </w:pPr>
            <w:r w:rsidRPr="00D60D5F">
              <w:rPr>
                <w:sz w:val="22"/>
                <w:szCs w:val="22"/>
              </w:rPr>
              <w:t>3.15</w:t>
            </w:r>
          </w:p>
          <w:p w14:paraId="0A78C40B" w14:textId="65D73417" w:rsidR="00337F83" w:rsidRPr="00D60D5F" w:rsidRDefault="00337F83" w:rsidP="00337F83">
            <w:pPr>
              <w:jc w:val="center"/>
              <w:rPr>
                <w:sz w:val="22"/>
                <w:szCs w:val="22"/>
              </w:rPr>
            </w:pPr>
            <w:r w:rsidRPr="00D60D5F">
              <w:rPr>
                <w:sz w:val="22"/>
                <w:szCs w:val="22"/>
              </w:rPr>
              <w:t>(2.05-4.83)</w:t>
            </w:r>
          </w:p>
        </w:tc>
        <w:tc>
          <w:tcPr>
            <w:tcW w:w="700" w:type="dxa"/>
            <w:tcBorders>
              <w:bottom w:val="single" w:sz="4" w:space="0" w:color="auto"/>
            </w:tcBorders>
            <w:vAlign w:val="bottom"/>
          </w:tcPr>
          <w:p w14:paraId="56059B1C" w14:textId="0BF6530A" w:rsidR="00337F83" w:rsidRPr="00D60D5F" w:rsidRDefault="00337F83" w:rsidP="00337F83">
            <w:pPr>
              <w:jc w:val="center"/>
              <w:rPr>
                <w:rFonts w:eastAsiaTheme="minorHAnsi"/>
                <w:color w:val="000000" w:themeColor="text1"/>
                <w:sz w:val="22"/>
                <w:szCs w:val="22"/>
              </w:rPr>
            </w:pPr>
            <w:r w:rsidRPr="00D60D5F">
              <w:rPr>
                <w:rFonts w:eastAsiaTheme="minorHAnsi"/>
                <w:color w:val="000000" w:themeColor="text1"/>
                <w:sz w:val="22"/>
                <w:szCs w:val="22"/>
              </w:rPr>
              <w:t>22.1</w:t>
            </w:r>
          </w:p>
        </w:tc>
        <w:tc>
          <w:tcPr>
            <w:tcW w:w="1334" w:type="dxa"/>
            <w:tcBorders>
              <w:bottom w:val="single" w:sz="4" w:space="0" w:color="auto"/>
            </w:tcBorders>
            <w:vAlign w:val="bottom"/>
          </w:tcPr>
          <w:p w14:paraId="03DC63B4" w14:textId="77777777" w:rsidR="00337F83" w:rsidRPr="00D60D5F" w:rsidRDefault="00337F83" w:rsidP="00337F83">
            <w:pPr>
              <w:spacing w:line="276" w:lineRule="auto"/>
              <w:jc w:val="center"/>
              <w:rPr>
                <w:sz w:val="22"/>
                <w:szCs w:val="22"/>
              </w:rPr>
            </w:pPr>
            <w:r w:rsidRPr="00D60D5F">
              <w:rPr>
                <w:sz w:val="22"/>
                <w:szCs w:val="22"/>
              </w:rPr>
              <w:t>2.57</w:t>
            </w:r>
          </w:p>
          <w:p w14:paraId="301C5518" w14:textId="38E9A54A" w:rsidR="00337F83" w:rsidRPr="00D60D5F" w:rsidRDefault="00337F83" w:rsidP="00337F83">
            <w:pPr>
              <w:jc w:val="center"/>
              <w:rPr>
                <w:sz w:val="22"/>
                <w:szCs w:val="22"/>
              </w:rPr>
            </w:pPr>
            <w:r w:rsidRPr="00D60D5F">
              <w:rPr>
                <w:sz w:val="22"/>
                <w:szCs w:val="22"/>
              </w:rPr>
              <w:t>(1.50-4.41)</w:t>
            </w:r>
          </w:p>
        </w:tc>
        <w:tc>
          <w:tcPr>
            <w:tcW w:w="1315" w:type="dxa"/>
            <w:tcBorders>
              <w:bottom w:val="single" w:sz="4" w:space="0" w:color="auto"/>
            </w:tcBorders>
            <w:vAlign w:val="bottom"/>
          </w:tcPr>
          <w:p w14:paraId="7676EADC" w14:textId="77777777" w:rsidR="00337F83" w:rsidRPr="00D60D5F" w:rsidRDefault="00337F83" w:rsidP="00337F83">
            <w:pPr>
              <w:spacing w:line="276" w:lineRule="auto"/>
              <w:jc w:val="center"/>
              <w:rPr>
                <w:sz w:val="22"/>
                <w:szCs w:val="22"/>
              </w:rPr>
            </w:pPr>
            <w:r w:rsidRPr="00D60D5F">
              <w:rPr>
                <w:sz w:val="22"/>
                <w:szCs w:val="22"/>
              </w:rPr>
              <w:t>2.39</w:t>
            </w:r>
          </w:p>
          <w:p w14:paraId="49F93DFA" w14:textId="4B1CF81A" w:rsidR="00337F83" w:rsidRPr="00D60D5F" w:rsidRDefault="00337F83" w:rsidP="00337F83">
            <w:pPr>
              <w:jc w:val="center"/>
              <w:rPr>
                <w:sz w:val="22"/>
                <w:szCs w:val="22"/>
              </w:rPr>
            </w:pPr>
            <w:r w:rsidRPr="00D60D5F">
              <w:rPr>
                <w:sz w:val="22"/>
                <w:szCs w:val="22"/>
              </w:rPr>
              <w:t>(1.35-4.22)</w:t>
            </w:r>
          </w:p>
        </w:tc>
        <w:tc>
          <w:tcPr>
            <w:tcW w:w="681" w:type="dxa"/>
            <w:tcBorders>
              <w:bottom w:val="single" w:sz="4" w:space="0" w:color="auto"/>
            </w:tcBorders>
            <w:vAlign w:val="bottom"/>
          </w:tcPr>
          <w:p w14:paraId="79CB8BDD" w14:textId="3166D2CA" w:rsidR="00337F83" w:rsidRPr="00D60D5F" w:rsidRDefault="00337F83" w:rsidP="00337F83">
            <w:pPr>
              <w:jc w:val="center"/>
              <w:rPr>
                <w:rFonts w:eastAsiaTheme="minorHAnsi"/>
                <w:color w:val="000000" w:themeColor="text1"/>
                <w:sz w:val="22"/>
                <w:szCs w:val="22"/>
              </w:rPr>
            </w:pPr>
            <w:r w:rsidRPr="00D60D5F">
              <w:rPr>
                <w:rFonts w:eastAsiaTheme="minorHAnsi"/>
                <w:color w:val="000000" w:themeColor="text1"/>
                <w:sz w:val="22"/>
                <w:szCs w:val="22"/>
              </w:rPr>
              <w:t>65.9</w:t>
            </w:r>
          </w:p>
        </w:tc>
        <w:tc>
          <w:tcPr>
            <w:tcW w:w="1416" w:type="dxa"/>
            <w:tcBorders>
              <w:bottom w:val="single" w:sz="4" w:space="0" w:color="auto"/>
            </w:tcBorders>
            <w:vAlign w:val="bottom"/>
          </w:tcPr>
          <w:p w14:paraId="50B164F3" w14:textId="65824763" w:rsidR="00337F83" w:rsidRPr="00D60D5F" w:rsidRDefault="00337F83" w:rsidP="00337F83">
            <w:pPr>
              <w:spacing w:line="276" w:lineRule="auto"/>
              <w:jc w:val="center"/>
              <w:rPr>
                <w:sz w:val="22"/>
                <w:szCs w:val="22"/>
              </w:rPr>
            </w:pPr>
            <w:r w:rsidRPr="00D60D5F">
              <w:rPr>
                <w:sz w:val="22"/>
                <w:szCs w:val="22"/>
              </w:rPr>
              <w:t>2.</w:t>
            </w:r>
            <w:r w:rsidR="00D60D5F" w:rsidRPr="00D60D5F">
              <w:rPr>
                <w:sz w:val="22"/>
                <w:szCs w:val="22"/>
              </w:rPr>
              <w:t>28</w:t>
            </w:r>
          </w:p>
          <w:p w14:paraId="10C19AA5" w14:textId="0F628C9E" w:rsidR="00337F83" w:rsidRPr="00D60D5F" w:rsidRDefault="00337F83" w:rsidP="00E93A3B">
            <w:pPr>
              <w:jc w:val="center"/>
              <w:rPr>
                <w:sz w:val="22"/>
                <w:szCs w:val="22"/>
              </w:rPr>
            </w:pPr>
            <w:r w:rsidRPr="00D60D5F">
              <w:rPr>
                <w:sz w:val="22"/>
                <w:szCs w:val="22"/>
              </w:rPr>
              <w:t>(1.</w:t>
            </w:r>
            <w:r w:rsidRPr="00D60D5F">
              <w:rPr>
                <w:rFonts w:eastAsiaTheme="minorHAnsi"/>
                <w:color w:val="000000" w:themeColor="text1"/>
                <w:sz w:val="22"/>
                <w:szCs w:val="22"/>
              </w:rPr>
              <w:t>4</w:t>
            </w:r>
            <w:r w:rsidR="00E93A3B" w:rsidRPr="00D60D5F">
              <w:rPr>
                <w:rFonts w:eastAsiaTheme="minorHAnsi"/>
                <w:color w:val="000000" w:themeColor="text1"/>
                <w:sz w:val="22"/>
                <w:szCs w:val="22"/>
              </w:rPr>
              <w:t>1</w:t>
            </w:r>
            <w:r w:rsidRPr="00D60D5F">
              <w:rPr>
                <w:sz w:val="22"/>
                <w:szCs w:val="22"/>
              </w:rPr>
              <w:t>-3.</w:t>
            </w:r>
            <w:r w:rsidRPr="00D60D5F">
              <w:rPr>
                <w:rFonts w:eastAsiaTheme="minorHAnsi"/>
                <w:color w:val="000000" w:themeColor="text1"/>
                <w:sz w:val="22"/>
                <w:szCs w:val="22"/>
              </w:rPr>
              <w:t>6</w:t>
            </w:r>
            <w:r w:rsidR="00E93A3B" w:rsidRPr="00D60D5F">
              <w:rPr>
                <w:rFonts w:eastAsiaTheme="minorHAnsi"/>
                <w:color w:val="000000" w:themeColor="text1"/>
                <w:sz w:val="22"/>
                <w:szCs w:val="22"/>
              </w:rPr>
              <w:t>7</w:t>
            </w:r>
            <w:r w:rsidRPr="00D60D5F">
              <w:rPr>
                <w:sz w:val="22"/>
                <w:szCs w:val="22"/>
              </w:rPr>
              <w:t>)</w:t>
            </w:r>
          </w:p>
        </w:tc>
        <w:tc>
          <w:tcPr>
            <w:tcW w:w="1440" w:type="dxa"/>
            <w:tcBorders>
              <w:bottom w:val="single" w:sz="4" w:space="0" w:color="auto"/>
            </w:tcBorders>
            <w:vAlign w:val="bottom"/>
          </w:tcPr>
          <w:p w14:paraId="3CA8ABDC" w14:textId="6C4E4BD6" w:rsidR="00337F83" w:rsidRPr="00D60D5F" w:rsidRDefault="00E93A3B" w:rsidP="00337F83">
            <w:pPr>
              <w:spacing w:line="276" w:lineRule="auto"/>
              <w:jc w:val="center"/>
              <w:rPr>
                <w:rFonts w:eastAsiaTheme="minorHAnsi"/>
                <w:color w:val="000000" w:themeColor="text1"/>
                <w:sz w:val="22"/>
                <w:szCs w:val="22"/>
              </w:rPr>
            </w:pPr>
            <w:r w:rsidRPr="00D60D5F">
              <w:rPr>
                <w:rFonts w:eastAsiaTheme="minorHAnsi"/>
                <w:color w:val="000000" w:themeColor="text1"/>
                <w:sz w:val="22"/>
                <w:szCs w:val="22"/>
              </w:rPr>
              <w:t>1.97</w:t>
            </w:r>
          </w:p>
          <w:p w14:paraId="6E565B12" w14:textId="55807B0F" w:rsidR="00337F83" w:rsidRPr="00D60D5F" w:rsidRDefault="00337F83" w:rsidP="00E93A3B">
            <w:pPr>
              <w:jc w:val="center"/>
              <w:rPr>
                <w:sz w:val="22"/>
                <w:szCs w:val="22"/>
              </w:rPr>
            </w:pPr>
            <w:r w:rsidRPr="00D60D5F">
              <w:rPr>
                <w:rFonts w:eastAsiaTheme="minorHAnsi"/>
                <w:color w:val="000000" w:themeColor="text1"/>
                <w:sz w:val="22"/>
                <w:szCs w:val="22"/>
              </w:rPr>
              <w:t>(</w:t>
            </w:r>
            <w:r w:rsidRPr="00D60D5F">
              <w:rPr>
                <w:sz w:val="22"/>
                <w:szCs w:val="22"/>
              </w:rPr>
              <w:t>1.</w:t>
            </w:r>
            <w:r w:rsidRPr="00D60D5F">
              <w:rPr>
                <w:rFonts w:eastAsiaTheme="minorHAnsi"/>
                <w:color w:val="000000" w:themeColor="text1"/>
                <w:sz w:val="22"/>
                <w:szCs w:val="22"/>
              </w:rPr>
              <w:t>1</w:t>
            </w:r>
            <w:r w:rsidR="00E93A3B" w:rsidRPr="00D60D5F">
              <w:rPr>
                <w:rFonts w:eastAsiaTheme="minorHAnsi"/>
                <w:color w:val="000000" w:themeColor="text1"/>
                <w:sz w:val="22"/>
                <w:szCs w:val="22"/>
              </w:rPr>
              <w:t>6</w:t>
            </w:r>
            <w:r w:rsidRPr="00D60D5F">
              <w:rPr>
                <w:sz w:val="22"/>
                <w:szCs w:val="22"/>
              </w:rPr>
              <w:t>-3.</w:t>
            </w:r>
            <w:r w:rsidR="00E93A3B" w:rsidRPr="00D60D5F">
              <w:rPr>
                <w:sz w:val="22"/>
                <w:szCs w:val="22"/>
              </w:rPr>
              <w:t>35</w:t>
            </w:r>
            <w:r w:rsidRPr="00D60D5F">
              <w:rPr>
                <w:sz w:val="22"/>
                <w:szCs w:val="22"/>
              </w:rPr>
              <w:t>)</w:t>
            </w:r>
          </w:p>
        </w:tc>
      </w:tr>
    </w:tbl>
    <w:p w14:paraId="7F85C3DA" w14:textId="77777777" w:rsidR="00AB3187" w:rsidRPr="00B85136" w:rsidRDefault="00AB3187" w:rsidP="00416AF1">
      <w:pPr>
        <w:spacing w:before="60"/>
        <w:ind w:left="633" w:hanging="86"/>
        <w:rPr>
          <w:rFonts w:eastAsiaTheme="minorHAnsi"/>
          <w:color w:val="000000" w:themeColor="text1"/>
          <w:sz w:val="20"/>
          <w:szCs w:val="20"/>
          <w:vertAlign w:val="superscript"/>
        </w:rPr>
      </w:pPr>
      <w:r w:rsidRPr="00D60D5F">
        <w:rPr>
          <w:rFonts w:eastAsiaTheme="minorHAnsi"/>
          <w:color w:val="000000" w:themeColor="text1"/>
          <w:sz w:val="20"/>
          <w:szCs w:val="20"/>
          <w:vertAlign w:val="superscript"/>
        </w:rPr>
        <w:t>a</w:t>
      </w:r>
      <w:r w:rsidRPr="00D60D5F">
        <w:rPr>
          <w:rFonts w:eastAsiaTheme="minorHAnsi"/>
          <w:color w:val="000000" w:themeColor="text1"/>
          <w:sz w:val="20"/>
          <w:szCs w:val="20"/>
        </w:rPr>
        <w:t xml:space="preserve"> All participants in the follow-up have had 12 months of follow-up so person equals person-time in our sample.</w:t>
      </w:r>
    </w:p>
    <w:p w14:paraId="507A997D" w14:textId="66367882" w:rsidR="00CF01B2" w:rsidRPr="00673468" w:rsidRDefault="00AB3187" w:rsidP="00337F83">
      <w:pPr>
        <w:ind w:left="633" w:hanging="86"/>
        <w:rPr>
          <w:color w:val="000000"/>
          <w:sz w:val="20"/>
        </w:rPr>
      </w:pPr>
      <w:r w:rsidRPr="00B85136">
        <w:rPr>
          <w:rFonts w:eastAsiaTheme="minorHAnsi"/>
          <w:color w:val="000000" w:themeColor="text1"/>
          <w:sz w:val="20"/>
          <w:szCs w:val="20"/>
          <w:vertAlign w:val="superscript"/>
        </w:rPr>
        <w:t>b</w:t>
      </w:r>
      <w:r w:rsidR="00CF01B2" w:rsidRPr="00673468">
        <w:rPr>
          <w:color w:val="000000"/>
          <w:sz w:val="20"/>
        </w:rPr>
        <w:t xml:space="preserve"> Adjusted for sex, age, awareness-someone outs</w:t>
      </w:r>
      <w:r w:rsidR="00CF01B2">
        <w:rPr>
          <w:color w:val="000000"/>
          <w:sz w:val="20"/>
        </w:rPr>
        <w:t>ide work with pain, somatizing</w:t>
      </w:r>
      <w:r w:rsidR="00EC6323" w:rsidRPr="00B85136">
        <w:rPr>
          <w:rFonts w:eastAsiaTheme="minorHAnsi"/>
          <w:color w:val="000000" w:themeColor="text1"/>
          <w:sz w:val="20"/>
          <w:szCs w:val="20"/>
        </w:rPr>
        <w:t xml:space="preserve"> tendency</w:t>
      </w:r>
      <w:r w:rsidR="00CF01B2">
        <w:rPr>
          <w:color w:val="000000"/>
          <w:sz w:val="20"/>
        </w:rPr>
        <w:t>.</w:t>
      </w:r>
    </w:p>
    <w:p w14:paraId="0A5F2C93" w14:textId="52BA08DD" w:rsidR="00CF01B2" w:rsidRPr="00673468" w:rsidRDefault="00AB3187" w:rsidP="00CF01B2">
      <w:pPr>
        <w:ind w:left="630" w:hanging="90"/>
        <w:rPr>
          <w:color w:val="000000"/>
          <w:sz w:val="20"/>
        </w:rPr>
      </w:pPr>
      <w:r w:rsidRPr="00B85136">
        <w:rPr>
          <w:rFonts w:eastAsiaTheme="minorHAnsi"/>
          <w:color w:val="000000" w:themeColor="text1"/>
          <w:sz w:val="20"/>
          <w:szCs w:val="20"/>
          <w:vertAlign w:val="superscript"/>
        </w:rPr>
        <w:t>c</w:t>
      </w:r>
      <w:r w:rsidR="00CF01B2" w:rsidRPr="00673468">
        <w:rPr>
          <w:color w:val="000000"/>
          <w:sz w:val="20"/>
        </w:rPr>
        <w:t xml:space="preserve"> Adjusted for sex, age, lack of support and </w:t>
      </w:r>
      <w:r w:rsidR="00CF01B2">
        <w:rPr>
          <w:color w:val="000000"/>
          <w:sz w:val="20"/>
        </w:rPr>
        <w:t>non-disabling pain at baseline.</w:t>
      </w:r>
    </w:p>
    <w:p w14:paraId="003DC6EB" w14:textId="45F2E6DE" w:rsidR="00CF01B2" w:rsidRDefault="00AB3187" w:rsidP="00CF01B2">
      <w:pPr>
        <w:ind w:left="630" w:hanging="90"/>
        <w:rPr>
          <w:color w:val="000000"/>
          <w:sz w:val="20"/>
        </w:rPr>
      </w:pPr>
      <w:r w:rsidRPr="00B85136">
        <w:rPr>
          <w:rFonts w:eastAsiaTheme="minorHAnsi"/>
          <w:color w:val="000000" w:themeColor="text1"/>
          <w:sz w:val="20"/>
          <w:szCs w:val="20"/>
          <w:vertAlign w:val="superscript"/>
        </w:rPr>
        <w:t>d</w:t>
      </w:r>
      <w:r w:rsidR="00CF01B2" w:rsidRPr="00673468">
        <w:rPr>
          <w:color w:val="000000"/>
          <w:sz w:val="20"/>
        </w:rPr>
        <w:t xml:space="preserve"> Adjusted for sex, age, pain-commonly caused by people’s work, somatizing</w:t>
      </w:r>
      <w:r w:rsidR="00EC6323" w:rsidRPr="00B85136">
        <w:rPr>
          <w:rFonts w:eastAsiaTheme="minorHAnsi"/>
          <w:color w:val="000000" w:themeColor="text1"/>
          <w:sz w:val="20"/>
          <w:szCs w:val="20"/>
        </w:rPr>
        <w:t xml:space="preserve"> tendency</w:t>
      </w:r>
      <w:r w:rsidR="00CF01B2" w:rsidRPr="00673468">
        <w:rPr>
          <w:color w:val="000000"/>
          <w:sz w:val="20"/>
        </w:rPr>
        <w:t>.</w:t>
      </w:r>
    </w:p>
    <w:p w14:paraId="5D04CBBC" w14:textId="77777777" w:rsidR="00CF01B2" w:rsidRDefault="00CF01B2" w:rsidP="00CF01B2">
      <w:pPr>
        <w:ind w:left="630" w:hanging="90"/>
        <w:rPr>
          <w:color w:val="000000"/>
          <w:sz w:val="20"/>
        </w:rPr>
      </w:pPr>
    </w:p>
    <w:p w14:paraId="1C08C524" w14:textId="77777777" w:rsidR="00CF01B2" w:rsidRDefault="00CF01B2" w:rsidP="00CF01B2">
      <w:pPr>
        <w:ind w:left="630" w:hanging="90"/>
        <w:rPr>
          <w:color w:val="000000"/>
          <w:sz w:val="20"/>
        </w:rPr>
      </w:pPr>
    </w:p>
    <w:p w14:paraId="177FAFC7" w14:textId="77777777" w:rsidR="00CF01B2" w:rsidRDefault="00CF01B2" w:rsidP="00CF01B2">
      <w:pPr>
        <w:pStyle w:val="NormalWeb"/>
        <w:rPr>
          <w:b/>
        </w:rPr>
        <w:sectPr w:rsidR="00CF01B2" w:rsidSect="007E6041">
          <w:headerReference w:type="default" r:id="rId14"/>
          <w:footerReference w:type="default" r:id="rId15"/>
          <w:pgSz w:w="15840" w:h="12240" w:orient="landscape"/>
          <w:pgMar w:top="1800" w:right="1440" w:bottom="1584" w:left="1800" w:header="720" w:footer="720" w:gutter="0"/>
          <w:cols w:space="720"/>
          <w:docGrid w:linePitch="360"/>
        </w:sectPr>
      </w:pPr>
    </w:p>
    <w:p w14:paraId="18871387" w14:textId="77777777" w:rsidR="00CF01B2" w:rsidRDefault="00CF01B2" w:rsidP="00CF01B2">
      <w:pPr>
        <w:pStyle w:val="NormalWeb"/>
        <w:spacing w:before="0" w:beforeAutospacing="0" w:after="0" w:afterAutospacing="0" w:line="480" w:lineRule="auto"/>
        <w:ind w:left="288" w:hanging="288"/>
        <w:jc w:val="both"/>
        <w:rPr>
          <w:b/>
        </w:rPr>
      </w:pPr>
      <w:r w:rsidRPr="009545E2">
        <w:rPr>
          <w:b/>
        </w:rPr>
        <w:lastRenderedPageBreak/>
        <w:t>References</w:t>
      </w:r>
    </w:p>
    <w:p w14:paraId="7054C426" w14:textId="53096832" w:rsidR="00C23091" w:rsidRPr="00C23091" w:rsidRDefault="00CD3010" w:rsidP="00D60D5F">
      <w:pPr>
        <w:pStyle w:val="NormalWeb"/>
        <w:spacing w:before="0" w:beforeAutospacing="0" w:after="0" w:afterAutospacing="0" w:line="480" w:lineRule="auto"/>
        <w:ind w:hanging="288"/>
      </w:pPr>
      <w:r>
        <w:rPr>
          <w:b/>
        </w:rPr>
        <w:fldChar w:fldCharType="begin"/>
      </w:r>
      <w:r w:rsidR="00C23091">
        <w:rPr>
          <w:b/>
        </w:rPr>
        <w:instrText>ADDIN RW.BIB</w:instrText>
      </w:r>
      <w:r>
        <w:rPr>
          <w:b/>
        </w:rPr>
        <w:fldChar w:fldCharType="separate"/>
      </w:r>
      <w:r w:rsidR="00C23091" w:rsidRPr="00C23091">
        <w:t xml:space="preserve">1. Parent-Thirion, A, Macias, E, Hurley, J and Vermeulen, G. </w:t>
      </w:r>
      <w:r w:rsidR="00C23091" w:rsidRPr="00C23091">
        <w:rPr>
          <w:i/>
          <w:iCs/>
        </w:rPr>
        <w:t xml:space="preserve">Fourth European Working Conditions Survey. </w:t>
      </w:r>
      <w:r w:rsidR="00C23091" w:rsidRPr="00C23091">
        <w:t>Dublin: European Foundation for the Improvement of Living and Working Conditions; 2007.</w:t>
      </w:r>
    </w:p>
    <w:p w14:paraId="7EF5D764" w14:textId="77777777" w:rsidR="00C23091" w:rsidRPr="00C23091" w:rsidRDefault="00C23091" w:rsidP="00D60D5F">
      <w:pPr>
        <w:pStyle w:val="NormalWeb"/>
        <w:spacing w:before="0" w:beforeAutospacing="0" w:after="0" w:afterAutospacing="0" w:line="480" w:lineRule="auto"/>
        <w:ind w:hanging="288"/>
      </w:pPr>
      <w:r w:rsidRPr="00C23091">
        <w:t xml:space="preserve">2. Niu, S. Ergonomics and occupational safety and health: An ILO perspective. </w:t>
      </w:r>
      <w:r w:rsidRPr="00C23091">
        <w:rPr>
          <w:i/>
          <w:iCs/>
        </w:rPr>
        <w:t xml:space="preserve">Appl Ergon. </w:t>
      </w:r>
      <w:r w:rsidRPr="00C23091">
        <w:t>2010;41:744-753.</w:t>
      </w:r>
    </w:p>
    <w:p w14:paraId="3855259E" w14:textId="77777777" w:rsidR="00C23091" w:rsidRPr="00C23091" w:rsidRDefault="00C23091" w:rsidP="00D60D5F">
      <w:pPr>
        <w:pStyle w:val="NormalWeb"/>
        <w:spacing w:before="0" w:beforeAutospacing="0" w:after="0" w:afterAutospacing="0" w:line="480" w:lineRule="auto"/>
        <w:ind w:hanging="288"/>
      </w:pPr>
      <w:r w:rsidRPr="00C23091">
        <w:t xml:space="preserve">3. Rempel, D M, Harrison, R J and Barnhart, S. Work-related cumulative trauma disorders of the upper extremity. </w:t>
      </w:r>
      <w:r w:rsidRPr="00C23091">
        <w:rPr>
          <w:i/>
          <w:iCs/>
        </w:rPr>
        <w:t xml:space="preserve">JAMA. </w:t>
      </w:r>
      <w:r w:rsidRPr="00C23091">
        <w:t>1992;267:838-842.</w:t>
      </w:r>
    </w:p>
    <w:p w14:paraId="3590F5D7" w14:textId="77777777" w:rsidR="00C23091" w:rsidRPr="00C23091" w:rsidRDefault="00C23091" w:rsidP="00D60D5F">
      <w:pPr>
        <w:pStyle w:val="NormalWeb"/>
        <w:spacing w:before="0" w:beforeAutospacing="0" w:after="0" w:afterAutospacing="0" w:line="480" w:lineRule="auto"/>
        <w:ind w:hanging="288"/>
      </w:pPr>
      <w:r w:rsidRPr="00C23091">
        <w:t xml:space="preserve">4. Punnett, L and Wegman, D H. Work-related musculoskeletal disorders: The epidemiologic evidence and the debate. </w:t>
      </w:r>
      <w:r w:rsidRPr="00C23091">
        <w:rPr>
          <w:i/>
          <w:iCs/>
        </w:rPr>
        <w:t xml:space="preserve">J Electromyogr Kinesiol. </w:t>
      </w:r>
      <w:r w:rsidRPr="00C23091">
        <w:t>2004;14:13-23.</w:t>
      </w:r>
    </w:p>
    <w:p w14:paraId="153411F9" w14:textId="77777777" w:rsidR="00C23091" w:rsidRPr="00C23091" w:rsidRDefault="00C23091" w:rsidP="00D60D5F">
      <w:pPr>
        <w:pStyle w:val="NormalWeb"/>
        <w:spacing w:before="0" w:beforeAutospacing="0" w:after="0" w:afterAutospacing="0" w:line="480" w:lineRule="auto"/>
        <w:ind w:hanging="288"/>
      </w:pPr>
      <w:r w:rsidRPr="00C23091">
        <w:t xml:space="preserve">5. Meijer, E M, Sluiter, J K and Frings-Dresen, M. Is workstyle a mediating factor for pain in the upper extremity over time? </w:t>
      </w:r>
      <w:r w:rsidRPr="00C23091">
        <w:rPr>
          <w:i/>
          <w:iCs/>
        </w:rPr>
        <w:t xml:space="preserve">J Occup Rehabil. </w:t>
      </w:r>
      <w:r w:rsidRPr="00C23091">
        <w:t>2008;18:262-266.</w:t>
      </w:r>
    </w:p>
    <w:p w14:paraId="09A24145" w14:textId="77777777" w:rsidR="00C23091" w:rsidRPr="00C23091" w:rsidRDefault="00C23091" w:rsidP="00D60D5F">
      <w:pPr>
        <w:pStyle w:val="NormalWeb"/>
        <w:spacing w:before="0" w:beforeAutospacing="0" w:after="0" w:afterAutospacing="0" w:line="480" w:lineRule="auto"/>
        <w:ind w:hanging="288"/>
      </w:pPr>
      <w:r w:rsidRPr="00C23091">
        <w:t xml:space="preserve">6. Haufler, A J, Feuerstein, M and Huang, G D. Job stress, upper extremity pain and functional limitations in symptomatic computer users. </w:t>
      </w:r>
      <w:r w:rsidRPr="00C23091">
        <w:rPr>
          <w:i/>
          <w:iCs/>
        </w:rPr>
        <w:t xml:space="preserve">Am J Ind Med. </w:t>
      </w:r>
      <w:r w:rsidRPr="00C23091">
        <w:t>2000;38:507-515.</w:t>
      </w:r>
    </w:p>
    <w:p w14:paraId="30AEB64E" w14:textId="77777777" w:rsidR="00C23091" w:rsidRPr="00C23091" w:rsidRDefault="00C23091" w:rsidP="00D60D5F">
      <w:pPr>
        <w:pStyle w:val="NormalWeb"/>
        <w:spacing w:before="0" w:beforeAutospacing="0" w:after="0" w:afterAutospacing="0" w:line="480" w:lineRule="auto"/>
        <w:ind w:hanging="288"/>
      </w:pPr>
      <w:r w:rsidRPr="00C23091">
        <w:t xml:space="preserve">7. National Research Council (US). Panel on Musculoskeletal Disorders, the Workplace and Institute of Medicine (US). </w:t>
      </w:r>
      <w:r w:rsidRPr="00C23091">
        <w:rPr>
          <w:i/>
          <w:iCs/>
        </w:rPr>
        <w:t xml:space="preserve">Musculoskeletal Disorders and the Workplace: Low Back and Upper Extremities. </w:t>
      </w:r>
      <w:r w:rsidRPr="00C23091">
        <w:t>Washington, DC: National Academies Press; 2001.</w:t>
      </w:r>
    </w:p>
    <w:p w14:paraId="399497B1" w14:textId="427AC6C6" w:rsidR="00C23091" w:rsidRPr="00C23091" w:rsidRDefault="00C23091" w:rsidP="00D60D5F">
      <w:pPr>
        <w:pStyle w:val="NormalWeb"/>
        <w:spacing w:before="0" w:beforeAutospacing="0" w:after="0" w:afterAutospacing="0" w:line="480" w:lineRule="auto"/>
        <w:ind w:hanging="288"/>
      </w:pPr>
      <w:r w:rsidRPr="00C23091">
        <w:t>8. Bernard, B (</w:t>
      </w:r>
      <w:r w:rsidR="00175EF9">
        <w:t>Ed.)</w:t>
      </w:r>
      <w:r w:rsidRPr="00C23091">
        <w:t>. Musculoskeletal disorders and workplace factors: A critical review of epidemiologic evidence for work-related musculoskeletal disorders of the neck, upper extremity, and low back. DHHHS (NIOSH) publication no.97-141. cincinnati, OH: U.S. department of health and human services, centers for disease control and prevention. national institute for occupational safety and health. 1997.</w:t>
      </w:r>
    </w:p>
    <w:p w14:paraId="148C3479" w14:textId="77777777" w:rsidR="00C23091" w:rsidRPr="00C23091" w:rsidRDefault="00C23091" w:rsidP="00D60D5F">
      <w:pPr>
        <w:pStyle w:val="NormalWeb"/>
        <w:spacing w:before="0" w:beforeAutospacing="0" w:after="0" w:afterAutospacing="0" w:line="480" w:lineRule="auto"/>
        <w:ind w:hanging="288"/>
      </w:pPr>
      <w:r w:rsidRPr="00C23091">
        <w:lastRenderedPageBreak/>
        <w:t xml:space="preserve">9. Tanaka, S, Petersen, M and Cameron, L. Prevalence and risk factors of tendinitis and related disorders of the distal upper extremity among US workers: Comparison to carpal tunnel syndrome. </w:t>
      </w:r>
      <w:r w:rsidRPr="00C23091">
        <w:rPr>
          <w:i/>
          <w:iCs/>
        </w:rPr>
        <w:t xml:space="preserve">Am J Ind Med. </w:t>
      </w:r>
      <w:r w:rsidRPr="00C23091">
        <w:t>2001;39:328-335.</w:t>
      </w:r>
    </w:p>
    <w:p w14:paraId="61C5D142" w14:textId="77777777" w:rsidR="00C23091" w:rsidRPr="00C23091" w:rsidRDefault="00C23091" w:rsidP="00D60D5F">
      <w:pPr>
        <w:pStyle w:val="NormalWeb"/>
        <w:spacing w:before="0" w:beforeAutospacing="0" w:after="0" w:afterAutospacing="0" w:line="480" w:lineRule="auto"/>
        <w:ind w:hanging="288"/>
      </w:pPr>
      <w:r w:rsidRPr="00C23091">
        <w:t xml:space="preserve">10. Gerr, F, Letz, R and Landrigan, P J. Upper-extremity musculoskeletal disorders of occupational origin. </w:t>
      </w:r>
      <w:r w:rsidRPr="00C23091">
        <w:rPr>
          <w:i/>
          <w:iCs/>
        </w:rPr>
        <w:t xml:space="preserve">Annu Rev Public Health. </w:t>
      </w:r>
      <w:r w:rsidRPr="00C23091">
        <w:t>1991;12:543-566.</w:t>
      </w:r>
    </w:p>
    <w:p w14:paraId="7CF9BFDE" w14:textId="77777777" w:rsidR="00C23091" w:rsidRPr="00C23091" w:rsidRDefault="00C23091" w:rsidP="00D60D5F">
      <w:pPr>
        <w:pStyle w:val="NormalWeb"/>
        <w:spacing w:before="0" w:beforeAutospacing="0" w:after="0" w:afterAutospacing="0" w:line="480" w:lineRule="auto"/>
        <w:ind w:hanging="288"/>
      </w:pPr>
      <w:r w:rsidRPr="00C23091">
        <w:t xml:space="preserve">11. Gerr, F, Marcus, M and Monteilh, C. Epidemiology of musculoskeletal disorders among computer users: Lesson learned from the role of posture and keyboard use. </w:t>
      </w:r>
      <w:r w:rsidRPr="00C23091">
        <w:rPr>
          <w:i/>
          <w:iCs/>
        </w:rPr>
        <w:t xml:space="preserve">J Electromyogr Kinesiol. </w:t>
      </w:r>
      <w:r w:rsidRPr="00C23091">
        <w:t>2004;14:25-31.</w:t>
      </w:r>
    </w:p>
    <w:p w14:paraId="1442A143" w14:textId="77777777" w:rsidR="00C23091" w:rsidRPr="00C23091" w:rsidRDefault="00C23091" w:rsidP="00D60D5F">
      <w:pPr>
        <w:pStyle w:val="NormalWeb"/>
        <w:spacing w:before="0" w:beforeAutospacing="0" w:after="0" w:afterAutospacing="0" w:line="480" w:lineRule="auto"/>
        <w:ind w:hanging="288"/>
      </w:pPr>
      <w:r w:rsidRPr="00C23091">
        <w:t xml:space="preserve">12. Farioli, A, Mattioli, S, Quaglieri, A, Curti, S, Violante, F and Coggon, D. Musculoskeletal pain in europe: The role of personal, occupational, and social risk factors. </w:t>
      </w:r>
      <w:r w:rsidRPr="00C23091">
        <w:rPr>
          <w:i/>
          <w:iCs/>
        </w:rPr>
        <w:t xml:space="preserve">Scand J Work Environ Health. </w:t>
      </w:r>
      <w:r w:rsidRPr="00C23091">
        <w:t>2014;40:36-46.</w:t>
      </w:r>
    </w:p>
    <w:p w14:paraId="5B313352" w14:textId="77777777" w:rsidR="00C23091" w:rsidRPr="00C23091" w:rsidRDefault="00C23091" w:rsidP="00D60D5F">
      <w:pPr>
        <w:pStyle w:val="NormalWeb"/>
        <w:spacing w:before="0" w:beforeAutospacing="0" w:after="0" w:afterAutospacing="0" w:line="480" w:lineRule="auto"/>
        <w:ind w:hanging="288"/>
      </w:pPr>
      <w:r w:rsidRPr="00C23091">
        <w:t xml:space="preserve">13. Coury, H C G. Time trends in ergonomic intervention research for improved musculoskeletal health and comfort in latin america. </w:t>
      </w:r>
      <w:r w:rsidRPr="00C23091">
        <w:rPr>
          <w:i/>
          <w:iCs/>
        </w:rPr>
        <w:t xml:space="preserve">Appl Ergon. </w:t>
      </w:r>
      <w:r w:rsidRPr="00C23091">
        <w:t>2005;36:249-252.</w:t>
      </w:r>
    </w:p>
    <w:p w14:paraId="098AC289" w14:textId="77777777" w:rsidR="00C23091" w:rsidRPr="00C23091" w:rsidRDefault="00C23091" w:rsidP="00D60D5F">
      <w:pPr>
        <w:pStyle w:val="NormalWeb"/>
        <w:spacing w:before="0" w:beforeAutospacing="0" w:after="0" w:afterAutospacing="0" w:line="480" w:lineRule="auto"/>
        <w:ind w:hanging="288"/>
      </w:pPr>
      <w:r w:rsidRPr="00C23091">
        <w:t xml:space="preserve">14. Benavides, F G, Wesseling, C, Delclos, G L, et al. Working conditions and health in central america: A survey of 12,024 workers in six countries. </w:t>
      </w:r>
      <w:r w:rsidRPr="00C23091">
        <w:rPr>
          <w:i/>
          <w:iCs/>
        </w:rPr>
        <w:t xml:space="preserve">Occup Environ Med. </w:t>
      </w:r>
      <w:r w:rsidRPr="00C23091">
        <w:t>2014;71:459-465.</w:t>
      </w:r>
    </w:p>
    <w:p w14:paraId="2B55AAE8" w14:textId="77777777" w:rsidR="00C23091" w:rsidRPr="00C23091" w:rsidRDefault="00C23091" w:rsidP="00D60D5F">
      <w:pPr>
        <w:pStyle w:val="NormalWeb"/>
        <w:spacing w:before="0" w:beforeAutospacing="0" w:after="0" w:afterAutospacing="0" w:line="480" w:lineRule="auto"/>
        <w:ind w:hanging="288"/>
      </w:pPr>
      <w:r w:rsidRPr="00C23091">
        <w:t xml:space="preserve">15. Bongers, P M, de Winter, C R, Kompier, M A J and Hildebrandt, V H. Psychosocial factors at work and musculoskeletal disease. </w:t>
      </w:r>
      <w:r w:rsidRPr="00C23091">
        <w:rPr>
          <w:i/>
          <w:iCs/>
        </w:rPr>
        <w:t xml:space="preserve">Scand J Work Environ Health. </w:t>
      </w:r>
      <w:r w:rsidRPr="00C23091">
        <w:t>1993;19:297-312.</w:t>
      </w:r>
    </w:p>
    <w:p w14:paraId="108A5569" w14:textId="77777777" w:rsidR="00C23091" w:rsidRPr="00C23091" w:rsidRDefault="00C23091" w:rsidP="00D60D5F">
      <w:pPr>
        <w:pStyle w:val="NormalWeb"/>
        <w:spacing w:before="0" w:beforeAutospacing="0" w:after="0" w:afterAutospacing="0" w:line="480" w:lineRule="auto"/>
        <w:ind w:hanging="288"/>
      </w:pPr>
      <w:r w:rsidRPr="00C23091">
        <w:t xml:space="preserve">16. Wahlstrom, J. Ergonomics, musculoskeletal disorders and computer work. </w:t>
      </w:r>
      <w:r w:rsidRPr="00C23091">
        <w:rPr>
          <w:i/>
          <w:iCs/>
        </w:rPr>
        <w:t xml:space="preserve">Occup Med. </w:t>
      </w:r>
      <w:r w:rsidRPr="00C23091">
        <w:t>2005;55:168-176.</w:t>
      </w:r>
    </w:p>
    <w:p w14:paraId="25FB496E" w14:textId="77777777" w:rsidR="00C23091" w:rsidRPr="00C23091" w:rsidRDefault="00C23091" w:rsidP="00D60D5F">
      <w:pPr>
        <w:pStyle w:val="NormalWeb"/>
        <w:spacing w:before="0" w:beforeAutospacing="0" w:after="0" w:afterAutospacing="0" w:line="480" w:lineRule="auto"/>
        <w:ind w:hanging="288"/>
      </w:pPr>
      <w:r w:rsidRPr="00C23091">
        <w:t xml:space="preserve">17. Feuerstein, M, Nicholas, R A, Huang, G D, Dimberg, L, Ali, D and Rogers, H. Job stress management and ergonomic intervention for work-related upper extremity symptoms. </w:t>
      </w:r>
      <w:r w:rsidRPr="00C23091">
        <w:rPr>
          <w:i/>
          <w:iCs/>
        </w:rPr>
        <w:t xml:space="preserve">Appl Ergon. </w:t>
      </w:r>
      <w:r w:rsidRPr="00C23091">
        <w:t>2004;35:565-574.</w:t>
      </w:r>
    </w:p>
    <w:p w14:paraId="343CC1DA" w14:textId="77777777" w:rsidR="00C23091" w:rsidRPr="00C23091" w:rsidRDefault="00C23091" w:rsidP="00D60D5F">
      <w:pPr>
        <w:pStyle w:val="NormalWeb"/>
        <w:spacing w:before="0" w:beforeAutospacing="0" w:after="0" w:afterAutospacing="0" w:line="480" w:lineRule="auto"/>
        <w:ind w:hanging="288"/>
      </w:pPr>
      <w:r w:rsidRPr="00C23091">
        <w:lastRenderedPageBreak/>
        <w:t xml:space="preserve">18. Waersted, M, Hanvold, T N and Veiersted, K B. Computer work and musculoskeletal disorders of the neck and upper extremity: A systematic review. </w:t>
      </w:r>
      <w:r w:rsidRPr="00C23091">
        <w:rPr>
          <w:i/>
          <w:iCs/>
        </w:rPr>
        <w:t xml:space="preserve">BMC Musculoskelet Disord. </w:t>
      </w:r>
      <w:r w:rsidRPr="00C23091">
        <w:t>2010;11:1-15.</w:t>
      </w:r>
    </w:p>
    <w:p w14:paraId="19E58736" w14:textId="77777777" w:rsidR="00C23091" w:rsidRPr="00C23091" w:rsidRDefault="00C23091" w:rsidP="00D60D5F">
      <w:pPr>
        <w:pStyle w:val="NormalWeb"/>
        <w:spacing w:before="0" w:beforeAutospacing="0" w:after="0" w:afterAutospacing="0" w:line="480" w:lineRule="auto"/>
        <w:ind w:hanging="288"/>
      </w:pPr>
      <w:r w:rsidRPr="00C23091">
        <w:t xml:space="preserve">19. Marras, W S, Cutlip, R G, Burt, S E and Waters, T R. National occupational research agenda (NORA) future directions in occupational musculoskeletal disorder health research. </w:t>
      </w:r>
      <w:r w:rsidRPr="00C23091">
        <w:rPr>
          <w:i/>
          <w:iCs/>
        </w:rPr>
        <w:t xml:space="preserve">Appl Ergon. </w:t>
      </w:r>
      <w:r w:rsidRPr="00C23091">
        <w:t>2009;40:15-22.</w:t>
      </w:r>
    </w:p>
    <w:p w14:paraId="1580F33E" w14:textId="77777777" w:rsidR="00C23091" w:rsidRPr="00C23091" w:rsidRDefault="00C23091" w:rsidP="00D60D5F">
      <w:pPr>
        <w:pStyle w:val="NormalWeb"/>
        <w:spacing w:before="0" w:beforeAutospacing="0" w:after="0" w:afterAutospacing="0" w:line="480" w:lineRule="auto"/>
        <w:ind w:hanging="288"/>
      </w:pPr>
      <w:r w:rsidRPr="00C23091">
        <w:t xml:space="preserve">20. Coggon, D, Ntani, G, Palmer, K T, et al. The CUPID (cultural and psychosocial influences on disability) study: Methods of data collection and characteristics of study sample. </w:t>
      </w:r>
      <w:r w:rsidRPr="00C23091">
        <w:rPr>
          <w:i/>
          <w:iCs/>
        </w:rPr>
        <w:t xml:space="preserve">PLoS ONE. </w:t>
      </w:r>
      <w:r w:rsidRPr="00C23091">
        <w:t>2012;7:e39820.</w:t>
      </w:r>
    </w:p>
    <w:p w14:paraId="0F005616" w14:textId="77777777" w:rsidR="00C23091" w:rsidRPr="00C23091" w:rsidRDefault="00C23091" w:rsidP="00D60D5F">
      <w:pPr>
        <w:pStyle w:val="NormalWeb"/>
        <w:spacing w:before="0" w:beforeAutospacing="0" w:after="0" w:afterAutospacing="0" w:line="480" w:lineRule="auto"/>
        <w:ind w:hanging="288"/>
      </w:pPr>
      <w:r w:rsidRPr="00C23091">
        <w:t xml:space="preserve">21. Madan, I, Reading, I, Palmer, K T and Coggon, D. Cultural differences in musculoskeletal symptoms and disability. </w:t>
      </w:r>
      <w:r w:rsidRPr="00C23091">
        <w:rPr>
          <w:i/>
          <w:iCs/>
        </w:rPr>
        <w:t xml:space="preserve">Int J Epidemiol. </w:t>
      </w:r>
      <w:r w:rsidRPr="00C23091">
        <w:t>2008;37:1181-1189.</w:t>
      </w:r>
    </w:p>
    <w:p w14:paraId="1AF34530" w14:textId="77777777" w:rsidR="00C23091" w:rsidRPr="00C23091" w:rsidRDefault="00C23091" w:rsidP="00D60D5F">
      <w:pPr>
        <w:pStyle w:val="NormalWeb"/>
        <w:spacing w:before="0" w:beforeAutospacing="0" w:after="0" w:afterAutospacing="0" w:line="480" w:lineRule="auto"/>
        <w:ind w:hanging="288"/>
      </w:pPr>
      <w:r w:rsidRPr="00C23091">
        <w:t xml:space="preserve">22. Coggon, D. Occupational medicine at a turning point. </w:t>
      </w:r>
      <w:r w:rsidRPr="00C23091">
        <w:rPr>
          <w:i/>
          <w:iCs/>
        </w:rPr>
        <w:t xml:space="preserve">Occup Environ Med. </w:t>
      </w:r>
      <w:r w:rsidRPr="00C23091">
        <w:t>2005;62:281-283.</w:t>
      </w:r>
    </w:p>
    <w:p w14:paraId="01B208F3" w14:textId="77777777" w:rsidR="00C23091" w:rsidRPr="00C23091" w:rsidRDefault="00C23091" w:rsidP="00D60D5F">
      <w:pPr>
        <w:pStyle w:val="NormalWeb"/>
        <w:spacing w:before="0" w:beforeAutospacing="0" w:after="0" w:afterAutospacing="0" w:line="480" w:lineRule="auto"/>
        <w:ind w:hanging="288"/>
      </w:pPr>
      <w:r w:rsidRPr="00C23091">
        <w:t xml:space="preserve">23. Armstrong, T J, Buckle, P, Fine, L J, et al. A conceptual model for work-related neck and upper-limb musculoskeletal disorders. </w:t>
      </w:r>
      <w:r w:rsidRPr="00C23091">
        <w:rPr>
          <w:i/>
          <w:iCs/>
        </w:rPr>
        <w:t xml:space="preserve">Scand J Work Environ Health. </w:t>
      </w:r>
      <w:r w:rsidRPr="00C23091">
        <w:t>1993:73-84.</w:t>
      </w:r>
    </w:p>
    <w:p w14:paraId="260E02D5" w14:textId="77777777" w:rsidR="00C23091" w:rsidRPr="00C23091" w:rsidRDefault="00C23091" w:rsidP="00D60D5F">
      <w:pPr>
        <w:pStyle w:val="NormalWeb"/>
        <w:spacing w:before="0" w:beforeAutospacing="0" w:after="0" w:afterAutospacing="0" w:line="480" w:lineRule="auto"/>
        <w:ind w:hanging="288"/>
      </w:pPr>
      <w:r w:rsidRPr="00C23091">
        <w:t xml:space="preserve">24. Warnakulasuriya, S, Peiris-John, R, Coggon, D, Ntani, G, Sathiakumar, N and Wickremasinghe, A. Musculoskeletal pain in four occupational populations in sri lanka. </w:t>
      </w:r>
      <w:r w:rsidRPr="00C23091">
        <w:rPr>
          <w:i/>
          <w:iCs/>
        </w:rPr>
        <w:t xml:space="preserve">Occup Med. </w:t>
      </w:r>
      <w:r w:rsidRPr="00C23091">
        <w:t>2012;62:269-272.</w:t>
      </w:r>
    </w:p>
    <w:p w14:paraId="028F73D6" w14:textId="77777777" w:rsidR="00C23091" w:rsidRPr="00C23091" w:rsidRDefault="00C23091" w:rsidP="00D60D5F">
      <w:pPr>
        <w:pStyle w:val="NormalWeb"/>
        <w:spacing w:before="0" w:beforeAutospacing="0" w:after="0" w:afterAutospacing="0" w:line="480" w:lineRule="auto"/>
        <w:ind w:hanging="288"/>
      </w:pPr>
      <w:r w:rsidRPr="00C23091">
        <w:t>25. The World Bank Group. New country classifications. 07/02/2013;2014.</w:t>
      </w:r>
    </w:p>
    <w:p w14:paraId="545B83AD" w14:textId="77777777" w:rsidR="00C23091" w:rsidRPr="00C23091" w:rsidRDefault="00C23091" w:rsidP="00D60D5F">
      <w:pPr>
        <w:pStyle w:val="NormalWeb"/>
        <w:spacing w:before="0" w:beforeAutospacing="0" w:after="0" w:afterAutospacing="0" w:line="480" w:lineRule="auto"/>
        <w:ind w:hanging="288"/>
      </w:pPr>
      <w:r w:rsidRPr="00D94C14">
        <w:t xml:space="preserve">26. Vargas-Prada, S, Serra, C, Martínez, J M, et al. </w:t>
      </w:r>
      <w:r w:rsidRPr="00C23091">
        <w:t xml:space="preserve">Psychological and culturally-influenced risk factors for the incidence and persistence of low back pain and associated disability in spanish workers: Findings from the CUPID study. </w:t>
      </w:r>
      <w:r w:rsidRPr="00C23091">
        <w:rPr>
          <w:i/>
          <w:iCs/>
        </w:rPr>
        <w:t xml:space="preserve">Occup Environ Med. </w:t>
      </w:r>
      <w:r w:rsidRPr="00C23091">
        <w:t>2012;70:57-62.</w:t>
      </w:r>
    </w:p>
    <w:p w14:paraId="55D760C3" w14:textId="77777777" w:rsidR="00C23091" w:rsidRPr="00C23091" w:rsidRDefault="00C23091" w:rsidP="00D60D5F">
      <w:pPr>
        <w:pStyle w:val="NormalWeb"/>
        <w:spacing w:before="0" w:beforeAutospacing="0" w:after="0" w:afterAutospacing="0" w:line="480" w:lineRule="auto"/>
        <w:ind w:hanging="288"/>
      </w:pPr>
      <w:r w:rsidRPr="00C23091">
        <w:t xml:space="preserve">27. Kuorinka, I, Jonsson, B, Kilbom, A, et al. Standardised nordic questionnaires for the analysis of musculoskeletal symptoms. </w:t>
      </w:r>
      <w:r w:rsidRPr="00C23091">
        <w:rPr>
          <w:i/>
          <w:iCs/>
        </w:rPr>
        <w:t xml:space="preserve">Appl Ergon. </w:t>
      </w:r>
      <w:r w:rsidRPr="00C23091">
        <w:t>1987;18:233-237.</w:t>
      </w:r>
    </w:p>
    <w:p w14:paraId="42A7EC4F" w14:textId="77777777" w:rsidR="00C23091" w:rsidRPr="00C23091" w:rsidRDefault="00C23091" w:rsidP="00D60D5F">
      <w:pPr>
        <w:pStyle w:val="NormalWeb"/>
        <w:spacing w:before="0" w:beforeAutospacing="0" w:after="0" w:afterAutospacing="0" w:line="480" w:lineRule="auto"/>
        <w:ind w:hanging="288"/>
      </w:pPr>
      <w:r w:rsidRPr="00C23091">
        <w:lastRenderedPageBreak/>
        <w:t xml:space="preserve">28. Waddell, G, Newton, M, Henderson, I, Somerville, D and Main, C J. A fear-avoidance beliefs questionnaire (FABQ) and the role of fear-avoidance beliefs in chronic low back pain and disability. </w:t>
      </w:r>
      <w:r w:rsidRPr="00C23091">
        <w:rPr>
          <w:i/>
          <w:iCs/>
        </w:rPr>
        <w:t xml:space="preserve">Pain. </w:t>
      </w:r>
      <w:r w:rsidRPr="00C23091">
        <w:t>1993;52:157-168.</w:t>
      </w:r>
    </w:p>
    <w:p w14:paraId="3F2179E0" w14:textId="77777777" w:rsidR="00C23091" w:rsidRPr="00C23091" w:rsidRDefault="00C23091" w:rsidP="00D60D5F">
      <w:pPr>
        <w:pStyle w:val="NormalWeb"/>
        <w:spacing w:before="0" w:beforeAutospacing="0" w:after="0" w:afterAutospacing="0" w:line="480" w:lineRule="auto"/>
        <w:ind w:hanging="288"/>
      </w:pPr>
      <w:r w:rsidRPr="00C23091">
        <w:t xml:space="preserve">29. Ware Jr, J E and Sherbourne, C D. The MOS 36-item short-form health survey (SF-36): I. conceptual framework and item selection. </w:t>
      </w:r>
      <w:r w:rsidRPr="00C23091">
        <w:rPr>
          <w:i/>
          <w:iCs/>
        </w:rPr>
        <w:t xml:space="preserve">Med Care. </w:t>
      </w:r>
      <w:r w:rsidRPr="00C23091">
        <w:t>1992:473-483.</w:t>
      </w:r>
    </w:p>
    <w:p w14:paraId="024D64CA" w14:textId="77777777" w:rsidR="00C23091" w:rsidRPr="00C23091" w:rsidRDefault="00C23091" w:rsidP="00D60D5F">
      <w:pPr>
        <w:pStyle w:val="NormalWeb"/>
        <w:spacing w:before="0" w:beforeAutospacing="0" w:after="0" w:afterAutospacing="0" w:line="480" w:lineRule="auto"/>
        <w:ind w:hanging="288"/>
      </w:pPr>
      <w:r w:rsidRPr="00C23091">
        <w:t xml:space="preserve">30. Derogatis, L R and Melisaratos, N. The brief symptom inventory: An introductory report. </w:t>
      </w:r>
      <w:r w:rsidRPr="00C23091">
        <w:rPr>
          <w:i/>
          <w:iCs/>
        </w:rPr>
        <w:t xml:space="preserve">Psychol Med. </w:t>
      </w:r>
      <w:r w:rsidRPr="00C23091">
        <w:t>1983;3:595-605.</w:t>
      </w:r>
    </w:p>
    <w:p w14:paraId="6E2047C3" w14:textId="77777777" w:rsidR="00C23091" w:rsidRPr="00C23091" w:rsidRDefault="00C23091" w:rsidP="00D60D5F">
      <w:pPr>
        <w:pStyle w:val="NormalWeb"/>
        <w:spacing w:before="0" w:beforeAutospacing="0" w:after="0" w:afterAutospacing="0" w:line="480" w:lineRule="auto"/>
        <w:ind w:hanging="288"/>
      </w:pPr>
      <w:r w:rsidRPr="00C23091">
        <w:t xml:space="preserve">31. Vargas-Prada, S, Martinez, J M, Coggon, D, Delclos, G, Benavides, F G and Serra, C. Health beliefs, low mood, and somatizing tendency: Contribution to incidence and persistence of musculoskeletal pain with and without reported disability. </w:t>
      </w:r>
      <w:r w:rsidRPr="00C23091">
        <w:rPr>
          <w:i/>
          <w:iCs/>
        </w:rPr>
        <w:t xml:space="preserve">Scand J Work Environ Health. </w:t>
      </w:r>
      <w:r w:rsidRPr="00C23091">
        <w:t>2013;39:589-598.</w:t>
      </w:r>
    </w:p>
    <w:p w14:paraId="676DEE63" w14:textId="77777777" w:rsidR="00C23091" w:rsidRPr="00C23091" w:rsidRDefault="00C23091" w:rsidP="00D60D5F">
      <w:pPr>
        <w:pStyle w:val="NormalWeb"/>
        <w:spacing w:before="0" w:beforeAutospacing="0" w:after="0" w:afterAutospacing="0" w:line="480" w:lineRule="auto"/>
        <w:ind w:hanging="288"/>
      </w:pPr>
      <w:r w:rsidRPr="00C23091">
        <w:t xml:space="preserve">32. Hosmer, D W and Lemeshow, S. </w:t>
      </w:r>
      <w:r w:rsidRPr="00C23091">
        <w:rPr>
          <w:i/>
          <w:iCs/>
        </w:rPr>
        <w:t xml:space="preserve">Applied Logistic Regression. </w:t>
      </w:r>
      <w:r w:rsidRPr="00C23091">
        <w:t>New York, NY: John Wiley &amp; Sons; 2000.</w:t>
      </w:r>
    </w:p>
    <w:p w14:paraId="7F5F481E" w14:textId="77777777" w:rsidR="00C23091" w:rsidRPr="00C23091" w:rsidRDefault="00C23091" w:rsidP="00D60D5F">
      <w:pPr>
        <w:pStyle w:val="NormalWeb"/>
        <w:spacing w:before="0" w:beforeAutospacing="0" w:after="0" w:afterAutospacing="0" w:line="480" w:lineRule="auto"/>
        <w:ind w:hanging="288"/>
      </w:pPr>
      <w:r w:rsidRPr="00C23091">
        <w:t xml:space="preserve">33. Amick III, B C, Habeck, R V, Ossmann, J, Fossel, A H, Keller, R and Katz, J N. Predictors of successful work role functioning after carpal tunnel release surgery. </w:t>
      </w:r>
      <w:r w:rsidRPr="00C23091">
        <w:rPr>
          <w:i/>
          <w:iCs/>
        </w:rPr>
        <w:t xml:space="preserve">J Occup Environ Med. </w:t>
      </w:r>
      <w:r w:rsidRPr="00C23091">
        <w:t>2004;46:490-500.</w:t>
      </w:r>
    </w:p>
    <w:p w14:paraId="055EA648" w14:textId="77777777" w:rsidR="00C23091" w:rsidRPr="00C23091" w:rsidRDefault="00C23091" w:rsidP="00D60D5F">
      <w:pPr>
        <w:pStyle w:val="NormalWeb"/>
        <w:spacing w:before="0" w:beforeAutospacing="0" w:after="0" w:afterAutospacing="0" w:line="480" w:lineRule="auto"/>
        <w:ind w:hanging="288"/>
      </w:pPr>
      <w:r w:rsidRPr="00C23091">
        <w:t xml:space="preserve">34. StataCorp. 2013. Stata statistical software: Release 13. </w:t>
      </w:r>
    </w:p>
    <w:p w14:paraId="1B1DC38B" w14:textId="77777777" w:rsidR="00C23091" w:rsidRPr="00C23091" w:rsidRDefault="00C23091" w:rsidP="00D60D5F">
      <w:pPr>
        <w:pStyle w:val="NormalWeb"/>
        <w:spacing w:before="0" w:beforeAutospacing="0" w:after="0" w:afterAutospacing="0" w:line="480" w:lineRule="auto"/>
        <w:ind w:hanging="288"/>
      </w:pPr>
      <w:r w:rsidRPr="00C23091">
        <w:t xml:space="preserve">35. Matsudaira, K, Palmer, K T, Reading, I, Hirai, M, Yoshimura, N and Coggon, D. Prevalence and correlates of regional pain and associated disability in japanese workers. </w:t>
      </w:r>
      <w:r w:rsidRPr="00C23091">
        <w:rPr>
          <w:i/>
          <w:iCs/>
        </w:rPr>
        <w:t xml:space="preserve">Occup Environ Med. </w:t>
      </w:r>
      <w:r w:rsidRPr="00C23091">
        <w:t>2011;68:191-196.</w:t>
      </w:r>
    </w:p>
    <w:p w14:paraId="5FE3657D" w14:textId="77777777" w:rsidR="00C23091" w:rsidRPr="00C23091" w:rsidRDefault="00C23091" w:rsidP="00D60D5F">
      <w:pPr>
        <w:pStyle w:val="NormalWeb"/>
        <w:spacing w:before="0" w:beforeAutospacing="0" w:after="0" w:afterAutospacing="0" w:line="480" w:lineRule="auto"/>
        <w:ind w:hanging="288"/>
      </w:pPr>
      <w:r w:rsidRPr="00C23091">
        <w:t xml:space="preserve">36. Harcombe, H, McBride, D, Derrett, S and Gray, A. Prevalence and impact of musculoskeletal disorders in new zealand nurses, postal workers and office workers. </w:t>
      </w:r>
      <w:r w:rsidRPr="00C23091">
        <w:rPr>
          <w:i/>
          <w:iCs/>
        </w:rPr>
        <w:t xml:space="preserve">Aust N Z J Public Health. </w:t>
      </w:r>
      <w:r w:rsidRPr="00C23091">
        <w:t>2009;33:437-441.</w:t>
      </w:r>
    </w:p>
    <w:p w14:paraId="31B95CE1" w14:textId="77777777" w:rsidR="00C23091" w:rsidRPr="00C23091" w:rsidRDefault="00C23091" w:rsidP="00D60D5F">
      <w:pPr>
        <w:pStyle w:val="NormalWeb"/>
        <w:spacing w:before="0" w:beforeAutospacing="0" w:after="0" w:afterAutospacing="0" w:line="480" w:lineRule="auto"/>
        <w:ind w:hanging="288"/>
      </w:pPr>
      <w:r w:rsidRPr="00C23091">
        <w:lastRenderedPageBreak/>
        <w:t xml:space="preserve">37. Gerr, F, Marcus, M, Ensor, C, et al. A prospective study of computer users: I. study design and incidence of musculoskeletal symptoms and disorders. </w:t>
      </w:r>
      <w:r w:rsidRPr="00C23091">
        <w:rPr>
          <w:i/>
          <w:iCs/>
        </w:rPr>
        <w:t xml:space="preserve">Am J Ind Med. </w:t>
      </w:r>
      <w:r w:rsidRPr="00C23091">
        <w:t>2002;41:221-235.</w:t>
      </w:r>
    </w:p>
    <w:p w14:paraId="2F2CEFDE" w14:textId="77777777" w:rsidR="00C23091" w:rsidRPr="00C23091" w:rsidRDefault="00C23091" w:rsidP="00D60D5F">
      <w:pPr>
        <w:pStyle w:val="NormalWeb"/>
        <w:spacing w:before="0" w:beforeAutospacing="0" w:after="0" w:afterAutospacing="0" w:line="480" w:lineRule="auto"/>
        <w:ind w:hanging="288"/>
      </w:pPr>
      <w:r w:rsidRPr="00C23091">
        <w:t xml:space="preserve">38. Coggon, D, Ntani, G, Palmer, K T, et al. Disabling musculoskeletal pain in working populations: Is it the job, the person, or the culture? </w:t>
      </w:r>
      <w:r w:rsidRPr="00C23091">
        <w:rPr>
          <w:i/>
          <w:iCs/>
        </w:rPr>
        <w:t xml:space="preserve">Pain. </w:t>
      </w:r>
      <w:r w:rsidRPr="00C23091">
        <w:t>2013;154:856-863.</w:t>
      </w:r>
    </w:p>
    <w:p w14:paraId="69FAE01A" w14:textId="77777777" w:rsidR="00C23091" w:rsidRPr="00C23091" w:rsidRDefault="00C23091" w:rsidP="00D60D5F">
      <w:pPr>
        <w:pStyle w:val="NormalWeb"/>
        <w:spacing w:before="0" w:beforeAutospacing="0" w:after="0" w:afterAutospacing="0" w:line="480" w:lineRule="auto"/>
        <w:ind w:hanging="288"/>
      </w:pPr>
      <w:r w:rsidRPr="00C23091">
        <w:t xml:space="preserve">39. Palmer, K, Reading, I, Linaker, C, Calnan, M and Coggon, D. Population-based cohort study of incident and persistent arm pain: Role of mental health, self-rated health and health beliefs. </w:t>
      </w:r>
      <w:r w:rsidRPr="00C23091">
        <w:rPr>
          <w:i/>
          <w:iCs/>
        </w:rPr>
        <w:t xml:space="preserve">Pain. </w:t>
      </w:r>
      <w:r w:rsidRPr="00C23091">
        <w:t>2008;136:30-37.</w:t>
      </w:r>
    </w:p>
    <w:p w14:paraId="58743816" w14:textId="77777777" w:rsidR="00C23091" w:rsidRPr="00C23091" w:rsidRDefault="00C23091" w:rsidP="00D60D5F">
      <w:pPr>
        <w:pStyle w:val="NormalWeb"/>
        <w:spacing w:before="0" w:beforeAutospacing="0" w:after="0" w:afterAutospacing="0" w:line="480" w:lineRule="auto"/>
        <w:ind w:hanging="288"/>
      </w:pPr>
      <w:r w:rsidRPr="00C23091">
        <w:t xml:space="preserve">40. Macfarlane, G J, Hunt, I M and Silman, A J. Role of mechanical and psychosocial factors in the onset of forearm pain: Prospective population based study. </w:t>
      </w:r>
      <w:r w:rsidRPr="00C23091">
        <w:rPr>
          <w:i/>
          <w:iCs/>
        </w:rPr>
        <w:t xml:space="preserve">BMJ. </w:t>
      </w:r>
      <w:r w:rsidRPr="00C23091">
        <w:t>2000;321:676-679.</w:t>
      </w:r>
    </w:p>
    <w:p w14:paraId="7D987A62" w14:textId="77777777" w:rsidR="00C23091" w:rsidRPr="00C23091" w:rsidRDefault="00C23091" w:rsidP="00D60D5F">
      <w:pPr>
        <w:pStyle w:val="NormalWeb"/>
        <w:spacing w:before="0" w:beforeAutospacing="0" w:after="0" w:afterAutospacing="0" w:line="480" w:lineRule="auto"/>
        <w:ind w:hanging="288"/>
      </w:pPr>
      <w:r w:rsidRPr="00C23091">
        <w:t xml:space="preserve">41. Fujii, T, Matsudaira, K, Yoshimura, N, Hirai, M and Tanaka, S. Associations between neck and shoulder discomfort (katakori) and job demand, job control, and worksite support. </w:t>
      </w:r>
      <w:r w:rsidRPr="00C23091">
        <w:rPr>
          <w:i/>
          <w:iCs/>
        </w:rPr>
        <w:t xml:space="preserve">Mod Rheumatol. </w:t>
      </w:r>
      <w:r w:rsidRPr="00C23091">
        <w:t>2013;23:1198-1204.</w:t>
      </w:r>
    </w:p>
    <w:p w14:paraId="5D9BEC00" w14:textId="77777777" w:rsidR="00C23091" w:rsidRPr="00C23091" w:rsidRDefault="00C23091" w:rsidP="00D60D5F">
      <w:pPr>
        <w:pStyle w:val="NormalWeb"/>
        <w:spacing w:before="0" w:beforeAutospacing="0" w:after="0" w:afterAutospacing="0" w:line="480" w:lineRule="auto"/>
        <w:ind w:hanging="288"/>
        <w:rPr>
          <w:lang w:val="es-CR"/>
        </w:rPr>
      </w:pPr>
      <w:r w:rsidRPr="00C23091">
        <w:t xml:space="preserve">42. Sadeghian, F, Raei, M, Ntani, G and Coggon, D. Predictors of incident and persistent neck/shoulder pain in iranian workers: A cohort study. </w:t>
      </w:r>
      <w:r w:rsidRPr="00C23091">
        <w:rPr>
          <w:i/>
          <w:iCs/>
          <w:lang w:val="es-CR"/>
        </w:rPr>
        <w:t xml:space="preserve">PLoS ONE. </w:t>
      </w:r>
      <w:r w:rsidRPr="00C23091">
        <w:rPr>
          <w:lang w:val="es-CR"/>
        </w:rPr>
        <w:t>2013;8:e57544.</w:t>
      </w:r>
    </w:p>
    <w:p w14:paraId="41B99324" w14:textId="77777777" w:rsidR="00C23091" w:rsidRPr="00C23091" w:rsidRDefault="00C23091" w:rsidP="00D60D5F">
      <w:pPr>
        <w:pStyle w:val="NormalWeb"/>
        <w:spacing w:before="0" w:beforeAutospacing="0" w:after="0" w:afterAutospacing="0" w:line="480" w:lineRule="auto"/>
        <w:ind w:hanging="288"/>
      </w:pPr>
      <w:r w:rsidRPr="00C23091">
        <w:rPr>
          <w:lang w:val="es-CR"/>
        </w:rPr>
        <w:t xml:space="preserve">43. Solidaki, E, Chatzi, L, Bitsios, P, et al. </w:t>
      </w:r>
      <w:r w:rsidRPr="00C23091">
        <w:t xml:space="preserve">Work related and psychological determinants of multi-site musculoskeletal pain. </w:t>
      </w:r>
      <w:r w:rsidRPr="00C23091">
        <w:rPr>
          <w:i/>
          <w:iCs/>
        </w:rPr>
        <w:t xml:space="preserve">Scand J Work Environ Health. </w:t>
      </w:r>
      <w:r w:rsidRPr="00C23091">
        <w:t>2010;36:54.</w:t>
      </w:r>
    </w:p>
    <w:p w14:paraId="074EAF70" w14:textId="77777777" w:rsidR="00C23091" w:rsidRPr="00C23091" w:rsidRDefault="00C23091" w:rsidP="00D60D5F">
      <w:pPr>
        <w:pStyle w:val="NormalWeb"/>
        <w:spacing w:before="0" w:beforeAutospacing="0" w:after="0" w:afterAutospacing="0" w:line="480" w:lineRule="auto"/>
        <w:ind w:hanging="288"/>
      </w:pPr>
      <w:r w:rsidRPr="00C23091">
        <w:t xml:space="preserve">44. Solidaki, E, Chatzi, L, Bitsios, P, Coggon, D, Palmer, K T and Kogevinas, M. Risk factors for new onset and persistence of multi-site musculoskeletal pain in a longitudinal study of workers in crete. </w:t>
      </w:r>
      <w:r w:rsidRPr="00C23091">
        <w:rPr>
          <w:i/>
          <w:iCs/>
        </w:rPr>
        <w:t xml:space="preserve">Occup Environ Med. </w:t>
      </w:r>
      <w:r w:rsidRPr="00C23091">
        <w:t>2013;70:29-34.</w:t>
      </w:r>
    </w:p>
    <w:p w14:paraId="70AD099E" w14:textId="77777777" w:rsidR="00C23091" w:rsidRPr="00C23091" w:rsidRDefault="00C23091" w:rsidP="00D60D5F">
      <w:pPr>
        <w:pStyle w:val="NormalWeb"/>
        <w:spacing w:before="0" w:beforeAutospacing="0" w:after="0" w:afterAutospacing="0" w:line="480" w:lineRule="auto"/>
        <w:ind w:hanging="288"/>
      </w:pPr>
      <w:r w:rsidRPr="00C23091">
        <w:t xml:space="preserve">45. Coggon, D, Ntani, G, Palmer, K T, et al. Patterns of multisite pain and associations with risk factors. </w:t>
      </w:r>
      <w:r w:rsidRPr="00C23091">
        <w:rPr>
          <w:i/>
          <w:iCs/>
        </w:rPr>
        <w:t xml:space="preserve">Pain. </w:t>
      </w:r>
      <w:r w:rsidRPr="00C23091">
        <w:t>2013;154:1769-1777.</w:t>
      </w:r>
    </w:p>
    <w:p w14:paraId="3E7954AE" w14:textId="09343A6A" w:rsidR="00C23091" w:rsidRPr="00C23091" w:rsidRDefault="00C23091" w:rsidP="00D60D5F">
      <w:pPr>
        <w:pStyle w:val="NormalWeb"/>
        <w:spacing w:before="0" w:beforeAutospacing="0" w:after="0" w:afterAutospacing="0" w:line="480" w:lineRule="auto"/>
        <w:ind w:hanging="288"/>
      </w:pPr>
      <w:r w:rsidRPr="00C23091">
        <w:lastRenderedPageBreak/>
        <w:t>4</w:t>
      </w:r>
      <w:r w:rsidR="008C33F1">
        <w:t>6</w:t>
      </w:r>
      <w:r w:rsidRPr="00C23091">
        <w:t>. The World Bank Group. Unemployment, total (% of total labor force) (modeled ILO estimate). 07/02/2013;2014.</w:t>
      </w:r>
    </w:p>
    <w:p w14:paraId="4FB27FCF" w14:textId="3EF6C0B4" w:rsidR="00C23091" w:rsidRPr="00C23091" w:rsidRDefault="008C33F1" w:rsidP="00D60D5F">
      <w:pPr>
        <w:pStyle w:val="NormalWeb"/>
        <w:spacing w:before="0" w:beforeAutospacing="0" w:after="0" w:afterAutospacing="0" w:line="480" w:lineRule="auto"/>
        <w:ind w:hanging="288"/>
      </w:pPr>
      <w:r>
        <w:t>47</w:t>
      </w:r>
      <w:r w:rsidR="00C23091" w:rsidRPr="00C23091">
        <w:t>. World Health Organization. Global health expenditure database. 2014;2014.</w:t>
      </w:r>
    </w:p>
    <w:p w14:paraId="5D233198" w14:textId="3B708639" w:rsidR="008C33F1" w:rsidRPr="00C23091" w:rsidRDefault="008C33F1" w:rsidP="008C33F1">
      <w:pPr>
        <w:pStyle w:val="NormalWeb"/>
        <w:spacing w:before="0" w:beforeAutospacing="0" w:after="0" w:afterAutospacing="0" w:line="480" w:lineRule="auto"/>
        <w:ind w:hanging="288"/>
      </w:pPr>
      <w:r w:rsidRPr="00C23091">
        <w:t>4</w:t>
      </w:r>
      <w:r>
        <w:t>8</w:t>
      </w:r>
      <w:r w:rsidRPr="00C23091">
        <w:t xml:space="preserve">. Mansyur, C L, Amick, B C, Harrist, R B, Franzini, L and Roberts, R E. The cultural production of health inequalities: A cross-sectional, multi-level examination of 52 countries. </w:t>
      </w:r>
      <w:r w:rsidRPr="00C23091">
        <w:rPr>
          <w:i/>
          <w:iCs/>
        </w:rPr>
        <w:t xml:space="preserve">Int J Health Serv. </w:t>
      </w:r>
      <w:r w:rsidRPr="00C23091">
        <w:t>2009;39:301-319.</w:t>
      </w:r>
    </w:p>
    <w:p w14:paraId="2A327A0C" w14:textId="533DE5A0" w:rsidR="008C33F1" w:rsidRPr="00C23091" w:rsidRDefault="008C33F1" w:rsidP="008C33F1">
      <w:pPr>
        <w:pStyle w:val="NormalWeb"/>
        <w:spacing w:before="0" w:beforeAutospacing="0" w:after="0" w:afterAutospacing="0" w:line="480" w:lineRule="auto"/>
        <w:ind w:hanging="288"/>
      </w:pPr>
      <w:r w:rsidRPr="00C23091">
        <w:t>4</w:t>
      </w:r>
      <w:r>
        <w:t>8</w:t>
      </w:r>
      <w:r w:rsidRPr="00C23091">
        <w:t xml:space="preserve">. Hofstede, G, Hofstede, G and Minkov, M. </w:t>
      </w:r>
      <w:r w:rsidRPr="00C23091">
        <w:rPr>
          <w:i/>
          <w:iCs/>
        </w:rPr>
        <w:t xml:space="preserve">Cultures and Organizations: Software of the Mind. </w:t>
      </w:r>
      <w:r w:rsidRPr="00C23091">
        <w:t>3rd. New York: McGraw-Hill; 2010.</w:t>
      </w:r>
    </w:p>
    <w:p w14:paraId="6D80F26D" w14:textId="59880EFE" w:rsidR="008C33F1" w:rsidRPr="00C23091" w:rsidRDefault="008C33F1" w:rsidP="008C33F1">
      <w:pPr>
        <w:pStyle w:val="NormalWeb"/>
        <w:spacing w:before="0" w:beforeAutospacing="0" w:after="0" w:afterAutospacing="0" w:line="480" w:lineRule="auto"/>
        <w:ind w:hanging="288"/>
      </w:pPr>
      <w:r>
        <w:t>50</w:t>
      </w:r>
      <w:r w:rsidRPr="00C23091">
        <w:t xml:space="preserve">. Mansyur, C L, Amick, B C, Franzini, L and Roberts, R E. Culture and the social context of health inequalities. </w:t>
      </w:r>
      <w:r w:rsidRPr="00C23091">
        <w:rPr>
          <w:i/>
          <w:iCs/>
        </w:rPr>
        <w:t xml:space="preserve">Int J Health Serv. </w:t>
      </w:r>
      <w:r w:rsidRPr="00C23091">
        <w:t>2009;39:85-106.</w:t>
      </w:r>
    </w:p>
    <w:p w14:paraId="0DDE17EC" w14:textId="77777777" w:rsidR="00C23091" w:rsidRPr="00C23091" w:rsidRDefault="00C23091" w:rsidP="00D60D5F">
      <w:pPr>
        <w:pStyle w:val="NormalWeb"/>
        <w:spacing w:before="0" w:beforeAutospacing="0" w:after="0" w:afterAutospacing="0" w:line="480" w:lineRule="auto"/>
        <w:ind w:hanging="288"/>
      </w:pPr>
      <w:r w:rsidRPr="00C23091">
        <w:t xml:space="preserve">51. Ortiz-Hernandez, L, Tamez-Gonzalez, S, Martinez-Alcantara, S and Mendez-Ramirez, I. Computer use increases the risk of musculoskeletal disorders among newspaper office workers. </w:t>
      </w:r>
      <w:r w:rsidRPr="00C23091">
        <w:rPr>
          <w:i/>
          <w:iCs/>
        </w:rPr>
        <w:t xml:space="preserve">Arch Med Res. </w:t>
      </w:r>
      <w:r w:rsidRPr="00C23091">
        <w:t>2003;34:331-342.</w:t>
      </w:r>
    </w:p>
    <w:p w14:paraId="57082BE3" w14:textId="1120656D" w:rsidR="00CD3010" w:rsidRPr="009545E2" w:rsidRDefault="00CD3010" w:rsidP="00D60D5F">
      <w:pPr>
        <w:spacing w:line="480" w:lineRule="auto"/>
        <w:ind w:hanging="288"/>
        <w:rPr>
          <w:b/>
        </w:rPr>
      </w:pPr>
      <w:r>
        <w:rPr>
          <w:b/>
        </w:rPr>
        <w:fldChar w:fldCharType="end"/>
      </w:r>
      <w:bookmarkEnd w:id="1"/>
    </w:p>
    <w:sectPr w:rsidR="00CD3010" w:rsidRPr="009545E2" w:rsidSect="007E6041">
      <w:pgSz w:w="11906" w:h="16838"/>
      <w:pgMar w:top="1800" w:right="1440" w:bottom="1584" w:left="180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809F4" w14:textId="77777777" w:rsidR="00D829CD" w:rsidRDefault="00D829CD">
      <w:r>
        <w:separator/>
      </w:r>
    </w:p>
  </w:endnote>
  <w:endnote w:type="continuationSeparator" w:id="0">
    <w:p w14:paraId="107C3BF8" w14:textId="77777777" w:rsidR="00D829CD" w:rsidRDefault="00D8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16914"/>
      <w:docPartObj>
        <w:docPartGallery w:val="Page Numbers (Bottom of Page)"/>
        <w:docPartUnique/>
      </w:docPartObj>
    </w:sdtPr>
    <w:sdtEndPr>
      <w:rPr>
        <w:noProof/>
      </w:rPr>
    </w:sdtEndPr>
    <w:sdtContent>
      <w:p w14:paraId="5F8DA393" w14:textId="77777777" w:rsidR="009C3311" w:rsidRDefault="009C3311">
        <w:pPr>
          <w:pStyle w:val="Footer"/>
          <w:jc w:val="center"/>
        </w:pPr>
        <w:r>
          <w:fldChar w:fldCharType="begin"/>
        </w:r>
        <w:r>
          <w:instrText xml:space="preserve"> PAGE   \* MERGEFORMAT </w:instrText>
        </w:r>
        <w:r>
          <w:fldChar w:fldCharType="separate"/>
        </w:r>
        <w:r w:rsidR="0050390B">
          <w:rPr>
            <w:noProof/>
          </w:rPr>
          <w:t>1</w:t>
        </w:r>
        <w:r>
          <w:rPr>
            <w:noProof/>
          </w:rPr>
          <w:fldChar w:fldCharType="end"/>
        </w:r>
      </w:p>
    </w:sdtContent>
  </w:sdt>
  <w:p w14:paraId="57C92846" w14:textId="77777777" w:rsidR="009C3311" w:rsidRDefault="009C3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E028" w14:textId="77777777" w:rsidR="009C3311" w:rsidRDefault="009C3311">
    <w:pPr>
      <w:pStyle w:val="Footer"/>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0390B" w:rsidRPr="0050390B">
      <w:rPr>
        <w:caps/>
        <w:noProof/>
        <w:color w:val="5B9BD5" w:themeColor="accent1"/>
        <w:lang w:val="es-ES"/>
      </w:rPr>
      <w:t>25</w:t>
    </w:r>
    <w:r>
      <w:rPr>
        <w:caps/>
        <w:color w:val="5B9BD5" w:themeColor="accent1"/>
      </w:rPr>
      <w:fldChar w:fldCharType="end"/>
    </w:r>
  </w:p>
  <w:p w14:paraId="4CF03034" w14:textId="77777777" w:rsidR="009C3311" w:rsidRDefault="009C33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75155"/>
      <w:docPartObj>
        <w:docPartGallery w:val="Page Numbers (Bottom of Page)"/>
        <w:docPartUnique/>
      </w:docPartObj>
    </w:sdtPr>
    <w:sdtEndPr/>
    <w:sdtContent>
      <w:p w14:paraId="1D2D6C27" w14:textId="77777777" w:rsidR="009C3311" w:rsidRDefault="009C3311">
        <w:pPr>
          <w:pStyle w:val="Footer"/>
          <w:jc w:val="center"/>
        </w:pPr>
        <w:r>
          <w:fldChar w:fldCharType="begin"/>
        </w:r>
        <w:r>
          <w:instrText>PAGE   \* MERGEFORMAT</w:instrText>
        </w:r>
        <w:r>
          <w:fldChar w:fldCharType="separate"/>
        </w:r>
        <w:r w:rsidR="0050390B" w:rsidRPr="0050390B">
          <w:rPr>
            <w:noProof/>
            <w:lang w:val="es-ES"/>
          </w:rPr>
          <w:t>30</w:t>
        </w:r>
        <w:r>
          <w:rPr>
            <w:noProof/>
            <w:lang w:val="es-ES"/>
          </w:rPr>
          <w:fldChar w:fldCharType="end"/>
        </w:r>
      </w:p>
    </w:sdtContent>
  </w:sdt>
  <w:p w14:paraId="729AE8AF" w14:textId="77777777" w:rsidR="009C3311" w:rsidRDefault="009C3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0F78F" w14:textId="77777777" w:rsidR="00D829CD" w:rsidRDefault="00D829CD">
      <w:r>
        <w:separator/>
      </w:r>
    </w:p>
  </w:footnote>
  <w:footnote w:type="continuationSeparator" w:id="0">
    <w:p w14:paraId="0617B205" w14:textId="77777777" w:rsidR="00D829CD" w:rsidRDefault="00D82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89E9" w14:textId="77777777" w:rsidR="009C3311" w:rsidRDefault="009C3311" w:rsidP="007E6041">
    <w:pPr>
      <w:pStyle w:val="Header"/>
    </w:pPr>
  </w:p>
  <w:p w14:paraId="5415A608" w14:textId="77777777" w:rsidR="009C3311" w:rsidRDefault="009C33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4DC63" w14:textId="77777777" w:rsidR="009C3311" w:rsidRDefault="009C3311" w:rsidP="007E6041">
    <w:pPr>
      <w:pStyle w:val="Header"/>
    </w:pPr>
  </w:p>
  <w:p w14:paraId="05B7675C" w14:textId="77777777" w:rsidR="009C3311" w:rsidRDefault="009C33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3E6"/>
    <w:multiLevelType w:val="hybridMultilevel"/>
    <w:tmpl w:val="114E43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1EF3161"/>
    <w:multiLevelType w:val="hybridMultilevel"/>
    <w:tmpl w:val="CAB4E1B0"/>
    <w:lvl w:ilvl="0" w:tplc="14C2D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27032"/>
    <w:multiLevelType w:val="hybridMultilevel"/>
    <w:tmpl w:val="FCDE5F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F227D"/>
    <w:multiLevelType w:val="hybridMultilevel"/>
    <w:tmpl w:val="3CC0FE9C"/>
    <w:lvl w:ilvl="0" w:tplc="FC6EBF6C">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80DBA"/>
    <w:multiLevelType w:val="hybridMultilevel"/>
    <w:tmpl w:val="30F8072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D53CA"/>
    <w:multiLevelType w:val="hybridMultilevel"/>
    <w:tmpl w:val="CAB4E1B0"/>
    <w:lvl w:ilvl="0" w:tplc="14C2D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0E7D48"/>
    <w:multiLevelType w:val="hybridMultilevel"/>
    <w:tmpl w:val="C12AEFB8"/>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6C79EA"/>
    <w:multiLevelType w:val="hybridMultilevel"/>
    <w:tmpl w:val="D5FA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662E2"/>
    <w:multiLevelType w:val="hybridMultilevel"/>
    <w:tmpl w:val="3154B8D4"/>
    <w:lvl w:ilvl="0" w:tplc="5554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13B6D"/>
    <w:multiLevelType w:val="multilevel"/>
    <w:tmpl w:val="FBA6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531A52"/>
    <w:multiLevelType w:val="hybridMultilevel"/>
    <w:tmpl w:val="D770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C93E47"/>
    <w:multiLevelType w:val="hybridMultilevel"/>
    <w:tmpl w:val="FB72D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D85F73"/>
    <w:multiLevelType w:val="hybridMultilevel"/>
    <w:tmpl w:val="3154B8D4"/>
    <w:lvl w:ilvl="0" w:tplc="5554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C208B"/>
    <w:multiLevelType w:val="multilevel"/>
    <w:tmpl w:val="51662058"/>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4"/>
  </w:num>
  <w:num w:numId="4">
    <w:abstractNumId w:val="11"/>
  </w:num>
  <w:num w:numId="5">
    <w:abstractNumId w:val="6"/>
  </w:num>
  <w:num w:numId="6">
    <w:abstractNumId w:val="10"/>
  </w:num>
  <w:num w:numId="7">
    <w:abstractNumId w:val="8"/>
  </w:num>
  <w:num w:numId="8">
    <w:abstractNumId w:val="13"/>
  </w:num>
  <w:num w:numId="9">
    <w:abstractNumId w:val="5"/>
  </w:num>
  <w:num w:numId="10">
    <w:abstractNumId w:val="3"/>
  </w:num>
  <w:num w:numId="11">
    <w:abstractNumId w:val="7"/>
  </w:num>
  <w:num w:numId="12">
    <w:abstractNumId w:val="9"/>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B2"/>
    <w:rsid w:val="00021D51"/>
    <w:rsid w:val="0002467E"/>
    <w:rsid w:val="0002622A"/>
    <w:rsid w:val="00033D38"/>
    <w:rsid w:val="00043F18"/>
    <w:rsid w:val="00051A2F"/>
    <w:rsid w:val="00051B10"/>
    <w:rsid w:val="00052E5E"/>
    <w:rsid w:val="00055B04"/>
    <w:rsid w:val="0006411F"/>
    <w:rsid w:val="0006501F"/>
    <w:rsid w:val="0009010C"/>
    <w:rsid w:val="000A0E85"/>
    <w:rsid w:val="000C4DD2"/>
    <w:rsid w:val="000C7634"/>
    <w:rsid w:val="000D2695"/>
    <w:rsid w:val="000D28BC"/>
    <w:rsid w:val="000F2663"/>
    <w:rsid w:val="000F76A7"/>
    <w:rsid w:val="0010072D"/>
    <w:rsid w:val="001203EF"/>
    <w:rsid w:val="00123555"/>
    <w:rsid w:val="00125F43"/>
    <w:rsid w:val="001310B7"/>
    <w:rsid w:val="00155559"/>
    <w:rsid w:val="00163599"/>
    <w:rsid w:val="001673B4"/>
    <w:rsid w:val="00175EF9"/>
    <w:rsid w:val="001A0FF0"/>
    <w:rsid w:val="001A5099"/>
    <w:rsid w:val="001B1491"/>
    <w:rsid w:val="001B3882"/>
    <w:rsid w:val="001D0CC2"/>
    <w:rsid w:val="001E3C83"/>
    <w:rsid w:val="001F23D8"/>
    <w:rsid w:val="001F39AD"/>
    <w:rsid w:val="002009CF"/>
    <w:rsid w:val="0020433B"/>
    <w:rsid w:val="0020700F"/>
    <w:rsid w:val="00207D80"/>
    <w:rsid w:val="0022067E"/>
    <w:rsid w:val="00226067"/>
    <w:rsid w:val="002426C9"/>
    <w:rsid w:val="002445B8"/>
    <w:rsid w:val="00253959"/>
    <w:rsid w:val="00270B89"/>
    <w:rsid w:val="00272576"/>
    <w:rsid w:val="002767B4"/>
    <w:rsid w:val="002770A4"/>
    <w:rsid w:val="002919DA"/>
    <w:rsid w:val="00295504"/>
    <w:rsid w:val="00296067"/>
    <w:rsid w:val="002A1208"/>
    <w:rsid w:val="002A215B"/>
    <w:rsid w:val="002A4701"/>
    <w:rsid w:val="002A6AB7"/>
    <w:rsid w:val="002B0D9E"/>
    <w:rsid w:val="002B4BCE"/>
    <w:rsid w:val="002B7B16"/>
    <w:rsid w:val="002C0265"/>
    <w:rsid w:val="002D213E"/>
    <w:rsid w:val="002D3187"/>
    <w:rsid w:val="002D506F"/>
    <w:rsid w:val="002E7A7E"/>
    <w:rsid w:val="002F66F9"/>
    <w:rsid w:val="002F7FC0"/>
    <w:rsid w:val="00302423"/>
    <w:rsid w:val="00304182"/>
    <w:rsid w:val="003224DE"/>
    <w:rsid w:val="00323648"/>
    <w:rsid w:val="00325A22"/>
    <w:rsid w:val="00335136"/>
    <w:rsid w:val="00335A32"/>
    <w:rsid w:val="00337F83"/>
    <w:rsid w:val="003405A2"/>
    <w:rsid w:val="00346B21"/>
    <w:rsid w:val="00351908"/>
    <w:rsid w:val="0036779B"/>
    <w:rsid w:val="00371018"/>
    <w:rsid w:val="00374B1D"/>
    <w:rsid w:val="0037514F"/>
    <w:rsid w:val="003802D7"/>
    <w:rsid w:val="00384A7C"/>
    <w:rsid w:val="00386960"/>
    <w:rsid w:val="003950F8"/>
    <w:rsid w:val="0039581B"/>
    <w:rsid w:val="003A1B86"/>
    <w:rsid w:val="003A2038"/>
    <w:rsid w:val="003A26BC"/>
    <w:rsid w:val="003A6A20"/>
    <w:rsid w:val="003B03CE"/>
    <w:rsid w:val="003B2CAB"/>
    <w:rsid w:val="003B67FC"/>
    <w:rsid w:val="003C23EE"/>
    <w:rsid w:val="003C2F99"/>
    <w:rsid w:val="003E02ED"/>
    <w:rsid w:val="003E1EEB"/>
    <w:rsid w:val="003E4633"/>
    <w:rsid w:val="003E6C3F"/>
    <w:rsid w:val="003F13D6"/>
    <w:rsid w:val="003F6218"/>
    <w:rsid w:val="003F7897"/>
    <w:rsid w:val="0040482F"/>
    <w:rsid w:val="00410AE2"/>
    <w:rsid w:val="00416927"/>
    <w:rsid w:val="00416AF1"/>
    <w:rsid w:val="00424D7A"/>
    <w:rsid w:val="00425FC1"/>
    <w:rsid w:val="00431A3E"/>
    <w:rsid w:val="0043408E"/>
    <w:rsid w:val="004459BA"/>
    <w:rsid w:val="00455318"/>
    <w:rsid w:val="00461A7A"/>
    <w:rsid w:val="004636BA"/>
    <w:rsid w:val="00465CA8"/>
    <w:rsid w:val="004665AD"/>
    <w:rsid w:val="00470552"/>
    <w:rsid w:val="00471482"/>
    <w:rsid w:val="004764F2"/>
    <w:rsid w:val="00477FB9"/>
    <w:rsid w:val="004827F6"/>
    <w:rsid w:val="0048511F"/>
    <w:rsid w:val="00491F97"/>
    <w:rsid w:val="004A5604"/>
    <w:rsid w:val="004C18F5"/>
    <w:rsid w:val="004C52F4"/>
    <w:rsid w:val="004C7456"/>
    <w:rsid w:val="004D71F3"/>
    <w:rsid w:val="004E0B54"/>
    <w:rsid w:val="004E0CC9"/>
    <w:rsid w:val="005002C6"/>
    <w:rsid w:val="00500452"/>
    <w:rsid w:val="0050390B"/>
    <w:rsid w:val="00511151"/>
    <w:rsid w:val="005153BC"/>
    <w:rsid w:val="0052642F"/>
    <w:rsid w:val="00531E30"/>
    <w:rsid w:val="00545ABC"/>
    <w:rsid w:val="00551F75"/>
    <w:rsid w:val="00555F47"/>
    <w:rsid w:val="005560FB"/>
    <w:rsid w:val="00560A1C"/>
    <w:rsid w:val="0056666A"/>
    <w:rsid w:val="00576FDE"/>
    <w:rsid w:val="005837CE"/>
    <w:rsid w:val="00590E67"/>
    <w:rsid w:val="005B1EBE"/>
    <w:rsid w:val="005C4E9C"/>
    <w:rsid w:val="005C5D0A"/>
    <w:rsid w:val="005C71B6"/>
    <w:rsid w:val="005D0241"/>
    <w:rsid w:val="005E4B8C"/>
    <w:rsid w:val="005E7FBB"/>
    <w:rsid w:val="005F4F34"/>
    <w:rsid w:val="00607F88"/>
    <w:rsid w:val="006120F4"/>
    <w:rsid w:val="0062642B"/>
    <w:rsid w:val="00637ED9"/>
    <w:rsid w:val="0064533B"/>
    <w:rsid w:val="00661A01"/>
    <w:rsid w:val="00661DE0"/>
    <w:rsid w:val="00662340"/>
    <w:rsid w:val="006624A7"/>
    <w:rsid w:val="00676BEE"/>
    <w:rsid w:val="006802A4"/>
    <w:rsid w:val="0068597F"/>
    <w:rsid w:val="00690681"/>
    <w:rsid w:val="00692F73"/>
    <w:rsid w:val="00695ACA"/>
    <w:rsid w:val="006A0477"/>
    <w:rsid w:val="006A4630"/>
    <w:rsid w:val="006D48D0"/>
    <w:rsid w:val="006E0A30"/>
    <w:rsid w:val="006F3035"/>
    <w:rsid w:val="00705270"/>
    <w:rsid w:val="007128A6"/>
    <w:rsid w:val="00732A2A"/>
    <w:rsid w:val="0074488F"/>
    <w:rsid w:val="0074708B"/>
    <w:rsid w:val="00754807"/>
    <w:rsid w:val="00766023"/>
    <w:rsid w:val="007A03B4"/>
    <w:rsid w:val="007A6E0A"/>
    <w:rsid w:val="007B3379"/>
    <w:rsid w:val="007B50A9"/>
    <w:rsid w:val="007B5F94"/>
    <w:rsid w:val="007C0943"/>
    <w:rsid w:val="007E0E14"/>
    <w:rsid w:val="007E4AB6"/>
    <w:rsid w:val="007E5A29"/>
    <w:rsid w:val="007E6041"/>
    <w:rsid w:val="007F1D70"/>
    <w:rsid w:val="007F5955"/>
    <w:rsid w:val="00801A2D"/>
    <w:rsid w:val="00805040"/>
    <w:rsid w:val="0080620A"/>
    <w:rsid w:val="00820F92"/>
    <w:rsid w:val="0082675D"/>
    <w:rsid w:val="00826E98"/>
    <w:rsid w:val="00827259"/>
    <w:rsid w:val="00835FED"/>
    <w:rsid w:val="008431EC"/>
    <w:rsid w:val="00847FFB"/>
    <w:rsid w:val="008626D3"/>
    <w:rsid w:val="00866486"/>
    <w:rsid w:val="00875162"/>
    <w:rsid w:val="008758DD"/>
    <w:rsid w:val="00893871"/>
    <w:rsid w:val="008B37B7"/>
    <w:rsid w:val="008B3C82"/>
    <w:rsid w:val="008C1331"/>
    <w:rsid w:val="008C33F1"/>
    <w:rsid w:val="008C506A"/>
    <w:rsid w:val="008D135C"/>
    <w:rsid w:val="008D5615"/>
    <w:rsid w:val="008F2096"/>
    <w:rsid w:val="008F24F2"/>
    <w:rsid w:val="008F383B"/>
    <w:rsid w:val="008F4E79"/>
    <w:rsid w:val="009060F3"/>
    <w:rsid w:val="0091304E"/>
    <w:rsid w:val="0092085E"/>
    <w:rsid w:val="009333E3"/>
    <w:rsid w:val="00935601"/>
    <w:rsid w:val="0094089D"/>
    <w:rsid w:val="00943164"/>
    <w:rsid w:val="0094480C"/>
    <w:rsid w:val="00956046"/>
    <w:rsid w:val="009566AF"/>
    <w:rsid w:val="00963D8B"/>
    <w:rsid w:val="009664E3"/>
    <w:rsid w:val="009721FB"/>
    <w:rsid w:val="00974A97"/>
    <w:rsid w:val="0097586C"/>
    <w:rsid w:val="00990401"/>
    <w:rsid w:val="00993AB3"/>
    <w:rsid w:val="009A5938"/>
    <w:rsid w:val="009A6A2B"/>
    <w:rsid w:val="009B1B0B"/>
    <w:rsid w:val="009B1F2A"/>
    <w:rsid w:val="009C3311"/>
    <w:rsid w:val="009C3A92"/>
    <w:rsid w:val="009D1CE9"/>
    <w:rsid w:val="009E53D6"/>
    <w:rsid w:val="009F18BF"/>
    <w:rsid w:val="00A053DA"/>
    <w:rsid w:val="00A07660"/>
    <w:rsid w:val="00A26C93"/>
    <w:rsid w:val="00A31452"/>
    <w:rsid w:val="00A31C03"/>
    <w:rsid w:val="00A3345F"/>
    <w:rsid w:val="00A44BB2"/>
    <w:rsid w:val="00A4506B"/>
    <w:rsid w:val="00A52438"/>
    <w:rsid w:val="00A63CE0"/>
    <w:rsid w:val="00A6447C"/>
    <w:rsid w:val="00A703B0"/>
    <w:rsid w:val="00A775B3"/>
    <w:rsid w:val="00A87B84"/>
    <w:rsid w:val="00AA2E29"/>
    <w:rsid w:val="00AA6FC3"/>
    <w:rsid w:val="00AB3187"/>
    <w:rsid w:val="00AC1A31"/>
    <w:rsid w:val="00AC3D98"/>
    <w:rsid w:val="00AC64B7"/>
    <w:rsid w:val="00AE2656"/>
    <w:rsid w:val="00AF36C7"/>
    <w:rsid w:val="00B00F8A"/>
    <w:rsid w:val="00B039CA"/>
    <w:rsid w:val="00B05639"/>
    <w:rsid w:val="00B259F3"/>
    <w:rsid w:val="00B30B9D"/>
    <w:rsid w:val="00B40B79"/>
    <w:rsid w:val="00B46ACB"/>
    <w:rsid w:val="00B4758D"/>
    <w:rsid w:val="00B52B7A"/>
    <w:rsid w:val="00B8047A"/>
    <w:rsid w:val="00B81A92"/>
    <w:rsid w:val="00B85136"/>
    <w:rsid w:val="00BA2B91"/>
    <w:rsid w:val="00BA3228"/>
    <w:rsid w:val="00BB05AF"/>
    <w:rsid w:val="00BB0ADA"/>
    <w:rsid w:val="00BB5E63"/>
    <w:rsid w:val="00BC74A5"/>
    <w:rsid w:val="00BD2741"/>
    <w:rsid w:val="00BD3BD5"/>
    <w:rsid w:val="00BE32F8"/>
    <w:rsid w:val="00BF0935"/>
    <w:rsid w:val="00C00C75"/>
    <w:rsid w:val="00C017B2"/>
    <w:rsid w:val="00C02FAC"/>
    <w:rsid w:val="00C23091"/>
    <w:rsid w:val="00C240D5"/>
    <w:rsid w:val="00C34A3F"/>
    <w:rsid w:val="00C37F98"/>
    <w:rsid w:val="00C41084"/>
    <w:rsid w:val="00C464C4"/>
    <w:rsid w:val="00C5560D"/>
    <w:rsid w:val="00C67A70"/>
    <w:rsid w:val="00C7564E"/>
    <w:rsid w:val="00C92D32"/>
    <w:rsid w:val="00C94198"/>
    <w:rsid w:val="00CD269D"/>
    <w:rsid w:val="00CD3010"/>
    <w:rsid w:val="00CD37F3"/>
    <w:rsid w:val="00CD414E"/>
    <w:rsid w:val="00CF01B2"/>
    <w:rsid w:val="00CF3334"/>
    <w:rsid w:val="00CF62F9"/>
    <w:rsid w:val="00D00FC6"/>
    <w:rsid w:val="00D106E7"/>
    <w:rsid w:val="00D107D2"/>
    <w:rsid w:val="00D11DEA"/>
    <w:rsid w:val="00D13EB9"/>
    <w:rsid w:val="00D15720"/>
    <w:rsid w:val="00D15EDB"/>
    <w:rsid w:val="00D15F60"/>
    <w:rsid w:val="00D239A9"/>
    <w:rsid w:val="00D25AF2"/>
    <w:rsid w:val="00D37CD5"/>
    <w:rsid w:val="00D60D5F"/>
    <w:rsid w:val="00D72299"/>
    <w:rsid w:val="00D73DC3"/>
    <w:rsid w:val="00D74B1C"/>
    <w:rsid w:val="00D829CD"/>
    <w:rsid w:val="00D8736C"/>
    <w:rsid w:val="00D94C14"/>
    <w:rsid w:val="00D96911"/>
    <w:rsid w:val="00DA1F90"/>
    <w:rsid w:val="00DA3684"/>
    <w:rsid w:val="00DA73C8"/>
    <w:rsid w:val="00DC39E9"/>
    <w:rsid w:val="00DF02A9"/>
    <w:rsid w:val="00DF15CD"/>
    <w:rsid w:val="00E0740F"/>
    <w:rsid w:val="00E12DD9"/>
    <w:rsid w:val="00E16502"/>
    <w:rsid w:val="00E5330E"/>
    <w:rsid w:val="00E567EE"/>
    <w:rsid w:val="00E66649"/>
    <w:rsid w:val="00E7644C"/>
    <w:rsid w:val="00E80F39"/>
    <w:rsid w:val="00E8102E"/>
    <w:rsid w:val="00E93A3B"/>
    <w:rsid w:val="00E94FD1"/>
    <w:rsid w:val="00EB531F"/>
    <w:rsid w:val="00EC4C3C"/>
    <w:rsid w:val="00EC6323"/>
    <w:rsid w:val="00EC739C"/>
    <w:rsid w:val="00ED11B7"/>
    <w:rsid w:val="00ED3BFD"/>
    <w:rsid w:val="00ED5FC7"/>
    <w:rsid w:val="00ED7FD3"/>
    <w:rsid w:val="00EE1A40"/>
    <w:rsid w:val="00EE1E5C"/>
    <w:rsid w:val="00EE243F"/>
    <w:rsid w:val="00EF4C22"/>
    <w:rsid w:val="00EF6381"/>
    <w:rsid w:val="00F0174E"/>
    <w:rsid w:val="00F02C02"/>
    <w:rsid w:val="00F03F77"/>
    <w:rsid w:val="00F109B9"/>
    <w:rsid w:val="00F10ECE"/>
    <w:rsid w:val="00F112F8"/>
    <w:rsid w:val="00F11D77"/>
    <w:rsid w:val="00F419EC"/>
    <w:rsid w:val="00F6349D"/>
    <w:rsid w:val="00F72930"/>
    <w:rsid w:val="00F734A7"/>
    <w:rsid w:val="00F74E5D"/>
    <w:rsid w:val="00F776DA"/>
    <w:rsid w:val="00F87FFD"/>
    <w:rsid w:val="00F9256B"/>
    <w:rsid w:val="00F94737"/>
    <w:rsid w:val="00FA1524"/>
    <w:rsid w:val="00FA4B51"/>
    <w:rsid w:val="00FB0499"/>
    <w:rsid w:val="00FB7168"/>
    <w:rsid w:val="00FB7754"/>
    <w:rsid w:val="00FC2E01"/>
    <w:rsid w:val="00FC6F3F"/>
    <w:rsid w:val="00FD0A3A"/>
    <w:rsid w:val="00FD21FC"/>
    <w:rsid w:val="00FF6B9C"/>
    <w:rsid w:val="00FF6F25"/>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E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0"/>
    <w:lsdException w:name="toc 8" w:uiPriority="0"/>
    <w:lsdException w:name="toc 9" w:uiPriority="0"/>
    <w:lsdException w:name="caption" w:uiPriority="0" w:qFormat="1"/>
    <w:lsdException w:name="table of figures"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CF01B2"/>
    <w:pPr>
      <w:keepNext/>
      <w:spacing w:line="480" w:lineRule="auto"/>
      <w:jc w:val="center"/>
      <w:outlineLvl w:val="0"/>
    </w:pPr>
    <w:rPr>
      <w:b/>
      <w:bCs/>
      <w:caps/>
      <w:kern w:val="32"/>
      <w:szCs w:val="32"/>
    </w:rPr>
  </w:style>
  <w:style w:type="paragraph" w:styleId="Heading2">
    <w:name w:val="heading 2"/>
    <w:basedOn w:val="Normal"/>
    <w:next w:val="Normal"/>
    <w:link w:val="Heading2Char"/>
    <w:autoRedefine/>
    <w:qFormat/>
    <w:rsid w:val="00CF01B2"/>
    <w:pPr>
      <w:widowControl w:val="0"/>
      <w:outlineLvl w:val="1"/>
    </w:pPr>
    <w:rPr>
      <w:b/>
      <w:bCs/>
      <w:iCs/>
    </w:rPr>
  </w:style>
  <w:style w:type="paragraph" w:styleId="Heading3">
    <w:name w:val="heading 3"/>
    <w:basedOn w:val="Normal"/>
    <w:next w:val="Normal"/>
    <w:link w:val="Heading3Char"/>
    <w:autoRedefine/>
    <w:qFormat/>
    <w:rsid w:val="00CF01B2"/>
    <w:pPr>
      <w:keepNext/>
      <w:spacing w:line="480" w:lineRule="auto"/>
      <w:outlineLvl w:val="2"/>
    </w:pPr>
    <w:rPr>
      <w:b/>
      <w:i/>
      <w:iCs/>
      <w:szCs w:val="26"/>
    </w:rPr>
  </w:style>
  <w:style w:type="paragraph" w:styleId="Heading4">
    <w:name w:val="heading 4"/>
    <w:basedOn w:val="Normal"/>
    <w:next w:val="Normal"/>
    <w:link w:val="Heading4Char"/>
    <w:qFormat/>
    <w:rsid w:val="00CF01B2"/>
    <w:pPr>
      <w:keepNext/>
      <w:spacing w:before="240" w:after="60"/>
      <w:outlineLvl w:val="3"/>
    </w:pPr>
    <w:rPr>
      <w:b/>
      <w:bCs/>
      <w:sz w:val="28"/>
      <w:szCs w:val="28"/>
    </w:rPr>
  </w:style>
  <w:style w:type="paragraph" w:styleId="Heading5">
    <w:name w:val="heading 5"/>
    <w:basedOn w:val="Normal"/>
    <w:next w:val="Normal"/>
    <w:link w:val="Heading5Char"/>
    <w:qFormat/>
    <w:rsid w:val="00CF01B2"/>
    <w:pPr>
      <w:spacing w:before="240" w:after="60"/>
      <w:outlineLvl w:val="4"/>
    </w:pPr>
    <w:rPr>
      <w:b/>
      <w:bCs/>
      <w:i/>
      <w:iCs/>
      <w:sz w:val="26"/>
      <w:szCs w:val="26"/>
    </w:rPr>
  </w:style>
  <w:style w:type="paragraph" w:styleId="Heading6">
    <w:name w:val="heading 6"/>
    <w:basedOn w:val="Normal"/>
    <w:next w:val="Normal"/>
    <w:link w:val="Heading6Char"/>
    <w:qFormat/>
    <w:rsid w:val="00CF01B2"/>
    <w:pPr>
      <w:keepNext/>
      <w:outlineLvl w:val="5"/>
    </w:pPr>
    <w:rPr>
      <w:rFonts w:ascii="Arial" w:hAnsi="Arial"/>
      <w:b/>
      <w:i/>
      <w:iCs/>
      <w:sz w:val="22"/>
      <w:lang w:val="en-GB"/>
    </w:rPr>
  </w:style>
  <w:style w:type="paragraph" w:styleId="Heading7">
    <w:name w:val="heading 7"/>
    <w:basedOn w:val="Normal"/>
    <w:next w:val="Normal"/>
    <w:link w:val="Heading7Char"/>
    <w:qFormat/>
    <w:rsid w:val="00CF01B2"/>
    <w:pPr>
      <w:keepNext/>
      <w:jc w:val="both"/>
      <w:outlineLvl w:val="6"/>
    </w:pPr>
    <w:rPr>
      <w:rFonts w:ascii="Arial" w:hAnsi="Arial"/>
      <w:b/>
      <w:bCs/>
      <w:sz w:val="22"/>
      <w:lang w:val="en-GB"/>
    </w:rPr>
  </w:style>
  <w:style w:type="paragraph" w:styleId="Heading8">
    <w:name w:val="heading 8"/>
    <w:basedOn w:val="Normal"/>
    <w:next w:val="Normal"/>
    <w:link w:val="Heading8Char"/>
    <w:qFormat/>
    <w:rsid w:val="00CF01B2"/>
    <w:pPr>
      <w:keepNext/>
      <w:jc w:val="both"/>
      <w:outlineLvl w:val="7"/>
    </w:pPr>
    <w:rPr>
      <w:rFonts w:ascii="Arial" w:hAnsi="Arial"/>
      <w:b/>
      <w:bCs/>
      <w:sz w:val="22"/>
      <w:lang w:val="en-GB"/>
    </w:rPr>
  </w:style>
  <w:style w:type="paragraph" w:styleId="Heading9">
    <w:name w:val="heading 9"/>
    <w:basedOn w:val="Normal"/>
    <w:next w:val="Normal"/>
    <w:link w:val="Heading9Char"/>
    <w:qFormat/>
    <w:rsid w:val="00CF01B2"/>
    <w:pPr>
      <w:keepNext/>
      <w:jc w:val="right"/>
      <w:outlineLvl w:val="8"/>
    </w:pPr>
    <w:rPr>
      <w:rFonts w:ascii="Arial" w:hAnsi="Arial"/>
      <w:b/>
      <w:b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1B2"/>
    <w:rPr>
      <w:rFonts w:ascii="Times New Roman" w:eastAsia="Times New Roman" w:hAnsi="Times New Roman" w:cs="Times New Roman"/>
      <w:b/>
      <w:bCs/>
      <w:caps/>
      <w:kern w:val="32"/>
      <w:sz w:val="24"/>
      <w:szCs w:val="32"/>
    </w:rPr>
  </w:style>
  <w:style w:type="character" w:customStyle="1" w:styleId="Heading2Char">
    <w:name w:val="Heading 2 Char"/>
    <w:basedOn w:val="DefaultParagraphFont"/>
    <w:link w:val="Heading2"/>
    <w:rsid w:val="00CF01B2"/>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CF01B2"/>
    <w:rPr>
      <w:rFonts w:ascii="Times New Roman" w:eastAsia="Times New Roman" w:hAnsi="Times New Roman" w:cs="Times New Roman"/>
      <w:b/>
      <w:i/>
      <w:iCs/>
      <w:sz w:val="24"/>
      <w:szCs w:val="26"/>
    </w:rPr>
  </w:style>
  <w:style w:type="character" w:customStyle="1" w:styleId="Heading4Char">
    <w:name w:val="Heading 4 Char"/>
    <w:basedOn w:val="DefaultParagraphFont"/>
    <w:link w:val="Heading4"/>
    <w:rsid w:val="00CF01B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F01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F01B2"/>
    <w:rPr>
      <w:rFonts w:ascii="Arial" w:eastAsia="Times New Roman" w:hAnsi="Arial" w:cs="Times New Roman"/>
      <w:b/>
      <w:i/>
      <w:iCs/>
      <w:szCs w:val="24"/>
      <w:lang w:val="en-GB"/>
    </w:rPr>
  </w:style>
  <w:style w:type="character" w:customStyle="1" w:styleId="Heading7Char">
    <w:name w:val="Heading 7 Char"/>
    <w:basedOn w:val="DefaultParagraphFont"/>
    <w:link w:val="Heading7"/>
    <w:rsid w:val="00CF01B2"/>
    <w:rPr>
      <w:rFonts w:ascii="Arial" w:eastAsia="Times New Roman" w:hAnsi="Arial" w:cs="Times New Roman"/>
      <w:b/>
      <w:bCs/>
      <w:szCs w:val="24"/>
      <w:lang w:val="en-GB"/>
    </w:rPr>
  </w:style>
  <w:style w:type="character" w:customStyle="1" w:styleId="Heading8Char">
    <w:name w:val="Heading 8 Char"/>
    <w:basedOn w:val="DefaultParagraphFont"/>
    <w:link w:val="Heading8"/>
    <w:rsid w:val="00CF01B2"/>
    <w:rPr>
      <w:rFonts w:ascii="Arial" w:eastAsia="Times New Roman" w:hAnsi="Arial" w:cs="Times New Roman"/>
      <w:b/>
      <w:bCs/>
      <w:szCs w:val="24"/>
      <w:lang w:val="en-GB"/>
    </w:rPr>
  </w:style>
  <w:style w:type="character" w:customStyle="1" w:styleId="Heading9Char">
    <w:name w:val="Heading 9 Char"/>
    <w:basedOn w:val="DefaultParagraphFont"/>
    <w:link w:val="Heading9"/>
    <w:rsid w:val="00CF01B2"/>
    <w:rPr>
      <w:rFonts w:ascii="Arial" w:eastAsia="Times New Roman" w:hAnsi="Arial" w:cs="Times New Roman"/>
      <w:b/>
      <w:bCs/>
      <w:szCs w:val="20"/>
      <w:lang w:val="en-GB"/>
    </w:rPr>
  </w:style>
  <w:style w:type="paragraph" w:styleId="Header">
    <w:name w:val="header"/>
    <w:basedOn w:val="Normal"/>
    <w:link w:val="HeaderChar"/>
    <w:uiPriority w:val="99"/>
    <w:rsid w:val="00CF01B2"/>
    <w:pPr>
      <w:tabs>
        <w:tab w:val="center" w:pos="4320"/>
        <w:tab w:val="right" w:pos="8640"/>
      </w:tabs>
    </w:pPr>
  </w:style>
  <w:style w:type="character" w:customStyle="1" w:styleId="HeaderChar">
    <w:name w:val="Header Char"/>
    <w:basedOn w:val="DefaultParagraphFont"/>
    <w:link w:val="Header"/>
    <w:uiPriority w:val="99"/>
    <w:rsid w:val="00CF01B2"/>
    <w:rPr>
      <w:rFonts w:ascii="Times New Roman" w:eastAsia="Times New Roman" w:hAnsi="Times New Roman" w:cs="Times New Roman"/>
      <w:sz w:val="24"/>
      <w:szCs w:val="24"/>
    </w:rPr>
  </w:style>
  <w:style w:type="paragraph" w:styleId="Footer">
    <w:name w:val="footer"/>
    <w:basedOn w:val="Normal"/>
    <w:link w:val="FooterChar"/>
    <w:uiPriority w:val="99"/>
    <w:rsid w:val="00CF01B2"/>
    <w:pPr>
      <w:tabs>
        <w:tab w:val="center" w:pos="4320"/>
        <w:tab w:val="right" w:pos="8640"/>
      </w:tabs>
    </w:pPr>
  </w:style>
  <w:style w:type="character" w:customStyle="1" w:styleId="FooterChar">
    <w:name w:val="Footer Char"/>
    <w:basedOn w:val="DefaultParagraphFont"/>
    <w:link w:val="Footer"/>
    <w:uiPriority w:val="99"/>
    <w:rsid w:val="00CF01B2"/>
    <w:rPr>
      <w:rFonts w:ascii="Times New Roman" w:eastAsia="Times New Roman" w:hAnsi="Times New Roman" w:cs="Times New Roman"/>
      <w:sz w:val="24"/>
      <w:szCs w:val="24"/>
    </w:rPr>
  </w:style>
  <w:style w:type="character" w:styleId="PageNumber">
    <w:name w:val="page number"/>
    <w:basedOn w:val="DefaultParagraphFont"/>
    <w:rsid w:val="00CF01B2"/>
  </w:style>
  <w:style w:type="paragraph" w:styleId="TOC1">
    <w:name w:val="toc 1"/>
    <w:basedOn w:val="Normal"/>
    <w:next w:val="Normal"/>
    <w:autoRedefine/>
    <w:uiPriority w:val="39"/>
    <w:rsid w:val="00CF01B2"/>
    <w:pPr>
      <w:tabs>
        <w:tab w:val="right" w:leader="dot" w:pos="9000"/>
      </w:tabs>
      <w:spacing w:before="120"/>
      <w:ind w:left="360" w:right="720" w:hanging="360"/>
    </w:pPr>
    <w:rPr>
      <w:noProof/>
    </w:rPr>
  </w:style>
  <w:style w:type="paragraph" w:styleId="TOC2">
    <w:name w:val="toc 2"/>
    <w:basedOn w:val="Normal"/>
    <w:next w:val="Normal"/>
    <w:autoRedefine/>
    <w:uiPriority w:val="39"/>
    <w:rsid w:val="00CF01B2"/>
    <w:pPr>
      <w:tabs>
        <w:tab w:val="left" w:pos="1080"/>
        <w:tab w:val="right" w:leader="dot" w:pos="9000"/>
      </w:tabs>
      <w:ind w:left="1080" w:right="1080" w:hanging="720"/>
    </w:pPr>
  </w:style>
  <w:style w:type="paragraph" w:styleId="TOC3">
    <w:name w:val="toc 3"/>
    <w:basedOn w:val="Normal"/>
    <w:next w:val="Normal"/>
    <w:autoRedefine/>
    <w:rsid w:val="00CF01B2"/>
    <w:pPr>
      <w:tabs>
        <w:tab w:val="left" w:pos="1080"/>
        <w:tab w:val="right" w:leader="dot" w:pos="9000"/>
      </w:tabs>
      <w:ind w:left="1080" w:right="1080" w:hanging="360"/>
    </w:pPr>
    <w:rPr>
      <w:noProof/>
    </w:rPr>
  </w:style>
  <w:style w:type="paragraph" w:styleId="TOC4">
    <w:name w:val="toc 4"/>
    <w:basedOn w:val="Normal"/>
    <w:next w:val="Normal"/>
    <w:autoRedefine/>
    <w:rsid w:val="00CF01B2"/>
    <w:pPr>
      <w:ind w:left="720"/>
    </w:pPr>
  </w:style>
  <w:style w:type="paragraph" w:styleId="TOC5">
    <w:name w:val="toc 5"/>
    <w:basedOn w:val="Normal"/>
    <w:next w:val="Normal"/>
    <w:autoRedefine/>
    <w:uiPriority w:val="39"/>
    <w:rsid w:val="00CF01B2"/>
    <w:pPr>
      <w:tabs>
        <w:tab w:val="left" w:pos="1080"/>
        <w:tab w:val="right" w:leader="dot" w:pos="9000"/>
      </w:tabs>
      <w:spacing w:before="120"/>
      <w:ind w:left="1080" w:right="720" w:hanging="1080"/>
    </w:pPr>
    <w:rPr>
      <w:noProof/>
      <w:kern w:val="32"/>
    </w:rPr>
  </w:style>
  <w:style w:type="paragraph" w:styleId="TOC6">
    <w:name w:val="toc 6"/>
    <w:basedOn w:val="Normal"/>
    <w:next w:val="Normal"/>
    <w:autoRedefine/>
    <w:uiPriority w:val="39"/>
    <w:rsid w:val="00CF01B2"/>
    <w:pPr>
      <w:tabs>
        <w:tab w:val="left" w:pos="1440"/>
        <w:tab w:val="right" w:leader="dot" w:pos="9000"/>
      </w:tabs>
      <w:ind w:left="1440" w:right="720" w:hanging="1080"/>
    </w:pPr>
  </w:style>
  <w:style w:type="paragraph" w:styleId="TOC7">
    <w:name w:val="toc 7"/>
    <w:basedOn w:val="Normal"/>
    <w:next w:val="Normal"/>
    <w:autoRedefine/>
    <w:semiHidden/>
    <w:rsid w:val="00CF01B2"/>
    <w:pPr>
      <w:ind w:left="1440"/>
    </w:pPr>
  </w:style>
  <w:style w:type="paragraph" w:styleId="TOC8">
    <w:name w:val="toc 8"/>
    <w:basedOn w:val="Normal"/>
    <w:next w:val="Normal"/>
    <w:autoRedefine/>
    <w:semiHidden/>
    <w:rsid w:val="00CF01B2"/>
    <w:pPr>
      <w:ind w:left="1680"/>
    </w:pPr>
  </w:style>
  <w:style w:type="paragraph" w:styleId="TOC9">
    <w:name w:val="toc 9"/>
    <w:basedOn w:val="Normal"/>
    <w:next w:val="Normal"/>
    <w:autoRedefine/>
    <w:semiHidden/>
    <w:rsid w:val="00CF01B2"/>
    <w:pPr>
      <w:ind w:left="1920"/>
    </w:pPr>
  </w:style>
  <w:style w:type="character" w:styleId="Hyperlink">
    <w:name w:val="Hyperlink"/>
    <w:basedOn w:val="DefaultParagraphFont"/>
    <w:uiPriority w:val="99"/>
    <w:rsid w:val="00CF01B2"/>
    <w:rPr>
      <w:color w:val="0000FF"/>
      <w:u w:val="single"/>
    </w:rPr>
  </w:style>
  <w:style w:type="paragraph" w:styleId="BodyText">
    <w:name w:val="Body Text"/>
    <w:basedOn w:val="Normal"/>
    <w:link w:val="BodyTextChar"/>
    <w:rsid w:val="00CF01B2"/>
    <w:pPr>
      <w:jc w:val="center"/>
    </w:pPr>
    <w:rPr>
      <w:caps/>
    </w:rPr>
  </w:style>
  <w:style w:type="character" w:customStyle="1" w:styleId="BodyTextChar">
    <w:name w:val="Body Text Char"/>
    <w:basedOn w:val="DefaultParagraphFont"/>
    <w:link w:val="BodyText"/>
    <w:rsid w:val="00CF01B2"/>
    <w:rPr>
      <w:rFonts w:ascii="Times New Roman" w:eastAsia="Times New Roman" w:hAnsi="Times New Roman" w:cs="Times New Roman"/>
      <w:caps/>
      <w:sz w:val="24"/>
      <w:szCs w:val="24"/>
    </w:rPr>
  </w:style>
  <w:style w:type="paragraph" w:customStyle="1" w:styleId="HeadingNotinTOC">
    <w:name w:val="Heading Not in TOC"/>
    <w:basedOn w:val="Heading1"/>
    <w:autoRedefine/>
    <w:rsid w:val="00CF01B2"/>
    <w:rPr>
      <w:b w:val="0"/>
    </w:rPr>
  </w:style>
  <w:style w:type="paragraph" w:customStyle="1" w:styleId="TextSection">
    <w:name w:val="Text Section"/>
    <w:basedOn w:val="Normal"/>
    <w:autoRedefine/>
    <w:rsid w:val="00CF01B2"/>
    <w:pPr>
      <w:spacing w:line="480" w:lineRule="auto"/>
      <w:jc w:val="both"/>
    </w:pPr>
    <w:rPr>
      <w:rFonts w:eastAsia="+mn-ea"/>
      <w:lang w:val="en-GB"/>
    </w:rPr>
  </w:style>
  <w:style w:type="paragraph" w:customStyle="1" w:styleId="TableTitle">
    <w:name w:val="Table Title"/>
    <w:basedOn w:val="TextSection"/>
    <w:autoRedefine/>
    <w:rsid w:val="00CF01B2"/>
    <w:pPr>
      <w:keepNext/>
      <w:tabs>
        <w:tab w:val="left" w:pos="1080"/>
      </w:tabs>
      <w:spacing w:line="240" w:lineRule="auto"/>
    </w:pPr>
    <w:rPr>
      <w:rFonts w:eastAsiaTheme="minorEastAsia"/>
      <w:b/>
    </w:rPr>
  </w:style>
  <w:style w:type="paragraph" w:customStyle="1" w:styleId="FigureTitle">
    <w:name w:val="Figure Title"/>
    <w:basedOn w:val="TextSection"/>
    <w:autoRedefine/>
    <w:rsid w:val="00CF01B2"/>
    <w:pPr>
      <w:keepNext/>
      <w:tabs>
        <w:tab w:val="left" w:pos="1080"/>
      </w:tabs>
      <w:ind w:left="1080" w:hanging="1080"/>
    </w:pPr>
    <w:rPr>
      <w:sz w:val="22"/>
    </w:rPr>
  </w:style>
  <w:style w:type="paragraph" w:customStyle="1" w:styleId="AppendixTitle">
    <w:name w:val="Appendix Title"/>
    <w:basedOn w:val="Normal"/>
    <w:autoRedefine/>
    <w:rsid w:val="00CF01B2"/>
    <w:pPr>
      <w:tabs>
        <w:tab w:val="left" w:pos="1440"/>
      </w:tabs>
      <w:spacing w:line="480" w:lineRule="auto"/>
    </w:pPr>
  </w:style>
  <w:style w:type="paragraph" w:customStyle="1" w:styleId="BibliographyEntry">
    <w:name w:val="Bibliography Entry"/>
    <w:basedOn w:val="TextSection"/>
    <w:autoRedefine/>
    <w:rsid w:val="00CF01B2"/>
    <w:pPr>
      <w:keepLines/>
      <w:spacing w:after="240"/>
      <w:ind w:left="720" w:hanging="720"/>
    </w:pPr>
  </w:style>
  <w:style w:type="paragraph" w:customStyle="1" w:styleId="ArticleTitle">
    <w:name w:val="Article Title"/>
    <w:basedOn w:val="TextSection"/>
    <w:autoRedefine/>
    <w:rsid w:val="00CF01B2"/>
    <w:pPr>
      <w:spacing w:after="240" w:line="240" w:lineRule="auto"/>
      <w:jc w:val="center"/>
    </w:pPr>
  </w:style>
  <w:style w:type="paragraph" w:customStyle="1" w:styleId="FigureTitle2">
    <w:name w:val="Figure Title 2"/>
    <w:basedOn w:val="FigureTitle"/>
    <w:rsid w:val="00CF01B2"/>
  </w:style>
  <w:style w:type="paragraph" w:customStyle="1" w:styleId="TableTitle2">
    <w:name w:val="Table Title 2"/>
    <w:basedOn w:val="TableTitle"/>
    <w:rsid w:val="00CF01B2"/>
  </w:style>
  <w:style w:type="paragraph" w:customStyle="1" w:styleId="ArticleTitleTable">
    <w:name w:val="Article Title Table"/>
    <w:basedOn w:val="ArticleTitle"/>
    <w:rsid w:val="00CF01B2"/>
  </w:style>
  <w:style w:type="paragraph" w:customStyle="1" w:styleId="ArticleTitleFigure">
    <w:name w:val="Article Title Figure"/>
    <w:basedOn w:val="ArticleTitleTable"/>
    <w:rsid w:val="00CF01B2"/>
  </w:style>
  <w:style w:type="paragraph" w:customStyle="1" w:styleId="ArticleTitleTableandFigure">
    <w:name w:val="Article Title Table and Figure"/>
    <w:basedOn w:val="ArticleTitleFigure"/>
    <w:rsid w:val="00CF01B2"/>
    <w:rPr>
      <w:b/>
    </w:rPr>
  </w:style>
  <w:style w:type="table" w:styleId="TableGrid">
    <w:name w:val="Table Grid"/>
    <w:basedOn w:val="TableNormal"/>
    <w:uiPriority w:val="39"/>
    <w:rsid w:val="00CF01B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CF01B2"/>
    <w:rPr>
      <w:sz w:val="16"/>
      <w:szCs w:val="16"/>
    </w:rPr>
  </w:style>
  <w:style w:type="paragraph" w:styleId="CommentText">
    <w:name w:val="annotation text"/>
    <w:basedOn w:val="Normal"/>
    <w:link w:val="CommentTextChar"/>
    <w:uiPriority w:val="99"/>
    <w:rsid w:val="00CF01B2"/>
    <w:rPr>
      <w:sz w:val="20"/>
      <w:szCs w:val="20"/>
    </w:rPr>
  </w:style>
  <w:style w:type="character" w:customStyle="1" w:styleId="CommentTextChar">
    <w:name w:val="Comment Text Char"/>
    <w:basedOn w:val="DefaultParagraphFont"/>
    <w:link w:val="CommentText"/>
    <w:uiPriority w:val="99"/>
    <w:rsid w:val="00CF0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01B2"/>
    <w:rPr>
      <w:b/>
      <w:bCs/>
    </w:rPr>
  </w:style>
  <w:style w:type="character" w:customStyle="1" w:styleId="CommentSubjectChar">
    <w:name w:val="Comment Subject Char"/>
    <w:basedOn w:val="CommentTextChar"/>
    <w:link w:val="CommentSubject"/>
    <w:rsid w:val="00CF0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CF01B2"/>
    <w:rPr>
      <w:rFonts w:ascii="Tahoma" w:hAnsi="Tahoma" w:cs="Tahoma"/>
      <w:sz w:val="16"/>
      <w:szCs w:val="16"/>
    </w:rPr>
  </w:style>
  <w:style w:type="character" w:customStyle="1" w:styleId="BalloonTextChar">
    <w:name w:val="Balloon Text Char"/>
    <w:basedOn w:val="DefaultParagraphFont"/>
    <w:link w:val="BalloonText"/>
    <w:uiPriority w:val="99"/>
    <w:rsid w:val="00CF01B2"/>
    <w:rPr>
      <w:rFonts w:ascii="Tahoma" w:eastAsia="Times New Roman" w:hAnsi="Tahoma" w:cs="Tahoma"/>
      <w:sz w:val="16"/>
      <w:szCs w:val="16"/>
    </w:rPr>
  </w:style>
  <w:style w:type="paragraph" w:customStyle="1" w:styleId="Heading1NotBold">
    <w:name w:val="Heading 1 Not Bold"/>
    <w:basedOn w:val="Heading1"/>
    <w:qFormat/>
    <w:rsid w:val="00CF01B2"/>
    <w:rPr>
      <w:b w:val="0"/>
    </w:rPr>
  </w:style>
  <w:style w:type="paragraph" w:styleId="ListParagraph">
    <w:name w:val="List Paragraph"/>
    <w:basedOn w:val="Normal"/>
    <w:uiPriority w:val="34"/>
    <w:qFormat/>
    <w:rsid w:val="00CF01B2"/>
    <w:pPr>
      <w:ind w:left="720"/>
      <w:contextualSpacing/>
    </w:pPr>
  </w:style>
  <w:style w:type="paragraph" w:styleId="TOCHeading">
    <w:name w:val="TOC Heading"/>
    <w:basedOn w:val="Heading1"/>
    <w:next w:val="Normal"/>
    <w:uiPriority w:val="39"/>
    <w:semiHidden/>
    <w:unhideWhenUsed/>
    <w:qFormat/>
    <w:rsid w:val="00CF01B2"/>
    <w:pPr>
      <w:keepLines/>
      <w:spacing w:before="480" w:line="276" w:lineRule="auto"/>
      <w:jc w:val="left"/>
      <w:outlineLvl w:val="9"/>
    </w:pPr>
    <w:rPr>
      <w:rFonts w:ascii="Cambria" w:hAnsi="Cambria"/>
      <w:caps w:val="0"/>
      <w:color w:val="365F91"/>
      <w:kern w:val="0"/>
      <w:sz w:val="28"/>
      <w:szCs w:val="28"/>
    </w:rPr>
  </w:style>
  <w:style w:type="numbering" w:customStyle="1" w:styleId="NoList1">
    <w:name w:val="No List1"/>
    <w:next w:val="NoList"/>
    <w:uiPriority w:val="99"/>
    <w:semiHidden/>
    <w:unhideWhenUsed/>
    <w:rsid w:val="00CF01B2"/>
  </w:style>
  <w:style w:type="paragraph" w:styleId="NoSpacing">
    <w:name w:val="No Spacing"/>
    <w:uiPriority w:val="1"/>
    <w:qFormat/>
    <w:rsid w:val="00CF01B2"/>
    <w:pPr>
      <w:spacing w:after="0" w:line="240" w:lineRule="auto"/>
    </w:pPr>
    <w:rPr>
      <w:rFonts w:ascii="Arial" w:hAnsi="Arial"/>
      <w:lang w:val="en-GB"/>
    </w:rPr>
  </w:style>
  <w:style w:type="numbering" w:customStyle="1" w:styleId="NoList11">
    <w:name w:val="No List11"/>
    <w:next w:val="NoList"/>
    <w:uiPriority w:val="99"/>
    <w:semiHidden/>
    <w:unhideWhenUsed/>
    <w:rsid w:val="00CF01B2"/>
  </w:style>
  <w:style w:type="paragraph" w:styleId="Caption">
    <w:name w:val="caption"/>
    <w:basedOn w:val="Normal"/>
    <w:next w:val="Normal"/>
    <w:autoRedefine/>
    <w:qFormat/>
    <w:rsid w:val="00CF01B2"/>
    <w:rPr>
      <w:rFonts w:ascii="Arial" w:hAnsi="Arial"/>
      <w:b/>
      <w:i/>
      <w:iCs/>
      <w:sz w:val="22"/>
      <w:lang w:val="en-GB"/>
    </w:rPr>
  </w:style>
  <w:style w:type="table" w:customStyle="1" w:styleId="TableGrid1">
    <w:name w:val="Table Grid1"/>
    <w:basedOn w:val="TableNormal"/>
    <w:next w:val="TableGrid"/>
    <w:uiPriority w:val="59"/>
    <w:rsid w:val="00CF01B2"/>
    <w:pPr>
      <w:spacing w:after="0" w:line="240" w:lineRule="auto"/>
    </w:pPr>
    <w:rPr>
      <w:rFonts w:ascii="Arial" w:eastAsia="Times New Roman"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rsid w:val="00CF01B2"/>
    <w:pPr>
      <w:tabs>
        <w:tab w:val="right" w:pos="8280"/>
      </w:tabs>
      <w:spacing w:after="120"/>
      <w:ind w:left="1080" w:hanging="1080"/>
    </w:pPr>
    <w:rPr>
      <w:rFonts w:ascii="Arial" w:hAnsi="Arial"/>
      <w:b/>
      <w:noProof/>
      <w:sz w:val="22"/>
      <w:lang w:val="en-GB"/>
    </w:rPr>
  </w:style>
  <w:style w:type="paragraph" w:styleId="Title">
    <w:name w:val="Title"/>
    <w:basedOn w:val="Normal"/>
    <w:link w:val="TitleChar"/>
    <w:qFormat/>
    <w:rsid w:val="00CF01B2"/>
    <w:pPr>
      <w:jc w:val="center"/>
    </w:pPr>
    <w:rPr>
      <w:b/>
      <w:sz w:val="32"/>
      <w:lang w:val="en-GB"/>
    </w:rPr>
  </w:style>
  <w:style w:type="character" w:customStyle="1" w:styleId="TitleChar">
    <w:name w:val="Title Char"/>
    <w:basedOn w:val="DefaultParagraphFont"/>
    <w:link w:val="Title"/>
    <w:rsid w:val="00CF01B2"/>
    <w:rPr>
      <w:rFonts w:ascii="Times New Roman" w:eastAsia="Times New Roman" w:hAnsi="Times New Roman" w:cs="Times New Roman"/>
      <w:b/>
      <w:sz w:val="32"/>
      <w:szCs w:val="24"/>
      <w:lang w:val="en-GB"/>
    </w:rPr>
  </w:style>
  <w:style w:type="paragraph" w:styleId="BodyTextIndent">
    <w:name w:val="Body Text Indent"/>
    <w:basedOn w:val="Normal"/>
    <w:link w:val="BodyTextIndentChar"/>
    <w:rsid w:val="00CF01B2"/>
    <w:pPr>
      <w:ind w:left="720" w:hanging="720"/>
      <w:jc w:val="both"/>
    </w:pPr>
    <w:rPr>
      <w:rFonts w:ascii="Arial" w:hAnsi="Arial"/>
      <w:sz w:val="22"/>
      <w:lang w:val="en-GB"/>
    </w:rPr>
  </w:style>
  <w:style w:type="character" w:customStyle="1" w:styleId="BodyTextIndentChar">
    <w:name w:val="Body Text Indent Char"/>
    <w:basedOn w:val="DefaultParagraphFont"/>
    <w:link w:val="BodyTextIndent"/>
    <w:rsid w:val="00CF01B2"/>
    <w:rPr>
      <w:rFonts w:ascii="Arial" w:eastAsia="Times New Roman" w:hAnsi="Arial" w:cs="Times New Roman"/>
      <w:szCs w:val="24"/>
      <w:lang w:val="en-GB"/>
    </w:rPr>
  </w:style>
  <w:style w:type="paragraph" w:styleId="List">
    <w:name w:val="List"/>
    <w:basedOn w:val="Normal"/>
    <w:rsid w:val="00CF01B2"/>
    <w:pPr>
      <w:ind w:left="360" w:hanging="360"/>
    </w:pPr>
    <w:rPr>
      <w:rFonts w:ascii="Arial" w:hAnsi="Arial"/>
      <w:sz w:val="22"/>
      <w:szCs w:val="20"/>
      <w:lang w:val="en-GB"/>
    </w:rPr>
  </w:style>
  <w:style w:type="character" w:styleId="Emphasis">
    <w:name w:val="Emphasis"/>
    <w:basedOn w:val="DefaultParagraphFont"/>
    <w:qFormat/>
    <w:rsid w:val="00CF01B2"/>
    <w:rPr>
      <w:i/>
      <w:iCs/>
    </w:rPr>
  </w:style>
  <w:style w:type="paragraph" w:styleId="BodyText2">
    <w:name w:val="Body Text 2"/>
    <w:basedOn w:val="Normal"/>
    <w:link w:val="BodyText2Char"/>
    <w:uiPriority w:val="99"/>
    <w:unhideWhenUsed/>
    <w:rsid w:val="00CF01B2"/>
    <w:pPr>
      <w:spacing w:after="120" w:line="480" w:lineRule="auto"/>
    </w:pPr>
    <w:rPr>
      <w:rFonts w:ascii="Arial" w:hAnsi="Arial"/>
      <w:sz w:val="22"/>
      <w:szCs w:val="20"/>
      <w:lang w:val="en-GB"/>
    </w:rPr>
  </w:style>
  <w:style w:type="character" w:customStyle="1" w:styleId="BodyText2Char">
    <w:name w:val="Body Text 2 Char"/>
    <w:basedOn w:val="DefaultParagraphFont"/>
    <w:link w:val="BodyText2"/>
    <w:uiPriority w:val="99"/>
    <w:rsid w:val="00CF01B2"/>
    <w:rPr>
      <w:rFonts w:ascii="Arial" w:eastAsia="Times New Roman" w:hAnsi="Arial" w:cs="Times New Roman"/>
      <w:szCs w:val="20"/>
      <w:lang w:val="en-GB"/>
    </w:rPr>
  </w:style>
  <w:style w:type="character" w:customStyle="1" w:styleId="slug-vol">
    <w:name w:val="slug-vol"/>
    <w:basedOn w:val="DefaultParagraphFont"/>
    <w:rsid w:val="00CF01B2"/>
  </w:style>
  <w:style w:type="character" w:customStyle="1" w:styleId="cit-sep">
    <w:name w:val="cit-sep"/>
    <w:basedOn w:val="DefaultParagraphFont"/>
    <w:rsid w:val="00CF01B2"/>
  </w:style>
  <w:style w:type="character" w:customStyle="1" w:styleId="slug-pages">
    <w:name w:val="slug-pages"/>
    <w:basedOn w:val="DefaultParagraphFont"/>
    <w:rsid w:val="00CF01B2"/>
  </w:style>
  <w:style w:type="numbering" w:customStyle="1" w:styleId="NoList2">
    <w:name w:val="No List2"/>
    <w:next w:val="NoList"/>
    <w:uiPriority w:val="99"/>
    <w:semiHidden/>
    <w:unhideWhenUsed/>
    <w:rsid w:val="00CF01B2"/>
  </w:style>
  <w:style w:type="numbering" w:customStyle="1" w:styleId="NoList12">
    <w:name w:val="No List12"/>
    <w:next w:val="NoList"/>
    <w:uiPriority w:val="99"/>
    <w:semiHidden/>
    <w:unhideWhenUsed/>
    <w:rsid w:val="00CF01B2"/>
  </w:style>
  <w:style w:type="table" w:customStyle="1" w:styleId="TableGrid2">
    <w:name w:val="Table Grid2"/>
    <w:basedOn w:val="TableNormal"/>
    <w:next w:val="TableGrid"/>
    <w:uiPriority w:val="59"/>
    <w:rsid w:val="00CF01B2"/>
    <w:pPr>
      <w:spacing w:after="0" w:line="240" w:lineRule="auto"/>
    </w:pPr>
    <w:rPr>
      <w:rFonts w:ascii="Arial" w:eastAsia="Times New Roman"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F01B2"/>
    <w:pPr>
      <w:widowControl w:val="0"/>
      <w:ind w:left="720" w:firstLine="680"/>
    </w:pPr>
    <w:rPr>
      <w:rFonts w:ascii="Arial" w:hAnsi="Arial"/>
      <w:snapToGrid w:val="0"/>
      <w:szCs w:val="20"/>
      <w:lang w:val="es-ES_tradnl" w:eastAsia="es-ES"/>
    </w:rPr>
  </w:style>
  <w:style w:type="character" w:customStyle="1" w:styleId="BodyTextIndent2Char">
    <w:name w:val="Body Text Indent 2 Char"/>
    <w:basedOn w:val="DefaultParagraphFont"/>
    <w:link w:val="BodyTextIndent2"/>
    <w:rsid w:val="00CF01B2"/>
    <w:rPr>
      <w:rFonts w:ascii="Arial" w:eastAsia="Times New Roman" w:hAnsi="Arial" w:cs="Times New Roman"/>
      <w:snapToGrid w:val="0"/>
      <w:sz w:val="24"/>
      <w:szCs w:val="20"/>
      <w:lang w:val="es-ES_tradnl" w:eastAsia="es-ES"/>
    </w:rPr>
  </w:style>
  <w:style w:type="paragraph" w:styleId="Revision">
    <w:name w:val="Revision"/>
    <w:hidden/>
    <w:uiPriority w:val="99"/>
    <w:semiHidden/>
    <w:rsid w:val="00CF01B2"/>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CF01B2"/>
    <w:pPr>
      <w:spacing w:before="100" w:beforeAutospacing="1" w:after="100" w:afterAutospacing="1"/>
    </w:pPr>
  </w:style>
  <w:style w:type="character" w:styleId="FollowedHyperlink">
    <w:name w:val="FollowedHyperlink"/>
    <w:basedOn w:val="DefaultParagraphFont"/>
    <w:uiPriority w:val="99"/>
    <w:semiHidden/>
    <w:unhideWhenUsed/>
    <w:rsid w:val="00CF01B2"/>
    <w:rPr>
      <w:color w:val="954F72" w:themeColor="followedHyperlink"/>
      <w:u w:val="single"/>
    </w:rPr>
  </w:style>
  <w:style w:type="paragraph" w:styleId="PlainText">
    <w:name w:val="Plain Text"/>
    <w:basedOn w:val="Normal"/>
    <w:link w:val="PlainTextChar"/>
    <w:uiPriority w:val="99"/>
    <w:semiHidden/>
    <w:unhideWhenUsed/>
    <w:rsid w:val="00F72930"/>
    <w:rPr>
      <w:rFonts w:ascii="Consolas" w:hAnsi="Consolas" w:cs="Consolas"/>
      <w:sz w:val="21"/>
      <w:szCs w:val="21"/>
    </w:rPr>
  </w:style>
  <w:style w:type="character" w:customStyle="1" w:styleId="PlainTextChar">
    <w:name w:val="Plain Text Char"/>
    <w:basedOn w:val="DefaultParagraphFont"/>
    <w:link w:val="PlainText"/>
    <w:uiPriority w:val="99"/>
    <w:semiHidden/>
    <w:rsid w:val="00F72930"/>
    <w:rPr>
      <w:rFonts w:ascii="Consolas" w:eastAsia="Times New Roman" w:hAnsi="Consolas" w:cs="Consolas"/>
      <w:sz w:val="21"/>
      <w:szCs w:val="21"/>
    </w:rPr>
  </w:style>
  <w:style w:type="table" w:customStyle="1" w:styleId="Tablaconcuadrcula1">
    <w:name w:val="Tabla con cuadrícula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0"/>
    <w:lsdException w:name="toc 8" w:uiPriority="0"/>
    <w:lsdException w:name="toc 9" w:uiPriority="0"/>
    <w:lsdException w:name="caption" w:uiPriority="0" w:qFormat="1"/>
    <w:lsdException w:name="table of figures"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CF01B2"/>
    <w:pPr>
      <w:keepNext/>
      <w:spacing w:line="480" w:lineRule="auto"/>
      <w:jc w:val="center"/>
      <w:outlineLvl w:val="0"/>
    </w:pPr>
    <w:rPr>
      <w:b/>
      <w:bCs/>
      <w:caps/>
      <w:kern w:val="32"/>
      <w:szCs w:val="32"/>
    </w:rPr>
  </w:style>
  <w:style w:type="paragraph" w:styleId="Heading2">
    <w:name w:val="heading 2"/>
    <w:basedOn w:val="Normal"/>
    <w:next w:val="Normal"/>
    <w:link w:val="Heading2Char"/>
    <w:autoRedefine/>
    <w:qFormat/>
    <w:rsid w:val="00CF01B2"/>
    <w:pPr>
      <w:widowControl w:val="0"/>
      <w:outlineLvl w:val="1"/>
    </w:pPr>
    <w:rPr>
      <w:b/>
      <w:bCs/>
      <w:iCs/>
    </w:rPr>
  </w:style>
  <w:style w:type="paragraph" w:styleId="Heading3">
    <w:name w:val="heading 3"/>
    <w:basedOn w:val="Normal"/>
    <w:next w:val="Normal"/>
    <w:link w:val="Heading3Char"/>
    <w:autoRedefine/>
    <w:qFormat/>
    <w:rsid w:val="00CF01B2"/>
    <w:pPr>
      <w:keepNext/>
      <w:spacing w:line="480" w:lineRule="auto"/>
      <w:outlineLvl w:val="2"/>
    </w:pPr>
    <w:rPr>
      <w:b/>
      <w:i/>
      <w:iCs/>
      <w:szCs w:val="26"/>
    </w:rPr>
  </w:style>
  <w:style w:type="paragraph" w:styleId="Heading4">
    <w:name w:val="heading 4"/>
    <w:basedOn w:val="Normal"/>
    <w:next w:val="Normal"/>
    <w:link w:val="Heading4Char"/>
    <w:qFormat/>
    <w:rsid w:val="00CF01B2"/>
    <w:pPr>
      <w:keepNext/>
      <w:spacing w:before="240" w:after="60"/>
      <w:outlineLvl w:val="3"/>
    </w:pPr>
    <w:rPr>
      <w:b/>
      <w:bCs/>
      <w:sz w:val="28"/>
      <w:szCs w:val="28"/>
    </w:rPr>
  </w:style>
  <w:style w:type="paragraph" w:styleId="Heading5">
    <w:name w:val="heading 5"/>
    <w:basedOn w:val="Normal"/>
    <w:next w:val="Normal"/>
    <w:link w:val="Heading5Char"/>
    <w:qFormat/>
    <w:rsid w:val="00CF01B2"/>
    <w:pPr>
      <w:spacing w:before="240" w:after="60"/>
      <w:outlineLvl w:val="4"/>
    </w:pPr>
    <w:rPr>
      <w:b/>
      <w:bCs/>
      <w:i/>
      <w:iCs/>
      <w:sz w:val="26"/>
      <w:szCs w:val="26"/>
    </w:rPr>
  </w:style>
  <w:style w:type="paragraph" w:styleId="Heading6">
    <w:name w:val="heading 6"/>
    <w:basedOn w:val="Normal"/>
    <w:next w:val="Normal"/>
    <w:link w:val="Heading6Char"/>
    <w:qFormat/>
    <w:rsid w:val="00CF01B2"/>
    <w:pPr>
      <w:keepNext/>
      <w:outlineLvl w:val="5"/>
    </w:pPr>
    <w:rPr>
      <w:rFonts w:ascii="Arial" w:hAnsi="Arial"/>
      <w:b/>
      <w:i/>
      <w:iCs/>
      <w:sz w:val="22"/>
      <w:lang w:val="en-GB"/>
    </w:rPr>
  </w:style>
  <w:style w:type="paragraph" w:styleId="Heading7">
    <w:name w:val="heading 7"/>
    <w:basedOn w:val="Normal"/>
    <w:next w:val="Normal"/>
    <w:link w:val="Heading7Char"/>
    <w:qFormat/>
    <w:rsid w:val="00CF01B2"/>
    <w:pPr>
      <w:keepNext/>
      <w:jc w:val="both"/>
      <w:outlineLvl w:val="6"/>
    </w:pPr>
    <w:rPr>
      <w:rFonts w:ascii="Arial" w:hAnsi="Arial"/>
      <w:b/>
      <w:bCs/>
      <w:sz w:val="22"/>
      <w:lang w:val="en-GB"/>
    </w:rPr>
  </w:style>
  <w:style w:type="paragraph" w:styleId="Heading8">
    <w:name w:val="heading 8"/>
    <w:basedOn w:val="Normal"/>
    <w:next w:val="Normal"/>
    <w:link w:val="Heading8Char"/>
    <w:qFormat/>
    <w:rsid w:val="00CF01B2"/>
    <w:pPr>
      <w:keepNext/>
      <w:jc w:val="both"/>
      <w:outlineLvl w:val="7"/>
    </w:pPr>
    <w:rPr>
      <w:rFonts w:ascii="Arial" w:hAnsi="Arial"/>
      <w:b/>
      <w:bCs/>
      <w:sz w:val="22"/>
      <w:lang w:val="en-GB"/>
    </w:rPr>
  </w:style>
  <w:style w:type="paragraph" w:styleId="Heading9">
    <w:name w:val="heading 9"/>
    <w:basedOn w:val="Normal"/>
    <w:next w:val="Normal"/>
    <w:link w:val="Heading9Char"/>
    <w:qFormat/>
    <w:rsid w:val="00CF01B2"/>
    <w:pPr>
      <w:keepNext/>
      <w:jc w:val="right"/>
      <w:outlineLvl w:val="8"/>
    </w:pPr>
    <w:rPr>
      <w:rFonts w:ascii="Arial" w:hAnsi="Arial"/>
      <w:b/>
      <w:b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1B2"/>
    <w:rPr>
      <w:rFonts w:ascii="Times New Roman" w:eastAsia="Times New Roman" w:hAnsi="Times New Roman" w:cs="Times New Roman"/>
      <w:b/>
      <w:bCs/>
      <w:caps/>
      <w:kern w:val="32"/>
      <w:sz w:val="24"/>
      <w:szCs w:val="32"/>
    </w:rPr>
  </w:style>
  <w:style w:type="character" w:customStyle="1" w:styleId="Heading2Char">
    <w:name w:val="Heading 2 Char"/>
    <w:basedOn w:val="DefaultParagraphFont"/>
    <w:link w:val="Heading2"/>
    <w:rsid w:val="00CF01B2"/>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CF01B2"/>
    <w:rPr>
      <w:rFonts w:ascii="Times New Roman" w:eastAsia="Times New Roman" w:hAnsi="Times New Roman" w:cs="Times New Roman"/>
      <w:b/>
      <w:i/>
      <w:iCs/>
      <w:sz w:val="24"/>
      <w:szCs w:val="26"/>
    </w:rPr>
  </w:style>
  <w:style w:type="character" w:customStyle="1" w:styleId="Heading4Char">
    <w:name w:val="Heading 4 Char"/>
    <w:basedOn w:val="DefaultParagraphFont"/>
    <w:link w:val="Heading4"/>
    <w:rsid w:val="00CF01B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F01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F01B2"/>
    <w:rPr>
      <w:rFonts w:ascii="Arial" w:eastAsia="Times New Roman" w:hAnsi="Arial" w:cs="Times New Roman"/>
      <w:b/>
      <w:i/>
      <w:iCs/>
      <w:szCs w:val="24"/>
      <w:lang w:val="en-GB"/>
    </w:rPr>
  </w:style>
  <w:style w:type="character" w:customStyle="1" w:styleId="Heading7Char">
    <w:name w:val="Heading 7 Char"/>
    <w:basedOn w:val="DefaultParagraphFont"/>
    <w:link w:val="Heading7"/>
    <w:rsid w:val="00CF01B2"/>
    <w:rPr>
      <w:rFonts w:ascii="Arial" w:eastAsia="Times New Roman" w:hAnsi="Arial" w:cs="Times New Roman"/>
      <w:b/>
      <w:bCs/>
      <w:szCs w:val="24"/>
      <w:lang w:val="en-GB"/>
    </w:rPr>
  </w:style>
  <w:style w:type="character" w:customStyle="1" w:styleId="Heading8Char">
    <w:name w:val="Heading 8 Char"/>
    <w:basedOn w:val="DefaultParagraphFont"/>
    <w:link w:val="Heading8"/>
    <w:rsid w:val="00CF01B2"/>
    <w:rPr>
      <w:rFonts w:ascii="Arial" w:eastAsia="Times New Roman" w:hAnsi="Arial" w:cs="Times New Roman"/>
      <w:b/>
      <w:bCs/>
      <w:szCs w:val="24"/>
      <w:lang w:val="en-GB"/>
    </w:rPr>
  </w:style>
  <w:style w:type="character" w:customStyle="1" w:styleId="Heading9Char">
    <w:name w:val="Heading 9 Char"/>
    <w:basedOn w:val="DefaultParagraphFont"/>
    <w:link w:val="Heading9"/>
    <w:rsid w:val="00CF01B2"/>
    <w:rPr>
      <w:rFonts w:ascii="Arial" w:eastAsia="Times New Roman" w:hAnsi="Arial" w:cs="Times New Roman"/>
      <w:b/>
      <w:bCs/>
      <w:szCs w:val="20"/>
      <w:lang w:val="en-GB"/>
    </w:rPr>
  </w:style>
  <w:style w:type="paragraph" w:styleId="Header">
    <w:name w:val="header"/>
    <w:basedOn w:val="Normal"/>
    <w:link w:val="HeaderChar"/>
    <w:uiPriority w:val="99"/>
    <w:rsid w:val="00CF01B2"/>
    <w:pPr>
      <w:tabs>
        <w:tab w:val="center" w:pos="4320"/>
        <w:tab w:val="right" w:pos="8640"/>
      </w:tabs>
    </w:pPr>
  </w:style>
  <w:style w:type="character" w:customStyle="1" w:styleId="HeaderChar">
    <w:name w:val="Header Char"/>
    <w:basedOn w:val="DefaultParagraphFont"/>
    <w:link w:val="Header"/>
    <w:uiPriority w:val="99"/>
    <w:rsid w:val="00CF01B2"/>
    <w:rPr>
      <w:rFonts w:ascii="Times New Roman" w:eastAsia="Times New Roman" w:hAnsi="Times New Roman" w:cs="Times New Roman"/>
      <w:sz w:val="24"/>
      <w:szCs w:val="24"/>
    </w:rPr>
  </w:style>
  <w:style w:type="paragraph" w:styleId="Footer">
    <w:name w:val="footer"/>
    <w:basedOn w:val="Normal"/>
    <w:link w:val="FooterChar"/>
    <w:uiPriority w:val="99"/>
    <w:rsid w:val="00CF01B2"/>
    <w:pPr>
      <w:tabs>
        <w:tab w:val="center" w:pos="4320"/>
        <w:tab w:val="right" w:pos="8640"/>
      </w:tabs>
    </w:pPr>
  </w:style>
  <w:style w:type="character" w:customStyle="1" w:styleId="FooterChar">
    <w:name w:val="Footer Char"/>
    <w:basedOn w:val="DefaultParagraphFont"/>
    <w:link w:val="Footer"/>
    <w:uiPriority w:val="99"/>
    <w:rsid w:val="00CF01B2"/>
    <w:rPr>
      <w:rFonts w:ascii="Times New Roman" w:eastAsia="Times New Roman" w:hAnsi="Times New Roman" w:cs="Times New Roman"/>
      <w:sz w:val="24"/>
      <w:szCs w:val="24"/>
    </w:rPr>
  </w:style>
  <w:style w:type="character" w:styleId="PageNumber">
    <w:name w:val="page number"/>
    <w:basedOn w:val="DefaultParagraphFont"/>
    <w:rsid w:val="00CF01B2"/>
  </w:style>
  <w:style w:type="paragraph" w:styleId="TOC1">
    <w:name w:val="toc 1"/>
    <w:basedOn w:val="Normal"/>
    <w:next w:val="Normal"/>
    <w:autoRedefine/>
    <w:uiPriority w:val="39"/>
    <w:rsid w:val="00CF01B2"/>
    <w:pPr>
      <w:tabs>
        <w:tab w:val="right" w:leader="dot" w:pos="9000"/>
      </w:tabs>
      <w:spacing w:before="120"/>
      <w:ind w:left="360" w:right="720" w:hanging="360"/>
    </w:pPr>
    <w:rPr>
      <w:noProof/>
    </w:rPr>
  </w:style>
  <w:style w:type="paragraph" w:styleId="TOC2">
    <w:name w:val="toc 2"/>
    <w:basedOn w:val="Normal"/>
    <w:next w:val="Normal"/>
    <w:autoRedefine/>
    <w:uiPriority w:val="39"/>
    <w:rsid w:val="00CF01B2"/>
    <w:pPr>
      <w:tabs>
        <w:tab w:val="left" w:pos="1080"/>
        <w:tab w:val="right" w:leader="dot" w:pos="9000"/>
      </w:tabs>
      <w:ind w:left="1080" w:right="1080" w:hanging="720"/>
    </w:pPr>
  </w:style>
  <w:style w:type="paragraph" w:styleId="TOC3">
    <w:name w:val="toc 3"/>
    <w:basedOn w:val="Normal"/>
    <w:next w:val="Normal"/>
    <w:autoRedefine/>
    <w:rsid w:val="00CF01B2"/>
    <w:pPr>
      <w:tabs>
        <w:tab w:val="left" w:pos="1080"/>
        <w:tab w:val="right" w:leader="dot" w:pos="9000"/>
      </w:tabs>
      <w:ind w:left="1080" w:right="1080" w:hanging="360"/>
    </w:pPr>
    <w:rPr>
      <w:noProof/>
    </w:rPr>
  </w:style>
  <w:style w:type="paragraph" w:styleId="TOC4">
    <w:name w:val="toc 4"/>
    <w:basedOn w:val="Normal"/>
    <w:next w:val="Normal"/>
    <w:autoRedefine/>
    <w:rsid w:val="00CF01B2"/>
    <w:pPr>
      <w:ind w:left="720"/>
    </w:pPr>
  </w:style>
  <w:style w:type="paragraph" w:styleId="TOC5">
    <w:name w:val="toc 5"/>
    <w:basedOn w:val="Normal"/>
    <w:next w:val="Normal"/>
    <w:autoRedefine/>
    <w:uiPriority w:val="39"/>
    <w:rsid w:val="00CF01B2"/>
    <w:pPr>
      <w:tabs>
        <w:tab w:val="left" w:pos="1080"/>
        <w:tab w:val="right" w:leader="dot" w:pos="9000"/>
      </w:tabs>
      <w:spacing w:before="120"/>
      <w:ind w:left="1080" w:right="720" w:hanging="1080"/>
    </w:pPr>
    <w:rPr>
      <w:noProof/>
      <w:kern w:val="32"/>
    </w:rPr>
  </w:style>
  <w:style w:type="paragraph" w:styleId="TOC6">
    <w:name w:val="toc 6"/>
    <w:basedOn w:val="Normal"/>
    <w:next w:val="Normal"/>
    <w:autoRedefine/>
    <w:uiPriority w:val="39"/>
    <w:rsid w:val="00CF01B2"/>
    <w:pPr>
      <w:tabs>
        <w:tab w:val="left" w:pos="1440"/>
        <w:tab w:val="right" w:leader="dot" w:pos="9000"/>
      </w:tabs>
      <w:ind w:left="1440" w:right="720" w:hanging="1080"/>
    </w:pPr>
  </w:style>
  <w:style w:type="paragraph" w:styleId="TOC7">
    <w:name w:val="toc 7"/>
    <w:basedOn w:val="Normal"/>
    <w:next w:val="Normal"/>
    <w:autoRedefine/>
    <w:semiHidden/>
    <w:rsid w:val="00CF01B2"/>
    <w:pPr>
      <w:ind w:left="1440"/>
    </w:pPr>
  </w:style>
  <w:style w:type="paragraph" w:styleId="TOC8">
    <w:name w:val="toc 8"/>
    <w:basedOn w:val="Normal"/>
    <w:next w:val="Normal"/>
    <w:autoRedefine/>
    <w:semiHidden/>
    <w:rsid w:val="00CF01B2"/>
    <w:pPr>
      <w:ind w:left="1680"/>
    </w:pPr>
  </w:style>
  <w:style w:type="paragraph" w:styleId="TOC9">
    <w:name w:val="toc 9"/>
    <w:basedOn w:val="Normal"/>
    <w:next w:val="Normal"/>
    <w:autoRedefine/>
    <w:semiHidden/>
    <w:rsid w:val="00CF01B2"/>
    <w:pPr>
      <w:ind w:left="1920"/>
    </w:pPr>
  </w:style>
  <w:style w:type="character" w:styleId="Hyperlink">
    <w:name w:val="Hyperlink"/>
    <w:basedOn w:val="DefaultParagraphFont"/>
    <w:uiPriority w:val="99"/>
    <w:rsid w:val="00CF01B2"/>
    <w:rPr>
      <w:color w:val="0000FF"/>
      <w:u w:val="single"/>
    </w:rPr>
  </w:style>
  <w:style w:type="paragraph" w:styleId="BodyText">
    <w:name w:val="Body Text"/>
    <w:basedOn w:val="Normal"/>
    <w:link w:val="BodyTextChar"/>
    <w:rsid w:val="00CF01B2"/>
    <w:pPr>
      <w:jc w:val="center"/>
    </w:pPr>
    <w:rPr>
      <w:caps/>
    </w:rPr>
  </w:style>
  <w:style w:type="character" w:customStyle="1" w:styleId="BodyTextChar">
    <w:name w:val="Body Text Char"/>
    <w:basedOn w:val="DefaultParagraphFont"/>
    <w:link w:val="BodyText"/>
    <w:rsid w:val="00CF01B2"/>
    <w:rPr>
      <w:rFonts w:ascii="Times New Roman" w:eastAsia="Times New Roman" w:hAnsi="Times New Roman" w:cs="Times New Roman"/>
      <w:caps/>
      <w:sz w:val="24"/>
      <w:szCs w:val="24"/>
    </w:rPr>
  </w:style>
  <w:style w:type="paragraph" w:customStyle="1" w:styleId="HeadingNotinTOC">
    <w:name w:val="Heading Not in TOC"/>
    <w:basedOn w:val="Heading1"/>
    <w:autoRedefine/>
    <w:rsid w:val="00CF01B2"/>
    <w:rPr>
      <w:b w:val="0"/>
    </w:rPr>
  </w:style>
  <w:style w:type="paragraph" w:customStyle="1" w:styleId="TextSection">
    <w:name w:val="Text Section"/>
    <w:basedOn w:val="Normal"/>
    <w:autoRedefine/>
    <w:rsid w:val="00CF01B2"/>
    <w:pPr>
      <w:spacing w:line="480" w:lineRule="auto"/>
      <w:jc w:val="both"/>
    </w:pPr>
    <w:rPr>
      <w:rFonts w:eastAsia="+mn-ea"/>
      <w:lang w:val="en-GB"/>
    </w:rPr>
  </w:style>
  <w:style w:type="paragraph" w:customStyle="1" w:styleId="TableTitle">
    <w:name w:val="Table Title"/>
    <w:basedOn w:val="TextSection"/>
    <w:autoRedefine/>
    <w:rsid w:val="00CF01B2"/>
    <w:pPr>
      <w:keepNext/>
      <w:tabs>
        <w:tab w:val="left" w:pos="1080"/>
      </w:tabs>
      <w:spacing w:line="240" w:lineRule="auto"/>
    </w:pPr>
    <w:rPr>
      <w:rFonts w:eastAsiaTheme="minorEastAsia"/>
      <w:b/>
    </w:rPr>
  </w:style>
  <w:style w:type="paragraph" w:customStyle="1" w:styleId="FigureTitle">
    <w:name w:val="Figure Title"/>
    <w:basedOn w:val="TextSection"/>
    <w:autoRedefine/>
    <w:rsid w:val="00CF01B2"/>
    <w:pPr>
      <w:keepNext/>
      <w:tabs>
        <w:tab w:val="left" w:pos="1080"/>
      </w:tabs>
      <w:ind w:left="1080" w:hanging="1080"/>
    </w:pPr>
    <w:rPr>
      <w:sz w:val="22"/>
    </w:rPr>
  </w:style>
  <w:style w:type="paragraph" w:customStyle="1" w:styleId="AppendixTitle">
    <w:name w:val="Appendix Title"/>
    <w:basedOn w:val="Normal"/>
    <w:autoRedefine/>
    <w:rsid w:val="00CF01B2"/>
    <w:pPr>
      <w:tabs>
        <w:tab w:val="left" w:pos="1440"/>
      </w:tabs>
      <w:spacing w:line="480" w:lineRule="auto"/>
    </w:pPr>
  </w:style>
  <w:style w:type="paragraph" w:customStyle="1" w:styleId="BibliographyEntry">
    <w:name w:val="Bibliography Entry"/>
    <w:basedOn w:val="TextSection"/>
    <w:autoRedefine/>
    <w:rsid w:val="00CF01B2"/>
    <w:pPr>
      <w:keepLines/>
      <w:spacing w:after="240"/>
      <w:ind w:left="720" w:hanging="720"/>
    </w:pPr>
  </w:style>
  <w:style w:type="paragraph" w:customStyle="1" w:styleId="ArticleTitle">
    <w:name w:val="Article Title"/>
    <w:basedOn w:val="TextSection"/>
    <w:autoRedefine/>
    <w:rsid w:val="00CF01B2"/>
    <w:pPr>
      <w:spacing w:after="240" w:line="240" w:lineRule="auto"/>
      <w:jc w:val="center"/>
    </w:pPr>
  </w:style>
  <w:style w:type="paragraph" w:customStyle="1" w:styleId="FigureTitle2">
    <w:name w:val="Figure Title 2"/>
    <w:basedOn w:val="FigureTitle"/>
    <w:rsid w:val="00CF01B2"/>
  </w:style>
  <w:style w:type="paragraph" w:customStyle="1" w:styleId="TableTitle2">
    <w:name w:val="Table Title 2"/>
    <w:basedOn w:val="TableTitle"/>
    <w:rsid w:val="00CF01B2"/>
  </w:style>
  <w:style w:type="paragraph" w:customStyle="1" w:styleId="ArticleTitleTable">
    <w:name w:val="Article Title Table"/>
    <w:basedOn w:val="ArticleTitle"/>
    <w:rsid w:val="00CF01B2"/>
  </w:style>
  <w:style w:type="paragraph" w:customStyle="1" w:styleId="ArticleTitleFigure">
    <w:name w:val="Article Title Figure"/>
    <w:basedOn w:val="ArticleTitleTable"/>
    <w:rsid w:val="00CF01B2"/>
  </w:style>
  <w:style w:type="paragraph" w:customStyle="1" w:styleId="ArticleTitleTableandFigure">
    <w:name w:val="Article Title Table and Figure"/>
    <w:basedOn w:val="ArticleTitleFigure"/>
    <w:rsid w:val="00CF01B2"/>
    <w:rPr>
      <w:b/>
    </w:rPr>
  </w:style>
  <w:style w:type="table" w:styleId="TableGrid">
    <w:name w:val="Table Grid"/>
    <w:basedOn w:val="TableNormal"/>
    <w:uiPriority w:val="39"/>
    <w:rsid w:val="00CF01B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CF01B2"/>
    <w:rPr>
      <w:sz w:val="16"/>
      <w:szCs w:val="16"/>
    </w:rPr>
  </w:style>
  <w:style w:type="paragraph" w:styleId="CommentText">
    <w:name w:val="annotation text"/>
    <w:basedOn w:val="Normal"/>
    <w:link w:val="CommentTextChar"/>
    <w:uiPriority w:val="99"/>
    <w:rsid w:val="00CF01B2"/>
    <w:rPr>
      <w:sz w:val="20"/>
      <w:szCs w:val="20"/>
    </w:rPr>
  </w:style>
  <w:style w:type="character" w:customStyle="1" w:styleId="CommentTextChar">
    <w:name w:val="Comment Text Char"/>
    <w:basedOn w:val="DefaultParagraphFont"/>
    <w:link w:val="CommentText"/>
    <w:uiPriority w:val="99"/>
    <w:rsid w:val="00CF01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01B2"/>
    <w:rPr>
      <w:b/>
      <w:bCs/>
    </w:rPr>
  </w:style>
  <w:style w:type="character" w:customStyle="1" w:styleId="CommentSubjectChar">
    <w:name w:val="Comment Subject Char"/>
    <w:basedOn w:val="CommentTextChar"/>
    <w:link w:val="CommentSubject"/>
    <w:rsid w:val="00CF01B2"/>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CF01B2"/>
    <w:rPr>
      <w:rFonts w:ascii="Tahoma" w:hAnsi="Tahoma" w:cs="Tahoma"/>
      <w:sz w:val="16"/>
      <w:szCs w:val="16"/>
    </w:rPr>
  </w:style>
  <w:style w:type="character" w:customStyle="1" w:styleId="BalloonTextChar">
    <w:name w:val="Balloon Text Char"/>
    <w:basedOn w:val="DefaultParagraphFont"/>
    <w:link w:val="BalloonText"/>
    <w:uiPriority w:val="99"/>
    <w:rsid w:val="00CF01B2"/>
    <w:rPr>
      <w:rFonts w:ascii="Tahoma" w:eastAsia="Times New Roman" w:hAnsi="Tahoma" w:cs="Tahoma"/>
      <w:sz w:val="16"/>
      <w:szCs w:val="16"/>
    </w:rPr>
  </w:style>
  <w:style w:type="paragraph" w:customStyle="1" w:styleId="Heading1NotBold">
    <w:name w:val="Heading 1 Not Bold"/>
    <w:basedOn w:val="Heading1"/>
    <w:qFormat/>
    <w:rsid w:val="00CF01B2"/>
    <w:rPr>
      <w:b w:val="0"/>
    </w:rPr>
  </w:style>
  <w:style w:type="paragraph" w:styleId="ListParagraph">
    <w:name w:val="List Paragraph"/>
    <w:basedOn w:val="Normal"/>
    <w:uiPriority w:val="34"/>
    <w:qFormat/>
    <w:rsid w:val="00CF01B2"/>
    <w:pPr>
      <w:ind w:left="720"/>
      <w:contextualSpacing/>
    </w:pPr>
  </w:style>
  <w:style w:type="paragraph" w:styleId="TOCHeading">
    <w:name w:val="TOC Heading"/>
    <w:basedOn w:val="Heading1"/>
    <w:next w:val="Normal"/>
    <w:uiPriority w:val="39"/>
    <w:semiHidden/>
    <w:unhideWhenUsed/>
    <w:qFormat/>
    <w:rsid w:val="00CF01B2"/>
    <w:pPr>
      <w:keepLines/>
      <w:spacing w:before="480" w:line="276" w:lineRule="auto"/>
      <w:jc w:val="left"/>
      <w:outlineLvl w:val="9"/>
    </w:pPr>
    <w:rPr>
      <w:rFonts w:ascii="Cambria" w:hAnsi="Cambria"/>
      <w:caps w:val="0"/>
      <w:color w:val="365F91"/>
      <w:kern w:val="0"/>
      <w:sz w:val="28"/>
      <w:szCs w:val="28"/>
    </w:rPr>
  </w:style>
  <w:style w:type="numbering" w:customStyle="1" w:styleId="NoList1">
    <w:name w:val="No List1"/>
    <w:next w:val="NoList"/>
    <w:uiPriority w:val="99"/>
    <w:semiHidden/>
    <w:unhideWhenUsed/>
    <w:rsid w:val="00CF01B2"/>
  </w:style>
  <w:style w:type="paragraph" w:styleId="NoSpacing">
    <w:name w:val="No Spacing"/>
    <w:uiPriority w:val="1"/>
    <w:qFormat/>
    <w:rsid w:val="00CF01B2"/>
    <w:pPr>
      <w:spacing w:after="0" w:line="240" w:lineRule="auto"/>
    </w:pPr>
    <w:rPr>
      <w:rFonts w:ascii="Arial" w:hAnsi="Arial"/>
      <w:lang w:val="en-GB"/>
    </w:rPr>
  </w:style>
  <w:style w:type="numbering" w:customStyle="1" w:styleId="NoList11">
    <w:name w:val="No List11"/>
    <w:next w:val="NoList"/>
    <w:uiPriority w:val="99"/>
    <w:semiHidden/>
    <w:unhideWhenUsed/>
    <w:rsid w:val="00CF01B2"/>
  </w:style>
  <w:style w:type="paragraph" w:styleId="Caption">
    <w:name w:val="caption"/>
    <w:basedOn w:val="Normal"/>
    <w:next w:val="Normal"/>
    <w:autoRedefine/>
    <w:qFormat/>
    <w:rsid w:val="00CF01B2"/>
    <w:rPr>
      <w:rFonts w:ascii="Arial" w:hAnsi="Arial"/>
      <w:b/>
      <w:i/>
      <w:iCs/>
      <w:sz w:val="22"/>
      <w:lang w:val="en-GB"/>
    </w:rPr>
  </w:style>
  <w:style w:type="table" w:customStyle="1" w:styleId="TableGrid1">
    <w:name w:val="Table Grid1"/>
    <w:basedOn w:val="TableNormal"/>
    <w:next w:val="TableGrid"/>
    <w:uiPriority w:val="59"/>
    <w:rsid w:val="00CF01B2"/>
    <w:pPr>
      <w:spacing w:after="0" w:line="240" w:lineRule="auto"/>
    </w:pPr>
    <w:rPr>
      <w:rFonts w:ascii="Arial" w:eastAsia="Times New Roman"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rsid w:val="00CF01B2"/>
    <w:pPr>
      <w:tabs>
        <w:tab w:val="right" w:pos="8280"/>
      </w:tabs>
      <w:spacing w:after="120"/>
      <w:ind w:left="1080" w:hanging="1080"/>
    </w:pPr>
    <w:rPr>
      <w:rFonts w:ascii="Arial" w:hAnsi="Arial"/>
      <w:b/>
      <w:noProof/>
      <w:sz w:val="22"/>
      <w:lang w:val="en-GB"/>
    </w:rPr>
  </w:style>
  <w:style w:type="paragraph" w:styleId="Title">
    <w:name w:val="Title"/>
    <w:basedOn w:val="Normal"/>
    <w:link w:val="TitleChar"/>
    <w:qFormat/>
    <w:rsid w:val="00CF01B2"/>
    <w:pPr>
      <w:jc w:val="center"/>
    </w:pPr>
    <w:rPr>
      <w:b/>
      <w:sz w:val="32"/>
      <w:lang w:val="en-GB"/>
    </w:rPr>
  </w:style>
  <w:style w:type="character" w:customStyle="1" w:styleId="TitleChar">
    <w:name w:val="Title Char"/>
    <w:basedOn w:val="DefaultParagraphFont"/>
    <w:link w:val="Title"/>
    <w:rsid w:val="00CF01B2"/>
    <w:rPr>
      <w:rFonts w:ascii="Times New Roman" w:eastAsia="Times New Roman" w:hAnsi="Times New Roman" w:cs="Times New Roman"/>
      <w:b/>
      <w:sz w:val="32"/>
      <w:szCs w:val="24"/>
      <w:lang w:val="en-GB"/>
    </w:rPr>
  </w:style>
  <w:style w:type="paragraph" w:styleId="BodyTextIndent">
    <w:name w:val="Body Text Indent"/>
    <w:basedOn w:val="Normal"/>
    <w:link w:val="BodyTextIndentChar"/>
    <w:rsid w:val="00CF01B2"/>
    <w:pPr>
      <w:ind w:left="720" w:hanging="720"/>
      <w:jc w:val="both"/>
    </w:pPr>
    <w:rPr>
      <w:rFonts w:ascii="Arial" w:hAnsi="Arial"/>
      <w:sz w:val="22"/>
      <w:lang w:val="en-GB"/>
    </w:rPr>
  </w:style>
  <w:style w:type="character" w:customStyle="1" w:styleId="BodyTextIndentChar">
    <w:name w:val="Body Text Indent Char"/>
    <w:basedOn w:val="DefaultParagraphFont"/>
    <w:link w:val="BodyTextIndent"/>
    <w:rsid w:val="00CF01B2"/>
    <w:rPr>
      <w:rFonts w:ascii="Arial" w:eastAsia="Times New Roman" w:hAnsi="Arial" w:cs="Times New Roman"/>
      <w:szCs w:val="24"/>
      <w:lang w:val="en-GB"/>
    </w:rPr>
  </w:style>
  <w:style w:type="paragraph" w:styleId="List">
    <w:name w:val="List"/>
    <w:basedOn w:val="Normal"/>
    <w:rsid w:val="00CF01B2"/>
    <w:pPr>
      <w:ind w:left="360" w:hanging="360"/>
    </w:pPr>
    <w:rPr>
      <w:rFonts w:ascii="Arial" w:hAnsi="Arial"/>
      <w:sz w:val="22"/>
      <w:szCs w:val="20"/>
      <w:lang w:val="en-GB"/>
    </w:rPr>
  </w:style>
  <w:style w:type="character" w:styleId="Emphasis">
    <w:name w:val="Emphasis"/>
    <w:basedOn w:val="DefaultParagraphFont"/>
    <w:qFormat/>
    <w:rsid w:val="00CF01B2"/>
    <w:rPr>
      <w:i/>
      <w:iCs/>
    </w:rPr>
  </w:style>
  <w:style w:type="paragraph" w:styleId="BodyText2">
    <w:name w:val="Body Text 2"/>
    <w:basedOn w:val="Normal"/>
    <w:link w:val="BodyText2Char"/>
    <w:uiPriority w:val="99"/>
    <w:unhideWhenUsed/>
    <w:rsid w:val="00CF01B2"/>
    <w:pPr>
      <w:spacing w:after="120" w:line="480" w:lineRule="auto"/>
    </w:pPr>
    <w:rPr>
      <w:rFonts w:ascii="Arial" w:hAnsi="Arial"/>
      <w:sz w:val="22"/>
      <w:szCs w:val="20"/>
      <w:lang w:val="en-GB"/>
    </w:rPr>
  </w:style>
  <w:style w:type="character" w:customStyle="1" w:styleId="BodyText2Char">
    <w:name w:val="Body Text 2 Char"/>
    <w:basedOn w:val="DefaultParagraphFont"/>
    <w:link w:val="BodyText2"/>
    <w:uiPriority w:val="99"/>
    <w:rsid w:val="00CF01B2"/>
    <w:rPr>
      <w:rFonts w:ascii="Arial" w:eastAsia="Times New Roman" w:hAnsi="Arial" w:cs="Times New Roman"/>
      <w:szCs w:val="20"/>
      <w:lang w:val="en-GB"/>
    </w:rPr>
  </w:style>
  <w:style w:type="character" w:customStyle="1" w:styleId="slug-vol">
    <w:name w:val="slug-vol"/>
    <w:basedOn w:val="DefaultParagraphFont"/>
    <w:rsid w:val="00CF01B2"/>
  </w:style>
  <w:style w:type="character" w:customStyle="1" w:styleId="cit-sep">
    <w:name w:val="cit-sep"/>
    <w:basedOn w:val="DefaultParagraphFont"/>
    <w:rsid w:val="00CF01B2"/>
  </w:style>
  <w:style w:type="character" w:customStyle="1" w:styleId="slug-pages">
    <w:name w:val="slug-pages"/>
    <w:basedOn w:val="DefaultParagraphFont"/>
    <w:rsid w:val="00CF01B2"/>
  </w:style>
  <w:style w:type="numbering" w:customStyle="1" w:styleId="NoList2">
    <w:name w:val="No List2"/>
    <w:next w:val="NoList"/>
    <w:uiPriority w:val="99"/>
    <w:semiHidden/>
    <w:unhideWhenUsed/>
    <w:rsid w:val="00CF01B2"/>
  </w:style>
  <w:style w:type="numbering" w:customStyle="1" w:styleId="NoList12">
    <w:name w:val="No List12"/>
    <w:next w:val="NoList"/>
    <w:uiPriority w:val="99"/>
    <w:semiHidden/>
    <w:unhideWhenUsed/>
    <w:rsid w:val="00CF01B2"/>
  </w:style>
  <w:style w:type="table" w:customStyle="1" w:styleId="TableGrid2">
    <w:name w:val="Table Grid2"/>
    <w:basedOn w:val="TableNormal"/>
    <w:next w:val="TableGrid"/>
    <w:uiPriority w:val="59"/>
    <w:rsid w:val="00CF01B2"/>
    <w:pPr>
      <w:spacing w:after="0" w:line="240" w:lineRule="auto"/>
    </w:pPr>
    <w:rPr>
      <w:rFonts w:ascii="Arial" w:eastAsia="Times New Roman"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F01B2"/>
    <w:pPr>
      <w:widowControl w:val="0"/>
      <w:ind w:left="720" w:firstLine="680"/>
    </w:pPr>
    <w:rPr>
      <w:rFonts w:ascii="Arial" w:hAnsi="Arial"/>
      <w:snapToGrid w:val="0"/>
      <w:szCs w:val="20"/>
      <w:lang w:val="es-ES_tradnl" w:eastAsia="es-ES"/>
    </w:rPr>
  </w:style>
  <w:style w:type="character" w:customStyle="1" w:styleId="BodyTextIndent2Char">
    <w:name w:val="Body Text Indent 2 Char"/>
    <w:basedOn w:val="DefaultParagraphFont"/>
    <w:link w:val="BodyTextIndent2"/>
    <w:rsid w:val="00CF01B2"/>
    <w:rPr>
      <w:rFonts w:ascii="Arial" w:eastAsia="Times New Roman" w:hAnsi="Arial" w:cs="Times New Roman"/>
      <w:snapToGrid w:val="0"/>
      <w:sz w:val="24"/>
      <w:szCs w:val="20"/>
      <w:lang w:val="es-ES_tradnl" w:eastAsia="es-ES"/>
    </w:rPr>
  </w:style>
  <w:style w:type="paragraph" w:styleId="Revision">
    <w:name w:val="Revision"/>
    <w:hidden/>
    <w:uiPriority w:val="99"/>
    <w:semiHidden/>
    <w:rsid w:val="00CF01B2"/>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CF01B2"/>
    <w:pPr>
      <w:spacing w:before="100" w:beforeAutospacing="1" w:after="100" w:afterAutospacing="1"/>
    </w:pPr>
  </w:style>
  <w:style w:type="character" w:styleId="FollowedHyperlink">
    <w:name w:val="FollowedHyperlink"/>
    <w:basedOn w:val="DefaultParagraphFont"/>
    <w:uiPriority w:val="99"/>
    <w:semiHidden/>
    <w:unhideWhenUsed/>
    <w:rsid w:val="00CF01B2"/>
    <w:rPr>
      <w:color w:val="954F72" w:themeColor="followedHyperlink"/>
      <w:u w:val="single"/>
    </w:rPr>
  </w:style>
  <w:style w:type="paragraph" w:styleId="PlainText">
    <w:name w:val="Plain Text"/>
    <w:basedOn w:val="Normal"/>
    <w:link w:val="PlainTextChar"/>
    <w:uiPriority w:val="99"/>
    <w:semiHidden/>
    <w:unhideWhenUsed/>
    <w:rsid w:val="00F72930"/>
    <w:rPr>
      <w:rFonts w:ascii="Consolas" w:hAnsi="Consolas" w:cs="Consolas"/>
      <w:sz w:val="21"/>
      <w:szCs w:val="21"/>
    </w:rPr>
  </w:style>
  <w:style w:type="character" w:customStyle="1" w:styleId="PlainTextChar">
    <w:name w:val="Plain Text Char"/>
    <w:basedOn w:val="DefaultParagraphFont"/>
    <w:link w:val="PlainText"/>
    <w:uiPriority w:val="99"/>
    <w:semiHidden/>
    <w:rsid w:val="00F72930"/>
    <w:rPr>
      <w:rFonts w:ascii="Consolas" w:eastAsia="Times New Roman" w:hAnsi="Consolas" w:cs="Consolas"/>
      <w:sz w:val="21"/>
      <w:szCs w:val="21"/>
    </w:rPr>
  </w:style>
  <w:style w:type="table" w:customStyle="1" w:styleId="Tablaconcuadrcula1">
    <w:name w:val="Tabla con cuadrícula1"/>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636">
      <w:bodyDiv w:val="1"/>
      <w:marLeft w:val="0"/>
      <w:marRight w:val="0"/>
      <w:marTop w:val="0"/>
      <w:marBottom w:val="0"/>
      <w:divBdr>
        <w:top w:val="none" w:sz="0" w:space="0" w:color="auto"/>
        <w:left w:val="none" w:sz="0" w:space="0" w:color="auto"/>
        <w:bottom w:val="none" w:sz="0" w:space="0" w:color="auto"/>
        <w:right w:val="none" w:sz="0" w:space="0" w:color="auto"/>
      </w:divBdr>
    </w:div>
    <w:div w:id="6375322">
      <w:bodyDiv w:val="1"/>
      <w:marLeft w:val="0"/>
      <w:marRight w:val="0"/>
      <w:marTop w:val="0"/>
      <w:marBottom w:val="0"/>
      <w:divBdr>
        <w:top w:val="none" w:sz="0" w:space="0" w:color="auto"/>
        <w:left w:val="none" w:sz="0" w:space="0" w:color="auto"/>
        <w:bottom w:val="none" w:sz="0" w:space="0" w:color="auto"/>
        <w:right w:val="none" w:sz="0" w:space="0" w:color="auto"/>
      </w:divBdr>
    </w:div>
    <w:div w:id="149641986">
      <w:bodyDiv w:val="1"/>
      <w:marLeft w:val="0"/>
      <w:marRight w:val="0"/>
      <w:marTop w:val="0"/>
      <w:marBottom w:val="0"/>
      <w:divBdr>
        <w:top w:val="none" w:sz="0" w:space="0" w:color="auto"/>
        <w:left w:val="none" w:sz="0" w:space="0" w:color="auto"/>
        <w:bottom w:val="none" w:sz="0" w:space="0" w:color="auto"/>
        <w:right w:val="none" w:sz="0" w:space="0" w:color="auto"/>
      </w:divBdr>
    </w:div>
    <w:div w:id="158691791">
      <w:bodyDiv w:val="1"/>
      <w:marLeft w:val="0"/>
      <w:marRight w:val="0"/>
      <w:marTop w:val="0"/>
      <w:marBottom w:val="0"/>
      <w:divBdr>
        <w:top w:val="none" w:sz="0" w:space="0" w:color="auto"/>
        <w:left w:val="none" w:sz="0" w:space="0" w:color="auto"/>
        <w:bottom w:val="none" w:sz="0" w:space="0" w:color="auto"/>
        <w:right w:val="none" w:sz="0" w:space="0" w:color="auto"/>
      </w:divBdr>
    </w:div>
    <w:div w:id="338316509">
      <w:bodyDiv w:val="1"/>
      <w:marLeft w:val="0"/>
      <w:marRight w:val="0"/>
      <w:marTop w:val="0"/>
      <w:marBottom w:val="0"/>
      <w:divBdr>
        <w:top w:val="none" w:sz="0" w:space="0" w:color="auto"/>
        <w:left w:val="none" w:sz="0" w:space="0" w:color="auto"/>
        <w:bottom w:val="none" w:sz="0" w:space="0" w:color="auto"/>
        <w:right w:val="none" w:sz="0" w:space="0" w:color="auto"/>
      </w:divBdr>
    </w:div>
    <w:div w:id="363603009">
      <w:bodyDiv w:val="1"/>
      <w:marLeft w:val="0"/>
      <w:marRight w:val="0"/>
      <w:marTop w:val="0"/>
      <w:marBottom w:val="0"/>
      <w:divBdr>
        <w:top w:val="none" w:sz="0" w:space="0" w:color="auto"/>
        <w:left w:val="none" w:sz="0" w:space="0" w:color="auto"/>
        <w:bottom w:val="none" w:sz="0" w:space="0" w:color="auto"/>
        <w:right w:val="none" w:sz="0" w:space="0" w:color="auto"/>
      </w:divBdr>
    </w:div>
    <w:div w:id="438764284">
      <w:bodyDiv w:val="1"/>
      <w:marLeft w:val="0"/>
      <w:marRight w:val="0"/>
      <w:marTop w:val="0"/>
      <w:marBottom w:val="0"/>
      <w:divBdr>
        <w:top w:val="none" w:sz="0" w:space="0" w:color="auto"/>
        <w:left w:val="none" w:sz="0" w:space="0" w:color="auto"/>
        <w:bottom w:val="none" w:sz="0" w:space="0" w:color="auto"/>
        <w:right w:val="none" w:sz="0" w:space="0" w:color="auto"/>
      </w:divBdr>
    </w:div>
    <w:div w:id="728848387">
      <w:bodyDiv w:val="1"/>
      <w:marLeft w:val="0"/>
      <w:marRight w:val="0"/>
      <w:marTop w:val="0"/>
      <w:marBottom w:val="0"/>
      <w:divBdr>
        <w:top w:val="none" w:sz="0" w:space="0" w:color="auto"/>
        <w:left w:val="none" w:sz="0" w:space="0" w:color="auto"/>
        <w:bottom w:val="none" w:sz="0" w:space="0" w:color="auto"/>
        <w:right w:val="none" w:sz="0" w:space="0" w:color="auto"/>
      </w:divBdr>
    </w:div>
    <w:div w:id="835459733">
      <w:bodyDiv w:val="1"/>
      <w:marLeft w:val="0"/>
      <w:marRight w:val="0"/>
      <w:marTop w:val="0"/>
      <w:marBottom w:val="0"/>
      <w:divBdr>
        <w:top w:val="none" w:sz="0" w:space="0" w:color="auto"/>
        <w:left w:val="none" w:sz="0" w:space="0" w:color="auto"/>
        <w:bottom w:val="none" w:sz="0" w:space="0" w:color="auto"/>
        <w:right w:val="none" w:sz="0" w:space="0" w:color="auto"/>
      </w:divBdr>
    </w:div>
    <w:div w:id="898395496">
      <w:bodyDiv w:val="1"/>
      <w:marLeft w:val="0"/>
      <w:marRight w:val="0"/>
      <w:marTop w:val="0"/>
      <w:marBottom w:val="0"/>
      <w:divBdr>
        <w:top w:val="none" w:sz="0" w:space="0" w:color="auto"/>
        <w:left w:val="none" w:sz="0" w:space="0" w:color="auto"/>
        <w:bottom w:val="none" w:sz="0" w:space="0" w:color="auto"/>
        <w:right w:val="none" w:sz="0" w:space="0" w:color="auto"/>
      </w:divBdr>
    </w:div>
    <w:div w:id="943145811">
      <w:bodyDiv w:val="1"/>
      <w:marLeft w:val="0"/>
      <w:marRight w:val="0"/>
      <w:marTop w:val="0"/>
      <w:marBottom w:val="0"/>
      <w:divBdr>
        <w:top w:val="none" w:sz="0" w:space="0" w:color="auto"/>
        <w:left w:val="none" w:sz="0" w:space="0" w:color="auto"/>
        <w:bottom w:val="none" w:sz="0" w:space="0" w:color="auto"/>
        <w:right w:val="none" w:sz="0" w:space="0" w:color="auto"/>
      </w:divBdr>
    </w:div>
    <w:div w:id="1094934904">
      <w:bodyDiv w:val="1"/>
      <w:marLeft w:val="0"/>
      <w:marRight w:val="0"/>
      <w:marTop w:val="0"/>
      <w:marBottom w:val="0"/>
      <w:divBdr>
        <w:top w:val="none" w:sz="0" w:space="0" w:color="auto"/>
        <w:left w:val="none" w:sz="0" w:space="0" w:color="auto"/>
        <w:bottom w:val="none" w:sz="0" w:space="0" w:color="auto"/>
        <w:right w:val="none" w:sz="0" w:space="0" w:color="auto"/>
      </w:divBdr>
    </w:div>
    <w:div w:id="1169177368">
      <w:bodyDiv w:val="1"/>
      <w:marLeft w:val="0"/>
      <w:marRight w:val="0"/>
      <w:marTop w:val="0"/>
      <w:marBottom w:val="0"/>
      <w:divBdr>
        <w:top w:val="none" w:sz="0" w:space="0" w:color="auto"/>
        <w:left w:val="none" w:sz="0" w:space="0" w:color="auto"/>
        <w:bottom w:val="none" w:sz="0" w:space="0" w:color="auto"/>
        <w:right w:val="none" w:sz="0" w:space="0" w:color="auto"/>
      </w:divBdr>
    </w:div>
    <w:div w:id="1303656725">
      <w:bodyDiv w:val="1"/>
      <w:marLeft w:val="0"/>
      <w:marRight w:val="0"/>
      <w:marTop w:val="0"/>
      <w:marBottom w:val="0"/>
      <w:divBdr>
        <w:top w:val="none" w:sz="0" w:space="0" w:color="auto"/>
        <w:left w:val="none" w:sz="0" w:space="0" w:color="auto"/>
        <w:bottom w:val="none" w:sz="0" w:space="0" w:color="auto"/>
        <w:right w:val="none" w:sz="0" w:space="0" w:color="auto"/>
      </w:divBdr>
    </w:div>
    <w:div w:id="1448617257">
      <w:bodyDiv w:val="1"/>
      <w:marLeft w:val="0"/>
      <w:marRight w:val="0"/>
      <w:marTop w:val="0"/>
      <w:marBottom w:val="0"/>
      <w:divBdr>
        <w:top w:val="none" w:sz="0" w:space="0" w:color="auto"/>
        <w:left w:val="none" w:sz="0" w:space="0" w:color="auto"/>
        <w:bottom w:val="none" w:sz="0" w:space="0" w:color="auto"/>
        <w:right w:val="none" w:sz="0" w:space="0" w:color="auto"/>
      </w:divBdr>
    </w:div>
    <w:div w:id="1579559027">
      <w:bodyDiv w:val="1"/>
      <w:marLeft w:val="0"/>
      <w:marRight w:val="0"/>
      <w:marTop w:val="0"/>
      <w:marBottom w:val="0"/>
      <w:divBdr>
        <w:top w:val="none" w:sz="0" w:space="0" w:color="auto"/>
        <w:left w:val="none" w:sz="0" w:space="0" w:color="auto"/>
        <w:bottom w:val="none" w:sz="0" w:space="0" w:color="auto"/>
        <w:right w:val="none" w:sz="0" w:space="0" w:color="auto"/>
      </w:divBdr>
    </w:div>
    <w:div w:id="205765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campos@itcr.ac.cr" TargetMode="External"/><Relationship Id="rId4" Type="http://schemas.microsoft.com/office/2007/relationships/stylesWithEffects" Target="stylesWithEffects.xml"/><Relationship Id="rId9" Type="http://schemas.openxmlformats.org/officeDocument/2006/relationships/hyperlink" Target="http://www.tec.ac.cr/sitios/Docencia/islha/Pagina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DEA7-1FA5-4053-A578-2F18ED95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7682</Words>
  <Characters>43789</Characters>
  <Application>Microsoft Office Word</Application>
  <DocSecurity>4</DocSecurity>
  <Lines>364</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_</vt:lpstr>
      <vt:lpstr>_</vt:lpstr>
    </vt:vector>
  </TitlesOfParts>
  <Company/>
  <LinksUpToDate>false</LinksUpToDate>
  <CharactersWithSpaces>51369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David Gimeno</dc:creator>
  <cp:lastModifiedBy>Karen Drake</cp:lastModifiedBy>
  <cp:revision>2</cp:revision>
  <cp:lastPrinted>2015-09-10T15:32:00Z</cp:lastPrinted>
  <dcterms:created xsi:type="dcterms:W3CDTF">2016-04-06T11:07:00Z</dcterms:created>
  <dcterms:modified xsi:type="dcterms:W3CDTF">2016-04-06T11:07:00Z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1894</vt:lpwstr>
  </property>
  <property fmtid="{D5CDD505-2E9C-101B-9397-08002B2CF9AE}" pid="3" name="WnCSubscriberId">
    <vt:lpwstr>1412</vt:lpwstr>
  </property>
  <property fmtid="{D5CDD505-2E9C-101B-9397-08002B2CF9AE}" pid="4" name="WnCOutputStyleId">
    <vt:lpwstr>804</vt:lpwstr>
  </property>
  <property fmtid="{D5CDD505-2E9C-101B-9397-08002B2CF9AE}" pid="5" name="RWProductId">
    <vt:lpwstr>WnC</vt:lpwstr>
  </property>
  <property fmtid="{D5CDD505-2E9C-101B-9397-08002B2CF9AE}" pid="6" name="WnC4Folder">
    <vt:lpwstr/>
  </property>
</Properties>
</file>