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D8DC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56192" behindDoc="1" locked="1" layoutInCell="0" allowOverlap="0" wp14:anchorId="71FB8EF7" wp14:editId="7A6E867B">
                <wp:simplePos x="0" y="0"/>
                <wp:positionH relativeFrom="column">
                  <wp:posOffset>2540</wp:posOffset>
                </wp:positionH>
                <wp:positionV relativeFrom="margin">
                  <wp:posOffset>7079615</wp:posOffset>
                </wp:positionV>
                <wp:extent cx="3158490" cy="508635"/>
                <wp:effectExtent l="0" t="0" r="3810" b="571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508635"/>
                        </a:xfrm>
                        <a:prstGeom prst="rect">
                          <a:avLst/>
                        </a:prstGeom>
                        <a:solidFill>
                          <a:srgbClr val="FFFFFF"/>
                        </a:solidFill>
                        <a:ln w="9525">
                          <a:noFill/>
                          <a:miter lim="800000"/>
                          <a:headEnd/>
                          <a:tailEnd/>
                        </a:ln>
                      </wps:spPr>
                      <wps:txbx>
                        <w:txbxContent>
                          <w:p w14:paraId="7FA74DBD" w14:textId="03EC3C04" w:rsidR="00126027" w:rsidRPr="00C405FD" w:rsidRDefault="00D46B33" w:rsidP="00C405FD">
                            <w:pPr>
                              <w:pStyle w:val="RSCF01FootnoteAuthorAddress"/>
                            </w:pPr>
                            <w:r>
                              <w:t>Department of Chemistry, University of Sheffield, Brook Hill, Sheffield, S2 7HF, UK.</w:t>
                            </w:r>
                            <w:r w:rsidR="008C682F" w:rsidRPr="00C405FD">
                              <w:t>.</w:t>
                            </w:r>
                          </w:p>
                          <w:p w14:paraId="7C93EE63" w14:textId="3E31E0A4" w:rsidR="008C682F" w:rsidRPr="00241ACD" w:rsidRDefault="00D46B33" w:rsidP="00241ACD">
                            <w:pPr>
                              <w:pStyle w:val="RSCF01FootnoteAuthorAddress"/>
                            </w:pPr>
                            <w:r>
                              <w:t>Chemistry, University of Southampton, Highfield, Southampton, SO17 1BJ, UK.</w:t>
                            </w:r>
                          </w:p>
                          <w:p w14:paraId="522D5768" w14:textId="2D21CD65" w:rsidR="00C405FD" w:rsidRPr="00241ACD" w:rsidRDefault="008C682F" w:rsidP="00241ACD">
                            <w:pPr>
                              <w:pStyle w:val="RSCF02FootnotestoTitleAuthors"/>
                            </w:pPr>
                            <w:r w:rsidRPr="00241ACD">
                              <w:t xml:space="preserve">Electronic Supplementary Information (ESI) available: </w:t>
                            </w:r>
                            <w:r w:rsidRPr="008D3CE0">
                              <w:t>[</w:t>
                            </w:r>
                            <w:r w:rsidR="008D3CE0" w:rsidRPr="008D3CE0">
                              <w:t>synthetic details and titration data</w:t>
                            </w:r>
                            <w:r w:rsidRPr="008D3CE0">
                              <w:t>]. See DOI: 10.1039/x0xx00000x</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1FB8EF7" id="_x0000_t202" coordsize="21600,21600" o:spt="202" path="m,l,21600r21600,l21600,xe">
                <v:stroke joinstyle="miter"/>
                <v:path gradientshapeok="t" o:connecttype="rect"/>
              </v:shapetype>
              <v:shape id="Text Box 2" o:spid="_x0000_s1026" type="#_x0000_t202" style="position:absolute;margin-left:.2pt;margin-top:557.45pt;width:248.7pt;height:40.05pt;z-index:-251660288;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" o:allowincell="f" o:allowoverlap="f" stroked="f">
                <o:lock v:ext="edit" aspectratio="t"/>
                <v:textbox inset="0,1mm,0,1mm">
                  <w:txbxContent>
                    <w:p w14:paraId="7FA74DBD" w14:textId="03EC3C04" w:rsidR="00126027" w:rsidRPr="00C405FD" w:rsidRDefault="00D46B33" w:rsidP="00C405FD">
                      <w:pPr>
                        <w:pStyle w:val="RSCF01FootnoteAuthorAddress"/>
                      </w:pPr>
                      <w:r>
                        <w:t>Department of Chemistry, University of Sheffield, Brook Hill, Sheffield, S2 7HF, UK.</w:t>
                      </w:r>
                      <w:r w:rsidR="008C682F" w:rsidRPr="00C405FD">
                        <w:t>.</w:t>
                      </w:r>
                    </w:p>
                    <w:p w14:paraId="7C93EE63" w14:textId="3E31E0A4" w:rsidR="008C682F" w:rsidRPr="00241ACD" w:rsidRDefault="00D46B33" w:rsidP="00241ACD">
                      <w:pPr>
                        <w:pStyle w:val="RSCF01FootnoteAuthorAddress"/>
                      </w:pPr>
                      <w:r>
                        <w:t>Chemistry, University of Southampton, Highfield, Southampton, SO17 1BJ, UK.</w:t>
                      </w:r>
                    </w:p>
                    <w:p w14:paraId="522D5768" w14:textId="2D21CD65" w:rsidR="00C405FD" w:rsidRPr="00241ACD" w:rsidRDefault="008C682F" w:rsidP="00241ACD">
                      <w:pPr>
                        <w:pStyle w:val="RSCF02FootnotestoTitleAuthors"/>
                      </w:pPr>
                      <w:r w:rsidRPr="00241ACD">
                        <w:t xml:space="preserve">Electronic Supplementary Information (ESI) available: </w:t>
                      </w:r>
                      <w:r w:rsidRPr="008D3CE0">
                        <w:t>[</w:t>
                      </w:r>
                      <w:r w:rsidR="008D3CE0" w:rsidRPr="008D3CE0">
                        <w:t>synthetic details and titration data</w:t>
                      </w:r>
                      <w:r w:rsidRPr="008D3CE0">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62A4FA56" w14:textId="77777777" w:rsidR="00F62C8B" w:rsidRPr="00270DD5" w:rsidRDefault="00F62C8B" w:rsidP="004C531E">
      <w:pPr>
        <w:pStyle w:val="RSCM01ReceivedAccepted"/>
      </w:pPr>
      <w:r w:rsidRPr="00270DD5">
        <w:t>Accepted 00th January 20</w:t>
      </w:r>
      <w:r w:rsidR="00F15F90" w:rsidRPr="00270DD5">
        <w:t>xx</w:t>
      </w:r>
    </w:p>
    <w:p w14:paraId="6E24966C" w14:textId="77777777" w:rsidR="00F62C8B" w:rsidRPr="00794787" w:rsidRDefault="00F62C8B" w:rsidP="004C531E">
      <w:pPr>
        <w:pStyle w:val="RSCM02DOI"/>
      </w:pPr>
      <w:r w:rsidRPr="00794787">
        <w:t>DOI: 10.1039/x0xx00000x</w:t>
      </w:r>
    </w:p>
    <w:p w14:paraId="0CAB9DA1" w14:textId="6C1011B8" w:rsidR="00A9649E" w:rsidRPr="00794787" w:rsidRDefault="00A9649E" w:rsidP="004C531E">
      <w:pPr>
        <w:pStyle w:val="RSCM03Website"/>
      </w:pPr>
      <w:r w:rsidRPr="00794787">
        <w:t>www.rsc.org/</w:t>
      </w:r>
    </w:p>
    <w:p w14:paraId="2ECAEEA6" w14:textId="708B10D7" w:rsidR="004414A5" w:rsidRPr="00C32EDF" w:rsidRDefault="00F62C8B" w:rsidP="00C32EDF">
      <w:pPr>
        <w:pStyle w:val="RSCH01PaperTitle"/>
      </w:pPr>
      <w:r w:rsidRPr="004414A5">
        <w:br w:type="column"/>
      </w:r>
      <w:r w:rsidR="00B757AF">
        <w:t>Controlling microenvironm</w:t>
      </w:r>
      <w:r w:rsidR="00C940C9">
        <w:t>e</w:t>
      </w:r>
      <w:r w:rsidR="00B757AF">
        <w:t>nts and modifying anion binding selectivities using core functionalised hyperbranched polymers</w:t>
      </w:r>
      <w:r w:rsidR="004414A5" w:rsidRPr="00C32EDF">
        <w:t xml:space="preserve"> </w:t>
      </w:r>
    </w:p>
    <w:p w14:paraId="3A3222E2" w14:textId="4D19D67B" w:rsidR="00670ED4" w:rsidRPr="0025490A" w:rsidRDefault="00B757AF"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Georgia Mann</w:t>
      </w:r>
      <w:r w:rsidR="00CC7C64" w:rsidRPr="00F21465">
        <w:t>,</w:t>
      </w:r>
      <w:r w:rsidR="00CC7C64" w:rsidRPr="00F21465">
        <w:rPr>
          <w:vertAlign w:val="superscript"/>
        </w:rPr>
        <w:t>a</w:t>
      </w:r>
      <w:r w:rsidR="00CC7C64" w:rsidRPr="00F21465">
        <w:t xml:space="preserve"> </w:t>
      </w:r>
      <w:r>
        <w:t>Lance J. Twyman*</w:t>
      </w:r>
      <w:r>
        <w:rPr>
          <w:vertAlign w:val="superscript"/>
        </w:rPr>
        <w:t>a</w:t>
      </w:r>
      <w:r w:rsidR="00CC7C64" w:rsidRPr="00F21465">
        <w:t xml:space="preserve"> and </w:t>
      </w:r>
      <w:r>
        <w:t>Philip A. Gale</w:t>
      </w:r>
      <w:r>
        <w:rPr>
          <w:vertAlign w:val="superscript"/>
        </w:rPr>
        <w:t>b</w:t>
      </w:r>
      <w:r w:rsidR="0025490A">
        <w:t xml:space="preserve"> </w:t>
      </w:r>
    </w:p>
    <w:p w14:paraId="30710401" w14:textId="7749DDE3" w:rsidR="00180ABE" w:rsidRPr="0025490A" w:rsidRDefault="00E13A35" w:rsidP="0025490A">
      <w:pPr>
        <w:pStyle w:val="RSCB01COMAbstract"/>
        <w:rPr>
          <w:rStyle w:val="06CHeading"/>
          <w:rFonts w:asciiTheme="minorHAnsi" w:hAnsiTheme="minorHAnsi" w:cstheme="minorBidi"/>
          <w:b/>
          <w:smallCaps w:val="0"/>
          <w:w w:val="100"/>
          <w:szCs w:val="22"/>
        </w:rPr>
      </w:pPr>
      <w:r>
        <w:rPr>
          <w:rStyle w:val="06CHeading"/>
          <w:rFonts w:asciiTheme="minorHAnsi" w:hAnsiTheme="minorHAnsi" w:cstheme="minorBidi"/>
          <w:b/>
          <w:smallCaps w:val="0"/>
          <w:w w:val="100"/>
          <w:szCs w:val="22"/>
        </w:rPr>
        <w:t>An isophthalamide anion binding site has been incorporated into hyperbranched polymers resulting in a change in the selectivity of the receptor from chloride to bromide.</w:t>
      </w:r>
    </w:p>
    <w:p w14:paraId="43A3E65B" w14:textId="3FC1B456" w:rsidR="00BB6026" w:rsidRDefault="00304682" w:rsidP="0025490A">
      <w:pPr>
        <w:pStyle w:val="RSCB02ArticleText"/>
      </w:pPr>
      <w:r>
        <w:t xml:space="preserve">Isophthalamides </w:t>
      </w:r>
      <w:r w:rsidRPr="002D481A">
        <w:t>have been explored as hydrogen bond donating receptors for anions</w:t>
      </w:r>
      <w:r w:rsidR="00ED299A" w:rsidRPr="002D481A">
        <w:rPr>
          <w:vertAlign w:val="superscript"/>
        </w:rPr>
        <w:t>1</w:t>
      </w:r>
      <w:r w:rsidRPr="002D481A">
        <w:t xml:space="preserve"> and have be</w:t>
      </w:r>
      <w:r w:rsidR="00D70420" w:rsidRPr="002D481A">
        <w:t>e</w:t>
      </w:r>
      <w:r w:rsidRPr="002D481A">
        <w:t>n employed in a number of anion sensor</w:t>
      </w:r>
      <w:r w:rsidR="00ED299A" w:rsidRPr="002D481A">
        <w:rPr>
          <w:vertAlign w:val="superscript"/>
        </w:rPr>
        <w:t>2</w:t>
      </w:r>
      <w:r w:rsidRPr="002D481A">
        <w:t xml:space="preserve"> and transporter</w:t>
      </w:r>
      <w:r w:rsidR="00ED299A" w:rsidRPr="002D481A">
        <w:rPr>
          <w:vertAlign w:val="superscript"/>
        </w:rPr>
        <w:t>3</w:t>
      </w:r>
      <w:r w:rsidRPr="002D481A">
        <w:t xml:space="preserve"> </w:t>
      </w:r>
      <w:r w:rsidR="00ED299A" w:rsidRPr="002D481A">
        <w:t>application</w:t>
      </w:r>
      <w:r w:rsidRPr="002D481A">
        <w:t xml:space="preserve">s.  </w:t>
      </w:r>
      <w:r w:rsidR="00C940C9" w:rsidRPr="002D481A">
        <w:t xml:space="preserve">Embedding supramolecular receptors within hyperbranched polymers should provide a microenvironment around the binding site that will modulate the binding properties of receptor. </w:t>
      </w:r>
      <w:r w:rsidR="009E5E65" w:rsidRPr="002D481A">
        <w:rPr>
          <w:color w:val="000000"/>
        </w:rPr>
        <w:t>H</w:t>
      </w:r>
      <w:r w:rsidR="00D70420" w:rsidRPr="002D481A">
        <w:rPr>
          <w:color w:val="000000"/>
        </w:rPr>
        <w:t>ighly branched globular macromolecules</w:t>
      </w:r>
      <w:r w:rsidR="00D70420" w:rsidRPr="00D70420">
        <w:rPr>
          <w:color w:val="000000"/>
        </w:rPr>
        <w:t xml:space="preserve"> possess architectures similar to the three dimensional/tertiary structure of proteins</w:t>
      </w:r>
      <w:r w:rsidR="00D70420">
        <w:rPr>
          <w:color w:val="000000"/>
        </w:rPr>
        <w:t>.</w:t>
      </w:r>
      <w:r w:rsidR="007E702B" w:rsidRPr="007E702B">
        <w:rPr>
          <w:color w:val="000000"/>
          <w:vertAlign w:val="superscript"/>
        </w:rPr>
        <w:t>4</w:t>
      </w:r>
      <w:r w:rsidR="00D70420" w:rsidRPr="00D70420">
        <w:rPr>
          <w:color w:val="000000"/>
        </w:rPr>
        <w:t xml:space="preserve"> </w:t>
      </w:r>
      <w:r w:rsidR="00D70420">
        <w:rPr>
          <w:color w:val="000000"/>
        </w:rPr>
        <w:t>Hyperbranched polymers</w:t>
      </w:r>
      <w:r w:rsidR="00D70420" w:rsidRPr="00D70420">
        <w:rPr>
          <w:color w:val="000000"/>
        </w:rPr>
        <w:t xml:space="preserve"> </w:t>
      </w:r>
      <w:r w:rsidR="0090696C">
        <w:rPr>
          <w:color w:val="000000"/>
        </w:rPr>
        <w:t xml:space="preserve">(HBPs) </w:t>
      </w:r>
      <w:r w:rsidR="00D70420" w:rsidRPr="00D70420">
        <w:rPr>
          <w:color w:val="000000"/>
        </w:rPr>
        <w:t>can be synthesised relatively easily and techniques exist to incorporate binding sites within the internal domain of the globular structure.</w:t>
      </w:r>
      <w:r w:rsidR="007E702B">
        <w:rPr>
          <w:color w:val="000000"/>
          <w:vertAlign w:val="superscript"/>
        </w:rPr>
        <w:t>5</w:t>
      </w:r>
      <w:r w:rsidR="00D70420" w:rsidRPr="00D70420">
        <w:rPr>
          <w:color w:val="000000"/>
        </w:rPr>
        <w:t xml:space="preserve">  </w:t>
      </w:r>
      <w:r w:rsidR="002C34BF">
        <w:rPr>
          <w:color w:val="000000"/>
        </w:rPr>
        <w:t>Such an approach</w:t>
      </w:r>
      <w:r w:rsidR="00D905A5">
        <w:rPr>
          <w:color w:val="000000"/>
        </w:rPr>
        <w:t xml:space="preserve"> allows</w:t>
      </w:r>
      <w:r w:rsidR="00D70420" w:rsidRPr="00D70420">
        <w:t xml:space="preserve"> </w:t>
      </w:r>
      <w:r w:rsidR="00D70420" w:rsidRPr="00D70420">
        <w:rPr>
          <w:i/>
        </w:rPr>
        <w:t>precise</w:t>
      </w:r>
      <w:r w:rsidR="00D70420" w:rsidRPr="00D70420">
        <w:t xml:space="preserve"> </w:t>
      </w:r>
      <w:r w:rsidR="00D70420" w:rsidRPr="00D70420">
        <w:rPr>
          <w:i/>
        </w:rPr>
        <w:t>control</w:t>
      </w:r>
      <w:r w:rsidR="00D70420" w:rsidRPr="00D70420">
        <w:t xml:space="preserve"> </w:t>
      </w:r>
      <w:r w:rsidR="000A1DCB">
        <w:t xml:space="preserve">of </w:t>
      </w:r>
      <w:r w:rsidR="00D70420" w:rsidRPr="00D70420">
        <w:t xml:space="preserve">both the nature of the binding site, and the microenvironment around it. </w:t>
      </w:r>
      <w:r w:rsidR="00BB6026">
        <w:t xml:space="preserve"> Specifically, the hyperbranched polymer can effect both the steric and electronic properties of the binding site.</w:t>
      </w:r>
      <w:r w:rsidR="007E702B" w:rsidRPr="007E702B">
        <w:rPr>
          <w:vertAlign w:val="superscript"/>
        </w:rPr>
        <w:t>6</w:t>
      </w:r>
      <w:r w:rsidR="00BB6026">
        <w:t xml:space="preserve">  As such, these functionalised synthetic macromolecules can mimic the </w:t>
      </w:r>
      <w:r w:rsidR="00627C5E">
        <w:t xml:space="preserve">controlled internal space and therefore the </w:t>
      </w:r>
      <w:r w:rsidR="00BB6026">
        <w:t xml:space="preserve">binding environment found </w:t>
      </w:r>
      <w:r w:rsidR="00627C5E">
        <w:t>with</w:t>
      </w:r>
      <w:r w:rsidR="00BB6026">
        <w:t>in bio-macromolecules.</w:t>
      </w:r>
      <w:r w:rsidR="00D407B6" w:rsidRPr="00D407B6">
        <w:rPr>
          <w:vertAlign w:val="superscript"/>
        </w:rPr>
        <w:t>‡</w:t>
      </w:r>
      <w:r w:rsidR="00D407B6">
        <w:t xml:space="preserve"> </w:t>
      </w:r>
      <w:r w:rsidR="00BB6026">
        <w:t xml:space="preserve"> </w:t>
      </w:r>
    </w:p>
    <w:p w14:paraId="2B28CFC8" w14:textId="41EDBA74" w:rsidR="002E4A57" w:rsidRPr="0090696C" w:rsidRDefault="008C55CA" w:rsidP="0025490A">
      <w:pPr>
        <w:pStyle w:val="RSCB02ArticleText"/>
        <w:rPr>
          <w:lang w:val="en-US"/>
        </w:rPr>
      </w:pPr>
      <w:r>
        <w:rPr>
          <w:noProof/>
        </w:rPr>
        <w:object w:dxaOrig="1440" w:dyaOrig="1440" w14:anchorId="7AFD9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76.8pt;margin-top:14.45pt;width:218.65pt;height:170.3pt;z-index:251659264;mso-position-horizontal-relative:text;mso-position-vertical-relative:text">
            <v:imagedata r:id="rId14" o:title=""/>
            <w10:wrap type="square"/>
          </v:shape>
          <o:OLEObject Type="Embed" ProgID="ChemDraw.Document.6.0" ShapeID="_x0000_s1030" DrawAspect="Content" ObjectID="_1520945141" r:id="rId15"/>
        </w:object>
      </w:r>
      <w:r w:rsidR="0068310A" w:rsidRPr="00BF2ECF">
        <w:rPr>
          <w:lang w:val="en-US"/>
        </w:rPr>
        <w:t xml:space="preserve">Results from previous work </w:t>
      </w:r>
      <w:r w:rsidR="0068310A">
        <w:rPr>
          <w:lang w:val="en-US"/>
        </w:rPr>
        <w:t xml:space="preserve">using core functionalized HBPs has shown that binding affinities are initially improved </w:t>
      </w:r>
      <w:r w:rsidR="0068310A" w:rsidRPr="00BF2ECF">
        <w:rPr>
          <w:lang w:val="en-US"/>
        </w:rPr>
        <w:t xml:space="preserve">as the </w:t>
      </w:r>
      <w:r w:rsidR="0068310A">
        <w:rPr>
          <w:lang w:val="en-US"/>
        </w:rPr>
        <w:t>polymer’s molecular weight/size increases.</w:t>
      </w:r>
      <w:r w:rsidR="007E702B">
        <w:rPr>
          <w:vertAlign w:val="superscript"/>
          <w:lang w:val="en-US"/>
        </w:rPr>
        <w:t>7</w:t>
      </w:r>
      <w:r w:rsidR="0068310A">
        <w:rPr>
          <w:lang w:val="en-US"/>
        </w:rPr>
        <w:t xml:space="preserve">  This is due to </w:t>
      </w:r>
      <w:r w:rsidR="0090696C">
        <w:rPr>
          <w:lang w:val="en-US"/>
        </w:rPr>
        <w:t>the microenvironment</w:t>
      </w:r>
      <w:r w:rsidR="0068310A" w:rsidRPr="00BF2ECF">
        <w:rPr>
          <w:lang w:val="en-US"/>
        </w:rPr>
        <w:t xml:space="preserve"> provided by the polymeric structure. This increase</w:t>
      </w:r>
      <w:r w:rsidR="0068310A">
        <w:rPr>
          <w:lang w:val="en-US"/>
        </w:rPr>
        <w:t xml:space="preserve"> in binding</w:t>
      </w:r>
      <w:r w:rsidR="0068310A" w:rsidRPr="00BF2ECF">
        <w:rPr>
          <w:lang w:val="en-US"/>
        </w:rPr>
        <w:t xml:space="preserve"> occurred </w:t>
      </w:r>
      <w:r w:rsidR="0068310A">
        <w:rPr>
          <w:lang w:val="en-US"/>
        </w:rPr>
        <w:t xml:space="preserve">until the molecular weight exceeded </w:t>
      </w:r>
      <w:r w:rsidR="0068310A" w:rsidRPr="00BF2ECF">
        <w:rPr>
          <w:lang w:val="en-US"/>
        </w:rPr>
        <w:t>6000-8000</w:t>
      </w:r>
      <w:r w:rsidR="0068310A">
        <w:rPr>
          <w:lang w:val="en-US"/>
        </w:rPr>
        <w:t xml:space="preserve"> Da.  When </w:t>
      </w:r>
      <w:r w:rsidR="0068310A" w:rsidRPr="00BF2ECF">
        <w:rPr>
          <w:lang w:val="en-US"/>
        </w:rPr>
        <w:t xml:space="preserve">molecular weights </w:t>
      </w:r>
      <w:r w:rsidR="0068310A">
        <w:rPr>
          <w:lang w:val="en-US"/>
        </w:rPr>
        <w:t>exceeded</w:t>
      </w:r>
      <w:r w:rsidR="0068310A" w:rsidRPr="00BF2ECF">
        <w:rPr>
          <w:lang w:val="en-US"/>
        </w:rPr>
        <w:t xml:space="preserve"> this value, there was a sharp decrease in the </w:t>
      </w:r>
      <w:r w:rsidR="0068310A">
        <w:rPr>
          <w:lang w:val="en-US"/>
        </w:rPr>
        <w:t>binding</w:t>
      </w:r>
      <w:r w:rsidR="0068310A" w:rsidRPr="00BF2ECF">
        <w:rPr>
          <w:lang w:val="en-US"/>
        </w:rPr>
        <w:t xml:space="preserve"> </w:t>
      </w:r>
      <w:r w:rsidR="0068310A">
        <w:rPr>
          <w:lang w:val="en-US"/>
        </w:rPr>
        <w:t>affinity. Th</w:t>
      </w:r>
      <w:r w:rsidR="007E702B">
        <w:rPr>
          <w:lang w:val="en-US"/>
        </w:rPr>
        <w:t xml:space="preserve">is property is also observed in dendrimers </w:t>
      </w:r>
      <w:r w:rsidR="007E702B" w:rsidRPr="007E702B">
        <w:rPr>
          <w:vertAlign w:val="superscript"/>
          <w:lang w:val="en-US"/>
        </w:rPr>
        <w:t>8</w:t>
      </w:r>
      <w:r w:rsidR="007E702B">
        <w:rPr>
          <w:lang w:val="en-US"/>
        </w:rPr>
        <w:t xml:space="preserve"> and th</w:t>
      </w:r>
      <w:r w:rsidR="0068310A">
        <w:rPr>
          <w:lang w:val="en-US"/>
        </w:rPr>
        <w:t>e point at which th</w:t>
      </w:r>
      <w:r w:rsidR="0090696C">
        <w:rPr>
          <w:lang w:val="en-US"/>
        </w:rPr>
        <w:t>is occurs is referred to as the</w:t>
      </w:r>
      <w:r w:rsidR="0068310A">
        <w:rPr>
          <w:lang w:val="en-US"/>
        </w:rPr>
        <w:t xml:space="preserve"> </w:t>
      </w:r>
      <w:r w:rsidR="0068310A" w:rsidRPr="00BF2ECF">
        <w:rPr>
          <w:lang w:val="en-US"/>
        </w:rPr>
        <w:t>dense</w:t>
      </w:r>
      <w:r w:rsidR="0068310A">
        <w:rPr>
          <w:lang w:val="en-US"/>
        </w:rPr>
        <w:t xml:space="preserve"> </w:t>
      </w:r>
      <w:r w:rsidR="0068310A" w:rsidRPr="00BF2ECF">
        <w:rPr>
          <w:lang w:val="en-US"/>
        </w:rPr>
        <w:t>packed/shell limit.</w:t>
      </w:r>
      <w:r w:rsidR="007E702B" w:rsidRPr="007E702B">
        <w:rPr>
          <w:vertAlign w:val="superscript"/>
          <w:lang w:val="en-US"/>
        </w:rPr>
        <w:t>9</w:t>
      </w:r>
      <w:r w:rsidR="0068310A">
        <w:rPr>
          <w:lang w:val="en-US"/>
        </w:rPr>
        <w:t xml:space="preserve">  Therefore we planned to use the same </w:t>
      </w:r>
      <w:r w:rsidR="007E702B">
        <w:rPr>
          <w:lang w:val="en-US"/>
        </w:rPr>
        <w:t xml:space="preserve">hyperbranched </w:t>
      </w:r>
      <w:r w:rsidR="0068310A">
        <w:rPr>
          <w:lang w:val="en-US"/>
        </w:rPr>
        <w:t xml:space="preserve">polymeric system, that utilizes the monomer 3,5-diacetoxybenzoic acid, and aim for polymers with molecular weights below and above the </w:t>
      </w:r>
      <w:r w:rsidR="003E5F85">
        <w:rPr>
          <w:lang w:val="en-US"/>
        </w:rPr>
        <w:t>previously</w:t>
      </w:r>
      <w:r w:rsidR="007E702B">
        <w:rPr>
          <w:lang w:val="en-US"/>
        </w:rPr>
        <w:t xml:space="preserve"> observed </w:t>
      </w:r>
      <w:r w:rsidR="0068310A">
        <w:rPr>
          <w:lang w:val="en-US"/>
        </w:rPr>
        <w:t xml:space="preserve">dense </w:t>
      </w:r>
      <w:r w:rsidR="0068310A">
        <w:rPr>
          <w:lang w:val="en-US"/>
        </w:rPr>
        <w:t>packed limit.  This can be done with relatively good control by varying the core to monomer ratio.</w:t>
      </w:r>
      <w:r w:rsidR="007E702B">
        <w:rPr>
          <w:vertAlign w:val="superscript"/>
          <w:lang w:val="en-US"/>
        </w:rPr>
        <w:t>10</w:t>
      </w:r>
      <w:r w:rsidR="0068310A">
        <w:rPr>
          <w:lang w:val="en-US"/>
        </w:rPr>
        <w:t xml:space="preserve">  </w:t>
      </w:r>
      <w:r w:rsidR="00304682" w:rsidRPr="00D70420">
        <w:t xml:space="preserve">In this communication we report </w:t>
      </w:r>
      <w:r w:rsidR="00D70420" w:rsidRPr="00D70420">
        <w:t>the anion binding properties of</w:t>
      </w:r>
      <w:r w:rsidR="000A1DCB">
        <w:t xml:space="preserve"> an isophthalamide</w:t>
      </w:r>
      <w:r w:rsidR="003F04DE">
        <w:t xml:space="preserve"> </w:t>
      </w:r>
      <w:r w:rsidR="003F04DE" w:rsidRPr="003F04DE">
        <w:rPr>
          <w:vertAlign w:val="superscript"/>
        </w:rPr>
        <w:t>11</w:t>
      </w:r>
      <w:r w:rsidR="000A1DCB">
        <w:t xml:space="preserve"> </w:t>
      </w:r>
      <w:r w:rsidR="00614621">
        <w:t xml:space="preserve">core </w:t>
      </w:r>
      <w:r w:rsidR="003E5F85">
        <w:t xml:space="preserve">unit </w:t>
      </w:r>
      <w:r w:rsidR="000A1DCB">
        <w:t xml:space="preserve">within a hyperbranched polymer </w:t>
      </w:r>
      <w:r w:rsidR="00614621">
        <w:t>(</w:t>
      </w:r>
      <w:r w:rsidR="000A1DCB">
        <w:t>formed from 3,5-diacetoxybenzoic acid</w:t>
      </w:r>
      <w:r w:rsidR="00614621">
        <w:t>)</w:t>
      </w:r>
      <w:r w:rsidR="007E702B">
        <w:t xml:space="preserve"> and compare the binding to a simple isophthalamide</w:t>
      </w:r>
      <w:r w:rsidR="00614621">
        <w:t xml:space="preserve"> control molecule </w:t>
      </w:r>
      <w:r w:rsidR="007E702B">
        <w:t>independent of hyperbranched polymer</w:t>
      </w:r>
      <w:r w:rsidR="000A1DCB">
        <w:t xml:space="preserve">. </w:t>
      </w:r>
      <w:r w:rsidR="007E702B">
        <w:t xml:space="preserve"> </w:t>
      </w:r>
      <w:r w:rsidR="003E5F85">
        <w:t>Specifically, we describe how the binding affinities for a series of halides were reversed</w:t>
      </w:r>
      <w:r w:rsidR="00C63B66">
        <w:t xml:space="preserve"> (with respect to</w:t>
      </w:r>
      <w:r w:rsidR="00E23377">
        <w:t xml:space="preserve"> the </w:t>
      </w:r>
      <w:r w:rsidR="00C63B66">
        <w:t>hard and soft</w:t>
      </w:r>
      <w:r w:rsidR="00E23377">
        <w:t xml:space="preserve"> character of the anion</w:t>
      </w:r>
      <w:r w:rsidR="00C63B66">
        <w:t>)</w:t>
      </w:r>
      <w:r w:rsidR="003E5F85">
        <w:t xml:space="preserve">, when compared to those measured using the simple isophthalamide control ligand.  </w:t>
      </w:r>
    </w:p>
    <w:p w14:paraId="50742168" w14:textId="1C248BD2" w:rsidR="002E4A57" w:rsidRDefault="002E4A57" w:rsidP="002E4A57">
      <w:pPr>
        <w:pStyle w:val="05BHeading"/>
      </w:pPr>
      <w:r>
        <w:t>Results and Discussion</w:t>
      </w:r>
    </w:p>
    <w:p w14:paraId="5A6F2049" w14:textId="4E1C59D6" w:rsidR="00614621" w:rsidRDefault="003E5F85" w:rsidP="0025490A">
      <w:pPr>
        <w:pStyle w:val="RSCB02ArticleText"/>
      </w:pPr>
      <w:r>
        <w:t xml:space="preserve">The isophthalamide selected for our study possessed 2 acyl units that would initiate polymerisation of the hyperbranched polymers </w:t>
      </w:r>
      <w:r w:rsidRPr="003E5F85">
        <w:rPr>
          <w:i/>
        </w:rPr>
        <w:t>via</w:t>
      </w:r>
      <w:r>
        <w:t xml:space="preserve"> a trans-esterification process. </w:t>
      </w:r>
      <w:r w:rsidR="003F04DE">
        <w:t xml:space="preserve"> The acylated core selected </w:t>
      </w:r>
      <w:r>
        <w:t>would also be used as the ligand for our control studies. As such, c</w:t>
      </w:r>
      <w:r w:rsidR="002E4A57">
        <w:t xml:space="preserve">ompound </w:t>
      </w:r>
      <w:r w:rsidR="002E4A57" w:rsidRPr="00082E45">
        <w:rPr>
          <w:b/>
        </w:rPr>
        <w:t xml:space="preserve">1 </w:t>
      </w:r>
      <w:r w:rsidR="002E4A57">
        <w:t xml:space="preserve">was prepared by reaction of isophaloyl chloride </w:t>
      </w:r>
      <w:r w:rsidR="00082E45">
        <w:t xml:space="preserve">with 2 equivalents of 3-aminophenol </w:t>
      </w:r>
      <w:r w:rsidR="002E4A57">
        <w:t xml:space="preserve">in DMF </w:t>
      </w:r>
      <w:r w:rsidR="00082E45">
        <w:t>in the presence of Et</w:t>
      </w:r>
      <w:r w:rsidR="00082E45" w:rsidRPr="00082E45">
        <w:rPr>
          <w:vertAlign w:val="subscript"/>
        </w:rPr>
        <w:t>3</w:t>
      </w:r>
      <w:r w:rsidR="00082E45">
        <w:t xml:space="preserve">N. The </w:t>
      </w:r>
      <w:r w:rsidR="008E730F">
        <w:t>intermediate</w:t>
      </w:r>
      <w:r w:rsidR="00082E45">
        <w:t xml:space="preserve"> isoph</w:t>
      </w:r>
      <w:r w:rsidR="00CC1AC4">
        <w:t>th</w:t>
      </w:r>
      <w:r w:rsidR="00082E45">
        <w:t xml:space="preserve">alamide was obtained in 64% yield after purification.   </w:t>
      </w:r>
    </w:p>
    <w:p w14:paraId="4F6CC21A" w14:textId="77777777" w:rsidR="00614621" w:rsidRDefault="00614621" w:rsidP="0025490A">
      <w:pPr>
        <w:pStyle w:val="RSCB02ArticleText"/>
      </w:pPr>
    </w:p>
    <w:p w14:paraId="68EE2252" w14:textId="77777777" w:rsidR="00614621" w:rsidRDefault="00614621" w:rsidP="0025490A">
      <w:pPr>
        <w:pStyle w:val="RSCB02ArticleText"/>
      </w:pPr>
    </w:p>
    <w:p w14:paraId="12A79A8E" w14:textId="79BE973F" w:rsidR="00614621" w:rsidRDefault="00614621" w:rsidP="00614621">
      <w:pPr>
        <w:pStyle w:val="RSCB09Biography"/>
      </w:pPr>
      <w:r w:rsidRPr="001319E5">
        <w:rPr>
          <w:rStyle w:val="RSCI02FigureSchemeChartwithtopbarChar"/>
        </w:rPr>
        <w:t xml:space="preserve">Scheme 1 Synthesis of the reference and polymer core compound </w:t>
      </w:r>
      <w:r w:rsidRPr="00A85A8D">
        <w:rPr>
          <w:rStyle w:val="RSCI02FigureSchemeChartwithtopbarChar"/>
          <w:b/>
        </w:rPr>
        <w:t>1</w:t>
      </w:r>
    </w:p>
    <w:p w14:paraId="42E0E93E" w14:textId="77777777" w:rsidR="00614621" w:rsidRDefault="00614621" w:rsidP="0025490A">
      <w:pPr>
        <w:pStyle w:val="RSCB02ArticleText"/>
      </w:pPr>
    </w:p>
    <w:p w14:paraId="530BAC26" w14:textId="0B8199C2" w:rsidR="0045572B" w:rsidRDefault="008C55CA" w:rsidP="0045572B">
      <w:pPr>
        <w:pStyle w:val="RSCB02ArticleText"/>
        <w:spacing w:line="240" w:lineRule="auto"/>
        <w:rPr>
          <w:rStyle w:val="RSCI01FigureSchemeChartwithbottombarChar"/>
        </w:rPr>
      </w:pPr>
      <w:r>
        <w:rPr>
          <w:rStyle w:val="RSCI02FigureSchemeChartwithtopbarChar"/>
        </w:rPr>
        <w:lastRenderedPageBreak/>
        <w:object w:dxaOrig="1440" w:dyaOrig="1440" w14:anchorId="4EF6796A">
          <v:shape id="_x0000_s1028" type="#_x0000_t75" style="position:absolute;left:0;text-align:left;margin-left:-6.85pt;margin-top:4.35pt;width:258.75pt;height:292.5pt;z-index:251658240;mso-position-horizontal-relative:text;mso-position-vertical-relative:text" o:allowoverlap="f">
            <v:imagedata r:id="rId16" o:title="" grayscale="t"/>
            <w10:wrap type="square"/>
          </v:shape>
          <o:OLEObject Type="Embed" ProgID="ChemDraw.Document.6.0" ShapeID="_x0000_s1028" DrawAspect="Content" ObjectID="_1520945142" r:id="rId17"/>
        </w:object>
      </w:r>
    </w:p>
    <w:p w14:paraId="2A0691A7" w14:textId="7C6360B2" w:rsidR="003A7373" w:rsidRDefault="003A7373" w:rsidP="0045572B">
      <w:pPr>
        <w:pStyle w:val="RSCI02FigureSchemeChartwithtopbar"/>
      </w:pPr>
      <w:r w:rsidRPr="0045572B">
        <w:rPr>
          <w:rStyle w:val="RSCI02FigureSchemeChartwithtopbarChar"/>
        </w:rPr>
        <w:t>Scheme 2 Synthesis of the hyperbranched polymers 2 and 3 (with core to monomer rations of 1:5 and 1:20 respectively)</w:t>
      </w:r>
      <w:r>
        <w:t>.</w:t>
      </w:r>
    </w:p>
    <w:p w14:paraId="792352A2" w14:textId="5FB280F2" w:rsidR="00946FBA" w:rsidRDefault="0090696C" w:rsidP="003A7373">
      <w:pPr>
        <w:pStyle w:val="RSCB02ArticleText"/>
      </w:pPr>
      <w:r>
        <w:t>This compound</w:t>
      </w:r>
      <w:r w:rsidR="000D35DC">
        <w:t xml:space="preserve"> was acetylated by reaction with an excess of acetyl chloride in pyridine</w:t>
      </w:r>
      <w:r w:rsidR="000D35DC" w:rsidRPr="000D35DC">
        <w:t>.  After removal of pyridine via vacuum distillation, the crude product was purified by recrystallization</w:t>
      </w:r>
      <w:r w:rsidR="00C55790">
        <w:t xml:space="preserve"> from </w:t>
      </w:r>
      <w:r w:rsidR="003A7373">
        <w:t>dichloromethane and petroleum ether,</w:t>
      </w:r>
      <w:r w:rsidR="000D35DC" w:rsidRPr="000D35DC">
        <w:t xml:space="preserve"> to give the final acetylated </w:t>
      </w:r>
      <w:r>
        <w:t>isophalamide</w:t>
      </w:r>
      <w:r w:rsidR="000D35DC" w:rsidRPr="000D35DC">
        <w:t xml:space="preserve"> </w:t>
      </w:r>
      <w:r w:rsidR="000D35DC" w:rsidRPr="000D35DC">
        <w:rPr>
          <w:b/>
        </w:rPr>
        <w:t>1</w:t>
      </w:r>
      <w:r w:rsidR="000D35DC" w:rsidRPr="000D35DC">
        <w:t xml:space="preserve"> in 65 % yield</w:t>
      </w:r>
      <w:r w:rsidR="001319E5">
        <w:t>, Scheme 1</w:t>
      </w:r>
      <w:r w:rsidR="000D35DC" w:rsidRPr="000D35DC">
        <w:t xml:space="preserve">.  </w:t>
      </w:r>
    </w:p>
    <w:p w14:paraId="0107E492" w14:textId="7D7DDCE6" w:rsidR="00AD27AD" w:rsidRDefault="00AD27AD" w:rsidP="00AB1CA9">
      <w:pPr>
        <w:pStyle w:val="RSCB02ArticleText"/>
      </w:pPr>
      <w:r>
        <w:t>We</w:t>
      </w:r>
      <w:r w:rsidRPr="00511BDE">
        <w:t xml:space="preserve"> decided to synthesise two polym</w:t>
      </w:r>
      <w:r>
        <w:t>ers containing the isophthalamide core; one above the dense packed</w:t>
      </w:r>
      <w:r w:rsidRPr="00511BDE">
        <w:t xml:space="preserve"> limit and a second smaller polymer </w:t>
      </w:r>
      <w:r>
        <w:t>that fell below it</w:t>
      </w:r>
      <w:r w:rsidRPr="00511BDE">
        <w:t xml:space="preserve">.  This would allow us to explore the specific electronic environment around the host anion binding core, </w:t>
      </w:r>
      <w:r>
        <w:t xml:space="preserve">in </w:t>
      </w:r>
      <w:r w:rsidRPr="002D481A">
        <w:t>addition to steric effects.  The hyperbranched polymers were synthesised using a core ratio of 1:5 and 1:20, for the small and large hyperbranched polymers respectively.   Both reactions were carried out using a modified version of the procedure previously reported.</w:t>
      </w:r>
      <w:r w:rsidRPr="002D481A">
        <w:rPr>
          <w:vertAlign w:val="superscript"/>
        </w:rPr>
        <w:t>7</w:t>
      </w:r>
      <w:r w:rsidR="008D3CE0" w:rsidRPr="002D481A">
        <w:rPr>
          <w:vertAlign w:val="superscript"/>
        </w:rPr>
        <w:t>,12</w:t>
      </w:r>
      <w:r w:rsidRPr="002D481A">
        <w:t xml:space="preserve"> </w:t>
      </w:r>
      <w:r w:rsidRPr="002D481A">
        <w:rPr>
          <w:i/>
        </w:rPr>
        <w:t>N, N</w:t>
      </w:r>
      <w:r w:rsidRPr="002D481A">
        <w:t>–bis(4-acetoxyphenyl)isophthalamide was added</w:t>
      </w:r>
      <w:r>
        <w:t xml:space="preserve"> to the monomer 3,5-diacetoxybenzoic acid</w:t>
      </w:r>
      <w:r w:rsidRPr="00391426">
        <w:t xml:space="preserve"> (</w:t>
      </w:r>
      <w:r>
        <w:t xml:space="preserve">in a </w:t>
      </w:r>
      <w:r w:rsidRPr="00391426">
        <w:t xml:space="preserve">1:20 </w:t>
      </w:r>
      <w:r>
        <w:t xml:space="preserve">or 1:5 </w:t>
      </w:r>
      <w:r w:rsidRPr="00391426">
        <w:t>mole</w:t>
      </w:r>
      <w:r w:rsidRPr="00AD27AD">
        <w:t xml:space="preserve"> </w:t>
      </w:r>
      <w:r w:rsidRPr="00391426">
        <w:t>ratio)</w:t>
      </w:r>
      <w:r>
        <w:t xml:space="preserve">.   </w:t>
      </w:r>
      <w:r w:rsidRPr="00391426">
        <w:t xml:space="preserve"> </w:t>
      </w:r>
      <w:r>
        <w:t>These were then</w:t>
      </w:r>
      <w:r w:rsidRPr="00391426">
        <w:t xml:space="preserve"> heated with an equal weight of diphenyl</w:t>
      </w:r>
      <w:r>
        <w:t xml:space="preserve"> at</w:t>
      </w:r>
      <w:r w:rsidRPr="00391426">
        <w:t xml:space="preserve"> 225 </w:t>
      </w:r>
      <w:r w:rsidRPr="00391426">
        <w:sym w:font="Symbol" w:char="F0B0"/>
      </w:r>
      <w:r w:rsidR="0045572B">
        <w:t>C for a period of 45 minutes</w:t>
      </w:r>
      <w:r w:rsidRPr="00391426">
        <w:t>.</w:t>
      </w:r>
      <w:r>
        <w:t xml:space="preserve"> </w:t>
      </w:r>
      <w:r w:rsidR="0068310A" w:rsidRPr="00391426">
        <w:t xml:space="preserve">The temperature was then lowered to 180 </w:t>
      </w:r>
      <w:r w:rsidR="0068310A" w:rsidRPr="00391426">
        <w:sym w:font="Symbol" w:char="F0B0"/>
      </w:r>
      <w:r w:rsidR="0068310A" w:rsidRPr="00391426">
        <w:t xml:space="preserve">C and the system was placed under </w:t>
      </w:r>
      <w:r w:rsidR="0068310A">
        <w:t xml:space="preserve">a </w:t>
      </w:r>
      <w:r w:rsidR="0068310A" w:rsidRPr="00391426">
        <w:t>low</w:t>
      </w:r>
      <w:r w:rsidR="0068310A">
        <w:t xml:space="preserve"> vacuum for a period of 4 hours</w:t>
      </w:r>
      <w:r w:rsidR="0068310A" w:rsidRPr="00391426">
        <w:t xml:space="preserve">. This allowed removal of </w:t>
      </w:r>
      <w:r w:rsidR="0068310A">
        <w:t xml:space="preserve">the </w:t>
      </w:r>
      <w:r w:rsidR="0068310A" w:rsidRPr="00391426">
        <w:t xml:space="preserve">acetic acid by-product </w:t>
      </w:r>
      <w:r w:rsidR="0068310A">
        <w:t>and steered</w:t>
      </w:r>
      <w:r w:rsidR="0068310A" w:rsidRPr="00391426">
        <w:t xml:space="preserve"> the reaction to completion</w:t>
      </w:r>
      <w:r w:rsidR="000263B8">
        <w:t xml:space="preserve"> </w:t>
      </w:r>
      <w:r w:rsidR="008D3CE0">
        <w:t>with</w:t>
      </w:r>
      <w:r w:rsidR="0068310A">
        <w:t xml:space="preserve"> the </w:t>
      </w:r>
      <w:r w:rsidR="000263B8">
        <w:t>formation of</w:t>
      </w:r>
      <w:r w:rsidR="0068310A" w:rsidRPr="00391426">
        <w:t xml:space="preserve"> a glass-like solid.</w:t>
      </w:r>
      <w:r w:rsidR="0068310A">
        <w:t xml:space="preserve"> </w:t>
      </w:r>
      <w:r w:rsidR="00E47396">
        <w:t xml:space="preserve">The use of reversible chemistry ensures that the core is </w:t>
      </w:r>
      <w:r w:rsidR="0033211B">
        <w:t xml:space="preserve">integrated </w:t>
      </w:r>
      <w:r w:rsidR="00E47396">
        <w:t xml:space="preserve">with a very high level of incorporation (approaching 100% - see reference </w:t>
      </w:r>
      <w:r w:rsidR="00475B3B">
        <w:t>5a</w:t>
      </w:r>
      <w:r w:rsidR="00E47396">
        <w:t xml:space="preserve">).  </w:t>
      </w:r>
      <w:r w:rsidR="0068310A">
        <w:t>The final products w</w:t>
      </w:r>
      <w:r w:rsidR="00B174BD">
        <w:t>ere</w:t>
      </w:r>
      <w:r w:rsidR="0068310A">
        <w:t xml:space="preserve"> obtained by precipitation into methanol from the minimum amount of (warm) THF.  T</w:t>
      </w:r>
      <w:r w:rsidR="0068310A" w:rsidRPr="00391426">
        <w:t xml:space="preserve">he </w:t>
      </w:r>
      <w:r w:rsidR="0068310A">
        <w:t xml:space="preserve">procedure was repeated twice more and the </w:t>
      </w:r>
      <w:r w:rsidR="0068310A" w:rsidRPr="00391426">
        <w:t>white solid</w:t>
      </w:r>
      <w:r w:rsidR="0068310A">
        <w:t>s</w:t>
      </w:r>
      <w:r w:rsidR="0068310A" w:rsidRPr="00391426">
        <w:t xml:space="preserve"> </w:t>
      </w:r>
      <w:r w:rsidR="00DA64CC">
        <w:t>formed</w:t>
      </w:r>
      <w:r w:rsidR="0068310A" w:rsidRPr="00391426">
        <w:t xml:space="preserve"> washed thoroughly with cold methanol and dried prior to</w:t>
      </w:r>
      <w:r w:rsidR="0068310A">
        <w:t xml:space="preserve">71 % yield respectively.  A representative structure is shown in </w:t>
      </w:r>
      <w:r w:rsidR="001E7118">
        <w:t>Scheme</w:t>
      </w:r>
      <w:r w:rsidR="0068310A">
        <w:t xml:space="preserve"> </w:t>
      </w:r>
      <w:r w:rsidR="00DA64CC">
        <w:t>2</w:t>
      </w:r>
      <w:r w:rsidR="0068310A">
        <w:t xml:space="preserve">. </w:t>
      </w:r>
      <w:r>
        <w:t xml:space="preserve"> </w:t>
      </w:r>
    </w:p>
    <w:p w14:paraId="3C83EA7D" w14:textId="7433DD76" w:rsidR="008F2185" w:rsidRDefault="0045572B" w:rsidP="00AB1CA9">
      <w:pPr>
        <w:pStyle w:val="RSCB02ArticleText"/>
      </w:pPr>
      <w:r>
        <w:rPr>
          <w:noProof/>
          <w:lang w:eastAsia="en-GB"/>
        </w:rPr>
        <mc:AlternateContent>
          <mc:Choice Requires="wps">
            <w:drawing>
              <wp:anchor distT="45720" distB="45720" distL="114300" distR="114300" simplePos="0" relativeHeight="251668480" behindDoc="0" locked="0" layoutInCell="1" allowOverlap="1" wp14:anchorId="2A08F40C" wp14:editId="78BE6558">
                <wp:simplePos x="0" y="0"/>
                <wp:positionH relativeFrom="column">
                  <wp:posOffset>-17145</wp:posOffset>
                </wp:positionH>
                <wp:positionV relativeFrom="paragraph">
                  <wp:posOffset>1960687</wp:posOffset>
                </wp:positionV>
                <wp:extent cx="3219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14:paraId="05451FD8" w14:textId="69A1A01F" w:rsidR="009913E4" w:rsidRDefault="009913E4" w:rsidP="009913E4">
                            <w:pPr>
                              <w:pStyle w:val="RSCI02FigureSchemeChartwithtopbar"/>
                              <w:spacing w:before="0" w:after="0"/>
                            </w:pPr>
                            <w:r>
                              <w:t xml:space="preserve">Figure 1 Titration plot showing the change in NH shift position for the larger HBP </w:t>
                            </w:r>
                            <w:r>
                              <w:rPr>
                                <w:b/>
                              </w:rPr>
                              <w:t xml:space="preserve">3 (5 mmol) </w:t>
                            </w:r>
                            <w:r>
                              <w:t>and bromide (as the tetrabutylammonium 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8F40C" id="_x0000_s1027" type="#_x0000_t202" style="position:absolute;left:0;text-align:left;margin-left:-1.35pt;margin-top:154.4pt;width:25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" filled="f" stroked="f">
                <v:textbox style="mso-fit-shape-to-text:t">
                  <w:txbxContent>
                    <w:p w14:paraId="05451FD8" w14:textId="69A1A01F" w:rsidR="009913E4" w:rsidRDefault="009913E4" w:rsidP="009913E4">
                      <w:pPr>
                        <w:pStyle w:val="RSCI02FigureSchemeChartwithtopbar"/>
                        <w:spacing w:before="0" w:after="0"/>
                      </w:pPr>
                      <w:r>
                        <w:t xml:space="preserve">Figure 1 Titration plot showing the change in NH shift position for the larger HBP </w:t>
                      </w:r>
                      <w:r>
                        <w:rPr>
                          <w:b/>
                        </w:rPr>
                        <w:t xml:space="preserve">3 (5 mmol) </w:t>
                      </w:r>
                      <w:r>
                        <w:t>and bromide (as the tetrabutylammonium salt).</w:t>
                      </w:r>
                    </w:p>
                  </w:txbxContent>
                </v:textbox>
                <w10:wrap type="square"/>
              </v:shape>
            </w:pict>
          </mc:Fallback>
        </mc:AlternateContent>
      </w:r>
      <w:r w:rsidRPr="00614621">
        <w:rPr>
          <w:rStyle w:val="RSCI01FigureSchemeChartwithbottombarChar"/>
          <w:noProof/>
          <w:lang w:eastAsia="en-GB"/>
        </w:rPr>
        <w:drawing>
          <wp:anchor distT="0" distB="360045" distL="114300" distR="114300" simplePos="0" relativeHeight="251652096" behindDoc="0" locked="0" layoutInCell="1" allowOverlap="1" wp14:anchorId="2CB17427" wp14:editId="04C3FDB1">
            <wp:simplePos x="0" y="0"/>
            <wp:positionH relativeFrom="column">
              <wp:posOffset>191770</wp:posOffset>
            </wp:positionH>
            <wp:positionV relativeFrom="paragraph">
              <wp:posOffset>-238871</wp:posOffset>
            </wp:positionV>
            <wp:extent cx="2746800" cy="2246400"/>
            <wp:effectExtent l="0" t="0" r="0" b="1905"/>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6631E">
        <w:t xml:space="preserve">The stability </w:t>
      </w:r>
      <w:r w:rsidR="0046631E" w:rsidRPr="002D481A">
        <w:t xml:space="preserve">constants for compound </w:t>
      </w:r>
      <w:r w:rsidR="0046631E" w:rsidRPr="002D481A">
        <w:rPr>
          <w:b/>
        </w:rPr>
        <w:t>1</w:t>
      </w:r>
      <w:r w:rsidR="0046631E" w:rsidRPr="002D481A">
        <w:t xml:space="preserve"> </w:t>
      </w:r>
      <w:r w:rsidR="003979E0" w:rsidRPr="002D481A">
        <w:t xml:space="preserve">with a </w:t>
      </w:r>
      <w:r w:rsidR="002D5469" w:rsidRPr="002D481A">
        <w:t>series of halides</w:t>
      </w:r>
      <w:r w:rsidR="003979E0" w:rsidRPr="002D481A">
        <w:t xml:space="preserve"> </w:t>
      </w:r>
      <w:r w:rsidR="009B301E" w:rsidRPr="002D481A">
        <w:t>added as their tetrabutylammonium salts</w:t>
      </w:r>
      <w:r w:rsidR="003979E0" w:rsidRPr="002D481A">
        <w:t xml:space="preserve"> </w:t>
      </w:r>
      <w:r w:rsidR="0046631E" w:rsidRPr="002D481A">
        <w:t xml:space="preserve">were determined by </w:t>
      </w:r>
      <w:r w:rsidR="0046631E" w:rsidRPr="002D481A">
        <w:rPr>
          <w:vertAlign w:val="superscript"/>
        </w:rPr>
        <w:t>1</w:t>
      </w:r>
      <w:r w:rsidR="0046631E" w:rsidRPr="002D481A">
        <w:t xml:space="preserve">H NMR titration techniques </w:t>
      </w:r>
      <w:r w:rsidR="008D3CE0" w:rsidRPr="002D481A">
        <w:rPr>
          <w:vertAlign w:val="superscript"/>
        </w:rPr>
        <w:t>13</w:t>
      </w:r>
      <w:r w:rsidR="00661C01" w:rsidRPr="002D481A">
        <w:rPr>
          <w:vertAlign w:val="superscript"/>
        </w:rPr>
        <w:t xml:space="preserve"> </w:t>
      </w:r>
      <w:r w:rsidR="0046631E" w:rsidRPr="002D481A">
        <w:t>in CDCl</w:t>
      </w:r>
      <w:r w:rsidR="0046631E" w:rsidRPr="002D481A">
        <w:rPr>
          <w:vertAlign w:val="subscript"/>
        </w:rPr>
        <w:t>3</w:t>
      </w:r>
      <w:r w:rsidR="0046631E" w:rsidRPr="002D481A">
        <w:t>.</w:t>
      </w:r>
      <w:r w:rsidR="00661C01" w:rsidRPr="002D481A">
        <w:rPr>
          <w:vertAlign w:val="superscript"/>
        </w:rPr>
        <w:t>‡</w:t>
      </w:r>
      <w:r w:rsidR="00D407B6" w:rsidRPr="00D407B6">
        <w:rPr>
          <w:vertAlign w:val="superscript"/>
        </w:rPr>
        <w:t>‡</w:t>
      </w:r>
      <w:r w:rsidR="0046631E" w:rsidRPr="002D481A">
        <w:t xml:space="preserve">  </w:t>
      </w:r>
      <w:r w:rsidR="003979E0" w:rsidRPr="002D481A">
        <w:t xml:space="preserve">Job plot analysis was used </w:t>
      </w:r>
      <w:r w:rsidR="009B301E" w:rsidRPr="002D481A">
        <w:t>to determine the stoichiometry of the complexes formed which was found to be 1:1.</w:t>
      </w:r>
      <w:r w:rsidR="008D3CE0" w:rsidRPr="002D481A">
        <w:rPr>
          <w:vertAlign w:val="superscript"/>
        </w:rPr>
        <w:t>14</w:t>
      </w:r>
      <w:r w:rsidR="009B301E" w:rsidRPr="002D481A">
        <w:t xml:space="preserve"> </w:t>
      </w:r>
      <w:r w:rsidR="00D80C68" w:rsidRPr="002D481A">
        <w:t xml:space="preserve"> The results are shown in Table 1.</w:t>
      </w:r>
      <w:r w:rsidR="002D5469" w:rsidRPr="002D481A">
        <w:t xml:space="preserve"> </w:t>
      </w:r>
      <w:r w:rsidR="00EA5031" w:rsidRPr="002D481A">
        <w:t xml:space="preserve">Job plots and </w:t>
      </w:r>
      <w:r w:rsidR="00EA5031" w:rsidRPr="002D481A">
        <w:rPr>
          <w:vertAlign w:val="superscript"/>
        </w:rPr>
        <w:t>1</w:t>
      </w:r>
      <w:r w:rsidR="00EA5031" w:rsidRPr="002D481A">
        <w:t>H NMR titrations</w:t>
      </w:r>
      <w:r w:rsidR="00EA5031">
        <w:t xml:space="preserve"> were repeated with </w:t>
      </w:r>
      <w:r w:rsidR="00EA5031" w:rsidRPr="000B6DE9">
        <w:t>hyperbr</w:t>
      </w:r>
      <w:r w:rsidR="007D61F4" w:rsidRPr="000B6DE9">
        <w:t>a</w:t>
      </w:r>
      <w:r w:rsidR="00EA5031" w:rsidRPr="000B6DE9">
        <w:t xml:space="preserve">nched polymers </w:t>
      </w:r>
      <w:r w:rsidR="00EA5031" w:rsidRPr="000B6DE9">
        <w:rPr>
          <w:b/>
        </w:rPr>
        <w:t>2</w:t>
      </w:r>
      <w:r w:rsidR="00EA5031" w:rsidRPr="000B6DE9">
        <w:t xml:space="preserve"> and </w:t>
      </w:r>
      <w:r w:rsidR="00EA5031" w:rsidRPr="000B6DE9">
        <w:rPr>
          <w:b/>
        </w:rPr>
        <w:t>3</w:t>
      </w:r>
      <w:r w:rsidR="00EA5031" w:rsidRPr="000B6DE9">
        <w:t xml:space="preserve">. </w:t>
      </w:r>
      <w:r w:rsidR="002D23B8">
        <w:t xml:space="preserve">The tritration plot for the larger HBP </w:t>
      </w:r>
      <w:r w:rsidR="002D23B8">
        <w:rPr>
          <w:b/>
        </w:rPr>
        <w:t xml:space="preserve">3 </w:t>
      </w:r>
      <w:r w:rsidR="002D23B8">
        <w:t xml:space="preserve">and bromide (as the tetrabutylammonium salt) is shown in Figure 1. </w:t>
      </w:r>
      <w:r w:rsidR="002A6307" w:rsidRPr="000B6DE9">
        <w:t xml:space="preserve">It was found that 1:1 complexes with </w:t>
      </w:r>
      <w:r w:rsidR="002D5469">
        <w:t>halides</w:t>
      </w:r>
      <w:r w:rsidR="002A6307" w:rsidRPr="000B6DE9">
        <w:t xml:space="preserve"> were formed in all cases. </w:t>
      </w:r>
      <w:r w:rsidR="00035289">
        <w:t>As we increased the steric bulk around the receptor, w</w:t>
      </w:r>
      <w:r w:rsidR="002D5469">
        <w:t>e noticed a drop in the binding affinities of</w:t>
      </w:r>
      <w:r w:rsidR="009D5D49">
        <w:t xml:space="preserve"> fluoride and chloride</w:t>
      </w:r>
      <w:r w:rsidR="002D5469">
        <w:t xml:space="preserve">.  </w:t>
      </w:r>
      <w:r w:rsidR="00035289">
        <w:t>Specifically</w:t>
      </w:r>
      <w:r w:rsidR="002D5469">
        <w:t xml:space="preserve">, the affinity dropped </w:t>
      </w:r>
      <w:r w:rsidR="00035289">
        <w:t>as we moved from</w:t>
      </w:r>
      <w:r w:rsidR="009D5D49">
        <w:t xml:space="preserve"> receptor </w:t>
      </w:r>
      <w:r w:rsidR="009D5D49" w:rsidRPr="00E42373">
        <w:rPr>
          <w:b/>
        </w:rPr>
        <w:t xml:space="preserve">1 </w:t>
      </w:r>
      <w:r w:rsidR="009D5D49">
        <w:t xml:space="preserve">to hyperbranched polymers </w:t>
      </w:r>
      <w:r w:rsidR="009D5D49" w:rsidRPr="00C753EE">
        <w:rPr>
          <w:b/>
        </w:rPr>
        <w:t xml:space="preserve">2 </w:t>
      </w:r>
      <w:r w:rsidR="009D5D49">
        <w:t xml:space="preserve">and </w:t>
      </w:r>
      <w:r w:rsidR="009D5D49" w:rsidRPr="00C753EE">
        <w:rPr>
          <w:b/>
        </w:rPr>
        <w:t>3</w:t>
      </w:r>
      <w:r w:rsidR="002D5469">
        <w:rPr>
          <w:b/>
        </w:rPr>
        <w:t xml:space="preserve"> </w:t>
      </w:r>
      <w:r w:rsidR="002D5469">
        <w:t>respectively (for each anion)</w:t>
      </w:r>
      <w:r w:rsidR="009D5D49">
        <w:t>.  Interestingly</w:t>
      </w:r>
      <w:r w:rsidR="002D5469">
        <w:t>, we observed that although there is a drop in affinity,</w:t>
      </w:r>
      <w:r w:rsidR="009D5D49">
        <w:t xml:space="preserve"> there is little </w:t>
      </w:r>
      <w:r w:rsidR="00E42373">
        <w:t xml:space="preserve">difference between the affinities of HBPs </w:t>
      </w:r>
      <w:r w:rsidR="00E42373" w:rsidRPr="00E42373">
        <w:rPr>
          <w:b/>
        </w:rPr>
        <w:t>2</w:t>
      </w:r>
      <w:r w:rsidR="00E42373">
        <w:t xml:space="preserve"> and </w:t>
      </w:r>
      <w:r w:rsidR="00E42373" w:rsidRPr="00E42373">
        <w:rPr>
          <w:b/>
        </w:rPr>
        <w:t>3</w:t>
      </w:r>
      <w:r w:rsidR="002D5469">
        <w:t>,</w:t>
      </w:r>
      <w:r w:rsidR="00E42373">
        <w:t xml:space="preserve"> </w:t>
      </w:r>
      <w:r w:rsidR="00035289">
        <w:t>despite the increased steric bulk. This</w:t>
      </w:r>
      <w:r w:rsidR="00E42373">
        <w:t xml:space="preserve"> is presumably due to the </w:t>
      </w:r>
      <w:r w:rsidR="00035289">
        <w:t xml:space="preserve">relatively </w:t>
      </w:r>
      <w:r w:rsidR="00E42373">
        <w:t>small size of the</w:t>
      </w:r>
      <w:r w:rsidR="00035289">
        <w:t xml:space="preserve"> fluoride and chloride</w:t>
      </w:r>
      <w:r w:rsidR="00E42373">
        <w:t xml:space="preserve"> guests.  </w:t>
      </w:r>
      <w:r w:rsidR="002D5469">
        <w:t xml:space="preserve">On the </w:t>
      </w:r>
      <w:r w:rsidR="008F2185">
        <w:t>other hand</w:t>
      </w:r>
      <w:r w:rsidR="002D5469">
        <w:t xml:space="preserve">, </w:t>
      </w:r>
      <w:r w:rsidR="00035289">
        <w:t xml:space="preserve">the larger </w:t>
      </w:r>
      <w:r w:rsidR="002D5469">
        <w:t>b</w:t>
      </w:r>
      <w:r w:rsidR="00C753EE">
        <w:t xml:space="preserve">romide behaves </w:t>
      </w:r>
      <w:r w:rsidR="002D5469">
        <w:t xml:space="preserve">very </w:t>
      </w:r>
      <w:r w:rsidR="00C753EE">
        <w:t>differently and there is a</w:t>
      </w:r>
      <w:r w:rsidR="00035289">
        <w:t xml:space="preserve"> significant</w:t>
      </w:r>
      <w:r w:rsidR="00C753EE">
        <w:t xml:space="preserve"> enhancement in binding </w:t>
      </w:r>
      <w:r w:rsidR="002D5469">
        <w:t xml:space="preserve">with </w:t>
      </w:r>
      <w:r w:rsidR="00C753EE">
        <w:t>this anion</w:t>
      </w:r>
      <w:r w:rsidR="00035289">
        <w:t>,</w:t>
      </w:r>
      <w:r w:rsidR="002D5469">
        <w:t xml:space="preserve"> as we go from</w:t>
      </w:r>
      <w:r w:rsidR="00C753EE">
        <w:t xml:space="preserve"> compound </w:t>
      </w:r>
      <w:r w:rsidR="00C753EE" w:rsidRPr="0023013E">
        <w:rPr>
          <w:b/>
        </w:rPr>
        <w:t>1</w:t>
      </w:r>
      <w:r w:rsidR="00C753EE">
        <w:t xml:space="preserve"> to HBPs </w:t>
      </w:r>
      <w:r w:rsidR="00C753EE" w:rsidRPr="0023013E">
        <w:rPr>
          <w:b/>
        </w:rPr>
        <w:t>2</w:t>
      </w:r>
      <w:r w:rsidR="00C753EE">
        <w:t xml:space="preserve"> and </w:t>
      </w:r>
      <w:r w:rsidR="00C753EE" w:rsidRPr="0023013E">
        <w:rPr>
          <w:b/>
        </w:rPr>
        <w:t>3</w:t>
      </w:r>
      <w:r w:rsidR="002D5469">
        <w:t xml:space="preserve">.  As such, </w:t>
      </w:r>
      <w:r w:rsidR="005D1DA9">
        <w:t xml:space="preserve">both </w:t>
      </w:r>
      <w:r w:rsidR="00C753EE">
        <w:t xml:space="preserve">HBPs </w:t>
      </w:r>
      <w:r w:rsidR="002D5469">
        <w:t>are</w:t>
      </w:r>
      <w:r w:rsidR="00C753EE">
        <w:t xml:space="preserve"> selectiv</w:t>
      </w:r>
      <w:r w:rsidR="005D1DA9">
        <w:t>e</w:t>
      </w:r>
      <w:r w:rsidR="00C753EE">
        <w:t xml:space="preserve"> for bromide</w:t>
      </w:r>
      <w:r w:rsidR="00035289">
        <w:t>, Table 1</w:t>
      </w:r>
      <w:r w:rsidR="00C753EE">
        <w:t xml:space="preserve">.  </w:t>
      </w:r>
    </w:p>
    <w:p w14:paraId="32F5B2D7" w14:textId="2016AA7E" w:rsidR="00EE6F17" w:rsidRPr="00035289" w:rsidRDefault="00EE6F17" w:rsidP="00035289">
      <w:pPr>
        <w:pStyle w:val="RSCB02ArticleText"/>
        <w:spacing w:line="240" w:lineRule="auto"/>
        <w:rPr>
          <w:sz w:val="6"/>
        </w:rPr>
      </w:pPr>
    </w:p>
    <w:p w14:paraId="587D8E5E" w14:textId="4F0A6A63" w:rsidR="00BD5840" w:rsidRDefault="00BD5840" w:rsidP="00BD5840">
      <w:pPr>
        <w:pStyle w:val="RSCT01TableTitlewithtopbar"/>
      </w:pPr>
      <w:r>
        <w:t>Table 1 Stability constants for the anionic complexes of compound</w:t>
      </w:r>
      <w:r w:rsidRPr="00BD5840">
        <w:rPr>
          <w:b/>
        </w:rPr>
        <w:t xml:space="preserve"> 1</w:t>
      </w:r>
      <w:r>
        <w:t xml:space="preserve"> </w:t>
      </w:r>
      <w:r w:rsidR="009C6918">
        <w:t xml:space="preserve">and HBPs </w:t>
      </w:r>
      <w:r w:rsidR="009C6918" w:rsidRPr="009C6918">
        <w:rPr>
          <w:b/>
        </w:rPr>
        <w:t>2</w:t>
      </w:r>
      <w:r w:rsidR="009C6918">
        <w:t xml:space="preserve"> and </w:t>
      </w:r>
      <w:r w:rsidR="009C6918" w:rsidRPr="009C6918">
        <w:rPr>
          <w:b/>
        </w:rPr>
        <w:t>3</w:t>
      </w:r>
      <w:r w:rsidR="009C6918">
        <w:t xml:space="preserve"> </w:t>
      </w:r>
      <w:r>
        <w:t xml:space="preserve">measured at </w:t>
      </w:r>
      <w:r w:rsidR="00CA4A31">
        <w:t>25</w:t>
      </w:r>
      <w:r>
        <w:t xml:space="preserve"> ˚C in CDCl</w:t>
      </w:r>
      <w:r w:rsidRPr="009C6918">
        <w:rPr>
          <w:vertAlign w:val="subscript"/>
        </w:rPr>
        <w:t>3</w:t>
      </w:r>
      <w:r>
        <w:t>.</w:t>
      </w:r>
      <w:r w:rsidR="009C6918" w:rsidRPr="009C6918">
        <w:rPr>
          <w:vertAlign w:val="superscript"/>
        </w:rPr>
        <w:t>a</w:t>
      </w:r>
    </w:p>
    <w:p w14:paraId="5FBEC9FC" w14:textId="56C04C01" w:rsidR="008F022B" w:rsidRPr="00370D17" w:rsidRDefault="00EE6F17" w:rsidP="00BD5840">
      <w:pPr>
        <w:pStyle w:val="RSCT03TableBody"/>
        <w:jc w:val="left"/>
        <w:rPr>
          <w:b/>
        </w:rPr>
      </w:pPr>
      <w:r w:rsidRPr="00370D17">
        <w:rPr>
          <w:b/>
        </w:rPr>
        <w:t>Anion</w:t>
      </w:r>
      <w:r w:rsidRPr="00370D17">
        <w:rPr>
          <w:b/>
        </w:rPr>
        <w:tab/>
      </w:r>
      <w:r w:rsidRPr="00370D17">
        <w:rPr>
          <w:b/>
        </w:rPr>
        <w:tab/>
      </w:r>
      <w:r w:rsidR="00B50E35" w:rsidRPr="00370D17">
        <w:rPr>
          <w:b/>
        </w:rPr>
        <w:t xml:space="preserve">Compound 1 </w:t>
      </w:r>
      <w:r w:rsidR="008F022B" w:rsidRPr="00370D17">
        <w:rPr>
          <w:b/>
        </w:rPr>
        <w:t>K</w:t>
      </w:r>
      <w:r w:rsidR="008F022B" w:rsidRPr="00370D17">
        <w:rPr>
          <w:b/>
          <w:vertAlign w:val="subscript"/>
        </w:rPr>
        <w:t>a</w:t>
      </w:r>
      <w:r w:rsidR="008F022B" w:rsidRPr="00370D17">
        <w:rPr>
          <w:b/>
        </w:rPr>
        <w:t xml:space="preserve"> (M</w:t>
      </w:r>
      <w:r w:rsidR="008F022B" w:rsidRPr="00370D17">
        <w:rPr>
          <w:b/>
          <w:vertAlign w:val="superscript"/>
        </w:rPr>
        <w:t>-1</w:t>
      </w:r>
      <w:r w:rsidR="008F022B" w:rsidRPr="00370D17">
        <w:rPr>
          <w:b/>
        </w:rPr>
        <w:t>)</w:t>
      </w:r>
      <w:r w:rsidR="00B50E35" w:rsidRPr="00370D17">
        <w:rPr>
          <w:b/>
        </w:rPr>
        <w:tab/>
      </w:r>
      <w:r w:rsidRPr="00370D17">
        <w:rPr>
          <w:b/>
        </w:rPr>
        <w:tab/>
      </w:r>
      <w:r w:rsidR="00B50E35" w:rsidRPr="00370D17">
        <w:rPr>
          <w:b/>
        </w:rPr>
        <w:t>HBP 2 (M</w:t>
      </w:r>
      <w:r w:rsidR="00B50E35" w:rsidRPr="00370D17">
        <w:rPr>
          <w:b/>
          <w:vertAlign w:val="superscript"/>
        </w:rPr>
        <w:t>-1</w:t>
      </w:r>
      <w:r w:rsidR="00B50E35" w:rsidRPr="00370D17">
        <w:rPr>
          <w:b/>
        </w:rPr>
        <w:t>)</w:t>
      </w:r>
      <w:r w:rsidR="00B50E35" w:rsidRPr="00370D17">
        <w:rPr>
          <w:b/>
        </w:rPr>
        <w:tab/>
      </w:r>
      <w:r w:rsidR="001319E5" w:rsidRPr="00370D17">
        <w:rPr>
          <w:b/>
        </w:rPr>
        <w:tab/>
      </w:r>
      <w:r w:rsidRPr="00370D17">
        <w:rPr>
          <w:b/>
        </w:rPr>
        <w:tab/>
      </w:r>
      <w:r w:rsidR="00B50E35" w:rsidRPr="00370D17">
        <w:rPr>
          <w:b/>
        </w:rPr>
        <w:t>HBP 3 (M</w:t>
      </w:r>
      <w:r w:rsidR="00B50E35" w:rsidRPr="00370D17">
        <w:rPr>
          <w:b/>
          <w:vertAlign w:val="superscript"/>
        </w:rPr>
        <w:t>-1</w:t>
      </w:r>
      <w:r w:rsidR="00B50E35" w:rsidRPr="00370D17">
        <w:rPr>
          <w:b/>
        </w:rPr>
        <w:t>)</w:t>
      </w:r>
    </w:p>
    <w:p w14:paraId="3557BD70" w14:textId="6986A7D0" w:rsidR="008F022B" w:rsidRDefault="008F022B" w:rsidP="00BD5840">
      <w:pPr>
        <w:pStyle w:val="RSCT03TableBody"/>
        <w:jc w:val="left"/>
      </w:pPr>
      <w:r>
        <w:t>F</w:t>
      </w:r>
      <w:r w:rsidRPr="008F022B">
        <w:rPr>
          <w:vertAlign w:val="superscript"/>
        </w:rPr>
        <w:t>-</w:t>
      </w:r>
      <w:r>
        <w:tab/>
      </w:r>
      <w:r>
        <w:tab/>
      </w:r>
      <w:r>
        <w:tab/>
        <w:t>8900</w:t>
      </w:r>
      <w:r w:rsidR="001319E5">
        <w:rPr>
          <w:vertAlign w:val="superscript"/>
        </w:rPr>
        <w:t xml:space="preserve"> </w:t>
      </w:r>
      <w:r w:rsidR="001319E5">
        <w:t>(±18%)</w:t>
      </w:r>
      <w:r w:rsidR="00B50E35">
        <w:tab/>
      </w:r>
      <w:r w:rsidR="00B50E35">
        <w:tab/>
      </w:r>
      <w:r w:rsidR="00B50E35">
        <w:tab/>
      </w:r>
      <w:r w:rsidR="00EE6F17">
        <w:tab/>
      </w:r>
      <w:r w:rsidR="009C6918">
        <w:t>1900</w:t>
      </w:r>
      <w:r w:rsidR="001319E5">
        <w:t xml:space="preserve"> (±15%)</w:t>
      </w:r>
      <w:r w:rsidR="009C6918">
        <w:tab/>
      </w:r>
      <w:r w:rsidR="009C6918">
        <w:tab/>
      </w:r>
      <w:r w:rsidR="00EE6F17">
        <w:tab/>
      </w:r>
      <w:r w:rsidR="009C6918">
        <w:t>2300</w:t>
      </w:r>
      <w:r w:rsidR="001319E5">
        <w:t xml:space="preserve"> (±15%)</w:t>
      </w:r>
    </w:p>
    <w:p w14:paraId="02AE7623" w14:textId="67DFCCAB" w:rsidR="008F022B" w:rsidRDefault="008F022B" w:rsidP="00BD5840">
      <w:pPr>
        <w:pStyle w:val="RSCT03TableBody"/>
        <w:jc w:val="left"/>
      </w:pPr>
      <w:r>
        <w:t>Cl</w:t>
      </w:r>
      <w:r w:rsidRPr="008F022B">
        <w:rPr>
          <w:vertAlign w:val="superscript"/>
        </w:rPr>
        <w:t>-</w:t>
      </w:r>
      <w:r>
        <w:tab/>
      </w:r>
      <w:r>
        <w:tab/>
      </w:r>
      <w:r>
        <w:tab/>
      </w:r>
      <w:r w:rsidR="009C6918">
        <w:t>&gt; 10</w:t>
      </w:r>
      <w:r w:rsidR="009C6918" w:rsidRPr="009C6918">
        <w:rPr>
          <w:vertAlign w:val="superscript"/>
        </w:rPr>
        <w:t>4</w:t>
      </w:r>
      <w:r w:rsidR="001319E5">
        <w:t xml:space="preserve"> (±15%)</w:t>
      </w:r>
      <w:r w:rsidR="009C6918">
        <w:tab/>
      </w:r>
      <w:r w:rsidR="009C6918">
        <w:tab/>
      </w:r>
      <w:r w:rsidR="009C6918">
        <w:tab/>
      </w:r>
      <w:r w:rsidR="00EE6F17">
        <w:tab/>
      </w:r>
      <w:r w:rsidR="009C6918">
        <w:t>1700</w:t>
      </w:r>
      <w:r w:rsidR="001319E5">
        <w:rPr>
          <w:vertAlign w:val="superscript"/>
        </w:rPr>
        <w:t xml:space="preserve"> </w:t>
      </w:r>
      <w:r w:rsidR="001319E5">
        <w:t>(±21%)</w:t>
      </w:r>
      <w:r w:rsidR="001319E5">
        <w:tab/>
      </w:r>
      <w:r w:rsidR="001319E5">
        <w:tab/>
      </w:r>
      <w:r w:rsidR="00EE6F17">
        <w:tab/>
      </w:r>
      <w:r w:rsidR="009C6918">
        <w:t>1200</w:t>
      </w:r>
      <w:r w:rsidR="001319E5">
        <w:t xml:space="preserve"> (±18%)</w:t>
      </w:r>
    </w:p>
    <w:p w14:paraId="4C0C0E51" w14:textId="6C0F676B" w:rsidR="008F022B" w:rsidRDefault="008F022B" w:rsidP="00BD5840">
      <w:pPr>
        <w:pStyle w:val="RSCT03TableBody"/>
        <w:jc w:val="left"/>
      </w:pPr>
      <w:r>
        <w:t>Br</w:t>
      </w:r>
      <w:r w:rsidRPr="008F022B">
        <w:rPr>
          <w:vertAlign w:val="superscript"/>
        </w:rPr>
        <w:t>-</w:t>
      </w:r>
      <w:r>
        <w:tab/>
      </w:r>
      <w:r>
        <w:tab/>
      </w:r>
      <w:r>
        <w:tab/>
        <w:t>5900</w:t>
      </w:r>
      <w:r w:rsidR="001319E5">
        <w:t xml:space="preserve"> (±15%)</w:t>
      </w:r>
      <w:r w:rsidR="009C6918">
        <w:tab/>
      </w:r>
      <w:r w:rsidR="009C6918">
        <w:tab/>
      </w:r>
      <w:r w:rsidR="009C6918">
        <w:tab/>
      </w:r>
      <w:r w:rsidR="00EE6F17">
        <w:tab/>
      </w:r>
      <w:r w:rsidR="009C6918">
        <w:t>10500</w:t>
      </w:r>
      <w:r w:rsidR="001319E5">
        <w:rPr>
          <w:vertAlign w:val="superscript"/>
        </w:rPr>
        <w:t xml:space="preserve"> </w:t>
      </w:r>
      <w:r w:rsidR="001319E5">
        <w:t>(±22%)</w:t>
      </w:r>
      <w:r w:rsidR="009C6918">
        <w:tab/>
      </w:r>
      <w:r w:rsidR="00EE6F17">
        <w:tab/>
      </w:r>
      <w:r w:rsidR="009C6918">
        <w:t>11000</w:t>
      </w:r>
      <w:r w:rsidR="001319E5">
        <w:t xml:space="preserve"> (±16%)</w:t>
      </w:r>
    </w:p>
    <w:p w14:paraId="1E933763" w14:textId="6232039D" w:rsidR="008F022B" w:rsidRPr="008F022B" w:rsidRDefault="008F022B" w:rsidP="00BD5840">
      <w:pPr>
        <w:pStyle w:val="RSCT03TableBody"/>
        <w:jc w:val="left"/>
      </w:pPr>
      <w:r>
        <w:t>I</w:t>
      </w:r>
      <w:r w:rsidRPr="008F022B">
        <w:rPr>
          <w:vertAlign w:val="superscript"/>
        </w:rPr>
        <w:t>-</w:t>
      </w:r>
      <w:r>
        <w:rPr>
          <w:vertAlign w:val="superscript"/>
        </w:rPr>
        <w:tab/>
      </w:r>
      <w:r>
        <w:tab/>
      </w:r>
      <w:r>
        <w:tab/>
      </w:r>
      <w:r w:rsidR="009C6918">
        <w:t>800</w:t>
      </w:r>
      <w:r w:rsidR="001319E5">
        <w:t xml:space="preserve"> </w:t>
      </w:r>
      <w:r w:rsidR="001319E5">
        <w:tab/>
        <w:t xml:space="preserve"> (±15%)</w:t>
      </w:r>
      <w:r w:rsidR="009C6918">
        <w:tab/>
      </w:r>
      <w:r w:rsidR="009C6918">
        <w:tab/>
      </w:r>
      <w:r w:rsidR="009C6918">
        <w:tab/>
      </w:r>
      <w:r w:rsidR="00EE6F17">
        <w:tab/>
      </w:r>
      <w:r w:rsidR="001319E5">
        <w:t>3650 (±15%)</w:t>
      </w:r>
      <w:r w:rsidR="009C6918">
        <w:tab/>
      </w:r>
      <w:r w:rsidR="001319E5">
        <w:tab/>
      </w:r>
      <w:r w:rsidR="00EE6F17">
        <w:tab/>
      </w:r>
      <w:r w:rsidR="009C6918">
        <w:t>1400</w:t>
      </w:r>
      <w:r w:rsidR="001319E5">
        <w:t xml:space="preserve"> (±15%)</w:t>
      </w:r>
    </w:p>
    <w:p w14:paraId="17BD18DA" w14:textId="016A2ADE" w:rsidR="009C6918" w:rsidRDefault="009C6918" w:rsidP="009C6918">
      <w:pPr>
        <w:pStyle w:val="RSCT04TableFootnotewithbottombar"/>
      </w:pPr>
      <w:r w:rsidRPr="009C6918">
        <w:rPr>
          <w:vertAlign w:val="superscript"/>
        </w:rPr>
        <w:t>a</w:t>
      </w:r>
      <w:r w:rsidR="00CA4A31">
        <w:rPr>
          <w:vertAlign w:val="superscript"/>
        </w:rPr>
        <w:t xml:space="preserve"> </w:t>
      </w:r>
      <w:r>
        <w:t xml:space="preserve">Errors </w:t>
      </w:r>
      <w:r w:rsidR="001319E5">
        <w:t>shown in brackets</w:t>
      </w:r>
    </w:p>
    <w:p w14:paraId="1B1561F8" w14:textId="011FC25C" w:rsidR="00AB1CA9" w:rsidRDefault="00AB1CA9" w:rsidP="00CB312A">
      <w:pPr>
        <w:pStyle w:val="RSCB02ArticleText"/>
      </w:pPr>
      <w:r>
        <w:t xml:space="preserve">We also observed that the affinity for iodide is highest in HBP </w:t>
      </w:r>
      <w:r w:rsidRPr="00E36C29">
        <w:rPr>
          <w:b/>
        </w:rPr>
        <w:t>2</w:t>
      </w:r>
      <w:r>
        <w:t xml:space="preserve"> followed by HBP </w:t>
      </w:r>
      <w:r w:rsidRPr="00E36C29">
        <w:rPr>
          <w:b/>
        </w:rPr>
        <w:t>3</w:t>
      </w:r>
      <w:r>
        <w:t xml:space="preserve"> and then compound </w:t>
      </w:r>
      <w:r w:rsidRPr="00E36C29">
        <w:rPr>
          <w:b/>
        </w:rPr>
        <w:t>1</w:t>
      </w:r>
      <w:r>
        <w:t xml:space="preserve">. </w:t>
      </w:r>
      <w:r w:rsidRPr="001319E5">
        <w:t xml:space="preserve">Presumably, </w:t>
      </w:r>
      <w:r>
        <w:t xml:space="preserve">for both </w:t>
      </w:r>
      <w:r w:rsidRPr="002D481A">
        <w:t xml:space="preserve">bromide and iodide the larger anions can interact with the polymer’s </w:t>
      </w:r>
      <w:r w:rsidRPr="002D481A">
        <w:rPr>
          <w:rFonts w:ascii="Symbol" w:hAnsi="Symbol"/>
        </w:rPr>
        <w:t></w:t>
      </w:r>
      <w:r w:rsidRPr="002D481A">
        <w:t xml:space="preserve"> </w:t>
      </w:r>
      <w:r w:rsidR="00A42090" w:rsidRPr="002D481A">
        <w:t>system.</w:t>
      </w:r>
      <w:r w:rsidR="00A42090" w:rsidRPr="002D481A">
        <w:rPr>
          <w:vertAlign w:val="superscript"/>
        </w:rPr>
        <w:t>15</w:t>
      </w:r>
      <w:r w:rsidR="00A42090" w:rsidRPr="002D481A">
        <w:t xml:space="preserve"> This</w:t>
      </w:r>
      <w:r w:rsidRPr="002D481A">
        <w:t xml:space="preserve"> </w:t>
      </w:r>
      <w:r w:rsidRPr="002D481A">
        <w:rPr>
          <w:rFonts w:ascii="Symbol" w:hAnsi="Symbol"/>
        </w:rPr>
        <w:t></w:t>
      </w:r>
      <w:r w:rsidRPr="002D481A">
        <w:t>-aromatic interaction is in addition to the hydrogen bonding, as evident</w:t>
      </w:r>
      <w:r w:rsidRPr="001319E5">
        <w:t xml:space="preserve"> from the NH (and Ar-H) </w:t>
      </w:r>
      <w:r w:rsidRPr="001319E5">
        <w:lastRenderedPageBreak/>
        <w:t xml:space="preserve">shifts recorded during the NMR titrations.  Therefore, the hydrogen bonding and </w:t>
      </w:r>
      <w:r w:rsidRPr="001319E5">
        <w:rPr>
          <w:rFonts w:ascii="Symbol" w:hAnsi="Symbol"/>
        </w:rPr>
        <w:t></w:t>
      </w:r>
      <w:r w:rsidRPr="001319E5">
        <w:t>-aromatic interactions are working cooperatively to generate a higher binding constant for the larger halide anions</w:t>
      </w:r>
      <w:r w:rsidR="00721EFE">
        <w:t>; this is despite the obvious steric interactions</w:t>
      </w:r>
      <w:r w:rsidRPr="001319E5">
        <w:t xml:space="preserve">. </w:t>
      </w:r>
    </w:p>
    <w:p w14:paraId="2A5596A7" w14:textId="0923D9B3" w:rsidR="00CB312A" w:rsidRDefault="00CB312A" w:rsidP="00CB312A">
      <w:pPr>
        <w:pStyle w:val="RSCB02ArticleText"/>
      </w:pPr>
      <w:r>
        <w:t>In addition to obtain</w:t>
      </w:r>
      <w:r w:rsidR="00652EC1">
        <w:t>ing</w:t>
      </w:r>
      <w:r>
        <w:t xml:space="preserve"> higher binding constants for the larger anions, we also noticed that the relative binding </w:t>
      </w:r>
      <w:r w:rsidR="00652EC1">
        <w:t xml:space="preserve">with respect to hard </w:t>
      </w:r>
      <w:r w:rsidR="00806B97">
        <w:t xml:space="preserve">(fluoride and chloride) </w:t>
      </w:r>
      <w:r w:rsidR="00652EC1">
        <w:t xml:space="preserve">and soft </w:t>
      </w:r>
      <w:r w:rsidR="00806B97">
        <w:t xml:space="preserve">(bromide and iodide) </w:t>
      </w:r>
      <w:r w:rsidR="00652EC1">
        <w:t xml:space="preserve">anions </w:t>
      </w:r>
      <w:r w:rsidR="00973DBA">
        <w:t>was</w:t>
      </w:r>
      <w:r>
        <w:t xml:space="preserve"> effectively reversed</w:t>
      </w:r>
      <w:r w:rsidR="00973DBA">
        <w:t>.</w:t>
      </w:r>
      <w:r>
        <w:t xml:space="preserve"> </w:t>
      </w:r>
      <w:r w:rsidR="00806B97">
        <w:t>That is</w:t>
      </w:r>
      <w:r w:rsidR="00652EC1">
        <w:t>,</w:t>
      </w:r>
      <w:r w:rsidR="00806B97">
        <w:t xml:space="preserve"> although the order is not completely reversed with respect to each anion studied, binding does separate into two distinct groups.  For example, the anions bound to the control ligand </w:t>
      </w:r>
      <w:r w:rsidR="00806B97" w:rsidRPr="00652EC1">
        <w:rPr>
          <w:b/>
        </w:rPr>
        <w:t>1</w:t>
      </w:r>
      <w:r w:rsidR="00806B97">
        <w:t xml:space="preserve"> in the </w:t>
      </w:r>
      <w:r w:rsidR="00652EC1">
        <w:t xml:space="preserve">following order; </w:t>
      </w:r>
      <w:r w:rsidR="00806B97">
        <w:t>harder anions (</w:t>
      </w:r>
      <w:r w:rsidR="00973DBA">
        <w:t>c</w:t>
      </w:r>
      <w:r w:rsidR="00652EC1">
        <w:t>hloride</w:t>
      </w:r>
      <w:r w:rsidR="00973DBA">
        <w:t>/f</w:t>
      </w:r>
      <w:r w:rsidR="00652EC1">
        <w:t>luoride</w:t>
      </w:r>
      <w:r w:rsidR="00806B97">
        <w:t>)</w:t>
      </w:r>
      <w:r w:rsidR="00652EC1">
        <w:t xml:space="preserve"> </w:t>
      </w:r>
      <w:r w:rsidR="00806B97">
        <w:t xml:space="preserve">binding </w:t>
      </w:r>
      <w:r w:rsidR="00806B97" w:rsidRPr="00806B97">
        <w:rPr>
          <w:i/>
        </w:rPr>
        <w:t>more strongly</w:t>
      </w:r>
      <w:r w:rsidR="00806B97">
        <w:t xml:space="preserve"> than the</w:t>
      </w:r>
      <w:r w:rsidR="00652EC1">
        <w:t xml:space="preserve"> </w:t>
      </w:r>
      <w:r w:rsidR="00806B97">
        <w:t>softer anions (</w:t>
      </w:r>
      <w:r w:rsidR="00973DBA">
        <w:t>bromide/i</w:t>
      </w:r>
      <w:r w:rsidR="00652EC1">
        <w:t>odide</w:t>
      </w:r>
      <w:r w:rsidR="00806B97">
        <w:t>)</w:t>
      </w:r>
      <w:r w:rsidR="00652EC1">
        <w:t xml:space="preserve">.  </w:t>
      </w:r>
      <w:r w:rsidR="00973DBA">
        <w:t xml:space="preserve">In this respect the order </w:t>
      </w:r>
      <w:r w:rsidR="00806B97">
        <w:t xml:space="preserve">appears to be related </w:t>
      </w:r>
      <w:r w:rsidR="00652EC1" w:rsidRPr="002D481A">
        <w:t xml:space="preserve">to </w:t>
      </w:r>
      <w:r w:rsidR="00806B97">
        <w:t xml:space="preserve">the </w:t>
      </w:r>
      <w:r w:rsidR="00806B97" w:rsidRPr="007C45EF">
        <w:rPr>
          <w:rStyle w:val="author"/>
          <w:iCs/>
          <w:lang w:val="en"/>
        </w:rPr>
        <w:t>Hofmeister</w:t>
      </w:r>
      <w:r w:rsidR="00806B97">
        <w:rPr>
          <w:rStyle w:val="author"/>
          <w:iCs/>
          <w:lang w:val="en"/>
        </w:rPr>
        <w:t xml:space="preserve"> series</w:t>
      </w:r>
      <w:r w:rsidR="004B2751" w:rsidRPr="002D481A">
        <w:t>.</w:t>
      </w:r>
      <w:r w:rsidR="004B2751" w:rsidRPr="002D481A">
        <w:rPr>
          <w:vertAlign w:val="superscript"/>
        </w:rPr>
        <w:t>16</w:t>
      </w:r>
      <w:r w:rsidR="004B2751" w:rsidRPr="002D481A">
        <w:t xml:space="preserve"> However</w:t>
      </w:r>
      <w:r w:rsidR="00973DBA" w:rsidRPr="002D481A">
        <w:t>, w</w:t>
      </w:r>
      <w:r w:rsidR="00652EC1" w:rsidRPr="002D481A">
        <w:t>hen</w:t>
      </w:r>
      <w:r w:rsidR="00973DBA" w:rsidRPr="002D481A">
        <w:t xml:space="preserve"> </w:t>
      </w:r>
      <w:r w:rsidR="00652EC1" w:rsidRPr="002D481A">
        <w:t>hyperbranched polymer</w:t>
      </w:r>
      <w:r w:rsidR="00973DBA" w:rsidRPr="002D481A">
        <w:t xml:space="preserve">s </w:t>
      </w:r>
      <w:r w:rsidR="00973DBA" w:rsidRPr="002D481A">
        <w:rPr>
          <w:b/>
        </w:rPr>
        <w:t>2</w:t>
      </w:r>
      <w:r w:rsidR="00973DBA" w:rsidRPr="002D481A">
        <w:t xml:space="preserve"> and </w:t>
      </w:r>
      <w:r w:rsidR="00973DBA" w:rsidRPr="002D481A">
        <w:rPr>
          <w:b/>
        </w:rPr>
        <w:t>3</w:t>
      </w:r>
      <w:r w:rsidR="00973DBA" w:rsidRPr="002D481A">
        <w:t xml:space="preserve"> were used, the</w:t>
      </w:r>
      <w:r w:rsidR="00973DBA">
        <w:t xml:space="preserve"> order switches to </w:t>
      </w:r>
      <w:r w:rsidR="00806B97">
        <w:t>the harder anions (chloride/</w:t>
      </w:r>
      <w:r w:rsidR="00806B97" w:rsidRPr="004B2751">
        <w:t>fluoride</w:t>
      </w:r>
      <w:r w:rsidR="00806B97">
        <w:t>) (</w:t>
      </w:r>
      <w:r w:rsidR="00973DBA">
        <w:t>bromide/Iodide</w:t>
      </w:r>
      <w:r w:rsidR="00806B97">
        <w:t xml:space="preserve">) binding </w:t>
      </w:r>
      <w:r w:rsidR="00806B97" w:rsidRPr="00806B97">
        <w:rPr>
          <w:i/>
        </w:rPr>
        <w:t>less strongly</w:t>
      </w:r>
      <w:r w:rsidR="00806B97">
        <w:t xml:space="preserve"> than softer anions (bromide/Iodide)</w:t>
      </w:r>
      <w:r w:rsidR="00973DBA" w:rsidRPr="004B2751">
        <w:t xml:space="preserve">. </w:t>
      </w:r>
      <w:r w:rsidR="00652EC1" w:rsidRPr="004B2751">
        <w:t xml:space="preserve">  </w:t>
      </w:r>
      <w:r w:rsidR="004B2751">
        <w:t>This change in selectivity is also attributed to local environment generated by the hyperbranched polymer (around the binding site).</w:t>
      </w:r>
      <w:r w:rsidR="004B2751" w:rsidRPr="004B2751">
        <w:t xml:space="preserve"> </w:t>
      </w:r>
      <w:r w:rsidR="004B2751">
        <w:t xml:space="preserve">Specifically, cooperative </w:t>
      </w:r>
      <w:r w:rsidR="004B2751" w:rsidRPr="004B2751">
        <w:rPr>
          <w:rFonts w:ascii="Symbol" w:hAnsi="Symbol"/>
        </w:rPr>
        <w:t></w:t>
      </w:r>
      <w:r w:rsidR="004B2751">
        <w:t>-</w:t>
      </w:r>
      <w:r w:rsidR="004B2751" w:rsidRPr="004B2751">
        <w:t>interactions</w:t>
      </w:r>
      <w:r w:rsidR="00057816">
        <w:t xml:space="preserve"> </w:t>
      </w:r>
      <w:r w:rsidR="00057816" w:rsidRPr="002D481A">
        <w:rPr>
          <w:vertAlign w:val="superscript"/>
        </w:rPr>
        <w:t>15</w:t>
      </w:r>
      <w:r w:rsidR="004B2751">
        <w:t xml:space="preserve"> </w:t>
      </w:r>
      <w:r w:rsidR="004B2751" w:rsidRPr="004B2751">
        <w:t>supporting the hydrogen bonding from the core.</w:t>
      </w:r>
      <w:r w:rsidR="004B2751">
        <w:t xml:space="preserve">  </w:t>
      </w:r>
    </w:p>
    <w:p w14:paraId="5180A06F" w14:textId="28328B23" w:rsidR="00E61949" w:rsidRPr="00A61D3E" w:rsidRDefault="00180ABE" w:rsidP="00AF4737">
      <w:pPr>
        <w:pStyle w:val="RSCB04SectionHeading"/>
      </w:pPr>
      <w:r w:rsidRPr="00A61D3E">
        <w:t>Conclusions</w:t>
      </w:r>
    </w:p>
    <w:p w14:paraId="4E9797AB" w14:textId="6CC0FF0E" w:rsidR="00E61949" w:rsidRDefault="002A66AA" w:rsidP="00E61949">
      <w:pPr>
        <w:pStyle w:val="RSCB02ArticleText"/>
      </w:pPr>
      <w:r>
        <w:t xml:space="preserve">By embedding an </w:t>
      </w:r>
      <w:r w:rsidR="00F31187">
        <w:t>isophthalamide</w:t>
      </w:r>
      <w:r>
        <w:t xml:space="preserve"> </w:t>
      </w:r>
      <w:r w:rsidR="00C63B66">
        <w:t xml:space="preserve">unit </w:t>
      </w:r>
      <w:r>
        <w:t xml:space="preserve">within a hyperbranched polymer </w:t>
      </w:r>
      <w:r w:rsidR="002453FF">
        <w:t xml:space="preserve">it is possible to </w:t>
      </w:r>
      <w:r w:rsidR="001F3103">
        <w:t xml:space="preserve">shift the selectivity of </w:t>
      </w:r>
      <w:r w:rsidR="00F31187">
        <w:t>the binding site</w:t>
      </w:r>
      <w:r w:rsidR="001F3103">
        <w:t xml:space="preserve"> towards larger charge diffuse </w:t>
      </w:r>
      <w:r w:rsidR="002D5469">
        <w:t>halides</w:t>
      </w:r>
      <w:r w:rsidR="001F3103">
        <w:t xml:space="preserve">.  </w:t>
      </w:r>
      <w:r w:rsidR="005D6142">
        <w:t xml:space="preserve">We have concluded that this enhanced binding is due to a combination of </w:t>
      </w:r>
      <w:r w:rsidR="005D6142" w:rsidRPr="005D6142">
        <w:t xml:space="preserve">hydrogen bonding and </w:t>
      </w:r>
      <w:r w:rsidR="005D6142" w:rsidRPr="005D6142">
        <w:rPr>
          <w:rFonts w:ascii="Symbol" w:hAnsi="Symbol"/>
        </w:rPr>
        <w:t></w:t>
      </w:r>
      <w:r w:rsidR="005D6142" w:rsidRPr="005D6142">
        <w:rPr>
          <w:rFonts w:ascii="Symbol" w:hAnsi="Symbol"/>
        </w:rPr>
        <w:t></w:t>
      </w:r>
      <w:r w:rsidR="005D6142" w:rsidRPr="005D6142">
        <w:t>aromatic interactions</w:t>
      </w:r>
      <w:r w:rsidR="005D6142">
        <w:t xml:space="preserve"> </w:t>
      </w:r>
      <w:r w:rsidR="005D6142" w:rsidRPr="005D6142">
        <w:t>working cooperatively to generate higher binding constant</w:t>
      </w:r>
      <w:r w:rsidR="005D6142">
        <w:t xml:space="preserve">s. </w:t>
      </w:r>
      <w:r w:rsidR="001F3103">
        <w:t>This interesting finding demonstrates that hyperbranched polymer based receptors may have unique properties that are largely unexplored.</w:t>
      </w:r>
      <w:r w:rsidR="002D5469">
        <w:t xml:space="preserve"> </w:t>
      </w:r>
      <w:r w:rsidR="00E94FD1">
        <w:t xml:space="preserve">Overall, </w:t>
      </w:r>
      <w:r w:rsidR="00E94FD1" w:rsidRPr="00E94FD1">
        <w:t>the selectivity trend for the polymers</w:t>
      </w:r>
      <w:r w:rsidR="00E94FD1">
        <w:t xml:space="preserve"> shows that </w:t>
      </w:r>
      <w:r w:rsidR="00E94FD1" w:rsidRPr="00E94FD1">
        <w:t xml:space="preserve">bromide </w:t>
      </w:r>
      <w:r w:rsidR="00E94FD1">
        <w:t xml:space="preserve">binds </w:t>
      </w:r>
      <w:r w:rsidR="00E94FD1" w:rsidRPr="00E94FD1">
        <w:t>strongest and the chloride the weakest</w:t>
      </w:r>
      <w:r w:rsidR="00E94FD1">
        <w:t xml:space="preserve">.  </w:t>
      </w:r>
      <w:r w:rsidR="00267E3D">
        <w:t>Effectively, the trend</w:t>
      </w:r>
      <w:r w:rsidR="00E94FD1" w:rsidRPr="00E94FD1">
        <w:t xml:space="preserve"> is reversed</w:t>
      </w:r>
      <w:r w:rsidR="00E94FD1">
        <w:t xml:space="preserve"> when compared to the reference isophthalamide</w:t>
      </w:r>
      <w:r w:rsidR="00267E3D">
        <w:t xml:space="preserve"> receptor</w:t>
      </w:r>
      <w:r w:rsidR="00E94FD1">
        <w:t xml:space="preserve"> </w:t>
      </w:r>
      <w:r w:rsidR="00E94FD1">
        <w:rPr>
          <w:b/>
        </w:rPr>
        <w:t>1</w:t>
      </w:r>
      <w:r w:rsidR="00E94FD1">
        <w:t xml:space="preserve">, which binds chloride the strongest and iodide the weakest.  </w:t>
      </w:r>
      <w:r w:rsidR="00E94FD1" w:rsidRPr="00E94FD1">
        <w:t xml:space="preserve">This therefore confirms that the microenvironment around a specific binding site/receptor can have a large effect on its binding potential and selectivity. </w:t>
      </w:r>
      <w:r w:rsidR="002D5469">
        <w:t xml:space="preserve"> Work is progressing in our laboratories to further study and exploit these properties</w:t>
      </w:r>
      <w:r w:rsidR="004B2751">
        <w:t>, as well as studying the effect of structure and environment on the binding properties of other anions.  In addition, we also plan to extend the study using alternative solvents that may direct or exclude binding at the polymeric</w:t>
      </w:r>
      <w:r w:rsidR="004B2751" w:rsidRPr="004B2751">
        <w:t xml:space="preserve"> </w:t>
      </w:r>
      <w:r w:rsidR="004B2751">
        <w:t>isophthalamide core.</w:t>
      </w:r>
    </w:p>
    <w:p w14:paraId="15885574" w14:textId="6663586A" w:rsidR="001C2B65" w:rsidRPr="00EF6BD4" w:rsidRDefault="001C2B65" w:rsidP="001C2B65">
      <w:pPr>
        <w:pStyle w:val="RSCB04SectionHeading"/>
      </w:pPr>
      <w:r>
        <w:t>Acknowledgements</w:t>
      </w:r>
    </w:p>
    <w:p w14:paraId="1BED8429" w14:textId="5CF6E432" w:rsidR="001C2B65" w:rsidRDefault="00FB51AA" w:rsidP="00E61949">
      <w:pPr>
        <w:pStyle w:val="RSCB02ArticleText"/>
      </w:pPr>
      <w:r>
        <w:t>We acknowledge the EPSRC for funding (GM).  We would also like to thank Professor Christopher Hunter (University of Cambridge, Department of Chemistry) for providing the software for the binding and Job analysis.</w:t>
      </w:r>
    </w:p>
    <w:p w14:paraId="28A250B1" w14:textId="77777777" w:rsidR="00D010E8" w:rsidRPr="00EF6BD4" w:rsidRDefault="00E61949" w:rsidP="00EF6BD4">
      <w:pPr>
        <w:pStyle w:val="RSCB04SectionHeading"/>
      </w:pPr>
      <w:r w:rsidRPr="00EF6BD4">
        <w:t>Notes and references</w:t>
      </w:r>
    </w:p>
    <w:p w14:paraId="72A5D952" w14:textId="04764BD0" w:rsidR="00D407B6" w:rsidRDefault="00D407B6" w:rsidP="00241ACD">
      <w:pPr>
        <w:pStyle w:val="RSCF02FootnotestoTitleAuthors"/>
        <w:spacing w:line="200" w:lineRule="exact"/>
        <w:rPr>
          <w:sz w:val="18"/>
          <w:szCs w:val="18"/>
        </w:rPr>
      </w:pPr>
      <w:r w:rsidRPr="00241ACD">
        <w:rPr>
          <w:sz w:val="18"/>
          <w:szCs w:val="18"/>
        </w:rPr>
        <w:t>‡</w:t>
      </w:r>
      <w:r>
        <w:rPr>
          <w:sz w:val="18"/>
          <w:szCs w:val="18"/>
        </w:rPr>
        <w:t xml:space="preserve">HBPs with anion binding groups at their periphery have </w:t>
      </w:r>
      <w:r w:rsidR="00816246">
        <w:rPr>
          <w:sz w:val="18"/>
          <w:szCs w:val="18"/>
        </w:rPr>
        <w:t xml:space="preserve">been reported and </w:t>
      </w:r>
      <w:r>
        <w:rPr>
          <w:sz w:val="18"/>
          <w:szCs w:val="18"/>
        </w:rPr>
        <w:t xml:space="preserve">show interesting </w:t>
      </w:r>
      <w:r w:rsidR="00816246">
        <w:rPr>
          <w:sz w:val="18"/>
          <w:szCs w:val="18"/>
        </w:rPr>
        <w:t xml:space="preserve">binding </w:t>
      </w:r>
      <w:r>
        <w:rPr>
          <w:sz w:val="18"/>
          <w:szCs w:val="18"/>
        </w:rPr>
        <w:t xml:space="preserve">related to polyvalence effects.  </w:t>
      </w:r>
      <w:r w:rsidR="00816246">
        <w:rPr>
          <w:sz w:val="18"/>
          <w:szCs w:val="18"/>
        </w:rPr>
        <w:t>Initially</w:t>
      </w:r>
      <w:r>
        <w:rPr>
          <w:sz w:val="18"/>
          <w:szCs w:val="18"/>
        </w:rPr>
        <w:t xml:space="preserve"> binding involves two receptors bindings a single anion</w:t>
      </w:r>
      <w:r w:rsidR="00816246">
        <w:rPr>
          <w:sz w:val="18"/>
          <w:szCs w:val="18"/>
        </w:rPr>
        <w:t xml:space="preserve"> with</w:t>
      </w:r>
      <w:r>
        <w:rPr>
          <w:sz w:val="18"/>
          <w:szCs w:val="18"/>
        </w:rPr>
        <w:t xml:space="preserve"> 1:1 binding </w:t>
      </w:r>
      <w:r w:rsidR="00816246">
        <w:rPr>
          <w:sz w:val="18"/>
          <w:szCs w:val="18"/>
        </w:rPr>
        <w:t>being</w:t>
      </w:r>
      <w:r>
        <w:rPr>
          <w:sz w:val="18"/>
          <w:szCs w:val="18"/>
        </w:rPr>
        <w:t xml:space="preserve"> observed</w:t>
      </w:r>
      <w:r w:rsidR="00816246">
        <w:rPr>
          <w:sz w:val="18"/>
          <w:szCs w:val="18"/>
        </w:rPr>
        <w:t xml:space="preserve"> as anion concentration increases</w:t>
      </w:r>
      <w:r>
        <w:rPr>
          <w:sz w:val="18"/>
          <w:szCs w:val="18"/>
        </w:rPr>
        <w:t xml:space="preserve">.  </w:t>
      </w:r>
      <w:r w:rsidR="00816246">
        <w:rPr>
          <w:sz w:val="18"/>
          <w:szCs w:val="18"/>
        </w:rPr>
        <w:t>However, the receptors are not within the polymeric structure and c</w:t>
      </w:r>
      <w:r>
        <w:rPr>
          <w:sz w:val="18"/>
          <w:szCs w:val="18"/>
        </w:rPr>
        <w:t xml:space="preserve">hanges in binding </w:t>
      </w:r>
      <w:r w:rsidR="00816246">
        <w:rPr>
          <w:sz w:val="18"/>
          <w:szCs w:val="18"/>
        </w:rPr>
        <w:t>behaviour</w:t>
      </w:r>
      <w:r>
        <w:rPr>
          <w:sz w:val="18"/>
          <w:szCs w:val="18"/>
        </w:rPr>
        <w:t xml:space="preserve"> related to controlled microenvironments do not occur.</w:t>
      </w:r>
      <w:r w:rsidRPr="00D407B6">
        <w:rPr>
          <w:sz w:val="18"/>
          <w:szCs w:val="18"/>
          <w:vertAlign w:val="superscript"/>
        </w:rPr>
        <w:t>17</w:t>
      </w:r>
    </w:p>
    <w:p w14:paraId="75FE5A68" w14:textId="63BA06DB" w:rsidR="00EB5C28" w:rsidRDefault="00D010E8" w:rsidP="00241ACD">
      <w:pPr>
        <w:pStyle w:val="RSCF02FootnotestoTitleAuthors"/>
        <w:spacing w:line="200" w:lineRule="exact"/>
        <w:rPr>
          <w:sz w:val="18"/>
          <w:szCs w:val="18"/>
        </w:rPr>
      </w:pPr>
      <w:r w:rsidRPr="00241ACD">
        <w:rPr>
          <w:sz w:val="18"/>
          <w:szCs w:val="18"/>
        </w:rPr>
        <w:t>‡</w:t>
      </w:r>
      <w:r w:rsidR="00D407B6" w:rsidRPr="00241ACD">
        <w:rPr>
          <w:sz w:val="18"/>
          <w:szCs w:val="18"/>
        </w:rPr>
        <w:t>‡</w:t>
      </w:r>
      <w:r w:rsidR="00D216BC" w:rsidRPr="00241ACD">
        <w:rPr>
          <w:sz w:val="18"/>
          <w:szCs w:val="18"/>
        </w:rPr>
        <w:t xml:space="preserve"> </w:t>
      </w:r>
      <w:r w:rsidR="00267E3D">
        <w:rPr>
          <w:sz w:val="18"/>
          <w:szCs w:val="18"/>
        </w:rPr>
        <w:t>A t</w:t>
      </w:r>
      <w:r w:rsidR="007D0BE6">
        <w:rPr>
          <w:sz w:val="18"/>
          <w:szCs w:val="18"/>
        </w:rPr>
        <w:t>y</w:t>
      </w:r>
      <w:r w:rsidR="00267E3D">
        <w:rPr>
          <w:sz w:val="18"/>
          <w:szCs w:val="18"/>
        </w:rPr>
        <w:t xml:space="preserve">pical titration was carried out </w:t>
      </w:r>
      <w:r w:rsidR="00C00AC4">
        <w:rPr>
          <w:sz w:val="18"/>
          <w:szCs w:val="18"/>
        </w:rPr>
        <w:t xml:space="preserve">using a standard NMR titration technique.  Samples of host solution </w:t>
      </w:r>
      <w:r w:rsidR="00590FAA">
        <w:rPr>
          <w:sz w:val="18"/>
          <w:szCs w:val="18"/>
        </w:rPr>
        <w:t>were</w:t>
      </w:r>
      <w:r w:rsidR="00C00AC4">
        <w:rPr>
          <w:sz w:val="18"/>
          <w:szCs w:val="18"/>
        </w:rPr>
        <w:t xml:space="preserve"> prepared with a known concentration</w:t>
      </w:r>
      <w:r w:rsidR="00590FAA">
        <w:rPr>
          <w:sz w:val="18"/>
          <w:szCs w:val="18"/>
        </w:rPr>
        <w:t xml:space="preserve"> in CHCl</w:t>
      </w:r>
      <w:r w:rsidR="00590FAA" w:rsidRPr="00590FAA">
        <w:rPr>
          <w:sz w:val="18"/>
          <w:szCs w:val="18"/>
          <w:vertAlign w:val="subscript"/>
        </w:rPr>
        <w:t>3</w:t>
      </w:r>
      <w:r w:rsidR="00C00AC4">
        <w:rPr>
          <w:sz w:val="18"/>
          <w:szCs w:val="18"/>
        </w:rPr>
        <w:t xml:space="preserve"> (1-10mM).  Guest solutions were prepared </w:t>
      </w:r>
      <w:r w:rsidR="00590FAA">
        <w:rPr>
          <w:sz w:val="18"/>
          <w:szCs w:val="18"/>
        </w:rPr>
        <w:t>in C</w:t>
      </w:r>
      <w:r w:rsidR="002F2BD0">
        <w:rPr>
          <w:sz w:val="18"/>
          <w:szCs w:val="18"/>
        </w:rPr>
        <w:t>D</w:t>
      </w:r>
      <w:r w:rsidR="00590FAA">
        <w:rPr>
          <w:sz w:val="18"/>
          <w:szCs w:val="18"/>
        </w:rPr>
        <w:t>Cl</w:t>
      </w:r>
      <w:r w:rsidR="00590FAA" w:rsidRPr="00590FAA">
        <w:rPr>
          <w:sz w:val="18"/>
          <w:szCs w:val="18"/>
          <w:vertAlign w:val="subscript"/>
        </w:rPr>
        <w:t>3</w:t>
      </w:r>
      <w:r w:rsidR="00590FAA">
        <w:rPr>
          <w:sz w:val="18"/>
          <w:szCs w:val="18"/>
        </w:rPr>
        <w:t xml:space="preserve"> </w:t>
      </w:r>
      <w:r w:rsidR="00C00AC4">
        <w:rPr>
          <w:sz w:val="18"/>
          <w:szCs w:val="18"/>
        </w:rPr>
        <w:t xml:space="preserve">with concentrations ranging from </w:t>
      </w:r>
      <w:r w:rsidR="00590FAA">
        <w:rPr>
          <w:sz w:val="18"/>
          <w:szCs w:val="18"/>
        </w:rPr>
        <w:t>0.1</w:t>
      </w:r>
      <w:r w:rsidR="00C00AC4">
        <w:rPr>
          <w:sz w:val="18"/>
          <w:szCs w:val="18"/>
        </w:rPr>
        <w:t>-1</w:t>
      </w:r>
      <w:r w:rsidR="00590FAA">
        <w:rPr>
          <w:sz w:val="18"/>
          <w:szCs w:val="18"/>
        </w:rPr>
        <w:t>.</w:t>
      </w:r>
      <w:r w:rsidR="00C00AC4">
        <w:rPr>
          <w:sz w:val="18"/>
          <w:szCs w:val="18"/>
        </w:rPr>
        <w:t xml:space="preserve">0 M.  </w:t>
      </w:r>
      <w:r w:rsidR="00267E3D" w:rsidRPr="00267E3D">
        <w:rPr>
          <w:sz w:val="18"/>
          <w:szCs w:val="18"/>
        </w:rPr>
        <w:t xml:space="preserve">Each titration began with 0.7 mL of the host species in </w:t>
      </w:r>
      <w:r w:rsidR="00267E3D">
        <w:rPr>
          <w:sz w:val="18"/>
          <w:szCs w:val="18"/>
        </w:rPr>
        <w:t xml:space="preserve">an NMR tube. The anionic guest </w:t>
      </w:r>
      <w:r w:rsidR="00267E3D" w:rsidRPr="00267E3D">
        <w:rPr>
          <w:sz w:val="18"/>
          <w:szCs w:val="18"/>
        </w:rPr>
        <w:t>was added in aliquots (10-25 μL) to the host.</w:t>
      </w:r>
      <w:r w:rsidR="00267E3D">
        <w:rPr>
          <w:sz w:val="18"/>
          <w:szCs w:val="18"/>
        </w:rPr>
        <w:t xml:space="preserve"> </w:t>
      </w:r>
      <w:r w:rsidR="00590FAA">
        <w:rPr>
          <w:sz w:val="18"/>
          <w:szCs w:val="18"/>
        </w:rPr>
        <w:t xml:space="preserve">The fitting software used took account of dilution. </w:t>
      </w:r>
      <w:r w:rsidR="00267E3D" w:rsidRPr="00267E3D">
        <w:rPr>
          <w:sz w:val="18"/>
          <w:szCs w:val="18"/>
        </w:rPr>
        <w:t xml:space="preserve">NMR scans (32) were run following each addition and the position of the NH chemical shift (ppm) was monitored. Solutions were made up fresh and used immediately after </w:t>
      </w:r>
      <w:r w:rsidR="00721EFE">
        <w:rPr>
          <w:sz w:val="18"/>
          <w:szCs w:val="18"/>
        </w:rPr>
        <w:t>preparation.  A</w:t>
      </w:r>
      <w:r w:rsidR="00267E3D" w:rsidRPr="00267E3D">
        <w:rPr>
          <w:sz w:val="18"/>
          <w:szCs w:val="18"/>
        </w:rPr>
        <w:t>nionic guests were added as tetrabutylammonium salts. Topspin 2.6 software was used to process the NMR spectra generated</w:t>
      </w:r>
      <w:r w:rsidR="00AD5483" w:rsidRPr="00241ACD">
        <w:rPr>
          <w:sz w:val="18"/>
          <w:szCs w:val="18"/>
        </w:rPr>
        <w:t>.</w:t>
      </w:r>
      <w:r w:rsidR="007D0BE6" w:rsidRPr="007D0BE6">
        <w:rPr>
          <w:sz w:val="18"/>
          <w:szCs w:val="18"/>
        </w:rPr>
        <w:t xml:space="preserve"> </w:t>
      </w:r>
      <w:r w:rsidR="00590FAA" w:rsidRPr="00590FAA">
        <w:rPr>
          <w:sz w:val="18"/>
          <w:szCs w:val="18"/>
          <w:lang w:val="en"/>
        </w:rPr>
        <w:t>Changes in chemical shift were fit</w:t>
      </w:r>
      <w:r w:rsidR="00590FAA">
        <w:rPr>
          <w:sz w:val="18"/>
          <w:szCs w:val="18"/>
          <w:lang w:val="en"/>
        </w:rPr>
        <w:t>ted</w:t>
      </w:r>
      <w:r w:rsidR="00590FAA" w:rsidRPr="00590FAA">
        <w:rPr>
          <w:sz w:val="18"/>
          <w:szCs w:val="18"/>
          <w:lang w:val="en"/>
        </w:rPr>
        <w:t xml:space="preserve"> to a 1:1 binding isotherm in Microsoft Excel</w:t>
      </w:r>
      <w:r w:rsidR="00590FAA">
        <w:rPr>
          <w:sz w:val="18"/>
          <w:szCs w:val="18"/>
          <w:lang w:val="en"/>
        </w:rPr>
        <w:t xml:space="preserve"> program</w:t>
      </w:r>
      <w:r w:rsidR="00370D17">
        <w:rPr>
          <w:sz w:val="18"/>
          <w:szCs w:val="18"/>
          <w:lang w:val="en"/>
        </w:rPr>
        <w:t>.</w:t>
      </w:r>
      <w:r w:rsidR="002F2BD0">
        <w:rPr>
          <w:sz w:val="18"/>
          <w:szCs w:val="18"/>
          <w:lang w:val="en"/>
        </w:rPr>
        <w:t xml:space="preserve">  Experiments were repeated at least 3 times and the biding constant calculated from each fit.  For each anion, the data presented herein is an average of the 3 binding constants.</w:t>
      </w:r>
      <w:r w:rsidR="00590FAA">
        <w:rPr>
          <w:sz w:val="18"/>
          <w:szCs w:val="18"/>
          <w:lang w:val="en"/>
        </w:rPr>
        <w:t xml:space="preserve"> </w:t>
      </w:r>
    </w:p>
    <w:p w14:paraId="0E243405" w14:textId="77777777" w:rsidR="00A863E8" w:rsidRDefault="00A863E8" w:rsidP="00241ACD">
      <w:pPr>
        <w:pStyle w:val="RSCF02FootnotestoTitleAuthors"/>
        <w:spacing w:line="200" w:lineRule="exact"/>
        <w:rPr>
          <w:sz w:val="18"/>
          <w:szCs w:val="18"/>
        </w:rPr>
      </w:pPr>
    </w:p>
    <w:p w14:paraId="5F00B86F" w14:textId="0DB70344" w:rsidR="00376B8D" w:rsidRDefault="00376B8D" w:rsidP="00376B8D">
      <w:pPr>
        <w:pStyle w:val="RSCR02References"/>
      </w:pPr>
      <w:r>
        <w:t xml:space="preserve">K. </w:t>
      </w:r>
      <w:r w:rsidRPr="001F66B8">
        <w:t xml:space="preserve">Kavallieratos, </w:t>
      </w:r>
      <w:r>
        <w:t>C.M.</w:t>
      </w:r>
      <w:r w:rsidRPr="001F66B8">
        <w:t xml:space="preserve"> Bertao, </w:t>
      </w:r>
      <w:r>
        <w:t>and R.H.</w:t>
      </w:r>
      <w:r w:rsidRPr="001F66B8">
        <w:t xml:space="preserve"> Crabtree, </w:t>
      </w:r>
      <w:r w:rsidRPr="001F66B8">
        <w:rPr>
          <w:i/>
        </w:rPr>
        <w:t>J. Org. Chem.</w:t>
      </w:r>
      <w:r w:rsidRPr="001F66B8">
        <w:t xml:space="preserve"> </w:t>
      </w:r>
      <w:r w:rsidRPr="00376B8D">
        <w:t xml:space="preserve">1999, </w:t>
      </w:r>
      <w:r w:rsidRPr="00376B8D">
        <w:rPr>
          <w:b/>
        </w:rPr>
        <w:t>64</w:t>
      </w:r>
      <w:r w:rsidRPr="00376B8D">
        <w:t>,</w:t>
      </w:r>
      <w:r w:rsidRPr="001F66B8">
        <w:t xml:space="preserve"> 1675-1683</w:t>
      </w:r>
      <w:r>
        <w:t>.</w:t>
      </w:r>
    </w:p>
    <w:p w14:paraId="48785F14" w14:textId="15E3F09C" w:rsidR="00E61949" w:rsidRPr="00B0470A" w:rsidRDefault="00FC2EE1" w:rsidP="00456785">
      <w:pPr>
        <w:pStyle w:val="RSCR02References"/>
      </w:pPr>
      <w:r>
        <w:t xml:space="preserve">M. Más-Montoya, M. Cuartero, D. Curiel, J.A. Ortuño, M. S. García and A. Tárraga, </w:t>
      </w:r>
      <w:r w:rsidRPr="00FC2EE1">
        <w:rPr>
          <w:i/>
        </w:rPr>
        <w:t>Analyst</w:t>
      </w:r>
      <w:r>
        <w:t xml:space="preserve">, 2015, </w:t>
      </w:r>
      <w:r w:rsidRPr="00FC2EE1">
        <w:rPr>
          <w:b/>
        </w:rPr>
        <w:t>140</w:t>
      </w:r>
      <w:r>
        <w:t>, 287-294.</w:t>
      </w:r>
    </w:p>
    <w:p w14:paraId="29FD3B06" w14:textId="5E312D86" w:rsidR="001A62BC" w:rsidRDefault="001A62BC" w:rsidP="001A62BC">
      <w:pPr>
        <w:pStyle w:val="RSCR02References"/>
      </w:pPr>
      <w:r>
        <w:t xml:space="preserve">P.V. Santacroce, J.T. Davis, M.E. light, P.A. Gale, J.C. Iglesias-Sánchez, P. Prados and R. Quesada, J. Am. Chem. Soc. </w:t>
      </w:r>
      <w:r w:rsidR="00900169">
        <w:t>2007</w:t>
      </w:r>
      <w:r>
        <w:t xml:space="preserve">, </w:t>
      </w:r>
      <w:r w:rsidRPr="00720395">
        <w:rPr>
          <w:b/>
        </w:rPr>
        <w:t>129</w:t>
      </w:r>
      <w:r>
        <w:t>, 1886-1887.</w:t>
      </w:r>
    </w:p>
    <w:p w14:paraId="47C6C44C" w14:textId="3128276C" w:rsidR="00430801" w:rsidRDefault="000602A5" w:rsidP="000602A5">
      <w:pPr>
        <w:pStyle w:val="RSCR02References"/>
      </w:pPr>
      <w:r>
        <w:rPr>
          <w:lang w:val="en"/>
        </w:rPr>
        <w:t xml:space="preserve">(a) </w:t>
      </w:r>
      <w:r w:rsidRPr="000602A5">
        <w:rPr>
          <w:lang w:val="en"/>
        </w:rPr>
        <w:t xml:space="preserve">K. Tahara, H. Shimakoshi, A. Tanaka and Y. Hisaeda, </w:t>
      </w:r>
      <w:r w:rsidRPr="000602A5">
        <w:rPr>
          <w:i/>
          <w:iCs/>
          <w:lang w:val="en"/>
        </w:rPr>
        <w:t>Dalton Trans.</w:t>
      </w:r>
      <w:r w:rsidRPr="000602A5">
        <w:rPr>
          <w:lang w:val="en"/>
        </w:rPr>
        <w:t>, 2010, 3035</w:t>
      </w:r>
      <w:r w:rsidR="008047A7">
        <w:rPr>
          <w:lang w:val="en"/>
        </w:rPr>
        <w:t>-3042</w:t>
      </w:r>
      <w:r>
        <w:rPr>
          <w:lang w:val="en"/>
        </w:rPr>
        <w:t>. (b)</w:t>
      </w:r>
      <w:r w:rsidRPr="000602A5">
        <w:rPr>
          <w:lang w:val="en"/>
        </w:rPr>
        <w:t> </w:t>
      </w:r>
      <w:r w:rsidRPr="000602A5">
        <w:t>K</w:t>
      </w:r>
      <w:r w:rsidR="00720395">
        <w:t xml:space="preserve">. </w:t>
      </w:r>
      <w:r w:rsidRPr="000602A5">
        <w:t>Kirkorian,  A</w:t>
      </w:r>
      <w:r w:rsidR="00720395">
        <w:t xml:space="preserve">. </w:t>
      </w:r>
      <w:r w:rsidRPr="000602A5">
        <w:t>Ellis  and   L</w:t>
      </w:r>
      <w:r w:rsidR="00720395">
        <w:t xml:space="preserve">. </w:t>
      </w:r>
      <w:r w:rsidRPr="000602A5">
        <w:t>J. Twyman</w:t>
      </w:r>
      <w:r w:rsidR="00A51324">
        <w:t xml:space="preserve">, </w:t>
      </w:r>
      <w:r w:rsidRPr="00A51324">
        <w:rPr>
          <w:i/>
        </w:rPr>
        <w:t>Chem. Soc. Rev</w:t>
      </w:r>
      <w:r w:rsidRPr="000602A5">
        <w:t xml:space="preserve">., 2012, </w:t>
      </w:r>
      <w:r w:rsidRPr="00A51324">
        <w:rPr>
          <w:b/>
        </w:rPr>
        <w:t>41</w:t>
      </w:r>
      <w:r w:rsidRPr="000602A5">
        <w:t>, 6138-6159</w:t>
      </w:r>
      <w:r w:rsidR="00A51324">
        <w:t>.</w:t>
      </w:r>
      <w:r w:rsidR="00430801">
        <w:t xml:space="preserve"> </w:t>
      </w:r>
    </w:p>
    <w:p w14:paraId="38789262" w14:textId="4EDB9786" w:rsidR="00A43CD5" w:rsidRDefault="00A43CD5" w:rsidP="00A43CD5">
      <w:pPr>
        <w:pStyle w:val="RSCR02References"/>
      </w:pPr>
      <w:r>
        <w:t xml:space="preserve">(a) </w:t>
      </w:r>
      <w:r w:rsidR="00720395">
        <w:t xml:space="preserve">P. J. </w:t>
      </w:r>
      <w:r>
        <w:t xml:space="preserve">Gittins,  </w:t>
      </w:r>
      <w:r w:rsidR="00720395">
        <w:t xml:space="preserve">J. </w:t>
      </w:r>
      <w:r>
        <w:t>Alston,</w:t>
      </w:r>
      <w:r w:rsidR="00720395">
        <w:t xml:space="preserve"> Y.</w:t>
      </w:r>
      <w:r w:rsidR="007C45EF">
        <w:t xml:space="preserve"> Ge</w:t>
      </w:r>
      <w:r w:rsidR="00720395">
        <w:t xml:space="preserve"> and L. J. </w:t>
      </w:r>
      <w:r>
        <w:t xml:space="preserve">Twyman, </w:t>
      </w:r>
      <w:r w:rsidRPr="000B3A6C">
        <w:rPr>
          <w:i/>
        </w:rPr>
        <w:t>Macromolecules</w:t>
      </w:r>
      <w:r>
        <w:t xml:space="preserve">, 2004, </w:t>
      </w:r>
      <w:r w:rsidRPr="000B3A6C">
        <w:rPr>
          <w:b/>
        </w:rPr>
        <w:t>37</w:t>
      </w:r>
      <w:r>
        <w:t xml:space="preserve">, 7428. (b) </w:t>
      </w:r>
      <w:r w:rsidR="00720395">
        <w:t>Y. Ge and L. J. Twyman,</w:t>
      </w:r>
      <w:r>
        <w:t xml:space="preserve"> </w:t>
      </w:r>
      <w:r w:rsidRPr="00720395">
        <w:rPr>
          <w:i/>
        </w:rPr>
        <w:t>Chem. Comm</w:t>
      </w:r>
      <w:r>
        <w:t>., 2006, 1658</w:t>
      </w:r>
      <w:r w:rsidR="00720395">
        <w:t>-1660</w:t>
      </w:r>
      <w:r>
        <w:t>.</w:t>
      </w:r>
    </w:p>
    <w:p w14:paraId="2F657A97" w14:textId="5950CB17" w:rsidR="00430801" w:rsidRDefault="00A51324" w:rsidP="00A51324">
      <w:pPr>
        <w:pStyle w:val="RSCR02References"/>
      </w:pPr>
      <w:r w:rsidRPr="00A51324">
        <w:t>I</w:t>
      </w:r>
      <w:r w:rsidR="00720395">
        <w:t xml:space="preserve">. N. </w:t>
      </w:r>
      <w:r w:rsidRPr="00A51324">
        <w:t>Kurniasih,  J</w:t>
      </w:r>
      <w:r w:rsidR="00720395">
        <w:t xml:space="preserve">. </w:t>
      </w:r>
      <w:r w:rsidRPr="00A51324">
        <w:t>Keilitz  and   R</w:t>
      </w:r>
      <w:r w:rsidR="00720395">
        <w:t xml:space="preserve">. </w:t>
      </w:r>
      <w:r w:rsidRPr="00A51324">
        <w:t>Haag</w:t>
      </w:r>
      <w:r>
        <w:t xml:space="preserve">, </w:t>
      </w:r>
      <w:r w:rsidRPr="00A51324">
        <w:rPr>
          <w:i/>
          <w:iCs/>
          <w:color w:val="000000" w:themeColor="text1"/>
          <w:lang w:val="en"/>
        </w:rPr>
        <w:t>Chem. Soc. Rev.</w:t>
      </w:r>
      <w:r w:rsidRPr="00A51324">
        <w:rPr>
          <w:color w:val="000000" w:themeColor="text1"/>
          <w:lang w:val="en"/>
        </w:rPr>
        <w:t>,</w:t>
      </w:r>
      <w:r w:rsidRPr="00A51324">
        <w:rPr>
          <w:lang w:val="en"/>
        </w:rPr>
        <w:t xml:space="preserve"> 2015, </w:t>
      </w:r>
      <w:r w:rsidRPr="00A51324">
        <w:rPr>
          <w:b/>
          <w:bCs/>
          <w:lang w:val="en"/>
        </w:rPr>
        <w:t>44</w:t>
      </w:r>
      <w:r w:rsidRPr="00A51324">
        <w:rPr>
          <w:lang w:val="en"/>
        </w:rPr>
        <w:t>, 4145-4164</w:t>
      </w:r>
      <w:r>
        <w:t xml:space="preserve">. (b) </w:t>
      </w:r>
      <w:r w:rsidRPr="00A51324">
        <w:t xml:space="preserve">X. Zheng, I. R. Oviedo and L. J. Twyman, </w:t>
      </w:r>
      <w:r w:rsidRPr="00A51324">
        <w:rPr>
          <w:i/>
          <w:iCs/>
        </w:rPr>
        <w:t>Macromolecules</w:t>
      </w:r>
      <w:r w:rsidRPr="00A51324">
        <w:t xml:space="preserve"> 2008, </w:t>
      </w:r>
      <w:r w:rsidRPr="00A51324">
        <w:rPr>
          <w:b/>
          <w:bCs/>
        </w:rPr>
        <w:t>41</w:t>
      </w:r>
      <w:r w:rsidRPr="00A51324">
        <w:t>, 7776-7779</w:t>
      </w:r>
      <w:r>
        <w:t xml:space="preserve">. </w:t>
      </w:r>
    </w:p>
    <w:p w14:paraId="7B51D599" w14:textId="1A0BA702" w:rsidR="00430801" w:rsidRDefault="00720395" w:rsidP="00A51324">
      <w:pPr>
        <w:pStyle w:val="RSCR02References"/>
      </w:pPr>
      <w:r>
        <w:t xml:space="preserve">A. </w:t>
      </w:r>
      <w:r w:rsidR="00A43CD5" w:rsidRPr="00A43CD5">
        <w:t xml:space="preserve">Ellis </w:t>
      </w:r>
      <w:r>
        <w:t xml:space="preserve">and L. J. </w:t>
      </w:r>
      <w:r w:rsidR="00A43CD5" w:rsidRPr="00A43CD5">
        <w:t xml:space="preserve">Twyman, </w:t>
      </w:r>
      <w:r w:rsidR="00A43CD5" w:rsidRPr="00720395">
        <w:rPr>
          <w:i/>
        </w:rPr>
        <w:t>Macromolecules</w:t>
      </w:r>
      <w:r w:rsidR="00A43CD5" w:rsidRPr="00A43CD5">
        <w:t xml:space="preserve"> 2013, </w:t>
      </w:r>
      <w:r w:rsidR="00A43CD5" w:rsidRPr="00720395">
        <w:rPr>
          <w:b/>
        </w:rPr>
        <w:t>46(17),</w:t>
      </w:r>
      <w:r w:rsidR="00A43CD5" w:rsidRPr="00A43CD5">
        <w:t xml:space="preserve"> 7055</w:t>
      </w:r>
      <w:r>
        <w:t>-7061</w:t>
      </w:r>
      <w:r w:rsidR="00A43CD5" w:rsidRPr="00A43CD5">
        <w:t>.</w:t>
      </w:r>
      <w:r w:rsidR="00430801">
        <w:t xml:space="preserve"> </w:t>
      </w:r>
    </w:p>
    <w:p w14:paraId="52321845" w14:textId="0EEDAE2C" w:rsidR="00CE516C" w:rsidRDefault="00245F6D" w:rsidP="00CE75C5">
      <w:pPr>
        <w:pStyle w:val="RSCR02References"/>
      </w:pPr>
      <w:r>
        <w:t>(a)</w:t>
      </w:r>
      <w:r w:rsidR="00B23C3B" w:rsidRPr="00B23C3B">
        <w:t xml:space="preserve"> </w:t>
      </w:r>
      <w:r w:rsidR="00B23C3B">
        <w:t>B. Zhang, H. Yu, A. D. Schlüter, A. Halperin</w:t>
      </w:r>
      <w:r w:rsidR="007C45EF">
        <w:t xml:space="preserve"> and</w:t>
      </w:r>
      <w:r w:rsidR="00B23C3B">
        <w:t xml:space="preserve"> M. Kröger</w:t>
      </w:r>
      <w:r w:rsidR="00CE75C5">
        <w:t xml:space="preserve">, </w:t>
      </w:r>
      <w:r w:rsidR="00CE75C5" w:rsidRPr="00CE75C5">
        <w:rPr>
          <w:i/>
        </w:rPr>
        <w:t>Nature Comm</w:t>
      </w:r>
      <w:r w:rsidR="00CE75C5">
        <w:t xml:space="preserve">., 4, 2013, </w:t>
      </w:r>
      <w:r w:rsidR="00CE75C5" w:rsidRPr="00CE75C5">
        <w:t>Article number 1993</w:t>
      </w:r>
      <w:r w:rsidR="00CE75C5">
        <w:t>.</w:t>
      </w:r>
      <w:r w:rsidR="00B23C3B">
        <w:t xml:space="preserve"> </w:t>
      </w:r>
      <w:r w:rsidRPr="00245F6D">
        <w:t xml:space="preserve"> </w:t>
      </w:r>
      <w:r w:rsidR="00CE75C5">
        <w:t xml:space="preserve">(b) </w:t>
      </w:r>
      <w:r>
        <w:t>M. Wind,</w:t>
      </w:r>
      <w:r w:rsidRPr="00245F6D">
        <w:t xml:space="preserve"> K. S</w:t>
      </w:r>
      <w:r>
        <w:t xml:space="preserve">aalwächter, U.-M. Wiesler, </w:t>
      </w:r>
      <w:r w:rsidRPr="00245F6D">
        <w:t>K. Müll</w:t>
      </w:r>
      <w:r>
        <w:t>en</w:t>
      </w:r>
      <w:r w:rsidRPr="00245F6D">
        <w:t xml:space="preserve"> and H. W. Spiess</w:t>
      </w:r>
      <w:r w:rsidR="00720395">
        <w:t xml:space="preserve">, </w:t>
      </w:r>
      <w:r w:rsidR="00720395" w:rsidRPr="007C45EF">
        <w:rPr>
          <w:i/>
        </w:rPr>
        <w:t>Macromolecules</w:t>
      </w:r>
      <w:r>
        <w:t>.,</w:t>
      </w:r>
      <w:r w:rsidRPr="00245F6D">
        <w:t xml:space="preserve"> 2002, </w:t>
      </w:r>
      <w:r w:rsidRPr="00720395">
        <w:rPr>
          <w:b/>
        </w:rPr>
        <w:t>35(27),</w:t>
      </w:r>
      <w:r w:rsidRPr="00245F6D">
        <w:t xml:space="preserve"> 10071–10086</w:t>
      </w:r>
      <w:r>
        <w:t xml:space="preserve">. (c) </w:t>
      </w:r>
      <w:r w:rsidR="00E02291">
        <w:t xml:space="preserve">A. Ellis, M. Wallace and L. J. Twyman, </w:t>
      </w:r>
      <w:r w:rsidR="00CE516C" w:rsidRPr="00B23C3B">
        <w:rPr>
          <w:i/>
        </w:rPr>
        <w:t>Chem</w:t>
      </w:r>
      <w:r w:rsidR="00720395">
        <w:rPr>
          <w:i/>
        </w:rPr>
        <w:t>.</w:t>
      </w:r>
      <w:r w:rsidR="00CE516C" w:rsidRPr="00B23C3B">
        <w:rPr>
          <w:i/>
        </w:rPr>
        <w:t xml:space="preserve"> Comm</w:t>
      </w:r>
      <w:r w:rsidR="00720395">
        <w:rPr>
          <w:i/>
        </w:rPr>
        <w:t>.</w:t>
      </w:r>
      <w:r w:rsidR="00CE516C">
        <w:t xml:space="preserve">, 2013, </w:t>
      </w:r>
      <w:r w:rsidR="00CE516C" w:rsidRPr="00720395">
        <w:rPr>
          <w:b/>
        </w:rPr>
        <w:t>49(73)</w:t>
      </w:r>
      <w:r w:rsidR="00CE516C">
        <w:t>,</w:t>
      </w:r>
      <w:r w:rsidR="00720395">
        <w:t xml:space="preserve"> </w:t>
      </w:r>
      <w:r w:rsidR="00CE516C" w:rsidRPr="00CE516C">
        <w:t>8063-</w:t>
      </w:r>
      <w:r w:rsidR="00CE516C">
        <w:t>806</w:t>
      </w:r>
      <w:r w:rsidR="00CE516C" w:rsidRPr="00CE516C">
        <w:t>5</w:t>
      </w:r>
      <w:r w:rsidR="00E02291">
        <w:t xml:space="preserve">. (d) J. Burnett, A. S. H. King and L. J. Twyman, </w:t>
      </w:r>
      <w:r w:rsidR="00E02291" w:rsidRPr="00B23C3B">
        <w:rPr>
          <w:i/>
        </w:rPr>
        <w:t>React. &amp; Funct. Poly</w:t>
      </w:r>
      <w:r w:rsidR="00E02291">
        <w:t>., 2006,</w:t>
      </w:r>
      <w:r w:rsidR="00E02291" w:rsidRPr="00E02291">
        <w:t xml:space="preserve"> </w:t>
      </w:r>
      <w:r w:rsidR="00E02291" w:rsidRPr="00720395">
        <w:rPr>
          <w:b/>
        </w:rPr>
        <w:t>66(1),</w:t>
      </w:r>
      <w:r w:rsidR="00E02291">
        <w:t xml:space="preserve"> </w:t>
      </w:r>
      <w:r w:rsidR="00E02291" w:rsidRPr="00E02291">
        <w:t>187-194</w:t>
      </w:r>
    </w:p>
    <w:p w14:paraId="25CB605E" w14:textId="538A06B4" w:rsidR="001C2B65" w:rsidRDefault="000602A5" w:rsidP="00CE516C">
      <w:pPr>
        <w:pStyle w:val="RSCR02References"/>
      </w:pPr>
      <w:r w:rsidRPr="000602A5">
        <w:t>P.-G. de Gennes</w:t>
      </w:r>
      <w:r w:rsidR="007C45EF">
        <w:t xml:space="preserve"> and</w:t>
      </w:r>
      <w:r w:rsidRPr="000602A5">
        <w:t xml:space="preserve"> H. He</w:t>
      </w:r>
      <w:r>
        <w:t xml:space="preserve">rvet, </w:t>
      </w:r>
      <w:r w:rsidRPr="00720395">
        <w:rPr>
          <w:i/>
        </w:rPr>
        <w:t>J. Phys. Paris</w:t>
      </w:r>
      <w:r w:rsidR="00720395">
        <w:rPr>
          <w:i/>
        </w:rPr>
        <w:t>,</w:t>
      </w:r>
      <w:r w:rsidR="00720395">
        <w:t xml:space="preserve"> </w:t>
      </w:r>
      <w:r>
        <w:t>1983</w:t>
      </w:r>
      <w:r w:rsidR="00720395">
        <w:t>,</w:t>
      </w:r>
      <w:r>
        <w:t xml:space="preserve"> </w:t>
      </w:r>
      <w:r w:rsidR="00720395" w:rsidRPr="00720395">
        <w:rPr>
          <w:b/>
        </w:rPr>
        <w:t>44</w:t>
      </w:r>
      <w:r w:rsidR="00720395">
        <w:rPr>
          <w:b/>
        </w:rPr>
        <w:t>,</w:t>
      </w:r>
      <w:r w:rsidR="00720395" w:rsidRPr="00720395">
        <w:rPr>
          <w:b/>
        </w:rPr>
        <w:t xml:space="preserve"> </w:t>
      </w:r>
      <w:r w:rsidRPr="000602A5">
        <w:t>351.</w:t>
      </w:r>
      <w:r w:rsidR="00A43CD5">
        <w:t xml:space="preserve"> </w:t>
      </w:r>
    </w:p>
    <w:p w14:paraId="26B68108" w14:textId="71300B1E" w:rsidR="00430801" w:rsidRDefault="00720395" w:rsidP="00A43CD5">
      <w:pPr>
        <w:pStyle w:val="RSCR02References"/>
      </w:pPr>
      <w:r>
        <w:t xml:space="preserve">P. J. </w:t>
      </w:r>
      <w:r w:rsidR="00A43CD5" w:rsidRPr="00A43CD5">
        <w:t>Gittins</w:t>
      </w:r>
      <w:r>
        <w:t xml:space="preserve"> and</w:t>
      </w:r>
      <w:r w:rsidR="00A43CD5" w:rsidRPr="00A43CD5">
        <w:t xml:space="preserve"> </w:t>
      </w:r>
      <w:r>
        <w:t>L. J.</w:t>
      </w:r>
      <w:r w:rsidR="00A43CD5" w:rsidRPr="00A43CD5">
        <w:t xml:space="preserve"> Twyman, </w:t>
      </w:r>
      <w:r w:rsidR="00A43CD5" w:rsidRPr="00720395">
        <w:rPr>
          <w:i/>
        </w:rPr>
        <w:t>J. Am. Chem. Soc</w:t>
      </w:r>
      <w:r>
        <w:rPr>
          <w:i/>
        </w:rPr>
        <w:t>.,</w:t>
      </w:r>
      <w:r w:rsidR="00A43CD5" w:rsidRPr="00A43CD5">
        <w:t xml:space="preserve"> 2005, </w:t>
      </w:r>
      <w:r w:rsidR="00A43CD5" w:rsidRPr="00720395">
        <w:rPr>
          <w:b/>
        </w:rPr>
        <w:t>127</w:t>
      </w:r>
      <w:r w:rsidR="00A43CD5" w:rsidRPr="00A43CD5">
        <w:t>, 1646</w:t>
      </w:r>
      <w:r>
        <w:t>-1648</w:t>
      </w:r>
      <w:r w:rsidR="008B2D28">
        <w:t>.</w:t>
      </w:r>
    </w:p>
    <w:p w14:paraId="63949896" w14:textId="3A9A6A5F" w:rsidR="00430801" w:rsidRDefault="000B3A6C" w:rsidP="000B3A6C">
      <w:pPr>
        <w:pStyle w:val="RSCR02References"/>
      </w:pPr>
      <w:r>
        <w:t xml:space="preserve">(a) P. </w:t>
      </w:r>
      <w:r w:rsidR="00900169">
        <w:t xml:space="preserve">A. </w:t>
      </w:r>
      <w:r>
        <w:t xml:space="preserve">Gale, </w:t>
      </w:r>
      <w:r w:rsidRPr="000B3A6C">
        <w:rPr>
          <w:i/>
        </w:rPr>
        <w:t>Acc. Chem. Res</w:t>
      </w:r>
      <w:r w:rsidRPr="000B3A6C">
        <w:t xml:space="preserve">. 2006, </w:t>
      </w:r>
      <w:r w:rsidRPr="000B3A6C">
        <w:rPr>
          <w:b/>
        </w:rPr>
        <w:t>39</w:t>
      </w:r>
      <w:r w:rsidRPr="000B3A6C">
        <w:t>, 465-475</w:t>
      </w:r>
      <w:r>
        <w:t>. (b)</w:t>
      </w:r>
      <w:r w:rsidRPr="000B3A6C">
        <w:t xml:space="preserve"> </w:t>
      </w:r>
      <w:r w:rsidR="00720395">
        <w:t>P. A. Gale, J. Garric</w:t>
      </w:r>
      <w:r w:rsidR="005E14D8" w:rsidRPr="005E14D8">
        <w:t>,  M</w:t>
      </w:r>
      <w:r w:rsidR="00720395">
        <w:t xml:space="preserve">. </w:t>
      </w:r>
      <w:r w:rsidR="005E14D8" w:rsidRPr="005E14D8">
        <w:t>E. Light,  B</w:t>
      </w:r>
      <w:r w:rsidR="00720395">
        <w:t>.</w:t>
      </w:r>
      <w:bookmarkStart w:id="0" w:name="_GoBack"/>
      <w:bookmarkEnd w:id="0"/>
      <w:r w:rsidR="005E14D8" w:rsidRPr="005E14D8">
        <w:t xml:space="preserve"> A. McNally and  B</w:t>
      </w:r>
      <w:r w:rsidR="00720395">
        <w:t>.</w:t>
      </w:r>
      <w:r w:rsidR="005E14D8" w:rsidRPr="005E14D8">
        <w:t xml:space="preserve"> D. Smith</w:t>
      </w:r>
      <w:r w:rsidR="005E14D8">
        <w:t>,</w:t>
      </w:r>
      <w:r w:rsidR="005E14D8" w:rsidRPr="005E14D8">
        <w:t xml:space="preserve"> </w:t>
      </w:r>
      <w:r w:rsidR="005E14D8" w:rsidRPr="005E14D8">
        <w:rPr>
          <w:i/>
        </w:rPr>
        <w:t>Chem. Comm</w:t>
      </w:r>
      <w:r w:rsidR="005E14D8" w:rsidRPr="005E14D8">
        <w:t>., 2007, 1736-173</w:t>
      </w:r>
      <w:r w:rsidR="005E14D8">
        <w:t>8</w:t>
      </w:r>
      <w:r w:rsidR="008B2D28">
        <w:t>.</w:t>
      </w:r>
      <w:r w:rsidR="005E14D8">
        <w:t xml:space="preserve"> </w:t>
      </w:r>
      <w:r w:rsidR="00430801">
        <w:t xml:space="preserve"> </w:t>
      </w:r>
    </w:p>
    <w:p w14:paraId="05245E32" w14:textId="14B82E7B" w:rsidR="00430801" w:rsidRDefault="008B2D28" w:rsidP="00A43CD5">
      <w:pPr>
        <w:pStyle w:val="RSCR02References"/>
      </w:pPr>
      <w:r>
        <w:t xml:space="preserve">S. R. </w:t>
      </w:r>
      <w:r w:rsidR="00A43CD5" w:rsidRPr="00A43CD5">
        <w:t>Turner,</w:t>
      </w:r>
      <w:r>
        <w:t xml:space="preserve"> B. I. </w:t>
      </w:r>
      <w:r w:rsidR="00A43CD5" w:rsidRPr="00A43CD5">
        <w:t>Voit</w:t>
      </w:r>
      <w:r>
        <w:t xml:space="preserve"> and</w:t>
      </w:r>
      <w:r w:rsidR="00A43CD5" w:rsidRPr="00A43CD5">
        <w:t xml:space="preserve"> </w:t>
      </w:r>
      <w:r>
        <w:t>T. H.</w:t>
      </w:r>
      <w:r w:rsidR="00A43CD5" w:rsidRPr="00A43CD5">
        <w:t xml:space="preserve"> Mourey, </w:t>
      </w:r>
      <w:r w:rsidR="00A43CD5" w:rsidRPr="00A51324">
        <w:rPr>
          <w:i/>
        </w:rPr>
        <w:t>Macromolecules</w:t>
      </w:r>
      <w:r w:rsidR="00A43CD5" w:rsidRPr="00A43CD5">
        <w:t xml:space="preserve"> 1993, </w:t>
      </w:r>
      <w:r w:rsidR="00A43CD5" w:rsidRPr="00A51324">
        <w:rPr>
          <w:b/>
        </w:rPr>
        <w:t>26</w:t>
      </w:r>
      <w:r w:rsidR="00A43CD5" w:rsidRPr="00A43CD5">
        <w:t>, 4617</w:t>
      </w:r>
      <w:r>
        <w:t>-4622</w:t>
      </w:r>
      <w:r w:rsidR="00A43CD5" w:rsidRPr="00A43CD5">
        <w:t xml:space="preserve">. </w:t>
      </w:r>
      <w:r w:rsidR="00430801">
        <w:t xml:space="preserve"> </w:t>
      </w:r>
    </w:p>
    <w:p w14:paraId="16D1ED41" w14:textId="08137443" w:rsidR="00941FE6" w:rsidRPr="00941FE6" w:rsidRDefault="00941FE6" w:rsidP="00941FE6">
      <w:pPr>
        <w:pStyle w:val="RSCR02References"/>
        <w:rPr>
          <w:lang w:val="en"/>
        </w:rPr>
      </w:pPr>
      <w:r w:rsidRPr="007C45EF">
        <w:rPr>
          <w:lang w:val="en"/>
        </w:rPr>
        <w:t>P</w:t>
      </w:r>
      <w:r w:rsidR="008B2D28" w:rsidRPr="007C45EF">
        <w:rPr>
          <w:lang w:val="en"/>
        </w:rPr>
        <w:t>.</w:t>
      </w:r>
      <w:r w:rsidRPr="007C45EF">
        <w:rPr>
          <w:lang w:val="en"/>
        </w:rPr>
        <w:t xml:space="preserve"> Thordarson</w:t>
      </w:r>
      <w:r w:rsidR="007C45EF">
        <w:rPr>
          <w:rStyle w:val="Hyperlink"/>
          <w:color w:val="000000"/>
          <w:lang w:val="en"/>
        </w:rPr>
        <w:t>,</w:t>
      </w:r>
      <w:r>
        <w:rPr>
          <w:rStyle w:val="authorlink"/>
          <w:lang w:val="en"/>
        </w:rPr>
        <w:t> </w:t>
      </w:r>
      <w:r>
        <w:rPr>
          <w:lang w:val="en"/>
        </w:rPr>
        <w:t xml:space="preserve"> </w:t>
      </w:r>
      <w:r w:rsidRPr="008B2D28">
        <w:rPr>
          <w:rStyle w:val="Strong"/>
          <w:b w:val="0"/>
          <w:i/>
          <w:iCs/>
          <w:lang w:val="en"/>
        </w:rPr>
        <w:t>Chem. Soc. Rev</w:t>
      </w:r>
      <w:r w:rsidRPr="008B2D28">
        <w:rPr>
          <w:rStyle w:val="Strong"/>
          <w:i/>
          <w:iCs/>
          <w:lang w:val="en"/>
        </w:rPr>
        <w:t>.</w:t>
      </w:r>
      <w:r w:rsidRPr="008B2D28">
        <w:rPr>
          <w:lang w:val="en"/>
        </w:rPr>
        <w:t xml:space="preserve">, </w:t>
      </w:r>
      <w:r w:rsidRPr="00941FE6">
        <w:rPr>
          <w:lang w:val="en"/>
        </w:rPr>
        <w:t>2011,</w:t>
      </w:r>
      <w:r w:rsidRPr="00941FE6">
        <w:rPr>
          <w:rStyle w:val="Strong"/>
          <w:lang w:val="en"/>
        </w:rPr>
        <w:t>40</w:t>
      </w:r>
      <w:r w:rsidRPr="00941FE6">
        <w:rPr>
          <w:lang w:val="en"/>
        </w:rPr>
        <w:t>, 1305-1323</w:t>
      </w:r>
    </w:p>
    <w:p w14:paraId="25D646B8" w14:textId="09C81BE4" w:rsidR="00A43CD5" w:rsidRDefault="008B2D28" w:rsidP="00A43CD5">
      <w:pPr>
        <w:pStyle w:val="RSCR02References"/>
      </w:pPr>
      <w:r>
        <w:t xml:space="preserve">H. J. </w:t>
      </w:r>
      <w:r w:rsidR="00A43CD5">
        <w:t>Schneider</w:t>
      </w:r>
      <w:r>
        <w:t xml:space="preserve"> and</w:t>
      </w:r>
      <w:r w:rsidR="00A43CD5">
        <w:t xml:space="preserve"> </w:t>
      </w:r>
      <w:r>
        <w:t>A.</w:t>
      </w:r>
      <w:r w:rsidR="00A43CD5">
        <w:t xml:space="preserve"> Tatsimirsky, </w:t>
      </w:r>
      <w:r w:rsidR="00A43CD5" w:rsidRPr="002679A3">
        <w:rPr>
          <w:i/>
        </w:rPr>
        <w:t>Principles and methods in supramolecular chemistry</w:t>
      </w:r>
      <w:r w:rsidR="00792E56">
        <w:rPr>
          <w:i/>
        </w:rPr>
        <w:t>,</w:t>
      </w:r>
      <w:r w:rsidR="00A43CD5" w:rsidRPr="00B801D4">
        <w:t xml:space="preserve"> Wiley</w:t>
      </w:r>
      <w:r w:rsidR="00792E56">
        <w:t>,</w:t>
      </w:r>
      <w:r w:rsidR="00A43CD5" w:rsidRPr="00B801D4">
        <w:t xml:space="preserve"> </w:t>
      </w:r>
      <w:r w:rsidR="00A43CD5">
        <w:t xml:space="preserve">Chichester, </w:t>
      </w:r>
      <w:r w:rsidR="00A43CD5" w:rsidRPr="002679A3">
        <w:rPr>
          <w:b/>
        </w:rPr>
        <w:t>2000</w:t>
      </w:r>
      <w:r w:rsidR="00A43CD5">
        <w:t>.</w:t>
      </w:r>
    </w:p>
    <w:p w14:paraId="43CBF0C1" w14:textId="0282DA6A" w:rsidR="00430801" w:rsidRDefault="008B2D28" w:rsidP="00A43CD5">
      <w:pPr>
        <w:pStyle w:val="RSCR02References"/>
      </w:pPr>
      <w:r>
        <w:t xml:space="preserve">D. X. </w:t>
      </w:r>
      <w:r w:rsidR="00A43CD5" w:rsidRPr="00A43CD5">
        <w:t>Wang</w:t>
      </w:r>
      <w:r>
        <w:t xml:space="preserve"> and M. X. Wang, </w:t>
      </w:r>
      <w:r w:rsidR="00A43CD5" w:rsidRPr="008B2D28">
        <w:rPr>
          <w:i/>
        </w:rPr>
        <w:t>J</w:t>
      </w:r>
      <w:r w:rsidRPr="008B2D28">
        <w:rPr>
          <w:i/>
        </w:rPr>
        <w:t>.</w:t>
      </w:r>
      <w:r w:rsidR="00A43CD5" w:rsidRPr="008B2D28">
        <w:rPr>
          <w:i/>
        </w:rPr>
        <w:t xml:space="preserve"> Am</w:t>
      </w:r>
      <w:r w:rsidRPr="008B2D28">
        <w:rPr>
          <w:i/>
        </w:rPr>
        <w:t>.</w:t>
      </w:r>
      <w:r w:rsidR="00A43CD5" w:rsidRPr="008B2D28">
        <w:rPr>
          <w:i/>
        </w:rPr>
        <w:t xml:space="preserve"> Chem</w:t>
      </w:r>
      <w:r w:rsidRPr="008B2D28">
        <w:rPr>
          <w:i/>
        </w:rPr>
        <w:t>.</w:t>
      </w:r>
      <w:r w:rsidR="00A43CD5" w:rsidRPr="008B2D28">
        <w:rPr>
          <w:i/>
        </w:rPr>
        <w:t xml:space="preserve"> Soc</w:t>
      </w:r>
      <w:r w:rsidR="00A43CD5" w:rsidRPr="00A43CD5">
        <w:t>.</w:t>
      </w:r>
      <w:r>
        <w:t>,</w:t>
      </w:r>
      <w:r w:rsidR="00A43CD5" w:rsidRPr="00A43CD5">
        <w:t xml:space="preserve"> 2013 </w:t>
      </w:r>
      <w:r w:rsidR="007C45EF" w:rsidRPr="007C45EF">
        <w:rPr>
          <w:b/>
        </w:rPr>
        <w:t>135</w:t>
      </w:r>
      <w:r>
        <w:t xml:space="preserve">, </w:t>
      </w:r>
      <w:r w:rsidR="00A43CD5" w:rsidRPr="00A43CD5">
        <w:t>892-</w:t>
      </w:r>
      <w:r>
        <w:t>89</w:t>
      </w:r>
      <w:r w:rsidR="00A43CD5" w:rsidRPr="00A43CD5">
        <w:t>7</w:t>
      </w:r>
      <w:r>
        <w:t>.</w:t>
      </w:r>
    </w:p>
    <w:p w14:paraId="099D6FCA" w14:textId="6D5FED5A" w:rsidR="00430801" w:rsidRPr="00D407B6" w:rsidRDefault="00D46572" w:rsidP="001A62BC">
      <w:pPr>
        <w:pStyle w:val="RSCR02References"/>
        <w:rPr>
          <w:rStyle w:val="HTMLCite"/>
          <w:i w:val="0"/>
          <w:iCs w:val="0"/>
        </w:rPr>
      </w:pPr>
      <w:r w:rsidRPr="007C45EF">
        <w:rPr>
          <w:rStyle w:val="author"/>
          <w:iCs/>
          <w:lang w:val="en"/>
        </w:rPr>
        <w:t>F. Hofmeister</w:t>
      </w:r>
      <w:r w:rsidR="007C45EF">
        <w:rPr>
          <w:rStyle w:val="author"/>
          <w:iCs/>
          <w:lang w:val="en"/>
        </w:rPr>
        <w:t>,</w:t>
      </w:r>
      <w:r>
        <w:rPr>
          <w:rStyle w:val="HTMLCite"/>
          <w:lang w:val="en"/>
        </w:rPr>
        <w:t xml:space="preserve"> </w:t>
      </w:r>
      <w:r>
        <w:rPr>
          <w:rStyle w:val="journaltitle"/>
          <w:i/>
          <w:iCs/>
          <w:lang w:val="en"/>
        </w:rPr>
        <w:t>Arch. Exp. Pathol</w:t>
      </w:r>
      <w:r w:rsidR="007C45EF">
        <w:rPr>
          <w:rStyle w:val="journaltitle"/>
          <w:i/>
          <w:iCs/>
          <w:lang w:val="en"/>
        </w:rPr>
        <w:t>.</w:t>
      </w:r>
      <w:r>
        <w:rPr>
          <w:rStyle w:val="journaltitle"/>
          <w:i/>
          <w:iCs/>
          <w:lang w:val="en"/>
        </w:rPr>
        <w:t xml:space="preserve"> Pharmakol.</w:t>
      </w:r>
      <w:r w:rsidR="007C45EF">
        <w:rPr>
          <w:rStyle w:val="journaltitle"/>
          <w:i/>
          <w:iCs/>
          <w:lang w:val="en"/>
        </w:rPr>
        <w:t>,</w:t>
      </w:r>
      <w:r>
        <w:rPr>
          <w:rStyle w:val="HTMLCite"/>
          <w:lang w:val="en"/>
        </w:rPr>
        <w:t xml:space="preserve"> </w:t>
      </w:r>
      <w:r w:rsidRPr="007C45EF">
        <w:rPr>
          <w:rStyle w:val="pubyear"/>
          <w:iCs/>
          <w:lang w:val="en"/>
        </w:rPr>
        <w:t>1888</w:t>
      </w:r>
      <w:r>
        <w:rPr>
          <w:rStyle w:val="HTMLCite"/>
          <w:lang w:val="en"/>
        </w:rPr>
        <w:t xml:space="preserve">, </w:t>
      </w:r>
      <w:r w:rsidRPr="007C45EF">
        <w:rPr>
          <w:rStyle w:val="vol"/>
          <w:b/>
          <w:iCs/>
          <w:lang w:val="en"/>
        </w:rPr>
        <w:t>24</w:t>
      </w:r>
      <w:r>
        <w:rPr>
          <w:rStyle w:val="HTMLCite"/>
          <w:lang w:val="en"/>
        </w:rPr>
        <w:t xml:space="preserve">, </w:t>
      </w:r>
      <w:r>
        <w:rPr>
          <w:rStyle w:val="pagefirst"/>
          <w:i/>
          <w:iCs/>
          <w:lang w:val="en"/>
        </w:rPr>
        <w:t>247</w:t>
      </w:r>
      <w:r>
        <w:rPr>
          <w:rStyle w:val="HTMLCite"/>
          <w:lang w:val="en"/>
        </w:rPr>
        <w:t>.</w:t>
      </w:r>
    </w:p>
    <w:p w14:paraId="213F0255" w14:textId="27D27C29" w:rsidR="00D407B6" w:rsidRDefault="00D407B6" w:rsidP="001A62BC">
      <w:pPr>
        <w:pStyle w:val="RSCR02References"/>
      </w:pPr>
      <w:r w:rsidRPr="00D407B6">
        <w:rPr>
          <w:lang w:val="en"/>
        </w:rPr>
        <w:t>Q</w:t>
      </w:r>
      <w:r>
        <w:rPr>
          <w:lang w:val="en"/>
        </w:rPr>
        <w:t>.</w:t>
      </w:r>
      <w:r w:rsidRPr="00D407B6">
        <w:rPr>
          <w:lang w:val="en"/>
        </w:rPr>
        <w:t xml:space="preserve"> Tan, L</w:t>
      </w:r>
      <w:r>
        <w:rPr>
          <w:lang w:val="en"/>
        </w:rPr>
        <w:t>.</w:t>
      </w:r>
      <w:r w:rsidRPr="00D407B6">
        <w:rPr>
          <w:lang w:val="en"/>
        </w:rPr>
        <w:t xml:space="preserve"> Wang</w:t>
      </w:r>
      <w:r>
        <w:rPr>
          <w:lang w:val="en"/>
        </w:rPr>
        <w:t>,</w:t>
      </w:r>
      <w:r w:rsidRPr="00D407B6">
        <w:rPr>
          <w:lang w:val="en"/>
        </w:rPr>
        <w:t xml:space="preserve"> Ma, H</w:t>
      </w:r>
      <w:r>
        <w:rPr>
          <w:lang w:val="en"/>
        </w:rPr>
        <w:t>.</w:t>
      </w:r>
      <w:r w:rsidRPr="00D407B6">
        <w:rPr>
          <w:lang w:val="en"/>
        </w:rPr>
        <w:t xml:space="preserve"> Yu, Q</w:t>
      </w:r>
      <w:r>
        <w:rPr>
          <w:lang w:val="en"/>
        </w:rPr>
        <w:t>.</w:t>
      </w:r>
      <w:r w:rsidRPr="00D407B6">
        <w:rPr>
          <w:lang w:val="en"/>
        </w:rPr>
        <w:t xml:space="preserve"> Liu and A</w:t>
      </w:r>
      <w:r>
        <w:rPr>
          <w:lang w:val="en"/>
        </w:rPr>
        <w:t>.</w:t>
      </w:r>
      <w:r w:rsidRPr="00D407B6">
        <w:rPr>
          <w:lang w:val="en"/>
        </w:rPr>
        <w:t xml:space="preserve"> Xiao</w:t>
      </w:r>
      <w:r>
        <w:rPr>
          <w:lang w:val="en"/>
        </w:rPr>
        <w:t xml:space="preserve">, </w:t>
      </w:r>
      <w:r w:rsidRPr="00D407B6">
        <w:rPr>
          <w:i/>
          <w:lang w:val="en-US"/>
        </w:rPr>
        <w:t>Macromolecules</w:t>
      </w:r>
      <w:r w:rsidRPr="00D407B6">
        <w:rPr>
          <w:lang w:val="en-US"/>
        </w:rPr>
        <w:t xml:space="preserve">, 2009, </w:t>
      </w:r>
      <w:r w:rsidRPr="00D407B6">
        <w:rPr>
          <w:b/>
          <w:lang w:val="en-US"/>
        </w:rPr>
        <w:t>42(13),</w:t>
      </w:r>
      <w:r w:rsidRPr="00D407B6">
        <w:rPr>
          <w:lang w:val="en-US"/>
        </w:rPr>
        <w:t xml:space="preserve"> 4500</w:t>
      </w:r>
      <w:r>
        <w:rPr>
          <w:lang w:val="en-US"/>
        </w:rPr>
        <w:t>-4510.</w:t>
      </w:r>
    </w:p>
    <w:sectPr w:rsidR="00D407B6"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284BE" w14:textId="77777777" w:rsidR="008C55CA" w:rsidRDefault="008C55CA" w:rsidP="00E547DB">
      <w:pPr>
        <w:spacing w:after="0" w:line="240" w:lineRule="auto"/>
      </w:pPr>
      <w:r>
        <w:separator/>
      </w:r>
    </w:p>
    <w:p w14:paraId="089B35EF" w14:textId="77777777" w:rsidR="008C55CA" w:rsidRDefault="008C55CA"/>
    <w:p w14:paraId="4570BB2F" w14:textId="77777777" w:rsidR="008C55CA" w:rsidRDefault="008C55CA"/>
    <w:p w14:paraId="10C9DE1B" w14:textId="77777777" w:rsidR="008C55CA" w:rsidRDefault="008C55CA"/>
    <w:p w14:paraId="2B5A7818" w14:textId="77777777" w:rsidR="008C55CA" w:rsidRDefault="008C55CA"/>
    <w:p w14:paraId="48BDF2BB" w14:textId="77777777" w:rsidR="008C55CA" w:rsidRDefault="008C55CA"/>
  </w:endnote>
  <w:endnote w:type="continuationSeparator" w:id="0">
    <w:p w14:paraId="710FE0EB" w14:textId="77777777" w:rsidR="008C55CA" w:rsidRDefault="008C55CA" w:rsidP="00E547DB">
      <w:pPr>
        <w:spacing w:after="0" w:line="240" w:lineRule="auto"/>
      </w:pPr>
      <w:r>
        <w:continuationSeparator/>
      </w:r>
    </w:p>
    <w:p w14:paraId="093487EB" w14:textId="77777777" w:rsidR="008C55CA" w:rsidRDefault="008C55CA"/>
    <w:p w14:paraId="3F4EEF41" w14:textId="77777777" w:rsidR="008C55CA" w:rsidRDefault="008C55CA"/>
    <w:p w14:paraId="523D62E2" w14:textId="77777777" w:rsidR="008C55CA" w:rsidRDefault="008C55CA"/>
    <w:p w14:paraId="180762E1" w14:textId="77777777" w:rsidR="008C55CA" w:rsidRDefault="008C55CA"/>
    <w:p w14:paraId="6E68FEFE" w14:textId="77777777" w:rsidR="008C55CA" w:rsidRDefault="008C5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9070749-B799-4836-AC2E-FDDC5FE4560D}"/>
    <w:embedBold r:id="rId2" w:fontKey="{8EF82CD0-8CBC-4323-8C76-127E41FAD9C6}"/>
    <w:embedItalic r:id="rId3" w:fontKey="{06059B1B-2362-42E9-B9FA-00AE0330D258}"/>
    <w:embedBoldItalic r:id="rId4" w:fontKey="{D810EE7A-D6A6-475C-BC37-DA2884470060}"/>
  </w:font>
  <w:font w:name="Tahoma">
    <w:panose1 w:val="020B0604030504040204"/>
    <w:charset w:val="00"/>
    <w:family w:val="swiss"/>
    <w:pitch w:val="variable"/>
    <w:sig w:usb0="E1002EFF" w:usb1="C000605B" w:usb2="00000029" w:usb3="00000000" w:csb0="000101FF" w:csb1="00000000"/>
    <w:embedRegular r:id="rId5" w:fontKey="{1BAE7AF9-FC43-4B6C-BA7B-E902C345F519}"/>
  </w:font>
  <w:font w:name="Times">
    <w:altName w:val="Times New Roman"/>
    <w:panose1 w:val="02020603050405020304"/>
    <w:charset w:val="00"/>
    <w:family w:val="roman"/>
    <w:pitch w:val="variable"/>
    <w:sig w:usb0="E0002EFF" w:usb1="C0007843" w:usb2="00000009" w:usb3="00000000" w:csb0="000001FF" w:csb1="00000000"/>
    <w:embedRegular r:id="rId6" w:fontKey="{78D68A24-75A2-45D2-9E38-295DAA7D0ACA}"/>
  </w:font>
  <w:font w:name="Cambria">
    <w:panose1 w:val="02040503050406030204"/>
    <w:charset w:val="00"/>
    <w:family w:val="roman"/>
    <w:pitch w:val="variable"/>
    <w:sig w:usb0="E00002FF" w:usb1="400004FF" w:usb2="00000000" w:usb3="00000000" w:csb0="0000019F" w:csb1="00000000"/>
    <w:embedRegular r:id="rId7" w:fontKey="{4BFF05F8-3069-43E8-A16D-0CD6D881F1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E9C67" w14:textId="77777777"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00169">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7B265"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00169">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D456"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573C40C5" wp14:editId="3D8DB00A">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FD7C1A3"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3C40C5"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FD7C1A3"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900169">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C5225" w14:textId="77777777" w:rsidR="008C55CA" w:rsidRDefault="008C55CA" w:rsidP="00E547DB">
      <w:pPr>
        <w:spacing w:after="0" w:line="240" w:lineRule="auto"/>
      </w:pPr>
      <w:r>
        <w:separator/>
      </w:r>
    </w:p>
    <w:p w14:paraId="51384D40" w14:textId="77777777" w:rsidR="008C55CA" w:rsidRDefault="008C55CA"/>
    <w:p w14:paraId="77F87B2B" w14:textId="77777777" w:rsidR="008C55CA" w:rsidRDefault="008C55CA"/>
    <w:p w14:paraId="129A288B" w14:textId="77777777" w:rsidR="008C55CA" w:rsidRDefault="008C55CA"/>
    <w:p w14:paraId="3F122327" w14:textId="77777777" w:rsidR="008C55CA" w:rsidRDefault="008C55CA"/>
    <w:p w14:paraId="35DB7406" w14:textId="77777777" w:rsidR="008C55CA" w:rsidRDefault="008C55CA"/>
  </w:footnote>
  <w:footnote w:type="continuationSeparator" w:id="0">
    <w:p w14:paraId="508D475F" w14:textId="77777777" w:rsidR="008C55CA" w:rsidRDefault="008C55CA" w:rsidP="00E547DB">
      <w:pPr>
        <w:spacing w:after="0" w:line="240" w:lineRule="auto"/>
      </w:pPr>
      <w:r>
        <w:continuationSeparator/>
      </w:r>
    </w:p>
    <w:p w14:paraId="56F7E672" w14:textId="77777777" w:rsidR="008C55CA" w:rsidRDefault="008C55CA"/>
    <w:p w14:paraId="7F508292" w14:textId="77777777" w:rsidR="008C55CA" w:rsidRDefault="008C55CA"/>
    <w:p w14:paraId="4EAE0F1A" w14:textId="77777777" w:rsidR="008C55CA" w:rsidRDefault="008C55CA"/>
    <w:p w14:paraId="0686403A" w14:textId="77777777" w:rsidR="008C55CA" w:rsidRDefault="008C55CA"/>
    <w:p w14:paraId="675A9422" w14:textId="77777777" w:rsidR="008C55CA" w:rsidRDefault="008C55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E065F"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5F3A4256" wp14:editId="590FC7F0">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B508EF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3A425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B508EF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4D763534" wp14:editId="4AE3DEC3">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0ED0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63534"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0ED0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1988E"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2E5B4A3" wp14:editId="614F83D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372CC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2E5B4A3"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1372CC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282AD65" wp14:editId="2A42DC0D">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5FE134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82AD65"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65FE134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4D837" w14:textId="77777777"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6200A8D3" wp14:editId="4E59992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59F7AB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00A8D3"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59F7AB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5E54E8E5" wp14:editId="7A778BD4">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1F476B1B"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D855AB"/>
    <w:multiLevelType w:val="hybridMultilevel"/>
    <w:tmpl w:val="5B369DC2"/>
    <w:lvl w:ilvl="0" w:tplc="AFB41F46">
      <w:start w:val="1"/>
      <w:numFmt w:val="decimal"/>
      <w:lvlText w:val="%1."/>
      <w:lvlJc w:val="left"/>
      <w:pPr>
        <w:ind w:left="720" w:hanging="360"/>
      </w:pPr>
    </w:lvl>
    <w:lvl w:ilvl="1" w:tplc="6060CC6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7AF"/>
    <w:rsid w:val="00005B8A"/>
    <w:rsid w:val="000207B6"/>
    <w:rsid w:val="00022D8A"/>
    <w:rsid w:val="000263B8"/>
    <w:rsid w:val="0003421B"/>
    <w:rsid w:val="00035289"/>
    <w:rsid w:val="00057816"/>
    <w:rsid w:val="000602A5"/>
    <w:rsid w:val="000622D1"/>
    <w:rsid w:val="00071E41"/>
    <w:rsid w:val="00073639"/>
    <w:rsid w:val="00082E45"/>
    <w:rsid w:val="00086CF5"/>
    <w:rsid w:val="000A1752"/>
    <w:rsid w:val="000A1DCB"/>
    <w:rsid w:val="000A2670"/>
    <w:rsid w:val="000A5CDC"/>
    <w:rsid w:val="000B3A6C"/>
    <w:rsid w:val="000B6DE9"/>
    <w:rsid w:val="000C0A9D"/>
    <w:rsid w:val="000D2FAC"/>
    <w:rsid w:val="000D35DC"/>
    <w:rsid w:val="000D5891"/>
    <w:rsid w:val="000D6963"/>
    <w:rsid w:val="000E7A32"/>
    <w:rsid w:val="000F0959"/>
    <w:rsid w:val="000F3A41"/>
    <w:rsid w:val="001146D0"/>
    <w:rsid w:val="00120227"/>
    <w:rsid w:val="001205A9"/>
    <w:rsid w:val="00121B1C"/>
    <w:rsid w:val="00126027"/>
    <w:rsid w:val="001319E5"/>
    <w:rsid w:val="001508E9"/>
    <w:rsid w:val="001633D9"/>
    <w:rsid w:val="00180ABE"/>
    <w:rsid w:val="001923AB"/>
    <w:rsid w:val="001A62BC"/>
    <w:rsid w:val="001C1EB8"/>
    <w:rsid w:val="001C2B65"/>
    <w:rsid w:val="001E7118"/>
    <w:rsid w:val="001F2E9C"/>
    <w:rsid w:val="001F3103"/>
    <w:rsid w:val="00205AFC"/>
    <w:rsid w:val="00206A82"/>
    <w:rsid w:val="0023013E"/>
    <w:rsid w:val="0023203C"/>
    <w:rsid w:val="00237C8A"/>
    <w:rsid w:val="00241ACD"/>
    <w:rsid w:val="00243D3C"/>
    <w:rsid w:val="002453FF"/>
    <w:rsid w:val="00245F6D"/>
    <w:rsid w:val="00253551"/>
    <w:rsid w:val="0025490A"/>
    <w:rsid w:val="00267E3D"/>
    <w:rsid w:val="00270DD5"/>
    <w:rsid w:val="00271235"/>
    <w:rsid w:val="00272D6F"/>
    <w:rsid w:val="00280BF7"/>
    <w:rsid w:val="002A5421"/>
    <w:rsid w:val="002A6307"/>
    <w:rsid w:val="002A66AA"/>
    <w:rsid w:val="002B5BE0"/>
    <w:rsid w:val="002C0803"/>
    <w:rsid w:val="002C34BF"/>
    <w:rsid w:val="002C3D7C"/>
    <w:rsid w:val="002D23B8"/>
    <w:rsid w:val="002D481A"/>
    <w:rsid w:val="002D5469"/>
    <w:rsid w:val="002E4A57"/>
    <w:rsid w:val="002E5B1D"/>
    <w:rsid w:val="002F2BD0"/>
    <w:rsid w:val="002F52C3"/>
    <w:rsid w:val="00304682"/>
    <w:rsid w:val="00307499"/>
    <w:rsid w:val="003124A7"/>
    <w:rsid w:val="00327239"/>
    <w:rsid w:val="0033211B"/>
    <w:rsid w:val="00342C47"/>
    <w:rsid w:val="00352A30"/>
    <w:rsid w:val="00352AA4"/>
    <w:rsid w:val="00354579"/>
    <w:rsid w:val="00356F00"/>
    <w:rsid w:val="00370D17"/>
    <w:rsid w:val="00376B8D"/>
    <w:rsid w:val="00377481"/>
    <w:rsid w:val="00386F3A"/>
    <w:rsid w:val="00396E4E"/>
    <w:rsid w:val="003979E0"/>
    <w:rsid w:val="003A7373"/>
    <w:rsid w:val="003A7E95"/>
    <w:rsid w:val="003B739C"/>
    <w:rsid w:val="003C6313"/>
    <w:rsid w:val="003C7B00"/>
    <w:rsid w:val="003D4ECA"/>
    <w:rsid w:val="003E55B2"/>
    <w:rsid w:val="003E5F85"/>
    <w:rsid w:val="003E6399"/>
    <w:rsid w:val="003F04DE"/>
    <w:rsid w:val="00430801"/>
    <w:rsid w:val="0043180D"/>
    <w:rsid w:val="004414A5"/>
    <w:rsid w:val="0044700B"/>
    <w:rsid w:val="0045572B"/>
    <w:rsid w:val="00456785"/>
    <w:rsid w:val="0046631E"/>
    <w:rsid w:val="00467C80"/>
    <w:rsid w:val="00474052"/>
    <w:rsid w:val="00475B3B"/>
    <w:rsid w:val="0048225A"/>
    <w:rsid w:val="00485FDB"/>
    <w:rsid w:val="004877C8"/>
    <w:rsid w:val="004901D3"/>
    <w:rsid w:val="004B2751"/>
    <w:rsid w:val="004B5EA4"/>
    <w:rsid w:val="004C531E"/>
    <w:rsid w:val="004C6C90"/>
    <w:rsid w:val="004D3C84"/>
    <w:rsid w:val="005037CD"/>
    <w:rsid w:val="00504795"/>
    <w:rsid w:val="00514CBA"/>
    <w:rsid w:val="005166E0"/>
    <w:rsid w:val="0052630A"/>
    <w:rsid w:val="0053177A"/>
    <w:rsid w:val="00533EA1"/>
    <w:rsid w:val="00571A5F"/>
    <w:rsid w:val="005771C3"/>
    <w:rsid w:val="00577B54"/>
    <w:rsid w:val="00590F6D"/>
    <w:rsid w:val="00590FAA"/>
    <w:rsid w:val="005A5ED7"/>
    <w:rsid w:val="005C1A41"/>
    <w:rsid w:val="005C4565"/>
    <w:rsid w:val="005D1DA9"/>
    <w:rsid w:val="005D6142"/>
    <w:rsid w:val="005E05CD"/>
    <w:rsid w:val="005E14D8"/>
    <w:rsid w:val="00613ED7"/>
    <w:rsid w:val="00614621"/>
    <w:rsid w:val="00627C5E"/>
    <w:rsid w:val="00633AFF"/>
    <w:rsid w:val="00637CCE"/>
    <w:rsid w:val="00641030"/>
    <w:rsid w:val="00645D52"/>
    <w:rsid w:val="0065133B"/>
    <w:rsid w:val="00652EC1"/>
    <w:rsid w:val="006602F1"/>
    <w:rsid w:val="00661C01"/>
    <w:rsid w:val="00670ED4"/>
    <w:rsid w:val="00672928"/>
    <w:rsid w:val="0068310A"/>
    <w:rsid w:val="006A69C8"/>
    <w:rsid w:val="006D6163"/>
    <w:rsid w:val="006E58B1"/>
    <w:rsid w:val="006F01C4"/>
    <w:rsid w:val="006F487B"/>
    <w:rsid w:val="006F740B"/>
    <w:rsid w:val="00720395"/>
    <w:rsid w:val="00721EFE"/>
    <w:rsid w:val="00744A41"/>
    <w:rsid w:val="00746AA0"/>
    <w:rsid w:val="00780A41"/>
    <w:rsid w:val="00792E56"/>
    <w:rsid w:val="00793AB8"/>
    <w:rsid w:val="00794787"/>
    <w:rsid w:val="007A37D8"/>
    <w:rsid w:val="007C3D03"/>
    <w:rsid w:val="007C45EF"/>
    <w:rsid w:val="007D0BE6"/>
    <w:rsid w:val="007D1EFA"/>
    <w:rsid w:val="007D5FE4"/>
    <w:rsid w:val="007D61F4"/>
    <w:rsid w:val="007E702B"/>
    <w:rsid w:val="008047A7"/>
    <w:rsid w:val="00806B97"/>
    <w:rsid w:val="00816246"/>
    <w:rsid w:val="008560DE"/>
    <w:rsid w:val="0088525A"/>
    <w:rsid w:val="00885A3F"/>
    <w:rsid w:val="00895260"/>
    <w:rsid w:val="008A060C"/>
    <w:rsid w:val="008A0D60"/>
    <w:rsid w:val="008B2D28"/>
    <w:rsid w:val="008C1387"/>
    <w:rsid w:val="008C55CA"/>
    <w:rsid w:val="008C682F"/>
    <w:rsid w:val="008D3CE0"/>
    <w:rsid w:val="008E509B"/>
    <w:rsid w:val="008E730F"/>
    <w:rsid w:val="008F022B"/>
    <w:rsid w:val="008F2185"/>
    <w:rsid w:val="008F4811"/>
    <w:rsid w:val="008F525A"/>
    <w:rsid w:val="00900169"/>
    <w:rsid w:val="009026D4"/>
    <w:rsid w:val="0090696C"/>
    <w:rsid w:val="00917C61"/>
    <w:rsid w:val="00921DB6"/>
    <w:rsid w:val="0092763E"/>
    <w:rsid w:val="009316A6"/>
    <w:rsid w:val="00936114"/>
    <w:rsid w:val="009400E9"/>
    <w:rsid w:val="00941FE6"/>
    <w:rsid w:val="00946830"/>
    <w:rsid w:val="00946FBA"/>
    <w:rsid w:val="0095790D"/>
    <w:rsid w:val="00962779"/>
    <w:rsid w:val="009654EC"/>
    <w:rsid w:val="00973DBA"/>
    <w:rsid w:val="009913E4"/>
    <w:rsid w:val="009918D9"/>
    <w:rsid w:val="009A392D"/>
    <w:rsid w:val="009B301E"/>
    <w:rsid w:val="009C3F0B"/>
    <w:rsid w:val="009C6918"/>
    <w:rsid w:val="009D17C3"/>
    <w:rsid w:val="009D47C2"/>
    <w:rsid w:val="009D5D49"/>
    <w:rsid w:val="009E51F8"/>
    <w:rsid w:val="009E5E65"/>
    <w:rsid w:val="009F2649"/>
    <w:rsid w:val="00A02F5E"/>
    <w:rsid w:val="00A03A19"/>
    <w:rsid w:val="00A074D7"/>
    <w:rsid w:val="00A128DD"/>
    <w:rsid w:val="00A16A99"/>
    <w:rsid w:val="00A17D23"/>
    <w:rsid w:val="00A208E1"/>
    <w:rsid w:val="00A42090"/>
    <w:rsid w:val="00A4302C"/>
    <w:rsid w:val="00A43CD5"/>
    <w:rsid w:val="00A51324"/>
    <w:rsid w:val="00A521AB"/>
    <w:rsid w:val="00A56CD0"/>
    <w:rsid w:val="00A61D3E"/>
    <w:rsid w:val="00A7643E"/>
    <w:rsid w:val="00A85A8D"/>
    <w:rsid w:val="00A863E8"/>
    <w:rsid w:val="00A9649E"/>
    <w:rsid w:val="00AA1341"/>
    <w:rsid w:val="00AB16D0"/>
    <w:rsid w:val="00AB1CA9"/>
    <w:rsid w:val="00AB2C1B"/>
    <w:rsid w:val="00AC3BF2"/>
    <w:rsid w:val="00AC5B3E"/>
    <w:rsid w:val="00AC605C"/>
    <w:rsid w:val="00AD27AD"/>
    <w:rsid w:val="00AD5483"/>
    <w:rsid w:val="00AF0249"/>
    <w:rsid w:val="00AF150F"/>
    <w:rsid w:val="00AF4737"/>
    <w:rsid w:val="00B0470A"/>
    <w:rsid w:val="00B174BD"/>
    <w:rsid w:val="00B2364D"/>
    <w:rsid w:val="00B23C3B"/>
    <w:rsid w:val="00B50E35"/>
    <w:rsid w:val="00B53582"/>
    <w:rsid w:val="00B6239D"/>
    <w:rsid w:val="00B67630"/>
    <w:rsid w:val="00B722DE"/>
    <w:rsid w:val="00B757AF"/>
    <w:rsid w:val="00B80DDB"/>
    <w:rsid w:val="00B81EE1"/>
    <w:rsid w:val="00B94598"/>
    <w:rsid w:val="00BA761E"/>
    <w:rsid w:val="00BB3FBE"/>
    <w:rsid w:val="00BB6026"/>
    <w:rsid w:val="00BC603D"/>
    <w:rsid w:val="00BD1C4D"/>
    <w:rsid w:val="00BD5840"/>
    <w:rsid w:val="00BE148E"/>
    <w:rsid w:val="00C00AC4"/>
    <w:rsid w:val="00C27B83"/>
    <w:rsid w:val="00C3016F"/>
    <w:rsid w:val="00C31922"/>
    <w:rsid w:val="00C32EDF"/>
    <w:rsid w:val="00C405FD"/>
    <w:rsid w:val="00C42573"/>
    <w:rsid w:val="00C5024A"/>
    <w:rsid w:val="00C55790"/>
    <w:rsid w:val="00C57107"/>
    <w:rsid w:val="00C62C2D"/>
    <w:rsid w:val="00C63B66"/>
    <w:rsid w:val="00C753EE"/>
    <w:rsid w:val="00C9227C"/>
    <w:rsid w:val="00C940C9"/>
    <w:rsid w:val="00CA2740"/>
    <w:rsid w:val="00CA4A31"/>
    <w:rsid w:val="00CB312A"/>
    <w:rsid w:val="00CC12E6"/>
    <w:rsid w:val="00CC1AC4"/>
    <w:rsid w:val="00CC2E25"/>
    <w:rsid w:val="00CC7C64"/>
    <w:rsid w:val="00CD0B47"/>
    <w:rsid w:val="00CE516C"/>
    <w:rsid w:val="00CE75C5"/>
    <w:rsid w:val="00CE7B79"/>
    <w:rsid w:val="00D010E8"/>
    <w:rsid w:val="00D02C04"/>
    <w:rsid w:val="00D138E8"/>
    <w:rsid w:val="00D208BA"/>
    <w:rsid w:val="00D21668"/>
    <w:rsid w:val="00D216BC"/>
    <w:rsid w:val="00D407B6"/>
    <w:rsid w:val="00D42F8F"/>
    <w:rsid w:val="00D45ADF"/>
    <w:rsid w:val="00D46572"/>
    <w:rsid w:val="00D46B33"/>
    <w:rsid w:val="00D56F9D"/>
    <w:rsid w:val="00D70420"/>
    <w:rsid w:val="00D77FE2"/>
    <w:rsid w:val="00D80C68"/>
    <w:rsid w:val="00D8100A"/>
    <w:rsid w:val="00D905A5"/>
    <w:rsid w:val="00DA07F1"/>
    <w:rsid w:val="00DA4B35"/>
    <w:rsid w:val="00DA64CC"/>
    <w:rsid w:val="00DD06F4"/>
    <w:rsid w:val="00DD500F"/>
    <w:rsid w:val="00DF53E4"/>
    <w:rsid w:val="00E02291"/>
    <w:rsid w:val="00E06FA4"/>
    <w:rsid w:val="00E13A35"/>
    <w:rsid w:val="00E2136E"/>
    <w:rsid w:val="00E23377"/>
    <w:rsid w:val="00E2450B"/>
    <w:rsid w:val="00E25AF8"/>
    <w:rsid w:val="00E31A6A"/>
    <w:rsid w:val="00E36C29"/>
    <w:rsid w:val="00E42373"/>
    <w:rsid w:val="00E46BDF"/>
    <w:rsid w:val="00E47396"/>
    <w:rsid w:val="00E5338B"/>
    <w:rsid w:val="00E547DB"/>
    <w:rsid w:val="00E555BF"/>
    <w:rsid w:val="00E61949"/>
    <w:rsid w:val="00E70DCE"/>
    <w:rsid w:val="00E73702"/>
    <w:rsid w:val="00E93DE0"/>
    <w:rsid w:val="00E94FD1"/>
    <w:rsid w:val="00EA446A"/>
    <w:rsid w:val="00EA5031"/>
    <w:rsid w:val="00EA516C"/>
    <w:rsid w:val="00EA7DC1"/>
    <w:rsid w:val="00EB48EB"/>
    <w:rsid w:val="00EB5BA2"/>
    <w:rsid w:val="00EB5C28"/>
    <w:rsid w:val="00EC7366"/>
    <w:rsid w:val="00ED299A"/>
    <w:rsid w:val="00EE6F17"/>
    <w:rsid w:val="00EF0D19"/>
    <w:rsid w:val="00EF1577"/>
    <w:rsid w:val="00EF6BD4"/>
    <w:rsid w:val="00F02296"/>
    <w:rsid w:val="00F15F90"/>
    <w:rsid w:val="00F21465"/>
    <w:rsid w:val="00F2286D"/>
    <w:rsid w:val="00F31187"/>
    <w:rsid w:val="00F33B90"/>
    <w:rsid w:val="00F50298"/>
    <w:rsid w:val="00F6065C"/>
    <w:rsid w:val="00F61EB1"/>
    <w:rsid w:val="00F62C8B"/>
    <w:rsid w:val="00F802D4"/>
    <w:rsid w:val="00F84DC0"/>
    <w:rsid w:val="00F87B4B"/>
    <w:rsid w:val="00F91982"/>
    <w:rsid w:val="00FA311A"/>
    <w:rsid w:val="00FB51AA"/>
    <w:rsid w:val="00FC1AAD"/>
    <w:rsid w:val="00FC2B67"/>
    <w:rsid w:val="00FC2EE1"/>
    <w:rsid w:val="00FE0FE8"/>
    <w:rsid w:val="00FE12AB"/>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C6D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customStyle="1" w:styleId="authorlink">
    <w:name w:val="author_link"/>
    <w:basedOn w:val="DefaultParagraphFont"/>
    <w:rsid w:val="00941FE6"/>
  </w:style>
  <w:style w:type="character" w:styleId="Strong">
    <w:name w:val="Strong"/>
    <w:basedOn w:val="DefaultParagraphFont"/>
    <w:uiPriority w:val="22"/>
    <w:qFormat/>
    <w:rsid w:val="00941FE6"/>
    <w:rPr>
      <w:b/>
      <w:bCs/>
    </w:rPr>
  </w:style>
  <w:style w:type="character" w:styleId="HTMLCite">
    <w:name w:val="HTML Cite"/>
    <w:basedOn w:val="DefaultParagraphFont"/>
    <w:uiPriority w:val="99"/>
    <w:semiHidden/>
    <w:unhideWhenUsed/>
    <w:rsid w:val="00D46572"/>
    <w:rPr>
      <w:i/>
      <w:iCs/>
    </w:rPr>
  </w:style>
  <w:style w:type="character" w:customStyle="1" w:styleId="author">
    <w:name w:val="author"/>
    <w:basedOn w:val="DefaultParagraphFont"/>
    <w:rsid w:val="00D46572"/>
  </w:style>
  <w:style w:type="character" w:customStyle="1" w:styleId="journaltitle">
    <w:name w:val="journaltitle"/>
    <w:basedOn w:val="DefaultParagraphFont"/>
    <w:rsid w:val="00D46572"/>
  </w:style>
  <w:style w:type="character" w:customStyle="1" w:styleId="pubyear">
    <w:name w:val="pubyear"/>
    <w:basedOn w:val="DefaultParagraphFont"/>
    <w:rsid w:val="00D46572"/>
  </w:style>
  <w:style w:type="character" w:customStyle="1" w:styleId="vol">
    <w:name w:val="vol"/>
    <w:basedOn w:val="DefaultParagraphFont"/>
    <w:rsid w:val="00D46572"/>
  </w:style>
  <w:style w:type="character" w:customStyle="1" w:styleId="pagefirst">
    <w:name w:val="pagefirst"/>
    <w:basedOn w:val="DefaultParagraphFont"/>
    <w:rsid w:val="00D46572"/>
  </w:style>
  <w:style w:type="paragraph" w:customStyle="1" w:styleId="TFReferencesSection">
    <w:name w:val="TF_References_Section"/>
    <w:basedOn w:val="Normal"/>
    <w:rsid w:val="00A43CD5"/>
    <w:pPr>
      <w:spacing w:line="480" w:lineRule="auto"/>
      <w:ind w:firstLine="187"/>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86201">
      <w:bodyDiv w:val="1"/>
      <w:marLeft w:val="0"/>
      <w:marRight w:val="0"/>
      <w:marTop w:val="0"/>
      <w:marBottom w:val="0"/>
      <w:divBdr>
        <w:top w:val="none" w:sz="0" w:space="0" w:color="auto"/>
        <w:left w:val="none" w:sz="0" w:space="0" w:color="auto"/>
        <w:bottom w:val="none" w:sz="0" w:space="0" w:color="auto"/>
        <w:right w:val="none" w:sz="0" w:space="0" w:color="auto"/>
      </w:divBdr>
      <w:divsChild>
        <w:div w:id="694499339">
          <w:marLeft w:val="0"/>
          <w:marRight w:val="0"/>
          <w:marTop w:val="0"/>
          <w:marBottom w:val="0"/>
          <w:divBdr>
            <w:top w:val="none" w:sz="0" w:space="0" w:color="auto"/>
            <w:left w:val="none" w:sz="0" w:space="0" w:color="auto"/>
            <w:bottom w:val="none" w:sz="0" w:space="0" w:color="auto"/>
            <w:right w:val="none" w:sz="0" w:space="0" w:color="auto"/>
          </w:divBdr>
          <w:divsChild>
            <w:div w:id="1593902221">
              <w:marLeft w:val="0"/>
              <w:marRight w:val="0"/>
              <w:marTop w:val="450"/>
              <w:marBottom w:val="450"/>
              <w:divBdr>
                <w:top w:val="none" w:sz="0" w:space="0" w:color="auto"/>
                <w:left w:val="none" w:sz="0" w:space="0" w:color="auto"/>
                <w:bottom w:val="none" w:sz="0" w:space="0" w:color="auto"/>
                <w:right w:val="none" w:sz="0" w:space="0" w:color="auto"/>
              </w:divBdr>
              <w:divsChild>
                <w:div w:id="761217168">
                  <w:marLeft w:val="0"/>
                  <w:marRight w:val="0"/>
                  <w:marTop w:val="0"/>
                  <w:marBottom w:val="0"/>
                  <w:divBdr>
                    <w:top w:val="none" w:sz="0" w:space="0" w:color="auto"/>
                    <w:left w:val="none" w:sz="0" w:space="0" w:color="auto"/>
                    <w:bottom w:val="none" w:sz="0" w:space="0" w:color="auto"/>
                    <w:right w:val="none" w:sz="0" w:space="0" w:color="auto"/>
                  </w:divBdr>
                  <w:divsChild>
                    <w:div w:id="21153951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6556812">
      <w:bodyDiv w:val="1"/>
      <w:marLeft w:val="0"/>
      <w:marRight w:val="0"/>
      <w:marTop w:val="0"/>
      <w:marBottom w:val="0"/>
      <w:divBdr>
        <w:top w:val="none" w:sz="0" w:space="0" w:color="auto"/>
        <w:left w:val="none" w:sz="0" w:space="0" w:color="auto"/>
        <w:bottom w:val="none" w:sz="0" w:space="0" w:color="auto"/>
        <w:right w:val="none" w:sz="0" w:space="0" w:color="auto"/>
      </w:divBdr>
      <w:divsChild>
        <w:div w:id="1757941344">
          <w:marLeft w:val="0"/>
          <w:marRight w:val="0"/>
          <w:marTop w:val="0"/>
          <w:marBottom w:val="0"/>
          <w:divBdr>
            <w:top w:val="none" w:sz="0" w:space="0" w:color="auto"/>
            <w:left w:val="none" w:sz="0" w:space="0" w:color="auto"/>
            <w:bottom w:val="none" w:sz="0" w:space="0" w:color="auto"/>
            <w:right w:val="none" w:sz="0" w:space="0" w:color="auto"/>
          </w:divBdr>
          <w:divsChild>
            <w:div w:id="462311843">
              <w:marLeft w:val="0"/>
              <w:marRight w:val="0"/>
              <w:marTop w:val="0"/>
              <w:marBottom w:val="0"/>
              <w:divBdr>
                <w:top w:val="none" w:sz="0" w:space="0" w:color="auto"/>
                <w:left w:val="none" w:sz="0" w:space="0" w:color="auto"/>
                <w:bottom w:val="none" w:sz="0" w:space="0" w:color="auto"/>
                <w:right w:val="none" w:sz="0" w:space="0" w:color="auto"/>
              </w:divBdr>
              <w:divsChild>
                <w:div w:id="1659534629">
                  <w:marLeft w:val="0"/>
                  <w:marRight w:val="0"/>
                  <w:marTop w:val="182"/>
                  <w:marBottom w:val="182"/>
                  <w:divBdr>
                    <w:top w:val="none" w:sz="0" w:space="0" w:color="auto"/>
                    <w:left w:val="none" w:sz="0" w:space="0" w:color="auto"/>
                    <w:bottom w:val="none" w:sz="0" w:space="0" w:color="auto"/>
                    <w:right w:val="none" w:sz="0" w:space="0" w:color="auto"/>
                  </w:divBdr>
                  <w:divsChild>
                    <w:div w:id="1880782539">
                      <w:marLeft w:val="0"/>
                      <w:marRight w:val="0"/>
                      <w:marTop w:val="0"/>
                      <w:marBottom w:val="0"/>
                      <w:divBdr>
                        <w:top w:val="none" w:sz="0" w:space="0" w:color="auto"/>
                        <w:left w:val="none" w:sz="0" w:space="0" w:color="auto"/>
                        <w:bottom w:val="none" w:sz="0" w:space="0" w:color="auto"/>
                        <w:right w:val="none" w:sz="0" w:space="0" w:color="auto"/>
                      </w:divBdr>
                      <w:divsChild>
                        <w:div w:id="259148584">
                          <w:marLeft w:val="0"/>
                          <w:marRight w:val="0"/>
                          <w:marTop w:val="0"/>
                          <w:marBottom w:val="0"/>
                          <w:divBdr>
                            <w:top w:val="none" w:sz="0" w:space="0" w:color="auto"/>
                            <w:left w:val="none" w:sz="0" w:space="0" w:color="auto"/>
                            <w:bottom w:val="none" w:sz="0" w:space="0" w:color="auto"/>
                            <w:right w:val="none" w:sz="0" w:space="0" w:color="auto"/>
                          </w:divBdr>
                        </w:div>
                        <w:div w:id="1262955959">
                          <w:marLeft w:val="0"/>
                          <w:marRight w:val="0"/>
                          <w:marTop w:val="0"/>
                          <w:marBottom w:val="0"/>
                          <w:divBdr>
                            <w:top w:val="none" w:sz="0" w:space="0" w:color="auto"/>
                            <w:left w:val="none" w:sz="0" w:space="0" w:color="auto"/>
                            <w:bottom w:val="none" w:sz="0" w:space="0" w:color="auto"/>
                            <w:right w:val="none" w:sz="0" w:space="0" w:color="auto"/>
                          </w:divBdr>
                        </w:div>
                        <w:div w:id="1747678256">
                          <w:marLeft w:val="0"/>
                          <w:marRight w:val="0"/>
                          <w:marTop w:val="0"/>
                          <w:marBottom w:val="0"/>
                          <w:divBdr>
                            <w:top w:val="none" w:sz="0" w:space="0" w:color="auto"/>
                            <w:left w:val="none" w:sz="0" w:space="0" w:color="auto"/>
                            <w:bottom w:val="none" w:sz="0" w:space="0" w:color="auto"/>
                            <w:right w:val="none" w:sz="0" w:space="0" w:color="auto"/>
                          </w:divBdr>
                        </w:div>
                        <w:div w:id="141389548">
                          <w:marLeft w:val="0"/>
                          <w:marRight w:val="0"/>
                          <w:marTop w:val="0"/>
                          <w:marBottom w:val="0"/>
                          <w:divBdr>
                            <w:top w:val="none" w:sz="0" w:space="0" w:color="auto"/>
                            <w:left w:val="none" w:sz="0" w:space="0" w:color="auto"/>
                            <w:bottom w:val="none" w:sz="0" w:space="0" w:color="auto"/>
                            <w:right w:val="none" w:sz="0" w:space="0" w:color="auto"/>
                          </w:divBdr>
                        </w:div>
                        <w:div w:id="1994872115">
                          <w:marLeft w:val="0"/>
                          <w:marRight w:val="0"/>
                          <w:marTop w:val="0"/>
                          <w:marBottom w:val="0"/>
                          <w:divBdr>
                            <w:top w:val="none" w:sz="0" w:space="0" w:color="auto"/>
                            <w:left w:val="none" w:sz="0" w:space="0" w:color="auto"/>
                            <w:bottom w:val="none" w:sz="0" w:space="0" w:color="auto"/>
                            <w:right w:val="none" w:sz="0" w:space="0" w:color="auto"/>
                          </w:divBdr>
                        </w:div>
                        <w:div w:id="430974640">
                          <w:marLeft w:val="0"/>
                          <w:marRight w:val="0"/>
                          <w:marTop w:val="0"/>
                          <w:marBottom w:val="0"/>
                          <w:divBdr>
                            <w:top w:val="none" w:sz="0" w:space="0" w:color="auto"/>
                            <w:left w:val="none" w:sz="0" w:space="0" w:color="auto"/>
                            <w:bottom w:val="none" w:sz="0" w:space="0" w:color="auto"/>
                            <w:right w:val="none" w:sz="0" w:space="0" w:color="auto"/>
                          </w:divBdr>
                        </w:div>
                        <w:div w:id="1383673696">
                          <w:marLeft w:val="0"/>
                          <w:marRight w:val="0"/>
                          <w:marTop w:val="0"/>
                          <w:marBottom w:val="0"/>
                          <w:divBdr>
                            <w:top w:val="none" w:sz="0" w:space="0" w:color="auto"/>
                            <w:left w:val="none" w:sz="0" w:space="0" w:color="auto"/>
                            <w:bottom w:val="none" w:sz="0" w:space="0" w:color="auto"/>
                            <w:right w:val="none" w:sz="0" w:space="0" w:color="auto"/>
                          </w:divBdr>
                        </w:div>
                        <w:div w:id="174617412">
                          <w:marLeft w:val="0"/>
                          <w:marRight w:val="0"/>
                          <w:marTop w:val="0"/>
                          <w:marBottom w:val="0"/>
                          <w:divBdr>
                            <w:top w:val="none" w:sz="0" w:space="0" w:color="auto"/>
                            <w:left w:val="none" w:sz="0" w:space="0" w:color="auto"/>
                            <w:bottom w:val="none" w:sz="0" w:space="0" w:color="auto"/>
                            <w:right w:val="none" w:sz="0" w:space="0" w:color="auto"/>
                          </w:divBdr>
                        </w:div>
                        <w:div w:id="533277588">
                          <w:marLeft w:val="0"/>
                          <w:marRight w:val="0"/>
                          <w:marTop w:val="0"/>
                          <w:marBottom w:val="0"/>
                          <w:divBdr>
                            <w:top w:val="none" w:sz="0" w:space="0" w:color="auto"/>
                            <w:left w:val="none" w:sz="0" w:space="0" w:color="auto"/>
                            <w:bottom w:val="none" w:sz="0" w:space="0" w:color="auto"/>
                            <w:right w:val="none" w:sz="0" w:space="0" w:color="auto"/>
                          </w:divBdr>
                        </w:div>
                        <w:div w:id="1645424968">
                          <w:marLeft w:val="0"/>
                          <w:marRight w:val="0"/>
                          <w:marTop w:val="0"/>
                          <w:marBottom w:val="0"/>
                          <w:divBdr>
                            <w:top w:val="none" w:sz="0" w:space="0" w:color="auto"/>
                            <w:left w:val="none" w:sz="0" w:space="0" w:color="auto"/>
                            <w:bottom w:val="none" w:sz="0" w:space="0" w:color="auto"/>
                            <w:right w:val="none" w:sz="0" w:space="0" w:color="auto"/>
                          </w:divBdr>
                        </w:div>
                        <w:div w:id="592323637">
                          <w:marLeft w:val="0"/>
                          <w:marRight w:val="0"/>
                          <w:marTop w:val="0"/>
                          <w:marBottom w:val="0"/>
                          <w:divBdr>
                            <w:top w:val="none" w:sz="0" w:space="0" w:color="auto"/>
                            <w:left w:val="none" w:sz="0" w:space="0" w:color="auto"/>
                            <w:bottom w:val="none" w:sz="0" w:space="0" w:color="auto"/>
                            <w:right w:val="none" w:sz="0" w:space="0" w:color="auto"/>
                          </w:divBdr>
                        </w:div>
                        <w:div w:id="470170654">
                          <w:marLeft w:val="0"/>
                          <w:marRight w:val="0"/>
                          <w:marTop w:val="0"/>
                          <w:marBottom w:val="0"/>
                          <w:divBdr>
                            <w:top w:val="none" w:sz="0" w:space="0" w:color="auto"/>
                            <w:left w:val="none" w:sz="0" w:space="0" w:color="auto"/>
                            <w:bottom w:val="none" w:sz="0" w:space="0" w:color="auto"/>
                            <w:right w:val="none" w:sz="0" w:space="0" w:color="auto"/>
                          </w:divBdr>
                        </w:div>
                        <w:div w:id="1394423075">
                          <w:marLeft w:val="0"/>
                          <w:marRight w:val="0"/>
                          <w:marTop w:val="0"/>
                          <w:marBottom w:val="0"/>
                          <w:divBdr>
                            <w:top w:val="none" w:sz="0" w:space="0" w:color="auto"/>
                            <w:left w:val="none" w:sz="0" w:space="0" w:color="auto"/>
                            <w:bottom w:val="none" w:sz="0" w:space="0" w:color="auto"/>
                            <w:right w:val="none" w:sz="0" w:space="0" w:color="auto"/>
                          </w:divBdr>
                        </w:div>
                        <w:div w:id="315653114">
                          <w:marLeft w:val="0"/>
                          <w:marRight w:val="0"/>
                          <w:marTop w:val="0"/>
                          <w:marBottom w:val="0"/>
                          <w:divBdr>
                            <w:top w:val="none" w:sz="0" w:space="0" w:color="auto"/>
                            <w:left w:val="none" w:sz="0" w:space="0" w:color="auto"/>
                            <w:bottom w:val="none" w:sz="0" w:space="0" w:color="auto"/>
                            <w:right w:val="none" w:sz="0" w:space="0" w:color="auto"/>
                          </w:divBdr>
                        </w:div>
                        <w:div w:id="1193490977">
                          <w:marLeft w:val="0"/>
                          <w:marRight w:val="0"/>
                          <w:marTop w:val="0"/>
                          <w:marBottom w:val="0"/>
                          <w:divBdr>
                            <w:top w:val="none" w:sz="0" w:space="0" w:color="auto"/>
                            <w:left w:val="none" w:sz="0" w:space="0" w:color="auto"/>
                            <w:bottom w:val="none" w:sz="0" w:space="0" w:color="auto"/>
                            <w:right w:val="none" w:sz="0" w:space="0" w:color="auto"/>
                          </w:divBdr>
                        </w:div>
                        <w:div w:id="701439633">
                          <w:marLeft w:val="0"/>
                          <w:marRight w:val="0"/>
                          <w:marTop w:val="0"/>
                          <w:marBottom w:val="0"/>
                          <w:divBdr>
                            <w:top w:val="none" w:sz="0" w:space="0" w:color="auto"/>
                            <w:left w:val="none" w:sz="0" w:space="0" w:color="auto"/>
                            <w:bottom w:val="none" w:sz="0" w:space="0" w:color="auto"/>
                            <w:right w:val="none" w:sz="0" w:space="0" w:color="auto"/>
                          </w:divBdr>
                        </w:div>
                        <w:div w:id="699401805">
                          <w:marLeft w:val="0"/>
                          <w:marRight w:val="0"/>
                          <w:marTop w:val="0"/>
                          <w:marBottom w:val="0"/>
                          <w:divBdr>
                            <w:top w:val="none" w:sz="0" w:space="0" w:color="auto"/>
                            <w:left w:val="none" w:sz="0" w:space="0" w:color="auto"/>
                            <w:bottom w:val="none" w:sz="0" w:space="0" w:color="auto"/>
                            <w:right w:val="none" w:sz="0" w:space="0" w:color="auto"/>
                          </w:divBdr>
                        </w:div>
                        <w:div w:id="1335298550">
                          <w:marLeft w:val="0"/>
                          <w:marRight w:val="0"/>
                          <w:marTop w:val="0"/>
                          <w:marBottom w:val="0"/>
                          <w:divBdr>
                            <w:top w:val="none" w:sz="0" w:space="0" w:color="auto"/>
                            <w:left w:val="none" w:sz="0" w:space="0" w:color="auto"/>
                            <w:bottom w:val="none" w:sz="0" w:space="0" w:color="auto"/>
                            <w:right w:val="none" w:sz="0" w:space="0" w:color="auto"/>
                          </w:divBdr>
                        </w:div>
                        <w:div w:id="818350826">
                          <w:marLeft w:val="0"/>
                          <w:marRight w:val="0"/>
                          <w:marTop w:val="0"/>
                          <w:marBottom w:val="0"/>
                          <w:divBdr>
                            <w:top w:val="none" w:sz="0" w:space="0" w:color="auto"/>
                            <w:left w:val="none" w:sz="0" w:space="0" w:color="auto"/>
                            <w:bottom w:val="none" w:sz="0" w:space="0" w:color="auto"/>
                            <w:right w:val="none" w:sz="0" w:space="0" w:color="auto"/>
                          </w:divBdr>
                        </w:div>
                        <w:div w:id="1154175129">
                          <w:marLeft w:val="0"/>
                          <w:marRight w:val="0"/>
                          <w:marTop w:val="0"/>
                          <w:marBottom w:val="0"/>
                          <w:divBdr>
                            <w:top w:val="none" w:sz="0" w:space="0" w:color="auto"/>
                            <w:left w:val="none" w:sz="0" w:space="0" w:color="auto"/>
                            <w:bottom w:val="none" w:sz="0" w:space="0" w:color="auto"/>
                            <w:right w:val="none" w:sz="0" w:space="0" w:color="auto"/>
                          </w:divBdr>
                        </w:div>
                        <w:div w:id="617837922">
                          <w:marLeft w:val="0"/>
                          <w:marRight w:val="0"/>
                          <w:marTop w:val="0"/>
                          <w:marBottom w:val="0"/>
                          <w:divBdr>
                            <w:top w:val="none" w:sz="0" w:space="0" w:color="auto"/>
                            <w:left w:val="none" w:sz="0" w:space="0" w:color="auto"/>
                            <w:bottom w:val="none" w:sz="0" w:space="0" w:color="auto"/>
                            <w:right w:val="none" w:sz="0" w:space="0" w:color="auto"/>
                          </w:divBdr>
                        </w:div>
                        <w:div w:id="15081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95264072">
      <w:bodyDiv w:val="1"/>
      <w:marLeft w:val="0"/>
      <w:marRight w:val="0"/>
      <w:marTop w:val="0"/>
      <w:marBottom w:val="0"/>
      <w:divBdr>
        <w:top w:val="none" w:sz="0" w:space="0" w:color="auto"/>
        <w:left w:val="none" w:sz="0" w:space="0" w:color="auto"/>
        <w:bottom w:val="none" w:sz="0" w:space="0" w:color="auto"/>
        <w:right w:val="none" w:sz="0" w:space="0" w:color="auto"/>
      </w:divBdr>
      <w:divsChild>
        <w:div w:id="1250507545">
          <w:marLeft w:val="0"/>
          <w:marRight w:val="0"/>
          <w:marTop w:val="0"/>
          <w:marBottom w:val="0"/>
          <w:divBdr>
            <w:top w:val="none" w:sz="0" w:space="0" w:color="auto"/>
            <w:left w:val="none" w:sz="0" w:space="0" w:color="auto"/>
            <w:bottom w:val="none" w:sz="0" w:space="0" w:color="auto"/>
            <w:right w:val="none" w:sz="0" w:space="0" w:color="auto"/>
          </w:divBdr>
          <w:divsChild>
            <w:div w:id="443237162">
              <w:marLeft w:val="0"/>
              <w:marRight w:val="0"/>
              <w:marTop w:val="0"/>
              <w:marBottom w:val="0"/>
              <w:divBdr>
                <w:top w:val="none" w:sz="0" w:space="0" w:color="auto"/>
                <w:left w:val="none" w:sz="0" w:space="0" w:color="auto"/>
                <w:bottom w:val="none" w:sz="0" w:space="0" w:color="auto"/>
                <w:right w:val="none" w:sz="0" w:space="0" w:color="auto"/>
              </w:divBdr>
              <w:divsChild>
                <w:div w:id="2020161560">
                  <w:marLeft w:val="0"/>
                  <w:marRight w:val="0"/>
                  <w:marTop w:val="0"/>
                  <w:marBottom w:val="0"/>
                  <w:divBdr>
                    <w:top w:val="none" w:sz="0" w:space="0" w:color="auto"/>
                    <w:left w:val="none" w:sz="0" w:space="0" w:color="auto"/>
                    <w:bottom w:val="none" w:sz="0" w:space="0" w:color="auto"/>
                    <w:right w:val="none" w:sz="0" w:space="0" w:color="auto"/>
                  </w:divBdr>
                  <w:divsChild>
                    <w:div w:id="1624263595">
                      <w:marLeft w:val="0"/>
                      <w:marRight w:val="0"/>
                      <w:marTop w:val="0"/>
                      <w:marBottom w:val="0"/>
                      <w:divBdr>
                        <w:top w:val="none" w:sz="0" w:space="0" w:color="auto"/>
                        <w:left w:val="none" w:sz="0" w:space="0" w:color="auto"/>
                        <w:bottom w:val="none" w:sz="0" w:space="0" w:color="auto"/>
                        <w:right w:val="none" w:sz="0" w:space="0" w:color="auto"/>
                      </w:divBdr>
                      <w:divsChild>
                        <w:div w:id="611939579">
                          <w:marLeft w:val="0"/>
                          <w:marRight w:val="0"/>
                          <w:marTop w:val="0"/>
                          <w:marBottom w:val="0"/>
                          <w:divBdr>
                            <w:top w:val="none" w:sz="0" w:space="0" w:color="auto"/>
                            <w:left w:val="none" w:sz="0" w:space="0" w:color="auto"/>
                            <w:bottom w:val="none" w:sz="0" w:space="0" w:color="auto"/>
                            <w:right w:val="none" w:sz="0" w:space="0" w:color="auto"/>
                          </w:divBdr>
                          <w:divsChild>
                            <w:div w:id="2054187803">
                              <w:marLeft w:val="0"/>
                              <w:marRight w:val="0"/>
                              <w:marTop w:val="0"/>
                              <w:marBottom w:val="0"/>
                              <w:divBdr>
                                <w:top w:val="none" w:sz="0" w:space="0" w:color="auto"/>
                                <w:left w:val="none" w:sz="0" w:space="0" w:color="auto"/>
                                <w:bottom w:val="none" w:sz="0" w:space="0" w:color="auto"/>
                                <w:right w:val="none" w:sz="0" w:space="0" w:color="auto"/>
                              </w:divBdr>
                              <w:divsChild>
                                <w:div w:id="1537428388">
                                  <w:marLeft w:val="0"/>
                                  <w:marRight w:val="0"/>
                                  <w:marTop w:val="0"/>
                                  <w:marBottom w:val="0"/>
                                  <w:divBdr>
                                    <w:top w:val="none" w:sz="0" w:space="0" w:color="auto"/>
                                    <w:left w:val="none" w:sz="0" w:space="0" w:color="auto"/>
                                    <w:bottom w:val="none" w:sz="0" w:space="0" w:color="auto"/>
                                    <w:right w:val="none" w:sz="0" w:space="0" w:color="auto"/>
                                  </w:divBdr>
                                  <w:divsChild>
                                    <w:div w:id="906913294">
                                      <w:marLeft w:val="0"/>
                                      <w:marRight w:val="0"/>
                                      <w:marTop w:val="0"/>
                                      <w:marBottom w:val="0"/>
                                      <w:divBdr>
                                        <w:top w:val="none" w:sz="0" w:space="0" w:color="auto"/>
                                        <w:left w:val="none" w:sz="0" w:space="0" w:color="auto"/>
                                        <w:bottom w:val="none" w:sz="0" w:space="0" w:color="auto"/>
                                        <w:right w:val="none" w:sz="0" w:space="0" w:color="auto"/>
                                      </w:divBdr>
                                      <w:divsChild>
                                        <w:div w:id="2067099217">
                                          <w:marLeft w:val="0"/>
                                          <w:marRight w:val="0"/>
                                          <w:marTop w:val="0"/>
                                          <w:marBottom w:val="0"/>
                                          <w:divBdr>
                                            <w:top w:val="none" w:sz="0" w:space="0" w:color="auto"/>
                                            <w:left w:val="none" w:sz="0" w:space="0" w:color="auto"/>
                                            <w:bottom w:val="none" w:sz="0" w:space="0" w:color="auto"/>
                                            <w:right w:val="none" w:sz="0" w:space="0" w:color="auto"/>
                                          </w:divBdr>
                                          <w:divsChild>
                                            <w:div w:id="2058318022">
                                              <w:marLeft w:val="0"/>
                                              <w:marRight w:val="0"/>
                                              <w:marTop w:val="0"/>
                                              <w:marBottom w:val="0"/>
                                              <w:divBdr>
                                                <w:top w:val="none" w:sz="0" w:space="0" w:color="auto"/>
                                                <w:left w:val="none" w:sz="0" w:space="0" w:color="auto"/>
                                                <w:bottom w:val="none" w:sz="0" w:space="0" w:color="auto"/>
                                                <w:right w:val="none" w:sz="0" w:space="0" w:color="auto"/>
                                              </w:divBdr>
                                              <w:divsChild>
                                                <w:div w:id="1597595334">
                                                  <w:marLeft w:val="0"/>
                                                  <w:marRight w:val="0"/>
                                                  <w:marTop w:val="0"/>
                                                  <w:marBottom w:val="0"/>
                                                  <w:divBdr>
                                                    <w:top w:val="none" w:sz="0" w:space="0" w:color="auto"/>
                                                    <w:left w:val="none" w:sz="0" w:space="0" w:color="auto"/>
                                                    <w:bottom w:val="none" w:sz="0" w:space="0" w:color="auto"/>
                                                    <w:right w:val="none" w:sz="0" w:space="0" w:color="auto"/>
                                                  </w:divBdr>
                                                  <w:divsChild>
                                                    <w:div w:id="991181547">
                                                      <w:marLeft w:val="0"/>
                                                      <w:marRight w:val="0"/>
                                                      <w:marTop w:val="0"/>
                                                      <w:marBottom w:val="0"/>
                                                      <w:divBdr>
                                                        <w:top w:val="none" w:sz="0" w:space="0" w:color="auto"/>
                                                        <w:left w:val="none" w:sz="0" w:space="0" w:color="auto"/>
                                                        <w:bottom w:val="none" w:sz="0" w:space="0" w:color="auto"/>
                                                        <w:right w:val="none" w:sz="0" w:space="0" w:color="auto"/>
                                                      </w:divBdr>
                                                      <w:divsChild>
                                                        <w:div w:id="1788815026">
                                                          <w:marLeft w:val="0"/>
                                                          <w:marRight w:val="0"/>
                                                          <w:marTop w:val="0"/>
                                                          <w:marBottom w:val="0"/>
                                                          <w:divBdr>
                                                            <w:top w:val="none" w:sz="0" w:space="0" w:color="auto"/>
                                                            <w:left w:val="none" w:sz="0" w:space="0" w:color="auto"/>
                                                            <w:bottom w:val="none" w:sz="0" w:space="0" w:color="auto"/>
                                                            <w:right w:val="none" w:sz="0" w:space="0" w:color="auto"/>
                                                          </w:divBdr>
                                                        </w:div>
                                                        <w:div w:id="82187420">
                                                          <w:marLeft w:val="0"/>
                                                          <w:marRight w:val="0"/>
                                                          <w:marTop w:val="0"/>
                                                          <w:marBottom w:val="0"/>
                                                          <w:divBdr>
                                                            <w:top w:val="none" w:sz="0" w:space="0" w:color="auto"/>
                                                            <w:left w:val="none" w:sz="0" w:space="0" w:color="auto"/>
                                                            <w:bottom w:val="none" w:sz="0" w:space="0" w:color="auto"/>
                                                            <w:right w:val="none" w:sz="0" w:space="0" w:color="auto"/>
                                                          </w:divBdr>
                                                        </w:div>
                                                        <w:div w:id="1391882450">
                                                          <w:marLeft w:val="0"/>
                                                          <w:marRight w:val="0"/>
                                                          <w:marTop w:val="0"/>
                                                          <w:marBottom w:val="0"/>
                                                          <w:divBdr>
                                                            <w:top w:val="none" w:sz="0" w:space="0" w:color="auto"/>
                                                            <w:left w:val="none" w:sz="0" w:space="0" w:color="auto"/>
                                                            <w:bottom w:val="none" w:sz="0" w:space="0" w:color="auto"/>
                                                            <w:right w:val="none" w:sz="0" w:space="0" w:color="auto"/>
                                                          </w:divBdr>
                                                          <w:divsChild>
                                                            <w:div w:id="999968046">
                                                              <w:marLeft w:val="0"/>
                                                              <w:marRight w:val="0"/>
                                                              <w:marTop w:val="0"/>
                                                              <w:marBottom w:val="0"/>
                                                              <w:divBdr>
                                                                <w:top w:val="none" w:sz="0" w:space="0" w:color="auto"/>
                                                                <w:left w:val="none" w:sz="0" w:space="0" w:color="auto"/>
                                                                <w:bottom w:val="none" w:sz="0" w:space="0" w:color="auto"/>
                                                                <w:right w:val="none" w:sz="0" w:space="0" w:color="auto"/>
                                                              </w:divBdr>
                                                            </w:div>
                                                            <w:div w:id="1204714008">
                                                              <w:marLeft w:val="0"/>
                                                              <w:marRight w:val="0"/>
                                                              <w:marTop w:val="0"/>
                                                              <w:marBottom w:val="0"/>
                                                              <w:divBdr>
                                                                <w:top w:val="none" w:sz="0" w:space="0" w:color="auto"/>
                                                                <w:left w:val="none" w:sz="0" w:space="0" w:color="auto"/>
                                                                <w:bottom w:val="none" w:sz="0" w:space="0" w:color="auto"/>
                                                                <w:right w:val="none" w:sz="0" w:space="0" w:color="auto"/>
                                                              </w:divBdr>
                                                              <w:divsChild>
                                                                <w:div w:id="1810442377">
                                                                  <w:marLeft w:val="0"/>
                                                                  <w:marRight w:val="0"/>
                                                                  <w:marTop w:val="0"/>
                                                                  <w:marBottom w:val="0"/>
                                                                  <w:divBdr>
                                                                    <w:top w:val="none" w:sz="0" w:space="0" w:color="auto"/>
                                                                    <w:left w:val="none" w:sz="0" w:space="0" w:color="auto"/>
                                                                    <w:bottom w:val="none" w:sz="0" w:space="0" w:color="auto"/>
                                                                    <w:right w:val="none" w:sz="0" w:space="0" w:color="auto"/>
                                                                  </w:divBdr>
                                                                </w:div>
                                                                <w:div w:id="773283695">
                                                                  <w:marLeft w:val="0"/>
                                                                  <w:marRight w:val="0"/>
                                                                  <w:marTop w:val="0"/>
                                                                  <w:marBottom w:val="0"/>
                                                                  <w:divBdr>
                                                                    <w:top w:val="none" w:sz="0" w:space="0" w:color="auto"/>
                                                                    <w:left w:val="none" w:sz="0" w:space="0" w:color="auto"/>
                                                                    <w:bottom w:val="none" w:sz="0" w:space="0" w:color="auto"/>
                                                                    <w:right w:val="none" w:sz="0" w:space="0" w:color="auto"/>
                                                                  </w:divBdr>
                                                                </w:div>
                                                              </w:divsChild>
                                                            </w:div>
                                                            <w:div w:id="948777266">
                                                              <w:marLeft w:val="0"/>
                                                              <w:marRight w:val="0"/>
                                                              <w:marTop w:val="0"/>
                                                              <w:marBottom w:val="0"/>
                                                              <w:divBdr>
                                                                <w:top w:val="none" w:sz="0" w:space="0" w:color="auto"/>
                                                                <w:left w:val="none" w:sz="0" w:space="0" w:color="auto"/>
                                                                <w:bottom w:val="none" w:sz="0" w:space="0" w:color="auto"/>
                                                                <w:right w:val="none" w:sz="0" w:space="0" w:color="auto"/>
                                                              </w:divBdr>
                                                              <w:divsChild>
                                                                <w:div w:id="499584599">
                                                                  <w:marLeft w:val="0"/>
                                                                  <w:marRight w:val="0"/>
                                                                  <w:marTop w:val="0"/>
                                                                  <w:marBottom w:val="0"/>
                                                                  <w:divBdr>
                                                                    <w:top w:val="none" w:sz="0" w:space="0" w:color="auto"/>
                                                                    <w:left w:val="none" w:sz="0" w:space="0" w:color="auto"/>
                                                                    <w:bottom w:val="none" w:sz="0" w:space="0" w:color="auto"/>
                                                                    <w:right w:val="none" w:sz="0" w:space="0" w:color="auto"/>
                                                                  </w:divBdr>
                                                                </w:div>
                                                                <w:div w:id="7049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19612485">
      <w:bodyDiv w:val="1"/>
      <w:marLeft w:val="0"/>
      <w:marRight w:val="0"/>
      <w:marTop w:val="0"/>
      <w:marBottom w:val="0"/>
      <w:divBdr>
        <w:top w:val="none" w:sz="0" w:space="0" w:color="auto"/>
        <w:left w:val="none" w:sz="0" w:space="0" w:color="auto"/>
        <w:bottom w:val="none" w:sz="0" w:space="0" w:color="auto"/>
        <w:right w:val="none" w:sz="0" w:space="0" w:color="auto"/>
      </w:divBdr>
      <w:divsChild>
        <w:div w:id="670720820">
          <w:marLeft w:val="0"/>
          <w:marRight w:val="0"/>
          <w:marTop w:val="0"/>
          <w:marBottom w:val="0"/>
          <w:divBdr>
            <w:top w:val="none" w:sz="0" w:space="0" w:color="auto"/>
            <w:left w:val="none" w:sz="0" w:space="0" w:color="auto"/>
            <w:bottom w:val="none" w:sz="0" w:space="0" w:color="auto"/>
            <w:right w:val="none" w:sz="0" w:space="0" w:color="auto"/>
          </w:divBdr>
          <w:divsChild>
            <w:div w:id="451635635">
              <w:marLeft w:val="0"/>
              <w:marRight w:val="0"/>
              <w:marTop w:val="0"/>
              <w:marBottom w:val="0"/>
              <w:divBdr>
                <w:top w:val="none" w:sz="0" w:space="0" w:color="auto"/>
                <w:left w:val="none" w:sz="0" w:space="0" w:color="auto"/>
                <w:bottom w:val="none" w:sz="0" w:space="0" w:color="auto"/>
                <w:right w:val="none" w:sz="0" w:space="0" w:color="auto"/>
              </w:divBdr>
              <w:divsChild>
                <w:div w:id="1810201859">
                  <w:marLeft w:val="0"/>
                  <w:marRight w:val="0"/>
                  <w:marTop w:val="182"/>
                  <w:marBottom w:val="182"/>
                  <w:divBdr>
                    <w:top w:val="none" w:sz="0" w:space="0" w:color="auto"/>
                    <w:left w:val="none" w:sz="0" w:space="0" w:color="auto"/>
                    <w:bottom w:val="none" w:sz="0" w:space="0" w:color="auto"/>
                    <w:right w:val="none" w:sz="0" w:space="0" w:color="auto"/>
                  </w:divBdr>
                  <w:divsChild>
                    <w:div w:id="1942447034">
                      <w:marLeft w:val="0"/>
                      <w:marRight w:val="0"/>
                      <w:marTop w:val="0"/>
                      <w:marBottom w:val="0"/>
                      <w:divBdr>
                        <w:top w:val="none" w:sz="0" w:space="0" w:color="auto"/>
                        <w:left w:val="none" w:sz="0" w:space="0" w:color="auto"/>
                        <w:bottom w:val="none" w:sz="0" w:space="0" w:color="auto"/>
                        <w:right w:val="none" w:sz="0" w:space="0" w:color="auto"/>
                      </w:divBdr>
                      <w:divsChild>
                        <w:div w:id="921374262">
                          <w:marLeft w:val="0"/>
                          <w:marRight w:val="0"/>
                          <w:marTop w:val="0"/>
                          <w:marBottom w:val="0"/>
                          <w:divBdr>
                            <w:top w:val="none" w:sz="0" w:space="0" w:color="auto"/>
                            <w:left w:val="none" w:sz="0" w:space="0" w:color="auto"/>
                            <w:bottom w:val="none" w:sz="0" w:space="0" w:color="auto"/>
                            <w:right w:val="none" w:sz="0" w:space="0" w:color="auto"/>
                          </w:divBdr>
                        </w:div>
                        <w:div w:id="1097484919">
                          <w:marLeft w:val="0"/>
                          <w:marRight w:val="0"/>
                          <w:marTop w:val="0"/>
                          <w:marBottom w:val="0"/>
                          <w:divBdr>
                            <w:top w:val="none" w:sz="0" w:space="0" w:color="auto"/>
                            <w:left w:val="none" w:sz="0" w:space="0" w:color="auto"/>
                            <w:bottom w:val="none" w:sz="0" w:space="0" w:color="auto"/>
                            <w:right w:val="none" w:sz="0" w:space="0" w:color="auto"/>
                          </w:divBdr>
                        </w:div>
                        <w:div w:id="1384140019">
                          <w:marLeft w:val="0"/>
                          <w:marRight w:val="0"/>
                          <w:marTop w:val="0"/>
                          <w:marBottom w:val="0"/>
                          <w:divBdr>
                            <w:top w:val="none" w:sz="0" w:space="0" w:color="auto"/>
                            <w:left w:val="none" w:sz="0" w:space="0" w:color="auto"/>
                            <w:bottom w:val="none" w:sz="0" w:space="0" w:color="auto"/>
                            <w:right w:val="none" w:sz="0" w:space="0" w:color="auto"/>
                          </w:divBdr>
                        </w:div>
                        <w:div w:id="880676821">
                          <w:marLeft w:val="0"/>
                          <w:marRight w:val="0"/>
                          <w:marTop w:val="0"/>
                          <w:marBottom w:val="0"/>
                          <w:divBdr>
                            <w:top w:val="none" w:sz="0" w:space="0" w:color="auto"/>
                            <w:left w:val="none" w:sz="0" w:space="0" w:color="auto"/>
                            <w:bottom w:val="none" w:sz="0" w:space="0" w:color="auto"/>
                            <w:right w:val="none" w:sz="0" w:space="0" w:color="auto"/>
                          </w:divBdr>
                        </w:div>
                        <w:div w:id="1805467320">
                          <w:marLeft w:val="0"/>
                          <w:marRight w:val="0"/>
                          <w:marTop w:val="0"/>
                          <w:marBottom w:val="0"/>
                          <w:divBdr>
                            <w:top w:val="none" w:sz="0" w:space="0" w:color="auto"/>
                            <w:left w:val="none" w:sz="0" w:space="0" w:color="auto"/>
                            <w:bottom w:val="none" w:sz="0" w:space="0" w:color="auto"/>
                            <w:right w:val="none" w:sz="0" w:space="0" w:color="auto"/>
                          </w:divBdr>
                        </w:div>
                        <w:div w:id="1070348631">
                          <w:marLeft w:val="0"/>
                          <w:marRight w:val="0"/>
                          <w:marTop w:val="0"/>
                          <w:marBottom w:val="0"/>
                          <w:divBdr>
                            <w:top w:val="none" w:sz="0" w:space="0" w:color="auto"/>
                            <w:left w:val="none" w:sz="0" w:space="0" w:color="auto"/>
                            <w:bottom w:val="none" w:sz="0" w:space="0" w:color="auto"/>
                            <w:right w:val="none" w:sz="0" w:space="0" w:color="auto"/>
                          </w:divBdr>
                        </w:div>
                        <w:div w:id="1441338689">
                          <w:marLeft w:val="0"/>
                          <w:marRight w:val="0"/>
                          <w:marTop w:val="0"/>
                          <w:marBottom w:val="0"/>
                          <w:divBdr>
                            <w:top w:val="none" w:sz="0" w:space="0" w:color="auto"/>
                            <w:left w:val="none" w:sz="0" w:space="0" w:color="auto"/>
                            <w:bottom w:val="none" w:sz="0" w:space="0" w:color="auto"/>
                            <w:right w:val="none" w:sz="0" w:space="0" w:color="auto"/>
                          </w:divBdr>
                        </w:div>
                        <w:div w:id="1878738464">
                          <w:marLeft w:val="0"/>
                          <w:marRight w:val="0"/>
                          <w:marTop w:val="0"/>
                          <w:marBottom w:val="0"/>
                          <w:divBdr>
                            <w:top w:val="none" w:sz="0" w:space="0" w:color="auto"/>
                            <w:left w:val="none" w:sz="0" w:space="0" w:color="auto"/>
                            <w:bottom w:val="none" w:sz="0" w:space="0" w:color="auto"/>
                            <w:right w:val="none" w:sz="0" w:space="0" w:color="auto"/>
                          </w:divBdr>
                        </w:div>
                        <w:div w:id="1713843012">
                          <w:marLeft w:val="0"/>
                          <w:marRight w:val="0"/>
                          <w:marTop w:val="0"/>
                          <w:marBottom w:val="0"/>
                          <w:divBdr>
                            <w:top w:val="none" w:sz="0" w:space="0" w:color="auto"/>
                            <w:left w:val="none" w:sz="0" w:space="0" w:color="auto"/>
                            <w:bottom w:val="none" w:sz="0" w:space="0" w:color="auto"/>
                            <w:right w:val="none" w:sz="0" w:space="0" w:color="auto"/>
                          </w:divBdr>
                        </w:div>
                        <w:div w:id="1867012997">
                          <w:marLeft w:val="0"/>
                          <w:marRight w:val="0"/>
                          <w:marTop w:val="0"/>
                          <w:marBottom w:val="0"/>
                          <w:divBdr>
                            <w:top w:val="none" w:sz="0" w:space="0" w:color="auto"/>
                            <w:left w:val="none" w:sz="0" w:space="0" w:color="auto"/>
                            <w:bottom w:val="none" w:sz="0" w:space="0" w:color="auto"/>
                            <w:right w:val="none" w:sz="0" w:space="0" w:color="auto"/>
                          </w:divBdr>
                        </w:div>
                        <w:div w:id="309408034">
                          <w:marLeft w:val="0"/>
                          <w:marRight w:val="0"/>
                          <w:marTop w:val="0"/>
                          <w:marBottom w:val="0"/>
                          <w:divBdr>
                            <w:top w:val="none" w:sz="0" w:space="0" w:color="auto"/>
                            <w:left w:val="none" w:sz="0" w:space="0" w:color="auto"/>
                            <w:bottom w:val="none" w:sz="0" w:space="0" w:color="auto"/>
                            <w:right w:val="none" w:sz="0" w:space="0" w:color="auto"/>
                          </w:divBdr>
                        </w:div>
                        <w:div w:id="1923562502">
                          <w:marLeft w:val="0"/>
                          <w:marRight w:val="0"/>
                          <w:marTop w:val="0"/>
                          <w:marBottom w:val="0"/>
                          <w:divBdr>
                            <w:top w:val="none" w:sz="0" w:space="0" w:color="auto"/>
                            <w:left w:val="none" w:sz="0" w:space="0" w:color="auto"/>
                            <w:bottom w:val="none" w:sz="0" w:space="0" w:color="auto"/>
                            <w:right w:val="none" w:sz="0" w:space="0" w:color="auto"/>
                          </w:divBdr>
                        </w:div>
                        <w:div w:id="1098211718">
                          <w:marLeft w:val="0"/>
                          <w:marRight w:val="0"/>
                          <w:marTop w:val="0"/>
                          <w:marBottom w:val="0"/>
                          <w:divBdr>
                            <w:top w:val="none" w:sz="0" w:space="0" w:color="auto"/>
                            <w:left w:val="none" w:sz="0" w:space="0" w:color="auto"/>
                            <w:bottom w:val="none" w:sz="0" w:space="0" w:color="auto"/>
                            <w:right w:val="none" w:sz="0" w:space="0" w:color="auto"/>
                          </w:divBdr>
                        </w:div>
                        <w:div w:id="1682203049">
                          <w:marLeft w:val="0"/>
                          <w:marRight w:val="0"/>
                          <w:marTop w:val="0"/>
                          <w:marBottom w:val="0"/>
                          <w:divBdr>
                            <w:top w:val="none" w:sz="0" w:space="0" w:color="auto"/>
                            <w:left w:val="none" w:sz="0" w:space="0" w:color="auto"/>
                            <w:bottom w:val="none" w:sz="0" w:space="0" w:color="auto"/>
                            <w:right w:val="none" w:sz="0" w:space="0" w:color="auto"/>
                          </w:divBdr>
                        </w:div>
                        <w:div w:id="812218359">
                          <w:marLeft w:val="0"/>
                          <w:marRight w:val="0"/>
                          <w:marTop w:val="0"/>
                          <w:marBottom w:val="0"/>
                          <w:divBdr>
                            <w:top w:val="none" w:sz="0" w:space="0" w:color="auto"/>
                            <w:left w:val="none" w:sz="0" w:space="0" w:color="auto"/>
                            <w:bottom w:val="none" w:sz="0" w:space="0" w:color="auto"/>
                            <w:right w:val="none" w:sz="0" w:space="0" w:color="auto"/>
                          </w:divBdr>
                        </w:div>
                        <w:div w:id="1942949427">
                          <w:marLeft w:val="0"/>
                          <w:marRight w:val="0"/>
                          <w:marTop w:val="0"/>
                          <w:marBottom w:val="0"/>
                          <w:divBdr>
                            <w:top w:val="none" w:sz="0" w:space="0" w:color="auto"/>
                            <w:left w:val="none" w:sz="0" w:space="0" w:color="auto"/>
                            <w:bottom w:val="none" w:sz="0" w:space="0" w:color="auto"/>
                            <w:right w:val="none" w:sz="0" w:space="0" w:color="auto"/>
                          </w:divBdr>
                        </w:div>
                        <w:div w:id="987828603">
                          <w:marLeft w:val="0"/>
                          <w:marRight w:val="0"/>
                          <w:marTop w:val="0"/>
                          <w:marBottom w:val="0"/>
                          <w:divBdr>
                            <w:top w:val="none" w:sz="0" w:space="0" w:color="auto"/>
                            <w:left w:val="none" w:sz="0" w:space="0" w:color="auto"/>
                            <w:bottom w:val="none" w:sz="0" w:space="0" w:color="auto"/>
                            <w:right w:val="none" w:sz="0" w:space="0" w:color="auto"/>
                          </w:divBdr>
                        </w:div>
                        <w:div w:id="615911295">
                          <w:marLeft w:val="0"/>
                          <w:marRight w:val="0"/>
                          <w:marTop w:val="0"/>
                          <w:marBottom w:val="0"/>
                          <w:divBdr>
                            <w:top w:val="none" w:sz="0" w:space="0" w:color="auto"/>
                            <w:left w:val="none" w:sz="0" w:space="0" w:color="auto"/>
                            <w:bottom w:val="none" w:sz="0" w:space="0" w:color="auto"/>
                            <w:right w:val="none" w:sz="0" w:space="0" w:color="auto"/>
                          </w:divBdr>
                        </w:div>
                        <w:div w:id="160387519">
                          <w:marLeft w:val="0"/>
                          <w:marRight w:val="0"/>
                          <w:marTop w:val="0"/>
                          <w:marBottom w:val="0"/>
                          <w:divBdr>
                            <w:top w:val="none" w:sz="0" w:space="0" w:color="auto"/>
                            <w:left w:val="none" w:sz="0" w:space="0" w:color="auto"/>
                            <w:bottom w:val="none" w:sz="0" w:space="0" w:color="auto"/>
                            <w:right w:val="none" w:sz="0" w:space="0" w:color="auto"/>
                          </w:divBdr>
                        </w:div>
                        <w:div w:id="556860555">
                          <w:marLeft w:val="0"/>
                          <w:marRight w:val="0"/>
                          <w:marTop w:val="0"/>
                          <w:marBottom w:val="0"/>
                          <w:divBdr>
                            <w:top w:val="none" w:sz="0" w:space="0" w:color="auto"/>
                            <w:left w:val="none" w:sz="0" w:space="0" w:color="auto"/>
                            <w:bottom w:val="none" w:sz="0" w:space="0" w:color="auto"/>
                            <w:right w:val="none" w:sz="0" w:space="0" w:color="auto"/>
                          </w:divBdr>
                        </w:div>
                        <w:div w:id="1379477051">
                          <w:marLeft w:val="0"/>
                          <w:marRight w:val="0"/>
                          <w:marTop w:val="0"/>
                          <w:marBottom w:val="0"/>
                          <w:divBdr>
                            <w:top w:val="none" w:sz="0" w:space="0" w:color="auto"/>
                            <w:left w:val="none" w:sz="0" w:space="0" w:color="auto"/>
                            <w:bottom w:val="none" w:sz="0" w:space="0" w:color="auto"/>
                            <w:right w:val="none" w:sz="0" w:space="0" w:color="auto"/>
                          </w:divBdr>
                        </w:div>
                        <w:div w:id="8896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48140730963544"/>
          <c:y val="4.8021032994285374E-2"/>
          <c:w val="0.80877422557137379"/>
          <c:h val="0.78892433819438046"/>
        </c:manualLayout>
      </c:layout>
      <c:scatterChart>
        <c:scatterStyle val="lineMarker"/>
        <c:varyColors val="0"/>
        <c:ser>
          <c:idx val="0"/>
          <c:order val="0"/>
          <c:tx>
            <c:strRef>
              <c:f>Sheet1!$C$2</c:f>
              <c:strCache>
                <c:ptCount val="1"/>
                <c:pt idx="0">
                  <c:v>δ NH</c:v>
                </c:pt>
              </c:strCache>
            </c:strRef>
          </c:tx>
          <c:spPr>
            <a:ln w="25400" cap="rnd">
              <a:noFill/>
              <a:round/>
            </a:ln>
            <a:effectLst/>
          </c:spPr>
          <c:marker>
            <c:symbol val="circle"/>
            <c:size val="5"/>
            <c:spPr>
              <a:solidFill>
                <a:schemeClr val="accent1"/>
              </a:solidFill>
              <a:ln w="9525">
                <a:solidFill>
                  <a:schemeClr val="accent1"/>
                </a:solidFill>
              </a:ln>
              <a:effectLst/>
            </c:spPr>
          </c:marker>
          <c:xVal>
            <c:numRef>
              <c:f>Sheet1!$B$3:$B$16</c:f>
              <c:numCache>
                <c:formatCode>General</c:formatCode>
                <c:ptCount val="14"/>
                <c:pt idx="0">
                  <c:v>0</c:v>
                </c:pt>
                <c:pt idx="1">
                  <c:v>1.0273972600000001</c:v>
                </c:pt>
                <c:pt idx="2">
                  <c:v>1.97368421</c:v>
                </c:pt>
                <c:pt idx="3">
                  <c:v>2.8481012699999999</c:v>
                </c:pt>
                <c:pt idx="4">
                  <c:v>3.2608695700000001</c:v>
                </c:pt>
                <c:pt idx="5">
                  <c:v>3.6585365900000002</c:v>
                </c:pt>
                <c:pt idx="6">
                  <c:v>4.0419161700000004</c:v>
                </c:pt>
                <c:pt idx="7">
                  <c:v>4.4117647099999999</c:v>
                </c:pt>
                <c:pt idx="8">
                  <c:v>4.7687861299999996</c:v>
                </c:pt>
                <c:pt idx="9">
                  <c:v>5.1136363600000001</c:v>
                </c:pt>
                <c:pt idx="10">
                  <c:v>5.44692737</c:v>
                </c:pt>
                <c:pt idx="11">
                  <c:v>5.7692307700000001</c:v>
                </c:pt>
                <c:pt idx="12">
                  <c:v>6.3829787199999997</c:v>
                </c:pt>
                <c:pt idx="13">
                  <c:v>6.95876289</c:v>
                </c:pt>
              </c:numCache>
            </c:numRef>
          </c:xVal>
          <c:yVal>
            <c:numRef>
              <c:f>Sheet1!$C$3:$C$16</c:f>
              <c:numCache>
                <c:formatCode>General</c:formatCode>
                <c:ptCount val="14"/>
                <c:pt idx="0">
                  <c:v>0</c:v>
                </c:pt>
                <c:pt idx="1">
                  <c:v>0.6</c:v>
                </c:pt>
                <c:pt idx="2">
                  <c:v>1.22</c:v>
                </c:pt>
                <c:pt idx="3">
                  <c:v>1.63</c:v>
                </c:pt>
                <c:pt idx="4">
                  <c:v>1.76</c:v>
                </c:pt>
                <c:pt idx="5">
                  <c:v>1.86</c:v>
                </c:pt>
                <c:pt idx="6">
                  <c:v>1.93</c:v>
                </c:pt>
                <c:pt idx="7">
                  <c:v>1.98</c:v>
                </c:pt>
                <c:pt idx="8">
                  <c:v>2.02</c:v>
                </c:pt>
                <c:pt idx="9">
                  <c:v>2.0499999999999998</c:v>
                </c:pt>
                <c:pt idx="10">
                  <c:v>2.0699999999999998</c:v>
                </c:pt>
                <c:pt idx="11">
                  <c:v>2.1</c:v>
                </c:pt>
                <c:pt idx="12">
                  <c:v>2.13</c:v>
                </c:pt>
                <c:pt idx="13">
                  <c:v>2.15</c:v>
                </c:pt>
              </c:numCache>
            </c:numRef>
          </c:yVal>
          <c:smooth val="0"/>
        </c:ser>
        <c:dLbls>
          <c:showLegendKey val="0"/>
          <c:showVal val="0"/>
          <c:showCatName val="0"/>
          <c:showSerName val="0"/>
          <c:showPercent val="0"/>
          <c:showBubbleSize val="0"/>
        </c:dLbls>
        <c:axId val="281791336"/>
        <c:axId val="281798000"/>
      </c:scatterChart>
      <c:valAx>
        <c:axId val="281791336"/>
        <c:scaling>
          <c:orientation val="minMax"/>
          <c:max val="7"/>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 </a:t>
                </a:r>
                <a:r>
                  <a:rPr lang="en-US" sz="1050" baseline="30000"/>
                  <a:t>-</a:t>
                </a:r>
                <a:r>
                  <a:rPr lang="en-US"/>
                  <a:t> ]/mmol</a:t>
                </a:r>
              </a:p>
            </c:rich>
          </c:tx>
          <c:layout>
            <c:manualLayout>
              <c:xMode val="edge"/>
              <c:yMode val="edge"/>
              <c:x val="0.41886719933964023"/>
              <c:y val="0.917131046482969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798000"/>
        <c:crosses val="autoZero"/>
        <c:crossBetween val="midCat"/>
        <c:majorUnit val="1"/>
        <c:minorUnit val="0.5"/>
      </c:valAx>
      <c:valAx>
        <c:axId val="28179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Symbol" panose="05050102010706020507" pitchFamily="18" charset="2"/>
                  </a:rPr>
                  <a:t>Dd NH</a:t>
                </a:r>
                <a:r>
                  <a:rPr lang="en-GB">
                    <a:latin typeface="+mn-lt"/>
                  </a:rPr>
                  <a:t>/ppm</a:t>
                </a:r>
              </a:p>
            </c:rich>
          </c:tx>
          <c:layout>
            <c:manualLayout>
              <c:xMode val="edge"/>
              <c:yMode val="edge"/>
              <c:x val="3.2759546675162716E-3"/>
              <c:y val="0.33201587715021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7913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72217-33A1-4984-943C-EEE20E0CA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Pages>
  <Words>2025</Words>
  <Characters>11545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Gale</dc:creator>
  <cp:lastModifiedBy>Lance Twyman</cp:lastModifiedBy>
  <cp:revision>20</cp:revision>
  <cp:lastPrinted>2016-02-29T11:01:00Z</cp:lastPrinted>
  <dcterms:created xsi:type="dcterms:W3CDTF">2016-03-03T16:11:00Z</dcterms:created>
  <dcterms:modified xsi:type="dcterms:W3CDTF">2016-03-31T14:59:00Z</dcterms:modified>
</cp:coreProperties>
</file>