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4F740" w14:textId="77777777" w:rsidR="00805031" w:rsidRPr="00E97F25" w:rsidRDefault="00805031" w:rsidP="002E77A9">
      <w:pPr>
        <w:spacing w:line="360" w:lineRule="auto"/>
        <w:jc w:val="center"/>
      </w:pPr>
      <w:r w:rsidRPr="00E97F25">
        <w:rPr>
          <w:b/>
          <w:sz w:val="28"/>
          <w:szCs w:val="28"/>
        </w:rPr>
        <w:t xml:space="preserve">In </w:t>
      </w:r>
      <w:r w:rsidR="00572A22" w:rsidRPr="00E97F25">
        <w:rPr>
          <w:b/>
          <w:sz w:val="28"/>
          <w:szCs w:val="28"/>
        </w:rPr>
        <w:t>the Eye of the Beholder: ‘Seeing’</w:t>
      </w:r>
      <w:r w:rsidRPr="00E97F25">
        <w:rPr>
          <w:b/>
          <w:sz w:val="28"/>
          <w:szCs w:val="28"/>
        </w:rPr>
        <w:t xml:space="preserve"> </w:t>
      </w:r>
      <w:r w:rsidR="00572A22" w:rsidRPr="00E97F25">
        <w:rPr>
          <w:b/>
          <w:sz w:val="28"/>
          <w:szCs w:val="28"/>
        </w:rPr>
        <w:t>Textiles in the Early Modern Interior</w:t>
      </w:r>
    </w:p>
    <w:p w14:paraId="1D0E050E" w14:textId="77777777" w:rsidR="00882900" w:rsidRPr="00E97F25" w:rsidRDefault="00882900" w:rsidP="002E77A9">
      <w:pPr>
        <w:pStyle w:val="BodyText"/>
        <w:spacing w:after="0" w:line="360" w:lineRule="auto"/>
        <w:jc w:val="center"/>
        <w:rPr>
          <w:smallCaps/>
          <w:sz w:val="24"/>
          <w:szCs w:val="24"/>
          <w:lang w:val="en-GB" w:eastAsia="en-GB"/>
        </w:rPr>
      </w:pPr>
      <w:r w:rsidRPr="00E97F25">
        <w:rPr>
          <w:smallCaps/>
          <w:sz w:val="24"/>
          <w:szCs w:val="24"/>
          <w:lang w:val="en-GB" w:eastAsia="en-GB"/>
        </w:rPr>
        <w:t>Mar</w:t>
      </w:r>
      <w:r w:rsidR="0008484A" w:rsidRPr="00E97F25">
        <w:rPr>
          <w:smallCaps/>
          <w:sz w:val="24"/>
          <w:szCs w:val="24"/>
          <w:lang w:val="en-GB" w:eastAsia="en-GB"/>
        </w:rPr>
        <w:t>i</w:t>
      </w:r>
      <w:r w:rsidRPr="00E97F25">
        <w:rPr>
          <w:smallCaps/>
          <w:sz w:val="24"/>
          <w:szCs w:val="24"/>
          <w:lang w:val="en-GB" w:eastAsia="en-GB"/>
        </w:rPr>
        <w:t>a Hayward</w:t>
      </w:r>
    </w:p>
    <w:p w14:paraId="3DE4A368" w14:textId="77777777" w:rsidR="00F02DD5" w:rsidRPr="00E97F25" w:rsidRDefault="00F02DD5" w:rsidP="002E77A9">
      <w:pPr>
        <w:spacing w:line="360" w:lineRule="auto"/>
        <w:jc w:val="both"/>
      </w:pPr>
    </w:p>
    <w:p w14:paraId="44BFF605" w14:textId="25FE0E25" w:rsidR="00572A22" w:rsidRPr="00E97F25" w:rsidRDefault="00572A22" w:rsidP="001844BC">
      <w:pPr>
        <w:spacing w:line="360" w:lineRule="auto"/>
        <w:jc w:val="both"/>
      </w:pPr>
      <w:r w:rsidRPr="00E97F25">
        <w:rPr>
          <w:i/>
        </w:rPr>
        <w:t xml:space="preserve">This article explores the physical, cultural and aesthetic conditions for perceiving textiles in early modern England, in order to reconstruct contemporary responses to them. It begins by arguing for the level of explicitness of the engagement with the senses in printed materials on this subject. </w:t>
      </w:r>
      <w:r w:rsidR="00CC322B" w:rsidRPr="00E97F25">
        <w:rPr>
          <w:i/>
        </w:rPr>
        <w:t>Focusing</w:t>
      </w:r>
      <w:r w:rsidRPr="00E97F25">
        <w:rPr>
          <w:i/>
        </w:rPr>
        <w:t xml:space="preserve"> on sight, </w:t>
      </w:r>
      <w:r w:rsidR="00CC322B" w:rsidRPr="00E97F25">
        <w:rPr>
          <w:i/>
        </w:rPr>
        <w:t xml:space="preserve">it then </w:t>
      </w:r>
      <w:r w:rsidRPr="00E97F25">
        <w:rPr>
          <w:i/>
        </w:rPr>
        <w:t>considers the depictions of the senses</w:t>
      </w:r>
      <w:r w:rsidR="00CC322B" w:rsidRPr="00E97F25">
        <w:rPr>
          <w:i/>
        </w:rPr>
        <w:t xml:space="preserve"> </w:t>
      </w:r>
      <w:r w:rsidR="009351FF" w:rsidRPr="00E97F25">
        <w:rPr>
          <w:i/>
        </w:rPr>
        <w:t xml:space="preserve">in the interior design </w:t>
      </w:r>
      <w:r w:rsidRPr="00E97F25">
        <w:rPr>
          <w:i/>
        </w:rPr>
        <w:t>at</w:t>
      </w:r>
      <w:r w:rsidR="00CC6CC6" w:rsidRPr="00E97F25">
        <w:rPr>
          <w:i/>
        </w:rPr>
        <w:t xml:space="preserve"> Bolsover Castle</w:t>
      </w:r>
      <w:r w:rsidR="00CC322B" w:rsidRPr="00E97F25">
        <w:rPr>
          <w:i/>
        </w:rPr>
        <w:t xml:space="preserve">, </w:t>
      </w:r>
      <w:r w:rsidR="001844BC" w:rsidRPr="00E97F25">
        <w:rPr>
          <w:i/>
        </w:rPr>
        <w:t>Derbyshire</w:t>
      </w:r>
      <w:r w:rsidRPr="00E97F25">
        <w:rPr>
          <w:i/>
        </w:rPr>
        <w:t xml:space="preserve"> and </w:t>
      </w:r>
      <w:proofErr w:type="spellStart"/>
      <w:r w:rsidRPr="00E97F25">
        <w:rPr>
          <w:i/>
        </w:rPr>
        <w:t>Knole</w:t>
      </w:r>
      <w:proofErr w:type="spellEnd"/>
      <w:r w:rsidR="001844BC" w:rsidRPr="00E97F25">
        <w:rPr>
          <w:i/>
        </w:rPr>
        <w:t>, Kent,</w:t>
      </w:r>
      <w:r w:rsidRPr="00E97F25">
        <w:rPr>
          <w:i/>
        </w:rPr>
        <w:t xml:space="preserve"> in relation to religious and moral ideas </w:t>
      </w:r>
      <w:r w:rsidR="00CC322B" w:rsidRPr="00E97F25">
        <w:rPr>
          <w:i/>
        </w:rPr>
        <w:t xml:space="preserve">about </w:t>
      </w:r>
      <w:r w:rsidRPr="00E97F25">
        <w:rPr>
          <w:i/>
        </w:rPr>
        <w:t xml:space="preserve">the ‘eye of faith’, </w:t>
      </w:r>
      <w:r w:rsidR="00CC322B" w:rsidRPr="00E97F25">
        <w:rPr>
          <w:i/>
        </w:rPr>
        <w:t xml:space="preserve">to </w:t>
      </w:r>
      <w:r w:rsidRPr="00E97F25">
        <w:rPr>
          <w:i/>
        </w:rPr>
        <w:t xml:space="preserve">Humanist representations of sight as a sense associated with women and </w:t>
      </w:r>
      <w:r w:rsidR="00CC322B" w:rsidRPr="00E97F25">
        <w:rPr>
          <w:i/>
        </w:rPr>
        <w:t xml:space="preserve">to </w:t>
      </w:r>
      <w:r w:rsidRPr="00E97F25">
        <w:rPr>
          <w:i/>
        </w:rPr>
        <w:t xml:space="preserve">the </w:t>
      </w:r>
      <w:r w:rsidR="00CC322B" w:rsidRPr="00E97F25">
        <w:rPr>
          <w:i/>
        </w:rPr>
        <w:t>é</w:t>
      </w:r>
      <w:r w:rsidRPr="00E97F25">
        <w:rPr>
          <w:i/>
        </w:rPr>
        <w:t xml:space="preserve">lite mastery of the senses. </w:t>
      </w:r>
      <w:r w:rsidR="00CC322B" w:rsidRPr="00E97F25">
        <w:rPr>
          <w:i/>
        </w:rPr>
        <w:t xml:space="preserve">The article </w:t>
      </w:r>
      <w:r w:rsidRPr="00E97F25">
        <w:rPr>
          <w:i/>
        </w:rPr>
        <w:t>then opens the subject out to consider different ways of ‘seeing’ textile furnishi</w:t>
      </w:r>
      <w:r w:rsidR="00CC322B" w:rsidRPr="00E97F25">
        <w:rPr>
          <w:i/>
        </w:rPr>
        <w:t>ngs in this period and the kind</w:t>
      </w:r>
      <w:r w:rsidRPr="00E97F25">
        <w:rPr>
          <w:i/>
        </w:rPr>
        <w:t xml:space="preserve"> of visual response</w:t>
      </w:r>
      <w:r w:rsidR="00CC322B" w:rsidRPr="00E97F25">
        <w:rPr>
          <w:i/>
        </w:rPr>
        <w:t>s</w:t>
      </w:r>
      <w:r w:rsidRPr="00E97F25">
        <w:rPr>
          <w:i/>
        </w:rPr>
        <w:t xml:space="preserve"> they invited</w:t>
      </w:r>
      <w:r w:rsidR="00CC322B" w:rsidRPr="00E97F25">
        <w:rPr>
          <w:i/>
        </w:rPr>
        <w:t xml:space="preserve"> – it explores </w:t>
      </w:r>
      <w:r w:rsidRPr="00E97F25">
        <w:rPr>
          <w:i/>
        </w:rPr>
        <w:t>fading eyesight and looking glasses</w:t>
      </w:r>
      <w:r w:rsidR="00CC322B" w:rsidRPr="00E97F25">
        <w:rPr>
          <w:i/>
        </w:rPr>
        <w:t>, times of day</w:t>
      </w:r>
      <w:r w:rsidRPr="00E97F25">
        <w:rPr>
          <w:i/>
        </w:rPr>
        <w:t xml:space="preserve"> and mirrors. </w:t>
      </w:r>
      <w:r w:rsidR="00CC322B" w:rsidRPr="00E97F25">
        <w:rPr>
          <w:i/>
        </w:rPr>
        <w:t>Finally, i</w:t>
      </w:r>
      <w:r w:rsidRPr="00E97F25">
        <w:rPr>
          <w:i/>
        </w:rPr>
        <w:t xml:space="preserve">t </w:t>
      </w:r>
      <w:r w:rsidR="00CC322B" w:rsidRPr="00E97F25">
        <w:rPr>
          <w:i/>
        </w:rPr>
        <w:t xml:space="preserve">suggests that </w:t>
      </w:r>
      <w:r w:rsidRPr="00E97F25">
        <w:rPr>
          <w:i/>
        </w:rPr>
        <w:t>text</w:t>
      </w:r>
      <w:r w:rsidR="00CC322B" w:rsidRPr="00E97F25">
        <w:rPr>
          <w:i/>
        </w:rPr>
        <w:t>ile objects functioned as perks and</w:t>
      </w:r>
      <w:r w:rsidRPr="00E97F25">
        <w:rPr>
          <w:i/>
        </w:rPr>
        <w:t xml:space="preserve"> as evidence of loyalty and proximity to the crown</w:t>
      </w:r>
      <w:r w:rsidR="00CC322B" w:rsidRPr="00E97F25">
        <w:rPr>
          <w:i/>
        </w:rPr>
        <w:t xml:space="preserve">, and points to the lack </w:t>
      </w:r>
      <w:r w:rsidRPr="00E97F25">
        <w:rPr>
          <w:i/>
        </w:rPr>
        <w:t xml:space="preserve">of </w:t>
      </w:r>
      <w:r w:rsidR="00CC322B" w:rsidRPr="00E97F25">
        <w:rPr>
          <w:i/>
        </w:rPr>
        <w:t>distinction</w:t>
      </w:r>
      <w:r w:rsidRPr="00E97F25">
        <w:rPr>
          <w:i/>
        </w:rPr>
        <w:t xml:space="preserve"> between new and second-hand pieces even </w:t>
      </w:r>
      <w:r w:rsidR="00CC322B" w:rsidRPr="00E97F25">
        <w:rPr>
          <w:i/>
        </w:rPr>
        <w:t>among</w:t>
      </w:r>
      <w:r w:rsidRPr="00E97F25">
        <w:rPr>
          <w:i/>
        </w:rPr>
        <w:t xml:space="preserve"> high-</w:t>
      </w:r>
      <w:r w:rsidR="00CC322B" w:rsidRPr="00E97F25">
        <w:rPr>
          <w:i/>
        </w:rPr>
        <w:t>ranking members of society</w:t>
      </w:r>
      <w:r w:rsidRPr="00E97F25">
        <w:rPr>
          <w:i/>
        </w:rPr>
        <w:t xml:space="preserve"> and </w:t>
      </w:r>
      <w:r w:rsidR="00CC322B" w:rsidRPr="00E97F25">
        <w:rPr>
          <w:i/>
        </w:rPr>
        <w:t xml:space="preserve">to </w:t>
      </w:r>
      <w:r w:rsidRPr="00E97F25">
        <w:rPr>
          <w:i/>
        </w:rPr>
        <w:t xml:space="preserve">the sight and appreciation of inventory makers whose descriptions give access to their sense of the most obvious features of textiles, </w:t>
      </w:r>
      <w:r w:rsidR="00CC322B" w:rsidRPr="00E97F25">
        <w:rPr>
          <w:i/>
        </w:rPr>
        <w:t>most notably</w:t>
      </w:r>
      <w:r w:rsidRPr="00E97F25">
        <w:rPr>
          <w:i/>
        </w:rPr>
        <w:t xml:space="preserve"> colour and </w:t>
      </w:r>
      <w:r w:rsidR="00F958F0" w:rsidRPr="00E97F25">
        <w:rPr>
          <w:i/>
        </w:rPr>
        <w:t>lustre</w:t>
      </w:r>
      <w:r w:rsidRPr="00E97F25">
        <w:rPr>
          <w:i/>
        </w:rPr>
        <w:t>. </w:t>
      </w:r>
    </w:p>
    <w:p w14:paraId="134DF75C" w14:textId="77777777" w:rsidR="00E632CB" w:rsidRPr="00E97F25" w:rsidRDefault="00E632CB" w:rsidP="002E77A9">
      <w:pPr>
        <w:spacing w:line="360" w:lineRule="auto"/>
        <w:jc w:val="both"/>
      </w:pPr>
    </w:p>
    <w:p w14:paraId="31173A39" w14:textId="77777777" w:rsidR="00F958F0" w:rsidRPr="00E97F25" w:rsidRDefault="00F958F0" w:rsidP="002E77A9">
      <w:pPr>
        <w:spacing w:line="360" w:lineRule="auto"/>
        <w:rPr>
          <w:i/>
        </w:rPr>
      </w:pPr>
      <w:r w:rsidRPr="00E97F25">
        <w:rPr>
          <w:smallCaps/>
          <w:lang w:eastAsia="en-GB"/>
        </w:rPr>
        <w:t>Introduction</w:t>
      </w:r>
    </w:p>
    <w:p w14:paraId="63216037" w14:textId="77777777" w:rsidR="00F958F0" w:rsidRPr="00E97F25" w:rsidRDefault="00F958F0" w:rsidP="002E77A9">
      <w:pPr>
        <w:spacing w:line="360" w:lineRule="auto"/>
        <w:jc w:val="both"/>
      </w:pPr>
    </w:p>
    <w:p w14:paraId="12751113" w14:textId="56EECD3B" w:rsidR="00F5098E" w:rsidRPr="00E97F25" w:rsidRDefault="00805031" w:rsidP="001844BC">
      <w:pPr>
        <w:spacing w:line="360" w:lineRule="auto"/>
        <w:jc w:val="both"/>
      </w:pPr>
      <w:r w:rsidRPr="00E97F25">
        <w:t xml:space="preserve">‘Histories, grave stories and the best works become Galleries; where </w:t>
      </w:r>
      <w:r w:rsidR="00F05066" w:rsidRPr="00E97F25">
        <w:t>any</w:t>
      </w:r>
      <w:r w:rsidRPr="00E97F25">
        <w:t>one may walk and exercise their senses in viewing, examining, delighting, judging and censuring’.</w:t>
      </w:r>
      <w:r w:rsidR="00F5098E" w:rsidRPr="00E97F25">
        <w:rPr>
          <w:rStyle w:val="EndnoteReference"/>
        </w:rPr>
        <w:endnoteReference w:id="1"/>
      </w:r>
      <w:r w:rsidR="00F5098E" w:rsidRPr="00E97F25">
        <w:t xml:space="preserve"> With these words</w:t>
      </w:r>
      <w:r w:rsidR="001844BC" w:rsidRPr="00E97F25">
        <w:t xml:space="preserve"> the </w:t>
      </w:r>
      <w:r w:rsidR="00D86B8C" w:rsidRPr="00E97F25">
        <w:t xml:space="preserve">author and doctor </w:t>
      </w:r>
      <w:r w:rsidR="00F5098E" w:rsidRPr="00E97F25">
        <w:t>William Salmon (1644</w:t>
      </w:r>
      <w:r w:rsidR="00D86B8C" w:rsidRPr="00E97F25">
        <w:t>–</w:t>
      </w:r>
      <w:r w:rsidR="00F5098E" w:rsidRPr="00E97F25">
        <w:t>1713) s</w:t>
      </w:r>
      <w:r w:rsidR="00574F61" w:rsidRPr="00E97F25">
        <w:t>tressed that looking a</w:t>
      </w:r>
      <w:r w:rsidR="00D86B8C" w:rsidRPr="00E97F25">
        <w:t>t paintings was essential if</w:t>
      </w:r>
      <w:r w:rsidR="00574F61" w:rsidRPr="00E97F25">
        <w:t xml:space="preserve"> viewer</w:t>
      </w:r>
      <w:r w:rsidR="00D86B8C" w:rsidRPr="00E97F25">
        <w:t>s</w:t>
      </w:r>
      <w:r w:rsidR="00574F61" w:rsidRPr="00E97F25">
        <w:t xml:space="preserve"> </w:t>
      </w:r>
      <w:r w:rsidR="00D86B8C" w:rsidRPr="00E97F25">
        <w:t xml:space="preserve">were </w:t>
      </w:r>
      <w:r w:rsidR="00574F61" w:rsidRPr="00E97F25">
        <w:t>to</w:t>
      </w:r>
      <w:r w:rsidR="004C20E7" w:rsidRPr="00E97F25">
        <w:t xml:space="preserve"> develop their judgement</w:t>
      </w:r>
      <w:r w:rsidR="000D26FA" w:rsidRPr="00E97F25">
        <w:t>,</w:t>
      </w:r>
      <w:r w:rsidR="00574F61" w:rsidRPr="00E97F25">
        <w:t xml:space="preserve"> </w:t>
      </w:r>
      <w:r w:rsidR="00F05066" w:rsidRPr="00E97F25">
        <w:t xml:space="preserve">and recommended the </w:t>
      </w:r>
      <w:r w:rsidR="00574F61" w:rsidRPr="00E97F25">
        <w:t xml:space="preserve">long </w:t>
      </w:r>
      <w:r w:rsidR="00F05066" w:rsidRPr="00E97F25">
        <w:t xml:space="preserve">gallery as the best place to </w:t>
      </w:r>
      <w:r w:rsidR="00574F61" w:rsidRPr="00E97F25">
        <w:t xml:space="preserve">display </w:t>
      </w:r>
      <w:r w:rsidR="00FB10A7" w:rsidRPr="00E97F25">
        <w:t xml:space="preserve">pictures </w:t>
      </w:r>
      <w:r w:rsidR="00F5098E" w:rsidRPr="00E97F25">
        <w:t xml:space="preserve">in the home. This </w:t>
      </w:r>
      <w:r w:rsidR="00D86B8C" w:rsidRPr="00E97F25">
        <w:t>article</w:t>
      </w:r>
      <w:r w:rsidR="00F5098E" w:rsidRPr="00E97F25">
        <w:t xml:space="preserve"> will take this premise one step further to consider </w:t>
      </w:r>
      <w:r w:rsidR="00800816" w:rsidRPr="00E97F25">
        <w:t xml:space="preserve">a </w:t>
      </w:r>
      <w:r w:rsidR="00EF45E1" w:rsidRPr="00E97F25">
        <w:t>range of</w:t>
      </w:r>
      <w:r w:rsidR="00F5098E" w:rsidRPr="00E97F25">
        <w:t xml:space="preserve"> ways in which early modern men and women might have seen the textiles that surrounded them in the domestic sphere.</w:t>
      </w:r>
      <w:r w:rsidR="00F5098E" w:rsidRPr="00E97F25">
        <w:rPr>
          <w:rStyle w:val="EndnoteReference"/>
        </w:rPr>
        <w:endnoteReference w:id="2"/>
      </w:r>
      <w:r w:rsidR="00F5098E" w:rsidRPr="00E97F25">
        <w:t xml:space="preserve"> </w:t>
      </w:r>
      <w:r w:rsidR="00D73E39" w:rsidRPr="00E97F25">
        <w:t xml:space="preserve">Reviewing the different ways in which early modern people saw their world should help to explain why many interiors were decorated and furnished with textiles as they were. This article </w:t>
      </w:r>
      <w:r w:rsidR="0077366E" w:rsidRPr="00E97F25">
        <w:t xml:space="preserve">surveys a variety of contexts for early modern sight, </w:t>
      </w:r>
      <w:r w:rsidR="00D73E39" w:rsidRPr="00E97F25">
        <w:t xml:space="preserve">ranging </w:t>
      </w:r>
      <w:r w:rsidR="0077366E" w:rsidRPr="00E97F25">
        <w:t xml:space="preserve">from the way it was seen to relate to the other senses, to the practical and conceptual constraints on and possibilities for seeing, to the influence of these specifically early modern attitudes on ways of viewing the domestic interior. </w:t>
      </w:r>
      <w:r w:rsidR="00D73E39" w:rsidRPr="00E97F25">
        <w:t xml:space="preserve">It suggests that </w:t>
      </w:r>
      <w:r w:rsidR="00F5098E" w:rsidRPr="00E97F25">
        <w:t>individuals were actively engaged in interested looking as they walked through the rooms of their own homes and those of their friends</w:t>
      </w:r>
      <w:r w:rsidR="00CB48D3" w:rsidRPr="00E97F25">
        <w:t>, neighbours and acquaintances.</w:t>
      </w:r>
      <w:r w:rsidR="00F5098E" w:rsidRPr="00E97F25">
        <w:rPr>
          <w:iCs/>
          <w:lang w:val="en-US"/>
        </w:rPr>
        <w:t xml:space="preserve"> </w:t>
      </w:r>
    </w:p>
    <w:p w14:paraId="301CB961" w14:textId="6213B853" w:rsidR="00F5098E" w:rsidRPr="00E97F25" w:rsidRDefault="00F5098E" w:rsidP="001844BC">
      <w:pPr>
        <w:spacing w:line="360" w:lineRule="auto"/>
        <w:ind w:firstLine="720"/>
        <w:jc w:val="both"/>
      </w:pPr>
      <w:r w:rsidRPr="00E97F25">
        <w:lastRenderedPageBreak/>
        <w:t xml:space="preserve">Early modern England </w:t>
      </w:r>
      <w:r w:rsidR="00D73E39" w:rsidRPr="00E97F25">
        <w:t xml:space="preserve">was </w:t>
      </w:r>
      <w:r w:rsidRPr="00E97F25">
        <w:t xml:space="preserve">a visual society, where pictures and symbols were used to convey information ranging from ideas about faith via </w:t>
      </w:r>
      <w:r w:rsidR="006237E5" w:rsidRPr="00E97F25">
        <w:t xml:space="preserve">wall </w:t>
      </w:r>
      <w:r w:rsidRPr="00E97F25">
        <w:t>paint</w:t>
      </w:r>
      <w:r w:rsidR="006237E5" w:rsidRPr="00E97F25">
        <w:t xml:space="preserve">ings in </w:t>
      </w:r>
      <w:r w:rsidRPr="00E97F25">
        <w:t xml:space="preserve">the parish church to concepts of civic authority conveyed by placing the royal coat of arms in </w:t>
      </w:r>
      <w:r w:rsidR="00991C47" w:rsidRPr="00E97F25">
        <w:t>civic, religious and</w:t>
      </w:r>
      <w:r w:rsidRPr="00E97F25">
        <w:t xml:space="preserve"> </w:t>
      </w:r>
      <w:r w:rsidR="000F7B79" w:rsidRPr="00E97F25">
        <w:t xml:space="preserve">domestic </w:t>
      </w:r>
      <w:r w:rsidRPr="00E97F25">
        <w:t>building</w:t>
      </w:r>
      <w:r w:rsidR="00991C47" w:rsidRPr="00E97F25">
        <w:t>s</w:t>
      </w:r>
      <w:r w:rsidR="00A3707E">
        <w:t>. The</w:t>
      </w:r>
      <w:r w:rsidRPr="00E97F25">
        <w:t xml:space="preserve"> period also witnessed growing degrees of literacy amongst the laity</w:t>
      </w:r>
      <w:r w:rsidR="00242E11" w:rsidRPr="00E97F25">
        <w:t>,</w:t>
      </w:r>
      <w:r w:rsidRPr="00E97F25">
        <w:t xml:space="preserve"> but this did not mean that the visual lost value</w:t>
      </w:r>
      <w:r w:rsidR="006237E5" w:rsidRPr="00E97F25">
        <w:t xml:space="preserve">. As Philip Stubbs demonstrated in </w:t>
      </w:r>
      <w:r w:rsidR="006237E5" w:rsidRPr="00E97F25">
        <w:rPr>
          <w:i/>
        </w:rPr>
        <w:t xml:space="preserve">The </w:t>
      </w:r>
      <w:proofErr w:type="spellStart"/>
      <w:r w:rsidR="006237E5" w:rsidRPr="00E97F25">
        <w:rPr>
          <w:i/>
        </w:rPr>
        <w:t>Anatomie</w:t>
      </w:r>
      <w:proofErr w:type="spellEnd"/>
      <w:r w:rsidR="006237E5" w:rsidRPr="00E97F25">
        <w:rPr>
          <w:i/>
        </w:rPr>
        <w:t xml:space="preserve"> of Abuses</w:t>
      </w:r>
      <w:r w:rsidR="006237E5" w:rsidRPr="00E97F25">
        <w:t xml:space="preserve"> (1581), one </w:t>
      </w:r>
      <w:r w:rsidR="00FB10A7" w:rsidRPr="00E97F25">
        <w:t xml:space="preserve">thing </w:t>
      </w:r>
      <w:r w:rsidR="006237E5" w:rsidRPr="00E97F25">
        <w:t>many people looked at, and pondered, was clothing, because p</w:t>
      </w:r>
      <w:r w:rsidRPr="00E97F25">
        <w:t xml:space="preserve">rior to the abolition of the </w:t>
      </w:r>
      <w:r w:rsidR="001844BC" w:rsidRPr="00E97F25">
        <w:t>A</w:t>
      </w:r>
      <w:r w:rsidRPr="00E97F25">
        <w:t xml:space="preserve">cts of </w:t>
      </w:r>
      <w:r w:rsidR="001844BC" w:rsidRPr="00E97F25">
        <w:t>A</w:t>
      </w:r>
      <w:r w:rsidRPr="00E97F25">
        <w:t>pparel</w:t>
      </w:r>
      <w:r w:rsidR="00961F71" w:rsidRPr="00E97F25">
        <w:t xml:space="preserve"> </w:t>
      </w:r>
      <w:r w:rsidRPr="00E97F25">
        <w:t xml:space="preserve">in 1604, </w:t>
      </w:r>
      <w:r w:rsidR="00FB10A7" w:rsidRPr="00E97F25">
        <w:t xml:space="preserve">dress </w:t>
      </w:r>
      <w:r w:rsidRPr="00E97F25">
        <w:t>was supposed to define a person’s rank, especially a man’s rank, and make it clear to all who knew what to look for.</w:t>
      </w:r>
      <w:r w:rsidRPr="00E97F25">
        <w:rPr>
          <w:rStyle w:val="EndnoteReference"/>
        </w:rPr>
        <w:endnoteReference w:id="3"/>
      </w:r>
      <w:r w:rsidRPr="00E97F25">
        <w:t xml:space="preserve"> The </w:t>
      </w:r>
      <w:r w:rsidR="00961F71" w:rsidRPr="00E97F25">
        <w:t>C</w:t>
      </w:r>
      <w:r w:rsidR="0012531C" w:rsidRPr="00E97F25">
        <w:t>rown</w:t>
      </w:r>
      <w:r w:rsidRPr="00E97F25">
        <w:t xml:space="preserve"> did not seek to control how individual</w:t>
      </w:r>
      <w:r w:rsidR="00961F71" w:rsidRPr="00E97F25">
        <w:t>s</w:t>
      </w:r>
      <w:r w:rsidRPr="00E97F25">
        <w:t xml:space="preserve"> </w:t>
      </w:r>
      <w:r w:rsidR="00574F61" w:rsidRPr="00E97F25">
        <w:t xml:space="preserve">used textiles to </w:t>
      </w:r>
      <w:r w:rsidRPr="00E97F25">
        <w:t xml:space="preserve">furnish their home in relation to their social status, probably because </w:t>
      </w:r>
      <w:r w:rsidR="00961F71" w:rsidRPr="00E97F25">
        <w:t xml:space="preserve">this </w:t>
      </w:r>
      <w:r w:rsidRPr="00E97F25">
        <w:t>was hard to police</w:t>
      </w:r>
      <w:r w:rsidR="00961F71" w:rsidRPr="00E97F25">
        <w:t xml:space="preserve"> – being </w:t>
      </w:r>
      <w:r w:rsidRPr="00E97F25">
        <w:t xml:space="preserve">inside the home </w:t>
      </w:r>
      <w:r w:rsidR="00961F71" w:rsidRPr="00E97F25">
        <w:t xml:space="preserve">they were </w:t>
      </w:r>
      <w:r w:rsidRPr="00E97F25">
        <w:t xml:space="preserve">only </w:t>
      </w:r>
      <w:r w:rsidR="00574F61" w:rsidRPr="00E97F25">
        <w:t xml:space="preserve">visible </w:t>
      </w:r>
      <w:r w:rsidRPr="00E97F25">
        <w:t xml:space="preserve">to those the owner invited in. However, while </w:t>
      </w:r>
      <w:r w:rsidR="00574F61" w:rsidRPr="00E97F25">
        <w:t xml:space="preserve">domestic </w:t>
      </w:r>
      <w:r w:rsidRPr="00E97F25">
        <w:t xml:space="preserve">displays of wealth were not actively regulated, objects </w:t>
      </w:r>
      <w:r w:rsidR="00FB10A7" w:rsidRPr="00E97F25">
        <w:t xml:space="preserve">including textiles </w:t>
      </w:r>
      <w:r w:rsidRPr="00E97F25">
        <w:t xml:space="preserve">that might inspire </w:t>
      </w:r>
      <w:r w:rsidR="00961F71" w:rsidRPr="00E97F25">
        <w:t>faith or heresy in the beholder</w:t>
      </w:r>
      <w:r w:rsidRPr="00E97F25">
        <w:t xml:space="preserve"> </w:t>
      </w:r>
      <w:r w:rsidR="00961F71" w:rsidRPr="00E97F25">
        <w:t>(</w:t>
      </w:r>
      <w:r w:rsidRPr="00E97F25">
        <w:t xml:space="preserve">dependent upon </w:t>
      </w:r>
      <w:r w:rsidR="00961F71" w:rsidRPr="00E97F25">
        <w:t>the</w:t>
      </w:r>
      <w:r w:rsidRPr="00E97F25">
        <w:t xml:space="preserve"> point of view</w:t>
      </w:r>
      <w:r w:rsidR="00961F71" w:rsidRPr="00E97F25">
        <w:t>)</w:t>
      </w:r>
      <w:r w:rsidRPr="00E97F25">
        <w:t>, were. Elizabethan injunctions included the declaration that ‘no persons keep in their houses, any abused images, tables, pictures, paintings, and other monuments of feigned miracles, pilgrimages, idolatry, and superstition’.</w:t>
      </w:r>
      <w:r w:rsidRPr="00E97F25">
        <w:rPr>
          <w:rStyle w:val="EndnoteReference"/>
        </w:rPr>
        <w:endnoteReference w:id="4"/>
      </w:r>
    </w:p>
    <w:p w14:paraId="59008FE9" w14:textId="5F3D4229" w:rsidR="00F5098E" w:rsidRPr="00E97F25" w:rsidRDefault="00EA036D" w:rsidP="002E77A9">
      <w:pPr>
        <w:spacing w:line="360" w:lineRule="auto"/>
        <w:ind w:firstLine="720"/>
        <w:jc w:val="both"/>
      </w:pPr>
      <w:r w:rsidRPr="00E97F25">
        <w:t>I</w:t>
      </w:r>
      <w:r w:rsidR="00F5098E" w:rsidRPr="00E97F25">
        <w:t xml:space="preserve">t is important to acknowledge </w:t>
      </w:r>
      <w:r w:rsidR="004C20E7" w:rsidRPr="00E97F25">
        <w:t xml:space="preserve">the provisional nature of the comments made here </w:t>
      </w:r>
      <w:r w:rsidR="00800816" w:rsidRPr="00E97F25">
        <w:t>–</w:t>
      </w:r>
      <w:r w:rsidR="000F7B79" w:rsidRPr="00E97F25">
        <w:t xml:space="preserve"> </w:t>
      </w:r>
      <w:r w:rsidR="00800816" w:rsidRPr="00E97F25">
        <w:t xml:space="preserve">this is an exploratory piece, which </w:t>
      </w:r>
      <w:r w:rsidR="00FB10A7" w:rsidRPr="00E97F25">
        <w:t>does n</w:t>
      </w:r>
      <w:r w:rsidR="00800816" w:rsidRPr="00E97F25">
        <w:t>ot provide a systematic investigation of the early modern sensory experience in the domestic interior</w:t>
      </w:r>
      <w:r w:rsidR="00A3138B" w:rsidRPr="00E97F25">
        <w:t>. W</w:t>
      </w:r>
      <w:r w:rsidR="00991C47" w:rsidRPr="00E97F25">
        <w:t>hilst</w:t>
      </w:r>
      <w:r w:rsidR="00800816" w:rsidRPr="00E97F25">
        <w:t xml:space="preserve"> </w:t>
      </w:r>
      <w:r w:rsidR="00F5098E" w:rsidRPr="00E97F25">
        <w:t>it is impossible to be certain how people in the past viewed their domestic environment</w:t>
      </w:r>
      <w:r w:rsidR="0077366E" w:rsidRPr="00E97F25">
        <w:t xml:space="preserve">, </w:t>
      </w:r>
      <w:r w:rsidR="00F5098E" w:rsidRPr="00E97F25">
        <w:t xml:space="preserve">hints can be gleaned </w:t>
      </w:r>
      <w:r w:rsidR="006F24E7" w:rsidRPr="00E97F25">
        <w:t>from</w:t>
      </w:r>
      <w:r w:rsidR="00F5098E" w:rsidRPr="00E97F25">
        <w:t xml:space="preserve"> how early modern people thought about the senses, and sight in particular</w:t>
      </w:r>
      <w:r w:rsidRPr="00E97F25">
        <w:t>, by</w:t>
      </w:r>
      <w:r w:rsidR="00F5098E" w:rsidRPr="00E97F25">
        <w:t xml:space="preserve"> the implications of the different meanings that can be applied to the words ‘look’ and ‘see’</w:t>
      </w:r>
      <w:r w:rsidRPr="00E97F25">
        <w:t>,</w:t>
      </w:r>
      <w:r w:rsidR="00F5098E" w:rsidRPr="00E97F25">
        <w:t xml:space="preserve"> and </w:t>
      </w:r>
      <w:r w:rsidRPr="00E97F25">
        <w:t xml:space="preserve">by </w:t>
      </w:r>
      <w:r w:rsidR="00F5098E" w:rsidRPr="00E97F25">
        <w:t>what can be pieced together about the viewing of early modern domestic interiors from written sources such as inventories.</w:t>
      </w:r>
      <w:r w:rsidR="0012531C" w:rsidRPr="00E97F25">
        <w:rPr>
          <w:rStyle w:val="EndnoteReference"/>
        </w:rPr>
        <w:endnoteReference w:id="5"/>
      </w:r>
      <w:r w:rsidR="00F5098E" w:rsidRPr="00E97F25">
        <w:t xml:space="preserve"> This paper seeks to draw out </w:t>
      </w:r>
      <w:r w:rsidR="00AA2A83" w:rsidRPr="00E97F25">
        <w:t xml:space="preserve">some of </w:t>
      </w:r>
      <w:r w:rsidR="00F5098E" w:rsidRPr="00E97F25">
        <w:t>the complexities of looking and seeing in the early modern home</w:t>
      </w:r>
      <w:r w:rsidR="00991C47" w:rsidRPr="00E97F25">
        <w:t>, both exploring general, cultural</w:t>
      </w:r>
      <w:r w:rsidR="00763CEF">
        <w:t>ly</w:t>
      </w:r>
      <w:r w:rsidR="00991C47" w:rsidRPr="00E97F25">
        <w:t>-determined ways of seeing</w:t>
      </w:r>
      <w:r w:rsidR="00F5098E" w:rsidRPr="00E97F25">
        <w:t xml:space="preserve"> and demonstrat</w:t>
      </w:r>
      <w:r w:rsidR="00991C47" w:rsidRPr="00E97F25">
        <w:t>ing</w:t>
      </w:r>
      <w:r w:rsidR="00F5098E" w:rsidRPr="00E97F25">
        <w:t xml:space="preserve"> how two individuals could look at the same object and see it and read it in different ways. </w:t>
      </w:r>
      <w:r w:rsidR="00A3138B" w:rsidRPr="00E97F25">
        <w:t xml:space="preserve">As such, along with the other papers in this </w:t>
      </w:r>
      <w:r w:rsidR="0057790A" w:rsidRPr="00E97F25">
        <w:t>special issue</w:t>
      </w:r>
      <w:r w:rsidR="00A3138B" w:rsidRPr="00E97F25">
        <w:t>, it may</w:t>
      </w:r>
      <w:r w:rsidR="0057790A" w:rsidRPr="00E97F25">
        <w:t xml:space="preserve"> help</w:t>
      </w:r>
      <w:r w:rsidR="00A3138B" w:rsidRPr="00E97F25">
        <w:t xml:space="preserve"> shape the agenda for future research into early modern domestic textiles </w:t>
      </w:r>
      <w:r w:rsidR="0057790A" w:rsidRPr="00E97F25">
        <w:t xml:space="preserve">and the ways they were </w:t>
      </w:r>
      <w:r w:rsidR="00A3138B" w:rsidRPr="00E97F25">
        <w:t>viewed.</w:t>
      </w:r>
    </w:p>
    <w:p w14:paraId="059DB70A" w14:textId="77777777" w:rsidR="00F5098E" w:rsidRPr="00E97F25" w:rsidRDefault="00F5098E" w:rsidP="002E77A9">
      <w:pPr>
        <w:spacing w:line="360" w:lineRule="auto"/>
        <w:jc w:val="both"/>
      </w:pPr>
    </w:p>
    <w:p w14:paraId="0E83A27F" w14:textId="77777777" w:rsidR="00F5098E" w:rsidRPr="00E97F25" w:rsidRDefault="00F5098E" w:rsidP="002E77A9">
      <w:pPr>
        <w:spacing w:line="360" w:lineRule="auto"/>
        <w:rPr>
          <w:smallCaps/>
          <w:lang w:eastAsia="en-GB"/>
        </w:rPr>
      </w:pPr>
      <w:r w:rsidRPr="00E97F25">
        <w:rPr>
          <w:smallCaps/>
          <w:lang w:eastAsia="en-GB"/>
        </w:rPr>
        <w:t xml:space="preserve">Early </w:t>
      </w:r>
      <w:r w:rsidR="00F958F0" w:rsidRPr="00E97F25">
        <w:rPr>
          <w:smallCaps/>
          <w:lang w:eastAsia="en-GB"/>
        </w:rPr>
        <w:t>Modern Views of Sight and the Senses</w:t>
      </w:r>
    </w:p>
    <w:p w14:paraId="6AFDADE3" w14:textId="77777777" w:rsidR="00F5098E" w:rsidRPr="00E97F25" w:rsidRDefault="00F5098E" w:rsidP="002E77A9">
      <w:pPr>
        <w:spacing w:line="360" w:lineRule="auto"/>
        <w:jc w:val="both"/>
      </w:pPr>
    </w:p>
    <w:p w14:paraId="2104CFCF" w14:textId="38857386" w:rsidR="00790F63" w:rsidRPr="00E97F25" w:rsidRDefault="00F5098E" w:rsidP="002E77A9">
      <w:pPr>
        <w:spacing w:line="360" w:lineRule="auto"/>
        <w:jc w:val="both"/>
        <w:rPr>
          <w:iCs/>
          <w:lang w:val="en-US"/>
        </w:rPr>
      </w:pPr>
      <w:r w:rsidRPr="00E97F25">
        <w:t>Early modern interest in the senses</w:t>
      </w:r>
      <w:r w:rsidR="00D31B30">
        <w:t>,</w:t>
      </w:r>
      <w:r w:rsidRPr="00E97F25">
        <w:t xml:space="preserve"> and the multiplicity of ways in which they could be interpreted conceptually</w:t>
      </w:r>
      <w:r w:rsidR="00F958F0" w:rsidRPr="00E97F25">
        <w:t>,</w:t>
      </w:r>
      <w:r w:rsidRPr="00E97F25">
        <w:t xml:space="preserve"> demonstrated their ability to fascinate. For some, the senses were the route to sensual pleasure.</w:t>
      </w:r>
      <w:r w:rsidRPr="00E97F25">
        <w:rPr>
          <w:rStyle w:val="EndnoteReference"/>
        </w:rPr>
        <w:endnoteReference w:id="6"/>
      </w:r>
      <w:r w:rsidRPr="00E97F25">
        <w:t xml:space="preserve"> For others, including the philosopher John Locke</w:t>
      </w:r>
      <w:r w:rsidR="00D01D85" w:rsidRPr="00E97F25">
        <w:t xml:space="preserve"> (1632</w:t>
      </w:r>
      <w:r w:rsidR="00F958F0" w:rsidRPr="00E97F25">
        <w:t>–</w:t>
      </w:r>
      <w:r w:rsidR="00D01D85" w:rsidRPr="00E97F25">
        <w:t>1704)</w:t>
      </w:r>
      <w:r w:rsidRPr="00E97F25">
        <w:t>, the senses were a means of gaining knowledge.</w:t>
      </w:r>
      <w:r w:rsidRPr="00E97F25">
        <w:rPr>
          <w:rStyle w:val="EndnoteReference"/>
        </w:rPr>
        <w:endnoteReference w:id="7"/>
      </w:r>
      <w:r w:rsidRPr="00E97F25">
        <w:t xml:space="preserve"> The senses could also influence </w:t>
      </w:r>
      <w:r w:rsidR="00FB10A7" w:rsidRPr="00E97F25">
        <w:t xml:space="preserve">an individual’s </w:t>
      </w:r>
      <w:r w:rsidRPr="00E97F25">
        <w:t>well-being</w:t>
      </w:r>
      <w:r w:rsidR="00F958F0" w:rsidRPr="00E97F25">
        <w:t>,</w:t>
      </w:r>
      <w:r w:rsidRPr="00E97F25">
        <w:t xml:space="preserve"> as indicated by Mary </w:t>
      </w:r>
      <w:r w:rsidRPr="00E97F25">
        <w:lastRenderedPageBreak/>
        <w:t xml:space="preserve">Queen of Scots’ comment in September 1570 that looking at and working on the embroidery designs created for </w:t>
      </w:r>
      <w:r w:rsidR="00370BC9" w:rsidRPr="00E97F25">
        <w:t>her by Bastian Pages, a gentlema</w:t>
      </w:r>
      <w:r w:rsidRPr="00E97F25">
        <w:t>n of her chamber, ‘in this dreary time cheers me’.</w:t>
      </w:r>
      <w:r w:rsidRPr="00E97F25">
        <w:rPr>
          <w:rStyle w:val="EndnoteReference"/>
        </w:rPr>
        <w:endnoteReference w:id="8"/>
      </w:r>
      <w:r w:rsidRPr="00E97F25">
        <w:t xml:space="preserve"> </w:t>
      </w:r>
      <w:r w:rsidR="00854D9C" w:rsidRPr="00E97F25">
        <w:t>T</w:t>
      </w:r>
      <w:r w:rsidRPr="00E97F25">
        <w:t xml:space="preserve">his very </w:t>
      </w:r>
      <w:r w:rsidR="00D31B30">
        <w:t>multiplicity</w:t>
      </w:r>
      <w:r w:rsidRPr="00E97F25">
        <w:t xml:space="preserve"> meant that sight </w:t>
      </w:r>
      <w:r w:rsidR="00AA2A83" w:rsidRPr="00E97F25">
        <w:t xml:space="preserve">was </w:t>
      </w:r>
      <w:r w:rsidRPr="00E97F25">
        <w:t>contentious</w:t>
      </w:r>
      <w:r w:rsidR="0008484A" w:rsidRPr="00E97F25">
        <w:t>;</w:t>
      </w:r>
      <w:r w:rsidRPr="00E97F25">
        <w:t xml:space="preserve"> increasingly</w:t>
      </w:r>
      <w:r w:rsidR="0008484A" w:rsidRPr="00E97F25">
        <w:t>,</w:t>
      </w:r>
      <w:r w:rsidRPr="00E97F25">
        <w:t xml:space="preserve"> the way that individuals thought about seeing reflected their religious persuasion. </w:t>
      </w:r>
      <w:r w:rsidRPr="00E97F25">
        <w:rPr>
          <w:iCs/>
          <w:lang w:val="en-US"/>
        </w:rPr>
        <w:t xml:space="preserve">Stephen Gardiner, bishop of Winchester, </w:t>
      </w:r>
      <w:r w:rsidR="00E011AF" w:rsidRPr="00E97F25">
        <w:rPr>
          <w:iCs/>
          <w:lang w:val="en-US"/>
        </w:rPr>
        <w:t xml:space="preserve">identified the problem that some individuals had with religious imagery when he declared in </w:t>
      </w:r>
      <w:r w:rsidRPr="00E97F25">
        <w:rPr>
          <w:iCs/>
          <w:lang w:val="en-US"/>
        </w:rPr>
        <w:t>1544</w:t>
      </w:r>
      <w:r w:rsidR="0008484A" w:rsidRPr="00E97F25">
        <w:rPr>
          <w:iCs/>
          <w:lang w:val="en-US"/>
        </w:rPr>
        <w:t>:</w:t>
      </w:r>
      <w:r w:rsidRPr="00E97F25">
        <w:rPr>
          <w:iCs/>
          <w:lang w:val="en-US"/>
        </w:rPr>
        <w:t xml:space="preserve"> ‘they </w:t>
      </w:r>
      <w:proofErr w:type="spellStart"/>
      <w:r w:rsidRPr="00E97F25">
        <w:rPr>
          <w:iCs/>
          <w:lang w:val="en-US"/>
        </w:rPr>
        <w:t>wold</w:t>
      </w:r>
      <w:proofErr w:type="spellEnd"/>
      <w:r w:rsidRPr="00E97F25">
        <w:rPr>
          <w:iCs/>
          <w:lang w:val="en-US"/>
        </w:rPr>
        <w:t xml:space="preserve"> we </w:t>
      </w:r>
      <w:proofErr w:type="spellStart"/>
      <w:r w:rsidRPr="00E97F25">
        <w:rPr>
          <w:iCs/>
          <w:lang w:val="en-US"/>
        </w:rPr>
        <w:t>shuld</w:t>
      </w:r>
      <w:proofErr w:type="spellEnd"/>
      <w:r w:rsidRPr="00E97F25">
        <w:rPr>
          <w:iCs/>
          <w:lang w:val="en-US"/>
        </w:rPr>
        <w:t xml:space="preserve"> se </w:t>
      </w:r>
      <w:proofErr w:type="spellStart"/>
      <w:r w:rsidRPr="00E97F25">
        <w:rPr>
          <w:iCs/>
          <w:lang w:val="en-US"/>
        </w:rPr>
        <w:t>nothyng</w:t>
      </w:r>
      <w:proofErr w:type="spellEnd"/>
      <w:r w:rsidRPr="00E97F25">
        <w:rPr>
          <w:iCs/>
          <w:lang w:val="en-US"/>
        </w:rPr>
        <w:t xml:space="preserve"> in remembrance of Christ, and therefore can they not </w:t>
      </w:r>
      <w:proofErr w:type="spellStart"/>
      <w:r w:rsidRPr="00E97F25">
        <w:rPr>
          <w:iCs/>
          <w:lang w:val="en-US"/>
        </w:rPr>
        <w:t>abyde</w:t>
      </w:r>
      <w:proofErr w:type="spellEnd"/>
      <w:r w:rsidRPr="00E97F25">
        <w:rPr>
          <w:iCs/>
          <w:lang w:val="en-US"/>
        </w:rPr>
        <w:t xml:space="preserve"> image’.</w:t>
      </w:r>
      <w:r w:rsidRPr="00E97F25">
        <w:rPr>
          <w:rStyle w:val="EndnoteReference"/>
          <w:iCs/>
          <w:lang w:val="en-US"/>
        </w:rPr>
        <w:endnoteReference w:id="9"/>
      </w:r>
      <w:r w:rsidRPr="00E97F25">
        <w:rPr>
          <w:iCs/>
          <w:lang w:val="en-US"/>
        </w:rPr>
        <w:t xml:space="preserve"> </w:t>
      </w:r>
    </w:p>
    <w:p w14:paraId="50A4F2DE" w14:textId="72ADB12C" w:rsidR="00DF755E" w:rsidRPr="00E97F25" w:rsidRDefault="00854D9C" w:rsidP="002E77A9">
      <w:pPr>
        <w:spacing w:line="360" w:lineRule="auto"/>
        <w:ind w:firstLine="720"/>
        <w:jc w:val="both"/>
      </w:pPr>
      <w:r w:rsidRPr="00E97F25">
        <w:rPr>
          <w:iCs/>
          <w:lang w:val="en-US"/>
        </w:rPr>
        <w:t xml:space="preserve">Henry VIII </w:t>
      </w:r>
      <w:r w:rsidR="00697187" w:rsidRPr="00E97F25">
        <w:rPr>
          <w:iCs/>
          <w:lang w:val="en-US"/>
        </w:rPr>
        <w:t>serves as</w:t>
      </w:r>
      <w:r w:rsidRPr="00E97F25">
        <w:rPr>
          <w:iCs/>
          <w:lang w:val="en-US"/>
        </w:rPr>
        <w:t xml:space="preserve"> a g</w:t>
      </w:r>
      <w:r w:rsidR="00697187" w:rsidRPr="00E97F25">
        <w:rPr>
          <w:iCs/>
          <w:lang w:val="en-US"/>
        </w:rPr>
        <w:t>o</w:t>
      </w:r>
      <w:r w:rsidRPr="00E97F25">
        <w:rPr>
          <w:iCs/>
          <w:lang w:val="en-US"/>
        </w:rPr>
        <w:t xml:space="preserve">od example of an individual who had a </w:t>
      </w:r>
      <w:r w:rsidR="00A22196" w:rsidRPr="00E97F25">
        <w:rPr>
          <w:iCs/>
          <w:lang w:val="en-US"/>
        </w:rPr>
        <w:t>complex relationship with religious images</w:t>
      </w:r>
      <w:r w:rsidR="00AA2A83" w:rsidRPr="00E97F25">
        <w:rPr>
          <w:iCs/>
          <w:lang w:val="en-US"/>
        </w:rPr>
        <w:t xml:space="preserve"> and text</w:t>
      </w:r>
      <w:r w:rsidR="00D31B30">
        <w:rPr>
          <w:iCs/>
          <w:lang w:val="en-US"/>
        </w:rPr>
        <w:t>s</w:t>
      </w:r>
      <w:r w:rsidR="00A22196" w:rsidRPr="00E97F25">
        <w:rPr>
          <w:iCs/>
          <w:lang w:val="en-US"/>
        </w:rPr>
        <w:t xml:space="preserve">. </w:t>
      </w:r>
      <w:r w:rsidR="00697187" w:rsidRPr="00E97F25">
        <w:rPr>
          <w:iCs/>
          <w:lang w:val="en-US"/>
        </w:rPr>
        <w:t xml:space="preserve">His </w:t>
      </w:r>
      <w:r w:rsidR="00A22196" w:rsidRPr="00E97F25">
        <w:rPr>
          <w:iCs/>
          <w:lang w:val="en-US"/>
        </w:rPr>
        <w:t xml:space="preserve">collection of pictures at Whitehall </w:t>
      </w:r>
      <w:r w:rsidR="00AA2A83" w:rsidRPr="00E97F25">
        <w:rPr>
          <w:iCs/>
          <w:lang w:val="en-US"/>
        </w:rPr>
        <w:t xml:space="preserve">included the provocative </w:t>
      </w:r>
      <w:r w:rsidR="00A22196" w:rsidRPr="00E97F25">
        <w:rPr>
          <w:iCs/>
          <w:lang w:val="en-US"/>
        </w:rPr>
        <w:t xml:space="preserve">‘Table with the picture of </w:t>
      </w:r>
      <w:proofErr w:type="spellStart"/>
      <w:r w:rsidR="00A22196" w:rsidRPr="00E97F25">
        <w:rPr>
          <w:iCs/>
          <w:lang w:val="en-US"/>
        </w:rPr>
        <w:t>kynge</w:t>
      </w:r>
      <w:proofErr w:type="spellEnd"/>
      <w:r w:rsidR="00A22196" w:rsidRPr="00E97F25">
        <w:rPr>
          <w:iCs/>
          <w:lang w:val="en-US"/>
        </w:rPr>
        <w:t xml:space="preserve"> </w:t>
      </w:r>
      <w:proofErr w:type="spellStart"/>
      <w:r w:rsidR="00A22196" w:rsidRPr="00E97F25">
        <w:rPr>
          <w:iCs/>
          <w:lang w:val="en-US"/>
        </w:rPr>
        <w:t>henrye</w:t>
      </w:r>
      <w:proofErr w:type="spellEnd"/>
      <w:r w:rsidR="00A22196" w:rsidRPr="00E97F25">
        <w:rPr>
          <w:iCs/>
          <w:lang w:val="en-US"/>
        </w:rPr>
        <w:t xml:space="preserve"> </w:t>
      </w:r>
      <w:proofErr w:type="spellStart"/>
      <w:r w:rsidR="00A22196" w:rsidRPr="00E97F25">
        <w:rPr>
          <w:iCs/>
          <w:lang w:val="en-US"/>
        </w:rPr>
        <w:t>theight</w:t>
      </w:r>
      <w:proofErr w:type="spellEnd"/>
      <w:r w:rsidR="00A22196" w:rsidRPr="00E97F25">
        <w:rPr>
          <w:iCs/>
          <w:lang w:val="en-US"/>
        </w:rPr>
        <w:t xml:space="preserve"> </w:t>
      </w:r>
      <w:proofErr w:type="spellStart"/>
      <w:r w:rsidR="00A22196" w:rsidRPr="00E97F25">
        <w:rPr>
          <w:iCs/>
          <w:lang w:val="en-US"/>
        </w:rPr>
        <w:t>standinge</w:t>
      </w:r>
      <w:proofErr w:type="spellEnd"/>
      <w:r w:rsidR="00A22196" w:rsidRPr="00E97F25">
        <w:rPr>
          <w:iCs/>
          <w:lang w:val="en-US"/>
        </w:rPr>
        <w:t xml:space="preserve"> </w:t>
      </w:r>
      <w:proofErr w:type="spellStart"/>
      <w:r w:rsidR="00A22196" w:rsidRPr="00E97F25">
        <w:rPr>
          <w:iCs/>
          <w:lang w:val="en-US"/>
        </w:rPr>
        <w:t>vppon</w:t>
      </w:r>
      <w:proofErr w:type="spellEnd"/>
      <w:r w:rsidR="00A22196" w:rsidRPr="00E97F25">
        <w:rPr>
          <w:iCs/>
          <w:lang w:val="en-US"/>
        </w:rPr>
        <w:t xml:space="preserve"> a </w:t>
      </w:r>
      <w:proofErr w:type="spellStart"/>
      <w:r w:rsidR="00A22196" w:rsidRPr="00E97F25">
        <w:rPr>
          <w:iCs/>
          <w:lang w:val="en-US"/>
        </w:rPr>
        <w:t>Myter</w:t>
      </w:r>
      <w:proofErr w:type="spellEnd"/>
      <w:r w:rsidR="00A22196" w:rsidRPr="00E97F25">
        <w:rPr>
          <w:iCs/>
          <w:lang w:val="en-US"/>
        </w:rPr>
        <w:t xml:space="preserve"> with three </w:t>
      </w:r>
      <w:proofErr w:type="spellStart"/>
      <w:r w:rsidR="00A22196" w:rsidRPr="00E97F25">
        <w:rPr>
          <w:iCs/>
          <w:lang w:val="en-US"/>
        </w:rPr>
        <w:t>crownes</w:t>
      </w:r>
      <w:proofErr w:type="spellEnd"/>
      <w:r w:rsidR="00A22196" w:rsidRPr="00E97F25">
        <w:rPr>
          <w:iCs/>
          <w:lang w:val="en-US"/>
        </w:rPr>
        <w:t xml:space="preserve"> </w:t>
      </w:r>
      <w:proofErr w:type="spellStart"/>
      <w:r w:rsidR="00A22196" w:rsidRPr="00E97F25">
        <w:rPr>
          <w:iCs/>
          <w:lang w:val="en-US"/>
        </w:rPr>
        <w:t>havinge</w:t>
      </w:r>
      <w:proofErr w:type="spellEnd"/>
      <w:r w:rsidR="00A22196" w:rsidRPr="00E97F25">
        <w:rPr>
          <w:iCs/>
          <w:lang w:val="en-US"/>
        </w:rPr>
        <w:t xml:space="preserve"> a </w:t>
      </w:r>
      <w:proofErr w:type="spellStart"/>
      <w:r w:rsidR="00A22196" w:rsidRPr="00E97F25">
        <w:rPr>
          <w:iCs/>
          <w:lang w:val="en-US"/>
        </w:rPr>
        <w:t>Sarpent</w:t>
      </w:r>
      <w:proofErr w:type="spellEnd"/>
      <w:r w:rsidR="00A22196" w:rsidRPr="00E97F25">
        <w:rPr>
          <w:iCs/>
          <w:lang w:val="en-US"/>
        </w:rPr>
        <w:t xml:space="preserve"> with seven </w:t>
      </w:r>
      <w:proofErr w:type="spellStart"/>
      <w:r w:rsidR="00A22196" w:rsidRPr="00E97F25">
        <w:rPr>
          <w:iCs/>
          <w:lang w:val="en-US"/>
        </w:rPr>
        <w:t>headdes</w:t>
      </w:r>
      <w:proofErr w:type="spellEnd"/>
      <w:r w:rsidR="00A22196" w:rsidRPr="00E97F25">
        <w:rPr>
          <w:iCs/>
          <w:lang w:val="en-US"/>
        </w:rPr>
        <w:t xml:space="preserve"> </w:t>
      </w:r>
      <w:proofErr w:type="spellStart"/>
      <w:r w:rsidR="00A22196" w:rsidRPr="00E97F25">
        <w:rPr>
          <w:iCs/>
          <w:lang w:val="en-US"/>
        </w:rPr>
        <w:t>commynge</w:t>
      </w:r>
      <w:proofErr w:type="spellEnd"/>
      <w:r w:rsidR="00A22196" w:rsidRPr="00E97F25">
        <w:rPr>
          <w:iCs/>
          <w:lang w:val="en-US"/>
        </w:rPr>
        <w:t xml:space="preserve"> </w:t>
      </w:r>
      <w:proofErr w:type="spellStart"/>
      <w:r w:rsidR="00A22196" w:rsidRPr="00E97F25">
        <w:rPr>
          <w:iCs/>
          <w:lang w:val="en-US"/>
        </w:rPr>
        <w:t>oute</w:t>
      </w:r>
      <w:proofErr w:type="spellEnd"/>
      <w:r w:rsidR="00A22196" w:rsidRPr="00E97F25">
        <w:rPr>
          <w:iCs/>
          <w:lang w:val="en-US"/>
        </w:rPr>
        <w:t xml:space="preserve"> of it and </w:t>
      </w:r>
      <w:proofErr w:type="spellStart"/>
      <w:r w:rsidR="00A22196" w:rsidRPr="00E97F25">
        <w:rPr>
          <w:iCs/>
          <w:lang w:val="en-US"/>
        </w:rPr>
        <w:t>havinge</w:t>
      </w:r>
      <w:proofErr w:type="spellEnd"/>
      <w:r w:rsidR="00A22196" w:rsidRPr="00E97F25">
        <w:rPr>
          <w:iCs/>
          <w:lang w:val="en-US"/>
        </w:rPr>
        <w:t xml:space="preserve"> a </w:t>
      </w:r>
      <w:proofErr w:type="spellStart"/>
      <w:r w:rsidR="00A22196" w:rsidRPr="00E97F25">
        <w:rPr>
          <w:iCs/>
          <w:lang w:val="en-US"/>
        </w:rPr>
        <w:t>sworde</w:t>
      </w:r>
      <w:proofErr w:type="spellEnd"/>
      <w:r w:rsidR="00A22196" w:rsidRPr="00E97F25">
        <w:rPr>
          <w:iCs/>
          <w:lang w:val="en-US"/>
        </w:rPr>
        <w:t xml:space="preserve"> in his </w:t>
      </w:r>
      <w:proofErr w:type="spellStart"/>
      <w:r w:rsidR="00A22196" w:rsidRPr="00E97F25">
        <w:rPr>
          <w:iCs/>
          <w:lang w:val="en-US"/>
        </w:rPr>
        <w:t>hande</w:t>
      </w:r>
      <w:proofErr w:type="spellEnd"/>
      <w:r w:rsidR="00A22196" w:rsidRPr="00E97F25">
        <w:rPr>
          <w:iCs/>
          <w:lang w:val="en-US"/>
        </w:rPr>
        <w:t xml:space="preserve"> </w:t>
      </w:r>
      <w:proofErr w:type="spellStart"/>
      <w:r w:rsidR="00A22196" w:rsidRPr="00E97F25">
        <w:rPr>
          <w:iCs/>
          <w:lang w:val="en-US"/>
        </w:rPr>
        <w:t>wherin</w:t>
      </w:r>
      <w:proofErr w:type="spellEnd"/>
      <w:r w:rsidR="00A22196" w:rsidRPr="00E97F25">
        <w:rPr>
          <w:iCs/>
          <w:lang w:val="en-US"/>
        </w:rPr>
        <w:t xml:space="preserve"> is written </w:t>
      </w:r>
      <w:r w:rsidR="00A22196" w:rsidRPr="00E97F25">
        <w:rPr>
          <w:i/>
          <w:iCs/>
          <w:lang w:val="en-US"/>
        </w:rPr>
        <w:t>Verbum Dei</w:t>
      </w:r>
      <w:r w:rsidR="00754721" w:rsidRPr="00E97F25">
        <w:rPr>
          <w:iCs/>
          <w:lang w:val="en-US"/>
        </w:rPr>
        <w:t>’,</w:t>
      </w:r>
      <w:r w:rsidR="00790F63" w:rsidRPr="00E97F25">
        <w:rPr>
          <w:iCs/>
          <w:lang w:val="en-US"/>
        </w:rPr>
        <w:t xml:space="preserve"> </w:t>
      </w:r>
      <w:r w:rsidR="00AA2A83" w:rsidRPr="00E97F25">
        <w:rPr>
          <w:iCs/>
          <w:lang w:val="en-US"/>
        </w:rPr>
        <w:t xml:space="preserve">as well as the very traditional </w:t>
      </w:r>
      <w:r w:rsidR="001A234D" w:rsidRPr="00E97F25">
        <w:t xml:space="preserve">‘Table of </w:t>
      </w:r>
      <w:proofErr w:type="spellStart"/>
      <w:r w:rsidR="001A234D" w:rsidRPr="00E97F25">
        <w:t>embrawdrye</w:t>
      </w:r>
      <w:proofErr w:type="spellEnd"/>
      <w:r w:rsidR="001A234D" w:rsidRPr="00E97F25">
        <w:t xml:space="preserve"> with the picture of our </w:t>
      </w:r>
      <w:proofErr w:type="spellStart"/>
      <w:r w:rsidR="001A234D" w:rsidRPr="00E97F25">
        <w:t>ladye</w:t>
      </w:r>
      <w:proofErr w:type="spellEnd"/>
      <w:r w:rsidR="001A234D" w:rsidRPr="00E97F25">
        <w:t xml:space="preserve"> </w:t>
      </w:r>
      <w:proofErr w:type="spellStart"/>
      <w:r w:rsidR="001A234D" w:rsidRPr="00E97F25">
        <w:t>holdinge</w:t>
      </w:r>
      <w:proofErr w:type="spellEnd"/>
      <w:r w:rsidR="001A234D" w:rsidRPr="00E97F25">
        <w:t xml:space="preserve"> our </w:t>
      </w:r>
      <w:proofErr w:type="spellStart"/>
      <w:r w:rsidR="001A234D" w:rsidRPr="00E97F25">
        <w:t>lorde</w:t>
      </w:r>
      <w:proofErr w:type="spellEnd"/>
      <w:r w:rsidR="001A234D" w:rsidRPr="00E97F25">
        <w:t xml:space="preserve"> </w:t>
      </w:r>
      <w:proofErr w:type="spellStart"/>
      <w:r w:rsidR="001A234D" w:rsidRPr="00E97F25">
        <w:t>suckinge</w:t>
      </w:r>
      <w:proofErr w:type="spellEnd"/>
      <w:r w:rsidR="001A234D" w:rsidRPr="00E97F25">
        <w:t xml:space="preserve"> in her </w:t>
      </w:r>
      <w:proofErr w:type="spellStart"/>
      <w:r w:rsidR="001A234D" w:rsidRPr="00E97F25">
        <w:t>Armes</w:t>
      </w:r>
      <w:proofErr w:type="spellEnd"/>
      <w:r w:rsidR="001A234D" w:rsidRPr="00E97F25">
        <w:t xml:space="preserve"> and a </w:t>
      </w:r>
      <w:proofErr w:type="spellStart"/>
      <w:r w:rsidR="001A234D" w:rsidRPr="00E97F25">
        <w:t>daysye</w:t>
      </w:r>
      <w:proofErr w:type="spellEnd"/>
      <w:r w:rsidR="001A234D" w:rsidRPr="00E97F25">
        <w:t xml:space="preserve"> in his </w:t>
      </w:r>
      <w:proofErr w:type="spellStart"/>
      <w:r w:rsidR="001A234D" w:rsidRPr="00E97F25">
        <w:t>hande</w:t>
      </w:r>
      <w:proofErr w:type="spellEnd"/>
      <w:r w:rsidR="001A234D" w:rsidRPr="00E97F25">
        <w:t xml:space="preserve"> with this scripture </w:t>
      </w:r>
      <w:r w:rsidR="001A234D" w:rsidRPr="00E97F25">
        <w:rPr>
          <w:i/>
        </w:rPr>
        <w:t xml:space="preserve">O mater </w:t>
      </w:r>
      <w:proofErr w:type="spellStart"/>
      <w:r w:rsidR="001A234D" w:rsidRPr="00E97F25">
        <w:rPr>
          <w:i/>
        </w:rPr>
        <w:t>dei</w:t>
      </w:r>
      <w:proofErr w:type="spellEnd"/>
      <w:r w:rsidR="001A234D" w:rsidRPr="00E97F25">
        <w:rPr>
          <w:i/>
        </w:rPr>
        <w:t xml:space="preserve"> Memento </w:t>
      </w:r>
      <w:proofErr w:type="spellStart"/>
      <w:r w:rsidR="001A234D" w:rsidRPr="00E97F25">
        <w:rPr>
          <w:i/>
        </w:rPr>
        <w:t>mei</w:t>
      </w:r>
      <w:proofErr w:type="spellEnd"/>
      <w:r w:rsidR="001A234D" w:rsidRPr="00E97F25">
        <w:t>’.</w:t>
      </w:r>
      <w:r w:rsidR="001A234D" w:rsidRPr="00E97F25">
        <w:rPr>
          <w:rStyle w:val="EndnoteReference"/>
        </w:rPr>
        <w:endnoteReference w:id="10"/>
      </w:r>
      <w:r w:rsidR="00790F63" w:rsidRPr="00E97F25">
        <w:t xml:space="preserve"> </w:t>
      </w:r>
      <w:r w:rsidR="00697187" w:rsidRPr="00E97F25">
        <w:t>Having the opportunity to look at such contrasting images, and others like them, may help to explain the king’s complex relationship with religion.</w:t>
      </w:r>
    </w:p>
    <w:p w14:paraId="6306111A" w14:textId="77777777" w:rsidR="00F5098E" w:rsidRPr="00E97F25" w:rsidRDefault="00F5098E" w:rsidP="002E77A9">
      <w:pPr>
        <w:spacing w:line="360" w:lineRule="auto"/>
        <w:ind w:firstLine="720"/>
        <w:jc w:val="both"/>
      </w:pPr>
      <w:r w:rsidRPr="00E97F25">
        <w:rPr>
          <w:iCs/>
          <w:lang w:val="en-US"/>
        </w:rPr>
        <w:t>P</w:t>
      </w:r>
      <w:proofErr w:type="spellStart"/>
      <w:r w:rsidRPr="00E97F25">
        <w:t>ost</w:t>
      </w:r>
      <w:proofErr w:type="spellEnd"/>
      <w:r w:rsidRPr="00E97F25">
        <w:t>-</w:t>
      </w:r>
      <w:r w:rsidR="00754721" w:rsidRPr="00E97F25">
        <w:t>r</w:t>
      </w:r>
      <w:r w:rsidRPr="00E97F25">
        <w:t>eformation thinkers such as poet and commentator Richard Braithwaite (1588</w:t>
      </w:r>
      <w:r w:rsidR="009E1928" w:rsidRPr="00E97F25">
        <w:t>–</w:t>
      </w:r>
      <w:r w:rsidRPr="00E97F25">
        <w:t xml:space="preserve">1673) </w:t>
      </w:r>
      <w:r w:rsidR="00DF755E" w:rsidRPr="00E97F25">
        <w:t xml:space="preserve">offered </w:t>
      </w:r>
      <w:r w:rsidRPr="00E97F25">
        <w:t>con</w:t>
      </w:r>
      <w:r w:rsidR="00DF755E" w:rsidRPr="00E97F25">
        <w:t xml:space="preserve">trasting views of </w:t>
      </w:r>
      <w:r w:rsidRPr="00E97F25">
        <w:t>the senses</w:t>
      </w:r>
      <w:r w:rsidR="00DF755E" w:rsidRPr="00E97F25">
        <w:t xml:space="preserve">. In his </w:t>
      </w:r>
      <w:proofErr w:type="spellStart"/>
      <w:r w:rsidR="00DF755E" w:rsidRPr="00E97F25">
        <w:rPr>
          <w:i/>
        </w:rPr>
        <w:t>Essaies</w:t>
      </w:r>
      <w:proofErr w:type="spellEnd"/>
      <w:r w:rsidR="00DF755E" w:rsidRPr="00E97F25">
        <w:rPr>
          <w:i/>
        </w:rPr>
        <w:t xml:space="preserve"> upon the Five Senses</w:t>
      </w:r>
      <w:r w:rsidR="00DF755E" w:rsidRPr="00E97F25">
        <w:t xml:space="preserve"> (1620)</w:t>
      </w:r>
      <w:r w:rsidRPr="00E97F25">
        <w:t xml:space="preserve"> </w:t>
      </w:r>
      <w:r w:rsidR="00DF755E" w:rsidRPr="00E97F25">
        <w:t xml:space="preserve">Braithwaite </w:t>
      </w:r>
      <w:r w:rsidRPr="00E97F25">
        <w:t xml:space="preserve">observed that ‘the five senses be those five gates, by which the world doth besiege us, the </w:t>
      </w:r>
      <w:proofErr w:type="spellStart"/>
      <w:r w:rsidRPr="00E97F25">
        <w:t>Devill</w:t>
      </w:r>
      <w:proofErr w:type="spellEnd"/>
      <w:r w:rsidRPr="00E97F25">
        <w:t xml:space="preserve"> doth tempt us and the flesh ensnare us’, adding that ‘there is no passage more </w:t>
      </w:r>
      <w:proofErr w:type="spellStart"/>
      <w:r w:rsidRPr="00E97F25">
        <w:t>easie</w:t>
      </w:r>
      <w:proofErr w:type="spellEnd"/>
      <w:r w:rsidRPr="00E97F25">
        <w:t xml:space="preserve"> for the entry of vice than by the </w:t>
      </w:r>
      <w:proofErr w:type="spellStart"/>
      <w:r w:rsidRPr="00E97F25">
        <w:t>cranie</w:t>
      </w:r>
      <w:proofErr w:type="spellEnd"/>
      <w:r w:rsidRPr="00E97F25">
        <w:t xml:space="preserve"> of the eye’.</w:t>
      </w:r>
      <w:r w:rsidRPr="00E97F25">
        <w:rPr>
          <w:rStyle w:val="EndnoteReference"/>
        </w:rPr>
        <w:endnoteReference w:id="11"/>
      </w:r>
      <w:r w:rsidR="006572F1" w:rsidRPr="00E97F25">
        <w:t xml:space="preserve"> However, in </w:t>
      </w:r>
      <w:r w:rsidR="006572F1" w:rsidRPr="00E97F25">
        <w:rPr>
          <w:i/>
        </w:rPr>
        <w:t xml:space="preserve">The </w:t>
      </w:r>
      <w:r w:rsidR="009E1928" w:rsidRPr="00E97F25">
        <w:rPr>
          <w:i/>
        </w:rPr>
        <w:t>H</w:t>
      </w:r>
      <w:r w:rsidR="006572F1" w:rsidRPr="00E97F25">
        <w:rPr>
          <w:i/>
        </w:rPr>
        <w:t xml:space="preserve">eavenly Exercise of the </w:t>
      </w:r>
      <w:r w:rsidR="009E1928" w:rsidRPr="00E97F25">
        <w:rPr>
          <w:i/>
        </w:rPr>
        <w:t>F</w:t>
      </w:r>
      <w:r w:rsidR="006572F1" w:rsidRPr="00E97F25">
        <w:rPr>
          <w:i/>
        </w:rPr>
        <w:t>ive Senses</w:t>
      </w:r>
      <w:r w:rsidR="006572F1" w:rsidRPr="00E97F25">
        <w:t xml:space="preserve"> (1635) Braithwaite presented </w:t>
      </w:r>
      <w:r w:rsidR="00697187" w:rsidRPr="00E97F25">
        <w:t xml:space="preserve">a </w:t>
      </w:r>
      <w:r w:rsidR="009E1928" w:rsidRPr="00E97F25">
        <w:t>contrasting</w:t>
      </w:r>
      <w:r w:rsidR="00697187" w:rsidRPr="00E97F25">
        <w:t xml:space="preserve"> view of the senses. Exploring </w:t>
      </w:r>
      <w:r w:rsidR="006572F1" w:rsidRPr="00E97F25">
        <w:t>each sense in turn</w:t>
      </w:r>
      <w:r w:rsidR="00697187" w:rsidRPr="00E97F25">
        <w:t xml:space="preserve">, </w:t>
      </w:r>
      <w:r w:rsidR="009E1928" w:rsidRPr="00E97F25">
        <w:t>he</w:t>
      </w:r>
      <w:r w:rsidR="00697187" w:rsidRPr="00E97F25">
        <w:t xml:space="preserve"> </w:t>
      </w:r>
      <w:r w:rsidR="000E64EF" w:rsidRPr="00E97F25">
        <w:t xml:space="preserve">claimed that </w:t>
      </w:r>
      <w:r w:rsidR="00697187" w:rsidRPr="00E97F25">
        <w:t>the senses provided a</w:t>
      </w:r>
      <w:r w:rsidR="000E64EF" w:rsidRPr="00E97F25">
        <w:t>n essential</w:t>
      </w:r>
      <w:r w:rsidR="00697187" w:rsidRPr="00E97F25">
        <w:t xml:space="preserve"> framework for </w:t>
      </w:r>
      <w:r w:rsidR="006572F1" w:rsidRPr="00E97F25">
        <w:t>praising God.</w:t>
      </w:r>
      <w:r w:rsidR="006572F1" w:rsidRPr="00E97F25">
        <w:rPr>
          <w:rStyle w:val="EndnoteReference"/>
        </w:rPr>
        <w:endnoteReference w:id="12"/>
      </w:r>
      <w:r w:rsidR="004F3715" w:rsidRPr="00E97F25">
        <w:t xml:space="preserve"> By offer</w:t>
      </w:r>
      <w:r w:rsidR="0077366E" w:rsidRPr="00E97F25">
        <w:t xml:space="preserve">ing </w:t>
      </w:r>
      <w:r w:rsidR="004F3715" w:rsidRPr="00E97F25">
        <w:t xml:space="preserve">these two </w:t>
      </w:r>
      <w:r w:rsidR="0077366E" w:rsidRPr="00E97F25">
        <w:t xml:space="preserve">opposing </w:t>
      </w:r>
      <w:r w:rsidR="004F3715" w:rsidRPr="00E97F25">
        <w:t xml:space="preserve">views of the senses </w:t>
      </w:r>
      <w:proofErr w:type="spellStart"/>
      <w:r w:rsidR="0077366E" w:rsidRPr="00E97F25">
        <w:t>Braitwaite</w:t>
      </w:r>
      <w:proofErr w:type="spellEnd"/>
      <w:r w:rsidR="0077366E" w:rsidRPr="00E97F25">
        <w:t xml:space="preserve"> drew out, and acknowledged, the inherent contradiction embodied by </w:t>
      </w:r>
      <w:r w:rsidR="009E1928" w:rsidRPr="00E97F25">
        <w:t>them</w:t>
      </w:r>
      <w:r w:rsidR="0077366E" w:rsidRPr="00E97F25">
        <w:t xml:space="preserve"> – that they were the route</w:t>
      </w:r>
      <w:r w:rsidR="00370BC9" w:rsidRPr="00E97F25">
        <w:t>s</w:t>
      </w:r>
      <w:r w:rsidR="0077366E" w:rsidRPr="00E97F25">
        <w:t xml:space="preserve"> to good, evil and all points in between.</w:t>
      </w:r>
    </w:p>
    <w:p w14:paraId="7ACB0635" w14:textId="57B5848F" w:rsidR="0077366E" w:rsidRPr="00E97F25" w:rsidRDefault="000E64EF" w:rsidP="002E77A9">
      <w:pPr>
        <w:spacing w:line="360" w:lineRule="auto"/>
        <w:ind w:firstLine="720"/>
        <w:jc w:val="both"/>
      </w:pPr>
      <w:r w:rsidRPr="00E97F25">
        <w:t>Braithwaite evoked the senses using words</w:t>
      </w:r>
      <w:r w:rsidR="00A24AD2" w:rsidRPr="00E97F25">
        <w:t>,</w:t>
      </w:r>
      <w:r w:rsidRPr="00E97F25">
        <w:t xml:space="preserve"> but they were frequently </w:t>
      </w:r>
      <w:r w:rsidR="00F5098E" w:rsidRPr="00E97F25">
        <w:t xml:space="preserve">represented visually, usually personified </w:t>
      </w:r>
      <w:r w:rsidR="009E1928" w:rsidRPr="00E97F25">
        <w:t xml:space="preserve">in </w:t>
      </w:r>
      <w:r w:rsidR="00F5098E" w:rsidRPr="00E97F25">
        <w:t xml:space="preserve">female form, with each woman </w:t>
      </w:r>
      <w:r w:rsidR="00F5098E" w:rsidRPr="00E97F25">
        <w:rPr>
          <w:rStyle w:val="list0020paragraphchar1"/>
          <w:rFonts w:ascii="Times New Roman" w:hAnsi="Times New Roman" w:cs="Times New Roman"/>
          <w:sz w:val="24"/>
          <w:szCs w:val="24"/>
        </w:rPr>
        <w:t>engaged in activities associated with the sense that they represented.</w:t>
      </w:r>
      <w:r w:rsidR="00F5098E" w:rsidRPr="00E97F25">
        <w:rPr>
          <w:rStyle w:val="EndnoteReference"/>
        </w:rPr>
        <w:endnoteReference w:id="13"/>
      </w:r>
      <w:r w:rsidR="00F5098E" w:rsidRPr="00E97F25">
        <w:t xml:space="preserve"> </w:t>
      </w:r>
      <w:r w:rsidR="00F5098E" w:rsidRPr="00E97F25">
        <w:rPr>
          <w:rStyle w:val="list0020paragraphchar1"/>
          <w:rFonts w:ascii="Times New Roman" w:hAnsi="Times New Roman" w:cs="Times New Roman"/>
          <w:sz w:val="24"/>
          <w:szCs w:val="24"/>
        </w:rPr>
        <w:t>The depictions were intended to remind the viewer how the senses allow</w:t>
      </w:r>
      <w:r w:rsidR="00105552" w:rsidRPr="00E97F25">
        <w:rPr>
          <w:rStyle w:val="list0020paragraphchar1"/>
          <w:rFonts w:ascii="Times New Roman" w:hAnsi="Times New Roman" w:cs="Times New Roman"/>
          <w:sz w:val="24"/>
          <w:szCs w:val="24"/>
        </w:rPr>
        <w:t>ed individuals</w:t>
      </w:r>
      <w:r w:rsidR="00F5098E" w:rsidRPr="00E97F25">
        <w:rPr>
          <w:rStyle w:val="list0020paragraphchar1"/>
          <w:rFonts w:ascii="Times New Roman" w:hAnsi="Times New Roman" w:cs="Times New Roman"/>
          <w:sz w:val="24"/>
          <w:szCs w:val="24"/>
        </w:rPr>
        <w:t xml:space="preserve"> to experience and enjoy the world</w:t>
      </w:r>
      <w:r w:rsidR="00105552" w:rsidRPr="00E97F25">
        <w:rPr>
          <w:rStyle w:val="list0020paragraphchar1"/>
          <w:rFonts w:ascii="Times New Roman" w:hAnsi="Times New Roman" w:cs="Times New Roman"/>
          <w:sz w:val="24"/>
          <w:szCs w:val="24"/>
        </w:rPr>
        <w:t xml:space="preserve">, </w:t>
      </w:r>
      <w:r w:rsidR="00F5098E" w:rsidRPr="00E97F25">
        <w:rPr>
          <w:rStyle w:val="list0020paragraphchar1"/>
          <w:rFonts w:ascii="Times New Roman" w:hAnsi="Times New Roman" w:cs="Times New Roman"/>
          <w:sz w:val="24"/>
          <w:szCs w:val="24"/>
        </w:rPr>
        <w:t>an acceptable reason for depicting partially dressed women in a domestic context. Sight was considered to be the most ethereal of the senses and it was usually represented by a woman holding a mirror, or, occasionally, a flaming torch to light her way.</w:t>
      </w:r>
      <w:r w:rsidR="00F5098E" w:rsidRPr="00E97F25">
        <w:rPr>
          <w:rStyle w:val="EndnoteReference"/>
        </w:rPr>
        <w:endnoteReference w:id="14"/>
      </w:r>
      <w:r w:rsidR="00F5098E" w:rsidRPr="00E97F25">
        <w:rPr>
          <w:rStyle w:val="list0020paragraphchar1"/>
          <w:rFonts w:ascii="Times New Roman" w:hAnsi="Times New Roman" w:cs="Times New Roman"/>
          <w:sz w:val="24"/>
          <w:szCs w:val="24"/>
        </w:rPr>
        <w:t xml:space="preserve"> In this context the mirror was intended to </w:t>
      </w:r>
      <w:r w:rsidR="00105552" w:rsidRPr="00E97F25">
        <w:rPr>
          <w:rStyle w:val="list0020paragraphchar1"/>
          <w:rFonts w:ascii="Times New Roman" w:hAnsi="Times New Roman" w:cs="Times New Roman"/>
          <w:sz w:val="24"/>
          <w:szCs w:val="24"/>
        </w:rPr>
        <w:t xml:space="preserve">play a </w:t>
      </w:r>
      <w:r w:rsidR="00F5098E" w:rsidRPr="00E97F25">
        <w:rPr>
          <w:rStyle w:val="list0020paragraphchar1"/>
          <w:rFonts w:ascii="Times New Roman" w:hAnsi="Times New Roman" w:cs="Times New Roman"/>
          <w:sz w:val="24"/>
          <w:szCs w:val="24"/>
        </w:rPr>
        <w:t xml:space="preserve">positive </w:t>
      </w:r>
      <w:r w:rsidR="00105552" w:rsidRPr="00E97F25">
        <w:rPr>
          <w:rStyle w:val="list0020paragraphchar1"/>
          <w:rFonts w:ascii="Times New Roman" w:hAnsi="Times New Roman" w:cs="Times New Roman"/>
          <w:sz w:val="24"/>
          <w:szCs w:val="24"/>
        </w:rPr>
        <w:t xml:space="preserve">role </w:t>
      </w:r>
      <w:r w:rsidR="00F5098E" w:rsidRPr="00E97F25">
        <w:rPr>
          <w:rStyle w:val="list0020paragraphchar1"/>
          <w:rFonts w:ascii="Times New Roman" w:hAnsi="Times New Roman" w:cs="Times New Roman"/>
          <w:sz w:val="24"/>
          <w:szCs w:val="24"/>
        </w:rPr>
        <w:t xml:space="preserve">and was an effective way of conveying the act of looking, in the </w:t>
      </w:r>
      <w:r w:rsidR="00105552" w:rsidRPr="00E97F25">
        <w:rPr>
          <w:rStyle w:val="list0020paragraphchar1"/>
          <w:rFonts w:ascii="Times New Roman" w:hAnsi="Times New Roman" w:cs="Times New Roman"/>
          <w:sz w:val="24"/>
          <w:szCs w:val="24"/>
        </w:rPr>
        <w:t>same way</w:t>
      </w:r>
      <w:r w:rsidR="00F5098E" w:rsidRPr="00E97F25">
        <w:rPr>
          <w:rStyle w:val="list0020paragraphchar1"/>
          <w:rFonts w:ascii="Times New Roman" w:hAnsi="Times New Roman" w:cs="Times New Roman"/>
          <w:sz w:val="24"/>
          <w:szCs w:val="24"/>
        </w:rPr>
        <w:t xml:space="preserve"> that a woman breathing in the fragrance from flowers represented the sense of smell. </w:t>
      </w:r>
      <w:r w:rsidR="00F5098E" w:rsidRPr="00E97F25">
        <w:t>Howev</w:t>
      </w:r>
      <w:r w:rsidR="0002179C" w:rsidRPr="00E97F25">
        <w:t xml:space="preserve">er, mirrors in female hands </w:t>
      </w:r>
      <w:r w:rsidR="00105552" w:rsidRPr="00E97F25">
        <w:t xml:space="preserve">also </w:t>
      </w:r>
      <w:r w:rsidR="0002179C" w:rsidRPr="00E97F25">
        <w:t>had</w:t>
      </w:r>
      <w:r w:rsidR="00F5098E" w:rsidRPr="00E97F25">
        <w:t xml:space="preserve"> negative associations</w:t>
      </w:r>
      <w:r w:rsidR="00D8299B" w:rsidRPr="00E97F25">
        <w:t xml:space="preserve"> – most frequently </w:t>
      </w:r>
      <w:r w:rsidR="00D31B30">
        <w:t xml:space="preserve">related to </w:t>
      </w:r>
      <w:r w:rsidR="00D8299B" w:rsidRPr="00E97F25">
        <w:t>pride and vanity.</w:t>
      </w:r>
      <w:r w:rsidR="00D8299B" w:rsidRPr="00E97F25">
        <w:rPr>
          <w:rStyle w:val="EndnoteReference"/>
        </w:rPr>
        <w:endnoteReference w:id="15"/>
      </w:r>
      <w:r w:rsidR="00E011AF" w:rsidRPr="00E97F25">
        <w:t xml:space="preserve"> </w:t>
      </w:r>
      <w:r w:rsidRPr="00E97F25">
        <w:t>‘</w:t>
      </w:r>
      <w:proofErr w:type="spellStart"/>
      <w:r w:rsidRPr="00E97F25">
        <w:t>Lecherye</w:t>
      </w:r>
      <w:proofErr w:type="spellEnd"/>
      <w:r w:rsidRPr="00E97F25">
        <w:t>’</w:t>
      </w:r>
      <w:r w:rsidR="007E1C51" w:rsidRPr="00E97F25">
        <w:t>, for example,</w:t>
      </w:r>
      <w:r w:rsidRPr="00E97F25">
        <w:t xml:space="preserve"> was depicted as a fashionably</w:t>
      </w:r>
      <w:r w:rsidR="00A24AD2" w:rsidRPr="00E97F25">
        <w:t>-</w:t>
      </w:r>
      <w:r w:rsidRPr="00E97F25">
        <w:t xml:space="preserve">dressed woman </w:t>
      </w:r>
      <w:r w:rsidRPr="00E97F25">
        <w:lastRenderedPageBreak/>
        <w:t>riding a goat and holding a mirror i</w:t>
      </w:r>
      <w:r w:rsidR="00F5098E" w:rsidRPr="00E97F25">
        <w:t xml:space="preserve">n </w:t>
      </w:r>
      <w:r w:rsidR="00F5098E" w:rsidRPr="00E97F25">
        <w:rPr>
          <w:i/>
        </w:rPr>
        <w:t xml:space="preserve">The </w:t>
      </w:r>
      <w:proofErr w:type="spellStart"/>
      <w:r w:rsidR="00F5098E" w:rsidRPr="00E97F25">
        <w:rPr>
          <w:i/>
        </w:rPr>
        <w:t>Mirroure</w:t>
      </w:r>
      <w:proofErr w:type="spellEnd"/>
      <w:r w:rsidR="00F5098E" w:rsidRPr="00E97F25">
        <w:rPr>
          <w:i/>
        </w:rPr>
        <w:t xml:space="preserve"> of the </w:t>
      </w:r>
      <w:proofErr w:type="spellStart"/>
      <w:r w:rsidR="00F5098E" w:rsidRPr="00E97F25">
        <w:rPr>
          <w:i/>
        </w:rPr>
        <w:t>Worlde</w:t>
      </w:r>
      <w:proofErr w:type="spellEnd"/>
      <w:r w:rsidR="00F5098E" w:rsidRPr="00E97F25">
        <w:t xml:space="preserve"> (1476).</w:t>
      </w:r>
      <w:r w:rsidR="00F5098E" w:rsidRPr="00E97F25">
        <w:rPr>
          <w:rStyle w:val="EndnoteReference"/>
        </w:rPr>
        <w:endnoteReference w:id="16"/>
      </w:r>
      <w:r w:rsidR="00F5098E" w:rsidRPr="00E97F25">
        <w:t xml:space="preserve"> </w:t>
      </w:r>
      <w:r w:rsidR="0077366E" w:rsidRPr="00E97F25">
        <w:t xml:space="preserve">The connection between sight, female vanity and a keen interest in clothing </w:t>
      </w:r>
      <w:r w:rsidR="002B5878" w:rsidRPr="00E97F25">
        <w:t>continued in the seventeenth century</w:t>
      </w:r>
      <w:r w:rsidR="007E1C51" w:rsidRPr="00E97F25">
        <w:t>,</w:t>
      </w:r>
      <w:r w:rsidR="002B5878" w:rsidRPr="00E97F25">
        <w:t xml:space="preserve"> as can be seen </w:t>
      </w:r>
      <w:r w:rsidR="008B0706" w:rsidRPr="00E97F25">
        <w:t>in</w:t>
      </w:r>
      <w:r w:rsidR="002B5878" w:rsidRPr="00E97F25">
        <w:t xml:space="preserve"> a printed set of the senses produced </w:t>
      </w:r>
      <w:r w:rsidR="0077366E" w:rsidRPr="00E97F25">
        <w:t>in the 1630s. Sight was represented by a coquettish woman with the text:</w:t>
      </w:r>
    </w:p>
    <w:p w14:paraId="59BA1172" w14:textId="77777777" w:rsidR="0077366E" w:rsidRPr="00E97F25" w:rsidRDefault="0077366E" w:rsidP="002E77A9">
      <w:pPr>
        <w:spacing w:line="360" w:lineRule="auto"/>
        <w:ind w:left="540"/>
        <w:jc w:val="both"/>
      </w:pPr>
    </w:p>
    <w:p w14:paraId="523C155C" w14:textId="77777777" w:rsidR="0077366E" w:rsidRPr="00E97F25" w:rsidRDefault="0077366E" w:rsidP="002E77A9">
      <w:pPr>
        <w:spacing w:line="360" w:lineRule="auto"/>
        <w:ind w:left="540"/>
        <w:jc w:val="both"/>
        <w:rPr>
          <w:sz w:val="20"/>
          <w:szCs w:val="20"/>
        </w:rPr>
      </w:pPr>
      <w:r w:rsidRPr="00E97F25">
        <w:rPr>
          <w:sz w:val="20"/>
          <w:szCs w:val="20"/>
        </w:rPr>
        <w:t xml:space="preserve">How </w:t>
      </w:r>
      <w:proofErr w:type="spellStart"/>
      <w:r w:rsidRPr="00E97F25">
        <w:rPr>
          <w:sz w:val="20"/>
          <w:szCs w:val="20"/>
        </w:rPr>
        <w:t>doe</w:t>
      </w:r>
      <w:proofErr w:type="spellEnd"/>
      <w:r w:rsidRPr="00E97F25">
        <w:rPr>
          <w:sz w:val="20"/>
          <w:szCs w:val="20"/>
        </w:rPr>
        <w:t xml:space="preserve"> you like me (Gallants) in this dress:</w:t>
      </w:r>
    </w:p>
    <w:p w14:paraId="660C472E" w14:textId="77777777" w:rsidR="0077366E" w:rsidRPr="00E97F25" w:rsidRDefault="0077366E" w:rsidP="002E77A9">
      <w:pPr>
        <w:spacing w:line="360" w:lineRule="auto"/>
        <w:ind w:left="540"/>
        <w:jc w:val="both"/>
        <w:rPr>
          <w:sz w:val="20"/>
          <w:szCs w:val="20"/>
        </w:rPr>
      </w:pPr>
      <w:r w:rsidRPr="00E97F25">
        <w:rPr>
          <w:sz w:val="20"/>
          <w:szCs w:val="20"/>
        </w:rPr>
        <w:t xml:space="preserve">Tis </w:t>
      </w:r>
      <w:proofErr w:type="spellStart"/>
      <w:r w:rsidRPr="00E97F25">
        <w:rPr>
          <w:sz w:val="20"/>
          <w:szCs w:val="20"/>
        </w:rPr>
        <w:t>neate</w:t>
      </w:r>
      <w:proofErr w:type="spellEnd"/>
      <w:r w:rsidRPr="00E97F25">
        <w:rPr>
          <w:sz w:val="20"/>
          <w:szCs w:val="20"/>
        </w:rPr>
        <w:t xml:space="preserve"> although not costly </w:t>
      </w:r>
      <w:proofErr w:type="spellStart"/>
      <w:r w:rsidRPr="00E97F25">
        <w:rPr>
          <w:sz w:val="20"/>
          <w:szCs w:val="20"/>
        </w:rPr>
        <w:t>you’l</w:t>
      </w:r>
      <w:proofErr w:type="spellEnd"/>
      <w:r w:rsidRPr="00E97F25">
        <w:rPr>
          <w:sz w:val="20"/>
          <w:szCs w:val="20"/>
        </w:rPr>
        <w:t xml:space="preserve"> confess:</w:t>
      </w:r>
    </w:p>
    <w:p w14:paraId="0013AAF9" w14:textId="77777777" w:rsidR="0077366E" w:rsidRPr="00E97F25" w:rsidRDefault="0077366E" w:rsidP="002E77A9">
      <w:pPr>
        <w:spacing w:line="360" w:lineRule="auto"/>
        <w:ind w:left="540"/>
        <w:jc w:val="both"/>
        <w:rPr>
          <w:sz w:val="20"/>
          <w:szCs w:val="20"/>
        </w:rPr>
      </w:pPr>
      <w:r w:rsidRPr="00E97F25">
        <w:rPr>
          <w:sz w:val="20"/>
          <w:szCs w:val="20"/>
        </w:rPr>
        <w:t xml:space="preserve">In Face, or </w:t>
      </w:r>
      <w:proofErr w:type="spellStart"/>
      <w:r w:rsidRPr="00E97F25">
        <w:rPr>
          <w:sz w:val="20"/>
          <w:szCs w:val="20"/>
        </w:rPr>
        <w:t>Habitt</w:t>
      </w:r>
      <w:proofErr w:type="spellEnd"/>
      <w:r w:rsidRPr="00E97F25">
        <w:rPr>
          <w:sz w:val="20"/>
          <w:szCs w:val="20"/>
        </w:rPr>
        <w:t xml:space="preserve">, I </w:t>
      </w:r>
      <w:proofErr w:type="spellStart"/>
      <w:r w:rsidRPr="00E97F25">
        <w:rPr>
          <w:sz w:val="20"/>
          <w:szCs w:val="20"/>
        </w:rPr>
        <w:t>noe</w:t>
      </w:r>
      <w:proofErr w:type="spellEnd"/>
      <w:r w:rsidRPr="00E97F25">
        <w:rPr>
          <w:sz w:val="20"/>
          <w:szCs w:val="20"/>
        </w:rPr>
        <w:t xml:space="preserve"> fault can </w:t>
      </w:r>
      <w:proofErr w:type="spellStart"/>
      <w:r w:rsidRPr="00E97F25">
        <w:rPr>
          <w:sz w:val="20"/>
          <w:szCs w:val="20"/>
        </w:rPr>
        <w:t>spye</w:t>
      </w:r>
      <w:proofErr w:type="spellEnd"/>
      <w:r w:rsidRPr="00E97F25">
        <w:rPr>
          <w:sz w:val="20"/>
          <w:szCs w:val="20"/>
        </w:rPr>
        <w:t xml:space="preserve">: </w:t>
      </w:r>
    </w:p>
    <w:p w14:paraId="0D92BE38" w14:textId="77777777" w:rsidR="0077366E" w:rsidRPr="00E97F25" w:rsidRDefault="0077366E" w:rsidP="002E77A9">
      <w:pPr>
        <w:spacing w:line="360" w:lineRule="auto"/>
        <w:ind w:firstLine="540"/>
        <w:jc w:val="both"/>
        <w:rPr>
          <w:sz w:val="20"/>
          <w:szCs w:val="20"/>
        </w:rPr>
      </w:pPr>
      <w:r w:rsidRPr="00E97F25">
        <w:rPr>
          <w:sz w:val="20"/>
          <w:szCs w:val="20"/>
        </w:rPr>
        <w:t xml:space="preserve">Indeed </w:t>
      </w:r>
      <w:proofErr w:type="spellStart"/>
      <w:r w:rsidRPr="00E97F25">
        <w:rPr>
          <w:sz w:val="20"/>
          <w:szCs w:val="20"/>
        </w:rPr>
        <w:t>t’is</w:t>
      </w:r>
      <w:proofErr w:type="spellEnd"/>
      <w:r w:rsidRPr="00E97F25">
        <w:rPr>
          <w:sz w:val="20"/>
          <w:szCs w:val="20"/>
        </w:rPr>
        <w:t xml:space="preserve"> b</w:t>
      </w:r>
      <w:r w:rsidR="007E1C51" w:rsidRPr="00E97F25">
        <w:rPr>
          <w:sz w:val="20"/>
          <w:szCs w:val="20"/>
        </w:rPr>
        <w:t xml:space="preserve">rave or else my </w:t>
      </w:r>
      <w:proofErr w:type="spellStart"/>
      <w:r w:rsidR="007E1C51" w:rsidRPr="00E97F25">
        <w:rPr>
          <w:sz w:val="20"/>
          <w:szCs w:val="20"/>
        </w:rPr>
        <w:t>Glasse</w:t>
      </w:r>
      <w:proofErr w:type="spellEnd"/>
      <w:r w:rsidR="007E1C51" w:rsidRPr="00E97F25">
        <w:rPr>
          <w:sz w:val="20"/>
          <w:szCs w:val="20"/>
        </w:rPr>
        <w:t xml:space="preserve"> doth lye</w:t>
      </w:r>
      <w:r w:rsidRPr="00E97F25">
        <w:rPr>
          <w:sz w:val="20"/>
          <w:szCs w:val="20"/>
        </w:rPr>
        <w:t>.</w:t>
      </w:r>
      <w:r w:rsidRPr="00E97F25">
        <w:rPr>
          <w:rStyle w:val="EndnoteReference"/>
          <w:sz w:val="20"/>
          <w:szCs w:val="20"/>
        </w:rPr>
        <w:endnoteReference w:id="17"/>
      </w:r>
      <w:r w:rsidRPr="00E97F25">
        <w:rPr>
          <w:sz w:val="20"/>
          <w:szCs w:val="20"/>
        </w:rPr>
        <w:t xml:space="preserve"> </w:t>
      </w:r>
    </w:p>
    <w:p w14:paraId="519820D1" w14:textId="77777777" w:rsidR="0002179C" w:rsidRPr="00E97F25" w:rsidRDefault="0002179C" w:rsidP="002E77A9">
      <w:pPr>
        <w:spacing w:line="360" w:lineRule="auto"/>
        <w:jc w:val="both"/>
      </w:pPr>
    </w:p>
    <w:p w14:paraId="542FDB71" w14:textId="3E7F1AF1" w:rsidR="0077366E" w:rsidRPr="00E97F25" w:rsidRDefault="002B5878" w:rsidP="002E77A9">
      <w:pPr>
        <w:spacing w:line="360" w:lineRule="auto"/>
        <w:jc w:val="both"/>
      </w:pPr>
      <w:r w:rsidRPr="00E97F25">
        <w:t xml:space="preserve">Sight was </w:t>
      </w:r>
      <w:r w:rsidR="003123AC" w:rsidRPr="00E97F25">
        <w:t xml:space="preserve">associated </w:t>
      </w:r>
      <w:r w:rsidRPr="00E97F25">
        <w:t xml:space="preserve">with vanity and flirtation, while also indicating that </w:t>
      </w:r>
      <w:r w:rsidR="0077366E" w:rsidRPr="00E97F25">
        <w:t xml:space="preserve">pleasure </w:t>
      </w:r>
      <w:r w:rsidR="003123AC" w:rsidRPr="00E97F25">
        <w:t xml:space="preserve">could </w:t>
      </w:r>
      <w:r w:rsidR="0077366E" w:rsidRPr="00E97F25">
        <w:t>be gained by looking at beautiful things</w:t>
      </w:r>
      <w:r w:rsidR="003123AC" w:rsidRPr="00E97F25">
        <w:t xml:space="preserve">, </w:t>
      </w:r>
      <w:r w:rsidR="008B0706" w:rsidRPr="00E97F25">
        <w:t>an idea which was connected to</w:t>
      </w:r>
      <w:r w:rsidR="0077366E" w:rsidRPr="00E97F25">
        <w:t xml:space="preserve"> the Renaissance view of the hand mirror as the route to self-awareness.</w:t>
      </w:r>
      <w:r w:rsidR="0077366E" w:rsidRPr="00E97F25">
        <w:rPr>
          <w:rStyle w:val="EndnoteReference"/>
        </w:rPr>
        <w:endnoteReference w:id="18"/>
      </w:r>
    </w:p>
    <w:p w14:paraId="4B026CCB" w14:textId="69AB4946" w:rsidR="00F5098E" w:rsidRPr="00E97F25" w:rsidRDefault="00081726" w:rsidP="002E77A9">
      <w:pPr>
        <w:spacing w:line="360" w:lineRule="auto"/>
        <w:ind w:firstLine="720"/>
        <w:jc w:val="both"/>
      </w:pPr>
      <w:r w:rsidRPr="00E97F25">
        <w:t>R</w:t>
      </w:r>
      <w:r w:rsidR="00F5098E" w:rsidRPr="00E97F25">
        <w:t>epresentations of the senses were popular as a means of decorating the home, both on the fabric of the building</w:t>
      </w:r>
      <w:r w:rsidR="00F62CDB" w:rsidRPr="00E97F25">
        <w:t>,</w:t>
      </w:r>
      <w:r w:rsidR="00F5098E" w:rsidRPr="00E97F25">
        <w:t xml:space="preserve"> including th</w:t>
      </w:r>
      <w:r w:rsidR="00F62CDB" w:rsidRPr="00E97F25">
        <w:t>e walls, fireplaces, staircases</w:t>
      </w:r>
      <w:r w:rsidR="00F5098E" w:rsidRPr="00E97F25">
        <w:t xml:space="preserve"> and ceilings</w:t>
      </w:r>
      <w:r w:rsidR="00F62CDB" w:rsidRPr="00E97F25">
        <w:t>,</w:t>
      </w:r>
      <w:r w:rsidR="00F5098E" w:rsidRPr="00E97F25">
        <w:t xml:space="preserve"> as well as on a wide variety of textiles.</w:t>
      </w:r>
      <w:r w:rsidR="00F5098E" w:rsidRPr="00E97F25">
        <w:rPr>
          <w:rStyle w:val="EndnoteReference"/>
        </w:rPr>
        <w:endnoteReference w:id="19"/>
      </w:r>
      <w:r w:rsidR="00F5098E" w:rsidRPr="00E97F25">
        <w:t xml:space="preserve"> The senses were a common theme in seventeenth-century painting, especially in </w:t>
      </w:r>
      <w:r w:rsidR="00BF1999" w:rsidRPr="00E97F25">
        <w:t xml:space="preserve">Italy and </w:t>
      </w:r>
      <w:r w:rsidR="00F5098E" w:rsidRPr="00E97F25">
        <w:t xml:space="preserve">the Low Countries, </w:t>
      </w:r>
      <w:r w:rsidR="00BF1999" w:rsidRPr="00E97F25">
        <w:t>with Jan Brueghel the Elder and Peter Paul Ruben</w:t>
      </w:r>
      <w:r w:rsidR="00F62CDB" w:rsidRPr="00E97F25">
        <w:t>s</w:t>
      </w:r>
      <w:r w:rsidR="00BF1999" w:rsidRPr="00E97F25">
        <w:t xml:space="preserve">’s </w:t>
      </w:r>
      <w:r w:rsidR="00BF1999" w:rsidRPr="00E97F25">
        <w:rPr>
          <w:i/>
        </w:rPr>
        <w:t>The Sense of Sight</w:t>
      </w:r>
      <w:r w:rsidR="00BF1999" w:rsidRPr="00E97F25">
        <w:t xml:space="preserve"> (1617) providing a very good example of the latter</w:t>
      </w:r>
      <w:r w:rsidR="00F5098E" w:rsidRPr="00E97F25">
        <w:t>.</w:t>
      </w:r>
      <w:r w:rsidR="00900DC7" w:rsidRPr="00E97F25">
        <w:rPr>
          <w:rStyle w:val="EndnoteReference"/>
        </w:rPr>
        <w:endnoteReference w:id="20"/>
      </w:r>
      <w:r w:rsidR="007A5FF1" w:rsidRPr="00E97F25">
        <w:t xml:space="preserve"> </w:t>
      </w:r>
      <w:r w:rsidR="00F5098E" w:rsidRPr="00E97F25">
        <w:t xml:space="preserve">However, the scale of the interest in the senses can </w:t>
      </w:r>
      <w:r w:rsidR="008B0706" w:rsidRPr="00E97F25">
        <w:t xml:space="preserve">best </w:t>
      </w:r>
      <w:r w:rsidR="00F5098E" w:rsidRPr="00E97F25">
        <w:t>be summed up by looking at the print trade. The five senses were the most popular of the series of prints depicting numerical groupings of allegorical figures</w:t>
      </w:r>
      <w:r w:rsidR="00F62CDB" w:rsidRPr="00E97F25">
        <w:t>, with</w:t>
      </w:r>
      <w:r w:rsidR="00F5098E" w:rsidRPr="00E97F25">
        <w:t xml:space="preserve"> the earliest drawn by </w:t>
      </w:r>
      <w:proofErr w:type="spellStart"/>
      <w:r w:rsidR="00F5098E" w:rsidRPr="00E97F25">
        <w:t>Frans</w:t>
      </w:r>
      <w:proofErr w:type="spellEnd"/>
      <w:r w:rsidR="00F5098E" w:rsidRPr="00E97F25">
        <w:t xml:space="preserve"> Floris, engraved by </w:t>
      </w:r>
      <w:proofErr w:type="spellStart"/>
      <w:r w:rsidR="00F5098E" w:rsidRPr="00E97F25">
        <w:t>Cornelis</w:t>
      </w:r>
      <w:proofErr w:type="spellEnd"/>
      <w:r w:rsidR="00F5098E" w:rsidRPr="00E97F25">
        <w:t xml:space="preserve"> </w:t>
      </w:r>
      <w:proofErr w:type="spellStart"/>
      <w:r w:rsidR="00F5098E" w:rsidRPr="00E97F25">
        <w:t>Cort</w:t>
      </w:r>
      <w:proofErr w:type="spellEnd"/>
      <w:r w:rsidR="00F5098E" w:rsidRPr="00E97F25">
        <w:t xml:space="preserve"> and published in the 1560s.</w:t>
      </w:r>
      <w:r w:rsidR="00F5098E" w:rsidRPr="00E97F25">
        <w:rPr>
          <w:rStyle w:val="EndnoteReference"/>
        </w:rPr>
        <w:endnoteReference w:id="21"/>
      </w:r>
      <w:r w:rsidR="00F5098E" w:rsidRPr="00E97F25">
        <w:t xml:space="preserve"> Sight </w:t>
      </w:r>
      <w:r w:rsidR="00F62CDB" w:rsidRPr="00E97F25">
        <w:t>was</w:t>
      </w:r>
      <w:r w:rsidR="00F5098E" w:rsidRPr="00E97F25">
        <w:t xml:space="preserve"> represented as a seated woman admiring her reflection in a handheld mirror </w:t>
      </w:r>
      <w:r w:rsidR="00F62CDB" w:rsidRPr="00E97F25">
        <w:t xml:space="preserve">with </w:t>
      </w:r>
      <w:r w:rsidR="00F5098E" w:rsidRPr="00E97F25">
        <w:t>an eagle by her side. A little over a century later, the stock of Thomas Jenner’s London shop offered the discerning shopper a choice of sets of the senses</w:t>
      </w:r>
      <w:r w:rsidR="00D31B30">
        <w:t>,</w:t>
      </w:r>
      <w:r w:rsidR="00F5098E" w:rsidRPr="00E97F25">
        <w:t xml:space="preserve"> supporting </w:t>
      </w:r>
      <w:r w:rsidR="00F62CDB" w:rsidRPr="00E97F25">
        <w:t xml:space="preserve">Anthony </w:t>
      </w:r>
      <w:r w:rsidR="00F5098E" w:rsidRPr="00E97F25">
        <w:t>Wells-Cole</w:t>
      </w:r>
      <w:r w:rsidR="00F62CDB" w:rsidRPr="00E97F25">
        <w:t>’s view</w:t>
      </w:r>
      <w:r w:rsidR="00F5098E" w:rsidRPr="00E97F25">
        <w:t xml:space="preserve"> about the long-term popularity of numerical sets, a trend that looked back to pre-reformation traditions.</w:t>
      </w:r>
      <w:r w:rsidR="00F5098E" w:rsidRPr="00E97F25">
        <w:rPr>
          <w:rStyle w:val="EndnoteReference"/>
        </w:rPr>
        <w:endnoteReference w:id="22"/>
      </w:r>
      <w:r w:rsidR="00F5098E" w:rsidRPr="00E97F25">
        <w:t xml:space="preserve"> </w:t>
      </w:r>
    </w:p>
    <w:p w14:paraId="3714936B" w14:textId="014D4BE4" w:rsidR="00BF71F9" w:rsidRPr="00E97F25" w:rsidRDefault="00F5098E" w:rsidP="001844BC">
      <w:pPr>
        <w:spacing w:line="360" w:lineRule="auto"/>
        <w:ind w:firstLine="540"/>
        <w:jc w:val="both"/>
      </w:pPr>
      <w:r w:rsidRPr="00E97F25">
        <w:t xml:space="preserve">While many of these prints formed part of collections to be admired at home, some were </w:t>
      </w:r>
      <w:r w:rsidR="00137D9A" w:rsidRPr="00E97F25">
        <w:t xml:space="preserve">more prominently </w:t>
      </w:r>
      <w:r w:rsidRPr="00E97F25">
        <w:t>incorporated into interior design and so embellished the domestic environment</w:t>
      </w:r>
      <w:r w:rsidR="00137D9A" w:rsidRPr="00E97F25">
        <w:t xml:space="preserve"> in a way which was</w:t>
      </w:r>
      <w:r w:rsidR="00CC6CC6" w:rsidRPr="00E97F25">
        <w:t xml:space="preserve"> highly</w:t>
      </w:r>
      <w:r w:rsidR="00137D9A" w:rsidRPr="00E97F25">
        <w:t xml:space="preserve"> visible to the hous</w:t>
      </w:r>
      <w:r w:rsidR="00125364" w:rsidRPr="00E97F25">
        <w:t>ehold and its visitors.</w:t>
      </w:r>
      <w:r w:rsidRPr="00E97F25">
        <w:t xml:space="preserve"> The </w:t>
      </w:r>
      <w:r w:rsidR="00CC6CC6" w:rsidRPr="00E97F25">
        <w:t>inclusion</w:t>
      </w:r>
      <w:r w:rsidRPr="00E97F25">
        <w:t xml:space="preserve"> of these prints, and </w:t>
      </w:r>
      <w:r w:rsidR="00CC6CC6" w:rsidRPr="00E97F25">
        <w:t xml:space="preserve">of </w:t>
      </w:r>
      <w:r w:rsidR="008B0706" w:rsidRPr="00E97F25">
        <w:t>the senses, in</w:t>
      </w:r>
      <w:r w:rsidRPr="00E97F25">
        <w:t xml:space="preserve"> household decoration can be demonstrated with a few examples. The Great Stair Case at </w:t>
      </w:r>
      <w:proofErr w:type="spellStart"/>
      <w:r w:rsidRPr="00E97F25">
        <w:t>Knole</w:t>
      </w:r>
      <w:proofErr w:type="spellEnd"/>
      <w:r w:rsidR="00CC6CC6" w:rsidRPr="00E97F25">
        <w:t>, Kent</w:t>
      </w:r>
      <w:r w:rsidRPr="00E97F25">
        <w:t>, which was remodelled by Thomas, 1</w:t>
      </w:r>
      <w:r w:rsidRPr="00E97F25">
        <w:rPr>
          <w:vertAlign w:val="superscript"/>
        </w:rPr>
        <w:t>st</w:t>
      </w:r>
      <w:r w:rsidRPr="00E97F25">
        <w:t xml:space="preserve"> earl of Dorset, </w:t>
      </w:r>
      <w:r w:rsidR="00CC6CC6" w:rsidRPr="00E97F25">
        <w:t xml:space="preserve">between </w:t>
      </w:r>
      <w:r w:rsidRPr="00E97F25">
        <w:t>1605</w:t>
      </w:r>
      <w:r w:rsidR="008B0706" w:rsidRPr="00E97F25">
        <w:t xml:space="preserve"> </w:t>
      </w:r>
      <w:r w:rsidR="00CC6CC6" w:rsidRPr="00E97F25">
        <w:t>and 16</w:t>
      </w:r>
      <w:r w:rsidRPr="00E97F25">
        <w:t>08, was decorated with imagery intended to educate the visitor as they climbed from ground to first floor.</w:t>
      </w:r>
      <w:r w:rsidRPr="00E97F25">
        <w:rPr>
          <w:rStyle w:val="EndnoteReference"/>
        </w:rPr>
        <w:endnoteReference w:id="23"/>
      </w:r>
      <w:r w:rsidRPr="00E97F25">
        <w:t xml:space="preserve"> </w:t>
      </w:r>
      <w:r w:rsidR="00CC6CC6" w:rsidRPr="00E97F25">
        <w:t>T</w:t>
      </w:r>
      <w:r w:rsidRPr="00E97F25">
        <w:t xml:space="preserve">he staircase </w:t>
      </w:r>
      <w:r w:rsidR="00CC6CC6" w:rsidRPr="00E97F25">
        <w:t xml:space="preserve">was seen </w:t>
      </w:r>
      <w:r w:rsidRPr="00E97F25">
        <w:t>as a suitable space for adornment; as William Salmon recommended</w:t>
      </w:r>
      <w:r w:rsidR="00CC6CC6" w:rsidRPr="00E97F25">
        <w:t xml:space="preserve"> in </w:t>
      </w:r>
      <w:proofErr w:type="spellStart"/>
      <w:r w:rsidR="00CC6CC6" w:rsidRPr="00E97F25">
        <w:rPr>
          <w:i/>
        </w:rPr>
        <w:t>Polygraphice</w:t>
      </w:r>
      <w:proofErr w:type="spellEnd"/>
      <w:r w:rsidR="00CC6CC6" w:rsidRPr="00E97F25">
        <w:t>:</w:t>
      </w:r>
      <w:r w:rsidRPr="00E97F25">
        <w:t xml:space="preserve"> ‘Let the Staircase be set off with [a depiction of] some admirable monument or building, </w:t>
      </w:r>
      <w:r w:rsidRPr="00E97F25">
        <w:lastRenderedPageBreak/>
        <w:t>either new or ruinous, to be seen and observed at a view passing up’</w:t>
      </w:r>
      <w:r w:rsidR="00CC6CC6" w:rsidRPr="00E97F25">
        <w:t>.</w:t>
      </w:r>
      <w:r w:rsidRPr="00E97F25">
        <w:rPr>
          <w:rStyle w:val="EndnoteReference"/>
        </w:rPr>
        <w:endnoteReference w:id="24"/>
      </w:r>
      <w:r w:rsidRPr="00E97F25">
        <w:t xml:space="preserve"> The sequence of images at </w:t>
      </w:r>
      <w:proofErr w:type="spellStart"/>
      <w:r w:rsidRPr="00E97F25">
        <w:t>Knole</w:t>
      </w:r>
      <w:proofErr w:type="spellEnd"/>
      <w:r w:rsidRPr="00E97F25">
        <w:t xml:space="preserve"> was painted in a grisaille scheme by Paul Isaacson, a master painter, who presented the viewer with the Four Ages of Man, the Five Senses and the </w:t>
      </w:r>
      <w:r w:rsidR="001844BC" w:rsidRPr="00E97F25">
        <w:t>S</w:t>
      </w:r>
      <w:r w:rsidR="009406EB" w:rsidRPr="00E97F25">
        <w:t>o</w:t>
      </w:r>
      <w:r w:rsidRPr="00E97F25">
        <w:t>cial</w:t>
      </w:r>
      <w:r w:rsidR="009406EB" w:rsidRPr="00E97F25">
        <w:t xml:space="preserve"> </w:t>
      </w:r>
      <w:r w:rsidRPr="00E97F25">
        <w:t>Virtues</w:t>
      </w:r>
      <w:r w:rsidR="00207928" w:rsidRPr="00E97F25">
        <w:t xml:space="preserve"> with the intention of encouraging the viewer to engage with key philosophical ideas about the world</w:t>
      </w:r>
      <w:r w:rsidRPr="00E97F25">
        <w:t xml:space="preserve">. In this context the depiction of the senses, modelled on prints by Pieter de </w:t>
      </w:r>
      <w:proofErr w:type="spellStart"/>
      <w:r w:rsidRPr="00E97F25">
        <w:t>Iode</w:t>
      </w:r>
      <w:proofErr w:type="spellEnd"/>
      <w:r w:rsidRPr="00E97F25">
        <w:t xml:space="preserve">, is most pertinent. </w:t>
      </w:r>
      <w:r w:rsidR="00CC6CC6" w:rsidRPr="00E97F25">
        <w:t>T</w:t>
      </w:r>
      <w:r w:rsidRPr="00E97F25">
        <w:t>hey were not presented in the usual hierarchy which went from sight to taste. Instead this sequence began with smell and taste, then sight, followed by hearing and touch, possibly suggesting the centrality of sight to the human experience.</w:t>
      </w:r>
      <w:r w:rsidRPr="00E97F25">
        <w:rPr>
          <w:rStyle w:val="EndnoteReference"/>
        </w:rPr>
        <w:endnoteReference w:id="25"/>
      </w:r>
      <w:r w:rsidRPr="00E97F25">
        <w:t xml:space="preserve"> </w:t>
      </w:r>
      <w:r w:rsidR="00CC6CC6" w:rsidRPr="00E97F25">
        <w:t>C</w:t>
      </w:r>
      <w:r w:rsidR="00BF71F9" w:rsidRPr="00E97F25">
        <w:t xml:space="preserve">omparison with </w:t>
      </w:r>
      <w:r w:rsidR="001F5D30" w:rsidRPr="00E97F25">
        <w:t xml:space="preserve">the </w:t>
      </w:r>
      <w:r w:rsidR="0002179C" w:rsidRPr="00E97F25">
        <w:t>fourteenth-</w:t>
      </w:r>
      <w:r w:rsidR="00BF71F9" w:rsidRPr="00E97F25">
        <w:t xml:space="preserve">century wall paintings </w:t>
      </w:r>
      <w:r w:rsidR="001F5D30" w:rsidRPr="00E97F25">
        <w:t xml:space="preserve">at </w:t>
      </w:r>
      <w:proofErr w:type="spellStart"/>
      <w:r w:rsidR="001F5D30" w:rsidRPr="00E97F25">
        <w:t>Longthorpe</w:t>
      </w:r>
      <w:proofErr w:type="spellEnd"/>
      <w:r w:rsidR="001F5D30" w:rsidRPr="00E97F25">
        <w:t xml:space="preserve"> Tower, near Peterborough</w:t>
      </w:r>
      <w:r w:rsidR="00A24AD2" w:rsidRPr="00E97F25">
        <w:t>,</w:t>
      </w:r>
      <w:r w:rsidR="001F5D30" w:rsidRPr="00E97F25">
        <w:t xml:space="preserve"> which depicted </w:t>
      </w:r>
      <w:r w:rsidR="00BF71F9" w:rsidRPr="00E97F25">
        <w:t>the five senses alongside the seven ages of man and the twelve months</w:t>
      </w:r>
      <w:r w:rsidR="00CC6CC6" w:rsidRPr="00E97F25">
        <w:t>, suggest</w:t>
      </w:r>
      <w:r w:rsidR="000D1CB0" w:rsidRPr="00E97F25">
        <w:t>s</w:t>
      </w:r>
      <w:r w:rsidR="00CC6CC6" w:rsidRPr="00E97F25">
        <w:t xml:space="preserve"> that the </w:t>
      </w:r>
      <w:proofErr w:type="spellStart"/>
      <w:r w:rsidR="00CC6CC6" w:rsidRPr="00E97F25">
        <w:t>Knole</w:t>
      </w:r>
      <w:proofErr w:type="spellEnd"/>
      <w:r w:rsidR="00CC6CC6" w:rsidRPr="00E97F25">
        <w:t xml:space="preserve"> designs followed an established tradition</w:t>
      </w:r>
      <w:r w:rsidR="00BF71F9" w:rsidRPr="00E97F25">
        <w:t>.</w:t>
      </w:r>
      <w:r w:rsidR="00BF71F9" w:rsidRPr="00E97F25">
        <w:rPr>
          <w:rStyle w:val="EndnoteReference"/>
        </w:rPr>
        <w:endnoteReference w:id="26"/>
      </w:r>
      <w:r w:rsidR="00574F61" w:rsidRPr="00E97F25">
        <w:t xml:space="preserve"> Such a scheme served to stress the place of mankind in the cosmos</w:t>
      </w:r>
      <w:r w:rsidR="00E33790" w:rsidRPr="00E97F25">
        <w:t xml:space="preserve"> and </w:t>
      </w:r>
      <w:r w:rsidR="00B135BE" w:rsidRPr="00E97F25">
        <w:t xml:space="preserve">emphasised </w:t>
      </w:r>
      <w:r w:rsidR="00E33790" w:rsidRPr="00E97F25">
        <w:t>how chastity, patience and the other virtues would shape individuals</w:t>
      </w:r>
      <w:r w:rsidR="00B135BE" w:rsidRPr="00E97F25">
        <w:t>’</w:t>
      </w:r>
      <w:r w:rsidR="00E33790" w:rsidRPr="00E97F25">
        <w:t xml:space="preserve"> </w:t>
      </w:r>
      <w:r w:rsidR="00B135BE" w:rsidRPr="00E97F25">
        <w:t xml:space="preserve">lives, </w:t>
      </w:r>
      <w:r w:rsidR="00E33790" w:rsidRPr="00E97F25">
        <w:t>while sight and the other senses would define how they experienced life.</w:t>
      </w:r>
    </w:p>
    <w:p w14:paraId="2B684A63" w14:textId="5551A5FE" w:rsidR="004242E6" w:rsidRPr="00E97F25" w:rsidRDefault="00F5098E" w:rsidP="002E77A9">
      <w:pPr>
        <w:spacing w:line="360" w:lineRule="auto"/>
        <w:ind w:firstLine="720"/>
        <w:jc w:val="both"/>
      </w:pPr>
      <w:r w:rsidRPr="00E97F25">
        <w:t>The senses were also incorporated into the decorative scheme of the interior of the Little Castle at Bolsover</w:t>
      </w:r>
      <w:r w:rsidR="009406EB" w:rsidRPr="00E97F25">
        <w:t>, Derbyshire</w:t>
      </w:r>
      <w:r w:rsidR="00370BC9" w:rsidRPr="00E97F25">
        <w:t>,</w:t>
      </w:r>
      <w:r w:rsidR="001F5D30" w:rsidRPr="00E97F25">
        <w:t xml:space="preserve"> but with </w:t>
      </w:r>
      <w:r w:rsidR="00207928" w:rsidRPr="00E97F25">
        <w:t xml:space="preserve">very </w:t>
      </w:r>
      <w:r w:rsidR="001F5D30" w:rsidRPr="00E97F25">
        <w:t>different intentions</w:t>
      </w:r>
      <w:r w:rsidRPr="00E97F25">
        <w:t>.</w:t>
      </w:r>
      <w:r w:rsidR="009E62A9" w:rsidRPr="00E97F25">
        <w:rPr>
          <w:rStyle w:val="EndnoteReference"/>
        </w:rPr>
        <w:endnoteReference w:id="27"/>
      </w:r>
      <w:r w:rsidRPr="00E97F25">
        <w:t xml:space="preserve"> </w:t>
      </w:r>
      <w:r w:rsidR="00207928" w:rsidRPr="00E97F25">
        <w:t xml:space="preserve">In part this reflects </w:t>
      </w:r>
      <w:r w:rsidR="00A24AD2" w:rsidRPr="00E97F25">
        <w:t xml:space="preserve">the fact </w:t>
      </w:r>
      <w:r w:rsidR="00207928" w:rsidRPr="00E97F25">
        <w:t>that the Little Castle was ‘a pleasure house’,</w:t>
      </w:r>
      <w:r w:rsidR="009406EB" w:rsidRPr="00E97F25">
        <w:rPr>
          <w:rStyle w:val="EndnoteReference"/>
        </w:rPr>
        <w:endnoteReference w:id="28"/>
      </w:r>
      <w:r w:rsidR="00207928" w:rsidRPr="00E97F25">
        <w:t xml:space="preserve"> not a grand country house like </w:t>
      </w:r>
      <w:proofErr w:type="spellStart"/>
      <w:r w:rsidR="00207928" w:rsidRPr="00E97F25">
        <w:t>Knole</w:t>
      </w:r>
      <w:proofErr w:type="spellEnd"/>
      <w:r w:rsidR="00207928" w:rsidRPr="00E97F25">
        <w:t>, a</w:t>
      </w:r>
      <w:r w:rsidR="0002179C" w:rsidRPr="00E97F25">
        <w:t>nd in part that seventeenth-</w:t>
      </w:r>
      <w:r w:rsidR="00207928" w:rsidRPr="00E97F25">
        <w:t>century print</w:t>
      </w:r>
      <w:r w:rsidR="009406EB" w:rsidRPr="00E97F25">
        <w:t>s</w:t>
      </w:r>
      <w:r w:rsidR="00207928" w:rsidRPr="00E97F25">
        <w:t xml:space="preserve"> presented the </w:t>
      </w:r>
      <w:r w:rsidR="009406EB" w:rsidRPr="00E97F25">
        <w:t>s</w:t>
      </w:r>
      <w:r w:rsidR="00207928" w:rsidRPr="00E97F25">
        <w:t xml:space="preserve">enses in </w:t>
      </w:r>
      <w:r w:rsidR="00370BC9" w:rsidRPr="00E97F25">
        <w:t xml:space="preserve">a </w:t>
      </w:r>
      <w:r w:rsidR="00207928" w:rsidRPr="00E97F25">
        <w:t xml:space="preserve">more humorous and so more trivial way than had been </w:t>
      </w:r>
      <w:r w:rsidR="00A24AD2" w:rsidRPr="00E97F25">
        <w:t xml:space="preserve">the case </w:t>
      </w:r>
      <w:r w:rsidR="00207928" w:rsidRPr="00E97F25">
        <w:t xml:space="preserve">in the preceding centuries. </w:t>
      </w:r>
      <w:r w:rsidRPr="00E97F25">
        <w:t xml:space="preserve">The </w:t>
      </w:r>
      <w:r w:rsidR="00207928" w:rsidRPr="00E97F25">
        <w:t xml:space="preserve">Bolsover </w:t>
      </w:r>
      <w:r w:rsidRPr="00E97F25">
        <w:t>paintings are thought to date from c.1619</w:t>
      </w:r>
      <w:r w:rsidR="009406EB" w:rsidRPr="00E97F25">
        <w:rPr>
          <w:rStyle w:val="list0020paragraphchar1"/>
          <w:rFonts w:ascii="Times New Roman" w:hAnsi="Times New Roman" w:cs="Times New Roman"/>
          <w:sz w:val="24"/>
          <w:szCs w:val="24"/>
        </w:rPr>
        <w:t>–16</w:t>
      </w:r>
      <w:r w:rsidRPr="00E97F25">
        <w:t>21</w:t>
      </w:r>
      <w:r w:rsidR="001F5D30" w:rsidRPr="00E97F25">
        <w:t xml:space="preserve"> and </w:t>
      </w:r>
      <w:r w:rsidRPr="00E97F25">
        <w:rPr>
          <w:rStyle w:val="list0020paragraphchar1"/>
          <w:rFonts w:ascii="Times New Roman" w:hAnsi="Times New Roman" w:cs="Times New Roman"/>
          <w:sz w:val="24"/>
          <w:szCs w:val="24"/>
        </w:rPr>
        <w:t>Sight is the most richly dressed of all the senses in the series</w:t>
      </w:r>
      <w:r w:rsidR="001F5D30" w:rsidRPr="00E97F25">
        <w:rPr>
          <w:rStyle w:val="list0020paragraphchar1"/>
          <w:rFonts w:ascii="Times New Roman" w:hAnsi="Times New Roman" w:cs="Times New Roman"/>
          <w:sz w:val="24"/>
          <w:szCs w:val="24"/>
        </w:rPr>
        <w:t>.</w:t>
      </w:r>
      <w:r w:rsidR="00207928" w:rsidRPr="00E97F25">
        <w:rPr>
          <w:rStyle w:val="list0020paragraphchar1"/>
          <w:rFonts w:ascii="Times New Roman" w:hAnsi="Times New Roman" w:cs="Times New Roman"/>
          <w:sz w:val="24"/>
          <w:szCs w:val="24"/>
        </w:rPr>
        <w:t xml:space="preserve"> </w:t>
      </w:r>
      <w:r w:rsidR="003A4A36" w:rsidRPr="00E97F25">
        <w:rPr>
          <w:rStyle w:val="list0020paragraphchar1"/>
          <w:rFonts w:ascii="Times New Roman" w:hAnsi="Times New Roman" w:cs="Times New Roman"/>
          <w:sz w:val="24"/>
          <w:szCs w:val="24"/>
        </w:rPr>
        <w:t xml:space="preserve">While </w:t>
      </w:r>
      <w:r w:rsidR="009406EB" w:rsidRPr="00E97F25">
        <w:rPr>
          <w:rStyle w:val="list0020paragraphchar1"/>
          <w:rFonts w:ascii="Times New Roman" w:hAnsi="Times New Roman" w:cs="Times New Roman"/>
          <w:sz w:val="24"/>
          <w:szCs w:val="24"/>
        </w:rPr>
        <w:t>Hearing, Smell, Taste</w:t>
      </w:r>
      <w:r w:rsidR="003A4A36" w:rsidRPr="00E97F25">
        <w:rPr>
          <w:rStyle w:val="list0020paragraphchar1"/>
          <w:rFonts w:ascii="Times New Roman" w:hAnsi="Times New Roman" w:cs="Times New Roman"/>
          <w:sz w:val="24"/>
          <w:szCs w:val="24"/>
        </w:rPr>
        <w:t xml:space="preserve"> and </w:t>
      </w:r>
      <w:r w:rsidR="009406EB" w:rsidRPr="00E97F25">
        <w:rPr>
          <w:rStyle w:val="list0020paragraphchar1"/>
          <w:rFonts w:ascii="Times New Roman" w:hAnsi="Times New Roman" w:cs="Times New Roman"/>
          <w:sz w:val="24"/>
          <w:szCs w:val="24"/>
        </w:rPr>
        <w:t xml:space="preserve">Touch </w:t>
      </w:r>
      <w:r w:rsidR="003A4A36" w:rsidRPr="00E97F25">
        <w:rPr>
          <w:rStyle w:val="list0020paragraphchar1"/>
          <w:rFonts w:ascii="Times New Roman" w:hAnsi="Times New Roman" w:cs="Times New Roman"/>
          <w:sz w:val="24"/>
          <w:szCs w:val="24"/>
        </w:rPr>
        <w:t>followed the prints by Floris quite closely, Sight did not, suggesting that it was consciously changed to suit the needs of the patron, William Cavendish.</w:t>
      </w:r>
      <w:r w:rsidR="003A49E8" w:rsidRPr="00E97F25">
        <w:rPr>
          <w:rStyle w:val="EndnoteReference"/>
        </w:rPr>
        <w:endnoteReference w:id="29"/>
      </w:r>
      <w:r w:rsidR="001F5D30" w:rsidRPr="00E97F25">
        <w:rPr>
          <w:rStyle w:val="list0020paragraphchar1"/>
          <w:rFonts w:ascii="Times New Roman" w:hAnsi="Times New Roman" w:cs="Times New Roman"/>
          <w:sz w:val="24"/>
          <w:szCs w:val="24"/>
        </w:rPr>
        <w:t xml:space="preserve"> S</w:t>
      </w:r>
      <w:r w:rsidRPr="00E97F25">
        <w:rPr>
          <w:rStyle w:val="list0020paragraphchar1"/>
          <w:rFonts w:ascii="Times New Roman" w:hAnsi="Times New Roman" w:cs="Times New Roman"/>
          <w:sz w:val="24"/>
          <w:szCs w:val="24"/>
        </w:rPr>
        <w:t xml:space="preserve">he </w:t>
      </w:r>
      <w:r w:rsidR="009406EB" w:rsidRPr="00E97F25">
        <w:rPr>
          <w:rStyle w:val="list0020paragraphchar1"/>
          <w:rFonts w:ascii="Times New Roman" w:hAnsi="Times New Roman" w:cs="Times New Roman"/>
          <w:sz w:val="24"/>
          <w:szCs w:val="24"/>
        </w:rPr>
        <w:t xml:space="preserve">was portrayed </w:t>
      </w:r>
      <w:r w:rsidRPr="00E97F25">
        <w:rPr>
          <w:rStyle w:val="list0020paragraphchar1"/>
          <w:rFonts w:ascii="Times New Roman" w:hAnsi="Times New Roman" w:cs="Times New Roman"/>
          <w:sz w:val="24"/>
          <w:szCs w:val="24"/>
        </w:rPr>
        <w:t>wearing a gown of red cloth of gold with a pomegranate design</w:t>
      </w:r>
      <w:r w:rsidR="009406EB" w:rsidRPr="00E97F25">
        <w:rPr>
          <w:rStyle w:val="list0020paragraphchar1"/>
          <w:rFonts w:ascii="Times New Roman" w:hAnsi="Times New Roman" w:cs="Times New Roman"/>
          <w:sz w:val="24"/>
          <w:szCs w:val="24"/>
        </w:rPr>
        <w:t xml:space="preserve">, </w:t>
      </w:r>
      <w:r w:rsidRPr="00E97F25">
        <w:rPr>
          <w:rStyle w:val="list0020paragraphchar1"/>
          <w:rFonts w:ascii="Times New Roman" w:hAnsi="Times New Roman" w:cs="Times New Roman"/>
          <w:sz w:val="24"/>
          <w:szCs w:val="24"/>
        </w:rPr>
        <w:t xml:space="preserve">opulent </w:t>
      </w:r>
      <w:r w:rsidR="009406EB" w:rsidRPr="00E97F25">
        <w:rPr>
          <w:rStyle w:val="list0020paragraphchar1"/>
          <w:rFonts w:ascii="Times New Roman" w:hAnsi="Times New Roman" w:cs="Times New Roman"/>
          <w:sz w:val="24"/>
          <w:szCs w:val="24"/>
        </w:rPr>
        <w:t xml:space="preserve">both </w:t>
      </w:r>
      <w:r w:rsidRPr="00E97F25">
        <w:rPr>
          <w:rStyle w:val="list0020paragraphchar1"/>
          <w:rFonts w:ascii="Times New Roman" w:hAnsi="Times New Roman" w:cs="Times New Roman"/>
          <w:sz w:val="24"/>
          <w:szCs w:val="24"/>
        </w:rPr>
        <w:t xml:space="preserve">in terms of the type and </w:t>
      </w:r>
      <w:r w:rsidR="009406EB" w:rsidRPr="00E97F25">
        <w:rPr>
          <w:rStyle w:val="list0020paragraphchar1"/>
          <w:rFonts w:ascii="Times New Roman" w:hAnsi="Times New Roman" w:cs="Times New Roman"/>
          <w:sz w:val="24"/>
          <w:szCs w:val="24"/>
        </w:rPr>
        <w:t xml:space="preserve">the </w:t>
      </w:r>
      <w:r w:rsidRPr="00E97F25">
        <w:rPr>
          <w:rStyle w:val="list0020paragraphchar1"/>
          <w:rFonts w:ascii="Times New Roman" w:hAnsi="Times New Roman" w:cs="Times New Roman"/>
          <w:sz w:val="24"/>
          <w:szCs w:val="24"/>
        </w:rPr>
        <w:t>quantity of the fabric, which is bunched under her right hand</w:t>
      </w:r>
      <w:r w:rsidR="009406EB" w:rsidRPr="00E97F25">
        <w:rPr>
          <w:rStyle w:val="list0020paragraphchar1"/>
          <w:rFonts w:ascii="Times New Roman" w:hAnsi="Times New Roman" w:cs="Times New Roman"/>
          <w:sz w:val="24"/>
          <w:szCs w:val="24"/>
        </w:rPr>
        <w:t>,</w:t>
      </w:r>
      <w:r w:rsidRPr="00E97F25">
        <w:rPr>
          <w:rStyle w:val="list0020paragraphchar1"/>
          <w:rFonts w:ascii="Times New Roman" w:hAnsi="Times New Roman" w:cs="Times New Roman"/>
          <w:sz w:val="24"/>
          <w:szCs w:val="24"/>
        </w:rPr>
        <w:t xml:space="preserve"> suggesting that it might have </w:t>
      </w:r>
      <w:r w:rsidR="008B0706" w:rsidRPr="00E97F25">
        <w:rPr>
          <w:rStyle w:val="list0020paragraphchar1"/>
          <w:rFonts w:ascii="Times New Roman" w:hAnsi="Times New Roman" w:cs="Times New Roman"/>
          <w:sz w:val="24"/>
          <w:szCs w:val="24"/>
        </w:rPr>
        <w:t xml:space="preserve">been intended to represent </w:t>
      </w:r>
      <w:r w:rsidRPr="00E97F25">
        <w:rPr>
          <w:rStyle w:val="list0020paragraphchar1"/>
          <w:rFonts w:ascii="Times New Roman" w:hAnsi="Times New Roman" w:cs="Times New Roman"/>
          <w:sz w:val="24"/>
          <w:szCs w:val="24"/>
        </w:rPr>
        <w:t xml:space="preserve">a train. </w:t>
      </w:r>
      <w:r w:rsidR="001F5D30" w:rsidRPr="00E97F25">
        <w:rPr>
          <w:rStyle w:val="list0020paragraphchar1"/>
          <w:rFonts w:ascii="Times New Roman" w:hAnsi="Times New Roman" w:cs="Times New Roman"/>
          <w:sz w:val="24"/>
          <w:szCs w:val="24"/>
        </w:rPr>
        <w:t xml:space="preserve">This painted depiction </w:t>
      </w:r>
      <w:r w:rsidR="00207928" w:rsidRPr="00E97F25">
        <w:rPr>
          <w:rStyle w:val="list0020paragraphchar1"/>
          <w:rFonts w:ascii="Times New Roman" w:hAnsi="Times New Roman" w:cs="Times New Roman"/>
          <w:sz w:val="24"/>
          <w:szCs w:val="24"/>
        </w:rPr>
        <w:t xml:space="preserve">of Sight and the other senses </w:t>
      </w:r>
      <w:r w:rsidR="001F5D30" w:rsidRPr="00E97F25">
        <w:rPr>
          <w:rStyle w:val="list0020paragraphchar1"/>
          <w:rFonts w:ascii="Times New Roman" w:hAnsi="Times New Roman" w:cs="Times New Roman"/>
          <w:sz w:val="24"/>
          <w:szCs w:val="24"/>
        </w:rPr>
        <w:t xml:space="preserve">formed part of the </w:t>
      </w:r>
      <w:r w:rsidR="009406EB" w:rsidRPr="00E97F25">
        <w:rPr>
          <w:rStyle w:val="list0020paragraphchar1"/>
          <w:rFonts w:ascii="Times New Roman" w:hAnsi="Times New Roman" w:cs="Times New Roman"/>
          <w:sz w:val="24"/>
          <w:szCs w:val="24"/>
        </w:rPr>
        <w:t>back</w:t>
      </w:r>
      <w:r w:rsidR="008B0706" w:rsidRPr="00E97F25">
        <w:rPr>
          <w:rStyle w:val="list0020paragraphchar1"/>
          <w:rFonts w:ascii="Times New Roman" w:hAnsi="Times New Roman" w:cs="Times New Roman"/>
          <w:sz w:val="24"/>
          <w:szCs w:val="24"/>
        </w:rPr>
        <w:t>drop</w:t>
      </w:r>
      <w:r w:rsidR="001F5D30" w:rsidRPr="00E97F25">
        <w:rPr>
          <w:rStyle w:val="list0020paragraphchar1"/>
          <w:rFonts w:ascii="Times New Roman" w:hAnsi="Times New Roman" w:cs="Times New Roman"/>
          <w:sz w:val="24"/>
          <w:szCs w:val="24"/>
        </w:rPr>
        <w:t xml:space="preserve"> for </w:t>
      </w:r>
      <w:r w:rsidRPr="00E97F25">
        <w:t xml:space="preserve">Ben Jonson’s masque </w:t>
      </w:r>
      <w:r w:rsidRPr="00E97F25">
        <w:rPr>
          <w:i/>
        </w:rPr>
        <w:t>Love’s Welcome</w:t>
      </w:r>
      <w:r w:rsidR="009406EB" w:rsidRPr="00E97F25">
        <w:t>,</w:t>
      </w:r>
      <w:r w:rsidRPr="00E97F25">
        <w:t xml:space="preserve"> </w:t>
      </w:r>
      <w:r w:rsidR="001F5D30" w:rsidRPr="00E97F25">
        <w:t xml:space="preserve">which was performed </w:t>
      </w:r>
      <w:r w:rsidRPr="00E97F25">
        <w:t>on 30</w:t>
      </w:r>
      <w:r w:rsidRPr="00E97F25">
        <w:rPr>
          <w:vertAlign w:val="superscript"/>
        </w:rPr>
        <w:t xml:space="preserve"> </w:t>
      </w:r>
      <w:r w:rsidRPr="00E97F25">
        <w:t>July 1634</w:t>
      </w:r>
      <w:r w:rsidR="001F5D30" w:rsidRPr="00E97F25">
        <w:t xml:space="preserve"> at Bolsover</w:t>
      </w:r>
      <w:r w:rsidRPr="00E97F25">
        <w:t>.</w:t>
      </w:r>
      <w:r w:rsidRPr="00E97F25">
        <w:rPr>
          <w:rStyle w:val="EndnoteReference"/>
        </w:rPr>
        <w:endnoteReference w:id="30"/>
      </w:r>
      <w:r w:rsidRPr="00E97F25">
        <w:t xml:space="preserve"> </w:t>
      </w:r>
      <w:r w:rsidR="00DE1376">
        <w:t>The masque</w:t>
      </w:r>
      <w:r w:rsidRPr="00E97F25">
        <w:t xml:space="preserve"> was the centre</w:t>
      </w:r>
      <w:r w:rsidR="00A24AD2" w:rsidRPr="00E97F25">
        <w:t>-</w:t>
      </w:r>
      <w:r w:rsidR="004242E6" w:rsidRPr="00E97F25">
        <w:t>piece</w:t>
      </w:r>
      <w:r w:rsidRPr="00E97F25">
        <w:t xml:space="preserve"> of the entertainments devised by William Cavendish for the visit of Charles I and </w:t>
      </w:r>
      <w:r w:rsidR="008B0706" w:rsidRPr="00E97F25">
        <w:t>his</w:t>
      </w:r>
      <w:r w:rsidR="004242E6" w:rsidRPr="00E97F25">
        <w:t xml:space="preserve"> Queen, </w:t>
      </w:r>
      <w:r w:rsidRPr="00E97F25">
        <w:t>Henrietta Maria. The pictures of the senses were</w:t>
      </w:r>
      <w:r w:rsidR="004242E6" w:rsidRPr="00E97F25">
        <w:t xml:space="preserve"> located</w:t>
      </w:r>
      <w:r w:rsidRPr="00E97F25">
        <w:t xml:space="preserve"> in the </w:t>
      </w:r>
      <w:r w:rsidRPr="00E97F25">
        <w:rPr>
          <w:rStyle w:val="list0020paragraphchar1"/>
          <w:rFonts w:ascii="Times New Roman" w:hAnsi="Times New Roman" w:cs="Times New Roman"/>
          <w:sz w:val="24"/>
          <w:szCs w:val="24"/>
        </w:rPr>
        <w:t>Pillar Parlour or The Lower Dining Room</w:t>
      </w:r>
      <w:r w:rsidR="004242E6" w:rsidRPr="00E97F25">
        <w:rPr>
          <w:rStyle w:val="list0020paragraphchar1"/>
          <w:rFonts w:ascii="Times New Roman" w:hAnsi="Times New Roman" w:cs="Times New Roman"/>
          <w:sz w:val="24"/>
          <w:szCs w:val="24"/>
        </w:rPr>
        <w:t>,</w:t>
      </w:r>
      <w:r w:rsidRPr="00E97F25">
        <w:rPr>
          <w:rStyle w:val="list0020paragraphchar1"/>
          <w:rFonts w:ascii="Times New Roman" w:hAnsi="Times New Roman" w:cs="Times New Roman"/>
          <w:sz w:val="24"/>
          <w:szCs w:val="24"/>
        </w:rPr>
        <w:t xml:space="preserve"> where part of the masque took place</w:t>
      </w:r>
      <w:r w:rsidR="004952BB" w:rsidRPr="00E97F25">
        <w:rPr>
          <w:rStyle w:val="list0020paragraphchar1"/>
          <w:rFonts w:ascii="Times New Roman" w:hAnsi="Times New Roman" w:cs="Times New Roman"/>
          <w:sz w:val="24"/>
          <w:szCs w:val="24"/>
        </w:rPr>
        <w:t xml:space="preserve">. </w:t>
      </w:r>
      <w:r w:rsidR="004242E6" w:rsidRPr="00E97F25">
        <w:rPr>
          <w:rStyle w:val="list0020paragraphchar1"/>
          <w:rFonts w:ascii="Times New Roman" w:hAnsi="Times New Roman" w:cs="Times New Roman"/>
          <w:sz w:val="24"/>
          <w:szCs w:val="24"/>
        </w:rPr>
        <w:t>The l</w:t>
      </w:r>
      <w:r w:rsidR="004952BB" w:rsidRPr="00E97F25">
        <w:rPr>
          <w:rStyle w:val="list0020paragraphchar1"/>
          <w:rFonts w:ascii="Times New Roman" w:hAnsi="Times New Roman" w:cs="Times New Roman"/>
          <w:sz w:val="24"/>
          <w:szCs w:val="24"/>
        </w:rPr>
        <w:t xml:space="preserve">ines in </w:t>
      </w:r>
      <w:r w:rsidR="00B20919" w:rsidRPr="00E97F25">
        <w:rPr>
          <w:rStyle w:val="list0020paragraphchar1"/>
          <w:rFonts w:ascii="Times New Roman" w:hAnsi="Times New Roman" w:cs="Times New Roman"/>
          <w:sz w:val="24"/>
          <w:szCs w:val="24"/>
        </w:rPr>
        <w:t xml:space="preserve">the opening </w:t>
      </w:r>
      <w:r w:rsidR="004952BB" w:rsidRPr="00E97F25">
        <w:rPr>
          <w:rStyle w:val="list0020paragraphchar1"/>
          <w:rFonts w:ascii="Times New Roman" w:hAnsi="Times New Roman" w:cs="Times New Roman"/>
          <w:sz w:val="24"/>
          <w:szCs w:val="24"/>
        </w:rPr>
        <w:t>song</w:t>
      </w:r>
      <w:r w:rsidR="00AF64F6" w:rsidRPr="00E97F25">
        <w:rPr>
          <w:rStyle w:val="list0020paragraphchar1"/>
          <w:rFonts w:ascii="Times New Roman" w:hAnsi="Times New Roman" w:cs="Times New Roman"/>
          <w:sz w:val="24"/>
          <w:szCs w:val="24"/>
        </w:rPr>
        <w:t xml:space="preserve"> </w:t>
      </w:r>
      <w:r w:rsidR="009406EB" w:rsidRPr="00E97F25">
        <w:rPr>
          <w:rStyle w:val="list0020paragraphchar1"/>
          <w:rFonts w:ascii="Times New Roman" w:hAnsi="Times New Roman" w:cs="Times New Roman"/>
          <w:sz w:val="24"/>
          <w:szCs w:val="24"/>
        </w:rPr>
        <w:t>–</w:t>
      </w:r>
      <w:r w:rsidR="00AF64F6" w:rsidRPr="00E97F25">
        <w:rPr>
          <w:rStyle w:val="list0020paragraphchar1"/>
          <w:rFonts w:ascii="Times New Roman" w:hAnsi="Times New Roman" w:cs="Times New Roman"/>
          <w:sz w:val="24"/>
          <w:szCs w:val="24"/>
        </w:rPr>
        <w:t xml:space="preserve"> </w:t>
      </w:r>
      <w:r w:rsidR="00A24AD2" w:rsidRPr="00E97F25">
        <w:t>‘</w:t>
      </w:r>
      <w:r w:rsidRPr="00E97F25">
        <w:t xml:space="preserve">When were the Senses in such order </w:t>
      </w:r>
      <w:proofErr w:type="spellStart"/>
      <w:r w:rsidRPr="00E97F25">
        <w:t>plac’d</w:t>
      </w:r>
      <w:proofErr w:type="spellEnd"/>
      <w:r w:rsidRPr="00E97F25">
        <w:t>?</w:t>
      </w:r>
      <w:r w:rsidR="004242E6" w:rsidRPr="00E97F25">
        <w:t xml:space="preserve"> </w:t>
      </w:r>
      <w:r w:rsidR="00A24AD2" w:rsidRPr="00E97F25">
        <w:t xml:space="preserve">/ </w:t>
      </w:r>
      <w:r w:rsidRPr="00E97F25">
        <w:t>The Sight, the Hearing, Smelling, Touching, Taste, All at one Banquet?</w:t>
      </w:r>
      <w:r w:rsidR="00A24AD2" w:rsidRPr="00E97F25">
        <w:t>’</w:t>
      </w:r>
      <w:r w:rsidRPr="00E97F25">
        <w:rPr>
          <w:rStyle w:val="EndnoteReference"/>
        </w:rPr>
        <w:endnoteReference w:id="31"/>
      </w:r>
      <w:r w:rsidR="00AF64F6" w:rsidRPr="00E97F25">
        <w:t xml:space="preserve"> </w:t>
      </w:r>
      <w:r w:rsidR="00553C94" w:rsidRPr="00E97F25">
        <w:t xml:space="preserve">– </w:t>
      </w:r>
      <w:proofErr w:type="gramStart"/>
      <w:r w:rsidR="004952BB" w:rsidRPr="00E97F25">
        <w:t>thus</w:t>
      </w:r>
      <w:proofErr w:type="gramEnd"/>
      <w:r w:rsidR="004952BB" w:rsidRPr="00E97F25">
        <w:t xml:space="preserve"> referred not only to the entertainment itself as a delight for all of the senses but to the very room in which the entertainment was performed. After</w:t>
      </w:r>
      <w:r w:rsidRPr="00E97F25">
        <w:t xml:space="preserve"> the banquet, where the </w:t>
      </w:r>
      <w:r w:rsidR="004242E6" w:rsidRPr="00E97F25">
        <w:t>K</w:t>
      </w:r>
      <w:r w:rsidRPr="00E97F25">
        <w:t xml:space="preserve">ing and </w:t>
      </w:r>
      <w:r w:rsidR="004242E6" w:rsidRPr="00E97F25">
        <w:t>Q</w:t>
      </w:r>
      <w:r w:rsidRPr="00E97F25">
        <w:t>ueen could indulge their senses, the rest of the performance took place in other rooms in the castle</w:t>
      </w:r>
      <w:r w:rsidR="004242E6" w:rsidRPr="00E97F25">
        <w:t>,</w:t>
      </w:r>
      <w:r w:rsidRPr="00E97F25">
        <w:t xml:space="preserve"> so providing opportunities for new and different sensory experiences.</w:t>
      </w:r>
    </w:p>
    <w:p w14:paraId="5AFA7BA0" w14:textId="2BCE0C62" w:rsidR="004242E6" w:rsidRPr="00E97F25" w:rsidRDefault="00F5098E" w:rsidP="001844BC">
      <w:pPr>
        <w:spacing w:line="360" w:lineRule="auto"/>
        <w:ind w:firstLine="720"/>
        <w:jc w:val="both"/>
      </w:pPr>
      <w:proofErr w:type="spellStart"/>
      <w:r w:rsidRPr="00E97F25">
        <w:lastRenderedPageBreak/>
        <w:t>Knole</w:t>
      </w:r>
      <w:proofErr w:type="spellEnd"/>
      <w:r w:rsidRPr="00E97F25">
        <w:t xml:space="preserve"> and Bolsover were not unique and the senses were incorporated into the decorative schemes of </w:t>
      </w:r>
      <w:proofErr w:type="gramStart"/>
      <w:r w:rsidRPr="00E97F25">
        <w:t>gentry</w:t>
      </w:r>
      <w:proofErr w:type="gramEnd"/>
      <w:r w:rsidRPr="00E97F25">
        <w:t xml:space="preserve"> houses too. For instance, the ceiling of the gallery at Dean House, Edinburgh, c. 1627, included painted panels of Sight, Taste and Hearing.</w:t>
      </w:r>
      <w:r w:rsidRPr="00E97F25">
        <w:rPr>
          <w:rStyle w:val="EndnoteReference"/>
        </w:rPr>
        <w:endnoteReference w:id="32"/>
      </w:r>
      <w:r w:rsidRPr="00E97F25">
        <w:t xml:space="preserve"> </w:t>
      </w:r>
      <w:r w:rsidR="004242E6" w:rsidRPr="00E97F25">
        <w:t>T</w:t>
      </w:r>
      <w:r w:rsidR="00DC4353" w:rsidRPr="00E97F25">
        <w:t>he</w:t>
      </w:r>
      <w:r w:rsidR="004242E6" w:rsidRPr="00E97F25">
        <w:t xml:space="preserve"> 1632</w:t>
      </w:r>
      <w:r w:rsidR="00DC4353" w:rsidRPr="00E97F25">
        <w:t xml:space="preserve"> wall paintings of Sight and Taste </w:t>
      </w:r>
      <w:r w:rsidR="004242E6" w:rsidRPr="00E97F25">
        <w:t xml:space="preserve">at Park Farm, Hilton, Huntingdonshire, were </w:t>
      </w:r>
      <w:r w:rsidR="00DC4353" w:rsidRPr="00E97F25">
        <w:t xml:space="preserve">modelled </w:t>
      </w:r>
      <w:r w:rsidR="001844BC" w:rsidRPr="00E97F25">
        <w:t xml:space="preserve">the prints of </w:t>
      </w:r>
      <w:r w:rsidR="00DC4353" w:rsidRPr="00E97F25">
        <w:t>Jan Barra</w:t>
      </w:r>
      <w:r w:rsidR="001844BC" w:rsidRPr="00E97F25">
        <w:t xml:space="preserve"> (active 1623</w:t>
      </w:r>
      <w:r w:rsidR="00E97F25" w:rsidRPr="00E97F25">
        <w:t>–16</w:t>
      </w:r>
      <w:r w:rsidR="001844BC" w:rsidRPr="00E97F25">
        <w:t xml:space="preserve">27) which </w:t>
      </w:r>
      <w:r w:rsidR="00DE1376">
        <w:t>are</w:t>
      </w:r>
      <w:r w:rsidR="001844BC" w:rsidRPr="00E97F25">
        <w:t xml:space="preserve"> the earliest surviving set of the Senses.</w:t>
      </w:r>
      <w:r w:rsidR="001844BC" w:rsidRPr="00E97F25">
        <w:rPr>
          <w:rStyle w:val="EndnoteReference"/>
        </w:rPr>
        <w:endnoteReference w:id="33"/>
      </w:r>
      <w:r w:rsidR="001844BC" w:rsidRPr="00E97F25">
        <w:t xml:space="preserve"> </w:t>
      </w:r>
    </w:p>
    <w:p w14:paraId="3E6283CF" w14:textId="77777777" w:rsidR="00F5098E" w:rsidRPr="00E97F25" w:rsidRDefault="00F5098E" w:rsidP="001844BC">
      <w:pPr>
        <w:spacing w:line="360" w:lineRule="auto"/>
        <w:ind w:firstLine="720"/>
        <w:jc w:val="both"/>
      </w:pPr>
      <w:r w:rsidRPr="00E97F25">
        <w:t>The senses also proved popular on textiles</w:t>
      </w:r>
      <w:r w:rsidR="0032681C" w:rsidRPr="00E97F25">
        <w:t>,</w:t>
      </w:r>
      <w:r w:rsidR="00B13B47" w:rsidRPr="00E97F25">
        <w:t xml:space="preserve"> indicating how representations of sight, hearing, touch, taste and smell </w:t>
      </w:r>
      <w:r w:rsidR="001B5542" w:rsidRPr="00E97F25">
        <w:t>could make</w:t>
      </w:r>
      <w:r w:rsidR="00B13B47" w:rsidRPr="00E97F25">
        <w:t xml:space="preserve"> the transition from prints to the domestic interior.</w:t>
      </w:r>
      <w:r w:rsidR="00B13B47" w:rsidRPr="00E97F25">
        <w:rPr>
          <w:rStyle w:val="EndnoteReference"/>
        </w:rPr>
        <w:endnoteReference w:id="34"/>
      </w:r>
      <w:r w:rsidR="00B13B47" w:rsidRPr="00E97F25">
        <w:t xml:space="preserve"> </w:t>
      </w:r>
      <w:r w:rsidR="001B5542" w:rsidRPr="00E97F25">
        <w:t xml:space="preserve">A </w:t>
      </w:r>
      <w:r w:rsidR="003F4690" w:rsidRPr="00E97F25">
        <w:t xml:space="preserve">range of bodily impulses were depicted within the household and </w:t>
      </w:r>
      <w:r w:rsidR="001B5542" w:rsidRPr="00E97F25">
        <w:t>viewers were</w:t>
      </w:r>
      <w:r w:rsidR="003F4690" w:rsidRPr="00E97F25">
        <w:t xml:space="preserve"> encouraged to either approve or disapprove of what they saw. </w:t>
      </w:r>
      <w:r w:rsidRPr="00E97F25">
        <w:t xml:space="preserve">In the series of six </w:t>
      </w:r>
      <w:r w:rsidR="004952BB" w:rsidRPr="00E97F25">
        <w:t>tapestries</w:t>
      </w:r>
      <w:r w:rsidR="001B5542" w:rsidRPr="00E97F25">
        <w:t xml:space="preserve"> </w:t>
      </w:r>
      <w:r w:rsidRPr="00E97F25">
        <w:rPr>
          <w:i/>
        </w:rPr>
        <w:t>Lady and the Unicorn</w:t>
      </w:r>
      <w:r w:rsidRPr="00E97F25">
        <w:t xml:space="preserve"> </w:t>
      </w:r>
      <w:r w:rsidR="001B5542" w:rsidRPr="00E97F25">
        <w:t>(</w:t>
      </w:r>
      <w:r w:rsidRPr="00E97F25">
        <w:t>c. 1500</w:t>
      </w:r>
      <w:r w:rsidR="001B5542" w:rsidRPr="00E97F25">
        <w:t>)</w:t>
      </w:r>
      <w:r w:rsidRPr="00E97F25">
        <w:t xml:space="preserve">, </w:t>
      </w:r>
      <w:r w:rsidR="007317F0" w:rsidRPr="00E97F25">
        <w:t xml:space="preserve">for example, </w:t>
      </w:r>
      <w:r w:rsidRPr="00E97F25">
        <w:t xml:space="preserve">sight was depicted as a seated woman holding a mirror in her right hand with </w:t>
      </w:r>
      <w:r w:rsidR="001B5542" w:rsidRPr="00E97F25">
        <w:t>a</w:t>
      </w:r>
      <w:r w:rsidRPr="00E97F25">
        <w:t xml:space="preserve"> unicorn kneeling in front of her </w:t>
      </w:r>
      <w:r w:rsidR="007317F0" w:rsidRPr="00E97F25">
        <w:t xml:space="preserve">and </w:t>
      </w:r>
      <w:r w:rsidRPr="00E97F25">
        <w:t>looking at its reflection in the same mirror.</w:t>
      </w:r>
      <w:r w:rsidRPr="00E97F25">
        <w:rPr>
          <w:rStyle w:val="EndnoteReference"/>
        </w:rPr>
        <w:endnoteReference w:id="35"/>
      </w:r>
      <w:r w:rsidRPr="00E97F25">
        <w:t xml:space="preserve"> </w:t>
      </w:r>
      <w:r w:rsidR="00AA3279" w:rsidRPr="00E97F25">
        <w:t xml:space="preserve">While </w:t>
      </w:r>
      <w:r w:rsidRPr="00E97F25">
        <w:t xml:space="preserve">tapestries of this quality were the preserve of the </w:t>
      </w:r>
      <w:r w:rsidR="001B5542" w:rsidRPr="00E97F25">
        <w:t>é</w:t>
      </w:r>
      <w:r w:rsidRPr="00E97F25">
        <w:t>lite, it is noteworthy that Henry VIII did not own any sets of tapestries depicting the senses, although he did have sets of the virtues and vices, and the seven deadly sins.</w:t>
      </w:r>
      <w:r w:rsidRPr="00E97F25">
        <w:rPr>
          <w:rStyle w:val="EndnoteReference"/>
        </w:rPr>
        <w:endnoteReference w:id="36"/>
      </w:r>
      <w:r w:rsidRPr="00E97F25">
        <w:t xml:space="preserve"> </w:t>
      </w:r>
      <w:r w:rsidR="001B5542" w:rsidRPr="00E97F25">
        <w:t>H</w:t>
      </w:r>
      <w:r w:rsidRPr="00E97F25">
        <w:t xml:space="preserve">e did have other, non-textile, items which stressed the importance of vision, including several paintings of Mary Magdalene and specifically the </w:t>
      </w:r>
      <w:proofErr w:type="spellStart"/>
      <w:r w:rsidRPr="00E97F25">
        <w:rPr>
          <w:i/>
        </w:rPr>
        <w:t>Noli</w:t>
      </w:r>
      <w:proofErr w:type="spellEnd"/>
      <w:r w:rsidRPr="00E97F25">
        <w:rPr>
          <w:i/>
        </w:rPr>
        <w:t xml:space="preserve"> me </w:t>
      </w:r>
      <w:proofErr w:type="spellStart"/>
      <w:r w:rsidRPr="00E97F25">
        <w:rPr>
          <w:i/>
        </w:rPr>
        <w:t>tangere</w:t>
      </w:r>
      <w:proofErr w:type="spellEnd"/>
      <w:r w:rsidRPr="00E97F25">
        <w:t>, which had links to sight with Mary Magdalene being the first person to see the risen Christ.</w:t>
      </w:r>
      <w:r w:rsidRPr="00E97F25">
        <w:rPr>
          <w:rStyle w:val="EndnoteReference"/>
        </w:rPr>
        <w:endnoteReference w:id="37"/>
      </w:r>
      <w:r w:rsidRPr="00E97F25">
        <w:t xml:space="preserve"> Indeed the</w:t>
      </w:r>
      <w:r w:rsidR="007317F0" w:rsidRPr="00E97F25">
        <w:t xml:space="preserve"> title of the painting stressed </w:t>
      </w:r>
      <w:r w:rsidRPr="00E97F25">
        <w:t>that while looking was permitted</w:t>
      </w:r>
      <w:r w:rsidR="007317F0" w:rsidRPr="00E97F25">
        <w:t>,</w:t>
      </w:r>
      <w:r w:rsidRPr="00E97F25">
        <w:t xml:space="preserve"> touching was not, so fa</w:t>
      </w:r>
      <w:r w:rsidR="007317F0" w:rsidRPr="00E97F25">
        <w:t>vouring one sense over another.</w:t>
      </w:r>
    </w:p>
    <w:p w14:paraId="6467669A" w14:textId="243C068D" w:rsidR="009F252D" w:rsidRDefault="00F5098E" w:rsidP="00B77AE3">
      <w:pPr>
        <w:spacing w:line="360" w:lineRule="auto"/>
        <w:ind w:firstLine="720"/>
        <w:jc w:val="both"/>
        <w:rPr>
          <w:spacing w:val="3"/>
          <w:lang w:eastAsia="en-GB"/>
        </w:rPr>
      </w:pPr>
      <w:r w:rsidRPr="00E97F25">
        <w:rPr>
          <w:rStyle w:val="list0020paragraphchar1"/>
          <w:rFonts w:ascii="Times New Roman" w:hAnsi="Times New Roman" w:cs="Times New Roman"/>
          <w:sz w:val="24"/>
          <w:szCs w:val="24"/>
        </w:rPr>
        <w:t>Printed images of the senses were translated widely into textile designs</w:t>
      </w:r>
      <w:r w:rsidR="009F252D" w:rsidRPr="00E97F25">
        <w:rPr>
          <w:rStyle w:val="list0020paragraphchar1"/>
          <w:rFonts w:ascii="Times New Roman" w:hAnsi="Times New Roman" w:cs="Times New Roman"/>
          <w:sz w:val="24"/>
          <w:szCs w:val="24"/>
        </w:rPr>
        <w:t>,</w:t>
      </w:r>
      <w:r w:rsidRPr="00E97F25">
        <w:rPr>
          <w:rStyle w:val="list0020paragraphchar1"/>
          <w:rFonts w:ascii="Times New Roman" w:hAnsi="Times New Roman" w:cs="Times New Roman"/>
          <w:sz w:val="24"/>
          <w:szCs w:val="24"/>
        </w:rPr>
        <w:t xml:space="preserve"> as revealed by the number of embroidered hangings, pictures, cabinets and mirror frames decorated in this way.</w:t>
      </w:r>
      <w:r w:rsidRPr="00E97F25">
        <w:rPr>
          <w:rStyle w:val="EndnoteReference"/>
        </w:rPr>
        <w:endnoteReference w:id="38"/>
      </w:r>
      <w:r w:rsidRPr="00E97F25">
        <w:rPr>
          <w:rStyle w:val="list0020paragraphchar1"/>
          <w:rFonts w:ascii="Times New Roman" w:hAnsi="Times New Roman" w:cs="Times New Roman"/>
          <w:sz w:val="24"/>
          <w:szCs w:val="24"/>
        </w:rPr>
        <w:t xml:space="preserve"> </w:t>
      </w:r>
      <w:r w:rsidR="009F252D" w:rsidRPr="00E97F25">
        <w:rPr>
          <w:rStyle w:val="list0020paragraphchar1"/>
          <w:rFonts w:ascii="Times New Roman" w:hAnsi="Times New Roman" w:cs="Times New Roman"/>
          <w:sz w:val="24"/>
          <w:szCs w:val="24"/>
        </w:rPr>
        <w:t>In some cases</w:t>
      </w:r>
      <w:r w:rsidRPr="00E97F25">
        <w:rPr>
          <w:rStyle w:val="list0020paragraphchar1"/>
          <w:rFonts w:ascii="Times New Roman" w:hAnsi="Times New Roman" w:cs="Times New Roman"/>
          <w:sz w:val="24"/>
          <w:szCs w:val="24"/>
        </w:rPr>
        <w:t xml:space="preserve"> the senses </w:t>
      </w:r>
      <w:r w:rsidR="009F252D" w:rsidRPr="00E97F25">
        <w:rPr>
          <w:rStyle w:val="list0020paragraphchar1"/>
          <w:rFonts w:ascii="Times New Roman" w:hAnsi="Times New Roman" w:cs="Times New Roman"/>
          <w:sz w:val="24"/>
          <w:szCs w:val="24"/>
        </w:rPr>
        <w:t>were</w:t>
      </w:r>
      <w:r w:rsidRPr="00E97F25">
        <w:rPr>
          <w:rStyle w:val="list0020paragraphchar1"/>
          <w:rFonts w:ascii="Times New Roman" w:hAnsi="Times New Roman" w:cs="Times New Roman"/>
          <w:sz w:val="24"/>
          <w:szCs w:val="24"/>
        </w:rPr>
        <w:t xml:space="preserve"> </w:t>
      </w:r>
      <w:r w:rsidR="009F252D" w:rsidRPr="00E97F25">
        <w:rPr>
          <w:rStyle w:val="list0020paragraphchar1"/>
          <w:rFonts w:ascii="Times New Roman" w:hAnsi="Times New Roman" w:cs="Times New Roman"/>
          <w:sz w:val="24"/>
          <w:szCs w:val="24"/>
        </w:rPr>
        <w:t>among</w:t>
      </w:r>
      <w:r w:rsidRPr="00E97F25">
        <w:rPr>
          <w:rStyle w:val="list0020paragraphchar1"/>
          <w:rFonts w:ascii="Times New Roman" w:hAnsi="Times New Roman" w:cs="Times New Roman"/>
          <w:sz w:val="24"/>
          <w:szCs w:val="24"/>
        </w:rPr>
        <w:t xml:space="preserve"> a number of </w:t>
      </w:r>
      <w:r w:rsidR="009F252D" w:rsidRPr="00E97F25">
        <w:rPr>
          <w:rStyle w:val="list0020paragraphchar1"/>
          <w:rFonts w:ascii="Times New Roman" w:hAnsi="Times New Roman" w:cs="Times New Roman"/>
          <w:sz w:val="24"/>
          <w:szCs w:val="24"/>
        </w:rPr>
        <w:t xml:space="preserve">different </w:t>
      </w:r>
      <w:r w:rsidRPr="00E97F25">
        <w:rPr>
          <w:rStyle w:val="list0020paragraphchar1"/>
          <w:rFonts w:ascii="Times New Roman" w:hAnsi="Times New Roman" w:cs="Times New Roman"/>
          <w:sz w:val="24"/>
          <w:szCs w:val="24"/>
        </w:rPr>
        <w:t>images</w:t>
      </w:r>
      <w:r w:rsidR="009F252D" w:rsidRPr="00E97F25">
        <w:rPr>
          <w:rStyle w:val="list0020paragraphchar1"/>
          <w:rFonts w:ascii="Times New Roman" w:hAnsi="Times New Roman" w:cs="Times New Roman"/>
          <w:sz w:val="24"/>
          <w:szCs w:val="24"/>
        </w:rPr>
        <w:t>,</w:t>
      </w:r>
      <w:r w:rsidRPr="00E97F25">
        <w:rPr>
          <w:rStyle w:val="list0020paragraphchar1"/>
          <w:rFonts w:ascii="Times New Roman" w:hAnsi="Times New Roman" w:cs="Times New Roman"/>
          <w:sz w:val="24"/>
          <w:szCs w:val="24"/>
        </w:rPr>
        <w:t xml:space="preserve"> such as the f</w:t>
      </w:r>
      <w:r w:rsidR="009F252D" w:rsidRPr="00E97F25">
        <w:t>orty-</w:t>
      </w:r>
      <w:r w:rsidRPr="00E97F25">
        <w:t xml:space="preserve">eight small panels at Hardwick </w:t>
      </w:r>
      <w:r w:rsidR="00E20D23" w:rsidRPr="00E97F25">
        <w:t>Hall</w:t>
      </w:r>
      <w:r w:rsidR="009F252D" w:rsidRPr="00E97F25">
        <w:t xml:space="preserve">, </w:t>
      </w:r>
      <w:r w:rsidR="001844BC" w:rsidRPr="00E97F25">
        <w:t>Derbyshire</w:t>
      </w:r>
      <w:r w:rsidR="00B77AE3" w:rsidRPr="00E97F25">
        <w:t>, dating from the late sixteenth century</w:t>
      </w:r>
      <w:r w:rsidR="00E97F25">
        <w:t>,</w:t>
      </w:r>
      <w:r w:rsidR="00B77AE3" w:rsidRPr="00E97F25">
        <w:t xml:space="preserve"> </w:t>
      </w:r>
      <w:r w:rsidR="00123231" w:rsidRPr="00E97F25">
        <w:t xml:space="preserve">illustrating </w:t>
      </w:r>
      <w:r w:rsidRPr="00E97F25">
        <w:t>Fortune, Intelligence, the Virtues and Vices, the Sun, Moon</w:t>
      </w:r>
      <w:r w:rsidR="009F252D" w:rsidRPr="00E97F25">
        <w:t xml:space="preserve"> </w:t>
      </w:r>
      <w:r w:rsidRPr="00E97F25">
        <w:t>and the sense of smell.</w:t>
      </w:r>
      <w:r w:rsidRPr="00E97F25">
        <w:rPr>
          <w:rStyle w:val="EndnoteReference"/>
        </w:rPr>
        <w:endnoteReference w:id="39"/>
      </w:r>
      <w:r w:rsidRPr="00E97F25">
        <w:t xml:space="preserve"> Textiles depicting the senses </w:t>
      </w:r>
      <w:r w:rsidR="009F252D" w:rsidRPr="00E97F25">
        <w:t xml:space="preserve">might </w:t>
      </w:r>
      <w:r w:rsidRPr="00E97F25">
        <w:t xml:space="preserve">also be </w:t>
      </w:r>
      <w:r w:rsidR="009F252D" w:rsidRPr="00E97F25">
        <w:t xml:space="preserve">found </w:t>
      </w:r>
      <w:r w:rsidRPr="00E97F25">
        <w:t xml:space="preserve">in the bedroom, </w:t>
      </w:r>
      <w:r w:rsidR="008B0706" w:rsidRPr="00E97F25">
        <w:t>as suggested by the example of</w:t>
      </w:r>
      <w:r w:rsidRPr="00E97F25">
        <w:t xml:space="preserve"> a bed valance worked in tent stitch dating from 1580</w:t>
      </w:r>
      <w:r w:rsidR="009F252D" w:rsidRPr="00E97F25">
        <w:t>–</w:t>
      </w:r>
      <w:r w:rsidRPr="00E97F25">
        <w:t>1600</w:t>
      </w:r>
      <w:r w:rsidR="009F252D" w:rsidRPr="00E97F25">
        <w:t>,</w:t>
      </w:r>
      <w:r w:rsidRPr="00E97F25">
        <w:t xml:space="preserve"> embroidered with a scene from court life in tandem with the five senses</w:t>
      </w:r>
      <w:r w:rsidR="00B77AE3" w:rsidRPr="00E97F25">
        <w:t xml:space="preserve"> in </w:t>
      </w:r>
      <w:r w:rsidR="00B77AE3" w:rsidRPr="00E97F25">
        <w:rPr>
          <w:spacing w:val="3"/>
          <w:lang w:eastAsia="en-GB"/>
        </w:rPr>
        <w:t>The Metropolitan Museum of Art, New York</w:t>
      </w:r>
      <w:r w:rsidRPr="00E97F25">
        <w:t>, while small cabinets and boxes decorated with embroidered panels could be placed in a variety of rooms</w:t>
      </w:r>
      <w:r w:rsidR="009F252D" w:rsidRPr="00E97F25">
        <w:t>,</w:t>
      </w:r>
      <w:r w:rsidRPr="00E97F25">
        <w:t xml:space="preserve"> including long galleries, closets and parlours where they </w:t>
      </w:r>
      <w:r w:rsidR="009F252D" w:rsidRPr="00E97F25">
        <w:t xml:space="preserve">could </w:t>
      </w:r>
      <w:r w:rsidRPr="00E97F25">
        <w:t xml:space="preserve">be seen by a range of people. </w:t>
      </w:r>
      <w:r w:rsidR="00882900" w:rsidRPr="00E97F25">
        <w:t xml:space="preserve">An example is </w:t>
      </w:r>
      <w:r w:rsidR="009F252D" w:rsidRPr="00E97F25">
        <w:t>a</w:t>
      </w:r>
      <w:r w:rsidR="00882900" w:rsidRPr="00E97F25">
        <w:t xml:space="preserve"> cabinet </w:t>
      </w:r>
      <w:r w:rsidR="00882900" w:rsidRPr="00E97F25">
        <w:rPr>
          <w:spacing w:val="3"/>
          <w:lang w:eastAsia="en-GB"/>
        </w:rPr>
        <w:t xml:space="preserve">with personifications of the </w:t>
      </w:r>
      <w:r w:rsidR="009F252D" w:rsidRPr="00E97F25">
        <w:rPr>
          <w:spacing w:val="3"/>
          <w:lang w:eastAsia="en-GB"/>
        </w:rPr>
        <w:t>f</w:t>
      </w:r>
      <w:r w:rsidR="00882900" w:rsidRPr="00E97F25">
        <w:rPr>
          <w:spacing w:val="3"/>
          <w:lang w:eastAsia="en-GB"/>
        </w:rPr>
        <w:t xml:space="preserve">ive </w:t>
      </w:r>
      <w:r w:rsidR="009F252D" w:rsidRPr="00E97F25">
        <w:rPr>
          <w:spacing w:val="3"/>
          <w:lang w:eastAsia="en-GB"/>
        </w:rPr>
        <w:t>s</w:t>
      </w:r>
      <w:r w:rsidR="00882900" w:rsidRPr="00E97F25">
        <w:rPr>
          <w:spacing w:val="3"/>
          <w:lang w:eastAsia="en-GB"/>
        </w:rPr>
        <w:t xml:space="preserve">enses, dating from the third quarter of the </w:t>
      </w:r>
      <w:r w:rsidR="009F252D" w:rsidRPr="00E97F25">
        <w:rPr>
          <w:spacing w:val="3"/>
          <w:lang w:eastAsia="en-GB"/>
        </w:rPr>
        <w:t>seventeenth</w:t>
      </w:r>
      <w:r w:rsidR="00882900" w:rsidRPr="00E97F25">
        <w:rPr>
          <w:spacing w:val="3"/>
          <w:lang w:eastAsia="en-GB"/>
        </w:rPr>
        <w:t xml:space="preserve"> century, </w:t>
      </w:r>
      <w:r w:rsidR="009F252D" w:rsidRPr="00E97F25">
        <w:rPr>
          <w:spacing w:val="3"/>
          <w:lang w:eastAsia="en-GB"/>
        </w:rPr>
        <w:t>now in The Metropolitan Museum</w:t>
      </w:r>
      <w:r w:rsidR="00C75683" w:rsidRPr="00E97F25">
        <w:rPr>
          <w:spacing w:val="3"/>
          <w:lang w:eastAsia="en-GB"/>
        </w:rPr>
        <w:t xml:space="preserve"> of Art, New York</w:t>
      </w:r>
      <w:r w:rsidR="009F252D" w:rsidRPr="00E97F25">
        <w:rPr>
          <w:spacing w:val="3"/>
          <w:lang w:eastAsia="en-GB"/>
        </w:rPr>
        <w:t xml:space="preserve"> (</w:t>
      </w:r>
      <w:r w:rsidR="009E7A43">
        <w:rPr>
          <w:spacing w:val="3"/>
          <w:lang w:eastAsia="en-GB"/>
        </w:rPr>
        <w:t>Fig.</w:t>
      </w:r>
      <w:r w:rsidR="00882900" w:rsidRPr="00E97F25">
        <w:rPr>
          <w:spacing w:val="3"/>
          <w:lang w:eastAsia="en-GB"/>
        </w:rPr>
        <w:t xml:space="preserve"> </w:t>
      </w:r>
      <w:r w:rsidR="00B77AE3" w:rsidRPr="00E97F25">
        <w:rPr>
          <w:spacing w:val="3"/>
          <w:lang w:eastAsia="en-GB"/>
        </w:rPr>
        <w:t>1</w:t>
      </w:r>
      <w:r w:rsidR="009F252D" w:rsidRPr="00E97F25">
        <w:rPr>
          <w:spacing w:val="3"/>
          <w:lang w:eastAsia="en-GB"/>
        </w:rPr>
        <w:t>)</w:t>
      </w:r>
      <w:r w:rsidR="00882900" w:rsidRPr="00E97F25">
        <w:rPr>
          <w:spacing w:val="3"/>
          <w:lang w:eastAsia="en-GB"/>
        </w:rPr>
        <w:t>.</w:t>
      </w:r>
    </w:p>
    <w:p w14:paraId="6DD809F1" w14:textId="77777777" w:rsidR="009F252D" w:rsidRPr="00E97F25" w:rsidRDefault="009F252D" w:rsidP="002E77A9">
      <w:pPr>
        <w:spacing w:line="360" w:lineRule="auto"/>
        <w:jc w:val="both"/>
      </w:pPr>
    </w:p>
    <w:p w14:paraId="14026740" w14:textId="599209A4" w:rsidR="009F252D" w:rsidRDefault="009F252D" w:rsidP="00B77AE3">
      <w:pPr>
        <w:spacing w:line="360" w:lineRule="auto"/>
      </w:pPr>
      <w:r w:rsidRPr="00E97F25">
        <w:t xml:space="preserve">[Figure </w:t>
      </w:r>
      <w:r w:rsidR="00B77AE3" w:rsidRPr="00E97F25">
        <w:t>1</w:t>
      </w:r>
      <w:r w:rsidRPr="00E97F25">
        <w:t xml:space="preserve"> here: ¼ page. Caption:</w:t>
      </w:r>
    </w:p>
    <w:p w14:paraId="026DD4AA" w14:textId="77777777" w:rsidR="002606C9" w:rsidRPr="00E97F25" w:rsidRDefault="002606C9" w:rsidP="00B77AE3">
      <w:pPr>
        <w:spacing w:line="360" w:lineRule="auto"/>
      </w:pPr>
    </w:p>
    <w:p w14:paraId="285C6942" w14:textId="77777777" w:rsidR="00C747C7" w:rsidRDefault="009F252D" w:rsidP="00B77AE3">
      <w:pPr>
        <w:spacing w:line="360" w:lineRule="auto"/>
        <w:jc w:val="both"/>
        <w:rPr>
          <w:spacing w:val="3"/>
          <w:lang w:eastAsia="en-GB"/>
        </w:rPr>
      </w:pPr>
      <w:r w:rsidRPr="00E97F25">
        <w:rPr>
          <w:spacing w:val="3"/>
          <w:lang w:eastAsia="en-GB"/>
        </w:rPr>
        <w:lastRenderedPageBreak/>
        <w:t xml:space="preserve">Cabinet with personifications of the Five Senses, British, third quarter </w:t>
      </w:r>
      <w:r w:rsidR="00C75683" w:rsidRPr="00E97F25">
        <w:rPr>
          <w:spacing w:val="3"/>
          <w:lang w:eastAsia="en-GB"/>
        </w:rPr>
        <w:t>seventeenth</w:t>
      </w:r>
      <w:r w:rsidRPr="00E97F25">
        <w:rPr>
          <w:spacing w:val="3"/>
          <w:lang w:eastAsia="en-GB"/>
        </w:rPr>
        <w:t xml:space="preserve"> century, Satin worked with silk and metal thread, purl, chenille, seed pearls, coral beads, and mica; tent, knots, rococo, satin, couching, and detached buttonhole stitches; woven metal thread trim; silk and paper lining; wood frame; turned wooden feet, 14.6 x 22.9 x 19.1 cm, The Metropolitan Museum</w:t>
      </w:r>
      <w:r w:rsidR="00C75683" w:rsidRPr="00E97F25">
        <w:rPr>
          <w:spacing w:val="3"/>
          <w:lang w:eastAsia="en-GB"/>
        </w:rPr>
        <w:t xml:space="preserve"> of Art</w:t>
      </w:r>
      <w:r w:rsidRPr="00E97F25">
        <w:rPr>
          <w:spacing w:val="3"/>
          <w:lang w:eastAsia="en-GB"/>
        </w:rPr>
        <w:t>, New York, Accession Number: 29.23.1.</w:t>
      </w:r>
    </w:p>
    <w:p w14:paraId="3B3FD01A" w14:textId="044CCD0D" w:rsidR="00C75683" w:rsidRPr="00E97F25" w:rsidRDefault="00CF2DB1" w:rsidP="00B77AE3">
      <w:pPr>
        <w:spacing w:line="360" w:lineRule="auto"/>
        <w:jc w:val="both"/>
        <w:rPr>
          <w:spacing w:val="3"/>
          <w:lang w:eastAsia="en-GB"/>
        </w:rPr>
      </w:pPr>
      <w:r>
        <w:rPr>
          <w:i/>
          <w:spacing w:val="3"/>
          <w:lang w:eastAsia="en-GB"/>
        </w:rPr>
        <w:t xml:space="preserve">Courtesy of </w:t>
      </w:r>
      <w:r w:rsidRPr="00C747C7">
        <w:rPr>
          <w:i/>
        </w:rPr>
        <w:t>www.metmuseum.org</w:t>
      </w:r>
      <w:r w:rsidR="009A7E2D">
        <w:rPr>
          <w:i/>
        </w:rPr>
        <w:t>.</w:t>
      </w:r>
      <w:r w:rsidR="002606C9">
        <w:rPr>
          <w:spacing w:val="3"/>
          <w:lang w:eastAsia="en-GB"/>
        </w:rPr>
        <w:t>]</w:t>
      </w:r>
    </w:p>
    <w:p w14:paraId="6C327E88" w14:textId="77777777" w:rsidR="00B77AE3" w:rsidRPr="00E97F25" w:rsidRDefault="00B77AE3" w:rsidP="002E77A9">
      <w:pPr>
        <w:spacing w:line="360" w:lineRule="auto"/>
        <w:jc w:val="both"/>
      </w:pPr>
    </w:p>
    <w:p w14:paraId="4DA15F9B" w14:textId="0290AC4C" w:rsidR="00F5098E" w:rsidRPr="00E97F25" w:rsidRDefault="00F5098E" w:rsidP="002E77A9">
      <w:pPr>
        <w:spacing w:line="360" w:lineRule="auto"/>
        <w:jc w:val="both"/>
      </w:pPr>
      <w:r w:rsidRPr="00E97F25">
        <w:t>As such</w:t>
      </w:r>
      <w:r w:rsidR="00BC43BA" w:rsidRPr="00E97F25">
        <w:t>,</w:t>
      </w:r>
      <w:r w:rsidRPr="00E97F25">
        <w:t xml:space="preserve"> this imagery had a wide reach and its use as part of decorative scheme</w:t>
      </w:r>
      <w:r w:rsidR="00C75683" w:rsidRPr="00E97F25">
        <w:t>s</w:t>
      </w:r>
      <w:r w:rsidRPr="00E97F25">
        <w:t xml:space="preserve"> suggests that depictions of sight could be used to encourage people to look closely at objects in order to satisfy their curiosity, as well as to induce a sense of self-consciousness about their actions. </w:t>
      </w:r>
      <w:r w:rsidR="004210FE" w:rsidRPr="00E97F25">
        <w:t>Depictions of the senses</w:t>
      </w:r>
      <w:r w:rsidR="0002179C" w:rsidRPr="00E97F25">
        <w:t>,</w:t>
      </w:r>
      <w:r w:rsidR="004210FE" w:rsidRPr="00E97F25">
        <w:t xml:space="preserve"> and the ways in which these illustrations were used and interpreted, demonstrate a shift in how the</w:t>
      </w:r>
      <w:r w:rsidR="004F3715" w:rsidRPr="00E97F25">
        <w:t xml:space="preserve"> senses </w:t>
      </w:r>
      <w:r w:rsidR="004210FE" w:rsidRPr="00E97F25">
        <w:t>were thought about in the early modern period. The</w:t>
      </w:r>
      <w:r w:rsidR="00DE1376">
        <w:t>y</w:t>
      </w:r>
      <w:r w:rsidR="004210FE" w:rsidRPr="00E97F25">
        <w:t xml:space="preserve"> </w:t>
      </w:r>
      <w:r w:rsidR="004F3715" w:rsidRPr="00E97F25">
        <w:t xml:space="preserve">moved from </w:t>
      </w:r>
      <w:r w:rsidR="004210FE" w:rsidRPr="00E97F25">
        <w:t>providing a serious intellectual framework for understanding life to a more decorative</w:t>
      </w:r>
      <w:r w:rsidR="004F3715" w:rsidRPr="00E97F25">
        <w:t xml:space="preserve">, more </w:t>
      </w:r>
      <w:r w:rsidR="00C75683" w:rsidRPr="00E97F25">
        <w:t>mundane</w:t>
      </w:r>
      <w:r w:rsidR="004F3715" w:rsidRPr="00E97F25">
        <w:t xml:space="preserve"> context. </w:t>
      </w:r>
      <w:r w:rsidR="004210FE" w:rsidRPr="00E97F25">
        <w:t xml:space="preserve">  </w:t>
      </w:r>
      <w:r w:rsidRPr="00E97F25">
        <w:t xml:space="preserve">  </w:t>
      </w:r>
    </w:p>
    <w:p w14:paraId="42DDA370" w14:textId="77777777" w:rsidR="00F5098E" w:rsidRPr="00E97F25" w:rsidRDefault="00F5098E" w:rsidP="002E77A9">
      <w:pPr>
        <w:spacing w:line="360" w:lineRule="auto"/>
        <w:jc w:val="both"/>
        <w:rPr>
          <w:rStyle w:val="list0020paragraphchar1"/>
          <w:rFonts w:ascii="Times New Roman" w:hAnsi="Times New Roman" w:cs="Times New Roman"/>
          <w:sz w:val="24"/>
          <w:szCs w:val="24"/>
        </w:rPr>
      </w:pPr>
    </w:p>
    <w:p w14:paraId="4BD3C944" w14:textId="77777777" w:rsidR="00246B1D" w:rsidRPr="00E97F25" w:rsidRDefault="00246B1D" w:rsidP="002E77A9">
      <w:pPr>
        <w:spacing w:line="360" w:lineRule="auto"/>
        <w:jc w:val="both"/>
        <w:rPr>
          <w:smallCaps/>
          <w:lang w:eastAsia="en-GB"/>
        </w:rPr>
      </w:pPr>
      <w:r w:rsidRPr="00E97F25">
        <w:rPr>
          <w:smallCaps/>
          <w:lang w:eastAsia="en-GB"/>
        </w:rPr>
        <w:t xml:space="preserve">Sight and </w:t>
      </w:r>
      <w:r w:rsidR="00C75683" w:rsidRPr="00E97F25">
        <w:rPr>
          <w:smallCaps/>
          <w:lang w:eastAsia="en-GB"/>
        </w:rPr>
        <w:t>Seeing</w:t>
      </w:r>
    </w:p>
    <w:p w14:paraId="16DD1DC8" w14:textId="77777777" w:rsidR="00246B1D" w:rsidRPr="00E97F25" w:rsidRDefault="00246B1D" w:rsidP="002E77A9">
      <w:pPr>
        <w:spacing w:line="360" w:lineRule="auto"/>
        <w:jc w:val="both"/>
        <w:rPr>
          <w:b/>
        </w:rPr>
      </w:pPr>
    </w:p>
    <w:p w14:paraId="3BCC4099" w14:textId="77777777" w:rsidR="00246B1D" w:rsidRPr="00E97F25" w:rsidRDefault="00246B1D" w:rsidP="002E77A9">
      <w:pPr>
        <w:spacing w:line="360" w:lineRule="auto"/>
        <w:jc w:val="both"/>
      </w:pPr>
      <w:r w:rsidRPr="00E97F25">
        <w:t>During the early modern period, sight was generally considered to be the most important and refined of the five human senses.</w:t>
      </w:r>
      <w:r w:rsidRPr="00E97F25">
        <w:rPr>
          <w:rStyle w:val="EndnoteReference"/>
        </w:rPr>
        <w:endnoteReference w:id="40"/>
      </w:r>
      <w:r w:rsidRPr="00E97F25">
        <w:t xml:space="preserve"> </w:t>
      </w:r>
      <w:r w:rsidR="00E33790" w:rsidRPr="00E97F25">
        <w:t>S</w:t>
      </w:r>
      <w:r w:rsidRPr="00E97F25">
        <w:t>ight provided an individual with the means of capturing memories, measuring things and appreciating colour, as well a</w:t>
      </w:r>
      <w:r w:rsidR="00E119F6" w:rsidRPr="00E97F25">
        <w:t>s gaining a perception of space</w:t>
      </w:r>
      <w:r w:rsidRPr="00E97F25">
        <w:t xml:space="preserve"> and landscape.</w:t>
      </w:r>
      <w:r w:rsidRPr="00E97F25">
        <w:rPr>
          <w:rStyle w:val="EndnoteReference"/>
        </w:rPr>
        <w:endnoteReference w:id="41"/>
      </w:r>
      <w:r w:rsidRPr="00E97F25">
        <w:t xml:space="preserve"> </w:t>
      </w:r>
      <w:r w:rsidR="00E33790" w:rsidRPr="00E97F25">
        <w:t xml:space="preserve">There </w:t>
      </w:r>
      <w:r w:rsidRPr="00E97F25">
        <w:t xml:space="preserve">was </w:t>
      </w:r>
      <w:r w:rsidR="00E33790" w:rsidRPr="00E97F25">
        <w:t xml:space="preserve">also </w:t>
      </w:r>
      <w:r w:rsidRPr="00E97F25">
        <w:t>a strong belief that seeing something linked the viewer and the thing seen</w:t>
      </w:r>
      <w:r w:rsidR="006A06FD" w:rsidRPr="00E97F25">
        <w:t>,</w:t>
      </w:r>
      <w:r w:rsidRPr="00E97F25">
        <w:t xml:space="preserve"> so giving great significance to a person’s gaze.</w:t>
      </w:r>
      <w:r w:rsidRPr="00E97F25">
        <w:rPr>
          <w:rStyle w:val="EndnoteReference"/>
        </w:rPr>
        <w:endnoteReference w:id="42"/>
      </w:r>
      <w:r w:rsidRPr="00E97F25">
        <w:t xml:space="preserve"> John Donne (1572</w:t>
      </w:r>
      <w:r w:rsidR="00324049" w:rsidRPr="00E97F25">
        <w:t>–</w:t>
      </w:r>
      <w:r w:rsidRPr="00E97F25">
        <w:t xml:space="preserve">1631) made this connection in his poem, </w:t>
      </w:r>
      <w:r w:rsidRPr="00E97F25">
        <w:rPr>
          <w:i/>
        </w:rPr>
        <w:t>The Ecstasy</w:t>
      </w:r>
      <w:r w:rsidRPr="00E97F25">
        <w:t>, when he observed</w:t>
      </w:r>
      <w:r w:rsidR="00324049" w:rsidRPr="00E97F25">
        <w:t>:</w:t>
      </w:r>
      <w:r w:rsidRPr="00E97F25">
        <w:t xml:space="preserve"> ‘Our eye-beams twisted and did thread</w:t>
      </w:r>
      <w:r w:rsidR="00324049" w:rsidRPr="00E97F25">
        <w:t xml:space="preserve"> </w:t>
      </w:r>
      <w:r w:rsidRPr="00E97F25">
        <w:t>/</w:t>
      </w:r>
      <w:r w:rsidR="00324049" w:rsidRPr="00E97F25">
        <w:t xml:space="preserve"> </w:t>
      </w:r>
      <w:proofErr w:type="gramStart"/>
      <w:r w:rsidRPr="00E97F25">
        <w:t>Our</w:t>
      </w:r>
      <w:proofErr w:type="gramEnd"/>
      <w:r w:rsidRPr="00E97F25">
        <w:t xml:space="preserve"> eyes</w:t>
      </w:r>
      <w:r w:rsidR="006579AA" w:rsidRPr="00E97F25">
        <w:t>,</w:t>
      </w:r>
      <w:r w:rsidRPr="00E97F25">
        <w:t xml:space="preserve"> upon one double string</w:t>
      </w:r>
      <w:r w:rsidR="008A3227" w:rsidRPr="00E97F25">
        <w:t xml:space="preserve"> </w:t>
      </w:r>
      <w:r w:rsidRPr="00E97F25">
        <w:t>…</w:t>
      </w:r>
      <w:r w:rsidR="00324049" w:rsidRPr="00E97F25">
        <w:t xml:space="preserve"> </w:t>
      </w:r>
      <w:r w:rsidRPr="00E97F25">
        <w:t>And pictures in our eyes to get</w:t>
      </w:r>
      <w:r w:rsidR="00324049" w:rsidRPr="00E97F25">
        <w:t xml:space="preserve"> </w:t>
      </w:r>
      <w:r w:rsidRPr="00E97F25">
        <w:t>/</w:t>
      </w:r>
      <w:r w:rsidR="00324049" w:rsidRPr="00E97F25">
        <w:t xml:space="preserve"> </w:t>
      </w:r>
      <w:r w:rsidRPr="00E97F25">
        <w:t>Was all our propagation’.</w:t>
      </w:r>
      <w:r w:rsidRPr="00E97F25">
        <w:rPr>
          <w:rStyle w:val="EndnoteReference"/>
        </w:rPr>
        <w:endnoteReference w:id="43"/>
      </w:r>
      <w:r w:rsidRPr="00E97F25">
        <w:t xml:space="preserve"> As a result, seeing could have a moral or religious component and this was reflected in ideas such as</w:t>
      </w:r>
      <w:r w:rsidR="00A174B7" w:rsidRPr="00E97F25">
        <w:t xml:space="preserve"> the eye of faith, second sight</w:t>
      </w:r>
      <w:r w:rsidRPr="00E97F25">
        <w:t xml:space="preserve"> and the evil eye.</w:t>
      </w:r>
      <w:r w:rsidRPr="00E97F25">
        <w:rPr>
          <w:rStyle w:val="EndnoteReference"/>
        </w:rPr>
        <w:endnoteReference w:id="44"/>
      </w:r>
      <w:r w:rsidRPr="00E97F25">
        <w:t xml:space="preserve"> </w:t>
      </w:r>
      <w:r w:rsidR="00A174B7" w:rsidRPr="00E97F25">
        <w:t>T</w:t>
      </w:r>
      <w:r w:rsidRPr="00E97F25">
        <w:t>he nature of a person’s gaze or their visual appreciation of their surroundings depended in part on whether they chose to look because they had the time or the inclination. Th</w:t>
      </w:r>
      <w:r w:rsidR="008A3227" w:rsidRPr="00E97F25">
        <w:t>is</w:t>
      </w:r>
      <w:r w:rsidRPr="00E97F25">
        <w:t xml:space="preserve"> would tend to favour the social </w:t>
      </w:r>
      <w:r w:rsidR="00A174B7" w:rsidRPr="00E97F25">
        <w:t>é</w:t>
      </w:r>
      <w:r w:rsidRPr="00E97F25">
        <w:t xml:space="preserve">lite and those with time for leisure but </w:t>
      </w:r>
      <w:r w:rsidR="00A174B7" w:rsidRPr="00E97F25">
        <w:t xml:space="preserve">it would be unwise </w:t>
      </w:r>
      <w:r w:rsidRPr="00E97F25">
        <w:t>to suggest that those lower down</w:t>
      </w:r>
      <w:r w:rsidR="00A174B7" w:rsidRPr="00E97F25">
        <w:t xml:space="preserve"> the social scale did not do so</w:t>
      </w:r>
      <w:r w:rsidRPr="00E97F25">
        <w:t xml:space="preserve">. </w:t>
      </w:r>
      <w:r w:rsidR="00841238" w:rsidRPr="00E97F25">
        <w:t xml:space="preserve">Indeed, the insistence with which these ideas were discussed across a range of domestic, social and religious contexts suggests that looking was open to all. </w:t>
      </w:r>
      <w:r w:rsidRPr="00E97F25">
        <w:t xml:space="preserve">In addition, the way </w:t>
      </w:r>
      <w:r w:rsidR="00841238" w:rsidRPr="00E97F25">
        <w:t xml:space="preserve">an individual </w:t>
      </w:r>
      <w:r w:rsidRPr="00E97F25">
        <w:t>might look would be tempered further by their surroundings being either familiar (where looking was about recognition), or unfamiliar (so that the viewer’s lo</w:t>
      </w:r>
      <w:r w:rsidR="00A174B7" w:rsidRPr="00E97F25">
        <w:t>oking was directed by curiosity</w:t>
      </w:r>
      <w:r w:rsidRPr="00E97F25">
        <w:t xml:space="preserve"> and the opportunity to see something new). </w:t>
      </w:r>
    </w:p>
    <w:p w14:paraId="25D6F73D" w14:textId="4A9D7462" w:rsidR="00246B1D" w:rsidRPr="00E97F25" w:rsidRDefault="00F02143" w:rsidP="002E77A9">
      <w:pPr>
        <w:spacing w:line="360" w:lineRule="auto"/>
        <w:jc w:val="both"/>
      </w:pPr>
      <w:r w:rsidRPr="00E97F25">
        <w:lastRenderedPageBreak/>
        <w:tab/>
      </w:r>
      <w:r w:rsidR="009F21DA" w:rsidRPr="00E97F25">
        <w:t>The quality and quantity of indoor lighting in the early modern home</w:t>
      </w:r>
      <w:r w:rsidR="008A4A30" w:rsidRPr="00E97F25">
        <w:t>,</w:t>
      </w:r>
      <w:r w:rsidR="009F21DA" w:rsidRPr="00E97F25">
        <w:t xml:space="preserve"> which would influence how well the interior was seen after dark</w:t>
      </w:r>
      <w:r w:rsidR="008A4A30" w:rsidRPr="00E97F25">
        <w:t>,</w:t>
      </w:r>
      <w:r w:rsidR="009F21DA" w:rsidRPr="00E97F25">
        <w:t xml:space="preserve"> was </w:t>
      </w:r>
      <w:r w:rsidR="002961B1" w:rsidRPr="00E97F25">
        <w:t xml:space="preserve">directly </w:t>
      </w:r>
      <w:r w:rsidR="009F21DA" w:rsidRPr="00E97F25">
        <w:t>linked to the wealth, and often the social status, of the family.</w:t>
      </w:r>
      <w:r w:rsidR="002961B1" w:rsidRPr="00E97F25">
        <w:t xml:space="preserve"> </w:t>
      </w:r>
      <w:r w:rsidR="008A4A30" w:rsidRPr="00E97F25">
        <w:t>T</w:t>
      </w:r>
      <w:r w:rsidR="002961B1" w:rsidRPr="00E97F25">
        <w:t>aking one example</w:t>
      </w:r>
      <w:r w:rsidR="008A4A30" w:rsidRPr="00E97F25">
        <w:t xml:space="preserve"> of lighting</w:t>
      </w:r>
      <w:r w:rsidR="002961B1" w:rsidRPr="00E97F25">
        <w:t>, candles were available in a range of options from expensive</w:t>
      </w:r>
      <w:r w:rsidR="00A3138B" w:rsidRPr="00E97F25">
        <w:t xml:space="preserve">, clean burning </w:t>
      </w:r>
      <w:r w:rsidR="002961B1" w:rsidRPr="00E97F25">
        <w:t>beeswax to modestly priced</w:t>
      </w:r>
      <w:r w:rsidR="00A3138B" w:rsidRPr="00E97F25">
        <w:t xml:space="preserve">, rather smoky, </w:t>
      </w:r>
      <w:r w:rsidR="002961B1" w:rsidRPr="00E97F25">
        <w:t>tallow tapers</w:t>
      </w:r>
      <w:r w:rsidR="00A3138B" w:rsidRPr="00E97F25">
        <w:t xml:space="preserve"> which could be made at home. T</w:t>
      </w:r>
      <w:r w:rsidR="00123231" w:rsidRPr="00E97F25">
        <w:t xml:space="preserve">he amount of </w:t>
      </w:r>
      <w:r w:rsidR="00246B1D" w:rsidRPr="00E97F25">
        <w:t xml:space="preserve">detail </w:t>
      </w:r>
      <w:r w:rsidR="00123231" w:rsidRPr="00E97F25">
        <w:t xml:space="preserve">perceived by an individual </w:t>
      </w:r>
      <w:r w:rsidR="008A4A30" w:rsidRPr="00E97F25">
        <w:t xml:space="preserve">also </w:t>
      </w:r>
      <w:r w:rsidR="00246B1D" w:rsidRPr="00E97F25">
        <w:t>depended in part on the quality of their eyesight. For many this would become an issue as they got older</w:t>
      </w:r>
      <w:r w:rsidR="008A4A30" w:rsidRPr="00E97F25">
        <w:t>,</w:t>
      </w:r>
      <w:r w:rsidR="00246B1D" w:rsidRPr="00E97F25">
        <w:t xml:space="preserve"> especially when light levels were low</w:t>
      </w:r>
      <w:r w:rsidR="008A4A30" w:rsidRPr="00E97F25">
        <w:t>,</w:t>
      </w:r>
      <w:r w:rsidR="00246B1D" w:rsidRPr="00E97F25">
        <w:t xml:space="preserve"> such as at dusk and in the evening. However, for others who lived with poor or deteriorating sight for much of their lives, </w:t>
      </w:r>
      <w:r w:rsidR="008A4A30" w:rsidRPr="00E97F25">
        <w:t>this</w:t>
      </w:r>
      <w:r w:rsidR="00246B1D" w:rsidRPr="00E97F25">
        <w:t xml:space="preserve"> would have resulted in a very limited appreciation of their surroundings. Henry VIII certainly wore glasses as he got older. Numerous pairs with decorative cases were kept in the </w:t>
      </w:r>
      <w:r w:rsidR="008A4A30" w:rsidRPr="00E97F25">
        <w:t>K</w:t>
      </w:r>
      <w:r w:rsidR="00246B1D" w:rsidRPr="00E97F25">
        <w:t>ing’s removing coffers as well as in the private apartments of his main properties</w:t>
      </w:r>
      <w:r w:rsidR="008A4A30" w:rsidRPr="00E97F25">
        <w:t>,</w:t>
      </w:r>
      <w:r w:rsidR="00246B1D" w:rsidRPr="00E97F25">
        <w:t xml:space="preserve"> including ‘a Spectacle case of </w:t>
      </w:r>
      <w:proofErr w:type="spellStart"/>
      <w:r w:rsidR="00246B1D" w:rsidRPr="00E97F25">
        <w:t>golde</w:t>
      </w:r>
      <w:proofErr w:type="spellEnd"/>
      <w:r w:rsidR="00246B1D" w:rsidRPr="00E97F25">
        <w:t xml:space="preserve"> </w:t>
      </w:r>
      <w:proofErr w:type="spellStart"/>
      <w:r w:rsidR="00246B1D" w:rsidRPr="00E97F25">
        <w:t>engraven</w:t>
      </w:r>
      <w:proofErr w:type="spellEnd"/>
      <w:r w:rsidR="00246B1D" w:rsidRPr="00E97F25">
        <w:t xml:space="preserve"> with the </w:t>
      </w:r>
      <w:proofErr w:type="spellStart"/>
      <w:r w:rsidR="00246B1D" w:rsidRPr="00E97F25">
        <w:t>Armes</w:t>
      </w:r>
      <w:proofErr w:type="spellEnd"/>
      <w:r w:rsidR="00246B1D" w:rsidRPr="00E97F25">
        <w:t xml:space="preserve"> of England with </w:t>
      </w:r>
      <w:proofErr w:type="spellStart"/>
      <w:r w:rsidR="00246B1D" w:rsidRPr="00E97F25">
        <w:t>twoo</w:t>
      </w:r>
      <w:proofErr w:type="spellEnd"/>
      <w:r w:rsidR="00246B1D" w:rsidRPr="00E97F25">
        <w:t xml:space="preserve"> spectacles’.</w:t>
      </w:r>
      <w:r w:rsidR="00246B1D" w:rsidRPr="00E97F25">
        <w:rPr>
          <w:rStyle w:val="EndnoteReference"/>
        </w:rPr>
        <w:endnoteReference w:id="45"/>
      </w:r>
      <w:r w:rsidR="00246B1D" w:rsidRPr="00E97F25">
        <w:t xml:space="preserve"> He also had other reading aids</w:t>
      </w:r>
      <w:r w:rsidR="008A4A30" w:rsidRPr="00E97F25">
        <w:t>,</w:t>
      </w:r>
      <w:r w:rsidR="00246B1D" w:rsidRPr="00E97F25">
        <w:t xml:space="preserve"> including ‘one </w:t>
      </w:r>
      <w:proofErr w:type="spellStart"/>
      <w:r w:rsidR="00246B1D" w:rsidRPr="00E97F25">
        <w:t>brode</w:t>
      </w:r>
      <w:proofErr w:type="spellEnd"/>
      <w:r w:rsidR="00246B1D" w:rsidRPr="00E97F25">
        <w:t xml:space="preserve"> </w:t>
      </w:r>
      <w:proofErr w:type="spellStart"/>
      <w:r w:rsidR="00246B1D" w:rsidRPr="00E97F25">
        <w:t>glasse</w:t>
      </w:r>
      <w:proofErr w:type="spellEnd"/>
      <w:r w:rsidR="00246B1D" w:rsidRPr="00E97F25">
        <w:t xml:space="preserve"> to </w:t>
      </w:r>
      <w:proofErr w:type="spellStart"/>
      <w:r w:rsidR="00246B1D" w:rsidRPr="00E97F25">
        <w:t>loke</w:t>
      </w:r>
      <w:proofErr w:type="spellEnd"/>
      <w:r w:rsidR="00246B1D" w:rsidRPr="00E97F25">
        <w:t xml:space="preserve"> </w:t>
      </w:r>
      <w:proofErr w:type="spellStart"/>
      <w:r w:rsidR="00246B1D" w:rsidRPr="00E97F25">
        <w:t>vppon</w:t>
      </w:r>
      <w:proofErr w:type="spellEnd"/>
      <w:r w:rsidR="00246B1D" w:rsidRPr="00E97F25">
        <w:t xml:space="preserve"> a boke garnished with gold’ and ‘a </w:t>
      </w:r>
      <w:proofErr w:type="spellStart"/>
      <w:r w:rsidR="00246B1D" w:rsidRPr="00E97F25">
        <w:t>glasse</w:t>
      </w:r>
      <w:proofErr w:type="spellEnd"/>
      <w:r w:rsidR="00246B1D" w:rsidRPr="00E97F25">
        <w:t xml:space="preserve"> to </w:t>
      </w:r>
      <w:proofErr w:type="spellStart"/>
      <w:proofErr w:type="gramStart"/>
      <w:r w:rsidR="00246B1D" w:rsidRPr="00E97F25">
        <w:t>reade</w:t>
      </w:r>
      <w:proofErr w:type="spellEnd"/>
      <w:proofErr w:type="gramEnd"/>
      <w:r w:rsidR="00246B1D" w:rsidRPr="00E97F25">
        <w:t xml:space="preserve"> with set in </w:t>
      </w:r>
      <w:proofErr w:type="spellStart"/>
      <w:r w:rsidR="00246B1D" w:rsidRPr="00E97F25">
        <w:t>wodde</w:t>
      </w:r>
      <w:proofErr w:type="spellEnd"/>
      <w:r w:rsidR="00246B1D" w:rsidRPr="00E97F25">
        <w:t xml:space="preserve"> with a </w:t>
      </w:r>
      <w:proofErr w:type="spellStart"/>
      <w:r w:rsidR="00246B1D" w:rsidRPr="00E97F25">
        <w:t>handell</w:t>
      </w:r>
      <w:proofErr w:type="spellEnd"/>
      <w:r w:rsidR="00246B1D" w:rsidRPr="00E97F25">
        <w:t>’.</w:t>
      </w:r>
      <w:r w:rsidR="00246B1D" w:rsidRPr="00E97F25">
        <w:rPr>
          <w:rStyle w:val="EndnoteReference"/>
        </w:rPr>
        <w:endnoteReference w:id="46"/>
      </w:r>
      <w:r w:rsidR="008A4A30" w:rsidRPr="00E97F25">
        <w:t xml:space="preserve"> By the early to mid-</w:t>
      </w:r>
      <w:r w:rsidR="00246B1D" w:rsidRPr="00E97F25">
        <w:t xml:space="preserve">sixteenth century, </w:t>
      </w:r>
      <w:r w:rsidR="00123231" w:rsidRPr="00E97F25">
        <w:t xml:space="preserve">it was </w:t>
      </w:r>
      <w:r w:rsidR="008A4A30" w:rsidRPr="00E97F25">
        <w:t>no longer</w:t>
      </w:r>
      <w:r w:rsidR="00123231" w:rsidRPr="00E97F25">
        <w:t xml:space="preserve"> just royalty who benefited from</w:t>
      </w:r>
      <w:r w:rsidR="00246B1D" w:rsidRPr="00E97F25">
        <w:t xml:space="preserve"> spectacles.</w:t>
      </w:r>
      <w:r w:rsidR="00246B1D" w:rsidRPr="00E97F25">
        <w:rPr>
          <w:rStyle w:val="EndnoteReference"/>
        </w:rPr>
        <w:endnoteReference w:id="47"/>
      </w:r>
      <w:r w:rsidR="00246B1D" w:rsidRPr="00E97F25">
        <w:t xml:space="preserve"> </w:t>
      </w:r>
      <w:r w:rsidR="007A5FF1" w:rsidRPr="00E97F25">
        <w:t xml:space="preserve">The increased availability of glasses was noted in Pietro </w:t>
      </w:r>
      <w:proofErr w:type="spellStart"/>
      <w:r w:rsidR="007A5FF1" w:rsidRPr="00E97F25">
        <w:t>Paolini’s</w:t>
      </w:r>
      <w:proofErr w:type="spellEnd"/>
      <w:r w:rsidR="008D5DBD" w:rsidRPr="00E97F25">
        <w:t xml:space="preserve"> painting</w:t>
      </w:r>
      <w:r w:rsidR="007A5FF1" w:rsidRPr="00E97F25">
        <w:t xml:space="preserve"> </w:t>
      </w:r>
      <w:r w:rsidR="007A5FF1" w:rsidRPr="00E97F25">
        <w:rPr>
          <w:i/>
        </w:rPr>
        <w:t>Allegory of the Five Senses</w:t>
      </w:r>
      <w:r w:rsidR="007A5FF1" w:rsidRPr="00E97F25">
        <w:t xml:space="preserve"> </w:t>
      </w:r>
      <w:r w:rsidR="008D5DBD" w:rsidRPr="00E97F25">
        <w:t>(</w:t>
      </w:r>
      <w:r w:rsidR="007A5FF1" w:rsidRPr="00E97F25">
        <w:t>c.1630</w:t>
      </w:r>
      <w:r w:rsidR="008D5DBD" w:rsidRPr="00E97F25">
        <w:t>)</w:t>
      </w:r>
      <w:r w:rsidR="007A5FF1" w:rsidRPr="00E97F25">
        <w:t>, with the man representing sight holding a pair of spectacles in his hand.</w:t>
      </w:r>
      <w:r w:rsidR="007A5FF1" w:rsidRPr="00E97F25">
        <w:rPr>
          <w:rStyle w:val="EndnoteReference"/>
        </w:rPr>
        <w:endnoteReference w:id="48"/>
      </w:r>
      <w:r w:rsidR="007A5FF1" w:rsidRPr="00E97F25">
        <w:t xml:space="preserve"> </w:t>
      </w:r>
      <w:r w:rsidR="00246B1D" w:rsidRPr="00E97F25">
        <w:t xml:space="preserve">None of these factors </w:t>
      </w:r>
      <w:r w:rsidR="00E20D23" w:rsidRPr="00E97F25">
        <w:t xml:space="preserve">discussed here </w:t>
      </w:r>
      <w:r w:rsidR="00246B1D" w:rsidRPr="00E97F25">
        <w:t xml:space="preserve">were unique </w:t>
      </w:r>
      <w:r w:rsidR="008A3227" w:rsidRPr="00E97F25">
        <w:t xml:space="preserve">to </w:t>
      </w:r>
      <w:r w:rsidR="00E20D23" w:rsidRPr="00E97F25">
        <w:t xml:space="preserve">viewing </w:t>
      </w:r>
      <w:r w:rsidR="00246B1D" w:rsidRPr="00E97F25">
        <w:t>the early modern interior</w:t>
      </w:r>
      <w:r w:rsidR="008D5DBD" w:rsidRPr="00E97F25">
        <w:t>,</w:t>
      </w:r>
      <w:r w:rsidR="00246B1D" w:rsidRPr="00E97F25">
        <w:t xml:space="preserve"> but that does not make the</w:t>
      </w:r>
      <w:r w:rsidR="00E20D23" w:rsidRPr="00E97F25">
        <w:t xml:space="preserve">m </w:t>
      </w:r>
      <w:r w:rsidR="00246B1D" w:rsidRPr="00E97F25">
        <w:t xml:space="preserve">any less </w:t>
      </w:r>
      <w:r w:rsidR="008D5DBD" w:rsidRPr="00E97F25">
        <w:t>significant</w:t>
      </w:r>
      <w:r w:rsidR="008B0706" w:rsidRPr="00E97F25">
        <w:t xml:space="preserve"> to our understanding of contemporary perceptions of sight</w:t>
      </w:r>
      <w:r w:rsidR="008D5DBD" w:rsidRPr="00E97F25">
        <w:t>,</w:t>
      </w:r>
      <w:r w:rsidR="00E20D23" w:rsidRPr="00E97F25">
        <w:t xml:space="preserve"> and t</w:t>
      </w:r>
      <w:r w:rsidR="007A5FF1" w:rsidRPr="00E97F25">
        <w:t>he ability to correct poor eyesight at a</w:t>
      </w:r>
      <w:r w:rsidR="00E20D23" w:rsidRPr="00E97F25">
        <w:t xml:space="preserve">n increasingly </w:t>
      </w:r>
      <w:r w:rsidR="007A5FF1" w:rsidRPr="00E97F25">
        <w:t xml:space="preserve">affordable </w:t>
      </w:r>
      <w:r w:rsidR="00E20D23" w:rsidRPr="00E97F25">
        <w:t>cost was</w:t>
      </w:r>
      <w:r w:rsidR="008D5DBD" w:rsidRPr="00E97F25">
        <w:t xml:space="preserve"> a</w:t>
      </w:r>
      <w:r w:rsidR="00E20D23" w:rsidRPr="00E97F25">
        <w:t xml:space="preserve"> distinctly </w:t>
      </w:r>
      <w:r w:rsidR="00900DC7" w:rsidRPr="00E97F25">
        <w:t>early modern</w:t>
      </w:r>
      <w:r w:rsidR="008D5DBD" w:rsidRPr="00E97F25">
        <w:t xml:space="preserve"> development</w:t>
      </w:r>
      <w:r w:rsidR="00E20D23" w:rsidRPr="00E97F25">
        <w:t>.</w:t>
      </w:r>
      <w:r w:rsidR="00900DC7" w:rsidRPr="00E97F25">
        <w:t xml:space="preserve"> </w:t>
      </w:r>
      <w:r w:rsidR="00246B1D" w:rsidRPr="00E97F25">
        <w:t xml:space="preserve"> </w:t>
      </w:r>
    </w:p>
    <w:p w14:paraId="42D7A7D7" w14:textId="77777777" w:rsidR="0053661E" w:rsidRPr="00E97F25" w:rsidRDefault="00246B1D" w:rsidP="002E77A9">
      <w:pPr>
        <w:spacing w:line="360" w:lineRule="auto"/>
        <w:ind w:firstLine="720"/>
        <w:jc w:val="both"/>
      </w:pPr>
      <w:r w:rsidRPr="00E97F25">
        <w:rPr>
          <w:iCs/>
          <w:lang w:val="en-US"/>
        </w:rPr>
        <w:t xml:space="preserve">Guidance on how to look at </w:t>
      </w:r>
      <w:r w:rsidR="00821F0B" w:rsidRPr="00E97F25">
        <w:rPr>
          <w:iCs/>
          <w:lang w:val="en-US"/>
        </w:rPr>
        <w:t xml:space="preserve">visual material </w:t>
      </w:r>
      <w:r w:rsidRPr="00E97F25">
        <w:rPr>
          <w:iCs/>
          <w:lang w:val="en-US"/>
        </w:rPr>
        <w:t xml:space="preserve">in a domestic context, and how to interpret </w:t>
      </w:r>
      <w:r w:rsidR="008A3227" w:rsidRPr="00E97F25">
        <w:rPr>
          <w:iCs/>
          <w:lang w:val="en-US"/>
        </w:rPr>
        <w:t>it</w:t>
      </w:r>
      <w:r w:rsidR="0032681C" w:rsidRPr="00E97F25">
        <w:rPr>
          <w:iCs/>
          <w:lang w:val="en-US"/>
        </w:rPr>
        <w:t>,</w:t>
      </w:r>
      <w:r w:rsidR="008A3227" w:rsidRPr="00E97F25">
        <w:rPr>
          <w:iCs/>
          <w:lang w:val="en-US"/>
        </w:rPr>
        <w:t xml:space="preserve"> </w:t>
      </w:r>
      <w:r w:rsidRPr="00E97F25">
        <w:rPr>
          <w:iCs/>
          <w:lang w:val="en-US"/>
        </w:rPr>
        <w:t>was essential</w:t>
      </w:r>
      <w:r w:rsidR="004210FE" w:rsidRPr="00E97F25">
        <w:rPr>
          <w:iCs/>
          <w:lang w:val="en-US"/>
        </w:rPr>
        <w:t xml:space="preserve">. </w:t>
      </w:r>
      <w:r w:rsidR="004D0002" w:rsidRPr="00E97F25">
        <w:rPr>
          <w:iCs/>
          <w:lang w:val="en-US"/>
        </w:rPr>
        <w:t>S</w:t>
      </w:r>
      <w:r w:rsidR="004210FE" w:rsidRPr="00E97F25">
        <w:rPr>
          <w:iCs/>
          <w:lang w:val="en-US"/>
        </w:rPr>
        <w:t>eeing and interpreting were linked explicitly and discussed in detail</w:t>
      </w:r>
      <w:r w:rsidRPr="00E97F25">
        <w:rPr>
          <w:iCs/>
          <w:lang w:val="en-US"/>
        </w:rPr>
        <w:t>.</w:t>
      </w:r>
      <w:r w:rsidRPr="00E97F25">
        <w:rPr>
          <w:rStyle w:val="EndnoteReference"/>
          <w:iCs/>
          <w:lang w:val="en-US"/>
        </w:rPr>
        <w:endnoteReference w:id="49"/>
      </w:r>
      <w:r w:rsidRPr="00E97F25">
        <w:rPr>
          <w:iCs/>
          <w:lang w:val="en-US"/>
        </w:rPr>
        <w:t xml:space="preserve"> </w:t>
      </w:r>
      <w:r w:rsidR="0053661E" w:rsidRPr="00E97F25">
        <w:rPr>
          <w:iCs/>
          <w:lang w:val="en-US"/>
        </w:rPr>
        <w:t xml:space="preserve">As </w:t>
      </w:r>
      <w:r w:rsidR="00F37569" w:rsidRPr="00E97F25">
        <w:t xml:space="preserve">George </w:t>
      </w:r>
      <w:proofErr w:type="spellStart"/>
      <w:r w:rsidR="00F37569" w:rsidRPr="00E97F25">
        <w:t>Puttenham</w:t>
      </w:r>
      <w:proofErr w:type="spellEnd"/>
      <w:r w:rsidR="00F37569" w:rsidRPr="00E97F25">
        <w:t xml:space="preserve"> (1529</w:t>
      </w:r>
      <w:r w:rsidR="008E1967" w:rsidRPr="00E97F25">
        <w:t>–15</w:t>
      </w:r>
      <w:r w:rsidR="00F37569" w:rsidRPr="00E97F25">
        <w:t xml:space="preserve">90) </w:t>
      </w:r>
      <w:r w:rsidR="0053661E" w:rsidRPr="00E97F25">
        <w:t xml:space="preserve">observed in </w:t>
      </w:r>
      <w:r w:rsidR="0053661E" w:rsidRPr="00E97F25">
        <w:rPr>
          <w:i/>
        </w:rPr>
        <w:t xml:space="preserve">The Arte of English </w:t>
      </w:r>
      <w:proofErr w:type="spellStart"/>
      <w:r w:rsidR="0053661E" w:rsidRPr="00E97F25">
        <w:rPr>
          <w:i/>
        </w:rPr>
        <w:t>Poesie</w:t>
      </w:r>
      <w:proofErr w:type="spellEnd"/>
      <w:r w:rsidR="0053661E" w:rsidRPr="00E97F25">
        <w:t xml:space="preserve"> (1589)</w:t>
      </w:r>
      <w:r w:rsidR="008A3227" w:rsidRPr="00E97F25">
        <w:t>,</w:t>
      </w:r>
      <w:r w:rsidR="0053661E" w:rsidRPr="00E97F25">
        <w:t xml:space="preserve"> </w:t>
      </w:r>
      <w:r w:rsidR="00821F0B" w:rsidRPr="00E97F25">
        <w:t xml:space="preserve">by the late sixteenth century there was a lot to look at: </w:t>
      </w:r>
    </w:p>
    <w:p w14:paraId="664EC449" w14:textId="77777777" w:rsidR="0053661E" w:rsidRPr="00E97F25" w:rsidRDefault="0053661E" w:rsidP="007217D4">
      <w:pPr>
        <w:spacing w:line="360" w:lineRule="auto"/>
        <w:jc w:val="both"/>
      </w:pPr>
    </w:p>
    <w:p w14:paraId="76CD14E9" w14:textId="77777777" w:rsidR="0053661E" w:rsidRPr="00E97F25" w:rsidRDefault="0053661E" w:rsidP="002E77A9">
      <w:pPr>
        <w:spacing w:line="360" w:lineRule="auto"/>
        <w:ind w:left="720" w:right="840"/>
        <w:jc w:val="both"/>
        <w:rPr>
          <w:rStyle w:val="apple-converted-space"/>
          <w:sz w:val="20"/>
          <w:szCs w:val="20"/>
          <w:shd w:val="clear" w:color="auto" w:fill="FFFFFF"/>
        </w:rPr>
      </w:pPr>
      <w:r w:rsidRPr="00E97F25">
        <w:rPr>
          <w:sz w:val="20"/>
          <w:szCs w:val="20"/>
          <w:shd w:val="clear" w:color="auto" w:fill="FFFFFF"/>
        </w:rPr>
        <w:t xml:space="preserve">The </w:t>
      </w:r>
      <w:proofErr w:type="spellStart"/>
      <w:r w:rsidRPr="00E97F25">
        <w:rPr>
          <w:sz w:val="20"/>
          <w:szCs w:val="20"/>
          <w:shd w:val="clear" w:color="auto" w:fill="FFFFFF"/>
        </w:rPr>
        <w:t>Greekes</w:t>
      </w:r>
      <w:proofErr w:type="spellEnd"/>
      <w:r w:rsidRPr="00E97F25">
        <w:rPr>
          <w:sz w:val="20"/>
          <w:szCs w:val="20"/>
          <w:shd w:val="clear" w:color="auto" w:fill="FFFFFF"/>
        </w:rPr>
        <w:t xml:space="preserve"> call it</w:t>
      </w:r>
      <w:r w:rsidRPr="00E97F25">
        <w:rPr>
          <w:rStyle w:val="apple-converted-space"/>
          <w:sz w:val="20"/>
          <w:szCs w:val="20"/>
          <w:shd w:val="clear" w:color="auto" w:fill="FFFFFF"/>
        </w:rPr>
        <w:t> </w:t>
      </w:r>
      <w:proofErr w:type="spellStart"/>
      <w:r w:rsidRPr="00E97F25">
        <w:rPr>
          <w:i/>
          <w:iCs/>
          <w:sz w:val="20"/>
          <w:szCs w:val="20"/>
          <w:shd w:val="clear" w:color="auto" w:fill="FFFFFF"/>
        </w:rPr>
        <w:t>Emblema</w:t>
      </w:r>
      <w:proofErr w:type="spellEnd"/>
      <w:r w:rsidRPr="00E97F25">
        <w:rPr>
          <w:i/>
          <w:iCs/>
          <w:sz w:val="20"/>
          <w:szCs w:val="20"/>
          <w:shd w:val="clear" w:color="auto" w:fill="FFFFFF"/>
        </w:rPr>
        <w:t>,</w:t>
      </w:r>
      <w:r w:rsidRPr="00E97F25">
        <w:rPr>
          <w:rStyle w:val="apple-converted-space"/>
          <w:sz w:val="20"/>
          <w:szCs w:val="20"/>
          <w:shd w:val="clear" w:color="auto" w:fill="FFFFFF"/>
        </w:rPr>
        <w:t> </w:t>
      </w:r>
      <w:r w:rsidRPr="00E97F25">
        <w:rPr>
          <w:sz w:val="20"/>
          <w:szCs w:val="20"/>
          <w:shd w:val="clear" w:color="auto" w:fill="FFFFFF"/>
        </w:rPr>
        <w:t xml:space="preserve">the </w:t>
      </w:r>
      <w:proofErr w:type="spellStart"/>
      <w:r w:rsidRPr="00E97F25">
        <w:rPr>
          <w:sz w:val="20"/>
          <w:szCs w:val="20"/>
          <w:shd w:val="clear" w:color="auto" w:fill="FFFFFF"/>
        </w:rPr>
        <w:t>Italiens</w:t>
      </w:r>
      <w:proofErr w:type="spellEnd"/>
      <w:r w:rsidRPr="00E97F25">
        <w:rPr>
          <w:rStyle w:val="apple-converted-space"/>
          <w:sz w:val="20"/>
          <w:szCs w:val="20"/>
          <w:shd w:val="clear" w:color="auto" w:fill="FFFFFF"/>
        </w:rPr>
        <w:t> </w:t>
      </w:r>
      <w:r w:rsidRPr="00E97F25">
        <w:rPr>
          <w:i/>
          <w:iCs/>
          <w:sz w:val="20"/>
          <w:szCs w:val="20"/>
          <w:shd w:val="clear" w:color="auto" w:fill="FFFFFF"/>
        </w:rPr>
        <w:t>Impresa,</w:t>
      </w:r>
      <w:r w:rsidRPr="00E97F25">
        <w:rPr>
          <w:rStyle w:val="apple-converted-space"/>
          <w:sz w:val="20"/>
          <w:szCs w:val="20"/>
          <w:shd w:val="clear" w:color="auto" w:fill="FFFFFF"/>
        </w:rPr>
        <w:t> </w:t>
      </w:r>
      <w:r w:rsidRPr="00E97F25">
        <w:rPr>
          <w:sz w:val="20"/>
          <w:szCs w:val="20"/>
          <w:shd w:val="clear" w:color="auto" w:fill="FFFFFF"/>
        </w:rPr>
        <w:t xml:space="preserve">and we, a </w:t>
      </w:r>
      <w:proofErr w:type="spellStart"/>
      <w:r w:rsidRPr="00E97F25">
        <w:rPr>
          <w:sz w:val="20"/>
          <w:szCs w:val="20"/>
          <w:shd w:val="clear" w:color="auto" w:fill="FFFFFF"/>
        </w:rPr>
        <w:t>Deuice</w:t>
      </w:r>
      <w:proofErr w:type="spellEnd"/>
      <w:r w:rsidRPr="00E97F25">
        <w:rPr>
          <w:sz w:val="20"/>
          <w:szCs w:val="20"/>
          <w:shd w:val="clear" w:color="auto" w:fill="FFFFFF"/>
        </w:rPr>
        <w:t xml:space="preserve">, such as a man may put into letters of gold and </w:t>
      </w:r>
      <w:proofErr w:type="spellStart"/>
      <w:r w:rsidRPr="00E97F25">
        <w:rPr>
          <w:sz w:val="20"/>
          <w:szCs w:val="20"/>
          <w:shd w:val="clear" w:color="auto" w:fill="FFFFFF"/>
        </w:rPr>
        <w:t>sende</w:t>
      </w:r>
      <w:proofErr w:type="spellEnd"/>
      <w:r w:rsidRPr="00E97F25">
        <w:rPr>
          <w:sz w:val="20"/>
          <w:szCs w:val="20"/>
          <w:shd w:val="clear" w:color="auto" w:fill="FFFFFF"/>
        </w:rPr>
        <w:t xml:space="preserve"> to his </w:t>
      </w:r>
      <w:proofErr w:type="spellStart"/>
      <w:r w:rsidRPr="00E97F25">
        <w:rPr>
          <w:sz w:val="20"/>
          <w:szCs w:val="20"/>
          <w:shd w:val="clear" w:color="auto" w:fill="FFFFFF"/>
        </w:rPr>
        <w:t>mistresse</w:t>
      </w:r>
      <w:proofErr w:type="spellEnd"/>
      <w:r w:rsidRPr="00E97F25">
        <w:rPr>
          <w:sz w:val="20"/>
          <w:szCs w:val="20"/>
          <w:shd w:val="clear" w:color="auto" w:fill="FFFFFF"/>
        </w:rPr>
        <w:t xml:space="preserve"> for a token, or cause to be </w:t>
      </w:r>
      <w:proofErr w:type="spellStart"/>
      <w:r w:rsidRPr="00E97F25">
        <w:rPr>
          <w:sz w:val="20"/>
          <w:szCs w:val="20"/>
          <w:shd w:val="clear" w:color="auto" w:fill="FFFFFF"/>
        </w:rPr>
        <w:t>embrodered</w:t>
      </w:r>
      <w:proofErr w:type="spellEnd"/>
      <w:r w:rsidRPr="00E97F25">
        <w:rPr>
          <w:sz w:val="20"/>
          <w:szCs w:val="20"/>
          <w:shd w:val="clear" w:color="auto" w:fill="FFFFFF"/>
        </w:rPr>
        <w:t xml:space="preserve"> in </w:t>
      </w:r>
      <w:proofErr w:type="spellStart"/>
      <w:r w:rsidRPr="00E97F25">
        <w:rPr>
          <w:sz w:val="20"/>
          <w:szCs w:val="20"/>
          <w:shd w:val="clear" w:color="auto" w:fill="FFFFFF"/>
        </w:rPr>
        <w:t>scutchions</w:t>
      </w:r>
      <w:proofErr w:type="spellEnd"/>
      <w:r w:rsidRPr="00E97F25">
        <w:rPr>
          <w:sz w:val="20"/>
          <w:szCs w:val="20"/>
          <w:shd w:val="clear" w:color="auto" w:fill="FFFFFF"/>
        </w:rPr>
        <w:t xml:space="preserve"> of </w:t>
      </w:r>
      <w:proofErr w:type="spellStart"/>
      <w:r w:rsidRPr="00E97F25">
        <w:rPr>
          <w:sz w:val="20"/>
          <w:szCs w:val="20"/>
          <w:shd w:val="clear" w:color="auto" w:fill="FFFFFF"/>
        </w:rPr>
        <w:t>armes</w:t>
      </w:r>
      <w:proofErr w:type="spellEnd"/>
      <w:r w:rsidRPr="00E97F25">
        <w:rPr>
          <w:sz w:val="20"/>
          <w:szCs w:val="20"/>
          <w:shd w:val="clear" w:color="auto" w:fill="FFFFFF"/>
        </w:rPr>
        <w:t xml:space="preserve">, or in any bordure of a rich garment to </w:t>
      </w:r>
      <w:proofErr w:type="spellStart"/>
      <w:r w:rsidRPr="00E97F25">
        <w:rPr>
          <w:sz w:val="20"/>
          <w:szCs w:val="20"/>
          <w:shd w:val="clear" w:color="auto" w:fill="FFFFFF"/>
        </w:rPr>
        <w:t>giue</w:t>
      </w:r>
      <w:proofErr w:type="spellEnd"/>
      <w:r w:rsidRPr="00E97F25">
        <w:rPr>
          <w:sz w:val="20"/>
          <w:szCs w:val="20"/>
          <w:shd w:val="clear" w:color="auto" w:fill="FFFFFF"/>
        </w:rPr>
        <w:t xml:space="preserve"> by his </w:t>
      </w:r>
      <w:proofErr w:type="spellStart"/>
      <w:r w:rsidRPr="00E97F25">
        <w:rPr>
          <w:sz w:val="20"/>
          <w:szCs w:val="20"/>
          <w:shd w:val="clear" w:color="auto" w:fill="FFFFFF"/>
        </w:rPr>
        <w:t>noueltie</w:t>
      </w:r>
      <w:proofErr w:type="spellEnd"/>
      <w:r w:rsidRPr="00E97F25">
        <w:rPr>
          <w:sz w:val="20"/>
          <w:szCs w:val="20"/>
          <w:shd w:val="clear" w:color="auto" w:fill="FFFFFF"/>
        </w:rPr>
        <w:t xml:space="preserve"> </w:t>
      </w:r>
      <w:proofErr w:type="spellStart"/>
      <w:r w:rsidRPr="00E97F25">
        <w:rPr>
          <w:sz w:val="20"/>
          <w:szCs w:val="20"/>
          <w:shd w:val="clear" w:color="auto" w:fill="FFFFFF"/>
        </w:rPr>
        <w:t>maruell</w:t>
      </w:r>
      <w:proofErr w:type="spellEnd"/>
      <w:r w:rsidRPr="00E97F25">
        <w:rPr>
          <w:sz w:val="20"/>
          <w:szCs w:val="20"/>
          <w:shd w:val="clear" w:color="auto" w:fill="FFFFFF"/>
        </w:rPr>
        <w:t xml:space="preserve"> to the beholder.</w:t>
      </w:r>
      <w:r w:rsidRPr="00E97F25">
        <w:rPr>
          <w:rStyle w:val="EndnoteReference"/>
          <w:sz w:val="20"/>
          <w:szCs w:val="20"/>
          <w:shd w:val="clear" w:color="auto" w:fill="FFFFFF"/>
        </w:rPr>
        <w:endnoteReference w:id="50"/>
      </w:r>
      <w:r w:rsidRPr="00E97F25">
        <w:rPr>
          <w:rStyle w:val="apple-converted-space"/>
          <w:sz w:val="20"/>
          <w:szCs w:val="20"/>
          <w:shd w:val="clear" w:color="auto" w:fill="FFFFFF"/>
        </w:rPr>
        <w:t> </w:t>
      </w:r>
    </w:p>
    <w:p w14:paraId="34A81A2B" w14:textId="77777777" w:rsidR="0053661E" w:rsidRPr="00E97F25" w:rsidRDefault="0053661E" w:rsidP="002E77A9">
      <w:pPr>
        <w:spacing w:line="360" w:lineRule="auto"/>
        <w:ind w:left="720" w:right="840"/>
        <w:jc w:val="both"/>
      </w:pPr>
    </w:p>
    <w:p w14:paraId="3000B046" w14:textId="418E7624" w:rsidR="00246B1D" w:rsidRPr="00E97F25" w:rsidRDefault="00246B1D" w:rsidP="00B77AE3">
      <w:pPr>
        <w:spacing w:line="360" w:lineRule="auto"/>
        <w:jc w:val="both"/>
      </w:pPr>
      <w:r w:rsidRPr="00E97F25">
        <w:rPr>
          <w:iCs/>
          <w:lang w:val="en-US"/>
        </w:rPr>
        <w:t xml:space="preserve">Even so, in spite of an extensive body of </w:t>
      </w:r>
      <w:r w:rsidR="00F37569" w:rsidRPr="00E97F25">
        <w:rPr>
          <w:iCs/>
          <w:lang w:val="en-US"/>
        </w:rPr>
        <w:t xml:space="preserve">early modern </w:t>
      </w:r>
      <w:r w:rsidRPr="00E97F25">
        <w:rPr>
          <w:iCs/>
          <w:lang w:val="en-US"/>
        </w:rPr>
        <w:t>literature on emblems, which extended to over a thousand printed works, some emblems and mottoes still proved hard to interpret.</w:t>
      </w:r>
      <w:r w:rsidRPr="00E97F25">
        <w:rPr>
          <w:rStyle w:val="EndnoteReference"/>
          <w:iCs/>
          <w:lang w:val="en-US"/>
        </w:rPr>
        <w:endnoteReference w:id="51"/>
      </w:r>
      <w:r w:rsidRPr="00E97F25">
        <w:rPr>
          <w:iCs/>
          <w:lang w:val="en-US"/>
        </w:rPr>
        <w:t xml:space="preserve"> For instance, when Nicholas White visited </w:t>
      </w:r>
      <w:proofErr w:type="spellStart"/>
      <w:r w:rsidRPr="00E97F25">
        <w:rPr>
          <w:iCs/>
          <w:lang w:val="en-US"/>
        </w:rPr>
        <w:t>Tutbury</w:t>
      </w:r>
      <w:proofErr w:type="spellEnd"/>
      <w:r w:rsidRPr="00E97F25">
        <w:rPr>
          <w:iCs/>
          <w:lang w:val="en-US"/>
        </w:rPr>
        <w:t xml:space="preserve"> in February 1569 and spoke with Mary </w:t>
      </w:r>
      <w:r w:rsidR="008E1967" w:rsidRPr="00E97F25">
        <w:rPr>
          <w:iCs/>
          <w:lang w:val="en-US"/>
        </w:rPr>
        <w:t>Q</w:t>
      </w:r>
      <w:r w:rsidRPr="00E97F25">
        <w:rPr>
          <w:iCs/>
          <w:lang w:val="en-US"/>
        </w:rPr>
        <w:t>ueen of Scots, he saw her cloth of estate with the motto ‘</w:t>
      </w:r>
      <w:proofErr w:type="spellStart"/>
      <w:r w:rsidRPr="00E97F25">
        <w:rPr>
          <w:i/>
          <w:iCs/>
          <w:lang w:val="en-US"/>
        </w:rPr>
        <w:t>En</w:t>
      </w:r>
      <w:proofErr w:type="spellEnd"/>
      <w:r w:rsidRPr="00E97F25">
        <w:rPr>
          <w:i/>
          <w:iCs/>
          <w:lang w:val="en-US"/>
        </w:rPr>
        <w:t xml:space="preserve"> ma fin </w:t>
      </w:r>
      <w:proofErr w:type="spellStart"/>
      <w:r w:rsidRPr="00E97F25">
        <w:rPr>
          <w:i/>
          <w:iCs/>
          <w:lang w:val="en-US"/>
        </w:rPr>
        <w:t>est</w:t>
      </w:r>
      <w:proofErr w:type="spellEnd"/>
      <w:r w:rsidRPr="00E97F25">
        <w:rPr>
          <w:i/>
          <w:iCs/>
          <w:lang w:val="en-US"/>
        </w:rPr>
        <w:t xml:space="preserve"> mon commencement</w:t>
      </w:r>
      <w:r w:rsidRPr="00E97F25">
        <w:rPr>
          <w:iCs/>
          <w:lang w:val="en-US"/>
        </w:rPr>
        <w:t>’ [In my end is my beginning] and reported</w:t>
      </w:r>
      <w:r w:rsidR="008E1967" w:rsidRPr="00E97F25">
        <w:rPr>
          <w:iCs/>
          <w:lang w:val="en-US"/>
        </w:rPr>
        <w:t>:</w:t>
      </w:r>
      <w:r w:rsidRPr="00E97F25">
        <w:rPr>
          <w:iCs/>
          <w:lang w:val="en-US"/>
        </w:rPr>
        <w:t xml:space="preserve"> ‘which is a </w:t>
      </w:r>
      <w:proofErr w:type="spellStart"/>
      <w:r w:rsidRPr="00E97F25">
        <w:rPr>
          <w:iCs/>
          <w:lang w:val="en-US"/>
        </w:rPr>
        <w:t>ryddil</w:t>
      </w:r>
      <w:proofErr w:type="spellEnd"/>
      <w:r w:rsidRPr="00E97F25">
        <w:rPr>
          <w:iCs/>
          <w:lang w:val="en-US"/>
        </w:rPr>
        <w:t xml:space="preserve"> I understand not’. Whether he did not understand the French, or the </w:t>
      </w:r>
      <w:r w:rsidRPr="00E97F25">
        <w:rPr>
          <w:iCs/>
          <w:lang w:val="en-US"/>
        </w:rPr>
        <w:lastRenderedPageBreak/>
        <w:t>significance of these words to Mary, or whether the sentiment being expressed was lost on him, it is not possible to tell.</w:t>
      </w:r>
      <w:r w:rsidRPr="00E97F25">
        <w:rPr>
          <w:rStyle w:val="EndnoteReference"/>
          <w:iCs/>
          <w:lang w:val="en-US"/>
        </w:rPr>
        <w:endnoteReference w:id="52"/>
      </w:r>
      <w:r w:rsidRPr="00E97F25">
        <w:rPr>
          <w:iCs/>
          <w:lang w:val="en-US"/>
        </w:rPr>
        <w:t xml:space="preserve"> However, the meaning of a </w:t>
      </w:r>
      <w:r w:rsidRPr="00E97F25">
        <w:t xml:space="preserve">cushion made by Mary Queen of Scots and sent to the </w:t>
      </w:r>
      <w:r w:rsidR="008E1967" w:rsidRPr="00E97F25">
        <w:t>D</w:t>
      </w:r>
      <w:r w:rsidRPr="00E97F25">
        <w:t>uke of Norfolk in 1571 was not lost on William Cecil. The cushion, wh</w:t>
      </w:r>
      <w:r w:rsidR="0002179C" w:rsidRPr="00E97F25">
        <w:t>ich was cited as evidence at Norfolk’s</w:t>
      </w:r>
      <w:r w:rsidRPr="00E97F25">
        <w:t xml:space="preserve"> trial</w:t>
      </w:r>
      <w:r w:rsidR="008E1967" w:rsidRPr="00E97F25">
        <w:t xml:space="preserve"> for treason</w:t>
      </w:r>
      <w:r w:rsidRPr="00E97F25">
        <w:t xml:space="preserve"> in the following year, was ‘wrought with the </w:t>
      </w:r>
      <w:proofErr w:type="spellStart"/>
      <w:r w:rsidRPr="00E97F25">
        <w:t>Scotts</w:t>
      </w:r>
      <w:proofErr w:type="spellEnd"/>
      <w:r w:rsidRPr="00E97F25">
        <w:t xml:space="preserve"> Queen’s own </w:t>
      </w:r>
      <w:proofErr w:type="spellStart"/>
      <w:r w:rsidRPr="00E97F25">
        <w:t>armes</w:t>
      </w:r>
      <w:proofErr w:type="spellEnd"/>
      <w:r w:rsidRPr="00E97F25">
        <w:t xml:space="preserve"> and a </w:t>
      </w:r>
      <w:proofErr w:type="spellStart"/>
      <w:r w:rsidRPr="00E97F25">
        <w:t>devyse</w:t>
      </w:r>
      <w:proofErr w:type="spellEnd"/>
      <w:r w:rsidRPr="00E97F25">
        <w:t xml:space="preserve"> upon it with this sentence, VIRESCIT VULNERE VIRTUS</w:t>
      </w:r>
      <w:r w:rsidR="008E1967" w:rsidRPr="00E97F25">
        <w:t xml:space="preserve"> [</w:t>
      </w:r>
      <w:r w:rsidR="00B77AE3" w:rsidRPr="00E97F25">
        <w:t>Courage grows strong at a wound</w:t>
      </w:r>
      <w:r w:rsidR="008E1967" w:rsidRPr="00E97F25">
        <w:t>]</w:t>
      </w:r>
      <w:r w:rsidRPr="00E97F25">
        <w:t>, and a hand with a knife cutting down the vines’.</w:t>
      </w:r>
      <w:r w:rsidRPr="00E97F25">
        <w:rPr>
          <w:rStyle w:val="EndnoteReference"/>
        </w:rPr>
        <w:endnoteReference w:id="53"/>
      </w:r>
      <w:r w:rsidRPr="00E97F25">
        <w:t xml:space="preserve"> Cecil read this as Mary ‘</w:t>
      </w:r>
      <w:proofErr w:type="spellStart"/>
      <w:r w:rsidRPr="00E97F25">
        <w:t>declarynge</w:t>
      </w:r>
      <w:proofErr w:type="spellEnd"/>
      <w:r w:rsidRPr="00E97F25">
        <w:t xml:space="preserve"> thereby her courage and </w:t>
      </w:r>
      <w:proofErr w:type="spellStart"/>
      <w:r w:rsidRPr="00E97F25">
        <w:t>willinge</w:t>
      </w:r>
      <w:proofErr w:type="spellEnd"/>
      <w:r w:rsidRPr="00E97F25">
        <w:t xml:space="preserve"> the Duke by such a watch sentence, to take a good </w:t>
      </w:r>
      <w:proofErr w:type="spellStart"/>
      <w:proofErr w:type="gramStart"/>
      <w:r w:rsidRPr="00E97F25">
        <w:t>harte</w:t>
      </w:r>
      <w:proofErr w:type="spellEnd"/>
      <w:proofErr w:type="gramEnd"/>
      <w:r w:rsidRPr="00E97F25">
        <w:t xml:space="preserve"> unto him’.</w:t>
      </w:r>
      <w:r w:rsidRPr="00E97F25">
        <w:rPr>
          <w:rStyle w:val="EndnoteReference"/>
        </w:rPr>
        <w:endnoteReference w:id="54"/>
      </w:r>
      <w:r w:rsidRPr="00E97F25">
        <w:t xml:space="preserve"> </w:t>
      </w:r>
    </w:p>
    <w:p w14:paraId="2577404D" w14:textId="446C3DAC" w:rsidR="00246B1D" w:rsidRPr="00E97F25" w:rsidRDefault="00246B1D" w:rsidP="00B77AE3">
      <w:pPr>
        <w:spacing w:line="360" w:lineRule="auto"/>
        <w:ind w:firstLine="720"/>
        <w:jc w:val="both"/>
      </w:pPr>
      <w:r w:rsidRPr="00E97F25">
        <w:t xml:space="preserve">The most important things in a room were not always the most visible and there were various ways to conceal things from the casual gaze. A number of the paintings and embroideries owned by Henry VIII were covered with protective curtains such as ‘a Table of the </w:t>
      </w:r>
      <w:proofErr w:type="spellStart"/>
      <w:r w:rsidRPr="00E97F25">
        <w:t>Salutacion</w:t>
      </w:r>
      <w:proofErr w:type="spellEnd"/>
      <w:r w:rsidRPr="00E97F25">
        <w:t xml:space="preserve"> of our </w:t>
      </w:r>
      <w:proofErr w:type="spellStart"/>
      <w:r w:rsidRPr="00E97F25">
        <w:t>ladye</w:t>
      </w:r>
      <w:proofErr w:type="spellEnd"/>
      <w:r w:rsidRPr="00E97F25">
        <w:t xml:space="preserve"> </w:t>
      </w:r>
      <w:proofErr w:type="spellStart"/>
      <w:r w:rsidRPr="00E97F25">
        <w:t>embrodred</w:t>
      </w:r>
      <w:proofErr w:type="spellEnd"/>
      <w:r w:rsidRPr="00E97F25">
        <w:t xml:space="preserve"> with </w:t>
      </w:r>
      <w:proofErr w:type="spellStart"/>
      <w:r w:rsidRPr="00E97F25">
        <w:t>venice</w:t>
      </w:r>
      <w:proofErr w:type="spellEnd"/>
      <w:r w:rsidRPr="00E97F25">
        <w:t xml:space="preserve"> </w:t>
      </w:r>
      <w:proofErr w:type="spellStart"/>
      <w:r w:rsidRPr="00E97F25">
        <w:t>golde</w:t>
      </w:r>
      <w:proofErr w:type="spellEnd"/>
      <w:r w:rsidRPr="00E97F25">
        <w:t xml:space="preserve"> and </w:t>
      </w:r>
      <w:proofErr w:type="spellStart"/>
      <w:r w:rsidRPr="00E97F25">
        <w:t>silke</w:t>
      </w:r>
      <w:proofErr w:type="spellEnd"/>
      <w:r w:rsidRPr="00E97F25">
        <w:t xml:space="preserve"> with a </w:t>
      </w:r>
      <w:proofErr w:type="spellStart"/>
      <w:r w:rsidRPr="00E97F25">
        <w:t>curteyne</w:t>
      </w:r>
      <w:proofErr w:type="spellEnd"/>
      <w:r w:rsidRPr="00E97F25">
        <w:t xml:space="preserve"> of </w:t>
      </w:r>
      <w:proofErr w:type="spellStart"/>
      <w:r w:rsidRPr="00E97F25">
        <w:t>redde</w:t>
      </w:r>
      <w:proofErr w:type="spellEnd"/>
      <w:r w:rsidRPr="00E97F25">
        <w:t xml:space="preserve"> </w:t>
      </w:r>
      <w:proofErr w:type="spellStart"/>
      <w:r w:rsidRPr="00E97F25">
        <w:t>sarceonette</w:t>
      </w:r>
      <w:proofErr w:type="spellEnd"/>
      <w:r w:rsidRPr="00E97F25">
        <w:t>’.</w:t>
      </w:r>
      <w:r w:rsidRPr="00E97F25">
        <w:rPr>
          <w:rStyle w:val="EndnoteReference"/>
        </w:rPr>
        <w:endnoteReference w:id="55"/>
      </w:r>
      <w:r w:rsidRPr="00E97F25">
        <w:t xml:space="preserve"> While this might have been to protect a precious devotional piece, the inclusion of the inscription </w:t>
      </w:r>
      <w:r w:rsidRPr="00E97F25">
        <w:rPr>
          <w:i/>
        </w:rPr>
        <w:t>CLAMAT SVA</w:t>
      </w:r>
      <w:r w:rsidRPr="00E97F25">
        <w:t xml:space="preserve"> [She calls her own] inside the bell that Mary Queen of Scots kept beside her bed is harder to explain.</w:t>
      </w:r>
      <w:r w:rsidRPr="00E97F25">
        <w:rPr>
          <w:rStyle w:val="EndnoteReference"/>
        </w:rPr>
        <w:endnoteReference w:id="56"/>
      </w:r>
      <w:r w:rsidRPr="00E97F25">
        <w:t xml:space="preserve"> This might have been a simple conceit about service, but it could </w:t>
      </w:r>
      <w:r w:rsidR="00A275C8" w:rsidRPr="00E97F25">
        <w:t xml:space="preserve">also </w:t>
      </w:r>
      <w:r w:rsidR="00F64755" w:rsidRPr="00E97F25">
        <w:t xml:space="preserve">have </w:t>
      </w:r>
      <w:r w:rsidRPr="00E97F25">
        <w:t>refer</w:t>
      </w:r>
      <w:r w:rsidR="00F64755" w:rsidRPr="00E97F25">
        <w:t>red</w:t>
      </w:r>
      <w:r w:rsidRPr="00E97F25">
        <w:t xml:space="preserve"> to her aspirations to be Queen of England and Scotland</w:t>
      </w:r>
      <w:r w:rsidR="00F64755" w:rsidRPr="00E97F25">
        <w:t>,</w:t>
      </w:r>
      <w:r w:rsidRPr="00E97F25">
        <w:t xml:space="preserve"> which needed to be kept from unsympathetic eyes such as</w:t>
      </w:r>
      <w:r w:rsidR="00F64755" w:rsidRPr="00E97F25">
        <w:t xml:space="preserve"> those of</w:t>
      </w:r>
      <w:r w:rsidRPr="00E97F25">
        <w:t xml:space="preserve"> the ardent puritan, Sir </w:t>
      </w:r>
      <w:proofErr w:type="spellStart"/>
      <w:r w:rsidRPr="00E97F25">
        <w:t>Amias</w:t>
      </w:r>
      <w:proofErr w:type="spellEnd"/>
      <w:r w:rsidRPr="00E97F25">
        <w:t xml:space="preserve"> Paulet, who was her gaoler from 1585. Other marks of ownership might be concealed for very different reasons</w:t>
      </w:r>
      <w:r w:rsidR="00F64755" w:rsidRPr="00E97F25">
        <w:t>.</w:t>
      </w:r>
      <w:r w:rsidRPr="00E97F25">
        <w:t xml:space="preserve"> </w:t>
      </w:r>
      <w:r w:rsidR="00F64755" w:rsidRPr="00E97F25">
        <w:t>O</w:t>
      </w:r>
      <w:r w:rsidRPr="00E97F25">
        <w:t xml:space="preserve">ne such example can be found at </w:t>
      </w:r>
      <w:proofErr w:type="spellStart"/>
      <w:r w:rsidRPr="00E97F25">
        <w:t>Knole</w:t>
      </w:r>
      <w:proofErr w:type="spellEnd"/>
      <w:r w:rsidRPr="00E97F25">
        <w:t xml:space="preserve"> amongst the collection of textiles acquired by Charles Sackville, sixth earl of Dorset, when he was Lord Chamberlain to William III and Mary II</w:t>
      </w:r>
      <w:r w:rsidR="00F64755" w:rsidRPr="00E97F25">
        <w:t xml:space="preserve"> </w:t>
      </w:r>
      <w:r w:rsidR="00B77AE3" w:rsidRPr="00E97F25">
        <w:t>from 1689 to 1697</w:t>
      </w:r>
      <w:r w:rsidRPr="00E97F25">
        <w:t>. Many of the chairs, sofas and foot stools acquired by Sackville still have various sets of royal initials stamped onto the underside of seat rails or on the webbing.</w:t>
      </w:r>
      <w:r w:rsidRPr="00E97F25">
        <w:rPr>
          <w:rStyle w:val="EndnoteReference"/>
        </w:rPr>
        <w:endnoteReference w:id="57"/>
      </w:r>
      <w:r w:rsidRPr="00E97F25">
        <w:t xml:space="preserve"> While these items </w:t>
      </w:r>
      <w:r w:rsidR="00F64755" w:rsidRPr="00E97F25">
        <w:t>had been</w:t>
      </w:r>
      <w:r w:rsidRPr="00E97F25">
        <w:t xml:space="preserve"> in the royal collection, the initials </w:t>
      </w:r>
      <w:r w:rsidR="00F64755" w:rsidRPr="00E97F25">
        <w:t xml:space="preserve">had </w:t>
      </w:r>
      <w:r w:rsidRPr="00E97F25">
        <w:t xml:space="preserve">acted purely as ownership marks which the clerks could check and record. Once in Sackville’s possession, however, he could reveal </w:t>
      </w:r>
      <w:r w:rsidR="00F64755" w:rsidRPr="00E97F25">
        <w:t xml:space="preserve">them </w:t>
      </w:r>
      <w:r w:rsidRPr="00E97F25">
        <w:t xml:space="preserve">to visitors if he wished and when he felt the sight of them would give added lustre to </w:t>
      </w:r>
      <w:r w:rsidR="00F64755" w:rsidRPr="00E97F25">
        <w:t xml:space="preserve">his reputation </w:t>
      </w:r>
      <w:r w:rsidRPr="00E97F25">
        <w:t>and his acquisitions.</w:t>
      </w:r>
    </w:p>
    <w:p w14:paraId="6AEA9FC3" w14:textId="77777777" w:rsidR="00246B1D" w:rsidRPr="00E97F25" w:rsidRDefault="00246B1D" w:rsidP="002E77A9">
      <w:pPr>
        <w:spacing w:line="360" w:lineRule="auto"/>
        <w:jc w:val="both"/>
        <w:rPr>
          <w:rStyle w:val="list0020paragraphchar1"/>
          <w:rFonts w:ascii="Times New Roman" w:hAnsi="Times New Roman" w:cs="Times New Roman"/>
          <w:sz w:val="24"/>
          <w:szCs w:val="24"/>
        </w:rPr>
      </w:pPr>
    </w:p>
    <w:p w14:paraId="45FFFB38" w14:textId="77777777" w:rsidR="00F5098E" w:rsidRPr="00E97F25" w:rsidRDefault="00F5098E" w:rsidP="002E77A9">
      <w:pPr>
        <w:spacing w:line="360" w:lineRule="auto"/>
        <w:jc w:val="both"/>
        <w:rPr>
          <w:smallCaps/>
          <w:lang w:eastAsia="en-GB"/>
        </w:rPr>
      </w:pPr>
      <w:r w:rsidRPr="00E97F25">
        <w:rPr>
          <w:smallCaps/>
          <w:lang w:eastAsia="en-GB"/>
        </w:rPr>
        <w:t xml:space="preserve">Seeing </w:t>
      </w:r>
      <w:r w:rsidR="00F64755" w:rsidRPr="00E97F25">
        <w:rPr>
          <w:smallCaps/>
          <w:lang w:eastAsia="en-GB"/>
        </w:rPr>
        <w:t>the Early Modern Interior</w:t>
      </w:r>
    </w:p>
    <w:p w14:paraId="08556518" w14:textId="77777777" w:rsidR="00F5098E" w:rsidRPr="00E97F25" w:rsidRDefault="00F5098E" w:rsidP="002E77A9">
      <w:pPr>
        <w:spacing w:line="360" w:lineRule="auto"/>
        <w:jc w:val="both"/>
      </w:pPr>
    </w:p>
    <w:p w14:paraId="4F1403B6" w14:textId="0786C2BC" w:rsidR="00F5098E" w:rsidRPr="00E97F25" w:rsidRDefault="00942377" w:rsidP="002E77A9">
      <w:pPr>
        <w:spacing w:line="360" w:lineRule="auto"/>
        <w:jc w:val="both"/>
      </w:pPr>
      <w:r w:rsidRPr="00E97F25">
        <w:t>These e</w:t>
      </w:r>
      <w:r w:rsidR="00C6090B" w:rsidRPr="00E97F25">
        <w:t xml:space="preserve">arly modern views of sight as a sense and attitudes towards ways of looking provided a distinct context for engagement with the domestic interior. </w:t>
      </w:r>
      <w:r w:rsidR="00F5098E" w:rsidRPr="00E97F25">
        <w:t>Walking into a room in a domestic setting in early modern England was a sensory experience. The individual could make use of sights, sounds, smells and the opportunity to touch polished wood, ceramic or textile surfaces. What humans see when they look at furnishings includes their colour, lustre, text</w:t>
      </w:r>
      <w:r w:rsidRPr="00E97F25">
        <w:t>ure, size, placement, condition</w:t>
      </w:r>
      <w:r w:rsidR="00F5098E" w:rsidRPr="00E97F25">
        <w:t xml:space="preserve"> and quantity. These were many of the details that were recorded in inventories of the goods of the </w:t>
      </w:r>
      <w:r w:rsidRPr="00E97F25">
        <w:t>é</w:t>
      </w:r>
      <w:r w:rsidR="00F5098E" w:rsidRPr="00E97F25">
        <w:t xml:space="preserve">lite, gentry and middling sort, </w:t>
      </w:r>
      <w:r w:rsidR="00F5098E" w:rsidRPr="00E97F25">
        <w:lastRenderedPageBreak/>
        <w:t xml:space="preserve">reflecting the financial value of textiles in the domestic context. </w:t>
      </w:r>
      <w:r w:rsidR="004952BB" w:rsidRPr="00E97F25">
        <w:t>Inventories</w:t>
      </w:r>
      <w:r w:rsidR="00F5098E" w:rsidRPr="00E97F25">
        <w:t xml:space="preserve"> were generally taken by men with expertise, </w:t>
      </w:r>
      <w:r w:rsidR="005505B1" w:rsidRPr="00E97F25">
        <w:t xml:space="preserve">for example </w:t>
      </w:r>
      <w:r w:rsidR="00F5098E" w:rsidRPr="00E97F25">
        <w:t>Nicholas Bristow, Henry VIII’s clerk, who knew what they were looking at in terms of the materials, techniques, styles and value of the item</w:t>
      </w:r>
      <w:r w:rsidRPr="00E97F25">
        <w:t>s</w:t>
      </w:r>
      <w:r w:rsidR="00F5098E" w:rsidRPr="00E97F25">
        <w:t>, both when new and second hand.</w:t>
      </w:r>
      <w:r w:rsidR="00F5098E" w:rsidRPr="00E97F25">
        <w:rPr>
          <w:rStyle w:val="EndnoteReference"/>
        </w:rPr>
        <w:endnoteReference w:id="58"/>
      </w:r>
      <w:r w:rsidR="00F5098E" w:rsidRPr="00E97F25">
        <w:t xml:space="preserve"> The length of the descriptions, especially in </w:t>
      </w:r>
      <w:r w:rsidR="00D71D70" w:rsidRPr="00E97F25">
        <w:t>é</w:t>
      </w:r>
      <w:r w:rsidR="00F5098E" w:rsidRPr="00E97F25">
        <w:t>lite inventories, often reflected the financial value of the items, with paintings in Henry VIII’s inventory being described in up to ten words compared with state beds, recorded in three to four hundred words.</w:t>
      </w:r>
    </w:p>
    <w:p w14:paraId="4DDF4D96" w14:textId="57E95234" w:rsidR="00F5098E" w:rsidRPr="00E97F25" w:rsidRDefault="00F5098E" w:rsidP="002E77A9">
      <w:pPr>
        <w:spacing w:line="360" w:lineRule="auto"/>
        <w:ind w:firstLine="720"/>
        <w:jc w:val="both"/>
      </w:pPr>
      <w:r w:rsidRPr="00E97F25">
        <w:t>Most modern analysis of early modern interiors is done by considering inventories, which list the items present (and presumably used) in a particular room. However, inventories pose many problems as a source, including not linking particular categories of object with specific rooms, recording minimal information and</w:t>
      </w:r>
      <w:r w:rsidR="001008A2" w:rsidRPr="00E97F25">
        <w:t>,</w:t>
      </w:r>
      <w:r w:rsidRPr="00E97F25">
        <w:t xml:space="preserve"> most significantly, recording</w:t>
      </w:r>
      <w:r w:rsidR="00F255DF" w:rsidRPr="00E97F25">
        <w:t xml:space="preserve"> a specific moment in time (</w:t>
      </w:r>
      <w:r w:rsidRPr="00E97F25">
        <w:t>the time when the inventory was compiled)</w:t>
      </w:r>
      <w:r w:rsidR="00A275C8">
        <w:t>,</w:t>
      </w:r>
      <w:r w:rsidRPr="00E97F25">
        <w:t xml:space="preserve"> and unless the text was annotated to reflect changes it soon became out of date as items were added or removed from the house. Even so, one of the primary functions of an inventory was to use language to create a visual impression of the objects, which others could then use to identify things they were looking for. </w:t>
      </w:r>
    </w:p>
    <w:p w14:paraId="0AB03F9F" w14:textId="2D037FAA" w:rsidR="00F5098E" w:rsidRPr="00E97F25" w:rsidRDefault="00F5098E" w:rsidP="002E77A9">
      <w:pPr>
        <w:spacing w:line="360" w:lineRule="auto"/>
        <w:ind w:firstLine="720"/>
        <w:jc w:val="both"/>
      </w:pPr>
      <w:r w:rsidRPr="00E97F25">
        <w:t>Probate documents therefore often include</w:t>
      </w:r>
      <w:r w:rsidR="00FA7861" w:rsidRPr="00E97F25">
        <w:t>d</w:t>
      </w:r>
      <w:r w:rsidRPr="00E97F25">
        <w:t xml:space="preserve"> significant material details</w:t>
      </w:r>
      <w:r w:rsidR="00FA7861" w:rsidRPr="00E97F25">
        <w:t>,</w:t>
      </w:r>
      <w:r w:rsidRPr="00E97F25">
        <w:t xml:space="preserve"> including dimensions, condition or a qualitative assessment of whether </w:t>
      </w:r>
      <w:r w:rsidR="00FA7861" w:rsidRPr="00E97F25">
        <w:t>the item</w:t>
      </w:r>
      <w:r w:rsidRPr="00E97F25">
        <w:t xml:space="preserve"> was the best, second best or worst in a particular category. Colour was often omitted from descriptions of objects listed in inventories and wills. The reason for this is hard to explain. In some instances it </w:t>
      </w:r>
      <w:r w:rsidR="00FA7861" w:rsidRPr="00E97F25">
        <w:t>was</w:t>
      </w:r>
      <w:r w:rsidRPr="00E97F25">
        <w:t xml:space="preserve"> because other significant details were sufficient to identify the item. Where colour </w:t>
      </w:r>
      <w:r w:rsidR="001008A2" w:rsidRPr="00E97F25">
        <w:t xml:space="preserve">was </w:t>
      </w:r>
      <w:r w:rsidRPr="00E97F25">
        <w:t>recorded, however, it could be one of the most significant things to be observed.</w:t>
      </w:r>
      <w:r w:rsidR="004952BB" w:rsidRPr="00E97F25">
        <w:rPr>
          <w:rStyle w:val="EndnoteReference"/>
        </w:rPr>
        <w:endnoteReference w:id="59"/>
      </w:r>
      <w:r w:rsidRPr="00E97F25">
        <w:t xml:space="preserve"> In the fourteenth and fifteenth centuries there was a specific interest in the brightness of a colour and whether it was lustrous, with less concern with the hue.</w:t>
      </w:r>
      <w:r w:rsidRPr="00E97F25">
        <w:rPr>
          <w:rStyle w:val="EndnoteReference"/>
        </w:rPr>
        <w:endnoteReference w:id="60"/>
      </w:r>
      <w:r w:rsidRPr="00E97F25">
        <w:t xml:space="preserve"> However, there was a noticeable change in colour vocabulary in the sixteenth and seventeenth centuries and in the range of colours described in inventories.</w:t>
      </w:r>
      <w:r w:rsidRPr="00E97F25">
        <w:rPr>
          <w:rStyle w:val="EndnoteReference"/>
        </w:rPr>
        <w:endnoteReference w:id="61"/>
      </w:r>
      <w:r w:rsidRPr="00E97F25">
        <w:t xml:space="preserve"> </w:t>
      </w:r>
      <w:r w:rsidR="00FA7861" w:rsidRPr="00E97F25">
        <w:t>I</w:t>
      </w:r>
      <w:r w:rsidRPr="00E97F25">
        <w:t>n 1547 Henry VIII’s clothes were listed as being black, crimson, purple, russet and tawny.</w:t>
      </w:r>
      <w:r w:rsidRPr="00E97F25">
        <w:rPr>
          <w:rStyle w:val="EndnoteReference"/>
        </w:rPr>
        <w:endnoteReference w:id="62"/>
      </w:r>
      <w:r w:rsidRPr="00E97F25">
        <w:t xml:space="preserve"> As the inventory of Elizabeth I’s clothes taken in 1600 indicates, new colours included </w:t>
      </w:r>
      <w:proofErr w:type="spellStart"/>
      <w:r w:rsidRPr="00E97F25">
        <w:t>watchet</w:t>
      </w:r>
      <w:proofErr w:type="spellEnd"/>
      <w:r w:rsidRPr="00E97F25">
        <w:t>, hair, cloud, peach, filbert and maiden blush.</w:t>
      </w:r>
      <w:r w:rsidRPr="00E97F25">
        <w:rPr>
          <w:rStyle w:val="EndnoteReference"/>
        </w:rPr>
        <w:endnoteReference w:id="63"/>
      </w:r>
      <w:r w:rsidRPr="00E97F25">
        <w:t xml:space="preserve"> In contrast, lustre </w:t>
      </w:r>
      <w:r w:rsidR="00217F62" w:rsidRPr="00E97F25">
        <w:t xml:space="preserve">was not </w:t>
      </w:r>
      <w:r w:rsidR="00A275C8">
        <w:t xml:space="preserve">explicitly </w:t>
      </w:r>
      <w:r w:rsidRPr="00E97F25">
        <w:t>recorded</w:t>
      </w:r>
      <w:r w:rsidR="00217F62" w:rsidRPr="00E97F25">
        <w:t xml:space="preserve"> in inventories,</w:t>
      </w:r>
      <w:r w:rsidRPr="00E97F25">
        <w:t xml:space="preserve"> but hints can be gained by implication. The materials described, especially satin, metal thread, metal laces, spangles and fringes sewn to textiles all had a lustrous quality that would have been admired. In the case of silver threads, this appeal would</w:t>
      </w:r>
      <w:r w:rsidR="00217F62" w:rsidRPr="00E97F25">
        <w:t xml:space="preserve"> have</w:t>
      </w:r>
      <w:r w:rsidRPr="00E97F25">
        <w:t xml:space="preserve"> diminish</w:t>
      </w:r>
      <w:r w:rsidR="00217F62" w:rsidRPr="00E97F25">
        <w:t>ed</w:t>
      </w:r>
      <w:r w:rsidRPr="00E97F25">
        <w:t xml:space="preserve"> as the metal gradually tarnished.</w:t>
      </w:r>
    </w:p>
    <w:p w14:paraId="26857F38" w14:textId="036C74AE" w:rsidR="001D6DD6" w:rsidRPr="00E97F25" w:rsidRDefault="00B62A02" w:rsidP="00265758">
      <w:pPr>
        <w:spacing w:line="360" w:lineRule="auto"/>
        <w:ind w:firstLine="720"/>
        <w:jc w:val="both"/>
      </w:pPr>
      <w:r w:rsidRPr="00E97F25">
        <w:t>Looking at c</w:t>
      </w:r>
      <w:r w:rsidR="00F5098E" w:rsidRPr="00E97F25">
        <w:t xml:space="preserve">ertain types of object required particular responses. </w:t>
      </w:r>
      <w:r w:rsidRPr="00E97F25">
        <w:t xml:space="preserve">Some responses were demonstrated by </w:t>
      </w:r>
      <w:r w:rsidR="0086781F" w:rsidRPr="00E97F25">
        <w:t>a series of actions which the viewer was to perform as a reaction to what they saw</w:t>
      </w:r>
      <w:r w:rsidRPr="00E97F25">
        <w:t xml:space="preserve">. </w:t>
      </w:r>
      <w:r w:rsidR="00F5098E" w:rsidRPr="00E97F25">
        <w:t xml:space="preserve">For example, the cloth of estate was a symbol of royal or aristocratic authority whether the monarch or aristocrat was present or not. </w:t>
      </w:r>
      <w:r w:rsidRPr="00E97F25">
        <w:t>On seeing it, l</w:t>
      </w:r>
      <w:r w:rsidR="00F5098E" w:rsidRPr="00E97F25">
        <w:t xml:space="preserve">esser mortals were required to acknowledge its presence by </w:t>
      </w:r>
      <w:r w:rsidR="00F5098E" w:rsidRPr="00E97F25">
        <w:lastRenderedPageBreak/>
        <w:t>raising or doffing their hat, and then to look away respectfully.</w:t>
      </w:r>
      <w:r w:rsidR="00F5098E" w:rsidRPr="00E97F25">
        <w:rPr>
          <w:rStyle w:val="EndnoteReference"/>
        </w:rPr>
        <w:endnoteReference w:id="64"/>
      </w:r>
      <w:r w:rsidR="00F5098E" w:rsidRPr="00E97F25">
        <w:t xml:space="preserve"> </w:t>
      </w:r>
      <w:r w:rsidRPr="00E97F25">
        <w:t>Other responses were harder to gauge. I</w:t>
      </w:r>
      <w:r w:rsidR="00F5098E" w:rsidRPr="00E97F25">
        <w:t xml:space="preserve">f the theories about Henry VIII’s tapestry purchases are correct in suggesting that his choices of religious topics supported the </w:t>
      </w:r>
      <w:r w:rsidR="00265758" w:rsidRPr="00E97F25">
        <w:t>b</w:t>
      </w:r>
      <w:r w:rsidR="00F5098E" w:rsidRPr="00E97F25">
        <w:t>reak</w:t>
      </w:r>
      <w:r w:rsidR="00A069C4" w:rsidRPr="00E97F25">
        <w:t xml:space="preserve"> </w:t>
      </w:r>
      <w:r w:rsidR="00F5098E" w:rsidRPr="00E97F25">
        <w:t xml:space="preserve">from Rome, then these objects </w:t>
      </w:r>
      <w:r w:rsidR="00A069C4" w:rsidRPr="00E97F25">
        <w:t xml:space="preserve">would </w:t>
      </w:r>
      <w:r w:rsidR="00F5098E" w:rsidRPr="00E97F25">
        <w:t xml:space="preserve">only </w:t>
      </w:r>
      <w:r w:rsidR="00A069C4" w:rsidRPr="00E97F25">
        <w:t xml:space="preserve">have </w:t>
      </w:r>
      <w:r w:rsidR="00F5098E" w:rsidRPr="00E97F25">
        <w:t>fulfilled their function if those coming to court lo</w:t>
      </w:r>
      <w:r w:rsidR="00A069C4" w:rsidRPr="00E97F25">
        <w:t>oked at them, contemplated them</w:t>
      </w:r>
      <w:r w:rsidR="00F5098E" w:rsidRPr="00E97F25">
        <w:t xml:space="preserve"> and thought about the significance of the stories being depicted.</w:t>
      </w:r>
      <w:r w:rsidR="00F5098E" w:rsidRPr="00E97F25">
        <w:rPr>
          <w:rStyle w:val="EndnoteReference"/>
        </w:rPr>
        <w:endnoteReference w:id="65"/>
      </w:r>
      <w:r w:rsidR="00F5098E" w:rsidRPr="00E97F25">
        <w:t xml:space="preserve"> It is quite possible that some</w:t>
      </w:r>
      <w:r w:rsidR="00A069C4" w:rsidRPr="00E97F25">
        <w:t xml:space="preserve"> people</w:t>
      </w:r>
      <w:r w:rsidR="00F5098E" w:rsidRPr="00E97F25">
        <w:t xml:space="preserve"> walked by taking little notice and others actively </w:t>
      </w:r>
      <w:r w:rsidR="001D6DD6" w:rsidRPr="00E97F25">
        <w:t xml:space="preserve">engaged with or </w:t>
      </w:r>
      <w:r w:rsidR="00F5098E" w:rsidRPr="00E97F25">
        <w:t>rejected the messages</w:t>
      </w:r>
      <w:r w:rsidR="001D6DD6" w:rsidRPr="00E97F25">
        <w:t xml:space="preserve"> about royal authority and the succession</w:t>
      </w:r>
      <w:r w:rsidR="00F5098E" w:rsidRPr="00E97F25">
        <w:t>.</w:t>
      </w:r>
      <w:r w:rsidR="001D6DD6" w:rsidRPr="00E97F25">
        <w:t xml:space="preserve"> </w:t>
      </w:r>
    </w:p>
    <w:p w14:paraId="6A6E539E" w14:textId="4C73C4FE" w:rsidR="00C6090B" w:rsidRPr="00E97F25" w:rsidRDefault="009A0F1B" w:rsidP="00265758">
      <w:pPr>
        <w:spacing w:line="360" w:lineRule="auto"/>
        <w:ind w:firstLine="720"/>
        <w:jc w:val="both"/>
      </w:pPr>
      <w:r w:rsidRPr="00E97F25">
        <w:t xml:space="preserve">Beds and their hangings were some of the most important domestic textiles and </w:t>
      </w:r>
      <w:r w:rsidR="000F4510" w:rsidRPr="00E97F25">
        <w:t>those owned by the middling sort and above were often decorated with complex embroidered schemes</w:t>
      </w:r>
      <w:r w:rsidR="002B41CD" w:rsidRPr="00E97F25">
        <w:t>,</w:t>
      </w:r>
      <w:r w:rsidR="000006F6" w:rsidRPr="00E97F25">
        <w:t xml:space="preserve"> including Adam and Eve, the </w:t>
      </w:r>
      <w:proofErr w:type="gramStart"/>
      <w:r w:rsidR="000006F6" w:rsidRPr="00E97F25">
        <w:t>Fall</w:t>
      </w:r>
      <w:proofErr w:type="gramEnd"/>
      <w:r w:rsidR="000006F6" w:rsidRPr="00E97F25">
        <w:t xml:space="preserve"> and the Expulsion</w:t>
      </w:r>
      <w:r w:rsidR="000F4510" w:rsidRPr="00E97F25">
        <w:t>.</w:t>
      </w:r>
      <w:r w:rsidR="00E1474F" w:rsidRPr="00E97F25">
        <w:rPr>
          <w:rStyle w:val="EndnoteReference"/>
        </w:rPr>
        <w:endnoteReference w:id="66"/>
      </w:r>
      <w:r w:rsidR="002B41CD" w:rsidRPr="00E97F25">
        <w:t xml:space="preserve"> </w:t>
      </w:r>
      <w:r w:rsidR="000006F6" w:rsidRPr="00E97F25">
        <w:t>Biblical themes were popular subjects but they were not alone, as indicated by a be</w:t>
      </w:r>
      <w:r w:rsidR="000F4510" w:rsidRPr="00E97F25">
        <w:t xml:space="preserve">d valance worked in tent stitch </w:t>
      </w:r>
      <w:r w:rsidR="00B20919" w:rsidRPr="00E97F25">
        <w:t>dating from c.1580</w:t>
      </w:r>
      <w:r w:rsidR="0091739F" w:rsidRPr="00E97F25">
        <w:t>–</w:t>
      </w:r>
      <w:r w:rsidR="00B20919" w:rsidRPr="00E97F25">
        <w:t>1610</w:t>
      </w:r>
      <w:r w:rsidR="002B41CD" w:rsidRPr="00E97F25">
        <w:t xml:space="preserve">, </w:t>
      </w:r>
      <w:r w:rsidR="00265758" w:rsidRPr="00E97F25">
        <w:t xml:space="preserve">which was probably British, and </w:t>
      </w:r>
      <w:r w:rsidR="0032681C" w:rsidRPr="00E97F25">
        <w:t xml:space="preserve">which </w:t>
      </w:r>
      <w:r w:rsidR="000F4510" w:rsidRPr="00E97F25">
        <w:t>depicts eight women and two men</w:t>
      </w:r>
      <w:r w:rsidR="009E7A43">
        <w:t xml:space="preserve"> (Fig.</w:t>
      </w:r>
      <w:r w:rsidR="002B41CD" w:rsidRPr="00E97F25">
        <w:t xml:space="preserve"> </w:t>
      </w:r>
      <w:r w:rsidR="00265758" w:rsidRPr="00E97F25">
        <w:t>2</w:t>
      </w:r>
      <w:r w:rsidR="002B41CD" w:rsidRPr="00E97F25">
        <w:t>)</w:t>
      </w:r>
      <w:r w:rsidR="000F4510" w:rsidRPr="00E97F25">
        <w:t>. One reading of the scene is that four of the female figures represent</w:t>
      </w:r>
      <w:r w:rsidR="0091739F" w:rsidRPr="00E97F25">
        <w:t>ed</w:t>
      </w:r>
      <w:r w:rsidR="000F4510" w:rsidRPr="00E97F25">
        <w:t xml:space="preserve"> Sight, Touch, Smell and Hearing.</w:t>
      </w:r>
      <w:r w:rsidR="00882900" w:rsidRPr="00E97F25">
        <w:t xml:space="preserve"> </w:t>
      </w:r>
      <w:r w:rsidR="00B20919" w:rsidRPr="00E97F25">
        <w:t>While not a full set of the senses</w:t>
      </w:r>
      <w:r w:rsidR="00B17EB1" w:rsidRPr="00E97F25">
        <w:t>, this suggests that, as at Bolsover, the person who designed</w:t>
      </w:r>
      <w:r w:rsidR="0091739F" w:rsidRPr="00E97F25">
        <w:t xml:space="preserve"> or </w:t>
      </w:r>
      <w:r w:rsidR="00B17EB1" w:rsidRPr="00E97F25">
        <w:t xml:space="preserve">commissioned this piece selected the senses they considered to be </w:t>
      </w:r>
      <w:r w:rsidR="0091739F" w:rsidRPr="00E97F25">
        <w:t xml:space="preserve">most </w:t>
      </w:r>
      <w:r w:rsidR="00B17EB1" w:rsidRPr="00E97F25">
        <w:t>significant</w:t>
      </w:r>
      <w:r w:rsidR="0091739F" w:rsidRPr="00E97F25">
        <w:t xml:space="preserve">. These </w:t>
      </w:r>
      <w:r w:rsidR="00B17EB1" w:rsidRPr="00E97F25">
        <w:t>were place</w:t>
      </w:r>
      <w:r w:rsidR="001008A2" w:rsidRPr="00E97F25">
        <w:t>d</w:t>
      </w:r>
      <w:r w:rsidR="00B17EB1" w:rsidRPr="00E97F25">
        <w:t xml:space="preserve"> within a scene that included a young girl, a</w:t>
      </w:r>
      <w:r w:rsidR="00534E8D" w:rsidRPr="00E97F25">
        <w:t>n older man, a jester and a woma</w:t>
      </w:r>
      <w:r w:rsidR="00B17EB1" w:rsidRPr="00E97F25">
        <w:t xml:space="preserve">n on horseback. </w:t>
      </w:r>
      <w:r w:rsidR="000006F6" w:rsidRPr="00E97F25">
        <w:t xml:space="preserve">This valance, placed round the top of the bed-frame, </w:t>
      </w:r>
      <w:r w:rsidR="00841238" w:rsidRPr="00E97F25">
        <w:t>c</w:t>
      </w:r>
      <w:r w:rsidR="000006F6" w:rsidRPr="00E97F25">
        <w:t xml:space="preserve">ould have drawn the gaze of </w:t>
      </w:r>
      <w:r w:rsidR="00841238" w:rsidRPr="00E97F25">
        <w:t xml:space="preserve">those who slept within it, </w:t>
      </w:r>
      <w:r w:rsidR="0091739F" w:rsidRPr="00E97F25">
        <w:t xml:space="preserve">those </w:t>
      </w:r>
      <w:r w:rsidR="00841238" w:rsidRPr="00E97F25">
        <w:t>who made it and those who passed through the room</w:t>
      </w:r>
      <w:r w:rsidR="0032681C" w:rsidRPr="00E97F25">
        <w:t>,</w:t>
      </w:r>
      <w:r w:rsidR="00A275DB" w:rsidRPr="00E97F25">
        <w:t xml:space="preserve"> </w:t>
      </w:r>
      <w:r w:rsidR="0091739F" w:rsidRPr="00E97F25">
        <w:t xml:space="preserve">causing </w:t>
      </w:r>
      <w:r w:rsidR="00841238" w:rsidRPr="00E97F25">
        <w:t xml:space="preserve">them to contemplate the centrality of the senses in married life and in the bedchamber. </w:t>
      </w:r>
    </w:p>
    <w:p w14:paraId="258AD128" w14:textId="77777777" w:rsidR="002B41CD" w:rsidRPr="00E97F25" w:rsidRDefault="002B41CD" w:rsidP="002E77A9">
      <w:pPr>
        <w:spacing w:line="360" w:lineRule="auto"/>
        <w:ind w:firstLine="720"/>
        <w:jc w:val="both"/>
      </w:pPr>
    </w:p>
    <w:p w14:paraId="5986AF91" w14:textId="5DD73785" w:rsidR="002B41CD" w:rsidRPr="00E97F25" w:rsidRDefault="002B41CD" w:rsidP="00265758">
      <w:pPr>
        <w:spacing w:line="360" w:lineRule="auto"/>
      </w:pPr>
      <w:r w:rsidRPr="00E97F25">
        <w:t xml:space="preserve">[Figure </w:t>
      </w:r>
      <w:r w:rsidR="00265758" w:rsidRPr="00E97F25">
        <w:t>2</w:t>
      </w:r>
      <w:r w:rsidRPr="00E97F25">
        <w:t xml:space="preserve"> here: ¼ page. Caption:</w:t>
      </w:r>
    </w:p>
    <w:p w14:paraId="4833252C" w14:textId="77777777" w:rsidR="009A7E2D" w:rsidRDefault="0091739F" w:rsidP="00265758">
      <w:pPr>
        <w:spacing w:line="360" w:lineRule="auto"/>
        <w:jc w:val="both"/>
        <w:rPr>
          <w:spacing w:val="3"/>
        </w:rPr>
      </w:pPr>
      <w:r w:rsidRPr="00E97F25">
        <w:rPr>
          <w:shd w:val="clear" w:color="auto" w:fill="FFFFFF"/>
        </w:rPr>
        <w:t>Embroidered Valance, c.1580</w:t>
      </w:r>
      <w:r w:rsidRPr="00E97F25">
        <w:t>–</w:t>
      </w:r>
      <w:r w:rsidRPr="00E97F25">
        <w:rPr>
          <w:shd w:val="clear" w:color="auto" w:fill="FFFFFF"/>
        </w:rPr>
        <w:t xml:space="preserve">1610, probably British, </w:t>
      </w:r>
      <w:r w:rsidRPr="00E97F25">
        <w:rPr>
          <w:spacing w:val="3"/>
          <w:lang w:eastAsia="en-GB"/>
        </w:rPr>
        <w:t>Canvas worked with wool and silk thread; tent and satin stitches, 53.3 x 172.7 cm, The Metropolitan Museum of Art, New York, Accession Number: 64.101.1273</w:t>
      </w:r>
      <w:r w:rsidRPr="00E97F25">
        <w:rPr>
          <w:spacing w:val="3"/>
        </w:rPr>
        <w:t>.</w:t>
      </w:r>
    </w:p>
    <w:p w14:paraId="632F3C41" w14:textId="77777777" w:rsidR="009A7E2D" w:rsidRPr="00E97F25" w:rsidRDefault="009A7E2D" w:rsidP="009A7E2D">
      <w:pPr>
        <w:spacing w:line="360" w:lineRule="auto"/>
        <w:jc w:val="both"/>
        <w:rPr>
          <w:spacing w:val="3"/>
          <w:lang w:eastAsia="en-GB"/>
        </w:rPr>
      </w:pPr>
      <w:r>
        <w:rPr>
          <w:i/>
          <w:spacing w:val="3"/>
          <w:lang w:eastAsia="en-GB"/>
        </w:rPr>
        <w:t xml:space="preserve">Courtesy of </w:t>
      </w:r>
      <w:r w:rsidRPr="00C747C7">
        <w:rPr>
          <w:i/>
        </w:rPr>
        <w:t>www.metmuseum.org</w:t>
      </w:r>
      <w:r>
        <w:rPr>
          <w:i/>
        </w:rPr>
        <w:t>.</w:t>
      </w:r>
      <w:r>
        <w:rPr>
          <w:spacing w:val="3"/>
          <w:lang w:eastAsia="en-GB"/>
        </w:rPr>
        <w:t>]</w:t>
      </w:r>
    </w:p>
    <w:p w14:paraId="418F2373" w14:textId="77777777" w:rsidR="0091739F" w:rsidRPr="00E97F25" w:rsidRDefault="0091739F" w:rsidP="002E77A9">
      <w:pPr>
        <w:spacing w:line="360" w:lineRule="auto"/>
        <w:jc w:val="both"/>
        <w:rPr>
          <w:i/>
          <w:spacing w:val="3"/>
          <w:lang w:eastAsia="en-GB"/>
        </w:rPr>
      </w:pPr>
    </w:p>
    <w:p w14:paraId="2B4FD9E1" w14:textId="66A6DA21" w:rsidR="00F5098E" w:rsidRPr="00E97F25" w:rsidRDefault="007E5FB2" w:rsidP="00265758">
      <w:pPr>
        <w:spacing w:line="360" w:lineRule="auto"/>
        <w:jc w:val="both"/>
        <w:rPr>
          <w:i/>
          <w:spacing w:val="3"/>
          <w:lang w:eastAsia="en-GB"/>
        </w:rPr>
      </w:pPr>
      <w:r w:rsidRPr="00E97F25">
        <w:t xml:space="preserve">Among other </w:t>
      </w:r>
      <w:r w:rsidR="001D6DD6" w:rsidRPr="00E97F25">
        <w:t xml:space="preserve">personal </w:t>
      </w:r>
      <w:r w:rsidRPr="00E97F25">
        <w:t xml:space="preserve">textile </w:t>
      </w:r>
      <w:r w:rsidR="001D6DD6" w:rsidRPr="00E97F25">
        <w:t xml:space="preserve">items, this period </w:t>
      </w:r>
      <w:r w:rsidRPr="00E97F25">
        <w:t xml:space="preserve">also </w:t>
      </w:r>
      <w:r w:rsidR="001D6DD6" w:rsidRPr="00E97F25">
        <w:t xml:space="preserve">saw a </w:t>
      </w:r>
      <w:r w:rsidR="00D34AE6" w:rsidRPr="00E97F25">
        <w:t>proliferation of prayer books with embroidered bindings.</w:t>
      </w:r>
      <w:r w:rsidR="00D34AE6" w:rsidRPr="00E97F25">
        <w:rPr>
          <w:rStyle w:val="EndnoteReference"/>
        </w:rPr>
        <w:endnoteReference w:id="67"/>
      </w:r>
      <w:r w:rsidR="001D6DD6" w:rsidRPr="00E97F25">
        <w:t xml:space="preserve"> In some </w:t>
      </w:r>
      <w:r w:rsidR="001D78B6" w:rsidRPr="00E97F25">
        <w:t>instances</w:t>
      </w:r>
      <w:r w:rsidR="001D6DD6" w:rsidRPr="00E97F25">
        <w:t xml:space="preserve"> the binding did not reflect the contents</w:t>
      </w:r>
      <w:r w:rsidRPr="00E97F25">
        <w:t>,</w:t>
      </w:r>
      <w:r w:rsidR="001D6DD6" w:rsidRPr="00E97F25">
        <w:t xml:space="preserve"> as in the case of </w:t>
      </w:r>
      <w:r w:rsidR="001D6DD6" w:rsidRPr="00E97F25">
        <w:rPr>
          <w:bCs/>
          <w:i/>
          <w:iCs/>
        </w:rPr>
        <w:t xml:space="preserve">The </w:t>
      </w:r>
      <w:proofErr w:type="spellStart"/>
      <w:r w:rsidR="001D6DD6" w:rsidRPr="00E97F25">
        <w:rPr>
          <w:bCs/>
          <w:i/>
          <w:iCs/>
        </w:rPr>
        <w:t>Miroir</w:t>
      </w:r>
      <w:proofErr w:type="spellEnd"/>
      <w:r w:rsidR="001D6DD6" w:rsidRPr="00E97F25">
        <w:rPr>
          <w:bCs/>
          <w:i/>
          <w:iCs/>
        </w:rPr>
        <w:t xml:space="preserve"> or </w:t>
      </w:r>
      <w:proofErr w:type="spellStart"/>
      <w:r w:rsidR="001D6DD6" w:rsidRPr="00E97F25">
        <w:rPr>
          <w:bCs/>
          <w:i/>
          <w:iCs/>
        </w:rPr>
        <w:t>Glasse</w:t>
      </w:r>
      <w:proofErr w:type="spellEnd"/>
      <w:r w:rsidR="001D6DD6" w:rsidRPr="00E97F25">
        <w:rPr>
          <w:bCs/>
          <w:i/>
          <w:iCs/>
        </w:rPr>
        <w:t xml:space="preserve"> of the </w:t>
      </w:r>
      <w:proofErr w:type="spellStart"/>
      <w:r w:rsidR="001D6DD6" w:rsidRPr="00E97F25">
        <w:rPr>
          <w:bCs/>
          <w:i/>
          <w:iCs/>
        </w:rPr>
        <w:t>Synneful</w:t>
      </w:r>
      <w:proofErr w:type="spellEnd"/>
      <w:r w:rsidR="001D6DD6" w:rsidRPr="00E97F25">
        <w:rPr>
          <w:bCs/>
          <w:i/>
          <w:iCs/>
        </w:rPr>
        <w:t xml:space="preserve"> Soul</w:t>
      </w:r>
      <w:r w:rsidR="001D6DD6" w:rsidRPr="00E97F25">
        <w:rPr>
          <w:bCs/>
          <w:iCs/>
        </w:rPr>
        <w:t xml:space="preserve">, with a cover design of </w:t>
      </w:r>
      <w:r w:rsidR="001A6D48" w:rsidRPr="00E97F25">
        <w:rPr>
          <w:bCs/>
          <w:iCs/>
        </w:rPr>
        <w:t>geometric scrollwork and the initials KP for Katherine Parr</w:t>
      </w:r>
      <w:r w:rsidR="00265758" w:rsidRPr="00E97F25">
        <w:rPr>
          <w:bCs/>
          <w:iCs/>
        </w:rPr>
        <w:t>,</w:t>
      </w:r>
      <w:r w:rsidRPr="00E97F25">
        <w:rPr>
          <w:bCs/>
          <w:iCs/>
        </w:rPr>
        <w:t xml:space="preserve"> the sixth wife of Henry VIII</w:t>
      </w:r>
      <w:r w:rsidR="001A6D48" w:rsidRPr="00E97F25">
        <w:rPr>
          <w:bCs/>
          <w:iCs/>
        </w:rPr>
        <w:t>.</w:t>
      </w:r>
      <w:r w:rsidR="001A6D48" w:rsidRPr="00E97F25">
        <w:rPr>
          <w:rStyle w:val="EndnoteReference"/>
          <w:bCs/>
          <w:iCs/>
        </w:rPr>
        <w:endnoteReference w:id="68"/>
      </w:r>
      <w:r w:rsidR="001A6D48" w:rsidRPr="00E97F25">
        <w:rPr>
          <w:bCs/>
          <w:iCs/>
        </w:rPr>
        <w:t xml:space="preserve"> In others</w:t>
      </w:r>
      <w:r w:rsidR="0063427E" w:rsidRPr="00E97F25">
        <w:rPr>
          <w:bCs/>
          <w:iCs/>
        </w:rPr>
        <w:t>,</w:t>
      </w:r>
      <w:r w:rsidR="001A6D48" w:rsidRPr="00E97F25">
        <w:rPr>
          <w:bCs/>
          <w:iCs/>
        </w:rPr>
        <w:t xml:space="preserve"> the covers were designed to aid contemplation</w:t>
      </w:r>
      <w:r w:rsidRPr="00E97F25">
        <w:rPr>
          <w:bCs/>
          <w:iCs/>
        </w:rPr>
        <w:t>,</w:t>
      </w:r>
      <w:r w:rsidR="001A6D48" w:rsidRPr="00E97F25">
        <w:rPr>
          <w:bCs/>
          <w:iCs/>
        </w:rPr>
        <w:t xml:space="preserve"> such as </w:t>
      </w:r>
      <w:r w:rsidR="001A6D48" w:rsidRPr="00E97F25">
        <w:rPr>
          <w:bCs/>
          <w:iCs/>
          <w:shd w:val="clear" w:color="auto" w:fill="FFFFFF"/>
        </w:rPr>
        <w:t xml:space="preserve">the </w:t>
      </w:r>
      <w:r w:rsidR="001A6D48" w:rsidRPr="00E97F25">
        <w:t>binding of a 1651 Bible embroidered with figures of Abraham, Hagar and Ishmael</w:t>
      </w:r>
      <w:r w:rsidR="00E1474F" w:rsidRPr="00E97F25">
        <w:t>.</w:t>
      </w:r>
      <w:r w:rsidR="00E1474F" w:rsidRPr="00E97F25">
        <w:rPr>
          <w:rStyle w:val="EndnoteReference"/>
        </w:rPr>
        <w:endnoteReference w:id="69"/>
      </w:r>
      <w:r w:rsidR="0063427E" w:rsidRPr="00E97F25">
        <w:t xml:space="preserve"> </w:t>
      </w:r>
      <w:r w:rsidR="009E62A9" w:rsidRPr="00E97F25">
        <w:t>This complex family story co</w:t>
      </w:r>
      <w:r w:rsidR="001008A2" w:rsidRPr="00E97F25">
        <w:t>u</w:t>
      </w:r>
      <w:r w:rsidR="009E62A9" w:rsidRPr="00E97F25">
        <w:t xml:space="preserve">ld have provoked many lines of thought and </w:t>
      </w:r>
      <w:r w:rsidR="0086781F" w:rsidRPr="00E97F25">
        <w:t>the</w:t>
      </w:r>
      <w:r w:rsidR="009E62A9" w:rsidRPr="00E97F25">
        <w:t xml:space="preserve"> book cover </w:t>
      </w:r>
      <w:r w:rsidRPr="00E97F25">
        <w:t>suggests that</w:t>
      </w:r>
      <w:r w:rsidR="009E62A9" w:rsidRPr="00E97F25">
        <w:t xml:space="preserve"> </w:t>
      </w:r>
      <w:r w:rsidR="00F5098E" w:rsidRPr="00E97F25">
        <w:t xml:space="preserve">looking at interiors and the textiles within them with early modern eyes was a complex business. The religious beliefs of </w:t>
      </w:r>
      <w:r w:rsidRPr="00E97F25">
        <w:t>v</w:t>
      </w:r>
      <w:r w:rsidR="00F5098E" w:rsidRPr="00E97F25">
        <w:t>iewer</w:t>
      </w:r>
      <w:r w:rsidRPr="00E97F25">
        <w:t>s</w:t>
      </w:r>
      <w:r w:rsidR="00F5098E" w:rsidRPr="00E97F25">
        <w:t xml:space="preserve"> would undoubtedly influence how they saw things, while a </w:t>
      </w:r>
      <w:r w:rsidR="00F5098E" w:rsidRPr="00E97F25">
        <w:lastRenderedPageBreak/>
        <w:t xml:space="preserve">changing vocabulary of colours could provide added richness to the way they articulated their visual response.  </w:t>
      </w:r>
    </w:p>
    <w:p w14:paraId="3166642E" w14:textId="77777777" w:rsidR="00246B1D" w:rsidRPr="00E97F25" w:rsidRDefault="00246B1D" w:rsidP="002E77A9">
      <w:pPr>
        <w:spacing w:line="360" w:lineRule="auto"/>
        <w:ind w:firstLine="720"/>
        <w:jc w:val="both"/>
      </w:pPr>
      <w:r w:rsidRPr="00E97F25">
        <w:t xml:space="preserve">There </w:t>
      </w:r>
      <w:r w:rsidR="007E5FB2" w:rsidRPr="00E97F25">
        <w:t xml:space="preserve">were </w:t>
      </w:r>
      <w:r w:rsidRPr="00E97F25">
        <w:t>several other factors that influence</w:t>
      </w:r>
      <w:r w:rsidR="007E5FB2" w:rsidRPr="00E97F25">
        <w:t>d</w:t>
      </w:r>
      <w:r w:rsidRPr="00E97F25">
        <w:t xml:space="preserve"> how a room </w:t>
      </w:r>
      <w:r w:rsidR="008832EB" w:rsidRPr="00E97F25">
        <w:t>wa</w:t>
      </w:r>
      <w:r w:rsidRPr="00E97F25">
        <w:t xml:space="preserve">s perceived. The first </w:t>
      </w:r>
      <w:r w:rsidR="007E5FB2" w:rsidRPr="00E97F25">
        <w:t>was</w:t>
      </w:r>
      <w:r w:rsidRPr="00E97F25">
        <w:t xml:space="preserve"> whether the room was viewed during the day or in darkness. Different elements could be seen, and appreciated according to whether they were viewed in daylight, candle, lamp, firelight or moonlight.</w:t>
      </w:r>
      <w:r w:rsidRPr="00E97F25">
        <w:rPr>
          <w:rStyle w:val="EndnoteReference"/>
        </w:rPr>
        <w:endnoteReference w:id="70"/>
      </w:r>
      <w:r w:rsidRPr="00E97F25">
        <w:t xml:space="preserve"> Metal thread would look bright in daylight </w:t>
      </w:r>
      <w:r w:rsidR="001D78B6" w:rsidRPr="00E97F25">
        <w:t>and</w:t>
      </w:r>
      <w:r w:rsidRPr="00E97F25">
        <w:t xml:space="preserve"> glisten in candle or fire light. While daylight and artificial lighting made it possible to appreciate the textiles, they were also damaging to the furnishings. Consequently, candle sconces often had reflectors, to direct the light and protect the surrounding area from soot and singeing.</w:t>
      </w:r>
      <w:r w:rsidRPr="00E97F25">
        <w:rPr>
          <w:rStyle w:val="EndnoteReference"/>
        </w:rPr>
        <w:endnoteReference w:id="71"/>
      </w:r>
      <w:r w:rsidRPr="00E97F25">
        <w:t xml:space="preserve"> Window curtains, shutters and case covers all helped to protect textiles from excessive exposure to daylight</w:t>
      </w:r>
      <w:r w:rsidR="001D78B6" w:rsidRPr="00E97F25">
        <w:t>,</w:t>
      </w:r>
      <w:r w:rsidRPr="00E97F25">
        <w:t xml:space="preserve"> which could result in </w:t>
      </w:r>
      <w:r w:rsidR="001D78B6" w:rsidRPr="00E97F25">
        <w:t xml:space="preserve">the </w:t>
      </w:r>
      <w:r w:rsidRPr="00E97F25">
        <w:t xml:space="preserve">fading of colours and damage to fibres. </w:t>
      </w:r>
      <w:r w:rsidR="001D78B6" w:rsidRPr="00E97F25">
        <w:t>M</w:t>
      </w:r>
      <w:r w:rsidRPr="00E97F25">
        <w:t xml:space="preserve">irrors and mirror-glass used on chimneys, ceilings and walls were </w:t>
      </w:r>
      <w:r w:rsidR="001D78B6" w:rsidRPr="00E97F25">
        <w:t xml:space="preserve">also </w:t>
      </w:r>
      <w:r w:rsidRPr="00E97F25">
        <w:t>increasingly common in domestic interiors.</w:t>
      </w:r>
      <w:r w:rsidRPr="00E97F25">
        <w:rPr>
          <w:rStyle w:val="EndnoteReference"/>
        </w:rPr>
        <w:endnoteReference w:id="72"/>
      </w:r>
      <w:r w:rsidRPr="00E97F25">
        <w:t xml:space="preserve"> </w:t>
      </w:r>
      <w:r w:rsidR="001D78B6" w:rsidRPr="00E97F25">
        <w:t>Whether this was in the form of</w:t>
      </w:r>
      <w:r w:rsidR="003F4690" w:rsidRPr="00E97F25">
        <w:t xml:space="preserve"> simple hand mirror</w:t>
      </w:r>
      <w:r w:rsidR="001D78B6" w:rsidRPr="00E97F25">
        <w:t>s</w:t>
      </w:r>
      <w:r w:rsidR="003F4690" w:rsidRPr="00E97F25">
        <w:t xml:space="preserve"> of polished metal o</w:t>
      </w:r>
      <w:r w:rsidRPr="00E97F25">
        <w:t xml:space="preserve">r </w:t>
      </w:r>
      <w:r w:rsidR="00F02143" w:rsidRPr="00E97F25">
        <w:t>the large</w:t>
      </w:r>
      <w:r w:rsidR="001D78B6" w:rsidRPr="00E97F25">
        <w:t>, fashionable</w:t>
      </w:r>
      <w:r w:rsidR="00F02143" w:rsidRPr="00E97F25">
        <w:t xml:space="preserve"> </w:t>
      </w:r>
      <w:r w:rsidRPr="00E97F25">
        <w:t xml:space="preserve">silvered glass of the mirrors in the King’s Room or </w:t>
      </w:r>
      <w:r w:rsidR="001D78B6" w:rsidRPr="00E97F25">
        <w:t xml:space="preserve">the </w:t>
      </w:r>
      <w:r w:rsidRPr="00E97F25">
        <w:t xml:space="preserve">Cartoon Gallery at </w:t>
      </w:r>
      <w:proofErr w:type="spellStart"/>
      <w:r w:rsidRPr="00E97F25">
        <w:t>Knole</w:t>
      </w:r>
      <w:proofErr w:type="spellEnd"/>
      <w:r w:rsidRPr="00E97F25">
        <w:t xml:space="preserve">, these surfaces presented the viewer with an image reflected back immediately to themselves. </w:t>
      </w:r>
      <w:r w:rsidR="00F02143" w:rsidRPr="00E97F25">
        <w:t xml:space="preserve">While the two types of mirror had different reflective qualities, </w:t>
      </w:r>
      <w:r w:rsidR="001D78B6" w:rsidRPr="00E97F25">
        <w:t xml:space="preserve">both provided individuals </w:t>
      </w:r>
      <w:r w:rsidRPr="00E97F25">
        <w:t>with the opportunity to see their own reflection and that of their clothing</w:t>
      </w:r>
      <w:r w:rsidR="0032681C" w:rsidRPr="00E97F25">
        <w:t>,</w:t>
      </w:r>
      <w:r w:rsidRPr="00E97F25">
        <w:t xml:space="preserve"> </w:t>
      </w:r>
      <w:r w:rsidR="001D78B6" w:rsidRPr="00E97F25">
        <w:t>as well as</w:t>
      </w:r>
      <w:r w:rsidR="0032681C" w:rsidRPr="00E97F25">
        <w:t xml:space="preserve"> </w:t>
      </w:r>
      <w:r w:rsidRPr="00E97F25">
        <w:t>a chance to look indirectly at the room and the things within it.</w:t>
      </w:r>
      <w:r w:rsidRPr="00E97F25">
        <w:rPr>
          <w:rStyle w:val="EndnoteReference"/>
        </w:rPr>
        <w:endnoteReference w:id="73"/>
      </w:r>
      <w:r w:rsidRPr="00E97F25">
        <w:t xml:space="preserve"> Reflected clothing introduce</w:t>
      </w:r>
      <w:r w:rsidR="00936C57" w:rsidRPr="00E97F25">
        <w:t>d</w:t>
      </w:r>
      <w:r w:rsidRPr="00E97F25">
        <w:t xml:space="preserve"> another element to the material environment</w:t>
      </w:r>
      <w:r w:rsidR="00936C57" w:rsidRPr="00E97F25">
        <w:t>,</w:t>
      </w:r>
      <w:r w:rsidRPr="00E97F25">
        <w:t xml:space="preserve"> with potentially slightly muted colours and surface textures to add to the system of objects and the dynamic viewing required to appreciate </w:t>
      </w:r>
      <w:r w:rsidR="00936C57" w:rsidRPr="00E97F25">
        <w:t>them</w:t>
      </w:r>
      <w:r w:rsidRPr="00E97F25">
        <w:t>.</w:t>
      </w:r>
      <w:r w:rsidRPr="00E97F25">
        <w:rPr>
          <w:rStyle w:val="EndnoteReference"/>
        </w:rPr>
        <w:endnoteReference w:id="74"/>
      </w:r>
      <w:r w:rsidRPr="00E97F25">
        <w:t xml:space="preserve"> </w:t>
      </w:r>
    </w:p>
    <w:p w14:paraId="401E1194" w14:textId="77777777" w:rsidR="00246B1D" w:rsidRPr="00E97F25" w:rsidRDefault="00246B1D" w:rsidP="002E77A9">
      <w:pPr>
        <w:spacing w:line="360" w:lineRule="auto"/>
        <w:ind w:firstLine="720"/>
        <w:jc w:val="both"/>
        <w:rPr>
          <w:iCs/>
          <w:lang w:val="en-US"/>
        </w:rPr>
      </w:pPr>
      <w:r w:rsidRPr="00E97F25">
        <w:t xml:space="preserve">Finally, interiors were more fluid than inventories, paintings of interiors </w:t>
      </w:r>
      <w:r w:rsidR="00936C57" w:rsidRPr="00E97F25">
        <w:t>or</w:t>
      </w:r>
      <w:r w:rsidRPr="00E97F25">
        <w:t xml:space="preserve"> rooms within surviving houses might suggest. The style and quality of furnishings might change with the seasons, and their location could alter depending on whether the family was in residence or not. Once a room was furnished for a particular event or period of time, certain pieces such as wall hangings would provide a consistent framework for other textiles that would come and go. The latter could inclu</w:t>
      </w:r>
      <w:r w:rsidR="00936C57" w:rsidRPr="00E97F25">
        <w:t>de damask table cloths, napkins</w:t>
      </w:r>
      <w:r w:rsidRPr="00E97F25">
        <w:t xml:space="preserve"> and towels used for dining as well as the clothing worn by the people found within these spaces. This fluidity also extended to who had access to a particular space and why. Very few people apart from Mary Queen of Scots and her closest attendants would have looked up inside the canopy of her bed of state to see ‘</w:t>
      </w:r>
      <w:r w:rsidRPr="00E97F25">
        <w:rPr>
          <w:iCs/>
          <w:lang w:val="en-US"/>
        </w:rPr>
        <w:t xml:space="preserve">the quines </w:t>
      </w:r>
      <w:proofErr w:type="spellStart"/>
      <w:r w:rsidRPr="00E97F25">
        <w:rPr>
          <w:iCs/>
          <w:lang w:val="en-US"/>
        </w:rPr>
        <w:t>matie</w:t>
      </w:r>
      <w:proofErr w:type="spellEnd"/>
      <w:r w:rsidRPr="00E97F25">
        <w:rPr>
          <w:iCs/>
          <w:lang w:val="en-US"/>
        </w:rPr>
        <w:t xml:space="preserve"> </w:t>
      </w:r>
      <w:proofErr w:type="spellStart"/>
      <w:r w:rsidRPr="00E97F25">
        <w:rPr>
          <w:iCs/>
          <w:lang w:val="en-US"/>
        </w:rPr>
        <w:t>pertrayed</w:t>
      </w:r>
      <w:proofErr w:type="spellEnd"/>
      <w:r w:rsidRPr="00E97F25">
        <w:rPr>
          <w:iCs/>
          <w:lang w:val="en-US"/>
        </w:rPr>
        <w:t xml:space="preserve"> kneeling before the </w:t>
      </w:r>
      <w:proofErr w:type="spellStart"/>
      <w:r w:rsidRPr="00E97F25">
        <w:rPr>
          <w:iCs/>
          <w:lang w:val="en-US"/>
        </w:rPr>
        <w:t>cros</w:t>
      </w:r>
      <w:proofErr w:type="spellEnd"/>
      <w:r w:rsidRPr="00E97F25">
        <w:rPr>
          <w:iCs/>
          <w:lang w:val="en-US"/>
        </w:rPr>
        <w:t xml:space="preserve"> and </w:t>
      </w:r>
      <w:proofErr w:type="spellStart"/>
      <w:r w:rsidRPr="00E97F25">
        <w:rPr>
          <w:iCs/>
          <w:lang w:val="en-US"/>
        </w:rPr>
        <w:t>hir</w:t>
      </w:r>
      <w:proofErr w:type="spellEnd"/>
      <w:r w:rsidRPr="00E97F25">
        <w:rPr>
          <w:iCs/>
          <w:lang w:val="en-US"/>
        </w:rPr>
        <w:t xml:space="preserve"> </w:t>
      </w:r>
      <w:proofErr w:type="spellStart"/>
      <w:r w:rsidRPr="00E97F25">
        <w:rPr>
          <w:iCs/>
          <w:lang w:val="en-US"/>
        </w:rPr>
        <w:t>crowne</w:t>
      </w:r>
      <w:proofErr w:type="spellEnd"/>
      <w:r w:rsidRPr="00E97F25">
        <w:rPr>
          <w:iCs/>
          <w:lang w:val="en-US"/>
        </w:rPr>
        <w:t xml:space="preserve"> and hire </w:t>
      </w:r>
      <w:proofErr w:type="spellStart"/>
      <w:r w:rsidRPr="00E97F25">
        <w:rPr>
          <w:iCs/>
          <w:lang w:val="en-US"/>
        </w:rPr>
        <w:t>scepture</w:t>
      </w:r>
      <w:proofErr w:type="spellEnd"/>
      <w:r w:rsidRPr="00E97F25">
        <w:rPr>
          <w:iCs/>
          <w:lang w:val="en-US"/>
        </w:rPr>
        <w:t xml:space="preserve"> laying at </w:t>
      </w:r>
      <w:proofErr w:type="spellStart"/>
      <w:r w:rsidRPr="00E97F25">
        <w:rPr>
          <w:iCs/>
          <w:lang w:val="en-US"/>
        </w:rPr>
        <w:t>hir</w:t>
      </w:r>
      <w:proofErr w:type="spellEnd"/>
      <w:r w:rsidRPr="00E97F25">
        <w:rPr>
          <w:iCs/>
          <w:lang w:val="en-US"/>
        </w:rPr>
        <w:t xml:space="preserve"> </w:t>
      </w:r>
      <w:proofErr w:type="spellStart"/>
      <w:r w:rsidRPr="00E97F25">
        <w:rPr>
          <w:iCs/>
          <w:lang w:val="en-US"/>
        </w:rPr>
        <w:t>fite</w:t>
      </w:r>
      <w:proofErr w:type="spellEnd"/>
      <w:r w:rsidRPr="00E97F25">
        <w:rPr>
          <w:iCs/>
          <w:lang w:val="en-US"/>
        </w:rPr>
        <w:t xml:space="preserve"> and </w:t>
      </w:r>
      <w:proofErr w:type="spellStart"/>
      <w:r w:rsidRPr="00E97F25">
        <w:rPr>
          <w:iCs/>
          <w:lang w:val="en-US"/>
        </w:rPr>
        <w:t>haulding</w:t>
      </w:r>
      <w:proofErr w:type="spellEnd"/>
      <w:r w:rsidRPr="00E97F25">
        <w:rPr>
          <w:iCs/>
          <w:lang w:val="en-US"/>
        </w:rPr>
        <w:t xml:space="preserve"> </w:t>
      </w:r>
      <w:proofErr w:type="spellStart"/>
      <w:r w:rsidRPr="00E97F25">
        <w:rPr>
          <w:iCs/>
          <w:lang w:val="en-US"/>
        </w:rPr>
        <w:t>hir</w:t>
      </w:r>
      <w:proofErr w:type="spellEnd"/>
      <w:r w:rsidRPr="00E97F25">
        <w:rPr>
          <w:iCs/>
          <w:lang w:val="en-US"/>
        </w:rPr>
        <w:t xml:space="preserve"> hands to heaven’.</w:t>
      </w:r>
      <w:r w:rsidRPr="00E97F25">
        <w:rPr>
          <w:rStyle w:val="EndnoteReference"/>
          <w:iCs/>
          <w:lang w:val="en-US"/>
        </w:rPr>
        <w:endnoteReference w:id="75"/>
      </w:r>
      <w:r w:rsidRPr="00E97F25">
        <w:rPr>
          <w:iCs/>
          <w:lang w:val="en-US"/>
        </w:rPr>
        <w:t xml:space="preserve"> In other words</w:t>
      </w:r>
      <w:r w:rsidR="00895323" w:rsidRPr="00E97F25">
        <w:rPr>
          <w:iCs/>
          <w:lang w:val="en-US"/>
        </w:rPr>
        <w:t>,</w:t>
      </w:r>
      <w:r w:rsidRPr="00E97F25">
        <w:rPr>
          <w:iCs/>
          <w:lang w:val="en-US"/>
        </w:rPr>
        <w:t xml:space="preserve"> context was very important </w:t>
      </w:r>
      <w:r w:rsidR="00895323" w:rsidRPr="00E97F25">
        <w:rPr>
          <w:iCs/>
          <w:lang w:val="en-US"/>
        </w:rPr>
        <w:t xml:space="preserve">to </w:t>
      </w:r>
      <w:r w:rsidRPr="00E97F25">
        <w:rPr>
          <w:iCs/>
          <w:lang w:val="en-US"/>
        </w:rPr>
        <w:t xml:space="preserve">how the early modern interior and the textiles within it were viewed. Or more specifically, the contexts of reception were highly significant. Mary Queen of Scots had to be very careful about the messages she conveyed, even in a private space such as her bedchamber, while on the </w:t>
      </w:r>
      <w:r w:rsidRPr="00E97F25">
        <w:rPr>
          <w:iCs/>
          <w:lang w:val="en-US"/>
        </w:rPr>
        <w:lastRenderedPageBreak/>
        <w:t xml:space="preserve">other hand this was the very space where she felt she could make such a statement to her servants and to herself. </w:t>
      </w:r>
    </w:p>
    <w:p w14:paraId="5C951E93" w14:textId="77777777" w:rsidR="00F5098E" w:rsidRPr="00E97F25" w:rsidRDefault="00F5098E" w:rsidP="002E77A9">
      <w:pPr>
        <w:spacing w:line="360" w:lineRule="auto"/>
        <w:jc w:val="both"/>
      </w:pPr>
    </w:p>
    <w:p w14:paraId="5FC2D600" w14:textId="77777777" w:rsidR="00F5098E" w:rsidRPr="00E97F25" w:rsidRDefault="005505B1" w:rsidP="002E77A9">
      <w:pPr>
        <w:spacing w:line="360" w:lineRule="auto"/>
        <w:jc w:val="both"/>
        <w:rPr>
          <w:smallCaps/>
          <w:lang w:eastAsia="en-GB"/>
        </w:rPr>
      </w:pPr>
      <w:r w:rsidRPr="00E97F25">
        <w:rPr>
          <w:smallCaps/>
          <w:lang w:eastAsia="en-GB"/>
        </w:rPr>
        <w:t>S</w:t>
      </w:r>
      <w:r w:rsidR="00F5098E" w:rsidRPr="00E97F25">
        <w:rPr>
          <w:smallCaps/>
          <w:lang w:eastAsia="en-GB"/>
        </w:rPr>
        <w:t xml:space="preserve">eeing </w:t>
      </w:r>
      <w:r w:rsidRPr="00E97F25">
        <w:rPr>
          <w:smallCaps/>
          <w:lang w:eastAsia="en-GB"/>
        </w:rPr>
        <w:t xml:space="preserve">as </w:t>
      </w:r>
      <w:r w:rsidR="00215811" w:rsidRPr="00E97F25">
        <w:rPr>
          <w:smallCaps/>
          <w:lang w:eastAsia="en-GB"/>
        </w:rPr>
        <w:t>Social Judgement</w:t>
      </w:r>
    </w:p>
    <w:p w14:paraId="5098ADB8" w14:textId="77777777" w:rsidR="00F5098E" w:rsidRPr="00E97F25" w:rsidRDefault="00F5098E" w:rsidP="002E77A9">
      <w:pPr>
        <w:spacing w:line="360" w:lineRule="auto"/>
        <w:jc w:val="both"/>
        <w:rPr>
          <w:b/>
        </w:rPr>
      </w:pPr>
    </w:p>
    <w:p w14:paraId="0C4D3F05" w14:textId="77777777" w:rsidR="00F5098E" w:rsidRPr="00E97F25" w:rsidRDefault="00F5098E" w:rsidP="002E77A9">
      <w:pPr>
        <w:spacing w:line="360" w:lineRule="auto"/>
        <w:jc w:val="both"/>
      </w:pPr>
      <w:r w:rsidRPr="00E97F25">
        <w:t xml:space="preserve">There </w:t>
      </w:r>
      <w:r w:rsidR="00215811" w:rsidRPr="00E97F25">
        <w:t xml:space="preserve">were </w:t>
      </w:r>
      <w:r w:rsidRPr="00E97F25">
        <w:t xml:space="preserve">other ways of thinking about the word ‘seeing’, in particular seeing as a way of making a judgement or assessment, and this section will consider several of these. First, royal furnishings, especially those associated with the king’s bedchamber, could be claimed as perquisites and the recipients could display them in their own homes as evidence of their proximity to the </w:t>
      </w:r>
      <w:r w:rsidR="00215811" w:rsidRPr="00E97F25">
        <w:t>C</w:t>
      </w:r>
      <w:r w:rsidRPr="00E97F25">
        <w:t>rown. Charles Sackville</w:t>
      </w:r>
      <w:r w:rsidR="00F73FAC" w:rsidRPr="00E97F25">
        <w:t>,</w:t>
      </w:r>
      <w:r w:rsidRPr="00E97F25">
        <w:t xml:space="preserve"> mentioned above</w:t>
      </w:r>
      <w:r w:rsidR="00F73FAC" w:rsidRPr="00E97F25">
        <w:t xml:space="preserve">, </w:t>
      </w:r>
      <w:r w:rsidRPr="00E97F25">
        <w:t>acquired many items including the state bed that was probably made for James, duke of York, as James’</w:t>
      </w:r>
      <w:r w:rsidR="00215811" w:rsidRPr="00E97F25">
        <w:t>s</w:t>
      </w:r>
      <w:r w:rsidRPr="00E97F25">
        <w:t xml:space="preserve"> marriage bed for his wedding to Mary of Modena in 1673. It was a sumptuous piece of furniture that may have been the work of Jean </w:t>
      </w:r>
      <w:proofErr w:type="spellStart"/>
      <w:r w:rsidRPr="00E97F25">
        <w:t>Peyrard</w:t>
      </w:r>
      <w:proofErr w:type="spellEnd"/>
      <w:r w:rsidRPr="00E97F25">
        <w:t>, upholsterer to Louis XIV</w:t>
      </w:r>
      <w:r w:rsidR="00215811" w:rsidRPr="00E97F25">
        <w:t xml:space="preserve"> of France</w:t>
      </w:r>
      <w:r w:rsidRPr="00E97F25">
        <w:t xml:space="preserve">, and </w:t>
      </w:r>
      <w:r w:rsidR="0063427E" w:rsidRPr="00E97F25">
        <w:t xml:space="preserve">symbolised </w:t>
      </w:r>
      <w:r w:rsidRPr="00E97F25">
        <w:t>Sackville</w:t>
      </w:r>
      <w:r w:rsidR="0063427E" w:rsidRPr="00E97F25">
        <w:t xml:space="preserve">’s </w:t>
      </w:r>
      <w:r w:rsidRPr="00E97F25">
        <w:t>reward for loyalty to William</w:t>
      </w:r>
      <w:r w:rsidR="00F73FAC" w:rsidRPr="00E97F25">
        <w:t>,</w:t>
      </w:r>
      <w:r w:rsidRPr="00E97F25">
        <w:t xml:space="preserve"> Mary and the Anglican cause.</w:t>
      </w:r>
      <w:r w:rsidR="00215811" w:rsidRPr="00E97F25">
        <w:rPr>
          <w:rStyle w:val="EndnoteReference"/>
        </w:rPr>
        <w:endnoteReference w:id="76"/>
      </w:r>
      <w:r w:rsidRPr="00E97F25">
        <w:t xml:space="preserve"> </w:t>
      </w:r>
    </w:p>
    <w:p w14:paraId="0A7747C2" w14:textId="34336579" w:rsidR="00F5098E" w:rsidRPr="00E97F25" w:rsidRDefault="00F5098E" w:rsidP="002E77A9">
      <w:pPr>
        <w:spacing w:line="360" w:lineRule="auto"/>
        <w:ind w:firstLine="720"/>
        <w:jc w:val="both"/>
      </w:pPr>
      <w:r w:rsidRPr="00E97F25">
        <w:t xml:space="preserve">Second, </w:t>
      </w:r>
      <w:r w:rsidR="00215811" w:rsidRPr="00E97F25">
        <w:t>the</w:t>
      </w:r>
      <w:r w:rsidR="003C2180">
        <w:t xml:space="preserve"> use of coats of arms, initials</w:t>
      </w:r>
      <w:r w:rsidR="00215811" w:rsidRPr="00E97F25">
        <w:t xml:space="preserve"> and badges on </w:t>
      </w:r>
      <w:r w:rsidRPr="00E97F25">
        <w:t xml:space="preserve">furnishings could be seen as expressions of an individual’s and a family’s identity. All of </w:t>
      </w:r>
      <w:r w:rsidR="00215811" w:rsidRPr="00E97F25">
        <w:t>these formed parts</w:t>
      </w:r>
      <w:r w:rsidRPr="00E97F25">
        <w:t xml:space="preserve"> of a heraldic visual vocabulary </w:t>
      </w:r>
      <w:r w:rsidR="00215811" w:rsidRPr="00E97F25">
        <w:t>that</w:t>
      </w:r>
      <w:r w:rsidRPr="00E97F25">
        <w:t xml:space="preserve"> could be read</w:t>
      </w:r>
      <w:r w:rsidR="00215811" w:rsidRPr="00E97F25">
        <w:t xml:space="preserve"> on varying levels</w:t>
      </w:r>
      <w:r w:rsidRPr="00E97F25">
        <w:t xml:space="preserve"> by those with the appropriate expertise.</w:t>
      </w:r>
      <w:r w:rsidRPr="00E97F25">
        <w:rPr>
          <w:rStyle w:val="EndnoteReference"/>
        </w:rPr>
        <w:endnoteReference w:id="77"/>
      </w:r>
      <w:r w:rsidRPr="00E97F25">
        <w:t xml:space="preserve"> A Tudor rose would have been recognisable at most levels of society, and the liberal use of ES</w:t>
      </w:r>
      <w:r w:rsidR="00265758" w:rsidRPr="00E97F25">
        <w:t>,</w:t>
      </w:r>
      <w:r w:rsidRPr="00E97F25">
        <w:t xml:space="preserve"> </w:t>
      </w:r>
      <w:r w:rsidR="00265758" w:rsidRPr="00E97F25">
        <w:t xml:space="preserve">for Elizabeth of Shrewsbury (better known as Bess of Hardwick), </w:t>
      </w:r>
      <w:r w:rsidRPr="00E97F25">
        <w:t xml:space="preserve">inside and outside Hardwick Hall was a clear statement of ownership, but reading a coat of arms required specific knowledge. For instance, </w:t>
      </w:r>
      <w:r w:rsidR="00CE75C6" w:rsidRPr="00E97F25">
        <w:t xml:space="preserve">not everybody would understand </w:t>
      </w:r>
      <w:r w:rsidRPr="00E97F25">
        <w:t xml:space="preserve">that the crescent moon </w:t>
      </w:r>
      <w:proofErr w:type="spellStart"/>
      <w:r w:rsidRPr="00E97F25">
        <w:t>cadency</w:t>
      </w:r>
      <w:proofErr w:type="spellEnd"/>
      <w:r w:rsidRPr="00E97F25">
        <w:t xml:space="preserve"> mark over the Cavendish arms on a needlework hanging at Hardwick denoted that Henry Cavendish was a younger son, </w:t>
      </w:r>
      <w:r w:rsidR="00CE75C6" w:rsidRPr="00E97F25">
        <w:t>or that</w:t>
      </w:r>
      <w:r w:rsidRPr="00E97F25">
        <w:t xml:space="preserve"> the arms on the silver candle sconces dated 1685 at </w:t>
      </w:r>
      <w:proofErr w:type="spellStart"/>
      <w:r w:rsidRPr="00E97F25">
        <w:t>Knole</w:t>
      </w:r>
      <w:proofErr w:type="spellEnd"/>
      <w:r w:rsidRPr="00E97F25">
        <w:t xml:space="preserve"> refer</w:t>
      </w:r>
      <w:r w:rsidR="00CE75C6" w:rsidRPr="00E97F25">
        <w:t>red</w:t>
      </w:r>
      <w:r w:rsidRPr="00E97F25">
        <w:t xml:space="preserve"> to the </w:t>
      </w:r>
      <w:r w:rsidR="00F73FAC" w:rsidRPr="00E97F25">
        <w:t xml:space="preserve">sixth </w:t>
      </w:r>
      <w:r w:rsidRPr="00E97F25">
        <w:t>earl of Dorset and his second wife, Lady Mary Compton.</w:t>
      </w:r>
      <w:r w:rsidRPr="00E97F25">
        <w:rPr>
          <w:rStyle w:val="EndnoteReference"/>
        </w:rPr>
        <w:endnoteReference w:id="78"/>
      </w:r>
      <w:r w:rsidRPr="00E97F25">
        <w:t xml:space="preserve"> Third, textile furnishings could provide evidence of </w:t>
      </w:r>
      <w:r w:rsidR="00CD1CCC">
        <w:t>the monarch’s</w:t>
      </w:r>
      <w:r w:rsidRPr="00E97F25">
        <w:t xml:space="preserve"> authority over</w:t>
      </w:r>
      <w:r w:rsidR="00CE75C6" w:rsidRPr="00E97F25">
        <w:t xml:space="preserve"> his or her</w:t>
      </w:r>
      <w:r w:rsidRPr="00E97F25">
        <w:t xml:space="preserve"> subjects, as demonstrated by Henry VIII’s seizure of furnishings belonging to Thomas Wolsey, Thomas Cromwell and Edward Stafford, duke of Buckingham.</w:t>
      </w:r>
      <w:r w:rsidRPr="00E97F25">
        <w:rPr>
          <w:rStyle w:val="EndnoteReference"/>
        </w:rPr>
        <w:endnoteReference w:id="79"/>
      </w:r>
      <w:r w:rsidRPr="00E97F25">
        <w:t xml:space="preserve"> Many of these pieces had been personalised with their former owner’s initials and badges and as such they would have been readily identifiable </w:t>
      </w:r>
      <w:r w:rsidR="00CE75C6" w:rsidRPr="00E97F25">
        <w:t>to</w:t>
      </w:r>
      <w:r w:rsidRPr="00E97F25">
        <w:t xml:space="preserve"> those visiting Greenwich, Hampton Court and Whitehall.</w:t>
      </w:r>
      <w:r w:rsidRPr="00E97F25">
        <w:rPr>
          <w:rStyle w:val="EndnoteReference"/>
        </w:rPr>
        <w:endnoteReference w:id="80"/>
      </w:r>
      <w:r w:rsidRPr="00E97F25">
        <w:t xml:space="preserve"> </w:t>
      </w:r>
      <w:r w:rsidR="00F73FAC" w:rsidRPr="00E97F25">
        <w:t xml:space="preserve">Henry VIII had access to craftsmen who could have replaced </w:t>
      </w:r>
      <w:r w:rsidR="00CE75C6" w:rsidRPr="00E97F25">
        <w:t>these</w:t>
      </w:r>
      <w:r w:rsidR="00F73FAC" w:rsidRPr="00E97F25">
        <w:t xml:space="preserve"> arms with his own. By choosing not to, these objects acted as a</w:t>
      </w:r>
      <w:r w:rsidRPr="00E97F25">
        <w:t xml:space="preserve"> reminder to those </w:t>
      </w:r>
      <w:r w:rsidR="00895323" w:rsidRPr="00E97F25">
        <w:t xml:space="preserve">who </w:t>
      </w:r>
      <w:r w:rsidRPr="00E97F25">
        <w:t xml:space="preserve">saw them of what happened </w:t>
      </w:r>
      <w:r w:rsidR="00CE75C6" w:rsidRPr="00E97F25">
        <w:t>to those who</w:t>
      </w:r>
      <w:r w:rsidRPr="00E97F25">
        <w:t xml:space="preserve"> crossed the king. </w:t>
      </w:r>
    </w:p>
    <w:p w14:paraId="1D08A602" w14:textId="32FFD71C" w:rsidR="00F5098E" w:rsidRPr="00E97F25" w:rsidRDefault="00F5098E" w:rsidP="00265758">
      <w:pPr>
        <w:spacing w:line="360" w:lineRule="auto"/>
        <w:ind w:firstLine="720"/>
        <w:jc w:val="both"/>
      </w:pPr>
      <w:r w:rsidRPr="00E97F25">
        <w:t>Fourth, furnishing textiles acted as expressions of status, inherited wealth and disposable income and as such they were assets that could be realised during the owner’s lifetime or at their death. As a result</w:t>
      </w:r>
      <w:r w:rsidR="00964CA2" w:rsidRPr="00E97F25">
        <w:t>,</w:t>
      </w:r>
      <w:r w:rsidRPr="00E97F25">
        <w:t xml:space="preserve"> high quality textiles retained their value and while new items were prized, old pieces were to be found in homes at all levels of society.</w:t>
      </w:r>
      <w:r w:rsidR="002F5F87" w:rsidRPr="00E97F25">
        <w:rPr>
          <w:rStyle w:val="EndnoteReference"/>
        </w:rPr>
        <w:endnoteReference w:id="81"/>
      </w:r>
      <w:r w:rsidRPr="00E97F25">
        <w:t xml:space="preserve"> </w:t>
      </w:r>
      <w:r w:rsidR="00964CA2" w:rsidRPr="00E97F25">
        <w:t>These</w:t>
      </w:r>
      <w:r w:rsidRPr="00E97F25">
        <w:t xml:space="preserve"> included items handed down within a family as </w:t>
      </w:r>
      <w:r w:rsidRPr="00E97F25">
        <w:lastRenderedPageBreak/>
        <w:t xml:space="preserve">well as second-hand pieces. For instance, pieces of tapestry were bought </w:t>
      </w:r>
      <w:r w:rsidR="00964CA2" w:rsidRPr="00E97F25">
        <w:t>on</w:t>
      </w:r>
      <w:r w:rsidRPr="00E97F25">
        <w:t xml:space="preserve"> Cardinal Wolsey</w:t>
      </w:r>
      <w:r w:rsidR="00964CA2" w:rsidRPr="00E97F25">
        <w:t>’s behalf</w:t>
      </w:r>
      <w:r w:rsidRPr="00E97F25">
        <w:t xml:space="preserve"> from probate sales of fellow clerics</w:t>
      </w:r>
      <w:r w:rsidR="00964CA2" w:rsidRPr="00E97F25">
        <w:t>,</w:t>
      </w:r>
      <w:r w:rsidRPr="00E97F25">
        <w:t xml:space="preserve"> including William Smith, bishop of Lincoln, and Cardinal Bainbridge, archbishop of York.</w:t>
      </w:r>
      <w:r w:rsidRPr="00E97F25">
        <w:rPr>
          <w:rStyle w:val="EndnoteReference"/>
        </w:rPr>
        <w:endnoteReference w:id="82"/>
      </w:r>
      <w:r w:rsidRPr="00E97F25">
        <w:t xml:space="preserve"> Bess of Hardwick</w:t>
      </w:r>
      <w:r w:rsidR="00964CA2" w:rsidRPr="00E97F25">
        <w:t xml:space="preserve"> </w:t>
      </w:r>
      <w:r w:rsidRPr="00E97F25">
        <w:t xml:space="preserve">went one step further and </w:t>
      </w:r>
      <w:r w:rsidR="00964CA2" w:rsidRPr="00E97F25">
        <w:t>r</w:t>
      </w:r>
      <w:r w:rsidRPr="00E97F25">
        <w:t xml:space="preserve">ecycled former liturgical textiles bought by her third husband Sir William St </w:t>
      </w:r>
      <w:proofErr w:type="spellStart"/>
      <w:r w:rsidRPr="00E97F25">
        <w:t>Loe</w:t>
      </w:r>
      <w:proofErr w:type="spellEnd"/>
      <w:r w:rsidRPr="00E97F25">
        <w:t xml:space="preserve"> to make </w:t>
      </w:r>
      <w:r w:rsidR="00964CA2" w:rsidRPr="00E97F25">
        <w:t xml:space="preserve">Hardwick Hall’s </w:t>
      </w:r>
      <w:r w:rsidRPr="00E97F25">
        <w:t>first set of appliqué hangings depicting the Virtues.</w:t>
      </w:r>
      <w:r w:rsidRPr="00E97F25">
        <w:rPr>
          <w:rStyle w:val="EndnoteReference"/>
        </w:rPr>
        <w:endnoteReference w:id="83"/>
      </w:r>
      <w:r w:rsidRPr="00E97F25">
        <w:t xml:space="preserve"> </w:t>
      </w:r>
      <w:r w:rsidR="00964CA2" w:rsidRPr="00E97F25">
        <w:t xml:space="preserve">By converting these former liturgical textiles into domestic items she </w:t>
      </w:r>
      <w:r w:rsidRPr="00E97F25">
        <w:t>would have conveyed a complex range of messages</w:t>
      </w:r>
      <w:r w:rsidR="00895323" w:rsidRPr="00E97F25">
        <w:t>,</w:t>
      </w:r>
      <w:r w:rsidRPr="00E97F25">
        <w:t xml:space="preserve"> including her support for the Elizabethan church</w:t>
      </w:r>
      <w:r w:rsidR="00895323" w:rsidRPr="00E97F25">
        <w:t>,</w:t>
      </w:r>
      <w:r w:rsidRPr="00E97F25">
        <w:t xml:space="preserve"> </w:t>
      </w:r>
      <w:r w:rsidR="00964CA2" w:rsidRPr="00E97F25">
        <w:t>her thriftiness</w:t>
      </w:r>
      <w:r w:rsidRPr="00E97F25">
        <w:t xml:space="preserve"> and her knowledge of print sources that depicted women with many of the qualities that Bess</w:t>
      </w:r>
      <w:r w:rsidR="00265758" w:rsidRPr="00E97F25">
        <w:t xml:space="preserve"> sought to </w:t>
      </w:r>
      <w:r w:rsidRPr="00E97F25">
        <w:t>exemplif</w:t>
      </w:r>
      <w:r w:rsidR="00265758" w:rsidRPr="00E97F25">
        <w:t>y</w:t>
      </w:r>
      <w:r w:rsidRPr="00E97F25">
        <w:t>.</w:t>
      </w:r>
    </w:p>
    <w:p w14:paraId="6FD56DF8" w14:textId="735B5CB4" w:rsidR="00423BFC" w:rsidRPr="00E97F25" w:rsidRDefault="00F5098E" w:rsidP="009B780E">
      <w:pPr>
        <w:spacing w:line="360" w:lineRule="auto"/>
        <w:ind w:firstLine="720"/>
        <w:jc w:val="both"/>
        <w:rPr>
          <w:iCs/>
          <w:lang w:val="en-US"/>
        </w:rPr>
      </w:pPr>
      <w:r w:rsidRPr="00E97F25">
        <w:t>Finally, men and women did not necessarily look at</w:t>
      </w:r>
      <w:r w:rsidR="00265758" w:rsidRPr="00E97F25">
        <w:t xml:space="preserve"> </w:t>
      </w:r>
      <w:r w:rsidRPr="00E97F25">
        <w:t xml:space="preserve">domestic textiles </w:t>
      </w:r>
      <w:r w:rsidR="00964CA2" w:rsidRPr="00E97F25">
        <w:t>in the same ways, resulting in gendered</w:t>
      </w:r>
      <w:r w:rsidRPr="00E97F25">
        <w:t xml:space="preserve"> ways of looking. As Susan Frye and others have shown, early modern women demonstrated agency through the textiles that they embroidered for their homes and these textiles conveyed messages to other women and to the men of the household.</w:t>
      </w:r>
      <w:r w:rsidRPr="00E97F25">
        <w:rPr>
          <w:rStyle w:val="EndnoteReference"/>
          <w:iCs/>
          <w:lang w:val="en-US"/>
        </w:rPr>
        <w:endnoteReference w:id="84"/>
      </w:r>
      <w:r w:rsidRPr="00E97F25">
        <w:t xml:space="preserve"> It was not coincidental that one of t</w:t>
      </w:r>
      <w:r w:rsidRPr="00E97F25">
        <w:rPr>
          <w:iCs/>
          <w:lang w:val="en-US"/>
        </w:rPr>
        <w:t>he most popular images</w:t>
      </w:r>
      <w:r w:rsidR="00AF4796" w:rsidRPr="00E97F25">
        <w:rPr>
          <w:iCs/>
          <w:lang w:val="en-US"/>
        </w:rPr>
        <w:t xml:space="preserve"> for seventeenth-</w:t>
      </w:r>
      <w:r w:rsidRPr="00E97F25">
        <w:rPr>
          <w:iCs/>
          <w:lang w:val="en-US"/>
        </w:rPr>
        <w:t>century embroidered pictures was the scene between Esther and Ahasuer</w:t>
      </w:r>
      <w:r w:rsidR="00C819A5" w:rsidRPr="00E97F25">
        <w:rPr>
          <w:iCs/>
          <w:lang w:val="en-US"/>
        </w:rPr>
        <w:t>u</w:t>
      </w:r>
      <w:r w:rsidRPr="00E97F25">
        <w:rPr>
          <w:iCs/>
          <w:lang w:val="en-US"/>
        </w:rPr>
        <w:t>s</w:t>
      </w:r>
      <w:r w:rsidR="00AF4796" w:rsidRPr="00E97F25">
        <w:rPr>
          <w:iCs/>
          <w:lang w:val="en-US"/>
        </w:rPr>
        <w:t>,</w:t>
      </w:r>
      <w:r w:rsidRPr="00E97F25">
        <w:rPr>
          <w:iCs/>
          <w:lang w:val="en-US"/>
        </w:rPr>
        <w:t xml:space="preserve"> in which a wife successfully petitioned her husband.</w:t>
      </w:r>
      <w:r w:rsidRPr="00E97F25">
        <w:rPr>
          <w:rStyle w:val="EndnoteReference"/>
          <w:iCs/>
          <w:lang w:val="en-US"/>
        </w:rPr>
        <w:endnoteReference w:id="85"/>
      </w:r>
      <w:r w:rsidRPr="00E97F25">
        <w:rPr>
          <w:iCs/>
          <w:lang w:val="en-US"/>
        </w:rPr>
        <w:t xml:space="preserve"> </w:t>
      </w:r>
      <w:r w:rsidR="009B780E" w:rsidRPr="00E97F25">
        <w:rPr>
          <w:iCs/>
          <w:lang w:val="en-US"/>
        </w:rPr>
        <w:t xml:space="preserve">However, Esther was also dutiful towards her husband, a quality that </w:t>
      </w:r>
      <w:r w:rsidR="00C819A5" w:rsidRPr="00E97F25">
        <w:rPr>
          <w:iCs/>
          <w:lang w:val="en-US"/>
        </w:rPr>
        <w:t xml:space="preserve">Hannibal </w:t>
      </w:r>
      <w:proofErr w:type="spellStart"/>
      <w:r w:rsidR="00C819A5" w:rsidRPr="00E97F25">
        <w:rPr>
          <w:iCs/>
          <w:lang w:val="en-US"/>
        </w:rPr>
        <w:t>Gamon</w:t>
      </w:r>
      <w:proofErr w:type="spellEnd"/>
      <w:r w:rsidR="00F73FAC" w:rsidRPr="00E97F25">
        <w:rPr>
          <w:iCs/>
          <w:lang w:val="en-US"/>
        </w:rPr>
        <w:t xml:space="preserve"> </w:t>
      </w:r>
      <w:r w:rsidR="009B780E" w:rsidRPr="00E97F25">
        <w:rPr>
          <w:iCs/>
          <w:lang w:val="en-US"/>
        </w:rPr>
        <w:t xml:space="preserve">noted in 1627 when he </w:t>
      </w:r>
      <w:r w:rsidR="00F73FAC" w:rsidRPr="00E97F25">
        <w:rPr>
          <w:iCs/>
          <w:lang w:val="en-US"/>
        </w:rPr>
        <w:t xml:space="preserve">compared Lady </w:t>
      </w:r>
      <w:proofErr w:type="spellStart"/>
      <w:r w:rsidR="00F73FAC" w:rsidRPr="00E97F25">
        <w:rPr>
          <w:iCs/>
          <w:lang w:val="en-US"/>
        </w:rPr>
        <w:t>Robartes</w:t>
      </w:r>
      <w:proofErr w:type="spellEnd"/>
      <w:r w:rsidR="00F73FAC" w:rsidRPr="00E97F25">
        <w:rPr>
          <w:iCs/>
          <w:lang w:val="en-US"/>
        </w:rPr>
        <w:t xml:space="preserve"> with Esther in her </w:t>
      </w:r>
      <w:r w:rsidR="00C819A5" w:rsidRPr="00E97F25">
        <w:rPr>
          <w:iCs/>
          <w:lang w:val="en-US"/>
        </w:rPr>
        <w:t>funeral sermon</w:t>
      </w:r>
      <w:r w:rsidR="009B780E" w:rsidRPr="00E97F25">
        <w:rPr>
          <w:iCs/>
          <w:lang w:val="en-US"/>
        </w:rPr>
        <w:t xml:space="preserve">. He stated that </w:t>
      </w:r>
      <w:r w:rsidR="00C819A5" w:rsidRPr="00E97F25">
        <w:rPr>
          <w:iCs/>
          <w:lang w:val="en-US"/>
        </w:rPr>
        <w:t xml:space="preserve">she ‘did the </w:t>
      </w:r>
      <w:proofErr w:type="spellStart"/>
      <w:r w:rsidR="00C819A5" w:rsidRPr="00E97F25">
        <w:rPr>
          <w:iCs/>
          <w:lang w:val="en-US"/>
        </w:rPr>
        <w:t>Commandement</w:t>
      </w:r>
      <w:proofErr w:type="spellEnd"/>
      <w:r w:rsidR="00C819A5" w:rsidRPr="00E97F25">
        <w:rPr>
          <w:iCs/>
          <w:lang w:val="en-US"/>
        </w:rPr>
        <w:t xml:space="preserve"> of </w:t>
      </w:r>
      <w:proofErr w:type="spellStart"/>
      <w:r w:rsidR="00C819A5" w:rsidRPr="00E97F25">
        <w:rPr>
          <w:iCs/>
          <w:lang w:val="en-US"/>
        </w:rPr>
        <w:t>Mordecay</w:t>
      </w:r>
      <w:proofErr w:type="spellEnd"/>
      <w:r w:rsidR="00C819A5" w:rsidRPr="00E97F25">
        <w:rPr>
          <w:iCs/>
          <w:lang w:val="en-US"/>
        </w:rPr>
        <w:t>’</w:t>
      </w:r>
      <w:r w:rsidR="00C6090B" w:rsidRPr="00E97F25">
        <w:rPr>
          <w:iCs/>
          <w:lang w:val="en-US"/>
        </w:rPr>
        <w:t>, in other words indicating that she was an obedient wife</w:t>
      </w:r>
      <w:r w:rsidR="00C819A5" w:rsidRPr="00E97F25">
        <w:rPr>
          <w:iCs/>
          <w:lang w:val="en-US"/>
        </w:rPr>
        <w:t>.</w:t>
      </w:r>
      <w:r w:rsidR="00C819A5" w:rsidRPr="00E97F25">
        <w:rPr>
          <w:rStyle w:val="EndnoteReference"/>
          <w:iCs/>
          <w:lang w:val="en-US"/>
        </w:rPr>
        <w:endnoteReference w:id="86"/>
      </w:r>
      <w:r w:rsidR="00C819A5" w:rsidRPr="00E97F25">
        <w:rPr>
          <w:iCs/>
          <w:lang w:val="en-US"/>
        </w:rPr>
        <w:t xml:space="preserve"> </w:t>
      </w:r>
      <w:r w:rsidR="00F73FAC" w:rsidRPr="00E97F25">
        <w:rPr>
          <w:iCs/>
          <w:lang w:val="en-US"/>
        </w:rPr>
        <w:t xml:space="preserve">In the same year </w:t>
      </w:r>
      <w:r w:rsidR="00C819A5" w:rsidRPr="00E97F25">
        <w:rPr>
          <w:iCs/>
          <w:lang w:val="en-US"/>
        </w:rPr>
        <w:t xml:space="preserve">Charles I </w:t>
      </w:r>
      <w:r w:rsidR="00F73FAC" w:rsidRPr="00E97F25">
        <w:rPr>
          <w:iCs/>
          <w:lang w:val="en-US"/>
        </w:rPr>
        <w:t xml:space="preserve">bought </w:t>
      </w:r>
      <w:r w:rsidR="00C819A5" w:rsidRPr="00E97F25">
        <w:rPr>
          <w:iCs/>
          <w:lang w:val="en-US"/>
        </w:rPr>
        <w:t xml:space="preserve">Jacopo Tintoretto’s </w:t>
      </w:r>
      <w:r w:rsidR="00C819A5" w:rsidRPr="00E97F25">
        <w:rPr>
          <w:i/>
          <w:iCs/>
          <w:lang w:val="en-US"/>
        </w:rPr>
        <w:t xml:space="preserve">Esther before </w:t>
      </w:r>
      <w:r w:rsidR="00C84072" w:rsidRPr="00E97F25">
        <w:rPr>
          <w:i/>
          <w:iCs/>
          <w:lang w:val="en-US"/>
        </w:rPr>
        <w:t>Ahasuer</w:t>
      </w:r>
      <w:r w:rsidR="00C819A5" w:rsidRPr="00E97F25">
        <w:rPr>
          <w:i/>
          <w:iCs/>
          <w:lang w:val="en-US"/>
        </w:rPr>
        <w:t>u</w:t>
      </w:r>
      <w:r w:rsidR="00C84072" w:rsidRPr="00E97F25">
        <w:rPr>
          <w:i/>
          <w:iCs/>
          <w:lang w:val="en-US"/>
        </w:rPr>
        <w:t xml:space="preserve">s </w:t>
      </w:r>
      <w:r w:rsidR="00A1139E" w:rsidRPr="00E97F25">
        <w:rPr>
          <w:iCs/>
          <w:lang w:val="en-US"/>
        </w:rPr>
        <w:t>(c. 1546</w:t>
      </w:r>
      <w:r w:rsidR="000A0C46" w:rsidRPr="00E97F25">
        <w:rPr>
          <w:iCs/>
          <w:lang w:val="en-US"/>
        </w:rPr>
        <w:t>–15</w:t>
      </w:r>
      <w:r w:rsidR="00A1139E" w:rsidRPr="00E97F25">
        <w:rPr>
          <w:iCs/>
          <w:lang w:val="en-US"/>
        </w:rPr>
        <w:t>47)</w:t>
      </w:r>
      <w:r w:rsidR="000A0C46" w:rsidRPr="00E97F25">
        <w:rPr>
          <w:iCs/>
          <w:lang w:val="en-US"/>
        </w:rPr>
        <w:t>,</w:t>
      </w:r>
      <w:r w:rsidR="001D6DD6" w:rsidRPr="00E97F25">
        <w:rPr>
          <w:iCs/>
          <w:lang w:val="en-US"/>
        </w:rPr>
        <w:t xml:space="preserve"> which may have caused him to </w:t>
      </w:r>
      <w:r w:rsidR="000A0C46" w:rsidRPr="00E97F25">
        <w:rPr>
          <w:iCs/>
          <w:lang w:val="en-US"/>
        </w:rPr>
        <w:t>re</w:t>
      </w:r>
      <w:r w:rsidR="00F73FAC" w:rsidRPr="00E97F25">
        <w:rPr>
          <w:iCs/>
          <w:lang w:val="en-US"/>
        </w:rPr>
        <w:t>consider his own marriage, which at that point was</w:t>
      </w:r>
      <w:r w:rsidR="001D6DD6" w:rsidRPr="00E97F25">
        <w:rPr>
          <w:iCs/>
          <w:lang w:val="en-US"/>
        </w:rPr>
        <w:t xml:space="preserve"> less than ideal</w:t>
      </w:r>
      <w:r w:rsidR="00C819A5" w:rsidRPr="00E97F25">
        <w:rPr>
          <w:iCs/>
          <w:lang w:val="en-US"/>
        </w:rPr>
        <w:t>.</w:t>
      </w:r>
      <w:r w:rsidR="00A1139E" w:rsidRPr="00E97F25">
        <w:rPr>
          <w:rStyle w:val="EndnoteReference"/>
          <w:iCs/>
          <w:lang w:val="en-US"/>
        </w:rPr>
        <w:endnoteReference w:id="87"/>
      </w:r>
      <w:r w:rsidR="00C84072" w:rsidRPr="00E97F25">
        <w:rPr>
          <w:iCs/>
          <w:lang w:val="en-US"/>
        </w:rPr>
        <w:t xml:space="preserve"> </w:t>
      </w:r>
      <w:r w:rsidRPr="00E97F25">
        <w:rPr>
          <w:iCs/>
          <w:lang w:val="en-US"/>
        </w:rPr>
        <w:t>Other popular stories, such as the scene of Bathsheba bathing, provided men with the opportunity for voyeuristic looking at images of a naked or semi-clothed woman</w:t>
      </w:r>
      <w:r w:rsidR="000A0C46" w:rsidRPr="00E97F25">
        <w:rPr>
          <w:iCs/>
          <w:lang w:val="en-US"/>
        </w:rPr>
        <w:t>,</w:t>
      </w:r>
      <w:r w:rsidRPr="00E97F25">
        <w:rPr>
          <w:iCs/>
          <w:lang w:val="en-US"/>
        </w:rPr>
        <w:t xml:space="preserve"> so that a parallel </w:t>
      </w:r>
      <w:r w:rsidR="000A0C46" w:rsidRPr="00E97F25">
        <w:rPr>
          <w:iCs/>
          <w:lang w:val="en-US"/>
        </w:rPr>
        <w:t xml:space="preserve">could be </w:t>
      </w:r>
      <w:r w:rsidRPr="00E97F25">
        <w:rPr>
          <w:iCs/>
          <w:lang w:val="en-US"/>
        </w:rPr>
        <w:t xml:space="preserve">drawn between David’s </w:t>
      </w:r>
      <w:r w:rsidR="000A0C46" w:rsidRPr="00E97F25">
        <w:rPr>
          <w:iCs/>
          <w:lang w:val="en-US"/>
        </w:rPr>
        <w:t>gazing</w:t>
      </w:r>
      <w:r w:rsidRPr="00E97F25">
        <w:rPr>
          <w:iCs/>
          <w:lang w:val="en-US"/>
        </w:rPr>
        <w:t xml:space="preserve"> at Bathsheba and male viewers looking at the embroidery.</w:t>
      </w:r>
      <w:r w:rsidRPr="00E97F25">
        <w:rPr>
          <w:rStyle w:val="EndnoteReference"/>
          <w:iCs/>
          <w:lang w:val="en-US"/>
        </w:rPr>
        <w:endnoteReference w:id="88"/>
      </w:r>
      <w:r w:rsidRPr="00E97F25">
        <w:rPr>
          <w:iCs/>
          <w:lang w:val="en-US"/>
        </w:rPr>
        <w:t xml:space="preserve"> While the nudity might </w:t>
      </w:r>
      <w:r w:rsidR="000A0C46" w:rsidRPr="00E97F25">
        <w:rPr>
          <w:iCs/>
          <w:lang w:val="en-US"/>
        </w:rPr>
        <w:t xml:space="preserve">catch </w:t>
      </w:r>
      <w:r w:rsidRPr="00E97F25">
        <w:rPr>
          <w:iCs/>
          <w:lang w:val="en-US"/>
        </w:rPr>
        <w:t>their attention, they might then be encouraged to consider Bathsheba’s future role as a mother and by extension the role of women within their own families.</w:t>
      </w:r>
      <w:r w:rsidRPr="00E97F25">
        <w:rPr>
          <w:rStyle w:val="EndnoteReference"/>
          <w:iCs/>
          <w:lang w:val="en-US"/>
        </w:rPr>
        <w:endnoteReference w:id="89"/>
      </w:r>
    </w:p>
    <w:p w14:paraId="69E8BBBA" w14:textId="77777777" w:rsidR="00F5098E" w:rsidRPr="00E97F25" w:rsidRDefault="00F5098E" w:rsidP="002E77A9">
      <w:pPr>
        <w:spacing w:line="360" w:lineRule="auto"/>
        <w:ind w:firstLine="720"/>
        <w:jc w:val="both"/>
        <w:rPr>
          <w:iCs/>
          <w:lang w:val="en-US"/>
        </w:rPr>
      </w:pPr>
      <w:r w:rsidRPr="00E97F25">
        <w:rPr>
          <w:iCs/>
          <w:lang w:val="en-US"/>
        </w:rPr>
        <w:t>All of the examples in this section demonstrate that there were multiple ways in which an interested individual might look at textiles within an early modern interior. These fractured ways of looking ma</w:t>
      </w:r>
      <w:r w:rsidR="00423BFC" w:rsidRPr="00E97F25">
        <w:rPr>
          <w:iCs/>
          <w:lang w:val="en-US"/>
        </w:rPr>
        <w:t>de</w:t>
      </w:r>
      <w:r w:rsidRPr="00E97F25">
        <w:rPr>
          <w:iCs/>
          <w:lang w:val="en-US"/>
        </w:rPr>
        <w:t xml:space="preserve"> domestic spaces vibrant, changeable and liable to promote a diverse range of responses dependent on</w:t>
      </w:r>
      <w:r w:rsidR="00423BFC" w:rsidRPr="00E97F25">
        <w:rPr>
          <w:iCs/>
          <w:lang w:val="en-US"/>
        </w:rPr>
        <w:t xml:space="preserve"> factors such as</w:t>
      </w:r>
      <w:r w:rsidRPr="00E97F25">
        <w:rPr>
          <w:iCs/>
          <w:lang w:val="en-US"/>
        </w:rPr>
        <w:t xml:space="preserve"> the individual’s age, gender, status, education and religious inclinations</w:t>
      </w:r>
      <w:r w:rsidR="00423BFC" w:rsidRPr="00E97F25">
        <w:rPr>
          <w:iCs/>
          <w:lang w:val="en-US"/>
        </w:rPr>
        <w:t xml:space="preserve"> –</w:t>
      </w:r>
      <w:r w:rsidRPr="00E97F25">
        <w:rPr>
          <w:iCs/>
          <w:lang w:val="en-US"/>
        </w:rPr>
        <w:t xml:space="preserve"> to name but a few.   </w:t>
      </w:r>
    </w:p>
    <w:p w14:paraId="2076B97F" w14:textId="77777777" w:rsidR="00F5098E" w:rsidRPr="00E97F25" w:rsidRDefault="00F5098E" w:rsidP="002E77A9">
      <w:pPr>
        <w:spacing w:line="360" w:lineRule="auto"/>
        <w:jc w:val="both"/>
      </w:pPr>
    </w:p>
    <w:p w14:paraId="05B6F855" w14:textId="77777777" w:rsidR="00805031" w:rsidRPr="00E97F25" w:rsidRDefault="00805031" w:rsidP="002E77A9">
      <w:pPr>
        <w:spacing w:line="360" w:lineRule="auto"/>
        <w:jc w:val="both"/>
        <w:rPr>
          <w:b/>
        </w:rPr>
      </w:pPr>
      <w:r w:rsidRPr="00E97F25">
        <w:rPr>
          <w:smallCaps/>
          <w:lang w:eastAsia="en-GB"/>
        </w:rPr>
        <w:t>Conclusion</w:t>
      </w:r>
    </w:p>
    <w:p w14:paraId="57619B63" w14:textId="77777777" w:rsidR="00423BFC" w:rsidRPr="00E97F25" w:rsidRDefault="00423BFC" w:rsidP="002E77A9">
      <w:pPr>
        <w:pStyle w:val="EndnoteText"/>
        <w:spacing w:line="360" w:lineRule="auto"/>
        <w:ind w:left="3600"/>
        <w:jc w:val="both"/>
        <w:rPr>
          <w:sz w:val="24"/>
          <w:szCs w:val="24"/>
        </w:rPr>
      </w:pPr>
    </w:p>
    <w:p w14:paraId="5692FBE1" w14:textId="77777777" w:rsidR="000E51C7" w:rsidRPr="00E97F25" w:rsidRDefault="000E51C7" w:rsidP="00B378D4">
      <w:pPr>
        <w:pStyle w:val="EndnoteText"/>
        <w:spacing w:line="360" w:lineRule="auto"/>
        <w:ind w:left="567"/>
        <w:jc w:val="both"/>
      </w:pPr>
      <w:r w:rsidRPr="00E97F25">
        <w:t>Mine eyes</w:t>
      </w:r>
    </w:p>
    <w:p w14:paraId="5FD5DB8D" w14:textId="77777777" w:rsidR="000E51C7" w:rsidRPr="00E97F25" w:rsidRDefault="000E51C7" w:rsidP="00B378D4">
      <w:pPr>
        <w:pStyle w:val="EndnoteText"/>
        <w:spacing w:line="360" w:lineRule="auto"/>
        <w:ind w:left="567"/>
        <w:jc w:val="both"/>
      </w:pPr>
      <w:proofErr w:type="spellStart"/>
      <w:r w:rsidRPr="00E97F25">
        <w:lastRenderedPageBreak/>
        <w:t>Were</w:t>
      </w:r>
      <w:proofErr w:type="spellEnd"/>
      <w:r w:rsidRPr="00E97F25">
        <w:t xml:space="preserve"> not in fault, for she was beautiful:</w:t>
      </w:r>
    </w:p>
    <w:p w14:paraId="2A5490E2" w14:textId="77777777" w:rsidR="000E51C7" w:rsidRPr="00E97F25" w:rsidRDefault="00AF4796" w:rsidP="00B378D4">
      <w:pPr>
        <w:pStyle w:val="EndnoteText"/>
        <w:spacing w:line="360" w:lineRule="auto"/>
        <w:ind w:left="567"/>
        <w:jc w:val="both"/>
      </w:pPr>
      <w:r w:rsidRPr="00E97F25">
        <w:t xml:space="preserve">Mine </w:t>
      </w:r>
      <w:proofErr w:type="gramStart"/>
      <w:r w:rsidRPr="00E97F25">
        <w:t xml:space="preserve">ears, </w:t>
      </w:r>
      <w:r w:rsidR="000E51C7" w:rsidRPr="00E97F25">
        <w:t>that</w:t>
      </w:r>
      <w:proofErr w:type="gramEnd"/>
      <w:r w:rsidR="000E51C7" w:rsidRPr="00E97F25">
        <w:t xml:space="preserve"> heard her flattery, nor my heart</w:t>
      </w:r>
    </w:p>
    <w:p w14:paraId="0946EDB8" w14:textId="7C708A8D" w:rsidR="000E51C7" w:rsidRPr="00E97F25" w:rsidRDefault="000E51C7" w:rsidP="00B378D4">
      <w:pPr>
        <w:pStyle w:val="EndnoteText"/>
        <w:spacing w:line="360" w:lineRule="auto"/>
        <w:ind w:left="567"/>
        <w:jc w:val="both"/>
        <w:rPr>
          <w:sz w:val="24"/>
          <w:szCs w:val="24"/>
        </w:rPr>
      </w:pPr>
      <w:r w:rsidRPr="00E97F25">
        <w:t>That thought her like her seeming</w:t>
      </w:r>
      <w:r w:rsidRPr="00E97F25">
        <w:rPr>
          <w:sz w:val="24"/>
          <w:szCs w:val="24"/>
        </w:rPr>
        <w:t>.</w:t>
      </w:r>
      <w:r w:rsidR="00265758" w:rsidRPr="00E97F25">
        <w:rPr>
          <w:rStyle w:val="EndnoteReference"/>
          <w:sz w:val="24"/>
          <w:szCs w:val="24"/>
        </w:rPr>
        <w:endnoteReference w:id="90"/>
      </w:r>
      <w:r w:rsidRPr="00E97F25">
        <w:rPr>
          <w:sz w:val="24"/>
          <w:szCs w:val="24"/>
        </w:rPr>
        <w:t xml:space="preserve"> </w:t>
      </w:r>
    </w:p>
    <w:p w14:paraId="011A677E" w14:textId="77777777" w:rsidR="00F5098E" w:rsidRPr="00E97F25" w:rsidRDefault="00F5098E" w:rsidP="002E77A9">
      <w:pPr>
        <w:spacing w:line="360" w:lineRule="auto"/>
        <w:ind w:right="720"/>
        <w:jc w:val="both"/>
        <w:rPr>
          <w:iCs/>
          <w:lang w:val="en-US"/>
        </w:rPr>
      </w:pPr>
    </w:p>
    <w:p w14:paraId="6D00F05D" w14:textId="3612D1A4" w:rsidR="00805031" w:rsidRPr="00E97F25" w:rsidRDefault="00805031" w:rsidP="0069377F">
      <w:pPr>
        <w:spacing w:line="360" w:lineRule="auto"/>
        <w:ind w:right="49"/>
        <w:jc w:val="both"/>
      </w:pPr>
      <w:r w:rsidRPr="00E97F25">
        <w:rPr>
          <w:iCs/>
          <w:lang w:val="en-US"/>
        </w:rPr>
        <w:t xml:space="preserve">This paper has played with the different meanings of seeing and looking because sight is more than just the physical act of </w:t>
      </w:r>
      <w:r w:rsidR="005629DB" w:rsidRPr="00E97F25">
        <w:rPr>
          <w:iCs/>
          <w:lang w:val="en-US"/>
        </w:rPr>
        <w:t>looking</w:t>
      </w:r>
      <w:r w:rsidR="00423BFC" w:rsidRPr="00E97F25">
        <w:rPr>
          <w:iCs/>
          <w:lang w:val="en-US"/>
        </w:rPr>
        <w:t xml:space="preserve"> – </w:t>
      </w:r>
      <w:r w:rsidRPr="00E97F25">
        <w:rPr>
          <w:iCs/>
          <w:lang w:val="en-US"/>
        </w:rPr>
        <w:t xml:space="preserve">it </w:t>
      </w:r>
      <w:r w:rsidR="005505B1" w:rsidRPr="00E97F25">
        <w:rPr>
          <w:iCs/>
          <w:lang w:val="en-US"/>
        </w:rPr>
        <w:t>has argued for the significance of</w:t>
      </w:r>
      <w:r w:rsidRPr="00E97F25">
        <w:rPr>
          <w:iCs/>
          <w:lang w:val="en-US"/>
        </w:rPr>
        <w:t xml:space="preserve"> interpretation and appreciation or what might be termed ‘interested looking’ </w:t>
      </w:r>
      <w:r w:rsidR="005505B1" w:rsidRPr="00E97F25">
        <w:rPr>
          <w:iCs/>
          <w:lang w:val="en-US"/>
        </w:rPr>
        <w:t xml:space="preserve">for the way interiors were viewed </w:t>
      </w:r>
      <w:r w:rsidRPr="00E97F25">
        <w:rPr>
          <w:iCs/>
          <w:lang w:val="en-US"/>
        </w:rPr>
        <w:t xml:space="preserve">in the early modern period. </w:t>
      </w:r>
      <w:r w:rsidRPr="00E97F25">
        <w:t>Looking and seeing could be very practical exercise</w:t>
      </w:r>
      <w:r w:rsidR="00895323" w:rsidRPr="00E97F25">
        <w:t>s</w:t>
      </w:r>
      <w:r w:rsidR="00AF4796" w:rsidRPr="00E97F25">
        <w:t>,</w:t>
      </w:r>
      <w:r w:rsidRPr="00E97F25">
        <w:t xml:space="preserve"> as reflected in the function</w:t>
      </w:r>
      <w:r w:rsidR="00895323" w:rsidRPr="00E97F25">
        <w:t>al</w:t>
      </w:r>
      <w:r w:rsidRPr="00E97F25">
        <w:t xml:space="preserve"> descriptions recorded in inventories. Looking and seeing could also be intellectual game</w:t>
      </w:r>
      <w:r w:rsidR="00895323" w:rsidRPr="00E97F25">
        <w:t>s</w:t>
      </w:r>
      <w:r w:rsidRPr="00E97F25">
        <w:t xml:space="preserve"> and </w:t>
      </w:r>
      <w:r w:rsidR="00423BFC" w:rsidRPr="00E97F25">
        <w:t xml:space="preserve">although </w:t>
      </w:r>
      <w:r w:rsidRPr="00E97F25">
        <w:t xml:space="preserve">domestic textiles were intended to be seen and so </w:t>
      </w:r>
      <w:r w:rsidR="00423BFC" w:rsidRPr="00E97F25">
        <w:t xml:space="preserve">had </w:t>
      </w:r>
      <w:r w:rsidRPr="00E97F25">
        <w:t xml:space="preserve">to be pleasing to the eye, some pieces were designed and produced to be looked at and thought about in very specific ways. Seeing and looking </w:t>
      </w:r>
      <w:r w:rsidR="002F5F87" w:rsidRPr="00E97F25">
        <w:t>were</w:t>
      </w:r>
      <w:r w:rsidRPr="00E97F25">
        <w:t xml:space="preserve"> complex </w:t>
      </w:r>
      <w:r w:rsidR="002F5F87" w:rsidRPr="00E97F25">
        <w:t xml:space="preserve">acts </w:t>
      </w:r>
      <w:r w:rsidRPr="00E97F25">
        <w:t>because while individuals could be trained to look</w:t>
      </w:r>
      <w:r w:rsidR="00423BFC" w:rsidRPr="00E97F25">
        <w:t>,</w:t>
      </w:r>
      <w:r w:rsidRPr="00E97F25">
        <w:t xml:space="preserve"> they still might not </w:t>
      </w:r>
      <w:r w:rsidR="00423BFC" w:rsidRPr="00E97F25">
        <w:t xml:space="preserve">all </w:t>
      </w:r>
      <w:r w:rsidRPr="00E97F25">
        <w:t xml:space="preserve">do so in the same way, or their way of looking might be influenced by the particular circumstances under which they viewed the object. </w:t>
      </w:r>
      <w:r w:rsidR="009E62A9" w:rsidRPr="00E97F25">
        <w:t xml:space="preserve">Equally, </w:t>
      </w:r>
      <w:r w:rsidR="00423BFC" w:rsidRPr="00E97F25">
        <w:t xml:space="preserve">as the decorative schemes at </w:t>
      </w:r>
      <w:proofErr w:type="spellStart"/>
      <w:r w:rsidR="00423BFC" w:rsidRPr="00E97F25">
        <w:t>Knole</w:t>
      </w:r>
      <w:proofErr w:type="spellEnd"/>
      <w:r w:rsidR="00423BFC" w:rsidRPr="00E97F25">
        <w:t xml:space="preserve"> and Bolsover demonstrate, </w:t>
      </w:r>
      <w:r w:rsidR="009E62A9" w:rsidRPr="00E97F25">
        <w:t>ideas about sight and the senses changed during this period, from a</w:t>
      </w:r>
      <w:r w:rsidR="000E51C7" w:rsidRPr="00E97F25">
        <w:t xml:space="preserve"> serious moral intention that invite</w:t>
      </w:r>
      <w:r w:rsidR="00423BFC" w:rsidRPr="00E97F25">
        <w:t>d</w:t>
      </w:r>
      <w:r w:rsidR="000E51C7" w:rsidRPr="00E97F25">
        <w:t xml:space="preserve"> introspection</w:t>
      </w:r>
      <w:r w:rsidR="00423BFC" w:rsidRPr="00E97F25">
        <w:t>,</w:t>
      </w:r>
      <w:r w:rsidR="000E51C7" w:rsidRPr="00E97F25">
        <w:t xml:space="preserve"> to something more frivolous and decorative. Both perspectives </w:t>
      </w:r>
      <w:r w:rsidR="009E62A9" w:rsidRPr="00E97F25">
        <w:t>provid</w:t>
      </w:r>
      <w:r w:rsidR="000E51C7" w:rsidRPr="00E97F25">
        <w:t xml:space="preserve">ed </w:t>
      </w:r>
      <w:r w:rsidR="009E62A9" w:rsidRPr="00E97F25">
        <w:t>framework</w:t>
      </w:r>
      <w:r w:rsidR="000E51C7" w:rsidRPr="00E97F25">
        <w:t>s</w:t>
      </w:r>
      <w:r w:rsidR="009E62A9" w:rsidRPr="00E97F25">
        <w:t xml:space="preserve"> for how individuals experienced the world. </w:t>
      </w:r>
      <w:r w:rsidRPr="00E97F25">
        <w:t>This paper has sought to explore some of the different strategies that individuals employed when they looked at early modern interiors</w:t>
      </w:r>
      <w:r w:rsidR="005629DB" w:rsidRPr="00E97F25">
        <w:t xml:space="preserve">. </w:t>
      </w:r>
      <w:r w:rsidR="005505B1" w:rsidRPr="00E97F25">
        <w:t>It has argued that, although t</w:t>
      </w:r>
      <w:r w:rsidR="005629DB" w:rsidRPr="00E97F25">
        <w:t>hese interiors</w:t>
      </w:r>
      <w:r w:rsidRPr="00E97F25">
        <w:t xml:space="preserve"> were rarely experienced </w:t>
      </w:r>
      <w:r w:rsidR="00CD1CCC">
        <w:t>through</w:t>
      </w:r>
      <w:r w:rsidRPr="00E97F25">
        <w:t xml:space="preserve"> sight alon</w:t>
      </w:r>
      <w:r w:rsidR="00B378D4">
        <w:softHyphen/>
      </w:r>
      <w:r w:rsidRPr="00E97F25">
        <w:t>e</w:t>
      </w:r>
      <w:r w:rsidR="005505B1" w:rsidRPr="00E97F25">
        <w:t>,</w:t>
      </w:r>
      <w:r w:rsidRPr="00E97F25">
        <w:t xml:space="preserve"> it was the most important of the senses in terms of how most individuals u</w:t>
      </w:r>
      <w:r w:rsidR="000B51E2" w:rsidRPr="00E97F25">
        <w:t xml:space="preserve">nderstood and interpreted their </w:t>
      </w:r>
      <w:r w:rsidRPr="00E97F25">
        <w:t>own domestic space</w:t>
      </w:r>
      <w:r w:rsidR="00423BFC" w:rsidRPr="00E97F25">
        <w:t>s</w:t>
      </w:r>
      <w:r w:rsidRPr="00E97F25">
        <w:t xml:space="preserve"> and </w:t>
      </w:r>
      <w:r w:rsidR="00423BFC" w:rsidRPr="00E97F25">
        <w:t>those</w:t>
      </w:r>
      <w:r w:rsidRPr="00E97F25">
        <w:t xml:space="preserve"> belonging to others.</w:t>
      </w:r>
    </w:p>
    <w:p w14:paraId="58120457" w14:textId="77777777" w:rsidR="002E77A9" w:rsidRPr="00E97F25" w:rsidRDefault="002E77A9" w:rsidP="0069377F">
      <w:pPr>
        <w:spacing w:line="360" w:lineRule="auto"/>
        <w:ind w:right="49"/>
        <w:jc w:val="both"/>
      </w:pPr>
    </w:p>
    <w:p w14:paraId="463D59D8" w14:textId="77777777" w:rsidR="002E77A9" w:rsidRPr="00E97F25" w:rsidRDefault="002E77A9" w:rsidP="0069377F">
      <w:pPr>
        <w:spacing w:line="360" w:lineRule="auto"/>
        <w:ind w:right="49"/>
        <w:jc w:val="both"/>
        <w:rPr>
          <w:sz w:val="20"/>
          <w:szCs w:val="20"/>
        </w:rPr>
      </w:pPr>
      <w:r w:rsidRPr="00E97F25">
        <w:rPr>
          <w:smallCaps/>
          <w:sz w:val="20"/>
          <w:szCs w:val="20"/>
        </w:rPr>
        <w:t>Acknowledgments</w:t>
      </w:r>
    </w:p>
    <w:p w14:paraId="3AAC7DF3" w14:textId="77777777" w:rsidR="00D86B8C" w:rsidRPr="00E97F25" w:rsidRDefault="00D86B8C" w:rsidP="0069377F">
      <w:pPr>
        <w:pStyle w:val="EndnoteText"/>
        <w:spacing w:line="360" w:lineRule="auto"/>
        <w:ind w:right="49"/>
        <w:jc w:val="both"/>
      </w:pPr>
      <w:r w:rsidRPr="00E97F25">
        <w:t>I would like to thank Catherine</w:t>
      </w:r>
      <w:r w:rsidR="002E77A9" w:rsidRPr="00E97F25">
        <w:t xml:space="preserve"> Richardson</w:t>
      </w:r>
      <w:r w:rsidRPr="00E97F25">
        <w:t xml:space="preserve"> and Tara</w:t>
      </w:r>
      <w:r w:rsidR="002E77A9" w:rsidRPr="00E97F25">
        <w:t xml:space="preserve"> </w:t>
      </w:r>
      <w:proofErr w:type="spellStart"/>
      <w:r w:rsidR="002E77A9" w:rsidRPr="00E97F25">
        <w:t>Hamling</w:t>
      </w:r>
      <w:proofErr w:type="spellEnd"/>
      <w:r w:rsidRPr="00E97F25">
        <w:t xml:space="preserve"> for seeing this article to completion. Their generosity, skill and care have made it a pleasure to work with them. The comments of the two referees were also invaluable and they have played a key</w:t>
      </w:r>
      <w:r w:rsidR="002E77A9" w:rsidRPr="00E97F25">
        <w:t xml:space="preserve"> part in shaping this article.</w:t>
      </w:r>
    </w:p>
    <w:p w14:paraId="06689BE3" w14:textId="77777777" w:rsidR="00D86B8C" w:rsidRPr="00E97F25" w:rsidRDefault="00D86B8C" w:rsidP="0069377F">
      <w:pPr>
        <w:spacing w:line="360" w:lineRule="auto"/>
        <w:ind w:right="49"/>
        <w:jc w:val="both"/>
        <w:rPr>
          <w:iCs/>
        </w:rPr>
      </w:pPr>
    </w:p>
    <w:p w14:paraId="76310750" w14:textId="7F6C6094" w:rsidR="002E77A9" w:rsidRPr="00E97F25" w:rsidRDefault="0069377F" w:rsidP="0069377F">
      <w:pPr>
        <w:spacing w:line="360" w:lineRule="auto"/>
        <w:ind w:right="49"/>
        <w:jc w:val="both"/>
      </w:pPr>
      <w:r w:rsidRPr="0069377F">
        <w:rPr>
          <w:smallCaps/>
        </w:rPr>
        <w:t>Maria Hayward</w:t>
      </w:r>
      <w:r w:rsidRPr="00E97F25">
        <w:rPr>
          <w:lang w:eastAsia="en-GB"/>
        </w:rPr>
        <w:t xml:space="preserve"> </w:t>
      </w:r>
      <w:r w:rsidR="009B780E" w:rsidRPr="00E97F25">
        <w:rPr>
          <w:lang w:eastAsia="en-GB"/>
        </w:rPr>
        <w:t xml:space="preserve">is professor of early modern history at the University of Southampton. She works on textiles and clothing in the Tudor and Stuart periods. </w:t>
      </w:r>
    </w:p>
    <w:p w14:paraId="51F27C93" w14:textId="77777777" w:rsidR="002E77A9" w:rsidRPr="00E97F25" w:rsidRDefault="002E77A9" w:rsidP="0069377F">
      <w:pPr>
        <w:spacing w:line="360" w:lineRule="auto"/>
        <w:ind w:right="49"/>
        <w:jc w:val="both"/>
      </w:pPr>
    </w:p>
    <w:p w14:paraId="5EA1FEA0" w14:textId="77777777" w:rsidR="002E77A9" w:rsidRPr="00E97F25" w:rsidRDefault="002E77A9" w:rsidP="0069377F">
      <w:pPr>
        <w:pStyle w:val="WW-Default"/>
        <w:spacing w:line="360" w:lineRule="auto"/>
        <w:ind w:right="49"/>
        <w:jc w:val="both"/>
        <w:rPr>
          <w:rFonts w:ascii="Times New Roman" w:hAnsi="Times New Roman"/>
          <w:color w:val="auto"/>
        </w:rPr>
      </w:pPr>
      <w:r w:rsidRPr="00E97F25">
        <w:rPr>
          <w:rFonts w:ascii="Times New Roman" w:hAnsi="Times New Roman" w:cs="Times New Roman"/>
          <w:smallCaps/>
          <w:color w:val="auto"/>
          <w:sz w:val="20"/>
          <w:szCs w:val="20"/>
        </w:rPr>
        <w:t>References</w:t>
      </w:r>
    </w:p>
    <w:sectPr w:rsidR="002E77A9" w:rsidRPr="00E97F25" w:rsidSect="00786FAA">
      <w:footerReference w:type="even" r:id="rId7"/>
      <w:footerReference w:type="default" r:id="rId8"/>
      <w:endnotePr>
        <w:numFmt w:val="decimal"/>
      </w:endnotePr>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DA83" w14:textId="77777777" w:rsidR="00103DB6" w:rsidRDefault="00103DB6" w:rsidP="00805031">
      <w:r>
        <w:separator/>
      </w:r>
    </w:p>
  </w:endnote>
  <w:endnote w:type="continuationSeparator" w:id="0">
    <w:p w14:paraId="29165B75" w14:textId="77777777" w:rsidR="00103DB6" w:rsidRDefault="00103DB6" w:rsidP="00805031">
      <w:r>
        <w:continuationSeparator/>
      </w:r>
    </w:p>
  </w:endnote>
  <w:endnote w:id="1">
    <w:p w14:paraId="029105F8" w14:textId="77777777" w:rsidR="00E73328" w:rsidRPr="0069377F" w:rsidRDefault="00E73328" w:rsidP="0069377F">
      <w:pPr>
        <w:pStyle w:val="EndnoteText"/>
        <w:ind w:firstLine="720"/>
        <w:jc w:val="both"/>
      </w:pPr>
      <w:r w:rsidRPr="0069377F">
        <w:rPr>
          <w:rStyle w:val="EndnoteReference"/>
        </w:rPr>
        <w:endnoteRef/>
      </w:r>
      <w:r w:rsidRPr="0069377F">
        <w:t xml:space="preserve"> W. Salmon, </w:t>
      </w:r>
      <w:proofErr w:type="spellStart"/>
      <w:r w:rsidRPr="0069377F">
        <w:rPr>
          <w:i/>
        </w:rPr>
        <w:t>Polygraphice</w:t>
      </w:r>
      <w:proofErr w:type="spellEnd"/>
      <w:r w:rsidRPr="0069377F">
        <w:rPr>
          <w:i/>
        </w:rPr>
        <w:t xml:space="preserve">, or the Arts of Drawing, Engraving, Etching, Limning </w:t>
      </w:r>
      <w:proofErr w:type="spellStart"/>
      <w:r w:rsidRPr="0069377F">
        <w:rPr>
          <w:i/>
        </w:rPr>
        <w:t>etc</w:t>
      </w:r>
      <w:proofErr w:type="spellEnd"/>
      <w:r w:rsidRPr="0069377F">
        <w:t xml:space="preserve"> (London: 1675), book 3, chapter 15.</w:t>
      </w:r>
    </w:p>
  </w:endnote>
  <w:endnote w:id="2">
    <w:p w14:paraId="109EB252" w14:textId="77777777" w:rsidR="00E73328" w:rsidRPr="0069377F" w:rsidRDefault="00E73328" w:rsidP="0069377F">
      <w:pPr>
        <w:pStyle w:val="EndnoteText"/>
        <w:ind w:firstLine="720"/>
        <w:jc w:val="both"/>
      </w:pPr>
      <w:r w:rsidRPr="0069377F">
        <w:rPr>
          <w:rStyle w:val="EndnoteReference"/>
        </w:rPr>
        <w:endnoteRef/>
      </w:r>
      <w:r w:rsidRPr="0069377F">
        <w:t xml:space="preserve"> See also C. </w:t>
      </w:r>
      <w:proofErr w:type="spellStart"/>
      <w:r w:rsidRPr="0069377F">
        <w:t>Woolgar</w:t>
      </w:r>
      <w:proofErr w:type="spellEnd"/>
      <w:r w:rsidRPr="0069377F">
        <w:t xml:space="preserve">, </w:t>
      </w:r>
      <w:r w:rsidRPr="0069377F">
        <w:rPr>
          <w:i/>
        </w:rPr>
        <w:t>The Senses in the Late Medieval World</w:t>
      </w:r>
      <w:r w:rsidRPr="0069377F">
        <w:t xml:space="preserve"> (New Haven and London: Yale University Press, 2006); M. Milner, </w:t>
      </w:r>
      <w:r w:rsidRPr="0069377F">
        <w:rPr>
          <w:i/>
        </w:rPr>
        <w:t>The Senses and the English Reformation</w:t>
      </w:r>
      <w:r w:rsidRPr="0069377F">
        <w:t xml:space="preserve"> (Farnham: </w:t>
      </w:r>
      <w:proofErr w:type="spellStart"/>
      <w:r w:rsidRPr="0069377F">
        <w:t>Ashgate</w:t>
      </w:r>
      <w:proofErr w:type="spellEnd"/>
      <w:r w:rsidRPr="0069377F">
        <w:t xml:space="preserve">, 2011); W. de Boer and C. </w:t>
      </w:r>
      <w:proofErr w:type="spellStart"/>
      <w:r w:rsidRPr="0069377F">
        <w:t>Göttler</w:t>
      </w:r>
      <w:proofErr w:type="spellEnd"/>
      <w:r w:rsidRPr="0069377F">
        <w:t xml:space="preserve"> </w:t>
      </w:r>
      <w:proofErr w:type="spellStart"/>
      <w:r w:rsidRPr="0069377F">
        <w:t>eds</w:t>
      </w:r>
      <w:proofErr w:type="spellEnd"/>
      <w:r w:rsidRPr="0069377F">
        <w:t xml:space="preserve">, </w:t>
      </w:r>
      <w:r w:rsidRPr="0069377F">
        <w:rPr>
          <w:i/>
        </w:rPr>
        <w:t>Religion and the Senses in Early Modern Europe</w:t>
      </w:r>
      <w:r w:rsidRPr="0069377F">
        <w:t xml:space="preserve"> (Leiden and Boston: Brill, 2013) and D. Howes, </w:t>
      </w:r>
      <w:r w:rsidRPr="0069377F">
        <w:rPr>
          <w:i/>
        </w:rPr>
        <w:t>Empire of the Senses: The Sensual Cultural Reader</w:t>
      </w:r>
      <w:r w:rsidRPr="0069377F">
        <w:t xml:space="preserve"> (Oxford and New York: Berg Publishers, 2004).</w:t>
      </w:r>
    </w:p>
  </w:endnote>
  <w:endnote w:id="3">
    <w:p w14:paraId="332BA240" w14:textId="7C50D599" w:rsidR="00E73328" w:rsidRPr="0069377F" w:rsidRDefault="00E73328" w:rsidP="0069377F">
      <w:pPr>
        <w:pStyle w:val="EndnoteText"/>
        <w:ind w:firstLine="720"/>
        <w:jc w:val="both"/>
        <w:rPr>
          <w:color w:val="FF00FF"/>
        </w:rPr>
      </w:pPr>
      <w:r w:rsidRPr="0069377F">
        <w:rPr>
          <w:rStyle w:val="EndnoteReference"/>
        </w:rPr>
        <w:endnoteRef/>
      </w:r>
      <w:r w:rsidRPr="0069377F">
        <w:t xml:space="preserve"> This theme runs through Philip Stubbs’ work </w:t>
      </w:r>
      <w:r w:rsidRPr="0069377F">
        <w:rPr>
          <w:i/>
          <w:iCs/>
        </w:rPr>
        <w:t xml:space="preserve">The </w:t>
      </w:r>
      <w:proofErr w:type="spellStart"/>
      <w:r w:rsidRPr="0069377F">
        <w:rPr>
          <w:i/>
          <w:iCs/>
        </w:rPr>
        <w:t>Anatomie</w:t>
      </w:r>
      <w:proofErr w:type="spellEnd"/>
      <w:r w:rsidRPr="0069377F">
        <w:rPr>
          <w:i/>
          <w:iCs/>
        </w:rPr>
        <w:t xml:space="preserve"> of Abuses</w:t>
      </w:r>
      <w:r w:rsidR="00803C5C" w:rsidRPr="0069377F">
        <w:t xml:space="preserve"> (London:</w:t>
      </w:r>
      <w:r w:rsidRPr="0069377F">
        <w:t xml:space="preserve"> 1581). For an analysis of the Elizabethan sumptuary legislation see</w:t>
      </w:r>
      <w:r w:rsidRPr="0069377F">
        <w:rPr>
          <w:color w:val="FF00FF"/>
        </w:rPr>
        <w:t xml:space="preserve"> </w:t>
      </w:r>
      <w:r w:rsidRPr="0069377F">
        <w:t xml:space="preserve">L. Jardine, </w:t>
      </w:r>
      <w:proofErr w:type="gramStart"/>
      <w:r w:rsidRPr="0069377F">
        <w:t>‘ “</w:t>
      </w:r>
      <w:proofErr w:type="spellStart"/>
      <w:proofErr w:type="gramEnd"/>
      <w:r w:rsidRPr="0069377F">
        <w:t>Maketh</w:t>
      </w:r>
      <w:proofErr w:type="spellEnd"/>
      <w:r w:rsidRPr="0069377F">
        <w:t xml:space="preserve"> thy doublet of changeable taffeta”: dress codes, sumptuary law and “natural orders” ’, in L. Jardine ed., </w:t>
      </w:r>
      <w:r w:rsidRPr="0069377F">
        <w:rPr>
          <w:i/>
        </w:rPr>
        <w:t>Still Harping On: Women and Drama in the Age of Shakespeare</w:t>
      </w:r>
      <w:r w:rsidRPr="0069377F">
        <w:t xml:space="preserve"> (Brighton: Harvester, 1983), pp. 141–68.</w:t>
      </w:r>
    </w:p>
  </w:endnote>
  <w:endnote w:id="4">
    <w:p w14:paraId="2BFC2D0B" w14:textId="4BE38B81" w:rsidR="00E73328" w:rsidRPr="0069377F" w:rsidRDefault="00E73328" w:rsidP="0069377F">
      <w:pPr>
        <w:ind w:firstLine="720"/>
        <w:jc w:val="both"/>
        <w:rPr>
          <w:sz w:val="20"/>
          <w:szCs w:val="20"/>
        </w:rPr>
      </w:pPr>
      <w:r w:rsidRPr="0069377F">
        <w:rPr>
          <w:rStyle w:val="EndnoteReference"/>
          <w:sz w:val="20"/>
          <w:szCs w:val="20"/>
        </w:rPr>
        <w:endnoteRef/>
      </w:r>
      <w:r w:rsidRPr="0069377F">
        <w:rPr>
          <w:sz w:val="20"/>
          <w:szCs w:val="20"/>
        </w:rPr>
        <w:t xml:space="preserve"> H. Gee and W. H. Hardy </w:t>
      </w:r>
      <w:proofErr w:type="spellStart"/>
      <w:proofErr w:type="gramStart"/>
      <w:r w:rsidRPr="0069377F">
        <w:rPr>
          <w:sz w:val="20"/>
          <w:szCs w:val="20"/>
        </w:rPr>
        <w:t>eds</w:t>
      </w:r>
      <w:proofErr w:type="spellEnd"/>
      <w:proofErr w:type="gramEnd"/>
      <w:r w:rsidRPr="0069377F">
        <w:rPr>
          <w:sz w:val="20"/>
          <w:szCs w:val="20"/>
        </w:rPr>
        <w:t xml:space="preserve">, </w:t>
      </w:r>
      <w:r w:rsidRPr="0069377F">
        <w:rPr>
          <w:i/>
          <w:sz w:val="20"/>
          <w:szCs w:val="20"/>
        </w:rPr>
        <w:t>Documents Illustrative of English Church History</w:t>
      </w:r>
      <w:r w:rsidRPr="0069377F">
        <w:rPr>
          <w:sz w:val="20"/>
          <w:szCs w:val="20"/>
        </w:rPr>
        <w:t xml:space="preserve"> (London: Macmillan, 1896), pp. 417</w:t>
      </w:r>
      <w:r w:rsidR="00803C5C" w:rsidRPr="0069377F">
        <w:rPr>
          <w:sz w:val="20"/>
          <w:szCs w:val="20"/>
        </w:rPr>
        <w:t>–</w:t>
      </w:r>
      <w:r w:rsidRPr="0069377F">
        <w:rPr>
          <w:sz w:val="20"/>
          <w:szCs w:val="20"/>
        </w:rPr>
        <w:t xml:space="preserve">42; T. </w:t>
      </w:r>
      <w:proofErr w:type="spellStart"/>
      <w:r w:rsidRPr="0069377F">
        <w:rPr>
          <w:sz w:val="20"/>
          <w:szCs w:val="20"/>
        </w:rPr>
        <w:t>Hamling</w:t>
      </w:r>
      <w:proofErr w:type="spellEnd"/>
      <w:r w:rsidRPr="0069377F">
        <w:rPr>
          <w:sz w:val="20"/>
          <w:szCs w:val="20"/>
        </w:rPr>
        <w:t xml:space="preserve">, </w:t>
      </w:r>
      <w:r w:rsidRPr="0069377F">
        <w:rPr>
          <w:i/>
          <w:sz w:val="20"/>
          <w:szCs w:val="20"/>
        </w:rPr>
        <w:t>Decorating the Godly Household: Religious Art in Post-Reformation Britain</w:t>
      </w:r>
      <w:r w:rsidRPr="0069377F">
        <w:rPr>
          <w:sz w:val="20"/>
          <w:szCs w:val="20"/>
        </w:rPr>
        <w:t xml:space="preserve"> (New Haven and London: Yale University Press, 2010),</w:t>
      </w:r>
      <w:r w:rsidRPr="0069377F">
        <w:rPr>
          <w:color w:val="FF00FF"/>
          <w:sz w:val="20"/>
          <w:szCs w:val="20"/>
        </w:rPr>
        <w:t xml:space="preserve"> </w:t>
      </w:r>
      <w:r w:rsidRPr="0069377F">
        <w:rPr>
          <w:sz w:val="20"/>
          <w:szCs w:val="20"/>
        </w:rPr>
        <w:t>p. 41.</w:t>
      </w:r>
    </w:p>
  </w:endnote>
  <w:endnote w:id="5">
    <w:p w14:paraId="0458D6E4" w14:textId="77777777" w:rsidR="00E73328" w:rsidRPr="0069377F" w:rsidRDefault="00E73328" w:rsidP="0069377F">
      <w:pPr>
        <w:pStyle w:val="EndnoteText"/>
        <w:tabs>
          <w:tab w:val="left" w:pos="2745"/>
        </w:tabs>
        <w:ind w:firstLine="720"/>
        <w:jc w:val="both"/>
      </w:pPr>
      <w:r w:rsidRPr="0069377F">
        <w:rPr>
          <w:rStyle w:val="EndnoteReference"/>
        </w:rPr>
        <w:endnoteRef/>
      </w:r>
      <w:r w:rsidRPr="0069377F">
        <w:t xml:space="preserve"> See also S. Clark, </w:t>
      </w:r>
      <w:r w:rsidRPr="0069377F">
        <w:rPr>
          <w:i/>
        </w:rPr>
        <w:t>Vanities of the Eye: Vision in Early Modern European Culture</w:t>
      </w:r>
      <w:r w:rsidRPr="0069377F">
        <w:t xml:space="preserve"> (Oxford: Oxford University Press, 2009), W. S. </w:t>
      </w:r>
      <w:proofErr w:type="spellStart"/>
      <w:r w:rsidRPr="0069377F">
        <w:t>Melion</w:t>
      </w:r>
      <w:proofErr w:type="spellEnd"/>
      <w:r w:rsidRPr="0069377F">
        <w:t xml:space="preserve"> and L. P. </w:t>
      </w:r>
      <w:proofErr w:type="spellStart"/>
      <w:r w:rsidRPr="0069377F">
        <w:t>Wandel</w:t>
      </w:r>
      <w:proofErr w:type="spellEnd"/>
      <w:r w:rsidRPr="0069377F">
        <w:t xml:space="preserve"> </w:t>
      </w:r>
      <w:proofErr w:type="spellStart"/>
      <w:proofErr w:type="gramStart"/>
      <w:r w:rsidRPr="0069377F">
        <w:t>eds</w:t>
      </w:r>
      <w:proofErr w:type="spellEnd"/>
      <w:proofErr w:type="gramEnd"/>
      <w:r w:rsidRPr="0069377F">
        <w:t xml:space="preserve">, </w:t>
      </w:r>
      <w:r w:rsidRPr="0069377F">
        <w:rPr>
          <w:i/>
        </w:rPr>
        <w:t>Early Modern Eyes</w:t>
      </w:r>
      <w:r w:rsidRPr="0069377F">
        <w:t xml:space="preserve"> (Leiden: Brill Academic Publishers, 2010) and D. Lindberg, </w:t>
      </w:r>
      <w:r w:rsidRPr="0069377F">
        <w:rPr>
          <w:i/>
        </w:rPr>
        <w:t>Theories of Vision</w:t>
      </w:r>
      <w:r w:rsidRPr="0069377F">
        <w:t xml:space="preserve">: </w:t>
      </w:r>
      <w:r w:rsidRPr="0069377F">
        <w:rPr>
          <w:i/>
        </w:rPr>
        <w:t>From Al-</w:t>
      </w:r>
      <w:proofErr w:type="spellStart"/>
      <w:r w:rsidRPr="0069377F">
        <w:rPr>
          <w:i/>
        </w:rPr>
        <w:t>Kindi</w:t>
      </w:r>
      <w:proofErr w:type="spellEnd"/>
      <w:r w:rsidRPr="0069377F">
        <w:t xml:space="preserve"> </w:t>
      </w:r>
      <w:r w:rsidRPr="0069377F">
        <w:rPr>
          <w:i/>
        </w:rPr>
        <w:t>to Kepler</w:t>
      </w:r>
      <w:r w:rsidRPr="0069377F">
        <w:t xml:space="preserve"> (Chicago: University of Chicago Press, 1976).</w:t>
      </w:r>
    </w:p>
  </w:endnote>
  <w:endnote w:id="6">
    <w:p w14:paraId="5F389EC6" w14:textId="77777777" w:rsidR="00E73328" w:rsidRPr="0069377F" w:rsidRDefault="00E73328" w:rsidP="0069377F">
      <w:pPr>
        <w:pStyle w:val="EndnoteText"/>
        <w:ind w:firstLine="720"/>
        <w:jc w:val="both"/>
      </w:pPr>
      <w:r w:rsidRPr="0069377F">
        <w:rPr>
          <w:rStyle w:val="EndnoteReference"/>
        </w:rPr>
        <w:endnoteRef/>
      </w:r>
      <w:r w:rsidRPr="0069377F">
        <w:t xml:space="preserve"> A. </w:t>
      </w:r>
      <w:proofErr w:type="spellStart"/>
      <w:r w:rsidRPr="0069377F">
        <w:t>Morrall</w:t>
      </w:r>
      <w:proofErr w:type="spellEnd"/>
      <w:r w:rsidRPr="0069377F">
        <w:t xml:space="preserve"> and M. Watts </w:t>
      </w:r>
      <w:proofErr w:type="spellStart"/>
      <w:proofErr w:type="gramStart"/>
      <w:r w:rsidRPr="0069377F">
        <w:t>eds</w:t>
      </w:r>
      <w:proofErr w:type="spellEnd"/>
      <w:proofErr w:type="gramEnd"/>
      <w:r w:rsidRPr="0069377F">
        <w:t xml:space="preserve">, </w:t>
      </w:r>
      <w:r w:rsidRPr="0069377F">
        <w:rPr>
          <w:i/>
        </w:rPr>
        <w:t>English Embroidery from the Metropolitan Museum of Art, 1580–1700: ’Twixt Art and Nature</w:t>
      </w:r>
      <w:r w:rsidRPr="0069377F">
        <w:t xml:space="preserve"> (New Haven and London: Yale University Press, 2008), p. 284.</w:t>
      </w:r>
    </w:p>
  </w:endnote>
  <w:endnote w:id="7">
    <w:p w14:paraId="1A3009BE" w14:textId="77777777" w:rsidR="00E73328" w:rsidRPr="0069377F" w:rsidRDefault="00E73328" w:rsidP="0069377F">
      <w:pPr>
        <w:pStyle w:val="EndnoteText"/>
        <w:ind w:firstLine="720"/>
        <w:jc w:val="both"/>
      </w:pPr>
      <w:r w:rsidRPr="0069377F">
        <w:rPr>
          <w:rStyle w:val="EndnoteReference"/>
        </w:rPr>
        <w:endnoteRef/>
      </w:r>
      <w:r w:rsidRPr="0069377F">
        <w:t xml:space="preserve"> J. Locke,</w:t>
      </w:r>
      <w:r w:rsidRPr="0069377F">
        <w:rPr>
          <w:i/>
        </w:rPr>
        <w:t xml:space="preserve"> </w:t>
      </w:r>
      <w:proofErr w:type="gramStart"/>
      <w:r w:rsidRPr="0069377F">
        <w:rPr>
          <w:i/>
        </w:rPr>
        <w:t>An</w:t>
      </w:r>
      <w:proofErr w:type="gramEnd"/>
      <w:r w:rsidRPr="0069377F">
        <w:rPr>
          <w:i/>
        </w:rPr>
        <w:t xml:space="preserve"> Essay concerning Human Understanding</w:t>
      </w:r>
      <w:r w:rsidRPr="0069377F">
        <w:t xml:space="preserve"> (London: 1690).</w:t>
      </w:r>
    </w:p>
  </w:endnote>
  <w:endnote w:id="8">
    <w:p w14:paraId="3FF28282" w14:textId="78C34054" w:rsidR="00E73328" w:rsidRPr="0069377F" w:rsidRDefault="00E73328" w:rsidP="0069377F">
      <w:pPr>
        <w:pStyle w:val="EndnoteText"/>
        <w:ind w:firstLine="720"/>
        <w:jc w:val="both"/>
      </w:pPr>
      <w:r w:rsidRPr="0069377F">
        <w:rPr>
          <w:rStyle w:val="EndnoteReference"/>
        </w:rPr>
        <w:endnoteRef/>
      </w:r>
      <w:r w:rsidRPr="0069377F">
        <w:t xml:space="preserve"> A. Strickland, </w:t>
      </w:r>
      <w:r w:rsidRPr="0069377F">
        <w:rPr>
          <w:i/>
        </w:rPr>
        <w:t>Letters of Mary Queen of Scots and Documents Connected with her Personal History</w:t>
      </w:r>
      <w:r w:rsidRPr="0069377F">
        <w:t xml:space="preserve">, </w:t>
      </w:r>
      <w:proofErr w:type="spellStart"/>
      <w:r w:rsidR="00803C5C" w:rsidRPr="0069377F">
        <w:rPr>
          <w:smallCaps/>
          <w:lang w:eastAsia="en-GB"/>
        </w:rPr>
        <w:t>i</w:t>
      </w:r>
      <w:proofErr w:type="spellEnd"/>
      <w:r w:rsidRPr="0069377F">
        <w:t xml:space="preserve"> (London: H. Colburn, 1842), p. 224.</w:t>
      </w:r>
    </w:p>
  </w:endnote>
  <w:endnote w:id="9">
    <w:p w14:paraId="55858FD0" w14:textId="77777777" w:rsidR="00E73328" w:rsidRPr="0069377F" w:rsidRDefault="00E73328" w:rsidP="0069377F">
      <w:pPr>
        <w:pStyle w:val="EndnoteText"/>
        <w:ind w:firstLine="720"/>
        <w:jc w:val="both"/>
      </w:pPr>
      <w:r w:rsidRPr="0069377F">
        <w:rPr>
          <w:rStyle w:val="EndnoteReference"/>
        </w:rPr>
        <w:endnoteRef/>
      </w:r>
      <w:r w:rsidRPr="0069377F">
        <w:t xml:space="preserve"> J. A. Muller ed., </w:t>
      </w:r>
      <w:proofErr w:type="gramStart"/>
      <w:r w:rsidRPr="0069377F">
        <w:rPr>
          <w:i/>
        </w:rPr>
        <w:t>The</w:t>
      </w:r>
      <w:proofErr w:type="gramEnd"/>
      <w:r w:rsidRPr="0069377F">
        <w:rPr>
          <w:i/>
        </w:rPr>
        <w:t xml:space="preserve"> Letters of Stephen Gardiner</w:t>
      </w:r>
      <w:r w:rsidRPr="0069377F">
        <w:t xml:space="preserve"> (Cambridge: Cambridge University Press, 1970), p. 485.</w:t>
      </w:r>
    </w:p>
  </w:endnote>
  <w:endnote w:id="10">
    <w:p w14:paraId="7FEB0F8D" w14:textId="76DABD34" w:rsidR="00E73328" w:rsidRPr="0069377F" w:rsidRDefault="00E73328" w:rsidP="0069377F">
      <w:pPr>
        <w:pStyle w:val="EndnoteText"/>
        <w:ind w:firstLine="720"/>
        <w:jc w:val="both"/>
      </w:pPr>
      <w:r w:rsidRPr="0069377F">
        <w:rPr>
          <w:rStyle w:val="EndnoteReference"/>
        </w:rPr>
        <w:endnoteRef/>
      </w:r>
      <w:r w:rsidRPr="0069377F">
        <w:t xml:space="preserve"> The 1547 Inventory of Henry VIII, part 2, 1547, Harley MS 1419, ff. 126r, 130r, British Library, London.</w:t>
      </w:r>
    </w:p>
  </w:endnote>
  <w:endnote w:id="11">
    <w:p w14:paraId="77C09120" w14:textId="77777777" w:rsidR="00E73328" w:rsidRPr="0069377F" w:rsidRDefault="00E73328" w:rsidP="0069377F">
      <w:pPr>
        <w:ind w:firstLine="720"/>
        <w:jc w:val="both"/>
        <w:rPr>
          <w:sz w:val="20"/>
          <w:szCs w:val="20"/>
        </w:rPr>
      </w:pPr>
      <w:r w:rsidRPr="0069377F">
        <w:rPr>
          <w:rStyle w:val="EndnoteReference"/>
          <w:sz w:val="20"/>
          <w:szCs w:val="20"/>
        </w:rPr>
        <w:endnoteRef/>
      </w:r>
      <w:r w:rsidRPr="0069377F">
        <w:rPr>
          <w:sz w:val="20"/>
          <w:szCs w:val="20"/>
        </w:rPr>
        <w:t xml:space="preserve"> R. Braithwaite, </w:t>
      </w:r>
      <w:proofErr w:type="spellStart"/>
      <w:r w:rsidRPr="0069377F">
        <w:rPr>
          <w:i/>
          <w:sz w:val="20"/>
          <w:szCs w:val="20"/>
        </w:rPr>
        <w:t>Essaies</w:t>
      </w:r>
      <w:proofErr w:type="spellEnd"/>
      <w:r w:rsidRPr="0069377F">
        <w:rPr>
          <w:i/>
          <w:sz w:val="20"/>
          <w:szCs w:val="20"/>
        </w:rPr>
        <w:t xml:space="preserve"> </w:t>
      </w:r>
      <w:proofErr w:type="spellStart"/>
      <w:r w:rsidRPr="0069377F">
        <w:rPr>
          <w:i/>
          <w:sz w:val="20"/>
          <w:szCs w:val="20"/>
        </w:rPr>
        <w:t>vpon</w:t>
      </w:r>
      <w:proofErr w:type="spellEnd"/>
      <w:r w:rsidRPr="0069377F">
        <w:rPr>
          <w:i/>
          <w:sz w:val="20"/>
          <w:szCs w:val="20"/>
        </w:rPr>
        <w:t xml:space="preserve"> the Five Senses with a </w:t>
      </w:r>
      <w:proofErr w:type="spellStart"/>
      <w:r w:rsidRPr="0069377F">
        <w:rPr>
          <w:i/>
          <w:sz w:val="20"/>
          <w:szCs w:val="20"/>
        </w:rPr>
        <w:t>Pithie</w:t>
      </w:r>
      <w:proofErr w:type="spellEnd"/>
      <w:r w:rsidRPr="0069377F">
        <w:rPr>
          <w:i/>
          <w:sz w:val="20"/>
          <w:szCs w:val="20"/>
        </w:rPr>
        <w:t xml:space="preserve"> One </w:t>
      </w:r>
      <w:proofErr w:type="gramStart"/>
      <w:r w:rsidRPr="0069377F">
        <w:rPr>
          <w:i/>
          <w:sz w:val="20"/>
          <w:szCs w:val="20"/>
        </w:rPr>
        <w:t>Upon</w:t>
      </w:r>
      <w:proofErr w:type="gramEnd"/>
      <w:r w:rsidRPr="0069377F">
        <w:rPr>
          <w:i/>
          <w:sz w:val="20"/>
          <w:szCs w:val="20"/>
        </w:rPr>
        <w:t xml:space="preserve"> Detraction</w:t>
      </w:r>
      <w:r w:rsidRPr="0069377F">
        <w:rPr>
          <w:sz w:val="20"/>
          <w:szCs w:val="20"/>
        </w:rPr>
        <w:t xml:space="preserve"> (London: 1620), p. 57. For a fuller discussion, see </w:t>
      </w:r>
      <w:proofErr w:type="spellStart"/>
      <w:r w:rsidRPr="0069377F">
        <w:rPr>
          <w:sz w:val="20"/>
          <w:szCs w:val="20"/>
        </w:rPr>
        <w:t>Hamling</w:t>
      </w:r>
      <w:proofErr w:type="spellEnd"/>
      <w:r w:rsidRPr="0069377F">
        <w:rPr>
          <w:sz w:val="20"/>
          <w:szCs w:val="20"/>
        </w:rPr>
        <w:t xml:space="preserve">, </w:t>
      </w:r>
      <w:r w:rsidRPr="0069377F">
        <w:rPr>
          <w:i/>
          <w:sz w:val="20"/>
          <w:szCs w:val="20"/>
        </w:rPr>
        <w:t>Decorating the Godly Household</w:t>
      </w:r>
      <w:r w:rsidRPr="0069377F">
        <w:rPr>
          <w:sz w:val="20"/>
          <w:szCs w:val="20"/>
        </w:rPr>
        <w:t>, pp. 264–66.</w:t>
      </w:r>
    </w:p>
  </w:endnote>
  <w:endnote w:id="12">
    <w:p w14:paraId="318C7109" w14:textId="77777777" w:rsidR="00E73328" w:rsidRPr="0069377F" w:rsidRDefault="00E73328" w:rsidP="0069377F">
      <w:pPr>
        <w:pStyle w:val="EndnoteText"/>
        <w:ind w:firstLine="720"/>
        <w:jc w:val="both"/>
      </w:pPr>
      <w:r w:rsidRPr="0069377F">
        <w:rPr>
          <w:rStyle w:val="EndnoteReference"/>
        </w:rPr>
        <w:endnoteRef/>
      </w:r>
      <w:r w:rsidRPr="0069377F">
        <w:t xml:space="preserve"> R. Braithwaite,</w:t>
      </w:r>
      <w:r w:rsidRPr="0069377F">
        <w:rPr>
          <w:i/>
        </w:rPr>
        <w:t xml:space="preserve"> </w:t>
      </w:r>
      <w:proofErr w:type="gramStart"/>
      <w:r w:rsidRPr="0069377F">
        <w:rPr>
          <w:i/>
        </w:rPr>
        <w:t>The</w:t>
      </w:r>
      <w:proofErr w:type="gramEnd"/>
      <w:r w:rsidRPr="0069377F">
        <w:rPr>
          <w:i/>
        </w:rPr>
        <w:t xml:space="preserve"> Heavenly Exercise of the Five Senses</w:t>
      </w:r>
      <w:r w:rsidRPr="0069377F">
        <w:t xml:space="preserve"> (London: 1635).</w:t>
      </w:r>
    </w:p>
  </w:endnote>
  <w:endnote w:id="13">
    <w:p w14:paraId="73D93C36" w14:textId="1CE8D834" w:rsidR="00E73328" w:rsidRPr="0069377F" w:rsidRDefault="00E73328" w:rsidP="0069377F">
      <w:pPr>
        <w:pStyle w:val="EndnoteText"/>
        <w:ind w:firstLine="720"/>
        <w:jc w:val="both"/>
      </w:pPr>
      <w:r w:rsidRPr="0069377F">
        <w:rPr>
          <w:rStyle w:val="EndnoteReference"/>
        </w:rPr>
        <w:endnoteRef/>
      </w:r>
      <w:r w:rsidRPr="0069377F">
        <w:t xml:space="preserve"> C. </w:t>
      </w:r>
      <w:proofErr w:type="spellStart"/>
      <w:r w:rsidRPr="0069377F">
        <w:t>Nordenfalk</w:t>
      </w:r>
      <w:proofErr w:type="spellEnd"/>
      <w:r w:rsidRPr="0069377F">
        <w:t>, ‘</w:t>
      </w:r>
      <w:proofErr w:type="gramStart"/>
      <w:r w:rsidRPr="0069377F">
        <w:t>The</w:t>
      </w:r>
      <w:proofErr w:type="gramEnd"/>
      <w:r w:rsidRPr="0069377F">
        <w:t xml:space="preserve"> five senses in late medieval and Renaissance art’, </w:t>
      </w:r>
      <w:r w:rsidRPr="0069377F">
        <w:rPr>
          <w:i/>
        </w:rPr>
        <w:t xml:space="preserve">Journal of the Warburg and </w:t>
      </w:r>
      <w:proofErr w:type="spellStart"/>
      <w:r w:rsidRPr="0069377F">
        <w:rPr>
          <w:i/>
        </w:rPr>
        <w:t>Courtauld</w:t>
      </w:r>
      <w:proofErr w:type="spellEnd"/>
      <w:r w:rsidRPr="0069377F">
        <w:rPr>
          <w:i/>
        </w:rPr>
        <w:t xml:space="preserve"> Institutes</w:t>
      </w:r>
      <w:r w:rsidRPr="0069377F">
        <w:t xml:space="preserve">, </w:t>
      </w:r>
      <w:r w:rsidR="0037286F" w:rsidRPr="0069377F">
        <w:rPr>
          <w:smallCaps/>
          <w:lang w:eastAsia="en-GB"/>
        </w:rPr>
        <w:t>xlviii</w:t>
      </w:r>
      <w:r w:rsidRPr="0069377F">
        <w:t xml:space="preserve"> (1985), pp. 1–22. </w:t>
      </w:r>
      <w:r w:rsidRPr="0069377F">
        <w:rPr>
          <w:rStyle w:val="list0020paragraphchar1"/>
          <w:rFonts w:ascii="Times New Roman" w:hAnsi="Times New Roman" w:cs="Times New Roman"/>
          <w:sz w:val="20"/>
          <w:szCs w:val="20"/>
        </w:rPr>
        <w:t xml:space="preserve">Within the </w:t>
      </w:r>
      <w:proofErr w:type="spellStart"/>
      <w:r w:rsidRPr="0069377F">
        <w:rPr>
          <w:rStyle w:val="list0020paragraphchar1"/>
          <w:rFonts w:ascii="Times New Roman" w:hAnsi="Times New Roman" w:cs="Times New Roman"/>
          <w:sz w:val="20"/>
          <w:szCs w:val="20"/>
        </w:rPr>
        <w:t>Plinian</w:t>
      </w:r>
      <w:proofErr w:type="spellEnd"/>
      <w:r w:rsidRPr="0069377F">
        <w:rPr>
          <w:rStyle w:val="list0020paragraphchar1"/>
          <w:rFonts w:ascii="Times New Roman" w:hAnsi="Times New Roman" w:cs="Times New Roman"/>
          <w:sz w:val="20"/>
          <w:szCs w:val="20"/>
        </w:rPr>
        <w:t xml:space="preserve"> tradition, animals and birds symbolised the senses, with the sharp-sighted eagle being associated with vision.</w:t>
      </w:r>
      <w:r w:rsidRPr="0069377F">
        <w:t xml:space="preserve"> Clark, </w:t>
      </w:r>
      <w:r w:rsidRPr="0069377F">
        <w:rPr>
          <w:i/>
        </w:rPr>
        <w:t>Vanities of the Eye</w:t>
      </w:r>
      <w:r w:rsidRPr="0069377F">
        <w:t>, p. 13.</w:t>
      </w:r>
    </w:p>
  </w:endnote>
  <w:endnote w:id="14">
    <w:p w14:paraId="6FE7CA91" w14:textId="77777777" w:rsidR="00E73328" w:rsidRPr="0069377F" w:rsidRDefault="00E73328" w:rsidP="0069377F">
      <w:pPr>
        <w:pStyle w:val="EndnoteText"/>
        <w:ind w:firstLine="720"/>
        <w:jc w:val="both"/>
      </w:pPr>
      <w:r w:rsidRPr="0069377F">
        <w:rPr>
          <w:rStyle w:val="EndnoteReference"/>
        </w:rPr>
        <w:endnoteRef/>
      </w:r>
      <w:r w:rsidRPr="0069377F">
        <w:t xml:space="preserve"> Clark, </w:t>
      </w:r>
      <w:r w:rsidRPr="0069377F">
        <w:rPr>
          <w:i/>
        </w:rPr>
        <w:t>Vanities of the Eye</w:t>
      </w:r>
      <w:r w:rsidRPr="0069377F">
        <w:t>, p. 13.</w:t>
      </w:r>
    </w:p>
  </w:endnote>
  <w:endnote w:id="15">
    <w:p w14:paraId="2A530CB2" w14:textId="3DFD6C28" w:rsidR="00E73328" w:rsidRPr="0069377F" w:rsidRDefault="00E73328" w:rsidP="0069377F">
      <w:pPr>
        <w:pStyle w:val="EndnoteText"/>
        <w:ind w:firstLine="720"/>
        <w:jc w:val="both"/>
      </w:pPr>
      <w:r w:rsidRPr="0069377F">
        <w:rPr>
          <w:rStyle w:val="EndnoteReference"/>
        </w:rPr>
        <w:endnoteRef/>
      </w:r>
      <w:r w:rsidRPr="0069377F">
        <w:t xml:space="preserve"> For the link between mirrors and pride see W. Caxton, </w:t>
      </w:r>
      <w:r w:rsidRPr="0069377F">
        <w:rPr>
          <w:i/>
        </w:rPr>
        <w:t>Book of the Knight of the Tower</w:t>
      </w:r>
      <w:r w:rsidRPr="0069377F">
        <w:t xml:space="preserve"> (London: 1484); M. Offord ed., </w:t>
      </w:r>
      <w:r w:rsidRPr="0069377F">
        <w:rPr>
          <w:i/>
        </w:rPr>
        <w:t>Book of the Knight of the Tower</w:t>
      </w:r>
      <w:r w:rsidRPr="0069377F">
        <w:t xml:space="preserve">, Early English Text Society, supplementary series, no. 2 (1971). For mirrors and vanity see the figure of Vanity, represented by a young woman admiring her reflection in a hand mirror in Jean </w:t>
      </w:r>
      <w:proofErr w:type="spellStart"/>
      <w:r w:rsidRPr="0069377F">
        <w:t>Bondol</w:t>
      </w:r>
      <w:proofErr w:type="spellEnd"/>
      <w:r w:rsidRPr="0069377F">
        <w:t xml:space="preserve"> and Nicholas </w:t>
      </w:r>
      <w:proofErr w:type="spellStart"/>
      <w:r w:rsidRPr="0069377F">
        <w:t>Bataille</w:t>
      </w:r>
      <w:proofErr w:type="spellEnd"/>
      <w:r w:rsidRPr="0069377F">
        <w:t xml:space="preserve">, </w:t>
      </w:r>
      <w:r w:rsidRPr="0069377F">
        <w:rPr>
          <w:i/>
        </w:rPr>
        <w:t>Apocalypse Tapestry</w:t>
      </w:r>
      <w:r w:rsidRPr="0069377F">
        <w:t>, 1377–1382, 24 x 6.1 m</w:t>
      </w:r>
      <w:r w:rsidRPr="0069377F">
        <w:rPr>
          <w:color w:val="FF0000"/>
        </w:rPr>
        <w:t xml:space="preserve">, </w:t>
      </w:r>
      <w:proofErr w:type="spellStart"/>
      <w:r w:rsidRPr="0069377F">
        <w:t>Musée</w:t>
      </w:r>
      <w:proofErr w:type="spellEnd"/>
      <w:r w:rsidRPr="0069377F">
        <w:t xml:space="preserve"> de la </w:t>
      </w:r>
      <w:proofErr w:type="spellStart"/>
      <w:r w:rsidRPr="0069377F">
        <w:t>Tapisserie</w:t>
      </w:r>
      <w:proofErr w:type="spellEnd"/>
      <w:r w:rsidRPr="0069377F">
        <w:t xml:space="preserve">, Château </w:t>
      </w:r>
      <w:proofErr w:type="spellStart"/>
      <w:r w:rsidRPr="0069377F">
        <w:t>d’Angers</w:t>
      </w:r>
      <w:proofErr w:type="spellEnd"/>
      <w:r w:rsidRPr="0069377F">
        <w:t xml:space="preserve">, Angers, France. </w:t>
      </w:r>
    </w:p>
  </w:endnote>
  <w:endnote w:id="16">
    <w:p w14:paraId="4F1AD16B" w14:textId="4D3F8A91" w:rsidR="00E73328" w:rsidRPr="0069377F" w:rsidRDefault="00E73328" w:rsidP="0069377F">
      <w:pPr>
        <w:pStyle w:val="EndnoteText"/>
        <w:ind w:firstLine="720"/>
        <w:jc w:val="both"/>
      </w:pPr>
      <w:r w:rsidRPr="0069377F">
        <w:rPr>
          <w:rStyle w:val="EndnoteReference"/>
        </w:rPr>
        <w:endnoteRef/>
      </w:r>
      <w:r w:rsidRPr="0069377F">
        <w:t xml:space="preserve"> The </w:t>
      </w:r>
      <w:proofErr w:type="spellStart"/>
      <w:r w:rsidRPr="0069377F">
        <w:t>Mirroure</w:t>
      </w:r>
      <w:proofErr w:type="spellEnd"/>
      <w:r w:rsidRPr="0069377F">
        <w:t xml:space="preserve"> of the </w:t>
      </w:r>
      <w:proofErr w:type="spellStart"/>
      <w:r w:rsidRPr="0069377F">
        <w:t>Worlde</w:t>
      </w:r>
      <w:proofErr w:type="spellEnd"/>
      <w:r w:rsidRPr="0069377F">
        <w:t>, 1476, MS 283, f. 67v, Bodleian Library, University of Oxford, Oxford.</w:t>
      </w:r>
    </w:p>
  </w:endnote>
  <w:endnote w:id="17">
    <w:p w14:paraId="52E0DE05" w14:textId="1D4BF402" w:rsidR="00E73328" w:rsidRPr="0069377F" w:rsidRDefault="00E73328" w:rsidP="0069377F">
      <w:pPr>
        <w:pStyle w:val="EndnoteText"/>
        <w:ind w:firstLine="720"/>
        <w:jc w:val="both"/>
      </w:pPr>
      <w:r w:rsidRPr="0069377F">
        <w:rPr>
          <w:rStyle w:val="EndnoteReference"/>
        </w:rPr>
        <w:endnoteRef/>
      </w:r>
      <w:r w:rsidRPr="0069377F">
        <w:t xml:space="preserve"> After George Glover, </w:t>
      </w:r>
      <w:proofErr w:type="spellStart"/>
      <w:r w:rsidRPr="0069377F">
        <w:rPr>
          <w:i/>
        </w:rPr>
        <w:t>Visus</w:t>
      </w:r>
      <w:proofErr w:type="spellEnd"/>
      <w:r w:rsidRPr="0069377F">
        <w:t xml:space="preserve">, from </w:t>
      </w:r>
      <w:r w:rsidRPr="0069377F">
        <w:rPr>
          <w:i/>
        </w:rPr>
        <w:t>The Five Senses</w:t>
      </w:r>
      <w:r w:rsidRPr="0069377F">
        <w:t>, print on paper, published in London by William Peake, 1640s,</w:t>
      </w:r>
      <w:r w:rsidRPr="0069377F">
        <w:rPr>
          <w:color w:val="FF0000"/>
        </w:rPr>
        <w:t xml:space="preserve"> </w:t>
      </w:r>
      <w:r w:rsidRPr="0069377F">
        <w:t>acc. no. 1847</w:t>
      </w:r>
      <w:proofErr w:type="gramStart"/>
      <w:r w:rsidRPr="0069377F">
        <w:t>,0723.3</w:t>
      </w:r>
      <w:proofErr w:type="gramEnd"/>
      <w:r w:rsidRPr="0069377F">
        <w:t xml:space="preserve">, British Museum, London. </w:t>
      </w:r>
    </w:p>
  </w:endnote>
  <w:endnote w:id="18">
    <w:p w14:paraId="17B25217" w14:textId="77777777" w:rsidR="00E73328" w:rsidRPr="0069377F" w:rsidRDefault="00E73328" w:rsidP="0069377F">
      <w:pPr>
        <w:pStyle w:val="EndnoteText"/>
        <w:ind w:firstLine="720"/>
        <w:jc w:val="both"/>
      </w:pPr>
      <w:r w:rsidRPr="0069377F">
        <w:rPr>
          <w:rStyle w:val="EndnoteReference"/>
        </w:rPr>
        <w:endnoteRef/>
      </w:r>
      <w:r w:rsidRPr="0069377F">
        <w:t xml:space="preserve"> A. Hollander, </w:t>
      </w:r>
      <w:r w:rsidRPr="0069377F">
        <w:rPr>
          <w:i/>
          <w:iCs/>
        </w:rPr>
        <w:t>Seeing through Clothes</w:t>
      </w:r>
      <w:r w:rsidRPr="0069377F">
        <w:t xml:space="preserve"> (Berkeley, Los Angeles and London: University of California Press, 1993), p. 396.</w:t>
      </w:r>
    </w:p>
  </w:endnote>
  <w:endnote w:id="19">
    <w:p w14:paraId="2F0401E4" w14:textId="77777777" w:rsidR="00E73328" w:rsidRPr="0069377F" w:rsidRDefault="00E73328" w:rsidP="0069377F">
      <w:pPr>
        <w:pStyle w:val="EndnoteText"/>
        <w:ind w:firstLine="720"/>
        <w:jc w:val="both"/>
      </w:pPr>
      <w:r w:rsidRPr="0069377F">
        <w:rPr>
          <w:rStyle w:val="EndnoteReference"/>
        </w:rPr>
        <w:endnoteRef/>
      </w:r>
      <w:r w:rsidRPr="0069377F">
        <w:t xml:space="preserve"> A. Wells-Cole, </w:t>
      </w:r>
      <w:r w:rsidRPr="0069377F">
        <w:rPr>
          <w:i/>
        </w:rPr>
        <w:t>Art and Decoration in Elizabethan and Jacobean England: The Influence of Continental Prints</w:t>
      </w:r>
      <w:r w:rsidRPr="0069377F">
        <w:t xml:space="preserve"> (New Haven and London: Yale University Press, 1997), pp. 101–2.</w:t>
      </w:r>
    </w:p>
  </w:endnote>
  <w:endnote w:id="20">
    <w:p w14:paraId="47C950E2" w14:textId="10A178C7" w:rsidR="00E73328" w:rsidRPr="0069377F" w:rsidRDefault="00E73328" w:rsidP="0069377F">
      <w:pPr>
        <w:pStyle w:val="EndnoteText"/>
        <w:ind w:firstLine="720"/>
        <w:jc w:val="both"/>
        <w:rPr>
          <w:color w:val="FF00FF"/>
        </w:rPr>
      </w:pPr>
      <w:r w:rsidRPr="0069377F">
        <w:rPr>
          <w:rStyle w:val="EndnoteReference"/>
        </w:rPr>
        <w:endnoteRef/>
      </w:r>
      <w:r w:rsidRPr="0069377F">
        <w:t xml:space="preserve"> Jan Brueghel the Elder and Peter Paul Rubens, </w:t>
      </w:r>
      <w:r w:rsidRPr="0069377F">
        <w:rPr>
          <w:i/>
        </w:rPr>
        <w:t>The Sense of Sight</w:t>
      </w:r>
      <w:r w:rsidRPr="0069377F">
        <w:t xml:space="preserve">, 1617, oil on panel, 65 x 110 cm, </w:t>
      </w:r>
      <w:proofErr w:type="spellStart"/>
      <w:r w:rsidRPr="0069377F">
        <w:t>Museo</w:t>
      </w:r>
      <w:proofErr w:type="spellEnd"/>
      <w:r w:rsidRPr="0069377F">
        <w:t xml:space="preserve"> el Prado, Madrid, PO 1394.</w:t>
      </w:r>
    </w:p>
  </w:endnote>
  <w:endnote w:id="21">
    <w:p w14:paraId="1130CBC4" w14:textId="77777777" w:rsidR="00E73328" w:rsidRPr="0069377F" w:rsidRDefault="00E73328" w:rsidP="0069377F">
      <w:pPr>
        <w:pStyle w:val="EndnoteText"/>
        <w:ind w:firstLine="720"/>
        <w:jc w:val="both"/>
        <w:rPr>
          <w:color w:val="FF00FF"/>
        </w:rPr>
      </w:pPr>
      <w:r w:rsidRPr="0069377F">
        <w:rPr>
          <w:rStyle w:val="EndnoteReference"/>
        </w:rPr>
        <w:endnoteRef/>
      </w:r>
      <w:r w:rsidRPr="0069377F">
        <w:t xml:space="preserve"> </w:t>
      </w:r>
      <w:proofErr w:type="spellStart"/>
      <w:r w:rsidRPr="0069377F">
        <w:t>Cornelis</w:t>
      </w:r>
      <w:proofErr w:type="spellEnd"/>
      <w:r w:rsidRPr="0069377F">
        <w:t xml:space="preserve"> </w:t>
      </w:r>
      <w:proofErr w:type="spellStart"/>
      <w:r w:rsidRPr="0069377F">
        <w:t>Cort</w:t>
      </w:r>
      <w:proofErr w:type="spellEnd"/>
      <w:r w:rsidRPr="0069377F">
        <w:t xml:space="preserve">, </w:t>
      </w:r>
      <w:r w:rsidRPr="0069377F">
        <w:rPr>
          <w:i/>
        </w:rPr>
        <w:t xml:space="preserve">Sight </w:t>
      </w:r>
      <w:r w:rsidRPr="0069377F">
        <w:t xml:space="preserve">from </w:t>
      </w:r>
      <w:r w:rsidRPr="0069377F">
        <w:rPr>
          <w:i/>
        </w:rPr>
        <w:t>The Senses</w:t>
      </w:r>
      <w:r w:rsidRPr="0069377F">
        <w:t xml:space="preserve">, after </w:t>
      </w:r>
      <w:proofErr w:type="spellStart"/>
      <w:r w:rsidRPr="0069377F">
        <w:t>Frans</w:t>
      </w:r>
      <w:proofErr w:type="spellEnd"/>
      <w:r w:rsidRPr="0069377F">
        <w:t xml:space="preserve"> Floris, published by Hieronymus Cock, 1561, engraving, acc. no. 28.4(58), Harris Brisbane Dick Fund, 1928, The Metropolitan Museum of Art, New York.</w:t>
      </w:r>
    </w:p>
  </w:endnote>
  <w:endnote w:id="22">
    <w:p w14:paraId="1805D3A1" w14:textId="0AB85687" w:rsidR="00E73328" w:rsidRPr="0069377F" w:rsidRDefault="00E73328" w:rsidP="0069377F">
      <w:pPr>
        <w:pStyle w:val="EndnoteText"/>
        <w:ind w:firstLine="720"/>
        <w:jc w:val="both"/>
      </w:pPr>
      <w:r w:rsidRPr="0069377F">
        <w:rPr>
          <w:rStyle w:val="EndnoteReference"/>
        </w:rPr>
        <w:endnoteRef/>
      </w:r>
      <w:r w:rsidRPr="0069377F">
        <w:t xml:space="preserve"> M. Jones, </w:t>
      </w:r>
      <w:proofErr w:type="gramStart"/>
      <w:r w:rsidRPr="0069377F">
        <w:rPr>
          <w:i/>
        </w:rPr>
        <w:t>The</w:t>
      </w:r>
      <w:proofErr w:type="gramEnd"/>
      <w:r w:rsidRPr="0069377F">
        <w:rPr>
          <w:i/>
        </w:rPr>
        <w:t xml:space="preserve"> Print in Early Modern England: An Historical Oversight</w:t>
      </w:r>
      <w:r w:rsidRPr="0069377F">
        <w:t xml:space="preserve"> (New Haven and London: Yale University Press, 2010), p. 16. Wells-Cole, </w:t>
      </w:r>
      <w:r w:rsidRPr="0069377F">
        <w:rPr>
          <w:i/>
        </w:rPr>
        <w:t>Art and Decoration</w:t>
      </w:r>
      <w:r w:rsidRPr="0069377F">
        <w:t>, p. 102.</w:t>
      </w:r>
    </w:p>
  </w:endnote>
  <w:endnote w:id="23">
    <w:p w14:paraId="32948E85" w14:textId="77777777" w:rsidR="00E73328" w:rsidRPr="0069377F" w:rsidRDefault="00E73328" w:rsidP="0069377F">
      <w:pPr>
        <w:pStyle w:val="EndnoteText"/>
        <w:ind w:firstLine="720"/>
        <w:jc w:val="both"/>
      </w:pPr>
      <w:r w:rsidRPr="0069377F">
        <w:rPr>
          <w:rStyle w:val="EndnoteReference"/>
        </w:rPr>
        <w:endnoteRef/>
      </w:r>
      <w:r w:rsidRPr="0069377F">
        <w:t xml:space="preserve"> R. Sackville-West, </w:t>
      </w:r>
      <w:proofErr w:type="spellStart"/>
      <w:r w:rsidRPr="0069377F">
        <w:rPr>
          <w:i/>
        </w:rPr>
        <w:t>Knole</w:t>
      </w:r>
      <w:proofErr w:type="spellEnd"/>
      <w:r w:rsidRPr="0069377F">
        <w:t xml:space="preserve"> (London: National Trust, 2001), p. 15. </w:t>
      </w:r>
    </w:p>
  </w:endnote>
  <w:endnote w:id="24">
    <w:p w14:paraId="082C65A7" w14:textId="77777777" w:rsidR="00E73328" w:rsidRPr="0069377F" w:rsidRDefault="00E73328" w:rsidP="0069377F">
      <w:pPr>
        <w:pStyle w:val="EndnoteText"/>
        <w:ind w:firstLine="720"/>
        <w:jc w:val="both"/>
      </w:pPr>
      <w:r w:rsidRPr="0069377F">
        <w:rPr>
          <w:rStyle w:val="EndnoteReference"/>
        </w:rPr>
        <w:endnoteRef/>
      </w:r>
      <w:r w:rsidRPr="0069377F">
        <w:t xml:space="preserve"> Salmon, </w:t>
      </w:r>
      <w:proofErr w:type="spellStart"/>
      <w:r w:rsidRPr="0069377F">
        <w:rPr>
          <w:i/>
        </w:rPr>
        <w:t>Polygraphice</w:t>
      </w:r>
      <w:proofErr w:type="spellEnd"/>
      <w:r w:rsidRPr="0069377F">
        <w:t xml:space="preserve">, book 3, chapter 15. </w:t>
      </w:r>
    </w:p>
  </w:endnote>
  <w:endnote w:id="25">
    <w:p w14:paraId="2A446946"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spellStart"/>
      <w:r w:rsidRPr="0069377F">
        <w:t>Hamling</w:t>
      </w:r>
      <w:proofErr w:type="spellEnd"/>
      <w:r w:rsidRPr="0069377F">
        <w:t xml:space="preserve">, </w:t>
      </w:r>
      <w:r w:rsidRPr="0069377F">
        <w:rPr>
          <w:i/>
        </w:rPr>
        <w:t>Decorating the Godly Household</w:t>
      </w:r>
      <w:r w:rsidRPr="0069377F">
        <w:t>, pp. 146–47.</w:t>
      </w:r>
    </w:p>
  </w:endnote>
  <w:endnote w:id="26">
    <w:p w14:paraId="1D875F59" w14:textId="7F0FF493" w:rsidR="00E73328" w:rsidRPr="0069377F" w:rsidRDefault="00E73328" w:rsidP="0069377F">
      <w:pPr>
        <w:pStyle w:val="EndnoteText"/>
        <w:ind w:firstLine="720"/>
        <w:jc w:val="both"/>
      </w:pPr>
      <w:r w:rsidRPr="0069377F">
        <w:rPr>
          <w:rStyle w:val="EndnoteReference"/>
        </w:rPr>
        <w:endnoteRef/>
      </w:r>
      <w:r w:rsidRPr="0069377F">
        <w:t xml:space="preserve"> E. Clive-Rouse and A. Baker, ‘The wall paintings at </w:t>
      </w:r>
      <w:proofErr w:type="spellStart"/>
      <w:r w:rsidRPr="0069377F">
        <w:t>Longthorpe</w:t>
      </w:r>
      <w:proofErr w:type="spellEnd"/>
      <w:r w:rsidRPr="0069377F">
        <w:t xml:space="preserve"> Tower, near Peterborough, Northants’, </w:t>
      </w:r>
      <w:proofErr w:type="spellStart"/>
      <w:r w:rsidRPr="0069377F">
        <w:rPr>
          <w:i/>
        </w:rPr>
        <w:t>Archaeologia</w:t>
      </w:r>
      <w:proofErr w:type="spellEnd"/>
      <w:r w:rsidRPr="0069377F">
        <w:t xml:space="preserve">, </w:t>
      </w:r>
      <w:r w:rsidR="000D1CB0" w:rsidRPr="0069377F">
        <w:rPr>
          <w:smallCaps/>
          <w:lang w:eastAsia="en-GB"/>
        </w:rPr>
        <w:t>xcvi</w:t>
      </w:r>
      <w:r w:rsidRPr="0069377F">
        <w:t xml:space="preserve"> (1995), p. 45. With very grateful thanks to one of the referees for this example.</w:t>
      </w:r>
    </w:p>
  </w:endnote>
  <w:endnote w:id="27">
    <w:p w14:paraId="6D61A6A8" w14:textId="33F39ABB" w:rsidR="00E73328" w:rsidRPr="0069377F" w:rsidRDefault="00E73328" w:rsidP="0069377F">
      <w:pPr>
        <w:pStyle w:val="EndnoteText"/>
        <w:ind w:firstLine="720"/>
        <w:jc w:val="both"/>
      </w:pPr>
      <w:r w:rsidRPr="0069377F">
        <w:rPr>
          <w:rStyle w:val="EndnoteReference"/>
        </w:rPr>
        <w:endnoteRef/>
      </w:r>
      <w:r w:rsidRPr="0069377F">
        <w:t xml:space="preserve"> For a further comparison, see also H. L. </w:t>
      </w:r>
      <w:proofErr w:type="spellStart"/>
      <w:r w:rsidRPr="0069377F">
        <w:t>Meakin</w:t>
      </w:r>
      <w:proofErr w:type="spellEnd"/>
      <w:r w:rsidRPr="0069377F">
        <w:t xml:space="preserve">, </w:t>
      </w:r>
      <w:r w:rsidRPr="0069377F">
        <w:rPr>
          <w:i/>
        </w:rPr>
        <w:t>The Painted Closet of Lady Anne Bacon Drury</w:t>
      </w:r>
      <w:r w:rsidRPr="0069377F">
        <w:t xml:space="preserve"> (Farnham: </w:t>
      </w:r>
      <w:proofErr w:type="spellStart"/>
      <w:r w:rsidRPr="0069377F">
        <w:t>Ashgate</w:t>
      </w:r>
      <w:proofErr w:type="spellEnd"/>
      <w:r w:rsidRPr="0069377F">
        <w:t xml:space="preserve">, 2013), especially </w:t>
      </w:r>
      <w:r w:rsidR="00A9623A" w:rsidRPr="0069377F">
        <w:t>chapters</w:t>
      </w:r>
      <w:r w:rsidRPr="0069377F">
        <w:t xml:space="preserve"> 4 to 6. </w:t>
      </w:r>
    </w:p>
  </w:endnote>
  <w:endnote w:id="28">
    <w:p w14:paraId="56436641" w14:textId="1F15233D" w:rsidR="00E73328" w:rsidRPr="0069377F" w:rsidRDefault="00E73328" w:rsidP="0069377F">
      <w:pPr>
        <w:pStyle w:val="EndnoteText"/>
        <w:ind w:firstLine="720"/>
        <w:jc w:val="both"/>
        <w:rPr>
          <w:color w:val="FF0000"/>
        </w:rPr>
      </w:pPr>
      <w:r w:rsidRPr="0069377F">
        <w:rPr>
          <w:rStyle w:val="EndnoteReference"/>
        </w:rPr>
        <w:endnoteRef/>
      </w:r>
      <w:r w:rsidRPr="0069377F">
        <w:t xml:space="preserve"> L. Worsley, </w:t>
      </w:r>
      <w:r w:rsidRPr="0069377F">
        <w:rPr>
          <w:i/>
          <w:iCs/>
        </w:rPr>
        <w:t>Bolsover Castle</w:t>
      </w:r>
      <w:r w:rsidRPr="0069377F">
        <w:t xml:space="preserve"> (London: English Heritage, 2012</w:t>
      </w:r>
      <w:r w:rsidR="00A9623A" w:rsidRPr="0069377F">
        <w:t>, first published 2000</w:t>
      </w:r>
      <w:r w:rsidRPr="0069377F">
        <w:t>), p. 1.</w:t>
      </w:r>
    </w:p>
  </w:endnote>
  <w:endnote w:id="29">
    <w:p w14:paraId="72B6A2C1" w14:textId="385E5DA4" w:rsidR="00E73328" w:rsidRPr="0069377F" w:rsidRDefault="00E73328" w:rsidP="0069377F">
      <w:pPr>
        <w:pStyle w:val="EndnoteText"/>
        <w:ind w:firstLine="720"/>
        <w:jc w:val="both"/>
        <w:rPr>
          <w:color w:val="FF0000"/>
        </w:rPr>
      </w:pPr>
      <w:r w:rsidRPr="0069377F">
        <w:rPr>
          <w:rStyle w:val="EndnoteReference"/>
        </w:rPr>
        <w:endnoteRef/>
      </w:r>
      <w:r w:rsidRPr="0069377F">
        <w:t xml:space="preserve"> The paintings in the Anteroom were modelled on the prints the </w:t>
      </w:r>
      <w:r w:rsidRPr="0069377F">
        <w:rPr>
          <w:i/>
        </w:rPr>
        <w:t xml:space="preserve">Four Temperaments, </w:t>
      </w:r>
      <w:r w:rsidRPr="0069377F">
        <w:t xml:space="preserve">c.1595, by Pieter de </w:t>
      </w:r>
      <w:proofErr w:type="spellStart"/>
      <w:r w:rsidRPr="0069377F">
        <w:t>Jode</w:t>
      </w:r>
      <w:proofErr w:type="spellEnd"/>
      <w:r w:rsidRPr="0069377F">
        <w:t xml:space="preserve"> (1606</w:t>
      </w:r>
      <w:r w:rsidRPr="0069377F">
        <w:rPr>
          <w:rStyle w:val="list0020paragraphchar1"/>
          <w:rFonts w:ascii="Times New Roman" w:hAnsi="Times New Roman" w:cs="Times New Roman"/>
          <w:sz w:val="20"/>
          <w:szCs w:val="20"/>
        </w:rPr>
        <w:t>–</w:t>
      </w:r>
      <w:r w:rsidRPr="0069377F">
        <w:t xml:space="preserve">74), after Martin de </w:t>
      </w:r>
      <w:proofErr w:type="spellStart"/>
      <w:r w:rsidRPr="0069377F">
        <w:t>Vos</w:t>
      </w:r>
      <w:proofErr w:type="spellEnd"/>
      <w:r w:rsidRPr="0069377F">
        <w:t xml:space="preserve"> (c.1532</w:t>
      </w:r>
      <w:r w:rsidRPr="0069377F">
        <w:rPr>
          <w:rStyle w:val="list0020paragraphchar1"/>
          <w:rFonts w:ascii="Times New Roman" w:hAnsi="Times New Roman" w:cs="Times New Roman"/>
          <w:sz w:val="20"/>
          <w:szCs w:val="20"/>
        </w:rPr>
        <w:t>–</w:t>
      </w:r>
      <w:r w:rsidRPr="0069377F">
        <w:t xml:space="preserve">1603), which were updated to reflect current fashions. Prints from this set can be found in the British Museum. </w:t>
      </w:r>
    </w:p>
  </w:endnote>
  <w:endnote w:id="30">
    <w:p w14:paraId="638EA977" w14:textId="17AFA429" w:rsidR="00E73328" w:rsidRPr="0069377F" w:rsidRDefault="00E73328" w:rsidP="0069377F">
      <w:pPr>
        <w:tabs>
          <w:tab w:val="left" w:pos="3330"/>
        </w:tabs>
        <w:ind w:firstLine="720"/>
        <w:jc w:val="both"/>
        <w:rPr>
          <w:sz w:val="20"/>
          <w:szCs w:val="20"/>
        </w:rPr>
      </w:pPr>
      <w:r w:rsidRPr="0069377F">
        <w:rPr>
          <w:rStyle w:val="EndnoteReference"/>
          <w:sz w:val="20"/>
          <w:szCs w:val="20"/>
        </w:rPr>
        <w:endnoteRef/>
      </w:r>
      <w:r w:rsidRPr="0069377F">
        <w:rPr>
          <w:sz w:val="20"/>
          <w:szCs w:val="20"/>
        </w:rPr>
        <w:t xml:space="preserve"> T. D. </w:t>
      </w:r>
      <w:proofErr w:type="spellStart"/>
      <w:r w:rsidRPr="0069377F">
        <w:rPr>
          <w:sz w:val="20"/>
          <w:szCs w:val="20"/>
        </w:rPr>
        <w:t>Raylor</w:t>
      </w:r>
      <w:proofErr w:type="spellEnd"/>
      <w:r w:rsidRPr="0069377F">
        <w:rPr>
          <w:sz w:val="20"/>
          <w:szCs w:val="20"/>
        </w:rPr>
        <w:t xml:space="preserve">, ‘Pleasure reconciled to virtue: William Cavendish, Ben Jonson and the decorative scheme of Bolsover Castle’, </w:t>
      </w:r>
      <w:r w:rsidRPr="0069377F">
        <w:rPr>
          <w:i/>
          <w:sz w:val="20"/>
          <w:szCs w:val="20"/>
        </w:rPr>
        <w:t>Renaissance Quarterly</w:t>
      </w:r>
      <w:r w:rsidRPr="0069377F">
        <w:rPr>
          <w:sz w:val="20"/>
          <w:szCs w:val="20"/>
        </w:rPr>
        <w:t xml:space="preserve">, </w:t>
      </w:r>
      <w:r w:rsidR="00A9623A" w:rsidRPr="0069377F">
        <w:rPr>
          <w:smallCaps/>
          <w:sz w:val="20"/>
          <w:szCs w:val="20"/>
          <w:lang w:eastAsia="en-GB"/>
        </w:rPr>
        <w:t>liii</w:t>
      </w:r>
      <w:r w:rsidRPr="0069377F">
        <w:rPr>
          <w:sz w:val="20"/>
          <w:szCs w:val="20"/>
        </w:rPr>
        <w:t xml:space="preserve"> (1999), pp. 402–39.</w:t>
      </w:r>
    </w:p>
  </w:endnote>
  <w:endnote w:id="31">
    <w:p w14:paraId="73083509" w14:textId="77777777" w:rsidR="00E73328" w:rsidRPr="0069377F" w:rsidRDefault="00E73328" w:rsidP="0069377F">
      <w:pPr>
        <w:pStyle w:val="EndnoteText"/>
        <w:ind w:firstLine="720"/>
        <w:jc w:val="both"/>
        <w:rPr>
          <w:color w:val="FF00FF"/>
        </w:rPr>
      </w:pPr>
      <w:r w:rsidRPr="0069377F">
        <w:rPr>
          <w:rStyle w:val="EndnoteReference"/>
        </w:rPr>
        <w:endnoteRef/>
      </w:r>
      <w:r w:rsidRPr="0069377F">
        <w:t xml:space="preserve"> B. Jonson, </w:t>
      </w:r>
      <w:r w:rsidRPr="0069377F">
        <w:rPr>
          <w:i/>
        </w:rPr>
        <w:t>Loves Welcome</w:t>
      </w:r>
      <w:r w:rsidRPr="0069377F">
        <w:t xml:space="preserve"> (London: 1634), lines 1–2, in </w:t>
      </w:r>
      <w:r w:rsidRPr="0069377F">
        <w:rPr>
          <w:i/>
          <w:iCs/>
        </w:rPr>
        <w:t xml:space="preserve">Ben Jonson’s </w:t>
      </w:r>
      <w:proofErr w:type="spellStart"/>
      <w:r w:rsidRPr="0069377F">
        <w:rPr>
          <w:i/>
          <w:iCs/>
        </w:rPr>
        <w:t>Underwoods</w:t>
      </w:r>
      <w:proofErr w:type="spellEnd"/>
      <w:r w:rsidRPr="0069377F">
        <w:t xml:space="preserve"> (Cambridge: Cambridge University Press, 2012), p. 159.</w:t>
      </w:r>
    </w:p>
  </w:endnote>
  <w:endnote w:id="32">
    <w:p w14:paraId="1CE78F4F"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spellStart"/>
      <w:r w:rsidRPr="0069377F">
        <w:t>Hamling</w:t>
      </w:r>
      <w:proofErr w:type="spellEnd"/>
      <w:r w:rsidRPr="0069377F">
        <w:t xml:space="preserve">, </w:t>
      </w:r>
      <w:r w:rsidRPr="0069377F">
        <w:rPr>
          <w:i/>
        </w:rPr>
        <w:t>Decorating the Godly Household</w:t>
      </w:r>
      <w:r w:rsidRPr="0069377F">
        <w:t>, pp. 192–93.</w:t>
      </w:r>
    </w:p>
  </w:endnote>
  <w:endnote w:id="33">
    <w:p w14:paraId="701D6F16" w14:textId="469BE36F" w:rsidR="00E73328" w:rsidRPr="0069377F" w:rsidRDefault="00E73328" w:rsidP="0069377F">
      <w:pPr>
        <w:ind w:firstLine="720"/>
        <w:jc w:val="both"/>
        <w:rPr>
          <w:sz w:val="20"/>
          <w:szCs w:val="20"/>
        </w:rPr>
      </w:pPr>
      <w:r w:rsidRPr="0069377F">
        <w:rPr>
          <w:rStyle w:val="EndnoteReference"/>
          <w:sz w:val="20"/>
          <w:szCs w:val="20"/>
        </w:rPr>
        <w:endnoteRef/>
      </w:r>
      <w:r w:rsidRPr="0069377F">
        <w:rPr>
          <w:sz w:val="20"/>
          <w:szCs w:val="20"/>
        </w:rPr>
        <w:t xml:space="preserve"> See a fragment of a wall painting</w:t>
      </w:r>
      <w:r w:rsidRPr="0069377F">
        <w:rPr>
          <w:sz w:val="20"/>
          <w:szCs w:val="20"/>
          <w:shd w:val="clear" w:color="auto" w:fill="FFFFFF"/>
        </w:rPr>
        <w:t xml:space="preserve"> from Park Farm, Hilton, Huntingdonshire, </w:t>
      </w:r>
      <w:r w:rsidRPr="0069377F">
        <w:rPr>
          <w:sz w:val="20"/>
          <w:szCs w:val="20"/>
        </w:rPr>
        <w:t xml:space="preserve">1632, painted plaster, Victoria and Albert Museum, London, </w:t>
      </w:r>
      <w:r w:rsidRPr="0069377F">
        <w:rPr>
          <w:rStyle w:val="Strong"/>
          <w:b w:val="0"/>
          <w:sz w:val="20"/>
          <w:szCs w:val="20"/>
        </w:rPr>
        <w:t>Museum number:</w:t>
      </w:r>
      <w:r w:rsidRPr="0069377F">
        <w:rPr>
          <w:rStyle w:val="Strong"/>
          <w:sz w:val="20"/>
          <w:szCs w:val="20"/>
        </w:rPr>
        <w:t xml:space="preserve"> </w:t>
      </w:r>
      <w:r w:rsidRPr="0069377F">
        <w:rPr>
          <w:sz w:val="20"/>
          <w:szCs w:val="20"/>
        </w:rPr>
        <w:t>W.28–1946.</w:t>
      </w:r>
    </w:p>
  </w:endnote>
  <w:endnote w:id="34">
    <w:p w14:paraId="7A71990C" w14:textId="77777777" w:rsidR="00E73328" w:rsidRPr="0069377F" w:rsidRDefault="00E73328" w:rsidP="0069377F">
      <w:pPr>
        <w:pStyle w:val="EndnoteText"/>
        <w:ind w:firstLine="720"/>
        <w:jc w:val="both"/>
      </w:pPr>
      <w:r w:rsidRPr="0069377F">
        <w:rPr>
          <w:rStyle w:val="EndnoteReference"/>
        </w:rPr>
        <w:endnoteRef/>
      </w:r>
      <w:r w:rsidRPr="0069377F">
        <w:t xml:space="preserve"> Depictions of the senses were not restricted to textiles – they were found on other types of objects, including ceramics, glassware and floor tiles.  </w:t>
      </w:r>
    </w:p>
  </w:endnote>
  <w:endnote w:id="35">
    <w:p w14:paraId="730948E8" w14:textId="41AF5680" w:rsidR="00E73328" w:rsidRPr="0069377F" w:rsidRDefault="00E73328" w:rsidP="0069377F">
      <w:pPr>
        <w:pStyle w:val="EndnoteText"/>
        <w:ind w:firstLine="720"/>
        <w:jc w:val="both"/>
      </w:pPr>
      <w:r w:rsidRPr="0069377F">
        <w:rPr>
          <w:rStyle w:val="EndnoteReference"/>
        </w:rPr>
        <w:endnoteRef/>
      </w:r>
      <w:r w:rsidRPr="0069377F">
        <w:t xml:space="preserve"> </w:t>
      </w:r>
      <w:r w:rsidRPr="0069377F">
        <w:rPr>
          <w:i/>
          <w:iCs/>
        </w:rPr>
        <w:t>Sight</w:t>
      </w:r>
      <w:r w:rsidRPr="0069377F">
        <w:t xml:space="preserve">, c. 1500, 274 x 355 cm, </w:t>
      </w:r>
      <w:proofErr w:type="spellStart"/>
      <w:r w:rsidRPr="0069377F">
        <w:t>Musée</w:t>
      </w:r>
      <w:proofErr w:type="spellEnd"/>
      <w:r w:rsidRPr="0069377F">
        <w:t xml:space="preserve"> National du </w:t>
      </w:r>
      <w:proofErr w:type="spellStart"/>
      <w:r w:rsidRPr="0069377F">
        <w:t>Moyen</w:t>
      </w:r>
      <w:proofErr w:type="spellEnd"/>
      <w:r w:rsidRPr="0069377F">
        <w:t xml:space="preserve"> Age, previously the </w:t>
      </w:r>
      <w:proofErr w:type="spellStart"/>
      <w:r w:rsidRPr="0069377F">
        <w:t>Musée</w:t>
      </w:r>
      <w:proofErr w:type="spellEnd"/>
      <w:r w:rsidRPr="0069377F">
        <w:t xml:space="preserve"> de Cluny, Paris. Five of the tapestries depict the five sense and the sixth is known by the words woven in the border, </w:t>
      </w:r>
      <w:proofErr w:type="gramStart"/>
      <w:r w:rsidRPr="0069377F">
        <w:rPr>
          <w:i/>
        </w:rPr>
        <w:t>A</w:t>
      </w:r>
      <w:proofErr w:type="gramEnd"/>
      <w:r w:rsidRPr="0069377F">
        <w:rPr>
          <w:i/>
        </w:rPr>
        <w:t xml:space="preserve"> mon </w:t>
      </w:r>
      <w:proofErr w:type="spellStart"/>
      <w:r w:rsidRPr="0069377F">
        <w:rPr>
          <w:i/>
        </w:rPr>
        <w:t>seul</w:t>
      </w:r>
      <w:proofErr w:type="spellEnd"/>
      <w:r w:rsidRPr="0069377F">
        <w:rPr>
          <w:i/>
        </w:rPr>
        <w:t xml:space="preserve"> </w:t>
      </w:r>
      <w:proofErr w:type="spellStart"/>
      <w:r w:rsidRPr="0069377F">
        <w:rPr>
          <w:i/>
        </w:rPr>
        <w:t>désir</w:t>
      </w:r>
      <w:proofErr w:type="spellEnd"/>
      <w:r w:rsidRPr="0069377F">
        <w:t xml:space="preserve">. </w:t>
      </w:r>
    </w:p>
  </w:endnote>
  <w:endnote w:id="36">
    <w:p w14:paraId="463EEDAF" w14:textId="20457C67" w:rsidR="00E73328" w:rsidRPr="0069377F" w:rsidRDefault="00E73328" w:rsidP="0069377F">
      <w:pPr>
        <w:pStyle w:val="EndnoteText"/>
        <w:ind w:firstLine="720"/>
        <w:jc w:val="both"/>
        <w:rPr>
          <w:color w:val="FF00FF"/>
        </w:rPr>
      </w:pPr>
      <w:r w:rsidRPr="0069377F">
        <w:rPr>
          <w:rStyle w:val="EndnoteReference"/>
        </w:rPr>
        <w:endnoteRef/>
      </w:r>
      <w:r w:rsidRPr="0069377F">
        <w:t xml:space="preserve"> The 1547 Inventory of Henry VIII, part 2, 1547, Harley MS 1419, ff. 6r, 30r, 68v, 20</w:t>
      </w:r>
      <w:r w:rsidR="00E97F25" w:rsidRPr="0069377F">
        <w:t>9r, 219r, 347r, British Library</w:t>
      </w:r>
      <w:r w:rsidRPr="0069377F">
        <w:t xml:space="preserve">. </w:t>
      </w:r>
    </w:p>
  </w:endnote>
  <w:endnote w:id="37">
    <w:p w14:paraId="773120B9" w14:textId="7CCC8818" w:rsidR="00E73328" w:rsidRPr="0069377F" w:rsidRDefault="00E73328" w:rsidP="0069377F">
      <w:pPr>
        <w:pStyle w:val="EndnoteText"/>
        <w:ind w:firstLine="720"/>
        <w:jc w:val="both"/>
        <w:rPr>
          <w:color w:val="FF00FF"/>
        </w:rPr>
      </w:pPr>
      <w:r w:rsidRPr="0069377F">
        <w:rPr>
          <w:rStyle w:val="EndnoteReference"/>
        </w:rPr>
        <w:endnoteRef/>
      </w:r>
      <w:r w:rsidRPr="0069377F">
        <w:t xml:space="preserve"> </w:t>
      </w:r>
      <w:proofErr w:type="gramStart"/>
      <w:r w:rsidR="00E97F25" w:rsidRPr="0069377F">
        <w:t>Ibid.</w:t>
      </w:r>
      <w:r w:rsidRPr="0069377F">
        <w:t>,</w:t>
      </w:r>
      <w:proofErr w:type="gramEnd"/>
      <w:r w:rsidRPr="0069377F">
        <w:t xml:space="preserve"> ff. 123r-v, 125r, 129v, 245r, 447r. None of Henry VIII’s embroideries or needlework were recorded as depicting the senses either.</w:t>
      </w:r>
    </w:p>
  </w:endnote>
  <w:endnote w:id="38">
    <w:p w14:paraId="32C1445B" w14:textId="7099BF1B" w:rsidR="00E73328" w:rsidRPr="0069377F" w:rsidRDefault="00E73328" w:rsidP="0069377F">
      <w:pPr>
        <w:pStyle w:val="EndnoteText"/>
        <w:ind w:firstLine="720"/>
        <w:jc w:val="both"/>
      </w:pPr>
      <w:r w:rsidRPr="0069377F">
        <w:rPr>
          <w:rStyle w:val="EndnoteReference"/>
        </w:rPr>
        <w:endnoteRef/>
      </w:r>
      <w:r w:rsidRPr="0069377F">
        <w:t xml:space="preserve"> M. M. Brooks</w:t>
      </w:r>
      <w:r w:rsidRPr="0069377F">
        <w:rPr>
          <w:iCs/>
        </w:rPr>
        <w:t>,</w:t>
      </w:r>
      <w:r w:rsidRPr="0069377F">
        <w:rPr>
          <w:i/>
          <w:iCs/>
        </w:rPr>
        <w:t xml:space="preserve"> English Embroideries of the Sixteenth and Seventeenth Centuries in the Collection of the Ashmolean Museum</w:t>
      </w:r>
      <w:r w:rsidRPr="0069377F">
        <w:t xml:space="preserve"> (Oxford: Ashmolean Museum, 2004), pp. 13</w:t>
      </w:r>
      <w:r w:rsidR="00E97F25" w:rsidRPr="0069377F">
        <w:t>–</w:t>
      </w:r>
      <w:r w:rsidRPr="0069377F">
        <w:t>14.</w:t>
      </w:r>
    </w:p>
  </w:endnote>
  <w:endnote w:id="39">
    <w:p w14:paraId="3B68274F" w14:textId="77777777" w:rsidR="00E73328" w:rsidRPr="0069377F" w:rsidRDefault="00E73328" w:rsidP="0069377F">
      <w:pPr>
        <w:pStyle w:val="EndnoteText"/>
        <w:ind w:firstLine="720"/>
        <w:jc w:val="both"/>
      </w:pPr>
      <w:r w:rsidRPr="0069377F">
        <w:rPr>
          <w:rStyle w:val="EndnoteReference"/>
        </w:rPr>
        <w:endnoteRef/>
      </w:r>
      <w:r w:rsidRPr="0069377F">
        <w:t xml:space="preserve"> S. M. Levey, </w:t>
      </w:r>
      <w:proofErr w:type="gramStart"/>
      <w:r w:rsidRPr="0069377F">
        <w:rPr>
          <w:i/>
        </w:rPr>
        <w:t>An</w:t>
      </w:r>
      <w:proofErr w:type="gramEnd"/>
      <w:r w:rsidRPr="0069377F">
        <w:rPr>
          <w:i/>
        </w:rPr>
        <w:t xml:space="preserve"> Elizabethan Inheritance: The Hardwick Hall Textiles</w:t>
      </w:r>
      <w:r w:rsidRPr="0069377F">
        <w:t xml:space="preserve"> (London: The National Trust, 1998), p. 66. </w:t>
      </w:r>
    </w:p>
  </w:endnote>
  <w:endnote w:id="40">
    <w:p w14:paraId="25B8C9C8" w14:textId="2577512E" w:rsidR="00E73328" w:rsidRPr="0069377F" w:rsidRDefault="00E73328" w:rsidP="0069377F">
      <w:pPr>
        <w:pStyle w:val="EndnoteText"/>
        <w:ind w:firstLine="720"/>
        <w:jc w:val="both"/>
      </w:pPr>
      <w:r w:rsidRPr="0069377F">
        <w:rPr>
          <w:rStyle w:val="EndnoteReference"/>
        </w:rPr>
        <w:endnoteRef/>
      </w:r>
      <w:r w:rsidRPr="0069377F">
        <w:t xml:space="preserve"> This followed the view expressed by Aristotle in his </w:t>
      </w:r>
      <w:proofErr w:type="spellStart"/>
      <w:r w:rsidRPr="0069377F">
        <w:rPr>
          <w:i/>
        </w:rPr>
        <w:t>Metaphysica</w:t>
      </w:r>
      <w:proofErr w:type="spellEnd"/>
      <w:r w:rsidRPr="0069377F">
        <w:t xml:space="preserve"> (980a, 24</w:t>
      </w:r>
      <w:r w:rsidR="00F53B75" w:rsidRPr="0069377F">
        <w:t>–</w:t>
      </w:r>
      <w:r w:rsidRPr="0069377F">
        <w:t xml:space="preserve">28). See R. </w:t>
      </w:r>
      <w:proofErr w:type="spellStart"/>
      <w:r w:rsidRPr="0069377F">
        <w:t>Sorabji</w:t>
      </w:r>
      <w:proofErr w:type="spellEnd"/>
      <w:r w:rsidRPr="0069377F">
        <w:t xml:space="preserve">, ‘Aristotle on demarcating the five senses’, </w:t>
      </w:r>
      <w:r w:rsidRPr="0069377F">
        <w:rPr>
          <w:i/>
        </w:rPr>
        <w:t>The Philosophical Review</w:t>
      </w:r>
      <w:r w:rsidRPr="0069377F">
        <w:t xml:space="preserve">, </w:t>
      </w:r>
      <w:r w:rsidR="00F53B75" w:rsidRPr="0069377F">
        <w:rPr>
          <w:smallCaps/>
          <w:lang w:eastAsia="en-GB"/>
        </w:rPr>
        <w:t>lxxx</w:t>
      </w:r>
      <w:r w:rsidRPr="0069377F">
        <w:t xml:space="preserve">, no. 2 (1971), pp. 55–79. Beyond Aristotle, see D. F. Appleby, ‘The priority of sight according to Peter the Venerable’, </w:t>
      </w:r>
      <w:r w:rsidRPr="0069377F">
        <w:rPr>
          <w:i/>
        </w:rPr>
        <w:t>Medieval Studies</w:t>
      </w:r>
      <w:r w:rsidRPr="0069377F">
        <w:t xml:space="preserve">, </w:t>
      </w:r>
      <w:r w:rsidR="00F53B75" w:rsidRPr="0069377F">
        <w:rPr>
          <w:smallCaps/>
          <w:lang w:eastAsia="en-GB"/>
        </w:rPr>
        <w:t>lx</w:t>
      </w:r>
      <w:r w:rsidRPr="0069377F">
        <w:t xml:space="preserve"> (1998), pp. 123</w:t>
      </w:r>
      <w:r w:rsidR="00F53B75" w:rsidRPr="0069377F">
        <w:t>–</w:t>
      </w:r>
      <w:r w:rsidRPr="0069377F">
        <w:t>57; M. Camille, ‘</w:t>
      </w:r>
      <w:proofErr w:type="gramStart"/>
      <w:r w:rsidRPr="0069377F">
        <w:t>Before</w:t>
      </w:r>
      <w:proofErr w:type="gramEnd"/>
      <w:r w:rsidRPr="0069377F">
        <w:t xml:space="preserve"> the gaze: the internal senses and the late medieval practice of seeing’, in R. S. Nelson ed., </w:t>
      </w:r>
      <w:proofErr w:type="spellStart"/>
      <w:r w:rsidRPr="0069377F">
        <w:rPr>
          <w:i/>
        </w:rPr>
        <w:t>Visuality</w:t>
      </w:r>
      <w:proofErr w:type="spellEnd"/>
      <w:r w:rsidRPr="0069377F">
        <w:rPr>
          <w:i/>
        </w:rPr>
        <w:t xml:space="preserve"> Before and Beyond the Renaissance: Seeing as Others Saw</w:t>
      </w:r>
      <w:r w:rsidRPr="0069377F">
        <w:t xml:space="preserve"> (Cambridge: Cambridge University Press, 2000), pp. 197–223</w:t>
      </w:r>
      <w:r w:rsidRPr="0069377F">
        <w:rPr>
          <w:color w:val="FF00FF"/>
        </w:rPr>
        <w:t>.</w:t>
      </w:r>
      <w:r w:rsidRPr="0069377F">
        <w:t xml:space="preserve">     </w:t>
      </w:r>
    </w:p>
  </w:endnote>
  <w:endnote w:id="41">
    <w:p w14:paraId="3D21CD75" w14:textId="77777777" w:rsidR="00E73328" w:rsidRPr="0069377F" w:rsidRDefault="00E73328" w:rsidP="0069377F">
      <w:pPr>
        <w:pStyle w:val="EndnoteText"/>
        <w:ind w:firstLine="720"/>
        <w:jc w:val="both"/>
      </w:pPr>
      <w:r w:rsidRPr="0069377F">
        <w:rPr>
          <w:rStyle w:val="EndnoteReference"/>
        </w:rPr>
        <w:endnoteRef/>
      </w:r>
      <w:r w:rsidRPr="0069377F">
        <w:t xml:space="preserve"> B. Smith, </w:t>
      </w:r>
      <w:r w:rsidRPr="0069377F">
        <w:rPr>
          <w:i/>
        </w:rPr>
        <w:t>Key of Green: Passion and Perception in the Renaissance</w:t>
      </w:r>
      <w:r w:rsidRPr="0069377F">
        <w:t xml:space="preserve"> (Chicago: University of Chicago Press, 1964), pp. 125–28.</w:t>
      </w:r>
    </w:p>
  </w:endnote>
  <w:endnote w:id="42">
    <w:p w14:paraId="54D3C623"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spellStart"/>
      <w:r w:rsidRPr="0069377F">
        <w:t>Hamling</w:t>
      </w:r>
      <w:proofErr w:type="spellEnd"/>
      <w:r w:rsidRPr="0069377F">
        <w:t xml:space="preserve">, </w:t>
      </w:r>
      <w:r w:rsidRPr="0069377F">
        <w:rPr>
          <w:i/>
        </w:rPr>
        <w:t>Decorating the Godly Household</w:t>
      </w:r>
      <w:r w:rsidRPr="0069377F">
        <w:t>,</w:t>
      </w:r>
      <w:r w:rsidRPr="0069377F">
        <w:rPr>
          <w:color w:val="FF00FF"/>
        </w:rPr>
        <w:t xml:space="preserve"> </w:t>
      </w:r>
      <w:r w:rsidRPr="0069377F">
        <w:t>pp. 266–69.</w:t>
      </w:r>
    </w:p>
  </w:endnote>
  <w:endnote w:id="43">
    <w:p w14:paraId="5B65153D" w14:textId="77777777" w:rsidR="00E73328" w:rsidRPr="0069377F" w:rsidRDefault="00E73328" w:rsidP="0069377F">
      <w:pPr>
        <w:pStyle w:val="EndnoteText"/>
        <w:tabs>
          <w:tab w:val="left" w:pos="7215"/>
        </w:tabs>
        <w:ind w:firstLine="720"/>
        <w:jc w:val="both"/>
        <w:rPr>
          <w:color w:val="FF00FF"/>
        </w:rPr>
      </w:pPr>
      <w:r w:rsidRPr="0069377F">
        <w:rPr>
          <w:rStyle w:val="EndnoteReference"/>
        </w:rPr>
        <w:endnoteRef/>
      </w:r>
      <w:r w:rsidRPr="0069377F">
        <w:t xml:space="preserve"> J. Donne, </w:t>
      </w:r>
      <w:proofErr w:type="gramStart"/>
      <w:r w:rsidRPr="0069377F">
        <w:rPr>
          <w:i/>
        </w:rPr>
        <w:t>The</w:t>
      </w:r>
      <w:proofErr w:type="gramEnd"/>
      <w:r w:rsidRPr="0069377F">
        <w:rPr>
          <w:i/>
        </w:rPr>
        <w:t xml:space="preserve"> Complete English Poems</w:t>
      </w:r>
      <w:r w:rsidRPr="0069377F">
        <w:t>, A. Smith ed. (</w:t>
      </w:r>
      <w:proofErr w:type="spellStart"/>
      <w:r w:rsidRPr="0069377F">
        <w:t>Harmondsworth</w:t>
      </w:r>
      <w:proofErr w:type="spellEnd"/>
      <w:r w:rsidRPr="0069377F">
        <w:t>: Penguin Classics, 1976), pp. 53–54.</w:t>
      </w:r>
    </w:p>
  </w:endnote>
  <w:endnote w:id="44">
    <w:p w14:paraId="4FECADE9" w14:textId="77777777" w:rsidR="00E73328" w:rsidRPr="0069377F" w:rsidRDefault="00E73328" w:rsidP="0069377F">
      <w:pPr>
        <w:pStyle w:val="EndnoteText"/>
        <w:ind w:firstLine="720"/>
        <w:jc w:val="both"/>
      </w:pPr>
      <w:r w:rsidRPr="0069377F">
        <w:rPr>
          <w:rStyle w:val="EndnoteReference"/>
        </w:rPr>
        <w:endnoteRef/>
      </w:r>
      <w:r w:rsidRPr="0069377F">
        <w:t xml:space="preserve"> See, for example, K. Thomas, </w:t>
      </w:r>
      <w:r w:rsidRPr="0069377F">
        <w:rPr>
          <w:i/>
        </w:rPr>
        <w:t>Religion and the Decline of Magic: Studies in Popular Beliefs in Sixteenth- and Seventeenth-Century England</w:t>
      </w:r>
      <w:r w:rsidRPr="0069377F">
        <w:t xml:space="preserve"> (</w:t>
      </w:r>
      <w:proofErr w:type="spellStart"/>
      <w:r w:rsidRPr="0069377F">
        <w:t>Harmondsworth</w:t>
      </w:r>
      <w:proofErr w:type="spellEnd"/>
      <w:r w:rsidRPr="0069377F">
        <w:t xml:space="preserve">: Penguin Books, 1991), p. 285, note 119. Linked to this was the nature of the royal gaze as noted in Proverbs 20:8 ‘A king that </w:t>
      </w:r>
      <w:proofErr w:type="spellStart"/>
      <w:r w:rsidRPr="0069377F">
        <w:t>sitteth</w:t>
      </w:r>
      <w:proofErr w:type="spellEnd"/>
      <w:r w:rsidRPr="0069377F">
        <w:t xml:space="preserve"> in the throne of judgement, </w:t>
      </w:r>
      <w:proofErr w:type="spellStart"/>
      <w:r w:rsidRPr="0069377F">
        <w:t>scattereth</w:t>
      </w:r>
      <w:proofErr w:type="spellEnd"/>
      <w:r w:rsidRPr="0069377F">
        <w:t xml:space="preserve"> away all evil with his </w:t>
      </w:r>
      <w:proofErr w:type="gramStart"/>
      <w:r w:rsidRPr="0069377F">
        <w:t>eye’.</w:t>
      </w:r>
      <w:proofErr w:type="gramEnd"/>
      <w:r w:rsidRPr="0069377F">
        <w:t xml:space="preserve"> Clark, </w:t>
      </w:r>
      <w:r w:rsidRPr="0069377F">
        <w:rPr>
          <w:i/>
        </w:rPr>
        <w:t>Vanities of the Eye</w:t>
      </w:r>
      <w:r w:rsidRPr="0069377F">
        <w:t xml:space="preserve">, p. 12.   </w:t>
      </w:r>
    </w:p>
  </w:endnote>
  <w:endnote w:id="45">
    <w:p w14:paraId="45D89AF0" w14:textId="6234ABCD" w:rsidR="00E73328" w:rsidRPr="0069377F" w:rsidRDefault="00E73328" w:rsidP="0069377F">
      <w:pPr>
        <w:pStyle w:val="EndnoteText"/>
        <w:ind w:firstLine="720"/>
        <w:jc w:val="both"/>
      </w:pPr>
      <w:r w:rsidRPr="0069377F">
        <w:rPr>
          <w:rStyle w:val="EndnoteReference"/>
        </w:rPr>
        <w:endnoteRef/>
      </w:r>
      <w:r w:rsidRPr="0069377F">
        <w:t xml:space="preserve"> The 1547 Inventory of Henry VIII, part 1, 1547, MS 129, f. 152v, Society of Antiquaries, London.</w:t>
      </w:r>
    </w:p>
  </w:endnote>
  <w:endnote w:id="46">
    <w:p w14:paraId="21BCB41E" w14:textId="22DFCC80" w:rsidR="00E73328" w:rsidRPr="0069377F" w:rsidRDefault="00E73328" w:rsidP="0069377F">
      <w:pPr>
        <w:pStyle w:val="EndnoteText"/>
        <w:ind w:firstLine="720"/>
        <w:jc w:val="both"/>
      </w:pPr>
      <w:r w:rsidRPr="0069377F">
        <w:rPr>
          <w:rStyle w:val="EndnoteReference"/>
        </w:rPr>
        <w:endnoteRef/>
      </w:r>
      <w:r w:rsidRPr="0069377F">
        <w:t xml:space="preserve"> </w:t>
      </w:r>
      <w:proofErr w:type="gramStart"/>
      <w:r w:rsidR="00C132F2" w:rsidRPr="0069377F">
        <w:t>Ibid.</w:t>
      </w:r>
      <w:r w:rsidRPr="0069377F">
        <w:t>,</w:t>
      </w:r>
      <w:proofErr w:type="gramEnd"/>
      <w:r w:rsidRPr="0069377F">
        <w:t xml:space="preserve"> ff. 9v, 201v.</w:t>
      </w:r>
    </w:p>
  </w:endnote>
  <w:endnote w:id="47">
    <w:p w14:paraId="394513A0" w14:textId="4104FC1A" w:rsidR="00623104" w:rsidRPr="0069377F" w:rsidRDefault="00E73328" w:rsidP="0069377F">
      <w:pPr>
        <w:pStyle w:val="EndnoteText"/>
        <w:ind w:firstLine="720"/>
        <w:jc w:val="both"/>
      </w:pPr>
      <w:r w:rsidRPr="0069377F">
        <w:rPr>
          <w:rStyle w:val="EndnoteReference"/>
        </w:rPr>
        <w:endnoteRef/>
      </w:r>
      <w:r w:rsidRPr="0069377F">
        <w:t xml:space="preserve"> By this period spectacles had become </w:t>
      </w:r>
      <w:r w:rsidR="00C132F2" w:rsidRPr="0069377F">
        <w:t>affordable to</w:t>
      </w:r>
      <w:r w:rsidRPr="0069377F">
        <w:t xml:space="preserve"> the middling sort. See, for example, a print showing a schoolmistress wearing spectacles, A. </w:t>
      </w:r>
      <w:proofErr w:type="spellStart"/>
      <w:r w:rsidRPr="0069377F">
        <w:t>Bosse</w:t>
      </w:r>
      <w:proofErr w:type="spellEnd"/>
      <w:r w:rsidRPr="0069377F">
        <w:t xml:space="preserve">, </w:t>
      </w:r>
      <w:r w:rsidRPr="0069377F">
        <w:rPr>
          <w:i/>
        </w:rPr>
        <w:t xml:space="preserve">La </w:t>
      </w:r>
      <w:proofErr w:type="spellStart"/>
      <w:r w:rsidRPr="0069377F">
        <w:rPr>
          <w:i/>
        </w:rPr>
        <w:t>maistresse</w:t>
      </w:r>
      <w:proofErr w:type="spellEnd"/>
      <w:r w:rsidRPr="0069377F">
        <w:rPr>
          <w:i/>
        </w:rPr>
        <w:t xml:space="preserve"> </w:t>
      </w:r>
      <w:proofErr w:type="spellStart"/>
      <w:r w:rsidRPr="0069377F">
        <w:rPr>
          <w:i/>
        </w:rPr>
        <w:t>d’escole</w:t>
      </w:r>
      <w:proofErr w:type="spellEnd"/>
      <w:r w:rsidRPr="0069377F">
        <w:t>, c. 1638, print,</w:t>
      </w:r>
      <w:r w:rsidR="00623104" w:rsidRPr="0069377F">
        <w:t xml:space="preserve"> 26.1 x 32.8 cm</w:t>
      </w:r>
      <w:r w:rsidRPr="0069377F">
        <w:t xml:space="preserve">, </w:t>
      </w:r>
      <w:r w:rsidR="00C132F2" w:rsidRPr="0069377F">
        <w:t>ART 264811,</w:t>
      </w:r>
      <w:r w:rsidR="00C132F2" w:rsidRPr="0069377F">
        <w:rPr>
          <w:color w:val="FF0000"/>
        </w:rPr>
        <w:t xml:space="preserve"> </w:t>
      </w:r>
      <w:r w:rsidRPr="0069377F">
        <w:t xml:space="preserve">Folger Shakespeare Library, </w:t>
      </w:r>
      <w:r w:rsidR="00C132F2" w:rsidRPr="0069377F">
        <w:t>Washington</w:t>
      </w:r>
      <w:r w:rsidR="00623104" w:rsidRPr="0069377F">
        <w:t xml:space="preserve"> </w:t>
      </w:r>
      <w:r w:rsidRPr="0069377F">
        <w:t xml:space="preserve">(Online). Available from: </w:t>
      </w:r>
    </w:p>
    <w:p w14:paraId="5F56AEF3" w14:textId="4142C9AE" w:rsidR="00E73328" w:rsidRPr="0069377F" w:rsidRDefault="00103DB6" w:rsidP="0069377F">
      <w:pPr>
        <w:pStyle w:val="EndnoteText"/>
        <w:ind w:firstLine="720"/>
        <w:jc w:val="both"/>
      </w:pPr>
      <w:hyperlink r:id="rId1" w:history="1">
        <w:r w:rsidR="00623104" w:rsidRPr="0069377F">
          <w:rPr>
            <w:rStyle w:val="Hyperlink"/>
            <w:color w:val="auto"/>
            <w:u w:val="none"/>
          </w:rPr>
          <w:t>http://luna.folger.edu/luna/servlet/detail/FOLGERCM1~6~6~713698~149209:La-maistresse-d-escole--graphic----?qvq=q:A.%2BBosse;lc:FOLGERCM1~6~6,BINDINGS~1~1&amp;mi=7&amp;trs=13</w:t>
        </w:r>
      </w:hyperlink>
      <w:r w:rsidR="00E73328" w:rsidRPr="0069377F">
        <w:t xml:space="preserve"> [Accessed</w:t>
      </w:r>
      <w:r w:rsidR="00C132F2" w:rsidRPr="0069377F">
        <w:t>:</w:t>
      </w:r>
      <w:r w:rsidR="00623104" w:rsidRPr="0069377F">
        <w:t xml:space="preserve"> 13 November 2014</w:t>
      </w:r>
      <w:r w:rsidR="00E73328" w:rsidRPr="0069377F">
        <w:t>].</w:t>
      </w:r>
    </w:p>
  </w:endnote>
  <w:endnote w:id="48">
    <w:p w14:paraId="1B828821" w14:textId="7B56F786" w:rsidR="00E73328" w:rsidRPr="0069377F" w:rsidRDefault="00E73328" w:rsidP="0069377F">
      <w:pPr>
        <w:pStyle w:val="EndnoteText"/>
        <w:ind w:firstLine="720"/>
        <w:jc w:val="both"/>
      </w:pPr>
      <w:r w:rsidRPr="0069377F">
        <w:rPr>
          <w:rStyle w:val="EndnoteReference"/>
        </w:rPr>
        <w:endnoteRef/>
      </w:r>
      <w:r w:rsidRPr="0069377F">
        <w:t xml:space="preserve"> P. </w:t>
      </w:r>
      <w:proofErr w:type="spellStart"/>
      <w:r w:rsidRPr="0069377F">
        <w:t>Paolini</w:t>
      </w:r>
      <w:proofErr w:type="spellEnd"/>
      <w:r w:rsidRPr="0069377F">
        <w:t xml:space="preserve">, </w:t>
      </w:r>
      <w:r w:rsidRPr="0069377F">
        <w:rPr>
          <w:i/>
        </w:rPr>
        <w:t>Allegory of the Five Senses</w:t>
      </w:r>
      <w:r w:rsidRPr="0069377F">
        <w:t>, c.1630, oil on canvas, 125.1 x 173 cm, Walters Art Museum, Baltimore, acc. no. 37.2768.</w:t>
      </w:r>
    </w:p>
  </w:endnote>
  <w:endnote w:id="49">
    <w:p w14:paraId="79AD2A62" w14:textId="3DFD469C" w:rsidR="00E73328" w:rsidRPr="0069377F" w:rsidRDefault="00E73328" w:rsidP="0069377F">
      <w:pPr>
        <w:pStyle w:val="EndnoteText"/>
        <w:ind w:firstLine="720"/>
        <w:jc w:val="both"/>
      </w:pPr>
      <w:r w:rsidRPr="0069377F">
        <w:rPr>
          <w:rStyle w:val="EndnoteReference"/>
        </w:rPr>
        <w:endnoteRef/>
      </w:r>
      <w:r w:rsidRPr="0069377F">
        <w:t xml:space="preserve"> M. Bath, </w:t>
      </w:r>
      <w:r w:rsidRPr="0069377F">
        <w:rPr>
          <w:i/>
        </w:rPr>
        <w:t>Speaking Pictures: English Emblem Books and Renaissance Culture</w:t>
      </w:r>
      <w:r w:rsidRPr="0069377F">
        <w:t xml:space="preserve"> (London: Longman, 1994); M. Bath, </w:t>
      </w:r>
      <w:r w:rsidRPr="0069377F">
        <w:rPr>
          <w:i/>
        </w:rPr>
        <w:t>Emblems for a Queen: The Needlework of Mary Queen of Scots</w:t>
      </w:r>
      <w:r w:rsidRPr="0069377F">
        <w:t xml:space="preserve"> (London: Archetype, 2008), pp. 23–48; S. Frye, </w:t>
      </w:r>
      <w:r w:rsidRPr="0069377F">
        <w:rPr>
          <w:i/>
        </w:rPr>
        <w:t>Pens and Needles: Women’s Textualities in Early Modern England</w:t>
      </w:r>
      <w:r w:rsidRPr="0069377F">
        <w:t xml:space="preserve"> (Philadelphia: University of Pennsylvania Press, 2010), pp. 30–31, 39–41, 52–54; D. Russell, </w:t>
      </w:r>
      <w:r w:rsidRPr="0069377F">
        <w:rPr>
          <w:i/>
        </w:rPr>
        <w:t>Emblematic Structures in Renaissance French Culture</w:t>
      </w:r>
      <w:r w:rsidRPr="0069377F">
        <w:t xml:space="preserve"> (Toronto: University of Toronto Press, 1995).</w:t>
      </w:r>
    </w:p>
  </w:endnote>
  <w:endnote w:id="50">
    <w:p w14:paraId="033FEDFD" w14:textId="77777777" w:rsidR="00E73328" w:rsidRPr="0069377F" w:rsidRDefault="00E73328" w:rsidP="0069377F">
      <w:pPr>
        <w:pStyle w:val="EndnoteText"/>
        <w:ind w:firstLine="720"/>
        <w:jc w:val="both"/>
      </w:pPr>
      <w:r w:rsidRPr="0069377F">
        <w:rPr>
          <w:rStyle w:val="EndnoteReference"/>
        </w:rPr>
        <w:endnoteRef/>
      </w:r>
      <w:r w:rsidRPr="0069377F">
        <w:t xml:space="preserve"> G. </w:t>
      </w:r>
      <w:proofErr w:type="spellStart"/>
      <w:r w:rsidRPr="0069377F">
        <w:t>Puttenham</w:t>
      </w:r>
      <w:proofErr w:type="spellEnd"/>
      <w:r w:rsidRPr="0069377F">
        <w:t xml:space="preserve">, </w:t>
      </w:r>
      <w:r w:rsidRPr="0069377F">
        <w:rPr>
          <w:i/>
        </w:rPr>
        <w:t xml:space="preserve">The Arte of English </w:t>
      </w:r>
      <w:proofErr w:type="spellStart"/>
      <w:r w:rsidRPr="0069377F">
        <w:rPr>
          <w:i/>
        </w:rPr>
        <w:t>Poesie</w:t>
      </w:r>
      <w:proofErr w:type="spellEnd"/>
      <w:r w:rsidRPr="0069377F">
        <w:t xml:space="preserve"> (London: 1589), book 2, chapter 58.</w:t>
      </w:r>
    </w:p>
  </w:endnote>
  <w:endnote w:id="51">
    <w:p w14:paraId="4699A41A" w14:textId="1CA169CD" w:rsidR="00E73328" w:rsidRPr="0069377F" w:rsidRDefault="00E73328" w:rsidP="0069377F">
      <w:pPr>
        <w:pStyle w:val="EndnoteText"/>
        <w:tabs>
          <w:tab w:val="left" w:pos="1920"/>
        </w:tabs>
        <w:ind w:firstLine="720"/>
        <w:jc w:val="both"/>
        <w:rPr>
          <w:color w:val="FF00FF"/>
        </w:rPr>
      </w:pPr>
      <w:r w:rsidRPr="0069377F">
        <w:rPr>
          <w:rStyle w:val="EndnoteReference"/>
        </w:rPr>
        <w:endnoteRef/>
      </w:r>
      <w:r w:rsidRPr="0069377F">
        <w:t xml:space="preserve"> Over 2,000 editions were available in the seventeenth century, a further indication of the scale of demand, </w:t>
      </w:r>
      <w:proofErr w:type="spellStart"/>
      <w:r w:rsidRPr="0069377F">
        <w:t>Meakin</w:t>
      </w:r>
      <w:proofErr w:type="spellEnd"/>
      <w:r w:rsidRPr="0069377F">
        <w:t xml:space="preserve">, </w:t>
      </w:r>
      <w:r w:rsidRPr="0069377F">
        <w:rPr>
          <w:i/>
        </w:rPr>
        <w:t>The Painted Closet</w:t>
      </w:r>
      <w:r w:rsidRPr="0069377F">
        <w:t>, p. 126</w:t>
      </w:r>
      <w:r w:rsidRPr="0069377F">
        <w:rPr>
          <w:color w:val="FF00FF"/>
        </w:rPr>
        <w:t xml:space="preserve">. </w:t>
      </w:r>
    </w:p>
  </w:endnote>
  <w:endnote w:id="52">
    <w:p w14:paraId="0F396533" w14:textId="1B8129B3" w:rsidR="00E73328" w:rsidRPr="0069377F" w:rsidRDefault="00E73328" w:rsidP="0069377F">
      <w:pPr>
        <w:pStyle w:val="EndnoteText"/>
        <w:ind w:firstLine="720"/>
        <w:jc w:val="both"/>
      </w:pPr>
      <w:r w:rsidRPr="0069377F">
        <w:rPr>
          <w:rStyle w:val="EndnoteReference"/>
        </w:rPr>
        <w:endnoteRef/>
      </w:r>
      <w:r w:rsidRPr="0069377F">
        <w:t xml:space="preserve"> Strickland, </w:t>
      </w:r>
      <w:r w:rsidRPr="0069377F">
        <w:rPr>
          <w:i/>
        </w:rPr>
        <w:t>Letters of Mary Queen of Scots</w:t>
      </w:r>
      <w:r w:rsidRPr="0069377F">
        <w:t xml:space="preserve">, </w:t>
      </w:r>
      <w:r w:rsidR="007217D4" w:rsidRPr="0069377F">
        <w:rPr>
          <w:smallCaps/>
          <w:lang w:eastAsia="en-GB"/>
        </w:rPr>
        <w:t>ii</w:t>
      </w:r>
      <w:r w:rsidRPr="0069377F">
        <w:t>, p. 308.</w:t>
      </w:r>
    </w:p>
  </w:endnote>
  <w:endnote w:id="53">
    <w:p w14:paraId="27EC014A" w14:textId="77777777" w:rsidR="00E73328" w:rsidRPr="0069377F" w:rsidRDefault="00E73328" w:rsidP="0069377F">
      <w:pPr>
        <w:pStyle w:val="EndnoteText"/>
        <w:ind w:firstLine="720"/>
        <w:jc w:val="both"/>
      </w:pPr>
      <w:r w:rsidRPr="0069377F">
        <w:rPr>
          <w:rStyle w:val="EndnoteReference"/>
        </w:rPr>
        <w:endnoteRef/>
      </w:r>
      <w:r w:rsidRPr="0069377F">
        <w:t xml:space="preserve"> W. </w:t>
      </w:r>
      <w:proofErr w:type="spellStart"/>
      <w:r w:rsidRPr="0069377F">
        <w:t>Murdin</w:t>
      </w:r>
      <w:proofErr w:type="spellEnd"/>
      <w:r w:rsidRPr="0069377F">
        <w:t xml:space="preserve"> ed., </w:t>
      </w:r>
      <w:r w:rsidRPr="0069377F">
        <w:rPr>
          <w:i/>
        </w:rPr>
        <w:t>A Collection of State Papers Relating to Affairs in the Reign of Elizabeth I, Transcribed from the Original Papers, Left by William Cecil Lord Burghley, and Deposited in the Library at Hatfield House</w:t>
      </w:r>
      <w:r w:rsidRPr="0069377F">
        <w:t xml:space="preserve"> (London: W. Bowyer, 1759), pp. 46–51; M. Swain, </w:t>
      </w:r>
      <w:r w:rsidRPr="0069377F">
        <w:rPr>
          <w:i/>
        </w:rPr>
        <w:t>The Needlework of Mary Queen of Scots</w:t>
      </w:r>
      <w:r w:rsidRPr="0069377F">
        <w:t xml:space="preserve"> (London: Van </w:t>
      </w:r>
      <w:proofErr w:type="spellStart"/>
      <w:r w:rsidRPr="0069377F">
        <w:t>Nostrand</w:t>
      </w:r>
      <w:proofErr w:type="spellEnd"/>
      <w:r w:rsidRPr="0069377F">
        <w:t xml:space="preserve"> Reinhold, 1973), p. 75.</w:t>
      </w:r>
    </w:p>
  </w:endnote>
  <w:endnote w:id="54">
    <w:p w14:paraId="23FA2A5C"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spellStart"/>
      <w:r w:rsidRPr="0069377F">
        <w:t>Murdin</w:t>
      </w:r>
      <w:proofErr w:type="spellEnd"/>
      <w:r w:rsidRPr="0069377F">
        <w:t xml:space="preserve"> ed., </w:t>
      </w:r>
      <w:proofErr w:type="gramStart"/>
      <w:r w:rsidRPr="0069377F">
        <w:rPr>
          <w:i/>
        </w:rPr>
        <w:t>A</w:t>
      </w:r>
      <w:proofErr w:type="gramEnd"/>
      <w:r w:rsidRPr="0069377F">
        <w:rPr>
          <w:i/>
        </w:rPr>
        <w:t xml:space="preserve"> Collection of State Papers</w:t>
      </w:r>
      <w:r w:rsidRPr="0069377F">
        <w:t>, p. 57.</w:t>
      </w:r>
    </w:p>
  </w:endnote>
  <w:endnote w:id="55">
    <w:p w14:paraId="4F37C0EC" w14:textId="7C0FB82D" w:rsidR="00E73328" w:rsidRPr="0069377F" w:rsidRDefault="00E73328" w:rsidP="0069377F">
      <w:pPr>
        <w:pStyle w:val="EndnoteText"/>
        <w:ind w:firstLine="720"/>
        <w:jc w:val="both"/>
      </w:pPr>
      <w:r w:rsidRPr="0069377F">
        <w:rPr>
          <w:rStyle w:val="EndnoteReference"/>
        </w:rPr>
        <w:endnoteRef/>
      </w:r>
      <w:r w:rsidRPr="0069377F">
        <w:t xml:space="preserve"> The 1547 Inventory of Henry VIII, part 2, 1547, Harley MS 1419, f. 124r, British Library.</w:t>
      </w:r>
    </w:p>
  </w:endnote>
  <w:endnote w:id="56">
    <w:p w14:paraId="28F0EBBD" w14:textId="2BD983BA" w:rsidR="00E73328" w:rsidRPr="0069377F" w:rsidRDefault="00E73328" w:rsidP="0069377F">
      <w:pPr>
        <w:pStyle w:val="EndnoteText"/>
        <w:ind w:firstLine="720"/>
        <w:jc w:val="both"/>
      </w:pPr>
      <w:r w:rsidRPr="0069377F">
        <w:rPr>
          <w:rStyle w:val="EndnoteReference"/>
        </w:rPr>
        <w:endnoteRef/>
      </w:r>
      <w:r w:rsidRPr="0069377F">
        <w:t xml:space="preserve"> Bath, </w:t>
      </w:r>
      <w:r w:rsidRPr="0069377F">
        <w:rPr>
          <w:i/>
        </w:rPr>
        <w:t>Emblems for a Queen</w:t>
      </w:r>
      <w:r w:rsidRPr="0069377F">
        <w:t xml:space="preserve">, pp. 60–62. See also F. Dennis, ‘Resurrecting forgotten sound: fans and </w:t>
      </w:r>
      <w:proofErr w:type="spellStart"/>
      <w:r w:rsidRPr="0069377F">
        <w:t>handbells</w:t>
      </w:r>
      <w:proofErr w:type="spellEnd"/>
      <w:r w:rsidRPr="0069377F">
        <w:t xml:space="preserve"> in early modern Italy’, in T</w:t>
      </w:r>
      <w:r w:rsidR="0065043B" w:rsidRPr="0069377F">
        <w:t xml:space="preserve">. </w:t>
      </w:r>
      <w:proofErr w:type="spellStart"/>
      <w:r w:rsidR="0065043B" w:rsidRPr="0069377F">
        <w:t>Hamling</w:t>
      </w:r>
      <w:proofErr w:type="spellEnd"/>
      <w:r w:rsidR="0065043B" w:rsidRPr="0069377F">
        <w:t xml:space="preserve"> and C. Richardson </w:t>
      </w:r>
      <w:proofErr w:type="spellStart"/>
      <w:proofErr w:type="gramStart"/>
      <w:r w:rsidR="0065043B" w:rsidRPr="0069377F">
        <w:t>eds</w:t>
      </w:r>
      <w:proofErr w:type="spellEnd"/>
      <w:proofErr w:type="gramEnd"/>
      <w:r w:rsidRPr="0069377F">
        <w:t xml:space="preserve">, </w:t>
      </w:r>
      <w:r w:rsidRPr="0069377F">
        <w:rPr>
          <w:i/>
        </w:rPr>
        <w:t>Everyday Objects: Medieval and Early Modern Material Culture and its Meaning</w:t>
      </w:r>
      <w:r w:rsidRPr="0069377F">
        <w:t xml:space="preserve"> (Farnham: </w:t>
      </w:r>
      <w:proofErr w:type="spellStart"/>
      <w:r w:rsidRPr="0069377F">
        <w:t>Ashgate</w:t>
      </w:r>
      <w:proofErr w:type="spellEnd"/>
      <w:r w:rsidRPr="0069377F">
        <w:t>, 2010), pp. 191–210.</w:t>
      </w:r>
    </w:p>
  </w:endnote>
  <w:endnote w:id="57">
    <w:p w14:paraId="3D906882" w14:textId="77777777" w:rsidR="00E73328" w:rsidRPr="0069377F" w:rsidRDefault="00E73328" w:rsidP="0069377F">
      <w:pPr>
        <w:pStyle w:val="EndnoteText"/>
        <w:ind w:firstLine="720"/>
        <w:jc w:val="both"/>
      </w:pPr>
      <w:r w:rsidRPr="0069377F">
        <w:rPr>
          <w:rStyle w:val="EndnoteReference"/>
        </w:rPr>
        <w:endnoteRef/>
      </w:r>
      <w:r w:rsidRPr="0069377F">
        <w:t xml:space="preserve"> Sackville-West, </w:t>
      </w:r>
      <w:proofErr w:type="spellStart"/>
      <w:r w:rsidRPr="0069377F">
        <w:rPr>
          <w:i/>
        </w:rPr>
        <w:t>Knole</w:t>
      </w:r>
      <w:proofErr w:type="spellEnd"/>
      <w:r w:rsidRPr="0069377F">
        <w:t>, p. 73.</w:t>
      </w:r>
    </w:p>
  </w:endnote>
  <w:endnote w:id="58">
    <w:p w14:paraId="68061B91" w14:textId="635963A4" w:rsidR="00E73328" w:rsidRPr="0069377F" w:rsidRDefault="00E73328" w:rsidP="0069377F">
      <w:pPr>
        <w:pStyle w:val="EndnoteText"/>
        <w:ind w:firstLine="720"/>
        <w:jc w:val="both"/>
      </w:pPr>
      <w:r w:rsidRPr="0069377F">
        <w:rPr>
          <w:rStyle w:val="EndnoteReference"/>
        </w:rPr>
        <w:endnoteRef/>
      </w:r>
      <w:r w:rsidRPr="0069377F">
        <w:t xml:space="preserve"> M. A. Hayward, </w:t>
      </w:r>
      <w:proofErr w:type="gramStart"/>
      <w:r w:rsidRPr="0069377F">
        <w:rPr>
          <w:i/>
        </w:rPr>
        <w:t>The</w:t>
      </w:r>
      <w:proofErr w:type="gramEnd"/>
      <w:r w:rsidRPr="0069377F">
        <w:rPr>
          <w:i/>
        </w:rPr>
        <w:t xml:space="preserve"> 1542 Inventory of Whitehall: The Palace and its Keeper</w:t>
      </w:r>
      <w:r w:rsidRPr="0069377F">
        <w:t xml:space="preserve">, </w:t>
      </w:r>
      <w:proofErr w:type="spellStart"/>
      <w:r w:rsidR="0065043B" w:rsidRPr="0069377F">
        <w:rPr>
          <w:smallCaps/>
          <w:lang w:eastAsia="en-GB"/>
        </w:rPr>
        <w:t>i</w:t>
      </w:r>
      <w:proofErr w:type="spellEnd"/>
      <w:r w:rsidR="0065043B" w:rsidRPr="0069377F">
        <w:rPr>
          <w:smallCaps/>
          <w:lang w:eastAsia="en-GB"/>
        </w:rPr>
        <w:t xml:space="preserve"> </w:t>
      </w:r>
      <w:r w:rsidRPr="0069377F">
        <w:t xml:space="preserve">(London: </w:t>
      </w:r>
      <w:proofErr w:type="spellStart"/>
      <w:r w:rsidRPr="0069377F">
        <w:t>Illuminata</w:t>
      </w:r>
      <w:proofErr w:type="spellEnd"/>
      <w:r w:rsidRPr="0069377F">
        <w:t xml:space="preserve"> for the Society of Antiquaries, 2004), pp. 95–105.</w:t>
      </w:r>
    </w:p>
  </w:endnote>
  <w:endnote w:id="59">
    <w:p w14:paraId="4D5C696F" w14:textId="77777777" w:rsidR="00E73328" w:rsidRPr="0069377F" w:rsidRDefault="00E73328" w:rsidP="0069377F">
      <w:pPr>
        <w:pStyle w:val="EndnoteText"/>
        <w:ind w:firstLine="720"/>
        <w:jc w:val="both"/>
        <w:rPr>
          <w:color w:val="FF00FF"/>
        </w:rPr>
      </w:pPr>
      <w:r w:rsidRPr="0069377F">
        <w:rPr>
          <w:rStyle w:val="EndnoteReference"/>
        </w:rPr>
        <w:endnoteRef/>
      </w:r>
      <w:r w:rsidRPr="0069377F">
        <w:t xml:space="preserve"> Smith, </w:t>
      </w:r>
      <w:r w:rsidRPr="0069377F">
        <w:rPr>
          <w:i/>
        </w:rPr>
        <w:t>Key of Green</w:t>
      </w:r>
      <w:r w:rsidRPr="0069377F">
        <w:t>, pp. 85–90.</w:t>
      </w:r>
    </w:p>
  </w:endnote>
  <w:endnote w:id="60">
    <w:p w14:paraId="6D45A668"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spellStart"/>
      <w:r w:rsidRPr="0069377F">
        <w:t>Woolgar</w:t>
      </w:r>
      <w:proofErr w:type="spellEnd"/>
      <w:r w:rsidRPr="0069377F">
        <w:t xml:space="preserve">, </w:t>
      </w:r>
      <w:proofErr w:type="gramStart"/>
      <w:r w:rsidRPr="0069377F">
        <w:rPr>
          <w:i/>
        </w:rPr>
        <w:t>The</w:t>
      </w:r>
      <w:proofErr w:type="gramEnd"/>
      <w:r w:rsidRPr="0069377F">
        <w:rPr>
          <w:i/>
        </w:rPr>
        <w:t xml:space="preserve"> Senses</w:t>
      </w:r>
      <w:r w:rsidRPr="0069377F">
        <w:t>, pp. 157–59.</w:t>
      </w:r>
    </w:p>
  </w:endnote>
  <w:endnote w:id="61">
    <w:p w14:paraId="240DD0E1" w14:textId="77777777" w:rsidR="00E73328" w:rsidRPr="0069377F" w:rsidRDefault="00E73328" w:rsidP="0069377F">
      <w:pPr>
        <w:ind w:firstLine="720"/>
        <w:jc w:val="both"/>
        <w:rPr>
          <w:sz w:val="20"/>
          <w:szCs w:val="20"/>
        </w:rPr>
      </w:pPr>
      <w:r w:rsidRPr="0069377F">
        <w:rPr>
          <w:rStyle w:val="EndnoteReference"/>
          <w:sz w:val="20"/>
          <w:szCs w:val="20"/>
        </w:rPr>
        <w:endnoteRef/>
      </w:r>
      <w:r w:rsidRPr="0069377F">
        <w:rPr>
          <w:sz w:val="20"/>
          <w:szCs w:val="20"/>
        </w:rPr>
        <w:t xml:space="preserve"> See, for example, M. C. Linthicum, </w:t>
      </w:r>
      <w:r w:rsidRPr="0069377F">
        <w:rPr>
          <w:i/>
          <w:sz w:val="20"/>
          <w:szCs w:val="20"/>
        </w:rPr>
        <w:t>Costume in the Drama of Shakespeare and his Contemporaries</w:t>
      </w:r>
      <w:r w:rsidRPr="0069377F">
        <w:rPr>
          <w:sz w:val="20"/>
          <w:szCs w:val="20"/>
        </w:rPr>
        <w:t xml:space="preserve"> (Oxford: The Clarendon Press, 1936), pp. 13–52.</w:t>
      </w:r>
      <w:r w:rsidRPr="0069377F">
        <w:rPr>
          <w:color w:val="FF00FF"/>
          <w:sz w:val="20"/>
          <w:szCs w:val="20"/>
        </w:rPr>
        <w:t xml:space="preserve"> </w:t>
      </w:r>
      <w:r w:rsidRPr="0069377F">
        <w:rPr>
          <w:sz w:val="20"/>
          <w:szCs w:val="20"/>
        </w:rPr>
        <w:t xml:space="preserve">Also Smith, </w:t>
      </w:r>
      <w:r w:rsidRPr="0069377F">
        <w:rPr>
          <w:i/>
          <w:sz w:val="20"/>
          <w:szCs w:val="20"/>
        </w:rPr>
        <w:t>Key of Green</w:t>
      </w:r>
      <w:r w:rsidRPr="0069377F">
        <w:rPr>
          <w:sz w:val="20"/>
          <w:szCs w:val="20"/>
        </w:rPr>
        <w:t>, chapter 3.</w:t>
      </w:r>
    </w:p>
  </w:endnote>
  <w:endnote w:id="62">
    <w:p w14:paraId="41130D32" w14:textId="04909A82" w:rsidR="00E73328" w:rsidRPr="0069377F" w:rsidRDefault="00E73328" w:rsidP="0069377F">
      <w:pPr>
        <w:pStyle w:val="EndnoteText"/>
        <w:ind w:firstLine="720"/>
        <w:jc w:val="both"/>
      </w:pPr>
      <w:r w:rsidRPr="0069377F">
        <w:rPr>
          <w:rStyle w:val="EndnoteReference"/>
        </w:rPr>
        <w:endnoteRef/>
      </w:r>
      <w:r w:rsidRPr="0069377F">
        <w:t xml:space="preserve"> The 1547 Inventory of Henry VIII, part 2, 1547, Harley MS 1419, ff. 398r–400v, </w:t>
      </w:r>
      <w:r w:rsidR="00EE58F4" w:rsidRPr="0069377F">
        <w:t>British Library</w:t>
      </w:r>
      <w:r w:rsidRPr="0069377F">
        <w:t>.</w:t>
      </w:r>
    </w:p>
  </w:endnote>
  <w:endnote w:id="63">
    <w:p w14:paraId="12EE1F9E" w14:textId="5406F0DE" w:rsidR="00E73328" w:rsidRPr="0069377F" w:rsidRDefault="00E73328" w:rsidP="0069377F">
      <w:pPr>
        <w:pStyle w:val="EndnoteText"/>
        <w:ind w:firstLine="720"/>
        <w:jc w:val="both"/>
      </w:pPr>
      <w:r w:rsidRPr="0069377F">
        <w:rPr>
          <w:rStyle w:val="EndnoteReference"/>
        </w:rPr>
        <w:endnoteRef/>
      </w:r>
      <w:r w:rsidRPr="0069377F">
        <w:t xml:space="preserve"> The inventory of Elizabeth I’s wardrobe of the robes, 1600, Stowe MS 557, ff. 18r, 18v, 20v, 24r, 37v, 42v, </w:t>
      </w:r>
      <w:r w:rsidR="00EE58F4" w:rsidRPr="0069377F">
        <w:t>British Library</w:t>
      </w:r>
      <w:r w:rsidRPr="0069377F">
        <w:t xml:space="preserve">. </w:t>
      </w:r>
    </w:p>
  </w:endnote>
  <w:endnote w:id="64">
    <w:p w14:paraId="543FABD1" w14:textId="4C7E9CB5" w:rsidR="00E73328" w:rsidRPr="0069377F" w:rsidRDefault="00E73328" w:rsidP="0069377F">
      <w:pPr>
        <w:pStyle w:val="EndnoteText"/>
        <w:ind w:firstLine="720"/>
        <w:jc w:val="both"/>
      </w:pPr>
      <w:r w:rsidRPr="0069377F">
        <w:rPr>
          <w:rStyle w:val="EndnoteReference"/>
        </w:rPr>
        <w:endnoteRef/>
      </w:r>
      <w:r w:rsidRPr="0069377F">
        <w:t xml:space="preserve"> M. A. Hayward,</w:t>
      </w:r>
      <w:r w:rsidRPr="0069377F">
        <w:rPr>
          <w:color w:val="FF00FF"/>
        </w:rPr>
        <w:t xml:space="preserve"> </w:t>
      </w:r>
      <w:r w:rsidRPr="0069377F">
        <w:rPr>
          <w:color w:val="000000"/>
        </w:rPr>
        <w:t xml:space="preserve">‘Symbols of majesty: cloths of estate at the court of Henry VIII’, </w:t>
      </w:r>
      <w:r w:rsidRPr="0069377F">
        <w:rPr>
          <w:i/>
          <w:color w:val="000000"/>
        </w:rPr>
        <w:t>Furniture History</w:t>
      </w:r>
      <w:r w:rsidRPr="0069377F">
        <w:rPr>
          <w:color w:val="000000"/>
        </w:rPr>
        <w:t xml:space="preserve">, </w:t>
      </w:r>
      <w:r w:rsidR="00EE58F4" w:rsidRPr="0069377F">
        <w:rPr>
          <w:smallCaps/>
          <w:lang w:eastAsia="en-GB"/>
        </w:rPr>
        <w:t>xli</w:t>
      </w:r>
      <w:r w:rsidRPr="0069377F">
        <w:rPr>
          <w:color w:val="000000"/>
        </w:rPr>
        <w:t xml:space="preserve"> (2005), pp. 1</w:t>
      </w:r>
      <w:r w:rsidRPr="0069377F">
        <w:t>–</w:t>
      </w:r>
      <w:r w:rsidRPr="0069377F">
        <w:rPr>
          <w:color w:val="000000"/>
        </w:rPr>
        <w:t>11.</w:t>
      </w:r>
    </w:p>
  </w:endnote>
  <w:endnote w:id="65">
    <w:p w14:paraId="29AF4C57" w14:textId="77777777" w:rsidR="00E73328" w:rsidRPr="0069377F" w:rsidRDefault="00E73328" w:rsidP="0069377F">
      <w:pPr>
        <w:pStyle w:val="EndnoteText"/>
        <w:ind w:firstLine="720"/>
        <w:jc w:val="both"/>
      </w:pPr>
      <w:r w:rsidRPr="0069377F">
        <w:rPr>
          <w:rStyle w:val="EndnoteReference"/>
        </w:rPr>
        <w:endnoteRef/>
      </w:r>
      <w:r w:rsidRPr="0069377F">
        <w:t xml:space="preserve"> T. P. Campbell, </w:t>
      </w:r>
      <w:r w:rsidRPr="0069377F">
        <w:rPr>
          <w:i/>
        </w:rPr>
        <w:t>Henry VIII and the Art of Majesty: Tapestries at the Tudor Court</w:t>
      </w:r>
      <w:r w:rsidRPr="0069377F">
        <w:t xml:space="preserve"> (New Haven and London: Yale University Press, 2007), pp. 231–34, 238, 241, 332.</w:t>
      </w:r>
    </w:p>
  </w:endnote>
  <w:endnote w:id="66">
    <w:p w14:paraId="45107029" w14:textId="77777777" w:rsidR="00E73328" w:rsidRPr="0069377F" w:rsidRDefault="00E73328" w:rsidP="0069377F">
      <w:pPr>
        <w:pStyle w:val="EndnoteText"/>
        <w:ind w:firstLine="720"/>
        <w:jc w:val="both"/>
      </w:pPr>
      <w:r w:rsidRPr="0069377F">
        <w:rPr>
          <w:rStyle w:val="EndnoteReference"/>
        </w:rPr>
        <w:endnoteRef/>
      </w:r>
      <w:r w:rsidRPr="0069377F">
        <w:t xml:space="preserve"> C. </w:t>
      </w:r>
      <w:proofErr w:type="spellStart"/>
      <w:r w:rsidRPr="0069377F">
        <w:t>Belsey</w:t>
      </w:r>
      <w:proofErr w:type="spellEnd"/>
      <w:r w:rsidRPr="0069377F">
        <w:t xml:space="preserve">, </w:t>
      </w:r>
      <w:r w:rsidRPr="0069377F">
        <w:rPr>
          <w:i/>
        </w:rPr>
        <w:t>Shakespeare and the Loss of Eden: The Construction of Family Values in Early Modern Culture</w:t>
      </w:r>
      <w:r w:rsidRPr="0069377F">
        <w:t xml:space="preserve"> (New Brunswick: Rutgers University Press, 1999), especially chapter 3.</w:t>
      </w:r>
    </w:p>
  </w:endnote>
  <w:endnote w:id="67">
    <w:p w14:paraId="22ABA478" w14:textId="450376EB" w:rsidR="00E73328" w:rsidRPr="0069377F" w:rsidRDefault="00E73328" w:rsidP="0069377F">
      <w:pPr>
        <w:pStyle w:val="EndnoteText"/>
        <w:ind w:firstLine="720"/>
        <w:jc w:val="both"/>
        <w:rPr>
          <w:bCs/>
          <w:iCs/>
          <w:shd w:val="clear" w:color="auto" w:fill="FFFFFF"/>
        </w:rPr>
      </w:pPr>
      <w:r w:rsidRPr="0069377F">
        <w:rPr>
          <w:rStyle w:val="EndnoteReference"/>
        </w:rPr>
        <w:endnoteRef/>
      </w:r>
      <w:r w:rsidRPr="0069377F">
        <w:t xml:space="preserve"> See, for example,</w:t>
      </w:r>
      <w:r w:rsidRPr="0069377F">
        <w:rPr>
          <w:color w:val="FF00FF"/>
        </w:rPr>
        <w:t xml:space="preserve"> </w:t>
      </w:r>
      <w:r w:rsidRPr="0069377F">
        <w:rPr>
          <w:bCs/>
          <w:i/>
          <w:iCs/>
          <w:shd w:val="clear" w:color="auto" w:fill="FFFFFF"/>
        </w:rPr>
        <w:t xml:space="preserve">The Whole </w:t>
      </w:r>
      <w:proofErr w:type="spellStart"/>
      <w:r w:rsidRPr="0069377F">
        <w:rPr>
          <w:bCs/>
          <w:i/>
          <w:iCs/>
          <w:shd w:val="clear" w:color="auto" w:fill="FFFFFF"/>
        </w:rPr>
        <w:t>Booke</w:t>
      </w:r>
      <w:proofErr w:type="spellEnd"/>
      <w:r w:rsidRPr="0069377F">
        <w:rPr>
          <w:bCs/>
          <w:i/>
          <w:iCs/>
          <w:shd w:val="clear" w:color="auto" w:fill="FFFFFF"/>
        </w:rPr>
        <w:t xml:space="preserve"> of </w:t>
      </w:r>
      <w:proofErr w:type="spellStart"/>
      <w:r w:rsidRPr="0069377F">
        <w:rPr>
          <w:bCs/>
          <w:i/>
          <w:iCs/>
          <w:shd w:val="clear" w:color="auto" w:fill="FFFFFF"/>
        </w:rPr>
        <w:t>Psalmes</w:t>
      </w:r>
      <w:proofErr w:type="spellEnd"/>
      <w:r w:rsidRPr="0069377F">
        <w:rPr>
          <w:b/>
          <w:bCs/>
          <w:i/>
          <w:iCs/>
          <w:shd w:val="clear" w:color="auto" w:fill="FFFFFF"/>
        </w:rPr>
        <w:t xml:space="preserve"> </w:t>
      </w:r>
      <w:r w:rsidRPr="0069377F">
        <w:rPr>
          <w:bCs/>
          <w:iCs/>
          <w:shd w:val="clear" w:color="auto" w:fill="FFFFFF"/>
        </w:rPr>
        <w:t>(London: 1633), English embroidered binding, C.17.b.11, British Library.</w:t>
      </w:r>
    </w:p>
  </w:endnote>
  <w:endnote w:id="68">
    <w:p w14:paraId="2DD165B0" w14:textId="30F5E7DE" w:rsidR="00E73328" w:rsidRPr="0069377F" w:rsidRDefault="00E73328" w:rsidP="0069377F">
      <w:pPr>
        <w:pStyle w:val="EndnoteText"/>
        <w:ind w:firstLine="720"/>
        <w:jc w:val="both"/>
      </w:pPr>
      <w:r w:rsidRPr="0069377F">
        <w:rPr>
          <w:rStyle w:val="EndnoteReference"/>
        </w:rPr>
        <w:endnoteRef/>
      </w:r>
      <w:r w:rsidRPr="0069377F">
        <w:t xml:space="preserve"> The </w:t>
      </w:r>
      <w:proofErr w:type="spellStart"/>
      <w:r w:rsidRPr="0069377F">
        <w:t>Miroir</w:t>
      </w:r>
      <w:proofErr w:type="spellEnd"/>
      <w:r w:rsidRPr="0069377F">
        <w:t xml:space="preserve"> or </w:t>
      </w:r>
      <w:proofErr w:type="spellStart"/>
      <w:r w:rsidRPr="0069377F">
        <w:t>Glasse</w:t>
      </w:r>
      <w:proofErr w:type="spellEnd"/>
      <w:r w:rsidRPr="0069377F">
        <w:t xml:space="preserve"> of the </w:t>
      </w:r>
      <w:proofErr w:type="spellStart"/>
      <w:r w:rsidRPr="0069377F">
        <w:t>Synneful</w:t>
      </w:r>
      <w:proofErr w:type="spellEnd"/>
      <w:r w:rsidRPr="0069377F">
        <w:t xml:space="preserve"> Soul, 1544,</w:t>
      </w:r>
      <w:r w:rsidRPr="0069377F">
        <w:rPr>
          <w:color w:val="FF0000"/>
        </w:rPr>
        <w:t xml:space="preserve"> </w:t>
      </w:r>
      <w:r w:rsidRPr="0069377F">
        <w:t xml:space="preserve">MS Cherry 36, summary catalogue number 9810, Bodleian Library. </w:t>
      </w:r>
    </w:p>
  </w:endnote>
  <w:endnote w:id="69">
    <w:p w14:paraId="5536DF76" w14:textId="28DDB2FD" w:rsidR="00E73328" w:rsidRPr="0069377F" w:rsidRDefault="00E73328" w:rsidP="0069377F">
      <w:pPr>
        <w:pStyle w:val="EndnoteText"/>
        <w:ind w:firstLine="720"/>
        <w:jc w:val="both"/>
      </w:pPr>
      <w:r w:rsidRPr="0069377F">
        <w:rPr>
          <w:rStyle w:val="EndnoteReference"/>
        </w:rPr>
        <w:endnoteRef/>
      </w:r>
      <w:r w:rsidRPr="0069377F">
        <w:t xml:space="preserve"> Holy Bible, 1651, </w:t>
      </w:r>
      <w:r w:rsidRPr="0069377F">
        <w:rPr>
          <w:shd w:val="clear" w:color="auto" w:fill="FFFFFF"/>
        </w:rPr>
        <w:t>T.44 to B</w:t>
      </w:r>
      <w:r w:rsidRPr="0069377F">
        <w:t>–</w:t>
      </w:r>
      <w:r w:rsidRPr="0069377F">
        <w:rPr>
          <w:shd w:val="clear" w:color="auto" w:fill="FFFFFF"/>
        </w:rPr>
        <w:t>1954, Victoria and Albert Museum.</w:t>
      </w:r>
    </w:p>
  </w:endnote>
  <w:endnote w:id="70">
    <w:p w14:paraId="3527997E" w14:textId="77777777" w:rsidR="00E73328" w:rsidRPr="0069377F" w:rsidRDefault="00E73328" w:rsidP="0069377F">
      <w:pPr>
        <w:pStyle w:val="EndnoteText"/>
        <w:ind w:firstLine="720"/>
        <w:jc w:val="both"/>
      </w:pPr>
      <w:r w:rsidRPr="0069377F">
        <w:rPr>
          <w:rStyle w:val="EndnoteReference"/>
        </w:rPr>
        <w:endnoteRef/>
      </w:r>
      <w:r w:rsidRPr="0069377F">
        <w:t xml:space="preserve"> J. Ayres, </w:t>
      </w:r>
      <w:r w:rsidRPr="0069377F">
        <w:rPr>
          <w:i/>
        </w:rPr>
        <w:t>Domestic Interiors: The British Tradition 1500</w:t>
      </w:r>
      <w:r w:rsidRPr="0069377F">
        <w:t>–</w:t>
      </w:r>
      <w:r w:rsidRPr="0069377F">
        <w:rPr>
          <w:i/>
        </w:rPr>
        <w:t>1850</w:t>
      </w:r>
      <w:r w:rsidRPr="0069377F">
        <w:t xml:space="preserve"> (New Haven and London: Yale University Press, 2003), chapter 2. </w:t>
      </w:r>
    </w:p>
  </w:endnote>
  <w:endnote w:id="71">
    <w:p w14:paraId="4B3858A1" w14:textId="77777777" w:rsidR="00E73328" w:rsidRPr="0069377F" w:rsidRDefault="00E73328" w:rsidP="0069377F">
      <w:pPr>
        <w:pStyle w:val="EndnoteText"/>
        <w:ind w:firstLine="720"/>
        <w:jc w:val="both"/>
        <w:rPr>
          <w:i/>
        </w:rPr>
      </w:pPr>
      <w:r w:rsidRPr="0069377F">
        <w:rPr>
          <w:rStyle w:val="EndnoteReference"/>
        </w:rPr>
        <w:endnoteRef/>
      </w:r>
      <w:r w:rsidRPr="0069377F">
        <w:t xml:space="preserve"> P. Thornton, </w:t>
      </w:r>
      <w:r w:rsidRPr="0069377F">
        <w:rPr>
          <w:i/>
        </w:rPr>
        <w:t>Seventeenth Century Interior Decoration in England, France and Holland</w:t>
      </w:r>
      <w:r w:rsidRPr="0069377F">
        <w:t xml:space="preserve"> (New Haven and London: Yale University Press, 1978), pp. 268–81.</w:t>
      </w:r>
    </w:p>
  </w:endnote>
  <w:endnote w:id="72">
    <w:p w14:paraId="4BACFADE"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gramStart"/>
      <w:r w:rsidRPr="0069377F">
        <w:t>Ibid.,</w:t>
      </w:r>
      <w:proofErr w:type="gramEnd"/>
      <w:r w:rsidRPr="0069377F">
        <w:t xml:space="preserve"> pp. 66–67, 74–80, 249, 296.</w:t>
      </w:r>
    </w:p>
  </w:endnote>
  <w:endnote w:id="73">
    <w:p w14:paraId="46210372" w14:textId="0A9CF4A2" w:rsidR="00E73328" w:rsidRPr="0069377F" w:rsidRDefault="00E73328" w:rsidP="0069377F">
      <w:pPr>
        <w:pStyle w:val="EndnoteText"/>
        <w:ind w:firstLine="720"/>
        <w:jc w:val="both"/>
      </w:pPr>
      <w:r w:rsidRPr="0069377F">
        <w:rPr>
          <w:rStyle w:val="EndnoteReference"/>
        </w:rPr>
        <w:endnoteRef/>
      </w:r>
      <w:r w:rsidRPr="0069377F">
        <w:t xml:space="preserve"> The fascination of the mirror and its reflection is evident in Jan van Eyck, </w:t>
      </w:r>
      <w:r w:rsidRPr="0069377F">
        <w:rPr>
          <w:i/>
        </w:rPr>
        <w:t xml:space="preserve">The </w:t>
      </w:r>
      <w:proofErr w:type="spellStart"/>
      <w:r w:rsidRPr="0069377F">
        <w:rPr>
          <w:i/>
        </w:rPr>
        <w:t>Arnolfini</w:t>
      </w:r>
      <w:proofErr w:type="spellEnd"/>
      <w:r w:rsidRPr="0069377F">
        <w:rPr>
          <w:i/>
        </w:rPr>
        <w:t xml:space="preserve"> Portrait</w:t>
      </w:r>
      <w:r w:rsidRPr="0069377F">
        <w:t xml:space="preserve">, 1434, oil on oak, 82.2 x 60 cm, National Gallery, London, </w:t>
      </w:r>
      <w:proofErr w:type="gramStart"/>
      <w:r w:rsidRPr="0069377F">
        <w:t>NG</w:t>
      </w:r>
      <w:proofErr w:type="gramEnd"/>
      <w:r w:rsidRPr="0069377F">
        <w:t xml:space="preserve"> 186. The mirror in the centre of the painting provides the viewer with an image of two people, one of whom might be the artist.</w:t>
      </w:r>
    </w:p>
  </w:endnote>
  <w:endnote w:id="74">
    <w:p w14:paraId="7B8DFC5C" w14:textId="77777777" w:rsidR="00E73328" w:rsidRPr="0069377F" w:rsidRDefault="00E73328" w:rsidP="0069377F">
      <w:pPr>
        <w:pStyle w:val="EndnoteText"/>
        <w:ind w:firstLine="720"/>
        <w:jc w:val="both"/>
      </w:pPr>
      <w:r w:rsidRPr="0069377F">
        <w:rPr>
          <w:rStyle w:val="EndnoteReference"/>
        </w:rPr>
        <w:endnoteRef/>
      </w:r>
      <w:r w:rsidRPr="0069377F">
        <w:t xml:space="preserve"> With grateful thanks to Tara </w:t>
      </w:r>
      <w:proofErr w:type="spellStart"/>
      <w:r w:rsidRPr="0069377F">
        <w:t>Hamling</w:t>
      </w:r>
      <w:proofErr w:type="spellEnd"/>
      <w:r w:rsidRPr="0069377F">
        <w:t xml:space="preserve"> for this observation.</w:t>
      </w:r>
    </w:p>
  </w:endnote>
  <w:endnote w:id="75">
    <w:p w14:paraId="11174E5C" w14:textId="2109FBE8" w:rsidR="00E73328" w:rsidRPr="0069377F" w:rsidRDefault="00E73328" w:rsidP="0069377F">
      <w:pPr>
        <w:pStyle w:val="EndnoteText"/>
        <w:ind w:firstLine="720"/>
        <w:jc w:val="both"/>
      </w:pPr>
      <w:r w:rsidRPr="0069377F">
        <w:rPr>
          <w:rStyle w:val="EndnoteReference"/>
        </w:rPr>
        <w:endnoteRef/>
      </w:r>
      <w:r w:rsidRPr="0069377F">
        <w:t xml:space="preserve"> Bath, </w:t>
      </w:r>
      <w:r w:rsidRPr="0069377F">
        <w:rPr>
          <w:i/>
        </w:rPr>
        <w:t>Emblems for a Queen</w:t>
      </w:r>
      <w:r w:rsidRPr="0069377F">
        <w:t xml:space="preserve">, p. 20. This is described as being ‘in the </w:t>
      </w:r>
      <w:proofErr w:type="spellStart"/>
      <w:r w:rsidRPr="0069377F">
        <w:t>rufe</w:t>
      </w:r>
      <w:proofErr w:type="spellEnd"/>
      <w:r w:rsidRPr="0069377F">
        <w:t xml:space="preserve"> of the bed’ suggesting that this scene was on the </w:t>
      </w:r>
      <w:proofErr w:type="spellStart"/>
      <w:r w:rsidRPr="0069377F">
        <w:t>celure</w:t>
      </w:r>
      <w:proofErr w:type="spellEnd"/>
      <w:r w:rsidRPr="0069377F">
        <w:t>, decorating the internal ‘roof’ of the bed, which was visible to anybody lying in the bed.</w:t>
      </w:r>
    </w:p>
  </w:endnote>
  <w:endnote w:id="76">
    <w:p w14:paraId="4625D97E" w14:textId="77777777" w:rsidR="00E73328" w:rsidRPr="0069377F" w:rsidRDefault="00E73328" w:rsidP="0069377F">
      <w:pPr>
        <w:pStyle w:val="EndnoteText"/>
        <w:ind w:firstLine="720"/>
        <w:jc w:val="both"/>
        <w:rPr>
          <w:color w:val="FF00FF"/>
        </w:rPr>
      </w:pPr>
      <w:r w:rsidRPr="0069377F">
        <w:rPr>
          <w:rStyle w:val="EndnoteReference"/>
        </w:rPr>
        <w:endnoteRef/>
      </w:r>
      <w:r w:rsidRPr="0069377F">
        <w:t xml:space="preserve"> Sackville-West, </w:t>
      </w:r>
      <w:proofErr w:type="spellStart"/>
      <w:r w:rsidRPr="0069377F">
        <w:rPr>
          <w:i/>
        </w:rPr>
        <w:t>Knole</w:t>
      </w:r>
      <w:proofErr w:type="spellEnd"/>
      <w:r w:rsidRPr="0069377F">
        <w:t>, p. 73.</w:t>
      </w:r>
    </w:p>
  </w:endnote>
  <w:endnote w:id="77">
    <w:p w14:paraId="351587D9" w14:textId="77777777" w:rsidR="00E73328" w:rsidRPr="0069377F" w:rsidRDefault="00E73328" w:rsidP="0069377F">
      <w:pPr>
        <w:pStyle w:val="EndnoteText"/>
        <w:ind w:firstLine="720"/>
        <w:jc w:val="both"/>
      </w:pPr>
      <w:r w:rsidRPr="0069377F">
        <w:rPr>
          <w:rStyle w:val="EndnoteReference"/>
        </w:rPr>
        <w:endnoteRef/>
      </w:r>
      <w:r w:rsidRPr="0069377F">
        <w:t xml:space="preserve"> See, for example, T. Woodcock and J. M. Robinson, </w:t>
      </w:r>
      <w:r w:rsidRPr="0069377F">
        <w:rPr>
          <w:i/>
        </w:rPr>
        <w:t>Heraldry in National Trust Houses</w:t>
      </w:r>
      <w:r w:rsidRPr="0069377F">
        <w:t xml:space="preserve"> (London: National Trust Enterprises, 2000), pp. 23–36.</w:t>
      </w:r>
    </w:p>
  </w:endnote>
  <w:endnote w:id="78">
    <w:p w14:paraId="160957D7" w14:textId="77777777" w:rsidR="00E73328" w:rsidRPr="0069377F" w:rsidRDefault="00E73328" w:rsidP="0069377F">
      <w:pPr>
        <w:pStyle w:val="EndnoteText"/>
        <w:ind w:firstLine="720"/>
        <w:jc w:val="both"/>
      </w:pPr>
      <w:r w:rsidRPr="0069377F">
        <w:rPr>
          <w:rStyle w:val="EndnoteReference"/>
        </w:rPr>
        <w:endnoteRef/>
      </w:r>
      <w:r w:rsidRPr="0069377F">
        <w:t xml:space="preserve"> </w:t>
      </w:r>
      <w:proofErr w:type="gramStart"/>
      <w:r w:rsidRPr="0069377F">
        <w:t>Ibid.,</w:t>
      </w:r>
      <w:proofErr w:type="gramEnd"/>
      <w:r w:rsidRPr="0069377F">
        <w:t xml:space="preserve"> pp. 13, 114.</w:t>
      </w:r>
    </w:p>
  </w:endnote>
  <w:endnote w:id="79">
    <w:p w14:paraId="7F7B9BEF" w14:textId="77777777" w:rsidR="00E73328" w:rsidRPr="0069377F" w:rsidRDefault="00E73328" w:rsidP="0069377F">
      <w:pPr>
        <w:pStyle w:val="EndnoteText"/>
        <w:ind w:firstLine="720"/>
        <w:jc w:val="both"/>
      </w:pPr>
      <w:r w:rsidRPr="0069377F">
        <w:rPr>
          <w:rStyle w:val="EndnoteReference"/>
        </w:rPr>
        <w:endnoteRef/>
      </w:r>
      <w:r w:rsidRPr="0069377F">
        <w:t xml:space="preserve"> M. A. Hayward, ‘Rich pickings: Henry VIII’s use of confiscation and its significance for the development of the royal collection’, in T. Betteridge and S. Lipscomb </w:t>
      </w:r>
      <w:proofErr w:type="spellStart"/>
      <w:proofErr w:type="gramStart"/>
      <w:r w:rsidRPr="0069377F">
        <w:t>eds</w:t>
      </w:r>
      <w:proofErr w:type="spellEnd"/>
      <w:proofErr w:type="gramEnd"/>
      <w:r w:rsidRPr="0069377F">
        <w:t xml:space="preserve">, </w:t>
      </w:r>
      <w:r w:rsidRPr="0069377F">
        <w:rPr>
          <w:i/>
        </w:rPr>
        <w:t>Henry VIII and the Court: Art, Politics and Performance</w:t>
      </w:r>
      <w:r w:rsidRPr="0069377F">
        <w:t xml:space="preserve"> (Farnham: </w:t>
      </w:r>
      <w:proofErr w:type="spellStart"/>
      <w:r w:rsidRPr="0069377F">
        <w:t>Ashgate</w:t>
      </w:r>
      <w:proofErr w:type="spellEnd"/>
      <w:r w:rsidRPr="0069377F">
        <w:t>, 2013), pp. 29–46.</w:t>
      </w:r>
    </w:p>
  </w:endnote>
  <w:endnote w:id="80">
    <w:p w14:paraId="441A0EF1" w14:textId="689985A3" w:rsidR="00E73328" w:rsidRPr="0069377F" w:rsidRDefault="00E73328" w:rsidP="0069377F">
      <w:pPr>
        <w:pStyle w:val="EndnoteText"/>
        <w:ind w:firstLine="720"/>
        <w:jc w:val="both"/>
      </w:pPr>
      <w:r w:rsidRPr="0069377F">
        <w:rPr>
          <w:rStyle w:val="EndnoteReference"/>
        </w:rPr>
        <w:endnoteRef/>
      </w:r>
      <w:r w:rsidRPr="0069377F">
        <w:t xml:space="preserve"> See, for example, The 1547 Inventory of Henry VIII, part 1, 1547, MS 129, ff. 54v, 69r, 89v</w:t>
      </w:r>
      <w:r w:rsidR="003C2180" w:rsidRPr="0069377F">
        <w:t xml:space="preserve">, Society of Antiquaries </w:t>
      </w:r>
      <w:r w:rsidRPr="0069377F">
        <w:t xml:space="preserve">and The 1547 Inventory of Henry VIII, part 2, 1547, Harley MS 1419, ff. 6v, 40v, 216r, 264v, </w:t>
      </w:r>
      <w:r w:rsidR="003C2180" w:rsidRPr="0069377F">
        <w:t>301r, British Library</w:t>
      </w:r>
      <w:r w:rsidRPr="0069377F">
        <w:t xml:space="preserve">. </w:t>
      </w:r>
    </w:p>
  </w:endnote>
  <w:endnote w:id="81">
    <w:p w14:paraId="36BC1BC7" w14:textId="77777777" w:rsidR="00E73328" w:rsidRPr="0069377F" w:rsidRDefault="00E73328" w:rsidP="0069377F">
      <w:pPr>
        <w:pStyle w:val="EndnoteText"/>
        <w:ind w:firstLine="720"/>
        <w:jc w:val="both"/>
      </w:pPr>
      <w:r w:rsidRPr="0069377F">
        <w:rPr>
          <w:rStyle w:val="EndnoteReference"/>
        </w:rPr>
        <w:endnoteRef/>
      </w:r>
      <w:r w:rsidRPr="0069377F">
        <w:t xml:space="preserve"> A. R. Jones and P. </w:t>
      </w:r>
      <w:proofErr w:type="spellStart"/>
      <w:r w:rsidRPr="0069377F">
        <w:t>Stallybrass</w:t>
      </w:r>
      <w:proofErr w:type="spellEnd"/>
      <w:r w:rsidRPr="0069377F">
        <w:t xml:space="preserve">, </w:t>
      </w:r>
      <w:r w:rsidRPr="0069377F">
        <w:rPr>
          <w:i/>
        </w:rPr>
        <w:t>Renaissance Clothing and the Materials of Memory</w:t>
      </w:r>
      <w:r w:rsidRPr="0069377F">
        <w:t xml:space="preserve"> (Cambridge: Cambridge University Press, 2001), pp. 26–32.</w:t>
      </w:r>
    </w:p>
  </w:endnote>
  <w:endnote w:id="82">
    <w:p w14:paraId="69826E2B" w14:textId="77777777" w:rsidR="00E73328" w:rsidRPr="0069377F" w:rsidRDefault="00E73328" w:rsidP="0069377F">
      <w:pPr>
        <w:pStyle w:val="EndnoteText"/>
        <w:ind w:firstLine="720"/>
        <w:jc w:val="both"/>
      </w:pPr>
      <w:r w:rsidRPr="0069377F">
        <w:rPr>
          <w:rStyle w:val="EndnoteReference"/>
        </w:rPr>
        <w:endnoteRef/>
      </w:r>
      <w:r w:rsidRPr="0069377F">
        <w:t xml:space="preserve"> Campbell, </w:t>
      </w:r>
      <w:r w:rsidRPr="0069377F">
        <w:rPr>
          <w:i/>
        </w:rPr>
        <w:t>Henry VIII and the Art of Majesty</w:t>
      </w:r>
      <w:r w:rsidRPr="0069377F">
        <w:t>, pp. 128–29.</w:t>
      </w:r>
    </w:p>
  </w:endnote>
  <w:endnote w:id="83">
    <w:p w14:paraId="4BC94F65" w14:textId="77777777" w:rsidR="00E73328" w:rsidRPr="0069377F" w:rsidRDefault="00E73328" w:rsidP="0069377F">
      <w:pPr>
        <w:pStyle w:val="EndnoteText"/>
        <w:ind w:firstLine="720"/>
        <w:jc w:val="both"/>
      </w:pPr>
      <w:r w:rsidRPr="0069377F">
        <w:rPr>
          <w:rStyle w:val="EndnoteReference"/>
        </w:rPr>
        <w:endnoteRef/>
      </w:r>
      <w:r w:rsidRPr="0069377F">
        <w:t xml:space="preserve"> Levey, </w:t>
      </w:r>
      <w:proofErr w:type="gramStart"/>
      <w:r w:rsidRPr="0069377F">
        <w:rPr>
          <w:i/>
        </w:rPr>
        <w:t>An</w:t>
      </w:r>
      <w:proofErr w:type="gramEnd"/>
      <w:r w:rsidRPr="0069377F">
        <w:rPr>
          <w:i/>
        </w:rPr>
        <w:t xml:space="preserve"> Elizabethan Inheritance</w:t>
      </w:r>
      <w:r w:rsidRPr="0069377F">
        <w:t>, fig. 69, pp. 15, 70.</w:t>
      </w:r>
    </w:p>
  </w:endnote>
  <w:endnote w:id="84">
    <w:p w14:paraId="04F7C57D" w14:textId="77777777" w:rsidR="00E73328" w:rsidRPr="0069377F" w:rsidRDefault="00E73328" w:rsidP="0069377F">
      <w:pPr>
        <w:pStyle w:val="EndnoteText"/>
        <w:ind w:firstLine="720"/>
        <w:jc w:val="both"/>
      </w:pPr>
      <w:r w:rsidRPr="0069377F">
        <w:rPr>
          <w:rStyle w:val="EndnoteReference"/>
        </w:rPr>
        <w:endnoteRef/>
      </w:r>
      <w:r w:rsidRPr="0069377F">
        <w:t xml:space="preserve"> Frye, </w:t>
      </w:r>
      <w:r w:rsidRPr="0069377F">
        <w:rPr>
          <w:i/>
        </w:rPr>
        <w:t>Pens and Needles</w:t>
      </w:r>
      <w:r w:rsidRPr="0069377F">
        <w:t>, p. xviii.</w:t>
      </w:r>
    </w:p>
  </w:endnote>
  <w:endnote w:id="85">
    <w:p w14:paraId="30600030" w14:textId="77777777" w:rsidR="00E73328" w:rsidRPr="0069377F" w:rsidRDefault="00E73328" w:rsidP="0069377F">
      <w:pPr>
        <w:pStyle w:val="EndnoteText"/>
        <w:ind w:firstLine="720"/>
        <w:jc w:val="both"/>
      </w:pPr>
      <w:r w:rsidRPr="0069377F">
        <w:rPr>
          <w:rStyle w:val="EndnoteReference"/>
        </w:rPr>
        <w:endnoteRef/>
      </w:r>
      <w:r w:rsidRPr="0069377F">
        <w:t xml:space="preserve"> S. Frye, ‘Sewing connections: Elizabeth Tudor, Mary Stuart, Elizabeth Talbot and seventeenth-century anonymous </w:t>
      </w:r>
      <w:proofErr w:type="spellStart"/>
      <w:r w:rsidRPr="0069377F">
        <w:t>needleworkers</w:t>
      </w:r>
      <w:proofErr w:type="spellEnd"/>
      <w:r w:rsidRPr="0069377F">
        <w:t xml:space="preserve">’, in S. Frye and K. Robertson </w:t>
      </w:r>
      <w:proofErr w:type="spellStart"/>
      <w:proofErr w:type="gramStart"/>
      <w:r w:rsidRPr="0069377F">
        <w:t>eds</w:t>
      </w:r>
      <w:proofErr w:type="spellEnd"/>
      <w:proofErr w:type="gramEnd"/>
      <w:r w:rsidRPr="0069377F">
        <w:t xml:space="preserve">, </w:t>
      </w:r>
      <w:r w:rsidRPr="0069377F">
        <w:rPr>
          <w:i/>
        </w:rPr>
        <w:t>Maids and Mistresses, Cousins and Queens: Women’s Alliances in Early Modern England</w:t>
      </w:r>
      <w:r w:rsidRPr="0069377F">
        <w:t xml:space="preserve"> (Oxford: Oxford University Press, 1999), p. 178.</w:t>
      </w:r>
    </w:p>
  </w:endnote>
  <w:endnote w:id="86">
    <w:p w14:paraId="6DF3F89E" w14:textId="2E3A8040" w:rsidR="00E73328" w:rsidRPr="0069377F" w:rsidRDefault="00E73328" w:rsidP="0069377F">
      <w:pPr>
        <w:pStyle w:val="EndnoteText"/>
        <w:ind w:firstLine="720"/>
        <w:jc w:val="both"/>
      </w:pPr>
      <w:r w:rsidRPr="0069377F">
        <w:rPr>
          <w:rStyle w:val="EndnoteReference"/>
        </w:rPr>
        <w:endnoteRef/>
      </w:r>
      <w:r w:rsidRPr="0069377F">
        <w:t xml:space="preserve"> H. </w:t>
      </w:r>
      <w:proofErr w:type="spellStart"/>
      <w:r w:rsidRPr="0069377F">
        <w:t>Gamon</w:t>
      </w:r>
      <w:proofErr w:type="spellEnd"/>
      <w:r w:rsidRPr="0069377F">
        <w:t xml:space="preserve">, </w:t>
      </w:r>
      <w:proofErr w:type="gramStart"/>
      <w:r w:rsidRPr="0069377F">
        <w:rPr>
          <w:i/>
        </w:rPr>
        <w:t>A</w:t>
      </w:r>
      <w:proofErr w:type="gramEnd"/>
      <w:r w:rsidRPr="0069377F">
        <w:rPr>
          <w:i/>
        </w:rPr>
        <w:t xml:space="preserve"> Funeral</w:t>
      </w:r>
      <w:r w:rsidRPr="0069377F">
        <w:t xml:space="preserve"> </w:t>
      </w:r>
      <w:r w:rsidRPr="0069377F">
        <w:rPr>
          <w:i/>
        </w:rPr>
        <w:t xml:space="preserve">Sermon upon </w:t>
      </w:r>
      <w:proofErr w:type="spellStart"/>
      <w:r w:rsidRPr="0069377F">
        <w:rPr>
          <w:i/>
        </w:rPr>
        <w:t>Ladie</w:t>
      </w:r>
      <w:proofErr w:type="spellEnd"/>
      <w:r w:rsidRPr="0069377F">
        <w:rPr>
          <w:i/>
        </w:rPr>
        <w:t xml:space="preserve"> Frances Roberts</w:t>
      </w:r>
      <w:r w:rsidRPr="0069377F">
        <w:t xml:space="preserve"> </w:t>
      </w:r>
      <w:r w:rsidRPr="0069377F">
        <w:rPr>
          <w:i/>
        </w:rPr>
        <w:t>or</w:t>
      </w:r>
      <w:r w:rsidRPr="0069377F">
        <w:t xml:space="preserve"> </w:t>
      </w:r>
      <w:r w:rsidRPr="0069377F">
        <w:rPr>
          <w:i/>
        </w:rPr>
        <w:t>The Praise of a Godly Woman</w:t>
      </w:r>
      <w:r w:rsidRPr="0069377F">
        <w:t xml:space="preserve"> (London: 1627). For more examples see Brooks, </w:t>
      </w:r>
      <w:r w:rsidRPr="0069377F">
        <w:rPr>
          <w:i/>
        </w:rPr>
        <w:t>English Embroideries</w:t>
      </w:r>
      <w:r w:rsidRPr="0069377F">
        <w:t>, p. 17.</w:t>
      </w:r>
    </w:p>
  </w:endnote>
  <w:endnote w:id="87">
    <w:p w14:paraId="4395B4AB" w14:textId="66FD7019" w:rsidR="00E73328" w:rsidRPr="0069377F" w:rsidRDefault="00E73328" w:rsidP="0069377F">
      <w:pPr>
        <w:pStyle w:val="EndnoteText"/>
        <w:ind w:firstLine="720"/>
        <w:jc w:val="both"/>
      </w:pPr>
      <w:r w:rsidRPr="0069377F">
        <w:rPr>
          <w:rStyle w:val="EndnoteReference"/>
        </w:rPr>
        <w:endnoteRef/>
      </w:r>
      <w:r w:rsidRPr="0069377F">
        <w:t xml:space="preserve"> </w:t>
      </w:r>
      <w:r w:rsidRPr="0069377F">
        <w:rPr>
          <w:iCs/>
          <w:lang w:val="en-US"/>
        </w:rPr>
        <w:t xml:space="preserve">Jacopo Tintoretto, </w:t>
      </w:r>
      <w:r w:rsidRPr="0069377F">
        <w:rPr>
          <w:i/>
          <w:iCs/>
          <w:lang w:val="en-US"/>
        </w:rPr>
        <w:t>Esther before Ahasuerus</w:t>
      </w:r>
      <w:r w:rsidRPr="0069377F">
        <w:rPr>
          <w:iCs/>
          <w:lang w:val="en-US"/>
        </w:rPr>
        <w:t xml:space="preserve">, c. 1546–1547, oil on canvas, </w:t>
      </w:r>
      <w:r w:rsidRPr="0069377F">
        <w:rPr>
          <w:shd w:val="clear" w:color="auto" w:fill="FFFFFF"/>
        </w:rPr>
        <w:t>207.7 x 275.5</w:t>
      </w:r>
      <w:r w:rsidRPr="0069377F">
        <w:rPr>
          <w:rStyle w:val="apple-converted-space"/>
          <w:shd w:val="clear" w:color="auto" w:fill="FFFFFF"/>
        </w:rPr>
        <w:t xml:space="preserve"> cm, </w:t>
      </w:r>
      <w:r w:rsidRPr="0069377F">
        <w:rPr>
          <w:shd w:val="clear" w:color="auto" w:fill="FFFFFF"/>
        </w:rPr>
        <w:t>Royal Collection, King’s Gallery, Kensington Palace</w:t>
      </w:r>
      <w:r w:rsidR="00B378D4" w:rsidRPr="0069377F">
        <w:rPr>
          <w:shd w:val="clear" w:color="auto" w:fill="FFFFFF"/>
        </w:rPr>
        <w:t>, RCIN 407247</w:t>
      </w:r>
      <w:r w:rsidRPr="0069377F">
        <w:rPr>
          <w:shd w:val="clear" w:color="auto" w:fill="FFFFFF"/>
        </w:rPr>
        <w:t xml:space="preserve">. </w:t>
      </w:r>
      <w:r w:rsidRPr="0069377F">
        <w:rPr>
          <w:iCs/>
          <w:lang w:val="en-US"/>
        </w:rPr>
        <w:t xml:space="preserve"> </w:t>
      </w:r>
    </w:p>
  </w:endnote>
  <w:endnote w:id="88">
    <w:p w14:paraId="6140D3EB" w14:textId="2D536220" w:rsidR="00E73328" w:rsidRPr="0069377F" w:rsidRDefault="00E73328" w:rsidP="0069377F">
      <w:pPr>
        <w:pStyle w:val="EndnoteText"/>
        <w:ind w:firstLine="720"/>
        <w:jc w:val="both"/>
      </w:pPr>
      <w:r w:rsidRPr="0069377F">
        <w:rPr>
          <w:rStyle w:val="EndnoteReference"/>
        </w:rPr>
        <w:endnoteRef/>
      </w:r>
      <w:r w:rsidRPr="0069377F">
        <w:t xml:space="preserve"> For example, unknown maker with initials S. C., </w:t>
      </w:r>
      <w:r w:rsidRPr="0069377F">
        <w:rPr>
          <w:i/>
        </w:rPr>
        <w:t>David and Bathsheba</w:t>
      </w:r>
      <w:r w:rsidRPr="0069377F">
        <w:t>, tent stitch on a linen ground, 36.8 x 48 cm, Ashmolean Museum, Oxford</w:t>
      </w:r>
      <w:r w:rsidR="00B378D4" w:rsidRPr="0069377F">
        <w:t>, WA 1947.191, 310</w:t>
      </w:r>
      <w:r w:rsidRPr="0069377F">
        <w:t xml:space="preserve">. See also M. D. </w:t>
      </w:r>
      <w:proofErr w:type="spellStart"/>
      <w:r w:rsidRPr="0069377F">
        <w:t>Garrard</w:t>
      </w:r>
      <w:proofErr w:type="spellEnd"/>
      <w:r w:rsidRPr="0069377F">
        <w:t xml:space="preserve">, </w:t>
      </w:r>
      <w:r w:rsidRPr="0069377F">
        <w:rPr>
          <w:i/>
        </w:rPr>
        <w:t>Artemisia Gentileschi: The Image of the Female Hero in Italian Baroque Art</w:t>
      </w:r>
      <w:r w:rsidRPr="0069377F">
        <w:t xml:space="preserve"> (Princeton N.J.: Princeton University Press, 1989), p. 191; Frye, </w:t>
      </w:r>
      <w:r w:rsidRPr="0069377F">
        <w:rPr>
          <w:i/>
        </w:rPr>
        <w:t>Pens and Needles</w:t>
      </w:r>
      <w:r w:rsidRPr="0069377F">
        <w:t>, p. 139.</w:t>
      </w:r>
    </w:p>
  </w:endnote>
  <w:endnote w:id="89">
    <w:p w14:paraId="0F0EC95F" w14:textId="77777777" w:rsidR="00E73328" w:rsidRPr="0069377F" w:rsidRDefault="00E73328" w:rsidP="0069377F">
      <w:pPr>
        <w:pStyle w:val="EndnoteText"/>
        <w:ind w:firstLine="720"/>
        <w:jc w:val="both"/>
        <w:rPr>
          <w:color w:val="FF00FF"/>
        </w:rPr>
      </w:pPr>
      <w:r w:rsidRPr="0069377F">
        <w:rPr>
          <w:rStyle w:val="EndnoteReference"/>
        </w:rPr>
        <w:endnoteRef/>
      </w:r>
      <w:r w:rsidRPr="0069377F">
        <w:t xml:space="preserve"> Frye, </w:t>
      </w:r>
      <w:r w:rsidRPr="0069377F">
        <w:rPr>
          <w:i/>
        </w:rPr>
        <w:t>Pens and Needles</w:t>
      </w:r>
      <w:r w:rsidRPr="0069377F">
        <w:t>, pp. 139</w:t>
      </w:r>
      <w:r w:rsidRPr="0069377F">
        <w:rPr>
          <w:iCs/>
          <w:lang w:val="en-US"/>
        </w:rPr>
        <w:t>–</w:t>
      </w:r>
      <w:r w:rsidRPr="0069377F">
        <w:t>40.</w:t>
      </w:r>
    </w:p>
  </w:endnote>
  <w:endnote w:id="90">
    <w:p w14:paraId="4D0636BF" w14:textId="342E4B7A" w:rsidR="00E73328" w:rsidRPr="0069377F" w:rsidRDefault="00E73328" w:rsidP="0069377F">
      <w:pPr>
        <w:pStyle w:val="EndnoteText"/>
        <w:ind w:firstLine="720"/>
        <w:jc w:val="both"/>
      </w:pPr>
      <w:r w:rsidRPr="0069377F">
        <w:rPr>
          <w:rStyle w:val="EndnoteReference"/>
        </w:rPr>
        <w:endnoteRef/>
      </w:r>
      <w:r w:rsidRPr="0069377F">
        <w:t xml:space="preserve"> William Shakespeare, </w:t>
      </w:r>
      <w:r w:rsidRPr="0069377F">
        <w:rPr>
          <w:i/>
        </w:rPr>
        <w:t xml:space="preserve">Cymbeline </w:t>
      </w:r>
      <w:r w:rsidRPr="0069377F">
        <w:t>(Act 5, scene 5, lines 62</w:t>
      </w:r>
      <w:r w:rsidRPr="0069377F">
        <w:rPr>
          <w:iCs/>
          <w:lang w:val="en-US"/>
        </w:rPr>
        <w:t>–</w:t>
      </w:r>
      <w:r w:rsidRPr="0069377F">
        <w:t>65).</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5848" w14:textId="77777777" w:rsidR="00E73328" w:rsidRDefault="00E73328" w:rsidP="003C6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98598" w14:textId="77777777" w:rsidR="00E73328" w:rsidRDefault="00E73328" w:rsidP="003C6A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D2F4" w14:textId="77777777" w:rsidR="00E73328" w:rsidRDefault="00E73328" w:rsidP="003C6A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BBA9E" w14:textId="77777777" w:rsidR="00103DB6" w:rsidRDefault="00103DB6" w:rsidP="00805031">
      <w:r>
        <w:separator/>
      </w:r>
    </w:p>
  </w:footnote>
  <w:footnote w:type="continuationSeparator" w:id="0">
    <w:p w14:paraId="5817A545" w14:textId="77777777" w:rsidR="00103DB6" w:rsidRDefault="00103DB6" w:rsidP="0080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31"/>
    <w:rsid w:val="000006F6"/>
    <w:rsid w:val="000142A1"/>
    <w:rsid w:val="0002179C"/>
    <w:rsid w:val="00024FD4"/>
    <w:rsid w:val="00081726"/>
    <w:rsid w:val="0008484A"/>
    <w:rsid w:val="000961E5"/>
    <w:rsid w:val="000A0C46"/>
    <w:rsid w:val="000A1D8F"/>
    <w:rsid w:val="000B51E2"/>
    <w:rsid w:val="000D13B3"/>
    <w:rsid w:val="000D1CB0"/>
    <w:rsid w:val="000D1DA9"/>
    <w:rsid w:val="000D26FA"/>
    <w:rsid w:val="000D4063"/>
    <w:rsid w:val="000E51C7"/>
    <w:rsid w:val="000E64EF"/>
    <w:rsid w:val="000F01AA"/>
    <w:rsid w:val="000F4510"/>
    <w:rsid w:val="000F5D65"/>
    <w:rsid w:val="000F7B79"/>
    <w:rsid w:val="001008A2"/>
    <w:rsid w:val="00103DB6"/>
    <w:rsid w:val="00104B28"/>
    <w:rsid w:val="00105552"/>
    <w:rsid w:val="00111548"/>
    <w:rsid w:val="00123231"/>
    <w:rsid w:val="0012531C"/>
    <w:rsid w:val="00125364"/>
    <w:rsid w:val="00137D9A"/>
    <w:rsid w:val="00170EEF"/>
    <w:rsid w:val="001810CE"/>
    <w:rsid w:val="001844BC"/>
    <w:rsid w:val="001941E5"/>
    <w:rsid w:val="001A234D"/>
    <w:rsid w:val="001A6D48"/>
    <w:rsid w:val="001B5542"/>
    <w:rsid w:val="001C2CA3"/>
    <w:rsid w:val="001D6DD6"/>
    <w:rsid w:val="001D78B6"/>
    <w:rsid w:val="001E1544"/>
    <w:rsid w:val="001F5D30"/>
    <w:rsid w:val="00207928"/>
    <w:rsid w:val="0021240A"/>
    <w:rsid w:val="00215811"/>
    <w:rsid w:val="00217F62"/>
    <w:rsid w:val="00242E11"/>
    <w:rsid w:val="00246B1D"/>
    <w:rsid w:val="002606C9"/>
    <w:rsid w:val="00265758"/>
    <w:rsid w:val="0028560E"/>
    <w:rsid w:val="002961B1"/>
    <w:rsid w:val="002A6959"/>
    <w:rsid w:val="002B0215"/>
    <w:rsid w:val="002B41CD"/>
    <w:rsid w:val="002B5878"/>
    <w:rsid w:val="002C59B7"/>
    <w:rsid w:val="002D222E"/>
    <w:rsid w:val="002D3210"/>
    <w:rsid w:val="002D5943"/>
    <w:rsid w:val="002E6600"/>
    <w:rsid w:val="002E77A9"/>
    <w:rsid w:val="002F5F87"/>
    <w:rsid w:val="003123AC"/>
    <w:rsid w:val="00324049"/>
    <w:rsid w:val="0032681C"/>
    <w:rsid w:val="003644B9"/>
    <w:rsid w:val="00370BC9"/>
    <w:rsid w:val="00370D01"/>
    <w:rsid w:val="0037286F"/>
    <w:rsid w:val="00396644"/>
    <w:rsid w:val="003A49E8"/>
    <w:rsid w:val="003A4A36"/>
    <w:rsid w:val="003B21E8"/>
    <w:rsid w:val="003C2180"/>
    <w:rsid w:val="003C29F7"/>
    <w:rsid w:val="003C6A51"/>
    <w:rsid w:val="003F3E22"/>
    <w:rsid w:val="003F4690"/>
    <w:rsid w:val="004210FE"/>
    <w:rsid w:val="004211FB"/>
    <w:rsid w:val="00423BFC"/>
    <w:rsid w:val="004242E6"/>
    <w:rsid w:val="004936B7"/>
    <w:rsid w:val="00495274"/>
    <w:rsid w:val="004952BB"/>
    <w:rsid w:val="004C20E7"/>
    <w:rsid w:val="004C38CA"/>
    <w:rsid w:val="004C5000"/>
    <w:rsid w:val="004D0002"/>
    <w:rsid w:val="004E7F1D"/>
    <w:rsid w:val="004F3715"/>
    <w:rsid w:val="00534E8D"/>
    <w:rsid w:val="0053661E"/>
    <w:rsid w:val="00544C33"/>
    <w:rsid w:val="005505B1"/>
    <w:rsid w:val="00553C94"/>
    <w:rsid w:val="005629DB"/>
    <w:rsid w:val="00572A22"/>
    <w:rsid w:val="00574F61"/>
    <w:rsid w:val="0057790A"/>
    <w:rsid w:val="00584512"/>
    <w:rsid w:val="005919A9"/>
    <w:rsid w:val="005B7C66"/>
    <w:rsid w:val="005C1132"/>
    <w:rsid w:val="005C175A"/>
    <w:rsid w:val="005D2CF9"/>
    <w:rsid w:val="00623104"/>
    <w:rsid w:val="006237E5"/>
    <w:rsid w:val="0063427E"/>
    <w:rsid w:val="0063561A"/>
    <w:rsid w:val="0065043B"/>
    <w:rsid w:val="006572F1"/>
    <w:rsid w:val="00657548"/>
    <w:rsid w:val="006579AA"/>
    <w:rsid w:val="00673FE3"/>
    <w:rsid w:val="006752A4"/>
    <w:rsid w:val="0069377F"/>
    <w:rsid w:val="00697187"/>
    <w:rsid w:val="006A06FD"/>
    <w:rsid w:val="006A3DEB"/>
    <w:rsid w:val="006B5F5F"/>
    <w:rsid w:val="006D3B73"/>
    <w:rsid w:val="006F24E7"/>
    <w:rsid w:val="007050AC"/>
    <w:rsid w:val="00710A4A"/>
    <w:rsid w:val="007217D4"/>
    <w:rsid w:val="007317F0"/>
    <w:rsid w:val="00752C8D"/>
    <w:rsid w:val="00753A4E"/>
    <w:rsid w:val="00754721"/>
    <w:rsid w:val="00763CEF"/>
    <w:rsid w:val="00770ECA"/>
    <w:rsid w:val="0077366E"/>
    <w:rsid w:val="0077712A"/>
    <w:rsid w:val="00785700"/>
    <w:rsid w:val="00786FAA"/>
    <w:rsid w:val="00790F63"/>
    <w:rsid w:val="00796D67"/>
    <w:rsid w:val="00796F91"/>
    <w:rsid w:val="007A50BB"/>
    <w:rsid w:val="007A5FF1"/>
    <w:rsid w:val="007C2B46"/>
    <w:rsid w:val="007C6F61"/>
    <w:rsid w:val="007E1C51"/>
    <w:rsid w:val="007E3A9B"/>
    <w:rsid w:val="007E5FB2"/>
    <w:rsid w:val="007F6CFC"/>
    <w:rsid w:val="00800816"/>
    <w:rsid w:val="00801D60"/>
    <w:rsid w:val="00803C5C"/>
    <w:rsid w:val="00805031"/>
    <w:rsid w:val="008130BF"/>
    <w:rsid w:val="00821F0B"/>
    <w:rsid w:val="00822F58"/>
    <w:rsid w:val="00841238"/>
    <w:rsid w:val="00854D9C"/>
    <w:rsid w:val="0086781F"/>
    <w:rsid w:val="00882900"/>
    <w:rsid w:val="008832EB"/>
    <w:rsid w:val="00895323"/>
    <w:rsid w:val="008A3227"/>
    <w:rsid w:val="008A4A30"/>
    <w:rsid w:val="008B0706"/>
    <w:rsid w:val="008C1B51"/>
    <w:rsid w:val="008D5DBD"/>
    <w:rsid w:val="008E1967"/>
    <w:rsid w:val="008F0C4F"/>
    <w:rsid w:val="008F2999"/>
    <w:rsid w:val="00900DC7"/>
    <w:rsid w:val="009149CB"/>
    <w:rsid w:val="0091739F"/>
    <w:rsid w:val="0092790B"/>
    <w:rsid w:val="00931063"/>
    <w:rsid w:val="009351FF"/>
    <w:rsid w:val="00936C57"/>
    <w:rsid w:val="009406EB"/>
    <w:rsid w:val="00942377"/>
    <w:rsid w:val="009532CB"/>
    <w:rsid w:val="00955EE0"/>
    <w:rsid w:val="00961F71"/>
    <w:rsid w:val="00964CA2"/>
    <w:rsid w:val="009827D4"/>
    <w:rsid w:val="009833AC"/>
    <w:rsid w:val="00991C47"/>
    <w:rsid w:val="009A0F1B"/>
    <w:rsid w:val="009A7E2D"/>
    <w:rsid w:val="009B780E"/>
    <w:rsid w:val="009D6B11"/>
    <w:rsid w:val="009E1928"/>
    <w:rsid w:val="009E62A9"/>
    <w:rsid w:val="009E7A43"/>
    <w:rsid w:val="009F21DA"/>
    <w:rsid w:val="009F252D"/>
    <w:rsid w:val="009F571A"/>
    <w:rsid w:val="00A069C4"/>
    <w:rsid w:val="00A1139E"/>
    <w:rsid w:val="00A15DEE"/>
    <w:rsid w:val="00A174B7"/>
    <w:rsid w:val="00A22196"/>
    <w:rsid w:val="00A24AD2"/>
    <w:rsid w:val="00A2669E"/>
    <w:rsid w:val="00A275C8"/>
    <w:rsid w:val="00A275DB"/>
    <w:rsid w:val="00A3138B"/>
    <w:rsid w:val="00A3344D"/>
    <w:rsid w:val="00A3707E"/>
    <w:rsid w:val="00A56AEF"/>
    <w:rsid w:val="00A94A74"/>
    <w:rsid w:val="00A9623A"/>
    <w:rsid w:val="00AA2A83"/>
    <w:rsid w:val="00AA3279"/>
    <w:rsid w:val="00AA4C93"/>
    <w:rsid w:val="00AD2EAD"/>
    <w:rsid w:val="00AE1132"/>
    <w:rsid w:val="00AF4796"/>
    <w:rsid w:val="00AF64F6"/>
    <w:rsid w:val="00B012F8"/>
    <w:rsid w:val="00B135BE"/>
    <w:rsid w:val="00B13B47"/>
    <w:rsid w:val="00B17EB1"/>
    <w:rsid w:val="00B20919"/>
    <w:rsid w:val="00B3439D"/>
    <w:rsid w:val="00B378D4"/>
    <w:rsid w:val="00B405B2"/>
    <w:rsid w:val="00B42DD3"/>
    <w:rsid w:val="00B5055A"/>
    <w:rsid w:val="00B62A02"/>
    <w:rsid w:val="00B77291"/>
    <w:rsid w:val="00B77AE3"/>
    <w:rsid w:val="00BC43BA"/>
    <w:rsid w:val="00BD0B79"/>
    <w:rsid w:val="00BF1999"/>
    <w:rsid w:val="00BF71F9"/>
    <w:rsid w:val="00BF7AF0"/>
    <w:rsid w:val="00C132F2"/>
    <w:rsid w:val="00C465EB"/>
    <w:rsid w:val="00C52A50"/>
    <w:rsid w:val="00C5490C"/>
    <w:rsid w:val="00C6090B"/>
    <w:rsid w:val="00C61B4B"/>
    <w:rsid w:val="00C747C7"/>
    <w:rsid w:val="00C75683"/>
    <w:rsid w:val="00C819A5"/>
    <w:rsid w:val="00C84072"/>
    <w:rsid w:val="00C85690"/>
    <w:rsid w:val="00CB48D3"/>
    <w:rsid w:val="00CC322B"/>
    <w:rsid w:val="00CC6CC6"/>
    <w:rsid w:val="00CD1CCC"/>
    <w:rsid w:val="00CD4EA3"/>
    <w:rsid w:val="00CE75C6"/>
    <w:rsid w:val="00CF2DB1"/>
    <w:rsid w:val="00CF2F86"/>
    <w:rsid w:val="00D01D85"/>
    <w:rsid w:val="00D31B30"/>
    <w:rsid w:val="00D34AE6"/>
    <w:rsid w:val="00D40B2D"/>
    <w:rsid w:val="00D71D70"/>
    <w:rsid w:val="00D73E39"/>
    <w:rsid w:val="00D74E5F"/>
    <w:rsid w:val="00D8299B"/>
    <w:rsid w:val="00D86B8C"/>
    <w:rsid w:val="00D96CD6"/>
    <w:rsid w:val="00DC1C82"/>
    <w:rsid w:val="00DC4353"/>
    <w:rsid w:val="00DE1376"/>
    <w:rsid w:val="00DF755E"/>
    <w:rsid w:val="00E011AF"/>
    <w:rsid w:val="00E119F6"/>
    <w:rsid w:val="00E1474F"/>
    <w:rsid w:val="00E20D23"/>
    <w:rsid w:val="00E33790"/>
    <w:rsid w:val="00E4465C"/>
    <w:rsid w:val="00E447D2"/>
    <w:rsid w:val="00E632CB"/>
    <w:rsid w:val="00E73328"/>
    <w:rsid w:val="00E97F25"/>
    <w:rsid w:val="00EA036D"/>
    <w:rsid w:val="00EA3841"/>
    <w:rsid w:val="00EC1CDF"/>
    <w:rsid w:val="00EE29BD"/>
    <w:rsid w:val="00EE58F4"/>
    <w:rsid w:val="00EF1F5D"/>
    <w:rsid w:val="00EF3A58"/>
    <w:rsid w:val="00EF45E1"/>
    <w:rsid w:val="00F00420"/>
    <w:rsid w:val="00F02143"/>
    <w:rsid w:val="00F02DD5"/>
    <w:rsid w:val="00F05066"/>
    <w:rsid w:val="00F255DF"/>
    <w:rsid w:val="00F25722"/>
    <w:rsid w:val="00F302AD"/>
    <w:rsid w:val="00F37569"/>
    <w:rsid w:val="00F5098E"/>
    <w:rsid w:val="00F53B75"/>
    <w:rsid w:val="00F611FF"/>
    <w:rsid w:val="00F62CDB"/>
    <w:rsid w:val="00F64755"/>
    <w:rsid w:val="00F73FAC"/>
    <w:rsid w:val="00F80DDC"/>
    <w:rsid w:val="00F8113A"/>
    <w:rsid w:val="00F95016"/>
    <w:rsid w:val="00F958F0"/>
    <w:rsid w:val="00FA7861"/>
    <w:rsid w:val="00FB10A7"/>
    <w:rsid w:val="00FC514C"/>
    <w:rsid w:val="00FE26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6C316"/>
  <w15:docId w15:val="{7DB6963F-8898-4330-B342-5CD2D52A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3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5031"/>
    <w:pPr>
      <w:tabs>
        <w:tab w:val="center" w:pos="4320"/>
        <w:tab w:val="right" w:pos="8640"/>
      </w:tabs>
    </w:pPr>
  </w:style>
  <w:style w:type="character" w:customStyle="1" w:styleId="FooterChar">
    <w:name w:val="Footer Char"/>
    <w:link w:val="Footer"/>
    <w:uiPriority w:val="99"/>
    <w:rsid w:val="00805031"/>
    <w:rPr>
      <w:rFonts w:ascii="Times New Roman" w:eastAsia="Times New Roman" w:hAnsi="Times New Roman" w:cs="Times New Roman"/>
      <w:sz w:val="24"/>
      <w:szCs w:val="24"/>
    </w:rPr>
  </w:style>
  <w:style w:type="character" w:styleId="PageNumber">
    <w:name w:val="page number"/>
    <w:basedOn w:val="DefaultParagraphFont"/>
    <w:rsid w:val="00805031"/>
  </w:style>
  <w:style w:type="character" w:customStyle="1" w:styleId="list0020paragraphchar1">
    <w:name w:val="list_0020paragraph__char1"/>
    <w:rsid w:val="00805031"/>
    <w:rPr>
      <w:rFonts w:ascii="Arial" w:hAnsi="Arial" w:cs="Arial" w:hint="default"/>
      <w:sz w:val="22"/>
      <w:szCs w:val="22"/>
    </w:rPr>
  </w:style>
  <w:style w:type="paragraph" w:styleId="FootnoteText">
    <w:name w:val="footnote text"/>
    <w:basedOn w:val="Normal"/>
    <w:link w:val="FootnoteTextChar"/>
    <w:semiHidden/>
    <w:rsid w:val="00805031"/>
    <w:rPr>
      <w:sz w:val="20"/>
      <w:szCs w:val="20"/>
    </w:rPr>
  </w:style>
  <w:style w:type="character" w:customStyle="1" w:styleId="FootnoteTextChar">
    <w:name w:val="Footnote Text Char"/>
    <w:link w:val="FootnoteText"/>
    <w:semiHidden/>
    <w:rsid w:val="00805031"/>
    <w:rPr>
      <w:rFonts w:ascii="Times New Roman" w:eastAsia="Times New Roman" w:hAnsi="Times New Roman" w:cs="Times New Roman"/>
      <w:sz w:val="20"/>
      <w:szCs w:val="20"/>
    </w:rPr>
  </w:style>
  <w:style w:type="character" w:styleId="FootnoteReference">
    <w:name w:val="footnote reference"/>
    <w:semiHidden/>
    <w:rsid w:val="00805031"/>
    <w:rPr>
      <w:vertAlign w:val="superscript"/>
    </w:rPr>
  </w:style>
  <w:style w:type="character" w:styleId="Hyperlink">
    <w:name w:val="Hyperlink"/>
    <w:rsid w:val="00805031"/>
    <w:rPr>
      <w:color w:val="0000FF"/>
      <w:u w:val="single"/>
    </w:rPr>
  </w:style>
  <w:style w:type="character" w:styleId="CommentReference">
    <w:name w:val="annotation reference"/>
    <w:rsid w:val="00805031"/>
    <w:rPr>
      <w:sz w:val="16"/>
      <w:szCs w:val="16"/>
    </w:rPr>
  </w:style>
  <w:style w:type="paragraph" w:styleId="CommentText">
    <w:name w:val="annotation text"/>
    <w:basedOn w:val="Normal"/>
    <w:link w:val="CommentTextChar"/>
    <w:rsid w:val="00805031"/>
    <w:rPr>
      <w:sz w:val="20"/>
      <w:szCs w:val="20"/>
    </w:rPr>
  </w:style>
  <w:style w:type="character" w:customStyle="1" w:styleId="CommentTextChar">
    <w:name w:val="Comment Text Char"/>
    <w:link w:val="CommentText"/>
    <w:rsid w:val="008050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05031"/>
    <w:rPr>
      <w:b/>
      <w:bCs/>
    </w:rPr>
  </w:style>
  <w:style w:type="character" w:customStyle="1" w:styleId="CommentSubjectChar">
    <w:name w:val="Comment Subject Char"/>
    <w:link w:val="CommentSubject"/>
    <w:rsid w:val="00805031"/>
    <w:rPr>
      <w:rFonts w:ascii="Times New Roman" w:eastAsia="Times New Roman" w:hAnsi="Times New Roman" w:cs="Times New Roman"/>
      <w:b/>
      <w:bCs/>
      <w:sz w:val="20"/>
      <w:szCs w:val="20"/>
    </w:rPr>
  </w:style>
  <w:style w:type="paragraph" w:styleId="BalloonText">
    <w:name w:val="Balloon Text"/>
    <w:basedOn w:val="Normal"/>
    <w:link w:val="BalloonTextChar"/>
    <w:rsid w:val="00805031"/>
    <w:rPr>
      <w:rFonts w:ascii="Tahoma" w:hAnsi="Tahoma"/>
      <w:sz w:val="16"/>
      <w:szCs w:val="16"/>
    </w:rPr>
  </w:style>
  <w:style w:type="character" w:customStyle="1" w:styleId="BalloonTextChar">
    <w:name w:val="Balloon Text Char"/>
    <w:link w:val="BalloonText"/>
    <w:rsid w:val="00805031"/>
    <w:rPr>
      <w:rFonts w:ascii="Tahoma" w:eastAsia="Times New Roman" w:hAnsi="Tahoma" w:cs="Tahoma"/>
      <w:sz w:val="16"/>
      <w:szCs w:val="16"/>
    </w:rPr>
  </w:style>
  <w:style w:type="paragraph" w:styleId="EndnoteText">
    <w:name w:val="endnote text"/>
    <w:basedOn w:val="Normal"/>
    <w:link w:val="EndnoteTextChar"/>
    <w:uiPriority w:val="99"/>
    <w:unhideWhenUsed/>
    <w:rsid w:val="00F5098E"/>
    <w:rPr>
      <w:sz w:val="20"/>
      <w:szCs w:val="20"/>
    </w:rPr>
  </w:style>
  <w:style w:type="character" w:customStyle="1" w:styleId="EndnoteTextChar">
    <w:name w:val="Endnote Text Char"/>
    <w:link w:val="EndnoteText"/>
    <w:uiPriority w:val="99"/>
    <w:rsid w:val="00F5098E"/>
    <w:rPr>
      <w:rFonts w:ascii="Times New Roman" w:eastAsia="Times New Roman" w:hAnsi="Times New Roman"/>
      <w:lang w:eastAsia="en-US"/>
    </w:rPr>
  </w:style>
  <w:style w:type="character" w:styleId="EndnoteReference">
    <w:name w:val="endnote reference"/>
    <w:uiPriority w:val="99"/>
    <w:semiHidden/>
    <w:unhideWhenUsed/>
    <w:rsid w:val="00F5098E"/>
    <w:rPr>
      <w:vertAlign w:val="superscript"/>
    </w:rPr>
  </w:style>
  <w:style w:type="character" w:customStyle="1" w:styleId="apple-converted-space">
    <w:name w:val="apple-converted-space"/>
    <w:basedOn w:val="DefaultParagraphFont"/>
    <w:rsid w:val="0053661E"/>
  </w:style>
  <w:style w:type="character" w:styleId="Strong">
    <w:name w:val="Strong"/>
    <w:uiPriority w:val="22"/>
    <w:qFormat/>
    <w:rsid w:val="00882900"/>
    <w:rPr>
      <w:b/>
      <w:bCs/>
    </w:rPr>
  </w:style>
  <w:style w:type="paragraph" w:styleId="Header">
    <w:name w:val="header"/>
    <w:basedOn w:val="Normal"/>
    <w:link w:val="HeaderChar"/>
    <w:uiPriority w:val="99"/>
    <w:unhideWhenUsed/>
    <w:rsid w:val="00786FAA"/>
    <w:pPr>
      <w:tabs>
        <w:tab w:val="center" w:pos="4513"/>
        <w:tab w:val="right" w:pos="9026"/>
      </w:tabs>
    </w:pPr>
  </w:style>
  <w:style w:type="character" w:customStyle="1" w:styleId="HeaderChar">
    <w:name w:val="Header Char"/>
    <w:link w:val="Header"/>
    <w:uiPriority w:val="99"/>
    <w:rsid w:val="00786FAA"/>
    <w:rPr>
      <w:rFonts w:ascii="Times New Roman" w:eastAsia="Times New Roman" w:hAnsi="Times New Roman"/>
      <w:sz w:val="24"/>
      <w:szCs w:val="24"/>
      <w:lang w:eastAsia="en-US"/>
    </w:rPr>
  </w:style>
  <w:style w:type="paragraph" w:styleId="BodyText">
    <w:name w:val="Body Text"/>
    <w:basedOn w:val="Normal"/>
    <w:link w:val="BodyTextChar"/>
    <w:rsid w:val="00572A22"/>
    <w:pPr>
      <w:spacing w:after="120"/>
    </w:pPr>
    <w:rPr>
      <w:sz w:val="20"/>
      <w:szCs w:val="20"/>
      <w:lang w:val="x-none" w:eastAsia="x-none"/>
    </w:rPr>
  </w:style>
  <w:style w:type="character" w:customStyle="1" w:styleId="BodyTextChar">
    <w:name w:val="Body Text Char"/>
    <w:basedOn w:val="DefaultParagraphFont"/>
    <w:link w:val="BodyText"/>
    <w:rsid w:val="00572A22"/>
    <w:rPr>
      <w:rFonts w:ascii="Times New Roman" w:eastAsia="Times New Roman" w:hAnsi="Times New Roman"/>
      <w:lang w:val="x-none" w:eastAsia="x-none"/>
    </w:rPr>
  </w:style>
  <w:style w:type="paragraph" w:styleId="Revision">
    <w:name w:val="Revision"/>
    <w:hidden/>
    <w:uiPriority w:val="99"/>
    <w:semiHidden/>
    <w:rsid w:val="00964CA2"/>
    <w:rPr>
      <w:rFonts w:ascii="Times New Roman" w:eastAsia="Times New Roman" w:hAnsi="Times New Roman"/>
      <w:sz w:val="24"/>
      <w:szCs w:val="24"/>
      <w:lang w:eastAsia="en-US"/>
    </w:rPr>
  </w:style>
  <w:style w:type="paragraph" w:customStyle="1" w:styleId="WW-Default">
    <w:name w:val="WW-Default"/>
    <w:rsid w:val="002E77A9"/>
    <w:pPr>
      <w:widowControl w:val="0"/>
      <w:suppressAutoHyphens/>
      <w:autoSpaceDE w:val="0"/>
    </w:pPr>
    <w:rPr>
      <w:rFonts w:eastAsia="Arial" w:cs="Calibri"/>
      <w:color w:val="000000"/>
      <w:sz w:val="24"/>
      <w:szCs w:val="24"/>
      <w:lang w:eastAsia="ar-SA"/>
    </w:rPr>
  </w:style>
  <w:style w:type="character" w:customStyle="1" w:styleId="endnote0020textchar">
    <w:name w:val="endnote_0020text__char"/>
    <w:basedOn w:val="DefaultParagraphFont"/>
    <w:rsid w:val="0062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23868">
      <w:bodyDiv w:val="1"/>
      <w:marLeft w:val="0"/>
      <w:marRight w:val="0"/>
      <w:marTop w:val="0"/>
      <w:marBottom w:val="0"/>
      <w:divBdr>
        <w:top w:val="none" w:sz="0" w:space="0" w:color="auto"/>
        <w:left w:val="none" w:sz="0" w:space="0" w:color="auto"/>
        <w:bottom w:val="none" w:sz="0" w:space="0" w:color="auto"/>
        <w:right w:val="none" w:sz="0" w:space="0" w:color="auto"/>
      </w:divBdr>
      <w:divsChild>
        <w:div w:id="212037836">
          <w:marLeft w:val="0"/>
          <w:marRight w:val="0"/>
          <w:marTop w:val="0"/>
          <w:marBottom w:val="0"/>
          <w:divBdr>
            <w:top w:val="none" w:sz="0" w:space="0" w:color="auto"/>
            <w:left w:val="none" w:sz="0" w:space="0" w:color="auto"/>
            <w:bottom w:val="none" w:sz="0" w:space="0" w:color="auto"/>
            <w:right w:val="none" w:sz="0" w:space="0" w:color="auto"/>
          </w:divBdr>
        </w:div>
        <w:div w:id="441998293">
          <w:marLeft w:val="0"/>
          <w:marRight w:val="0"/>
          <w:marTop w:val="0"/>
          <w:marBottom w:val="0"/>
          <w:divBdr>
            <w:top w:val="none" w:sz="0" w:space="0" w:color="auto"/>
            <w:left w:val="none" w:sz="0" w:space="0" w:color="auto"/>
            <w:bottom w:val="none" w:sz="0" w:space="0" w:color="auto"/>
            <w:right w:val="none" w:sz="0" w:space="0" w:color="auto"/>
          </w:divBdr>
        </w:div>
        <w:div w:id="1388063786">
          <w:marLeft w:val="0"/>
          <w:marRight w:val="0"/>
          <w:marTop w:val="0"/>
          <w:marBottom w:val="0"/>
          <w:divBdr>
            <w:top w:val="none" w:sz="0" w:space="0" w:color="auto"/>
            <w:left w:val="none" w:sz="0" w:space="0" w:color="auto"/>
            <w:bottom w:val="none" w:sz="0" w:space="0" w:color="auto"/>
            <w:right w:val="none" w:sz="0" w:space="0" w:color="auto"/>
          </w:divBdr>
        </w:div>
        <w:div w:id="1457019607">
          <w:marLeft w:val="0"/>
          <w:marRight w:val="0"/>
          <w:marTop w:val="0"/>
          <w:marBottom w:val="0"/>
          <w:divBdr>
            <w:top w:val="none" w:sz="0" w:space="0" w:color="auto"/>
            <w:left w:val="none" w:sz="0" w:space="0" w:color="auto"/>
            <w:bottom w:val="none" w:sz="0" w:space="0" w:color="auto"/>
            <w:right w:val="none" w:sz="0" w:space="0" w:color="auto"/>
          </w:divBdr>
        </w:div>
        <w:div w:id="1494102423">
          <w:marLeft w:val="0"/>
          <w:marRight w:val="0"/>
          <w:marTop w:val="0"/>
          <w:marBottom w:val="0"/>
          <w:divBdr>
            <w:top w:val="none" w:sz="0" w:space="0" w:color="auto"/>
            <w:left w:val="none" w:sz="0" w:space="0" w:color="auto"/>
            <w:bottom w:val="none" w:sz="0" w:space="0" w:color="auto"/>
            <w:right w:val="none" w:sz="0" w:space="0" w:color="auto"/>
          </w:divBdr>
        </w:div>
        <w:div w:id="1535732455">
          <w:marLeft w:val="0"/>
          <w:marRight w:val="0"/>
          <w:marTop w:val="0"/>
          <w:marBottom w:val="0"/>
          <w:divBdr>
            <w:top w:val="none" w:sz="0" w:space="0" w:color="auto"/>
            <w:left w:val="none" w:sz="0" w:space="0" w:color="auto"/>
            <w:bottom w:val="none" w:sz="0" w:space="0" w:color="auto"/>
            <w:right w:val="none" w:sz="0" w:space="0" w:color="auto"/>
          </w:divBdr>
        </w:div>
        <w:div w:id="209663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luna.folger.edu/luna/servlet/detail/FOLGERCM1~6~6~713698~149209:La-maistresse-d-escole--graphic----?qvq=q:A.%2BBosse;lc:FOLGERCM1~6~6,BINDINGS~1~1&amp;mi=7&amp;tr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8330-F579-4ECF-A631-C0B96921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6372</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SPECIAL ISSUE ON WAYS OF SEEING ENGLISH DOMESTIC TEXTILES</vt:lpstr>
    </vt:vector>
  </TitlesOfParts>
  <Company>Microsoft</Company>
  <LinksUpToDate>false</LinksUpToDate>
  <CharactersWithSpaces>42614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ISSUE ON WAYS OF SEEING ENGLISH DOMESTIC TEXTILES</dc:title>
  <dc:creator>hamlintj</dc:creator>
  <cp:lastModifiedBy>Catherine Richardson</cp:lastModifiedBy>
  <cp:revision>3</cp:revision>
  <dcterms:created xsi:type="dcterms:W3CDTF">2015-12-03T09:40:00Z</dcterms:created>
  <dcterms:modified xsi:type="dcterms:W3CDTF">2015-12-03T10:19:00Z</dcterms:modified>
</cp:coreProperties>
</file>