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1D8" w:rsidRPr="00773C9F" w:rsidRDefault="00E521D8" w:rsidP="000E5AB2">
      <w:pPr>
        <w:widowControl w:val="0"/>
        <w:spacing w:line="360" w:lineRule="auto"/>
        <w:rPr>
          <w:b/>
          <w:sz w:val="28"/>
          <w:szCs w:val="28"/>
        </w:rPr>
      </w:pPr>
      <w:bookmarkStart w:id="0" w:name="_GoBack"/>
      <w:bookmarkEnd w:id="0"/>
      <w:r w:rsidRPr="00773C9F">
        <w:rPr>
          <w:b/>
          <w:sz w:val="28"/>
          <w:szCs w:val="28"/>
        </w:rPr>
        <w:t xml:space="preserve">Job </w:t>
      </w:r>
      <w:r w:rsidR="00BB693A">
        <w:rPr>
          <w:b/>
          <w:sz w:val="28"/>
          <w:szCs w:val="28"/>
        </w:rPr>
        <w:t>dis</w:t>
      </w:r>
      <w:r w:rsidRPr="00773C9F">
        <w:rPr>
          <w:b/>
          <w:sz w:val="28"/>
          <w:szCs w:val="28"/>
        </w:rPr>
        <w:t xml:space="preserve">satisfaction and the older worker: </w:t>
      </w:r>
      <w:r w:rsidR="00335985">
        <w:rPr>
          <w:b/>
          <w:sz w:val="28"/>
          <w:szCs w:val="28"/>
        </w:rPr>
        <w:t xml:space="preserve">baseline </w:t>
      </w:r>
      <w:r w:rsidRPr="00773C9F">
        <w:rPr>
          <w:b/>
          <w:sz w:val="28"/>
          <w:szCs w:val="28"/>
        </w:rPr>
        <w:t xml:space="preserve">findings from the Health and Employment </w:t>
      </w:r>
      <w:proofErr w:type="gramStart"/>
      <w:r w:rsidRPr="00773C9F">
        <w:rPr>
          <w:b/>
          <w:sz w:val="28"/>
          <w:szCs w:val="28"/>
        </w:rPr>
        <w:t>After</w:t>
      </w:r>
      <w:proofErr w:type="gramEnd"/>
      <w:r w:rsidRPr="00773C9F">
        <w:rPr>
          <w:b/>
          <w:sz w:val="28"/>
          <w:szCs w:val="28"/>
        </w:rPr>
        <w:t xml:space="preserve"> Fifty study</w:t>
      </w:r>
    </w:p>
    <w:p w:rsidR="00E521D8" w:rsidRDefault="00E521D8" w:rsidP="000E5AB2">
      <w:pPr>
        <w:widowControl w:val="0"/>
        <w:spacing w:line="360" w:lineRule="auto"/>
        <w:rPr>
          <w:sz w:val="24"/>
          <w:szCs w:val="24"/>
        </w:rPr>
      </w:pPr>
    </w:p>
    <w:p w:rsidR="00952430" w:rsidRPr="00773C9F" w:rsidRDefault="00952430" w:rsidP="00BB693A">
      <w:pPr>
        <w:widowControl w:val="0"/>
        <w:spacing w:line="360" w:lineRule="auto"/>
        <w:rPr>
          <w:sz w:val="24"/>
          <w:szCs w:val="24"/>
        </w:rPr>
      </w:pPr>
      <w:r w:rsidRPr="00773C9F">
        <w:rPr>
          <w:sz w:val="24"/>
          <w:szCs w:val="24"/>
        </w:rPr>
        <w:t>Stefania D’Angelo, Statistician</w:t>
      </w:r>
      <w:r w:rsidRPr="00773C9F">
        <w:rPr>
          <w:sz w:val="24"/>
          <w:szCs w:val="24"/>
          <w:vertAlign w:val="superscript"/>
        </w:rPr>
        <w:t>1</w:t>
      </w:r>
      <w:proofErr w:type="gramStart"/>
      <w:r w:rsidRPr="00773C9F">
        <w:rPr>
          <w:sz w:val="24"/>
          <w:szCs w:val="24"/>
          <w:vertAlign w:val="superscript"/>
        </w:rPr>
        <w:t>,2</w:t>
      </w:r>
      <w:proofErr w:type="gramEnd"/>
    </w:p>
    <w:p w:rsidR="00AC6EFE" w:rsidRPr="00773C9F" w:rsidRDefault="00AC6EFE" w:rsidP="00AC6EFE">
      <w:pPr>
        <w:widowControl w:val="0"/>
        <w:spacing w:line="360" w:lineRule="auto"/>
        <w:rPr>
          <w:sz w:val="24"/>
          <w:szCs w:val="24"/>
          <w:vertAlign w:val="superscript"/>
        </w:rPr>
      </w:pPr>
      <w:r w:rsidRPr="00773C9F">
        <w:rPr>
          <w:sz w:val="24"/>
          <w:szCs w:val="24"/>
        </w:rPr>
        <w:t xml:space="preserve">Professor David Coggon, </w:t>
      </w:r>
      <w:r>
        <w:rPr>
          <w:sz w:val="24"/>
          <w:szCs w:val="24"/>
        </w:rPr>
        <w:t>Emeritus</w:t>
      </w:r>
      <w:r w:rsidRPr="00773C9F">
        <w:rPr>
          <w:sz w:val="24"/>
          <w:szCs w:val="24"/>
        </w:rPr>
        <w:t xml:space="preserve"> Professor of Occupational and Environmental Medicine</w:t>
      </w:r>
      <w:r w:rsidRPr="00773C9F">
        <w:rPr>
          <w:sz w:val="24"/>
          <w:szCs w:val="24"/>
          <w:vertAlign w:val="superscript"/>
        </w:rPr>
        <w:t>1</w:t>
      </w:r>
      <w:proofErr w:type="gramStart"/>
      <w:r w:rsidRPr="00773C9F">
        <w:rPr>
          <w:sz w:val="24"/>
          <w:szCs w:val="24"/>
          <w:vertAlign w:val="superscript"/>
        </w:rPr>
        <w:t>,2</w:t>
      </w:r>
      <w:proofErr w:type="gramEnd"/>
    </w:p>
    <w:p w:rsidR="00E521D8" w:rsidRPr="00773C9F" w:rsidRDefault="00E521D8" w:rsidP="00BB693A">
      <w:pPr>
        <w:widowControl w:val="0"/>
        <w:spacing w:line="360" w:lineRule="auto"/>
        <w:rPr>
          <w:sz w:val="24"/>
          <w:szCs w:val="24"/>
          <w:vertAlign w:val="superscript"/>
        </w:rPr>
      </w:pPr>
      <w:r w:rsidRPr="00773C9F">
        <w:rPr>
          <w:sz w:val="24"/>
          <w:szCs w:val="24"/>
        </w:rPr>
        <w:t xml:space="preserve">Dr </w:t>
      </w:r>
      <w:r w:rsidR="00685F32">
        <w:rPr>
          <w:sz w:val="24"/>
          <w:szCs w:val="24"/>
        </w:rPr>
        <w:t xml:space="preserve">E </w:t>
      </w:r>
      <w:r w:rsidRPr="00773C9F">
        <w:rPr>
          <w:sz w:val="24"/>
          <w:szCs w:val="24"/>
        </w:rPr>
        <w:t>Clare Harris, Research Fellow</w:t>
      </w:r>
      <w:r w:rsidRPr="00773C9F">
        <w:rPr>
          <w:sz w:val="24"/>
          <w:szCs w:val="24"/>
          <w:vertAlign w:val="superscript"/>
        </w:rPr>
        <w:t>1</w:t>
      </w:r>
      <w:proofErr w:type="gramStart"/>
      <w:r w:rsidRPr="00773C9F">
        <w:rPr>
          <w:sz w:val="24"/>
          <w:szCs w:val="24"/>
          <w:vertAlign w:val="superscript"/>
        </w:rPr>
        <w:t>,2</w:t>
      </w:r>
      <w:proofErr w:type="gramEnd"/>
    </w:p>
    <w:p w:rsidR="00E521D8" w:rsidRPr="00773C9F" w:rsidRDefault="00E521D8" w:rsidP="00BB693A">
      <w:pPr>
        <w:widowControl w:val="0"/>
        <w:spacing w:line="360" w:lineRule="auto"/>
        <w:rPr>
          <w:sz w:val="24"/>
          <w:szCs w:val="24"/>
          <w:vertAlign w:val="superscript"/>
        </w:rPr>
      </w:pPr>
      <w:r w:rsidRPr="00773C9F">
        <w:rPr>
          <w:sz w:val="24"/>
          <w:szCs w:val="24"/>
        </w:rPr>
        <w:t xml:space="preserve">Dr Cathy Linaker, Research </w:t>
      </w:r>
      <w:r w:rsidR="00CA60B4">
        <w:rPr>
          <w:sz w:val="24"/>
          <w:szCs w:val="24"/>
        </w:rPr>
        <w:t>Fellow</w:t>
      </w:r>
      <w:r w:rsidRPr="00773C9F">
        <w:rPr>
          <w:sz w:val="24"/>
          <w:szCs w:val="24"/>
          <w:vertAlign w:val="superscript"/>
        </w:rPr>
        <w:t>1</w:t>
      </w:r>
      <w:proofErr w:type="gramStart"/>
      <w:r w:rsidRPr="00773C9F">
        <w:rPr>
          <w:sz w:val="24"/>
          <w:szCs w:val="24"/>
          <w:vertAlign w:val="superscript"/>
        </w:rPr>
        <w:t>,2</w:t>
      </w:r>
      <w:proofErr w:type="gramEnd"/>
    </w:p>
    <w:p w:rsidR="00E521D8" w:rsidRPr="00773C9F" w:rsidRDefault="00E521D8" w:rsidP="00BB693A">
      <w:pPr>
        <w:widowControl w:val="0"/>
        <w:spacing w:line="360" w:lineRule="auto"/>
        <w:rPr>
          <w:sz w:val="24"/>
          <w:szCs w:val="24"/>
          <w:vertAlign w:val="superscript"/>
        </w:rPr>
      </w:pPr>
      <w:r w:rsidRPr="00773C9F">
        <w:rPr>
          <w:sz w:val="24"/>
          <w:szCs w:val="24"/>
        </w:rPr>
        <w:t xml:space="preserve">Professor </w:t>
      </w:r>
      <w:proofErr w:type="spellStart"/>
      <w:r w:rsidRPr="00773C9F">
        <w:rPr>
          <w:sz w:val="24"/>
          <w:szCs w:val="24"/>
        </w:rPr>
        <w:t>Avan</w:t>
      </w:r>
      <w:proofErr w:type="spellEnd"/>
      <w:r w:rsidRPr="00773C9F">
        <w:rPr>
          <w:sz w:val="24"/>
          <w:szCs w:val="24"/>
        </w:rPr>
        <w:t xml:space="preserve"> Aihie Sayer, Professor of Geriatric Medicine</w:t>
      </w:r>
      <w:r w:rsidRPr="00773C9F">
        <w:rPr>
          <w:sz w:val="24"/>
          <w:szCs w:val="24"/>
          <w:vertAlign w:val="superscript"/>
        </w:rPr>
        <w:t>1</w:t>
      </w:r>
      <w:proofErr w:type="gramStart"/>
      <w:r w:rsidR="00AC6EFE">
        <w:rPr>
          <w:sz w:val="24"/>
          <w:szCs w:val="24"/>
          <w:vertAlign w:val="superscript"/>
        </w:rPr>
        <w:t>,3,4,5</w:t>
      </w:r>
      <w:proofErr w:type="gramEnd"/>
    </w:p>
    <w:p w:rsidR="00E521D8" w:rsidRPr="00773C9F" w:rsidRDefault="00E521D8" w:rsidP="00BB693A">
      <w:pPr>
        <w:widowControl w:val="0"/>
        <w:spacing w:line="360" w:lineRule="auto"/>
        <w:rPr>
          <w:sz w:val="24"/>
          <w:szCs w:val="24"/>
          <w:vertAlign w:val="superscript"/>
        </w:rPr>
      </w:pPr>
      <w:r w:rsidRPr="00773C9F">
        <w:rPr>
          <w:sz w:val="24"/>
          <w:szCs w:val="24"/>
        </w:rPr>
        <w:t xml:space="preserve">Dr Catharine </w:t>
      </w:r>
      <w:r w:rsidR="00B23FC2">
        <w:rPr>
          <w:sz w:val="24"/>
          <w:szCs w:val="24"/>
        </w:rPr>
        <w:t xml:space="preserve">R </w:t>
      </w:r>
      <w:r w:rsidRPr="00773C9F">
        <w:rPr>
          <w:sz w:val="24"/>
          <w:szCs w:val="24"/>
        </w:rPr>
        <w:t>Gale, Professor of Cognitive Epidemiology</w:t>
      </w:r>
      <w:r w:rsidRPr="00773C9F">
        <w:rPr>
          <w:sz w:val="24"/>
          <w:szCs w:val="24"/>
          <w:vertAlign w:val="superscript"/>
        </w:rPr>
        <w:t xml:space="preserve"> 1</w:t>
      </w:r>
      <w:proofErr w:type="gramStart"/>
      <w:r w:rsidR="00AC6EFE">
        <w:rPr>
          <w:sz w:val="24"/>
          <w:szCs w:val="24"/>
          <w:vertAlign w:val="superscript"/>
        </w:rPr>
        <w:t>,6</w:t>
      </w:r>
      <w:proofErr w:type="gramEnd"/>
    </w:p>
    <w:p w:rsidR="00E521D8" w:rsidRPr="00773C9F" w:rsidRDefault="00E521D8" w:rsidP="00BB693A">
      <w:pPr>
        <w:widowControl w:val="0"/>
        <w:spacing w:line="360" w:lineRule="auto"/>
        <w:rPr>
          <w:sz w:val="24"/>
          <w:szCs w:val="24"/>
          <w:vertAlign w:val="superscript"/>
        </w:rPr>
      </w:pPr>
      <w:r w:rsidRPr="00773C9F">
        <w:rPr>
          <w:sz w:val="24"/>
          <w:szCs w:val="24"/>
        </w:rPr>
        <w:t xml:space="preserve">Professor Maria </w:t>
      </w:r>
      <w:proofErr w:type="spellStart"/>
      <w:r w:rsidRPr="00773C9F">
        <w:rPr>
          <w:sz w:val="24"/>
          <w:szCs w:val="24"/>
        </w:rPr>
        <w:t>Evandrou</w:t>
      </w:r>
      <w:proofErr w:type="spellEnd"/>
      <w:r w:rsidRPr="00773C9F">
        <w:rPr>
          <w:sz w:val="24"/>
          <w:szCs w:val="24"/>
        </w:rPr>
        <w:t xml:space="preserve">, Professor of </w:t>
      </w:r>
      <w:r w:rsidR="00B23FC2" w:rsidRPr="00773C9F">
        <w:rPr>
          <w:sz w:val="24"/>
          <w:szCs w:val="24"/>
        </w:rPr>
        <w:t>Gerontology</w:t>
      </w:r>
      <w:r w:rsidR="00AC6EFE">
        <w:rPr>
          <w:sz w:val="24"/>
          <w:szCs w:val="24"/>
          <w:vertAlign w:val="superscript"/>
        </w:rPr>
        <w:t>7</w:t>
      </w:r>
    </w:p>
    <w:p w:rsidR="00E521D8" w:rsidRPr="00773C9F" w:rsidRDefault="00E521D8" w:rsidP="00BB693A">
      <w:pPr>
        <w:widowControl w:val="0"/>
        <w:spacing w:line="360" w:lineRule="auto"/>
        <w:rPr>
          <w:sz w:val="24"/>
          <w:szCs w:val="24"/>
          <w:vertAlign w:val="superscript"/>
        </w:rPr>
      </w:pPr>
      <w:r w:rsidRPr="00773C9F">
        <w:rPr>
          <w:sz w:val="24"/>
          <w:szCs w:val="24"/>
        </w:rPr>
        <w:t xml:space="preserve">Professor </w:t>
      </w:r>
      <w:proofErr w:type="spellStart"/>
      <w:r w:rsidRPr="00773C9F">
        <w:rPr>
          <w:sz w:val="24"/>
          <w:szCs w:val="24"/>
        </w:rPr>
        <w:t>Tjeerd</w:t>
      </w:r>
      <w:proofErr w:type="spellEnd"/>
      <w:r w:rsidRPr="00773C9F">
        <w:rPr>
          <w:sz w:val="24"/>
          <w:szCs w:val="24"/>
        </w:rPr>
        <w:t xml:space="preserve"> van Staa, Professor of Health </w:t>
      </w:r>
      <w:r w:rsidR="00B23FC2" w:rsidRPr="00773C9F">
        <w:rPr>
          <w:sz w:val="24"/>
          <w:szCs w:val="24"/>
        </w:rPr>
        <w:t>eResearch</w:t>
      </w:r>
      <w:r w:rsidR="00AC6EFE">
        <w:rPr>
          <w:sz w:val="24"/>
          <w:szCs w:val="24"/>
          <w:vertAlign w:val="superscript"/>
        </w:rPr>
        <w:t>8</w:t>
      </w:r>
    </w:p>
    <w:p w:rsidR="00E521D8" w:rsidRPr="00773C9F" w:rsidRDefault="00E521D8" w:rsidP="00BB693A">
      <w:pPr>
        <w:widowControl w:val="0"/>
        <w:spacing w:line="360" w:lineRule="auto"/>
        <w:rPr>
          <w:sz w:val="24"/>
          <w:szCs w:val="24"/>
          <w:vertAlign w:val="superscript"/>
        </w:rPr>
      </w:pPr>
      <w:r w:rsidRPr="00773C9F">
        <w:rPr>
          <w:sz w:val="24"/>
          <w:szCs w:val="24"/>
        </w:rPr>
        <w:t>Professor Cyrus Cooper, Professor of Rheumatology</w:t>
      </w:r>
      <w:r w:rsidRPr="00773C9F">
        <w:rPr>
          <w:sz w:val="24"/>
          <w:szCs w:val="24"/>
          <w:vertAlign w:val="superscript"/>
        </w:rPr>
        <w:t xml:space="preserve"> 1</w:t>
      </w:r>
      <w:proofErr w:type="gramStart"/>
      <w:r w:rsidRPr="00773C9F">
        <w:rPr>
          <w:sz w:val="24"/>
          <w:szCs w:val="24"/>
          <w:vertAlign w:val="superscript"/>
        </w:rPr>
        <w:t>,2</w:t>
      </w:r>
      <w:proofErr w:type="gramEnd"/>
    </w:p>
    <w:p w:rsidR="00AC6EFE" w:rsidRPr="00773C9F" w:rsidRDefault="00AC6EFE" w:rsidP="00AC6EFE">
      <w:pPr>
        <w:widowControl w:val="0"/>
        <w:spacing w:line="360" w:lineRule="auto"/>
        <w:rPr>
          <w:sz w:val="24"/>
          <w:szCs w:val="24"/>
          <w:vertAlign w:val="superscript"/>
        </w:rPr>
      </w:pPr>
      <w:r w:rsidRPr="00773C9F">
        <w:rPr>
          <w:sz w:val="24"/>
          <w:szCs w:val="24"/>
        </w:rPr>
        <w:t>Dr Karen Walker-Bone, Reader, Occupational Rheumatology</w:t>
      </w:r>
      <w:r w:rsidRPr="00773C9F">
        <w:rPr>
          <w:sz w:val="24"/>
          <w:szCs w:val="24"/>
          <w:vertAlign w:val="superscript"/>
        </w:rPr>
        <w:t>1</w:t>
      </w:r>
      <w:proofErr w:type="gramStart"/>
      <w:r w:rsidRPr="00773C9F">
        <w:rPr>
          <w:sz w:val="24"/>
          <w:szCs w:val="24"/>
          <w:vertAlign w:val="superscript"/>
        </w:rPr>
        <w:t>,2</w:t>
      </w:r>
      <w:proofErr w:type="gramEnd"/>
    </w:p>
    <w:p w:rsidR="005D562C" w:rsidRPr="00773C9F" w:rsidRDefault="005D562C" w:rsidP="005D562C">
      <w:pPr>
        <w:widowControl w:val="0"/>
        <w:spacing w:line="360" w:lineRule="auto"/>
        <w:rPr>
          <w:sz w:val="24"/>
          <w:szCs w:val="24"/>
          <w:vertAlign w:val="superscript"/>
        </w:rPr>
      </w:pPr>
      <w:r w:rsidRPr="00773C9F">
        <w:rPr>
          <w:sz w:val="24"/>
          <w:szCs w:val="24"/>
        </w:rPr>
        <w:t>Professor Keith T Palmer, Professor of Occupational Medicine</w:t>
      </w:r>
      <w:r w:rsidRPr="00773C9F">
        <w:rPr>
          <w:sz w:val="24"/>
          <w:szCs w:val="24"/>
          <w:vertAlign w:val="superscript"/>
        </w:rPr>
        <w:t>1</w:t>
      </w:r>
      <w:proofErr w:type="gramStart"/>
      <w:r w:rsidRPr="00773C9F">
        <w:rPr>
          <w:sz w:val="24"/>
          <w:szCs w:val="24"/>
          <w:vertAlign w:val="superscript"/>
        </w:rPr>
        <w:t>,2</w:t>
      </w:r>
      <w:proofErr w:type="gramEnd"/>
    </w:p>
    <w:p w:rsidR="00E521D8" w:rsidRDefault="00E521D8" w:rsidP="00BB693A">
      <w:pPr>
        <w:widowControl w:val="0"/>
        <w:spacing w:line="360" w:lineRule="auto"/>
        <w:rPr>
          <w:rFonts w:ascii="Verdana" w:hAnsi="Verdana"/>
          <w:b/>
          <w:bCs/>
        </w:rPr>
      </w:pPr>
    </w:p>
    <w:p w:rsidR="00E521D8" w:rsidRPr="00952430" w:rsidRDefault="00E521D8" w:rsidP="00BB693A">
      <w:pPr>
        <w:pStyle w:val="ListParagraph"/>
        <w:widowControl w:val="0"/>
        <w:numPr>
          <w:ilvl w:val="0"/>
          <w:numId w:val="2"/>
        </w:numPr>
        <w:contextualSpacing w:val="0"/>
        <w:rPr>
          <w:rFonts w:ascii="Arial" w:hAnsi="Arial" w:cs="Arial"/>
          <w:sz w:val="24"/>
          <w:szCs w:val="24"/>
        </w:rPr>
      </w:pPr>
      <w:r w:rsidRPr="00952430">
        <w:rPr>
          <w:rFonts w:ascii="Arial" w:hAnsi="Arial" w:cs="Arial"/>
          <w:sz w:val="24"/>
          <w:szCs w:val="24"/>
        </w:rPr>
        <w:t>MRC Lifecourse Epidemiology Unit, University of Southampton</w:t>
      </w:r>
    </w:p>
    <w:p w:rsidR="00E521D8" w:rsidRPr="00952430" w:rsidRDefault="00CA60B4" w:rsidP="00BB693A">
      <w:pPr>
        <w:pStyle w:val="ListParagraph"/>
        <w:widowControl w:val="0"/>
        <w:numPr>
          <w:ilvl w:val="0"/>
          <w:numId w:val="2"/>
        </w:numPr>
        <w:contextualSpacing w:val="0"/>
        <w:rPr>
          <w:rFonts w:ascii="Arial" w:hAnsi="Arial" w:cs="Arial"/>
          <w:sz w:val="24"/>
          <w:szCs w:val="24"/>
        </w:rPr>
      </w:pPr>
      <w:r>
        <w:rPr>
          <w:rFonts w:ascii="Arial" w:hAnsi="Arial" w:cs="Arial"/>
          <w:sz w:val="24"/>
          <w:szCs w:val="24"/>
        </w:rPr>
        <w:t>Arthritis Research UK/MRC</w:t>
      </w:r>
      <w:r w:rsidRPr="00952430">
        <w:rPr>
          <w:rFonts w:ascii="Arial" w:hAnsi="Arial" w:cs="Arial"/>
          <w:sz w:val="24"/>
          <w:szCs w:val="24"/>
        </w:rPr>
        <w:t xml:space="preserve"> </w:t>
      </w:r>
      <w:r w:rsidR="00E521D8" w:rsidRPr="00952430">
        <w:rPr>
          <w:rFonts w:ascii="Arial" w:hAnsi="Arial" w:cs="Arial"/>
          <w:sz w:val="24"/>
          <w:szCs w:val="24"/>
        </w:rPr>
        <w:t>Centre for Musculoskeletal Health and Work, University of Southampton</w:t>
      </w:r>
    </w:p>
    <w:p w:rsidR="00AC6EFE" w:rsidRDefault="00AC6EFE" w:rsidP="00AC6EFE">
      <w:pPr>
        <w:pStyle w:val="ListParagraph"/>
        <w:widowControl w:val="0"/>
        <w:numPr>
          <w:ilvl w:val="0"/>
          <w:numId w:val="2"/>
        </w:numPr>
        <w:contextualSpacing w:val="0"/>
        <w:rPr>
          <w:rFonts w:ascii="Arial" w:hAnsi="Arial" w:cs="Arial"/>
          <w:sz w:val="24"/>
          <w:szCs w:val="24"/>
        </w:rPr>
      </w:pPr>
      <w:r w:rsidRPr="00AC6EFE">
        <w:rPr>
          <w:rFonts w:ascii="Arial" w:hAnsi="Arial" w:cs="Arial"/>
          <w:sz w:val="24"/>
          <w:szCs w:val="24"/>
        </w:rPr>
        <w:t>NIHR Collaboration for Leadership in Applied Health Research and Care Wessex</w:t>
      </w:r>
    </w:p>
    <w:p w:rsidR="00AC6EFE" w:rsidRDefault="00AC6EFE" w:rsidP="00AC6EFE">
      <w:pPr>
        <w:pStyle w:val="ListParagraph"/>
        <w:widowControl w:val="0"/>
        <w:numPr>
          <w:ilvl w:val="0"/>
          <w:numId w:val="2"/>
        </w:numPr>
        <w:contextualSpacing w:val="0"/>
        <w:rPr>
          <w:rFonts w:ascii="Arial" w:hAnsi="Arial" w:cs="Arial"/>
          <w:sz w:val="24"/>
          <w:szCs w:val="24"/>
        </w:rPr>
      </w:pPr>
      <w:r w:rsidRPr="00AC6EFE">
        <w:rPr>
          <w:rFonts w:ascii="Arial" w:hAnsi="Arial" w:cs="Arial"/>
          <w:sz w:val="24"/>
          <w:szCs w:val="24"/>
        </w:rPr>
        <w:t>Institute of Neuroscience, Newcastle University</w:t>
      </w:r>
    </w:p>
    <w:p w:rsidR="00AC6EFE" w:rsidRDefault="00AC6EFE" w:rsidP="00AC6EFE">
      <w:pPr>
        <w:pStyle w:val="ListParagraph"/>
        <w:widowControl w:val="0"/>
        <w:numPr>
          <w:ilvl w:val="0"/>
          <w:numId w:val="2"/>
        </w:numPr>
        <w:contextualSpacing w:val="0"/>
        <w:rPr>
          <w:rFonts w:ascii="Arial" w:hAnsi="Arial" w:cs="Arial"/>
          <w:sz w:val="24"/>
          <w:szCs w:val="24"/>
        </w:rPr>
      </w:pPr>
      <w:r w:rsidRPr="00AC6EFE">
        <w:rPr>
          <w:rFonts w:ascii="Arial" w:hAnsi="Arial" w:cs="Arial"/>
          <w:sz w:val="24"/>
          <w:szCs w:val="24"/>
        </w:rPr>
        <w:t>NIHR Newcastle Biomedical Research Centre, Newcastle University and Newcastle upon Tyne Hospitals NHS Foundation Trust</w:t>
      </w:r>
    </w:p>
    <w:p w:rsidR="00365F9F" w:rsidRDefault="00B23FC2" w:rsidP="00AC6EFE">
      <w:pPr>
        <w:pStyle w:val="ListParagraph"/>
        <w:widowControl w:val="0"/>
        <w:numPr>
          <w:ilvl w:val="0"/>
          <w:numId w:val="2"/>
        </w:numPr>
        <w:contextualSpacing w:val="0"/>
        <w:rPr>
          <w:rFonts w:ascii="Arial" w:hAnsi="Arial" w:cs="Arial"/>
          <w:sz w:val="24"/>
          <w:szCs w:val="24"/>
        </w:rPr>
      </w:pPr>
      <w:r>
        <w:rPr>
          <w:rFonts w:ascii="Arial" w:hAnsi="Arial" w:cs="Arial"/>
          <w:sz w:val="24"/>
          <w:szCs w:val="24"/>
        </w:rPr>
        <w:t>Centre for Cognitive Ageing and Cognitive Epidemiology, Department of Psychology, University of Edinburgh</w:t>
      </w:r>
    </w:p>
    <w:p w:rsidR="00365F9F" w:rsidRDefault="00E521D8" w:rsidP="00365F9F">
      <w:pPr>
        <w:pStyle w:val="ListParagraph"/>
        <w:widowControl w:val="0"/>
        <w:numPr>
          <w:ilvl w:val="0"/>
          <w:numId w:val="2"/>
        </w:numPr>
        <w:contextualSpacing w:val="0"/>
        <w:rPr>
          <w:rFonts w:ascii="Arial" w:hAnsi="Arial" w:cs="Arial"/>
          <w:sz w:val="24"/>
          <w:szCs w:val="24"/>
        </w:rPr>
      </w:pPr>
      <w:r w:rsidRPr="00365F9F">
        <w:rPr>
          <w:rFonts w:ascii="Arial" w:hAnsi="Arial" w:cs="Arial"/>
          <w:sz w:val="24"/>
          <w:szCs w:val="24"/>
        </w:rPr>
        <w:t>Centre for Research on Ageing, University of Southampton</w:t>
      </w:r>
    </w:p>
    <w:p w:rsidR="00E521D8" w:rsidRPr="00365F9F" w:rsidRDefault="00E521D8" w:rsidP="00365F9F">
      <w:pPr>
        <w:pStyle w:val="ListParagraph"/>
        <w:widowControl w:val="0"/>
        <w:numPr>
          <w:ilvl w:val="0"/>
          <w:numId w:val="2"/>
        </w:numPr>
        <w:contextualSpacing w:val="0"/>
        <w:rPr>
          <w:rFonts w:ascii="Arial" w:hAnsi="Arial" w:cs="Arial"/>
          <w:sz w:val="24"/>
          <w:szCs w:val="24"/>
        </w:rPr>
      </w:pPr>
      <w:r w:rsidRPr="00365F9F">
        <w:rPr>
          <w:rFonts w:ascii="Arial" w:hAnsi="Arial" w:cs="Arial"/>
          <w:sz w:val="24"/>
          <w:szCs w:val="24"/>
        </w:rPr>
        <w:t>Farr Institute, University of Manchester</w:t>
      </w:r>
    </w:p>
    <w:p w:rsidR="00E521D8" w:rsidRPr="00773C9F" w:rsidRDefault="00E521D8" w:rsidP="00BB693A">
      <w:pPr>
        <w:widowControl w:val="0"/>
        <w:spacing w:line="360" w:lineRule="auto"/>
        <w:rPr>
          <w:sz w:val="24"/>
          <w:szCs w:val="24"/>
        </w:rPr>
      </w:pPr>
    </w:p>
    <w:p w:rsidR="00E521D8" w:rsidRPr="00773C9F" w:rsidRDefault="00E521D8" w:rsidP="00BB693A">
      <w:pPr>
        <w:widowControl w:val="0"/>
        <w:spacing w:line="360" w:lineRule="auto"/>
        <w:rPr>
          <w:sz w:val="24"/>
          <w:szCs w:val="24"/>
        </w:rPr>
      </w:pPr>
      <w:r w:rsidRPr="00773C9F">
        <w:rPr>
          <w:sz w:val="24"/>
          <w:szCs w:val="24"/>
        </w:rPr>
        <w:t>Correspondence to: Professor Keith Palmer, Medical Research Council Lifecourse Epidemiology Unit, University of Southampton, Southampton General Hospital, Southampton SO16 6YD, UK</w:t>
      </w:r>
    </w:p>
    <w:p w:rsidR="00E521D8" w:rsidRPr="00773C9F" w:rsidRDefault="00E521D8" w:rsidP="00BB693A">
      <w:pPr>
        <w:widowControl w:val="0"/>
        <w:spacing w:line="360" w:lineRule="auto"/>
        <w:rPr>
          <w:sz w:val="24"/>
          <w:szCs w:val="24"/>
        </w:rPr>
      </w:pPr>
      <w:r w:rsidRPr="00773C9F">
        <w:rPr>
          <w:sz w:val="24"/>
          <w:szCs w:val="24"/>
        </w:rPr>
        <w:t xml:space="preserve">Tel: (023) 80777624, Fax no: (023) 80704021 </w:t>
      </w:r>
    </w:p>
    <w:p w:rsidR="00952430" w:rsidRDefault="00E521D8" w:rsidP="00AA7637">
      <w:pPr>
        <w:pStyle w:val="Heading4"/>
        <w:spacing w:before="0" w:line="360" w:lineRule="auto"/>
        <w:rPr>
          <w:rStyle w:val="Hyperlink"/>
          <w:rFonts w:ascii="Arial" w:hAnsi="Arial" w:cs="Arial"/>
          <w:b w:val="0"/>
          <w:szCs w:val="24"/>
        </w:rPr>
      </w:pPr>
      <w:r w:rsidRPr="00952430">
        <w:rPr>
          <w:rFonts w:ascii="Arial" w:hAnsi="Arial" w:cs="Arial"/>
          <w:b w:val="0"/>
          <w:szCs w:val="24"/>
        </w:rPr>
        <w:lastRenderedPageBreak/>
        <w:t xml:space="preserve">E-mail: </w:t>
      </w:r>
      <w:hyperlink r:id="rId8" w:history="1">
        <w:r w:rsidR="00952430" w:rsidRPr="00952430">
          <w:rPr>
            <w:rStyle w:val="Hyperlink"/>
            <w:rFonts w:ascii="Arial" w:hAnsi="Arial" w:cs="Arial"/>
            <w:b w:val="0"/>
            <w:szCs w:val="24"/>
          </w:rPr>
          <w:t>ktp@mrc.soton.ac.uk</w:t>
        </w:r>
      </w:hyperlink>
    </w:p>
    <w:p w:rsidR="00786BFD" w:rsidRDefault="00786BFD" w:rsidP="00AA7637">
      <w:pPr>
        <w:spacing w:line="360" w:lineRule="auto"/>
      </w:pPr>
    </w:p>
    <w:p w:rsidR="00786BFD" w:rsidRDefault="00786BFD" w:rsidP="00AA7637">
      <w:pPr>
        <w:spacing w:line="360" w:lineRule="auto"/>
      </w:pPr>
      <w:r w:rsidRPr="00786BFD">
        <w:t xml:space="preserve">The Corresponding Author has the right to grant on behalf of all authors and does grant on behalf of all authors, an exclusive licence (or non-exclusive licence for UK Crown and US Federal Government employees) on a worldwide basis to the BMJ Publishing Group Ltd, and its Licensees to permit this article (if accepted) to be published in </w:t>
      </w:r>
      <w:r w:rsidR="00037150">
        <w:t>Occupational and Environmental Medicine</w:t>
      </w:r>
      <w:r w:rsidRPr="00786BFD">
        <w:t xml:space="preserve"> and any other BMJPGL products and to exploit all subsidiary rights, as set out in </w:t>
      </w:r>
      <w:r>
        <w:t>the</w:t>
      </w:r>
      <w:r w:rsidRPr="00786BFD">
        <w:t xml:space="preserve"> licence.</w:t>
      </w:r>
    </w:p>
    <w:p w:rsidR="00786BFD" w:rsidRDefault="00786BFD" w:rsidP="00AA7637">
      <w:pPr>
        <w:spacing w:line="360" w:lineRule="auto"/>
      </w:pPr>
    </w:p>
    <w:p w:rsidR="00786BFD" w:rsidRDefault="00786BFD" w:rsidP="00AA7637">
      <w:pPr>
        <w:spacing w:line="360" w:lineRule="auto"/>
      </w:pPr>
      <w:r>
        <w:t>Key words: satisfaction, employment, ageing</w:t>
      </w:r>
    </w:p>
    <w:p w:rsidR="00F757F4" w:rsidRDefault="00F757F4" w:rsidP="00AA7637">
      <w:pPr>
        <w:spacing w:line="360" w:lineRule="auto"/>
      </w:pPr>
    </w:p>
    <w:p w:rsidR="00F757F4" w:rsidRDefault="00F757F4" w:rsidP="00AA7637">
      <w:pPr>
        <w:spacing w:line="360" w:lineRule="auto"/>
      </w:pPr>
      <w:r>
        <w:t xml:space="preserve">Word count: main text excluding references, </w:t>
      </w:r>
      <w:r w:rsidR="00604CE9">
        <w:t>3408</w:t>
      </w:r>
      <w:r>
        <w:t>; abstract, 249.  Tables: 5 (plus one online supplementary table)</w:t>
      </w:r>
    </w:p>
    <w:p w:rsidR="007D5900" w:rsidRDefault="007D5900" w:rsidP="00AA7637">
      <w:pPr>
        <w:spacing w:line="360" w:lineRule="auto"/>
      </w:pPr>
    </w:p>
    <w:p w:rsidR="007D5900" w:rsidRPr="00EE0306" w:rsidRDefault="007D5900" w:rsidP="00AA7637">
      <w:pPr>
        <w:spacing w:line="360" w:lineRule="auto"/>
        <w:rPr>
          <w:b/>
        </w:rPr>
      </w:pPr>
      <w:r w:rsidRPr="00EE0306">
        <w:rPr>
          <w:b/>
        </w:rPr>
        <w:t>What this paper adds</w:t>
      </w:r>
    </w:p>
    <w:p w:rsidR="007B6B1F" w:rsidRDefault="007B6B1F" w:rsidP="007B6B1F">
      <w:pPr>
        <w:pStyle w:val="ListParagraph"/>
        <w:numPr>
          <w:ilvl w:val="0"/>
          <w:numId w:val="3"/>
        </w:numPr>
        <w:rPr>
          <w:rFonts w:ascii="Arial" w:hAnsi="Arial" w:cs="Arial"/>
        </w:rPr>
      </w:pPr>
      <w:r w:rsidRPr="007D5900">
        <w:rPr>
          <w:rFonts w:ascii="Arial" w:hAnsi="Arial" w:cs="Arial"/>
        </w:rPr>
        <w:t xml:space="preserve">Job dissatisfaction </w:t>
      </w:r>
      <w:r>
        <w:rPr>
          <w:rFonts w:ascii="Arial" w:hAnsi="Arial" w:cs="Arial"/>
        </w:rPr>
        <w:t>can</w:t>
      </w:r>
      <w:r w:rsidRPr="007D5900">
        <w:rPr>
          <w:rFonts w:ascii="Arial" w:hAnsi="Arial" w:cs="Arial"/>
        </w:rPr>
        <w:t xml:space="preserve"> lead to labour turnover and ill-health, but little is known at a population </w:t>
      </w:r>
      <w:r>
        <w:rPr>
          <w:rFonts w:ascii="Arial" w:hAnsi="Arial" w:cs="Arial"/>
        </w:rPr>
        <w:t xml:space="preserve">level </w:t>
      </w:r>
      <w:r w:rsidRPr="007D5900">
        <w:rPr>
          <w:rFonts w:ascii="Arial" w:hAnsi="Arial" w:cs="Arial"/>
        </w:rPr>
        <w:t xml:space="preserve">about </w:t>
      </w:r>
      <w:r>
        <w:rPr>
          <w:rFonts w:ascii="Arial" w:hAnsi="Arial" w:cs="Arial"/>
        </w:rPr>
        <w:t xml:space="preserve">the negative perceptions of work that </w:t>
      </w:r>
      <w:r w:rsidRPr="007D5900">
        <w:rPr>
          <w:rFonts w:ascii="Arial" w:hAnsi="Arial" w:cs="Arial"/>
        </w:rPr>
        <w:t>contribut</w:t>
      </w:r>
      <w:r>
        <w:rPr>
          <w:rFonts w:ascii="Arial" w:hAnsi="Arial" w:cs="Arial"/>
        </w:rPr>
        <w:t>e</w:t>
      </w:r>
      <w:r w:rsidRPr="007D5900">
        <w:rPr>
          <w:rFonts w:ascii="Arial" w:hAnsi="Arial" w:cs="Arial"/>
        </w:rPr>
        <w:t xml:space="preserve"> </w:t>
      </w:r>
      <w:r>
        <w:rPr>
          <w:rFonts w:ascii="Arial" w:hAnsi="Arial" w:cs="Arial"/>
        </w:rPr>
        <w:t>most importantly to dissatisfaction</w:t>
      </w:r>
      <w:r w:rsidRPr="007D5900">
        <w:rPr>
          <w:rFonts w:ascii="Arial" w:hAnsi="Arial" w:cs="Arial"/>
        </w:rPr>
        <w:t>, especially in older workers.</w:t>
      </w:r>
    </w:p>
    <w:p w:rsidR="007B6B1F" w:rsidRDefault="007B6B1F" w:rsidP="007B6B1F">
      <w:pPr>
        <w:pStyle w:val="ListParagraph"/>
        <w:numPr>
          <w:ilvl w:val="0"/>
          <w:numId w:val="3"/>
        </w:numPr>
        <w:rPr>
          <w:rFonts w:ascii="Arial" w:hAnsi="Arial" w:cs="Arial"/>
        </w:rPr>
      </w:pPr>
      <w:r>
        <w:rPr>
          <w:rFonts w:ascii="Arial" w:hAnsi="Arial" w:cs="Arial"/>
        </w:rPr>
        <w:t>In a large population-based sample of people aged 50-64 years from across England, rates of j</w:t>
      </w:r>
      <w:r w:rsidRPr="007D5900">
        <w:rPr>
          <w:rFonts w:ascii="Arial" w:hAnsi="Arial" w:cs="Arial"/>
        </w:rPr>
        <w:t>ob dissatisfaction</w:t>
      </w:r>
      <w:r>
        <w:rPr>
          <w:rFonts w:ascii="Arial" w:hAnsi="Arial" w:cs="Arial"/>
        </w:rPr>
        <w:t xml:space="preserve"> were higher at younger ages, and in men, the better educated, those living alone, workers employed by larger organisations, and those living in </w:t>
      </w:r>
      <w:r w:rsidRPr="007D5900">
        <w:rPr>
          <w:rFonts w:ascii="Arial" w:hAnsi="Arial" w:cs="Arial"/>
        </w:rPr>
        <w:t>London and the South East</w:t>
      </w:r>
      <w:r>
        <w:rPr>
          <w:rFonts w:ascii="Arial" w:hAnsi="Arial" w:cs="Arial"/>
        </w:rPr>
        <w:t xml:space="preserve"> of England.</w:t>
      </w:r>
    </w:p>
    <w:p w:rsidR="007B6B1F" w:rsidRPr="004F283D" w:rsidRDefault="007B6B1F" w:rsidP="007B6B1F">
      <w:pPr>
        <w:pStyle w:val="ListParagraph"/>
        <w:numPr>
          <w:ilvl w:val="0"/>
          <w:numId w:val="3"/>
        </w:numPr>
        <w:rPr>
          <w:rFonts w:ascii="Arial" w:hAnsi="Arial" w:cs="Arial"/>
        </w:rPr>
      </w:pPr>
      <w:r>
        <w:rPr>
          <w:rFonts w:ascii="Arial" w:hAnsi="Arial" w:cs="Arial"/>
        </w:rPr>
        <w:t xml:space="preserve">Important </w:t>
      </w:r>
      <w:r w:rsidR="009E25C0">
        <w:rPr>
          <w:rFonts w:ascii="Arial" w:hAnsi="Arial" w:cs="Arial"/>
        </w:rPr>
        <w:t xml:space="preserve">potential </w:t>
      </w:r>
      <w:r w:rsidR="009D0B2A">
        <w:rPr>
          <w:rFonts w:ascii="Arial" w:hAnsi="Arial" w:cs="Arial"/>
        </w:rPr>
        <w:t>contributors</w:t>
      </w:r>
      <w:r w:rsidR="009E25C0">
        <w:rPr>
          <w:rFonts w:ascii="Arial" w:hAnsi="Arial" w:cs="Arial"/>
        </w:rPr>
        <w:t>, as assessed cross-</w:t>
      </w:r>
      <w:proofErr w:type="spellStart"/>
      <w:r w:rsidR="009E25C0">
        <w:rPr>
          <w:rFonts w:ascii="Arial" w:hAnsi="Arial" w:cs="Arial"/>
        </w:rPr>
        <w:t>sectionally</w:t>
      </w:r>
      <w:proofErr w:type="spellEnd"/>
      <w:r w:rsidR="009E25C0">
        <w:rPr>
          <w:rFonts w:ascii="Arial" w:hAnsi="Arial" w:cs="Arial"/>
        </w:rPr>
        <w:t>,</w:t>
      </w:r>
      <w:r>
        <w:rPr>
          <w:rFonts w:ascii="Arial" w:hAnsi="Arial" w:cs="Arial"/>
        </w:rPr>
        <w:t xml:space="preserve"> included perceptions of job insecurity, feeling unappreciated and unfairly criticised, lacking</w:t>
      </w:r>
      <w:r w:rsidRPr="004F283D">
        <w:rPr>
          <w:rFonts w:ascii="Arial" w:hAnsi="Arial" w:cs="Arial"/>
        </w:rPr>
        <w:t xml:space="preserve"> a </w:t>
      </w:r>
      <w:r>
        <w:rPr>
          <w:rFonts w:ascii="Arial" w:hAnsi="Arial" w:cs="Arial"/>
        </w:rPr>
        <w:t>sense</w:t>
      </w:r>
      <w:r w:rsidRPr="004F283D">
        <w:rPr>
          <w:rFonts w:ascii="Arial" w:hAnsi="Arial" w:cs="Arial"/>
        </w:rPr>
        <w:t xml:space="preserve"> of achievement</w:t>
      </w:r>
      <w:r>
        <w:rPr>
          <w:rFonts w:ascii="Arial" w:hAnsi="Arial" w:cs="Arial"/>
        </w:rPr>
        <w:t xml:space="preserve"> at work, and </w:t>
      </w:r>
      <w:r w:rsidRPr="004F283D">
        <w:rPr>
          <w:rFonts w:ascii="Arial" w:hAnsi="Arial" w:cs="Arial"/>
        </w:rPr>
        <w:t>difficult</w:t>
      </w:r>
      <w:r>
        <w:rPr>
          <w:rFonts w:ascii="Arial" w:hAnsi="Arial" w:cs="Arial"/>
        </w:rPr>
        <w:t xml:space="preserve"> relationships with</w:t>
      </w:r>
      <w:r w:rsidRPr="004F283D">
        <w:rPr>
          <w:rFonts w:ascii="Arial" w:hAnsi="Arial" w:cs="Arial"/>
        </w:rPr>
        <w:t xml:space="preserve"> </w:t>
      </w:r>
      <w:r>
        <w:rPr>
          <w:rFonts w:ascii="Arial" w:hAnsi="Arial" w:cs="Arial"/>
        </w:rPr>
        <w:t xml:space="preserve">work </w:t>
      </w:r>
      <w:r w:rsidRPr="004F283D">
        <w:rPr>
          <w:rFonts w:ascii="Arial" w:hAnsi="Arial" w:cs="Arial"/>
        </w:rPr>
        <w:t>colleagues</w:t>
      </w:r>
      <w:r>
        <w:rPr>
          <w:rFonts w:ascii="Arial" w:hAnsi="Arial" w:cs="Arial"/>
        </w:rPr>
        <w:t>.</w:t>
      </w:r>
      <w:r w:rsidRPr="004F283D">
        <w:t xml:space="preserve"> </w:t>
      </w:r>
    </w:p>
    <w:p w:rsidR="007B6B1F" w:rsidRDefault="007B6B1F" w:rsidP="007B6B1F">
      <w:pPr>
        <w:pStyle w:val="ListParagraph"/>
        <w:numPr>
          <w:ilvl w:val="0"/>
          <w:numId w:val="3"/>
        </w:numPr>
        <w:rPr>
          <w:rFonts w:ascii="Arial" w:hAnsi="Arial" w:cs="Arial"/>
        </w:rPr>
      </w:pPr>
      <w:r w:rsidRPr="004F283D">
        <w:rPr>
          <w:rFonts w:ascii="Arial" w:hAnsi="Arial" w:cs="Arial"/>
        </w:rPr>
        <w:t xml:space="preserve">Most </w:t>
      </w:r>
      <w:r>
        <w:rPr>
          <w:rFonts w:ascii="Arial" w:hAnsi="Arial" w:cs="Arial"/>
        </w:rPr>
        <w:t>of the negative perceptions of work that</w:t>
      </w:r>
      <w:r w:rsidR="009E25C0">
        <w:rPr>
          <w:rFonts w:ascii="Arial" w:hAnsi="Arial" w:cs="Arial"/>
        </w:rPr>
        <w:t xml:space="preserve"> appeared to </w:t>
      </w:r>
      <w:r w:rsidRPr="004F283D">
        <w:rPr>
          <w:rFonts w:ascii="Arial" w:hAnsi="Arial" w:cs="Arial"/>
        </w:rPr>
        <w:t xml:space="preserve">contribute to </w:t>
      </w:r>
      <w:r>
        <w:rPr>
          <w:rFonts w:ascii="Arial" w:hAnsi="Arial" w:cs="Arial"/>
        </w:rPr>
        <w:t>dissatisfaction were associated</w:t>
      </w:r>
      <w:r w:rsidRPr="004F283D">
        <w:rPr>
          <w:rFonts w:ascii="Arial" w:hAnsi="Arial" w:cs="Arial"/>
        </w:rPr>
        <w:t xml:space="preserve"> with worse self-rated health, depression and poor well-being</w:t>
      </w:r>
      <w:r>
        <w:rPr>
          <w:rFonts w:ascii="Arial" w:hAnsi="Arial" w:cs="Arial"/>
        </w:rPr>
        <w:t>.</w:t>
      </w:r>
    </w:p>
    <w:p w:rsidR="004F283D" w:rsidRPr="007D5900" w:rsidRDefault="009E25C0" w:rsidP="007B6B1F">
      <w:pPr>
        <w:pStyle w:val="ListParagraph"/>
        <w:numPr>
          <w:ilvl w:val="0"/>
          <w:numId w:val="3"/>
        </w:numPr>
        <w:rPr>
          <w:rFonts w:ascii="Arial" w:hAnsi="Arial" w:cs="Arial"/>
        </w:rPr>
      </w:pPr>
      <w:r>
        <w:rPr>
          <w:rFonts w:ascii="Arial" w:hAnsi="Arial" w:cs="Arial"/>
        </w:rPr>
        <w:t>There is a case for e</w:t>
      </w:r>
      <w:r w:rsidR="007B6B1F">
        <w:rPr>
          <w:rFonts w:ascii="Arial" w:hAnsi="Arial" w:cs="Arial"/>
        </w:rPr>
        <w:t xml:space="preserve">mployment policies </w:t>
      </w:r>
      <w:r>
        <w:rPr>
          <w:rFonts w:ascii="Arial" w:hAnsi="Arial" w:cs="Arial"/>
        </w:rPr>
        <w:t>being</w:t>
      </w:r>
      <w:r w:rsidR="007B6B1F">
        <w:rPr>
          <w:rFonts w:ascii="Arial" w:hAnsi="Arial" w:cs="Arial"/>
        </w:rPr>
        <w:t xml:space="preserve"> directed at tackling these potentially avoidable occupational determinants of job dissatisfaction</w:t>
      </w:r>
      <w:r w:rsidR="004F283D">
        <w:rPr>
          <w:rFonts w:ascii="Arial" w:hAnsi="Arial" w:cs="Arial"/>
        </w:rPr>
        <w:t xml:space="preserve">. </w:t>
      </w:r>
    </w:p>
    <w:p w:rsidR="00F757F4" w:rsidRDefault="00F757F4" w:rsidP="00F75E0F">
      <w:pPr>
        <w:spacing w:line="360" w:lineRule="auto"/>
      </w:pPr>
    </w:p>
    <w:p w:rsidR="005D562C" w:rsidRPr="005D562C" w:rsidRDefault="00952430" w:rsidP="00F75E0F">
      <w:pPr>
        <w:spacing w:line="360" w:lineRule="auto"/>
        <w:rPr>
          <w:b/>
        </w:rPr>
      </w:pPr>
      <w:r w:rsidRPr="007D5900">
        <w:br w:type="page"/>
      </w:r>
      <w:r w:rsidR="005D562C" w:rsidRPr="005D562C">
        <w:rPr>
          <w:b/>
        </w:rPr>
        <w:lastRenderedPageBreak/>
        <w:t>Abstract</w:t>
      </w:r>
    </w:p>
    <w:p w:rsidR="007B6B1F" w:rsidRPr="009400D5" w:rsidRDefault="007B6B1F" w:rsidP="007B6B1F">
      <w:pPr>
        <w:spacing w:line="360" w:lineRule="auto"/>
        <w:rPr>
          <w:b/>
          <w:szCs w:val="24"/>
        </w:rPr>
      </w:pPr>
      <w:r w:rsidRPr="009400D5">
        <w:rPr>
          <w:b/>
          <w:szCs w:val="24"/>
        </w:rPr>
        <w:t>Objectives</w:t>
      </w:r>
      <w:r>
        <w:rPr>
          <w:b/>
          <w:szCs w:val="24"/>
        </w:rPr>
        <w:t xml:space="preserve"> </w:t>
      </w:r>
    </w:p>
    <w:p w:rsidR="007B6B1F" w:rsidRPr="009400D5" w:rsidRDefault="007B6B1F" w:rsidP="007B6B1F">
      <w:pPr>
        <w:spacing w:line="360" w:lineRule="auto"/>
        <w:rPr>
          <w:szCs w:val="24"/>
        </w:rPr>
      </w:pPr>
      <w:r>
        <w:rPr>
          <w:szCs w:val="24"/>
        </w:rPr>
        <w:t xml:space="preserve">Demographic changes </w:t>
      </w:r>
      <w:r w:rsidRPr="009400D5">
        <w:rPr>
          <w:szCs w:val="24"/>
        </w:rPr>
        <w:t xml:space="preserve">are </w:t>
      </w:r>
      <w:r>
        <w:rPr>
          <w:szCs w:val="24"/>
        </w:rPr>
        <w:t>requiring</w:t>
      </w:r>
      <w:r w:rsidRPr="009400D5">
        <w:rPr>
          <w:szCs w:val="24"/>
        </w:rPr>
        <w:t xml:space="preserve"> people to work longer. Labour force participation might be promoted by tackling sources of job dissatisfaction. We aimed to describe the epidemiology of job dissatisfaction in older </w:t>
      </w:r>
      <w:r>
        <w:rPr>
          <w:szCs w:val="24"/>
        </w:rPr>
        <w:t xml:space="preserve">British </w:t>
      </w:r>
      <w:r w:rsidRPr="009400D5">
        <w:rPr>
          <w:szCs w:val="24"/>
        </w:rPr>
        <w:t xml:space="preserve">workers, to explore </w:t>
      </w:r>
      <w:r>
        <w:rPr>
          <w:szCs w:val="24"/>
        </w:rPr>
        <w:t>which perceptions of work contribute</w:t>
      </w:r>
      <w:r w:rsidRPr="009400D5" w:rsidDel="00484037">
        <w:rPr>
          <w:szCs w:val="24"/>
        </w:rPr>
        <w:t xml:space="preserve"> </w:t>
      </w:r>
      <w:r>
        <w:rPr>
          <w:szCs w:val="24"/>
        </w:rPr>
        <w:t>most importantly</w:t>
      </w:r>
      <w:r w:rsidRPr="009400D5">
        <w:rPr>
          <w:szCs w:val="24"/>
        </w:rPr>
        <w:t xml:space="preserve">, and to assess </w:t>
      </w:r>
      <w:r>
        <w:rPr>
          <w:szCs w:val="24"/>
        </w:rPr>
        <w:t xml:space="preserve">possible </w:t>
      </w:r>
      <w:r w:rsidRPr="009400D5">
        <w:rPr>
          <w:szCs w:val="24"/>
        </w:rPr>
        <w:t>impact</w:t>
      </w:r>
      <w:r>
        <w:rPr>
          <w:szCs w:val="24"/>
        </w:rPr>
        <w:t>s</w:t>
      </w:r>
      <w:r w:rsidRPr="009400D5">
        <w:rPr>
          <w:szCs w:val="24"/>
        </w:rPr>
        <w:t xml:space="preserve"> on health.</w:t>
      </w:r>
    </w:p>
    <w:p w:rsidR="007B6B1F" w:rsidRPr="009400D5" w:rsidRDefault="007B6B1F" w:rsidP="007B6B1F">
      <w:pPr>
        <w:spacing w:line="360" w:lineRule="auto"/>
        <w:rPr>
          <w:szCs w:val="24"/>
        </w:rPr>
      </w:pPr>
    </w:p>
    <w:p w:rsidR="007B6B1F" w:rsidRPr="009400D5" w:rsidRDefault="007B6B1F" w:rsidP="007B6B1F">
      <w:pPr>
        <w:spacing w:line="360" w:lineRule="auto"/>
        <w:rPr>
          <w:b/>
          <w:szCs w:val="24"/>
        </w:rPr>
      </w:pPr>
      <w:r w:rsidRPr="009400D5">
        <w:rPr>
          <w:b/>
          <w:szCs w:val="24"/>
        </w:rPr>
        <w:t>Methods</w:t>
      </w:r>
    </w:p>
    <w:p w:rsidR="007B6B1F" w:rsidRDefault="007B6B1F" w:rsidP="007B6B1F">
      <w:pPr>
        <w:spacing w:line="360" w:lineRule="auto"/>
        <w:rPr>
          <w:szCs w:val="24"/>
        </w:rPr>
      </w:pPr>
      <w:r w:rsidRPr="009400D5">
        <w:rPr>
          <w:szCs w:val="24"/>
        </w:rPr>
        <w:t xml:space="preserve">Subjects </w:t>
      </w:r>
      <w:r>
        <w:rPr>
          <w:szCs w:val="24"/>
        </w:rPr>
        <w:t>aged</w:t>
      </w:r>
      <w:r w:rsidRPr="009400D5">
        <w:rPr>
          <w:szCs w:val="24"/>
        </w:rPr>
        <w:t xml:space="preserve"> 50-64 years </w:t>
      </w:r>
      <w:r>
        <w:rPr>
          <w:szCs w:val="24"/>
        </w:rPr>
        <w:t>were recruited from</w:t>
      </w:r>
      <w:r w:rsidRPr="009400D5">
        <w:rPr>
          <w:szCs w:val="24"/>
        </w:rPr>
        <w:t xml:space="preserve"> 24 English general practices. At baseline, </w:t>
      </w:r>
      <w:r>
        <w:rPr>
          <w:szCs w:val="24"/>
        </w:rPr>
        <w:t xml:space="preserve">those currently in </w:t>
      </w:r>
      <w:r w:rsidRPr="009400D5">
        <w:rPr>
          <w:szCs w:val="24"/>
        </w:rPr>
        <w:t xml:space="preserve">work (N=5,437) reported on their demographic and employment circumstances, </w:t>
      </w:r>
      <w:r>
        <w:rPr>
          <w:szCs w:val="24"/>
        </w:rPr>
        <w:t>overall job satisfaction, perceptions of their</w:t>
      </w:r>
      <w:r w:rsidRPr="009400D5">
        <w:rPr>
          <w:szCs w:val="24"/>
        </w:rPr>
        <w:t xml:space="preserve"> work </w:t>
      </w:r>
      <w:r>
        <w:rPr>
          <w:szCs w:val="24"/>
        </w:rPr>
        <w:t xml:space="preserve">that might contribute to dissatisfaction, and their general </w:t>
      </w:r>
      <w:r w:rsidRPr="009400D5">
        <w:rPr>
          <w:szCs w:val="24"/>
        </w:rPr>
        <w:t>health, mood</w:t>
      </w:r>
      <w:r>
        <w:rPr>
          <w:szCs w:val="24"/>
        </w:rPr>
        <w:t xml:space="preserve"> and</w:t>
      </w:r>
      <w:r w:rsidRPr="009400D5">
        <w:rPr>
          <w:szCs w:val="24"/>
        </w:rPr>
        <w:t xml:space="preserve"> well-being. Associations </w:t>
      </w:r>
      <w:r>
        <w:rPr>
          <w:szCs w:val="24"/>
        </w:rPr>
        <w:t>of</w:t>
      </w:r>
      <w:r w:rsidRPr="009400D5">
        <w:rPr>
          <w:szCs w:val="24"/>
        </w:rPr>
        <w:t xml:space="preserve"> job dissatisfaction </w:t>
      </w:r>
      <w:r>
        <w:rPr>
          <w:szCs w:val="24"/>
        </w:rPr>
        <w:t xml:space="preserve">with risk factors and potential health outcomes </w:t>
      </w:r>
      <w:r w:rsidRPr="009400D5">
        <w:rPr>
          <w:szCs w:val="24"/>
        </w:rPr>
        <w:t xml:space="preserve">were assessed </w:t>
      </w:r>
      <w:r w:rsidR="00604CE9">
        <w:rPr>
          <w:szCs w:val="24"/>
        </w:rPr>
        <w:t>cross-</w:t>
      </w:r>
      <w:proofErr w:type="spellStart"/>
      <w:r w:rsidR="009E25C0">
        <w:rPr>
          <w:szCs w:val="24"/>
        </w:rPr>
        <w:t>sectionally</w:t>
      </w:r>
      <w:proofErr w:type="spellEnd"/>
      <w:r w:rsidRPr="009400D5">
        <w:rPr>
          <w:szCs w:val="24"/>
        </w:rPr>
        <w:t xml:space="preserve"> </w:t>
      </w:r>
      <w:r w:rsidR="00425832">
        <w:rPr>
          <w:szCs w:val="24"/>
        </w:rPr>
        <w:t xml:space="preserve">by </w:t>
      </w:r>
      <w:r w:rsidRPr="009400D5">
        <w:rPr>
          <w:szCs w:val="24"/>
        </w:rPr>
        <w:t>log</w:t>
      </w:r>
      <w:r>
        <w:rPr>
          <w:szCs w:val="24"/>
        </w:rPr>
        <w:t>istic regression</w:t>
      </w:r>
      <w:r w:rsidRPr="009400D5">
        <w:rPr>
          <w:szCs w:val="24"/>
        </w:rPr>
        <w:t xml:space="preserve"> and </w:t>
      </w:r>
      <w:r>
        <w:rPr>
          <w:szCs w:val="24"/>
        </w:rPr>
        <w:t xml:space="preserve">the </w:t>
      </w:r>
      <w:r w:rsidR="009E25C0">
        <w:rPr>
          <w:szCs w:val="24"/>
        </w:rPr>
        <w:t xml:space="preserve">potential </w:t>
      </w:r>
      <w:r>
        <w:rPr>
          <w:szCs w:val="24"/>
        </w:rPr>
        <w:t xml:space="preserve">contributions of different negative perceptions to overall dissatisfaction were summarised by </w:t>
      </w:r>
      <w:r w:rsidRPr="009400D5">
        <w:rPr>
          <w:szCs w:val="24"/>
        </w:rPr>
        <w:t xml:space="preserve">population </w:t>
      </w:r>
      <w:proofErr w:type="gramStart"/>
      <w:r w:rsidRPr="009400D5">
        <w:rPr>
          <w:szCs w:val="24"/>
        </w:rPr>
        <w:t>attributable</w:t>
      </w:r>
      <w:proofErr w:type="gramEnd"/>
      <w:r w:rsidRPr="009400D5">
        <w:rPr>
          <w:szCs w:val="24"/>
        </w:rPr>
        <w:t xml:space="preserve"> fractions (PAFs). </w:t>
      </w:r>
    </w:p>
    <w:p w:rsidR="007B6B1F" w:rsidRPr="009400D5" w:rsidRDefault="007B6B1F" w:rsidP="007B6B1F">
      <w:pPr>
        <w:spacing w:line="360" w:lineRule="auto"/>
        <w:rPr>
          <w:szCs w:val="24"/>
        </w:rPr>
      </w:pPr>
    </w:p>
    <w:p w:rsidR="007B6B1F" w:rsidRPr="009400D5" w:rsidRDefault="007B6B1F" w:rsidP="007B6B1F">
      <w:pPr>
        <w:spacing w:line="360" w:lineRule="auto"/>
        <w:rPr>
          <w:b/>
          <w:szCs w:val="24"/>
        </w:rPr>
      </w:pPr>
      <w:r w:rsidRPr="009400D5">
        <w:rPr>
          <w:b/>
          <w:szCs w:val="24"/>
        </w:rPr>
        <w:t>Results</w:t>
      </w:r>
    </w:p>
    <w:p w:rsidR="007B6B1F" w:rsidRPr="009400D5" w:rsidRDefault="007B6B1F" w:rsidP="007B6B1F">
      <w:pPr>
        <w:spacing w:line="360" w:lineRule="auto"/>
        <w:rPr>
          <w:szCs w:val="24"/>
        </w:rPr>
      </w:pPr>
      <w:r w:rsidRPr="009400D5">
        <w:rPr>
          <w:szCs w:val="24"/>
        </w:rPr>
        <w:t xml:space="preserve">Job dissatisfaction was </w:t>
      </w:r>
      <w:r>
        <w:rPr>
          <w:szCs w:val="24"/>
        </w:rPr>
        <w:t xml:space="preserve">more </w:t>
      </w:r>
      <w:r w:rsidRPr="009400D5">
        <w:rPr>
          <w:szCs w:val="24"/>
        </w:rPr>
        <w:t xml:space="preserve">common among men, below age 60 years, </w:t>
      </w:r>
      <w:r w:rsidR="00D254C1">
        <w:rPr>
          <w:szCs w:val="24"/>
        </w:rPr>
        <w:t xml:space="preserve">those living </w:t>
      </w:r>
      <w:r w:rsidRPr="009400D5">
        <w:rPr>
          <w:szCs w:val="24"/>
        </w:rPr>
        <w:t>in London and the South East, in the more educat</w:t>
      </w:r>
      <w:r>
        <w:rPr>
          <w:szCs w:val="24"/>
        </w:rPr>
        <w:t>ed</w:t>
      </w:r>
      <w:r w:rsidRPr="009400D5">
        <w:rPr>
          <w:szCs w:val="24"/>
        </w:rPr>
        <w:t xml:space="preserve"> and in those </w:t>
      </w:r>
      <w:r>
        <w:rPr>
          <w:szCs w:val="24"/>
        </w:rPr>
        <w:t>working for</w:t>
      </w:r>
      <w:r w:rsidRPr="009400D5">
        <w:rPr>
          <w:szCs w:val="24"/>
        </w:rPr>
        <w:t xml:space="preserve"> larger </w:t>
      </w:r>
      <w:r>
        <w:rPr>
          <w:szCs w:val="24"/>
        </w:rPr>
        <w:t>employer</w:t>
      </w:r>
      <w:r w:rsidRPr="009400D5">
        <w:rPr>
          <w:szCs w:val="24"/>
        </w:rPr>
        <w:t xml:space="preserve">s. </w:t>
      </w:r>
      <w:r>
        <w:rPr>
          <w:szCs w:val="24"/>
        </w:rPr>
        <w:t>T</w:t>
      </w:r>
      <w:r w:rsidRPr="009400D5">
        <w:rPr>
          <w:szCs w:val="24"/>
        </w:rPr>
        <w:t xml:space="preserve">he </w:t>
      </w:r>
      <w:r>
        <w:rPr>
          <w:szCs w:val="24"/>
        </w:rPr>
        <w:t xml:space="preserve">main </w:t>
      </w:r>
      <w:r w:rsidR="009D0B2A">
        <w:rPr>
          <w:szCs w:val="24"/>
        </w:rPr>
        <w:t>contributo</w:t>
      </w:r>
      <w:r>
        <w:rPr>
          <w:szCs w:val="24"/>
        </w:rPr>
        <w:t>rs to</w:t>
      </w:r>
      <w:r w:rsidRPr="009400D5">
        <w:rPr>
          <w:szCs w:val="24"/>
        </w:rPr>
        <w:t xml:space="preserve"> job dissatisfaction</w:t>
      </w:r>
      <w:r>
        <w:rPr>
          <w:szCs w:val="24"/>
        </w:rPr>
        <w:t xml:space="preserve"> </w:t>
      </w:r>
      <w:r w:rsidRPr="009400D5">
        <w:rPr>
          <w:szCs w:val="24"/>
        </w:rPr>
        <w:t>among employees</w:t>
      </w:r>
      <w:r>
        <w:rPr>
          <w:szCs w:val="24"/>
        </w:rPr>
        <w:t xml:space="preserve"> were</w:t>
      </w:r>
      <w:r w:rsidRPr="009400D5">
        <w:rPr>
          <w:szCs w:val="24"/>
        </w:rPr>
        <w:t xml:space="preserve"> feeling unappreciated and/or lacking a sense of achievement (PAF 55%-56%), </w:t>
      </w:r>
      <w:r>
        <w:rPr>
          <w:szCs w:val="24"/>
        </w:rPr>
        <w:t>while</w:t>
      </w:r>
      <w:r w:rsidRPr="009400D5">
        <w:rPr>
          <w:szCs w:val="24"/>
        </w:rPr>
        <w:t xml:space="preserve"> in the self-employed</w:t>
      </w:r>
      <w:r>
        <w:rPr>
          <w:szCs w:val="24"/>
        </w:rPr>
        <w:t>,</w:t>
      </w:r>
      <w:r w:rsidRPr="009400D5">
        <w:rPr>
          <w:szCs w:val="24"/>
        </w:rPr>
        <w:t xml:space="preserve"> </w:t>
      </w:r>
      <w:r>
        <w:rPr>
          <w:szCs w:val="24"/>
        </w:rPr>
        <w:t>job insecurity was the leading contribut</w:t>
      </w:r>
      <w:r w:rsidR="009D0B2A">
        <w:rPr>
          <w:szCs w:val="24"/>
        </w:rPr>
        <w:t>o</w:t>
      </w:r>
      <w:r>
        <w:rPr>
          <w:szCs w:val="24"/>
        </w:rPr>
        <w:t xml:space="preserve">r (PAF 79%). Job dissatisfaction was </w:t>
      </w:r>
      <w:r w:rsidRPr="009400D5">
        <w:rPr>
          <w:szCs w:val="24"/>
        </w:rPr>
        <w:t xml:space="preserve">associated with </w:t>
      </w:r>
      <w:r>
        <w:rPr>
          <w:szCs w:val="24"/>
        </w:rPr>
        <w:t xml:space="preserve">all of the </w:t>
      </w:r>
      <w:r w:rsidRPr="009400D5">
        <w:rPr>
          <w:szCs w:val="24"/>
        </w:rPr>
        <w:t>adverse health outcomes</w:t>
      </w:r>
      <w:r>
        <w:rPr>
          <w:szCs w:val="24"/>
        </w:rPr>
        <w:t xml:space="preserve"> examined (</w:t>
      </w:r>
      <w:r w:rsidRPr="009400D5">
        <w:rPr>
          <w:szCs w:val="24"/>
        </w:rPr>
        <w:t xml:space="preserve">odds ratios </w:t>
      </w:r>
      <w:r>
        <w:rPr>
          <w:szCs w:val="24"/>
        </w:rPr>
        <w:t>of</w:t>
      </w:r>
      <w:r w:rsidRPr="009400D5">
        <w:rPr>
          <w:szCs w:val="24"/>
        </w:rPr>
        <w:t xml:space="preserve"> </w:t>
      </w:r>
      <w:r>
        <w:rPr>
          <w:szCs w:val="24"/>
        </w:rPr>
        <w:t>3-5), as were most of the negative perceptions of work that contributed to overall dissatisfaction</w:t>
      </w:r>
      <w:r w:rsidRPr="009400D5">
        <w:rPr>
          <w:szCs w:val="24"/>
        </w:rPr>
        <w:t>.</w:t>
      </w:r>
    </w:p>
    <w:p w:rsidR="007B6B1F" w:rsidRPr="009400D5" w:rsidRDefault="007B6B1F" w:rsidP="007B6B1F">
      <w:pPr>
        <w:spacing w:line="360" w:lineRule="auto"/>
        <w:rPr>
          <w:szCs w:val="24"/>
        </w:rPr>
      </w:pPr>
    </w:p>
    <w:p w:rsidR="007B6B1F" w:rsidRPr="009400D5" w:rsidRDefault="007B6B1F" w:rsidP="007B6B1F">
      <w:pPr>
        <w:spacing w:line="360" w:lineRule="auto"/>
        <w:rPr>
          <w:b/>
          <w:szCs w:val="24"/>
        </w:rPr>
      </w:pPr>
      <w:r w:rsidRPr="009400D5">
        <w:rPr>
          <w:b/>
          <w:szCs w:val="24"/>
        </w:rPr>
        <w:t>Conclusions</w:t>
      </w:r>
    </w:p>
    <w:p w:rsidR="007B6B1F" w:rsidRDefault="007B6B1F" w:rsidP="007B6B1F">
      <w:pPr>
        <w:spacing w:line="360" w:lineRule="auto"/>
        <w:rPr>
          <w:szCs w:val="24"/>
        </w:rPr>
      </w:pPr>
      <w:r>
        <w:rPr>
          <w:szCs w:val="24"/>
        </w:rPr>
        <w:t xml:space="preserve">Employment policies aimed at improving job </w:t>
      </w:r>
      <w:r w:rsidRPr="009400D5">
        <w:rPr>
          <w:szCs w:val="24"/>
        </w:rPr>
        <w:t xml:space="preserve">satisfaction </w:t>
      </w:r>
      <w:r>
        <w:rPr>
          <w:szCs w:val="24"/>
        </w:rPr>
        <w:t xml:space="preserve">in </w:t>
      </w:r>
      <w:r w:rsidRPr="009400D5">
        <w:rPr>
          <w:szCs w:val="24"/>
        </w:rPr>
        <w:t>older workers</w:t>
      </w:r>
      <w:r>
        <w:rPr>
          <w:szCs w:val="24"/>
        </w:rPr>
        <w:t xml:space="preserve"> </w:t>
      </w:r>
      <w:r w:rsidR="00425832">
        <w:rPr>
          <w:szCs w:val="24"/>
        </w:rPr>
        <w:t xml:space="preserve">may benefit from </w:t>
      </w:r>
      <w:r>
        <w:rPr>
          <w:szCs w:val="24"/>
        </w:rPr>
        <w:t>focus</w:t>
      </w:r>
      <w:r w:rsidR="009E25C0">
        <w:rPr>
          <w:szCs w:val="24"/>
        </w:rPr>
        <w:t>sing</w:t>
      </w:r>
      <w:r>
        <w:rPr>
          <w:szCs w:val="24"/>
        </w:rPr>
        <w:t xml:space="preserve"> particularly</w:t>
      </w:r>
      <w:r w:rsidRPr="009400D5">
        <w:rPr>
          <w:szCs w:val="24"/>
        </w:rPr>
        <w:t xml:space="preserve"> </w:t>
      </w:r>
      <w:r>
        <w:rPr>
          <w:szCs w:val="24"/>
        </w:rPr>
        <w:t>on</w:t>
      </w:r>
      <w:r w:rsidRPr="009400D5">
        <w:rPr>
          <w:szCs w:val="24"/>
        </w:rPr>
        <w:t xml:space="preserve"> relationships in the workplace</w:t>
      </w:r>
      <w:r>
        <w:rPr>
          <w:szCs w:val="24"/>
        </w:rPr>
        <w:t xml:space="preserve">, </w:t>
      </w:r>
      <w:r>
        <w:t>fairness, job security and instilling a sense of achievement</w:t>
      </w:r>
      <w:r w:rsidRPr="009400D5">
        <w:rPr>
          <w:szCs w:val="24"/>
        </w:rPr>
        <w:t>.</w:t>
      </w:r>
      <w:r>
        <w:rPr>
          <w:szCs w:val="24"/>
        </w:rPr>
        <w:t xml:space="preserve"> </w:t>
      </w:r>
    </w:p>
    <w:p w:rsidR="005D562C" w:rsidRDefault="009400D5" w:rsidP="00685F32">
      <w:pPr>
        <w:spacing w:line="360" w:lineRule="auto"/>
        <w:jc w:val="both"/>
        <w:rPr>
          <w:szCs w:val="24"/>
        </w:rPr>
      </w:pPr>
      <w:r>
        <w:rPr>
          <w:szCs w:val="24"/>
        </w:rPr>
        <w:t xml:space="preserve"> </w:t>
      </w:r>
    </w:p>
    <w:p w:rsidR="00786BFD" w:rsidRDefault="00786BFD">
      <w:pPr>
        <w:spacing w:after="200"/>
        <w:rPr>
          <w:b/>
        </w:rPr>
      </w:pPr>
    </w:p>
    <w:p w:rsidR="005D562C" w:rsidRDefault="005D562C">
      <w:pPr>
        <w:spacing w:after="200"/>
        <w:rPr>
          <w:b/>
        </w:rPr>
      </w:pPr>
      <w:r>
        <w:rPr>
          <w:b/>
        </w:rPr>
        <w:br w:type="page"/>
      </w:r>
    </w:p>
    <w:p w:rsidR="00381821" w:rsidRPr="00F75E0F" w:rsidRDefault="001E6B45" w:rsidP="00F75E0F">
      <w:pPr>
        <w:spacing w:line="360" w:lineRule="auto"/>
        <w:rPr>
          <w:rFonts w:ascii="Arial Narrow" w:eastAsiaTheme="majorEastAsia" w:hAnsi="Arial Narrow" w:cstheme="majorBidi"/>
          <w:b/>
          <w:bCs/>
          <w:iCs/>
          <w:sz w:val="24"/>
          <w:szCs w:val="24"/>
        </w:rPr>
      </w:pPr>
      <w:r w:rsidRPr="00F75E0F">
        <w:rPr>
          <w:b/>
        </w:rPr>
        <w:lastRenderedPageBreak/>
        <w:t>Introduction</w:t>
      </w:r>
    </w:p>
    <w:p w:rsidR="007B6B1F" w:rsidRDefault="007B6B1F" w:rsidP="007B6B1F">
      <w:pPr>
        <w:spacing w:line="360" w:lineRule="auto"/>
        <w:jc w:val="both"/>
      </w:pPr>
      <w:r w:rsidRPr="007D5536">
        <w:t xml:space="preserve">The proportion of older people in </w:t>
      </w:r>
      <w:r>
        <w:t>developed</w:t>
      </w:r>
      <w:r w:rsidRPr="007D5536">
        <w:t xml:space="preserve"> countries is steadily growing</w:t>
      </w:r>
      <w:r>
        <w:t>, such that by 2060 30%</w:t>
      </w:r>
      <w:r w:rsidRPr="00236FAD">
        <w:t xml:space="preserve"> of the European population will be </w:t>
      </w:r>
      <w:r>
        <w:t xml:space="preserve">aged </w:t>
      </w:r>
      <w:r w:rsidRPr="00236FAD">
        <w:t>over 65 years</w:t>
      </w:r>
      <w:r w:rsidRPr="007D5536">
        <w:t>.</w:t>
      </w:r>
      <w:r w:rsidRPr="006A44FD">
        <w:t xml:space="preserve"> </w:t>
      </w:r>
      <w:r>
        <w:t>Currently, however, many workers from OECD</w:t>
      </w:r>
      <w:r w:rsidR="00F757F4">
        <w:t xml:space="preserve"> (</w:t>
      </w:r>
      <w:r w:rsidR="00F757F4" w:rsidRPr="00F757F4">
        <w:t>Organisation for Economic Co-operation and Development</w:t>
      </w:r>
      <w:r w:rsidR="00F757F4">
        <w:t>)</w:t>
      </w:r>
      <w:r>
        <w:t xml:space="preserve"> countries leave the labour market before the normal pension age [1] and the so-called “</w:t>
      </w:r>
      <w:r w:rsidRPr="00236FAD">
        <w:t>Total Dependency Ratio</w:t>
      </w:r>
      <w:r>
        <w:t>”</w:t>
      </w:r>
      <w:r w:rsidRPr="00236FAD">
        <w:t xml:space="preserve"> </w:t>
      </w:r>
      <w:r>
        <w:t xml:space="preserve">(that of those not working to </w:t>
      </w:r>
      <w:r w:rsidRPr="00236FAD">
        <w:t>those in the labour force</w:t>
      </w:r>
      <w:r>
        <w:t>) is rising [2]. In response, g</w:t>
      </w:r>
      <w:r w:rsidRPr="007D5536">
        <w:t>overnments</w:t>
      </w:r>
      <w:r w:rsidRPr="006A44FD">
        <w:t xml:space="preserve"> </w:t>
      </w:r>
      <w:r w:rsidRPr="007D5536">
        <w:t>have</w:t>
      </w:r>
      <w:r>
        <w:t xml:space="preserve"> implemented policies to encourage workers to retire later, including delayed payment of state pensions</w:t>
      </w:r>
      <w:r w:rsidRPr="00236FAD">
        <w:t xml:space="preserve"> </w:t>
      </w:r>
      <w:r>
        <w:t xml:space="preserve">and </w:t>
      </w:r>
      <w:r w:rsidRPr="00236FAD">
        <w:t>reduc</w:t>
      </w:r>
      <w:r>
        <w:t>ed</w:t>
      </w:r>
      <w:r w:rsidRPr="00236FAD">
        <w:t xml:space="preserve"> pension incentives </w:t>
      </w:r>
      <w:r>
        <w:t>(to make</w:t>
      </w:r>
      <w:r w:rsidRPr="00236FAD">
        <w:t xml:space="preserve"> early retirement less </w:t>
      </w:r>
      <w:r w:rsidR="00D254C1">
        <w:t>attractive</w:t>
      </w:r>
      <w:r>
        <w:t>), and legislation against</w:t>
      </w:r>
      <w:r w:rsidRPr="006A44FD">
        <w:t xml:space="preserve"> age and disability discrimination</w:t>
      </w:r>
      <w:r>
        <w:t xml:space="preserve"> (to make employment more flexible and accommodating) [3].</w:t>
      </w:r>
    </w:p>
    <w:p w:rsidR="00236FAD" w:rsidRDefault="00236FAD" w:rsidP="000E5AB2">
      <w:pPr>
        <w:spacing w:line="360" w:lineRule="auto"/>
        <w:jc w:val="both"/>
      </w:pPr>
    </w:p>
    <w:p w:rsidR="00D20135" w:rsidRDefault="00236FAD" w:rsidP="000E5AB2">
      <w:pPr>
        <w:spacing w:line="360" w:lineRule="auto"/>
        <w:jc w:val="both"/>
      </w:pPr>
      <w:r>
        <w:t xml:space="preserve">Retention </w:t>
      </w:r>
      <w:r w:rsidR="00EB401A">
        <w:t xml:space="preserve">of older workers </w:t>
      </w:r>
      <w:r>
        <w:t xml:space="preserve">in the </w:t>
      </w:r>
      <w:r w:rsidRPr="00236FAD">
        <w:t>labour market</w:t>
      </w:r>
      <w:r>
        <w:t xml:space="preserve"> </w:t>
      </w:r>
      <w:r w:rsidR="00EB401A">
        <w:t>might</w:t>
      </w:r>
      <w:r>
        <w:t xml:space="preserve"> </w:t>
      </w:r>
      <w:r w:rsidR="00EB401A">
        <w:t xml:space="preserve">also </w:t>
      </w:r>
      <w:r>
        <w:t xml:space="preserve">be </w:t>
      </w:r>
      <w:r w:rsidR="00EB401A">
        <w:t xml:space="preserve">promoted by measures </w:t>
      </w:r>
      <w:r w:rsidR="002776B4">
        <w:t>aimed at</w:t>
      </w:r>
      <w:r>
        <w:t xml:space="preserve"> </w:t>
      </w:r>
      <w:r w:rsidR="002776B4">
        <w:t>improving</w:t>
      </w:r>
      <w:r w:rsidR="00EB401A">
        <w:t xml:space="preserve"> their</w:t>
      </w:r>
      <w:r>
        <w:t xml:space="preserve"> </w:t>
      </w:r>
      <w:r w:rsidR="00EB401A" w:rsidRPr="00EB401A">
        <w:t>job satisfaction</w:t>
      </w:r>
      <w:r w:rsidR="00D20135">
        <w:t>. J</w:t>
      </w:r>
      <w:r w:rsidR="006F6978" w:rsidRPr="006A44FD">
        <w:t xml:space="preserve">ob </w:t>
      </w:r>
      <w:r w:rsidR="006F6978">
        <w:t>dis</w:t>
      </w:r>
      <w:r w:rsidR="006F6978" w:rsidRPr="006A44FD">
        <w:t>satisfaction has</w:t>
      </w:r>
      <w:r w:rsidR="005005CA">
        <w:t xml:space="preserve"> </w:t>
      </w:r>
      <w:r w:rsidR="007B36D3">
        <w:t xml:space="preserve">previously </w:t>
      </w:r>
      <w:r w:rsidR="006F6978" w:rsidRPr="006A44FD">
        <w:t>been li</w:t>
      </w:r>
      <w:r w:rsidR="006F6978">
        <w:t>nked with labour turnover [</w:t>
      </w:r>
      <w:r w:rsidR="000E5AB2">
        <w:t>4-6</w:t>
      </w:r>
      <w:r w:rsidR="006F6978">
        <w:t xml:space="preserve">], </w:t>
      </w:r>
      <w:r w:rsidR="006F6978" w:rsidRPr="006A44FD">
        <w:t>intentions</w:t>
      </w:r>
      <w:r w:rsidR="007B6B1F">
        <w:t xml:space="preserve"> to retire early</w:t>
      </w:r>
      <w:r w:rsidR="006F6978">
        <w:t xml:space="preserve"> [</w:t>
      </w:r>
      <w:r w:rsidR="000E5AB2">
        <w:t>7-11</w:t>
      </w:r>
      <w:r w:rsidR="006F6978">
        <w:t>] and sickness absence [</w:t>
      </w:r>
      <w:r w:rsidR="000E5AB2">
        <w:t>12-14</w:t>
      </w:r>
      <w:r w:rsidR="006F6978">
        <w:t xml:space="preserve">]. However, </w:t>
      </w:r>
      <w:r w:rsidR="00D20135">
        <w:t>reports</w:t>
      </w:r>
      <w:r w:rsidR="006F6978">
        <w:t xml:space="preserve"> to date have typically </w:t>
      </w:r>
      <w:r w:rsidR="00D20135">
        <w:t>focussed on</w:t>
      </w:r>
      <w:r w:rsidR="006F6978">
        <w:t xml:space="preserve"> selected occup</w:t>
      </w:r>
      <w:r w:rsidR="00567F0D">
        <w:t>ation</w:t>
      </w:r>
      <w:r w:rsidR="006F6978">
        <w:t>s</w:t>
      </w:r>
      <w:r w:rsidR="00A9036D">
        <w:t xml:space="preserve"> [15</w:t>
      </w:r>
      <w:proofErr w:type="gramStart"/>
      <w:r w:rsidR="00A9036D">
        <w:t>,16</w:t>
      </w:r>
      <w:proofErr w:type="gramEnd"/>
      <w:r w:rsidR="00A9036D">
        <w:t>]</w:t>
      </w:r>
      <w:r w:rsidR="006F6978">
        <w:t>, rather than</w:t>
      </w:r>
      <w:r w:rsidR="00D20135">
        <w:t xml:space="preserve"> </w:t>
      </w:r>
      <w:r w:rsidR="006F6978">
        <w:t>representative</w:t>
      </w:r>
      <w:r w:rsidR="00D20135">
        <w:t xml:space="preserve"> sample</w:t>
      </w:r>
      <w:r w:rsidR="00514416">
        <w:t>s</w:t>
      </w:r>
      <w:r w:rsidR="00D20135">
        <w:t xml:space="preserve"> of the general</w:t>
      </w:r>
      <w:r w:rsidR="006F6978">
        <w:t xml:space="preserve"> population</w:t>
      </w:r>
      <w:r w:rsidR="001031BE">
        <w:t>,</w:t>
      </w:r>
      <w:r w:rsidR="00D20135">
        <w:t xml:space="preserve"> and there has been </w:t>
      </w:r>
      <w:r w:rsidR="001031BE">
        <w:t>little</w:t>
      </w:r>
      <w:r w:rsidR="00D20135">
        <w:t xml:space="preserve"> emphasis</w:t>
      </w:r>
      <w:r w:rsidR="006F6978">
        <w:t xml:space="preserve"> on</w:t>
      </w:r>
      <w:r w:rsidR="00D20135">
        <w:t xml:space="preserve"> the</w:t>
      </w:r>
      <w:r w:rsidR="006F6978">
        <w:t xml:space="preserve"> </w:t>
      </w:r>
      <w:r w:rsidR="00D20135">
        <w:t>older worker</w:t>
      </w:r>
      <w:r w:rsidR="000E5AB2">
        <w:t xml:space="preserve"> [10,11</w:t>
      </w:r>
      <w:r w:rsidR="00D20135">
        <w:t xml:space="preserve">]. </w:t>
      </w:r>
      <w:r w:rsidR="00514416">
        <w:t>As such, the epidemiology of job dissatisfaction in later working life remains ill-defined.</w:t>
      </w:r>
    </w:p>
    <w:p w:rsidR="00D20135" w:rsidRDefault="00D20135" w:rsidP="000E5AB2">
      <w:pPr>
        <w:spacing w:line="360" w:lineRule="auto"/>
        <w:jc w:val="both"/>
      </w:pPr>
    </w:p>
    <w:p w:rsidR="00D63FE1" w:rsidRDefault="007B6B1F" w:rsidP="000E5AB2">
      <w:pPr>
        <w:spacing w:line="360" w:lineRule="auto"/>
        <w:jc w:val="both"/>
      </w:pPr>
      <w:r>
        <w:t xml:space="preserve">A notable area of uncertainty is the relative importance of different negative perceptions of work that might contribute to job dissatisfaction, and whether this varies across subgroups of the </w:t>
      </w:r>
      <w:r w:rsidRPr="00A719EE">
        <w:t>population</w:t>
      </w:r>
      <w:r>
        <w:t>. Job dissatisfaction is a complex phenomenon with many</w:t>
      </w:r>
      <w:r w:rsidRPr="00514416">
        <w:t xml:space="preserve"> </w:t>
      </w:r>
      <w:r>
        <w:t>potential determinants, of which some are personal and some relate to the work environment (e.g. dissatisfaction with pay or working hours, job insecurity, and problematic relationships with colleagues). However, the most important occupational drivers of dissatisfaction could vary importantly between subgroups defined by age, sex, or employment circumstances.</w:t>
      </w:r>
    </w:p>
    <w:p w:rsidR="00D63FE1" w:rsidRDefault="00D63FE1" w:rsidP="000E5AB2">
      <w:pPr>
        <w:spacing w:line="360" w:lineRule="auto"/>
        <w:jc w:val="both"/>
      </w:pPr>
    </w:p>
    <w:p w:rsidR="00514416" w:rsidRDefault="00D8059E" w:rsidP="000E5AB2">
      <w:pPr>
        <w:spacing w:line="360" w:lineRule="auto"/>
        <w:jc w:val="both"/>
      </w:pPr>
      <w:r>
        <w:t>Furthermore</w:t>
      </w:r>
      <w:r w:rsidR="00D63FE1">
        <w:t>, while the link between job dissatisfaction and poorer psychological health is well-recognised</w:t>
      </w:r>
      <w:r w:rsidR="00567F0D">
        <w:t xml:space="preserve"> and much studied</w:t>
      </w:r>
      <w:r w:rsidR="00D63FE1">
        <w:t xml:space="preserve"> [</w:t>
      </w:r>
      <w:r w:rsidR="00A9036D">
        <w:t>17</w:t>
      </w:r>
      <w:r w:rsidR="00D63FE1">
        <w:t xml:space="preserve">], it remains unclear whether some </w:t>
      </w:r>
      <w:r w:rsidR="007B6B1F">
        <w:t>aspects</w:t>
      </w:r>
      <w:r w:rsidR="001031BE">
        <w:t xml:space="preserve"> of dissatisfaction are more important than others in influencing workers’ health.</w:t>
      </w:r>
    </w:p>
    <w:p w:rsidR="001031BE" w:rsidRDefault="001031BE" w:rsidP="000E5AB2">
      <w:pPr>
        <w:spacing w:line="360" w:lineRule="auto"/>
        <w:jc w:val="both"/>
      </w:pPr>
    </w:p>
    <w:p w:rsidR="00F75E0F" w:rsidRPr="005D562C" w:rsidRDefault="007B6B1F" w:rsidP="005D562C">
      <w:pPr>
        <w:spacing w:line="360" w:lineRule="auto"/>
        <w:jc w:val="both"/>
      </w:pPr>
      <w:r>
        <w:t>This report has three aims relating to these gaps in evidence: 1) to describe the epidemiology of job dissatisfaction in British workers at older ages; 2) to explore the contributions of different negative perceptions of work to overall job dissatisfaction, and whether their relative importance varies across subgroups of the working population; and 3) to determine whether these aspects of dissatisfaction differ in their associations with measures of health.</w:t>
      </w:r>
      <w:r w:rsidR="00F75E0F">
        <w:rPr>
          <w:b/>
        </w:rPr>
        <w:br w:type="page"/>
      </w:r>
    </w:p>
    <w:p w:rsidR="00F75E0F" w:rsidRPr="00F75E0F" w:rsidRDefault="00F75E0F" w:rsidP="00F75E0F">
      <w:pPr>
        <w:spacing w:line="360" w:lineRule="auto"/>
        <w:jc w:val="both"/>
        <w:rPr>
          <w:b/>
        </w:rPr>
      </w:pPr>
      <w:r w:rsidRPr="00F75E0F">
        <w:rPr>
          <w:b/>
        </w:rPr>
        <w:lastRenderedPageBreak/>
        <w:t>Methods</w:t>
      </w:r>
    </w:p>
    <w:p w:rsidR="001853D9" w:rsidRPr="00F75E0F" w:rsidRDefault="001853D9" w:rsidP="00CD2535">
      <w:pPr>
        <w:spacing w:line="360" w:lineRule="auto"/>
        <w:jc w:val="both"/>
      </w:pPr>
      <w:r>
        <w:t xml:space="preserve">For </w:t>
      </w:r>
      <w:r w:rsidR="0015652B">
        <w:t xml:space="preserve">our </w:t>
      </w:r>
      <w:r>
        <w:t xml:space="preserve">analysis we used </w:t>
      </w:r>
      <w:r w:rsidR="0015652B">
        <w:t xml:space="preserve">baseline </w:t>
      </w:r>
      <w:r>
        <w:t xml:space="preserve">data from the </w:t>
      </w:r>
      <w:r w:rsidRPr="000656F4">
        <w:t xml:space="preserve">Health and Employment </w:t>
      </w:r>
      <w:proofErr w:type="gramStart"/>
      <w:r w:rsidRPr="000656F4">
        <w:t>After</w:t>
      </w:r>
      <w:proofErr w:type="gramEnd"/>
      <w:r w:rsidRPr="000656F4">
        <w:t xml:space="preserve"> Fifty (HEAF) </w:t>
      </w:r>
      <w:r>
        <w:t xml:space="preserve">study, </w:t>
      </w:r>
      <w:r w:rsidR="007B6B1F">
        <w:t xml:space="preserve">which follows </w:t>
      </w:r>
      <w:r>
        <w:t>a</w:t>
      </w:r>
      <w:r w:rsidRPr="000E5AB2">
        <w:t xml:space="preserve"> </w:t>
      </w:r>
      <w:r w:rsidR="000E5AB2" w:rsidRPr="000E5AB2">
        <w:t xml:space="preserve">large population-based cohort of older </w:t>
      </w:r>
      <w:r>
        <w:t>adults</w:t>
      </w:r>
      <w:r w:rsidR="000E5AB2" w:rsidRPr="000E5AB2">
        <w:t xml:space="preserve"> resident in England</w:t>
      </w:r>
      <w:r w:rsidR="000E5AB2">
        <w:t>.</w:t>
      </w:r>
      <w:r>
        <w:t xml:space="preserve"> </w:t>
      </w:r>
      <w:r w:rsidR="000E5AB2" w:rsidRPr="00017280">
        <w:t xml:space="preserve">The </w:t>
      </w:r>
      <w:r w:rsidR="000C3E86" w:rsidRPr="00017280">
        <w:t>study</w:t>
      </w:r>
      <w:r w:rsidR="000C3E86">
        <w:t>’s</w:t>
      </w:r>
      <w:r w:rsidR="000C3E86" w:rsidRPr="00017280">
        <w:t xml:space="preserve"> </w:t>
      </w:r>
      <w:r w:rsidR="000E5AB2" w:rsidRPr="00017280">
        <w:t>design and methods of data collection have been reported in detail elsewhere [</w:t>
      </w:r>
      <w:r w:rsidR="00A9036D">
        <w:t>18</w:t>
      </w:r>
      <w:r w:rsidR="000E5AB2" w:rsidRPr="00017280">
        <w:t xml:space="preserve">]. In brief, </w:t>
      </w:r>
      <w:r w:rsidR="00A94E09">
        <w:t>q</w:t>
      </w:r>
      <w:r w:rsidR="00A94E09" w:rsidRPr="00A94E09">
        <w:t xml:space="preserve">uestionnaires were mailed to 39,359 </w:t>
      </w:r>
      <w:r w:rsidR="00A94E09" w:rsidRPr="00017280">
        <w:t xml:space="preserve">adults </w:t>
      </w:r>
      <w:r w:rsidR="00A94E09">
        <w:t>born between 1948 and 1962</w:t>
      </w:r>
      <w:r w:rsidR="00A94E09" w:rsidRPr="00017280">
        <w:t xml:space="preserve"> </w:t>
      </w:r>
      <w:r w:rsidR="00A94E09">
        <w:t>(</w:t>
      </w:r>
      <w:r w:rsidR="00A94E09" w:rsidRPr="00843165">
        <w:t>target age band</w:t>
      </w:r>
      <w:r w:rsidR="00A94E09">
        <w:t xml:space="preserve"> at recruitment</w:t>
      </w:r>
      <w:r w:rsidR="00A94E09" w:rsidRPr="00843165">
        <w:t xml:space="preserve"> 50-64 years</w:t>
      </w:r>
      <w:r w:rsidR="00A94E09">
        <w:t>)</w:t>
      </w:r>
      <w:r w:rsidR="00A94E09" w:rsidRPr="00843165">
        <w:t xml:space="preserve"> </w:t>
      </w:r>
      <w:r w:rsidR="00A94E09" w:rsidRPr="00017280">
        <w:t xml:space="preserve">from 24 </w:t>
      </w:r>
      <w:r w:rsidR="00A94E09">
        <w:t>English</w:t>
      </w:r>
      <w:r w:rsidR="00A94E09" w:rsidRPr="00017280">
        <w:t xml:space="preserve"> general practices contributing</w:t>
      </w:r>
      <w:r w:rsidR="00A94E09">
        <w:t xml:space="preserve"> data</w:t>
      </w:r>
      <w:r w:rsidR="00A94E09" w:rsidRPr="00017280">
        <w:t xml:space="preserve"> to </w:t>
      </w:r>
      <w:r w:rsidR="00A94E09">
        <w:t xml:space="preserve">a primary care research database, </w:t>
      </w:r>
      <w:r w:rsidR="00A94E09" w:rsidRPr="00017280">
        <w:t>the Clinical Pr</w:t>
      </w:r>
      <w:r w:rsidR="00A94E09">
        <w:t>actice Research Datalink (CPRD).</w:t>
      </w:r>
      <w:r w:rsidR="00A94E09" w:rsidRPr="00A94E09">
        <w:t xml:space="preserve"> </w:t>
      </w:r>
      <w:r w:rsidR="00425832">
        <w:t>The practices were drawn from every region of England and all deciles of social deprivation [18], and all that agreed to support the study became foci of recruitment.</w:t>
      </w:r>
      <w:r w:rsidR="00CD2535" w:rsidRPr="00A94E09">
        <w:t xml:space="preserve"> </w:t>
      </w:r>
      <w:r w:rsidR="00A94E09">
        <w:t>Forms were sent to all</w:t>
      </w:r>
      <w:r w:rsidR="00A94E09" w:rsidRPr="00A94E09">
        <w:t xml:space="preserve"> </w:t>
      </w:r>
      <w:r w:rsidR="00425832">
        <w:t xml:space="preserve">people in the target age range who were registered with these practices </w:t>
      </w:r>
      <w:r w:rsidR="00A94E09">
        <w:t>after</w:t>
      </w:r>
      <w:r w:rsidR="00A94E09" w:rsidRPr="00A94E09">
        <w:t xml:space="preserve"> excluding </w:t>
      </w:r>
      <w:r w:rsidR="00D02855">
        <w:t xml:space="preserve">those </w:t>
      </w:r>
      <w:r w:rsidR="00A94E09">
        <w:t>with</w:t>
      </w:r>
      <w:r w:rsidR="00A94E09" w:rsidRPr="00A94E09">
        <w:t xml:space="preserve"> </w:t>
      </w:r>
      <w:r w:rsidR="00A94E09">
        <w:t xml:space="preserve">terminal </w:t>
      </w:r>
      <w:r w:rsidR="00A94E09" w:rsidRPr="00A94E09">
        <w:t xml:space="preserve">illness or recent bereavement, or </w:t>
      </w:r>
      <w:r w:rsidR="00A94E09">
        <w:t xml:space="preserve">who </w:t>
      </w:r>
      <w:r w:rsidR="00A94E09" w:rsidRPr="00A94E09">
        <w:t>had de-registered between sampling and mailing</w:t>
      </w:r>
      <w:r w:rsidR="00DB4135">
        <w:t xml:space="preserve"> (2.5% of the enumeration list</w:t>
      </w:r>
      <w:r w:rsidR="00A94E09" w:rsidRPr="00A94E09">
        <w:t xml:space="preserve">). </w:t>
      </w:r>
      <w:r w:rsidR="00A94E09">
        <w:t>In all, 8134 p</w:t>
      </w:r>
      <w:r w:rsidR="000E5AB2" w:rsidRPr="00017280">
        <w:t>articipants</w:t>
      </w:r>
      <w:r w:rsidR="000E5AB2">
        <w:t xml:space="preserve"> </w:t>
      </w:r>
      <w:r w:rsidR="0015652B">
        <w:t>completed an in</w:t>
      </w:r>
      <w:r w:rsidR="00037150">
        <w:t>i</w:t>
      </w:r>
      <w:r w:rsidR="0015652B">
        <w:t>tial questionnaire</w:t>
      </w:r>
      <w:r w:rsidR="00CD2535">
        <w:t xml:space="preserve"> during 2013-2014</w:t>
      </w:r>
      <w:r w:rsidR="0015652B">
        <w:t xml:space="preserve">, and </w:t>
      </w:r>
      <w:r w:rsidR="000E5AB2">
        <w:t xml:space="preserve">are </w:t>
      </w:r>
      <w:r w:rsidR="0015652B">
        <w:t>now being followed up</w:t>
      </w:r>
      <w:r w:rsidR="0015652B" w:rsidRPr="00017280">
        <w:t xml:space="preserve"> </w:t>
      </w:r>
      <w:r w:rsidR="000E5AB2">
        <w:t>annual</w:t>
      </w:r>
      <w:r w:rsidR="0015652B">
        <w:t>ly</w:t>
      </w:r>
      <w:r w:rsidR="000E5AB2" w:rsidRPr="00017280">
        <w:t>, initially for a 5-year period</w:t>
      </w:r>
      <w:r w:rsidR="0015652B">
        <w:t>, through further questionnaires and record linkage</w:t>
      </w:r>
      <w:r w:rsidR="000E5AB2">
        <w:t>.</w:t>
      </w:r>
      <w:r w:rsidR="000E5AB2" w:rsidRPr="00017280">
        <w:t xml:space="preserve"> </w:t>
      </w:r>
      <w:r w:rsidR="00582D3D" w:rsidRPr="00582D3D">
        <w:t xml:space="preserve">Ethical approval was obtained from the </w:t>
      </w:r>
      <w:r w:rsidR="00CA60B4">
        <w:t>NHS</w:t>
      </w:r>
      <w:r w:rsidR="00582D3D" w:rsidRPr="00582D3D">
        <w:t xml:space="preserve"> Research Ethics Committee North West-Liverpool</w:t>
      </w:r>
      <w:r w:rsidR="00CA60B4">
        <w:t xml:space="preserve"> East</w:t>
      </w:r>
      <w:r w:rsidR="00582D3D" w:rsidRPr="00582D3D">
        <w:t>.</w:t>
      </w:r>
    </w:p>
    <w:p w:rsidR="001853D9" w:rsidRDefault="001853D9" w:rsidP="000E5AB2">
      <w:pPr>
        <w:pStyle w:val="Heading4"/>
        <w:spacing w:before="0" w:line="360" w:lineRule="auto"/>
        <w:jc w:val="both"/>
        <w:rPr>
          <w:rFonts w:ascii="Arial" w:hAnsi="Arial" w:cs="Arial"/>
          <w:b w:val="0"/>
          <w:sz w:val="22"/>
        </w:rPr>
      </w:pPr>
    </w:p>
    <w:p w:rsidR="000C3E86" w:rsidRDefault="0015652B" w:rsidP="000E5AB2">
      <w:pPr>
        <w:pStyle w:val="Heading4"/>
        <w:spacing w:before="0" w:line="360" w:lineRule="auto"/>
        <w:jc w:val="both"/>
        <w:rPr>
          <w:rFonts w:ascii="Arial" w:hAnsi="Arial" w:cs="Arial"/>
          <w:b w:val="0"/>
          <w:sz w:val="22"/>
        </w:rPr>
      </w:pPr>
      <w:r>
        <w:rPr>
          <w:rFonts w:ascii="Arial" w:hAnsi="Arial" w:cs="Arial"/>
          <w:b w:val="0"/>
          <w:sz w:val="22"/>
        </w:rPr>
        <w:t xml:space="preserve">Among other things, the </w:t>
      </w:r>
      <w:r w:rsidR="000E5AB2">
        <w:rPr>
          <w:rFonts w:ascii="Arial" w:hAnsi="Arial" w:cs="Arial"/>
          <w:b w:val="0"/>
          <w:sz w:val="22"/>
        </w:rPr>
        <w:t>baseline questionnaire</w:t>
      </w:r>
      <w:r w:rsidR="000E5AB2" w:rsidRPr="00017280">
        <w:rPr>
          <w:rFonts w:ascii="Arial" w:hAnsi="Arial" w:cs="Arial"/>
          <w:b w:val="0"/>
          <w:sz w:val="22"/>
        </w:rPr>
        <w:t xml:space="preserve"> </w:t>
      </w:r>
      <w:r>
        <w:rPr>
          <w:rFonts w:ascii="Arial" w:hAnsi="Arial" w:cs="Arial"/>
          <w:b w:val="0"/>
          <w:sz w:val="22"/>
        </w:rPr>
        <w:t>covered:</w:t>
      </w:r>
      <w:r w:rsidR="000E5AB2" w:rsidRPr="008E1918">
        <w:rPr>
          <w:rFonts w:ascii="Arial" w:hAnsi="Arial" w:cs="Arial"/>
          <w:b w:val="0"/>
          <w:sz w:val="22"/>
        </w:rPr>
        <w:t xml:space="preserve"> demographic cha</w:t>
      </w:r>
      <w:r w:rsidR="000E5AB2">
        <w:rPr>
          <w:rFonts w:ascii="Arial" w:hAnsi="Arial" w:cs="Arial"/>
          <w:b w:val="0"/>
          <w:sz w:val="22"/>
        </w:rPr>
        <w:t>racteristics</w:t>
      </w:r>
      <w:r w:rsidR="000C3E86">
        <w:rPr>
          <w:rFonts w:ascii="Arial" w:hAnsi="Arial" w:cs="Arial"/>
          <w:b w:val="0"/>
          <w:sz w:val="22"/>
        </w:rPr>
        <w:t xml:space="preserve">; </w:t>
      </w:r>
      <w:r w:rsidR="007B6B1F">
        <w:rPr>
          <w:rFonts w:ascii="Arial" w:hAnsi="Arial" w:cs="Arial"/>
          <w:b w:val="0"/>
          <w:sz w:val="22"/>
        </w:rPr>
        <w:t>employment</w:t>
      </w:r>
      <w:r w:rsidR="000C3E86">
        <w:rPr>
          <w:rFonts w:ascii="Arial" w:hAnsi="Arial" w:cs="Arial"/>
          <w:b w:val="0"/>
          <w:sz w:val="22"/>
        </w:rPr>
        <w:t xml:space="preserve"> status</w:t>
      </w:r>
      <w:r>
        <w:rPr>
          <w:rFonts w:ascii="Arial" w:hAnsi="Arial" w:cs="Arial"/>
          <w:b w:val="0"/>
          <w:sz w:val="22"/>
        </w:rPr>
        <w:t>;</w:t>
      </w:r>
      <w:r w:rsidR="000C3E86">
        <w:rPr>
          <w:rFonts w:ascii="Arial" w:hAnsi="Arial" w:cs="Arial"/>
          <w:b w:val="0"/>
          <w:sz w:val="22"/>
        </w:rPr>
        <w:t xml:space="preserve"> for those in paid work, its </w:t>
      </w:r>
      <w:r w:rsidR="007B6B1F">
        <w:rPr>
          <w:rFonts w:ascii="Arial" w:hAnsi="Arial" w:cs="Arial"/>
          <w:b w:val="0"/>
          <w:sz w:val="22"/>
        </w:rPr>
        <w:t>nature</w:t>
      </w:r>
      <w:r w:rsidR="000C3E86">
        <w:rPr>
          <w:rFonts w:ascii="Arial" w:hAnsi="Arial" w:cs="Arial"/>
          <w:b w:val="0"/>
          <w:sz w:val="22"/>
        </w:rPr>
        <w:t xml:space="preserve"> and</w:t>
      </w:r>
      <w:r w:rsidR="000C3E86" w:rsidRPr="000C3E86">
        <w:rPr>
          <w:rFonts w:ascii="Arial" w:hAnsi="Arial" w:cs="Arial"/>
          <w:b w:val="0"/>
          <w:sz w:val="22"/>
        </w:rPr>
        <w:t xml:space="preserve"> </w:t>
      </w:r>
      <w:r w:rsidR="000C3E86">
        <w:rPr>
          <w:rFonts w:ascii="Arial" w:hAnsi="Arial" w:cs="Arial"/>
          <w:b w:val="0"/>
          <w:sz w:val="22"/>
        </w:rPr>
        <w:t>their</w:t>
      </w:r>
      <w:r w:rsidR="000C3E86" w:rsidRPr="008E1918">
        <w:rPr>
          <w:rFonts w:ascii="Arial" w:hAnsi="Arial" w:cs="Arial"/>
          <w:b w:val="0"/>
          <w:sz w:val="22"/>
        </w:rPr>
        <w:t xml:space="preserve"> </w:t>
      </w:r>
      <w:r w:rsidR="000C3E86">
        <w:rPr>
          <w:rFonts w:ascii="Arial" w:hAnsi="Arial" w:cs="Arial"/>
          <w:b w:val="0"/>
          <w:sz w:val="22"/>
        </w:rPr>
        <w:t>feelings about working conditions</w:t>
      </w:r>
      <w:r w:rsidR="00DA1FB4">
        <w:rPr>
          <w:rFonts w:ascii="Arial" w:hAnsi="Arial" w:cs="Arial"/>
          <w:b w:val="0"/>
          <w:sz w:val="22"/>
        </w:rPr>
        <w:t xml:space="preserve">; and </w:t>
      </w:r>
      <w:r w:rsidR="000C3E86">
        <w:rPr>
          <w:rFonts w:ascii="Arial" w:hAnsi="Arial" w:cs="Arial"/>
          <w:b w:val="0"/>
          <w:sz w:val="22"/>
        </w:rPr>
        <w:t>self-reported</w:t>
      </w:r>
      <w:r w:rsidR="000C3E86" w:rsidRPr="008E1918">
        <w:rPr>
          <w:rFonts w:ascii="Arial" w:hAnsi="Arial" w:cs="Arial"/>
          <w:b w:val="0"/>
          <w:sz w:val="22"/>
        </w:rPr>
        <w:t xml:space="preserve"> health</w:t>
      </w:r>
      <w:r w:rsidR="000C3E86">
        <w:rPr>
          <w:rFonts w:ascii="Arial" w:hAnsi="Arial" w:cs="Arial"/>
          <w:b w:val="0"/>
          <w:sz w:val="22"/>
        </w:rPr>
        <w:t>.</w:t>
      </w:r>
    </w:p>
    <w:p w:rsidR="000C3E86" w:rsidRDefault="000C3E86" w:rsidP="000E5AB2">
      <w:pPr>
        <w:pStyle w:val="Heading4"/>
        <w:spacing w:before="0" w:line="360" w:lineRule="auto"/>
        <w:jc w:val="both"/>
        <w:rPr>
          <w:rFonts w:ascii="Arial" w:hAnsi="Arial" w:cs="Arial"/>
          <w:b w:val="0"/>
          <w:sz w:val="22"/>
        </w:rPr>
      </w:pPr>
    </w:p>
    <w:p w:rsidR="00DA1FB4" w:rsidRDefault="000C3E86" w:rsidP="000C3E86">
      <w:pPr>
        <w:spacing w:line="360" w:lineRule="auto"/>
        <w:jc w:val="both"/>
      </w:pPr>
      <w:r>
        <w:t>D</w:t>
      </w:r>
      <w:r w:rsidRPr="00F61929">
        <w:t>emographic characteristics</w:t>
      </w:r>
      <w:r>
        <w:t xml:space="preserve"> </w:t>
      </w:r>
      <w:r w:rsidR="007B6B1F" w:rsidRPr="007B6B1F">
        <w:t>relevant to the current analysis were</w:t>
      </w:r>
      <w:r>
        <w:t>: sex and age;</w:t>
      </w:r>
      <w:r w:rsidRPr="008E1918">
        <w:t xml:space="preserve"> highest </w:t>
      </w:r>
      <w:r w:rsidRPr="00F61929">
        <w:t xml:space="preserve">educational </w:t>
      </w:r>
      <w:r w:rsidRPr="008E1918">
        <w:t>qualification</w:t>
      </w:r>
      <w:r w:rsidR="00365F9F">
        <w:t xml:space="preserve"> (school only, vocational training certificate, university or higher professional degree);</w:t>
      </w:r>
      <w:r>
        <w:t xml:space="preserve"> </w:t>
      </w:r>
      <w:r w:rsidRPr="008E1918">
        <w:t>household</w:t>
      </w:r>
      <w:r>
        <w:t xml:space="preserve"> composition;</w:t>
      </w:r>
      <w:r w:rsidRPr="00F61929">
        <w:t xml:space="preserve"> </w:t>
      </w:r>
      <w:r>
        <w:t>and</w:t>
      </w:r>
      <w:r w:rsidRPr="00F61929">
        <w:t xml:space="preserve"> the location of </w:t>
      </w:r>
      <w:r w:rsidR="006B672B">
        <w:t xml:space="preserve">the </w:t>
      </w:r>
      <w:r w:rsidR="00A9036D">
        <w:t xml:space="preserve">participant’s general practice, </w:t>
      </w:r>
      <w:r>
        <w:t xml:space="preserve">which </w:t>
      </w:r>
      <w:r w:rsidRPr="00F61929">
        <w:t>was used to classify them by an area-based measure of deprivation, the English Index of Mult</w:t>
      </w:r>
      <w:r>
        <w:t xml:space="preserve">iple Deprivation 2010 </w:t>
      </w:r>
      <w:r w:rsidR="00A9036D">
        <w:t>[19</w:t>
      </w:r>
      <w:r w:rsidR="00582D3D">
        <w:t>]</w:t>
      </w:r>
      <w:r>
        <w:t xml:space="preserve">. </w:t>
      </w:r>
    </w:p>
    <w:p w:rsidR="00DA1FB4" w:rsidRDefault="00DA1FB4" w:rsidP="000C3E86">
      <w:pPr>
        <w:spacing w:line="360" w:lineRule="auto"/>
        <w:jc w:val="both"/>
      </w:pPr>
    </w:p>
    <w:p w:rsidR="000C3E86" w:rsidRPr="00816786" w:rsidRDefault="000C3E86" w:rsidP="000C3E86">
      <w:pPr>
        <w:spacing w:line="360" w:lineRule="auto"/>
        <w:jc w:val="both"/>
        <w:rPr>
          <w:strike/>
        </w:rPr>
      </w:pPr>
      <w:r>
        <w:t xml:space="preserve">Items on </w:t>
      </w:r>
      <w:r w:rsidR="007B6B1F">
        <w:t xml:space="preserve">the nature of </w:t>
      </w:r>
      <w:r>
        <w:t>work concerned: the</w:t>
      </w:r>
      <w:r w:rsidRPr="00844E6C">
        <w:t xml:space="preserve"> </w:t>
      </w:r>
      <w:r w:rsidRPr="0096124C">
        <w:t xml:space="preserve">size of </w:t>
      </w:r>
      <w:r w:rsidR="007B6B1F">
        <w:t>an employer’s</w:t>
      </w:r>
      <w:r w:rsidRPr="0096124C">
        <w:t xml:space="preserve"> work</w:t>
      </w:r>
      <w:r>
        <w:t>force</w:t>
      </w:r>
      <w:r w:rsidR="00582D3D">
        <w:t xml:space="preserve"> (these were combined </w:t>
      </w:r>
      <w:r w:rsidR="007B6B1F">
        <w:t xml:space="preserve">with employment status </w:t>
      </w:r>
      <w:r w:rsidR="00582D3D">
        <w:t>to create a variable with three levels, self-employed, employed and working for a small employer (&lt;500 staff), employed and working for a large employer (</w:t>
      </w:r>
      <w:r w:rsidR="00582D3D" w:rsidRPr="009D0B2A">
        <w:rPr>
          <w:u w:val="single"/>
        </w:rPr>
        <w:t>&gt;</w:t>
      </w:r>
      <w:r w:rsidR="00582D3D">
        <w:t xml:space="preserve">500 staff)); </w:t>
      </w:r>
      <w:r w:rsidRPr="0096124C">
        <w:t xml:space="preserve"> </w:t>
      </w:r>
      <w:r>
        <w:t>tenure</w:t>
      </w:r>
      <w:r w:rsidRPr="0096124C">
        <w:t xml:space="preserve"> with </w:t>
      </w:r>
      <w:r>
        <w:t>the sa</w:t>
      </w:r>
      <w:r w:rsidR="00582D3D">
        <w:t>me employer (&lt;1, 1-5, &gt;5 years);</w:t>
      </w:r>
      <w:r w:rsidRPr="0096124C">
        <w:t xml:space="preserve"> type of contract (perma</w:t>
      </w:r>
      <w:r>
        <w:t>nent vs. temporary/renewable) and</w:t>
      </w:r>
      <w:r w:rsidRPr="0096124C">
        <w:t xml:space="preserve"> </w:t>
      </w:r>
      <w:r>
        <w:t xml:space="preserve">type </w:t>
      </w:r>
      <w:r w:rsidRPr="0096124C">
        <w:t>of sa</w:t>
      </w:r>
      <w:r w:rsidR="00582D3D">
        <w:t>lary (fixed vs. paid by output);</w:t>
      </w:r>
      <w:r w:rsidRPr="0096124C">
        <w:t xml:space="preserve"> </w:t>
      </w:r>
      <w:r w:rsidRPr="00844E6C">
        <w:t>hours worked per week</w:t>
      </w:r>
      <w:r w:rsidRPr="0096124C">
        <w:t xml:space="preserve"> (</w:t>
      </w:r>
      <w:r w:rsidRPr="00C26808">
        <w:rPr>
          <w:u w:val="single"/>
        </w:rPr>
        <w:t>&lt;</w:t>
      </w:r>
      <w:r w:rsidRPr="0096124C">
        <w:t>20, &gt;</w:t>
      </w:r>
      <w:r w:rsidR="00582D3D">
        <w:t>20-40, &gt;40);</w:t>
      </w:r>
      <w:r>
        <w:t xml:space="preserve"> </w:t>
      </w:r>
      <w:r w:rsidRPr="0096124C">
        <w:t>shift worki</w:t>
      </w:r>
      <w:r w:rsidR="00582D3D">
        <w:t>ng (often vs. sometimes/rarely</w:t>
      </w:r>
      <w:r w:rsidR="007B6B1F">
        <w:t>/never</w:t>
      </w:r>
      <w:r w:rsidR="00582D3D">
        <w:t>);</w:t>
      </w:r>
      <w:r w:rsidRPr="0096124C">
        <w:t xml:space="preserve"> </w:t>
      </w:r>
      <w:r w:rsidRPr="00844E6C">
        <w:t xml:space="preserve">entitlement to </w:t>
      </w:r>
      <w:r>
        <w:t xml:space="preserve">paid </w:t>
      </w:r>
      <w:r w:rsidRPr="00844E6C">
        <w:t>holiday</w:t>
      </w:r>
      <w:r w:rsidR="00582D3D">
        <w:t>;</w:t>
      </w:r>
      <w:r w:rsidRPr="0096124C">
        <w:t xml:space="preserve"> </w:t>
      </w:r>
      <w:r w:rsidRPr="00844E6C">
        <w:t xml:space="preserve">and </w:t>
      </w:r>
      <w:r>
        <w:t>whether or not a</w:t>
      </w:r>
      <w:r w:rsidRPr="00844E6C">
        <w:t xml:space="preserve"> second paid job</w:t>
      </w:r>
      <w:r w:rsidR="00582D3D">
        <w:t xml:space="preserve"> was held</w:t>
      </w:r>
      <w:r w:rsidRPr="00844E6C">
        <w:t>.</w:t>
      </w:r>
    </w:p>
    <w:p w:rsidR="000C3E86" w:rsidRPr="000C3E86" w:rsidRDefault="000C3E86" w:rsidP="000C3E86"/>
    <w:p w:rsidR="007B6B1F" w:rsidRDefault="007B6B1F" w:rsidP="000C3E86">
      <w:pPr>
        <w:spacing w:line="360" w:lineRule="auto"/>
        <w:jc w:val="both"/>
      </w:pPr>
      <w:r>
        <w:t>Overall j</w:t>
      </w:r>
      <w:r w:rsidR="00DA1FB4">
        <w:t>ob dissatisfaction</w:t>
      </w:r>
      <w:r w:rsidR="000E5AB2">
        <w:t xml:space="preserve"> was assessed </w:t>
      </w:r>
      <w:r>
        <w:t>from</w:t>
      </w:r>
      <w:r w:rsidR="000E5AB2">
        <w:t xml:space="preserve"> the question: "How satisfied have you been with your job as a whole, taking everything into consideration?" </w:t>
      </w:r>
      <w:r w:rsidR="000C3E86">
        <w:t>Response categories of</w:t>
      </w:r>
      <w:r w:rsidR="000E5AB2">
        <w:t xml:space="preserve"> </w:t>
      </w:r>
      <w:r w:rsidR="000C3E86">
        <w:lastRenderedPageBreak/>
        <w:t>“very satisfied” and “satisfied/fairly satisfied”</w:t>
      </w:r>
      <w:r w:rsidR="000E5AB2" w:rsidRPr="00C1049F">
        <w:t xml:space="preserve"> </w:t>
      </w:r>
      <w:r w:rsidR="000C3E86">
        <w:t>were combined, as were</w:t>
      </w:r>
      <w:r w:rsidR="000C3E86" w:rsidRPr="00C1049F">
        <w:t xml:space="preserve"> </w:t>
      </w:r>
      <w:r w:rsidR="000E5AB2" w:rsidRPr="00C1049F">
        <w:t>“dissatisfied” and “very dissatisfied”</w:t>
      </w:r>
      <w:r w:rsidR="000E5AB2">
        <w:t>, to generate a binary variable "dissatisfied vs. not".</w:t>
      </w:r>
      <w:r w:rsidR="000E5AB2" w:rsidRPr="00844E6C">
        <w:t xml:space="preserve"> </w:t>
      </w:r>
    </w:p>
    <w:p w:rsidR="00794100" w:rsidRDefault="00794100" w:rsidP="000C3E86">
      <w:pPr>
        <w:spacing w:line="360" w:lineRule="auto"/>
        <w:jc w:val="both"/>
      </w:pPr>
    </w:p>
    <w:p w:rsidR="000C3E86" w:rsidRDefault="007B6B1F" w:rsidP="000C3E86">
      <w:pPr>
        <w:spacing w:line="360" w:lineRule="auto"/>
        <w:jc w:val="both"/>
      </w:pPr>
      <w:r>
        <w:t xml:space="preserve">The questions on feelings about work were designed to ascertain various negative perceptions that might contribute to overall job dissatisfaction: </w:t>
      </w:r>
      <w:r w:rsidR="000C3E86" w:rsidRPr="00844E6C">
        <w:t xml:space="preserve">satisfaction with pay </w:t>
      </w:r>
      <w:r w:rsidR="000C3E86">
        <w:t xml:space="preserve">and with </w:t>
      </w:r>
      <w:r w:rsidR="000C3E86" w:rsidRPr="00844E6C">
        <w:t>w</w:t>
      </w:r>
      <w:r w:rsidR="00DA1FB4">
        <w:t xml:space="preserve">orking hours </w:t>
      </w:r>
      <w:r w:rsidR="00DA1FB4" w:rsidRPr="00844E6C">
        <w:t>(scored a</w:t>
      </w:r>
      <w:r w:rsidR="00DA1FB4">
        <w:t>s for overall dissatisfaction);</w:t>
      </w:r>
      <w:r w:rsidR="000C3E86" w:rsidRPr="00844E6C">
        <w:t xml:space="preserve"> </w:t>
      </w:r>
      <w:r w:rsidR="000C3E86">
        <w:t xml:space="preserve">whether </w:t>
      </w:r>
      <w:r w:rsidR="00DA1FB4">
        <w:t>there was</w:t>
      </w:r>
      <w:r w:rsidR="000C3E86">
        <w:t xml:space="preserve"> </w:t>
      </w:r>
      <w:r w:rsidR="000C3E86" w:rsidRPr="00844E6C">
        <w:t>choice</w:t>
      </w:r>
      <w:r w:rsidR="000C3E86">
        <w:t xml:space="preserve"> in the</w:t>
      </w:r>
      <w:r w:rsidR="000C3E86" w:rsidRPr="00844E6C">
        <w:t xml:space="preserve"> job (often, sometimes, ra</w:t>
      </w:r>
      <w:r w:rsidR="00DA1FB4">
        <w:t xml:space="preserve">rely/never) </w:t>
      </w:r>
      <w:r w:rsidR="00582D3D">
        <w:t>or</w:t>
      </w:r>
      <w:r w:rsidR="000C3E86">
        <w:t xml:space="preserve"> </w:t>
      </w:r>
      <w:r w:rsidR="000C3E86" w:rsidRPr="00844E6C">
        <w:t>support from colleagues or managers (</w:t>
      </w:r>
      <w:r w:rsidR="000C3E86">
        <w:t>often, sometimes, rarely/never)</w:t>
      </w:r>
      <w:r w:rsidR="00DA1FB4">
        <w:t xml:space="preserve">; </w:t>
      </w:r>
      <w:r w:rsidR="00582D3D">
        <w:t xml:space="preserve">and </w:t>
      </w:r>
      <w:r w:rsidR="00DA1FB4">
        <w:t>whether the respondent</w:t>
      </w:r>
      <w:r w:rsidR="000C3E86">
        <w:t xml:space="preserve"> felt</w:t>
      </w:r>
      <w:r w:rsidR="000C3E86" w:rsidRPr="00844E6C">
        <w:t xml:space="preserve"> appreciated at work by others (</w:t>
      </w:r>
      <w:r w:rsidR="000C3E86">
        <w:t>often, sometimes, rarely/never),</w:t>
      </w:r>
      <w:r w:rsidR="000C3E86" w:rsidRPr="00844E6C">
        <w:t xml:space="preserve"> ha</w:t>
      </w:r>
      <w:r w:rsidR="000C3E86">
        <w:t>d a work colleague who wa</w:t>
      </w:r>
      <w:r w:rsidR="000C3E86" w:rsidRPr="00844E6C">
        <w:t>s very difficult to get on with</w:t>
      </w:r>
      <w:r w:rsidR="000C3E86">
        <w:t xml:space="preserve"> (yes vs. no), had been</w:t>
      </w:r>
      <w:r w:rsidR="000C3E86" w:rsidRPr="00844E6C">
        <w:t xml:space="preserve"> criticised unfairly at work (</w:t>
      </w:r>
      <w:r w:rsidR="000C3E86">
        <w:t>often, sometimes, rarely/never), or</w:t>
      </w:r>
      <w:r w:rsidR="000C3E86" w:rsidRPr="00844E6C">
        <w:t xml:space="preserve"> fe</w:t>
      </w:r>
      <w:r w:rsidR="000C3E86">
        <w:t>lt</w:t>
      </w:r>
      <w:r w:rsidR="000C3E86" w:rsidRPr="00844E6C">
        <w:t xml:space="preserve"> insecur</w:t>
      </w:r>
      <w:r w:rsidR="000C3E86">
        <w:t>e</w:t>
      </w:r>
      <w:r w:rsidR="000C3E86" w:rsidRPr="00844E6C">
        <w:t xml:space="preserve"> </w:t>
      </w:r>
      <w:r w:rsidR="000C3E86">
        <w:t xml:space="preserve">in </w:t>
      </w:r>
      <w:r w:rsidR="000C3E86" w:rsidRPr="00844E6C">
        <w:t xml:space="preserve">employment, </w:t>
      </w:r>
      <w:r w:rsidR="000C3E86">
        <w:t>overall and</w:t>
      </w:r>
      <w:r w:rsidR="000C3E86" w:rsidRPr="00844E6C">
        <w:t xml:space="preserve"> in the event of illness (very secure/secure vs. rather insecure/very insecure).</w:t>
      </w:r>
      <w:r w:rsidR="000C3E86">
        <w:t xml:space="preserve"> </w:t>
      </w:r>
      <w:r w:rsidR="006B672B">
        <w:t xml:space="preserve">Before any associations with other variables were explored, </w:t>
      </w:r>
      <w:r>
        <w:t xml:space="preserve">answers to </w:t>
      </w:r>
      <w:r w:rsidR="006B672B">
        <w:t>t</w:t>
      </w:r>
      <w:r w:rsidR="000C3E86">
        <w:t xml:space="preserve">hese </w:t>
      </w:r>
      <w:r>
        <w:t>questions</w:t>
      </w:r>
      <w:r w:rsidR="000C3E86">
        <w:t xml:space="preserve"> were reclassified to create a </w:t>
      </w:r>
      <w:r>
        <w:t>set</w:t>
      </w:r>
      <w:r w:rsidR="000C3E86">
        <w:t xml:space="preserve"> of binary variables.</w:t>
      </w:r>
    </w:p>
    <w:p w:rsidR="000C3E86" w:rsidRDefault="000C3E86" w:rsidP="000E5AB2">
      <w:pPr>
        <w:spacing w:line="360" w:lineRule="auto"/>
        <w:jc w:val="both"/>
      </w:pPr>
    </w:p>
    <w:p w:rsidR="00DA1FB4" w:rsidRDefault="00DA1FB4" w:rsidP="000E5AB2">
      <w:pPr>
        <w:spacing w:line="360" w:lineRule="auto"/>
        <w:jc w:val="both"/>
      </w:pPr>
      <w:r>
        <w:t xml:space="preserve">Finally, three self-reported measures of health </w:t>
      </w:r>
      <w:r w:rsidR="00582D3D">
        <w:t>were assessed</w:t>
      </w:r>
      <w:r>
        <w:t>: self-rated health (SRH),</w:t>
      </w:r>
      <w:r w:rsidRPr="0096124C">
        <w:t xml:space="preserve"> </w:t>
      </w:r>
      <w:r w:rsidR="007B6B1F">
        <w:t>determin</w:t>
      </w:r>
      <w:r>
        <w:t xml:space="preserve">ed with a single question </w:t>
      </w:r>
      <w:r w:rsidR="00582D3D">
        <w:t>[</w:t>
      </w:r>
      <w:r w:rsidR="00A9036D">
        <w:t>20</w:t>
      </w:r>
      <w:r w:rsidR="00582D3D">
        <w:t>]</w:t>
      </w:r>
      <w:r>
        <w:t xml:space="preserve"> and dichotomised </w:t>
      </w:r>
      <w:r w:rsidR="00582D3D">
        <w:t xml:space="preserve">(as fair/poor vs. at least good); </w:t>
      </w:r>
      <w:r w:rsidR="00AC10B0">
        <w:t>depressive symptoms</w:t>
      </w:r>
      <w:r w:rsidR="00582D3D">
        <w:t xml:space="preserve">, </w:t>
      </w:r>
      <w:r>
        <w:t xml:space="preserve">assessed by the Centre for Epidemiologic Studies Depression scale (CES-D) with participants scoring ≥16 considered ‘depressed’ </w:t>
      </w:r>
      <w:r w:rsidR="00582D3D">
        <w:t>[</w:t>
      </w:r>
      <w:r w:rsidR="00A9036D">
        <w:t>21</w:t>
      </w:r>
      <w:r w:rsidR="00582D3D">
        <w:t>]</w:t>
      </w:r>
      <w:r>
        <w:t>; and well-being (measured using the Warwick-Edinburg</w:t>
      </w:r>
      <w:r w:rsidR="008B38D1">
        <w:t>h</w:t>
      </w:r>
      <w:r>
        <w:t xml:space="preserve"> Mental Well-being Scale (WEMWBS), with participants in the lowest quintile of scores classified as</w:t>
      </w:r>
      <w:r w:rsidR="00A9036D">
        <w:t xml:space="preserve"> having ‘poor’ well-being</w:t>
      </w:r>
      <w:r w:rsidR="00880056">
        <w:t xml:space="preserve"> (score &lt;32)</w:t>
      </w:r>
      <w:r w:rsidR="00A9036D">
        <w:t xml:space="preserve"> [22</w:t>
      </w:r>
      <w:r w:rsidR="00582D3D">
        <w:t>]</w:t>
      </w:r>
      <w:r>
        <w:t xml:space="preserve">.  </w:t>
      </w:r>
    </w:p>
    <w:p w:rsidR="00DA1FB4" w:rsidRDefault="00DA1FB4" w:rsidP="000E5AB2">
      <w:pPr>
        <w:spacing w:line="360" w:lineRule="auto"/>
        <w:jc w:val="both"/>
      </w:pPr>
    </w:p>
    <w:p w:rsidR="00582D3D" w:rsidRDefault="00DA1FB4" w:rsidP="000E5AB2">
      <w:pPr>
        <w:spacing w:line="360" w:lineRule="auto"/>
        <w:jc w:val="both"/>
      </w:pPr>
      <w:r w:rsidRPr="00582D3D">
        <w:t xml:space="preserve">Analysis was restricted to respondents in paid work </w:t>
      </w:r>
      <w:proofErr w:type="gramStart"/>
      <w:r w:rsidRPr="00582D3D">
        <w:t>who</w:t>
      </w:r>
      <w:proofErr w:type="gramEnd"/>
      <w:r w:rsidRPr="00582D3D">
        <w:t xml:space="preserve"> completed the question on overall job satisfaction.</w:t>
      </w:r>
      <w:r w:rsidR="00582D3D">
        <w:t xml:space="preserve"> In evaluating</w:t>
      </w:r>
      <w:r w:rsidR="00582D3D" w:rsidRPr="00582D3D">
        <w:t xml:space="preserve"> </w:t>
      </w:r>
      <w:r w:rsidR="00582D3D">
        <w:t xml:space="preserve">the </w:t>
      </w:r>
      <w:r w:rsidR="00582D3D" w:rsidRPr="00582D3D">
        <w:t>epidemiology of job dissatisfaction at older ages</w:t>
      </w:r>
      <w:r w:rsidR="00582D3D">
        <w:t xml:space="preserve">, its </w:t>
      </w:r>
      <w:r w:rsidR="00F75E0F">
        <w:t>associations</w:t>
      </w:r>
      <w:r w:rsidR="00582D3D">
        <w:t xml:space="preserve"> with demographic factors and employment conditions were estimated using logistic regression, with results expressed </w:t>
      </w:r>
      <w:r w:rsidR="00582D3D" w:rsidRPr="00DC125F">
        <w:t xml:space="preserve">as </w:t>
      </w:r>
      <w:r w:rsidR="006B672B">
        <w:t>odds r</w:t>
      </w:r>
      <w:r w:rsidR="006B672B" w:rsidRPr="000F40CE">
        <w:t>atios</w:t>
      </w:r>
      <w:r w:rsidR="006B672B">
        <w:t xml:space="preserve"> </w:t>
      </w:r>
      <w:r w:rsidR="00582D3D">
        <w:t>(</w:t>
      </w:r>
      <w:r w:rsidR="00582D3D" w:rsidRPr="00DC125F">
        <w:t>ORs</w:t>
      </w:r>
      <w:r w:rsidR="00582D3D">
        <w:t>)</w:t>
      </w:r>
      <w:r w:rsidR="00582D3D" w:rsidRPr="00DC125F">
        <w:t xml:space="preserve"> with 95% </w:t>
      </w:r>
      <w:r w:rsidR="006B672B">
        <w:t>c</w:t>
      </w:r>
      <w:r w:rsidR="006B672B" w:rsidRPr="00DC125F">
        <w:t xml:space="preserve">onfidence </w:t>
      </w:r>
      <w:r w:rsidR="006B672B">
        <w:t>i</w:t>
      </w:r>
      <w:r w:rsidR="006B672B" w:rsidRPr="00DC125F">
        <w:t xml:space="preserve">ntervals </w:t>
      </w:r>
      <w:r w:rsidR="00582D3D" w:rsidRPr="00DC125F">
        <w:t>(9</w:t>
      </w:r>
      <w:r w:rsidR="00582D3D">
        <w:t xml:space="preserve">5%CI). Risk estimates were initially adjusted for age and sex, and then </w:t>
      </w:r>
      <w:r w:rsidR="006B672B">
        <w:t xml:space="preserve">derived </w:t>
      </w:r>
      <w:r w:rsidR="00582D3D">
        <w:t>from m</w:t>
      </w:r>
      <w:r w:rsidR="007B6B1F">
        <w:t>utually adjusted models.</w:t>
      </w:r>
    </w:p>
    <w:p w:rsidR="00582D3D" w:rsidRDefault="00582D3D" w:rsidP="000E5AB2">
      <w:pPr>
        <w:spacing w:line="360" w:lineRule="auto"/>
        <w:jc w:val="both"/>
      </w:pPr>
    </w:p>
    <w:p w:rsidR="007B6B1F" w:rsidRDefault="007B6B1F" w:rsidP="00B01EE1">
      <w:pPr>
        <w:spacing w:line="360" w:lineRule="auto"/>
        <w:jc w:val="both"/>
      </w:pPr>
      <w:r>
        <w:t>In exploring</w:t>
      </w:r>
      <w:r w:rsidRPr="00582D3D">
        <w:t xml:space="preserve"> </w:t>
      </w:r>
      <w:r>
        <w:t>negative perceptions of work that might drive</w:t>
      </w:r>
      <w:r w:rsidRPr="00582D3D">
        <w:t xml:space="preserve"> job dissatisfaction</w:t>
      </w:r>
      <w:r>
        <w:t>, we first summarised their p</w:t>
      </w:r>
      <w:r w:rsidRPr="000F40CE">
        <w:t xml:space="preserve">airwise associations by </w:t>
      </w:r>
      <w:r>
        <w:t xml:space="preserve">crude ORs, and then after combining those </w:t>
      </w:r>
      <w:r w:rsidR="00794100">
        <w:t>with high ORs and which appeared to measure closely related attributes (e.g. job insecurity in illness vs. job insecurity in health)</w:t>
      </w:r>
      <w:r>
        <w:t xml:space="preserve">, </w:t>
      </w:r>
      <w:r w:rsidR="00794100">
        <w:t xml:space="preserve">we </w:t>
      </w:r>
      <w:r>
        <w:t>analysed associations with overall</w:t>
      </w:r>
      <w:r w:rsidRPr="00462A97">
        <w:t xml:space="preserve"> </w:t>
      </w:r>
      <w:r>
        <w:t>job dissatisfaction (again the dependent variable).</w:t>
      </w:r>
      <w:r w:rsidRPr="00582D3D">
        <w:t xml:space="preserve"> </w:t>
      </w:r>
      <w:r>
        <w:t xml:space="preserve">As well as ORs, we computed the population </w:t>
      </w:r>
      <w:proofErr w:type="gramStart"/>
      <w:r>
        <w:t>attributable</w:t>
      </w:r>
      <w:proofErr w:type="gramEnd"/>
      <w:r>
        <w:t xml:space="preserve"> fractions (PAF) for each perception, indicating the proportion of cases (people dissatisfied with their job) that might be eliminated if no one experienced that perception (i.e. </w:t>
      </w:r>
      <w:r w:rsidRPr="00A67B4C">
        <w:t xml:space="preserve">if all people had the same risk </w:t>
      </w:r>
      <w:r>
        <w:t xml:space="preserve">of dissatisfaction </w:t>
      </w:r>
      <w:r w:rsidRPr="00A67B4C">
        <w:t>as in the reference category</w:t>
      </w:r>
      <w:r>
        <w:t>)</w:t>
      </w:r>
      <w:r w:rsidRPr="00A67B4C">
        <w:t>.</w:t>
      </w:r>
      <w:r>
        <w:t xml:space="preserve"> </w:t>
      </w:r>
      <w:r w:rsidR="00B01EE1">
        <w:t xml:space="preserve">We used the formula </w:t>
      </w:r>
      <w:r w:rsidR="00BF1E11" w:rsidRPr="00BF1E11">
        <w:lastRenderedPageBreak/>
        <w:t>PAF=p*(RR-1)/RR</w:t>
      </w:r>
      <w:r w:rsidR="00B01EE1">
        <w:t xml:space="preserve">, where p represented the proportion of cases exposed to that risk factor and RR the </w:t>
      </w:r>
      <w:r w:rsidR="00831D22">
        <w:t>odds ratio</w:t>
      </w:r>
      <w:r w:rsidR="00B01EE1">
        <w:t xml:space="preserve"> obtained through</w:t>
      </w:r>
      <w:r w:rsidR="006C6580">
        <w:t xml:space="preserve"> a</w:t>
      </w:r>
      <w:r w:rsidR="00B01EE1">
        <w:t xml:space="preserve"> </w:t>
      </w:r>
      <w:r w:rsidR="00BF3116">
        <w:t>logistic</w:t>
      </w:r>
      <w:r w:rsidR="00B01EE1">
        <w:t xml:space="preserve"> regression</w:t>
      </w:r>
      <w:r w:rsidR="006C6580">
        <w:t xml:space="preserve"> model adjusted for age and sex</w:t>
      </w:r>
      <w:r w:rsidR="00B01EE1">
        <w:t xml:space="preserve">. </w:t>
      </w:r>
      <w:r>
        <w:t>PAFs were derived for the population as a whole, and also within strata defined separately by sex, age band, level of educational attainment and employment status.</w:t>
      </w:r>
    </w:p>
    <w:p w:rsidR="00DA1FB4" w:rsidRDefault="00DA1FB4" w:rsidP="000E5AB2">
      <w:pPr>
        <w:spacing w:line="360" w:lineRule="auto"/>
        <w:jc w:val="both"/>
      </w:pPr>
    </w:p>
    <w:p w:rsidR="00582D3D" w:rsidRDefault="00582D3D" w:rsidP="000E5AB2">
      <w:pPr>
        <w:spacing w:line="360" w:lineRule="auto"/>
        <w:jc w:val="both"/>
      </w:pPr>
    </w:p>
    <w:p w:rsidR="00567F0D" w:rsidRDefault="00582D3D" w:rsidP="00365F9F">
      <w:pPr>
        <w:spacing w:line="360" w:lineRule="auto"/>
        <w:jc w:val="both"/>
      </w:pPr>
      <w:r>
        <w:t xml:space="preserve">Finally, with overall job dissatisfaction and </w:t>
      </w:r>
      <w:r w:rsidR="007B6B1F">
        <w:t xml:space="preserve">negative perceptions of work </w:t>
      </w:r>
      <w:r>
        <w:t xml:space="preserve">treated as </w:t>
      </w:r>
      <w:r w:rsidR="00987B63">
        <w:t xml:space="preserve">independent </w:t>
      </w:r>
      <w:r>
        <w:t xml:space="preserve">variables, we used logistic </w:t>
      </w:r>
      <w:r w:rsidR="005D562C">
        <w:t>regression</w:t>
      </w:r>
      <w:r>
        <w:t xml:space="preserve"> to </w:t>
      </w:r>
      <w:r w:rsidR="007B6B1F">
        <w:t>assess</w:t>
      </w:r>
      <w:r>
        <w:t xml:space="preserve"> </w:t>
      </w:r>
      <w:r w:rsidR="00F75E0F">
        <w:t>associations</w:t>
      </w:r>
      <w:r>
        <w:t xml:space="preserve"> with fair or poor SRH, </w:t>
      </w:r>
      <w:r w:rsidR="00AC10B0">
        <w:t>depressive symptoms</w:t>
      </w:r>
      <w:r>
        <w:t xml:space="preserve"> (CES-D score </w:t>
      </w:r>
      <w:r w:rsidRPr="00582D3D">
        <w:rPr>
          <w:u w:val="single"/>
        </w:rPr>
        <w:t>&gt;</w:t>
      </w:r>
      <w:r>
        <w:t xml:space="preserve">16) and poor well-being score (WEMWBS score </w:t>
      </w:r>
      <w:r w:rsidR="00365F9F">
        <w:t>lowest quintile</w:t>
      </w:r>
      <w:r>
        <w:t>).</w:t>
      </w:r>
      <w:r w:rsidR="00F75E0F">
        <w:t xml:space="preserve"> In this analysis ORs were adjusted for age, sex</w:t>
      </w:r>
      <w:r w:rsidR="005D562C">
        <w:t>,</w:t>
      </w:r>
      <w:r w:rsidR="00F75E0F">
        <w:t xml:space="preserve"> and educational attainment as a proxy for social class. </w:t>
      </w:r>
      <w:r w:rsidR="000E5AB2">
        <w:t>Statistical analyses were carried out with Stata (Version 14.0) software (</w:t>
      </w:r>
      <w:proofErr w:type="spellStart"/>
      <w:r w:rsidR="000E5AB2">
        <w:t>StataCorp</w:t>
      </w:r>
      <w:proofErr w:type="spellEnd"/>
      <w:r w:rsidR="000E5AB2">
        <w:t xml:space="preserve"> LP, College Station, Texas).  </w:t>
      </w:r>
      <w:r w:rsidR="00567F0D">
        <w:br w:type="page"/>
      </w:r>
    </w:p>
    <w:p w:rsidR="007B3646" w:rsidRPr="00F75E0F" w:rsidRDefault="00EC458C" w:rsidP="00F75E0F">
      <w:pPr>
        <w:spacing w:line="360" w:lineRule="auto"/>
        <w:rPr>
          <w:rFonts w:ascii="Arial Narrow" w:eastAsiaTheme="majorEastAsia" w:hAnsi="Arial Narrow" w:cstheme="majorBidi"/>
          <w:b/>
          <w:bCs/>
          <w:iCs/>
          <w:sz w:val="24"/>
        </w:rPr>
      </w:pPr>
      <w:r w:rsidRPr="00F75E0F">
        <w:rPr>
          <w:b/>
        </w:rPr>
        <w:lastRenderedPageBreak/>
        <w:t>Results</w:t>
      </w:r>
    </w:p>
    <w:p w:rsidR="006633BB" w:rsidRDefault="00571B12" w:rsidP="005E69AF">
      <w:pPr>
        <w:spacing w:line="360" w:lineRule="auto"/>
        <w:jc w:val="both"/>
      </w:pPr>
      <w:r>
        <w:t xml:space="preserve">From </w:t>
      </w:r>
      <w:r w:rsidR="00442103">
        <w:t>8134</w:t>
      </w:r>
      <w:r w:rsidR="00EC458C">
        <w:t xml:space="preserve"> responders to </w:t>
      </w:r>
      <w:r w:rsidR="00F4595C">
        <w:t xml:space="preserve">the </w:t>
      </w:r>
      <w:r w:rsidR="00EC458C">
        <w:t>baseline questionnaire</w:t>
      </w:r>
      <w:r>
        <w:t xml:space="preserve">, we excluded </w:t>
      </w:r>
      <w:r w:rsidR="00442103">
        <w:t>2625</w:t>
      </w:r>
      <w:r>
        <w:t xml:space="preserve"> who were not in paid </w:t>
      </w:r>
      <w:r w:rsidR="007B6B1F">
        <w:t>work</w:t>
      </w:r>
      <w:r>
        <w:t xml:space="preserve">, and a further </w:t>
      </w:r>
      <w:r w:rsidR="00442103">
        <w:t>72</w:t>
      </w:r>
      <w:r>
        <w:t xml:space="preserve"> </w:t>
      </w:r>
      <w:r w:rsidR="00683E01">
        <w:t xml:space="preserve">who did </w:t>
      </w:r>
      <w:r w:rsidR="00442103">
        <w:t>n</w:t>
      </w:r>
      <w:r w:rsidR="00683E01">
        <w:t>ot provide usable information</w:t>
      </w:r>
      <w:r w:rsidR="00EC458C">
        <w:t xml:space="preserve"> </w:t>
      </w:r>
      <w:r w:rsidR="00683E01">
        <w:t>about job satisfaction.</w:t>
      </w:r>
      <w:r w:rsidR="00EC458C">
        <w:t xml:space="preserve"> </w:t>
      </w:r>
      <w:r w:rsidR="00683E01">
        <w:t xml:space="preserve"> </w:t>
      </w:r>
      <w:r w:rsidR="00EC458C">
        <w:t xml:space="preserve">This left a total of </w:t>
      </w:r>
      <w:r w:rsidR="00442103">
        <w:t>2649</w:t>
      </w:r>
      <w:r w:rsidR="00EC458C">
        <w:t xml:space="preserve"> men and </w:t>
      </w:r>
      <w:r w:rsidR="00442103">
        <w:t>2788</w:t>
      </w:r>
      <w:r w:rsidR="00EC458C">
        <w:t xml:space="preserve"> women who were included in the analysis</w:t>
      </w:r>
      <w:r w:rsidR="007B6B1F">
        <w:t>.</w:t>
      </w:r>
      <w:r w:rsidR="007B6B1F" w:rsidRPr="007B6B1F">
        <w:t xml:space="preserve"> </w:t>
      </w:r>
      <w:r w:rsidR="007B6B1F">
        <w:t xml:space="preserve">Within this sample, the prevalence of job dissatisfaction overall was 6.7%, while that of negative perceptions of work that might contribute to job dissatisfaction ranged from 2.3% for often being criticised unfairly to 44.4% for job insecurity in illness. </w:t>
      </w:r>
      <w:r w:rsidR="00EC458C">
        <w:t xml:space="preserve">  </w:t>
      </w:r>
    </w:p>
    <w:p w:rsidR="006633BB" w:rsidRDefault="006633BB" w:rsidP="005E69AF">
      <w:pPr>
        <w:spacing w:line="360" w:lineRule="auto"/>
        <w:jc w:val="both"/>
      </w:pPr>
    </w:p>
    <w:p w:rsidR="00F75E0F" w:rsidRDefault="00F75E0F" w:rsidP="005E69AF">
      <w:pPr>
        <w:spacing w:line="360" w:lineRule="auto"/>
        <w:jc w:val="both"/>
      </w:pPr>
      <w:r>
        <w:t xml:space="preserve">Table 1 summarises the associations of overall job dissatisfaction with various demographic and personal risk factors.  After adjustment for other variables, overall dissatisfaction was less common in women than men </w:t>
      </w:r>
      <w:r w:rsidRPr="00CF1D39">
        <w:t>(OR 0.</w:t>
      </w:r>
      <w:r w:rsidR="00CF1D39" w:rsidRPr="00CF1D39">
        <w:t>76</w:t>
      </w:r>
      <w:r w:rsidRPr="00CF1D39">
        <w:t>, 95%CI 0.</w:t>
      </w:r>
      <w:r w:rsidR="00CF1D39" w:rsidRPr="00CF1D39">
        <w:t>61</w:t>
      </w:r>
      <w:r w:rsidRPr="00CF1D39">
        <w:t>-0.</w:t>
      </w:r>
      <w:r w:rsidR="00CF1D39" w:rsidRPr="00CF1D39">
        <w:t>94</w:t>
      </w:r>
      <w:r w:rsidRPr="00CF1D39">
        <w:t>), and at older ages (OR 0.</w:t>
      </w:r>
      <w:r w:rsidR="00CF1D39" w:rsidRPr="00CF1D39">
        <w:t>59</w:t>
      </w:r>
      <w:r w:rsidRPr="00CF1D39">
        <w:t>, 95%CI 0.4</w:t>
      </w:r>
      <w:r w:rsidR="00CF1D39" w:rsidRPr="00CF1D39">
        <w:t>4</w:t>
      </w:r>
      <w:r w:rsidRPr="00CF1D39">
        <w:t>-0.</w:t>
      </w:r>
      <w:r w:rsidR="00CF1D39" w:rsidRPr="00CF1D39">
        <w:t>79</w:t>
      </w:r>
      <w:r w:rsidRPr="00CF1D39">
        <w:t xml:space="preserve"> for age 60-64 years vs. 50-54).  There were also geographical differences, the highest rates of dissatisfaction being reported in London and the South East (OR vs. North East and North West 1.6</w:t>
      </w:r>
      <w:r w:rsidR="00CF1D39" w:rsidRPr="00CF1D39">
        <w:t>8</w:t>
      </w:r>
      <w:r w:rsidRPr="00CF1D39">
        <w:t>, 95%CI 1.0</w:t>
      </w:r>
      <w:r w:rsidR="00CF1D39" w:rsidRPr="00CF1D39">
        <w:t>8</w:t>
      </w:r>
      <w:r w:rsidRPr="00CF1D39">
        <w:t>-2.</w:t>
      </w:r>
      <w:r w:rsidR="00CF1D39" w:rsidRPr="00CF1D39">
        <w:t>59) and in the East (OR 1.42, 95%CI 1.01-2.00</w:t>
      </w:r>
      <w:r w:rsidRPr="00CF1D39">
        <w:t>).  In addition, there was a higher prevalence of job dissatisfaction in part</w:t>
      </w:r>
      <w:r w:rsidR="005E69AF" w:rsidRPr="00CF1D39">
        <w:t>icipants who were more educated</w:t>
      </w:r>
      <w:r w:rsidR="00365F9F">
        <w:t xml:space="preserve"> (ORs 1.25 to 1.31)</w:t>
      </w:r>
      <w:r w:rsidR="00CF1D39" w:rsidRPr="00CF1D39">
        <w:t>,</w:t>
      </w:r>
      <w:r w:rsidR="005E69AF" w:rsidRPr="00CF1D39">
        <w:t xml:space="preserve"> and</w:t>
      </w:r>
      <w:r w:rsidRPr="00CF1D39">
        <w:t xml:space="preserve"> </w:t>
      </w:r>
      <w:r w:rsidR="00CF1D39" w:rsidRPr="00CF1D39">
        <w:t xml:space="preserve">in </w:t>
      </w:r>
      <w:r w:rsidRPr="00CF1D39">
        <w:t>those who lived</w:t>
      </w:r>
      <w:r w:rsidR="005E69AF" w:rsidRPr="00CF1D39">
        <w:t xml:space="preserve"> alone (OR 1.6</w:t>
      </w:r>
      <w:r w:rsidR="00CF1D39" w:rsidRPr="00CF1D39">
        <w:t>3</w:t>
      </w:r>
      <w:r w:rsidR="005E69AF" w:rsidRPr="00CF1D39">
        <w:t>, 95% 1.28-2.0</w:t>
      </w:r>
      <w:r w:rsidR="00CF1D39" w:rsidRPr="00CF1D39">
        <w:t>8</w:t>
      </w:r>
      <w:r w:rsidR="005E69AF" w:rsidRPr="00CF1D39">
        <w:t>)</w:t>
      </w:r>
      <w:r w:rsidRPr="00CF1D39">
        <w:t>.</w:t>
      </w:r>
    </w:p>
    <w:p w:rsidR="00F75E0F" w:rsidRDefault="00F75E0F" w:rsidP="005E69AF">
      <w:pPr>
        <w:spacing w:line="360" w:lineRule="auto"/>
        <w:jc w:val="both"/>
      </w:pPr>
    </w:p>
    <w:p w:rsidR="00F75E0F" w:rsidRDefault="00F75E0F" w:rsidP="005E69AF">
      <w:pPr>
        <w:spacing w:line="360" w:lineRule="auto"/>
        <w:jc w:val="both"/>
      </w:pPr>
      <w:r>
        <w:t xml:space="preserve">Table 2 shows associations of overall job dissatisfaction with </w:t>
      </w:r>
      <w:r w:rsidR="007B6B1F">
        <w:t xml:space="preserve">various </w:t>
      </w:r>
      <w:r>
        <w:t>aspects of employment.  Dissatisfaction was most common among subjects working for large employers (OR 2.</w:t>
      </w:r>
      <w:r w:rsidR="00CF1D39">
        <w:t>25</w:t>
      </w:r>
      <w:r>
        <w:t>, 95%CI 1.3</w:t>
      </w:r>
      <w:r w:rsidR="00CF1D39">
        <w:t>2</w:t>
      </w:r>
      <w:r>
        <w:t>-3.</w:t>
      </w:r>
      <w:r w:rsidR="00CF1D39">
        <w:t>81</w:t>
      </w:r>
      <w:r>
        <w:t xml:space="preserve"> vs. self-employed), and was less frequent in those who worked for ≤20 hours per week</w:t>
      </w:r>
      <w:r w:rsidR="00CF1D39">
        <w:t xml:space="preserve"> or had a longer tenure</w:t>
      </w:r>
      <w:r w:rsidR="00CF1D39" w:rsidRPr="00CF1D39">
        <w:t xml:space="preserve"> </w:t>
      </w:r>
      <w:r w:rsidR="00CF1D39">
        <w:t xml:space="preserve">of current employment. </w:t>
      </w:r>
      <w:r>
        <w:t xml:space="preserve">There was also a weak </w:t>
      </w:r>
      <w:r w:rsidR="00CA60B4">
        <w:t xml:space="preserve">positive </w:t>
      </w:r>
      <w:r>
        <w:t>association with shift work (OR 1.37, 95%CI 1.0</w:t>
      </w:r>
      <w:r w:rsidR="00CF1D39">
        <w:t>4</w:t>
      </w:r>
      <w:r>
        <w:t>-1.8</w:t>
      </w:r>
      <w:r w:rsidR="00CF1D39">
        <w:t>2</w:t>
      </w:r>
      <w:r>
        <w:t>).</w:t>
      </w:r>
    </w:p>
    <w:p w:rsidR="00F75E0F" w:rsidRDefault="00F75E0F" w:rsidP="005E69AF">
      <w:pPr>
        <w:spacing w:line="360" w:lineRule="auto"/>
        <w:jc w:val="both"/>
      </w:pPr>
    </w:p>
    <w:p w:rsidR="00EB2DCE" w:rsidRDefault="00EC458C" w:rsidP="005E69AF">
      <w:pPr>
        <w:spacing w:line="360" w:lineRule="auto"/>
        <w:jc w:val="both"/>
      </w:pPr>
      <w:r>
        <w:t xml:space="preserve">All of the </w:t>
      </w:r>
      <w:r w:rsidR="007B6B1F">
        <w:t>negative perceptions</w:t>
      </w:r>
      <w:r w:rsidR="006633BB">
        <w:t xml:space="preserve"> </w:t>
      </w:r>
      <w:r w:rsidR="003C20D6">
        <w:t>were mutually associated (</w:t>
      </w:r>
      <w:r w:rsidR="00EE0306">
        <w:t xml:space="preserve">online Supplementary </w:t>
      </w:r>
      <w:r w:rsidR="003C20D6">
        <w:t xml:space="preserve">Table </w:t>
      </w:r>
      <w:r w:rsidR="00EE0306">
        <w:t>1</w:t>
      </w:r>
      <w:r w:rsidR="003C20D6">
        <w:t xml:space="preserve">), </w:t>
      </w:r>
      <w:r w:rsidR="005E69AF">
        <w:t>ORs</w:t>
      </w:r>
      <w:r w:rsidR="003C20D6">
        <w:t xml:space="preserve"> for pairwise associations being particularly high for</w:t>
      </w:r>
      <w:r w:rsidR="006633BB">
        <w:t>:</w:t>
      </w:r>
      <w:r w:rsidR="003C20D6">
        <w:t xml:space="preserve"> rarely/never having a feeling of achievement and rarely/never feeling appreciated (15.9)</w:t>
      </w:r>
      <w:r w:rsidR="006633BB">
        <w:t>;</w:t>
      </w:r>
      <w:r w:rsidR="003C20D6">
        <w:t xml:space="preserve"> having difficult colleague(s) and often being criticised unfairly (9.8)</w:t>
      </w:r>
      <w:r w:rsidR="006633BB">
        <w:t>;</w:t>
      </w:r>
      <w:r w:rsidR="003C20D6">
        <w:t xml:space="preserve"> and perceived job insecurity in illness and when well (8.4).  </w:t>
      </w:r>
      <w:r w:rsidR="00A66180">
        <w:t xml:space="preserve">It seemed likely that in these cases, the two perceptions reflected </w:t>
      </w:r>
      <w:r w:rsidR="007B6B1F">
        <w:t xml:space="preserve">the same </w:t>
      </w:r>
      <w:r w:rsidR="00A66180">
        <w:t xml:space="preserve">problem.  </w:t>
      </w:r>
      <w:r w:rsidR="00EB2DCE">
        <w:t>Therefore, i</w:t>
      </w:r>
      <w:r w:rsidR="00CA4A82">
        <w:t>n</w:t>
      </w:r>
      <w:r w:rsidR="003C20D6">
        <w:t xml:space="preserve"> subsequent analyses, </w:t>
      </w:r>
      <w:r w:rsidR="008362C7">
        <w:t>new</w:t>
      </w:r>
      <w:r w:rsidR="003C20D6">
        <w:t xml:space="preserve"> variables </w:t>
      </w:r>
      <w:r w:rsidR="008362C7">
        <w:t xml:space="preserve">were created, </w:t>
      </w:r>
      <w:r w:rsidR="003C20D6">
        <w:t>defined by the presence of either or both</w:t>
      </w:r>
      <w:r w:rsidR="00CA4A82">
        <w:t xml:space="preserve"> </w:t>
      </w:r>
      <w:r w:rsidR="00425832">
        <w:t xml:space="preserve">perceptions </w:t>
      </w:r>
      <w:r w:rsidR="00AD5048">
        <w:t xml:space="preserve">(e.g. either </w:t>
      </w:r>
      <w:r w:rsidR="00AC10B0">
        <w:t>rarely/never having a feeling of achievement or rarely/never feeling appreciated or both).</w:t>
      </w:r>
    </w:p>
    <w:p w:rsidR="00EB2DCE" w:rsidRDefault="00EB2DCE" w:rsidP="005E69AF">
      <w:pPr>
        <w:spacing w:line="360" w:lineRule="auto"/>
        <w:jc w:val="both"/>
      </w:pPr>
    </w:p>
    <w:p w:rsidR="00BE4278" w:rsidRDefault="00EB2DCE" w:rsidP="005E69AF">
      <w:pPr>
        <w:spacing w:line="360" w:lineRule="auto"/>
        <w:jc w:val="both"/>
      </w:pPr>
      <w:r>
        <w:t xml:space="preserve">Table </w:t>
      </w:r>
      <w:r w:rsidR="00EE0306">
        <w:t>3</w:t>
      </w:r>
      <w:r>
        <w:t xml:space="preserve"> shows how overall job dissatisfaction related to different </w:t>
      </w:r>
      <w:r w:rsidR="007B6B1F">
        <w:t>negative perceptions of work</w:t>
      </w:r>
      <w:r>
        <w:t>.  The strongest association was with rarely/never feeling appreciated or a sense of achievement</w:t>
      </w:r>
      <w:r w:rsidR="00CA4A82">
        <w:t xml:space="preserve"> </w:t>
      </w:r>
      <w:r w:rsidR="00085A58">
        <w:t>(OR 12.9, 95%CI 10.2-16.2</w:t>
      </w:r>
      <w:r>
        <w:t>), and although only 13.7% of subjects made this complaint</w:t>
      </w:r>
      <w:r w:rsidR="00BE4278">
        <w:t>, the PAF was 53.</w:t>
      </w:r>
      <w:r w:rsidR="00085A58">
        <w:t>6</w:t>
      </w:r>
      <w:r w:rsidR="00BE4278">
        <w:t>% (95%CI 47.</w:t>
      </w:r>
      <w:r w:rsidR="00085A58">
        <w:t>9</w:t>
      </w:r>
      <w:r w:rsidR="00BE4278">
        <w:t>% to 5</w:t>
      </w:r>
      <w:r w:rsidR="00085A58">
        <w:t>8</w:t>
      </w:r>
      <w:r w:rsidR="00BE4278">
        <w:t>.</w:t>
      </w:r>
      <w:r w:rsidR="00085A58">
        <w:t>7</w:t>
      </w:r>
      <w:r w:rsidR="00BE4278">
        <w:t>%).  An even higher PAF (56.</w:t>
      </w:r>
      <w:r w:rsidR="00085A58">
        <w:t>1</w:t>
      </w:r>
      <w:r w:rsidR="00BE4278">
        <w:t xml:space="preserve">%) was </w:t>
      </w:r>
      <w:r w:rsidR="00BE4278">
        <w:lastRenderedPageBreak/>
        <w:t>estimated for job insecurity, which was less strongly associated with overall dissat</w:t>
      </w:r>
      <w:r w:rsidR="00085A58">
        <w:t>isfaction (OR 4.0, 95%CI 3.1-5.1</w:t>
      </w:r>
      <w:r w:rsidR="00BE4278">
        <w:t>), but more prevalent (47.8% of subjects).  Least important were lack</w:t>
      </w:r>
      <w:r w:rsidR="00085A58">
        <w:t xml:space="preserve"> of choice in activities (OR 2.7</w:t>
      </w:r>
      <w:r w:rsidR="00BE4278">
        <w:t>, PAF 22.</w:t>
      </w:r>
      <w:r w:rsidR="00085A58">
        <w:t>4</w:t>
      </w:r>
      <w:r w:rsidR="00BE4278">
        <w:t xml:space="preserve">%) and lack of support when in difficulty </w:t>
      </w:r>
      <w:r w:rsidR="00080C52">
        <w:t xml:space="preserve">at work </w:t>
      </w:r>
      <w:r w:rsidR="00085A58">
        <w:t>(OR 3.8</w:t>
      </w:r>
      <w:r w:rsidR="00BE4278">
        <w:t>, PAF 23.</w:t>
      </w:r>
      <w:r w:rsidR="00085A58">
        <w:t>2</w:t>
      </w:r>
      <w:r w:rsidR="00BE4278">
        <w:t>%).</w:t>
      </w:r>
    </w:p>
    <w:p w:rsidR="00BE4278" w:rsidRDefault="00BE4278" w:rsidP="005E69AF">
      <w:pPr>
        <w:spacing w:line="360" w:lineRule="auto"/>
        <w:jc w:val="both"/>
      </w:pPr>
    </w:p>
    <w:p w:rsidR="0001467C" w:rsidRDefault="007B6B1F" w:rsidP="005E69AF">
      <w:pPr>
        <w:spacing w:line="360" w:lineRule="auto"/>
        <w:jc w:val="both"/>
      </w:pPr>
      <w:r>
        <w:t xml:space="preserve">Table 4 compares the </w:t>
      </w:r>
      <w:r w:rsidR="006C6580">
        <w:t xml:space="preserve">possible </w:t>
      </w:r>
      <w:r>
        <w:t xml:space="preserve">contributions of different negative perceptions of work to overall job dissatisfaction in various subgroups of the study sample.  </w:t>
      </w:r>
      <w:r w:rsidR="00BE4278">
        <w:t xml:space="preserve">There were no major differences between men and women, but at older ages, concerns about working hours seemed to be less of a problem than in younger participants (PAF </w:t>
      </w:r>
      <w:r w:rsidR="0001467C">
        <w:t xml:space="preserve">24.6% at age 60-64 years vs. 40.8% at 50-54).  In comparison with those whose education had not progressed beyond school, overall dissatisfaction among participants with a university degree or higher professional qualification </w:t>
      </w:r>
      <w:r w:rsidR="006C6580">
        <w:t xml:space="preserve">appeared </w:t>
      </w:r>
      <w:r w:rsidR="0001467C">
        <w:t>less likely to be driven by concerns about pay, lack of appreciation or a feeling of achievement, or lack of choice in occupational activities.</w:t>
      </w:r>
      <w:r w:rsidR="005E69AF">
        <w:t xml:space="preserve"> </w:t>
      </w:r>
      <w:r w:rsidR="00774701">
        <w:t xml:space="preserve">Dissatisfaction among the self-employed </w:t>
      </w:r>
      <w:r w:rsidR="006C6580">
        <w:t xml:space="preserve">appeared to be </w:t>
      </w:r>
      <w:r w:rsidR="00774701">
        <w:t>driven mainly by concerns about working hours and pay.</w:t>
      </w:r>
    </w:p>
    <w:p w:rsidR="00774701" w:rsidRDefault="00774701" w:rsidP="005E69AF">
      <w:pPr>
        <w:spacing w:line="360" w:lineRule="auto"/>
        <w:jc w:val="both"/>
      </w:pPr>
    </w:p>
    <w:p w:rsidR="00F75E0F" w:rsidRDefault="00774701" w:rsidP="005E69AF">
      <w:pPr>
        <w:spacing w:line="360" w:lineRule="auto"/>
        <w:jc w:val="both"/>
      </w:pPr>
      <w:r>
        <w:t xml:space="preserve">Table </w:t>
      </w:r>
      <w:r w:rsidR="00EE0306">
        <w:t>5</w:t>
      </w:r>
      <w:r>
        <w:t xml:space="preserve"> </w:t>
      </w:r>
      <w:r w:rsidR="007B6B1F">
        <w:t xml:space="preserve">summarises the relationship of overall job dissatisfaction and contributing negative perceptions to three health outcomes </w:t>
      </w:r>
      <w:r>
        <w:t xml:space="preserve">– fair/poor self-rated health, depression (CES-D score ≥16) and </w:t>
      </w:r>
      <w:r w:rsidR="00DB5693">
        <w:t>poor well-being (</w:t>
      </w:r>
      <w:r w:rsidR="00473F02">
        <w:t xml:space="preserve">lowest quintile of </w:t>
      </w:r>
      <w:r w:rsidR="00DB5693">
        <w:t xml:space="preserve">WEMWBS score).  Overall job dissatisfaction was associated with each of the health outcomes, the ORs </w:t>
      </w:r>
      <w:r w:rsidR="00DB5693" w:rsidRPr="00CF1D39">
        <w:t>(3.</w:t>
      </w:r>
      <w:r w:rsidR="00CF1D39" w:rsidRPr="00CF1D39">
        <w:t>16</w:t>
      </w:r>
      <w:r w:rsidR="00DB5693" w:rsidRPr="00CF1D39">
        <w:t xml:space="preserve">. </w:t>
      </w:r>
      <w:r w:rsidR="00CF1D39" w:rsidRPr="00CF1D39">
        <w:t>5.26</w:t>
      </w:r>
      <w:r w:rsidR="00DB5693" w:rsidRPr="00CF1D39">
        <w:t xml:space="preserve"> and 5.</w:t>
      </w:r>
      <w:r w:rsidR="00CF1D39" w:rsidRPr="00CF1D39">
        <w:t>52</w:t>
      </w:r>
      <w:r w:rsidR="00DB5693" w:rsidRPr="00CF1D39">
        <w:t xml:space="preserve"> respectively) being higher than for any of the individual </w:t>
      </w:r>
      <w:r w:rsidR="007B6B1F">
        <w:t>perceptions</w:t>
      </w:r>
      <w:r w:rsidR="00DB5693" w:rsidRPr="00CF1D39">
        <w:t xml:space="preserve">.  Among </w:t>
      </w:r>
      <w:r w:rsidR="007B6B1F">
        <w:t>the perceptions</w:t>
      </w:r>
      <w:r w:rsidR="00DB5693" w:rsidRPr="00CF1D39">
        <w:t>, lack of support at work appeared to have little effect (ORs 0.9</w:t>
      </w:r>
      <w:r w:rsidR="00CF1D39" w:rsidRPr="00CF1D39">
        <w:t>4</w:t>
      </w:r>
      <w:r w:rsidR="00DB5693" w:rsidRPr="00CF1D39">
        <w:t xml:space="preserve"> to 1.</w:t>
      </w:r>
      <w:r w:rsidR="00CF1D39" w:rsidRPr="00CF1D39">
        <w:t>22</w:t>
      </w:r>
      <w:r w:rsidR="00DB5693" w:rsidRPr="00CF1D39">
        <w:t>),</w:t>
      </w:r>
      <w:r w:rsidR="00DB5693">
        <w:t xml:space="preserve"> whereas </w:t>
      </w:r>
      <w:r w:rsidR="00080C52">
        <w:t>the</w:t>
      </w:r>
      <w:r w:rsidR="00DB5693">
        <w:t xml:space="preserve"> three </w:t>
      </w:r>
      <w:r w:rsidR="00080C52">
        <w:t xml:space="preserve">health </w:t>
      </w:r>
      <w:r w:rsidR="00DB5693">
        <w:t xml:space="preserve">outcomes were </w:t>
      </w:r>
      <w:r w:rsidR="00080C52">
        <w:t xml:space="preserve">each </w:t>
      </w:r>
      <w:r w:rsidR="00DB5693">
        <w:t>significantly associated with difficulty with colleagues/feeling unfairly criticised, and job insecurity</w:t>
      </w:r>
      <w:r w:rsidR="00407B1B">
        <w:t>,</w:t>
      </w:r>
      <w:r w:rsidR="006D46BF">
        <w:t xml:space="preserve"> while all but well-being were significantly associated with dissatisfaction about pay</w:t>
      </w:r>
      <w:r w:rsidR="00DB5693">
        <w:t xml:space="preserve">.  </w:t>
      </w:r>
      <w:r w:rsidR="006633BB">
        <w:t xml:space="preserve">Not feeling appreciated or a sense of achievement was </w:t>
      </w:r>
      <w:r w:rsidR="006633BB" w:rsidRPr="00CF1D39">
        <w:t>also associated with all three measures of health, and particularly with poor well-being (OR 3.</w:t>
      </w:r>
      <w:r w:rsidR="00CF1D39" w:rsidRPr="00CF1D39">
        <w:t>1</w:t>
      </w:r>
      <w:r w:rsidR="006633BB" w:rsidRPr="00CF1D39">
        <w:t>8, 95%CI 2.</w:t>
      </w:r>
      <w:r w:rsidR="00CF1D39" w:rsidRPr="00CF1D39">
        <w:t>25</w:t>
      </w:r>
      <w:r w:rsidR="006633BB" w:rsidRPr="00CF1D39">
        <w:t>- 4.</w:t>
      </w:r>
      <w:r w:rsidR="00CF1D39" w:rsidRPr="00CF1D39">
        <w:t>49</w:t>
      </w:r>
      <w:r w:rsidR="006633BB" w:rsidRPr="00CF1D39">
        <w:t>).</w:t>
      </w:r>
      <w:r w:rsidR="006633BB">
        <w:t xml:space="preserve">  Dissatisfaction with working hours related to depression and poor well-being but not to self-rated health, whereas lack of choice in</w:t>
      </w:r>
      <w:r w:rsidR="00DB5693">
        <w:t xml:space="preserve"> </w:t>
      </w:r>
      <w:r w:rsidR="006633BB">
        <w:t>occupational activities showed no relationship to poor well-being but was weakly associated with fair/poor self-rated health and depression.</w:t>
      </w:r>
    </w:p>
    <w:p w:rsidR="00F75E0F" w:rsidRDefault="00F75E0F" w:rsidP="00F75E0F">
      <w:pPr>
        <w:spacing w:line="360" w:lineRule="auto"/>
      </w:pPr>
    </w:p>
    <w:p w:rsidR="00F75E0F" w:rsidRDefault="00F75E0F">
      <w:pPr>
        <w:spacing w:after="200"/>
      </w:pPr>
      <w:r>
        <w:br w:type="page"/>
      </w:r>
    </w:p>
    <w:p w:rsidR="00E72530" w:rsidRPr="00F75E0F" w:rsidRDefault="00E72530" w:rsidP="00E72530">
      <w:pPr>
        <w:spacing w:line="360" w:lineRule="auto"/>
        <w:rPr>
          <w:b/>
        </w:rPr>
      </w:pPr>
      <w:r w:rsidRPr="00F75E0F">
        <w:rPr>
          <w:b/>
        </w:rPr>
        <w:lastRenderedPageBreak/>
        <w:t>Discussion</w:t>
      </w:r>
    </w:p>
    <w:p w:rsidR="00E72530" w:rsidRPr="009D3C68" w:rsidRDefault="00E72530" w:rsidP="00E72530">
      <w:pPr>
        <w:spacing w:line="360" w:lineRule="auto"/>
        <w:jc w:val="both"/>
      </w:pPr>
      <w:r w:rsidRPr="009D3C68">
        <w:t xml:space="preserve">Within our study sample, the main </w:t>
      </w:r>
      <w:r w:rsidR="007B6B1F">
        <w:t>perceptions of work driving</w:t>
      </w:r>
      <w:r w:rsidRPr="009D3C68">
        <w:t xml:space="preserve"> job dissatisfaction among employees were lack of appreciation and/or a feeling of achievement, and difficulty with colleagues at work and/or feeling unfairly criticised, whereas in the self-employed they were job insecurity and dissatisfaction with pay.  Overall job dissatisfaction was more common in men than women, below age 60 years, in London and the South East, and in those working for large employers. It was also associated with longer education and living alone.  Most </w:t>
      </w:r>
      <w:r w:rsidR="00473F02">
        <w:t xml:space="preserve">potential </w:t>
      </w:r>
      <w:r w:rsidRPr="009D3C68">
        <w:t>drivers of job dissatisfaction contributed to overall associations with worse self-rated health, depression and poor well-being, but lack of support and choice in work had relatively little impact.</w:t>
      </w:r>
    </w:p>
    <w:p w:rsidR="00E72530" w:rsidRPr="009D3C68" w:rsidRDefault="00E72530" w:rsidP="00E72530">
      <w:pPr>
        <w:spacing w:line="360" w:lineRule="auto"/>
        <w:rPr>
          <w:i/>
        </w:rPr>
      </w:pPr>
    </w:p>
    <w:p w:rsidR="00E72530" w:rsidRDefault="00E72530" w:rsidP="00E72530">
      <w:pPr>
        <w:spacing w:line="360" w:lineRule="auto"/>
        <w:jc w:val="both"/>
      </w:pPr>
      <w:r>
        <w:t>Potential strengths and limitations have to be considered when interpreting these findings.  A notable strength was the large, geographically dispersed, population-based sampling strategy.  Almost everyone in Britain registers with a general practice for healthcare free at the point of delivery, so the patient lists of general practices provide a comprehensive and representative sampling frame. The response rate</w:t>
      </w:r>
      <w:r w:rsidR="005C0D8A">
        <w:t xml:space="preserve"> at baseline was relatively low</w:t>
      </w:r>
      <w:r>
        <w:t xml:space="preserve"> and responders tended to be somewhat older, more affluent, and more often female than non-responders</w:t>
      </w:r>
      <w:r w:rsidR="005C0D8A">
        <w:t>,</w:t>
      </w:r>
      <w:r w:rsidR="005C0D8A" w:rsidRPr="005C0D8A">
        <w:t xml:space="preserve"> </w:t>
      </w:r>
      <w:r w:rsidR="005C0D8A">
        <w:t>although</w:t>
      </w:r>
      <w:r w:rsidR="005C0D8A" w:rsidRPr="005C0D8A">
        <w:t xml:space="preserve"> the</w:t>
      </w:r>
      <w:r w:rsidR="005C0D8A">
        <w:t xml:space="preserve"> </w:t>
      </w:r>
      <w:r w:rsidR="005C0D8A" w:rsidRPr="005C0D8A">
        <w:t>sample</w:t>
      </w:r>
      <w:r w:rsidR="005C0D8A">
        <w:t>’s profile approximated</w:t>
      </w:r>
      <w:r w:rsidR="005C0D8A" w:rsidRPr="005C0D8A">
        <w:t xml:space="preserve"> reasonably </w:t>
      </w:r>
      <w:r w:rsidR="005C0D8A">
        <w:t>to</w:t>
      </w:r>
      <w:r w:rsidR="005C0D8A" w:rsidRPr="005C0D8A">
        <w:t xml:space="preserve"> </w:t>
      </w:r>
      <w:r w:rsidR="005C0D8A">
        <w:t xml:space="preserve">national statistics for </w:t>
      </w:r>
      <w:r w:rsidR="000B1C8F">
        <w:t>this</w:t>
      </w:r>
      <w:r w:rsidR="00407B1B">
        <w:t xml:space="preserve"> </w:t>
      </w:r>
      <w:r w:rsidR="005C0D8A">
        <w:t xml:space="preserve">age band </w:t>
      </w:r>
      <w:r>
        <w:t xml:space="preserve">[18]. The prevalence of overall job dissatisfaction could have been under- or over-estimated if those dissatisfied with their work were less or more likely to participate. However, </w:t>
      </w:r>
      <w:r w:rsidRPr="0005662E">
        <w:t xml:space="preserve">associations </w:t>
      </w:r>
      <w:r>
        <w:t xml:space="preserve">of job dissatisfaction with the variables of interest (demographic and workplace factors, its occupational components, and the report’s health outcomes) </w:t>
      </w:r>
      <w:r w:rsidRPr="0005662E">
        <w:t xml:space="preserve">would only be biased if they differed </w:t>
      </w:r>
      <w:r>
        <w:t xml:space="preserve">importantly </w:t>
      </w:r>
      <w:r w:rsidRPr="0005662E">
        <w:t>between responders and non-responders</w:t>
      </w:r>
      <w:r>
        <w:t>.</w:t>
      </w:r>
      <w:r w:rsidRPr="0005662E">
        <w:t xml:space="preserve"> </w:t>
      </w:r>
      <w:r>
        <w:t>We have no reason to expect this</w:t>
      </w:r>
      <w:r w:rsidRPr="0005662E">
        <w:t>.</w:t>
      </w:r>
      <w:r>
        <w:t xml:space="preserve"> Moreover, questions on job dissatisfaction and its</w:t>
      </w:r>
      <w:r w:rsidR="00473F02">
        <w:t xml:space="preserve"> potential</w:t>
      </w:r>
      <w:r>
        <w:t xml:space="preserve"> drivers formed only a small part of a larger question set</w:t>
      </w:r>
      <w:r w:rsidR="00001FF2">
        <w:t xml:space="preserve"> (in all </w:t>
      </w:r>
      <w:r w:rsidR="00001FF2" w:rsidRPr="00001FF2">
        <w:t>91 questions and up to 154 responses</w:t>
      </w:r>
      <w:r w:rsidR="00001FF2">
        <w:t>)</w:t>
      </w:r>
      <w:r>
        <w:t xml:space="preserve">, and </w:t>
      </w:r>
      <w:r w:rsidR="00001FF2">
        <w:t>are unlikely therefore to have influenced</w:t>
      </w:r>
      <w:r w:rsidR="00343A6C">
        <w:t xml:space="preserve"> decisions to participate in the research</w:t>
      </w:r>
      <w:r>
        <w:t>.</w:t>
      </w:r>
    </w:p>
    <w:p w:rsidR="00E72530" w:rsidRDefault="00E72530" w:rsidP="00E72530">
      <w:pPr>
        <w:spacing w:line="360" w:lineRule="auto"/>
        <w:jc w:val="both"/>
      </w:pPr>
    </w:p>
    <w:p w:rsidR="00E72530" w:rsidRDefault="00E72530" w:rsidP="00E72530">
      <w:pPr>
        <w:spacing w:line="360" w:lineRule="auto"/>
        <w:jc w:val="both"/>
      </w:pPr>
      <w:r>
        <w:t>A further strength stemming from population sampling was the opportunity</w:t>
      </w:r>
      <w:r w:rsidR="006C6580">
        <w:t xml:space="preserve"> (assuming causal relationships)</w:t>
      </w:r>
      <w:r>
        <w:t xml:space="preserve"> to estimate </w:t>
      </w:r>
      <w:r w:rsidR="007B6B1F">
        <w:t xml:space="preserve">PAFs for negative perceptions contributing to </w:t>
      </w:r>
      <w:r w:rsidR="007B6B1F" w:rsidRPr="0005662E">
        <w:t>job dissatisfaction</w:t>
      </w:r>
      <w:r w:rsidR="007B6B1F">
        <w:t>, overall and within strata with differing characteristics</w:t>
      </w:r>
      <w:r>
        <w:t>. To our knowledge such information has never previously been available. New insights are offered into the relative importance of different</w:t>
      </w:r>
      <w:r w:rsidR="00473F02">
        <w:t xml:space="preserve"> potential</w:t>
      </w:r>
      <w:r>
        <w:t xml:space="preserve"> drivers at a population level and within important subgroups. </w:t>
      </w:r>
    </w:p>
    <w:p w:rsidR="00E72530" w:rsidRDefault="00E72530" w:rsidP="00E72530">
      <w:pPr>
        <w:spacing w:line="360" w:lineRule="auto"/>
        <w:jc w:val="both"/>
      </w:pPr>
    </w:p>
    <w:p w:rsidR="00E72530" w:rsidRDefault="00E72530" w:rsidP="00E72530">
      <w:pPr>
        <w:spacing w:line="360" w:lineRule="auto"/>
        <w:jc w:val="both"/>
      </w:pPr>
      <w:r>
        <w:t>Set against these strengths, it should be noted that our analysis was based on the baseline phase of the HEAF study and cross-sectional in nature, imposing limits on interpretation. Thus, for example, while</w:t>
      </w:r>
      <w:r w:rsidRPr="005813D6">
        <w:t xml:space="preserve"> </w:t>
      </w:r>
      <w:r>
        <w:t xml:space="preserve">poor </w:t>
      </w:r>
      <w:r w:rsidRPr="005813D6">
        <w:t xml:space="preserve">quality of relationships </w:t>
      </w:r>
      <w:r>
        <w:t xml:space="preserve">at work and lack of fulfilment are </w:t>
      </w:r>
      <w:r>
        <w:lastRenderedPageBreak/>
        <w:t xml:space="preserve">credible sources of job dissatisfaction, we cannot exclude the possibility that disaffection with work may have soured some people’s working relationships with others. Likewise, while </w:t>
      </w:r>
      <w:r w:rsidRPr="005813D6">
        <w:t xml:space="preserve">job </w:t>
      </w:r>
      <w:r>
        <w:t>dis</w:t>
      </w:r>
      <w:r w:rsidRPr="005813D6">
        <w:t>satisfaction</w:t>
      </w:r>
      <w:r>
        <w:t xml:space="preserve"> may well lead to poorer self-assessed health, circumstances can be imagined in which poor health could erode satisfaction with one’s own work performance and lead to overall job dissatisfaction. Survivorship effects are also evident in this cross-sectional analysis: for example, the inverse relationship between dissatisfaction and job tenure probably reflects a propensity of people to remain longer in a job </w:t>
      </w:r>
      <w:proofErr w:type="gramStart"/>
      <w:r>
        <w:t>that appeals</w:t>
      </w:r>
      <w:proofErr w:type="gramEnd"/>
      <w:r>
        <w:t xml:space="preserve"> to them. </w:t>
      </w:r>
    </w:p>
    <w:p w:rsidR="00E72530" w:rsidRDefault="00E72530" w:rsidP="00E72530">
      <w:pPr>
        <w:spacing w:line="360" w:lineRule="auto"/>
        <w:jc w:val="both"/>
      </w:pPr>
    </w:p>
    <w:p w:rsidR="00E72530" w:rsidRDefault="00E72530" w:rsidP="00E72530">
      <w:pPr>
        <w:spacing w:line="360" w:lineRule="auto"/>
        <w:jc w:val="both"/>
      </w:pPr>
      <w:r>
        <w:t xml:space="preserve">A further potential limitation stems from the challenge inherent in measuring </w:t>
      </w:r>
      <w:r w:rsidRPr="006F424F">
        <w:t>a</w:t>
      </w:r>
      <w:r>
        <w:t xml:space="preserve"> complex</w:t>
      </w:r>
      <w:r w:rsidRPr="006F424F">
        <w:t xml:space="preserve"> </w:t>
      </w:r>
      <w:r>
        <w:t>multi-faceted</w:t>
      </w:r>
      <w:r w:rsidRPr="006F424F">
        <w:t xml:space="preserve"> phenomenon</w:t>
      </w:r>
      <w:r>
        <w:t>.</w:t>
      </w:r>
      <w:r w:rsidRPr="006F424F">
        <w:t xml:space="preserve"> </w:t>
      </w:r>
      <w:r>
        <w:t xml:space="preserve">Different approaches have been taken to assessment of job dissatisfaction across </w:t>
      </w:r>
      <w:r w:rsidRPr="006F424F">
        <w:t xml:space="preserve">studies. </w:t>
      </w:r>
      <w:r>
        <w:t>S</w:t>
      </w:r>
      <w:r w:rsidRPr="006F424F">
        <w:t xml:space="preserve">ome </w:t>
      </w:r>
      <w:r>
        <w:t>investigations have</w:t>
      </w:r>
      <w:r w:rsidRPr="006F424F">
        <w:t xml:space="preserve"> used </w:t>
      </w:r>
      <w:r>
        <w:t xml:space="preserve">elaborate </w:t>
      </w:r>
      <w:r w:rsidRPr="006F424F">
        <w:t>scale</w:t>
      </w:r>
      <w:r>
        <w:t>s containing many questions</w:t>
      </w:r>
      <w:r w:rsidRPr="006F424F">
        <w:t>.</w:t>
      </w:r>
      <w:r>
        <w:t xml:space="preserve"> By contrast,</w:t>
      </w:r>
      <w:r w:rsidRPr="006F424F">
        <w:t xml:space="preserve"> </w:t>
      </w:r>
      <w:r>
        <w:t xml:space="preserve">we assessed overall job dissatisfaction using a single item. However, </w:t>
      </w:r>
      <w:proofErr w:type="spellStart"/>
      <w:r w:rsidRPr="006F424F">
        <w:t>Wanous</w:t>
      </w:r>
      <w:proofErr w:type="spellEnd"/>
      <w:r w:rsidRPr="006F424F">
        <w:t xml:space="preserve"> </w:t>
      </w:r>
      <w:r w:rsidRPr="00457205">
        <w:rPr>
          <w:i/>
        </w:rPr>
        <w:t>et al</w:t>
      </w:r>
      <w:r>
        <w:t xml:space="preserve"> [23</w:t>
      </w:r>
      <w:r w:rsidRPr="006F424F">
        <w:t xml:space="preserve">] </w:t>
      </w:r>
      <w:r>
        <w:t>have conducted</w:t>
      </w:r>
      <w:r w:rsidRPr="006F424F">
        <w:t xml:space="preserve"> a meta-analysis </w:t>
      </w:r>
      <w:r>
        <w:t>to assess</w:t>
      </w:r>
      <w:r w:rsidRPr="006F424F">
        <w:t xml:space="preserve"> the validity of single-item scales</w:t>
      </w:r>
      <w:r>
        <w:t xml:space="preserve"> and concluded</w:t>
      </w:r>
      <w:r w:rsidRPr="006F424F">
        <w:t xml:space="preserve"> that the correlation between single</w:t>
      </w:r>
      <w:r>
        <w:t>- and multi</w:t>
      </w:r>
      <w:r w:rsidRPr="006F424F">
        <w:t xml:space="preserve">-item scales is </w:t>
      </w:r>
      <w:r w:rsidRPr="00457205">
        <w:t>acceptable.</w:t>
      </w:r>
      <w:r>
        <w:t xml:space="preserve"> </w:t>
      </w:r>
    </w:p>
    <w:p w:rsidR="00E72530" w:rsidRDefault="00E72530" w:rsidP="00E72530">
      <w:pPr>
        <w:spacing w:line="360" w:lineRule="auto"/>
        <w:jc w:val="both"/>
      </w:pPr>
    </w:p>
    <w:p w:rsidR="00484CD2" w:rsidRDefault="00E72530" w:rsidP="00E72530">
      <w:pPr>
        <w:spacing w:line="360" w:lineRule="auto"/>
        <w:jc w:val="both"/>
      </w:pPr>
      <w:r>
        <w:t>Such complexity is a reason for also studying</w:t>
      </w:r>
      <w:r w:rsidRPr="00A64273">
        <w:t xml:space="preserve"> </w:t>
      </w:r>
      <w:r>
        <w:t xml:space="preserve">the potential drivers of job dissatisfaction. Our study encompassed only </w:t>
      </w:r>
      <w:r w:rsidRPr="006F424F">
        <w:t>some</w:t>
      </w:r>
      <w:r>
        <w:t xml:space="preserve"> of the many facets that have been proposed [24</w:t>
      </w:r>
      <w:proofErr w:type="gramStart"/>
      <w:r>
        <w:t>,25</w:t>
      </w:r>
      <w:proofErr w:type="gramEnd"/>
      <w:r>
        <w:t xml:space="preserve">]. In particular, we did not consider “intrinsic” determinants of dissatisfaction, such as negative affectivity and </w:t>
      </w:r>
      <w:r w:rsidR="00473F02">
        <w:t xml:space="preserve">other aspects of </w:t>
      </w:r>
      <w:r>
        <w:t xml:space="preserve">personality, although </w:t>
      </w:r>
      <w:r w:rsidRPr="00457205">
        <w:t>several theoretical models</w:t>
      </w:r>
      <w:r>
        <w:t xml:space="preserve"> have been developed that are based on such attributes [26]. </w:t>
      </w:r>
      <w:r w:rsidR="0000406E">
        <w:t xml:space="preserve">Collecting the extra detail was not feasible </w:t>
      </w:r>
      <w:r w:rsidR="00484CD2">
        <w:t>given the</w:t>
      </w:r>
      <w:r w:rsidR="0000406E">
        <w:t xml:space="preserve"> </w:t>
      </w:r>
      <w:r w:rsidR="00734C00">
        <w:t xml:space="preserve">broad aims of </w:t>
      </w:r>
      <w:r w:rsidR="00484CD2">
        <w:t xml:space="preserve">the HEAF study, </w:t>
      </w:r>
      <w:r w:rsidR="0000406E">
        <w:t xml:space="preserve">but </w:t>
      </w:r>
      <w:r w:rsidR="0000406E" w:rsidRPr="0000406E">
        <w:t xml:space="preserve">confounding by personality differences between groups is unlikely to have importantly influenced </w:t>
      </w:r>
      <w:r w:rsidR="00484CD2">
        <w:t xml:space="preserve">findings </w:t>
      </w:r>
      <w:r w:rsidR="0000406E" w:rsidRPr="0000406E">
        <w:t xml:space="preserve">in </w:t>
      </w:r>
      <w:r w:rsidR="0000406E">
        <w:t xml:space="preserve">our area </w:t>
      </w:r>
      <w:r w:rsidR="00484CD2">
        <w:t>of primary interest.</w:t>
      </w:r>
      <w:r w:rsidR="0000406E">
        <w:t xml:space="preserve"> </w:t>
      </w:r>
    </w:p>
    <w:p w:rsidR="00484CD2" w:rsidRDefault="00484CD2" w:rsidP="00E72530">
      <w:pPr>
        <w:spacing w:line="360" w:lineRule="auto"/>
        <w:jc w:val="both"/>
      </w:pPr>
    </w:p>
    <w:p w:rsidR="00E72530" w:rsidRDefault="00484CD2" w:rsidP="00E72530">
      <w:pPr>
        <w:spacing w:line="360" w:lineRule="auto"/>
        <w:jc w:val="both"/>
      </w:pPr>
      <w:r>
        <w:t xml:space="preserve">In focussing on </w:t>
      </w:r>
      <w:r w:rsidR="0000406E">
        <w:t xml:space="preserve">risk </w:t>
      </w:r>
      <w:r w:rsidR="00E72530" w:rsidRPr="006F424F">
        <w:t>factors</w:t>
      </w:r>
      <w:r w:rsidR="00E72530">
        <w:t xml:space="preserve"> in the workplace</w:t>
      </w:r>
      <w:r w:rsidR="00E72530" w:rsidRPr="006F424F">
        <w:t xml:space="preserve"> that </w:t>
      </w:r>
      <w:r w:rsidR="00E72530">
        <w:t>might</w:t>
      </w:r>
      <w:r w:rsidR="00E72530" w:rsidRPr="006F424F">
        <w:t xml:space="preserve"> </w:t>
      </w:r>
      <w:r w:rsidR="00E72530">
        <w:t>be</w:t>
      </w:r>
      <w:r w:rsidR="00E72530" w:rsidRPr="006F424F">
        <w:t xml:space="preserve"> </w:t>
      </w:r>
      <w:r w:rsidR="00E72530">
        <w:t>avoidable</w:t>
      </w:r>
      <w:r>
        <w:t>,</w:t>
      </w:r>
      <w:r w:rsidR="00E72530">
        <w:t xml:space="preserve"> we included some facets that have been little studied previously but appear</w:t>
      </w:r>
      <w:r w:rsidR="007B6B1F">
        <w:t>ed</w:t>
      </w:r>
      <w:r w:rsidR="00E72530">
        <w:t xml:space="preserve"> of interest </w:t>
      </w:r>
      <w:r w:rsidR="00E72530" w:rsidRPr="00457205">
        <w:rPr>
          <w:i/>
        </w:rPr>
        <w:t>a priori</w:t>
      </w:r>
      <w:r w:rsidR="00E72530">
        <w:t>. Thus, for example, existing literature on the impact of perceived lack of recognition [27</w:t>
      </w:r>
      <w:proofErr w:type="gramStart"/>
      <w:r w:rsidR="00E72530">
        <w:t>,28</w:t>
      </w:r>
      <w:proofErr w:type="gramEnd"/>
      <w:r w:rsidR="00E72530">
        <w:t xml:space="preserve">] and cohesiveness of working relationships [29] is fairly small. </w:t>
      </w:r>
    </w:p>
    <w:p w:rsidR="00E72530" w:rsidRDefault="00E72530" w:rsidP="00E72530">
      <w:pPr>
        <w:spacing w:line="360" w:lineRule="auto"/>
        <w:jc w:val="both"/>
      </w:pPr>
    </w:p>
    <w:p w:rsidR="00E72530" w:rsidRDefault="00E72530" w:rsidP="004F4FEC">
      <w:pPr>
        <w:tabs>
          <w:tab w:val="left" w:pos="2835"/>
        </w:tabs>
        <w:spacing w:line="360" w:lineRule="auto"/>
        <w:jc w:val="both"/>
      </w:pPr>
      <w:r>
        <w:t>Relations</w:t>
      </w:r>
      <w:r w:rsidR="007B6B1F">
        <w:t>hips</w:t>
      </w:r>
      <w:r>
        <w:t xml:space="preserve"> of job dissatisfaction to younger age and male sex are well-established by other research and in agreement with our own findings. Others’ findings also accord with ours on several</w:t>
      </w:r>
      <w:r w:rsidRPr="000A2B20">
        <w:t xml:space="preserve"> </w:t>
      </w:r>
      <w:r>
        <w:t>less frequently studied demographic and occupational associations, such as shorter job tenure [30], longer working hours [29,31,32], working in large establishments [31,32] and higher educational attainment [31,32]</w:t>
      </w:r>
      <w:r w:rsidR="00F04A1A">
        <w:t>, relations</w:t>
      </w:r>
      <w:r w:rsidR="00655B07">
        <w:t>hips</w:t>
      </w:r>
      <w:r w:rsidR="00F04A1A">
        <w:t xml:space="preserve"> we have been able to confirm</w:t>
      </w:r>
      <w:r w:rsidR="00F04A1A" w:rsidRPr="00F04A1A">
        <w:t xml:space="preserve"> </w:t>
      </w:r>
      <w:r w:rsidR="00F04A1A">
        <w:t>specifically in a sample of older workers</w:t>
      </w:r>
      <w:r>
        <w:t>.</w:t>
      </w:r>
      <w:r w:rsidRPr="000A2B20">
        <w:t xml:space="preserve"> </w:t>
      </w:r>
      <w:r>
        <w:t xml:space="preserve">The greater propensity towards job dissatisfaction of Londoners and those living in the South East of England is a novel discovery, however. Among the </w:t>
      </w:r>
      <w:r w:rsidR="00473F02">
        <w:t>possible</w:t>
      </w:r>
      <w:r w:rsidR="00880056">
        <w:t xml:space="preserve"> </w:t>
      </w:r>
      <w:r>
        <w:t xml:space="preserve">drivers we considered, </w:t>
      </w:r>
      <w:r w:rsidR="00C9264F">
        <w:t xml:space="preserve">our </w:t>
      </w:r>
      <w:r>
        <w:t xml:space="preserve">findings on autonomy </w:t>
      </w:r>
      <w:r>
        <w:lastRenderedPageBreak/>
        <w:t>and decision latitude [27,33], working relationships [29], feeling undervalued with lack of recognition [27,28], and job insecurity [31,34] are similar to those in a relatively small number of other reports, although supplemented here by quantification of effects at the population level.</w:t>
      </w:r>
      <w:r w:rsidR="00734038">
        <w:t xml:space="preserve"> They are also compatible with some reports </w:t>
      </w:r>
      <w:r w:rsidR="004F4FEC">
        <w:t xml:space="preserve">based </w:t>
      </w:r>
      <w:r w:rsidR="00734038">
        <w:t>on effort-reward imbalance</w:t>
      </w:r>
      <w:r w:rsidR="004F4FEC">
        <w:t xml:space="preserve"> </w:t>
      </w:r>
      <w:r w:rsidR="00734038">
        <w:t>and job dissatisfaction,</w:t>
      </w:r>
      <w:r w:rsidR="004F4FEC">
        <w:t xml:space="preserve"> such as that by de </w:t>
      </w:r>
      <w:proofErr w:type="spellStart"/>
      <w:r w:rsidR="004F4FEC">
        <w:t>Jonge</w:t>
      </w:r>
      <w:proofErr w:type="spellEnd"/>
      <w:r w:rsidR="004F4FEC">
        <w:t xml:space="preserve"> </w:t>
      </w:r>
      <w:r w:rsidR="004F4FEC" w:rsidRPr="004F4FEC">
        <w:rPr>
          <w:i/>
        </w:rPr>
        <w:t xml:space="preserve">et al </w:t>
      </w:r>
      <w:r w:rsidR="004F4FEC">
        <w:t xml:space="preserve">[35], </w:t>
      </w:r>
      <w:r w:rsidR="007D79C5">
        <w:t xml:space="preserve">which </w:t>
      </w:r>
      <w:r w:rsidR="004F4FEC">
        <w:t>defined occupational rewards in terms of</w:t>
      </w:r>
      <w:r w:rsidR="007D79C5">
        <w:t xml:space="preserve"> satisfaction with pay, social support and job security</w:t>
      </w:r>
      <w:r w:rsidR="004F4FEC">
        <w:t>.</w:t>
      </w:r>
    </w:p>
    <w:p w:rsidR="00E72530" w:rsidRDefault="00E72530" w:rsidP="00E72530">
      <w:pPr>
        <w:spacing w:line="360" w:lineRule="auto"/>
        <w:jc w:val="both"/>
      </w:pPr>
    </w:p>
    <w:p w:rsidR="00E72530" w:rsidRDefault="00E72530" w:rsidP="00E72530">
      <w:pPr>
        <w:spacing w:line="360" w:lineRule="auto"/>
        <w:jc w:val="both"/>
      </w:pPr>
      <w:r>
        <w:t>Associations between job dissatisfaction and psychological ill-health are well-recognised. Thus, in</w:t>
      </w:r>
      <w:r w:rsidRPr="00CB3041">
        <w:t xml:space="preserve"> a meta-analysis of 485 mainly cross-sec</w:t>
      </w:r>
      <w:r>
        <w:t xml:space="preserve">tional studies, </w:t>
      </w:r>
      <w:proofErr w:type="spellStart"/>
      <w:r>
        <w:t>Faragher</w:t>
      </w:r>
      <w:proofErr w:type="spellEnd"/>
      <w:r>
        <w:t xml:space="preserve"> </w:t>
      </w:r>
      <w:r w:rsidRPr="00CB3041">
        <w:rPr>
          <w:i/>
        </w:rPr>
        <w:t>et al</w:t>
      </w:r>
      <w:r>
        <w:t xml:space="preserve"> found clear-cut correlations</w:t>
      </w:r>
      <w:r w:rsidRPr="00CB3041">
        <w:t xml:space="preserve"> between job dissatisfaction </w:t>
      </w:r>
      <w:r>
        <w:t xml:space="preserve">and </w:t>
      </w:r>
      <w:r w:rsidRPr="00CB3041">
        <w:t>anxiety, depression and poorer general mental health</w:t>
      </w:r>
      <w:r>
        <w:t xml:space="preserve"> [17]</w:t>
      </w:r>
      <w:r w:rsidRPr="00CB3041">
        <w:t>.</w:t>
      </w:r>
      <w:r>
        <w:t xml:space="preserve"> </w:t>
      </w:r>
      <w:r w:rsidR="007B6B1F">
        <w:t xml:space="preserve">However, </w:t>
      </w:r>
      <w:r w:rsidR="007B6B1F" w:rsidRPr="001724C1">
        <w:t>the impact on self-</w:t>
      </w:r>
      <w:r w:rsidR="007B6B1F">
        <w:t>reported</w:t>
      </w:r>
      <w:r w:rsidR="007B6B1F" w:rsidRPr="001724C1">
        <w:t xml:space="preserve"> health </w:t>
      </w:r>
      <w:r w:rsidR="007B6B1F">
        <w:t>of the different negative perceptions that drive job dissatisfaction has been unclear, and Table 5</w:t>
      </w:r>
      <w:r w:rsidR="007B6B1F" w:rsidRPr="001724C1">
        <w:t xml:space="preserve"> </w:t>
      </w:r>
      <w:r w:rsidR="007B6B1F">
        <w:t>provides useful new information</w:t>
      </w:r>
      <w:r w:rsidRPr="001724C1">
        <w:t>.</w:t>
      </w:r>
    </w:p>
    <w:p w:rsidR="00E72530" w:rsidRDefault="00E72530" w:rsidP="00E72530">
      <w:pPr>
        <w:spacing w:line="360" w:lineRule="auto"/>
        <w:jc w:val="both"/>
      </w:pPr>
    </w:p>
    <w:p w:rsidR="00E72530" w:rsidRDefault="00E72530" w:rsidP="00E72530">
      <w:pPr>
        <w:spacing w:line="360" w:lineRule="auto"/>
        <w:jc w:val="both"/>
      </w:pPr>
      <w:r>
        <w:t>Studies in older workers (in the age bands of the HEAF study) have been uncommon to date and their focus has differed from that presented here. However,</w:t>
      </w:r>
      <w:r w:rsidRPr="00976914">
        <w:t xml:space="preserve"> </w:t>
      </w:r>
      <w:r>
        <w:t xml:space="preserve">in the </w:t>
      </w:r>
      <w:r w:rsidRPr="00214C44">
        <w:t>Survey of Health, Aging and Retirement in Europe (SHARE)</w:t>
      </w:r>
      <w:r>
        <w:t xml:space="preserve">, a large cohort of 50-64 year olds from European 10 countries, overall job dissatisfaction was assessed using a very similar question to our own and a similar estimate of prevalence was derived [10]. In the same survey, </w:t>
      </w:r>
      <w:r w:rsidR="004123EE">
        <w:t>in keeping with our findings, job satisfaction was greater among women, with advancing age, in those who felt there was recognition for the job and in those perceiving their job to be secure [3</w:t>
      </w:r>
      <w:r w:rsidR="004F4FEC">
        <w:t>6</w:t>
      </w:r>
      <w:r w:rsidR="004123EE">
        <w:t xml:space="preserve">]; </w:t>
      </w:r>
      <w:r>
        <w:t>poor job quality (defined in part to include job dissatisfaction) was strongly associated with poor self-</w:t>
      </w:r>
      <w:r w:rsidR="006C11FF">
        <w:t>rated</w:t>
      </w:r>
      <w:r w:rsidR="0015589B">
        <w:t xml:space="preserve"> health</w:t>
      </w:r>
      <w:r w:rsidR="006C11FF">
        <w:t xml:space="preserve"> and depression</w:t>
      </w:r>
      <w:r w:rsidR="0015589B">
        <w:t xml:space="preserve"> [</w:t>
      </w:r>
      <w:r w:rsidR="004123EE">
        <w:t>3</w:t>
      </w:r>
      <w:r w:rsidR="004F4FEC">
        <w:t>7</w:t>
      </w:r>
      <w:r>
        <w:t>].</w:t>
      </w:r>
    </w:p>
    <w:p w:rsidR="00E72530" w:rsidRDefault="00E72530" w:rsidP="00E72530">
      <w:pPr>
        <w:spacing w:line="360" w:lineRule="auto"/>
        <w:jc w:val="both"/>
      </w:pPr>
    </w:p>
    <w:p w:rsidR="00E72530" w:rsidRDefault="00E72530" w:rsidP="00E72530">
      <w:pPr>
        <w:spacing w:line="360" w:lineRule="auto"/>
        <w:jc w:val="both"/>
      </w:pPr>
      <w:r>
        <w:t xml:space="preserve">Our data suggest that feeling unappreciated, lacking a sense of achievement at work, </w:t>
      </w:r>
      <w:r w:rsidR="00301A10">
        <w:t xml:space="preserve">perceptions about </w:t>
      </w:r>
      <w:r>
        <w:t xml:space="preserve">having critical colleagues, </w:t>
      </w:r>
      <w:r w:rsidR="005418B7">
        <w:t>being dealt with unfairly</w:t>
      </w:r>
      <w:r w:rsidR="00301A10">
        <w:t xml:space="preserve"> and</w:t>
      </w:r>
      <w:r>
        <w:t xml:space="preserve"> job insecurity</w:t>
      </w:r>
      <w:r w:rsidR="00301A10">
        <w:t>,</w:t>
      </w:r>
      <w:r>
        <w:t xml:space="preserve"> and concerns about pay </w:t>
      </w:r>
      <w:r w:rsidR="00397ACF">
        <w:t>may be</w:t>
      </w:r>
      <w:r>
        <w:t xml:space="preserve"> important population drivers of overall job dissatisfaction, albeit with variation between subgroups. As such, they represent potential targets for interventions based on improved employment policies. </w:t>
      </w:r>
    </w:p>
    <w:p w:rsidR="00E72530" w:rsidRDefault="00E72530" w:rsidP="00E72530">
      <w:pPr>
        <w:spacing w:line="360" w:lineRule="auto"/>
        <w:jc w:val="both"/>
      </w:pPr>
    </w:p>
    <w:p w:rsidR="00F04A1A" w:rsidRDefault="00E72530" w:rsidP="00E72530">
      <w:pPr>
        <w:spacing w:line="360" w:lineRule="auto"/>
        <w:jc w:val="both"/>
      </w:pPr>
      <w:r>
        <w:t xml:space="preserve">The impetus for </w:t>
      </w:r>
      <w:r w:rsidR="007B6B1F">
        <w:t>employers to intervene</w:t>
      </w:r>
      <w:r>
        <w:t xml:space="preserve"> is likely to be driven by costs and benefits, one consideration being the likely </w:t>
      </w:r>
      <w:r w:rsidR="00C342CB">
        <w:t xml:space="preserve">effect </w:t>
      </w:r>
      <w:r>
        <w:t>of job dissatisfaction on labour force participation.</w:t>
      </w:r>
      <w:r w:rsidRPr="0087094A">
        <w:t xml:space="preserve"> </w:t>
      </w:r>
      <w:r>
        <w:t>W</w:t>
      </w:r>
      <w:r w:rsidRPr="00976914">
        <w:t xml:space="preserve">orkers </w:t>
      </w:r>
      <w:r>
        <w:t>from the SHARE study</w:t>
      </w:r>
      <w:r w:rsidRPr="00976914">
        <w:t xml:space="preserve"> </w:t>
      </w:r>
      <w:r>
        <w:t>who were dis</w:t>
      </w:r>
      <w:r w:rsidRPr="00976914">
        <w:t>satisfied</w:t>
      </w:r>
      <w:r>
        <w:t xml:space="preserve"> </w:t>
      </w:r>
      <w:r w:rsidRPr="00976914">
        <w:t xml:space="preserve">with their job </w:t>
      </w:r>
      <w:r>
        <w:t>we</w:t>
      </w:r>
      <w:r w:rsidRPr="00976914">
        <w:t>re</w:t>
      </w:r>
      <w:r w:rsidR="005D562C">
        <w:t xml:space="preserve"> more likely to express retirement intentions [</w:t>
      </w:r>
      <w:r w:rsidR="004123EE">
        <w:t>3</w:t>
      </w:r>
      <w:r w:rsidR="004F4FEC">
        <w:t>8</w:t>
      </w:r>
      <w:r w:rsidR="005D562C">
        <w:t>] and</w:t>
      </w:r>
      <w:r>
        <w:t xml:space="preserve"> </w:t>
      </w:r>
      <w:r w:rsidRPr="00976914">
        <w:t>twice as likely</w:t>
      </w:r>
      <w:r w:rsidR="005D562C">
        <w:t xml:space="preserve"> actually</w:t>
      </w:r>
      <w:r w:rsidRPr="00976914">
        <w:t xml:space="preserve"> to retire</w:t>
      </w:r>
      <w:r>
        <w:t xml:space="preserve"> two years later</w:t>
      </w:r>
      <w:r w:rsidR="00D45880">
        <w:t xml:space="preserve"> [10,11],</w:t>
      </w:r>
      <w:r w:rsidR="0015589B">
        <w:t xml:space="preserve"> Job dissatisfaction was the strongest </w:t>
      </w:r>
      <w:r w:rsidR="0015589B" w:rsidRPr="0015589B">
        <w:t xml:space="preserve">predictor </w:t>
      </w:r>
      <w:r w:rsidR="0015589B">
        <w:t>of</w:t>
      </w:r>
      <w:r w:rsidR="0015589B" w:rsidRPr="0015589B">
        <w:t xml:space="preserve"> early retirement</w:t>
      </w:r>
      <w:r>
        <w:t xml:space="preserve"> [10</w:t>
      </w:r>
      <w:r w:rsidR="005D562C">
        <w:t>,11</w:t>
      </w:r>
      <w:r>
        <w:t>], suggesting that th</w:t>
      </w:r>
      <w:r w:rsidR="00C342CB">
        <w:t xml:space="preserve">e impact </w:t>
      </w:r>
      <w:r w:rsidR="00D45880">
        <w:t>could</w:t>
      </w:r>
      <w:r>
        <w:t xml:space="preserve"> be material</w:t>
      </w:r>
      <w:r w:rsidR="00226C3A">
        <w:t>.</w:t>
      </w:r>
      <w:r>
        <w:t xml:space="preserve"> </w:t>
      </w:r>
      <w:r w:rsidR="00226C3A">
        <w:t>Findings in mixed-age workforces a</w:t>
      </w:r>
      <w:r w:rsidR="00C342CB">
        <w:t xml:space="preserve">re </w:t>
      </w:r>
      <w:r w:rsidR="00D45880">
        <w:t>less clear-cut</w:t>
      </w:r>
      <w:r w:rsidR="00C342CB">
        <w:t>,</w:t>
      </w:r>
      <w:r w:rsidR="00226C3A">
        <w:t xml:space="preserve"> however, with some</w:t>
      </w:r>
      <w:r>
        <w:t xml:space="preserve"> reports </w:t>
      </w:r>
      <w:r w:rsidR="0015589B">
        <w:t>indicating</w:t>
      </w:r>
      <w:r>
        <w:t xml:space="preserve"> increased labour turnover [</w:t>
      </w:r>
      <w:r w:rsidR="00671711">
        <w:t>4</w:t>
      </w:r>
      <w:proofErr w:type="gramStart"/>
      <w:r w:rsidR="00671711">
        <w:t>,5,7</w:t>
      </w:r>
      <w:proofErr w:type="gramEnd"/>
      <w:r>
        <w:t>]</w:t>
      </w:r>
      <w:r w:rsidR="00C342CB">
        <w:t xml:space="preserve"> </w:t>
      </w:r>
      <w:r w:rsidR="00671711">
        <w:t xml:space="preserve">but </w:t>
      </w:r>
      <w:r w:rsidR="00226C3A">
        <w:t xml:space="preserve">others </w:t>
      </w:r>
      <w:r w:rsidR="00C342CB">
        <w:t>indicating</w:t>
      </w:r>
      <w:r w:rsidR="00226C3A">
        <w:t xml:space="preserve"> only </w:t>
      </w:r>
      <w:r w:rsidR="00671711">
        <w:t xml:space="preserve">a </w:t>
      </w:r>
      <w:r>
        <w:lastRenderedPageBreak/>
        <w:t>small effect [</w:t>
      </w:r>
      <w:r w:rsidR="002F6B07">
        <w:t>6</w:t>
      </w:r>
      <w:r>
        <w:t>].</w:t>
      </w:r>
      <w:r w:rsidRPr="0087094A">
        <w:t xml:space="preserve"> </w:t>
      </w:r>
      <w:r w:rsidR="00226C3A">
        <w:t>Further</w:t>
      </w:r>
      <w:r>
        <w:t xml:space="preserve"> research is </w:t>
      </w:r>
      <w:r w:rsidR="00C342CB">
        <w:t>required</w:t>
      </w:r>
      <w:r w:rsidR="00226C3A">
        <w:t xml:space="preserve"> </w:t>
      </w:r>
      <w:r w:rsidR="00D45880">
        <w:t>i</w:t>
      </w:r>
      <w:r w:rsidR="00226C3A">
        <w:t>n</w:t>
      </w:r>
      <w:r>
        <w:t xml:space="preserve"> older workers, </w:t>
      </w:r>
      <w:r w:rsidR="00226C3A">
        <w:t>since their</w:t>
      </w:r>
      <w:r>
        <w:t xml:space="preserve"> employment outcomes </w:t>
      </w:r>
      <w:r w:rsidR="00226C3A">
        <w:t>may</w:t>
      </w:r>
      <w:r>
        <w:t xml:space="preserve"> differ from</w:t>
      </w:r>
      <w:r w:rsidR="00D45880">
        <w:t xml:space="preserve"> those in</w:t>
      </w:r>
      <w:r>
        <w:t xml:space="preserve"> other age </w:t>
      </w:r>
      <w:r w:rsidR="00C342CB">
        <w:t>bands</w:t>
      </w:r>
      <w:r>
        <w:t>.</w:t>
      </w:r>
      <w:r w:rsidR="00C342CB">
        <w:t xml:space="preserve"> </w:t>
      </w:r>
      <w:r w:rsidR="00D45880">
        <w:t>Moreover,</w:t>
      </w:r>
      <w:r w:rsidR="00C342CB">
        <w:t xml:space="preserve"> w</w:t>
      </w:r>
      <w:r>
        <w:t xml:space="preserve">hile dissatisfied younger workers may seek </w:t>
      </w:r>
      <w:r w:rsidR="00C342CB">
        <w:t>alternative</w:t>
      </w:r>
      <w:r>
        <w:t xml:space="preserve"> employment, </w:t>
      </w:r>
      <w:r w:rsidR="00D45880">
        <w:t xml:space="preserve">dissatisfied </w:t>
      </w:r>
      <w:r>
        <w:t xml:space="preserve">older workers may </w:t>
      </w:r>
      <w:r w:rsidR="00C342CB">
        <w:t>be lost</w:t>
      </w:r>
      <w:r>
        <w:t xml:space="preserve"> </w:t>
      </w:r>
      <w:r w:rsidR="00C342CB">
        <w:t xml:space="preserve">permanently to </w:t>
      </w:r>
      <w:r>
        <w:t xml:space="preserve">the workforce. </w:t>
      </w:r>
    </w:p>
    <w:p w:rsidR="00F04A1A" w:rsidRDefault="00F04A1A" w:rsidP="00E72530">
      <w:pPr>
        <w:spacing w:line="360" w:lineRule="auto"/>
        <w:jc w:val="both"/>
      </w:pPr>
    </w:p>
    <w:p w:rsidR="00F04A1A" w:rsidRDefault="00F04A1A" w:rsidP="00E72530">
      <w:pPr>
        <w:spacing w:line="360" w:lineRule="auto"/>
        <w:jc w:val="both"/>
      </w:pPr>
      <w:r w:rsidRPr="00F04A1A">
        <w:t>Participants of the HEAF study are being followed-up annually</w:t>
      </w:r>
      <w:r>
        <w:t xml:space="preserve"> with linkage to the CPRD,</w:t>
      </w:r>
      <w:r w:rsidRPr="00F04A1A">
        <w:t xml:space="preserve"> </w:t>
      </w:r>
      <w:r>
        <w:t>and</w:t>
      </w:r>
      <w:r w:rsidR="00E72530">
        <w:t xml:space="preserve"> </w:t>
      </w:r>
      <w:r>
        <w:t xml:space="preserve">this </w:t>
      </w:r>
      <w:r w:rsidRPr="00F04A1A">
        <w:t>prospective</w:t>
      </w:r>
      <w:r>
        <w:t xml:space="preserve"> </w:t>
      </w:r>
      <w:r w:rsidR="00E72530">
        <w:t xml:space="preserve">phase </w:t>
      </w:r>
      <w:r w:rsidR="00C342CB">
        <w:t>should</w:t>
      </w:r>
      <w:r w:rsidR="00E72530">
        <w:t xml:space="preserve"> provide much needed </w:t>
      </w:r>
      <w:r w:rsidR="00C342CB">
        <w:t>additional data</w:t>
      </w:r>
      <w:r w:rsidR="00E72530">
        <w:t xml:space="preserve"> on</w:t>
      </w:r>
      <w:r>
        <w:t xml:space="preserve"> how</w:t>
      </w:r>
      <w:r w:rsidR="00C342CB" w:rsidRPr="00C342CB">
        <w:t xml:space="preserve"> </w:t>
      </w:r>
      <w:r w:rsidR="00C342CB">
        <w:t xml:space="preserve">job </w:t>
      </w:r>
      <w:r>
        <w:t>dis</w:t>
      </w:r>
      <w:r w:rsidR="00C342CB">
        <w:t xml:space="preserve">satisfaction </w:t>
      </w:r>
      <w:r>
        <w:t>influences future</w:t>
      </w:r>
      <w:r w:rsidR="00E72530">
        <w:t xml:space="preserve"> employment</w:t>
      </w:r>
      <w:r>
        <w:t>,</w:t>
      </w:r>
      <w:r w:rsidR="00E72530">
        <w:t xml:space="preserve"> </w:t>
      </w:r>
      <w:r>
        <w:t xml:space="preserve">how </w:t>
      </w:r>
      <w:r w:rsidRPr="00F04A1A">
        <w:t xml:space="preserve">changes in work circumstances affect job </w:t>
      </w:r>
      <w:r>
        <w:t>dis</w:t>
      </w:r>
      <w:r w:rsidRPr="00F04A1A">
        <w:t>satisfaction and health over time</w:t>
      </w:r>
      <w:r>
        <w:t xml:space="preserve">, and whether </w:t>
      </w:r>
      <w:r w:rsidRPr="00F04A1A">
        <w:t xml:space="preserve">job </w:t>
      </w:r>
      <w:r>
        <w:t>dis</w:t>
      </w:r>
      <w:r w:rsidRPr="00F04A1A">
        <w:t xml:space="preserve">satisfaction </w:t>
      </w:r>
      <w:r>
        <w:t>has long-term effects on health, including doctor-recorded as well as self-reported health outcomes.</w:t>
      </w:r>
    </w:p>
    <w:p w:rsidR="007B6B1F" w:rsidRDefault="007B6B1F" w:rsidP="001F525D">
      <w:pPr>
        <w:spacing w:line="360" w:lineRule="auto"/>
        <w:jc w:val="both"/>
        <w:rPr>
          <w:b/>
        </w:rPr>
      </w:pPr>
    </w:p>
    <w:p w:rsidR="007B6B1F" w:rsidRDefault="007B6B1F" w:rsidP="001F525D">
      <w:pPr>
        <w:spacing w:line="360" w:lineRule="auto"/>
        <w:jc w:val="both"/>
        <w:rPr>
          <w:b/>
        </w:rPr>
      </w:pPr>
    </w:p>
    <w:p w:rsidR="007B6B1F" w:rsidRDefault="007B6B1F" w:rsidP="001F525D">
      <w:pPr>
        <w:spacing w:line="360" w:lineRule="auto"/>
        <w:jc w:val="both"/>
        <w:rPr>
          <w:b/>
        </w:rPr>
      </w:pPr>
    </w:p>
    <w:p w:rsidR="001F525D" w:rsidRPr="001F525D" w:rsidRDefault="001F525D" w:rsidP="001F525D">
      <w:pPr>
        <w:spacing w:line="360" w:lineRule="auto"/>
        <w:jc w:val="both"/>
        <w:rPr>
          <w:b/>
        </w:rPr>
      </w:pPr>
      <w:r w:rsidRPr="001F525D">
        <w:rPr>
          <w:b/>
        </w:rPr>
        <w:t xml:space="preserve">Acknowledgements </w:t>
      </w:r>
    </w:p>
    <w:p w:rsidR="001F525D" w:rsidRDefault="001F525D" w:rsidP="001F525D">
      <w:pPr>
        <w:spacing w:line="360" w:lineRule="auto"/>
        <w:jc w:val="both"/>
      </w:pPr>
      <w:r w:rsidRPr="001F525D">
        <w:t>The HEAF study is funded by the Medical Research Council (though core programme support), and by grant awards from Arthritis Research UK, the Economic and Social Research Counc</w:t>
      </w:r>
      <w:r w:rsidR="00C26808">
        <w:t>il and Medical Research Council</w:t>
      </w:r>
      <w:r w:rsidRPr="001F525D">
        <w:t xml:space="preserve">. We wish to thank the CPRD and the 24 general practices that have supported data collection; also, the staff of the MRC LEU who provided invaluable support with data entry and computing (notably Helena </w:t>
      </w:r>
      <w:proofErr w:type="spellStart"/>
      <w:r w:rsidRPr="001F525D">
        <w:t>Demetriou</w:t>
      </w:r>
      <w:proofErr w:type="spellEnd"/>
      <w:r w:rsidRPr="001F525D">
        <w:t xml:space="preserve"> and Vanessa Cox). </w:t>
      </w:r>
    </w:p>
    <w:p w:rsidR="001F525D" w:rsidRDefault="001F525D" w:rsidP="001F525D">
      <w:pPr>
        <w:spacing w:line="360" w:lineRule="auto"/>
        <w:jc w:val="both"/>
      </w:pPr>
    </w:p>
    <w:p w:rsidR="001F525D" w:rsidRPr="001F525D" w:rsidRDefault="001F525D" w:rsidP="001F525D">
      <w:pPr>
        <w:spacing w:line="360" w:lineRule="auto"/>
        <w:jc w:val="both"/>
        <w:rPr>
          <w:b/>
        </w:rPr>
      </w:pPr>
      <w:r w:rsidRPr="001F525D">
        <w:rPr>
          <w:b/>
        </w:rPr>
        <w:t>Competing interests</w:t>
      </w:r>
    </w:p>
    <w:p w:rsidR="001F525D" w:rsidRPr="001F525D" w:rsidRDefault="001F525D" w:rsidP="001F525D">
      <w:pPr>
        <w:spacing w:line="360" w:lineRule="auto"/>
        <w:jc w:val="both"/>
      </w:pPr>
      <w:r w:rsidRPr="001F525D">
        <w:t>The authors declare that they have no competing interests.</w:t>
      </w:r>
    </w:p>
    <w:p w:rsidR="001F525D" w:rsidRPr="001F525D" w:rsidRDefault="001F525D" w:rsidP="001F525D">
      <w:pPr>
        <w:spacing w:line="360" w:lineRule="auto"/>
        <w:jc w:val="both"/>
      </w:pPr>
    </w:p>
    <w:p w:rsidR="001F525D" w:rsidRPr="001F525D" w:rsidRDefault="001F525D" w:rsidP="001F525D">
      <w:pPr>
        <w:spacing w:line="360" w:lineRule="auto"/>
        <w:jc w:val="both"/>
        <w:rPr>
          <w:b/>
        </w:rPr>
      </w:pPr>
      <w:r w:rsidRPr="001F525D">
        <w:rPr>
          <w:b/>
        </w:rPr>
        <w:t>Authors' contributions</w:t>
      </w:r>
    </w:p>
    <w:p w:rsidR="00F75E0F" w:rsidRPr="001F525D" w:rsidRDefault="001F525D" w:rsidP="001F525D">
      <w:pPr>
        <w:spacing w:line="360" w:lineRule="auto"/>
        <w:jc w:val="both"/>
      </w:pPr>
      <w:r w:rsidRPr="001F525D">
        <w:t>KTP and DC identified the study questions and designed the study and its measuring instruments. KTP supervised data collection</w:t>
      </w:r>
      <w:r>
        <w:t>, and with SD and DC, planned the analyses. SD</w:t>
      </w:r>
      <w:r w:rsidRPr="001F525D">
        <w:t xml:space="preserve"> </w:t>
      </w:r>
      <w:r>
        <w:t xml:space="preserve">conducted the analyses, </w:t>
      </w:r>
      <w:r w:rsidRPr="001F525D">
        <w:t>wrote the first draft of th</w:t>
      </w:r>
      <w:r>
        <w:t>e</w:t>
      </w:r>
      <w:r w:rsidRPr="001F525D">
        <w:t xml:space="preserve"> paper</w:t>
      </w:r>
      <w:r>
        <w:t xml:space="preserve"> and shared with KTP in reviewing the existing literature</w:t>
      </w:r>
      <w:r w:rsidRPr="001F525D">
        <w:t>.</w:t>
      </w:r>
      <w:r>
        <w:t xml:space="preserve"> </w:t>
      </w:r>
      <w:r w:rsidRPr="001F525D">
        <w:t>KWB, ECH, CL, AAS, CG, ME, TS and CC contributed to the study’s design, content, measuring instruments and plan of execution. Additionally, ECH and CL led in data collection, cleaning and preparation, and the enlistment of participating general practices. All authors read and approved the final manuscript.</w:t>
      </w:r>
      <w:r w:rsidR="00F75E0F" w:rsidRPr="001F525D">
        <w:br w:type="page"/>
      </w:r>
    </w:p>
    <w:p w:rsidR="000E5AB2" w:rsidRDefault="000E5AB2" w:rsidP="00F75E0F">
      <w:pPr>
        <w:spacing w:line="360" w:lineRule="auto"/>
        <w:rPr>
          <w:b/>
        </w:rPr>
      </w:pPr>
      <w:r w:rsidRPr="00F75E0F">
        <w:rPr>
          <w:b/>
        </w:rPr>
        <w:lastRenderedPageBreak/>
        <w:t>References</w:t>
      </w:r>
    </w:p>
    <w:p w:rsidR="00CD2DBD" w:rsidRPr="00CD2DBD" w:rsidRDefault="00CD2DBD" w:rsidP="00CD2DBD">
      <w:pPr>
        <w:autoSpaceDE w:val="0"/>
        <w:autoSpaceDN w:val="0"/>
        <w:adjustRightInd w:val="0"/>
        <w:spacing w:line="360" w:lineRule="auto"/>
      </w:pPr>
      <w:r>
        <w:t xml:space="preserve">1. OECD. </w:t>
      </w:r>
      <w:proofErr w:type="gramStart"/>
      <w:r w:rsidRPr="00CD2DBD">
        <w:t>Trends in Retirement and in Working at Older Ages</w:t>
      </w:r>
      <w:r w:rsidR="005475E7">
        <w:t>.</w:t>
      </w:r>
      <w:proofErr w:type="gramEnd"/>
      <w:r w:rsidRPr="00CD2DBD">
        <w:t xml:space="preserve"> </w:t>
      </w:r>
      <w:r w:rsidR="005475E7">
        <w:t>I</w:t>
      </w:r>
      <w:r w:rsidRPr="00CD2DBD">
        <w:t>n</w:t>
      </w:r>
      <w:r w:rsidR="005475E7">
        <w:t>:</w:t>
      </w:r>
      <w:r w:rsidRPr="00CD2DBD">
        <w:t xml:space="preserve"> Pensions at a Glance 2011: Retirement-income Systems in OECD and G20 Countries</w:t>
      </w:r>
      <w:r w:rsidR="005475E7">
        <w:t>.</w:t>
      </w:r>
      <w:r w:rsidRPr="00CD2DBD">
        <w:t xml:space="preserve"> OECD Publishing</w:t>
      </w:r>
      <w:r>
        <w:t>, 2011</w:t>
      </w:r>
      <w:r w:rsidRPr="00CD2DBD">
        <w:t xml:space="preserve">. </w:t>
      </w:r>
      <w:hyperlink r:id="rId9" w:history="1">
        <w:r w:rsidRPr="00BA2ECD">
          <w:rPr>
            <w:rStyle w:val="Hyperlink"/>
          </w:rPr>
          <w:t>http://dx.doi.org/10.1787/pension_glance-2011-6-en</w:t>
        </w:r>
      </w:hyperlink>
      <w:r>
        <w:t xml:space="preserve"> </w:t>
      </w:r>
      <w:r w:rsidR="005475E7">
        <w:t xml:space="preserve">(accessed </w:t>
      </w:r>
      <w:r w:rsidR="00D066E5">
        <w:t>19/01/16</w:t>
      </w:r>
      <w:r w:rsidR="005475E7">
        <w:t>)</w:t>
      </w:r>
    </w:p>
    <w:p w:rsidR="00CD2DBD" w:rsidRDefault="00CD2DBD" w:rsidP="00CD2DBD">
      <w:pPr>
        <w:spacing w:line="360" w:lineRule="auto"/>
      </w:pPr>
      <w:r>
        <w:t xml:space="preserve">2. United Nations Department for Economic and Social Affairs, Population Division. </w:t>
      </w:r>
      <w:proofErr w:type="gramStart"/>
      <w:r>
        <w:t>World Population Ageing 2013.</w:t>
      </w:r>
      <w:proofErr w:type="gramEnd"/>
      <w:r w:rsidRPr="00CD2DBD">
        <w:t xml:space="preserve"> </w:t>
      </w:r>
      <w:r>
        <w:t xml:space="preserve">United Nations, </w:t>
      </w:r>
      <w:r w:rsidRPr="00CD2DBD">
        <w:t>New York, 2013</w:t>
      </w:r>
      <w:r>
        <w:t xml:space="preserve">. </w:t>
      </w:r>
      <w:hyperlink r:id="rId10" w:history="1">
        <w:r w:rsidRPr="00BA2ECD">
          <w:rPr>
            <w:rStyle w:val="Hyperlink"/>
          </w:rPr>
          <w:t>http://www.un.org/en/development/desa/population/publications/ageing/WorldPopulationAgeingReport2013.shtml</w:t>
        </w:r>
      </w:hyperlink>
      <w:r>
        <w:t xml:space="preserve"> </w:t>
      </w:r>
      <w:r w:rsidR="005475E7">
        <w:t xml:space="preserve">(accessed </w:t>
      </w:r>
      <w:r w:rsidR="00D066E5">
        <w:t>19/01/16</w:t>
      </w:r>
      <w:r w:rsidR="005475E7">
        <w:t>)</w:t>
      </w:r>
    </w:p>
    <w:p w:rsidR="00CD2DBD" w:rsidRDefault="00CD2DBD" w:rsidP="00CD2DBD">
      <w:pPr>
        <w:spacing w:line="360" w:lineRule="auto"/>
      </w:pPr>
      <w:r>
        <w:t xml:space="preserve">3. Cooke M. Policy changes and the labour force participation of older workers: evidence from six countries. </w:t>
      </w:r>
      <w:r w:rsidRPr="007D412E">
        <w:rPr>
          <w:i/>
        </w:rPr>
        <w:t xml:space="preserve">Can </w:t>
      </w:r>
      <w:r w:rsidR="00872E86" w:rsidRPr="007D412E">
        <w:rPr>
          <w:i/>
        </w:rPr>
        <w:t>J Aging</w:t>
      </w:r>
      <w:r>
        <w:t xml:space="preserve"> 2006</w:t>
      </w:r>
      <w:proofErr w:type="gramStart"/>
      <w:r>
        <w:t>;25</w:t>
      </w:r>
      <w:proofErr w:type="gramEnd"/>
      <w:r>
        <w:t>(4):387-400.</w:t>
      </w:r>
    </w:p>
    <w:p w:rsidR="00CD2DBD" w:rsidRPr="00183752" w:rsidRDefault="00CD2DBD" w:rsidP="00CD2DBD">
      <w:pPr>
        <w:spacing w:line="360" w:lineRule="auto"/>
      </w:pPr>
      <w:r>
        <w:t xml:space="preserve">4. </w:t>
      </w:r>
      <w:r w:rsidRPr="00183752">
        <w:t xml:space="preserve">Porter LW, Steers RM, </w:t>
      </w:r>
      <w:proofErr w:type="spellStart"/>
      <w:r w:rsidRPr="00183752">
        <w:t>Mowday</w:t>
      </w:r>
      <w:proofErr w:type="spellEnd"/>
      <w:r w:rsidRPr="00183752">
        <w:t xml:space="preserve"> RT, et al. Organizational commitment, job satisfaction, and turnover among psychiatric technicians. </w:t>
      </w:r>
      <w:r w:rsidRPr="007D412E">
        <w:rPr>
          <w:i/>
        </w:rPr>
        <w:t xml:space="preserve">J </w:t>
      </w:r>
      <w:proofErr w:type="spellStart"/>
      <w:r w:rsidR="00046BE5" w:rsidRPr="007D412E">
        <w:rPr>
          <w:i/>
        </w:rPr>
        <w:t>Appl</w:t>
      </w:r>
      <w:proofErr w:type="spellEnd"/>
      <w:r w:rsidR="00046BE5" w:rsidRPr="007D412E">
        <w:rPr>
          <w:i/>
        </w:rPr>
        <w:t xml:space="preserve"> Psychol</w:t>
      </w:r>
      <w:r w:rsidRPr="00183752">
        <w:t xml:space="preserve"> 1974</w:t>
      </w:r>
      <w:proofErr w:type="gramStart"/>
      <w:r w:rsidRPr="00183752">
        <w:t>;59</w:t>
      </w:r>
      <w:proofErr w:type="gramEnd"/>
      <w:r w:rsidRPr="00183752">
        <w:t>(5):603</w:t>
      </w:r>
      <w:r w:rsidR="002F6B07">
        <w:t>-9</w:t>
      </w:r>
      <w:r w:rsidRPr="00183752">
        <w:t>.</w:t>
      </w:r>
    </w:p>
    <w:p w:rsidR="00CD2DBD" w:rsidRPr="00183752" w:rsidRDefault="00CD2DBD" w:rsidP="00CD2DBD">
      <w:pPr>
        <w:spacing w:line="360" w:lineRule="auto"/>
      </w:pPr>
      <w:r w:rsidRPr="00183752">
        <w:t xml:space="preserve">5. </w:t>
      </w:r>
      <w:proofErr w:type="spellStart"/>
      <w:r w:rsidRPr="00183752">
        <w:t>Tett</w:t>
      </w:r>
      <w:proofErr w:type="spellEnd"/>
      <w:r w:rsidRPr="00183752">
        <w:t xml:space="preserve"> RP, Meyer JP. Job satisfaction, organizational commitment, turnover intention, and turnover: path analyses based on meta</w:t>
      </w:r>
      <w:r w:rsidRPr="00183752">
        <w:rPr>
          <w:rFonts w:ascii="Cambria Math" w:hAnsi="Cambria Math" w:cs="Cambria Math"/>
        </w:rPr>
        <w:t>‐</w:t>
      </w:r>
      <w:r w:rsidRPr="00183752">
        <w:t xml:space="preserve">analytic findings. </w:t>
      </w:r>
      <w:proofErr w:type="spellStart"/>
      <w:r w:rsidRPr="007D412E">
        <w:rPr>
          <w:i/>
        </w:rPr>
        <w:t>Pers</w:t>
      </w:r>
      <w:proofErr w:type="spellEnd"/>
      <w:r w:rsidRPr="007D412E">
        <w:rPr>
          <w:i/>
        </w:rPr>
        <w:t xml:space="preserve"> </w:t>
      </w:r>
      <w:r w:rsidR="00046BE5" w:rsidRPr="007D412E">
        <w:rPr>
          <w:i/>
        </w:rPr>
        <w:t>Psychol</w:t>
      </w:r>
      <w:r w:rsidR="00C940F9">
        <w:t xml:space="preserve"> </w:t>
      </w:r>
      <w:r w:rsidRPr="00183752">
        <w:t>1993</w:t>
      </w:r>
      <w:proofErr w:type="gramStart"/>
      <w:r w:rsidRPr="00183752">
        <w:t>;46</w:t>
      </w:r>
      <w:proofErr w:type="gramEnd"/>
      <w:r w:rsidRPr="00183752">
        <w:t>(2):259-93.</w:t>
      </w:r>
    </w:p>
    <w:p w:rsidR="00CD2DBD" w:rsidRPr="00183752" w:rsidRDefault="00CD2DBD" w:rsidP="00CD2DBD">
      <w:pPr>
        <w:spacing w:line="360" w:lineRule="auto"/>
      </w:pPr>
      <w:r w:rsidRPr="00183752">
        <w:t xml:space="preserve">6. Mobley WH. Intermediate linkages in the relationship between job satisfaction and employee turnover. </w:t>
      </w:r>
      <w:r w:rsidRPr="007D412E">
        <w:rPr>
          <w:i/>
        </w:rPr>
        <w:t xml:space="preserve">J </w:t>
      </w:r>
      <w:proofErr w:type="spellStart"/>
      <w:r w:rsidR="00046BE5" w:rsidRPr="007D412E">
        <w:rPr>
          <w:i/>
        </w:rPr>
        <w:t>Appl</w:t>
      </w:r>
      <w:proofErr w:type="spellEnd"/>
      <w:r w:rsidR="00046BE5" w:rsidRPr="007D412E">
        <w:rPr>
          <w:i/>
        </w:rPr>
        <w:t xml:space="preserve"> Psychol</w:t>
      </w:r>
      <w:r w:rsidRPr="00183752">
        <w:t xml:space="preserve"> 1977</w:t>
      </w:r>
      <w:proofErr w:type="gramStart"/>
      <w:r w:rsidRPr="00183752">
        <w:t>;62</w:t>
      </w:r>
      <w:proofErr w:type="gramEnd"/>
      <w:r w:rsidRPr="00183752">
        <w:t>(2):237</w:t>
      </w:r>
      <w:r w:rsidR="00C940F9">
        <w:t>-40</w:t>
      </w:r>
      <w:r w:rsidRPr="00183752">
        <w:t>.</w:t>
      </w:r>
    </w:p>
    <w:p w:rsidR="00CD2DBD" w:rsidRPr="00183752" w:rsidRDefault="00CD2DBD" w:rsidP="00CD2DBD">
      <w:pPr>
        <w:spacing w:line="360" w:lineRule="auto"/>
      </w:pPr>
      <w:r w:rsidRPr="00183752">
        <w:t xml:space="preserve">7. Shields MA, Ward M. Improving nurse retention in the National Health Service in England: the impact of job satisfaction on intentions to quit. </w:t>
      </w:r>
      <w:r w:rsidRPr="007D412E">
        <w:rPr>
          <w:i/>
        </w:rPr>
        <w:t>J</w:t>
      </w:r>
      <w:r w:rsidR="00046BE5" w:rsidRPr="007D412E">
        <w:rPr>
          <w:i/>
        </w:rPr>
        <w:t xml:space="preserve"> Health Econ</w:t>
      </w:r>
      <w:r w:rsidR="00C940F9">
        <w:t xml:space="preserve"> </w:t>
      </w:r>
      <w:r w:rsidRPr="00183752">
        <w:t>2001</w:t>
      </w:r>
      <w:proofErr w:type="gramStart"/>
      <w:r w:rsidRPr="00183752">
        <w:t>;20</w:t>
      </w:r>
      <w:proofErr w:type="gramEnd"/>
      <w:r w:rsidRPr="00183752">
        <w:t>(5):677-701.</w:t>
      </w:r>
    </w:p>
    <w:p w:rsidR="00CD2DBD" w:rsidRPr="00183752" w:rsidRDefault="00CD2DBD" w:rsidP="00CD2DBD">
      <w:pPr>
        <w:spacing w:line="360" w:lineRule="auto"/>
      </w:pPr>
      <w:r w:rsidRPr="00183752">
        <w:t xml:space="preserve">8. Mein G, </w:t>
      </w:r>
      <w:proofErr w:type="spellStart"/>
      <w:r w:rsidRPr="00183752">
        <w:t>Martikainen</w:t>
      </w:r>
      <w:proofErr w:type="spellEnd"/>
      <w:r w:rsidRPr="00183752">
        <w:t xml:space="preserve"> P, </w:t>
      </w:r>
      <w:proofErr w:type="spellStart"/>
      <w:r w:rsidRPr="00183752">
        <w:t>Stansfeld</w:t>
      </w:r>
      <w:proofErr w:type="spellEnd"/>
      <w:r w:rsidRPr="00183752">
        <w:t xml:space="preserve"> SA, et al. Predictors of early retirement in British civil servants. </w:t>
      </w:r>
      <w:r w:rsidRPr="007D412E">
        <w:rPr>
          <w:i/>
        </w:rPr>
        <w:t xml:space="preserve">Age </w:t>
      </w:r>
      <w:r w:rsidR="00046BE5" w:rsidRPr="007D412E">
        <w:rPr>
          <w:i/>
        </w:rPr>
        <w:t>Ageing</w:t>
      </w:r>
      <w:r w:rsidRPr="00183752">
        <w:t xml:space="preserve"> 2000</w:t>
      </w:r>
      <w:proofErr w:type="gramStart"/>
      <w:r w:rsidRPr="00183752">
        <w:t>;29</w:t>
      </w:r>
      <w:proofErr w:type="gramEnd"/>
      <w:r w:rsidRPr="00183752">
        <w:t>(6):529-36.</w:t>
      </w:r>
    </w:p>
    <w:p w:rsidR="00CD2DBD" w:rsidRPr="00183752" w:rsidRDefault="00CD2DBD" w:rsidP="00CD2DBD">
      <w:pPr>
        <w:spacing w:line="360" w:lineRule="auto"/>
      </w:pPr>
      <w:r w:rsidRPr="00183752">
        <w:t xml:space="preserve">9. </w:t>
      </w:r>
      <w:proofErr w:type="spellStart"/>
      <w:r w:rsidRPr="00183752">
        <w:t>Kosloski</w:t>
      </w:r>
      <w:proofErr w:type="spellEnd"/>
      <w:r w:rsidRPr="00183752">
        <w:t xml:space="preserve"> K, </w:t>
      </w:r>
      <w:proofErr w:type="spellStart"/>
      <w:r w:rsidRPr="00183752">
        <w:t>Ekerdt</w:t>
      </w:r>
      <w:proofErr w:type="spellEnd"/>
      <w:r w:rsidRPr="00183752">
        <w:t xml:space="preserve"> D, </w:t>
      </w:r>
      <w:proofErr w:type="spellStart"/>
      <w:r w:rsidRPr="00183752">
        <w:t>DeViney</w:t>
      </w:r>
      <w:proofErr w:type="spellEnd"/>
      <w:r w:rsidRPr="00183752">
        <w:t xml:space="preserve"> S. </w:t>
      </w:r>
      <w:proofErr w:type="gramStart"/>
      <w:r w:rsidRPr="00183752">
        <w:t>The role of job-related rewards in retirement planning.</w:t>
      </w:r>
      <w:proofErr w:type="gramEnd"/>
      <w:r w:rsidRPr="00183752">
        <w:t xml:space="preserve"> </w:t>
      </w:r>
      <w:r w:rsidR="00A44689" w:rsidRPr="007D412E">
        <w:rPr>
          <w:i/>
        </w:rPr>
        <w:t>J</w:t>
      </w:r>
      <w:r w:rsidRPr="007D412E">
        <w:rPr>
          <w:i/>
        </w:rPr>
        <w:t xml:space="preserve"> </w:t>
      </w:r>
      <w:proofErr w:type="spellStart"/>
      <w:r w:rsidR="00A44689" w:rsidRPr="007D412E">
        <w:rPr>
          <w:i/>
        </w:rPr>
        <w:t>G</w:t>
      </w:r>
      <w:r w:rsidRPr="007D412E">
        <w:rPr>
          <w:i/>
        </w:rPr>
        <w:t>erontol</w:t>
      </w:r>
      <w:proofErr w:type="spellEnd"/>
      <w:r w:rsidR="00A44689" w:rsidRPr="007D412E">
        <w:rPr>
          <w:i/>
        </w:rPr>
        <w:t xml:space="preserve"> </w:t>
      </w:r>
      <w:r w:rsidRPr="007D412E">
        <w:rPr>
          <w:i/>
        </w:rPr>
        <w:t xml:space="preserve">B </w:t>
      </w:r>
      <w:r w:rsidR="00046BE5" w:rsidRPr="007D412E">
        <w:rPr>
          <w:i/>
        </w:rPr>
        <w:t xml:space="preserve">Psychol </w:t>
      </w:r>
      <w:proofErr w:type="spellStart"/>
      <w:r w:rsidR="00046BE5" w:rsidRPr="007D412E">
        <w:rPr>
          <w:i/>
        </w:rPr>
        <w:t>Sci</w:t>
      </w:r>
      <w:proofErr w:type="spellEnd"/>
      <w:r w:rsidR="00046BE5" w:rsidRPr="007D412E">
        <w:rPr>
          <w:i/>
        </w:rPr>
        <w:t xml:space="preserve"> </w:t>
      </w:r>
      <w:proofErr w:type="spellStart"/>
      <w:r w:rsidR="00046BE5" w:rsidRPr="007D412E">
        <w:rPr>
          <w:i/>
        </w:rPr>
        <w:t>Soc</w:t>
      </w:r>
      <w:proofErr w:type="spellEnd"/>
      <w:r w:rsidR="00046BE5" w:rsidRPr="007D412E">
        <w:rPr>
          <w:i/>
        </w:rPr>
        <w:t xml:space="preserve"> </w:t>
      </w:r>
      <w:proofErr w:type="spellStart"/>
      <w:r w:rsidR="00046BE5" w:rsidRPr="007D412E">
        <w:rPr>
          <w:i/>
        </w:rPr>
        <w:t>Sci</w:t>
      </w:r>
      <w:proofErr w:type="spellEnd"/>
      <w:r w:rsidR="00A44689" w:rsidRPr="007D412E">
        <w:rPr>
          <w:i/>
        </w:rPr>
        <w:t xml:space="preserve"> </w:t>
      </w:r>
      <w:r w:rsidRPr="00183752">
        <w:t>2001</w:t>
      </w:r>
      <w:proofErr w:type="gramStart"/>
      <w:r w:rsidRPr="00183752">
        <w:t>;56</w:t>
      </w:r>
      <w:proofErr w:type="gramEnd"/>
      <w:r w:rsidRPr="00183752">
        <w:t>(3):P160-9.</w:t>
      </w:r>
    </w:p>
    <w:p w:rsidR="00A9036D" w:rsidRPr="00183752" w:rsidRDefault="00CD2DBD" w:rsidP="00CD2DBD">
      <w:pPr>
        <w:spacing w:line="360" w:lineRule="auto"/>
      </w:pPr>
      <w:r w:rsidRPr="00183752">
        <w:t xml:space="preserve">10. </w:t>
      </w:r>
      <w:proofErr w:type="spellStart"/>
      <w:r w:rsidR="00A9036D" w:rsidRPr="00183752">
        <w:t>Schnalzenberger</w:t>
      </w:r>
      <w:proofErr w:type="spellEnd"/>
      <w:r w:rsidR="00A9036D" w:rsidRPr="00183752">
        <w:t xml:space="preserve"> M, </w:t>
      </w:r>
      <w:proofErr w:type="spellStart"/>
      <w:r w:rsidR="00A9036D" w:rsidRPr="00183752">
        <w:t>Schneeweis</w:t>
      </w:r>
      <w:proofErr w:type="spellEnd"/>
      <w:r w:rsidR="00A9036D" w:rsidRPr="00183752">
        <w:t xml:space="preserve"> N, Winter-</w:t>
      </w:r>
      <w:proofErr w:type="spellStart"/>
      <w:r w:rsidR="00A9036D" w:rsidRPr="00183752">
        <w:t>Ebmer</w:t>
      </w:r>
      <w:proofErr w:type="spellEnd"/>
      <w:r w:rsidR="00A9036D" w:rsidRPr="00183752">
        <w:t xml:space="preserve"> R, </w:t>
      </w:r>
      <w:r w:rsidR="00C26808">
        <w:t>et al</w:t>
      </w:r>
      <w:r w:rsidR="00A9036D" w:rsidRPr="00183752">
        <w:t xml:space="preserve">.  </w:t>
      </w:r>
      <w:proofErr w:type="gramStart"/>
      <w:r w:rsidR="00A9036D" w:rsidRPr="00183752">
        <w:t>Job Quality and Retirement Decisions.</w:t>
      </w:r>
      <w:proofErr w:type="gramEnd"/>
      <w:r w:rsidR="00A9036D" w:rsidRPr="00183752">
        <w:t xml:space="preserve"> In: </w:t>
      </w:r>
      <w:proofErr w:type="spellStart"/>
      <w:r w:rsidR="00A9036D" w:rsidRPr="00183752">
        <w:t>Börsch-Supan</w:t>
      </w:r>
      <w:proofErr w:type="spellEnd"/>
      <w:r w:rsidR="00A9036D" w:rsidRPr="00183752">
        <w:t xml:space="preserve"> A, </w:t>
      </w:r>
      <w:proofErr w:type="spellStart"/>
      <w:r w:rsidR="00A9036D" w:rsidRPr="00183752">
        <w:t>Brugiavini</w:t>
      </w:r>
      <w:proofErr w:type="spellEnd"/>
      <w:r w:rsidR="00A9036D" w:rsidRPr="00183752">
        <w:t xml:space="preserve"> A, </w:t>
      </w:r>
      <w:proofErr w:type="spellStart"/>
      <w:r w:rsidR="00A9036D" w:rsidRPr="00183752">
        <w:t>Jürges</w:t>
      </w:r>
      <w:proofErr w:type="spellEnd"/>
      <w:r w:rsidR="00A9036D" w:rsidRPr="00183752">
        <w:t xml:space="preserve"> H, </w:t>
      </w:r>
      <w:proofErr w:type="spellStart"/>
      <w:r w:rsidR="00A9036D" w:rsidRPr="00183752">
        <w:t>Kapteyn</w:t>
      </w:r>
      <w:proofErr w:type="spellEnd"/>
      <w:r w:rsidR="00A9036D" w:rsidRPr="00183752">
        <w:t xml:space="preserve"> A, </w:t>
      </w:r>
      <w:proofErr w:type="spellStart"/>
      <w:r w:rsidR="00A9036D" w:rsidRPr="00183752">
        <w:t>Mackenbach</w:t>
      </w:r>
      <w:proofErr w:type="spellEnd"/>
      <w:r w:rsidR="00A9036D" w:rsidRPr="00183752">
        <w:t xml:space="preserve"> J, </w:t>
      </w:r>
      <w:proofErr w:type="spellStart"/>
      <w:r w:rsidR="00A9036D" w:rsidRPr="00183752">
        <w:t>Siegrist</w:t>
      </w:r>
      <w:proofErr w:type="spellEnd"/>
      <w:r w:rsidR="00A9036D" w:rsidRPr="00183752">
        <w:t xml:space="preserve"> J, Weber G (</w:t>
      </w:r>
      <w:proofErr w:type="spellStart"/>
      <w:r w:rsidR="00A9036D" w:rsidRPr="00183752">
        <w:t>eds</w:t>
      </w:r>
      <w:proofErr w:type="spellEnd"/>
      <w:r w:rsidR="00A9036D" w:rsidRPr="00183752">
        <w:t xml:space="preserve">). First Results from the Survey of Health, Ageing and Retirement in Europe (2004-2007): Starting the Longitudinal Dimension. </w:t>
      </w:r>
      <w:proofErr w:type="gramStart"/>
      <w:r w:rsidR="00A9036D" w:rsidRPr="00183752">
        <w:t>MEA, 2008, p</w:t>
      </w:r>
      <w:r w:rsidR="00CC7451" w:rsidRPr="00183752">
        <w:t>p</w:t>
      </w:r>
      <w:r w:rsidR="00A9036D" w:rsidRPr="00183752">
        <w:t>215-221.</w:t>
      </w:r>
      <w:proofErr w:type="gramEnd"/>
      <w:r w:rsidR="00A9036D" w:rsidRPr="00183752">
        <w:t xml:space="preserve"> (Accessed via </w:t>
      </w:r>
      <w:hyperlink r:id="rId11" w:history="1">
        <w:r w:rsidR="00A9036D" w:rsidRPr="00183752">
          <w:rPr>
            <w:rStyle w:val="Hyperlink"/>
          </w:rPr>
          <w:t>http://www.share-project.org/nc/publications/books0.html</w:t>
        </w:r>
      </w:hyperlink>
      <w:r w:rsidR="006C11FF" w:rsidRPr="00183752">
        <w:t xml:space="preserve">, </w:t>
      </w:r>
      <w:r w:rsidR="00D066E5">
        <w:t>19/01/16</w:t>
      </w:r>
      <w:r w:rsidR="00A9036D" w:rsidRPr="00183752">
        <w:t>).</w:t>
      </w:r>
    </w:p>
    <w:p w:rsidR="00CD2DBD" w:rsidRPr="00183752" w:rsidRDefault="00CD2DBD" w:rsidP="008B27FC">
      <w:pPr>
        <w:spacing w:line="360" w:lineRule="auto"/>
      </w:pPr>
      <w:r w:rsidRPr="00183752">
        <w:t xml:space="preserve">11. </w:t>
      </w:r>
      <w:proofErr w:type="spellStart"/>
      <w:r w:rsidR="00A9036D" w:rsidRPr="00183752">
        <w:t>Schnalzenberger</w:t>
      </w:r>
      <w:proofErr w:type="spellEnd"/>
      <w:r w:rsidR="00A9036D" w:rsidRPr="00183752">
        <w:t xml:space="preserve"> M, </w:t>
      </w:r>
      <w:proofErr w:type="spellStart"/>
      <w:r w:rsidR="00A9036D" w:rsidRPr="00183752">
        <w:t>Schneeweis</w:t>
      </w:r>
      <w:proofErr w:type="spellEnd"/>
      <w:r w:rsidR="00A9036D" w:rsidRPr="00183752">
        <w:t xml:space="preserve"> N, Winter</w:t>
      </w:r>
      <w:r w:rsidR="00A9036D" w:rsidRPr="00183752">
        <w:rPr>
          <w:rFonts w:ascii="Cambria Math" w:hAnsi="Cambria Math" w:cs="Cambria Math"/>
        </w:rPr>
        <w:t>‐</w:t>
      </w:r>
      <w:proofErr w:type="spellStart"/>
      <w:r w:rsidR="00A9036D" w:rsidRPr="00183752">
        <w:t>Ebmer</w:t>
      </w:r>
      <w:proofErr w:type="spellEnd"/>
      <w:r w:rsidR="00A9036D" w:rsidRPr="00183752">
        <w:t xml:space="preserve"> R, </w:t>
      </w:r>
      <w:r w:rsidR="00C26808">
        <w:t>et al</w:t>
      </w:r>
      <w:r w:rsidR="00A9036D" w:rsidRPr="00183752">
        <w:t xml:space="preserve">. Job quality and employment of older people in Europe. </w:t>
      </w:r>
      <w:r w:rsidR="00A9036D" w:rsidRPr="007D412E">
        <w:rPr>
          <w:i/>
        </w:rPr>
        <w:t>Labour</w:t>
      </w:r>
      <w:r w:rsidR="00A9036D" w:rsidRPr="00183752">
        <w:t xml:space="preserve"> 2014</w:t>
      </w:r>
      <w:proofErr w:type="gramStart"/>
      <w:r w:rsidR="00A9036D" w:rsidRPr="00183752">
        <w:t>;28</w:t>
      </w:r>
      <w:proofErr w:type="gramEnd"/>
      <w:r w:rsidR="00A9036D" w:rsidRPr="00183752">
        <w:t>(2):141-62.</w:t>
      </w:r>
    </w:p>
    <w:p w:rsidR="00CD2DBD" w:rsidRPr="00183752" w:rsidRDefault="00CD2DBD" w:rsidP="00CD2DBD">
      <w:pPr>
        <w:spacing w:line="360" w:lineRule="auto"/>
      </w:pPr>
      <w:r w:rsidRPr="00183752">
        <w:t xml:space="preserve">12. </w:t>
      </w:r>
      <w:proofErr w:type="spellStart"/>
      <w:r w:rsidRPr="00183752">
        <w:t>Hoogendoorn</w:t>
      </w:r>
      <w:proofErr w:type="spellEnd"/>
      <w:r w:rsidRPr="00183752">
        <w:t xml:space="preserve"> WE, </w:t>
      </w:r>
      <w:proofErr w:type="spellStart"/>
      <w:r w:rsidRPr="00183752">
        <w:t>Bongers</w:t>
      </w:r>
      <w:proofErr w:type="spellEnd"/>
      <w:r w:rsidRPr="00183752">
        <w:t xml:space="preserve"> PM, de Vet HC, </w:t>
      </w:r>
      <w:proofErr w:type="gramStart"/>
      <w:r w:rsidRPr="00183752">
        <w:t>et</w:t>
      </w:r>
      <w:proofErr w:type="gramEnd"/>
      <w:r w:rsidRPr="00183752">
        <w:t xml:space="preserve"> al. High physical work load and low job satisfaction increase the risk of sickness absence due to low back pain: results of a prospective cohort study. </w:t>
      </w:r>
      <w:proofErr w:type="spellStart"/>
      <w:r w:rsidR="00046BE5" w:rsidRPr="007D412E">
        <w:rPr>
          <w:i/>
        </w:rPr>
        <w:t>Occup</w:t>
      </w:r>
      <w:proofErr w:type="spellEnd"/>
      <w:r w:rsidR="00046BE5" w:rsidRPr="007D412E">
        <w:rPr>
          <w:i/>
        </w:rPr>
        <w:t xml:space="preserve"> Environ Med</w:t>
      </w:r>
      <w:r w:rsidRPr="00183752">
        <w:t xml:space="preserve"> 2002</w:t>
      </w:r>
      <w:proofErr w:type="gramStart"/>
      <w:r w:rsidRPr="00183752">
        <w:t>;59</w:t>
      </w:r>
      <w:proofErr w:type="gramEnd"/>
      <w:r w:rsidRPr="00183752">
        <w:t>(5):323-8.</w:t>
      </w:r>
    </w:p>
    <w:p w:rsidR="00CD2DBD" w:rsidRPr="00183752" w:rsidRDefault="00CD2DBD" w:rsidP="00CD2DBD">
      <w:pPr>
        <w:spacing w:line="360" w:lineRule="auto"/>
      </w:pPr>
      <w:r w:rsidRPr="00183752">
        <w:t xml:space="preserve">13. </w:t>
      </w:r>
      <w:proofErr w:type="spellStart"/>
      <w:r w:rsidRPr="00183752">
        <w:t>Bockerman</w:t>
      </w:r>
      <w:proofErr w:type="spellEnd"/>
      <w:r w:rsidRPr="00183752">
        <w:t xml:space="preserve"> P, </w:t>
      </w:r>
      <w:proofErr w:type="spellStart"/>
      <w:r w:rsidRPr="00183752">
        <w:t>Ilmakunnas</w:t>
      </w:r>
      <w:proofErr w:type="spellEnd"/>
      <w:r w:rsidRPr="00183752">
        <w:t xml:space="preserve"> P. Interaction of working conditions, job satisfaction, and sickness absences: evidence from a representative sample of employees. </w:t>
      </w:r>
      <w:proofErr w:type="spellStart"/>
      <w:r w:rsidR="00A9036D" w:rsidRPr="007D412E">
        <w:rPr>
          <w:i/>
        </w:rPr>
        <w:t>Soc</w:t>
      </w:r>
      <w:proofErr w:type="spellEnd"/>
      <w:r w:rsidR="00A9036D" w:rsidRPr="007D412E">
        <w:rPr>
          <w:i/>
        </w:rPr>
        <w:t xml:space="preserve"> </w:t>
      </w:r>
      <w:proofErr w:type="spellStart"/>
      <w:r w:rsidR="00A9036D" w:rsidRPr="007D412E">
        <w:rPr>
          <w:i/>
        </w:rPr>
        <w:t>Sci</w:t>
      </w:r>
      <w:proofErr w:type="spellEnd"/>
      <w:r w:rsidR="00A9036D" w:rsidRPr="007D412E">
        <w:rPr>
          <w:i/>
        </w:rPr>
        <w:t xml:space="preserve"> Med</w:t>
      </w:r>
      <w:r w:rsidR="00A9036D" w:rsidRPr="00183752">
        <w:t xml:space="preserve"> </w:t>
      </w:r>
      <w:r w:rsidRPr="00183752">
        <w:t>2008</w:t>
      </w:r>
      <w:proofErr w:type="gramStart"/>
      <w:r w:rsidRPr="00183752">
        <w:t>;67</w:t>
      </w:r>
      <w:proofErr w:type="gramEnd"/>
      <w:r w:rsidRPr="00183752">
        <w:t>(4):520-8.</w:t>
      </w:r>
    </w:p>
    <w:p w:rsidR="00CD2DBD" w:rsidRPr="00183752" w:rsidRDefault="00CD2DBD" w:rsidP="00CD2DBD">
      <w:pPr>
        <w:spacing w:line="360" w:lineRule="auto"/>
      </w:pPr>
      <w:r w:rsidRPr="00183752">
        <w:t xml:space="preserve">14. </w:t>
      </w:r>
      <w:proofErr w:type="spellStart"/>
      <w:r w:rsidRPr="00183752">
        <w:t>Roelen</w:t>
      </w:r>
      <w:proofErr w:type="spellEnd"/>
      <w:r w:rsidRPr="00183752">
        <w:t xml:space="preserve"> CA, Koopmans PC, </w:t>
      </w:r>
      <w:proofErr w:type="spellStart"/>
      <w:r w:rsidRPr="00183752">
        <w:t>Notenbomer</w:t>
      </w:r>
      <w:proofErr w:type="spellEnd"/>
      <w:r w:rsidRPr="00183752">
        <w:t xml:space="preserve"> A, et al. Job satisfaction and sickness absence: a questionnaire</w:t>
      </w:r>
      <w:r w:rsidR="00046BE5" w:rsidRPr="00183752">
        <w:t xml:space="preserve"> survey. </w:t>
      </w:r>
      <w:proofErr w:type="spellStart"/>
      <w:r w:rsidR="00046BE5" w:rsidRPr="007D412E">
        <w:rPr>
          <w:i/>
        </w:rPr>
        <w:t>Occup</w:t>
      </w:r>
      <w:proofErr w:type="spellEnd"/>
      <w:r w:rsidR="00046BE5" w:rsidRPr="007D412E">
        <w:rPr>
          <w:i/>
        </w:rPr>
        <w:t xml:space="preserve"> Med</w:t>
      </w:r>
      <w:r w:rsidR="00046BE5" w:rsidRPr="00183752">
        <w:t xml:space="preserve"> </w:t>
      </w:r>
      <w:r w:rsidRPr="00183752">
        <w:t>2008</w:t>
      </w:r>
      <w:proofErr w:type="gramStart"/>
      <w:r w:rsidRPr="00183752">
        <w:t>;58</w:t>
      </w:r>
      <w:proofErr w:type="gramEnd"/>
      <w:r w:rsidRPr="00183752">
        <w:t>(8):567-71.</w:t>
      </w:r>
    </w:p>
    <w:p w:rsidR="00A9036D" w:rsidRPr="00183752" w:rsidRDefault="00CD2DBD" w:rsidP="00A9036D">
      <w:pPr>
        <w:spacing w:line="360" w:lineRule="auto"/>
      </w:pPr>
      <w:r w:rsidRPr="00183752">
        <w:lastRenderedPageBreak/>
        <w:t xml:space="preserve">15. </w:t>
      </w:r>
      <w:r w:rsidR="00A9036D" w:rsidRPr="00183752">
        <w:t>Evans S, Huxley P, Gately C, et al. Mental health, burnout and job satisfaction among mental health social workers in England and Wales. Br J Psychiatry 2006</w:t>
      </w:r>
      <w:proofErr w:type="gramStart"/>
      <w:r w:rsidR="00A9036D" w:rsidRPr="00183752">
        <w:t>;188:75</w:t>
      </w:r>
      <w:proofErr w:type="gramEnd"/>
      <w:r w:rsidR="00A9036D" w:rsidRPr="00183752">
        <w:t>-80.</w:t>
      </w:r>
    </w:p>
    <w:p w:rsidR="00A9036D" w:rsidRPr="00183752" w:rsidRDefault="00A9036D" w:rsidP="00A9036D">
      <w:pPr>
        <w:spacing w:line="360" w:lineRule="auto"/>
      </w:pPr>
      <w:r w:rsidRPr="00183752">
        <w:t xml:space="preserve">16. Van Ham I, </w:t>
      </w:r>
      <w:proofErr w:type="spellStart"/>
      <w:r w:rsidRPr="00183752">
        <w:t>Verhoeven</w:t>
      </w:r>
      <w:proofErr w:type="spellEnd"/>
      <w:r w:rsidRPr="00183752">
        <w:t xml:space="preserve"> AA, </w:t>
      </w:r>
      <w:proofErr w:type="spellStart"/>
      <w:r w:rsidRPr="00183752">
        <w:t>Groenier</w:t>
      </w:r>
      <w:proofErr w:type="spellEnd"/>
      <w:r w:rsidRPr="00183752">
        <w:t xml:space="preserve"> KH, </w:t>
      </w:r>
      <w:proofErr w:type="gramStart"/>
      <w:r w:rsidRPr="00183752">
        <w:t>et</w:t>
      </w:r>
      <w:proofErr w:type="gramEnd"/>
      <w:r w:rsidRPr="00183752">
        <w:t xml:space="preserve"> al. Job satisfaction among general practitioners: a systematic literature review. </w:t>
      </w:r>
      <w:proofErr w:type="spellStart"/>
      <w:r w:rsidRPr="007D412E">
        <w:rPr>
          <w:i/>
        </w:rPr>
        <w:t>Eur</w:t>
      </w:r>
      <w:proofErr w:type="spellEnd"/>
      <w:r w:rsidR="00A44689" w:rsidRPr="007D412E">
        <w:rPr>
          <w:i/>
        </w:rPr>
        <w:t xml:space="preserve"> </w:t>
      </w:r>
      <w:r w:rsidRPr="007D412E">
        <w:rPr>
          <w:i/>
        </w:rPr>
        <w:t xml:space="preserve">J Gen </w:t>
      </w:r>
      <w:proofErr w:type="spellStart"/>
      <w:r w:rsidRPr="007D412E">
        <w:rPr>
          <w:i/>
        </w:rPr>
        <w:t>Pract</w:t>
      </w:r>
      <w:proofErr w:type="spellEnd"/>
      <w:r w:rsidRPr="00183752">
        <w:t xml:space="preserve"> 2006</w:t>
      </w:r>
      <w:proofErr w:type="gramStart"/>
      <w:r w:rsidRPr="00183752">
        <w:t>;12</w:t>
      </w:r>
      <w:proofErr w:type="gramEnd"/>
      <w:r w:rsidRPr="00183752">
        <w:t>(4):174-80.</w:t>
      </w:r>
    </w:p>
    <w:p w:rsidR="00CD2DBD" w:rsidRPr="00183752" w:rsidRDefault="00A9036D" w:rsidP="00CD2DBD">
      <w:pPr>
        <w:spacing w:line="360" w:lineRule="auto"/>
      </w:pPr>
      <w:r w:rsidRPr="00183752">
        <w:t xml:space="preserve">17. </w:t>
      </w:r>
      <w:proofErr w:type="spellStart"/>
      <w:r w:rsidR="00CD2DBD" w:rsidRPr="00183752">
        <w:t>Faragher</w:t>
      </w:r>
      <w:proofErr w:type="spellEnd"/>
      <w:r w:rsidR="00CD2DBD" w:rsidRPr="00183752">
        <w:t xml:space="preserve"> EB, Cass M, Cooper CL. The relationship between job satisfaction and health: a meta-analysis. </w:t>
      </w:r>
      <w:proofErr w:type="spellStart"/>
      <w:r w:rsidR="00046BE5" w:rsidRPr="007D412E">
        <w:rPr>
          <w:i/>
        </w:rPr>
        <w:t>Occup</w:t>
      </w:r>
      <w:proofErr w:type="spellEnd"/>
      <w:r w:rsidR="00046BE5" w:rsidRPr="007D412E">
        <w:rPr>
          <w:i/>
        </w:rPr>
        <w:t xml:space="preserve"> Environ Med</w:t>
      </w:r>
      <w:r w:rsidR="00CD2DBD" w:rsidRPr="00183752">
        <w:t xml:space="preserve"> 2005</w:t>
      </w:r>
      <w:proofErr w:type="gramStart"/>
      <w:r w:rsidR="00CD2DBD" w:rsidRPr="00183752">
        <w:t>;62</w:t>
      </w:r>
      <w:proofErr w:type="gramEnd"/>
      <w:r w:rsidR="00CD2DBD" w:rsidRPr="00183752">
        <w:t>(2):105-12.</w:t>
      </w:r>
    </w:p>
    <w:p w:rsidR="00CD2DBD" w:rsidRPr="00183752" w:rsidRDefault="00CD2DBD" w:rsidP="00CD2DBD">
      <w:pPr>
        <w:spacing w:line="360" w:lineRule="auto"/>
      </w:pPr>
      <w:r w:rsidRPr="00183752">
        <w:t xml:space="preserve">18. Palmer KT, Walker-Bone K, Harris EC, et al. Health and Employment after Fifty (HEAF): a new prospective cohort study. </w:t>
      </w:r>
      <w:r w:rsidRPr="007D412E">
        <w:rPr>
          <w:i/>
        </w:rPr>
        <w:t xml:space="preserve">BMC </w:t>
      </w:r>
      <w:r w:rsidR="00046BE5" w:rsidRPr="007D412E">
        <w:rPr>
          <w:i/>
        </w:rPr>
        <w:t>Public Health</w:t>
      </w:r>
      <w:r w:rsidRPr="00183752">
        <w:t xml:space="preserve"> 2015</w:t>
      </w:r>
      <w:proofErr w:type="gramStart"/>
      <w:r w:rsidRPr="00183752">
        <w:t>;15</w:t>
      </w:r>
      <w:proofErr w:type="gramEnd"/>
      <w:r w:rsidRPr="00183752">
        <w:t>(1):1071.</w:t>
      </w:r>
    </w:p>
    <w:p w:rsidR="00CD2DBD" w:rsidRPr="00183752" w:rsidRDefault="00A9036D" w:rsidP="00CD2DBD">
      <w:pPr>
        <w:spacing w:line="360" w:lineRule="auto"/>
      </w:pPr>
      <w:r w:rsidRPr="00183752">
        <w:t>19</w:t>
      </w:r>
      <w:r w:rsidR="00CD2DBD" w:rsidRPr="00183752">
        <w:t>.</w:t>
      </w:r>
      <w:r w:rsidR="005475E7" w:rsidRPr="00183752">
        <w:t xml:space="preserve"> Department for Communities and Local Government. </w:t>
      </w:r>
      <w:proofErr w:type="gramStart"/>
      <w:r w:rsidR="005475E7" w:rsidRPr="00183752">
        <w:t>English Indices of Deprivation 2010.</w:t>
      </w:r>
      <w:proofErr w:type="gramEnd"/>
      <w:r w:rsidR="005475E7" w:rsidRPr="00183752">
        <w:t xml:space="preserve"> Neighbourhoods Statistical Release, 24/11/2011, ISBN 9781409829249. </w:t>
      </w:r>
      <w:hyperlink r:id="rId12" w:history="1">
        <w:r w:rsidR="005475E7" w:rsidRPr="00183752">
          <w:rPr>
            <w:rStyle w:val="Hyperlink"/>
          </w:rPr>
          <w:t>https://www.gov.uk/government/statistics/english-indices-of-deprivation-2010</w:t>
        </w:r>
      </w:hyperlink>
      <w:r w:rsidR="005475E7" w:rsidRPr="00183752">
        <w:t xml:space="preserve"> (accessed </w:t>
      </w:r>
      <w:r w:rsidR="00D066E5">
        <w:t>19/01/16</w:t>
      </w:r>
      <w:r w:rsidR="005475E7" w:rsidRPr="00183752">
        <w:t>)</w:t>
      </w:r>
      <w:r w:rsidR="00046BE5" w:rsidRPr="00183752">
        <w:t xml:space="preserve"> </w:t>
      </w:r>
      <w:r w:rsidR="00CD2DBD" w:rsidRPr="00183752">
        <w:t xml:space="preserve"> </w:t>
      </w:r>
    </w:p>
    <w:p w:rsidR="00CD2DBD" w:rsidRPr="00183752" w:rsidRDefault="00CD2DBD" w:rsidP="00CD2DBD">
      <w:pPr>
        <w:spacing w:line="360" w:lineRule="auto"/>
      </w:pPr>
      <w:r w:rsidRPr="00183752">
        <w:t>2</w:t>
      </w:r>
      <w:r w:rsidR="00A9036D" w:rsidRPr="00183752">
        <w:t>0</w:t>
      </w:r>
      <w:r w:rsidRPr="00183752">
        <w:t xml:space="preserve">. </w:t>
      </w:r>
      <w:r w:rsidR="00183752" w:rsidRPr="00183752">
        <w:t xml:space="preserve">Eriksson I, </w:t>
      </w:r>
      <w:proofErr w:type="spellStart"/>
      <w:r w:rsidR="00183752" w:rsidRPr="00183752">
        <w:t>Unden</w:t>
      </w:r>
      <w:proofErr w:type="spellEnd"/>
      <w:r w:rsidR="00183752" w:rsidRPr="00183752">
        <w:t xml:space="preserve"> A-L, </w:t>
      </w:r>
      <w:proofErr w:type="spellStart"/>
      <w:r w:rsidR="00183752" w:rsidRPr="00183752">
        <w:t>Elofsson</w:t>
      </w:r>
      <w:proofErr w:type="spellEnd"/>
      <w:r w:rsidR="00183752" w:rsidRPr="00183752">
        <w:t xml:space="preserve"> S. Self-rated health. </w:t>
      </w:r>
      <w:proofErr w:type="gramStart"/>
      <w:r w:rsidR="00183752" w:rsidRPr="00183752">
        <w:t>Comparisons between three different measures.</w:t>
      </w:r>
      <w:proofErr w:type="gramEnd"/>
      <w:r w:rsidR="00183752" w:rsidRPr="00183752">
        <w:t xml:space="preserve"> Results from a population study. </w:t>
      </w:r>
      <w:proofErr w:type="spellStart"/>
      <w:r w:rsidR="00183752" w:rsidRPr="007D412E">
        <w:rPr>
          <w:i/>
        </w:rPr>
        <w:t>Int</w:t>
      </w:r>
      <w:proofErr w:type="spellEnd"/>
      <w:r w:rsidR="00183752" w:rsidRPr="007D412E">
        <w:rPr>
          <w:i/>
        </w:rPr>
        <w:t xml:space="preserve"> J </w:t>
      </w:r>
      <w:proofErr w:type="spellStart"/>
      <w:r w:rsidR="00183752" w:rsidRPr="007D412E">
        <w:rPr>
          <w:i/>
        </w:rPr>
        <w:t>Epidemiol</w:t>
      </w:r>
      <w:proofErr w:type="spellEnd"/>
      <w:r w:rsidR="00183752" w:rsidRPr="00183752">
        <w:t xml:space="preserve"> 2001</w:t>
      </w:r>
      <w:proofErr w:type="gramStart"/>
      <w:r w:rsidR="00183752" w:rsidRPr="00183752">
        <w:t>;30:326</w:t>
      </w:r>
      <w:proofErr w:type="gramEnd"/>
      <w:r w:rsidR="00183752" w:rsidRPr="00183752">
        <w:t>-33.</w:t>
      </w:r>
    </w:p>
    <w:p w:rsidR="00CD2DBD" w:rsidRPr="00183752" w:rsidRDefault="00A9036D" w:rsidP="00CD2DBD">
      <w:pPr>
        <w:spacing w:line="360" w:lineRule="auto"/>
      </w:pPr>
      <w:r w:rsidRPr="00183752">
        <w:t>21</w:t>
      </w:r>
      <w:r w:rsidR="00CD2DBD" w:rsidRPr="00183752">
        <w:t xml:space="preserve">. </w:t>
      </w:r>
      <w:proofErr w:type="spellStart"/>
      <w:r w:rsidR="00CD2DBD" w:rsidRPr="00183752">
        <w:t>Radloff</w:t>
      </w:r>
      <w:proofErr w:type="spellEnd"/>
      <w:r w:rsidR="00CD2DBD" w:rsidRPr="00183752">
        <w:t xml:space="preserve"> LS. The CES-D </w:t>
      </w:r>
      <w:proofErr w:type="gramStart"/>
      <w:r w:rsidR="00CD2DBD" w:rsidRPr="00183752">
        <w:t>scale</w:t>
      </w:r>
      <w:proofErr w:type="gramEnd"/>
      <w:r w:rsidR="00CD2DBD" w:rsidRPr="00183752">
        <w:t xml:space="preserve"> a self-report depression scale for research in the general population. </w:t>
      </w:r>
      <w:proofErr w:type="spellStart"/>
      <w:r w:rsidR="00046BE5" w:rsidRPr="007D412E">
        <w:rPr>
          <w:i/>
        </w:rPr>
        <w:t>Appl</w:t>
      </w:r>
      <w:proofErr w:type="spellEnd"/>
      <w:r w:rsidR="00046BE5" w:rsidRPr="007D412E">
        <w:rPr>
          <w:i/>
        </w:rPr>
        <w:t xml:space="preserve"> Psychol </w:t>
      </w:r>
      <w:proofErr w:type="spellStart"/>
      <w:r w:rsidR="00046BE5" w:rsidRPr="007D412E">
        <w:rPr>
          <w:i/>
        </w:rPr>
        <w:t>Meas</w:t>
      </w:r>
      <w:proofErr w:type="spellEnd"/>
      <w:r w:rsidR="00CD2DBD" w:rsidRPr="00183752">
        <w:t xml:space="preserve"> 1977</w:t>
      </w:r>
      <w:proofErr w:type="gramStart"/>
      <w:r w:rsidR="00CD2DBD" w:rsidRPr="00183752">
        <w:t>;1</w:t>
      </w:r>
      <w:proofErr w:type="gramEnd"/>
      <w:r w:rsidR="00CD2DBD" w:rsidRPr="00183752">
        <w:t>(3):385-401.</w:t>
      </w:r>
    </w:p>
    <w:p w:rsidR="00CD2DBD" w:rsidRPr="00183752" w:rsidRDefault="00A9036D" w:rsidP="00CD2DBD">
      <w:pPr>
        <w:spacing w:line="360" w:lineRule="auto"/>
      </w:pPr>
      <w:r w:rsidRPr="00183752">
        <w:t>22</w:t>
      </w:r>
      <w:r w:rsidR="00CD2DBD" w:rsidRPr="00183752">
        <w:t xml:space="preserve">. Tennant R, Hiller L, </w:t>
      </w:r>
      <w:proofErr w:type="spellStart"/>
      <w:r w:rsidR="00CD2DBD" w:rsidRPr="00183752">
        <w:t>Fishwick</w:t>
      </w:r>
      <w:proofErr w:type="spellEnd"/>
      <w:r w:rsidR="00CD2DBD" w:rsidRPr="00183752">
        <w:t xml:space="preserve"> R, et al. The Warwick-Edinburgh mental well-being scale (WEMWBS): development and UK val</w:t>
      </w:r>
      <w:r w:rsidR="00046BE5" w:rsidRPr="00183752">
        <w:t xml:space="preserve">idation. </w:t>
      </w:r>
      <w:r w:rsidR="00046BE5" w:rsidRPr="007D412E">
        <w:rPr>
          <w:i/>
        </w:rPr>
        <w:t xml:space="preserve">Health </w:t>
      </w:r>
      <w:proofErr w:type="spellStart"/>
      <w:r w:rsidR="00046BE5" w:rsidRPr="007D412E">
        <w:rPr>
          <w:i/>
        </w:rPr>
        <w:t>Qual</w:t>
      </w:r>
      <w:proofErr w:type="spellEnd"/>
      <w:r w:rsidR="00046BE5" w:rsidRPr="007D412E">
        <w:rPr>
          <w:i/>
        </w:rPr>
        <w:t xml:space="preserve"> L</w:t>
      </w:r>
      <w:r w:rsidR="00CD2DBD" w:rsidRPr="007D412E">
        <w:rPr>
          <w:i/>
        </w:rPr>
        <w:t>ife Outcomes</w:t>
      </w:r>
      <w:r w:rsidR="00CD2DBD" w:rsidRPr="00183752">
        <w:t xml:space="preserve"> 2007</w:t>
      </w:r>
      <w:proofErr w:type="gramStart"/>
      <w:r w:rsidR="00CD2DBD" w:rsidRPr="00183752">
        <w:t>;5</w:t>
      </w:r>
      <w:proofErr w:type="gramEnd"/>
      <w:r w:rsidR="00CD2DBD" w:rsidRPr="00183752">
        <w:t>(1):63.</w:t>
      </w:r>
    </w:p>
    <w:p w:rsidR="00A64273" w:rsidRPr="00183752" w:rsidRDefault="00A64273" w:rsidP="00CD2DBD">
      <w:pPr>
        <w:spacing w:line="360" w:lineRule="auto"/>
      </w:pPr>
      <w:r w:rsidRPr="00183752">
        <w:t xml:space="preserve">23. </w:t>
      </w:r>
      <w:proofErr w:type="spellStart"/>
      <w:r w:rsidR="00A93FBF" w:rsidRPr="00183752">
        <w:t>Wanous</w:t>
      </w:r>
      <w:proofErr w:type="spellEnd"/>
      <w:r w:rsidR="00A93FBF" w:rsidRPr="00183752">
        <w:t xml:space="preserve"> JP, </w:t>
      </w:r>
      <w:proofErr w:type="spellStart"/>
      <w:r w:rsidR="00A93FBF" w:rsidRPr="00183752">
        <w:t>Reichers</w:t>
      </w:r>
      <w:proofErr w:type="spellEnd"/>
      <w:r w:rsidR="00A93FBF" w:rsidRPr="00183752">
        <w:t xml:space="preserve"> AE, </w:t>
      </w:r>
      <w:proofErr w:type="spellStart"/>
      <w:r w:rsidR="00A93FBF" w:rsidRPr="00183752">
        <w:t>Hudy</w:t>
      </w:r>
      <w:proofErr w:type="spellEnd"/>
      <w:r w:rsidR="00A93FBF" w:rsidRPr="00183752">
        <w:t xml:space="preserve"> MJ. Overall job satisfaction: how good are single-item measures? </w:t>
      </w:r>
      <w:r w:rsidR="00A93FBF" w:rsidRPr="007D412E">
        <w:rPr>
          <w:i/>
        </w:rPr>
        <w:t xml:space="preserve">J </w:t>
      </w:r>
      <w:proofErr w:type="spellStart"/>
      <w:r w:rsidR="00A93FBF" w:rsidRPr="007D412E">
        <w:rPr>
          <w:i/>
        </w:rPr>
        <w:t>Appl</w:t>
      </w:r>
      <w:proofErr w:type="spellEnd"/>
      <w:r w:rsidR="00A93FBF" w:rsidRPr="007D412E">
        <w:rPr>
          <w:i/>
        </w:rPr>
        <w:t xml:space="preserve"> </w:t>
      </w:r>
      <w:r w:rsidR="00A44689" w:rsidRPr="007D412E">
        <w:rPr>
          <w:i/>
        </w:rPr>
        <w:t>P</w:t>
      </w:r>
      <w:r w:rsidR="00A93FBF" w:rsidRPr="007D412E">
        <w:rPr>
          <w:i/>
        </w:rPr>
        <w:t>sychol</w:t>
      </w:r>
      <w:r w:rsidR="00A93FBF" w:rsidRPr="00183752">
        <w:t xml:space="preserve"> 1997</w:t>
      </w:r>
      <w:proofErr w:type="gramStart"/>
      <w:r w:rsidR="00A93FBF" w:rsidRPr="00183752">
        <w:t>;82</w:t>
      </w:r>
      <w:proofErr w:type="gramEnd"/>
      <w:r w:rsidR="00A93FBF" w:rsidRPr="00183752">
        <w:t>(2):247-52.</w:t>
      </w:r>
    </w:p>
    <w:p w:rsidR="00A64273" w:rsidRPr="00183752" w:rsidRDefault="00A64273" w:rsidP="00CD2DBD">
      <w:pPr>
        <w:spacing w:line="360" w:lineRule="auto"/>
      </w:pPr>
      <w:r w:rsidRPr="00183752">
        <w:t>24. Spector PE Job satisfaction: Application, assessment, causes and consequences. Thousand Oaks, CA: SAGE</w:t>
      </w:r>
      <w:r w:rsidR="00C034F9" w:rsidRPr="00183752">
        <w:t>, 1997.</w:t>
      </w:r>
    </w:p>
    <w:p w:rsidR="00A64273" w:rsidRPr="00183752" w:rsidRDefault="00A64273" w:rsidP="00CD2DBD">
      <w:pPr>
        <w:spacing w:line="360" w:lineRule="auto"/>
      </w:pPr>
      <w:r w:rsidRPr="00183752">
        <w:t xml:space="preserve">25. </w:t>
      </w:r>
      <w:r w:rsidR="00C034F9" w:rsidRPr="00183752">
        <w:t xml:space="preserve">Hulin CL, Judge T A. Job attitudes. In: </w:t>
      </w:r>
      <w:proofErr w:type="spellStart"/>
      <w:r w:rsidR="00C034F9" w:rsidRPr="00183752">
        <w:t>Borman</w:t>
      </w:r>
      <w:proofErr w:type="spellEnd"/>
      <w:r w:rsidR="00C034F9" w:rsidRPr="00183752">
        <w:t xml:space="preserve"> WC, </w:t>
      </w:r>
      <w:proofErr w:type="spellStart"/>
      <w:r w:rsidR="00C034F9" w:rsidRPr="00183752">
        <w:t>Ligen</w:t>
      </w:r>
      <w:proofErr w:type="spellEnd"/>
      <w:r w:rsidR="00C034F9" w:rsidRPr="00183752">
        <w:t xml:space="preserve"> DR, </w:t>
      </w:r>
      <w:proofErr w:type="spellStart"/>
      <w:r w:rsidR="00C034F9" w:rsidRPr="00183752">
        <w:t>Klimoski</w:t>
      </w:r>
      <w:proofErr w:type="spellEnd"/>
      <w:r w:rsidR="00C034F9" w:rsidRPr="00183752">
        <w:t xml:space="preserve"> RL (Eds.), Handbook of psychology: Industrial and organizational psychology. Hoboken, NJ: Wiley, 2003, pp. 255-76.</w:t>
      </w:r>
    </w:p>
    <w:p w:rsidR="00A64273" w:rsidRPr="00183752" w:rsidRDefault="00A64273" w:rsidP="00CD2DBD">
      <w:pPr>
        <w:spacing w:line="360" w:lineRule="auto"/>
      </w:pPr>
      <w:r w:rsidRPr="00183752">
        <w:t xml:space="preserve">26. </w:t>
      </w:r>
      <w:proofErr w:type="spellStart"/>
      <w:r w:rsidRPr="00183752">
        <w:t>Staw</w:t>
      </w:r>
      <w:proofErr w:type="spellEnd"/>
      <w:r w:rsidRPr="00183752">
        <w:t xml:space="preserve"> BM, Bell NE, Clausen JA. The dispositional approach to job attitudes: A lifetime longitudinal test. </w:t>
      </w:r>
      <w:proofErr w:type="spellStart"/>
      <w:r w:rsidRPr="007D412E">
        <w:rPr>
          <w:i/>
        </w:rPr>
        <w:t>Adm</w:t>
      </w:r>
      <w:proofErr w:type="spellEnd"/>
      <w:r w:rsidRPr="007D412E">
        <w:rPr>
          <w:i/>
        </w:rPr>
        <w:t xml:space="preserve"> </w:t>
      </w:r>
      <w:proofErr w:type="spellStart"/>
      <w:r w:rsidRPr="007D412E">
        <w:rPr>
          <w:i/>
        </w:rPr>
        <w:t>Sci</w:t>
      </w:r>
      <w:proofErr w:type="spellEnd"/>
      <w:r w:rsidRPr="007D412E">
        <w:rPr>
          <w:i/>
        </w:rPr>
        <w:t xml:space="preserve"> Q</w:t>
      </w:r>
      <w:r w:rsidRPr="00183752">
        <w:t xml:space="preserve"> 1986</w:t>
      </w:r>
      <w:proofErr w:type="gramStart"/>
      <w:r w:rsidRPr="00183752">
        <w:t>;31</w:t>
      </w:r>
      <w:proofErr w:type="gramEnd"/>
      <w:r w:rsidRPr="00183752">
        <w:t>(1):56–77.</w:t>
      </w:r>
    </w:p>
    <w:p w:rsidR="00C034F9" w:rsidRPr="00183752" w:rsidRDefault="00C034F9" w:rsidP="00CD2DBD">
      <w:pPr>
        <w:spacing w:line="360" w:lineRule="auto"/>
      </w:pPr>
      <w:r w:rsidRPr="00183752">
        <w:t xml:space="preserve">27. </w:t>
      </w:r>
      <w:r w:rsidR="00A93FBF" w:rsidRPr="00183752">
        <w:t xml:space="preserve">Evans S, Huxley P, Gately C, et al. Mental health, burnout and job satisfaction among mental health social workers in England and Wales. </w:t>
      </w:r>
      <w:r w:rsidR="00A93FBF" w:rsidRPr="007D412E">
        <w:rPr>
          <w:i/>
        </w:rPr>
        <w:t xml:space="preserve">Br </w:t>
      </w:r>
      <w:r w:rsidR="007D5900" w:rsidRPr="007D412E">
        <w:rPr>
          <w:i/>
        </w:rPr>
        <w:t>J Psychiatry</w:t>
      </w:r>
      <w:r w:rsidR="00A93FBF" w:rsidRPr="00183752">
        <w:t xml:space="preserve"> 2006</w:t>
      </w:r>
      <w:proofErr w:type="gramStart"/>
      <w:r w:rsidR="00A93FBF" w:rsidRPr="00183752">
        <w:t>;188:75</w:t>
      </w:r>
      <w:proofErr w:type="gramEnd"/>
      <w:r w:rsidR="00A93FBF" w:rsidRPr="00183752">
        <w:t>-80.</w:t>
      </w:r>
    </w:p>
    <w:p w:rsidR="00C034F9" w:rsidRPr="00183752" w:rsidRDefault="00C034F9" w:rsidP="00CD2DBD">
      <w:pPr>
        <w:spacing w:line="360" w:lineRule="auto"/>
      </w:pPr>
      <w:r w:rsidRPr="00183752">
        <w:t xml:space="preserve">28. </w:t>
      </w:r>
      <w:r w:rsidR="00A93FBF" w:rsidRPr="00183752">
        <w:t xml:space="preserve">Van Ham I, </w:t>
      </w:r>
      <w:proofErr w:type="spellStart"/>
      <w:r w:rsidR="00A93FBF" w:rsidRPr="00183752">
        <w:t>Verhoeven</w:t>
      </w:r>
      <w:proofErr w:type="spellEnd"/>
      <w:r w:rsidR="00A93FBF" w:rsidRPr="00183752">
        <w:t xml:space="preserve"> AA, </w:t>
      </w:r>
      <w:proofErr w:type="spellStart"/>
      <w:r w:rsidR="00A93FBF" w:rsidRPr="00183752">
        <w:t>Groenier</w:t>
      </w:r>
      <w:proofErr w:type="spellEnd"/>
      <w:r w:rsidR="00A93FBF" w:rsidRPr="00183752">
        <w:t xml:space="preserve"> KH, </w:t>
      </w:r>
      <w:proofErr w:type="gramStart"/>
      <w:r w:rsidR="00A93FBF" w:rsidRPr="00183752">
        <w:t>et</w:t>
      </w:r>
      <w:proofErr w:type="gramEnd"/>
      <w:r w:rsidR="00A93FBF" w:rsidRPr="00183752">
        <w:t xml:space="preserve"> al. Job satisfaction among general practitioners: a systematic literature review. </w:t>
      </w:r>
      <w:proofErr w:type="spellStart"/>
      <w:r w:rsidR="00A93FBF" w:rsidRPr="007D412E">
        <w:rPr>
          <w:i/>
        </w:rPr>
        <w:t>Eur</w:t>
      </w:r>
      <w:proofErr w:type="spellEnd"/>
      <w:r w:rsidR="00A93FBF" w:rsidRPr="007D412E">
        <w:rPr>
          <w:i/>
        </w:rPr>
        <w:t xml:space="preserve"> J Gen </w:t>
      </w:r>
      <w:proofErr w:type="spellStart"/>
      <w:r w:rsidR="00A93FBF" w:rsidRPr="007D412E">
        <w:rPr>
          <w:i/>
        </w:rPr>
        <w:t>Pract</w:t>
      </w:r>
      <w:proofErr w:type="spellEnd"/>
      <w:r w:rsidR="00A93FBF" w:rsidRPr="00183752">
        <w:t xml:space="preserve"> 2006</w:t>
      </w:r>
      <w:proofErr w:type="gramStart"/>
      <w:r w:rsidR="00A93FBF" w:rsidRPr="00183752">
        <w:t>;12</w:t>
      </w:r>
      <w:proofErr w:type="gramEnd"/>
      <w:r w:rsidR="00A93FBF" w:rsidRPr="00183752">
        <w:t>(4):174-80.</w:t>
      </w:r>
    </w:p>
    <w:p w:rsidR="000A2B20" w:rsidRPr="00183752" w:rsidRDefault="000A2B20" w:rsidP="00CD2DBD">
      <w:pPr>
        <w:spacing w:line="360" w:lineRule="auto"/>
      </w:pPr>
      <w:r w:rsidRPr="00183752">
        <w:t xml:space="preserve">29. </w:t>
      </w:r>
      <w:r w:rsidR="000D1120" w:rsidRPr="000D1120">
        <w:t>Adams</w:t>
      </w:r>
      <w:r w:rsidR="000D1120">
        <w:t xml:space="preserve"> A,</w:t>
      </w:r>
      <w:r w:rsidR="000D1120" w:rsidRPr="000D1120">
        <w:t xml:space="preserve"> Bond</w:t>
      </w:r>
      <w:r w:rsidR="000D1120">
        <w:t xml:space="preserve"> S</w:t>
      </w:r>
      <w:r w:rsidR="000D1120" w:rsidRPr="000D1120">
        <w:t xml:space="preserve">.  Hospital nurses’ job satisfaction, individual and organizational characteristics </w:t>
      </w:r>
      <w:r w:rsidR="000D1120" w:rsidRPr="007D412E">
        <w:rPr>
          <w:i/>
        </w:rPr>
        <w:t xml:space="preserve">J </w:t>
      </w:r>
      <w:proofErr w:type="spellStart"/>
      <w:r w:rsidR="000D1120" w:rsidRPr="007D412E">
        <w:rPr>
          <w:i/>
        </w:rPr>
        <w:t>Adv</w:t>
      </w:r>
      <w:proofErr w:type="spellEnd"/>
      <w:r w:rsidR="000D1120" w:rsidRPr="007D412E">
        <w:rPr>
          <w:i/>
        </w:rPr>
        <w:t xml:space="preserve"> </w:t>
      </w:r>
      <w:proofErr w:type="spellStart"/>
      <w:r w:rsidR="000D1120" w:rsidRPr="007D412E">
        <w:rPr>
          <w:i/>
        </w:rPr>
        <w:t>Nurs</w:t>
      </w:r>
      <w:proofErr w:type="spellEnd"/>
      <w:r w:rsidR="000D1120" w:rsidRPr="000D1120">
        <w:t xml:space="preserve"> 2000</w:t>
      </w:r>
      <w:proofErr w:type="gramStart"/>
      <w:r w:rsidR="007D5900">
        <w:t>;</w:t>
      </w:r>
      <w:r w:rsidR="000D1120" w:rsidRPr="000D1120">
        <w:t>32</w:t>
      </w:r>
      <w:r w:rsidR="000D1120">
        <w:t>:536</w:t>
      </w:r>
      <w:proofErr w:type="gramEnd"/>
      <w:r w:rsidR="000D1120">
        <w:t>–43.</w:t>
      </w:r>
      <w:r w:rsidR="000D1120" w:rsidRPr="000D1120">
        <w:t xml:space="preserve"> </w:t>
      </w:r>
    </w:p>
    <w:p w:rsidR="00C034F9" w:rsidRPr="00183752" w:rsidRDefault="000A2B20" w:rsidP="00CD2DBD">
      <w:pPr>
        <w:spacing w:line="360" w:lineRule="auto"/>
      </w:pPr>
      <w:r w:rsidRPr="00183752">
        <w:t>30</w:t>
      </w:r>
      <w:r w:rsidR="00C034F9" w:rsidRPr="00183752">
        <w:t xml:space="preserve">. </w:t>
      </w:r>
      <w:r w:rsidR="000D1120" w:rsidRPr="000D1120">
        <w:t>Brush</w:t>
      </w:r>
      <w:r w:rsidR="000D1120">
        <w:t xml:space="preserve"> DH</w:t>
      </w:r>
      <w:r w:rsidR="000D1120" w:rsidRPr="000D1120">
        <w:t xml:space="preserve">, </w:t>
      </w:r>
      <w:proofErr w:type="spellStart"/>
      <w:r w:rsidR="000D1120" w:rsidRPr="000D1120">
        <w:t>Moch</w:t>
      </w:r>
      <w:proofErr w:type="spellEnd"/>
      <w:r w:rsidR="000D1120">
        <w:t xml:space="preserve"> MK</w:t>
      </w:r>
      <w:r w:rsidR="000D1120" w:rsidRPr="000D1120">
        <w:t xml:space="preserve">, </w:t>
      </w:r>
      <w:proofErr w:type="spellStart"/>
      <w:r w:rsidR="000D1120" w:rsidRPr="000D1120">
        <w:t>Pooyan</w:t>
      </w:r>
      <w:proofErr w:type="spellEnd"/>
      <w:r w:rsidR="000D1120">
        <w:t xml:space="preserve"> A</w:t>
      </w:r>
      <w:r w:rsidR="000D1120" w:rsidRPr="000D1120">
        <w:t xml:space="preserve">. Individual demographic differences and job satisfaction. </w:t>
      </w:r>
      <w:r w:rsidR="000D1120" w:rsidRPr="007D412E">
        <w:rPr>
          <w:i/>
        </w:rPr>
        <w:t xml:space="preserve">J Organ </w:t>
      </w:r>
      <w:proofErr w:type="spellStart"/>
      <w:r w:rsidR="000D1120" w:rsidRPr="007D412E">
        <w:rPr>
          <w:i/>
        </w:rPr>
        <w:t>Behav</w:t>
      </w:r>
      <w:proofErr w:type="spellEnd"/>
      <w:r w:rsidR="000D1120" w:rsidRPr="000D1120">
        <w:t xml:space="preserve"> 1987</w:t>
      </w:r>
      <w:proofErr w:type="gramStart"/>
      <w:r w:rsidR="007D5900">
        <w:t>;</w:t>
      </w:r>
      <w:r w:rsidR="000D1120" w:rsidRPr="000D1120">
        <w:t>8</w:t>
      </w:r>
      <w:r w:rsidR="000D1120">
        <w:t>:139</w:t>
      </w:r>
      <w:proofErr w:type="gramEnd"/>
      <w:r w:rsidR="000D1120">
        <w:t>–55.</w:t>
      </w:r>
    </w:p>
    <w:p w:rsidR="00C034F9" w:rsidRPr="00183752" w:rsidRDefault="000A2B20" w:rsidP="00CD2DBD">
      <w:pPr>
        <w:spacing w:line="360" w:lineRule="auto"/>
      </w:pPr>
      <w:r w:rsidRPr="00183752">
        <w:t>31</w:t>
      </w:r>
      <w:r w:rsidR="00C034F9" w:rsidRPr="00183752">
        <w:t xml:space="preserve">. </w:t>
      </w:r>
      <w:proofErr w:type="spellStart"/>
      <w:r w:rsidR="005D562C" w:rsidRPr="00183752">
        <w:t>Gazioglu</w:t>
      </w:r>
      <w:proofErr w:type="spellEnd"/>
      <w:r w:rsidR="005D562C" w:rsidRPr="00183752">
        <w:t xml:space="preserve"> S, </w:t>
      </w:r>
      <w:proofErr w:type="spellStart"/>
      <w:r w:rsidR="005D562C" w:rsidRPr="00183752">
        <w:t>Tansel</w:t>
      </w:r>
      <w:proofErr w:type="spellEnd"/>
      <w:r w:rsidR="005D562C" w:rsidRPr="00183752">
        <w:t xml:space="preserve"> A. Job satisfaction in Britain: individual and job related factors. </w:t>
      </w:r>
      <w:proofErr w:type="spellStart"/>
      <w:r w:rsidR="005D562C" w:rsidRPr="007D412E">
        <w:rPr>
          <w:i/>
        </w:rPr>
        <w:t>Appl</w:t>
      </w:r>
      <w:proofErr w:type="spellEnd"/>
      <w:r w:rsidR="005D562C" w:rsidRPr="007D412E">
        <w:rPr>
          <w:i/>
        </w:rPr>
        <w:t xml:space="preserve"> Econ </w:t>
      </w:r>
      <w:r w:rsidR="005D562C" w:rsidRPr="00183752">
        <w:t>2006</w:t>
      </w:r>
      <w:proofErr w:type="gramStart"/>
      <w:r w:rsidR="005D562C" w:rsidRPr="00183752">
        <w:t>;38</w:t>
      </w:r>
      <w:proofErr w:type="gramEnd"/>
      <w:r w:rsidR="005D562C" w:rsidRPr="00183752">
        <w:t>(10):1163-71.</w:t>
      </w:r>
    </w:p>
    <w:p w:rsidR="000A2B20" w:rsidRDefault="000A2B20" w:rsidP="00CD2DBD">
      <w:pPr>
        <w:spacing w:line="360" w:lineRule="auto"/>
      </w:pPr>
      <w:r w:rsidRPr="00183752">
        <w:lastRenderedPageBreak/>
        <w:t>32</w:t>
      </w:r>
      <w:r w:rsidR="000C6C5D">
        <w:t>.</w:t>
      </w:r>
      <w:r w:rsidRPr="00183752">
        <w:t xml:space="preserve"> </w:t>
      </w:r>
      <w:r w:rsidR="000D1120">
        <w:t>Clark AE.</w:t>
      </w:r>
      <w:r w:rsidR="000D1120" w:rsidRPr="000D1120">
        <w:t xml:space="preserve">  </w:t>
      </w:r>
      <w:proofErr w:type="gramStart"/>
      <w:r w:rsidR="000D1120" w:rsidRPr="000D1120">
        <w:t xml:space="preserve">Job </w:t>
      </w:r>
      <w:r w:rsidR="000D1120">
        <w:t>s</w:t>
      </w:r>
      <w:r w:rsidR="000D1120" w:rsidRPr="000D1120">
        <w:t>atisfaction in Britain.</w:t>
      </w:r>
      <w:proofErr w:type="gramEnd"/>
      <w:r w:rsidR="000D1120" w:rsidRPr="000D1120">
        <w:t xml:space="preserve"> </w:t>
      </w:r>
      <w:r w:rsidR="000D1120" w:rsidRPr="007D412E">
        <w:rPr>
          <w:i/>
        </w:rPr>
        <w:t xml:space="preserve">Br J </w:t>
      </w:r>
      <w:proofErr w:type="spellStart"/>
      <w:r w:rsidR="000D1120" w:rsidRPr="007D412E">
        <w:rPr>
          <w:i/>
        </w:rPr>
        <w:t>Ind</w:t>
      </w:r>
      <w:proofErr w:type="spellEnd"/>
      <w:r w:rsidR="000D1120" w:rsidRPr="007D412E">
        <w:rPr>
          <w:i/>
        </w:rPr>
        <w:t xml:space="preserve"> </w:t>
      </w:r>
      <w:proofErr w:type="spellStart"/>
      <w:r w:rsidR="000D1120" w:rsidRPr="007D412E">
        <w:rPr>
          <w:i/>
        </w:rPr>
        <w:t>Relat</w:t>
      </w:r>
      <w:proofErr w:type="spellEnd"/>
      <w:r w:rsidR="000D1120" w:rsidRPr="000D1120">
        <w:t xml:space="preserve"> 1996</w:t>
      </w:r>
      <w:proofErr w:type="gramStart"/>
      <w:r w:rsidR="007D5900">
        <w:t>;</w:t>
      </w:r>
      <w:r w:rsidR="000D1120">
        <w:t>34:</w:t>
      </w:r>
      <w:r w:rsidR="000D1120" w:rsidRPr="000D1120">
        <w:t>189</w:t>
      </w:r>
      <w:proofErr w:type="gramEnd"/>
      <w:r w:rsidR="000D1120" w:rsidRPr="000D1120">
        <w:t>–217</w:t>
      </w:r>
      <w:r w:rsidR="000D1120">
        <w:t>.</w:t>
      </w:r>
      <w:r w:rsidR="000D1120" w:rsidRPr="000D1120">
        <w:t xml:space="preserve"> </w:t>
      </w:r>
    </w:p>
    <w:p w:rsidR="00877BE6" w:rsidRDefault="00877BE6" w:rsidP="00CD2DBD">
      <w:pPr>
        <w:spacing w:line="360" w:lineRule="auto"/>
      </w:pPr>
      <w:r>
        <w:t>33</w:t>
      </w:r>
      <w:r w:rsidR="000C6C5D">
        <w:t>.</w:t>
      </w:r>
      <w:r>
        <w:t xml:space="preserve"> </w:t>
      </w:r>
      <w:proofErr w:type="spellStart"/>
      <w:r w:rsidR="000D1120" w:rsidRPr="000D1120">
        <w:t>Eichar</w:t>
      </w:r>
      <w:proofErr w:type="spellEnd"/>
      <w:r w:rsidR="000D1120">
        <w:t xml:space="preserve"> DM</w:t>
      </w:r>
      <w:r w:rsidR="000D1120" w:rsidRPr="000D1120">
        <w:t>, Norland</w:t>
      </w:r>
      <w:r w:rsidR="000D1120">
        <w:t xml:space="preserve"> S</w:t>
      </w:r>
      <w:r w:rsidR="000D1120" w:rsidRPr="000D1120">
        <w:t>, Brady</w:t>
      </w:r>
      <w:r w:rsidR="000D1120">
        <w:t xml:space="preserve"> EM,</w:t>
      </w:r>
      <w:r w:rsidR="000D1120" w:rsidRPr="000D1120">
        <w:t xml:space="preserve"> </w:t>
      </w:r>
      <w:r w:rsidR="00C26808">
        <w:t>et al</w:t>
      </w:r>
      <w:r w:rsidR="000D1120" w:rsidRPr="000D1120">
        <w:t xml:space="preserve">. </w:t>
      </w:r>
      <w:proofErr w:type="gramStart"/>
      <w:r w:rsidR="000D1120" w:rsidRPr="000D1120">
        <w:t>The job satisfaction of older workers</w:t>
      </w:r>
      <w:r w:rsidR="00C940F9">
        <w:t>.</w:t>
      </w:r>
      <w:proofErr w:type="gramEnd"/>
      <w:r w:rsidR="000D1120" w:rsidRPr="000D1120">
        <w:t xml:space="preserve"> </w:t>
      </w:r>
      <w:r w:rsidR="000D1120" w:rsidRPr="007D412E">
        <w:rPr>
          <w:i/>
        </w:rPr>
        <w:t xml:space="preserve">J Organ </w:t>
      </w:r>
      <w:proofErr w:type="spellStart"/>
      <w:r w:rsidR="000D1120" w:rsidRPr="007D412E">
        <w:rPr>
          <w:i/>
        </w:rPr>
        <w:t>Behav</w:t>
      </w:r>
      <w:proofErr w:type="spellEnd"/>
      <w:r w:rsidR="000D1120" w:rsidRPr="007D412E">
        <w:rPr>
          <w:i/>
        </w:rPr>
        <w:t xml:space="preserve"> </w:t>
      </w:r>
      <w:r w:rsidR="000D1120" w:rsidRPr="000D1120">
        <w:t>1991</w:t>
      </w:r>
      <w:proofErr w:type="gramStart"/>
      <w:r w:rsidR="007D5900">
        <w:t>;</w:t>
      </w:r>
      <w:r w:rsidR="000D1120" w:rsidRPr="000D1120">
        <w:t>12</w:t>
      </w:r>
      <w:r w:rsidR="000D1120">
        <w:t>:609</w:t>
      </w:r>
      <w:proofErr w:type="gramEnd"/>
      <w:r w:rsidR="000D1120">
        <w:t>–20.</w:t>
      </w:r>
    </w:p>
    <w:p w:rsidR="00877BE6" w:rsidRDefault="00877BE6" w:rsidP="00CD2DBD">
      <w:pPr>
        <w:spacing w:line="360" w:lineRule="auto"/>
      </w:pPr>
      <w:r>
        <w:t>34</w:t>
      </w:r>
      <w:r w:rsidR="000C6C5D">
        <w:t>.</w:t>
      </w:r>
      <w:r>
        <w:t xml:space="preserve"> </w:t>
      </w:r>
      <w:r w:rsidR="00A93FBF" w:rsidRPr="00A93FBF">
        <w:t xml:space="preserve">Heaney CA, Israel BA, House JS. Chronic job insecurity among automobile workers: effects on job satisfaction and health. </w:t>
      </w:r>
      <w:proofErr w:type="spellStart"/>
      <w:r w:rsidR="00A93FBF" w:rsidRPr="007D412E">
        <w:rPr>
          <w:i/>
        </w:rPr>
        <w:t>Soc</w:t>
      </w:r>
      <w:proofErr w:type="spellEnd"/>
      <w:r w:rsidR="00A93FBF" w:rsidRPr="007D412E">
        <w:rPr>
          <w:i/>
        </w:rPr>
        <w:t xml:space="preserve"> </w:t>
      </w:r>
      <w:proofErr w:type="spellStart"/>
      <w:r w:rsidR="00A93FBF" w:rsidRPr="007D412E">
        <w:rPr>
          <w:i/>
        </w:rPr>
        <w:t>Sci</w:t>
      </w:r>
      <w:proofErr w:type="spellEnd"/>
      <w:r w:rsidR="00A93FBF" w:rsidRPr="007D412E">
        <w:rPr>
          <w:i/>
        </w:rPr>
        <w:t xml:space="preserve"> Med</w:t>
      </w:r>
      <w:r w:rsidR="00A93FBF" w:rsidRPr="00A93FBF">
        <w:t xml:space="preserve"> 1994</w:t>
      </w:r>
      <w:proofErr w:type="gramStart"/>
      <w:r w:rsidR="00A93FBF" w:rsidRPr="00A93FBF">
        <w:t>;38</w:t>
      </w:r>
      <w:proofErr w:type="gramEnd"/>
      <w:r w:rsidR="00A93FBF" w:rsidRPr="00A93FBF">
        <w:t>(10):1431-7.</w:t>
      </w:r>
    </w:p>
    <w:p w:rsidR="004F4FEC" w:rsidRDefault="0015589B" w:rsidP="0015589B">
      <w:pPr>
        <w:spacing w:line="360" w:lineRule="auto"/>
      </w:pPr>
      <w:r>
        <w:t>35</w:t>
      </w:r>
      <w:r w:rsidR="000C6C5D">
        <w:t>.</w:t>
      </w:r>
      <w:r>
        <w:t xml:space="preserve"> </w:t>
      </w:r>
      <w:r w:rsidR="004F4FEC">
        <w:t xml:space="preserve">De </w:t>
      </w:r>
      <w:proofErr w:type="spellStart"/>
      <w:r w:rsidR="004F4FEC">
        <w:t>Jonge</w:t>
      </w:r>
      <w:proofErr w:type="spellEnd"/>
      <w:r w:rsidR="004F4FEC">
        <w:t xml:space="preserve"> J, </w:t>
      </w:r>
      <w:proofErr w:type="spellStart"/>
      <w:r w:rsidR="004F4FEC">
        <w:t>Bosma</w:t>
      </w:r>
      <w:proofErr w:type="spellEnd"/>
      <w:r w:rsidR="004F4FEC">
        <w:t xml:space="preserve"> H, Peter R, </w:t>
      </w:r>
      <w:proofErr w:type="spellStart"/>
      <w:r w:rsidR="004F4FEC">
        <w:t>Siegrist</w:t>
      </w:r>
      <w:proofErr w:type="spellEnd"/>
      <w:r w:rsidR="004F4FEC">
        <w:t xml:space="preserve"> J. Job strain, effort-reward imbalance and employee well-being: a large scale cross-sectional study. </w:t>
      </w:r>
      <w:proofErr w:type="spellStart"/>
      <w:r w:rsidR="004F4FEC">
        <w:t>Soc</w:t>
      </w:r>
      <w:proofErr w:type="spellEnd"/>
      <w:r w:rsidR="004F4FEC">
        <w:t xml:space="preserve"> </w:t>
      </w:r>
      <w:proofErr w:type="spellStart"/>
      <w:r w:rsidR="004F4FEC">
        <w:t>Sci</w:t>
      </w:r>
      <w:proofErr w:type="spellEnd"/>
      <w:r w:rsidR="004F4FEC">
        <w:t xml:space="preserve"> Med 2000; 50: 1317-27.</w:t>
      </w:r>
    </w:p>
    <w:p w:rsidR="004123EE" w:rsidRDefault="004F4FEC" w:rsidP="0015589B">
      <w:pPr>
        <w:spacing w:line="360" w:lineRule="auto"/>
      </w:pPr>
      <w:r>
        <w:t xml:space="preserve">36. </w:t>
      </w:r>
      <w:proofErr w:type="spellStart"/>
      <w:r w:rsidR="004123EE">
        <w:t>Bonsang</w:t>
      </w:r>
      <w:proofErr w:type="spellEnd"/>
      <w:r w:rsidR="004123EE">
        <w:t xml:space="preserve"> E, van </w:t>
      </w:r>
      <w:proofErr w:type="spellStart"/>
      <w:r w:rsidR="004123EE">
        <w:t>Soest</w:t>
      </w:r>
      <w:proofErr w:type="spellEnd"/>
      <w:r w:rsidR="004123EE">
        <w:t xml:space="preserve"> A. Satisfaction with job and income among older individuals across European countries. </w:t>
      </w:r>
      <w:proofErr w:type="spellStart"/>
      <w:r w:rsidR="004123EE" w:rsidRPr="004123EE">
        <w:rPr>
          <w:i/>
        </w:rPr>
        <w:t>Soc</w:t>
      </w:r>
      <w:proofErr w:type="spellEnd"/>
      <w:r w:rsidR="004123EE" w:rsidRPr="004123EE">
        <w:rPr>
          <w:i/>
        </w:rPr>
        <w:t xml:space="preserve"> Indic</w:t>
      </w:r>
      <w:r w:rsidR="004123EE">
        <w:t xml:space="preserve"> 2012; 105: 227-254.</w:t>
      </w:r>
    </w:p>
    <w:p w:rsidR="0015589B" w:rsidRDefault="004123EE" w:rsidP="0015589B">
      <w:pPr>
        <w:spacing w:line="360" w:lineRule="auto"/>
      </w:pPr>
      <w:r>
        <w:t>3</w:t>
      </w:r>
      <w:r w:rsidR="004F4FEC">
        <w:t>7</w:t>
      </w:r>
      <w:r>
        <w:t xml:space="preserve">. </w:t>
      </w:r>
      <w:proofErr w:type="spellStart"/>
      <w:r w:rsidR="0015589B">
        <w:t>Siegrist</w:t>
      </w:r>
      <w:proofErr w:type="spellEnd"/>
      <w:r w:rsidR="0015589B">
        <w:t xml:space="preserve"> JO, </w:t>
      </w:r>
      <w:r w:rsidR="006C11FF">
        <w:t xml:space="preserve">von </w:t>
      </w:r>
      <w:proofErr w:type="spellStart"/>
      <w:r w:rsidR="006C11FF">
        <w:t>dem</w:t>
      </w:r>
      <w:proofErr w:type="spellEnd"/>
      <w:r w:rsidR="006C11FF">
        <w:t xml:space="preserve"> </w:t>
      </w:r>
      <w:proofErr w:type="spellStart"/>
      <w:r w:rsidR="0015589B">
        <w:t>Knesebeck</w:t>
      </w:r>
      <w:proofErr w:type="spellEnd"/>
      <w:r w:rsidR="0015589B">
        <w:t xml:space="preserve"> </w:t>
      </w:r>
      <w:r w:rsidR="006C11FF">
        <w:t>O</w:t>
      </w:r>
      <w:r w:rsidR="0015589B">
        <w:t xml:space="preserve">, </w:t>
      </w:r>
      <w:proofErr w:type="spellStart"/>
      <w:r w:rsidR="0015589B">
        <w:t>Wahrendorf</w:t>
      </w:r>
      <w:proofErr w:type="spellEnd"/>
      <w:r w:rsidR="0015589B">
        <w:t xml:space="preserve"> M. Quality of Employment and Well-Being. In: </w:t>
      </w:r>
      <w:proofErr w:type="spellStart"/>
      <w:r w:rsidR="006C11FF">
        <w:t>Börsch-Supan</w:t>
      </w:r>
      <w:proofErr w:type="spellEnd"/>
      <w:r w:rsidR="006C11FF">
        <w:t xml:space="preserve"> A et al (</w:t>
      </w:r>
      <w:proofErr w:type="spellStart"/>
      <w:proofErr w:type="gramStart"/>
      <w:r w:rsidR="006C11FF">
        <w:t>eds</w:t>
      </w:r>
      <w:proofErr w:type="spellEnd"/>
      <w:proofErr w:type="gramEnd"/>
      <w:r w:rsidR="006C11FF">
        <w:t xml:space="preserve">). </w:t>
      </w:r>
      <w:proofErr w:type="gramStart"/>
      <w:r w:rsidR="0015589B">
        <w:t>Health, Ageing an</w:t>
      </w:r>
      <w:r w:rsidR="006C11FF">
        <w:t>d Retirement in Europe – First r</w:t>
      </w:r>
      <w:r w:rsidR="0015589B">
        <w:t>esults from the Survey of Health, Ageing and Retirement in Europe.</w:t>
      </w:r>
      <w:proofErr w:type="gramEnd"/>
      <w:r w:rsidR="0015589B">
        <w:t xml:space="preserve"> Mannheim: Mannheim Research Institute for the Economics of Aging (MEA), 2005</w:t>
      </w:r>
      <w:r w:rsidR="006C11FF">
        <w:t>, p192-8</w:t>
      </w:r>
      <w:r w:rsidR="0015589B">
        <w:t>.</w:t>
      </w:r>
    </w:p>
    <w:p w:rsidR="008C6F5B" w:rsidRDefault="0015589B" w:rsidP="000D1120">
      <w:pPr>
        <w:spacing w:line="360" w:lineRule="auto"/>
      </w:pPr>
      <w:r>
        <w:t>3</w:t>
      </w:r>
      <w:r w:rsidR="004F4FEC">
        <w:t>8</w:t>
      </w:r>
      <w:r w:rsidR="000C6C5D">
        <w:t>.</w:t>
      </w:r>
      <w:r w:rsidR="005005CA">
        <w:t xml:space="preserve"> </w:t>
      </w:r>
      <w:proofErr w:type="spellStart"/>
      <w:r w:rsidR="008C6F5B">
        <w:t>Siegrist</w:t>
      </w:r>
      <w:proofErr w:type="spellEnd"/>
      <w:r w:rsidR="008C6F5B">
        <w:t xml:space="preserve"> J, </w:t>
      </w:r>
      <w:proofErr w:type="spellStart"/>
      <w:r w:rsidR="008C6F5B">
        <w:t>Wahrendorf</w:t>
      </w:r>
      <w:proofErr w:type="spellEnd"/>
      <w:r w:rsidR="008C6F5B">
        <w:t xml:space="preserve"> M, von </w:t>
      </w:r>
      <w:proofErr w:type="spellStart"/>
      <w:r w:rsidR="008C6F5B">
        <w:t>dem</w:t>
      </w:r>
      <w:proofErr w:type="spellEnd"/>
      <w:r w:rsidR="008C6F5B">
        <w:t xml:space="preserve"> </w:t>
      </w:r>
      <w:proofErr w:type="spellStart"/>
      <w:r w:rsidR="008C6F5B">
        <w:t>Knesebeck</w:t>
      </w:r>
      <w:proofErr w:type="spellEnd"/>
      <w:r w:rsidR="008C6F5B">
        <w:t xml:space="preserve"> O, et al. Quality of work, well-being, and intended early retirement of older employees: baseline results from the SHARE Study. </w:t>
      </w:r>
      <w:proofErr w:type="spellStart"/>
      <w:r w:rsidR="008C6F5B" w:rsidRPr="007D412E">
        <w:rPr>
          <w:i/>
        </w:rPr>
        <w:t>Eur</w:t>
      </w:r>
      <w:proofErr w:type="spellEnd"/>
      <w:r w:rsidR="008C6F5B" w:rsidRPr="007D412E">
        <w:rPr>
          <w:i/>
        </w:rPr>
        <w:t xml:space="preserve"> J Public Health</w:t>
      </w:r>
      <w:r w:rsidR="008C6F5B">
        <w:t xml:space="preserve"> 2007</w:t>
      </w:r>
      <w:proofErr w:type="gramStart"/>
      <w:r w:rsidR="008C6F5B">
        <w:t>;17</w:t>
      </w:r>
      <w:proofErr w:type="gramEnd"/>
      <w:r w:rsidR="008C6F5B">
        <w:t>(1):62-8.</w:t>
      </w:r>
    </w:p>
    <w:p w:rsidR="00A64273" w:rsidRDefault="00A64273" w:rsidP="00CD2DBD">
      <w:pPr>
        <w:spacing w:line="360" w:lineRule="auto"/>
      </w:pPr>
    </w:p>
    <w:p w:rsidR="00A43D40" w:rsidRDefault="00A43D40" w:rsidP="000E5AB2">
      <w:pPr>
        <w:spacing w:line="360" w:lineRule="auto"/>
      </w:pPr>
    </w:p>
    <w:p w:rsidR="00262CAF" w:rsidRDefault="00262CAF">
      <w:pPr>
        <w:spacing w:after="200"/>
      </w:pPr>
      <w:r>
        <w:br w:type="page"/>
      </w:r>
    </w:p>
    <w:p w:rsidR="00262CAF" w:rsidRDefault="00262CAF" w:rsidP="00262CAF">
      <w:pPr>
        <w:pStyle w:val="Heading4"/>
        <w:widowControl w:val="0"/>
      </w:pPr>
      <w:r>
        <w:lastRenderedPageBreak/>
        <w:t xml:space="preserve">Table 1 </w:t>
      </w:r>
      <w:r>
        <w:tab/>
        <w:t>Demographic and personal risk factors for job dissatisfaction</w:t>
      </w:r>
    </w:p>
    <w:p w:rsidR="00262CAF" w:rsidRPr="003249E2" w:rsidRDefault="00262CAF" w:rsidP="00262CAF">
      <w:pPr>
        <w:widowControl w:val="0"/>
      </w:pPr>
    </w:p>
    <w:tbl>
      <w:tblPr>
        <w:tblW w:w="10080" w:type="dxa"/>
        <w:jc w:val="center"/>
        <w:tblInd w:w="93" w:type="dxa"/>
        <w:tblLook w:val="04A0" w:firstRow="1" w:lastRow="0" w:firstColumn="1" w:lastColumn="0" w:noHBand="0" w:noVBand="1"/>
      </w:tblPr>
      <w:tblGrid>
        <w:gridCol w:w="2924"/>
        <w:gridCol w:w="272"/>
        <w:gridCol w:w="1138"/>
        <w:gridCol w:w="1373"/>
        <w:gridCol w:w="800"/>
        <w:gridCol w:w="1237"/>
        <w:gridCol w:w="1152"/>
        <w:gridCol w:w="1184"/>
      </w:tblGrid>
      <w:tr w:rsidR="00262CAF" w:rsidRPr="00F0479C" w:rsidTr="00F75E0F">
        <w:trPr>
          <w:trHeight w:val="300"/>
          <w:jc w:val="center"/>
        </w:trPr>
        <w:tc>
          <w:tcPr>
            <w:tcW w:w="2924" w:type="dxa"/>
            <w:vMerge w:val="restart"/>
            <w:tcBorders>
              <w:top w:val="single" w:sz="12" w:space="0" w:color="auto"/>
              <w:left w:val="nil"/>
              <w:bottom w:val="single" w:sz="12" w:space="0" w:color="000000"/>
              <w:right w:val="nil"/>
            </w:tcBorders>
            <w:shd w:val="clear" w:color="auto" w:fill="auto"/>
            <w:vAlign w:val="center"/>
            <w:hideMark/>
          </w:tcPr>
          <w:p w:rsidR="00262CAF" w:rsidRPr="00F0479C" w:rsidRDefault="00262CAF" w:rsidP="00F75E0F">
            <w:pPr>
              <w:widowControl w:val="0"/>
              <w:spacing w:line="240" w:lineRule="auto"/>
              <w:rPr>
                <w:rFonts w:eastAsia="Times New Roman"/>
                <w:b/>
                <w:bCs/>
                <w:color w:val="000000"/>
                <w:sz w:val="20"/>
                <w:szCs w:val="20"/>
                <w:lang w:eastAsia="en-GB"/>
              </w:rPr>
            </w:pPr>
            <w:r w:rsidRPr="00F0479C">
              <w:rPr>
                <w:rFonts w:eastAsia="Times New Roman"/>
                <w:b/>
                <w:bCs/>
                <w:color w:val="000000"/>
                <w:sz w:val="20"/>
                <w:szCs w:val="20"/>
                <w:lang w:eastAsia="en-GB"/>
              </w:rPr>
              <w:t>Risk factor</w:t>
            </w:r>
          </w:p>
        </w:tc>
        <w:tc>
          <w:tcPr>
            <w:tcW w:w="272" w:type="dxa"/>
            <w:tcBorders>
              <w:top w:val="single" w:sz="12" w:space="0" w:color="auto"/>
              <w:left w:val="nil"/>
              <w:bottom w:val="nil"/>
              <w:right w:val="nil"/>
            </w:tcBorders>
            <w:shd w:val="clear" w:color="auto" w:fill="auto"/>
            <w:hideMark/>
          </w:tcPr>
          <w:p w:rsidR="00262CAF" w:rsidRPr="00F0479C" w:rsidRDefault="00262CAF" w:rsidP="00F75E0F">
            <w:pPr>
              <w:widowControl w:val="0"/>
              <w:spacing w:line="240" w:lineRule="auto"/>
              <w:rPr>
                <w:rFonts w:eastAsia="Times New Roman"/>
                <w:b/>
                <w:bCs/>
                <w:color w:val="000000"/>
                <w:sz w:val="20"/>
                <w:szCs w:val="20"/>
                <w:lang w:eastAsia="en-GB"/>
              </w:rPr>
            </w:pPr>
            <w:r w:rsidRPr="00F0479C">
              <w:rPr>
                <w:rFonts w:eastAsia="Times New Roman"/>
                <w:b/>
                <w:bCs/>
                <w:color w:val="000000"/>
                <w:sz w:val="20"/>
                <w:szCs w:val="20"/>
                <w:lang w:eastAsia="en-GB"/>
              </w:rPr>
              <w:t> </w:t>
            </w:r>
          </w:p>
        </w:tc>
        <w:tc>
          <w:tcPr>
            <w:tcW w:w="1138" w:type="dxa"/>
            <w:vMerge w:val="restart"/>
            <w:tcBorders>
              <w:top w:val="single" w:sz="12" w:space="0" w:color="auto"/>
              <w:left w:val="nil"/>
              <w:bottom w:val="single" w:sz="12" w:space="0" w:color="000000"/>
              <w:right w:val="nil"/>
            </w:tcBorders>
            <w:shd w:val="clear" w:color="auto" w:fill="auto"/>
            <w:vAlign w:val="center"/>
            <w:hideMark/>
          </w:tcPr>
          <w:p w:rsidR="00262CAF" w:rsidRPr="00F0479C" w:rsidRDefault="00262CAF" w:rsidP="00734C00">
            <w:pPr>
              <w:widowControl w:val="0"/>
              <w:spacing w:line="240" w:lineRule="auto"/>
              <w:jc w:val="center"/>
              <w:rPr>
                <w:rFonts w:eastAsia="Times New Roman"/>
                <w:b/>
                <w:bCs/>
                <w:color w:val="000000"/>
                <w:sz w:val="20"/>
                <w:szCs w:val="20"/>
                <w:lang w:eastAsia="en-GB"/>
              </w:rPr>
            </w:pPr>
            <w:r w:rsidRPr="00F0479C">
              <w:rPr>
                <w:rFonts w:eastAsia="Times New Roman"/>
                <w:b/>
                <w:bCs/>
                <w:color w:val="000000"/>
                <w:sz w:val="20"/>
                <w:szCs w:val="20"/>
                <w:lang w:eastAsia="en-GB"/>
              </w:rPr>
              <w:t xml:space="preserve">Number </w:t>
            </w:r>
          </w:p>
        </w:tc>
        <w:tc>
          <w:tcPr>
            <w:tcW w:w="1373" w:type="dxa"/>
            <w:vMerge w:val="restart"/>
            <w:tcBorders>
              <w:top w:val="single" w:sz="12" w:space="0" w:color="auto"/>
              <w:left w:val="nil"/>
              <w:bottom w:val="single" w:sz="12" w:space="0" w:color="000000"/>
              <w:right w:val="nil"/>
            </w:tcBorders>
            <w:shd w:val="clear" w:color="auto" w:fill="auto"/>
            <w:vAlign w:val="center"/>
            <w:hideMark/>
          </w:tcPr>
          <w:p w:rsidR="00262CAF" w:rsidRPr="00F0479C" w:rsidRDefault="00262CAF" w:rsidP="00734C00">
            <w:pPr>
              <w:widowControl w:val="0"/>
              <w:spacing w:line="240" w:lineRule="auto"/>
              <w:jc w:val="center"/>
              <w:rPr>
                <w:rFonts w:eastAsia="Times New Roman"/>
                <w:b/>
                <w:bCs/>
                <w:color w:val="000000"/>
                <w:sz w:val="20"/>
                <w:szCs w:val="20"/>
                <w:lang w:eastAsia="en-GB"/>
              </w:rPr>
            </w:pPr>
            <w:r w:rsidRPr="00F0479C">
              <w:rPr>
                <w:rFonts w:eastAsia="Times New Roman"/>
                <w:b/>
                <w:bCs/>
                <w:color w:val="000000"/>
                <w:sz w:val="20"/>
                <w:szCs w:val="20"/>
                <w:lang w:eastAsia="en-GB"/>
              </w:rPr>
              <w:t>Number of cases</w:t>
            </w:r>
          </w:p>
        </w:tc>
        <w:tc>
          <w:tcPr>
            <w:tcW w:w="4373" w:type="dxa"/>
            <w:gridSpan w:val="4"/>
            <w:tcBorders>
              <w:top w:val="single" w:sz="12" w:space="0" w:color="auto"/>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b/>
                <w:bCs/>
                <w:color w:val="000000"/>
                <w:sz w:val="20"/>
                <w:szCs w:val="20"/>
                <w:lang w:eastAsia="en-GB"/>
              </w:rPr>
            </w:pPr>
            <w:r w:rsidRPr="00F0479C">
              <w:rPr>
                <w:rFonts w:eastAsia="Times New Roman"/>
                <w:b/>
                <w:bCs/>
                <w:color w:val="000000"/>
                <w:sz w:val="20"/>
                <w:szCs w:val="20"/>
                <w:lang w:eastAsia="en-GB"/>
              </w:rPr>
              <w:t>Associations with overall job dissatisfaction</w:t>
            </w:r>
          </w:p>
        </w:tc>
      </w:tr>
      <w:tr w:rsidR="00262CAF" w:rsidRPr="00F0479C" w:rsidTr="00F75E0F">
        <w:trPr>
          <w:trHeight w:val="405"/>
          <w:jc w:val="center"/>
        </w:trPr>
        <w:tc>
          <w:tcPr>
            <w:tcW w:w="2924" w:type="dxa"/>
            <w:vMerge/>
            <w:tcBorders>
              <w:top w:val="single" w:sz="12" w:space="0" w:color="auto"/>
              <w:left w:val="nil"/>
              <w:bottom w:val="single" w:sz="12" w:space="0" w:color="000000"/>
              <w:right w:val="nil"/>
            </w:tcBorders>
            <w:vAlign w:val="center"/>
            <w:hideMark/>
          </w:tcPr>
          <w:p w:rsidR="00262CAF" w:rsidRPr="00F0479C" w:rsidRDefault="00262CAF" w:rsidP="00F75E0F">
            <w:pPr>
              <w:widowControl w:val="0"/>
              <w:spacing w:line="240" w:lineRule="auto"/>
              <w:rPr>
                <w:rFonts w:eastAsia="Times New Roman"/>
                <w:b/>
                <w:bCs/>
                <w:color w:val="000000"/>
                <w:sz w:val="20"/>
                <w:szCs w:val="20"/>
                <w:lang w:eastAsia="en-GB"/>
              </w:rPr>
            </w:pPr>
          </w:p>
        </w:tc>
        <w:tc>
          <w:tcPr>
            <w:tcW w:w="272" w:type="dxa"/>
            <w:tcBorders>
              <w:top w:val="nil"/>
              <w:left w:val="nil"/>
              <w:bottom w:val="single" w:sz="12" w:space="0" w:color="auto"/>
              <w:right w:val="nil"/>
            </w:tcBorders>
            <w:shd w:val="clear" w:color="auto" w:fill="auto"/>
            <w:hideMark/>
          </w:tcPr>
          <w:p w:rsidR="00262CAF" w:rsidRPr="00F0479C" w:rsidRDefault="00262CAF" w:rsidP="00F75E0F">
            <w:pPr>
              <w:widowControl w:val="0"/>
              <w:spacing w:line="240" w:lineRule="auto"/>
              <w:rPr>
                <w:rFonts w:eastAsia="Times New Roman"/>
                <w:b/>
                <w:bCs/>
                <w:color w:val="000000"/>
                <w:sz w:val="20"/>
                <w:szCs w:val="20"/>
                <w:lang w:eastAsia="en-GB"/>
              </w:rPr>
            </w:pPr>
            <w:r w:rsidRPr="00F0479C">
              <w:rPr>
                <w:rFonts w:eastAsia="Times New Roman"/>
                <w:b/>
                <w:bCs/>
                <w:color w:val="000000"/>
                <w:sz w:val="20"/>
                <w:szCs w:val="20"/>
                <w:lang w:eastAsia="en-GB"/>
              </w:rPr>
              <w:t> </w:t>
            </w:r>
          </w:p>
        </w:tc>
        <w:tc>
          <w:tcPr>
            <w:tcW w:w="1138" w:type="dxa"/>
            <w:vMerge/>
            <w:tcBorders>
              <w:top w:val="single" w:sz="12" w:space="0" w:color="auto"/>
              <w:left w:val="nil"/>
              <w:bottom w:val="single" w:sz="12" w:space="0" w:color="000000"/>
              <w:right w:val="nil"/>
            </w:tcBorders>
            <w:vAlign w:val="center"/>
            <w:hideMark/>
          </w:tcPr>
          <w:p w:rsidR="00262CAF" w:rsidRPr="00F0479C" w:rsidRDefault="00262CAF" w:rsidP="00F75E0F">
            <w:pPr>
              <w:widowControl w:val="0"/>
              <w:spacing w:line="240" w:lineRule="auto"/>
              <w:jc w:val="center"/>
              <w:rPr>
                <w:rFonts w:eastAsia="Times New Roman"/>
                <w:b/>
                <w:bCs/>
                <w:color w:val="000000"/>
                <w:sz w:val="20"/>
                <w:szCs w:val="20"/>
                <w:lang w:eastAsia="en-GB"/>
              </w:rPr>
            </w:pPr>
          </w:p>
        </w:tc>
        <w:tc>
          <w:tcPr>
            <w:tcW w:w="1373" w:type="dxa"/>
            <w:vMerge/>
            <w:tcBorders>
              <w:top w:val="single" w:sz="12" w:space="0" w:color="auto"/>
              <w:left w:val="nil"/>
              <w:bottom w:val="single" w:sz="12" w:space="0" w:color="000000"/>
              <w:right w:val="nil"/>
            </w:tcBorders>
            <w:vAlign w:val="center"/>
            <w:hideMark/>
          </w:tcPr>
          <w:p w:rsidR="00262CAF" w:rsidRPr="00F0479C" w:rsidRDefault="00262CAF" w:rsidP="00F75E0F">
            <w:pPr>
              <w:widowControl w:val="0"/>
              <w:spacing w:line="240" w:lineRule="auto"/>
              <w:jc w:val="center"/>
              <w:rPr>
                <w:rFonts w:eastAsia="Times New Roman"/>
                <w:b/>
                <w:bCs/>
                <w:color w:val="000000"/>
                <w:sz w:val="20"/>
                <w:szCs w:val="20"/>
                <w:lang w:eastAsia="en-GB"/>
              </w:rPr>
            </w:pPr>
          </w:p>
        </w:tc>
        <w:tc>
          <w:tcPr>
            <w:tcW w:w="800" w:type="dxa"/>
            <w:tcBorders>
              <w:top w:val="nil"/>
              <w:left w:val="nil"/>
              <w:bottom w:val="single" w:sz="12" w:space="0" w:color="auto"/>
              <w:right w:val="nil"/>
            </w:tcBorders>
            <w:shd w:val="clear" w:color="auto" w:fill="auto"/>
            <w:vAlign w:val="center"/>
            <w:hideMark/>
          </w:tcPr>
          <w:p w:rsidR="00262CAF" w:rsidRPr="00F0479C" w:rsidRDefault="00262CAF" w:rsidP="00F75E0F">
            <w:pPr>
              <w:widowControl w:val="0"/>
              <w:spacing w:line="240" w:lineRule="auto"/>
              <w:jc w:val="right"/>
              <w:rPr>
                <w:rFonts w:eastAsia="Times New Roman"/>
                <w:b/>
                <w:bCs/>
                <w:color w:val="000000"/>
                <w:sz w:val="20"/>
                <w:szCs w:val="20"/>
                <w:lang w:eastAsia="en-GB"/>
              </w:rPr>
            </w:pPr>
            <w:proofErr w:type="spellStart"/>
            <w:r w:rsidRPr="00F0479C">
              <w:rPr>
                <w:rFonts w:eastAsia="Times New Roman"/>
                <w:b/>
                <w:bCs/>
                <w:color w:val="000000"/>
                <w:sz w:val="20"/>
                <w:szCs w:val="20"/>
                <w:vertAlign w:val="superscript"/>
                <w:lang w:eastAsia="en-GB"/>
              </w:rPr>
              <w:t>a</w:t>
            </w:r>
            <w:r w:rsidRPr="00F0479C">
              <w:rPr>
                <w:rFonts w:eastAsia="Times New Roman"/>
                <w:b/>
                <w:bCs/>
                <w:color w:val="000000"/>
                <w:sz w:val="20"/>
                <w:szCs w:val="20"/>
                <w:lang w:eastAsia="en-GB"/>
              </w:rPr>
              <w:t>OR</w:t>
            </w:r>
            <w:proofErr w:type="spellEnd"/>
          </w:p>
        </w:tc>
        <w:tc>
          <w:tcPr>
            <w:tcW w:w="1237" w:type="dxa"/>
            <w:tcBorders>
              <w:top w:val="nil"/>
              <w:left w:val="nil"/>
              <w:bottom w:val="single" w:sz="12" w:space="0" w:color="auto"/>
              <w:right w:val="nil"/>
            </w:tcBorders>
            <w:shd w:val="clear" w:color="auto" w:fill="auto"/>
            <w:vAlign w:val="center"/>
            <w:hideMark/>
          </w:tcPr>
          <w:p w:rsidR="00262CAF" w:rsidRPr="00F0479C" w:rsidRDefault="00262CAF" w:rsidP="00F75E0F">
            <w:pPr>
              <w:widowControl w:val="0"/>
              <w:spacing w:line="240" w:lineRule="auto"/>
              <w:rPr>
                <w:rFonts w:eastAsia="Times New Roman"/>
                <w:b/>
                <w:bCs/>
                <w:color w:val="000000"/>
                <w:sz w:val="20"/>
                <w:szCs w:val="20"/>
                <w:lang w:eastAsia="en-GB"/>
              </w:rPr>
            </w:pPr>
            <w:r w:rsidRPr="00F0479C">
              <w:rPr>
                <w:rFonts w:eastAsia="Times New Roman"/>
                <w:b/>
                <w:bCs/>
                <w:color w:val="000000"/>
                <w:sz w:val="20"/>
                <w:szCs w:val="20"/>
                <w:lang w:eastAsia="en-GB"/>
              </w:rPr>
              <w:t>(95%CI)</w:t>
            </w:r>
          </w:p>
        </w:tc>
        <w:tc>
          <w:tcPr>
            <w:tcW w:w="1152" w:type="dxa"/>
            <w:tcBorders>
              <w:top w:val="nil"/>
              <w:left w:val="nil"/>
              <w:bottom w:val="single" w:sz="12" w:space="0" w:color="auto"/>
              <w:right w:val="nil"/>
            </w:tcBorders>
            <w:shd w:val="clear" w:color="auto" w:fill="auto"/>
            <w:vAlign w:val="center"/>
            <w:hideMark/>
          </w:tcPr>
          <w:p w:rsidR="00262CAF" w:rsidRPr="00F0479C" w:rsidRDefault="00262CAF" w:rsidP="00F75E0F">
            <w:pPr>
              <w:widowControl w:val="0"/>
              <w:spacing w:line="240" w:lineRule="auto"/>
              <w:jc w:val="right"/>
              <w:rPr>
                <w:rFonts w:eastAsia="Times New Roman"/>
                <w:b/>
                <w:bCs/>
                <w:color w:val="000000"/>
                <w:sz w:val="20"/>
                <w:szCs w:val="20"/>
                <w:lang w:eastAsia="en-GB"/>
              </w:rPr>
            </w:pPr>
            <w:proofErr w:type="spellStart"/>
            <w:r w:rsidRPr="00F0479C">
              <w:rPr>
                <w:rFonts w:eastAsia="Times New Roman"/>
                <w:b/>
                <w:bCs/>
                <w:color w:val="000000"/>
                <w:sz w:val="20"/>
                <w:szCs w:val="20"/>
                <w:vertAlign w:val="superscript"/>
                <w:lang w:eastAsia="en-GB"/>
              </w:rPr>
              <w:t>b</w:t>
            </w:r>
            <w:r w:rsidRPr="00F0479C">
              <w:rPr>
                <w:rFonts w:eastAsia="Times New Roman"/>
                <w:b/>
                <w:bCs/>
                <w:color w:val="000000"/>
                <w:sz w:val="20"/>
                <w:szCs w:val="20"/>
                <w:lang w:eastAsia="en-GB"/>
              </w:rPr>
              <w:t>OR</w:t>
            </w:r>
            <w:proofErr w:type="spellEnd"/>
          </w:p>
        </w:tc>
        <w:tc>
          <w:tcPr>
            <w:tcW w:w="1184" w:type="dxa"/>
            <w:tcBorders>
              <w:top w:val="nil"/>
              <w:left w:val="nil"/>
              <w:bottom w:val="single" w:sz="12" w:space="0" w:color="auto"/>
              <w:right w:val="nil"/>
            </w:tcBorders>
            <w:shd w:val="clear" w:color="auto" w:fill="auto"/>
            <w:vAlign w:val="center"/>
            <w:hideMark/>
          </w:tcPr>
          <w:p w:rsidR="00262CAF" w:rsidRPr="00F0479C" w:rsidRDefault="00262CAF" w:rsidP="00F75E0F">
            <w:pPr>
              <w:widowControl w:val="0"/>
              <w:spacing w:line="240" w:lineRule="auto"/>
              <w:rPr>
                <w:rFonts w:eastAsia="Times New Roman"/>
                <w:b/>
                <w:bCs/>
                <w:color w:val="000000"/>
                <w:sz w:val="20"/>
                <w:szCs w:val="20"/>
                <w:lang w:eastAsia="en-GB"/>
              </w:rPr>
            </w:pPr>
            <w:r w:rsidRPr="00F0479C">
              <w:rPr>
                <w:rFonts w:eastAsia="Times New Roman"/>
                <w:b/>
                <w:bCs/>
                <w:color w:val="000000"/>
                <w:sz w:val="20"/>
                <w:szCs w:val="20"/>
                <w:lang w:eastAsia="en-GB"/>
              </w:rPr>
              <w:t>(95%CI)</w:t>
            </w:r>
          </w:p>
        </w:tc>
      </w:tr>
      <w:tr w:rsidR="00262CAF" w:rsidRPr="00F0479C" w:rsidTr="00F75E0F">
        <w:trPr>
          <w:trHeight w:val="340"/>
          <w:jc w:val="center"/>
        </w:trPr>
        <w:tc>
          <w:tcPr>
            <w:tcW w:w="2924"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rPr>
                <w:rFonts w:eastAsia="Times New Roman"/>
                <w:color w:val="000000"/>
                <w:sz w:val="20"/>
                <w:szCs w:val="20"/>
                <w:lang w:eastAsia="en-GB"/>
              </w:rPr>
            </w:pPr>
            <w:r w:rsidRPr="00F0479C">
              <w:rPr>
                <w:rFonts w:eastAsia="Times New Roman"/>
                <w:color w:val="000000"/>
                <w:sz w:val="20"/>
                <w:szCs w:val="20"/>
                <w:lang w:eastAsia="en-GB"/>
              </w:rPr>
              <w:t>Sex</w:t>
            </w:r>
          </w:p>
        </w:tc>
        <w:tc>
          <w:tcPr>
            <w:tcW w:w="272" w:type="dxa"/>
            <w:tcBorders>
              <w:top w:val="nil"/>
              <w:left w:val="nil"/>
              <w:bottom w:val="nil"/>
              <w:right w:val="nil"/>
            </w:tcBorders>
            <w:shd w:val="clear" w:color="auto" w:fill="auto"/>
            <w:hideMark/>
          </w:tcPr>
          <w:p w:rsidR="00262CAF" w:rsidRPr="00F0479C" w:rsidRDefault="00262CAF" w:rsidP="00F75E0F">
            <w:pPr>
              <w:widowControl w:val="0"/>
              <w:spacing w:line="240" w:lineRule="auto"/>
              <w:rPr>
                <w:rFonts w:eastAsia="Times New Roman"/>
                <w:color w:val="000000"/>
                <w:sz w:val="20"/>
                <w:szCs w:val="20"/>
                <w:lang w:eastAsia="en-GB"/>
              </w:rPr>
            </w:pPr>
          </w:p>
        </w:tc>
        <w:tc>
          <w:tcPr>
            <w:tcW w:w="1138"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color w:val="000000"/>
                <w:sz w:val="20"/>
                <w:szCs w:val="20"/>
                <w:lang w:eastAsia="en-GB"/>
              </w:rPr>
            </w:pPr>
          </w:p>
        </w:tc>
        <w:tc>
          <w:tcPr>
            <w:tcW w:w="1373"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color w:val="000000"/>
                <w:sz w:val="20"/>
                <w:szCs w:val="20"/>
                <w:lang w:eastAsia="en-GB"/>
              </w:rPr>
            </w:pPr>
          </w:p>
        </w:tc>
        <w:tc>
          <w:tcPr>
            <w:tcW w:w="800"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right"/>
              <w:rPr>
                <w:rFonts w:eastAsia="Times New Roman"/>
                <w:color w:val="000000"/>
                <w:sz w:val="20"/>
                <w:szCs w:val="20"/>
                <w:lang w:eastAsia="en-GB"/>
              </w:rPr>
            </w:pPr>
          </w:p>
        </w:tc>
        <w:tc>
          <w:tcPr>
            <w:tcW w:w="1237"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rPr>
                <w:rFonts w:eastAsia="Times New Roman"/>
                <w:color w:val="000000"/>
                <w:sz w:val="20"/>
                <w:szCs w:val="20"/>
                <w:lang w:eastAsia="en-GB"/>
              </w:rPr>
            </w:pPr>
          </w:p>
        </w:tc>
        <w:tc>
          <w:tcPr>
            <w:tcW w:w="1152"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right"/>
              <w:rPr>
                <w:rFonts w:eastAsia="Times New Roman"/>
                <w:color w:val="000000"/>
                <w:sz w:val="20"/>
                <w:szCs w:val="20"/>
                <w:lang w:eastAsia="en-GB"/>
              </w:rPr>
            </w:pPr>
          </w:p>
        </w:tc>
        <w:tc>
          <w:tcPr>
            <w:tcW w:w="1184"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rPr>
                <w:rFonts w:eastAsia="Times New Roman"/>
                <w:color w:val="000000"/>
                <w:sz w:val="20"/>
                <w:szCs w:val="20"/>
                <w:lang w:eastAsia="en-GB"/>
              </w:rPr>
            </w:pPr>
          </w:p>
        </w:tc>
      </w:tr>
      <w:tr w:rsidR="00262CAF" w:rsidRPr="00F0479C" w:rsidTr="00F75E0F">
        <w:trPr>
          <w:trHeight w:val="340"/>
          <w:jc w:val="center"/>
        </w:trPr>
        <w:tc>
          <w:tcPr>
            <w:tcW w:w="2924"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ind w:firstLineChars="153" w:firstLine="306"/>
              <w:rPr>
                <w:rFonts w:eastAsia="Times New Roman"/>
                <w:color w:val="000000"/>
                <w:sz w:val="20"/>
                <w:szCs w:val="20"/>
                <w:lang w:eastAsia="en-GB"/>
              </w:rPr>
            </w:pPr>
            <w:r w:rsidRPr="00F0479C">
              <w:rPr>
                <w:rFonts w:eastAsia="Times New Roman"/>
                <w:color w:val="000000"/>
                <w:sz w:val="20"/>
                <w:szCs w:val="20"/>
                <w:lang w:eastAsia="en-GB"/>
              </w:rPr>
              <w:t>Male</w:t>
            </w:r>
          </w:p>
        </w:tc>
        <w:tc>
          <w:tcPr>
            <w:tcW w:w="272" w:type="dxa"/>
            <w:tcBorders>
              <w:top w:val="nil"/>
              <w:left w:val="nil"/>
              <w:bottom w:val="nil"/>
              <w:right w:val="nil"/>
            </w:tcBorders>
            <w:shd w:val="clear" w:color="auto" w:fill="auto"/>
            <w:hideMark/>
          </w:tcPr>
          <w:p w:rsidR="00262CAF" w:rsidRPr="00F0479C" w:rsidRDefault="00262CAF" w:rsidP="00F75E0F">
            <w:pPr>
              <w:widowControl w:val="0"/>
              <w:spacing w:line="240" w:lineRule="auto"/>
              <w:rPr>
                <w:rFonts w:eastAsia="Times New Roman"/>
                <w:color w:val="000000"/>
                <w:sz w:val="20"/>
                <w:szCs w:val="20"/>
                <w:lang w:eastAsia="en-GB"/>
              </w:rPr>
            </w:pPr>
          </w:p>
        </w:tc>
        <w:tc>
          <w:tcPr>
            <w:tcW w:w="1138"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2649</w:t>
            </w:r>
          </w:p>
        </w:tc>
        <w:tc>
          <w:tcPr>
            <w:tcW w:w="1373"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199</w:t>
            </w:r>
          </w:p>
        </w:tc>
        <w:tc>
          <w:tcPr>
            <w:tcW w:w="2037" w:type="dxa"/>
            <w:gridSpan w:val="2"/>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Reference</w:t>
            </w:r>
          </w:p>
        </w:tc>
        <w:tc>
          <w:tcPr>
            <w:tcW w:w="2336" w:type="dxa"/>
            <w:gridSpan w:val="2"/>
            <w:tcBorders>
              <w:top w:val="nil"/>
              <w:left w:val="nil"/>
              <w:bottom w:val="nil"/>
              <w:right w:val="nil"/>
            </w:tcBorders>
            <w:shd w:val="clear" w:color="auto" w:fill="auto"/>
            <w:vAlign w:val="center"/>
          </w:tcPr>
          <w:p w:rsidR="00262CAF" w:rsidRPr="00F0479C" w:rsidRDefault="00262CA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Reference</w:t>
            </w:r>
          </w:p>
        </w:tc>
      </w:tr>
      <w:tr w:rsidR="00445A5F" w:rsidRPr="00F0479C" w:rsidTr="00F75E0F">
        <w:trPr>
          <w:trHeight w:val="340"/>
          <w:jc w:val="center"/>
        </w:trPr>
        <w:tc>
          <w:tcPr>
            <w:tcW w:w="2924" w:type="dxa"/>
            <w:tcBorders>
              <w:top w:val="nil"/>
              <w:left w:val="nil"/>
              <w:bottom w:val="nil"/>
              <w:right w:val="nil"/>
            </w:tcBorders>
            <w:shd w:val="clear" w:color="auto" w:fill="auto"/>
            <w:vAlign w:val="center"/>
            <w:hideMark/>
          </w:tcPr>
          <w:p w:rsidR="00445A5F" w:rsidRPr="00F0479C" w:rsidRDefault="00445A5F" w:rsidP="00F75E0F">
            <w:pPr>
              <w:widowControl w:val="0"/>
              <w:spacing w:line="240" w:lineRule="auto"/>
              <w:ind w:firstLineChars="153" w:firstLine="306"/>
              <w:rPr>
                <w:rFonts w:eastAsia="Times New Roman"/>
                <w:color w:val="000000"/>
                <w:sz w:val="20"/>
                <w:szCs w:val="20"/>
                <w:lang w:eastAsia="en-GB"/>
              </w:rPr>
            </w:pPr>
            <w:r w:rsidRPr="00F0479C">
              <w:rPr>
                <w:rFonts w:eastAsia="Times New Roman"/>
                <w:color w:val="000000"/>
                <w:sz w:val="20"/>
                <w:szCs w:val="20"/>
                <w:lang w:eastAsia="en-GB"/>
              </w:rPr>
              <w:t>Female</w:t>
            </w:r>
          </w:p>
        </w:tc>
        <w:tc>
          <w:tcPr>
            <w:tcW w:w="272" w:type="dxa"/>
            <w:tcBorders>
              <w:top w:val="nil"/>
              <w:left w:val="nil"/>
              <w:bottom w:val="nil"/>
              <w:right w:val="nil"/>
            </w:tcBorders>
            <w:shd w:val="clear" w:color="auto" w:fill="auto"/>
            <w:hideMark/>
          </w:tcPr>
          <w:p w:rsidR="00445A5F" w:rsidRPr="00F0479C" w:rsidRDefault="00445A5F" w:rsidP="00F75E0F">
            <w:pPr>
              <w:widowControl w:val="0"/>
              <w:spacing w:line="240" w:lineRule="auto"/>
              <w:rPr>
                <w:rFonts w:eastAsia="Times New Roman"/>
                <w:color w:val="000000"/>
                <w:sz w:val="20"/>
                <w:szCs w:val="20"/>
                <w:lang w:eastAsia="en-GB"/>
              </w:rPr>
            </w:pPr>
          </w:p>
        </w:tc>
        <w:tc>
          <w:tcPr>
            <w:tcW w:w="1138" w:type="dxa"/>
            <w:tcBorders>
              <w:top w:val="nil"/>
              <w:left w:val="nil"/>
              <w:bottom w:val="nil"/>
              <w:right w:val="nil"/>
            </w:tcBorders>
            <w:shd w:val="clear" w:color="auto" w:fill="auto"/>
            <w:vAlign w:val="center"/>
            <w:hideMark/>
          </w:tcPr>
          <w:p w:rsidR="00445A5F" w:rsidRPr="00F0479C" w:rsidRDefault="00445A5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2788</w:t>
            </w:r>
          </w:p>
        </w:tc>
        <w:tc>
          <w:tcPr>
            <w:tcW w:w="1373" w:type="dxa"/>
            <w:tcBorders>
              <w:top w:val="nil"/>
              <w:left w:val="nil"/>
              <w:bottom w:val="nil"/>
              <w:right w:val="nil"/>
            </w:tcBorders>
            <w:shd w:val="clear" w:color="auto" w:fill="auto"/>
            <w:vAlign w:val="center"/>
            <w:hideMark/>
          </w:tcPr>
          <w:p w:rsidR="00445A5F" w:rsidRPr="00F0479C" w:rsidRDefault="00445A5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169</w:t>
            </w:r>
          </w:p>
        </w:tc>
        <w:tc>
          <w:tcPr>
            <w:tcW w:w="800" w:type="dxa"/>
            <w:tcBorders>
              <w:top w:val="nil"/>
              <w:left w:val="nil"/>
              <w:bottom w:val="nil"/>
              <w:right w:val="nil"/>
            </w:tcBorders>
            <w:shd w:val="clear" w:color="auto" w:fill="auto"/>
            <w:noWrap/>
            <w:vAlign w:val="center"/>
            <w:hideMark/>
          </w:tcPr>
          <w:p w:rsidR="00445A5F" w:rsidRPr="00F0479C" w:rsidRDefault="00445A5F" w:rsidP="00F75E0F">
            <w:pPr>
              <w:widowControl w:val="0"/>
              <w:spacing w:line="240" w:lineRule="auto"/>
              <w:jc w:val="right"/>
              <w:rPr>
                <w:rFonts w:eastAsia="Times New Roman"/>
                <w:color w:val="000000"/>
                <w:sz w:val="20"/>
                <w:szCs w:val="20"/>
                <w:lang w:eastAsia="en-GB"/>
              </w:rPr>
            </w:pPr>
            <w:r w:rsidRPr="00F0479C">
              <w:rPr>
                <w:rFonts w:eastAsia="Times New Roman"/>
                <w:color w:val="000000"/>
                <w:sz w:val="20"/>
                <w:szCs w:val="20"/>
                <w:lang w:eastAsia="en-GB"/>
              </w:rPr>
              <w:t>0.79</w:t>
            </w:r>
          </w:p>
        </w:tc>
        <w:tc>
          <w:tcPr>
            <w:tcW w:w="1237" w:type="dxa"/>
            <w:tcBorders>
              <w:top w:val="nil"/>
              <w:left w:val="nil"/>
              <w:bottom w:val="nil"/>
              <w:right w:val="nil"/>
            </w:tcBorders>
            <w:shd w:val="clear" w:color="auto" w:fill="auto"/>
            <w:noWrap/>
            <w:vAlign w:val="center"/>
            <w:hideMark/>
          </w:tcPr>
          <w:p w:rsidR="00445A5F" w:rsidRPr="00F0479C" w:rsidRDefault="00445A5F" w:rsidP="00F75E0F">
            <w:pPr>
              <w:widowControl w:val="0"/>
              <w:spacing w:line="240" w:lineRule="auto"/>
              <w:rPr>
                <w:rFonts w:eastAsia="Times New Roman"/>
                <w:color w:val="000000"/>
                <w:sz w:val="20"/>
                <w:szCs w:val="20"/>
                <w:lang w:eastAsia="en-GB"/>
              </w:rPr>
            </w:pPr>
            <w:r w:rsidRPr="00F0479C">
              <w:rPr>
                <w:rFonts w:eastAsia="Times New Roman"/>
                <w:color w:val="000000"/>
                <w:sz w:val="20"/>
                <w:szCs w:val="20"/>
                <w:lang w:eastAsia="en-GB"/>
              </w:rPr>
              <w:t>(0.64,0.98)</w:t>
            </w:r>
          </w:p>
        </w:tc>
        <w:tc>
          <w:tcPr>
            <w:tcW w:w="1152" w:type="dxa"/>
            <w:tcBorders>
              <w:top w:val="nil"/>
              <w:left w:val="nil"/>
              <w:bottom w:val="nil"/>
              <w:right w:val="nil"/>
            </w:tcBorders>
            <w:shd w:val="clear" w:color="auto" w:fill="auto"/>
            <w:vAlign w:val="center"/>
            <w:hideMark/>
          </w:tcPr>
          <w:p w:rsidR="00445A5F" w:rsidRDefault="00445A5F">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0.76</w:t>
            </w:r>
          </w:p>
        </w:tc>
        <w:tc>
          <w:tcPr>
            <w:tcW w:w="1184" w:type="dxa"/>
            <w:tcBorders>
              <w:top w:val="nil"/>
              <w:left w:val="nil"/>
              <w:bottom w:val="nil"/>
              <w:right w:val="nil"/>
            </w:tcBorders>
            <w:shd w:val="clear" w:color="auto" w:fill="auto"/>
            <w:vAlign w:val="center"/>
            <w:hideMark/>
          </w:tcPr>
          <w:p w:rsidR="00445A5F" w:rsidRDefault="00445A5F">
            <w:pPr>
              <w:widowControl w:val="0"/>
              <w:spacing w:line="240" w:lineRule="auto"/>
              <w:rPr>
                <w:rFonts w:eastAsia="Times New Roman"/>
                <w:color w:val="000000"/>
                <w:sz w:val="20"/>
                <w:szCs w:val="20"/>
                <w:lang w:eastAsia="en-GB"/>
              </w:rPr>
            </w:pPr>
            <w:r>
              <w:rPr>
                <w:rFonts w:eastAsia="Times New Roman"/>
                <w:color w:val="000000"/>
                <w:sz w:val="20"/>
                <w:szCs w:val="20"/>
                <w:lang w:eastAsia="en-GB"/>
              </w:rPr>
              <w:t>(0.61,0.94)</w:t>
            </w:r>
          </w:p>
        </w:tc>
      </w:tr>
      <w:tr w:rsidR="00262CAF" w:rsidRPr="00F0479C" w:rsidTr="00F75E0F">
        <w:trPr>
          <w:trHeight w:val="340"/>
          <w:jc w:val="center"/>
        </w:trPr>
        <w:tc>
          <w:tcPr>
            <w:tcW w:w="2924"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rPr>
                <w:rFonts w:eastAsia="Times New Roman"/>
                <w:color w:val="000000"/>
                <w:sz w:val="20"/>
                <w:szCs w:val="20"/>
                <w:lang w:eastAsia="en-GB"/>
              </w:rPr>
            </w:pPr>
            <w:r w:rsidRPr="00F0479C">
              <w:rPr>
                <w:rFonts w:eastAsia="Times New Roman"/>
                <w:color w:val="000000"/>
                <w:sz w:val="20"/>
                <w:szCs w:val="20"/>
                <w:lang w:eastAsia="en-GB"/>
              </w:rPr>
              <w:t>Age (years)</w:t>
            </w:r>
          </w:p>
        </w:tc>
        <w:tc>
          <w:tcPr>
            <w:tcW w:w="272" w:type="dxa"/>
            <w:tcBorders>
              <w:top w:val="nil"/>
              <w:left w:val="nil"/>
              <w:bottom w:val="nil"/>
              <w:right w:val="nil"/>
            </w:tcBorders>
            <w:shd w:val="clear" w:color="auto" w:fill="auto"/>
            <w:hideMark/>
          </w:tcPr>
          <w:p w:rsidR="00262CAF" w:rsidRPr="00F0479C" w:rsidRDefault="00262CAF" w:rsidP="00F75E0F">
            <w:pPr>
              <w:widowControl w:val="0"/>
              <w:spacing w:line="240" w:lineRule="auto"/>
              <w:rPr>
                <w:rFonts w:eastAsia="Times New Roman"/>
                <w:color w:val="000000"/>
                <w:sz w:val="20"/>
                <w:szCs w:val="20"/>
                <w:lang w:eastAsia="en-GB"/>
              </w:rPr>
            </w:pPr>
          </w:p>
        </w:tc>
        <w:tc>
          <w:tcPr>
            <w:tcW w:w="1138"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color w:val="000000"/>
                <w:sz w:val="20"/>
                <w:szCs w:val="20"/>
                <w:lang w:eastAsia="en-GB"/>
              </w:rPr>
            </w:pPr>
          </w:p>
        </w:tc>
        <w:tc>
          <w:tcPr>
            <w:tcW w:w="1373"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color w:val="000000"/>
                <w:sz w:val="20"/>
                <w:szCs w:val="20"/>
                <w:lang w:eastAsia="en-GB"/>
              </w:rPr>
            </w:pPr>
          </w:p>
        </w:tc>
        <w:tc>
          <w:tcPr>
            <w:tcW w:w="800"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right"/>
              <w:rPr>
                <w:rFonts w:eastAsia="Times New Roman"/>
                <w:color w:val="000000"/>
                <w:sz w:val="20"/>
                <w:szCs w:val="20"/>
                <w:lang w:eastAsia="en-GB"/>
              </w:rPr>
            </w:pPr>
          </w:p>
        </w:tc>
        <w:tc>
          <w:tcPr>
            <w:tcW w:w="1237"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rPr>
                <w:rFonts w:eastAsia="Times New Roman"/>
                <w:color w:val="000000"/>
                <w:sz w:val="20"/>
                <w:szCs w:val="20"/>
                <w:lang w:eastAsia="en-GB"/>
              </w:rPr>
            </w:pPr>
          </w:p>
        </w:tc>
        <w:tc>
          <w:tcPr>
            <w:tcW w:w="1152"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right"/>
              <w:rPr>
                <w:rFonts w:eastAsia="Times New Roman"/>
                <w:color w:val="000000"/>
                <w:sz w:val="20"/>
                <w:szCs w:val="20"/>
                <w:lang w:eastAsia="en-GB"/>
              </w:rPr>
            </w:pPr>
          </w:p>
        </w:tc>
        <w:tc>
          <w:tcPr>
            <w:tcW w:w="1184"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rPr>
                <w:rFonts w:eastAsia="Times New Roman"/>
                <w:color w:val="000000"/>
                <w:sz w:val="20"/>
                <w:szCs w:val="20"/>
                <w:lang w:eastAsia="en-GB"/>
              </w:rPr>
            </w:pPr>
          </w:p>
        </w:tc>
      </w:tr>
      <w:tr w:rsidR="00262CAF" w:rsidRPr="00F0479C" w:rsidTr="00F75E0F">
        <w:trPr>
          <w:trHeight w:val="340"/>
          <w:jc w:val="center"/>
        </w:trPr>
        <w:tc>
          <w:tcPr>
            <w:tcW w:w="2924"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ind w:firstLineChars="153" w:firstLine="306"/>
              <w:rPr>
                <w:rFonts w:eastAsia="Times New Roman"/>
                <w:color w:val="000000"/>
                <w:sz w:val="20"/>
                <w:szCs w:val="20"/>
                <w:lang w:eastAsia="en-GB"/>
              </w:rPr>
            </w:pPr>
            <w:r w:rsidRPr="00F0479C">
              <w:rPr>
                <w:rFonts w:eastAsia="Times New Roman"/>
                <w:color w:val="000000"/>
                <w:sz w:val="20"/>
                <w:szCs w:val="20"/>
                <w:lang w:eastAsia="en-GB"/>
              </w:rPr>
              <w:t>50-54</w:t>
            </w:r>
          </w:p>
        </w:tc>
        <w:tc>
          <w:tcPr>
            <w:tcW w:w="272" w:type="dxa"/>
            <w:tcBorders>
              <w:top w:val="nil"/>
              <w:left w:val="nil"/>
              <w:bottom w:val="nil"/>
              <w:right w:val="nil"/>
            </w:tcBorders>
            <w:shd w:val="clear" w:color="auto" w:fill="auto"/>
            <w:hideMark/>
          </w:tcPr>
          <w:p w:rsidR="00262CAF" w:rsidRPr="00F0479C" w:rsidRDefault="00262CAF" w:rsidP="00F75E0F">
            <w:pPr>
              <w:widowControl w:val="0"/>
              <w:spacing w:line="240" w:lineRule="auto"/>
              <w:rPr>
                <w:rFonts w:eastAsia="Times New Roman"/>
                <w:color w:val="000000"/>
                <w:sz w:val="20"/>
                <w:szCs w:val="20"/>
                <w:lang w:eastAsia="en-GB"/>
              </w:rPr>
            </w:pPr>
          </w:p>
        </w:tc>
        <w:tc>
          <w:tcPr>
            <w:tcW w:w="1138"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1843</w:t>
            </w:r>
          </w:p>
        </w:tc>
        <w:tc>
          <w:tcPr>
            <w:tcW w:w="1373"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140</w:t>
            </w:r>
          </w:p>
        </w:tc>
        <w:tc>
          <w:tcPr>
            <w:tcW w:w="2037" w:type="dxa"/>
            <w:gridSpan w:val="2"/>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Reference</w:t>
            </w:r>
          </w:p>
        </w:tc>
        <w:tc>
          <w:tcPr>
            <w:tcW w:w="2336" w:type="dxa"/>
            <w:gridSpan w:val="2"/>
            <w:tcBorders>
              <w:top w:val="nil"/>
              <w:left w:val="nil"/>
              <w:bottom w:val="nil"/>
              <w:right w:val="nil"/>
            </w:tcBorders>
            <w:shd w:val="clear" w:color="auto" w:fill="auto"/>
            <w:vAlign w:val="center"/>
          </w:tcPr>
          <w:p w:rsidR="00262CAF" w:rsidRPr="00F0479C" w:rsidRDefault="00262CA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Reference</w:t>
            </w:r>
          </w:p>
        </w:tc>
      </w:tr>
      <w:tr w:rsidR="00445A5F" w:rsidRPr="00F0479C" w:rsidTr="00F75E0F">
        <w:trPr>
          <w:trHeight w:val="340"/>
          <w:jc w:val="center"/>
        </w:trPr>
        <w:tc>
          <w:tcPr>
            <w:tcW w:w="2924" w:type="dxa"/>
            <w:tcBorders>
              <w:top w:val="nil"/>
              <w:left w:val="nil"/>
              <w:bottom w:val="nil"/>
              <w:right w:val="nil"/>
            </w:tcBorders>
            <w:shd w:val="clear" w:color="auto" w:fill="auto"/>
            <w:vAlign w:val="center"/>
            <w:hideMark/>
          </w:tcPr>
          <w:p w:rsidR="00445A5F" w:rsidRPr="00F0479C" w:rsidRDefault="00445A5F" w:rsidP="00F75E0F">
            <w:pPr>
              <w:widowControl w:val="0"/>
              <w:spacing w:line="240" w:lineRule="auto"/>
              <w:ind w:firstLineChars="153" w:firstLine="306"/>
              <w:rPr>
                <w:rFonts w:eastAsia="Times New Roman"/>
                <w:color w:val="000000"/>
                <w:sz w:val="20"/>
                <w:szCs w:val="20"/>
                <w:lang w:eastAsia="en-GB"/>
              </w:rPr>
            </w:pPr>
            <w:r w:rsidRPr="00F0479C">
              <w:rPr>
                <w:rFonts w:eastAsia="Times New Roman"/>
                <w:color w:val="000000"/>
                <w:sz w:val="20"/>
                <w:szCs w:val="20"/>
                <w:lang w:eastAsia="en-GB"/>
              </w:rPr>
              <w:t>55-59</w:t>
            </w:r>
          </w:p>
        </w:tc>
        <w:tc>
          <w:tcPr>
            <w:tcW w:w="272" w:type="dxa"/>
            <w:tcBorders>
              <w:top w:val="nil"/>
              <w:left w:val="nil"/>
              <w:bottom w:val="nil"/>
              <w:right w:val="nil"/>
            </w:tcBorders>
            <w:shd w:val="clear" w:color="auto" w:fill="auto"/>
            <w:hideMark/>
          </w:tcPr>
          <w:p w:rsidR="00445A5F" w:rsidRPr="00F0479C" w:rsidRDefault="00445A5F" w:rsidP="00F75E0F">
            <w:pPr>
              <w:widowControl w:val="0"/>
              <w:spacing w:line="240" w:lineRule="auto"/>
              <w:rPr>
                <w:rFonts w:eastAsia="Times New Roman"/>
                <w:color w:val="000000"/>
                <w:sz w:val="20"/>
                <w:szCs w:val="20"/>
                <w:lang w:eastAsia="en-GB"/>
              </w:rPr>
            </w:pPr>
          </w:p>
        </w:tc>
        <w:tc>
          <w:tcPr>
            <w:tcW w:w="1138" w:type="dxa"/>
            <w:tcBorders>
              <w:top w:val="nil"/>
              <w:left w:val="nil"/>
              <w:bottom w:val="nil"/>
              <w:right w:val="nil"/>
            </w:tcBorders>
            <w:shd w:val="clear" w:color="auto" w:fill="auto"/>
            <w:vAlign w:val="center"/>
            <w:hideMark/>
          </w:tcPr>
          <w:p w:rsidR="00445A5F" w:rsidRPr="00F0479C" w:rsidRDefault="00445A5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2051</w:t>
            </w:r>
          </w:p>
        </w:tc>
        <w:tc>
          <w:tcPr>
            <w:tcW w:w="1373" w:type="dxa"/>
            <w:tcBorders>
              <w:top w:val="nil"/>
              <w:left w:val="nil"/>
              <w:bottom w:val="nil"/>
              <w:right w:val="nil"/>
            </w:tcBorders>
            <w:shd w:val="clear" w:color="auto" w:fill="auto"/>
            <w:vAlign w:val="center"/>
            <w:hideMark/>
          </w:tcPr>
          <w:p w:rsidR="00445A5F" w:rsidRPr="00F0479C" w:rsidRDefault="00445A5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154</w:t>
            </w:r>
          </w:p>
        </w:tc>
        <w:tc>
          <w:tcPr>
            <w:tcW w:w="800" w:type="dxa"/>
            <w:tcBorders>
              <w:top w:val="nil"/>
              <w:left w:val="nil"/>
              <w:bottom w:val="nil"/>
              <w:right w:val="nil"/>
            </w:tcBorders>
            <w:shd w:val="clear" w:color="auto" w:fill="auto"/>
            <w:noWrap/>
            <w:vAlign w:val="center"/>
            <w:hideMark/>
          </w:tcPr>
          <w:p w:rsidR="00445A5F" w:rsidRPr="00F0479C" w:rsidRDefault="00445A5F" w:rsidP="00F75E0F">
            <w:pPr>
              <w:widowControl w:val="0"/>
              <w:spacing w:line="240" w:lineRule="auto"/>
              <w:jc w:val="right"/>
              <w:rPr>
                <w:rFonts w:eastAsia="Times New Roman"/>
                <w:color w:val="000000"/>
                <w:sz w:val="20"/>
                <w:szCs w:val="20"/>
                <w:lang w:eastAsia="en-GB"/>
              </w:rPr>
            </w:pPr>
            <w:r w:rsidRPr="00F0479C">
              <w:rPr>
                <w:rFonts w:eastAsia="Times New Roman"/>
                <w:color w:val="000000"/>
                <w:sz w:val="20"/>
                <w:szCs w:val="20"/>
                <w:lang w:eastAsia="en-GB"/>
              </w:rPr>
              <w:t>0.99</w:t>
            </w:r>
          </w:p>
        </w:tc>
        <w:tc>
          <w:tcPr>
            <w:tcW w:w="1237" w:type="dxa"/>
            <w:tcBorders>
              <w:top w:val="nil"/>
              <w:left w:val="nil"/>
              <w:bottom w:val="nil"/>
              <w:right w:val="nil"/>
            </w:tcBorders>
            <w:shd w:val="clear" w:color="auto" w:fill="auto"/>
            <w:noWrap/>
            <w:vAlign w:val="center"/>
            <w:hideMark/>
          </w:tcPr>
          <w:p w:rsidR="00445A5F" w:rsidRPr="00F0479C" w:rsidRDefault="00445A5F" w:rsidP="00F75E0F">
            <w:pPr>
              <w:widowControl w:val="0"/>
              <w:spacing w:line="240" w:lineRule="auto"/>
              <w:rPr>
                <w:rFonts w:eastAsia="Times New Roman"/>
                <w:color w:val="000000"/>
                <w:sz w:val="20"/>
                <w:szCs w:val="20"/>
                <w:lang w:eastAsia="en-GB"/>
              </w:rPr>
            </w:pPr>
            <w:r w:rsidRPr="00F0479C">
              <w:rPr>
                <w:rFonts w:eastAsia="Times New Roman"/>
                <w:color w:val="000000"/>
                <w:sz w:val="20"/>
                <w:szCs w:val="20"/>
                <w:lang w:eastAsia="en-GB"/>
              </w:rPr>
              <w:t>(0.78,1.25)</w:t>
            </w:r>
          </w:p>
        </w:tc>
        <w:tc>
          <w:tcPr>
            <w:tcW w:w="1152" w:type="dxa"/>
            <w:tcBorders>
              <w:top w:val="nil"/>
              <w:left w:val="nil"/>
              <w:bottom w:val="nil"/>
              <w:right w:val="nil"/>
            </w:tcBorders>
            <w:shd w:val="clear" w:color="auto" w:fill="auto"/>
            <w:vAlign w:val="center"/>
            <w:hideMark/>
          </w:tcPr>
          <w:p w:rsidR="00445A5F" w:rsidRDefault="00445A5F">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0.97</w:t>
            </w:r>
          </w:p>
        </w:tc>
        <w:tc>
          <w:tcPr>
            <w:tcW w:w="1184" w:type="dxa"/>
            <w:tcBorders>
              <w:top w:val="nil"/>
              <w:left w:val="nil"/>
              <w:bottom w:val="nil"/>
              <w:right w:val="nil"/>
            </w:tcBorders>
            <w:shd w:val="clear" w:color="auto" w:fill="auto"/>
            <w:vAlign w:val="center"/>
            <w:hideMark/>
          </w:tcPr>
          <w:p w:rsidR="00445A5F" w:rsidRDefault="00445A5F">
            <w:pPr>
              <w:widowControl w:val="0"/>
              <w:spacing w:line="240" w:lineRule="auto"/>
              <w:rPr>
                <w:rFonts w:eastAsia="Times New Roman"/>
                <w:color w:val="000000"/>
                <w:sz w:val="20"/>
                <w:szCs w:val="20"/>
                <w:lang w:eastAsia="en-GB"/>
              </w:rPr>
            </w:pPr>
            <w:r>
              <w:rPr>
                <w:rFonts w:eastAsia="Times New Roman"/>
                <w:color w:val="000000"/>
                <w:sz w:val="20"/>
                <w:szCs w:val="20"/>
                <w:lang w:eastAsia="en-GB"/>
              </w:rPr>
              <w:t>(0.76,1.24)</w:t>
            </w:r>
          </w:p>
        </w:tc>
      </w:tr>
      <w:tr w:rsidR="00445A5F" w:rsidRPr="00F0479C" w:rsidTr="00F75E0F">
        <w:trPr>
          <w:trHeight w:val="340"/>
          <w:jc w:val="center"/>
        </w:trPr>
        <w:tc>
          <w:tcPr>
            <w:tcW w:w="2924" w:type="dxa"/>
            <w:tcBorders>
              <w:top w:val="nil"/>
              <w:left w:val="nil"/>
              <w:bottom w:val="nil"/>
              <w:right w:val="nil"/>
            </w:tcBorders>
            <w:shd w:val="clear" w:color="auto" w:fill="auto"/>
            <w:vAlign w:val="center"/>
            <w:hideMark/>
          </w:tcPr>
          <w:p w:rsidR="00445A5F" w:rsidRPr="00F0479C" w:rsidRDefault="00445A5F" w:rsidP="00F75E0F">
            <w:pPr>
              <w:widowControl w:val="0"/>
              <w:spacing w:line="240" w:lineRule="auto"/>
              <w:ind w:firstLineChars="153" w:firstLine="306"/>
              <w:rPr>
                <w:rFonts w:eastAsia="Times New Roman"/>
                <w:color w:val="000000"/>
                <w:sz w:val="20"/>
                <w:szCs w:val="20"/>
                <w:lang w:eastAsia="en-GB"/>
              </w:rPr>
            </w:pPr>
            <w:r w:rsidRPr="00F0479C">
              <w:rPr>
                <w:rFonts w:eastAsia="Times New Roman"/>
                <w:color w:val="000000"/>
                <w:sz w:val="20"/>
                <w:szCs w:val="20"/>
                <w:lang w:eastAsia="en-GB"/>
              </w:rPr>
              <w:t>60-64</w:t>
            </w:r>
          </w:p>
        </w:tc>
        <w:tc>
          <w:tcPr>
            <w:tcW w:w="272" w:type="dxa"/>
            <w:tcBorders>
              <w:top w:val="nil"/>
              <w:left w:val="nil"/>
              <w:bottom w:val="nil"/>
              <w:right w:val="nil"/>
            </w:tcBorders>
            <w:shd w:val="clear" w:color="auto" w:fill="auto"/>
            <w:hideMark/>
          </w:tcPr>
          <w:p w:rsidR="00445A5F" w:rsidRPr="00F0479C" w:rsidRDefault="00445A5F" w:rsidP="00F75E0F">
            <w:pPr>
              <w:widowControl w:val="0"/>
              <w:spacing w:line="240" w:lineRule="auto"/>
              <w:rPr>
                <w:rFonts w:eastAsia="Times New Roman"/>
                <w:color w:val="000000"/>
                <w:sz w:val="20"/>
                <w:szCs w:val="20"/>
                <w:lang w:eastAsia="en-GB"/>
              </w:rPr>
            </w:pPr>
          </w:p>
        </w:tc>
        <w:tc>
          <w:tcPr>
            <w:tcW w:w="1138" w:type="dxa"/>
            <w:tcBorders>
              <w:top w:val="nil"/>
              <w:left w:val="nil"/>
              <w:bottom w:val="nil"/>
              <w:right w:val="nil"/>
            </w:tcBorders>
            <w:shd w:val="clear" w:color="auto" w:fill="auto"/>
            <w:vAlign w:val="center"/>
            <w:hideMark/>
          </w:tcPr>
          <w:p w:rsidR="00445A5F" w:rsidRPr="00F0479C" w:rsidRDefault="00445A5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1543</w:t>
            </w:r>
          </w:p>
        </w:tc>
        <w:tc>
          <w:tcPr>
            <w:tcW w:w="1373" w:type="dxa"/>
            <w:tcBorders>
              <w:top w:val="nil"/>
              <w:left w:val="nil"/>
              <w:bottom w:val="nil"/>
              <w:right w:val="nil"/>
            </w:tcBorders>
            <w:shd w:val="clear" w:color="auto" w:fill="auto"/>
            <w:vAlign w:val="center"/>
            <w:hideMark/>
          </w:tcPr>
          <w:p w:rsidR="00445A5F" w:rsidRPr="00F0479C" w:rsidRDefault="00445A5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74</w:t>
            </w:r>
          </w:p>
        </w:tc>
        <w:tc>
          <w:tcPr>
            <w:tcW w:w="800" w:type="dxa"/>
            <w:tcBorders>
              <w:top w:val="nil"/>
              <w:left w:val="nil"/>
              <w:bottom w:val="nil"/>
              <w:right w:val="nil"/>
            </w:tcBorders>
            <w:shd w:val="clear" w:color="auto" w:fill="auto"/>
            <w:noWrap/>
            <w:vAlign w:val="center"/>
            <w:hideMark/>
          </w:tcPr>
          <w:p w:rsidR="00445A5F" w:rsidRPr="00F0479C" w:rsidRDefault="00445A5F" w:rsidP="00F75E0F">
            <w:pPr>
              <w:widowControl w:val="0"/>
              <w:spacing w:line="240" w:lineRule="auto"/>
              <w:jc w:val="right"/>
              <w:rPr>
                <w:rFonts w:eastAsia="Times New Roman"/>
                <w:color w:val="000000"/>
                <w:sz w:val="20"/>
                <w:szCs w:val="20"/>
                <w:lang w:eastAsia="en-GB"/>
              </w:rPr>
            </w:pPr>
            <w:r w:rsidRPr="00F0479C">
              <w:rPr>
                <w:rFonts w:eastAsia="Times New Roman"/>
                <w:color w:val="000000"/>
                <w:sz w:val="20"/>
                <w:szCs w:val="20"/>
                <w:lang w:eastAsia="en-GB"/>
              </w:rPr>
              <w:t>0.61</w:t>
            </w:r>
          </w:p>
        </w:tc>
        <w:tc>
          <w:tcPr>
            <w:tcW w:w="1237" w:type="dxa"/>
            <w:tcBorders>
              <w:top w:val="nil"/>
              <w:left w:val="nil"/>
              <w:bottom w:val="nil"/>
              <w:right w:val="nil"/>
            </w:tcBorders>
            <w:shd w:val="clear" w:color="auto" w:fill="auto"/>
            <w:noWrap/>
            <w:vAlign w:val="center"/>
            <w:hideMark/>
          </w:tcPr>
          <w:p w:rsidR="00445A5F" w:rsidRPr="00F0479C" w:rsidRDefault="00445A5F" w:rsidP="00F75E0F">
            <w:pPr>
              <w:widowControl w:val="0"/>
              <w:spacing w:line="240" w:lineRule="auto"/>
              <w:rPr>
                <w:rFonts w:eastAsia="Times New Roman"/>
                <w:color w:val="000000"/>
                <w:sz w:val="20"/>
                <w:szCs w:val="20"/>
                <w:lang w:eastAsia="en-GB"/>
              </w:rPr>
            </w:pPr>
            <w:r w:rsidRPr="00F0479C">
              <w:rPr>
                <w:rFonts w:eastAsia="Times New Roman"/>
                <w:color w:val="000000"/>
                <w:sz w:val="20"/>
                <w:szCs w:val="20"/>
                <w:lang w:eastAsia="en-GB"/>
              </w:rPr>
              <w:t>(0.46,0.82)</w:t>
            </w:r>
          </w:p>
        </w:tc>
        <w:tc>
          <w:tcPr>
            <w:tcW w:w="1152" w:type="dxa"/>
            <w:tcBorders>
              <w:top w:val="nil"/>
              <w:left w:val="nil"/>
              <w:bottom w:val="nil"/>
              <w:right w:val="nil"/>
            </w:tcBorders>
            <w:shd w:val="clear" w:color="auto" w:fill="auto"/>
            <w:vAlign w:val="center"/>
            <w:hideMark/>
          </w:tcPr>
          <w:p w:rsidR="00445A5F" w:rsidRDefault="00445A5F">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0.59</w:t>
            </w:r>
          </w:p>
        </w:tc>
        <w:tc>
          <w:tcPr>
            <w:tcW w:w="1184" w:type="dxa"/>
            <w:tcBorders>
              <w:top w:val="nil"/>
              <w:left w:val="nil"/>
              <w:bottom w:val="nil"/>
              <w:right w:val="nil"/>
            </w:tcBorders>
            <w:shd w:val="clear" w:color="auto" w:fill="auto"/>
            <w:vAlign w:val="center"/>
            <w:hideMark/>
          </w:tcPr>
          <w:p w:rsidR="00445A5F" w:rsidRDefault="00445A5F">
            <w:pPr>
              <w:widowControl w:val="0"/>
              <w:spacing w:line="240" w:lineRule="auto"/>
              <w:rPr>
                <w:rFonts w:eastAsia="Times New Roman"/>
                <w:color w:val="000000"/>
                <w:sz w:val="20"/>
                <w:szCs w:val="20"/>
                <w:lang w:eastAsia="en-GB"/>
              </w:rPr>
            </w:pPr>
            <w:r>
              <w:rPr>
                <w:rFonts w:eastAsia="Times New Roman"/>
                <w:color w:val="000000"/>
                <w:sz w:val="20"/>
                <w:szCs w:val="20"/>
                <w:lang w:eastAsia="en-GB"/>
              </w:rPr>
              <w:t>(0.44,0.79)</w:t>
            </w:r>
          </w:p>
        </w:tc>
      </w:tr>
      <w:tr w:rsidR="00262CAF" w:rsidRPr="00F0479C" w:rsidTr="00F75E0F">
        <w:trPr>
          <w:trHeight w:val="340"/>
          <w:jc w:val="center"/>
        </w:trPr>
        <w:tc>
          <w:tcPr>
            <w:tcW w:w="2924"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rPr>
                <w:rFonts w:eastAsia="Times New Roman"/>
                <w:color w:val="000000"/>
                <w:sz w:val="20"/>
                <w:szCs w:val="20"/>
                <w:lang w:eastAsia="en-GB"/>
              </w:rPr>
            </w:pPr>
            <w:r w:rsidRPr="00F0479C">
              <w:rPr>
                <w:rFonts w:eastAsia="Times New Roman"/>
                <w:color w:val="000000"/>
                <w:sz w:val="20"/>
                <w:szCs w:val="20"/>
                <w:lang w:eastAsia="en-GB"/>
              </w:rPr>
              <w:t xml:space="preserve">Area of </w:t>
            </w:r>
            <w:r w:rsidR="00365F9F">
              <w:rPr>
                <w:rFonts w:eastAsia="Times New Roman"/>
                <w:color w:val="000000"/>
                <w:sz w:val="20"/>
                <w:szCs w:val="20"/>
                <w:lang w:eastAsia="en-GB"/>
              </w:rPr>
              <w:t xml:space="preserve">GP </w:t>
            </w:r>
            <w:r w:rsidRPr="00F0479C">
              <w:rPr>
                <w:rFonts w:eastAsia="Times New Roman"/>
                <w:color w:val="000000"/>
                <w:sz w:val="20"/>
                <w:szCs w:val="20"/>
                <w:lang w:eastAsia="en-GB"/>
              </w:rPr>
              <w:t>practice</w:t>
            </w:r>
          </w:p>
        </w:tc>
        <w:tc>
          <w:tcPr>
            <w:tcW w:w="272" w:type="dxa"/>
            <w:tcBorders>
              <w:top w:val="nil"/>
              <w:left w:val="nil"/>
              <w:bottom w:val="nil"/>
              <w:right w:val="nil"/>
            </w:tcBorders>
            <w:shd w:val="clear" w:color="auto" w:fill="auto"/>
            <w:hideMark/>
          </w:tcPr>
          <w:p w:rsidR="00262CAF" w:rsidRPr="00F0479C" w:rsidRDefault="00262CAF" w:rsidP="00F75E0F">
            <w:pPr>
              <w:widowControl w:val="0"/>
              <w:spacing w:line="240" w:lineRule="auto"/>
              <w:rPr>
                <w:rFonts w:eastAsia="Times New Roman"/>
                <w:color w:val="000000"/>
                <w:sz w:val="20"/>
                <w:szCs w:val="20"/>
                <w:lang w:eastAsia="en-GB"/>
              </w:rPr>
            </w:pPr>
          </w:p>
        </w:tc>
        <w:tc>
          <w:tcPr>
            <w:tcW w:w="1138"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color w:val="000000"/>
                <w:sz w:val="20"/>
                <w:szCs w:val="20"/>
                <w:lang w:eastAsia="en-GB"/>
              </w:rPr>
            </w:pPr>
          </w:p>
        </w:tc>
        <w:tc>
          <w:tcPr>
            <w:tcW w:w="1373"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color w:val="000000"/>
                <w:sz w:val="20"/>
                <w:szCs w:val="20"/>
                <w:lang w:eastAsia="en-GB"/>
              </w:rPr>
            </w:pPr>
          </w:p>
        </w:tc>
        <w:tc>
          <w:tcPr>
            <w:tcW w:w="800"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right"/>
              <w:rPr>
                <w:rFonts w:eastAsia="Times New Roman"/>
                <w:color w:val="000000"/>
                <w:sz w:val="20"/>
                <w:szCs w:val="20"/>
                <w:lang w:eastAsia="en-GB"/>
              </w:rPr>
            </w:pPr>
          </w:p>
        </w:tc>
        <w:tc>
          <w:tcPr>
            <w:tcW w:w="1237"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rPr>
                <w:rFonts w:eastAsia="Times New Roman"/>
                <w:color w:val="000000"/>
                <w:sz w:val="20"/>
                <w:szCs w:val="20"/>
                <w:lang w:eastAsia="en-GB"/>
              </w:rPr>
            </w:pPr>
          </w:p>
        </w:tc>
        <w:tc>
          <w:tcPr>
            <w:tcW w:w="1152"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right"/>
              <w:rPr>
                <w:rFonts w:eastAsia="Times New Roman"/>
                <w:color w:val="000000"/>
                <w:sz w:val="20"/>
                <w:szCs w:val="20"/>
                <w:lang w:eastAsia="en-GB"/>
              </w:rPr>
            </w:pPr>
          </w:p>
        </w:tc>
        <w:tc>
          <w:tcPr>
            <w:tcW w:w="1184"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rPr>
                <w:rFonts w:eastAsia="Times New Roman"/>
                <w:color w:val="000000"/>
                <w:sz w:val="20"/>
                <w:szCs w:val="20"/>
                <w:lang w:eastAsia="en-GB"/>
              </w:rPr>
            </w:pPr>
          </w:p>
        </w:tc>
      </w:tr>
      <w:tr w:rsidR="00262CAF" w:rsidRPr="00F0479C" w:rsidTr="00F75E0F">
        <w:trPr>
          <w:trHeight w:val="340"/>
          <w:jc w:val="center"/>
        </w:trPr>
        <w:tc>
          <w:tcPr>
            <w:tcW w:w="2924"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ind w:left="419" w:hanging="142"/>
              <w:rPr>
                <w:rFonts w:eastAsia="Times New Roman"/>
                <w:color w:val="000000"/>
                <w:sz w:val="20"/>
                <w:szCs w:val="20"/>
                <w:lang w:eastAsia="en-GB"/>
              </w:rPr>
            </w:pPr>
            <w:r w:rsidRPr="00F0479C">
              <w:rPr>
                <w:rFonts w:eastAsia="Times New Roman"/>
                <w:color w:val="000000"/>
                <w:sz w:val="20"/>
                <w:szCs w:val="20"/>
                <w:lang w:eastAsia="en-GB"/>
              </w:rPr>
              <w:t>North East &amp; North West</w:t>
            </w:r>
          </w:p>
        </w:tc>
        <w:tc>
          <w:tcPr>
            <w:tcW w:w="272" w:type="dxa"/>
            <w:tcBorders>
              <w:top w:val="nil"/>
              <w:left w:val="nil"/>
              <w:bottom w:val="nil"/>
              <w:right w:val="nil"/>
            </w:tcBorders>
            <w:shd w:val="clear" w:color="auto" w:fill="auto"/>
            <w:hideMark/>
          </w:tcPr>
          <w:p w:rsidR="00262CAF" w:rsidRPr="00F0479C" w:rsidRDefault="00262CAF" w:rsidP="00F75E0F">
            <w:pPr>
              <w:widowControl w:val="0"/>
              <w:spacing w:line="240" w:lineRule="auto"/>
              <w:rPr>
                <w:rFonts w:eastAsia="Times New Roman"/>
                <w:color w:val="000000"/>
                <w:sz w:val="20"/>
                <w:szCs w:val="20"/>
                <w:lang w:eastAsia="en-GB"/>
              </w:rPr>
            </w:pPr>
          </w:p>
        </w:tc>
        <w:tc>
          <w:tcPr>
            <w:tcW w:w="1138" w:type="dxa"/>
            <w:tcBorders>
              <w:top w:val="nil"/>
              <w:left w:val="nil"/>
              <w:bottom w:val="nil"/>
              <w:right w:val="nil"/>
            </w:tcBorders>
            <w:shd w:val="clear" w:color="auto" w:fill="auto"/>
            <w:vAlign w:val="center"/>
            <w:hideMark/>
          </w:tcPr>
          <w:p w:rsidR="00262CAF" w:rsidRPr="00F0479C" w:rsidRDefault="00262CAF" w:rsidP="00F75E0F">
            <w:pPr>
              <w:widowControl w:val="0"/>
              <w:jc w:val="center"/>
              <w:rPr>
                <w:color w:val="000000"/>
                <w:sz w:val="20"/>
                <w:szCs w:val="20"/>
              </w:rPr>
            </w:pPr>
            <w:r w:rsidRPr="00F0479C">
              <w:rPr>
                <w:color w:val="000000"/>
                <w:sz w:val="20"/>
                <w:szCs w:val="20"/>
              </w:rPr>
              <w:t>1221</w:t>
            </w:r>
          </w:p>
        </w:tc>
        <w:tc>
          <w:tcPr>
            <w:tcW w:w="1373" w:type="dxa"/>
            <w:tcBorders>
              <w:top w:val="nil"/>
              <w:left w:val="nil"/>
              <w:bottom w:val="nil"/>
              <w:right w:val="nil"/>
            </w:tcBorders>
            <w:shd w:val="clear" w:color="auto" w:fill="auto"/>
            <w:vAlign w:val="center"/>
            <w:hideMark/>
          </w:tcPr>
          <w:p w:rsidR="00262CAF" w:rsidRPr="00F0479C" w:rsidRDefault="00262CAF" w:rsidP="00F75E0F">
            <w:pPr>
              <w:widowControl w:val="0"/>
              <w:jc w:val="center"/>
              <w:rPr>
                <w:color w:val="000000"/>
                <w:sz w:val="20"/>
                <w:szCs w:val="20"/>
              </w:rPr>
            </w:pPr>
            <w:r w:rsidRPr="00F0479C">
              <w:rPr>
                <w:color w:val="000000"/>
                <w:sz w:val="20"/>
                <w:szCs w:val="20"/>
              </w:rPr>
              <w:t>71</w:t>
            </w:r>
          </w:p>
        </w:tc>
        <w:tc>
          <w:tcPr>
            <w:tcW w:w="2037" w:type="dxa"/>
            <w:gridSpan w:val="2"/>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Reference</w:t>
            </w:r>
          </w:p>
        </w:tc>
        <w:tc>
          <w:tcPr>
            <w:tcW w:w="2336" w:type="dxa"/>
            <w:gridSpan w:val="2"/>
            <w:tcBorders>
              <w:top w:val="nil"/>
              <w:left w:val="nil"/>
              <w:bottom w:val="nil"/>
              <w:right w:val="nil"/>
            </w:tcBorders>
            <w:shd w:val="clear" w:color="auto" w:fill="auto"/>
            <w:vAlign w:val="center"/>
          </w:tcPr>
          <w:p w:rsidR="00262CAF" w:rsidRPr="00F0479C" w:rsidRDefault="00262CA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Reference</w:t>
            </w:r>
          </w:p>
        </w:tc>
      </w:tr>
      <w:tr w:rsidR="00445A5F" w:rsidRPr="00F0479C" w:rsidTr="00F75E0F">
        <w:trPr>
          <w:trHeight w:val="340"/>
          <w:jc w:val="center"/>
        </w:trPr>
        <w:tc>
          <w:tcPr>
            <w:tcW w:w="2924" w:type="dxa"/>
            <w:tcBorders>
              <w:top w:val="nil"/>
              <w:left w:val="nil"/>
              <w:bottom w:val="nil"/>
              <w:right w:val="nil"/>
            </w:tcBorders>
            <w:shd w:val="clear" w:color="auto" w:fill="auto"/>
            <w:vAlign w:val="center"/>
            <w:hideMark/>
          </w:tcPr>
          <w:p w:rsidR="00445A5F" w:rsidRPr="00F0479C" w:rsidRDefault="00445A5F" w:rsidP="00F75E0F">
            <w:pPr>
              <w:widowControl w:val="0"/>
              <w:ind w:firstLineChars="153" w:firstLine="306"/>
              <w:rPr>
                <w:color w:val="000000"/>
                <w:sz w:val="20"/>
                <w:szCs w:val="20"/>
              </w:rPr>
            </w:pPr>
            <w:r w:rsidRPr="00F0479C">
              <w:rPr>
                <w:color w:val="000000"/>
                <w:sz w:val="20"/>
                <w:szCs w:val="20"/>
              </w:rPr>
              <w:t>West Midlands</w:t>
            </w:r>
          </w:p>
        </w:tc>
        <w:tc>
          <w:tcPr>
            <w:tcW w:w="272" w:type="dxa"/>
            <w:tcBorders>
              <w:top w:val="nil"/>
              <w:left w:val="nil"/>
              <w:bottom w:val="nil"/>
              <w:right w:val="nil"/>
            </w:tcBorders>
            <w:shd w:val="clear" w:color="auto" w:fill="auto"/>
            <w:hideMark/>
          </w:tcPr>
          <w:p w:rsidR="00445A5F" w:rsidRPr="00F0479C" w:rsidRDefault="00445A5F" w:rsidP="00F75E0F">
            <w:pPr>
              <w:widowControl w:val="0"/>
              <w:spacing w:line="240" w:lineRule="auto"/>
              <w:rPr>
                <w:rFonts w:eastAsia="Times New Roman"/>
                <w:color w:val="000000"/>
                <w:sz w:val="20"/>
                <w:szCs w:val="20"/>
                <w:lang w:eastAsia="en-GB"/>
              </w:rPr>
            </w:pPr>
          </w:p>
        </w:tc>
        <w:tc>
          <w:tcPr>
            <w:tcW w:w="1138" w:type="dxa"/>
            <w:tcBorders>
              <w:top w:val="nil"/>
              <w:left w:val="nil"/>
              <w:bottom w:val="nil"/>
              <w:right w:val="nil"/>
            </w:tcBorders>
            <w:shd w:val="clear" w:color="auto" w:fill="auto"/>
            <w:vAlign w:val="center"/>
            <w:hideMark/>
          </w:tcPr>
          <w:p w:rsidR="00445A5F" w:rsidRPr="00F0479C" w:rsidRDefault="00445A5F" w:rsidP="00F75E0F">
            <w:pPr>
              <w:widowControl w:val="0"/>
              <w:jc w:val="center"/>
              <w:rPr>
                <w:color w:val="000000"/>
                <w:sz w:val="20"/>
                <w:szCs w:val="20"/>
              </w:rPr>
            </w:pPr>
            <w:r w:rsidRPr="00F0479C">
              <w:rPr>
                <w:color w:val="000000"/>
                <w:sz w:val="20"/>
                <w:szCs w:val="20"/>
              </w:rPr>
              <w:t>745</w:t>
            </w:r>
          </w:p>
        </w:tc>
        <w:tc>
          <w:tcPr>
            <w:tcW w:w="1373" w:type="dxa"/>
            <w:tcBorders>
              <w:top w:val="nil"/>
              <w:left w:val="nil"/>
              <w:bottom w:val="nil"/>
              <w:right w:val="nil"/>
            </w:tcBorders>
            <w:shd w:val="clear" w:color="auto" w:fill="auto"/>
            <w:vAlign w:val="center"/>
            <w:hideMark/>
          </w:tcPr>
          <w:p w:rsidR="00445A5F" w:rsidRPr="00F0479C" w:rsidRDefault="00445A5F" w:rsidP="00F75E0F">
            <w:pPr>
              <w:widowControl w:val="0"/>
              <w:jc w:val="center"/>
              <w:rPr>
                <w:color w:val="000000"/>
                <w:sz w:val="20"/>
                <w:szCs w:val="20"/>
              </w:rPr>
            </w:pPr>
            <w:r w:rsidRPr="00F0479C">
              <w:rPr>
                <w:color w:val="000000"/>
                <w:sz w:val="20"/>
                <w:szCs w:val="20"/>
              </w:rPr>
              <w:t>52</w:t>
            </w:r>
          </w:p>
        </w:tc>
        <w:tc>
          <w:tcPr>
            <w:tcW w:w="800" w:type="dxa"/>
            <w:tcBorders>
              <w:top w:val="nil"/>
              <w:left w:val="nil"/>
              <w:bottom w:val="nil"/>
              <w:right w:val="nil"/>
            </w:tcBorders>
            <w:shd w:val="clear" w:color="auto" w:fill="auto"/>
            <w:noWrap/>
            <w:vAlign w:val="center"/>
            <w:hideMark/>
          </w:tcPr>
          <w:p w:rsidR="00445A5F" w:rsidRPr="00F0479C" w:rsidRDefault="00445A5F" w:rsidP="00F75E0F">
            <w:pPr>
              <w:widowControl w:val="0"/>
              <w:jc w:val="right"/>
              <w:rPr>
                <w:color w:val="000000"/>
                <w:sz w:val="20"/>
                <w:szCs w:val="20"/>
              </w:rPr>
            </w:pPr>
            <w:r w:rsidRPr="00F0479C">
              <w:rPr>
                <w:color w:val="000000"/>
                <w:sz w:val="20"/>
                <w:szCs w:val="20"/>
              </w:rPr>
              <w:t>1.22</w:t>
            </w:r>
          </w:p>
        </w:tc>
        <w:tc>
          <w:tcPr>
            <w:tcW w:w="1237" w:type="dxa"/>
            <w:tcBorders>
              <w:top w:val="nil"/>
              <w:left w:val="nil"/>
              <w:bottom w:val="nil"/>
              <w:right w:val="nil"/>
            </w:tcBorders>
            <w:shd w:val="clear" w:color="auto" w:fill="auto"/>
            <w:noWrap/>
            <w:vAlign w:val="center"/>
            <w:hideMark/>
          </w:tcPr>
          <w:p w:rsidR="00445A5F" w:rsidRPr="00F0479C" w:rsidRDefault="00445A5F" w:rsidP="00F75E0F">
            <w:pPr>
              <w:widowControl w:val="0"/>
              <w:rPr>
                <w:color w:val="000000"/>
                <w:sz w:val="20"/>
                <w:szCs w:val="20"/>
              </w:rPr>
            </w:pPr>
            <w:r w:rsidRPr="00F0479C">
              <w:rPr>
                <w:color w:val="000000"/>
                <w:sz w:val="20"/>
                <w:szCs w:val="20"/>
              </w:rPr>
              <w:t>(0.84,1.76)</w:t>
            </w:r>
          </w:p>
        </w:tc>
        <w:tc>
          <w:tcPr>
            <w:tcW w:w="1152" w:type="dxa"/>
            <w:tcBorders>
              <w:top w:val="nil"/>
              <w:left w:val="nil"/>
              <w:bottom w:val="nil"/>
              <w:right w:val="nil"/>
            </w:tcBorders>
            <w:shd w:val="clear" w:color="auto" w:fill="auto"/>
            <w:vAlign w:val="center"/>
            <w:hideMark/>
          </w:tcPr>
          <w:p w:rsidR="00445A5F" w:rsidRDefault="00445A5F">
            <w:pPr>
              <w:widowControl w:val="0"/>
              <w:jc w:val="right"/>
              <w:rPr>
                <w:color w:val="000000"/>
                <w:sz w:val="20"/>
                <w:szCs w:val="20"/>
              </w:rPr>
            </w:pPr>
            <w:r>
              <w:rPr>
                <w:color w:val="000000"/>
                <w:sz w:val="20"/>
                <w:szCs w:val="20"/>
              </w:rPr>
              <w:t>1.21</w:t>
            </w:r>
          </w:p>
        </w:tc>
        <w:tc>
          <w:tcPr>
            <w:tcW w:w="1184" w:type="dxa"/>
            <w:tcBorders>
              <w:top w:val="nil"/>
              <w:left w:val="nil"/>
              <w:bottom w:val="nil"/>
              <w:right w:val="nil"/>
            </w:tcBorders>
            <w:shd w:val="clear" w:color="auto" w:fill="auto"/>
            <w:vAlign w:val="center"/>
            <w:hideMark/>
          </w:tcPr>
          <w:p w:rsidR="00445A5F" w:rsidRDefault="00445A5F">
            <w:pPr>
              <w:widowControl w:val="0"/>
              <w:rPr>
                <w:color w:val="000000"/>
                <w:sz w:val="20"/>
                <w:szCs w:val="20"/>
              </w:rPr>
            </w:pPr>
            <w:r>
              <w:rPr>
                <w:color w:val="000000"/>
                <w:sz w:val="20"/>
                <w:szCs w:val="20"/>
              </w:rPr>
              <w:t>(0.83,1.77)</w:t>
            </w:r>
          </w:p>
        </w:tc>
      </w:tr>
      <w:tr w:rsidR="00445A5F" w:rsidRPr="00F0479C" w:rsidTr="00F75E0F">
        <w:trPr>
          <w:trHeight w:val="340"/>
          <w:jc w:val="center"/>
        </w:trPr>
        <w:tc>
          <w:tcPr>
            <w:tcW w:w="2924" w:type="dxa"/>
            <w:tcBorders>
              <w:top w:val="nil"/>
              <w:left w:val="nil"/>
              <w:bottom w:val="nil"/>
              <w:right w:val="nil"/>
            </w:tcBorders>
            <w:shd w:val="clear" w:color="auto" w:fill="auto"/>
            <w:vAlign w:val="center"/>
            <w:hideMark/>
          </w:tcPr>
          <w:p w:rsidR="00445A5F" w:rsidRPr="00F0479C" w:rsidRDefault="00445A5F" w:rsidP="00F75E0F">
            <w:pPr>
              <w:widowControl w:val="0"/>
              <w:ind w:firstLineChars="153" w:firstLine="306"/>
              <w:rPr>
                <w:color w:val="000000"/>
                <w:sz w:val="20"/>
                <w:szCs w:val="20"/>
              </w:rPr>
            </w:pPr>
            <w:r w:rsidRPr="00F0479C">
              <w:rPr>
                <w:color w:val="000000"/>
                <w:sz w:val="20"/>
                <w:szCs w:val="20"/>
              </w:rPr>
              <w:t>East</w:t>
            </w:r>
          </w:p>
        </w:tc>
        <w:tc>
          <w:tcPr>
            <w:tcW w:w="272" w:type="dxa"/>
            <w:tcBorders>
              <w:top w:val="nil"/>
              <w:left w:val="nil"/>
              <w:bottom w:val="nil"/>
              <w:right w:val="nil"/>
            </w:tcBorders>
            <w:shd w:val="clear" w:color="auto" w:fill="auto"/>
            <w:hideMark/>
          </w:tcPr>
          <w:p w:rsidR="00445A5F" w:rsidRPr="00F0479C" w:rsidRDefault="00445A5F" w:rsidP="00F75E0F">
            <w:pPr>
              <w:widowControl w:val="0"/>
              <w:spacing w:line="240" w:lineRule="auto"/>
              <w:rPr>
                <w:rFonts w:eastAsia="Times New Roman"/>
                <w:color w:val="000000"/>
                <w:sz w:val="20"/>
                <w:szCs w:val="20"/>
                <w:lang w:eastAsia="en-GB"/>
              </w:rPr>
            </w:pPr>
          </w:p>
        </w:tc>
        <w:tc>
          <w:tcPr>
            <w:tcW w:w="1138" w:type="dxa"/>
            <w:tcBorders>
              <w:top w:val="nil"/>
              <w:left w:val="nil"/>
              <w:bottom w:val="nil"/>
              <w:right w:val="nil"/>
            </w:tcBorders>
            <w:shd w:val="clear" w:color="auto" w:fill="auto"/>
            <w:vAlign w:val="center"/>
            <w:hideMark/>
          </w:tcPr>
          <w:p w:rsidR="00445A5F" w:rsidRPr="00F0479C" w:rsidRDefault="00445A5F" w:rsidP="00F75E0F">
            <w:pPr>
              <w:widowControl w:val="0"/>
              <w:jc w:val="center"/>
              <w:rPr>
                <w:color w:val="000000"/>
                <w:sz w:val="20"/>
                <w:szCs w:val="20"/>
              </w:rPr>
            </w:pPr>
            <w:r w:rsidRPr="00F0479C">
              <w:rPr>
                <w:color w:val="000000"/>
                <w:sz w:val="20"/>
                <w:szCs w:val="20"/>
              </w:rPr>
              <w:t>1245</w:t>
            </w:r>
          </w:p>
        </w:tc>
        <w:tc>
          <w:tcPr>
            <w:tcW w:w="1373" w:type="dxa"/>
            <w:tcBorders>
              <w:top w:val="nil"/>
              <w:left w:val="nil"/>
              <w:bottom w:val="nil"/>
              <w:right w:val="nil"/>
            </w:tcBorders>
            <w:shd w:val="clear" w:color="auto" w:fill="auto"/>
            <w:vAlign w:val="center"/>
            <w:hideMark/>
          </w:tcPr>
          <w:p w:rsidR="00445A5F" w:rsidRPr="00F0479C" w:rsidRDefault="00445A5F" w:rsidP="00F75E0F">
            <w:pPr>
              <w:widowControl w:val="0"/>
              <w:jc w:val="center"/>
              <w:rPr>
                <w:color w:val="000000"/>
                <w:sz w:val="20"/>
                <w:szCs w:val="20"/>
              </w:rPr>
            </w:pPr>
            <w:r w:rsidRPr="00F0479C">
              <w:rPr>
                <w:color w:val="000000"/>
                <w:sz w:val="20"/>
                <w:szCs w:val="20"/>
              </w:rPr>
              <w:t>95</w:t>
            </w:r>
          </w:p>
        </w:tc>
        <w:tc>
          <w:tcPr>
            <w:tcW w:w="800" w:type="dxa"/>
            <w:tcBorders>
              <w:top w:val="nil"/>
              <w:left w:val="nil"/>
              <w:bottom w:val="nil"/>
              <w:right w:val="nil"/>
            </w:tcBorders>
            <w:shd w:val="clear" w:color="auto" w:fill="auto"/>
            <w:noWrap/>
            <w:vAlign w:val="center"/>
            <w:hideMark/>
          </w:tcPr>
          <w:p w:rsidR="00445A5F" w:rsidRPr="00F0479C" w:rsidRDefault="00445A5F" w:rsidP="00F75E0F">
            <w:pPr>
              <w:widowControl w:val="0"/>
              <w:jc w:val="right"/>
              <w:rPr>
                <w:color w:val="000000"/>
                <w:sz w:val="20"/>
                <w:szCs w:val="20"/>
              </w:rPr>
            </w:pPr>
            <w:r w:rsidRPr="00F0479C">
              <w:rPr>
                <w:color w:val="000000"/>
                <w:sz w:val="20"/>
                <w:szCs w:val="20"/>
              </w:rPr>
              <w:t>1.34</w:t>
            </w:r>
          </w:p>
        </w:tc>
        <w:tc>
          <w:tcPr>
            <w:tcW w:w="1237" w:type="dxa"/>
            <w:tcBorders>
              <w:top w:val="nil"/>
              <w:left w:val="nil"/>
              <w:bottom w:val="nil"/>
              <w:right w:val="nil"/>
            </w:tcBorders>
            <w:shd w:val="clear" w:color="auto" w:fill="auto"/>
            <w:noWrap/>
            <w:vAlign w:val="center"/>
            <w:hideMark/>
          </w:tcPr>
          <w:p w:rsidR="00445A5F" w:rsidRPr="00F0479C" w:rsidRDefault="00445A5F" w:rsidP="00F75E0F">
            <w:pPr>
              <w:widowControl w:val="0"/>
              <w:rPr>
                <w:color w:val="000000"/>
                <w:sz w:val="20"/>
                <w:szCs w:val="20"/>
              </w:rPr>
            </w:pPr>
            <w:r w:rsidRPr="00F0479C">
              <w:rPr>
                <w:color w:val="000000"/>
                <w:sz w:val="20"/>
                <w:szCs w:val="20"/>
              </w:rPr>
              <w:t>(0.98,1.85)</w:t>
            </w:r>
          </w:p>
        </w:tc>
        <w:tc>
          <w:tcPr>
            <w:tcW w:w="1152" w:type="dxa"/>
            <w:tcBorders>
              <w:top w:val="nil"/>
              <w:left w:val="nil"/>
              <w:bottom w:val="nil"/>
              <w:right w:val="nil"/>
            </w:tcBorders>
            <w:shd w:val="clear" w:color="auto" w:fill="auto"/>
            <w:vAlign w:val="center"/>
            <w:hideMark/>
          </w:tcPr>
          <w:p w:rsidR="00445A5F" w:rsidRDefault="00445A5F">
            <w:pPr>
              <w:widowControl w:val="0"/>
              <w:jc w:val="right"/>
              <w:rPr>
                <w:color w:val="000000"/>
                <w:sz w:val="20"/>
                <w:szCs w:val="20"/>
              </w:rPr>
            </w:pPr>
            <w:r>
              <w:rPr>
                <w:color w:val="000000"/>
                <w:sz w:val="20"/>
                <w:szCs w:val="20"/>
              </w:rPr>
              <w:t>1.42</w:t>
            </w:r>
          </w:p>
        </w:tc>
        <w:tc>
          <w:tcPr>
            <w:tcW w:w="1184" w:type="dxa"/>
            <w:tcBorders>
              <w:top w:val="nil"/>
              <w:left w:val="nil"/>
              <w:bottom w:val="nil"/>
              <w:right w:val="nil"/>
            </w:tcBorders>
            <w:shd w:val="clear" w:color="auto" w:fill="auto"/>
            <w:vAlign w:val="center"/>
            <w:hideMark/>
          </w:tcPr>
          <w:p w:rsidR="00445A5F" w:rsidRDefault="00445A5F">
            <w:pPr>
              <w:widowControl w:val="0"/>
              <w:rPr>
                <w:color w:val="000000"/>
                <w:sz w:val="20"/>
                <w:szCs w:val="20"/>
              </w:rPr>
            </w:pPr>
            <w:r>
              <w:rPr>
                <w:color w:val="000000"/>
                <w:sz w:val="20"/>
                <w:szCs w:val="20"/>
              </w:rPr>
              <w:t>(1.01,2.00)</w:t>
            </w:r>
          </w:p>
        </w:tc>
      </w:tr>
      <w:tr w:rsidR="00445A5F" w:rsidRPr="00F0479C" w:rsidTr="00F75E0F">
        <w:trPr>
          <w:trHeight w:val="340"/>
          <w:jc w:val="center"/>
        </w:trPr>
        <w:tc>
          <w:tcPr>
            <w:tcW w:w="2924" w:type="dxa"/>
            <w:tcBorders>
              <w:top w:val="nil"/>
              <w:left w:val="nil"/>
              <w:bottom w:val="nil"/>
              <w:right w:val="nil"/>
            </w:tcBorders>
            <w:shd w:val="clear" w:color="auto" w:fill="auto"/>
            <w:vAlign w:val="center"/>
            <w:hideMark/>
          </w:tcPr>
          <w:p w:rsidR="00445A5F" w:rsidRPr="00F0479C" w:rsidRDefault="00445A5F" w:rsidP="00F75E0F">
            <w:pPr>
              <w:widowControl w:val="0"/>
              <w:ind w:firstLineChars="153" w:firstLine="306"/>
              <w:rPr>
                <w:color w:val="000000"/>
                <w:sz w:val="20"/>
                <w:szCs w:val="20"/>
              </w:rPr>
            </w:pPr>
            <w:r w:rsidRPr="00F0479C">
              <w:rPr>
                <w:color w:val="000000"/>
                <w:sz w:val="20"/>
                <w:szCs w:val="20"/>
              </w:rPr>
              <w:t>South Central &amp; West</w:t>
            </w:r>
          </w:p>
        </w:tc>
        <w:tc>
          <w:tcPr>
            <w:tcW w:w="272" w:type="dxa"/>
            <w:tcBorders>
              <w:top w:val="nil"/>
              <w:left w:val="nil"/>
              <w:bottom w:val="nil"/>
              <w:right w:val="nil"/>
            </w:tcBorders>
            <w:shd w:val="clear" w:color="auto" w:fill="auto"/>
            <w:hideMark/>
          </w:tcPr>
          <w:p w:rsidR="00445A5F" w:rsidRPr="00F0479C" w:rsidRDefault="00445A5F" w:rsidP="00F75E0F">
            <w:pPr>
              <w:widowControl w:val="0"/>
              <w:spacing w:line="240" w:lineRule="auto"/>
              <w:rPr>
                <w:rFonts w:eastAsia="Times New Roman"/>
                <w:color w:val="000000"/>
                <w:sz w:val="20"/>
                <w:szCs w:val="20"/>
                <w:lang w:eastAsia="en-GB"/>
              </w:rPr>
            </w:pPr>
          </w:p>
        </w:tc>
        <w:tc>
          <w:tcPr>
            <w:tcW w:w="1138" w:type="dxa"/>
            <w:tcBorders>
              <w:top w:val="nil"/>
              <w:left w:val="nil"/>
              <w:bottom w:val="nil"/>
              <w:right w:val="nil"/>
            </w:tcBorders>
            <w:shd w:val="clear" w:color="auto" w:fill="auto"/>
            <w:vAlign w:val="center"/>
            <w:hideMark/>
          </w:tcPr>
          <w:p w:rsidR="00445A5F" w:rsidRPr="00F0479C" w:rsidRDefault="00445A5F" w:rsidP="00F75E0F">
            <w:pPr>
              <w:widowControl w:val="0"/>
              <w:jc w:val="center"/>
              <w:rPr>
                <w:color w:val="000000"/>
                <w:sz w:val="20"/>
                <w:szCs w:val="20"/>
              </w:rPr>
            </w:pPr>
            <w:r w:rsidRPr="00F0479C">
              <w:rPr>
                <w:color w:val="000000"/>
                <w:sz w:val="20"/>
                <w:szCs w:val="20"/>
              </w:rPr>
              <w:t>1809</w:t>
            </w:r>
          </w:p>
        </w:tc>
        <w:tc>
          <w:tcPr>
            <w:tcW w:w="1373" w:type="dxa"/>
            <w:tcBorders>
              <w:top w:val="nil"/>
              <w:left w:val="nil"/>
              <w:bottom w:val="nil"/>
              <w:right w:val="nil"/>
            </w:tcBorders>
            <w:shd w:val="clear" w:color="auto" w:fill="auto"/>
            <w:vAlign w:val="center"/>
            <w:hideMark/>
          </w:tcPr>
          <w:p w:rsidR="00445A5F" w:rsidRPr="00F0479C" w:rsidRDefault="00445A5F" w:rsidP="00F75E0F">
            <w:pPr>
              <w:widowControl w:val="0"/>
              <w:jc w:val="center"/>
              <w:rPr>
                <w:color w:val="000000"/>
                <w:sz w:val="20"/>
                <w:szCs w:val="20"/>
              </w:rPr>
            </w:pPr>
            <w:r w:rsidRPr="00F0479C">
              <w:rPr>
                <w:color w:val="000000"/>
                <w:sz w:val="20"/>
                <w:szCs w:val="20"/>
              </w:rPr>
              <w:t>114</w:t>
            </w:r>
          </w:p>
        </w:tc>
        <w:tc>
          <w:tcPr>
            <w:tcW w:w="800" w:type="dxa"/>
            <w:tcBorders>
              <w:top w:val="nil"/>
              <w:left w:val="nil"/>
              <w:bottom w:val="nil"/>
              <w:right w:val="nil"/>
            </w:tcBorders>
            <w:shd w:val="clear" w:color="auto" w:fill="auto"/>
            <w:noWrap/>
            <w:vAlign w:val="center"/>
            <w:hideMark/>
          </w:tcPr>
          <w:p w:rsidR="00445A5F" w:rsidRPr="00F0479C" w:rsidRDefault="00445A5F" w:rsidP="00F75E0F">
            <w:pPr>
              <w:widowControl w:val="0"/>
              <w:jc w:val="right"/>
              <w:rPr>
                <w:color w:val="000000"/>
                <w:sz w:val="20"/>
                <w:szCs w:val="20"/>
              </w:rPr>
            </w:pPr>
            <w:r w:rsidRPr="00F0479C">
              <w:rPr>
                <w:color w:val="000000"/>
                <w:sz w:val="20"/>
                <w:szCs w:val="20"/>
              </w:rPr>
              <w:t>1.09</w:t>
            </w:r>
          </w:p>
        </w:tc>
        <w:tc>
          <w:tcPr>
            <w:tcW w:w="1237" w:type="dxa"/>
            <w:tcBorders>
              <w:top w:val="nil"/>
              <w:left w:val="nil"/>
              <w:bottom w:val="nil"/>
              <w:right w:val="nil"/>
            </w:tcBorders>
            <w:shd w:val="clear" w:color="auto" w:fill="auto"/>
            <w:noWrap/>
            <w:vAlign w:val="center"/>
            <w:hideMark/>
          </w:tcPr>
          <w:p w:rsidR="00445A5F" w:rsidRPr="00F0479C" w:rsidRDefault="00445A5F" w:rsidP="00F75E0F">
            <w:pPr>
              <w:widowControl w:val="0"/>
              <w:rPr>
                <w:color w:val="000000"/>
                <w:sz w:val="20"/>
                <w:szCs w:val="20"/>
              </w:rPr>
            </w:pPr>
            <w:r w:rsidRPr="00F0479C">
              <w:rPr>
                <w:color w:val="000000"/>
                <w:sz w:val="20"/>
                <w:szCs w:val="20"/>
              </w:rPr>
              <w:t>(0.80,1.48)</w:t>
            </w:r>
          </w:p>
        </w:tc>
        <w:tc>
          <w:tcPr>
            <w:tcW w:w="1152" w:type="dxa"/>
            <w:tcBorders>
              <w:top w:val="nil"/>
              <w:left w:val="nil"/>
              <w:bottom w:val="nil"/>
              <w:right w:val="nil"/>
            </w:tcBorders>
            <w:shd w:val="clear" w:color="auto" w:fill="auto"/>
            <w:vAlign w:val="center"/>
            <w:hideMark/>
          </w:tcPr>
          <w:p w:rsidR="00445A5F" w:rsidRDefault="00445A5F">
            <w:pPr>
              <w:widowControl w:val="0"/>
              <w:jc w:val="right"/>
              <w:rPr>
                <w:color w:val="000000"/>
                <w:sz w:val="20"/>
                <w:szCs w:val="20"/>
              </w:rPr>
            </w:pPr>
            <w:r>
              <w:rPr>
                <w:color w:val="000000"/>
                <w:sz w:val="20"/>
                <w:szCs w:val="20"/>
              </w:rPr>
              <w:t>1.14</w:t>
            </w:r>
          </w:p>
        </w:tc>
        <w:tc>
          <w:tcPr>
            <w:tcW w:w="1184" w:type="dxa"/>
            <w:tcBorders>
              <w:top w:val="nil"/>
              <w:left w:val="nil"/>
              <w:bottom w:val="nil"/>
              <w:right w:val="nil"/>
            </w:tcBorders>
            <w:shd w:val="clear" w:color="auto" w:fill="auto"/>
            <w:vAlign w:val="center"/>
            <w:hideMark/>
          </w:tcPr>
          <w:p w:rsidR="00445A5F" w:rsidRDefault="00445A5F">
            <w:pPr>
              <w:widowControl w:val="0"/>
              <w:rPr>
                <w:color w:val="000000"/>
                <w:sz w:val="20"/>
                <w:szCs w:val="20"/>
              </w:rPr>
            </w:pPr>
            <w:r>
              <w:rPr>
                <w:color w:val="000000"/>
                <w:sz w:val="20"/>
                <w:szCs w:val="20"/>
              </w:rPr>
              <w:t>(0.82,1.59)</w:t>
            </w:r>
          </w:p>
        </w:tc>
      </w:tr>
      <w:tr w:rsidR="00445A5F" w:rsidRPr="00F0479C" w:rsidTr="00F75E0F">
        <w:trPr>
          <w:trHeight w:val="340"/>
          <w:jc w:val="center"/>
        </w:trPr>
        <w:tc>
          <w:tcPr>
            <w:tcW w:w="2924" w:type="dxa"/>
            <w:tcBorders>
              <w:top w:val="nil"/>
              <w:left w:val="nil"/>
              <w:bottom w:val="nil"/>
              <w:right w:val="nil"/>
            </w:tcBorders>
            <w:shd w:val="clear" w:color="auto" w:fill="auto"/>
            <w:vAlign w:val="center"/>
            <w:hideMark/>
          </w:tcPr>
          <w:p w:rsidR="00445A5F" w:rsidRPr="00F0479C" w:rsidRDefault="00445A5F" w:rsidP="00F75E0F">
            <w:pPr>
              <w:widowControl w:val="0"/>
              <w:ind w:firstLineChars="153" w:firstLine="306"/>
              <w:rPr>
                <w:color w:val="000000"/>
                <w:sz w:val="20"/>
                <w:szCs w:val="20"/>
              </w:rPr>
            </w:pPr>
            <w:r w:rsidRPr="00F0479C">
              <w:rPr>
                <w:color w:val="000000"/>
                <w:sz w:val="20"/>
                <w:szCs w:val="20"/>
              </w:rPr>
              <w:t>London &amp; South East</w:t>
            </w:r>
          </w:p>
        </w:tc>
        <w:tc>
          <w:tcPr>
            <w:tcW w:w="272" w:type="dxa"/>
            <w:tcBorders>
              <w:top w:val="nil"/>
              <w:left w:val="nil"/>
              <w:bottom w:val="nil"/>
              <w:right w:val="nil"/>
            </w:tcBorders>
            <w:shd w:val="clear" w:color="auto" w:fill="auto"/>
            <w:hideMark/>
          </w:tcPr>
          <w:p w:rsidR="00445A5F" w:rsidRPr="00F0479C" w:rsidRDefault="00445A5F" w:rsidP="00F75E0F">
            <w:pPr>
              <w:widowControl w:val="0"/>
              <w:spacing w:line="240" w:lineRule="auto"/>
              <w:rPr>
                <w:rFonts w:eastAsia="Times New Roman"/>
                <w:color w:val="000000"/>
                <w:sz w:val="20"/>
                <w:szCs w:val="20"/>
                <w:lang w:eastAsia="en-GB"/>
              </w:rPr>
            </w:pPr>
          </w:p>
        </w:tc>
        <w:tc>
          <w:tcPr>
            <w:tcW w:w="1138" w:type="dxa"/>
            <w:tcBorders>
              <w:top w:val="nil"/>
              <w:left w:val="nil"/>
              <w:bottom w:val="nil"/>
              <w:right w:val="nil"/>
            </w:tcBorders>
            <w:shd w:val="clear" w:color="auto" w:fill="auto"/>
            <w:vAlign w:val="center"/>
            <w:hideMark/>
          </w:tcPr>
          <w:p w:rsidR="00445A5F" w:rsidRPr="00F0479C" w:rsidRDefault="00445A5F" w:rsidP="00F75E0F">
            <w:pPr>
              <w:widowControl w:val="0"/>
              <w:jc w:val="center"/>
              <w:rPr>
                <w:color w:val="000000"/>
                <w:sz w:val="20"/>
                <w:szCs w:val="20"/>
              </w:rPr>
            </w:pPr>
            <w:r w:rsidRPr="00F0479C">
              <w:rPr>
                <w:color w:val="000000"/>
                <w:sz w:val="20"/>
                <w:szCs w:val="20"/>
              </w:rPr>
              <w:t>417</w:t>
            </w:r>
          </w:p>
        </w:tc>
        <w:tc>
          <w:tcPr>
            <w:tcW w:w="1373" w:type="dxa"/>
            <w:tcBorders>
              <w:top w:val="nil"/>
              <w:left w:val="nil"/>
              <w:bottom w:val="nil"/>
              <w:right w:val="nil"/>
            </w:tcBorders>
            <w:shd w:val="clear" w:color="auto" w:fill="auto"/>
            <w:vAlign w:val="center"/>
            <w:hideMark/>
          </w:tcPr>
          <w:p w:rsidR="00445A5F" w:rsidRPr="00F0479C" w:rsidRDefault="00445A5F" w:rsidP="00F75E0F">
            <w:pPr>
              <w:widowControl w:val="0"/>
              <w:jc w:val="center"/>
              <w:rPr>
                <w:color w:val="000000"/>
                <w:sz w:val="20"/>
                <w:szCs w:val="20"/>
              </w:rPr>
            </w:pPr>
            <w:r w:rsidRPr="00F0479C">
              <w:rPr>
                <w:color w:val="000000"/>
                <w:sz w:val="20"/>
                <w:szCs w:val="20"/>
              </w:rPr>
              <w:t>36</w:t>
            </w:r>
          </w:p>
        </w:tc>
        <w:tc>
          <w:tcPr>
            <w:tcW w:w="800" w:type="dxa"/>
            <w:tcBorders>
              <w:top w:val="nil"/>
              <w:left w:val="nil"/>
              <w:bottom w:val="nil"/>
              <w:right w:val="nil"/>
            </w:tcBorders>
            <w:shd w:val="clear" w:color="auto" w:fill="auto"/>
            <w:noWrap/>
            <w:vAlign w:val="center"/>
            <w:hideMark/>
          </w:tcPr>
          <w:p w:rsidR="00445A5F" w:rsidRPr="00F0479C" w:rsidRDefault="00445A5F" w:rsidP="00F75E0F">
            <w:pPr>
              <w:widowControl w:val="0"/>
              <w:jc w:val="right"/>
              <w:rPr>
                <w:color w:val="000000"/>
                <w:sz w:val="20"/>
                <w:szCs w:val="20"/>
              </w:rPr>
            </w:pPr>
            <w:r w:rsidRPr="00F0479C">
              <w:rPr>
                <w:color w:val="000000"/>
                <w:sz w:val="20"/>
                <w:szCs w:val="20"/>
              </w:rPr>
              <w:t>1.54</w:t>
            </w:r>
          </w:p>
        </w:tc>
        <w:tc>
          <w:tcPr>
            <w:tcW w:w="1237" w:type="dxa"/>
            <w:tcBorders>
              <w:top w:val="nil"/>
              <w:left w:val="nil"/>
              <w:bottom w:val="nil"/>
              <w:right w:val="nil"/>
            </w:tcBorders>
            <w:shd w:val="clear" w:color="auto" w:fill="auto"/>
            <w:noWrap/>
            <w:vAlign w:val="center"/>
            <w:hideMark/>
          </w:tcPr>
          <w:p w:rsidR="00445A5F" w:rsidRPr="00F0479C" w:rsidRDefault="00445A5F" w:rsidP="00F75E0F">
            <w:pPr>
              <w:widowControl w:val="0"/>
              <w:rPr>
                <w:color w:val="000000"/>
                <w:sz w:val="20"/>
                <w:szCs w:val="20"/>
              </w:rPr>
            </w:pPr>
            <w:r w:rsidRPr="00F0479C">
              <w:rPr>
                <w:color w:val="000000"/>
                <w:sz w:val="20"/>
                <w:szCs w:val="20"/>
              </w:rPr>
              <w:t>(1.01,2.34)</w:t>
            </w:r>
          </w:p>
        </w:tc>
        <w:tc>
          <w:tcPr>
            <w:tcW w:w="1152" w:type="dxa"/>
            <w:tcBorders>
              <w:top w:val="nil"/>
              <w:left w:val="nil"/>
              <w:bottom w:val="nil"/>
              <w:right w:val="nil"/>
            </w:tcBorders>
            <w:shd w:val="clear" w:color="auto" w:fill="auto"/>
            <w:vAlign w:val="center"/>
            <w:hideMark/>
          </w:tcPr>
          <w:p w:rsidR="00445A5F" w:rsidRDefault="00445A5F">
            <w:pPr>
              <w:widowControl w:val="0"/>
              <w:jc w:val="right"/>
              <w:rPr>
                <w:color w:val="000000"/>
                <w:sz w:val="20"/>
                <w:szCs w:val="20"/>
              </w:rPr>
            </w:pPr>
            <w:r>
              <w:rPr>
                <w:color w:val="000000"/>
                <w:sz w:val="20"/>
                <w:szCs w:val="20"/>
              </w:rPr>
              <w:t>1.68</w:t>
            </w:r>
          </w:p>
        </w:tc>
        <w:tc>
          <w:tcPr>
            <w:tcW w:w="1184" w:type="dxa"/>
            <w:tcBorders>
              <w:top w:val="nil"/>
              <w:left w:val="nil"/>
              <w:bottom w:val="nil"/>
              <w:right w:val="nil"/>
            </w:tcBorders>
            <w:shd w:val="clear" w:color="auto" w:fill="auto"/>
            <w:vAlign w:val="center"/>
            <w:hideMark/>
          </w:tcPr>
          <w:p w:rsidR="00445A5F" w:rsidRDefault="00445A5F">
            <w:pPr>
              <w:widowControl w:val="0"/>
              <w:rPr>
                <w:color w:val="000000"/>
                <w:sz w:val="20"/>
                <w:szCs w:val="20"/>
              </w:rPr>
            </w:pPr>
            <w:r>
              <w:rPr>
                <w:color w:val="000000"/>
                <w:sz w:val="20"/>
                <w:szCs w:val="20"/>
              </w:rPr>
              <w:t>(1.08,2.59)</w:t>
            </w:r>
          </w:p>
        </w:tc>
      </w:tr>
      <w:tr w:rsidR="00262CAF" w:rsidRPr="00F0479C" w:rsidTr="00F75E0F">
        <w:trPr>
          <w:trHeight w:val="340"/>
          <w:jc w:val="center"/>
        </w:trPr>
        <w:tc>
          <w:tcPr>
            <w:tcW w:w="2924"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rPr>
                <w:rFonts w:eastAsia="Times New Roman"/>
                <w:color w:val="000000"/>
                <w:sz w:val="20"/>
                <w:szCs w:val="20"/>
                <w:lang w:eastAsia="en-GB"/>
              </w:rPr>
            </w:pPr>
            <w:r w:rsidRPr="00F0479C">
              <w:rPr>
                <w:rFonts w:eastAsia="Times New Roman"/>
                <w:color w:val="000000"/>
                <w:sz w:val="20"/>
                <w:szCs w:val="20"/>
                <w:lang w:eastAsia="en-GB"/>
              </w:rPr>
              <w:t>Deprivation (thirds)</w:t>
            </w:r>
          </w:p>
        </w:tc>
        <w:tc>
          <w:tcPr>
            <w:tcW w:w="272" w:type="dxa"/>
            <w:tcBorders>
              <w:top w:val="nil"/>
              <w:left w:val="nil"/>
              <w:bottom w:val="nil"/>
              <w:right w:val="nil"/>
            </w:tcBorders>
            <w:shd w:val="clear" w:color="auto" w:fill="auto"/>
            <w:hideMark/>
          </w:tcPr>
          <w:p w:rsidR="00262CAF" w:rsidRPr="00F0479C" w:rsidRDefault="00262CAF" w:rsidP="00F75E0F">
            <w:pPr>
              <w:widowControl w:val="0"/>
              <w:spacing w:line="240" w:lineRule="auto"/>
              <w:rPr>
                <w:rFonts w:eastAsia="Times New Roman"/>
                <w:color w:val="000000"/>
                <w:sz w:val="20"/>
                <w:szCs w:val="20"/>
                <w:lang w:eastAsia="en-GB"/>
              </w:rPr>
            </w:pPr>
          </w:p>
        </w:tc>
        <w:tc>
          <w:tcPr>
            <w:tcW w:w="1138"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color w:val="000000"/>
                <w:sz w:val="20"/>
                <w:szCs w:val="20"/>
                <w:lang w:eastAsia="en-GB"/>
              </w:rPr>
            </w:pPr>
          </w:p>
        </w:tc>
        <w:tc>
          <w:tcPr>
            <w:tcW w:w="1373"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color w:val="000000"/>
                <w:sz w:val="20"/>
                <w:szCs w:val="20"/>
                <w:lang w:eastAsia="en-GB"/>
              </w:rPr>
            </w:pPr>
          </w:p>
        </w:tc>
        <w:tc>
          <w:tcPr>
            <w:tcW w:w="800"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right"/>
              <w:rPr>
                <w:rFonts w:eastAsia="Times New Roman"/>
                <w:color w:val="000000"/>
                <w:sz w:val="20"/>
                <w:szCs w:val="20"/>
                <w:lang w:eastAsia="en-GB"/>
              </w:rPr>
            </w:pPr>
          </w:p>
        </w:tc>
        <w:tc>
          <w:tcPr>
            <w:tcW w:w="1237"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rPr>
                <w:rFonts w:eastAsia="Times New Roman"/>
                <w:color w:val="000000"/>
                <w:sz w:val="20"/>
                <w:szCs w:val="20"/>
                <w:lang w:eastAsia="en-GB"/>
              </w:rPr>
            </w:pPr>
          </w:p>
        </w:tc>
        <w:tc>
          <w:tcPr>
            <w:tcW w:w="1152"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right"/>
              <w:rPr>
                <w:rFonts w:eastAsia="Times New Roman"/>
                <w:color w:val="000000"/>
                <w:sz w:val="20"/>
                <w:szCs w:val="20"/>
                <w:lang w:eastAsia="en-GB"/>
              </w:rPr>
            </w:pPr>
          </w:p>
        </w:tc>
        <w:tc>
          <w:tcPr>
            <w:tcW w:w="1184"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rPr>
                <w:rFonts w:eastAsia="Times New Roman"/>
                <w:color w:val="000000"/>
                <w:sz w:val="20"/>
                <w:szCs w:val="20"/>
                <w:lang w:eastAsia="en-GB"/>
              </w:rPr>
            </w:pPr>
          </w:p>
        </w:tc>
      </w:tr>
      <w:tr w:rsidR="00262CAF" w:rsidRPr="00F0479C" w:rsidTr="00F75E0F">
        <w:trPr>
          <w:trHeight w:val="340"/>
          <w:jc w:val="center"/>
        </w:trPr>
        <w:tc>
          <w:tcPr>
            <w:tcW w:w="2924"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ind w:firstLineChars="200" w:firstLine="400"/>
              <w:rPr>
                <w:rFonts w:eastAsia="Times New Roman"/>
                <w:color w:val="000000"/>
                <w:sz w:val="20"/>
                <w:szCs w:val="20"/>
                <w:lang w:eastAsia="en-GB"/>
              </w:rPr>
            </w:pPr>
            <w:r w:rsidRPr="00F0479C">
              <w:rPr>
                <w:rFonts w:eastAsia="Times New Roman"/>
                <w:color w:val="000000"/>
                <w:sz w:val="20"/>
                <w:szCs w:val="20"/>
                <w:lang w:eastAsia="en-GB"/>
              </w:rPr>
              <w:t>Best</w:t>
            </w:r>
          </w:p>
        </w:tc>
        <w:tc>
          <w:tcPr>
            <w:tcW w:w="272" w:type="dxa"/>
            <w:tcBorders>
              <w:top w:val="nil"/>
              <w:left w:val="nil"/>
              <w:bottom w:val="nil"/>
              <w:right w:val="nil"/>
            </w:tcBorders>
            <w:shd w:val="clear" w:color="auto" w:fill="auto"/>
            <w:hideMark/>
          </w:tcPr>
          <w:p w:rsidR="00262CAF" w:rsidRPr="00F0479C" w:rsidRDefault="00262CAF" w:rsidP="00F75E0F">
            <w:pPr>
              <w:widowControl w:val="0"/>
              <w:spacing w:line="240" w:lineRule="auto"/>
              <w:rPr>
                <w:rFonts w:eastAsia="Times New Roman"/>
                <w:color w:val="000000"/>
                <w:sz w:val="20"/>
                <w:szCs w:val="20"/>
                <w:lang w:eastAsia="en-GB"/>
              </w:rPr>
            </w:pPr>
          </w:p>
        </w:tc>
        <w:tc>
          <w:tcPr>
            <w:tcW w:w="1138"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1157</w:t>
            </w:r>
          </w:p>
        </w:tc>
        <w:tc>
          <w:tcPr>
            <w:tcW w:w="1373"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75</w:t>
            </w:r>
          </w:p>
        </w:tc>
        <w:tc>
          <w:tcPr>
            <w:tcW w:w="2037" w:type="dxa"/>
            <w:gridSpan w:val="2"/>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Reference</w:t>
            </w:r>
          </w:p>
        </w:tc>
        <w:tc>
          <w:tcPr>
            <w:tcW w:w="2336" w:type="dxa"/>
            <w:gridSpan w:val="2"/>
            <w:tcBorders>
              <w:top w:val="nil"/>
              <w:left w:val="nil"/>
              <w:bottom w:val="nil"/>
              <w:right w:val="nil"/>
            </w:tcBorders>
            <w:shd w:val="clear" w:color="auto" w:fill="auto"/>
            <w:vAlign w:val="center"/>
          </w:tcPr>
          <w:p w:rsidR="00262CAF" w:rsidRPr="00F0479C" w:rsidRDefault="00262CA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Reference</w:t>
            </w:r>
          </w:p>
        </w:tc>
      </w:tr>
      <w:tr w:rsidR="00445A5F" w:rsidRPr="00F0479C" w:rsidTr="00F75E0F">
        <w:trPr>
          <w:trHeight w:val="340"/>
          <w:jc w:val="center"/>
        </w:trPr>
        <w:tc>
          <w:tcPr>
            <w:tcW w:w="2924" w:type="dxa"/>
            <w:tcBorders>
              <w:top w:val="nil"/>
              <w:left w:val="nil"/>
              <w:bottom w:val="nil"/>
              <w:right w:val="nil"/>
            </w:tcBorders>
            <w:shd w:val="clear" w:color="auto" w:fill="auto"/>
            <w:vAlign w:val="center"/>
          </w:tcPr>
          <w:p w:rsidR="00445A5F" w:rsidRPr="00F0479C" w:rsidRDefault="00445A5F" w:rsidP="00F75E0F">
            <w:pPr>
              <w:widowControl w:val="0"/>
              <w:spacing w:line="240" w:lineRule="auto"/>
              <w:ind w:firstLineChars="200" w:firstLine="400"/>
              <w:rPr>
                <w:rFonts w:eastAsia="Times New Roman"/>
                <w:color w:val="000000"/>
                <w:sz w:val="20"/>
                <w:szCs w:val="20"/>
                <w:lang w:eastAsia="en-GB"/>
              </w:rPr>
            </w:pPr>
            <w:r w:rsidRPr="00F0479C">
              <w:rPr>
                <w:rFonts w:eastAsia="Times New Roman"/>
                <w:color w:val="000000"/>
                <w:sz w:val="20"/>
                <w:szCs w:val="20"/>
                <w:lang w:eastAsia="en-GB"/>
              </w:rPr>
              <w:t>Intermediate</w:t>
            </w:r>
          </w:p>
        </w:tc>
        <w:tc>
          <w:tcPr>
            <w:tcW w:w="272" w:type="dxa"/>
            <w:tcBorders>
              <w:top w:val="nil"/>
              <w:left w:val="nil"/>
              <w:bottom w:val="nil"/>
              <w:right w:val="nil"/>
            </w:tcBorders>
            <w:shd w:val="clear" w:color="auto" w:fill="auto"/>
          </w:tcPr>
          <w:p w:rsidR="00445A5F" w:rsidRPr="00F0479C" w:rsidRDefault="00445A5F" w:rsidP="00F75E0F">
            <w:pPr>
              <w:widowControl w:val="0"/>
              <w:spacing w:line="240" w:lineRule="auto"/>
              <w:rPr>
                <w:rFonts w:eastAsia="Times New Roman"/>
                <w:color w:val="000000"/>
                <w:sz w:val="20"/>
                <w:szCs w:val="20"/>
                <w:lang w:eastAsia="en-GB"/>
              </w:rPr>
            </w:pPr>
          </w:p>
        </w:tc>
        <w:tc>
          <w:tcPr>
            <w:tcW w:w="1138" w:type="dxa"/>
            <w:tcBorders>
              <w:top w:val="nil"/>
              <w:left w:val="nil"/>
              <w:bottom w:val="nil"/>
              <w:right w:val="nil"/>
            </w:tcBorders>
            <w:shd w:val="clear" w:color="auto" w:fill="auto"/>
            <w:vAlign w:val="center"/>
          </w:tcPr>
          <w:p w:rsidR="00445A5F" w:rsidRPr="00F0479C" w:rsidRDefault="00445A5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1666</w:t>
            </w:r>
          </w:p>
        </w:tc>
        <w:tc>
          <w:tcPr>
            <w:tcW w:w="1373" w:type="dxa"/>
            <w:tcBorders>
              <w:top w:val="nil"/>
              <w:left w:val="nil"/>
              <w:bottom w:val="nil"/>
              <w:right w:val="nil"/>
            </w:tcBorders>
            <w:shd w:val="clear" w:color="auto" w:fill="auto"/>
            <w:vAlign w:val="center"/>
          </w:tcPr>
          <w:p w:rsidR="00445A5F" w:rsidRPr="00F0479C" w:rsidRDefault="00445A5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116</w:t>
            </w:r>
          </w:p>
        </w:tc>
        <w:tc>
          <w:tcPr>
            <w:tcW w:w="800" w:type="dxa"/>
            <w:tcBorders>
              <w:top w:val="nil"/>
              <w:left w:val="nil"/>
              <w:bottom w:val="nil"/>
              <w:right w:val="nil"/>
            </w:tcBorders>
            <w:shd w:val="clear" w:color="auto" w:fill="auto"/>
            <w:vAlign w:val="center"/>
          </w:tcPr>
          <w:p w:rsidR="00445A5F" w:rsidRPr="00F0479C" w:rsidRDefault="00445A5F" w:rsidP="00F75E0F">
            <w:pPr>
              <w:widowControl w:val="0"/>
              <w:spacing w:line="240" w:lineRule="auto"/>
              <w:jc w:val="right"/>
              <w:rPr>
                <w:rFonts w:eastAsia="Times New Roman"/>
                <w:color w:val="000000"/>
                <w:sz w:val="20"/>
                <w:szCs w:val="20"/>
                <w:lang w:eastAsia="en-GB"/>
              </w:rPr>
            </w:pPr>
            <w:r w:rsidRPr="00F0479C">
              <w:rPr>
                <w:rFonts w:eastAsia="Times New Roman"/>
                <w:color w:val="000000"/>
                <w:sz w:val="20"/>
                <w:szCs w:val="20"/>
                <w:lang w:eastAsia="en-GB"/>
              </w:rPr>
              <w:t>1.05</w:t>
            </w:r>
          </w:p>
        </w:tc>
        <w:tc>
          <w:tcPr>
            <w:tcW w:w="1237" w:type="dxa"/>
            <w:tcBorders>
              <w:top w:val="nil"/>
              <w:left w:val="nil"/>
              <w:bottom w:val="nil"/>
              <w:right w:val="nil"/>
            </w:tcBorders>
            <w:shd w:val="clear" w:color="auto" w:fill="auto"/>
            <w:vAlign w:val="center"/>
          </w:tcPr>
          <w:p w:rsidR="00445A5F" w:rsidRPr="00F0479C" w:rsidRDefault="00445A5F" w:rsidP="00F75E0F">
            <w:pPr>
              <w:widowControl w:val="0"/>
              <w:spacing w:line="240" w:lineRule="auto"/>
              <w:rPr>
                <w:rFonts w:eastAsia="Times New Roman"/>
                <w:color w:val="000000"/>
                <w:sz w:val="20"/>
                <w:szCs w:val="20"/>
                <w:lang w:eastAsia="en-GB"/>
              </w:rPr>
            </w:pPr>
            <w:r w:rsidRPr="00F0479C">
              <w:rPr>
                <w:rFonts w:eastAsia="Times New Roman"/>
                <w:color w:val="000000"/>
                <w:sz w:val="20"/>
                <w:szCs w:val="20"/>
                <w:lang w:eastAsia="en-GB"/>
              </w:rPr>
              <w:t>(0.79,1.38)</w:t>
            </w:r>
          </w:p>
        </w:tc>
        <w:tc>
          <w:tcPr>
            <w:tcW w:w="1152" w:type="dxa"/>
            <w:tcBorders>
              <w:top w:val="nil"/>
              <w:left w:val="nil"/>
              <w:bottom w:val="nil"/>
              <w:right w:val="nil"/>
            </w:tcBorders>
            <w:shd w:val="clear" w:color="auto" w:fill="auto"/>
            <w:vAlign w:val="center"/>
          </w:tcPr>
          <w:p w:rsidR="00445A5F" w:rsidRDefault="00445A5F">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1.16</w:t>
            </w:r>
          </w:p>
        </w:tc>
        <w:tc>
          <w:tcPr>
            <w:tcW w:w="1184" w:type="dxa"/>
            <w:tcBorders>
              <w:top w:val="nil"/>
              <w:left w:val="nil"/>
              <w:bottom w:val="nil"/>
              <w:right w:val="nil"/>
            </w:tcBorders>
            <w:shd w:val="clear" w:color="auto" w:fill="auto"/>
            <w:vAlign w:val="center"/>
          </w:tcPr>
          <w:p w:rsidR="00445A5F" w:rsidRDefault="00445A5F">
            <w:pPr>
              <w:widowControl w:val="0"/>
              <w:spacing w:line="240" w:lineRule="auto"/>
              <w:rPr>
                <w:rFonts w:eastAsia="Times New Roman"/>
                <w:color w:val="000000"/>
                <w:sz w:val="20"/>
                <w:szCs w:val="20"/>
                <w:lang w:eastAsia="en-GB"/>
              </w:rPr>
            </w:pPr>
            <w:r>
              <w:rPr>
                <w:rFonts w:eastAsia="Times New Roman"/>
                <w:color w:val="000000"/>
                <w:sz w:val="20"/>
                <w:szCs w:val="20"/>
                <w:lang w:eastAsia="en-GB"/>
              </w:rPr>
              <w:t>(0.83,1.62)</w:t>
            </w:r>
          </w:p>
        </w:tc>
      </w:tr>
      <w:tr w:rsidR="00445A5F" w:rsidRPr="00F0479C" w:rsidTr="00F75E0F">
        <w:trPr>
          <w:trHeight w:val="340"/>
          <w:jc w:val="center"/>
        </w:trPr>
        <w:tc>
          <w:tcPr>
            <w:tcW w:w="2924" w:type="dxa"/>
            <w:tcBorders>
              <w:top w:val="nil"/>
              <w:left w:val="nil"/>
              <w:bottom w:val="nil"/>
              <w:right w:val="nil"/>
            </w:tcBorders>
            <w:shd w:val="clear" w:color="auto" w:fill="auto"/>
            <w:vAlign w:val="center"/>
            <w:hideMark/>
          </w:tcPr>
          <w:p w:rsidR="00445A5F" w:rsidRPr="00F0479C" w:rsidRDefault="00445A5F" w:rsidP="00F75E0F">
            <w:pPr>
              <w:widowControl w:val="0"/>
              <w:spacing w:line="240" w:lineRule="auto"/>
              <w:ind w:firstLineChars="200" w:firstLine="400"/>
              <w:rPr>
                <w:rFonts w:eastAsia="Times New Roman"/>
                <w:color w:val="000000"/>
                <w:sz w:val="20"/>
                <w:szCs w:val="20"/>
                <w:lang w:eastAsia="en-GB"/>
              </w:rPr>
            </w:pPr>
            <w:r w:rsidRPr="00F0479C">
              <w:rPr>
                <w:rFonts w:eastAsia="Times New Roman"/>
                <w:color w:val="000000"/>
                <w:sz w:val="20"/>
                <w:szCs w:val="20"/>
                <w:lang w:eastAsia="en-GB"/>
              </w:rPr>
              <w:t>Worst</w:t>
            </w:r>
          </w:p>
        </w:tc>
        <w:tc>
          <w:tcPr>
            <w:tcW w:w="272" w:type="dxa"/>
            <w:tcBorders>
              <w:top w:val="nil"/>
              <w:left w:val="nil"/>
              <w:bottom w:val="nil"/>
              <w:right w:val="nil"/>
            </w:tcBorders>
            <w:shd w:val="clear" w:color="auto" w:fill="auto"/>
            <w:hideMark/>
          </w:tcPr>
          <w:p w:rsidR="00445A5F" w:rsidRPr="00F0479C" w:rsidRDefault="00445A5F" w:rsidP="00F75E0F">
            <w:pPr>
              <w:widowControl w:val="0"/>
              <w:spacing w:line="240" w:lineRule="auto"/>
              <w:rPr>
                <w:rFonts w:eastAsia="Times New Roman"/>
                <w:color w:val="000000"/>
                <w:sz w:val="20"/>
                <w:szCs w:val="20"/>
                <w:lang w:eastAsia="en-GB"/>
              </w:rPr>
            </w:pPr>
          </w:p>
        </w:tc>
        <w:tc>
          <w:tcPr>
            <w:tcW w:w="1138" w:type="dxa"/>
            <w:tcBorders>
              <w:top w:val="nil"/>
              <w:left w:val="nil"/>
              <w:bottom w:val="nil"/>
              <w:right w:val="nil"/>
            </w:tcBorders>
            <w:shd w:val="clear" w:color="auto" w:fill="auto"/>
            <w:vAlign w:val="center"/>
            <w:hideMark/>
          </w:tcPr>
          <w:p w:rsidR="00445A5F" w:rsidRPr="00F0479C" w:rsidRDefault="00445A5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2614</w:t>
            </w:r>
          </w:p>
        </w:tc>
        <w:tc>
          <w:tcPr>
            <w:tcW w:w="1373" w:type="dxa"/>
            <w:tcBorders>
              <w:top w:val="nil"/>
              <w:left w:val="nil"/>
              <w:bottom w:val="nil"/>
              <w:right w:val="nil"/>
            </w:tcBorders>
            <w:shd w:val="clear" w:color="auto" w:fill="auto"/>
            <w:vAlign w:val="center"/>
            <w:hideMark/>
          </w:tcPr>
          <w:p w:rsidR="00445A5F" w:rsidRPr="00F0479C" w:rsidRDefault="00445A5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177</w:t>
            </w:r>
          </w:p>
        </w:tc>
        <w:tc>
          <w:tcPr>
            <w:tcW w:w="800" w:type="dxa"/>
            <w:tcBorders>
              <w:top w:val="nil"/>
              <w:left w:val="nil"/>
              <w:bottom w:val="nil"/>
              <w:right w:val="nil"/>
            </w:tcBorders>
            <w:shd w:val="clear" w:color="auto" w:fill="auto"/>
            <w:vAlign w:val="center"/>
            <w:hideMark/>
          </w:tcPr>
          <w:p w:rsidR="00445A5F" w:rsidRPr="00F0479C" w:rsidRDefault="00445A5F" w:rsidP="00F75E0F">
            <w:pPr>
              <w:widowControl w:val="0"/>
              <w:spacing w:line="240" w:lineRule="auto"/>
              <w:jc w:val="right"/>
              <w:rPr>
                <w:rFonts w:eastAsia="Times New Roman"/>
                <w:color w:val="000000"/>
                <w:sz w:val="20"/>
                <w:szCs w:val="20"/>
                <w:lang w:eastAsia="en-GB"/>
              </w:rPr>
            </w:pPr>
            <w:r w:rsidRPr="00F0479C">
              <w:rPr>
                <w:rFonts w:eastAsia="Times New Roman"/>
                <w:color w:val="000000"/>
                <w:sz w:val="20"/>
                <w:szCs w:val="20"/>
                <w:lang w:eastAsia="en-GB"/>
              </w:rPr>
              <w:t>1.08</w:t>
            </w:r>
          </w:p>
        </w:tc>
        <w:tc>
          <w:tcPr>
            <w:tcW w:w="1237" w:type="dxa"/>
            <w:tcBorders>
              <w:top w:val="nil"/>
              <w:left w:val="nil"/>
              <w:bottom w:val="nil"/>
              <w:right w:val="nil"/>
            </w:tcBorders>
            <w:shd w:val="clear" w:color="auto" w:fill="auto"/>
            <w:vAlign w:val="center"/>
            <w:hideMark/>
          </w:tcPr>
          <w:p w:rsidR="00445A5F" w:rsidRPr="00F0479C" w:rsidRDefault="00445A5F" w:rsidP="00F75E0F">
            <w:pPr>
              <w:widowControl w:val="0"/>
              <w:spacing w:line="240" w:lineRule="auto"/>
              <w:rPr>
                <w:rFonts w:eastAsia="Times New Roman"/>
                <w:color w:val="000000"/>
                <w:sz w:val="20"/>
                <w:szCs w:val="20"/>
                <w:lang w:eastAsia="en-GB"/>
              </w:rPr>
            </w:pPr>
            <w:r w:rsidRPr="00F0479C">
              <w:rPr>
                <w:rFonts w:eastAsia="Times New Roman"/>
                <w:color w:val="000000"/>
                <w:sz w:val="20"/>
                <w:szCs w:val="20"/>
                <w:lang w:eastAsia="en-GB"/>
              </w:rPr>
              <w:t>(0.80,1.46)</w:t>
            </w:r>
          </w:p>
        </w:tc>
        <w:tc>
          <w:tcPr>
            <w:tcW w:w="1152" w:type="dxa"/>
            <w:tcBorders>
              <w:top w:val="nil"/>
              <w:left w:val="nil"/>
              <w:bottom w:val="nil"/>
              <w:right w:val="nil"/>
            </w:tcBorders>
            <w:shd w:val="clear" w:color="auto" w:fill="auto"/>
            <w:vAlign w:val="center"/>
            <w:hideMark/>
          </w:tcPr>
          <w:p w:rsidR="00445A5F" w:rsidRDefault="00445A5F">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1.12</w:t>
            </w:r>
          </w:p>
        </w:tc>
        <w:tc>
          <w:tcPr>
            <w:tcW w:w="1184" w:type="dxa"/>
            <w:tcBorders>
              <w:top w:val="nil"/>
              <w:left w:val="nil"/>
              <w:bottom w:val="nil"/>
              <w:right w:val="nil"/>
            </w:tcBorders>
            <w:shd w:val="clear" w:color="auto" w:fill="auto"/>
            <w:vAlign w:val="center"/>
            <w:hideMark/>
          </w:tcPr>
          <w:p w:rsidR="00445A5F" w:rsidRDefault="00445A5F">
            <w:pPr>
              <w:widowControl w:val="0"/>
              <w:spacing w:line="240" w:lineRule="auto"/>
              <w:rPr>
                <w:rFonts w:eastAsia="Times New Roman"/>
                <w:color w:val="000000"/>
                <w:sz w:val="20"/>
                <w:szCs w:val="20"/>
                <w:lang w:eastAsia="en-GB"/>
              </w:rPr>
            </w:pPr>
            <w:r>
              <w:rPr>
                <w:rFonts w:eastAsia="Times New Roman"/>
                <w:color w:val="000000"/>
                <w:sz w:val="20"/>
                <w:szCs w:val="20"/>
                <w:lang w:eastAsia="en-GB"/>
              </w:rPr>
              <w:t>(0.83,1.51)</w:t>
            </w:r>
          </w:p>
        </w:tc>
      </w:tr>
      <w:tr w:rsidR="00262CAF" w:rsidRPr="00F0479C" w:rsidTr="00F75E0F">
        <w:trPr>
          <w:trHeight w:val="340"/>
          <w:jc w:val="center"/>
        </w:trPr>
        <w:tc>
          <w:tcPr>
            <w:tcW w:w="2924"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rPr>
                <w:rFonts w:eastAsia="Times New Roman"/>
                <w:color w:val="000000"/>
                <w:sz w:val="20"/>
                <w:szCs w:val="20"/>
                <w:lang w:eastAsia="en-GB"/>
              </w:rPr>
            </w:pPr>
            <w:r w:rsidRPr="00F0479C">
              <w:rPr>
                <w:rFonts w:eastAsia="Times New Roman"/>
                <w:color w:val="000000"/>
                <w:sz w:val="20"/>
                <w:szCs w:val="20"/>
                <w:lang w:eastAsia="en-GB"/>
              </w:rPr>
              <w:t xml:space="preserve">Educational level </w:t>
            </w:r>
          </w:p>
        </w:tc>
        <w:tc>
          <w:tcPr>
            <w:tcW w:w="272" w:type="dxa"/>
            <w:tcBorders>
              <w:top w:val="nil"/>
              <w:left w:val="nil"/>
              <w:bottom w:val="nil"/>
              <w:right w:val="nil"/>
            </w:tcBorders>
            <w:shd w:val="clear" w:color="auto" w:fill="auto"/>
            <w:hideMark/>
          </w:tcPr>
          <w:p w:rsidR="00262CAF" w:rsidRPr="00F0479C" w:rsidRDefault="00262CAF" w:rsidP="00F75E0F">
            <w:pPr>
              <w:widowControl w:val="0"/>
              <w:spacing w:line="240" w:lineRule="auto"/>
              <w:rPr>
                <w:rFonts w:eastAsia="Times New Roman"/>
                <w:color w:val="000000"/>
                <w:sz w:val="20"/>
                <w:szCs w:val="20"/>
                <w:lang w:eastAsia="en-GB"/>
              </w:rPr>
            </w:pPr>
          </w:p>
        </w:tc>
        <w:tc>
          <w:tcPr>
            <w:tcW w:w="1138"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color w:val="000000"/>
                <w:sz w:val="20"/>
                <w:szCs w:val="20"/>
                <w:lang w:eastAsia="en-GB"/>
              </w:rPr>
            </w:pPr>
          </w:p>
        </w:tc>
        <w:tc>
          <w:tcPr>
            <w:tcW w:w="1373"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color w:val="000000"/>
                <w:sz w:val="20"/>
                <w:szCs w:val="20"/>
                <w:lang w:eastAsia="en-GB"/>
              </w:rPr>
            </w:pPr>
          </w:p>
        </w:tc>
        <w:tc>
          <w:tcPr>
            <w:tcW w:w="800"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right"/>
              <w:rPr>
                <w:rFonts w:eastAsia="Times New Roman"/>
                <w:color w:val="000000"/>
                <w:sz w:val="20"/>
                <w:szCs w:val="20"/>
                <w:lang w:eastAsia="en-GB"/>
              </w:rPr>
            </w:pPr>
          </w:p>
        </w:tc>
        <w:tc>
          <w:tcPr>
            <w:tcW w:w="1237"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rPr>
                <w:rFonts w:eastAsia="Times New Roman"/>
                <w:color w:val="000000"/>
                <w:sz w:val="20"/>
                <w:szCs w:val="20"/>
                <w:lang w:eastAsia="en-GB"/>
              </w:rPr>
            </w:pPr>
          </w:p>
        </w:tc>
        <w:tc>
          <w:tcPr>
            <w:tcW w:w="1152"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right"/>
              <w:rPr>
                <w:rFonts w:eastAsia="Times New Roman"/>
                <w:color w:val="000000"/>
                <w:sz w:val="20"/>
                <w:szCs w:val="20"/>
                <w:lang w:eastAsia="en-GB"/>
              </w:rPr>
            </w:pPr>
          </w:p>
        </w:tc>
        <w:tc>
          <w:tcPr>
            <w:tcW w:w="1184"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rPr>
                <w:rFonts w:eastAsia="Times New Roman"/>
                <w:color w:val="000000"/>
                <w:sz w:val="20"/>
                <w:szCs w:val="20"/>
                <w:lang w:eastAsia="en-GB"/>
              </w:rPr>
            </w:pPr>
          </w:p>
        </w:tc>
      </w:tr>
      <w:tr w:rsidR="00262CAF" w:rsidRPr="00F0479C" w:rsidTr="00F75E0F">
        <w:trPr>
          <w:trHeight w:val="340"/>
          <w:jc w:val="center"/>
        </w:trPr>
        <w:tc>
          <w:tcPr>
            <w:tcW w:w="2924"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ind w:left="419" w:hanging="142"/>
              <w:rPr>
                <w:rFonts w:eastAsia="Times New Roman"/>
                <w:color w:val="000000"/>
                <w:sz w:val="20"/>
                <w:szCs w:val="20"/>
                <w:lang w:eastAsia="en-GB"/>
              </w:rPr>
            </w:pPr>
            <w:r w:rsidRPr="00F0479C">
              <w:rPr>
                <w:rFonts w:eastAsia="Times New Roman"/>
                <w:color w:val="000000"/>
                <w:sz w:val="20"/>
                <w:szCs w:val="20"/>
                <w:lang w:eastAsia="en-GB"/>
              </w:rPr>
              <w:t>School only</w:t>
            </w:r>
          </w:p>
        </w:tc>
        <w:tc>
          <w:tcPr>
            <w:tcW w:w="272" w:type="dxa"/>
            <w:tcBorders>
              <w:top w:val="nil"/>
              <w:left w:val="nil"/>
              <w:bottom w:val="nil"/>
              <w:right w:val="nil"/>
            </w:tcBorders>
            <w:shd w:val="clear" w:color="auto" w:fill="auto"/>
            <w:hideMark/>
          </w:tcPr>
          <w:p w:rsidR="00262CAF" w:rsidRPr="00F0479C" w:rsidRDefault="00262CAF" w:rsidP="00F75E0F">
            <w:pPr>
              <w:widowControl w:val="0"/>
              <w:spacing w:line="240" w:lineRule="auto"/>
              <w:rPr>
                <w:rFonts w:eastAsia="Times New Roman"/>
                <w:color w:val="000000"/>
                <w:sz w:val="20"/>
                <w:szCs w:val="20"/>
                <w:lang w:eastAsia="en-GB"/>
              </w:rPr>
            </w:pPr>
          </w:p>
        </w:tc>
        <w:tc>
          <w:tcPr>
            <w:tcW w:w="1138"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1844</w:t>
            </w:r>
          </w:p>
        </w:tc>
        <w:tc>
          <w:tcPr>
            <w:tcW w:w="1373"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108</w:t>
            </w:r>
          </w:p>
        </w:tc>
        <w:tc>
          <w:tcPr>
            <w:tcW w:w="2037" w:type="dxa"/>
            <w:gridSpan w:val="2"/>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Reference</w:t>
            </w:r>
          </w:p>
        </w:tc>
        <w:tc>
          <w:tcPr>
            <w:tcW w:w="2336" w:type="dxa"/>
            <w:gridSpan w:val="2"/>
            <w:tcBorders>
              <w:top w:val="nil"/>
              <w:left w:val="nil"/>
              <w:bottom w:val="nil"/>
              <w:right w:val="nil"/>
            </w:tcBorders>
            <w:shd w:val="clear" w:color="auto" w:fill="auto"/>
            <w:vAlign w:val="center"/>
          </w:tcPr>
          <w:p w:rsidR="00262CAF" w:rsidRPr="00F0479C" w:rsidRDefault="00262CA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Reference</w:t>
            </w:r>
          </w:p>
        </w:tc>
      </w:tr>
      <w:tr w:rsidR="00445A5F" w:rsidRPr="00F0479C" w:rsidTr="00F75E0F">
        <w:trPr>
          <w:trHeight w:val="340"/>
          <w:jc w:val="center"/>
        </w:trPr>
        <w:tc>
          <w:tcPr>
            <w:tcW w:w="2924" w:type="dxa"/>
            <w:tcBorders>
              <w:top w:val="nil"/>
              <w:left w:val="nil"/>
              <w:bottom w:val="nil"/>
              <w:right w:val="nil"/>
            </w:tcBorders>
            <w:shd w:val="clear" w:color="auto" w:fill="auto"/>
            <w:vAlign w:val="center"/>
            <w:hideMark/>
          </w:tcPr>
          <w:p w:rsidR="00445A5F" w:rsidRPr="00F0479C" w:rsidRDefault="00445A5F" w:rsidP="00F75E0F">
            <w:pPr>
              <w:widowControl w:val="0"/>
              <w:spacing w:line="240" w:lineRule="auto"/>
              <w:ind w:left="419" w:hanging="142"/>
              <w:rPr>
                <w:rFonts w:eastAsia="Times New Roman"/>
                <w:color w:val="000000"/>
                <w:sz w:val="20"/>
                <w:szCs w:val="20"/>
                <w:lang w:eastAsia="en-GB"/>
              </w:rPr>
            </w:pPr>
            <w:r w:rsidRPr="00F0479C">
              <w:rPr>
                <w:rFonts w:eastAsia="Times New Roman"/>
                <w:color w:val="000000"/>
                <w:sz w:val="20"/>
                <w:szCs w:val="20"/>
                <w:lang w:eastAsia="en-GB"/>
              </w:rPr>
              <w:t>Vocational training certificate</w:t>
            </w:r>
          </w:p>
        </w:tc>
        <w:tc>
          <w:tcPr>
            <w:tcW w:w="272" w:type="dxa"/>
            <w:tcBorders>
              <w:top w:val="nil"/>
              <w:left w:val="nil"/>
              <w:bottom w:val="nil"/>
              <w:right w:val="nil"/>
            </w:tcBorders>
            <w:shd w:val="clear" w:color="auto" w:fill="auto"/>
            <w:hideMark/>
          </w:tcPr>
          <w:p w:rsidR="00445A5F" w:rsidRPr="00F0479C" w:rsidRDefault="00445A5F" w:rsidP="00F75E0F">
            <w:pPr>
              <w:widowControl w:val="0"/>
              <w:spacing w:line="240" w:lineRule="auto"/>
              <w:rPr>
                <w:rFonts w:eastAsia="Times New Roman"/>
                <w:color w:val="000000"/>
                <w:sz w:val="20"/>
                <w:szCs w:val="20"/>
                <w:lang w:eastAsia="en-GB"/>
              </w:rPr>
            </w:pPr>
          </w:p>
        </w:tc>
        <w:tc>
          <w:tcPr>
            <w:tcW w:w="1138" w:type="dxa"/>
            <w:tcBorders>
              <w:top w:val="nil"/>
              <w:left w:val="nil"/>
              <w:bottom w:val="nil"/>
              <w:right w:val="nil"/>
            </w:tcBorders>
            <w:shd w:val="clear" w:color="auto" w:fill="auto"/>
            <w:vAlign w:val="center"/>
            <w:hideMark/>
          </w:tcPr>
          <w:p w:rsidR="00445A5F" w:rsidRPr="00F0479C" w:rsidRDefault="00445A5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1749</w:t>
            </w:r>
          </w:p>
        </w:tc>
        <w:tc>
          <w:tcPr>
            <w:tcW w:w="1373" w:type="dxa"/>
            <w:tcBorders>
              <w:top w:val="nil"/>
              <w:left w:val="nil"/>
              <w:bottom w:val="nil"/>
              <w:right w:val="nil"/>
            </w:tcBorders>
            <w:shd w:val="clear" w:color="auto" w:fill="auto"/>
            <w:vAlign w:val="center"/>
            <w:hideMark/>
          </w:tcPr>
          <w:p w:rsidR="00445A5F" w:rsidRPr="00F0479C" w:rsidRDefault="00445A5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127</w:t>
            </w:r>
          </w:p>
        </w:tc>
        <w:tc>
          <w:tcPr>
            <w:tcW w:w="800" w:type="dxa"/>
            <w:tcBorders>
              <w:top w:val="nil"/>
              <w:left w:val="nil"/>
              <w:bottom w:val="nil"/>
              <w:right w:val="nil"/>
            </w:tcBorders>
            <w:shd w:val="clear" w:color="auto" w:fill="auto"/>
            <w:noWrap/>
            <w:vAlign w:val="center"/>
            <w:hideMark/>
          </w:tcPr>
          <w:p w:rsidR="00445A5F" w:rsidRPr="00F0479C" w:rsidRDefault="00445A5F" w:rsidP="00F75E0F">
            <w:pPr>
              <w:widowControl w:val="0"/>
              <w:spacing w:line="240" w:lineRule="auto"/>
              <w:jc w:val="right"/>
              <w:rPr>
                <w:rFonts w:eastAsia="Times New Roman"/>
                <w:color w:val="000000"/>
                <w:sz w:val="20"/>
                <w:szCs w:val="20"/>
                <w:lang w:eastAsia="en-GB"/>
              </w:rPr>
            </w:pPr>
            <w:r w:rsidRPr="00F0479C">
              <w:rPr>
                <w:rFonts w:eastAsia="Times New Roman"/>
                <w:color w:val="000000"/>
                <w:sz w:val="20"/>
                <w:szCs w:val="20"/>
                <w:lang w:eastAsia="en-GB"/>
              </w:rPr>
              <w:t>1.22</w:t>
            </w:r>
          </w:p>
        </w:tc>
        <w:tc>
          <w:tcPr>
            <w:tcW w:w="1237" w:type="dxa"/>
            <w:tcBorders>
              <w:top w:val="nil"/>
              <w:left w:val="nil"/>
              <w:bottom w:val="nil"/>
              <w:right w:val="nil"/>
            </w:tcBorders>
            <w:shd w:val="clear" w:color="auto" w:fill="auto"/>
            <w:noWrap/>
            <w:vAlign w:val="center"/>
            <w:hideMark/>
          </w:tcPr>
          <w:p w:rsidR="00445A5F" w:rsidRPr="00F0479C" w:rsidRDefault="00445A5F" w:rsidP="00F75E0F">
            <w:pPr>
              <w:widowControl w:val="0"/>
              <w:spacing w:line="240" w:lineRule="auto"/>
              <w:rPr>
                <w:rFonts w:eastAsia="Times New Roman"/>
                <w:color w:val="000000"/>
                <w:sz w:val="20"/>
                <w:szCs w:val="20"/>
                <w:lang w:eastAsia="en-GB"/>
              </w:rPr>
            </w:pPr>
            <w:r w:rsidRPr="00F0479C">
              <w:rPr>
                <w:rFonts w:eastAsia="Times New Roman"/>
                <w:color w:val="000000"/>
                <w:sz w:val="20"/>
                <w:szCs w:val="20"/>
                <w:lang w:eastAsia="en-GB"/>
              </w:rPr>
              <w:t>(0.94,1.60)</w:t>
            </w:r>
          </w:p>
        </w:tc>
        <w:tc>
          <w:tcPr>
            <w:tcW w:w="1152" w:type="dxa"/>
            <w:tcBorders>
              <w:top w:val="nil"/>
              <w:left w:val="nil"/>
              <w:bottom w:val="nil"/>
              <w:right w:val="nil"/>
            </w:tcBorders>
            <w:shd w:val="clear" w:color="auto" w:fill="auto"/>
            <w:vAlign w:val="center"/>
            <w:hideMark/>
          </w:tcPr>
          <w:p w:rsidR="00445A5F" w:rsidRDefault="00445A5F">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1.31</w:t>
            </w:r>
          </w:p>
        </w:tc>
        <w:tc>
          <w:tcPr>
            <w:tcW w:w="1184" w:type="dxa"/>
            <w:tcBorders>
              <w:top w:val="nil"/>
              <w:left w:val="nil"/>
              <w:bottom w:val="nil"/>
              <w:right w:val="nil"/>
            </w:tcBorders>
            <w:shd w:val="clear" w:color="auto" w:fill="auto"/>
            <w:vAlign w:val="center"/>
            <w:hideMark/>
          </w:tcPr>
          <w:p w:rsidR="00445A5F" w:rsidRDefault="00445A5F">
            <w:pPr>
              <w:widowControl w:val="0"/>
              <w:spacing w:line="240" w:lineRule="auto"/>
              <w:rPr>
                <w:rFonts w:eastAsia="Times New Roman"/>
                <w:color w:val="000000"/>
                <w:sz w:val="20"/>
                <w:szCs w:val="20"/>
                <w:lang w:eastAsia="en-GB"/>
              </w:rPr>
            </w:pPr>
            <w:r>
              <w:rPr>
                <w:rFonts w:eastAsia="Times New Roman"/>
                <w:color w:val="000000"/>
                <w:sz w:val="20"/>
                <w:szCs w:val="20"/>
                <w:lang w:eastAsia="en-GB"/>
              </w:rPr>
              <w:t>(1.00,1.72)</w:t>
            </w:r>
          </w:p>
        </w:tc>
      </w:tr>
      <w:tr w:rsidR="00445A5F" w:rsidRPr="00F0479C" w:rsidTr="00F75E0F">
        <w:trPr>
          <w:trHeight w:val="340"/>
          <w:jc w:val="center"/>
        </w:trPr>
        <w:tc>
          <w:tcPr>
            <w:tcW w:w="2924" w:type="dxa"/>
            <w:tcBorders>
              <w:top w:val="nil"/>
              <w:left w:val="nil"/>
              <w:bottom w:val="nil"/>
              <w:right w:val="nil"/>
            </w:tcBorders>
            <w:shd w:val="clear" w:color="auto" w:fill="auto"/>
            <w:vAlign w:val="center"/>
            <w:hideMark/>
          </w:tcPr>
          <w:p w:rsidR="00445A5F" w:rsidRPr="00F0479C" w:rsidRDefault="00445A5F" w:rsidP="00F75E0F">
            <w:pPr>
              <w:widowControl w:val="0"/>
              <w:spacing w:line="240" w:lineRule="auto"/>
              <w:ind w:left="419" w:hanging="142"/>
              <w:rPr>
                <w:rFonts w:eastAsia="Times New Roman"/>
                <w:color w:val="000000"/>
                <w:sz w:val="20"/>
                <w:szCs w:val="20"/>
                <w:lang w:eastAsia="en-GB"/>
              </w:rPr>
            </w:pPr>
            <w:r w:rsidRPr="00F0479C">
              <w:rPr>
                <w:rFonts w:eastAsia="Times New Roman"/>
                <w:color w:val="000000"/>
                <w:sz w:val="20"/>
                <w:szCs w:val="20"/>
                <w:lang w:eastAsia="en-GB"/>
              </w:rPr>
              <w:t>University degree</w:t>
            </w:r>
            <w:r>
              <w:rPr>
                <w:rFonts w:eastAsia="Times New Roman"/>
                <w:color w:val="000000"/>
                <w:sz w:val="20"/>
                <w:szCs w:val="20"/>
                <w:lang w:eastAsia="en-GB"/>
              </w:rPr>
              <w:t xml:space="preserve"> or </w:t>
            </w:r>
            <w:r w:rsidRPr="00F0479C">
              <w:rPr>
                <w:rFonts w:eastAsia="Times New Roman"/>
                <w:color w:val="000000"/>
                <w:sz w:val="20"/>
                <w:szCs w:val="20"/>
                <w:lang w:eastAsia="en-GB"/>
              </w:rPr>
              <w:t xml:space="preserve">higher professional </w:t>
            </w:r>
          </w:p>
        </w:tc>
        <w:tc>
          <w:tcPr>
            <w:tcW w:w="272" w:type="dxa"/>
            <w:tcBorders>
              <w:top w:val="nil"/>
              <w:left w:val="nil"/>
              <w:bottom w:val="nil"/>
              <w:right w:val="nil"/>
            </w:tcBorders>
            <w:shd w:val="clear" w:color="auto" w:fill="auto"/>
            <w:hideMark/>
          </w:tcPr>
          <w:p w:rsidR="00445A5F" w:rsidRPr="00F0479C" w:rsidRDefault="00445A5F" w:rsidP="00F75E0F">
            <w:pPr>
              <w:widowControl w:val="0"/>
              <w:spacing w:line="240" w:lineRule="auto"/>
              <w:rPr>
                <w:rFonts w:eastAsia="Times New Roman"/>
                <w:color w:val="000000"/>
                <w:sz w:val="20"/>
                <w:szCs w:val="20"/>
                <w:lang w:eastAsia="en-GB"/>
              </w:rPr>
            </w:pPr>
          </w:p>
        </w:tc>
        <w:tc>
          <w:tcPr>
            <w:tcW w:w="1138" w:type="dxa"/>
            <w:tcBorders>
              <w:top w:val="nil"/>
              <w:left w:val="nil"/>
              <w:bottom w:val="nil"/>
              <w:right w:val="nil"/>
            </w:tcBorders>
            <w:shd w:val="clear" w:color="auto" w:fill="auto"/>
            <w:vAlign w:val="center"/>
            <w:hideMark/>
          </w:tcPr>
          <w:p w:rsidR="00445A5F" w:rsidRPr="00F0479C" w:rsidRDefault="00445A5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1844</w:t>
            </w:r>
          </w:p>
        </w:tc>
        <w:tc>
          <w:tcPr>
            <w:tcW w:w="1373" w:type="dxa"/>
            <w:tcBorders>
              <w:top w:val="nil"/>
              <w:left w:val="nil"/>
              <w:bottom w:val="nil"/>
              <w:right w:val="nil"/>
            </w:tcBorders>
            <w:shd w:val="clear" w:color="auto" w:fill="auto"/>
            <w:vAlign w:val="center"/>
            <w:hideMark/>
          </w:tcPr>
          <w:p w:rsidR="00445A5F" w:rsidRPr="00F0479C" w:rsidRDefault="00445A5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133</w:t>
            </w:r>
          </w:p>
        </w:tc>
        <w:tc>
          <w:tcPr>
            <w:tcW w:w="800" w:type="dxa"/>
            <w:tcBorders>
              <w:top w:val="nil"/>
              <w:left w:val="nil"/>
              <w:bottom w:val="nil"/>
              <w:right w:val="nil"/>
            </w:tcBorders>
            <w:shd w:val="clear" w:color="auto" w:fill="auto"/>
            <w:noWrap/>
            <w:vAlign w:val="center"/>
            <w:hideMark/>
          </w:tcPr>
          <w:p w:rsidR="00445A5F" w:rsidRPr="00F0479C" w:rsidRDefault="00445A5F" w:rsidP="00F75E0F">
            <w:pPr>
              <w:widowControl w:val="0"/>
              <w:spacing w:line="240" w:lineRule="auto"/>
              <w:jc w:val="right"/>
              <w:rPr>
                <w:rFonts w:eastAsia="Times New Roman"/>
                <w:color w:val="000000"/>
                <w:sz w:val="20"/>
                <w:szCs w:val="20"/>
                <w:lang w:eastAsia="en-GB"/>
              </w:rPr>
            </w:pPr>
            <w:r w:rsidRPr="00F0479C">
              <w:rPr>
                <w:rFonts w:eastAsia="Times New Roman"/>
                <w:color w:val="000000"/>
                <w:sz w:val="20"/>
                <w:szCs w:val="20"/>
                <w:lang w:eastAsia="en-GB"/>
              </w:rPr>
              <w:t>1.21</w:t>
            </w:r>
          </w:p>
        </w:tc>
        <w:tc>
          <w:tcPr>
            <w:tcW w:w="1237" w:type="dxa"/>
            <w:tcBorders>
              <w:top w:val="nil"/>
              <w:left w:val="nil"/>
              <w:bottom w:val="nil"/>
              <w:right w:val="nil"/>
            </w:tcBorders>
            <w:shd w:val="clear" w:color="auto" w:fill="auto"/>
            <w:noWrap/>
            <w:vAlign w:val="center"/>
            <w:hideMark/>
          </w:tcPr>
          <w:p w:rsidR="00445A5F" w:rsidRPr="00F0479C" w:rsidRDefault="00445A5F" w:rsidP="00F75E0F">
            <w:pPr>
              <w:widowControl w:val="0"/>
              <w:spacing w:line="240" w:lineRule="auto"/>
              <w:rPr>
                <w:rFonts w:eastAsia="Times New Roman"/>
                <w:color w:val="000000"/>
                <w:sz w:val="20"/>
                <w:szCs w:val="20"/>
                <w:lang w:eastAsia="en-GB"/>
              </w:rPr>
            </w:pPr>
            <w:r w:rsidRPr="00F0479C">
              <w:rPr>
                <w:rFonts w:eastAsia="Times New Roman"/>
                <w:color w:val="000000"/>
                <w:sz w:val="20"/>
                <w:szCs w:val="20"/>
                <w:lang w:eastAsia="en-GB"/>
              </w:rPr>
              <w:t>(0.93,1.57)</w:t>
            </w:r>
          </w:p>
        </w:tc>
        <w:tc>
          <w:tcPr>
            <w:tcW w:w="1152" w:type="dxa"/>
            <w:tcBorders>
              <w:top w:val="nil"/>
              <w:left w:val="nil"/>
              <w:bottom w:val="nil"/>
              <w:right w:val="nil"/>
            </w:tcBorders>
            <w:shd w:val="clear" w:color="auto" w:fill="auto"/>
            <w:vAlign w:val="center"/>
            <w:hideMark/>
          </w:tcPr>
          <w:p w:rsidR="00445A5F" w:rsidRDefault="00445A5F">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1.25</w:t>
            </w:r>
          </w:p>
        </w:tc>
        <w:tc>
          <w:tcPr>
            <w:tcW w:w="1184" w:type="dxa"/>
            <w:tcBorders>
              <w:top w:val="nil"/>
              <w:left w:val="nil"/>
              <w:bottom w:val="nil"/>
              <w:right w:val="nil"/>
            </w:tcBorders>
            <w:shd w:val="clear" w:color="auto" w:fill="auto"/>
            <w:vAlign w:val="center"/>
            <w:hideMark/>
          </w:tcPr>
          <w:p w:rsidR="00445A5F" w:rsidRDefault="00445A5F">
            <w:pPr>
              <w:widowControl w:val="0"/>
              <w:spacing w:line="240" w:lineRule="auto"/>
              <w:rPr>
                <w:rFonts w:eastAsia="Times New Roman"/>
                <w:color w:val="000000"/>
                <w:sz w:val="20"/>
                <w:szCs w:val="20"/>
                <w:lang w:eastAsia="en-GB"/>
              </w:rPr>
            </w:pPr>
            <w:r>
              <w:rPr>
                <w:rFonts w:eastAsia="Times New Roman"/>
                <w:color w:val="000000"/>
                <w:sz w:val="20"/>
                <w:szCs w:val="20"/>
                <w:lang w:eastAsia="en-GB"/>
              </w:rPr>
              <w:t>(0.95,1.63)</w:t>
            </w:r>
          </w:p>
        </w:tc>
      </w:tr>
      <w:tr w:rsidR="00262CAF" w:rsidRPr="00F0479C" w:rsidTr="00F75E0F">
        <w:trPr>
          <w:trHeight w:val="340"/>
          <w:jc w:val="center"/>
        </w:trPr>
        <w:tc>
          <w:tcPr>
            <w:tcW w:w="2924"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rPr>
                <w:rFonts w:eastAsia="Times New Roman"/>
                <w:color w:val="000000"/>
                <w:sz w:val="20"/>
                <w:szCs w:val="20"/>
                <w:lang w:eastAsia="en-GB"/>
              </w:rPr>
            </w:pPr>
            <w:r w:rsidRPr="00F0479C">
              <w:rPr>
                <w:rFonts w:eastAsia="Times New Roman"/>
                <w:color w:val="000000"/>
                <w:sz w:val="20"/>
                <w:szCs w:val="20"/>
                <w:lang w:eastAsia="en-GB"/>
              </w:rPr>
              <w:t>Living alone</w:t>
            </w:r>
          </w:p>
        </w:tc>
        <w:tc>
          <w:tcPr>
            <w:tcW w:w="272" w:type="dxa"/>
            <w:tcBorders>
              <w:top w:val="nil"/>
              <w:left w:val="nil"/>
              <w:bottom w:val="nil"/>
              <w:right w:val="nil"/>
            </w:tcBorders>
            <w:shd w:val="clear" w:color="auto" w:fill="auto"/>
            <w:hideMark/>
          </w:tcPr>
          <w:p w:rsidR="00262CAF" w:rsidRPr="00F0479C" w:rsidRDefault="00262CAF" w:rsidP="00F75E0F">
            <w:pPr>
              <w:widowControl w:val="0"/>
              <w:spacing w:line="240" w:lineRule="auto"/>
              <w:rPr>
                <w:rFonts w:eastAsia="Times New Roman"/>
                <w:color w:val="000000"/>
                <w:sz w:val="20"/>
                <w:szCs w:val="20"/>
                <w:lang w:eastAsia="en-GB"/>
              </w:rPr>
            </w:pPr>
          </w:p>
        </w:tc>
        <w:tc>
          <w:tcPr>
            <w:tcW w:w="1138"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color w:val="000000"/>
                <w:sz w:val="20"/>
                <w:szCs w:val="20"/>
                <w:lang w:eastAsia="en-GB"/>
              </w:rPr>
            </w:pPr>
          </w:p>
        </w:tc>
        <w:tc>
          <w:tcPr>
            <w:tcW w:w="1373"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color w:val="000000"/>
                <w:sz w:val="20"/>
                <w:szCs w:val="20"/>
                <w:lang w:eastAsia="en-GB"/>
              </w:rPr>
            </w:pPr>
          </w:p>
        </w:tc>
        <w:tc>
          <w:tcPr>
            <w:tcW w:w="800"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right"/>
              <w:rPr>
                <w:rFonts w:eastAsia="Times New Roman"/>
                <w:color w:val="000000"/>
                <w:sz w:val="20"/>
                <w:szCs w:val="20"/>
                <w:lang w:eastAsia="en-GB"/>
              </w:rPr>
            </w:pPr>
          </w:p>
        </w:tc>
        <w:tc>
          <w:tcPr>
            <w:tcW w:w="1237"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rPr>
                <w:rFonts w:eastAsia="Times New Roman"/>
                <w:color w:val="000000"/>
                <w:sz w:val="20"/>
                <w:szCs w:val="20"/>
                <w:lang w:eastAsia="en-GB"/>
              </w:rPr>
            </w:pPr>
          </w:p>
        </w:tc>
        <w:tc>
          <w:tcPr>
            <w:tcW w:w="1152"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right"/>
              <w:rPr>
                <w:rFonts w:eastAsia="Times New Roman"/>
                <w:color w:val="000000"/>
                <w:sz w:val="20"/>
                <w:szCs w:val="20"/>
                <w:lang w:eastAsia="en-GB"/>
              </w:rPr>
            </w:pPr>
          </w:p>
        </w:tc>
        <w:tc>
          <w:tcPr>
            <w:tcW w:w="1184"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rPr>
                <w:rFonts w:eastAsia="Times New Roman"/>
                <w:color w:val="000000"/>
                <w:sz w:val="20"/>
                <w:szCs w:val="20"/>
                <w:lang w:eastAsia="en-GB"/>
              </w:rPr>
            </w:pPr>
          </w:p>
        </w:tc>
      </w:tr>
      <w:tr w:rsidR="00262CAF" w:rsidRPr="00F0479C" w:rsidTr="00F75E0F">
        <w:trPr>
          <w:trHeight w:val="340"/>
          <w:jc w:val="center"/>
        </w:trPr>
        <w:tc>
          <w:tcPr>
            <w:tcW w:w="2924"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ind w:firstLineChars="153" w:firstLine="306"/>
              <w:rPr>
                <w:rFonts w:eastAsia="Times New Roman"/>
                <w:color w:val="000000"/>
                <w:sz w:val="20"/>
                <w:szCs w:val="20"/>
                <w:lang w:eastAsia="en-GB"/>
              </w:rPr>
            </w:pPr>
            <w:r w:rsidRPr="00F0479C">
              <w:rPr>
                <w:rFonts w:eastAsia="Times New Roman"/>
                <w:color w:val="000000"/>
                <w:sz w:val="20"/>
                <w:szCs w:val="20"/>
                <w:lang w:eastAsia="en-GB"/>
              </w:rPr>
              <w:t>No</w:t>
            </w:r>
          </w:p>
        </w:tc>
        <w:tc>
          <w:tcPr>
            <w:tcW w:w="272" w:type="dxa"/>
            <w:tcBorders>
              <w:top w:val="nil"/>
              <w:left w:val="nil"/>
              <w:bottom w:val="nil"/>
              <w:right w:val="nil"/>
            </w:tcBorders>
            <w:shd w:val="clear" w:color="auto" w:fill="auto"/>
            <w:hideMark/>
          </w:tcPr>
          <w:p w:rsidR="00262CAF" w:rsidRPr="00F0479C" w:rsidRDefault="00262CAF" w:rsidP="00F75E0F">
            <w:pPr>
              <w:widowControl w:val="0"/>
              <w:spacing w:line="240" w:lineRule="auto"/>
              <w:rPr>
                <w:rFonts w:eastAsia="Times New Roman"/>
                <w:color w:val="000000"/>
                <w:sz w:val="20"/>
                <w:szCs w:val="20"/>
                <w:lang w:eastAsia="en-GB"/>
              </w:rPr>
            </w:pPr>
          </w:p>
        </w:tc>
        <w:tc>
          <w:tcPr>
            <w:tcW w:w="1138"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4271</w:t>
            </w:r>
          </w:p>
        </w:tc>
        <w:tc>
          <w:tcPr>
            <w:tcW w:w="1373" w:type="dxa"/>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263</w:t>
            </w:r>
          </w:p>
        </w:tc>
        <w:tc>
          <w:tcPr>
            <w:tcW w:w="2037" w:type="dxa"/>
            <w:gridSpan w:val="2"/>
            <w:tcBorders>
              <w:top w:val="nil"/>
              <w:left w:val="nil"/>
              <w:bottom w:val="nil"/>
              <w:right w:val="nil"/>
            </w:tcBorders>
            <w:shd w:val="clear" w:color="auto" w:fill="auto"/>
            <w:vAlign w:val="center"/>
            <w:hideMark/>
          </w:tcPr>
          <w:p w:rsidR="00262CAF" w:rsidRPr="00F0479C" w:rsidRDefault="00262CA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Reference</w:t>
            </w:r>
          </w:p>
        </w:tc>
        <w:tc>
          <w:tcPr>
            <w:tcW w:w="2336" w:type="dxa"/>
            <w:gridSpan w:val="2"/>
            <w:tcBorders>
              <w:top w:val="nil"/>
              <w:left w:val="nil"/>
              <w:bottom w:val="nil"/>
              <w:right w:val="nil"/>
            </w:tcBorders>
            <w:shd w:val="clear" w:color="auto" w:fill="auto"/>
            <w:vAlign w:val="center"/>
          </w:tcPr>
          <w:p w:rsidR="00262CAF" w:rsidRPr="00F0479C" w:rsidRDefault="00262CA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Reference</w:t>
            </w:r>
          </w:p>
        </w:tc>
      </w:tr>
      <w:tr w:rsidR="00445A5F" w:rsidRPr="00F0479C" w:rsidTr="00F75E0F">
        <w:trPr>
          <w:trHeight w:val="340"/>
          <w:jc w:val="center"/>
        </w:trPr>
        <w:tc>
          <w:tcPr>
            <w:tcW w:w="2924" w:type="dxa"/>
            <w:tcBorders>
              <w:top w:val="nil"/>
              <w:left w:val="nil"/>
              <w:bottom w:val="single" w:sz="12" w:space="0" w:color="auto"/>
              <w:right w:val="nil"/>
            </w:tcBorders>
            <w:shd w:val="clear" w:color="auto" w:fill="auto"/>
            <w:vAlign w:val="center"/>
            <w:hideMark/>
          </w:tcPr>
          <w:p w:rsidR="00445A5F" w:rsidRPr="00F0479C" w:rsidRDefault="00445A5F" w:rsidP="00F75E0F">
            <w:pPr>
              <w:widowControl w:val="0"/>
              <w:spacing w:line="240" w:lineRule="auto"/>
              <w:ind w:firstLineChars="153" w:firstLine="306"/>
              <w:rPr>
                <w:rFonts w:eastAsia="Times New Roman"/>
                <w:color w:val="000000"/>
                <w:sz w:val="20"/>
                <w:szCs w:val="20"/>
                <w:lang w:eastAsia="en-GB"/>
              </w:rPr>
            </w:pPr>
            <w:r w:rsidRPr="00F0479C">
              <w:rPr>
                <w:rFonts w:eastAsia="Times New Roman"/>
                <w:color w:val="000000"/>
                <w:sz w:val="20"/>
                <w:szCs w:val="20"/>
                <w:lang w:eastAsia="en-GB"/>
              </w:rPr>
              <w:t>Yes</w:t>
            </w:r>
          </w:p>
        </w:tc>
        <w:tc>
          <w:tcPr>
            <w:tcW w:w="272" w:type="dxa"/>
            <w:tcBorders>
              <w:top w:val="nil"/>
              <w:left w:val="nil"/>
              <w:bottom w:val="single" w:sz="12" w:space="0" w:color="auto"/>
              <w:right w:val="nil"/>
            </w:tcBorders>
            <w:shd w:val="clear" w:color="auto" w:fill="auto"/>
            <w:hideMark/>
          </w:tcPr>
          <w:p w:rsidR="00445A5F" w:rsidRPr="00F0479C" w:rsidRDefault="00445A5F" w:rsidP="00F75E0F">
            <w:pPr>
              <w:widowControl w:val="0"/>
              <w:spacing w:line="240" w:lineRule="auto"/>
              <w:rPr>
                <w:rFonts w:eastAsia="Times New Roman"/>
                <w:color w:val="000000"/>
                <w:sz w:val="20"/>
                <w:szCs w:val="20"/>
                <w:lang w:eastAsia="en-GB"/>
              </w:rPr>
            </w:pPr>
          </w:p>
        </w:tc>
        <w:tc>
          <w:tcPr>
            <w:tcW w:w="1138" w:type="dxa"/>
            <w:tcBorders>
              <w:top w:val="nil"/>
              <w:left w:val="nil"/>
              <w:bottom w:val="single" w:sz="12" w:space="0" w:color="auto"/>
              <w:right w:val="nil"/>
            </w:tcBorders>
            <w:shd w:val="clear" w:color="auto" w:fill="auto"/>
            <w:vAlign w:val="center"/>
            <w:hideMark/>
          </w:tcPr>
          <w:p w:rsidR="00445A5F" w:rsidRPr="00F0479C" w:rsidRDefault="00445A5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1091</w:t>
            </w:r>
          </w:p>
        </w:tc>
        <w:tc>
          <w:tcPr>
            <w:tcW w:w="1373" w:type="dxa"/>
            <w:tcBorders>
              <w:top w:val="nil"/>
              <w:left w:val="nil"/>
              <w:bottom w:val="single" w:sz="12" w:space="0" w:color="auto"/>
              <w:right w:val="nil"/>
            </w:tcBorders>
            <w:shd w:val="clear" w:color="auto" w:fill="auto"/>
            <w:vAlign w:val="center"/>
            <w:hideMark/>
          </w:tcPr>
          <w:p w:rsidR="00445A5F" w:rsidRPr="00F0479C" w:rsidRDefault="00445A5F" w:rsidP="00F75E0F">
            <w:pPr>
              <w:widowControl w:val="0"/>
              <w:spacing w:line="240" w:lineRule="auto"/>
              <w:jc w:val="center"/>
              <w:rPr>
                <w:rFonts w:eastAsia="Times New Roman"/>
                <w:color w:val="000000"/>
                <w:sz w:val="20"/>
                <w:szCs w:val="20"/>
                <w:lang w:eastAsia="en-GB"/>
              </w:rPr>
            </w:pPr>
            <w:r w:rsidRPr="00F0479C">
              <w:rPr>
                <w:rFonts w:eastAsia="Times New Roman"/>
                <w:color w:val="000000"/>
                <w:sz w:val="20"/>
                <w:szCs w:val="20"/>
                <w:lang w:eastAsia="en-GB"/>
              </w:rPr>
              <w:t>100</w:t>
            </w:r>
          </w:p>
        </w:tc>
        <w:tc>
          <w:tcPr>
            <w:tcW w:w="800" w:type="dxa"/>
            <w:tcBorders>
              <w:top w:val="nil"/>
              <w:left w:val="nil"/>
              <w:bottom w:val="single" w:sz="12" w:space="0" w:color="auto"/>
              <w:right w:val="nil"/>
            </w:tcBorders>
            <w:shd w:val="clear" w:color="auto" w:fill="auto"/>
            <w:noWrap/>
            <w:vAlign w:val="center"/>
            <w:hideMark/>
          </w:tcPr>
          <w:p w:rsidR="00445A5F" w:rsidRPr="00F0479C" w:rsidRDefault="00445A5F" w:rsidP="00F75E0F">
            <w:pPr>
              <w:widowControl w:val="0"/>
              <w:spacing w:line="240" w:lineRule="auto"/>
              <w:jc w:val="right"/>
              <w:rPr>
                <w:rFonts w:eastAsia="Times New Roman"/>
                <w:color w:val="000000"/>
                <w:sz w:val="20"/>
                <w:szCs w:val="20"/>
                <w:lang w:eastAsia="en-GB"/>
              </w:rPr>
            </w:pPr>
            <w:r w:rsidRPr="00F0479C">
              <w:rPr>
                <w:rFonts w:eastAsia="Times New Roman"/>
                <w:color w:val="000000"/>
                <w:sz w:val="20"/>
                <w:szCs w:val="20"/>
                <w:lang w:eastAsia="en-GB"/>
              </w:rPr>
              <w:t>1.60</w:t>
            </w:r>
          </w:p>
        </w:tc>
        <w:tc>
          <w:tcPr>
            <w:tcW w:w="1237" w:type="dxa"/>
            <w:tcBorders>
              <w:top w:val="nil"/>
              <w:left w:val="nil"/>
              <w:bottom w:val="single" w:sz="12" w:space="0" w:color="auto"/>
              <w:right w:val="nil"/>
            </w:tcBorders>
            <w:shd w:val="clear" w:color="auto" w:fill="auto"/>
            <w:noWrap/>
            <w:vAlign w:val="center"/>
            <w:hideMark/>
          </w:tcPr>
          <w:p w:rsidR="00445A5F" w:rsidRPr="00F0479C" w:rsidRDefault="00445A5F" w:rsidP="00F75E0F">
            <w:pPr>
              <w:widowControl w:val="0"/>
              <w:spacing w:line="240" w:lineRule="auto"/>
              <w:rPr>
                <w:rFonts w:eastAsia="Times New Roman"/>
                <w:color w:val="000000"/>
                <w:sz w:val="20"/>
                <w:szCs w:val="20"/>
                <w:lang w:eastAsia="en-GB"/>
              </w:rPr>
            </w:pPr>
            <w:r w:rsidRPr="00F0479C">
              <w:rPr>
                <w:rFonts w:eastAsia="Times New Roman"/>
                <w:color w:val="000000"/>
                <w:sz w:val="20"/>
                <w:szCs w:val="20"/>
                <w:lang w:eastAsia="en-GB"/>
              </w:rPr>
              <w:t>(1.26,2.04)</w:t>
            </w:r>
          </w:p>
        </w:tc>
        <w:tc>
          <w:tcPr>
            <w:tcW w:w="1152" w:type="dxa"/>
            <w:tcBorders>
              <w:top w:val="nil"/>
              <w:left w:val="nil"/>
              <w:bottom w:val="single" w:sz="12" w:space="0" w:color="auto"/>
              <w:right w:val="nil"/>
            </w:tcBorders>
            <w:shd w:val="clear" w:color="auto" w:fill="auto"/>
            <w:vAlign w:val="center"/>
            <w:hideMark/>
          </w:tcPr>
          <w:p w:rsidR="00445A5F" w:rsidRDefault="00445A5F">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1.63</w:t>
            </w:r>
          </w:p>
        </w:tc>
        <w:tc>
          <w:tcPr>
            <w:tcW w:w="1184" w:type="dxa"/>
            <w:tcBorders>
              <w:top w:val="nil"/>
              <w:left w:val="nil"/>
              <w:bottom w:val="single" w:sz="12" w:space="0" w:color="auto"/>
              <w:right w:val="nil"/>
            </w:tcBorders>
            <w:shd w:val="clear" w:color="auto" w:fill="auto"/>
            <w:vAlign w:val="center"/>
            <w:hideMark/>
          </w:tcPr>
          <w:p w:rsidR="00445A5F" w:rsidRDefault="00445A5F">
            <w:pPr>
              <w:widowControl w:val="0"/>
              <w:spacing w:line="240" w:lineRule="auto"/>
              <w:rPr>
                <w:rFonts w:eastAsia="Times New Roman"/>
                <w:color w:val="000000"/>
                <w:sz w:val="20"/>
                <w:szCs w:val="20"/>
                <w:lang w:eastAsia="en-GB"/>
              </w:rPr>
            </w:pPr>
            <w:r>
              <w:rPr>
                <w:rFonts w:eastAsia="Times New Roman"/>
                <w:color w:val="000000"/>
                <w:sz w:val="20"/>
                <w:szCs w:val="20"/>
                <w:lang w:eastAsia="en-GB"/>
              </w:rPr>
              <w:t>(1.28,2.08)</w:t>
            </w:r>
          </w:p>
        </w:tc>
      </w:tr>
    </w:tbl>
    <w:p w:rsidR="00262CAF" w:rsidRDefault="00262CAF" w:rsidP="00262CAF">
      <w:pPr>
        <w:widowControl w:val="0"/>
        <w:rPr>
          <w:vertAlign w:val="superscript"/>
        </w:rPr>
      </w:pPr>
    </w:p>
    <w:p w:rsidR="00262CAF" w:rsidRDefault="00262CAF" w:rsidP="00262CAF">
      <w:pPr>
        <w:widowControl w:val="0"/>
      </w:pPr>
      <w:proofErr w:type="spellStart"/>
      <w:proofErr w:type="gramStart"/>
      <w:r w:rsidRPr="00E80B50">
        <w:rPr>
          <w:vertAlign w:val="superscript"/>
        </w:rPr>
        <w:t>a</w:t>
      </w:r>
      <w:r>
        <w:t>Adjusted</w:t>
      </w:r>
      <w:proofErr w:type="spellEnd"/>
      <w:proofErr w:type="gramEnd"/>
      <w:r>
        <w:t xml:space="preserve"> only for sex and age</w:t>
      </w:r>
    </w:p>
    <w:p w:rsidR="00262CAF" w:rsidRDefault="00262CAF" w:rsidP="00262CAF">
      <w:pPr>
        <w:widowControl w:val="0"/>
      </w:pPr>
      <w:proofErr w:type="spellStart"/>
      <w:proofErr w:type="gramStart"/>
      <w:r w:rsidRPr="00E80B50">
        <w:rPr>
          <w:vertAlign w:val="superscript"/>
        </w:rPr>
        <w:t>b</w:t>
      </w:r>
      <w:r>
        <w:t>Mutually</w:t>
      </w:r>
      <w:proofErr w:type="spellEnd"/>
      <w:proofErr w:type="gramEnd"/>
      <w:r>
        <w:t xml:space="preserve"> adjusted risk estimates derived from a single logistic regression</w:t>
      </w:r>
      <w:r>
        <w:br w:type="page"/>
      </w:r>
    </w:p>
    <w:p w:rsidR="00262CAF" w:rsidRDefault="00262CAF" w:rsidP="00262CAF">
      <w:pPr>
        <w:pStyle w:val="Heading4"/>
        <w:widowControl w:val="0"/>
      </w:pPr>
      <w:r>
        <w:lastRenderedPageBreak/>
        <w:t>Table 2</w:t>
      </w:r>
      <w:r>
        <w:tab/>
      </w:r>
      <w:r>
        <w:tab/>
        <w:t>Associations of job dissatisfaction with aspects of employment</w:t>
      </w:r>
    </w:p>
    <w:p w:rsidR="00262CAF" w:rsidRPr="003249E2" w:rsidRDefault="00262CAF" w:rsidP="00262CAF">
      <w:pPr>
        <w:widowControl w:val="0"/>
      </w:pPr>
    </w:p>
    <w:tbl>
      <w:tblPr>
        <w:tblW w:w="10259" w:type="dxa"/>
        <w:jc w:val="center"/>
        <w:tblInd w:w="-358" w:type="dxa"/>
        <w:tblLook w:val="04A0" w:firstRow="1" w:lastRow="0" w:firstColumn="1" w:lastColumn="0" w:noHBand="0" w:noVBand="1"/>
      </w:tblPr>
      <w:tblGrid>
        <w:gridCol w:w="3213"/>
        <w:gridCol w:w="1119"/>
        <w:gridCol w:w="1312"/>
        <w:gridCol w:w="1139"/>
        <w:gridCol w:w="1236"/>
        <w:gridCol w:w="1056"/>
        <w:gridCol w:w="1184"/>
      </w:tblGrid>
      <w:tr w:rsidR="00262CAF" w:rsidRPr="0075296A" w:rsidTr="00445A5F">
        <w:trPr>
          <w:trHeight w:val="300"/>
          <w:jc w:val="center"/>
        </w:trPr>
        <w:tc>
          <w:tcPr>
            <w:tcW w:w="3213" w:type="dxa"/>
            <w:vMerge w:val="restart"/>
            <w:tcBorders>
              <w:top w:val="single" w:sz="12" w:space="0" w:color="auto"/>
              <w:left w:val="nil"/>
              <w:bottom w:val="single" w:sz="12" w:space="0" w:color="000000"/>
              <w:right w:val="nil"/>
            </w:tcBorders>
            <w:shd w:val="clear" w:color="auto" w:fill="auto"/>
            <w:vAlign w:val="center"/>
            <w:hideMark/>
          </w:tcPr>
          <w:p w:rsidR="00262CAF" w:rsidRPr="0075296A" w:rsidRDefault="00262CAF" w:rsidP="00F75E0F">
            <w:pPr>
              <w:widowControl w:val="0"/>
              <w:spacing w:line="240" w:lineRule="auto"/>
              <w:rPr>
                <w:rFonts w:eastAsia="Times New Roman"/>
                <w:b/>
                <w:bCs/>
                <w:color w:val="000000"/>
                <w:sz w:val="20"/>
                <w:szCs w:val="20"/>
                <w:lang w:eastAsia="en-GB"/>
              </w:rPr>
            </w:pPr>
            <w:r w:rsidRPr="0075296A">
              <w:rPr>
                <w:rFonts w:eastAsia="Times New Roman"/>
                <w:b/>
                <w:bCs/>
                <w:color w:val="000000"/>
                <w:sz w:val="20"/>
                <w:szCs w:val="20"/>
                <w:lang w:eastAsia="en-GB"/>
              </w:rPr>
              <w:t>Risk factor</w:t>
            </w:r>
          </w:p>
        </w:tc>
        <w:tc>
          <w:tcPr>
            <w:tcW w:w="1119" w:type="dxa"/>
            <w:vMerge w:val="restart"/>
            <w:tcBorders>
              <w:top w:val="single" w:sz="12" w:space="0" w:color="auto"/>
              <w:left w:val="nil"/>
              <w:bottom w:val="single" w:sz="12" w:space="0" w:color="000000"/>
              <w:right w:val="nil"/>
            </w:tcBorders>
            <w:shd w:val="clear" w:color="auto" w:fill="auto"/>
            <w:vAlign w:val="center"/>
            <w:hideMark/>
          </w:tcPr>
          <w:p w:rsidR="00262CAF" w:rsidRPr="0075296A" w:rsidRDefault="00262CAF" w:rsidP="00734C00">
            <w:pPr>
              <w:widowControl w:val="0"/>
              <w:spacing w:line="240" w:lineRule="auto"/>
              <w:jc w:val="center"/>
              <w:rPr>
                <w:rFonts w:eastAsia="Times New Roman"/>
                <w:b/>
                <w:bCs/>
                <w:color w:val="000000"/>
                <w:sz w:val="20"/>
                <w:szCs w:val="20"/>
                <w:lang w:eastAsia="en-GB"/>
              </w:rPr>
            </w:pPr>
            <w:r w:rsidRPr="0075296A">
              <w:rPr>
                <w:rFonts w:eastAsia="Times New Roman"/>
                <w:b/>
                <w:bCs/>
                <w:color w:val="000000"/>
                <w:sz w:val="20"/>
                <w:szCs w:val="20"/>
                <w:lang w:eastAsia="en-GB"/>
              </w:rPr>
              <w:t xml:space="preserve">Number </w:t>
            </w:r>
          </w:p>
        </w:tc>
        <w:tc>
          <w:tcPr>
            <w:tcW w:w="1312" w:type="dxa"/>
            <w:vMerge w:val="restart"/>
            <w:tcBorders>
              <w:top w:val="single" w:sz="12" w:space="0" w:color="auto"/>
              <w:left w:val="nil"/>
              <w:bottom w:val="single" w:sz="12" w:space="0" w:color="000000"/>
              <w:right w:val="nil"/>
            </w:tcBorders>
            <w:shd w:val="clear" w:color="auto" w:fill="auto"/>
            <w:vAlign w:val="center"/>
            <w:hideMark/>
          </w:tcPr>
          <w:p w:rsidR="00262CAF" w:rsidRPr="0075296A" w:rsidRDefault="00262CAF" w:rsidP="00734C00">
            <w:pPr>
              <w:widowControl w:val="0"/>
              <w:spacing w:line="240" w:lineRule="auto"/>
              <w:jc w:val="center"/>
              <w:rPr>
                <w:rFonts w:eastAsia="Times New Roman"/>
                <w:b/>
                <w:bCs/>
                <w:color w:val="000000"/>
                <w:sz w:val="20"/>
                <w:szCs w:val="20"/>
                <w:lang w:eastAsia="en-GB"/>
              </w:rPr>
            </w:pPr>
            <w:r w:rsidRPr="0075296A">
              <w:rPr>
                <w:rFonts w:eastAsia="Times New Roman"/>
                <w:b/>
                <w:bCs/>
                <w:color w:val="000000"/>
                <w:sz w:val="20"/>
                <w:szCs w:val="20"/>
                <w:lang w:eastAsia="en-GB"/>
              </w:rPr>
              <w:t>Number of cases</w:t>
            </w:r>
          </w:p>
        </w:tc>
        <w:tc>
          <w:tcPr>
            <w:tcW w:w="4615" w:type="dxa"/>
            <w:gridSpan w:val="4"/>
            <w:tcBorders>
              <w:top w:val="single" w:sz="12" w:space="0" w:color="auto"/>
              <w:left w:val="nil"/>
              <w:bottom w:val="nil"/>
              <w:right w:val="nil"/>
            </w:tcBorders>
            <w:shd w:val="clear" w:color="auto" w:fill="auto"/>
            <w:vAlign w:val="center"/>
            <w:hideMark/>
          </w:tcPr>
          <w:p w:rsidR="00262CAF" w:rsidRPr="0075296A" w:rsidRDefault="00262CAF" w:rsidP="00F75E0F">
            <w:pPr>
              <w:widowControl w:val="0"/>
              <w:spacing w:line="240" w:lineRule="auto"/>
              <w:jc w:val="center"/>
              <w:rPr>
                <w:rFonts w:eastAsia="Times New Roman"/>
                <w:b/>
                <w:bCs/>
                <w:color w:val="000000"/>
                <w:sz w:val="20"/>
                <w:szCs w:val="20"/>
                <w:lang w:eastAsia="en-GB"/>
              </w:rPr>
            </w:pPr>
            <w:r w:rsidRPr="0075296A">
              <w:rPr>
                <w:rFonts w:eastAsia="Times New Roman"/>
                <w:b/>
                <w:bCs/>
                <w:color w:val="000000"/>
                <w:sz w:val="20"/>
                <w:szCs w:val="20"/>
                <w:lang w:eastAsia="en-GB"/>
              </w:rPr>
              <w:t>Associations with overall job dissatisfaction</w:t>
            </w:r>
          </w:p>
        </w:tc>
      </w:tr>
      <w:tr w:rsidR="00262CAF" w:rsidRPr="0075296A" w:rsidTr="00445A5F">
        <w:trPr>
          <w:trHeight w:val="465"/>
          <w:jc w:val="center"/>
        </w:trPr>
        <w:tc>
          <w:tcPr>
            <w:tcW w:w="3213" w:type="dxa"/>
            <w:vMerge/>
            <w:tcBorders>
              <w:top w:val="single" w:sz="12" w:space="0" w:color="auto"/>
              <w:left w:val="nil"/>
              <w:bottom w:val="single" w:sz="12" w:space="0" w:color="000000"/>
              <w:right w:val="nil"/>
            </w:tcBorders>
            <w:vAlign w:val="center"/>
            <w:hideMark/>
          </w:tcPr>
          <w:p w:rsidR="00262CAF" w:rsidRPr="0075296A" w:rsidRDefault="00262CAF" w:rsidP="00F75E0F">
            <w:pPr>
              <w:widowControl w:val="0"/>
              <w:spacing w:line="240" w:lineRule="auto"/>
              <w:rPr>
                <w:rFonts w:eastAsia="Times New Roman"/>
                <w:b/>
                <w:bCs/>
                <w:color w:val="000000"/>
                <w:sz w:val="20"/>
                <w:szCs w:val="20"/>
                <w:lang w:eastAsia="en-GB"/>
              </w:rPr>
            </w:pPr>
          </w:p>
        </w:tc>
        <w:tc>
          <w:tcPr>
            <w:tcW w:w="1119" w:type="dxa"/>
            <w:vMerge/>
            <w:tcBorders>
              <w:top w:val="single" w:sz="12" w:space="0" w:color="auto"/>
              <w:left w:val="nil"/>
              <w:bottom w:val="single" w:sz="12" w:space="0" w:color="000000"/>
              <w:right w:val="nil"/>
            </w:tcBorders>
            <w:vAlign w:val="center"/>
            <w:hideMark/>
          </w:tcPr>
          <w:p w:rsidR="00262CAF" w:rsidRPr="0075296A" w:rsidRDefault="00262CAF" w:rsidP="00F75E0F">
            <w:pPr>
              <w:widowControl w:val="0"/>
              <w:spacing w:line="240" w:lineRule="auto"/>
              <w:rPr>
                <w:rFonts w:eastAsia="Times New Roman"/>
                <w:b/>
                <w:bCs/>
                <w:color w:val="000000"/>
                <w:sz w:val="20"/>
                <w:szCs w:val="20"/>
                <w:lang w:eastAsia="en-GB"/>
              </w:rPr>
            </w:pPr>
          </w:p>
        </w:tc>
        <w:tc>
          <w:tcPr>
            <w:tcW w:w="1312" w:type="dxa"/>
            <w:vMerge/>
            <w:tcBorders>
              <w:top w:val="single" w:sz="12" w:space="0" w:color="auto"/>
              <w:left w:val="nil"/>
              <w:bottom w:val="single" w:sz="12" w:space="0" w:color="000000"/>
              <w:right w:val="nil"/>
            </w:tcBorders>
            <w:vAlign w:val="center"/>
            <w:hideMark/>
          </w:tcPr>
          <w:p w:rsidR="00262CAF" w:rsidRPr="0075296A" w:rsidRDefault="00262CAF" w:rsidP="00F75E0F">
            <w:pPr>
              <w:widowControl w:val="0"/>
              <w:spacing w:line="240" w:lineRule="auto"/>
              <w:rPr>
                <w:rFonts w:eastAsia="Times New Roman"/>
                <w:b/>
                <w:bCs/>
                <w:color w:val="000000"/>
                <w:sz w:val="20"/>
                <w:szCs w:val="20"/>
                <w:lang w:eastAsia="en-GB"/>
              </w:rPr>
            </w:pPr>
          </w:p>
        </w:tc>
        <w:tc>
          <w:tcPr>
            <w:tcW w:w="1139" w:type="dxa"/>
            <w:tcBorders>
              <w:top w:val="nil"/>
              <w:left w:val="nil"/>
              <w:bottom w:val="single" w:sz="12" w:space="0" w:color="auto"/>
              <w:right w:val="nil"/>
            </w:tcBorders>
            <w:shd w:val="clear" w:color="auto" w:fill="auto"/>
            <w:vAlign w:val="center"/>
            <w:hideMark/>
          </w:tcPr>
          <w:p w:rsidR="00262CAF" w:rsidRPr="0075296A" w:rsidRDefault="00262CAF" w:rsidP="00F75E0F">
            <w:pPr>
              <w:widowControl w:val="0"/>
              <w:spacing w:line="240" w:lineRule="auto"/>
              <w:jc w:val="right"/>
              <w:rPr>
                <w:rFonts w:eastAsia="Times New Roman"/>
                <w:b/>
                <w:bCs/>
                <w:color w:val="000000"/>
                <w:sz w:val="20"/>
                <w:szCs w:val="20"/>
                <w:lang w:eastAsia="en-GB"/>
              </w:rPr>
            </w:pPr>
            <w:proofErr w:type="spellStart"/>
            <w:r w:rsidRPr="0075296A">
              <w:rPr>
                <w:rFonts w:eastAsia="Times New Roman"/>
                <w:b/>
                <w:bCs/>
                <w:color w:val="000000"/>
                <w:sz w:val="20"/>
                <w:szCs w:val="20"/>
                <w:vertAlign w:val="superscript"/>
                <w:lang w:eastAsia="en-GB"/>
              </w:rPr>
              <w:t>a</w:t>
            </w:r>
            <w:r w:rsidRPr="0075296A">
              <w:rPr>
                <w:rFonts w:eastAsia="Times New Roman"/>
                <w:b/>
                <w:bCs/>
                <w:color w:val="000000"/>
                <w:sz w:val="20"/>
                <w:szCs w:val="20"/>
                <w:lang w:eastAsia="en-GB"/>
              </w:rPr>
              <w:t>OR</w:t>
            </w:r>
            <w:proofErr w:type="spellEnd"/>
          </w:p>
        </w:tc>
        <w:tc>
          <w:tcPr>
            <w:tcW w:w="1236" w:type="dxa"/>
            <w:tcBorders>
              <w:top w:val="nil"/>
              <w:left w:val="nil"/>
              <w:bottom w:val="single" w:sz="12" w:space="0" w:color="auto"/>
              <w:right w:val="nil"/>
            </w:tcBorders>
            <w:shd w:val="clear" w:color="auto" w:fill="auto"/>
            <w:vAlign w:val="center"/>
            <w:hideMark/>
          </w:tcPr>
          <w:p w:rsidR="00262CAF" w:rsidRPr="0075296A" w:rsidRDefault="00262CAF" w:rsidP="00F75E0F">
            <w:pPr>
              <w:widowControl w:val="0"/>
              <w:spacing w:line="240" w:lineRule="auto"/>
              <w:rPr>
                <w:rFonts w:eastAsia="Times New Roman"/>
                <w:b/>
                <w:bCs/>
                <w:color w:val="000000"/>
                <w:sz w:val="20"/>
                <w:szCs w:val="20"/>
                <w:lang w:eastAsia="en-GB"/>
              </w:rPr>
            </w:pPr>
            <w:r w:rsidRPr="0075296A">
              <w:rPr>
                <w:rFonts w:eastAsia="Times New Roman"/>
                <w:b/>
                <w:bCs/>
                <w:color w:val="000000"/>
                <w:sz w:val="20"/>
                <w:szCs w:val="20"/>
                <w:lang w:eastAsia="en-GB"/>
              </w:rPr>
              <w:t>(95%CI)</w:t>
            </w:r>
          </w:p>
        </w:tc>
        <w:tc>
          <w:tcPr>
            <w:tcW w:w="1056" w:type="dxa"/>
            <w:tcBorders>
              <w:top w:val="nil"/>
              <w:left w:val="nil"/>
              <w:bottom w:val="single" w:sz="12" w:space="0" w:color="auto"/>
              <w:right w:val="nil"/>
            </w:tcBorders>
            <w:shd w:val="clear" w:color="auto" w:fill="auto"/>
            <w:vAlign w:val="center"/>
            <w:hideMark/>
          </w:tcPr>
          <w:p w:rsidR="00262CAF" w:rsidRPr="0075296A" w:rsidRDefault="00262CAF" w:rsidP="00F75E0F">
            <w:pPr>
              <w:widowControl w:val="0"/>
              <w:spacing w:line="240" w:lineRule="auto"/>
              <w:jc w:val="right"/>
              <w:rPr>
                <w:rFonts w:eastAsia="Times New Roman"/>
                <w:b/>
                <w:bCs/>
                <w:color w:val="000000"/>
                <w:sz w:val="20"/>
                <w:szCs w:val="20"/>
                <w:lang w:eastAsia="en-GB"/>
              </w:rPr>
            </w:pPr>
            <w:proofErr w:type="spellStart"/>
            <w:r w:rsidRPr="0075296A">
              <w:rPr>
                <w:rFonts w:eastAsia="Times New Roman"/>
                <w:b/>
                <w:bCs/>
                <w:color w:val="000000"/>
                <w:sz w:val="20"/>
                <w:szCs w:val="20"/>
                <w:vertAlign w:val="superscript"/>
                <w:lang w:eastAsia="en-GB"/>
              </w:rPr>
              <w:t>b</w:t>
            </w:r>
            <w:r w:rsidRPr="0075296A">
              <w:rPr>
                <w:rFonts w:eastAsia="Times New Roman"/>
                <w:b/>
                <w:bCs/>
                <w:color w:val="000000"/>
                <w:sz w:val="20"/>
                <w:szCs w:val="20"/>
                <w:lang w:eastAsia="en-GB"/>
              </w:rPr>
              <w:t>OR</w:t>
            </w:r>
            <w:proofErr w:type="spellEnd"/>
          </w:p>
        </w:tc>
        <w:tc>
          <w:tcPr>
            <w:tcW w:w="1184" w:type="dxa"/>
            <w:tcBorders>
              <w:top w:val="nil"/>
              <w:left w:val="nil"/>
              <w:bottom w:val="single" w:sz="12" w:space="0" w:color="auto"/>
              <w:right w:val="nil"/>
            </w:tcBorders>
            <w:shd w:val="clear" w:color="auto" w:fill="auto"/>
            <w:vAlign w:val="center"/>
            <w:hideMark/>
          </w:tcPr>
          <w:p w:rsidR="00262CAF" w:rsidRPr="0075296A" w:rsidRDefault="00262CAF" w:rsidP="00F75E0F">
            <w:pPr>
              <w:widowControl w:val="0"/>
              <w:spacing w:line="240" w:lineRule="auto"/>
              <w:rPr>
                <w:rFonts w:eastAsia="Times New Roman"/>
                <w:b/>
                <w:bCs/>
                <w:color w:val="000000"/>
                <w:sz w:val="20"/>
                <w:szCs w:val="20"/>
                <w:lang w:eastAsia="en-GB"/>
              </w:rPr>
            </w:pPr>
            <w:r w:rsidRPr="0075296A">
              <w:rPr>
                <w:rFonts w:eastAsia="Times New Roman"/>
                <w:b/>
                <w:bCs/>
                <w:color w:val="000000"/>
                <w:sz w:val="20"/>
                <w:szCs w:val="20"/>
                <w:lang w:eastAsia="en-GB"/>
              </w:rPr>
              <w:t>(95%CI)</w:t>
            </w:r>
          </w:p>
        </w:tc>
      </w:tr>
      <w:tr w:rsidR="00262CAF" w:rsidRPr="0075296A" w:rsidTr="00445A5F">
        <w:trPr>
          <w:trHeight w:val="340"/>
          <w:jc w:val="center"/>
        </w:trPr>
        <w:tc>
          <w:tcPr>
            <w:tcW w:w="3213"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rPr>
                <w:rFonts w:eastAsia="Times New Roman"/>
                <w:color w:val="000000"/>
                <w:sz w:val="20"/>
                <w:szCs w:val="20"/>
                <w:lang w:eastAsia="en-GB"/>
              </w:rPr>
            </w:pPr>
            <w:r w:rsidRPr="0075296A">
              <w:rPr>
                <w:rFonts w:eastAsia="Times New Roman"/>
                <w:color w:val="000000"/>
                <w:sz w:val="20"/>
                <w:szCs w:val="20"/>
                <w:lang w:eastAsia="en-GB"/>
              </w:rPr>
              <w:t>Employment status</w:t>
            </w:r>
          </w:p>
        </w:tc>
        <w:tc>
          <w:tcPr>
            <w:tcW w:w="1119"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312"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139"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236"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056"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184"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r>
      <w:tr w:rsidR="00262CAF" w:rsidRPr="0075296A" w:rsidTr="00445A5F">
        <w:trPr>
          <w:trHeight w:val="340"/>
          <w:jc w:val="center"/>
        </w:trPr>
        <w:tc>
          <w:tcPr>
            <w:tcW w:w="3213"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ind w:left="561" w:hanging="284"/>
              <w:rPr>
                <w:rFonts w:eastAsia="Times New Roman"/>
                <w:color w:val="000000"/>
                <w:sz w:val="20"/>
                <w:szCs w:val="20"/>
                <w:lang w:eastAsia="en-GB"/>
              </w:rPr>
            </w:pPr>
            <w:r w:rsidRPr="0075296A">
              <w:rPr>
                <w:rFonts w:eastAsia="Times New Roman"/>
                <w:color w:val="000000"/>
                <w:sz w:val="20"/>
                <w:szCs w:val="20"/>
                <w:lang w:eastAsia="en-GB"/>
              </w:rPr>
              <w:t>Self-employed</w:t>
            </w:r>
          </w:p>
        </w:tc>
        <w:tc>
          <w:tcPr>
            <w:tcW w:w="1119"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884</w:t>
            </w:r>
          </w:p>
        </w:tc>
        <w:tc>
          <w:tcPr>
            <w:tcW w:w="1312"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30</w:t>
            </w:r>
          </w:p>
        </w:tc>
        <w:tc>
          <w:tcPr>
            <w:tcW w:w="2375" w:type="dxa"/>
            <w:gridSpan w:val="2"/>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Reference</w:t>
            </w:r>
          </w:p>
        </w:tc>
        <w:tc>
          <w:tcPr>
            <w:tcW w:w="2240" w:type="dxa"/>
            <w:gridSpan w:val="2"/>
            <w:tcBorders>
              <w:top w:val="nil"/>
              <w:left w:val="nil"/>
              <w:bottom w:val="nil"/>
              <w:right w:val="nil"/>
            </w:tcBorders>
            <w:shd w:val="clear" w:color="auto" w:fill="auto"/>
            <w:vAlign w:val="bottom"/>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Reference</w:t>
            </w:r>
          </w:p>
        </w:tc>
      </w:tr>
      <w:tr w:rsidR="00445A5F" w:rsidRPr="0075296A" w:rsidTr="00445A5F">
        <w:trPr>
          <w:trHeight w:val="340"/>
          <w:jc w:val="center"/>
        </w:trPr>
        <w:tc>
          <w:tcPr>
            <w:tcW w:w="3213" w:type="dxa"/>
            <w:tcBorders>
              <w:top w:val="nil"/>
              <w:left w:val="nil"/>
              <w:bottom w:val="nil"/>
              <w:right w:val="nil"/>
            </w:tcBorders>
            <w:shd w:val="clear" w:color="auto" w:fill="auto"/>
            <w:vAlign w:val="bottom"/>
            <w:hideMark/>
          </w:tcPr>
          <w:p w:rsidR="00445A5F" w:rsidRPr="0075296A" w:rsidRDefault="00445A5F" w:rsidP="00F75E0F">
            <w:pPr>
              <w:widowControl w:val="0"/>
              <w:spacing w:line="240" w:lineRule="auto"/>
              <w:ind w:left="561" w:hanging="284"/>
              <w:rPr>
                <w:rFonts w:eastAsia="Times New Roman"/>
                <w:color w:val="000000"/>
                <w:sz w:val="20"/>
                <w:szCs w:val="20"/>
                <w:lang w:eastAsia="en-GB"/>
              </w:rPr>
            </w:pPr>
            <w:r w:rsidRPr="0075296A">
              <w:rPr>
                <w:rFonts w:eastAsia="Times New Roman"/>
                <w:color w:val="000000"/>
                <w:sz w:val="20"/>
                <w:szCs w:val="20"/>
                <w:lang w:eastAsia="en-GB"/>
              </w:rPr>
              <w:t>Small employer (&lt;500 staff)</w:t>
            </w:r>
          </w:p>
        </w:tc>
        <w:tc>
          <w:tcPr>
            <w:tcW w:w="1119" w:type="dxa"/>
            <w:tcBorders>
              <w:top w:val="nil"/>
              <w:left w:val="nil"/>
              <w:bottom w:val="nil"/>
              <w:right w:val="nil"/>
            </w:tcBorders>
            <w:shd w:val="clear" w:color="auto" w:fill="auto"/>
            <w:vAlign w:val="bottom"/>
            <w:hideMark/>
          </w:tcPr>
          <w:p w:rsidR="00445A5F" w:rsidRPr="0075296A" w:rsidRDefault="00445A5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2543</w:t>
            </w:r>
          </w:p>
        </w:tc>
        <w:tc>
          <w:tcPr>
            <w:tcW w:w="1312" w:type="dxa"/>
            <w:tcBorders>
              <w:top w:val="nil"/>
              <w:left w:val="nil"/>
              <w:bottom w:val="nil"/>
              <w:right w:val="nil"/>
            </w:tcBorders>
            <w:shd w:val="clear" w:color="auto" w:fill="auto"/>
            <w:vAlign w:val="bottom"/>
            <w:hideMark/>
          </w:tcPr>
          <w:p w:rsidR="00445A5F" w:rsidRPr="0075296A" w:rsidRDefault="00445A5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153</w:t>
            </w:r>
          </w:p>
        </w:tc>
        <w:tc>
          <w:tcPr>
            <w:tcW w:w="1139" w:type="dxa"/>
            <w:tcBorders>
              <w:top w:val="nil"/>
              <w:left w:val="nil"/>
              <w:bottom w:val="nil"/>
              <w:right w:val="nil"/>
            </w:tcBorders>
            <w:shd w:val="clear" w:color="auto" w:fill="auto"/>
            <w:noWrap/>
            <w:vAlign w:val="bottom"/>
            <w:hideMark/>
          </w:tcPr>
          <w:p w:rsidR="00445A5F" w:rsidRPr="0075296A" w:rsidRDefault="00445A5F" w:rsidP="00F75E0F">
            <w:pPr>
              <w:widowControl w:val="0"/>
              <w:spacing w:line="240" w:lineRule="auto"/>
              <w:jc w:val="right"/>
              <w:rPr>
                <w:rFonts w:eastAsia="Times New Roman"/>
                <w:color w:val="000000"/>
                <w:sz w:val="20"/>
                <w:szCs w:val="20"/>
                <w:lang w:eastAsia="en-GB"/>
              </w:rPr>
            </w:pPr>
            <w:r w:rsidRPr="0075296A">
              <w:rPr>
                <w:rFonts w:eastAsia="Times New Roman"/>
                <w:color w:val="000000"/>
                <w:sz w:val="20"/>
                <w:szCs w:val="20"/>
                <w:lang w:eastAsia="en-GB"/>
              </w:rPr>
              <w:t>1.89</w:t>
            </w:r>
          </w:p>
        </w:tc>
        <w:tc>
          <w:tcPr>
            <w:tcW w:w="1236" w:type="dxa"/>
            <w:tcBorders>
              <w:top w:val="nil"/>
              <w:left w:val="nil"/>
              <w:bottom w:val="nil"/>
              <w:right w:val="nil"/>
            </w:tcBorders>
            <w:shd w:val="clear" w:color="auto" w:fill="auto"/>
            <w:noWrap/>
            <w:vAlign w:val="bottom"/>
            <w:hideMark/>
          </w:tcPr>
          <w:p w:rsidR="00445A5F" w:rsidRPr="0075296A" w:rsidRDefault="00445A5F" w:rsidP="00F75E0F">
            <w:pPr>
              <w:widowControl w:val="0"/>
              <w:spacing w:line="240" w:lineRule="auto"/>
              <w:rPr>
                <w:rFonts w:eastAsia="Times New Roman"/>
                <w:color w:val="000000"/>
                <w:sz w:val="20"/>
                <w:szCs w:val="20"/>
                <w:lang w:eastAsia="en-GB"/>
              </w:rPr>
            </w:pPr>
            <w:r w:rsidRPr="0075296A">
              <w:rPr>
                <w:rFonts w:eastAsia="Times New Roman"/>
                <w:color w:val="000000"/>
                <w:sz w:val="20"/>
                <w:szCs w:val="20"/>
                <w:lang w:eastAsia="en-GB"/>
              </w:rPr>
              <w:t>(1.27,2.83)</w:t>
            </w:r>
          </w:p>
        </w:tc>
        <w:tc>
          <w:tcPr>
            <w:tcW w:w="1056" w:type="dxa"/>
            <w:tcBorders>
              <w:top w:val="nil"/>
              <w:left w:val="nil"/>
              <w:bottom w:val="nil"/>
              <w:right w:val="nil"/>
            </w:tcBorders>
            <w:shd w:val="clear" w:color="auto" w:fill="auto"/>
            <w:vAlign w:val="bottom"/>
            <w:hideMark/>
          </w:tcPr>
          <w:p w:rsidR="00445A5F" w:rsidRDefault="00445A5F">
            <w:pPr>
              <w:widowControl w:val="0"/>
              <w:jc w:val="right"/>
              <w:rPr>
                <w:color w:val="000000"/>
                <w:sz w:val="20"/>
                <w:szCs w:val="20"/>
              </w:rPr>
            </w:pPr>
            <w:r>
              <w:rPr>
                <w:color w:val="000000"/>
                <w:sz w:val="20"/>
                <w:szCs w:val="20"/>
              </w:rPr>
              <w:t>1.38</w:t>
            </w:r>
          </w:p>
        </w:tc>
        <w:tc>
          <w:tcPr>
            <w:tcW w:w="1184" w:type="dxa"/>
            <w:tcBorders>
              <w:top w:val="nil"/>
              <w:left w:val="nil"/>
              <w:bottom w:val="nil"/>
              <w:right w:val="nil"/>
            </w:tcBorders>
            <w:shd w:val="clear" w:color="auto" w:fill="auto"/>
            <w:vAlign w:val="bottom"/>
            <w:hideMark/>
          </w:tcPr>
          <w:p w:rsidR="00445A5F" w:rsidRDefault="00445A5F">
            <w:pPr>
              <w:widowControl w:val="0"/>
              <w:rPr>
                <w:color w:val="000000"/>
                <w:sz w:val="20"/>
                <w:szCs w:val="20"/>
              </w:rPr>
            </w:pPr>
            <w:r>
              <w:rPr>
                <w:color w:val="000000"/>
                <w:sz w:val="20"/>
                <w:szCs w:val="20"/>
              </w:rPr>
              <w:t>(0.82,2.33)</w:t>
            </w:r>
          </w:p>
        </w:tc>
      </w:tr>
      <w:tr w:rsidR="00445A5F" w:rsidRPr="0075296A" w:rsidTr="00445A5F">
        <w:trPr>
          <w:trHeight w:val="340"/>
          <w:jc w:val="center"/>
        </w:trPr>
        <w:tc>
          <w:tcPr>
            <w:tcW w:w="3213" w:type="dxa"/>
            <w:tcBorders>
              <w:top w:val="nil"/>
              <w:left w:val="nil"/>
              <w:bottom w:val="nil"/>
              <w:right w:val="nil"/>
            </w:tcBorders>
            <w:shd w:val="clear" w:color="auto" w:fill="auto"/>
            <w:vAlign w:val="bottom"/>
            <w:hideMark/>
          </w:tcPr>
          <w:p w:rsidR="00445A5F" w:rsidRPr="0075296A" w:rsidRDefault="00445A5F" w:rsidP="00F75E0F">
            <w:pPr>
              <w:widowControl w:val="0"/>
              <w:spacing w:line="240" w:lineRule="auto"/>
              <w:ind w:left="561" w:hanging="284"/>
              <w:rPr>
                <w:rFonts w:eastAsia="Times New Roman"/>
                <w:color w:val="000000"/>
                <w:sz w:val="20"/>
                <w:szCs w:val="20"/>
                <w:lang w:eastAsia="en-GB"/>
              </w:rPr>
            </w:pPr>
            <w:r w:rsidRPr="0075296A">
              <w:rPr>
                <w:rFonts w:eastAsia="Times New Roman"/>
                <w:color w:val="000000"/>
                <w:sz w:val="20"/>
                <w:szCs w:val="20"/>
                <w:lang w:eastAsia="en-GB"/>
              </w:rPr>
              <w:t>Large employer (≥500 staff)</w:t>
            </w:r>
          </w:p>
        </w:tc>
        <w:tc>
          <w:tcPr>
            <w:tcW w:w="1119" w:type="dxa"/>
            <w:tcBorders>
              <w:top w:val="nil"/>
              <w:left w:val="nil"/>
              <w:bottom w:val="nil"/>
              <w:right w:val="nil"/>
            </w:tcBorders>
            <w:shd w:val="clear" w:color="auto" w:fill="auto"/>
            <w:vAlign w:val="bottom"/>
            <w:hideMark/>
          </w:tcPr>
          <w:p w:rsidR="00445A5F" w:rsidRPr="0075296A" w:rsidRDefault="00445A5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1984</w:t>
            </w:r>
          </w:p>
        </w:tc>
        <w:tc>
          <w:tcPr>
            <w:tcW w:w="1312" w:type="dxa"/>
            <w:tcBorders>
              <w:top w:val="nil"/>
              <w:left w:val="nil"/>
              <w:bottom w:val="nil"/>
              <w:right w:val="nil"/>
            </w:tcBorders>
            <w:shd w:val="clear" w:color="auto" w:fill="auto"/>
            <w:vAlign w:val="bottom"/>
            <w:hideMark/>
          </w:tcPr>
          <w:p w:rsidR="00445A5F" w:rsidRPr="0075296A" w:rsidRDefault="00445A5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181</w:t>
            </w:r>
          </w:p>
        </w:tc>
        <w:tc>
          <w:tcPr>
            <w:tcW w:w="1139" w:type="dxa"/>
            <w:tcBorders>
              <w:top w:val="nil"/>
              <w:left w:val="nil"/>
              <w:bottom w:val="nil"/>
              <w:right w:val="nil"/>
            </w:tcBorders>
            <w:shd w:val="clear" w:color="auto" w:fill="auto"/>
            <w:noWrap/>
            <w:vAlign w:val="bottom"/>
            <w:hideMark/>
          </w:tcPr>
          <w:p w:rsidR="00445A5F" w:rsidRPr="0075296A" w:rsidRDefault="00445A5F" w:rsidP="00F75E0F">
            <w:pPr>
              <w:widowControl w:val="0"/>
              <w:spacing w:line="240" w:lineRule="auto"/>
              <w:jc w:val="right"/>
              <w:rPr>
                <w:rFonts w:eastAsia="Times New Roman"/>
                <w:color w:val="000000"/>
                <w:sz w:val="20"/>
                <w:szCs w:val="20"/>
                <w:lang w:eastAsia="en-GB"/>
              </w:rPr>
            </w:pPr>
            <w:r w:rsidRPr="0075296A">
              <w:rPr>
                <w:rFonts w:eastAsia="Times New Roman"/>
                <w:color w:val="000000"/>
                <w:sz w:val="20"/>
                <w:szCs w:val="20"/>
                <w:lang w:eastAsia="en-GB"/>
              </w:rPr>
              <w:t>2.90</w:t>
            </w:r>
          </w:p>
        </w:tc>
        <w:tc>
          <w:tcPr>
            <w:tcW w:w="1236" w:type="dxa"/>
            <w:tcBorders>
              <w:top w:val="nil"/>
              <w:left w:val="nil"/>
              <w:bottom w:val="nil"/>
              <w:right w:val="nil"/>
            </w:tcBorders>
            <w:shd w:val="clear" w:color="auto" w:fill="auto"/>
            <w:noWrap/>
            <w:vAlign w:val="bottom"/>
            <w:hideMark/>
          </w:tcPr>
          <w:p w:rsidR="00445A5F" w:rsidRPr="0075296A" w:rsidRDefault="00445A5F" w:rsidP="00F75E0F">
            <w:pPr>
              <w:widowControl w:val="0"/>
              <w:spacing w:line="240" w:lineRule="auto"/>
              <w:rPr>
                <w:rFonts w:eastAsia="Times New Roman"/>
                <w:color w:val="000000"/>
                <w:sz w:val="20"/>
                <w:szCs w:val="20"/>
                <w:lang w:eastAsia="en-GB"/>
              </w:rPr>
            </w:pPr>
            <w:r w:rsidRPr="0075296A">
              <w:rPr>
                <w:rFonts w:eastAsia="Times New Roman"/>
                <w:color w:val="000000"/>
                <w:sz w:val="20"/>
                <w:szCs w:val="20"/>
                <w:lang w:eastAsia="en-GB"/>
              </w:rPr>
              <w:t>(1.95,4.31)</w:t>
            </w:r>
          </w:p>
        </w:tc>
        <w:tc>
          <w:tcPr>
            <w:tcW w:w="1056" w:type="dxa"/>
            <w:tcBorders>
              <w:top w:val="nil"/>
              <w:left w:val="nil"/>
              <w:bottom w:val="nil"/>
              <w:right w:val="nil"/>
            </w:tcBorders>
            <w:shd w:val="clear" w:color="auto" w:fill="auto"/>
            <w:vAlign w:val="bottom"/>
            <w:hideMark/>
          </w:tcPr>
          <w:p w:rsidR="00445A5F" w:rsidRDefault="00445A5F">
            <w:pPr>
              <w:widowControl w:val="0"/>
              <w:jc w:val="right"/>
              <w:rPr>
                <w:color w:val="000000"/>
                <w:sz w:val="20"/>
                <w:szCs w:val="20"/>
              </w:rPr>
            </w:pPr>
            <w:r>
              <w:rPr>
                <w:color w:val="000000"/>
                <w:sz w:val="20"/>
                <w:szCs w:val="20"/>
              </w:rPr>
              <w:t>2.25</w:t>
            </w:r>
          </w:p>
        </w:tc>
        <w:tc>
          <w:tcPr>
            <w:tcW w:w="1184" w:type="dxa"/>
            <w:tcBorders>
              <w:top w:val="nil"/>
              <w:left w:val="nil"/>
              <w:bottom w:val="nil"/>
              <w:right w:val="nil"/>
            </w:tcBorders>
            <w:shd w:val="clear" w:color="auto" w:fill="auto"/>
            <w:vAlign w:val="bottom"/>
            <w:hideMark/>
          </w:tcPr>
          <w:p w:rsidR="00445A5F" w:rsidRDefault="00445A5F">
            <w:pPr>
              <w:widowControl w:val="0"/>
              <w:rPr>
                <w:color w:val="000000"/>
                <w:sz w:val="20"/>
                <w:szCs w:val="20"/>
              </w:rPr>
            </w:pPr>
            <w:r>
              <w:rPr>
                <w:color w:val="000000"/>
                <w:sz w:val="20"/>
                <w:szCs w:val="20"/>
              </w:rPr>
              <w:t>(1.32,3.81)</w:t>
            </w:r>
          </w:p>
        </w:tc>
      </w:tr>
      <w:tr w:rsidR="00445A5F" w:rsidRPr="0075296A" w:rsidTr="00445A5F">
        <w:trPr>
          <w:trHeight w:val="340"/>
          <w:jc w:val="center"/>
        </w:trPr>
        <w:tc>
          <w:tcPr>
            <w:tcW w:w="3213" w:type="dxa"/>
            <w:tcBorders>
              <w:top w:val="nil"/>
              <w:left w:val="nil"/>
              <w:bottom w:val="nil"/>
              <w:right w:val="nil"/>
            </w:tcBorders>
            <w:shd w:val="clear" w:color="auto" w:fill="auto"/>
            <w:vAlign w:val="bottom"/>
          </w:tcPr>
          <w:p w:rsidR="00445A5F" w:rsidRDefault="00445A5F">
            <w:pPr>
              <w:widowControl w:val="0"/>
              <w:spacing w:line="240" w:lineRule="auto"/>
              <w:rPr>
                <w:rFonts w:eastAsia="Times New Roman"/>
                <w:color w:val="000000"/>
                <w:sz w:val="20"/>
                <w:szCs w:val="20"/>
                <w:lang w:eastAsia="en-GB"/>
              </w:rPr>
            </w:pPr>
            <w:r>
              <w:rPr>
                <w:rFonts w:eastAsia="Times New Roman"/>
                <w:color w:val="000000"/>
                <w:sz w:val="20"/>
                <w:szCs w:val="20"/>
                <w:lang w:eastAsia="en-GB"/>
              </w:rPr>
              <w:t>Time worked same employer</w:t>
            </w:r>
          </w:p>
        </w:tc>
        <w:tc>
          <w:tcPr>
            <w:tcW w:w="1119" w:type="dxa"/>
            <w:tcBorders>
              <w:top w:val="nil"/>
              <w:left w:val="nil"/>
              <w:bottom w:val="nil"/>
              <w:right w:val="nil"/>
            </w:tcBorders>
            <w:shd w:val="clear" w:color="auto" w:fill="auto"/>
            <w:vAlign w:val="bottom"/>
          </w:tcPr>
          <w:p w:rsidR="00445A5F" w:rsidRPr="0075296A" w:rsidRDefault="00445A5F" w:rsidP="005813D6">
            <w:pPr>
              <w:widowControl w:val="0"/>
              <w:spacing w:line="240" w:lineRule="auto"/>
              <w:jc w:val="center"/>
              <w:rPr>
                <w:rFonts w:eastAsia="Times New Roman"/>
                <w:color w:val="000000"/>
                <w:sz w:val="20"/>
                <w:szCs w:val="20"/>
                <w:lang w:eastAsia="en-GB"/>
              </w:rPr>
            </w:pPr>
          </w:p>
        </w:tc>
        <w:tc>
          <w:tcPr>
            <w:tcW w:w="1312" w:type="dxa"/>
            <w:tcBorders>
              <w:top w:val="nil"/>
              <w:left w:val="nil"/>
              <w:bottom w:val="nil"/>
              <w:right w:val="nil"/>
            </w:tcBorders>
            <w:shd w:val="clear" w:color="auto" w:fill="auto"/>
            <w:vAlign w:val="bottom"/>
          </w:tcPr>
          <w:p w:rsidR="00445A5F" w:rsidRPr="0075296A" w:rsidRDefault="00445A5F" w:rsidP="005813D6">
            <w:pPr>
              <w:widowControl w:val="0"/>
              <w:spacing w:line="240" w:lineRule="auto"/>
              <w:jc w:val="center"/>
              <w:rPr>
                <w:rFonts w:eastAsia="Times New Roman"/>
                <w:color w:val="000000"/>
                <w:sz w:val="20"/>
                <w:szCs w:val="20"/>
                <w:lang w:eastAsia="en-GB"/>
              </w:rPr>
            </w:pPr>
          </w:p>
        </w:tc>
        <w:tc>
          <w:tcPr>
            <w:tcW w:w="1139" w:type="dxa"/>
            <w:tcBorders>
              <w:top w:val="nil"/>
              <w:left w:val="nil"/>
              <w:bottom w:val="nil"/>
              <w:right w:val="nil"/>
            </w:tcBorders>
            <w:shd w:val="clear" w:color="auto" w:fill="auto"/>
            <w:vAlign w:val="bottom"/>
          </w:tcPr>
          <w:p w:rsidR="00445A5F" w:rsidRPr="0075296A" w:rsidRDefault="00445A5F" w:rsidP="005813D6">
            <w:pPr>
              <w:widowControl w:val="0"/>
              <w:spacing w:line="240" w:lineRule="auto"/>
              <w:jc w:val="center"/>
              <w:rPr>
                <w:rFonts w:eastAsia="Times New Roman"/>
                <w:color w:val="000000"/>
                <w:sz w:val="20"/>
                <w:szCs w:val="20"/>
                <w:lang w:eastAsia="en-GB"/>
              </w:rPr>
            </w:pPr>
          </w:p>
        </w:tc>
        <w:tc>
          <w:tcPr>
            <w:tcW w:w="1236" w:type="dxa"/>
            <w:tcBorders>
              <w:top w:val="nil"/>
              <w:left w:val="nil"/>
              <w:bottom w:val="nil"/>
              <w:right w:val="nil"/>
            </w:tcBorders>
            <w:shd w:val="clear" w:color="auto" w:fill="auto"/>
            <w:vAlign w:val="bottom"/>
          </w:tcPr>
          <w:p w:rsidR="00445A5F" w:rsidRPr="0075296A" w:rsidRDefault="00445A5F" w:rsidP="005813D6">
            <w:pPr>
              <w:widowControl w:val="0"/>
              <w:spacing w:line="240" w:lineRule="auto"/>
              <w:jc w:val="center"/>
              <w:rPr>
                <w:rFonts w:eastAsia="Times New Roman"/>
                <w:color w:val="000000"/>
                <w:sz w:val="20"/>
                <w:szCs w:val="20"/>
                <w:lang w:eastAsia="en-GB"/>
              </w:rPr>
            </w:pPr>
          </w:p>
        </w:tc>
        <w:tc>
          <w:tcPr>
            <w:tcW w:w="1056" w:type="dxa"/>
            <w:tcBorders>
              <w:top w:val="nil"/>
              <w:left w:val="nil"/>
              <w:bottom w:val="nil"/>
              <w:right w:val="nil"/>
            </w:tcBorders>
            <w:shd w:val="clear" w:color="auto" w:fill="auto"/>
            <w:vAlign w:val="bottom"/>
          </w:tcPr>
          <w:p w:rsidR="00445A5F" w:rsidRPr="0075296A" w:rsidRDefault="00445A5F" w:rsidP="005813D6">
            <w:pPr>
              <w:widowControl w:val="0"/>
              <w:spacing w:line="240" w:lineRule="auto"/>
              <w:jc w:val="center"/>
              <w:rPr>
                <w:rFonts w:eastAsia="Times New Roman"/>
                <w:color w:val="000000"/>
                <w:sz w:val="20"/>
                <w:szCs w:val="20"/>
                <w:lang w:eastAsia="en-GB"/>
              </w:rPr>
            </w:pPr>
          </w:p>
        </w:tc>
        <w:tc>
          <w:tcPr>
            <w:tcW w:w="1184" w:type="dxa"/>
            <w:tcBorders>
              <w:top w:val="nil"/>
              <w:left w:val="nil"/>
              <w:bottom w:val="nil"/>
              <w:right w:val="nil"/>
            </w:tcBorders>
            <w:shd w:val="clear" w:color="auto" w:fill="auto"/>
            <w:vAlign w:val="bottom"/>
          </w:tcPr>
          <w:p w:rsidR="00445A5F" w:rsidRPr="0075296A" w:rsidRDefault="00445A5F" w:rsidP="005813D6">
            <w:pPr>
              <w:widowControl w:val="0"/>
              <w:spacing w:line="240" w:lineRule="auto"/>
              <w:jc w:val="center"/>
              <w:rPr>
                <w:rFonts w:eastAsia="Times New Roman"/>
                <w:color w:val="000000"/>
                <w:sz w:val="20"/>
                <w:szCs w:val="20"/>
                <w:lang w:eastAsia="en-GB"/>
              </w:rPr>
            </w:pPr>
          </w:p>
        </w:tc>
      </w:tr>
      <w:tr w:rsidR="00445A5F" w:rsidRPr="0075296A" w:rsidTr="005813D6">
        <w:trPr>
          <w:trHeight w:val="340"/>
          <w:jc w:val="center"/>
        </w:trPr>
        <w:tc>
          <w:tcPr>
            <w:tcW w:w="3213" w:type="dxa"/>
            <w:tcBorders>
              <w:top w:val="nil"/>
              <w:left w:val="nil"/>
              <w:bottom w:val="nil"/>
              <w:right w:val="nil"/>
            </w:tcBorders>
            <w:shd w:val="clear" w:color="auto" w:fill="auto"/>
            <w:vAlign w:val="bottom"/>
          </w:tcPr>
          <w:p w:rsidR="00445A5F" w:rsidRDefault="00445A5F">
            <w:pPr>
              <w:widowControl w:val="0"/>
              <w:spacing w:line="240" w:lineRule="auto"/>
              <w:rPr>
                <w:rFonts w:eastAsia="Times New Roman"/>
                <w:color w:val="000000"/>
                <w:sz w:val="20"/>
                <w:szCs w:val="20"/>
                <w:lang w:eastAsia="en-GB"/>
              </w:rPr>
            </w:pPr>
            <w:r>
              <w:rPr>
                <w:rFonts w:eastAsia="Times New Roman"/>
                <w:color w:val="000000"/>
                <w:sz w:val="20"/>
                <w:szCs w:val="20"/>
                <w:lang w:eastAsia="en-GB"/>
              </w:rPr>
              <w:t xml:space="preserve">     Less than 1 year</w:t>
            </w:r>
          </w:p>
        </w:tc>
        <w:tc>
          <w:tcPr>
            <w:tcW w:w="1119" w:type="dxa"/>
            <w:tcBorders>
              <w:top w:val="nil"/>
              <w:left w:val="nil"/>
              <w:bottom w:val="nil"/>
              <w:right w:val="nil"/>
            </w:tcBorders>
            <w:shd w:val="clear" w:color="auto" w:fill="auto"/>
            <w:vAlign w:val="bottom"/>
          </w:tcPr>
          <w:p w:rsidR="00445A5F" w:rsidRDefault="00445A5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336</w:t>
            </w:r>
          </w:p>
        </w:tc>
        <w:tc>
          <w:tcPr>
            <w:tcW w:w="1312" w:type="dxa"/>
            <w:tcBorders>
              <w:top w:val="nil"/>
              <w:left w:val="nil"/>
              <w:bottom w:val="nil"/>
              <w:right w:val="nil"/>
            </w:tcBorders>
            <w:shd w:val="clear" w:color="auto" w:fill="auto"/>
            <w:vAlign w:val="bottom"/>
          </w:tcPr>
          <w:p w:rsidR="00445A5F" w:rsidRDefault="00445A5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34</w:t>
            </w:r>
          </w:p>
        </w:tc>
        <w:tc>
          <w:tcPr>
            <w:tcW w:w="2375" w:type="dxa"/>
            <w:gridSpan w:val="2"/>
            <w:tcBorders>
              <w:top w:val="nil"/>
              <w:left w:val="nil"/>
              <w:bottom w:val="nil"/>
              <w:right w:val="nil"/>
            </w:tcBorders>
            <w:shd w:val="clear" w:color="auto" w:fill="auto"/>
            <w:vAlign w:val="bottom"/>
          </w:tcPr>
          <w:p w:rsidR="00445A5F" w:rsidRPr="0075296A" w:rsidRDefault="00445A5F" w:rsidP="005813D6">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Reference</w:t>
            </w:r>
          </w:p>
        </w:tc>
        <w:tc>
          <w:tcPr>
            <w:tcW w:w="2240" w:type="dxa"/>
            <w:gridSpan w:val="2"/>
            <w:tcBorders>
              <w:top w:val="nil"/>
              <w:left w:val="nil"/>
              <w:bottom w:val="nil"/>
              <w:right w:val="nil"/>
            </w:tcBorders>
            <w:shd w:val="clear" w:color="auto" w:fill="auto"/>
            <w:vAlign w:val="bottom"/>
          </w:tcPr>
          <w:p w:rsidR="00445A5F" w:rsidRPr="0075296A" w:rsidRDefault="00445A5F" w:rsidP="005813D6">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Reference</w:t>
            </w:r>
          </w:p>
        </w:tc>
      </w:tr>
      <w:tr w:rsidR="00445A5F" w:rsidRPr="0075296A" w:rsidTr="00445A5F">
        <w:trPr>
          <w:trHeight w:val="340"/>
          <w:jc w:val="center"/>
        </w:trPr>
        <w:tc>
          <w:tcPr>
            <w:tcW w:w="3213" w:type="dxa"/>
            <w:tcBorders>
              <w:top w:val="nil"/>
              <w:left w:val="nil"/>
              <w:bottom w:val="nil"/>
              <w:right w:val="nil"/>
            </w:tcBorders>
            <w:shd w:val="clear" w:color="auto" w:fill="auto"/>
            <w:vAlign w:val="bottom"/>
          </w:tcPr>
          <w:p w:rsidR="00445A5F" w:rsidRDefault="00445A5F">
            <w:pPr>
              <w:widowControl w:val="0"/>
              <w:spacing w:line="240" w:lineRule="auto"/>
              <w:rPr>
                <w:rFonts w:eastAsia="Times New Roman"/>
                <w:color w:val="000000"/>
                <w:sz w:val="20"/>
                <w:szCs w:val="20"/>
                <w:lang w:eastAsia="en-GB"/>
              </w:rPr>
            </w:pPr>
            <w:r>
              <w:rPr>
                <w:rFonts w:eastAsia="Times New Roman"/>
                <w:color w:val="000000"/>
                <w:sz w:val="20"/>
                <w:szCs w:val="20"/>
                <w:lang w:eastAsia="en-GB"/>
              </w:rPr>
              <w:t xml:space="preserve">     1 to 5 years</w:t>
            </w:r>
          </w:p>
        </w:tc>
        <w:tc>
          <w:tcPr>
            <w:tcW w:w="1119" w:type="dxa"/>
            <w:tcBorders>
              <w:top w:val="nil"/>
              <w:left w:val="nil"/>
              <w:bottom w:val="nil"/>
              <w:right w:val="nil"/>
            </w:tcBorders>
            <w:shd w:val="clear" w:color="auto" w:fill="auto"/>
            <w:vAlign w:val="bottom"/>
          </w:tcPr>
          <w:p w:rsidR="00445A5F" w:rsidRDefault="00445A5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965</w:t>
            </w:r>
          </w:p>
        </w:tc>
        <w:tc>
          <w:tcPr>
            <w:tcW w:w="1312" w:type="dxa"/>
            <w:tcBorders>
              <w:top w:val="nil"/>
              <w:left w:val="nil"/>
              <w:bottom w:val="nil"/>
              <w:right w:val="nil"/>
            </w:tcBorders>
            <w:shd w:val="clear" w:color="auto" w:fill="auto"/>
            <w:vAlign w:val="bottom"/>
          </w:tcPr>
          <w:p w:rsidR="00445A5F" w:rsidRDefault="00445A5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77</w:t>
            </w:r>
          </w:p>
        </w:tc>
        <w:tc>
          <w:tcPr>
            <w:tcW w:w="1139" w:type="dxa"/>
            <w:tcBorders>
              <w:top w:val="nil"/>
              <w:left w:val="nil"/>
              <w:bottom w:val="nil"/>
              <w:right w:val="nil"/>
            </w:tcBorders>
            <w:shd w:val="clear" w:color="auto" w:fill="auto"/>
            <w:vAlign w:val="bottom"/>
          </w:tcPr>
          <w:p w:rsidR="00445A5F" w:rsidRDefault="00445A5F" w:rsidP="00445A5F">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0.77</w:t>
            </w:r>
          </w:p>
        </w:tc>
        <w:tc>
          <w:tcPr>
            <w:tcW w:w="1236" w:type="dxa"/>
            <w:tcBorders>
              <w:top w:val="nil"/>
              <w:left w:val="nil"/>
              <w:bottom w:val="nil"/>
              <w:right w:val="nil"/>
            </w:tcBorders>
            <w:shd w:val="clear" w:color="auto" w:fill="auto"/>
            <w:vAlign w:val="bottom"/>
          </w:tcPr>
          <w:p w:rsidR="00445A5F" w:rsidRDefault="00445A5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(0.51,1.18)</w:t>
            </w:r>
          </w:p>
        </w:tc>
        <w:tc>
          <w:tcPr>
            <w:tcW w:w="1056" w:type="dxa"/>
            <w:tcBorders>
              <w:top w:val="nil"/>
              <w:left w:val="nil"/>
              <w:bottom w:val="nil"/>
              <w:right w:val="nil"/>
            </w:tcBorders>
            <w:shd w:val="clear" w:color="auto" w:fill="auto"/>
            <w:vAlign w:val="bottom"/>
          </w:tcPr>
          <w:p w:rsidR="00445A5F" w:rsidRDefault="00445A5F" w:rsidP="00445A5F">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0.86</w:t>
            </w:r>
          </w:p>
        </w:tc>
        <w:tc>
          <w:tcPr>
            <w:tcW w:w="1184" w:type="dxa"/>
            <w:tcBorders>
              <w:top w:val="nil"/>
              <w:left w:val="nil"/>
              <w:bottom w:val="nil"/>
              <w:right w:val="nil"/>
            </w:tcBorders>
            <w:shd w:val="clear" w:color="auto" w:fill="auto"/>
            <w:vAlign w:val="bottom"/>
          </w:tcPr>
          <w:p w:rsidR="00445A5F" w:rsidRDefault="00445A5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(0.54,1.35)</w:t>
            </w:r>
          </w:p>
        </w:tc>
      </w:tr>
      <w:tr w:rsidR="00445A5F" w:rsidRPr="0075296A" w:rsidTr="00445A5F">
        <w:trPr>
          <w:trHeight w:val="340"/>
          <w:jc w:val="center"/>
        </w:trPr>
        <w:tc>
          <w:tcPr>
            <w:tcW w:w="3213" w:type="dxa"/>
            <w:tcBorders>
              <w:top w:val="nil"/>
              <w:left w:val="nil"/>
              <w:bottom w:val="nil"/>
              <w:right w:val="nil"/>
            </w:tcBorders>
            <w:shd w:val="clear" w:color="auto" w:fill="auto"/>
            <w:vAlign w:val="bottom"/>
          </w:tcPr>
          <w:p w:rsidR="00445A5F" w:rsidRDefault="00445A5F">
            <w:pPr>
              <w:widowControl w:val="0"/>
              <w:spacing w:line="240" w:lineRule="auto"/>
              <w:rPr>
                <w:rFonts w:eastAsia="Times New Roman"/>
                <w:color w:val="000000"/>
                <w:sz w:val="20"/>
                <w:szCs w:val="20"/>
                <w:lang w:eastAsia="en-GB"/>
              </w:rPr>
            </w:pPr>
            <w:r>
              <w:rPr>
                <w:rFonts w:eastAsia="Times New Roman"/>
                <w:color w:val="000000"/>
                <w:sz w:val="20"/>
                <w:szCs w:val="20"/>
                <w:lang w:eastAsia="en-GB"/>
              </w:rPr>
              <w:t xml:space="preserve">     More than 5 years</w:t>
            </w:r>
          </w:p>
        </w:tc>
        <w:tc>
          <w:tcPr>
            <w:tcW w:w="1119" w:type="dxa"/>
            <w:tcBorders>
              <w:top w:val="nil"/>
              <w:left w:val="nil"/>
              <w:bottom w:val="nil"/>
              <w:right w:val="nil"/>
            </w:tcBorders>
            <w:shd w:val="clear" w:color="auto" w:fill="auto"/>
            <w:vAlign w:val="bottom"/>
          </w:tcPr>
          <w:p w:rsidR="00445A5F" w:rsidRDefault="00445A5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4071</w:t>
            </w:r>
          </w:p>
        </w:tc>
        <w:tc>
          <w:tcPr>
            <w:tcW w:w="1312" w:type="dxa"/>
            <w:tcBorders>
              <w:top w:val="nil"/>
              <w:left w:val="nil"/>
              <w:bottom w:val="nil"/>
              <w:right w:val="nil"/>
            </w:tcBorders>
            <w:shd w:val="clear" w:color="auto" w:fill="auto"/>
            <w:vAlign w:val="bottom"/>
          </w:tcPr>
          <w:p w:rsidR="00445A5F" w:rsidRDefault="00445A5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255</w:t>
            </w:r>
          </w:p>
        </w:tc>
        <w:tc>
          <w:tcPr>
            <w:tcW w:w="1139" w:type="dxa"/>
            <w:tcBorders>
              <w:top w:val="nil"/>
              <w:left w:val="nil"/>
              <w:bottom w:val="nil"/>
              <w:right w:val="nil"/>
            </w:tcBorders>
            <w:shd w:val="clear" w:color="auto" w:fill="auto"/>
            <w:vAlign w:val="bottom"/>
          </w:tcPr>
          <w:p w:rsidR="00445A5F" w:rsidRDefault="00445A5F" w:rsidP="00445A5F">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0.60</w:t>
            </w:r>
          </w:p>
        </w:tc>
        <w:tc>
          <w:tcPr>
            <w:tcW w:w="1236" w:type="dxa"/>
            <w:tcBorders>
              <w:top w:val="nil"/>
              <w:left w:val="nil"/>
              <w:bottom w:val="nil"/>
              <w:right w:val="nil"/>
            </w:tcBorders>
            <w:shd w:val="clear" w:color="auto" w:fill="auto"/>
            <w:vAlign w:val="bottom"/>
          </w:tcPr>
          <w:p w:rsidR="00445A5F" w:rsidRDefault="00445A5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(0.41,0.88)</w:t>
            </w:r>
          </w:p>
        </w:tc>
        <w:tc>
          <w:tcPr>
            <w:tcW w:w="1056" w:type="dxa"/>
            <w:tcBorders>
              <w:top w:val="nil"/>
              <w:left w:val="nil"/>
              <w:bottom w:val="nil"/>
              <w:right w:val="nil"/>
            </w:tcBorders>
            <w:shd w:val="clear" w:color="auto" w:fill="auto"/>
            <w:vAlign w:val="bottom"/>
          </w:tcPr>
          <w:p w:rsidR="00445A5F" w:rsidRDefault="00445A5F" w:rsidP="00445A5F">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0.56</w:t>
            </w:r>
          </w:p>
        </w:tc>
        <w:tc>
          <w:tcPr>
            <w:tcW w:w="1184" w:type="dxa"/>
            <w:tcBorders>
              <w:top w:val="nil"/>
              <w:left w:val="nil"/>
              <w:bottom w:val="nil"/>
              <w:right w:val="nil"/>
            </w:tcBorders>
            <w:shd w:val="clear" w:color="auto" w:fill="auto"/>
            <w:vAlign w:val="bottom"/>
          </w:tcPr>
          <w:p w:rsidR="00445A5F" w:rsidRDefault="00445A5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(0.37,0.84)</w:t>
            </w:r>
          </w:p>
        </w:tc>
      </w:tr>
      <w:tr w:rsidR="00262CAF" w:rsidRPr="0075296A" w:rsidTr="00445A5F">
        <w:trPr>
          <w:trHeight w:val="340"/>
          <w:jc w:val="center"/>
        </w:trPr>
        <w:tc>
          <w:tcPr>
            <w:tcW w:w="3213"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rPr>
                <w:rFonts w:eastAsia="Times New Roman"/>
                <w:color w:val="000000"/>
                <w:sz w:val="20"/>
                <w:szCs w:val="20"/>
                <w:lang w:eastAsia="en-GB"/>
              </w:rPr>
            </w:pPr>
            <w:r w:rsidRPr="0075296A">
              <w:rPr>
                <w:rFonts w:eastAsia="Times New Roman"/>
                <w:color w:val="000000"/>
                <w:sz w:val="20"/>
                <w:szCs w:val="20"/>
                <w:lang w:eastAsia="en-GB"/>
              </w:rPr>
              <w:t>Type of contract</w:t>
            </w:r>
          </w:p>
        </w:tc>
        <w:tc>
          <w:tcPr>
            <w:tcW w:w="1119"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312"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139"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236"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056"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184"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r>
      <w:tr w:rsidR="00262CAF" w:rsidRPr="0075296A" w:rsidTr="00445A5F">
        <w:trPr>
          <w:trHeight w:val="340"/>
          <w:jc w:val="center"/>
        </w:trPr>
        <w:tc>
          <w:tcPr>
            <w:tcW w:w="3213"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ind w:left="419" w:hanging="142"/>
              <w:rPr>
                <w:rFonts w:eastAsia="Times New Roman"/>
                <w:color w:val="000000"/>
                <w:sz w:val="20"/>
                <w:szCs w:val="20"/>
                <w:lang w:eastAsia="en-GB"/>
              </w:rPr>
            </w:pPr>
            <w:r w:rsidRPr="0075296A">
              <w:rPr>
                <w:rFonts w:eastAsia="Times New Roman"/>
                <w:color w:val="000000"/>
                <w:sz w:val="20"/>
                <w:szCs w:val="20"/>
                <w:lang w:eastAsia="en-GB"/>
              </w:rPr>
              <w:t>Permanent</w:t>
            </w:r>
          </w:p>
        </w:tc>
        <w:tc>
          <w:tcPr>
            <w:tcW w:w="1119"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4314</w:t>
            </w:r>
          </w:p>
        </w:tc>
        <w:tc>
          <w:tcPr>
            <w:tcW w:w="1312"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315</w:t>
            </w:r>
          </w:p>
        </w:tc>
        <w:tc>
          <w:tcPr>
            <w:tcW w:w="2375" w:type="dxa"/>
            <w:gridSpan w:val="2"/>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Reference</w:t>
            </w:r>
          </w:p>
        </w:tc>
        <w:tc>
          <w:tcPr>
            <w:tcW w:w="2240" w:type="dxa"/>
            <w:gridSpan w:val="2"/>
            <w:tcBorders>
              <w:top w:val="nil"/>
              <w:left w:val="nil"/>
              <w:bottom w:val="nil"/>
              <w:right w:val="nil"/>
            </w:tcBorders>
            <w:shd w:val="clear" w:color="auto" w:fill="auto"/>
            <w:vAlign w:val="bottom"/>
          </w:tcPr>
          <w:p w:rsidR="00262CAF" w:rsidRPr="0075296A" w:rsidRDefault="00262CAF" w:rsidP="00F75E0F">
            <w:pPr>
              <w:widowControl w:val="0"/>
              <w:spacing w:line="240" w:lineRule="auto"/>
              <w:jc w:val="center"/>
              <w:rPr>
                <w:rFonts w:eastAsia="Times New Roman"/>
                <w:color w:val="000000"/>
                <w:sz w:val="20"/>
                <w:szCs w:val="20"/>
                <w:lang w:eastAsia="en-GB"/>
              </w:rPr>
            </w:pPr>
          </w:p>
        </w:tc>
      </w:tr>
      <w:tr w:rsidR="00262CAF" w:rsidRPr="0075296A" w:rsidTr="00445A5F">
        <w:trPr>
          <w:trHeight w:val="340"/>
          <w:jc w:val="center"/>
        </w:trPr>
        <w:tc>
          <w:tcPr>
            <w:tcW w:w="3213"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ind w:left="419" w:hanging="142"/>
              <w:rPr>
                <w:rFonts w:eastAsia="Times New Roman"/>
                <w:color w:val="000000"/>
                <w:sz w:val="20"/>
                <w:szCs w:val="20"/>
                <w:lang w:eastAsia="en-GB"/>
              </w:rPr>
            </w:pPr>
            <w:r w:rsidRPr="0075296A">
              <w:rPr>
                <w:rFonts w:eastAsia="Times New Roman"/>
                <w:color w:val="000000"/>
                <w:sz w:val="20"/>
                <w:szCs w:val="20"/>
                <w:lang w:eastAsia="en-GB"/>
              </w:rPr>
              <w:t>Temporary/renewable</w:t>
            </w:r>
          </w:p>
        </w:tc>
        <w:tc>
          <w:tcPr>
            <w:tcW w:w="1119"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320</w:t>
            </w:r>
          </w:p>
        </w:tc>
        <w:tc>
          <w:tcPr>
            <w:tcW w:w="1312"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22</w:t>
            </w:r>
          </w:p>
        </w:tc>
        <w:tc>
          <w:tcPr>
            <w:tcW w:w="1139" w:type="dxa"/>
            <w:tcBorders>
              <w:top w:val="nil"/>
              <w:left w:val="nil"/>
              <w:bottom w:val="nil"/>
              <w:right w:val="nil"/>
            </w:tcBorders>
            <w:shd w:val="clear" w:color="auto" w:fill="auto"/>
            <w:noWrap/>
            <w:vAlign w:val="bottom"/>
            <w:hideMark/>
          </w:tcPr>
          <w:p w:rsidR="00262CAF" w:rsidRPr="0075296A" w:rsidRDefault="00262CAF" w:rsidP="00F75E0F">
            <w:pPr>
              <w:widowControl w:val="0"/>
              <w:spacing w:line="240" w:lineRule="auto"/>
              <w:jc w:val="right"/>
              <w:rPr>
                <w:rFonts w:eastAsia="Times New Roman"/>
                <w:color w:val="000000"/>
                <w:sz w:val="20"/>
                <w:szCs w:val="20"/>
                <w:lang w:eastAsia="en-GB"/>
              </w:rPr>
            </w:pPr>
            <w:r w:rsidRPr="0075296A">
              <w:rPr>
                <w:rFonts w:eastAsia="Times New Roman"/>
                <w:color w:val="000000"/>
                <w:sz w:val="20"/>
                <w:szCs w:val="20"/>
                <w:lang w:eastAsia="en-GB"/>
              </w:rPr>
              <w:t>0.96</w:t>
            </w:r>
          </w:p>
        </w:tc>
        <w:tc>
          <w:tcPr>
            <w:tcW w:w="1236" w:type="dxa"/>
            <w:tcBorders>
              <w:top w:val="nil"/>
              <w:left w:val="nil"/>
              <w:bottom w:val="nil"/>
              <w:right w:val="nil"/>
            </w:tcBorders>
            <w:shd w:val="clear" w:color="auto" w:fill="auto"/>
            <w:noWrap/>
            <w:vAlign w:val="bottom"/>
            <w:hideMark/>
          </w:tcPr>
          <w:p w:rsidR="00262CAF" w:rsidRPr="0075296A" w:rsidRDefault="00262CAF" w:rsidP="00F75E0F">
            <w:pPr>
              <w:widowControl w:val="0"/>
              <w:spacing w:line="240" w:lineRule="auto"/>
              <w:rPr>
                <w:rFonts w:eastAsia="Times New Roman"/>
                <w:color w:val="000000"/>
                <w:sz w:val="20"/>
                <w:szCs w:val="20"/>
                <w:lang w:eastAsia="en-GB"/>
              </w:rPr>
            </w:pPr>
            <w:r w:rsidRPr="0075296A">
              <w:rPr>
                <w:rFonts w:eastAsia="Times New Roman"/>
                <w:color w:val="000000"/>
                <w:sz w:val="20"/>
                <w:szCs w:val="20"/>
                <w:lang w:eastAsia="en-GB"/>
              </w:rPr>
              <w:t>(0.61,1.51)</w:t>
            </w:r>
          </w:p>
        </w:tc>
        <w:tc>
          <w:tcPr>
            <w:tcW w:w="1056" w:type="dxa"/>
            <w:tcBorders>
              <w:top w:val="nil"/>
              <w:left w:val="nil"/>
              <w:bottom w:val="nil"/>
              <w:right w:val="nil"/>
            </w:tcBorders>
            <w:shd w:val="clear" w:color="auto" w:fill="auto"/>
            <w:vAlign w:val="bottom"/>
          </w:tcPr>
          <w:p w:rsidR="00262CAF" w:rsidRPr="0075296A" w:rsidRDefault="00262CAF" w:rsidP="00F75E0F">
            <w:pPr>
              <w:widowControl w:val="0"/>
              <w:spacing w:line="240" w:lineRule="auto"/>
              <w:jc w:val="right"/>
              <w:rPr>
                <w:rFonts w:eastAsia="Times New Roman"/>
                <w:color w:val="000000"/>
                <w:sz w:val="20"/>
                <w:szCs w:val="20"/>
                <w:lang w:eastAsia="en-GB"/>
              </w:rPr>
            </w:pPr>
          </w:p>
        </w:tc>
        <w:tc>
          <w:tcPr>
            <w:tcW w:w="1184" w:type="dxa"/>
            <w:tcBorders>
              <w:top w:val="nil"/>
              <w:left w:val="nil"/>
              <w:bottom w:val="nil"/>
              <w:right w:val="nil"/>
            </w:tcBorders>
            <w:shd w:val="clear" w:color="auto" w:fill="auto"/>
            <w:vAlign w:val="bottom"/>
          </w:tcPr>
          <w:p w:rsidR="00262CAF" w:rsidRPr="0075296A" w:rsidRDefault="00262CAF" w:rsidP="00F75E0F">
            <w:pPr>
              <w:widowControl w:val="0"/>
              <w:spacing w:line="240" w:lineRule="auto"/>
              <w:rPr>
                <w:rFonts w:eastAsia="Times New Roman"/>
                <w:color w:val="000000"/>
                <w:sz w:val="20"/>
                <w:szCs w:val="20"/>
                <w:lang w:eastAsia="en-GB"/>
              </w:rPr>
            </w:pPr>
          </w:p>
        </w:tc>
      </w:tr>
      <w:tr w:rsidR="00262CAF" w:rsidRPr="0075296A" w:rsidTr="00445A5F">
        <w:trPr>
          <w:trHeight w:val="340"/>
          <w:jc w:val="center"/>
        </w:trPr>
        <w:tc>
          <w:tcPr>
            <w:tcW w:w="3213"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ind w:left="419" w:hanging="142"/>
              <w:rPr>
                <w:rFonts w:eastAsia="Times New Roman"/>
                <w:color w:val="000000"/>
                <w:sz w:val="20"/>
                <w:szCs w:val="20"/>
                <w:lang w:eastAsia="en-GB"/>
              </w:rPr>
            </w:pPr>
            <w:r w:rsidRPr="0075296A">
              <w:rPr>
                <w:rFonts w:eastAsia="Times New Roman"/>
                <w:color w:val="000000"/>
                <w:sz w:val="20"/>
                <w:szCs w:val="20"/>
                <w:lang w:eastAsia="en-GB"/>
              </w:rPr>
              <w:t>Not applicable (self-employed)</w:t>
            </w:r>
          </w:p>
        </w:tc>
        <w:tc>
          <w:tcPr>
            <w:tcW w:w="1119"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775</w:t>
            </w:r>
          </w:p>
        </w:tc>
        <w:tc>
          <w:tcPr>
            <w:tcW w:w="1312"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29</w:t>
            </w:r>
          </w:p>
        </w:tc>
        <w:tc>
          <w:tcPr>
            <w:tcW w:w="1139" w:type="dxa"/>
            <w:tcBorders>
              <w:top w:val="nil"/>
              <w:left w:val="nil"/>
              <w:bottom w:val="nil"/>
              <w:right w:val="nil"/>
            </w:tcBorders>
            <w:shd w:val="clear" w:color="auto" w:fill="auto"/>
            <w:noWrap/>
            <w:vAlign w:val="bottom"/>
            <w:hideMark/>
          </w:tcPr>
          <w:p w:rsidR="00262CAF" w:rsidRPr="0075296A" w:rsidRDefault="00262CAF" w:rsidP="00F75E0F">
            <w:pPr>
              <w:widowControl w:val="0"/>
              <w:spacing w:line="240" w:lineRule="auto"/>
              <w:jc w:val="right"/>
              <w:rPr>
                <w:rFonts w:eastAsia="Times New Roman"/>
                <w:color w:val="000000"/>
                <w:sz w:val="20"/>
                <w:szCs w:val="20"/>
                <w:lang w:eastAsia="en-GB"/>
              </w:rPr>
            </w:pPr>
            <w:r w:rsidRPr="0075296A">
              <w:rPr>
                <w:rFonts w:eastAsia="Times New Roman"/>
                <w:color w:val="000000"/>
                <w:sz w:val="20"/>
                <w:szCs w:val="20"/>
                <w:lang w:eastAsia="en-GB"/>
              </w:rPr>
              <w:t>0.48</w:t>
            </w:r>
          </w:p>
        </w:tc>
        <w:tc>
          <w:tcPr>
            <w:tcW w:w="1236" w:type="dxa"/>
            <w:tcBorders>
              <w:top w:val="nil"/>
              <w:left w:val="nil"/>
              <w:bottom w:val="nil"/>
              <w:right w:val="nil"/>
            </w:tcBorders>
            <w:shd w:val="clear" w:color="auto" w:fill="auto"/>
            <w:noWrap/>
            <w:vAlign w:val="bottom"/>
            <w:hideMark/>
          </w:tcPr>
          <w:p w:rsidR="00262CAF" w:rsidRPr="0075296A" w:rsidRDefault="00262CAF" w:rsidP="00F75E0F">
            <w:pPr>
              <w:widowControl w:val="0"/>
              <w:spacing w:line="240" w:lineRule="auto"/>
              <w:rPr>
                <w:rFonts w:eastAsia="Times New Roman"/>
                <w:color w:val="000000"/>
                <w:sz w:val="20"/>
                <w:szCs w:val="20"/>
                <w:lang w:eastAsia="en-GB"/>
              </w:rPr>
            </w:pPr>
            <w:r w:rsidRPr="0075296A">
              <w:rPr>
                <w:rFonts w:eastAsia="Times New Roman"/>
                <w:color w:val="000000"/>
                <w:sz w:val="20"/>
                <w:szCs w:val="20"/>
                <w:lang w:eastAsia="en-GB"/>
              </w:rPr>
              <w:t>(0.33,0.72)</w:t>
            </w:r>
          </w:p>
        </w:tc>
        <w:tc>
          <w:tcPr>
            <w:tcW w:w="1056" w:type="dxa"/>
            <w:tcBorders>
              <w:top w:val="nil"/>
              <w:left w:val="nil"/>
              <w:bottom w:val="nil"/>
              <w:right w:val="nil"/>
            </w:tcBorders>
            <w:shd w:val="clear" w:color="auto" w:fill="auto"/>
            <w:vAlign w:val="bottom"/>
          </w:tcPr>
          <w:p w:rsidR="00262CAF" w:rsidRPr="0075296A" w:rsidRDefault="00262CAF" w:rsidP="00F75E0F">
            <w:pPr>
              <w:widowControl w:val="0"/>
              <w:spacing w:line="240" w:lineRule="auto"/>
              <w:jc w:val="right"/>
              <w:rPr>
                <w:rFonts w:eastAsia="Times New Roman"/>
                <w:color w:val="000000"/>
                <w:sz w:val="20"/>
                <w:szCs w:val="20"/>
                <w:lang w:eastAsia="en-GB"/>
              </w:rPr>
            </w:pPr>
          </w:p>
        </w:tc>
        <w:tc>
          <w:tcPr>
            <w:tcW w:w="1184" w:type="dxa"/>
            <w:tcBorders>
              <w:top w:val="nil"/>
              <w:left w:val="nil"/>
              <w:bottom w:val="nil"/>
              <w:right w:val="nil"/>
            </w:tcBorders>
            <w:shd w:val="clear" w:color="auto" w:fill="auto"/>
            <w:vAlign w:val="bottom"/>
          </w:tcPr>
          <w:p w:rsidR="00262CAF" w:rsidRPr="0075296A" w:rsidRDefault="00262CAF" w:rsidP="00F75E0F">
            <w:pPr>
              <w:widowControl w:val="0"/>
              <w:spacing w:line="240" w:lineRule="auto"/>
              <w:rPr>
                <w:rFonts w:eastAsia="Times New Roman"/>
                <w:color w:val="000000"/>
                <w:sz w:val="20"/>
                <w:szCs w:val="20"/>
                <w:lang w:eastAsia="en-GB"/>
              </w:rPr>
            </w:pPr>
          </w:p>
        </w:tc>
      </w:tr>
      <w:tr w:rsidR="00262CAF" w:rsidRPr="0075296A" w:rsidTr="00445A5F">
        <w:trPr>
          <w:trHeight w:val="340"/>
          <w:jc w:val="center"/>
        </w:trPr>
        <w:tc>
          <w:tcPr>
            <w:tcW w:w="3213"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rPr>
                <w:rFonts w:eastAsia="Times New Roman"/>
                <w:color w:val="000000"/>
                <w:sz w:val="20"/>
                <w:szCs w:val="20"/>
                <w:lang w:eastAsia="en-GB"/>
              </w:rPr>
            </w:pPr>
            <w:r w:rsidRPr="0075296A">
              <w:rPr>
                <w:rFonts w:eastAsia="Times New Roman"/>
                <w:color w:val="000000"/>
                <w:sz w:val="20"/>
                <w:szCs w:val="20"/>
                <w:lang w:eastAsia="en-GB"/>
              </w:rPr>
              <w:t>Salary</w:t>
            </w:r>
          </w:p>
        </w:tc>
        <w:tc>
          <w:tcPr>
            <w:tcW w:w="1119"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312"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139"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236"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056"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184"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r>
      <w:tr w:rsidR="00262CAF" w:rsidRPr="0075296A" w:rsidTr="00445A5F">
        <w:trPr>
          <w:trHeight w:val="340"/>
          <w:jc w:val="center"/>
        </w:trPr>
        <w:tc>
          <w:tcPr>
            <w:tcW w:w="3213"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ind w:firstLine="277"/>
              <w:rPr>
                <w:rFonts w:eastAsia="Times New Roman"/>
                <w:color w:val="000000"/>
                <w:sz w:val="20"/>
                <w:szCs w:val="20"/>
                <w:lang w:eastAsia="en-GB"/>
              </w:rPr>
            </w:pPr>
            <w:r w:rsidRPr="0075296A">
              <w:rPr>
                <w:rFonts w:eastAsia="Times New Roman"/>
                <w:color w:val="000000"/>
                <w:sz w:val="20"/>
                <w:szCs w:val="20"/>
                <w:lang w:eastAsia="en-GB"/>
              </w:rPr>
              <w:t xml:space="preserve">Fixed </w:t>
            </w:r>
          </w:p>
        </w:tc>
        <w:tc>
          <w:tcPr>
            <w:tcW w:w="1119"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4502</w:t>
            </w:r>
          </w:p>
        </w:tc>
        <w:tc>
          <w:tcPr>
            <w:tcW w:w="1312"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324</w:t>
            </w:r>
          </w:p>
        </w:tc>
        <w:tc>
          <w:tcPr>
            <w:tcW w:w="2375" w:type="dxa"/>
            <w:gridSpan w:val="2"/>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Reference</w:t>
            </w:r>
          </w:p>
        </w:tc>
        <w:tc>
          <w:tcPr>
            <w:tcW w:w="2240" w:type="dxa"/>
            <w:gridSpan w:val="2"/>
            <w:tcBorders>
              <w:top w:val="nil"/>
              <w:left w:val="nil"/>
              <w:bottom w:val="nil"/>
              <w:right w:val="nil"/>
            </w:tcBorders>
            <w:shd w:val="clear" w:color="auto" w:fill="auto"/>
            <w:vAlign w:val="bottom"/>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Reference</w:t>
            </w:r>
          </w:p>
        </w:tc>
      </w:tr>
      <w:tr w:rsidR="00445A5F" w:rsidRPr="0075296A" w:rsidTr="00445A5F">
        <w:trPr>
          <w:trHeight w:val="340"/>
          <w:jc w:val="center"/>
        </w:trPr>
        <w:tc>
          <w:tcPr>
            <w:tcW w:w="3213" w:type="dxa"/>
            <w:tcBorders>
              <w:top w:val="nil"/>
              <w:left w:val="nil"/>
              <w:bottom w:val="nil"/>
              <w:right w:val="nil"/>
            </w:tcBorders>
            <w:shd w:val="clear" w:color="auto" w:fill="auto"/>
            <w:vAlign w:val="bottom"/>
            <w:hideMark/>
          </w:tcPr>
          <w:p w:rsidR="00445A5F" w:rsidRPr="0075296A" w:rsidRDefault="00445A5F" w:rsidP="00F75E0F">
            <w:pPr>
              <w:widowControl w:val="0"/>
              <w:spacing w:line="240" w:lineRule="auto"/>
              <w:ind w:firstLine="277"/>
              <w:rPr>
                <w:rFonts w:eastAsia="Times New Roman"/>
                <w:color w:val="000000"/>
                <w:sz w:val="20"/>
                <w:szCs w:val="20"/>
                <w:lang w:eastAsia="en-GB"/>
              </w:rPr>
            </w:pPr>
            <w:r w:rsidRPr="0075296A">
              <w:rPr>
                <w:rFonts w:eastAsia="Times New Roman"/>
                <w:color w:val="000000"/>
                <w:sz w:val="20"/>
                <w:szCs w:val="20"/>
                <w:lang w:eastAsia="en-GB"/>
              </w:rPr>
              <w:t>Paid by output</w:t>
            </w:r>
          </w:p>
        </w:tc>
        <w:tc>
          <w:tcPr>
            <w:tcW w:w="1119" w:type="dxa"/>
            <w:tcBorders>
              <w:top w:val="nil"/>
              <w:left w:val="nil"/>
              <w:bottom w:val="nil"/>
              <w:right w:val="nil"/>
            </w:tcBorders>
            <w:shd w:val="clear" w:color="auto" w:fill="auto"/>
            <w:vAlign w:val="bottom"/>
            <w:hideMark/>
          </w:tcPr>
          <w:p w:rsidR="00445A5F" w:rsidRPr="0075296A" w:rsidRDefault="00445A5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885</w:t>
            </w:r>
          </w:p>
        </w:tc>
        <w:tc>
          <w:tcPr>
            <w:tcW w:w="1312" w:type="dxa"/>
            <w:tcBorders>
              <w:top w:val="nil"/>
              <w:left w:val="nil"/>
              <w:bottom w:val="nil"/>
              <w:right w:val="nil"/>
            </w:tcBorders>
            <w:shd w:val="clear" w:color="auto" w:fill="auto"/>
            <w:vAlign w:val="bottom"/>
            <w:hideMark/>
          </w:tcPr>
          <w:p w:rsidR="00445A5F" w:rsidRPr="0075296A" w:rsidRDefault="00445A5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40</w:t>
            </w:r>
          </w:p>
        </w:tc>
        <w:tc>
          <w:tcPr>
            <w:tcW w:w="1139" w:type="dxa"/>
            <w:tcBorders>
              <w:top w:val="nil"/>
              <w:left w:val="nil"/>
              <w:bottom w:val="nil"/>
              <w:right w:val="nil"/>
            </w:tcBorders>
            <w:shd w:val="clear" w:color="auto" w:fill="auto"/>
            <w:noWrap/>
            <w:vAlign w:val="bottom"/>
            <w:hideMark/>
          </w:tcPr>
          <w:p w:rsidR="00445A5F" w:rsidRPr="0075296A" w:rsidRDefault="00445A5F" w:rsidP="00F75E0F">
            <w:pPr>
              <w:widowControl w:val="0"/>
              <w:spacing w:line="240" w:lineRule="auto"/>
              <w:jc w:val="right"/>
              <w:rPr>
                <w:rFonts w:eastAsia="Times New Roman"/>
                <w:color w:val="000000"/>
                <w:sz w:val="20"/>
                <w:szCs w:val="20"/>
                <w:lang w:eastAsia="en-GB"/>
              </w:rPr>
            </w:pPr>
            <w:r w:rsidRPr="0075296A">
              <w:rPr>
                <w:rFonts w:eastAsia="Times New Roman"/>
                <w:color w:val="000000"/>
                <w:sz w:val="20"/>
                <w:szCs w:val="20"/>
                <w:lang w:eastAsia="en-GB"/>
              </w:rPr>
              <w:t>0.60</w:t>
            </w:r>
          </w:p>
        </w:tc>
        <w:tc>
          <w:tcPr>
            <w:tcW w:w="1236" w:type="dxa"/>
            <w:tcBorders>
              <w:top w:val="nil"/>
              <w:left w:val="nil"/>
              <w:bottom w:val="nil"/>
              <w:right w:val="nil"/>
            </w:tcBorders>
            <w:shd w:val="clear" w:color="auto" w:fill="auto"/>
            <w:noWrap/>
            <w:vAlign w:val="bottom"/>
            <w:hideMark/>
          </w:tcPr>
          <w:p w:rsidR="00445A5F" w:rsidRPr="0075296A" w:rsidRDefault="00445A5F" w:rsidP="00F75E0F">
            <w:pPr>
              <w:widowControl w:val="0"/>
              <w:spacing w:line="240" w:lineRule="auto"/>
              <w:rPr>
                <w:rFonts w:eastAsia="Times New Roman"/>
                <w:color w:val="000000"/>
                <w:sz w:val="20"/>
                <w:szCs w:val="20"/>
                <w:lang w:eastAsia="en-GB"/>
              </w:rPr>
            </w:pPr>
            <w:r w:rsidRPr="0075296A">
              <w:rPr>
                <w:rFonts w:eastAsia="Times New Roman"/>
                <w:color w:val="000000"/>
                <w:sz w:val="20"/>
                <w:szCs w:val="20"/>
                <w:lang w:eastAsia="en-GB"/>
              </w:rPr>
              <w:t>(0.43,0.85)</w:t>
            </w:r>
          </w:p>
        </w:tc>
        <w:tc>
          <w:tcPr>
            <w:tcW w:w="1056" w:type="dxa"/>
            <w:tcBorders>
              <w:top w:val="nil"/>
              <w:left w:val="nil"/>
              <w:bottom w:val="nil"/>
              <w:right w:val="nil"/>
            </w:tcBorders>
            <w:shd w:val="clear" w:color="auto" w:fill="auto"/>
            <w:vAlign w:val="bottom"/>
            <w:hideMark/>
          </w:tcPr>
          <w:p w:rsidR="00445A5F" w:rsidRDefault="00445A5F">
            <w:pPr>
              <w:widowControl w:val="0"/>
              <w:jc w:val="center"/>
              <w:rPr>
                <w:color w:val="000000"/>
                <w:sz w:val="20"/>
                <w:szCs w:val="20"/>
              </w:rPr>
            </w:pPr>
            <w:r>
              <w:rPr>
                <w:color w:val="000000"/>
                <w:sz w:val="20"/>
                <w:szCs w:val="20"/>
              </w:rPr>
              <w:t>1.03</w:t>
            </w:r>
          </w:p>
        </w:tc>
        <w:tc>
          <w:tcPr>
            <w:tcW w:w="1184" w:type="dxa"/>
            <w:tcBorders>
              <w:top w:val="nil"/>
              <w:left w:val="nil"/>
              <w:bottom w:val="nil"/>
              <w:right w:val="nil"/>
            </w:tcBorders>
            <w:shd w:val="clear" w:color="auto" w:fill="auto"/>
            <w:vAlign w:val="bottom"/>
            <w:hideMark/>
          </w:tcPr>
          <w:p w:rsidR="00445A5F" w:rsidRDefault="00445A5F">
            <w:pPr>
              <w:widowControl w:val="0"/>
              <w:jc w:val="center"/>
              <w:rPr>
                <w:color w:val="000000"/>
                <w:sz w:val="20"/>
                <w:szCs w:val="20"/>
              </w:rPr>
            </w:pPr>
            <w:r>
              <w:rPr>
                <w:color w:val="000000"/>
                <w:sz w:val="20"/>
                <w:szCs w:val="20"/>
              </w:rPr>
              <w:t>(0.65,1.63)</w:t>
            </w:r>
          </w:p>
        </w:tc>
      </w:tr>
      <w:tr w:rsidR="00262CAF" w:rsidRPr="0075296A" w:rsidTr="00445A5F">
        <w:trPr>
          <w:trHeight w:val="340"/>
          <w:jc w:val="center"/>
        </w:trPr>
        <w:tc>
          <w:tcPr>
            <w:tcW w:w="3213"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rPr>
                <w:rFonts w:eastAsia="Times New Roman"/>
                <w:color w:val="000000"/>
                <w:sz w:val="20"/>
                <w:szCs w:val="20"/>
                <w:lang w:eastAsia="en-GB"/>
              </w:rPr>
            </w:pPr>
            <w:r w:rsidRPr="0075296A">
              <w:rPr>
                <w:rFonts w:eastAsia="Times New Roman"/>
                <w:color w:val="000000"/>
                <w:sz w:val="20"/>
                <w:szCs w:val="20"/>
                <w:lang w:eastAsia="en-GB"/>
              </w:rPr>
              <w:t>Hours worked per week</w:t>
            </w:r>
          </w:p>
        </w:tc>
        <w:tc>
          <w:tcPr>
            <w:tcW w:w="1119"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312"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139"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236"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056"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184"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r>
      <w:tr w:rsidR="00262CAF" w:rsidRPr="0075296A" w:rsidTr="00445A5F">
        <w:trPr>
          <w:trHeight w:val="340"/>
          <w:jc w:val="center"/>
        </w:trPr>
        <w:tc>
          <w:tcPr>
            <w:tcW w:w="3213"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ind w:firstLineChars="153" w:firstLine="306"/>
              <w:rPr>
                <w:rFonts w:eastAsia="Times New Roman"/>
                <w:color w:val="000000"/>
                <w:sz w:val="20"/>
                <w:szCs w:val="20"/>
                <w:lang w:eastAsia="en-GB"/>
              </w:rPr>
            </w:pPr>
            <w:r w:rsidRPr="0075296A">
              <w:rPr>
                <w:rFonts w:eastAsia="Times New Roman"/>
                <w:color w:val="000000"/>
                <w:sz w:val="20"/>
                <w:szCs w:val="20"/>
                <w:lang w:eastAsia="en-GB"/>
              </w:rPr>
              <w:t>≤20</w:t>
            </w:r>
          </w:p>
        </w:tc>
        <w:tc>
          <w:tcPr>
            <w:tcW w:w="1119"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804</w:t>
            </w:r>
          </w:p>
        </w:tc>
        <w:tc>
          <w:tcPr>
            <w:tcW w:w="1312"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34</w:t>
            </w:r>
          </w:p>
        </w:tc>
        <w:tc>
          <w:tcPr>
            <w:tcW w:w="2375" w:type="dxa"/>
            <w:gridSpan w:val="2"/>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Reference</w:t>
            </w:r>
          </w:p>
        </w:tc>
        <w:tc>
          <w:tcPr>
            <w:tcW w:w="2240" w:type="dxa"/>
            <w:gridSpan w:val="2"/>
            <w:tcBorders>
              <w:top w:val="nil"/>
              <w:left w:val="nil"/>
              <w:bottom w:val="nil"/>
              <w:right w:val="nil"/>
            </w:tcBorders>
            <w:shd w:val="clear" w:color="auto" w:fill="auto"/>
            <w:vAlign w:val="bottom"/>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Reference</w:t>
            </w:r>
          </w:p>
        </w:tc>
      </w:tr>
      <w:tr w:rsidR="00445A5F" w:rsidRPr="0075296A" w:rsidTr="00445A5F">
        <w:trPr>
          <w:trHeight w:val="340"/>
          <w:jc w:val="center"/>
        </w:trPr>
        <w:tc>
          <w:tcPr>
            <w:tcW w:w="3213" w:type="dxa"/>
            <w:tcBorders>
              <w:top w:val="nil"/>
              <w:left w:val="nil"/>
              <w:bottom w:val="nil"/>
              <w:right w:val="nil"/>
            </w:tcBorders>
            <w:shd w:val="clear" w:color="auto" w:fill="auto"/>
            <w:vAlign w:val="bottom"/>
            <w:hideMark/>
          </w:tcPr>
          <w:p w:rsidR="00445A5F" w:rsidRPr="0075296A" w:rsidRDefault="00C26808" w:rsidP="00C26808">
            <w:pPr>
              <w:widowControl w:val="0"/>
              <w:spacing w:line="240" w:lineRule="auto"/>
              <w:ind w:firstLineChars="153" w:firstLine="306"/>
              <w:rPr>
                <w:rFonts w:eastAsia="Times New Roman"/>
                <w:color w:val="000000"/>
                <w:sz w:val="20"/>
                <w:szCs w:val="20"/>
                <w:lang w:eastAsia="en-GB"/>
              </w:rPr>
            </w:pPr>
            <w:r>
              <w:rPr>
                <w:rFonts w:eastAsia="Times New Roman"/>
                <w:color w:val="000000"/>
                <w:sz w:val="20"/>
                <w:szCs w:val="20"/>
                <w:lang w:eastAsia="en-GB"/>
              </w:rPr>
              <w:t>&gt;</w:t>
            </w:r>
            <w:r w:rsidR="00445A5F" w:rsidRPr="0075296A">
              <w:rPr>
                <w:rFonts w:eastAsia="Times New Roman"/>
                <w:color w:val="000000"/>
                <w:sz w:val="20"/>
                <w:szCs w:val="20"/>
                <w:lang w:eastAsia="en-GB"/>
              </w:rPr>
              <w:t>20-40</w:t>
            </w:r>
          </w:p>
        </w:tc>
        <w:tc>
          <w:tcPr>
            <w:tcW w:w="1119" w:type="dxa"/>
            <w:tcBorders>
              <w:top w:val="nil"/>
              <w:left w:val="nil"/>
              <w:bottom w:val="nil"/>
              <w:right w:val="nil"/>
            </w:tcBorders>
            <w:shd w:val="clear" w:color="auto" w:fill="auto"/>
            <w:vAlign w:val="bottom"/>
            <w:hideMark/>
          </w:tcPr>
          <w:p w:rsidR="00445A5F" w:rsidRPr="0075296A" w:rsidRDefault="00445A5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3218</w:t>
            </w:r>
          </w:p>
        </w:tc>
        <w:tc>
          <w:tcPr>
            <w:tcW w:w="1312" w:type="dxa"/>
            <w:tcBorders>
              <w:top w:val="nil"/>
              <w:left w:val="nil"/>
              <w:bottom w:val="nil"/>
              <w:right w:val="nil"/>
            </w:tcBorders>
            <w:shd w:val="clear" w:color="auto" w:fill="auto"/>
            <w:vAlign w:val="bottom"/>
            <w:hideMark/>
          </w:tcPr>
          <w:p w:rsidR="00445A5F" w:rsidRPr="0075296A" w:rsidRDefault="00445A5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230</w:t>
            </w:r>
          </w:p>
        </w:tc>
        <w:tc>
          <w:tcPr>
            <w:tcW w:w="1139" w:type="dxa"/>
            <w:tcBorders>
              <w:top w:val="nil"/>
              <w:left w:val="nil"/>
              <w:bottom w:val="nil"/>
              <w:right w:val="nil"/>
            </w:tcBorders>
            <w:shd w:val="clear" w:color="auto" w:fill="auto"/>
            <w:noWrap/>
            <w:vAlign w:val="bottom"/>
            <w:hideMark/>
          </w:tcPr>
          <w:p w:rsidR="00445A5F" w:rsidRPr="0075296A" w:rsidRDefault="00445A5F" w:rsidP="00F75E0F">
            <w:pPr>
              <w:widowControl w:val="0"/>
              <w:spacing w:line="240" w:lineRule="auto"/>
              <w:jc w:val="right"/>
              <w:rPr>
                <w:rFonts w:eastAsia="Times New Roman"/>
                <w:color w:val="000000"/>
                <w:sz w:val="20"/>
                <w:szCs w:val="20"/>
                <w:lang w:eastAsia="en-GB"/>
              </w:rPr>
            </w:pPr>
            <w:r w:rsidRPr="0075296A">
              <w:rPr>
                <w:rFonts w:eastAsia="Times New Roman"/>
                <w:color w:val="000000"/>
                <w:sz w:val="20"/>
                <w:szCs w:val="20"/>
                <w:lang w:eastAsia="en-GB"/>
              </w:rPr>
              <w:t>1.59</w:t>
            </w:r>
          </w:p>
        </w:tc>
        <w:tc>
          <w:tcPr>
            <w:tcW w:w="1236" w:type="dxa"/>
            <w:tcBorders>
              <w:top w:val="nil"/>
              <w:left w:val="nil"/>
              <w:bottom w:val="nil"/>
              <w:right w:val="nil"/>
            </w:tcBorders>
            <w:shd w:val="clear" w:color="auto" w:fill="auto"/>
            <w:noWrap/>
            <w:vAlign w:val="bottom"/>
            <w:hideMark/>
          </w:tcPr>
          <w:p w:rsidR="00445A5F" w:rsidRPr="0075296A" w:rsidRDefault="00445A5F" w:rsidP="00F75E0F">
            <w:pPr>
              <w:widowControl w:val="0"/>
              <w:spacing w:line="240" w:lineRule="auto"/>
              <w:rPr>
                <w:rFonts w:eastAsia="Times New Roman"/>
                <w:color w:val="000000"/>
                <w:sz w:val="20"/>
                <w:szCs w:val="20"/>
                <w:lang w:eastAsia="en-GB"/>
              </w:rPr>
            </w:pPr>
            <w:r w:rsidRPr="0075296A">
              <w:rPr>
                <w:rFonts w:eastAsia="Times New Roman"/>
                <w:color w:val="000000"/>
                <w:sz w:val="20"/>
                <w:szCs w:val="20"/>
                <w:lang w:eastAsia="en-GB"/>
              </w:rPr>
              <w:t>(1.09,2.32)</w:t>
            </w:r>
          </w:p>
        </w:tc>
        <w:tc>
          <w:tcPr>
            <w:tcW w:w="1056" w:type="dxa"/>
            <w:tcBorders>
              <w:top w:val="nil"/>
              <w:left w:val="nil"/>
              <w:bottom w:val="nil"/>
              <w:right w:val="nil"/>
            </w:tcBorders>
            <w:shd w:val="clear" w:color="auto" w:fill="auto"/>
            <w:vAlign w:val="bottom"/>
            <w:hideMark/>
          </w:tcPr>
          <w:p w:rsidR="00445A5F" w:rsidRDefault="00445A5F">
            <w:pPr>
              <w:widowControl w:val="0"/>
              <w:jc w:val="right"/>
              <w:rPr>
                <w:color w:val="000000"/>
                <w:sz w:val="20"/>
                <w:szCs w:val="20"/>
              </w:rPr>
            </w:pPr>
            <w:r>
              <w:rPr>
                <w:color w:val="000000"/>
                <w:sz w:val="20"/>
                <w:szCs w:val="20"/>
              </w:rPr>
              <w:t>1.68</w:t>
            </w:r>
          </w:p>
        </w:tc>
        <w:tc>
          <w:tcPr>
            <w:tcW w:w="1184" w:type="dxa"/>
            <w:tcBorders>
              <w:top w:val="nil"/>
              <w:left w:val="nil"/>
              <w:bottom w:val="nil"/>
              <w:right w:val="nil"/>
            </w:tcBorders>
            <w:shd w:val="clear" w:color="auto" w:fill="auto"/>
            <w:vAlign w:val="bottom"/>
            <w:hideMark/>
          </w:tcPr>
          <w:p w:rsidR="00445A5F" w:rsidRDefault="00445A5F">
            <w:pPr>
              <w:widowControl w:val="0"/>
              <w:rPr>
                <w:color w:val="000000"/>
                <w:sz w:val="20"/>
                <w:szCs w:val="20"/>
              </w:rPr>
            </w:pPr>
            <w:r>
              <w:rPr>
                <w:color w:val="000000"/>
                <w:sz w:val="20"/>
                <w:szCs w:val="20"/>
              </w:rPr>
              <w:t>(1.09,2.59)</w:t>
            </w:r>
          </w:p>
        </w:tc>
      </w:tr>
      <w:tr w:rsidR="00445A5F" w:rsidRPr="0075296A" w:rsidTr="00445A5F">
        <w:trPr>
          <w:trHeight w:val="340"/>
          <w:jc w:val="center"/>
        </w:trPr>
        <w:tc>
          <w:tcPr>
            <w:tcW w:w="3213" w:type="dxa"/>
            <w:tcBorders>
              <w:top w:val="nil"/>
              <w:left w:val="nil"/>
              <w:bottom w:val="nil"/>
              <w:right w:val="nil"/>
            </w:tcBorders>
            <w:shd w:val="clear" w:color="auto" w:fill="auto"/>
            <w:vAlign w:val="bottom"/>
            <w:hideMark/>
          </w:tcPr>
          <w:p w:rsidR="00445A5F" w:rsidRPr="0075296A" w:rsidRDefault="00445A5F" w:rsidP="00F75E0F">
            <w:pPr>
              <w:widowControl w:val="0"/>
              <w:spacing w:line="240" w:lineRule="auto"/>
              <w:ind w:firstLineChars="153" w:firstLine="306"/>
              <w:rPr>
                <w:rFonts w:eastAsia="Times New Roman"/>
                <w:color w:val="000000"/>
                <w:sz w:val="20"/>
                <w:szCs w:val="20"/>
                <w:lang w:eastAsia="en-GB"/>
              </w:rPr>
            </w:pPr>
            <w:r w:rsidRPr="0075296A">
              <w:rPr>
                <w:rFonts w:eastAsia="Times New Roman"/>
                <w:color w:val="000000"/>
                <w:sz w:val="20"/>
                <w:szCs w:val="20"/>
                <w:lang w:eastAsia="en-GB"/>
              </w:rPr>
              <w:t>&gt;40</w:t>
            </w:r>
          </w:p>
        </w:tc>
        <w:tc>
          <w:tcPr>
            <w:tcW w:w="1119" w:type="dxa"/>
            <w:tcBorders>
              <w:top w:val="nil"/>
              <w:left w:val="nil"/>
              <w:bottom w:val="nil"/>
              <w:right w:val="nil"/>
            </w:tcBorders>
            <w:shd w:val="clear" w:color="auto" w:fill="auto"/>
            <w:vAlign w:val="bottom"/>
            <w:hideMark/>
          </w:tcPr>
          <w:p w:rsidR="00445A5F" w:rsidRPr="0075296A" w:rsidRDefault="00445A5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1380</w:t>
            </w:r>
          </w:p>
        </w:tc>
        <w:tc>
          <w:tcPr>
            <w:tcW w:w="1312" w:type="dxa"/>
            <w:tcBorders>
              <w:top w:val="nil"/>
              <w:left w:val="nil"/>
              <w:bottom w:val="nil"/>
              <w:right w:val="nil"/>
            </w:tcBorders>
            <w:shd w:val="clear" w:color="auto" w:fill="auto"/>
            <w:vAlign w:val="bottom"/>
            <w:hideMark/>
          </w:tcPr>
          <w:p w:rsidR="00445A5F" w:rsidRPr="0075296A" w:rsidRDefault="00445A5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104</w:t>
            </w:r>
          </w:p>
        </w:tc>
        <w:tc>
          <w:tcPr>
            <w:tcW w:w="1139" w:type="dxa"/>
            <w:tcBorders>
              <w:top w:val="nil"/>
              <w:left w:val="nil"/>
              <w:bottom w:val="nil"/>
              <w:right w:val="nil"/>
            </w:tcBorders>
            <w:shd w:val="clear" w:color="auto" w:fill="auto"/>
            <w:noWrap/>
            <w:vAlign w:val="bottom"/>
            <w:hideMark/>
          </w:tcPr>
          <w:p w:rsidR="00445A5F" w:rsidRPr="0075296A" w:rsidRDefault="00445A5F" w:rsidP="00F75E0F">
            <w:pPr>
              <w:widowControl w:val="0"/>
              <w:spacing w:line="240" w:lineRule="auto"/>
              <w:jc w:val="right"/>
              <w:rPr>
                <w:rFonts w:eastAsia="Times New Roman"/>
                <w:color w:val="000000"/>
                <w:sz w:val="20"/>
                <w:szCs w:val="20"/>
                <w:lang w:eastAsia="en-GB"/>
              </w:rPr>
            </w:pPr>
            <w:r w:rsidRPr="0075296A">
              <w:rPr>
                <w:rFonts w:eastAsia="Times New Roman"/>
                <w:color w:val="000000"/>
                <w:sz w:val="20"/>
                <w:szCs w:val="20"/>
                <w:lang w:eastAsia="en-GB"/>
              </w:rPr>
              <w:t>1.57</w:t>
            </w:r>
          </w:p>
        </w:tc>
        <w:tc>
          <w:tcPr>
            <w:tcW w:w="1236" w:type="dxa"/>
            <w:tcBorders>
              <w:top w:val="nil"/>
              <w:left w:val="nil"/>
              <w:bottom w:val="nil"/>
              <w:right w:val="nil"/>
            </w:tcBorders>
            <w:shd w:val="clear" w:color="auto" w:fill="auto"/>
            <w:noWrap/>
            <w:vAlign w:val="bottom"/>
            <w:hideMark/>
          </w:tcPr>
          <w:p w:rsidR="00445A5F" w:rsidRPr="0075296A" w:rsidRDefault="00445A5F" w:rsidP="00F75E0F">
            <w:pPr>
              <w:widowControl w:val="0"/>
              <w:spacing w:line="240" w:lineRule="auto"/>
              <w:rPr>
                <w:rFonts w:eastAsia="Times New Roman"/>
                <w:color w:val="000000"/>
                <w:sz w:val="20"/>
                <w:szCs w:val="20"/>
                <w:lang w:eastAsia="en-GB"/>
              </w:rPr>
            </w:pPr>
            <w:r w:rsidRPr="0075296A">
              <w:rPr>
                <w:rFonts w:eastAsia="Times New Roman"/>
                <w:color w:val="000000"/>
                <w:sz w:val="20"/>
                <w:szCs w:val="20"/>
                <w:lang w:eastAsia="en-GB"/>
              </w:rPr>
              <w:t>(1.03,2.39)</w:t>
            </w:r>
          </w:p>
        </w:tc>
        <w:tc>
          <w:tcPr>
            <w:tcW w:w="1056" w:type="dxa"/>
            <w:tcBorders>
              <w:top w:val="nil"/>
              <w:left w:val="nil"/>
              <w:bottom w:val="nil"/>
              <w:right w:val="nil"/>
            </w:tcBorders>
            <w:shd w:val="clear" w:color="auto" w:fill="auto"/>
            <w:vAlign w:val="bottom"/>
            <w:hideMark/>
          </w:tcPr>
          <w:p w:rsidR="00445A5F" w:rsidRDefault="00445A5F">
            <w:pPr>
              <w:widowControl w:val="0"/>
              <w:jc w:val="right"/>
              <w:rPr>
                <w:color w:val="000000"/>
                <w:sz w:val="20"/>
                <w:szCs w:val="20"/>
              </w:rPr>
            </w:pPr>
            <w:r>
              <w:rPr>
                <w:color w:val="000000"/>
                <w:sz w:val="20"/>
                <w:szCs w:val="20"/>
              </w:rPr>
              <w:t>1.75</w:t>
            </w:r>
          </w:p>
        </w:tc>
        <w:tc>
          <w:tcPr>
            <w:tcW w:w="1184" w:type="dxa"/>
            <w:tcBorders>
              <w:top w:val="nil"/>
              <w:left w:val="nil"/>
              <w:bottom w:val="nil"/>
              <w:right w:val="nil"/>
            </w:tcBorders>
            <w:shd w:val="clear" w:color="auto" w:fill="auto"/>
            <w:vAlign w:val="bottom"/>
            <w:hideMark/>
          </w:tcPr>
          <w:p w:rsidR="00445A5F" w:rsidRDefault="00445A5F">
            <w:pPr>
              <w:widowControl w:val="0"/>
              <w:rPr>
                <w:color w:val="000000"/>
                <w:sz w:val="20"/>
                <w:szCs w:val="20"/>
              </w:rPr>
            </w:pPr>
            <w:r>
              <w:rPr>
                <w:color w:val="000000"/>
                <w:sz w:val="20"/>
                <w:szCs w:val="20"/>
              </w:rPr>
              <w:t>(1.09,2.82)</w:t>
            </w:r>
          </w:p>
        </w:tc>
      </w:tr>
      <w:tr w:rsidR="00262CAF" w:rsidRPr="0075296A" w:rsidTr="00445A5F">
        <w:trPr>
          <w:trHeight w:val="340"/>
          <w:jc w:val="center"/>
        </w:trPr>
        <w:tc>
          <w:tcPr>
            <w:tcW w:w="3213"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rPr>
                <w:rFonts w:eastAsia="Times New Roman"/>
                <w:color w:val="000000"/>
                <w:sz w:val="20"/>
                <w:szCs w:val="20"/>
                <w:lang w:eastAsia="en-GB"/>
              </w:rPr>
            </w:pPr>
            <w:r w:rsidRPr="0075296A">
              <w:rPr>
                <w:rFonts w:eastAsia="Times New Roman"/>
                <w:color w:val="000000"/>
                <w:sz w:val="20"/>
                <w:szCs w:val="20"/>
                <w:lang w:eastAsia="en-GB"/>
              </w:rPr>
              <w:t>Fixed time of starting work</w:t>
            </w:r>
          </w:p>
        </w:tc>
        <w:tc>
          <w:tcPr>
            <w:tcW w:w="1119"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312"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139"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236"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056"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184"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r>
      <w:tr w:rsidR="00262CAF" w:rsidRPr="0075296A" w:rsidTr="00445A5F">
        <w:trPr>
          <w:trHeight w:val="340"/>
          <w:jc w:val="center"/>
        </w:trPr>
        <w:tc>
          <w:tcPr>
            <w:tcW w:w="3213"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ind w:firstLineChars="153" w:firstLine="306"/>
              <w:rPr>
                <w:rFonts w:eastAsia="Times New Roman"/>
                <w:color w:val="000000"/>
                <w:sz w:val="20"/>
                <w:szCs w:val="20"/>
                <w:lang w:eastAsia="en-GB"/>
              </w:rPr>
            </w:pPr>
            <w:r w:rsidRPr="0075296A">
              <w:rPr>
                <w:rFonts w:eastAsia="Times New Roman"/>
                <w:color w:val="000000"/>
                <w:sz w:val="20"/>
                <w:szCs w:val="20"/>
                <w:lang w:eastAsia="en-GB"/>
              </w:rPr>
              <w:t>Some or no work days</w:t>
            </w:r>
          </w:p>
        </w:tc>
        <w:tc>
          <w:tcPr>
            <w:tcW w:w="1119"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1329</w:t>
            </w:r>
          </w:p>
        </w:tc>
        <w:tc>
          <w:tcPr>
            <w:tcW w:w="1312"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61</w:t>
            </w:r>
          </w:p>
        </w:tc>
        <w:tc>
          <w:tcPr>
            <w:tcW w:w="2375" w:type="dxa"/>
            <w:gridSpan w:val="2"/>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Reference</w:t>
            </w:r>
          </w:p>
        </w:tc>
        <w:tc>
          <w:tcPr>
            <w:tcW w:w="2240" w:type="dxa"/>
            <w:gridSpan w:val="2"/>
            <w:tcBorders>
              <w:top w:val="nil"/>
              <w:left w:val="nil"/>
              <w:bottom w:val="nil"/>
              <w:right w:val="nil"/>
            </w:tcBorders>
            <w:shd w:val="clear" w:color="auto" w:fill="auto"/>
            <w:vAlign w:val="bottom"/>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Reference</w:t>
            </w:r>
          </w:p>
        </w:tc>
      </w:tr>
      <w:tr w:rsidR="00445A5F" w:rsidRPr="0075296A" w:rsidTr="00445A5F">
        <w:trPr>
          <w:trHeight w:val="340"/>
          <w:jc w:val="center"/>
        </w:trPr>
        <w:tc>
          <w:tcPr>
            <w:tcW w:w="3213" w:type="dxa"/>
            <w:tcBorders>
              <w:top w:val="nil"/>
              <w:left w:val="nil"/>
              <w:bottom w:val="nil"/>
              <w:right w:val="nil"/>
            </w:tcBorders>
            <w:shd w:val="clear" w:color="auto" w:fill="auto"/>
            <w:vAlign w:val="bottom"/>
            <w:hideMark/>
          </w:tcPr>
          <w:p w:rsidR="00445A5F" w:rsidRPr="0075296A" w:rsidRDefault="00445A5F" w:rsidP="00F75E0F">
            <w:pPr>
              <w:widowControl w:val="0"/>
              <w:spacing w:line="240" w:lineRule="auto"/>
              <w:ind w:firstLineChars="153" w:firstLine="306"/>
              <w:rPr>
                <w:rFonts w:eastAsia="Times New Roman"/>
                <w:color w:val="000000"/>
                <w:sz w:val="20"/>
                <w:szCs w:val="20"/>
                <w:lang w:eastAsia="en-GB"/>
              </w:rPr>
            </w:pPr>
            <w:r w:rsidRPr="0075296A">
              <w:rPr>
                <w:rFonts w:eastAsia="Times New Roman"/>
                <w:color w:val="000000"/>
                <w:sz w:val="20"/>
                <w:szCs w:val="20"/>
                <w:lang w:eastAsia="en-GB"/>
              </w:rPr>
              <w:t>Most or all work days</w:t>
            </w:r>
          </w:p>
        </w:tc>
        <w:tc>
          <w:tcPr>
            <w:tcW w:w="1119" w:type="dxa"/>
            <w:tcBorders>
              <w:top w:val="nil"/>
              <w:left w:val="nil"/>
              <w:bottom w:val="nil"/>
              <w:right w:val="nil"/>
            </w:tcBorders>
            <w:shd w:val="clear" w:color="auto" w:fill="auto"/>
            <w:vAlign w:val="bottom"/>
            <w:hideMark/>
          </w:tcPr>
          <w:p w:rsidR="00445A5F" w:rsidRPr="0075296A" w:rsidRDefault="00445A5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4091</w:t>
            </w:r>
          </w:p>
        </w:tc>
        <w:tc>
          <w:tcPr>
            <w:tcW w:w="1312" w:type="dxa"/>
            <w:tcBorders>
              <w:top w:val="nil"/>
              <w:left w:val="nil"/>
              <w:bottom w:val="nil"/>
              <w:right w:val="nil"/>
            </w:tcBorders>
            <w:shd w:val="clear" w:color="auto" w:fill="auto"/>
            <w:vAlign w:val="bottom"/>
            <w:hideMark/>
          </w:tcPr>
          <w:p w:rsidR="00445A5F" w:rsidRPr="0075296A" w:rsidRDefault="00445A5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306</w:t>
            </w:r>
          </w:p>
        </w:tc>
        <w:tc>
          <w:tcPr>
            <w:tcW w:w="1139" w:type="dxa"/>
            <w:tcBorders>
              <w:top w:val="nil"/>
              <w:left w:val="nil"/>
              <w:bottom w:val="nil"/>
              <w:right w:val="nil"/>
            </w:tcBorders>
            <w:shd w:val="clear" w:color="auto" w:fill="auto"/>
            <w:noWrap/>
            <w:vAlign w:val="bottom"/>
            <w:hideMark/>
          </w:tcPr>
          <w:p w:rsidR="00445A5F" w:rsidRPr="0075296A" w:rsidRDefault="00445A5F" w:rsidP="00F75E0F">
            <w:pPr>
              <w:widowControl w:val="0"/>
              <w:spacing w:line="240" w:lineRule="auto"/>
              <w:jc w:val="right"/>
              <w:rPr>
                <w:rFonts w:eastAsia="Times New Roman"/>
                <w:color w:val="000000"/>
                <w:sz w:val="20"/>
                <w:szCs w:val="20"/>
                <w:lang w:eastAsia="en-GB"/>
              </w:rPr>
            </w:pPr>
            <w:r w:rsidRPr="0075296A">
              <w:rPr>
                <w:rFonts w:eastAsia="Times New Roman"/>
                <w:color w:val="000000"/>
                <w:sz w:val="20"/>
                <w:szCs w:val="20"/>
                <w:lang w:eastAsia="en-GB"/>
              </w:rPr>
              <w:t>1.73</w:t>
            </w:r>
          </w:p>
        </w:tc>
        <w:tc>
          <w:tcPr>
            <w:tcW w:w="1236" w:type="dxa"/>
            <w:tcBorders>
              <w:top w:val="nil"/>
              <w:left w:val="nil"/>
              <w:bottom w:val="nil"/>
              <w:right w:val="nil"/>
            </w:tcBorders>
            <w:shd w:val="clear" w:color="auto" w:fill="auto"/>
            <w:noWrap/>
            <w:vAlign w:val="bottom"/>
            <w:hideMark/>
          </w:tcPr>
          <w:p w:rsidR="00445A5F" w:rsidRPr="0075296A" w:rsidRDefault="00445A5F" w:rsidP="00F75E0F">
            <w:pPr>
              <w:widowControl w:val="0"/>
              <w:spacing w:line="240" w:lineRule="auto"/>
              <w:rPr>
                <w:rFonts w:eastAsia="Times New Roman"/>
                <w:color w:val="000000"/>
                <w:sz w:val="20"/>
                <w:szCs w:val="20"/>
                <w:lang w:eastAsia="en-GB"/>
              </w:rPr>
            </w:pPr>
            <w:r w:rsidRPr="0075296A">
              <w:rPr>
                <w:rFonts w:eastAsia="Times New Roman"/>
                <w:color w:val="000000"/>
                <w:sz w:val="20"/>
                <w:szCs w:val="20"/>
                <w:lang w:eastAsia="en-GB"/>
              </w:rPr>
              <w:t>(1.30,2.30)</w:t>
            </w:r>
          </w:p>
        </w:tc>
        <w:tc>
          <w:tcPr>
            <w:tcW w:w="1056" w:type="dxa"/>
            <w:tcBorders>
              <w:top w:val="nil"/>
              <w:left w:val="nil"/>
              <w:bottom w:val="nil"/>
              <w:right w:val="nil"/>
            </w:tcBorders>
            <w:shd w:val="clear" w:color="auto" w:fill="auto"/>
            <w:vAlign w:val="bottom"/>
            <w:hideMark/>
          </w:tcPr>
          <w:p w:rsidR="00445A5F" w:rsidRDefault="00445A5F">
            <w:pPr>
              <w:widowControl w:val="0"/>
              <w:jc w:val="right"/>
              <w:rPr>
                <w:color w:val="000000"/>
                <w:sz w:val="20"/>
                <w:szCs w:val="20"/>
              </w:rPr>
            </w:pPr>
            <w:r>
              <w:rPr>
                <w:color w:val="000000"/>
                <w:sz w:val="20"/>
                <w:szCs w:val="20"/>
              </w:rPr>
              <w:t>1.39</w:t>
            </w:r>
          </w:p>
        </w:tc>
        <w:tc>
          <w:tcPr>
            <w:tcW w:w="1184" w:type="dxa"/>
            <w:tcBorders>
              <w:top w:val="nil"/>
              <w:left w:val="nil"/>
              <w:bottom w:val="nil"/>
              <w:right w:val="nil"/>
            </w:tcBorders>
            <w:shd w:val="clear" w:color="auto" w:fill="auto"/>
            <w:vAlign w:val="bottom"/>
            <w:hideMark/>
          </w:tcPr>
          <w:p w:rsidR="00445A5F" w:rsidRDefault="00445A5F">
            <w:pPr>
              <w:widowControl w:val="0"/>
              <w:rPr>
                <w:color w:val="000000"/>
                <w:sz w:val="20"/>
                <w:szCs w:val="20"/>
              </w:rPr>
            </w:pPr>
            <w:r>
              <w:rPr>
                <w:color w:val="000000"/>
                <w:sz w:val="20"/>
                <w:szCs w:val="20"/>
              </w:rPr>
              <w:t>(1.02,1.91)</w:t>
            </w:r>
          </w:p>
        </w:tc>
      </w:tr>
      <w:tr w:rsidR="00262CAF" w:rsidRPr="0075296A" w:rsidTr="00445A5F">
        <w:trPr>
          <w:trHeight w:val="340"/>
          <w:jc w:val="center"/>
        </w:trPr>
        <w:tc>
          <w:tcPr>
            <w:tcW w:w="3213"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rPr>
                <w:rFonts w:eastAsia="Times New Roman"/>
                <w:color w:val="000000"/>
                <w:sz w:val="20"/>
                <w:szCs w:val="20"/>
                <w:lang w:eastAsia="en-GB"/>
              </w:rPr>
            </w:pPr>
            <w:r w:rsidRPr="0075296A">
              <w:rPr>
                <w:rFonts w:eastAsia="Times New Roman"/>
                <w:color w:val="000000"/>
                <w:sz w:val="20"/>
                <w:szCs w:val="20"/>
                <w:lang w:eastAsia="en-GB"/>
              </w:rPr>
              <w:t>Shift work</w:t>
            </w:r>
          </w:p>
        </w:tc>
        <w:tc>
          <w:tcPr>
            <w:tcW w:w="1119"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312"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139"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236"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056"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184"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r>
      <w:tr w:rsidR="00262CAF" w:rsidRPr="0075296A" w:rsidTr="00445A5F">
        <w:trPr>
          <w:trHeight w:val="340"/>
          <w:jc w:val="center"/>
        </w:trPr>
        <w:tc>
          <w:tcPr>
            <w:tcW w:w="3213"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ind w:firstLineChars="153" w:firstLine="306"/>
              <w:rPr>
                <w:rFonts w:eastAsia="Times New Roman"/>
                <w:color w:val="000000"/>
                <w:sz w:val="20"/>
                <w:szCs w:val="20"/>
                <w:lang w:eastAsia="en-GB"/>
              </w:rPr>
            </w:pPr>
            <w:r w:rsidRPr="0075296A">
              <w:rPr>
                <w:rFonts w:eastAsia="Times New Roman"/>
                <w:color w:val="000000"/>
                <w:sz w:val="20"/>
                <w:szCs w:val="20"/>
                <w:lang w:eastAsia="en-GB"/>
              </w:rPr>
              <w:t>Sometimes/rarely/never</w:t>
            </w:r>
          </w:p>
        </w:tc>
        <w:tc>
          <w:tcPr>
            <w:tcW w:w="1119"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4543</w:t>
            </w:r>
          </w:p>
        </w:tc>
        <w:tc>
          <w:tcPr>
            <w:tcW w:w="1312"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288</w:t>
            </w:r>
          </w:p>
        </w:tc>
        <w:tc>
          <w:tcPr>
            <w:tcW w:w="2375" w:type="dxa"/>
            <w:gridSpan w:val="2"/>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Reference</w:t>
            </w:r>
          </w:p>
        </w:tc>
        <w:tc>
          <w:tcPr>
            <w:tcW w:w="2240" w:type="dxa"/>
            <w:gridSpan w:val="2"/>
            <w:tcBorders>
              <w:top w:val="nil"/>
              <w:left w:val="nil"/>
              <w:bottom w:val="nil"/>
              <w:right w:val="nil"/>
            </w:tcBorders>
            <w:shd w:val="clear" w:color="auto" w:fill="auto"/>
            <w:vAlign w:val="bottom"/>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Reference</w:t>
            </w:r>
          </w:p>
        </w:tc>
      </w:tr>
      <w:tr w:rsidR="00445A5F" w:rsidRPr="0075296A" w:rsidTr="00445A5F">
        <w:trPr>
          <w:trHeight w:val="340"/>
          <w:jc w:val="center"/>
        </w:trPr>
        <w:tc>
          <w:tcPr>
            <w:tcW w:w="3213" w:type="dxa"/>
            <w:tcBorders>
              <w:top w:val="nil"/>
              <w:left w:val="nil"/>
              <w:bottom w:val="nil"/>
              <w:right w:val="nil"/>
            </w:tcBorders>
            <w:shd w:val="clear" w:color="auto" w:fill="auto"/>
            <w:vAlign w:val="bottom"/>
            <w:hideMark/>
          </w:tcPr>
          <w:p w:rsidR="00445A5F" w:rsidRPr="0075296A" w:rsidRDefault="00445A5F" w:rsidP="00F75E0F">
            <w:pPr>
              <w:widowControl w:val="0"/>
              <w:spacing w:line="240" w:lineRule="auto"/>
              <w:ind w:firstLineChars="153" w:firstLine="306"/>
              <w:rPr>
                <w:rFonts w:eastAsia="Times New Roman"/>
                <w:color w:val="000000"/>
                <w:sz w:val="20"/>
                <w:szCs w:val="20"/>
                <w:lang w:eastAsia="en-GB"/>
              </w:rPr>
            </w:pPr>
            <w:r w:rsidRPr="0075296A">
              <w:rPr>
                <w:rFonts w:eastAsia="Times New Roman"/>
                <w:color w:val="000000"/>
                <w:sz w:val="20"/>
                <w:szCs w:val="20"/>
                <w:lang w:eastAsia="en-GB"/>
              </w:rPr>
              <w:t>Often</w:t>
            </w:r>
          </w:p>
        </w:tc>
        <w:tc>
          <w:tcPr>
            <w:tcW w:w="1119" w:type="dxa"/>
            <w:tcBorders>
              <w:top w:val="nil"/>
              <w:left w:val="nil"/>
              <w:bottom w:val="nil"/>
              <w:right w:val="nil"/>
            </w:tcBorders>
            <w:shd w:val="clear" w:color="auto" w:fill="auto"/>
            <w:vAlign w:val="bottom"/>
            <w:hideMark/>
          </w:tcPr>
          <w:p w:rsidR="00445A5F" w:rsidRPr="0075296A" w:rsidRDefault="00445A5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843</w:t>
            </w:r>
          </w:p>
        </w:tc>
        <w:tc>
          <w:tcPr>
            <w:tcW w:w="1312" w:type="dxa"/>
            <w:tcBorders>
              <w:top w:val="nil"/>
              <w:left w:val="nil"/>
              <w:bottom w:val="nil"/>
              <w:right w:val="nil"/>
            </w:tcBorders>
            <w:shd w:val="clear" w:color="auto" w:fill="auto"/>
            <w:vAlign w:val="bottom"/>
            <w:hideMark/>
          </w:tcPr>
          <w:p w:rsidR="00445A5F" w:rsidRPr="0075296A" w:rsidRDefault="00445A5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76</w:t>
            </w:r>
          </w:p>
        </w:tc>
        <w:tc>
          <w:tcPr>
            <w:tcW w:w="1139" w:type="dxa"/>
            <w:tcBorders>
              <w:top w:val="nil"/>
              <w:left w:val="nil"/>
              <w:bottom w:val="nil"/>
              <w:right w:val="nil"/>
            </w:tcBorders>
            <w:shd w:val="clear" w:color="auto" w:fill="auto"/>
            <w:noWrap/>
            <w:vAlign w:val="bottom"/>
            <w:hideMark/>
          </w:tcPr>
          <w:p w:rsidR="00445A5F" w:rsidRPr="0075296A" w:rsidRDefault="00445A5F" w:rsidP="00F75E0F">
            <w:pPr>
              <w:widowControl w:val="0"/>
              <w:spacing w:line="240" w:lineRule="auto"/>
              <w:jc w:val="right"/>
              <w:rPr>
                <w:rFonts w:eastAsia="Times New Roman"/>
                <w:color w:val="000000"/>
                <w:sz w:val="20"/>
                <w:szCs w:val="20"/>
                <w:lang w:eastAsia="en-GB"/>
              </w:rPr>
            </w:pPr>
            <w:r w:rsidRPr="0075296A">
              <w:rPr>
                <w:rFonts w:eastAsia="Times New Roman"/>
                <w:color w:val="000000"/>
                <w:sz w:val="20"/>
                <w:szCs w:val="20"/>
                <w:lang w:eastAsia="en-GB"/>
              </w:rPr>
              <w:t>1.43</w:t>
            </w:r>
          </w:p>
        </w:tc>
        <w:tc>
          <w:tcPr>
            <w:tcW w:w="1236" w:type="dxa"/>
            <w:tcBorders>
              <w:top w:val="nil"/>
              <w:left w:val="nil"/>
              <w:bottom w:val="nil"/>
              <w:right w:val="nil"/>
            </w:tcBorders>
            <w:shd w:val="clear" w:color="auto" w:fill="auto"/>
            <w:noWrap/>
            <w:vAlign w:val="bottom"/>
            <w:hideMark/>
          </w:tcPr>
          <w:p w:rsidR="00445A5F" w:rsidRPr="0075296A" w:rsidRDefault="00445A5F" w:rsidP="00F75E0F">
            <w:pPr>
              <w:widowControl w:val="0"/>
              <w:spacing w:line="240" w:lineRule="auto"/>
              <w:rPr>
                <w:rFonts w:eastAsia="Times New Roman"/>
                <w:color w:val="000000"/>
                <w:sz w:val="20"/>
                <w:szCs w:val="20"/>
                <w:lang w:eastAsia="en-GB"/>
              </w:rPr>
            </w:pPr>
            <w:r w:rsidRPr="0075296A">
              <w:rPr>
                <w:rFonts w:eastAsia="Times New Roman"/>
                <w:color w:val="000000"/>
                <w:sz w:val="20"/>
                <w:szCs w:val="20"/>
                <w:lang w:eastAsia="en-GB"/>
              </w:rPr>
              <w:t>(1.10,1.87)</w:t>
            </w:r>
          </w:p>
        </w:tc>
        <w:tc>
          <w:tcPr>
            <w:tcW w:w="1056" w:type="dxa"/>
            <w:tcBorders>
              <w:top w:val="nil"/>
              <w:left w:val="nil"/>
              <w:bottom w:val="nil"/>
              <w:right w:val="nil"/>
            </w:tcBorders>
            <w:shd w:val="clear" w:color="auto" w:fill="auto"/>
            <w:vAlign w:val="bottom"/>
            <w:hideMark/>
          </w:tcPr>
          <w:p w:rsidR="00445A5F" w:rsidRDefault="00445A5F">
            <w:pPr>
              <w:widowControl w:val="0"/>
              <w:jc w:val="right"/>
              <w:rPr>
                <w:color w:val="000000"/>
                <w:sz w:val="20"/>
                <w:szCs w:val="20"/>
              </w:rPr>
            </w:pPr>
            <w:r>
              <w:rPr>
                <w:color w:val="000000"/>
                <w:sz w:val="20"/>
                <w:szCs w:val="20"/>
              </w:rPr>
              <w:t>1.37</w:t>
            </w:r>
          </w:p>
        </w:tc>
        <w:tc>
          <w:tcPr>
            <w:tcW w:w="1184" w:type="dxa"/>
            <w:tcBorders>
              <w:top w:val="nil"/>
              <w:left w:val="nil"/>
              <w:bottom w:val="nil"/>
              <w:right w:val="nil"/>
            </w:tcBorders>
            <w:shd w:val="clear" w:color="auto" w:fill="auto"/>
            <w:vAlign w:val="bottom"/>
            <w:hideMark/>
          </w:tcPr>
          <w:p w:rsidR="00445A5F" w:rsidRDefault="00445A5F">
            <w:pPr>
              <w:widowControl w:val="0"/>
              <w:rPr>
                <w:color w:val="000000"/>
                <w:sz w:val="20"/>
                <w:szCs w:val="20"/>
              </w:rPr>
            </w:pPr>
            <w:r>
              <w:rPr>
                <w:color w:val="000000"/>
                <w:sz w:val="20"/>
                <w:szCs w:val="20"/>
              </w:rPr>
              <w:t>(1.04,1.82)</w:t>
            </w:r>
          </w:p>
        </w:tc>
      </w:tr>
      <w:tr w:rsidR="00262CAF" w:rsidRPr="0075296A" w:rsidTr="00445A5F">
        <w:trPr>
          <w:trHeight w:val="340"/>
          <w:jc w:val="center"/>
        </w:trPr>
        <w:tc>
          <w:tcPr>
            <w:tcW w:w="3213"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rPr>
                <w:rFonts w:eastAsia="Times New Roman"/>
                <w:color w:val="000000"/>
                <w:sz w:val="20"/>
                <w:szCs w:val="20"/>
                <w:lang w:eastAsia="en-GB"/>
              </w:rPr>
            </w:pPr>
            <w:r w:rsidRPr="0075296A">
              <w:rPr>
                <w:rFonts w:eastAsia="Times New Roman"/>
                <w:color w:val="000000"/>
                <w:sz w:val="20"/>
                <w:szCs w:val="20"/>
                <w:lang w:eastAsia="en-GB"/>
              </w:rPr>
              <w:t>Holidays</w:t>
            </w:r>
          </w:p>
        </w:tc>
        <w:tc>
          <w:tcPr>
            <w:tcW w:w="1119"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312"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139"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236"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056"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184"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r>
      <w:tr w:rsidR="00262CAF" w:rsidRPr="0075296A" w:rsidTr="00445A5F">
        <w:trPr>
          <w:trHeight w:val="340"/>
          <w:jc w:val="center"/>
        </w:trPr>
        <w:tc>
          <w:tcPr>
            <w:tcW w:w="3213"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ind w:firstLineChars="153" w:firstLine="306"/>
              <w:rPr>
                <w:rFonts w:eastAsia="Times New Roman"/>
                <w:color w:val="000000"/>
                <w:sz w:val="20"/>
                <w:szCs w:val="20"/>
                <w:lang w:eastAsia="en-GB"/>
              </w:rPr>
            </w:pPr>
            <w:r w:rsidRPr="0075296A">
              <w:rPr>
                <w:rFonts w:eastAsia="Times New Roman"/>
                <w:color w:val="000000"/>
                <w:sz w:val="20"/>
                <w:szCs w:val="20"/>
                <w:lang w:eastAsia="en-GB"/>
              </w:rPr>
              <w:t>Some entitlement</w:t>
            </w:r>
          </w:p>
        </w:tc>
        <w:tc>
          <w:tcPr>
            <w:tcW w:w="1119"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5254</w:t>
            </w:r>
          </w:p>
        </w:tc>
        <w:tc>
          <w:tcPr>
            <w:tcW w:w="1312"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356</w:t>
            </w:r>
          </w:p>
        </w:tc>
        <w:tc>
          <w:tcPr>
            <w:tcW w:w="2375" w:type="dxa"/>
            <w:gridSpan w:val="2"/>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Reference</w:t>
            </w:r>
          </w:p>
        </w:tc>
        <w:tc>
          <w:tcPr>
            <w:tcW w:w="2240" w:type="dxa"/>
            <w:gridSpan w:val="2"/>
            <w:tcBorders>
              <w:top w:val="nil"/>
              <w:left w:val="nil"/>
              <w:bottom w:val="nil"/>
              <w:right w:val="nil"/>
            </w:tcBorders>
            <w:shd w:val="clear" w:color="auto" w:fill="auto"/>
            <w:vAlign w:val="bottom"/>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Reference</w:t>
            </w:r>
          </w:p>
        </w:tc>
      </w:tr>
      <w:tr w:rsidR="00445A5F" w:rsidRPr="0075296A" w:rsidTr="00445A5F">
        <w:trPr>
          <w:trHeight w:val="340"/>
          <w:jc w:val="center"/>
        </w:trPr>
        <w:tc>
          <w:tcPr>
            <w:tcW w:w="3213" w:type="dxa"/>
            <w:tcBorders>
              <w:top w:val="nil"/>
              <w:left w:val="nil"/>
              <w:bottom w:val="nil"/>
              <w:right w:val="nil"/>
            </w:tcBorders>
            <w:shd w:val="clear" w:color="auto" w:fill="auto"/>
            <w:vAlign w:val="bottom"/>
            <w:hideMark/>
          </w:tcPr>
          <w:p w:rsidR="00445A5F" w:rsidRPr="0075296A" w:rsidRDefault="00445A5F" w:rsidP="00F75E0F">
            <w:pPr>
              <w:widowControl w:val="0"/>
              <w:spacing w:line="240" w:lineRule="auto"/>
              <w:ind w:firstLineChars="153" w:firstLine="306"/>
              <w:rPr>
                <w:rFonts w:eastAsia="Times New Roman"/>
                <w:color w:val="000000"/>
                <w:sz w:val="20"/>
                <w:szCs w:val="20"/>
                <w:lang w:eastAsia="en-GB"/>
              </w:rPr>
            </w:pPr>
            <w:r w:rsidRPr="0075296A">
              <w:rPr>
                <w:rFonts w:eastAsia="Times New Roman"/>
                <w:color w:val="000000"/>
                <w:sz w:val="20"/>
                <w:szCs w:val="20"/>
                <w:lang w:eastAsia="en-GB"/>
              </w:rPr>
              <w:t>No entitlement</w:t>
            </w:r>
          </w:p>
        </w:tc>
        <w:tc>
          <w:tcPr>
            <w:tcW w:w="1119" w:type="dxa"/>
            <w:tcBorders>
              <w:top w:val="nil"/>
              <w:left w:val="nil"/>
              <w:bottom w:val="nil"/>
              <w:right w:val="nil"/>
            </w:tcBorders>
            <w:shd w:val="clear" w:color="auto" w:fill="auto"/>
            <w:vAlign w:val="bottom"/>
            <w:hideMark/>
          </w:tcPr>
          <w:p w:rsidR="00445A5F" w:rsidRPr="0075296A" w:rsidRDefault="00445A5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20</w:t>
            </w:r>
          </w:p>
        </w:tc>
        <w:tc>
          <w:tcPr>
            <w:tcW w:w="1312" w:type="dxa"/>
            <w:tcBorders>
              <w:top w:val="nil"/>
              <w:left w:val="nil"/>
              <w:bottom w:val="nil"/>
              <w:right w:val="nil"/>
            </w:tcBorders>
            <w:shd w:val="clear" w:color="auto" w:fill="auto"/>
            <w:vAlign w:val="bottom"/>
            <w:hideMark/>
          </w:tcPr>
          <w:p w:rsidR="00445A5F" w:rsidRPr="0075296A" w:rsidRDefault="00445A5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2</w:t>
            </w:r>
          </w:p>
        </w:tc>
        <w:tc>
          <w:tcPr>
            <w:tcW w:w="1139" w:type="dxa"/>
            <w:tcBorders>
              <w:top w:val="nil"/>
              <w:left w:val="nil"/>
              <w:bottom w:val="nil"/>
              <w:right w:val="nil"/>
            </w:tcBorders>
            <w:shd w:val="clear" w:color="auto" w:fill="auto"/>
            <w:noWrap/>
            <w:vAlign w:val="bottom"/>
            <w:hideMark/>
          </w:tcPr>
          <w:p w:rsidR="00445A5F" w:rsidRPr="0075296A" w:rsidRDefault="00445A5F" w:rsidP="00F75E0F">
            <w:pPr>
              <w:widowControl w:val="0"/>
              <w:spacing w:line="240" w:lineRule="auto"/>
              <w:jc w:val="right"/>
              <w:rPr>
                <w:rFonts w:eastAsia="Times New Roman"/>
                <w:color w:val="000000"/>
                <w:sz w:val="20"/>
                <w:szCs w:val="20"/>
                <w:lang w:eastAsia="en-GB"/>
              </w:rPr>
            </w:pPr>
            <w:r w:rsidRPr="0075296A">
              <w:rPr>
                <w:rFonts w:eastAsia="Times New Roman"/>
                <w:color w:val="000000"/>
                <w:sz w:val="20"/>
                <w:szCs w:val="20"/>
                <w:lang w:eastAsia="en-GB"/>
              </w:rPr>
              <w:t>1.57</w:t>
            </w:r>
          </w:p>
        </w:tc>
        <w:tc>
          <w:tcPr>
            <w:tcW w:w="1236" w:type="dxa"/>
            <w:tcBorders>
              <w:top w:val="nil"/>
              <w:left w:val="nil"/>
              <w:bottom w:val="nil"/>
              <w:right w:val="nil"/>
            </w:tcBorders>
            <w:shd w:val="clear" w:color="auto" w:fill="auto"/>
            <w:noWrap/>
            <w:vAlign w:val="bottom"/>
            <w:hideMark/>
          </w:tcPr>
          <w:p w:rsidR="00445A5F" w:rsidRPr="0075296A" w:rsidRDefault="00445A5F" w:rsidP="00F75E0F">
            <w:pPr>
              <w:widowControl w:val="0"/>
              <w:spacing w:line="240" w:lineRule="auto"/>
              <w:rPr>
                <w:rFonts w:eastAsia="Times New Roman"/>
                <w:color w:val="000000"/>
                <w:sz w:val="20"/>
                <w:szCs w:val="20"/>
                <w:lang w:eastAsia="en-GB"/>
              </w:rPr>
            </w:pPr>
            <w:r w:rsidRPr="0075296A">
              <w:rPr>
                <w:rFonts w:eastAsia="Times New Roman"/>
                <w:color w:val="000000"/>
                <w:sz w:val="20"/>
                <w:szCs w:val="20"/>
                <w:lang w:eastAsia="en-GB"/>
              </w:rPr>
              <w:t>(0.36,6.83)</w:t>
            </w:r>
          </w:p>
        </w:tc>
        <w:tc>
          <w:tcPr>
            <w:tcW w:w="1056" w:type="dxa"/>
            <w:tcBorders>
              <w:top w:val="nil"/>
              <w:left w:val="nil"/>
              <w:bottom w:val="nil"/>
              <w:right w:val="nil"/>
            </w:tcBorders>
            <w:shd w:val="clear" w:color="auto" w:fill="auto"/>
            <w:vAlign w:val="bottom"/>
            <w:hideMark/>
          </w:tcPr>
          <w:p w:rsidR="00445A5F" w:rsidRDefault="00445A5F">
            <w:pPr>
              <w:widowControl w:val="0"/>
              <w:jc w:val="right"/>
              <w:rPr>
                <w:color w:val="000000"/>
                <w:sz w:val="20"/>
                <w:szCs w:val="20"/>
              </w:rPr>
            </w:pPr>
            <w:r>
              <w:rPr>
                <w:color w:val="000000"/>
                <w:sz w:val="20"/>
                <w:szCs w:val="20"/>
              </w:rPr>
              <w:t>1.14</w:t>
            </w:r>
          </w:p>
        </w:tc>
        <w:tc>
          <w:tcPr>
            <w:tcW w:w="1184" w:type="dxa"/>
            <w:tcBorders>
              <w:top w:val="nil"/>
              <w:left w:val="nil"/>
              <w:bottom w:val="nil"/>
              <w:right w:val="nil"/>
            </w:tcBorders>
            <w:shd w:val="clear" w:color="auto" w:fill="auto"/>
            <w:vAlign w:val="bottom"/>
            <w:hideMark/>
          </w:tcPr>
          <w:p w:rsidR="00445A5F" w:rsidRDefault="00445A5F">
            <w:pPr>
              <w:widowControl w:val="0"/>
              <w:rPr>
                <w:color w:val="000000"/>
                <w:sz w:val="20"/>
                <w:szCs w:val="20"/>
              </w:rPr>
            </w:pPr>
            <w:r>
              <w:rPr>
                <w:color w:val="000000"/>
                <w:sz w:val="20"/>
                <w:szCs w:val="20"/>
              </w:rPr>
              <w:t>(0.15,8.86)</w:t>
            </w:r>
          </w:p>
        </w:tc>
      </w:tr>
      <w:tr w:rsidR="00262CAF" w:rsidRPr="0075296A" w:rsidTr="00445A5F">
        <w:trPr>
          <w:trHeight w:val="340"/>
          <w:jc w:val="center"/>
        </w:trPr>
        <w:tc>
          <w:tcPr>
            <w:tcW w:w="3213"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rPr>
                <w:rFonts w:eastAsia="Times New Roman"/>
                <w:color w:val="000000"/>
                <w:sz w:val="20"/>
                <w:szCs w:val="20"/>
                <w:lang w:eastAsia="en-GB"/>
              </w:rPr>
            </w:pPr>
            <w:r w:rsidRPr="0075296A">
              <w:rPr>
                <w:rFonts w:eastAsia="Times New Roman"/>
                <w:color w:val="000000"/>
                <w:sz w:val="20"/>
                <w:szCs w:val="20"/>
                <w:lang w:eastAsia="en-GB"/>
              </w:rPr>
              <w:t>Have a second paid job</w:t>
            </w:r>
          </w:p>
        </w:tc>
        <w:tc>
          <w:tcPr>
            <w:tcW w:w="1119"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312"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139"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236"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056"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c>
          <w:tcPr>
            <w:tcW w:w="1184" w:type="dxa"/>
            <w:tcBorders>
              <w:top w:val="nil"/>
              <w:left w:val="nil"/>
              <w:bottom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p>
        </w:tc>
      </w:tr>
      <w:tr w:rsidR="00262CAF" w:rsidRPr="0075296A" w:rsidTr="00445A5F">
        <w:trPr>
          <w:trHeight w:val="340"/>
          <w:jc w:val="center"/>
        </w:trPr>
        <w:tc>
          <w:tcPr>
            <w:tcW w:w="3213" w:type="dxa"/>
            <w:tcBorders>
              <w:top w:val="nil"/>
              <w:left w:val="nil"/>
              <w:right w:val="nil"/>
            </w:tcBorders>
            <w:shd w:val="clear" w:color="auto" w:fill="auto"/>
            <w:vAlign w:val="bottom"/>
            <w:hideMark/>
          </w:tcPr>
          <w:p w:rsidR="00262CAF" w:rsidRPr="0075296A" w:rsidRDefault="00262CAF" w:rsidP="00F75E0F">
            <w:pPr>
              <w:widowControl w:val="0"/>
              <w:spacing w:line="240" w:lineRule="auto"/>
              <w:ind w:firstLineChars="153" w:firstLine="306"/>
              <w:rPr>
                <w:rFonts w:eastAsia="Times New Roman"/>
                <w:color w:val="000000"/>
                <w:sz w:val="20"/>
                <w:szCs w:val="20"/>
                <w:lang w:eastAsia="en-GB"/>
              </w:rPr>
            </w:pPr>
            <w:r w:rsidRPr="0075296A">
              <w:rPr>
                <w:rFonts w:eastAsia="Times New Roman"/>
                <w:color w:val="000000"/>
                <w:sz w:val="20"/>
                <w:szCs w:val="20"/>
                <w:lang w:eastAsia="en-GB"/>
              </w:rPr>
              <w:t xml:space="preserve">No </w:t>
            </w:r>
          </w:p>
        </w:tc>
        <w:tc>
          <w:tcPr>
            <w:tcW w:w="1119" w:type="dxa"/>
            <w:tcBorders>
              <w:top w:val="nil"/>
              <w:left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4612</w:t>
            </w:r>
          </w:p>
        </w:tc>
        <w:tc>
          <w:tcPr>
            <w:tcW w:w="1312" w:type="dxa"/>
            <w:tcBorders>
              <w:top w:val="nil"/>
              <w:left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317</w:t>
            </w:r>
          </w:p>
        </w:tc>
        <w:tc>
          <w:tcPr>
            <w:tcW w:w="2375" w:type="dxa"/>
            <w:gridSpan w:val="2"/>
            <w:tcBorders>
              <w:top w:val="nil"/>
              <w:left w:val="nil"/>
              <w:right w:val="nil"/>
            </w:tcBorders>
            <w:shd w:val="clear" w:color="auto" w:fill="auto"/>
            <w:vAlign w:val="bottom"/>
            <w:hideMark/>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Reference</w:t>
            </w:r>
          </w:p>
        </w:tc>
        <w:tc>
          <w:tcPr>
            <w:tcW w:w="2240" w:type="dxa"/>
            <w:gridSpan w:val="2"/>
            <w:tcBorders>
              <w:top w:val="nil"/>
              <w:left w:val="nil"/>
              <w:right w:val="nil"/>
            </w:tcBorders>
            <w:shd w:val="clear" w:color="auto" w:fill="auto"/>
            <w:vAlign w:val="bottom"/>
          </w:tcPr>
          <w:p w:rsidR="00262CAF" w:rsidRPr="0075296A" w:rsidRDefault="00262CA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Reference</w:t>
            </w:r>
          </w:p>
        </w:tc>
      </w:tr>
      <w:tr w:rsidR="00445A5F" w:rsidRPr="0075296A" w:rsidTr="00445A5F">
        <w:trPr>
          <w:trHeight w:val="340"/>
          <w:jc w:val="center"/>
        </w:trPr>
        <w:tc>
          <w:tcPr>
            <w:tcW w:w="3213" w:type="dxa"/>
            <w:tcBorders>
              <w:top w:val="nil"/>
              <w:left w:val="nil"/>
              <w:bottom w:val="single" w:sz="12" w:space="0" w:color="auto"/>
              <w:right w:val="nil"/>
            </w:tcBorders>
            <w:shd w:val="clear" w:color="auto" w:fill="auto"/>
            <w:vAlign w:val="bottom"/>
            <w:hideMark/>
          </w:tcPr>
          <w:p w:rsidR="00445A5F" w:rsidRPr="0075296A" w:rsidRDefault="00445A5F" w:rsidP="00F75E0F">
            <w:pPr>
              <w:widowControl w:val="0"/>
              <w:spacing w:line="240" w:lineRule="auto"/>
              <w:ind w:firstLineChars="153" w:firstLine="306"/>
              <w:rPr>
                <w:rFonts w:eastAsia="Times New Roman"/>
                <w:color w:val="000000"/>
                <w:sz w:val="20"/>
                <w:szCs w:val="20"/>
                <w:lang w:eastAsia="en-GB"/>
              </w:rPr>
            </w:pPr>
            <w:r w:rsidRPr="0075296A">
              <w:rPr>
                <w:rFonts w:eastAsia="Times New Roman"/>
                <w:color w:val="000000"/>
                <w:sz w:val="20"/>
                <w:szCs w:val="20"/>
                <w:lang w:eastAsia="en-GB"/>
              </w:rPr>
              <w:t>Yes</w:t>
            </w:r>
          </w:p>
        </w:tc>
        <w:tc>
          <w:tcPr>
            <w:tcW w:w="1119" w:type="dxa"/>
            <w:tcBorders>
              <w:top w:val="nil"/>
              <w:left w:val="nil"/>
              <w:bottom w:val="single" w:sz="12" w:space="0" w:color="auto"/>
              <w:right w:val="nil"/>
            </w:tcBorders>
            <w:shd w:val="clear" w:color="auto" w:fill="auto"/>
            <w:vAlign w:val="bottom"/>
            <w:hideMark/>
          </w:tcPr>
          <w:p w:rsidR="00445A5F" w:rsidRPr="0075296A" w:rsidRDefault="00445A5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418</w:t>
            </w:r>
          </w:p>
        </w:tc>
        <w:tc>
          <w:tcPr>
            <w:tcW w:w="1312" w:type="dxa"/>
            <w:tcBorders>
              <w:top w:val="nil"/>
              <w:left w:val="nil"/>
              <w:bottom w:val="single" w:sz="12" w:space="0" w:color="auto"/>
              <w:right w:val="nil"/>
            </w:tcBorders>
            <w:shd w:val="clear" w:color="auto" w:fill="auto"/>
            <w:vAlign w:val="bottom"/>
            <w:hideMark/>
          </w:tcPr>
          <w:p w:rsidR="00445A5F" w:rsidRPr="0075296A" w:rsidRDefault="00445A5F" w:rsidP="00F75E0F">
            <w:pPr>
              <w:widowControl w:val="0"/>
              <w:spacing w:line="240" w:lineRule="auto"/>
              <w:jc w:val="center"/>
              <w:rPr>
                <w:rFonts w:eastAsia="Times New Roman"/>
                <w:color w:val="000000"/>
                <w:sz w:val="20"/>
                <w:szCs w:val="20"/>
                <w:lang w:eastAsia="en-GB"/>
              </w:rPr>
            </w:pPr>
            <w:r w:rsidRPr="0075296A">
              <w:rPr>
                <w:rFonts w:eastAsia="Times New Roman"/>
                <w:color w:val="000000"/>
                <w:sz w:val="20"/>
                <w:szCs w:val="20"/>
                <w:lang w:eastAsia="en-GB"/>
              </w:rPr>
              <w:t>27</w:t>
            </w:r>
          </w:p>
        </w:tc>
        <w:tc>
          <w:tcPr>
            <w:tcW w:w="1139" w:type="dxa"/>
            <w:tcBorders>
              <w:top w:val="nil"/>
              <w:left w:val="nil"/>
              <w:bottom w:val="single" w:sz="12" w:space="0" w:color="auto"/>
              <w:right w:val="nil"/>
            </w:tcBorders>
            <w:shd w:val="clear" w:color="auto" w:fill="auto"/>
            <w:noWrap/>
            <w:vAlign w:val="bottom"/>
            <w:hideMark/>
          </w:tcPr>
          <w:p w:rsidR="00445A5F" w:rsidRPr="0075296A" w:rsidRDefault="00445A5F" w:rsidP="00F75E0F">
            <w:pPr>
              <w:widowControl w:val="0"/>
              <w:spacing w:line="240" w:lineRule="auto"/>
              <w:jc w:val="right"/>
              <w:rPr>
                <w:rFonts w:eastAsia="Times New Roman"/>
                <w:color w:val="000000"/>
                <w:sz w:val="20"/>
                <w:szCs w:val="20"/>
                <w:lang w:eastAsia="en-GB"/>
              </w:rPr>
            </w:pPr>
            <w:r w:rsidRPr="0075296A">
              <w:rPr>
                <w:rFonts w:eastAsia="Times New Roman"/>
                <w:color w:val="000000"/>
                <w:sz w:val="20"/>
                <w:szCs w:val="20"/>
                <w:lang w:eastAsia="en-GB"/>
              </w:rPr>
              <w:t>0.95</w:t>
            </w:r>
          </w:p>
        </w:tc>
        <w:tc>
          <w:tcPr>
            <w:tcW w:w="1236" w:type="dxa"/>
            <w:tcBorders>
              <w:top w:val="nil"/>
              <w:left w:val="nil"/>
              <w:bottom w:val="single" w:sz="12" w:space="0" w:color="auto"/>
              <w:right w:val="nil"/>
            </w:tcBorders>
            <w:shd w:val="clear" w:color="auto" w:fill="auto"/>
            <w:noWrap/>
            <w:vAlign w:val="bottom"/>
            <w:hideMark/>
          </w:tcPr>
          <w:p w:rsidR="00445A5F" w:rsidRPr="0075296A" w:rsidRDefault="00445A5F" w:rsidP="00F75E0F">
            <w:pPr>
              <w:widowControl w:val="0"/>
              <w:spacing w:line="240" w:lineRule="auto"/>
              <w:rPr>
                <w:rFonts w:eastAsia="Times New Roman"/>
                <w:color w:val="000000"/>
                <w:sz w:val="20"/>
                <w:szCs w:val="20"/>
                <w:lang w:eastAsia="en-GB"/>
              </w:rPr>
            </w:pPr>
            <w:r w:rsidRPr="0075296A">
              <w:rPr>
                <w:rFonts w:eastAsia="Times New Roman"/>
                <w:color w:val="000000"/>
                <w:sz w:val="20"/>
                <w:szCs w:val="20"/>
                <w:lang w:eastAsia="en-GB"/>
              </w:rPr>
              <w:t>(0.63,1.43)</w:t>
            </w:r>
          </w:p>
        </w:tc>
        <w:tc>
          <w:tcPr>
            <w:tcW w:w="1056" w:type="dxa"/>
            <w:tcBorders>
              <w:top w:val="nil"/>
              <w:left w:val="nil"/>
              <w:bottom w:val="single" w:sz="12" w:space="0" w:color="auto"/>
              <w:right w:val="nil"/>
            </w:tcBorders>
            <w:shd w:val="clear" w:color="auto" w:fill="auto"/>
            <w:vAlign w:val="bottom"/>
            <w:hideMark/>
          </w:tcPr>
          <w:p w:rsidR="00445A5F" w:rsidRDefault="00445A5F">
            <w:pPr>
              <w:widowControl w:val="0"/>
              <w:jc w:val="right"/>
              <w:rPr>
                <w:color w:val="000000"/>
                <w:sz w:val="20"/>
                <w:szCs w:val="20"/>
              </w:rPr>
            </w:pPr>
            <w:r>
              <w:rPr>
                <w:color w:val="000000"/>
                <w:sz w:val="20"/>
                <w:szCs w:val="20"/>
              </w:rPr>
              <w:t>1.00</w:t>
            </w:r>
          </w:p>
        </w:tc>
        <w:tc>
          <w:tcPr>
            <w:tcW w:w="1184" w:type="dxa"/>
            <w:tcBorders>
              <w:top w:val="nil"/>
              <w:left w:val="nil"/>
              <w:bottom w:val="single" w:sz="12" w:space="0" w:color="auto"/>
              <w:right w:val="nil"/>
            </w:tcBorders>
            <w:shd w:val="clear" w:color="auto" w:fill="auto"/>
            <w:vAlign w:val="bottom"/>
            <w:hideMark/>
          </w:tcPr>
          <w:p w:rsidR="00445A5F" w:rsidRDefault="00445A5F">
            <w:pPr>
              <w:widowControl w:val="0"/>
              <w:rPr>
                <w:color w:val="000000"/>
                <w:sz w:val="20"/>
                <w:szCs w:val="20"/>
              </w:rPr>
            </w:pPr>
            <w:r>
              <w:rPr>
                <w:color w:val="000000"/>
                <w:sz w:val="20"/>
                <w:szCs w:val="20"/>
              </w:rPr>
              <w:t>(0.65,1.53)</w:t>
            </w:r>
          </w:p>
        </w:tc>
      </w:tr>
    </w:tbl>
    <w:p w:rsidR="00445A5F" w:rsidRDefault="00445A5F" w:rsidP="00262CAF">
      <w:pPr>
        <w:widowControl w:val="0"/>
        <w:rPr>
          <w:vertAlign w:val="superscript"/>
        </w:rPr>
      </w:pPr>
    </w:p>
    <w:p w:rsidR="00262CAF" w:rsidRDefault="00262CAF" w:rsidP="00262CAF">
      <w:pPr>
        <w:widowControl w:val="0"/>
      </w:pPr>
      <w:proofErr w:type="spellStart"/>
      <w:proofErr w:type="gramStart"/>
      <w:r w:rsidRPr="00E80B50">
        <w:rPr>
          <w:vertAlign w:val="superscript"/>
        </w:rPr>
        <w:t>a</w:t>
      </w:r>
      <w:r w:rsidRPr="0076205A">
        <w:t>Adjusted</w:t>
      </w:r>
      <w:proofErr w:type="spellEnd"/>
      <w:proofErr w:type="gramEnd"/>
      <w:r w:rsidRPr="0076205A">
        <w:t xml:space="preserve"> only for sex and age</w:t>
      </w:r>
    </w:p>
    <w:p w:rsidR="00262CAF" w:rsidRDefault="00262CAF" w:rsidP="00262CAF">
      <w:pPr>
        <w:widowControl w:val="0"/>
      </w:pPr>
      <w:proofErr w:type="spellStart"/>
      <w:proofErr w:type="gramStart"/>
      <w:r w:rsidRPr="00E80B50">
        <w:rPr>
          <w:vertAlign w:val="superscript"/>
        </w:rPr>
        <w:t>b</w:t>
      </w:r>
      <w:r w:rsidRPr="0076205A">
        <w:t>Mutually</w:t>
      </w:r>
      <w:proofErr w:type="spellEnd"/>
      <w:proofErr w:type="gramEnd"/>
      <w:r w:rsidRPr="0076205A">
        <w:t xml:space="preserve"> adjusted risk estimates derived from a single logistic regression</w:t>
      </w:r>
      <w:r>
        <w:t xml:space="preserve"> model (type of contract was excluded because of overlap with work status)</w:t>
      </w:r>
    </w:p>
    <w:p w:rsidR="00262CAF" w:rsidRDefault="00262CAF" w:rsidP="00262CAF">
      <w:pPr>
        <w:widowControl w:val="0"/>
        <w:sectPr w:rsidR="00262CAF" w:rsidSect="00F75E0F">
          <w:footerReference w:type="default" r:id="rId13"/>
          <w:pgSz w:w="11906" w:h="16838"/>
          <w:pgMar w:top="1440" w:right="1440" w:bottom="1440" w:left="1440" w:header="708" w:footer="708" w:gutter="0"/>
          <w:cols w:space="708"/>
          <w:docGrid w:linePitch="360"/>
        </w:sectPr>
      </w:pPr>
    </w:p>
    <w:p w:rsidR="00262CAF" w:rsidRDefault="00262CAF" w:rsidP="00262CAF">
      <w:pPr>
        <w:pStyle w:val="Heading4"/>
        <w:widowControl w:val="0"/>
      </w:pPr>
      <w:r>
        <w:lastRenderedPageBreak/>
        <w:t xml:space="preserve">Table </w:t>
      </w:r>
      <w:r w:rsidR="00EE0306">
        <w:t>3</w:t>
      </w:r>
      <w:r>
        <w:tab/>
      </w:r>
      <w:r>
        <w:tab/>
      </w:r>
      <w:r w:rsidR="007B6B1F">
        <w:t>Contributions of negative perceptions of work to overall job dissatisfaction</w:t>
      </w:r>
    </w:p>
    <w:p w:rsidR="00262CAF" w:rsidRPr="00C31269" w:rsidRDefault="00262CAF" w:rsidP="00262CAF">
      <w:pPr>
        <w:widowControl w:val="0"/>
      </w:pPr>
    </w:p>
    <w:tbl>
      <w:tblPr>
        <w:tblW w:w="13623" w:type="dxa"/>
        <w:tblInd w:w="93" w:type="dxa"/>
        <w:tblLayout w:type="fixed"/>
        <w:tblLook w:val="04A0" w:firstRow="1" w:lastRow="0" w:firstColumn="1" w:lastColumn="0" w:noHBand="0" w:noVBand="1"/>
      </w:tblPr>
      <w:tblGrid>
        <w:gridCol w:w="2992"/>
        <w:gridCol w:w="303"/>
        <w:gridCol w:w="2532"/>
        <w:gridCol w:w="2693"/>
        <w:gridCol w:w="284"/>
        <w:gridCol w:w="850"/>
        <w:gridCol w:w="1701"/>
        <w:gridCol w:w="851"/>
        <w:gridCol w:w="1417"/>
      </w:tblGrid>
      <w:tr w:rsidR="00262CAF" w:rsidRPr="00CD63CA" w:rsidTr="00F75E0F">
        <w:trPr>
          <w:trHeight w:val="525"/>
        </w:trPr>
        <w:tc>
          <w:tcPr>
            <w:tcW w:w="2992" w:type="dxa"/>
            <w:tcBorders>
              <w:top w:val="single" w:sz="12" w:space="0" w:color="auto"/>
              <w:left w:val="nil"/>
              <w:bottom w:val="nil"/>
              <w:right w:val="nil"/>
            </w:tcBorders>
            <w:shd w:val="clear" w:color="auto" w:fill="auto"/>
            <w:vAlign w:val="center"/>
            <w:hideMark/>
          </w:tcPr>
          <w:p w:rsidR="00262CAF" w:rsidRPr="006107A5" w:rsidRDefault="007B6B1F" w:rsidP="00887A45">
            <w:pPr>
              <w:widowControl w:val="0"/>
              <w:spacing w:line="240" w:lineRule="auto"/>
              <w:rPr>
                <w:rFonts w:eastAsia="Times New Roman"/>
                <w:b/>
                <w:bCs/>
                <w:color w:val="000000"/>
                <w:sz w:val="20"/>
                <w:szCs w:val="20"/>
                <w:lang w:eastAsia="en-GB"/>
              </w:rPr>
            </w:pPr>
            <w:r>
              <w:rPr>
                <w:rFonts w:eastAsia="Times New Roman"/>
                <w:b/>
                <w:bCs/>
                <w:color w:val="000000"/>
                <w:sz w:val="20"/>
                <w:szCs w:val="20"/>
                <w:lang w:eastAsia="en-GB"/>
              </w:rPr>
              <w:t>Perception</w:t>
            </w:r>
          </w:p>
        </w:tc>
        <w:tc>
          <w:tcPr>
            <w:tcW w:w="303" w:type="dxa"/>
            <w:tcBorders>
              <w:top w:val="single" w:sz="12" w:space="0" w:color="auto"/>
              <w:left w:val="nil"/>
              <w:bottom w:val="nil"/>
              <w:right w:val="nil"/>
            </w:tcBorders>
            <w:shd w:val="clear" w:color="auto" w:fill="auto"/>
            <w:vAlign w:val="center"/>
            <w:hideMark/>
          </w:tcPr>
          <w:p w:rsidR="00262CAF" w:rsidRPr="006107A5" w:rsidRDefault="00262CAF" w:rsidP="00F75E0F">
            <w:pPr>
              <w:widowControl w:val="0"/>
              <w:spacing w:line="240" w:lineRule="auto"/>
              <w:jc w:val="center"/>
              <w:rPr>
                <w:rFonts w:eastAsia="Times New Roman"/>
                <w:b/>
                <w:bCs/>
                <w:color w:val="000000"/>
                <w:sz w:val="20"/>
                <w:szCs w:val="20"/>
                <w:lang w:eastAsia="en-GB"/>
              </w:rPr>
            </w:pPr>
          </w:p>
        </w:tc>
        <w:tc>
          <w:tcPr>
            <w:tcW w:w="5225" w:type="dxa"/>
            <w:gridSpan w:val="2"/>
            <w:tcBorders>
              <w:top w:val="single" w:sz="12" w:space="0" w:color="auto"/>
              <w:left w:val="nil"/>
              <w:bottom w:val="nil"/>
              <w:right w:val="nil"/>
            </w:tcBorders>
            <w:shd w:val="clear" w:color="auto" w:fill="auto"/>
            <w:vAlign w:val="center"/>
            <w:hideMark/>
          </w:tcPr>
          <w:p w:rsidR="00262CAF" w:rsidRPr="006107A5" w:rsidRDefault="00262CAF" w:rsidP="007B6B1F">
            <w:pPr>
              <w:widowControl w:val="0"/>
              <w:spacing w:line="240" w:lineRule="auto"/>
              <w:jc w:val="center"/>
              <w:rPr>
                <w:rFonts w:eastAsia="Times New Roman"/>
                <w:b/>
                <w:bCs/>
                <w:color w:val="000000"/>
                <w:sz w:val="20"/>
                <w:szCs w:val="20"/>
                <w:lang w:eastAsia="en-GB"/>
              </w:rPr>
            </w:pPr>
            <w:r w:rsidRPr="006107A5">
              <w:rPr>
                <w:rFonts w:eastAsia="Times New Roman"/>
                <w:b/>
                <w:bCs/>
                <w:color w:val="000000"/>
                <w:sz w:val="20"/>
                <w:szCs w:val="20"/>
                <w:lang w:eastAsia="en-GB"/>
              </w:rPr>
              <w:t xml:space="preserve">Number (%) reporting </w:t>
            </w:r>
            <w:r w:rsidR="007B6B1F">
              <w:rPr>
                <w:rFonts w:eastAsia="Times New Roman"/>
                <w:b/>
                <w:bCs/>
                <w:color w:val="000000"/>
                <w:sz w:val="20"/>
                <w:szCs w:val="20"/>
                <w:lang w:eastAsia="en-GB"/>
              </w:rPr>
              <w:t>perception</w:t>
            </w:r>
          </w:p>
        </w:tc>
        <w:tc>
          <w:tcPr>
            <w:tcW w:w="284" w:type="dxa"/>
            <w:tcBorders>
              <w:top w:val="single" w:sz="12" w:space="0" w:color="auto"/>
              <w:left w:val="nil"/>
              <w:bottom w:val="nil"/>
              <w:right w:val="nil"/>
            </w:tcBorders>
            <w:shd w:val="clear" w:color="auto" w:fill="auto"/>
            <w:vAlign w:val="center"/>
            <w:hideMark/>
          </w:tcPr>
          <w:p w:rsidR="00262CAF" w:rsidRPr="006107A5" w:rsidRDefault="00262CAF" w:rsidP="00F75E0F">
            <w:pPr>
              <w:widowControl w:val="0"/>
              <w:spacing w:line="240" w:lineRule="auto"/>
              <w:jc w:val="center"/>
              <w:rPr>
                <w:rFonts w:eastAsia="Times New Roman"/>
                <w:b/>
                <w:bCs/>
                <w:color w:val="000000"/>
                <w:sz w:val="20"/>
                <w:szCs w:val="20"/>
                <w:lang w:eastAsia="en-GB"/>
              </w:rPr>
            </w:pPr>
          </w:p>
        </w:tc>
        <w:tc>
          <w:tcPr>
            <w:tcW w:w="4819" w:type="dxa"/>
            <w:gridSpan w:val="4"/>
            <w:tcBorders>
              <w:top w:val="single" w:sz="12" w:space="0" w:color="auto"/>
              <w:left w:val="nil"/>
              <w:bottom w:val="nil"/>
              <w:right w:val="nil"/>
            </w:tcBorders>
            <w:shd w:val="clear" w:color="auto" w:fill="auto"/>
            <w:vAlign w:val="center"/>
            <w:hideMark/>
          </w:tcPr>
          <w:p w:rsidR="00262CAF" w:rsidRPr="006107A5" w:rsidRDefault="00262CAF" w:rsidP="00F75E0F">
            <w:pPr>
              <w:widowControl w:val="0"/>
              <w:spacing w:line="240" w:lineRule="auto"/>
              <w:jc w:val="center"/>
              <w:rPr>
                <w:rFonts w:eastAsia="Times New Roman"/>
                <w:b/>
                <w:bCs/>
                <w:color w:val="000000"/>
                <w:sz w:val="20"/>
                <w:szCs w:val="20"/>
                <w:lang w:eastAsia="en-GB"/>
              </w:rPr>
            </w:pPr>
            <w:r w:rsidRPr="006107A5">
              <w:rPr>
                <w:rFonts w:eastAsia="Times New Roman"/>
                <w:b/>
                <w:bCs/>
                <w:color w:val="000000"/>
                <w:sz w:val="20"/>
                <w:szCs w:val="20"/>
                <w:lang w:eastAsia="en-GB"/>
              </w:rPr>
              <w:t>Association with overall job dissatisfaction</w:t>
            </w:r>
          </w:p>
        </w:tc>
      </w:tr>
      <w:tr w:rsidR="00262CAF" w:rsidRPr="00CD63CA" w:rsidTr="00F75E0F">
        <w:trPr>
          <w:trHeight w:val="850"/>
        </w:trPr>
        <w:tc>
          <w:tcPr>
            <w:tcW w:w="2992" w:type="dxa"/>
            <w:tcBorders>
              <w:top w:val="nil"/>
              <w:left w:val="nil"/>
              <w:bottom w:val="single" w:sz="12" w:space="0" w:color="000000"/>
              <w:right w:val="nil"/>
            </w:tcBorders>
            <w:shd w:val="clear" w:color="auto" w:fill="auto"/>
            <w:vAlign w:val="center"/>
            <w:hideMark/>
          </w:tcPr>
          <w:p w:rsidR="00262CAF" w:rsidRPr="006107A5" w:rsidRDefault="00262CAF" w:rsidP="00F75E0F">
            <w:pPr>
              <w:widowControl w:val="0"/>
              <w:spacing w:line="240" w:lineRule="auto"/>
              <w:jc w:val="center"/>
              <w:rPr>
                <w:rFonts w:eastAsia="Times New Roman"/>
                <w:b/>
                <w:bCs/>
                <w:color w:val="000000"/>
                <w:sz w:val="20"/>
                <w:szCs w:val="20"/>
                <w:lang w:eastAsia="en-GB"/>
              </w:rPr>
            </w:pPr>
          </w:p>
        </w:tc>
        <w:tc>
          <w:tcPr>
            <w:tcW w:w="303" w:type="dxa"/>
            <w:tcBorders>
              <w:top w:val="nil"/>
              <w:left w:val="nil"/>
              <w:bottom w:val="single" w:sz="12" w:space="0" w:color="auto"/>
              <w:right w:val="nil"/>
            </w:tcBorders>
            <w:shd w:val="clear" w:color="auto" w:fill="auto"/>
            <w:vAlign w:val="center"/>
            <w:hideMark/>
          </w:tcPr>
          <w:p w:rsidR="00262CAF" w:rsidRPr="006107A5" w:rsidRDefault="00262CAF" w:rsidP="00F75E0F">
            <w:pPr>
              <w:widowControl w:val="0"/>
              <w:spacing w:line="240" w:lineRule="auto"/>
              <w:jc w:val="center"/>
              <w:rPr>
                <w:rFonts w:eastAsia="Times New Roman"/>
                <w:b/>
                <w:bCs/>
                <w:color w:val="000000"/>
                <w:sz w:val="20"/>
                <w:szCs w:val="20"/>
                <w:lang w:eastAsia="en-GB"/>
              </w:rPr>
            </w:pPr>
          </w:p>
        </w:tc>
        <w:tc>
          <w:tcPr>
            <w:tcW w:w="2532" w:type="dxa"/>
            <w:tcBorders>
              <w:top w:val="nil"/>
              <w:left w:val="nil"/>
              <w:bottom w:val="single" w:sz="12" w:space="0" w:color="auto"/>
              <w:right w:val="nil"/>
            </w:tcBorders>
            <w:shd w:val="clear" w:color="auto" w:fill="auto"/>
            <w:vAlign w:val="center"/>
            <w:hideMark/>
          </w:tcPr>
          <w:p w:rsidR="00262CAF" w:rsidRPr="006107A5" w:rsidRDefault="00262CAF" w:rsidP="00F75E0F">
            <w:pPr>
              <w:widowControl w:val="0"/>
              <w:spacing w:line="240" w:lineRule="auto"/>
              <w:jc w:val="center"/>
              <w:rPr>
                <w:rFonts w:eastAsia="Times New Roman"/>
                <w:b/>
                <w:bCs/>
                <w:color w:val="000000"/>
                <w:sz w:val="20"/>
                <w:szCs w:val="20"/>
                <w:lang w:eastAsia="en-GB"/>
              </w:rPr>
            </w:pPr>
            <w:r w:rsidRPr="006107A5">
              <w:rPr>
                <w:rFonts w:eastAsia="Times New Roman"/>
                <w:b/>
                <w:bCs/>
                <w:color w:val="000000"/>
                <w:sz w:val="20"/>
                <w:szCs w:val="20"/>
                <w:lang w:eastAsia="en-GB"/>
              </w:rPr>
              <w:t>Among all subjects</w:t>
            </w:r>
          </w:p>
          <w:p w:rsidR="00262CAF" w:rsidRPr="006107A5" w:rsidRDefault="00262CAF" w:rsidP="00F75E0F">
            <w:pPr>
              <w:widowControl w:val="0"/>
              <w:spacing w:line="240" w:lineRule="auto"/>
              <w:jc w:val="center"/>
              <w:rPr>
                <w:rFonts w:eastAsia="Times New Roman"/>
                <w:b/>
                <w:bCs/>
                <w:color w:val="000000"/>
                <w:sz w:val="20"/>
                <w:szCs w:val="20"/>
                <w:lang w:eastAsia="en-GB"/>
              </w:rPr>
            </w:pPr>
            <w:r w:rsidRPr="006107A5">
              <w:rPr>
                <w:rFonts w:eastAsia="Times New Roman"/>
                <w:b/>
                <w:bCs/>
                <w:color w:val="000000"/>
                <w:sz w:val="20"/>
                <w:szCs w:val="20"/>
                <w:lang w:eastAsia="en-GB"/>
              </w:rPr>
              <w:t>(n = 5437)</w:t>
            </w:r>
          </w:p>
        </w:tc>
        <w:tc>
          <w:tcPr>
            <w:tcW w:w="2693" w:type="dxa"/>
            <w:tcBorders>
              <w:top w:val="nil"/>
              <w:left w:val="nil"/>
              <w:bottom w:val="single" w:sz="12" w:space="0" w:color="auto"/>
              <w:right w:val="nil"/>
            </w:tcBorders>
            <w:shd w:val="clear" w:color="auto" w:fill="auto"/>
            <w:vAlign w:val="center"/>
            <w:hideMark/>
          </w:tcPr>
          <w:p w:rsidR="00262CAF" w:rsidRPr="006107A5" w:rsidRDefault="00262CAF" w:rsidP="00F75E0F">
            <w:pPr>
              <w:widowControl w:val="0"/>
              <w:spacing w:line="240" w:lineRule="auto"/>
              <w:jc w:val="center"/>
              <w:rPr>
                <w:rFonts w:eastAsia="Times New Roman"/>
                <w:b/>
                <w:bCs/>
                <w:color w:val="000000"/>
                <w:sz w:val="20"/>
                <w:szCs w:val="20"/>
                <w:lang w:eastAsia="en-GB"/>
              </w:rPr>
            </w:pPr>
            <w:r w:rsidRPr="006107A5">
              <w:rPr>
                <w:rFonts w:eastAsia="Times New Roman"/>
                <w:b/>
                <w:bCs/>
                <w:color w:val="000000"/>
                <w:sz w:val="20"/>
                <w:szCs w:val="20"/>
                <w:lang w:eastAsia="en-GB"/>
              </w:rPr>
              <w:t>Among subjects with overall job dissatisfaction</w:t>
            </w:r>
          </w:p>
          <w:p w:rsidR="00262CAF" w:rsidRPr="006107A5" w:rsidRDefault="00262CAF" w:rsidP="00F75E0F">
            <w:pPr>
              <w:widowControl w:val="0"/>
              <w:spacing w:line="240" w:lineRule="auto"/>
              <w:jc w:val="center"/>
              <w:rPr>
                <w:rFonts w:eastAsia="Times New Roman"/>
                <w:b/>
                <w:bCs/>
                <w:color w:val="000000"/>
                <w:sz w:val="20"/>
                <w:szCs w:val="20"/>
                <w:lang w:eastAsia="en-GB"/>
              </w:rPr>
            </w:pPr>
            <w:r w:rsidRPr="006107A5">
              <w:rPr>
                <w:rFonts w:eastAsia="Times New Roman"/>
                <w:b/>
                <w:bCs/>
                <w:color w:val="000000"/>
                <w:sz w:val="20"/>
                <w:szCs w:val="20"/>
                <w:lang w:eastAsia="en-GB"/>
              </w:rPr>
              <w:t>(n = 368)</w:t>
            </w:r>
          </w:p>
        </w:tc>
        <w:tc>
          <w:tcPr>
            <w:tcW w:w="284" w:type="dxa"/>
            <w:tcBorders>
              <w:top w:val="nil"/>
              <w:left w:val="nil"/>
              <w:bottom w:val="single" w:sz="12" w:space="0" w:color="auto"/>
              <w:right w:val="nil"/>
            </w:tcBorders>
            <w:shd w:val="clear" w:color="auto" w:fill="auto"/>
            <w:vAlign w:val="center"/>
            <w:hideMark/>
          </w:tcPr>
          <w:p w:rsidR="00262CAF" w:rsidRPr="006107A5" w:rsidRDefault="00262CAF" w:rsidP="00F75E0F">
            <w:pPr>
              <w:widowControl w:val="0"/>
              <w:spacing w:line="240" w:lineRule="auto"/>
              <w:jc w:val="center"/>
              <w:rPr>
                <w:rFonts w:eastAsia="Times New Roman"/>
                <w:b/>
                <w:bCs/>
                <w:color w:val="000000"/>
                <w:sz w:val="20"/>
                <w:szCs w:val="20"/>
                <w:lang w:eastAsia="en-GB"/>
              </w:rPr>
            </w:pPr>
          </w:p>
        </w:tc>
        <w:tc>
          <w:tcPr>
            <w:tcW w:w="850" w:type="dxa"/>
            <w:tcBorders>
              <w:top w:val="nil"/>
              <w:left w:val="nil"/>
              <w:bottom w:val="single" w:sz="12" w:space="0" w:color="auto"/>
              <w:right w:val="nil"/>
            </w:tcBorders>
            <w:shd w:val="clear" w:color="auto" w:fill="auto"/>
            <w:vAlign w:val="center"/>
            <w:hideMark/>
          </w:tcPr>
          <w:p w:rsidR="00262CAF" w:rsidRPr="006107A5" w:rsidRDefault="00262CAF" w:rsidP="00F75E0F">
            <w:pPr>
              <w:widowControl w:val="0"/>
              <w:spacing w:line="240" w:lineRule="auto"/>
              <w:jc w:val="right"/>
              <w:rPr>
                <w:rFonts w:eastAsia="Times New Roman"/>
                <w:b/>
                <w:bCs/>
                <w:color w:val="000000"/>
                <w:sz w:val="20"/>
                <w:szCs w:val="20"/>
                <w:lang w:eastAsia="en-GB"/>
              </w:rPr>
            </w:pPr>
            <w:proofErr w:type="spellStart"/>
            <w:r>
              <w:rPr>
                <w:rFonts w:eastAsia="Times New Roman"/>
                <w:b/>
                <w:bCs/>
                <w:color w:val="000000"/>
                <w:sz w:val="20"/>
                <w:szCs w:val="20"/>
                <w:vertAlign w:val="superscript"/>
                <w:lang w:eastAsia="en-GB"/>
              </w:rPr>
              <w:t>a</w:t>
            </w:r>
            <w:r w:rsidRPr="006107A5">
              <w:rPr>
                <w:rFonts w:eastAsia="Times New Roman"/>
                <w:b/>
                <w:bCs/>
                <w:color w:val="000000"/>
                <w:sz w:val="20"/>
                <w:szCs w:val="20"/>
                <w:lang w:eastAsia="en-GB"/>
              </w:rPr>
              <w:t>O</w:t>
            </w:r>
            <w:r>
              <w:rPr>
                <w:rFonts w:eastAsia="Times New Roman"/>
                <w:b/>
                <w:bCs/>
                <w:color w:val="000000"/>
                <w:sz w:val="20"/>
                <w:szCs w:val="20"/>
                <w:lang w:eastAsia="en-GB"/>
              </w:rPr>
              <w:t>R</w:t>
            </w:r>
            <w:proofErr w:type="spellEnd"/>
          </w:p>
          <w:p w:rsidR="00262CAF" w:rsidRPr="006107A5" w:rsidRDefault="00262CAF" w:rsidP="00F75E0F">
            <w:pPr>
              <w:widowControl w:val="0"/>
              <w:spacing w:line="240" w:lineRule="auto"/>
              <w:jc w:val="right"/>
              <w:rPr>
                <w:rFonts w:eastAsia="Times New Roman"/>
                <w:b/>
                <w:bCs/>
                <w:color w:val="000000"/>
                <w:sz w:val="20"/>
                <w:szCs w:val="20"/>
                <w:lang w:eastAsia="en-GB"/>
              </w:rPr>
            </w:pPr>
          </w:p>
        </w:tc>
        <w:tc>
          <w:tcPr>
            <w:tcW w:w="1701" w:type="dxa"/>
            <w:tcBorders>
              <w:top w:val="nil"/>
              <w:left w:val="nil"/>
              <w:bottom w:val="single" w:sz="12" w:space="0" w:color="auto"/>
              <w:right w:val="nil"/>
            </w:tcBorders>
            <w:shd w:val="clear" w:color="auto" w:fill="auto"/>
            <w:vAlign w:val="center"/>
            <w:hideMark/>
          </w:tcPr>
          <w:p w:rsidR="00262CAF" w:rsidRPr="006107A5" w:rsidRDefault="00262CAF" w:rsidP="00F75E0F">
            <w:pPr>
              <w:widowControl w:val="0"/>
              <w:spacing w:line="240" w:lineRule="auto"/>
              <w:rPr>
                <w:rFonts w:eastAsia="Times New Roman"/>
                <w:b/>
                <w:bCs/>
                <w:color w:val="000000"/>
                <w:sz w:val="20"/>
                <w:szCs w:val="20"/>
                <w:lang w:eastAsia="en-GB"/>
              </w:rPr>
            </w:pPr>
            <w:r w:rsidRPr="006107A5">
              <w:rPr>
                <w:rFonts w:eastAsia="Times New Roman"/>
                <w:b/>
                <w:bCs/>
                <w:color w:val="000000"/>
                <w:sz w:val="20"/>
                <w:szCs w:val="20"/>
                <w:lang w:eastAsia="en-GB"/>
              </w:rPr>
              <w:t>(95%CI)</w:t>
            </w:r>
          </w:p>
          <w:p w:rsidR="00262CAF" w:rsidRPr="006107A5" w:rsidRDefault="00262CAF" w:rsidP="00F75E0F">
            <w:pPr>
              <w:widowControl w:val="0"/>
              <w:spacing w:line="240" w:lineRule="auto"/>
              <w:rPr>
                <w:rFonts w:eastAsia="Times New Roman"/>
                <w:b/>
                <w:bCs/>
                <w:color w:val="000000"/>
                <w:sz w:val="20"/>
                <w:szCs w:val="20"/>
                <w:lang w:eastAsia="en-GB"/>
              </w:rPr>
            </w:pPr>
          </w:p>
        </w:tc>
        <w:tc>
          <w:tcPr>
            <w:tcW w:w="851" w:type="dxa"/>
            <w:tcBorders>
              <w:top w:val="nil"/>
              <w:left w:val="nil"/>
              <w:bottom w:val="single" w:sz="12" w:space="0" w:color="auto"/>
              <w:right w:val="nil"/>
            </w:tcBorders>
            <w:shd w:val="clear" w:color="auto" w:fill="auto"/>
            <w:vAlign w:val="center"/>
            <w:hideMark/>
          </w:tcPr>
          <w:p w:rsidR="00262CAF" w:rsidRPr="006107A5" w:rsidRDefault="00262CAF" w:rsidP="00F75E0F">
            <w:pPr>
              <w:widowControl w:val="0"/>
              <w:spacing w:line="240" w:lineRule="auto"/>
              <w:jc w:val="right"/>
              <w:rPr>
                <w:rFonts w:eastAsia="Times New Roman"/>
                <w:b/>
                <w:bCs/>
                <w:color w:val="000000"/>
                <w:sz w:val="20"/>
                <w:szCs w:val="20"/>
                <w:lang w:eastAsia="en-GB"/>
              </w:rPr>
            </w:pPr>
            <w:proofErr w:type="spellStart"/>
            <w:r>
              <w:rPr>
                <w:rFonts w:eastAsia="Times New Roman"/>
                <w:b/>
                <w:bCs/>
                <w:color w:val="000000"/>
                <w:sz w:val="20"/>
                <w:szCs w:val="20"/>
                <w:vertAlign w:val="superscript"/>
                <w:lang w:eastAsia="en-GB"/>
              </w:rPr>
              <w:t>b</w:t>
            </w:r>
            <w:r>
              <w:rPr>
                <w:rFonts w:eastAsia="Times New Roman"/>
                <w:b/>
                <w:bCs/>
                <w:color w:val="000000"/>
                <w:sz w:val="20"/>
                <w:szCs w:val="20"/>
                <w:lang w:eastAsia="en-GB"/>
              </w:rPr>
              <w:t>PAF</w:t>
            </w:r>
            <w:proofErr w:type="spellEnd"/>
          </w:p>
        </w:tc>
        <w:tc>
          <w:tcPr>
            <w:tcW w:w="1417" w:type="dxa"/>
            <w:tcBorders>
              <w:top w:val="nil"/>
              <w:left w:val="nil"/>
              <w:bottom w:val="single" w:sz="12" w:space="0" w:color="auto"/>
              <w:right w:val="nil"/>
            </w:tcBorders>
            <w:shd w:val="clear" w:color="auto" w:fill="auto"/>
            <w:vAlign w:val="center"/>
            <w:hideMark/>
          </w:tcPr>
          <w:p w:rsidR="00262CAF" w:rsidRPr="006107A5" w:rsidRDefault="00262CAF" w:rsidP="00F75E0F">
            <w:pPr>
              <w:widowControl w:val="0"/>
              <w:spacing w:line="240" w:lineRule="auto"/>
              <w:rPr>
                <w:rFonts w:eastAsia="Times New Roman"/>
                <w:b/>
                <w:bCs/>
                <w:color w:val="000000"/>
                <w:sz w:val="20"/>
                <w:szCs w:val="20"/>
                <w:lang w:eastAsia="en-GB"/>
              </w:rPr>
            </w:pPr>
            <w:r w:rsidRPr="006107A5">
              <w:rPr>
                <w:rFonts w:eastAsia="Times New Roman"/>
                <w:b/>
                <w:bCs/>
                <w:color w:val="000000"/>
                <w:sz w:val="20"/>
                <w:szCs w:val="20"/>
                <w:lang w:eastAsia="en-GB"/>
              </w:rPr>
              <w:t>(95%CI)</w:t>
            </w:r>
          </w:p>
        </w:tc>
      </w:tr>
      <w:tr w:rsidR="00262CAF" w:rsidRPr="00CD63CA" w:rsidTr="00F75E0F">
        <w:trPr>
          <w:trHeight w:val="300"/>
        </w:trPr>
        <w:tc>
          <w:tcPr>
            <w:tcW w:w="2992" w:type="dxa"/>
            <w:tcBorders>
              <w:top w:val="nil"/>
              <w:left w:val="nil"/>
              <w:bottom w:val="nil"/>
              <w:right w:val="nil"/>
            </w:tcBorders>
            <w:shd w:val="clear" w:color="auto" w:fill="auto"/>
            <w:hideMark/>
          </w:tcPr>
          <w:p w:rsidR="00262CAF" w:rsidRPr="006107A5" w:rsidRDefault="00262CAF" w:rsidP="00F75E0F">
            <w:pPr>
              <w:widowControl w:val="0"/>
              <w:spacing w:line="240" w:lineRule="auto"/>
              <w:rPr>
                <w:rFonts w:eastAsia="Times New Roman"/>
                <w:color w:val="000000"/>
                <w:sz w:val="20"/>
                <w:szCs w:val="20"/>
                <w:lang w:eastAsia="en-GB"/>
              </w:rPr>
            </w:pPr>
          </w:p>
        </w:tc>
        <w:tc>
          <w:tcPr>
            <w:tcW w:w="303" w:type="dxa"/>
            <w:tcBorders>
              <w:top w:val="single" w:sz="12" w:space="0" w:color="auto"/>
              <w:left w:val="nil"/>
              <w:bottom w:val="nil"/>
              <w:right w:val="nil"/>
            </w:tcBorders>
            <w:shd w:val="clear" w:color="auto" w:fill="auto"/>
            <w:hideMark/>
          </w:tcPr>
          <w:p w:rsidR="00262CAF" w:rsidRPr="006107A5" w:rsidRDefault="00262CAF" w:rsidP="00F75E0F">
            <w:pPr>
              <w:widowControl w:val="0"/>
              <w:spacing w:line="240" w:lineRule="auto"/>
              <w:rPr>
                <w:rFonts w:eastAsia="Times New Roman"/>
                <w:color w:val="000000"/>
                <w:sz w:val="20"/>
                <w:szCs w:val="20"/>
                <w:lang w:eastAsia="en-GB"/>
              </w:rPr>
            </w:pPr>
          </w:p>
        </w:tc>
        <w:tc>
          <w:tcPr>
            <w:tcW w:w="2532" w:type="dxa"/>
            <w:tcBorders>
              <w:top w:val="single" w:sz="12" w:space="0" w:color="auto"/>
              <w:left w:val="nil"/>
              <w:bottom w:val="nil"/>
              <w:right w:val="nil"/>
            </w:tcBorders>
            <w:shd w:val="clear" w:color="auto" w:fill="auto"/>
            <w:vAlign w:val="bottom"/>
            <w:hideMark/>
          </w:tcPr>
          <w:p w:rsidR="00262CAF" w:rsidRPr="006107A5" w:rsidRDefault="00262CAF" w:rsidP="00F75E0F">
            <w:pPr>
              <w:widowControl w:val="0"/>
              <w:spacing w:line="240" w:lineRule="auto"/>
              <w:jc w:val="right"/>
              <w:rPr>
                <w:rFonts w:eastAsia="Times New Roman"/>
                <w:color w:val="000000"/>
                <w:sz w:val="20"/>
                <w:szCs w:val="20"/>
                <w:lang w:eastAsia="en-GB"/>
              </w:rPr>
            </w:pPr>
          </w:p>
        </w:tc>
        <w:tc>
          <w:tcPr>
            <w:tcW w:w="2693" w:type="dxa"/>
            <w:tcBorders>
              <w:top w:val="single" w:sz="12" w:space="0" w:color="auto"/>
              <w:left w:val="nil"/>
              <w:bottom w:val="nil"/>
              <w:right w:val="nil"/>
            </w:tcBorders>
            <w:shd w:val="clear" w:color="auto" w:fill="auto"/>
            <w:vAlign w:val="bottom"/>
            <w:hideMark/>
          </w:tcPr>
          <w:p w:rsidR="00262CAF" w:rsidRPr="006107A5" w:rsidRDefault="00262CAF" w:rsidP="00F75E0F">
            <w:pPr>
              <w:widowControl w:val="0"/>
              <w:spacing w:line="240" w:lineRule="auto"/>
              <w:rPr>
                <w:rFonts w:eastAsia="Times New Roman"/>
                <w:color w:val="000000"/>
                <w:sz w:val="20"/>
                <w:szCs w:val="20"/>
                <w:lang w:eastAsia="en-GB"/>
              </w:rPr>
            </w:pPr>
          </w:p>
        </w:tc>
        <w:tc>
          <w:tcPr>
            <w:tcW w:w="284" w:type="dxa"/>
            <w:tcBorders>
              <w:top w:val="single" w:sz="12" w:space="0" w:color="auto"/>
              <w:left w:val="nil"/>
              <w:bottom w:val="nil"/>
              <w:right w:val="nil"/>
            </w:tcBorders>
            <w:shd w:val="clear" w:color="auto" w:fill="auto"/>
            <w:vAlign w:val="bottom"/>
            <w:hideMark/>
          </w:tcPr>
          <w:p w:rsidR="00262CAF" w:rsidRPr="006107A5" w:rsidRDefault="00262CAF" w:rsidP="00F75E0F">
            <w:pPr>
              <w:widowControl w:val="0"/>
              <w:spacing w:line="240" w:lineRule="auto"/>
              <w:jc w:val="center"/>
              <w:rPr>
                <w:rFonts w:eastAsia="Times New Roman"/>
                <w:color w:val="000000"/>
                <w:sz w:val="20"/>
                <w:szCs w:val="20"/>
                <w:lang w:eastAsia="en-GB"/>
              </w:rPr>
            </w:pPr>
          </w:p>
        </w:tc>
        <w:tc>
          <w:tcPr>
            <w:tcW w:w="850" w:type="dxa"/>
            <w:tcBorders>
              <w:top w:val="single" w:sz="12" w:space="0" w:color="auto"/>
              <w:left w:val="nil"/>
              <w:bottom w:val="nil"/>
              <w:right w:val="nil"/>
            </w:tcBorders>
            <w:shd w:val="clear" w:color="auto" w:fill="auto"/>
            <w:vAlign w:val="bottom"/>
            <w:hideMark/>
          </w:tcPr>
          <w:p w:rsidR="00262CAF" w:rsidRPr="006107A5" w:rsidRDefault="00262CAF" w:rsidP="00F75E0F">
            <w:pPr>
              <w:widowControl w:val="0"/>
              <w:spacing w:line="240" w:lineRule="auto"/>
              <w:jc w:val="right"/>
              <w:rPr>
                <w:rFonts w:eastAsia="Times New Roman"/>
                <w:color w:val="000000"/>
                <w:sz w:val="20"/>
                <w:szCs w:val="20"/>
                <w:lang w:eastAsia="en-GB"/>
              </w:rPr>
            </w:pPr>
          </w:p>
        </w:tc>
        <w:tc>
          <w:tcPr>
            <w:tcW w:w="1701" w:type="dxa"/>
            <w:tcBorders>
              <w:top w:val="single" w:sz="12" w:space="0" w:color="auto"/>
              <w:left w:val="nil"/>
              <w:bottom w:val="nil"/>
              <w:right w:val="nil"/>
            </w:tcBorders>
            <w:shd w:val="clear" w:color="auto" w:fill="auto"/>
            <w:hideMark/>
          </w:tcPr>
          <w:p w:rsidR="00262CAF" w:rsidRPr="006107A5" w:rsidRDefault="00262CAF" w:rsidP="00F75E0F">
            <w:pPr>
              <w:widowControl w:val="0"/>
              <w:spacing w:line="240" w:lineRule="auto"/>
              <w:rPr>
                <w:rFonts w:eastAsia="Times New Roman"/>
                <w:color w:val="000000"/>
                <w:sz w:val="20"/>
                <w:szCs w:val="20"/>
                <w:lang w:eastAsia="en-GB"/>
              </w:rPr>
            </w:pPr>
          </w:p>
        </w:tc>
        <w:tc>
          <w:tcPr>
            <w:tcW w:w="851" w:type="dxa"/>
            <w:tcBorders>
              <w:top w:val="single" w:sz="12" w:space="0" w:color="auto"/>
              <w:left w:val="nil"/>
              <w:bottom w:val="nil"/>
              <w:right w:val="nil"/>
            </w:tcBorders>
            <w:shd w:val="clear" w:color="auto" w:fill="auto"/>
            <w:vAlign w:val="bottom"/>
            <w:hideMark/>
          </w:tcPr>
          <w:p w:rsidR="00262CAF" w:rsidRPr="006107A5" w:rsidRDefault="00262CAF" w:rsidP="00F75E0F">
            <w:pPr>
              <w:widowControl w:val="0"/>
              <w:spacing w:line="240" w:lineRule="auto"/>
              <w:jc w:val="right"/>
              <w:rPr>
                <w:rFonts w:eastAsia="Times New Roman"/>
                <w:color w:val="000000"/>
                <w:sz w:val="20"/>
                <w:szCs w:val="20"/>
                <w:lang w:eastAsia="en-GB"/>
              </w:rPr>
            </w:pPr>
          </w:p>
        </w:tc>
        <w:tc>
          <w:tcPr>
            <w:tcW w:w="1417" w:type="dxa"/>
            <w:tcBorders>
              <w:top w:val="single" w:sz="12" w:space="0" w:color="auto"/>
              <w:left w:val="nil"/>
              <w:bottom w:val="nil"/>
              <w:right w:val="nil"/>
            </w:tcBorders>
            <w:shd w:val="clear" w:color="auto" w:fill="auto"/>
            <w:vAlign w:val="bottom"/>
            <w:hideMark/>
          </w:tcPr>
          <w:p w:rsidR="00262CAF" w:rsidRPr="006107A5" w:rsidRDefault="00262CAF" w:rsidP="00F75E0F">
            <w:pPr>
              <w:widowControl w:val="0"/>
              <w:spacing w:line="240" w:lineRule="auto"/>
              <w:rPr>
                <w:rFonts w:eastAsia="Times New Roman"/>
                <w:color w:val="000000"/>
                <w:sz w:val="20"/>
                <w:szCs w:val="20"/>
                <w:lang w:eastAsia="en-GB"/>
              </w:rPr>
            </w:pPr>
          </w:p>
        </w:tc>
      </w:tr>
      <w:tr w:rsidR="00BF3B52" w:rsidRPr="00CD63CA" w:rsidTr="00F75E0F">
        <w:trPr>
          <w:trHeight w:val="680"/>
        </w:trPr>
        <w:tc>
          <w:tcPr>
            <w:tcW w:w="2992" w:type="dxa"/>
            <w:tcBorders>
              <w:top w:val="nil"/>
              <w:left w:val="nil"/>
              <w:bottom w:val="nil"/>
              <w:right w:val="nil"/>
            </w:tcBorders>
            <w:shd w:val="clear" w:color="auto" w:fill="auto"/>
            <w:vAlign w:val="center"/>
            <w:hideMark/>
          </w:tcPr>
          <w:p w:rsidR="00BF3B52" w:rsidRPr="006107A5" w:rsidRDefault="00BF3B52" w:rsidP="00F75E0F">
            <w:pPr>
              <w:widowControl w:val="0"/>
              <w:spacing w:line="240" w:lineRule="auto"/>
              <w:rPr>
                <w:rFonts w:eastAsia="Times New Roman"/>
                <w:color w:val="000000"/>
                <w:sz w:val="20"/>
                <w:szCs w:val="20"/>
                <w:lang w:eastAsia="en-GB"/>
              </w:rPr>
            </w:pPr>
            <w:r w:rsidRPr="006107A5">
              <w:rPr>
                <w:rFonts w:eastAsia="Times New Roman"/>
                <w:color w:val="000000"/>
                <w:sz w:val="20"/>
                <w:szCs w:val="20"/>
                <w:lang w:eastAsia="en-GB"/>
              </w:rPr>
              <w:t>Dissatisfied with working hours</w:t>
            </w:r>
          </w:p>
        </w:tc>
        <w:tc>
          <w:tcPr>
            <w:tcW w:w="303" w:type="dxa"/>
            <w:tcBorders>
              <w:top w:val="nil"/>
              <w:left w:val="nil"/>
              <w:bottom w:val="nil"/>
              <w:right w:val="nil"/>
            </w:tcBorders>
            <w:shd w:val="clear" w:color="auto" w:fill="auto"/>
            <w:hideMark/>
          </w:tcPr>
          <w:p w:rsidR="00BF3B52" w:rsidRPr="006107A5" w:rsidRDefault="00BF3B52" w:rsidP="00F75E0F">
            <w:pPr>
              <w:widowControl w:val="0"/>
              <w:spacing w:line="240" w:lineRule="auto"/>
              <w:rPr>
                <w:rFonts w:eastAsia="Times New Roman"/>
                <w:color w:val="000000"/>
                <w:sz w:val="20"/>
                <w:szCs w:val="20"/>
                <w:lang w:eastAsia="en-GB"/>
              </w:rPr>
            </w:pPr>
          </w:p>
        </w:tc>
        <w:tc>
          <w:tcPr>
            <w:tcW w:w="2532" w:type="dxa"/>
            <w:tcBorders>
              <w:top w:val="nil"/>
              <w:left w:val="nil"/>
              <w:bottom w:val="nil"/>
              <w:right w:val="nil"/>
            </w:tcBorders>
            <w:shd w:val="clear" w:color="auto" w:fill="auto"/>
            <w:vAlign w:val="center"/>
            <w:hideMark/>
          </w:tcPr>
          <w:p w:rsidR="00BF3B52" w:rsidRPr="006107A5" w:rsidRDefault="00BF3B52" w:rsidP="00F75E0F">
            <w:pPr>
              <w:widowControl w:val="0"/>
              <w:spacing w:line="240" w:lineRule="auto"/>
              <w:jc w:val="center"/>
              <w:rPr>
                <w:rFonts w:eastAsia="Times New Roman"/>
                <w:color w:val="000000"/>
                <w:sz w:val="20"/>
                <w:szCs w:val="20"/>
                <w:lang w:eastAsia="en-GB"/>
              </w:rPr>
            </w:pPr>
            <w:r w:rsidRPr="006107A5">
              <w:rPr>
                <w:rFonts w:eastAsia="Times New Roman"/>
                <w:color w:val="000000"/>
                <w:sz w:val="20"/>
                <w:szCs w:val="20"/>
                <w:lang w:eastAsia="en-GB"/>
              </w:rPr>
              <w:t>594 (11.0)</w:t>
            </w:r>
          </w:p>
        </w:tc>
        <w:tc>
          <w:tcPr>
            <w:tcW w:w="2693" w:type="dxa"/>
            <w:tcBorders>
              <w:top w:val="nil"/>
              <w:left w:val="nil"/>
              <w:bottom w:val="nil"/>
              <w:right w:val="nil"/>
            </w:tcBorders>
            <w:shd w:val="clear" w:color="auto" w:fill="auto"/>
            <w:vAlign w:val="center"/>
            <w:hideMark/>
          </w:tcPr>
          <w:p w:rsidR="00BF3B52" w:rsidRPr="006107A5" w:rsidRDefault="00BF3B52" w:rsidP="00F75E0F">
            <w:pPr>
              <w:widowControl w:val="0"/>
              <w:spacing w:line="240" w:lineRule="auto"/>
              <w:jc w:val="center"/>
              <w:rPr>
                <w:rFonts w:eastAsia="Times New Roman"/>
                <w:color w:val="000000"/>
                <w:sz w:val="20"/>
                <w:szCs w:val="20"/>
                <w:lang w:eastAsia="en-GB"/>
              </w:rPr>
            </w:pPr>
            <w:r w:rsidRPr="006107A5">
              <w:rPr>
                <w:rFonts w:eastAsia="Times New Roman"/>
                <w:color w:val="000000"/>
                <w:sz w:val="20"/>
                <w:szCs w:val="20"/>
                <w:lang w:eastAsia="en-GB"/>
              </w:rPr>
              <w:t>164 (44.7)</w:t>
            </w:r>
          </w:p>
        </w:tc>
        <w:tc>
          <w:tcPr>
            <w:tcW w:w="284" w:type="dxa"/>
            <w:tcBorders>
              <w:top w:val="nil"/>
              <w:left w:val="nil"/>
              <w:bottom w:val="nil"/>
              <w:right w:val="nil"/>
            </w:tcBorders>
            <w:shd w:val="clear" w:color="auto" w:fill="auto"/>
            <w:vAlign w:val="center"/>
            <w:hideMark/>
          </w:tcPr>
          <w:p w:rsidR="00BF3B52" w:rsidRPr="006107A5" w:rsidRDefault="00BF3B52" w:rsidP="00F75E0F">
            <w:pPr>
              <w:widowControl w:val="0"/>
              <w:spacing w:line="240" w:lineRule="auto"/>
              <w:jc w:val="center"/>
              <w:rPr>
                <w:rFonts w:eastAsia="Times New Roman"/>
                <w:color w:val="000000"/>
                <w:sz w:val="20"/>
                <w:szCs w:val="20"/>
                <w:lang w:eastAsia="en-GB"/>
              </w:rPr>
            </w:pPr>
          </w:p>
        </w:tc>
        <w:tc>
          <w:tcPr>
            <w:tcW w:w="850" w:type="dxa"/>
            <w:tcBorders>
              <w:top w:val="nil"/>
              <w:left w:val="nil"/>
              <w:bottom w:val="nil"/>
              <w:right w:val="nil"/>
            </w:tcBorders>
            <w:shd w:val="clear" w:color="auto" w:fill="auto"/>
            <w:vAlign w:val="center"/>
            <w:hideMark/>
          </w:tcPr>
          <w:p w:rsidR="00BF3B52" w:rsidRPr="00284C36" w:rsidRDefault="00BF3B52" w:rsidP="00BF3116">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8.5</w:t>
            </w:r>
          </w:p>
        </w:tc>
        <w:tc>
          <w:tcPr>
            <w:tcW w:w="1701" w:type="dxa"/>
            <w:tcBorders>
              <w:top w:val="nil"/>
              <w:left w:val="nil"/>
              <w:bottom w:val="nil"/>
              <w:right w:val="nil"/>
            </w:tcBorders>
            <w:shd w:val="clear" w:color="auto" w:fill="auto"/>
            <w:vAlign w:val="center"/>
            <w:hideMark/>
          </w:tcPr>
          <w:p w:rsidR="00BF3B52" w:rsidRPr="00284C36" w:rsidRDefault="00BF3B52" w:rsidP="00BF3116">
            <w:pPr>
              <w:widowControl w:val="0"/>
              <w:spacing w:line="240" w:lineRule="auto"/>
              <w:rPr>
                <w:rFonts w:eastAsia="Times New Roman"/>
                <w:color w:val="000000"/>
                <w:sz w:val="20"/>
                <w:szCs w:val="20"/>
                <w:lang w:eastAsia="en-GB"/>
              </w:rPr>
            </w:pPr>
            <w:r>
              <w:rPr>
                <w:rFonts w:eastAsia="Times New Roman"/>
                <w:color w:val="000000"/>
                <w:sz w:val="20"/>
                <w:szCs w:val="20"/>
                <w:lang w:eastAsia="en-GB"/>
              </w:rPr>
              <w:t>(6.8-10.7)</w:t>
            </w:r>
          </w:p>
        </w:tc>
        <w:tc>
          <w:tcPr>
            <w:tcW w:w="851" w:type="dxa"/>
            <w:tcBorders>
              <w:top w:val="nil"/>
              <w:left w:val="nil"/>
              <w:bottom w:val="nil"/>
              <w:right w:val="nil"/>
            </w:tcBorders>
            <w:shd w:val="clear" w:color="auto" w:fill="auto"/>
            <w:vAlign w:val="center"/>
            <w:hideMark/>
          </w:tcPr>
          <w:p w:rsidR="00BF3B52" w:rsidRPr="00284C36" w:rsidRDefault="00BF3B52" w:rsidP="00BD49BF">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37.7</w:t>
            </w:r>
          </w:p>
        </w:tc>
        <w:tc>
          <w:tcPr>
            <w:tcW w:w="1417" w:type="dxa"/>
            <w:tcBorders>
              <w:top w:val="nil"/>
              <w:left w:val="nil"/>
              <w:bottom w:val="nil"/>
              <w:right w:val="nil"/>
            </w:tcBorders>
            <w:shd w:val="clear" w:color="auto" w:fill="auto"/>
            <w:vAlign w:val="center"/>
            <w:hideMark/>
          </w:tcPr>
          <w:p w:rsidR="00BF3B52" w:rsidRPr="00284C36" w:rsidRDefault="00BF3B52" w:rsidP="00BD49BF">
            <w:pPr>
              <w:widowControl w:val="0"/>
              <w:spacing w:line="240" w:lineRule="auto"/>
              <w:rPr>
                <w:rFonts w:eastAsia="Times New Roman"/>
                <w:color w:val="000000"/>
                <w:sz w:val="20"/>
                <w:szCs w:val="20"/>
                <w:lang w:eastAsia="en-GB"/>
              </w:rPr>
            </w:pPr>
            <w:r>
              <w:rPr>
                <w:rFonts w:eastAsia="Times New Roman"/>
                <w:color w:val="000000"/>
                <w:sz w:val="20"/>
                <w:szCs w:val="20"/>
                <w:lang w:eastAsia="en-GB"/>
              </w:rPr>
              <w:t>(32.3-42.7)</w:t>
            </w:r>
          </w:p>
        </w:tc>
      </w:tr>
      <w:tr w:rsidR="00BF3B52" w:rsidRPr="00CD63CA" w:rsidTr="00F75E0F">
        <w:trPr>
          <w:trHeight w:val="680"/>
        </w:trPr>
        <w:tc>
          <w:tcPr>
            <w:tcW w:w="2992" w:type="dxa"/>
            <w:tcBorders>
              <w:top w:val="nil"/>
              <w:left w:val="nil"/>
              <w:bottom w:val="nil"/>
              <w:right w:val="nil"/>
            </w:tcBorders>
            <w:shd w:val="clear" w:color="auto" w:fill="auto"/>
            <w:vAlign w:val="center"/>
            <w:hideMark/>
          </w:tcPr>
          <w:p w:rsidR="00BF3B52" w:rsidRPr="006107A5" w:rsidRDefault="00BF3B52" w:rsidP="00F75E0F">
            <w:pPr>
              <w:widowControl w:val="0"/>
              <w:spacing w:line="240" w:lineRule="auto"/>
              <w:rPr>
                <w:rFonts w:eastAsia="Times New Roman"/>
                <w:color w:val="000000"/>
                <w:sz w:val="20"/>
                <w:szCs w:val="20"/>
                <w:lang w:eastAsia="en-GB"/>
              </w:rPr>
            </w:pPr>
            <w:r w:rsidRPr="006107A5">
              <w:rPr>
                <w:rFonts w:eastAsia="Times New Roman"/>
                <w:color w:val="000000"/>
                <w:sz w:val="20"/>
                <w:szCs w:val="20"/>
                <w:lang w:eastAsia="en-GB"/>
              </w:rPr>
              <w:t>Dissatisfied with pay</w:t>
            </w:r>
          </w:p>
        </w:tc>
        <w:tc>
          <w:tcPr>
            <w:tcW w:w="303" w:type="dxa"/>
            <w:tcBorders>
              <w:top w:val="nil"/>
              <w:left w:val="nil"/>
              <w:bottom w:val="nil"/>
              <w:right w:val="nil"/>
            </w:tcBorders>
            <w:shd w:val="clear" w:color="auto" w:fill="auto"/>
            <w:hideMark/>
          </w:tcPr>
          <w:p w:rsidR="00BF3B52" w:rsidRPr="006107A5" w:rsidRDefault="00BF3B52" w:rsidP="00F75E0F">
            <w:pPr>
              <w:widowControl w:val="0"/>
              <w:spacing w:line="240" w:lineRule="auto"/>
              <w:rPr>
                <w:rFonts w:eastAsia="Times New Roman"/>
                <w:color w:val="000000"/>
                <w:sz w:val="20"/>
                <w:szCs w:val="20"/>
                <w:lang w:eastAsia="en-GB"/>
              </w:rPr>
            </w:pPr>
          </w:p>
        </w:tc>
        <w:tc>
          <w:tcPr>
            <w:tcW w:w="2532" w:type="dxa"/>
            <w:tcBorders>
              <w:top w:val="nil"/>
              <w:left w:val="nil"/>
              <w:bottom w:val="nil"/>
              <w:right w:val="nil"/>
            </w:tcBorders>
            <w:shd w:val="clear" w:color="auto" w:fill="auto"/>
            <w:vAlign w:val="center"/>
            <w:hideMark/>
          </w:tcPr>
          <w:p w:rsidR="00BF3B52" w:rsidRPr="006107A5" w:rsidRDefault="00BF3B52" w:rsidP="00F75E0F">
            <w:pPr>
              <w:widowControl w:val="0"/>
              <w:spacing w:line="240" w:lineRule="auto"/>
              <w:jc w:val="center"/>
              <w:rPr>
                <w:rFonts w:eastAsia="Times New Roman"/>
                <w:color w:val="000000"/>
                <w:sz w:val="20"/>
                <w:szCs w:val="20"/>
                <w:lang w:eastAsia="en-GB"/>
              </w:rPr>
            </w:pPr>
            <w:r w:rsidRPr="006107A5">
              <w:rPr>
                <w:rFonts w:eastAsia="Times New Roman"/>
                <w:color w:val="000000"/>
                <w:sz w:val="20"/>
                <w:szCs w:val="20"/>
                <w:lang w:eastAsia="en-GB"/>
              </w:rPr>
              <w:t>1230 (22.7)</w:t>
            </w:r>
          </w:p>
        </w:tc>
        <w:tc>
          <w:tcPr>
            <w:tcW w:w="2693" w:type="dxa"/>
            <w:tcBorders>
              <w:top w:val="nil"/>
              <w:left w:val="nil"/>
              <w:bottom w:val="nil"/>
              <w:right w:val="nil"/>
            </w:tcBorders>
            <w:shd w:val="clear" w:color="auto" w:fill="auto"/>
            <w:vAlign w:val="center"/>
            <w:hideMark/>
          </w:tcPr>
          <w:p w:rsidR="00BF3B52" w:rsidRPr="006107A5" w:rsidRDefault="00BF3B52" w:rsidP="00F75E0F">
            <w:pPr>
              <w:widowControl w:val="0"/>
              <w:spacing w:line="240" w:lineRule="auto"/>
              <w:jc w:val="center"/>
              <w:rPr>
                <w:rFonts w:eastAsia="Times New Roman"/>
                <w:color w:val="000000"/>
                <w:sz w:val="20"/>
                <w:szCs w:val="20"/>
                <w:lang w:eastAsia="en-GB"/>
              </w:rPr>
            </w:pPr>
            <w:r w:rsidRPr="006107A5">
              <w:rPr>
                <w:rFonts w:eastAsia="Times New Roman"/>
                <w:color w:val="000000"/>
                <w:sz w:val="20"/>
                <w:szCs w:val="20"/>
                <w:lang w:eastAsia="en-GB"/>
              </w:rPr>
              <w:t>226 (61.6)</w:t>
            </w:r>
          </w:p>
        </w:tc>
        <w:tc>
          <w:tcPr>
            <w:tcW w:w="284" w:type="dxa"/>
            <w:tcBorders>
              <w:top w:val="nil"/>
              <w:left w:val="nil"/>
              <w:bottom w:val="nil"/>
              <w:right w:val="nil"/>
            </w:tcBorders>
            <w:shd w:val="clear" w:color="auto" w:fill="auto"/>
            <w:vAlign w:val="center"/>
            <w:hideMark/>
          </w:tcPr>
          <w:p w:rsidR="00BF3B52" w:rsidRPr="006107A5" w:rsidRDefault="00BF3B52" w:rsidP="00F75E0F">
            <w:pPr>
              <w:widowControl w:val="0"/>
              <w:spacing w:line="240" w:lineRule="auto"/>
              <w:jc w:val="center"/>
              <w:rPr>
                <w:rFonts w:eastAsia="Times New Roman"/>
                <w:color w:val="000000"/>
                <w:sz w:val="20"/>
                <w:szCs w:val="20"/>
                <w:lang w:eastAsia="en-GB"/>
              </w:rPr>
            </w:pPr>
          </w:p>
        </w:tc>
        <w:tc>
          <w:tcPr>
            <w:tcW w:w="850" w:type="dxa"/>
            <w:tcBorders>
              <w:top w:val="nil"/>
              <w:left w:val="nil"/>
              <w:bottom w:val="nil"/>
              <w:right w:val="nil"/>
            </w:tcBorders>
            <w:shd w:val="clear" w:color="auto" w:fill="auto"/>
            <w:vAlign w:val="center"/>
            <w:hideMark/>
          </w:tcPr>
          <w:p w:rsidR="00BF3B52" w:rsidRPr="00284C36" w:rsidRDefault="00BF3B52" w:rsidP="00BF3116">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6.4</w:t>
            </w:r>
          </w:p>
        </w:tc>
        <w:tc>
          <w:tcPr>
            <w:tcW w:w="1701" w:type="dxa"/>
            <w:tcBorders>
              <w:top w:val="nil"/>
              <w:left w:val="nil"/>
              <w:bottom w:val="nil"/>
              <w:right w:val="nil"/>
            </w:tcBorders>
            <w:shd w:val="clear" w:color="auto" w:fill="auto"/>
            <w:vAlign w:val="center"/>
            <w:hideMark/>
          </w:tcPr>
          <w:p w:rsidR="00BF3B52" w:rsidRPr="00284C36" w:rsidRDefault="00BF3B52" w:rsidP="00BF3116">
            <w:pPr>
              <w:widowControl w:val="0"/>
              <w:spacing w:line="240" w:lineRule="auto"/>
              <w:rPr>
                <w:rFonts w:eastAsia="Times New Roman"/>
                <w:color w:val="000000"/>
                <w:sz w:val="20"/>
                <w:szCs w:val="20"/>
                <w:lang w:eastAsia="en-GB"/>
              </w:rPr>
            </w:pPr>
            <w:r>
              <w:rPr>
                <w:rFonts w:eastAsia="Times New Roman"/>
                <w:color w:val="000000"/>
                <w:sz w:val="20"/>
                <w:szCs w:val="20"/>
                <w:lang w:eastAsia="en-GB"/>
              </w:rPr>
              <w:t>(5.2-8.1)</w:t>
            </w:r>
          </w:p>
        </w:tc>
        <w:tc>
          <w:tcPr>
            <w:tcW w:w="851" w:type="dxa"/>
            <w:tcBorders>
              <w:top w:val="nil"/>
              <w:left w:val="nil"/>
              <w:bottom w:val="nil"/>
              <w:right w:val="nil"/>
            </w:tcBorders>
            <w:shd w:val="clear" w:color="auto" w:fill="auto"/>
            <w:vAlign w:val="center"/>
            <w:hideMark/>
          </w:tcPr>
          <w:p w:rsidR="00BF3B52" w:rsidRPr="00284C36" w:rsidRDefault="00BF3B52" w:rsidP="00BD49BF">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50.2</w:t>
            </w:r>
          </w:p>
        </w:tc>
        <w:tc>
          <w:tcPr>
            <w:tcW w:w="1417" w:type="dxa"/>
            <w:tcBorders>
              <w:top w:val="nil"/>
              <w:left w:val="nil"/>
              <w:bottom w:val="nil"/>
              <w:right w:val="nil"/>
            </w:tcBorders>
            <w:shd w:val="clear" w:color="auto" w:fill="auto"/>
            <w:vAlign w:val="center"/>
            <w:hideMark/>
          </w:tcPr>
          <w:p w:rsidR="00BF3B52" w:rsidRPr="00284C36" w:rsidRDefault="00BF3B52" w:rsidP="00BD49BF">
            <w:pPr>
              <w:widowControl w:val="0"/>
              <w:spacing w:line="240" w:lineRule="auto"/>
              <w:rPr>
                <w:rFonts w:eastAsia="Times New Roman"/>
                <w:color w:val="000000"/>
                <w:sz w:val="20"/>
                <w:szCs w:val="20"/>
                <w:lang w:eastAsia="en-GB"/>
              </w:rPr>
            </w:pPr>
            <w:r>
              <w:rPr>
                <w:rFonts w:eastAsia="Times New Roman"/>
                <w:color w:val="000000"/>
                <w:sz w:val="20"/>
                <w:szCs w:val="20"/>
                <w:lang w:eastAsia="en-GB"/>
              </w:rPr>
              <w:t>(43.7-56.0)</w:t>
            </w:r>
          </w:p>
        </w:tc>
      </w:tr>
      <w:tr w:rsidR="00BF3B52" w:rsidRPr="00CD63CA" w:rsidTr="00F75E0F">
        <w:trPr>
          <w:trHeight w:val="680"/>
        </w:trPr>
        <w:tc>
          <w:tcPr>
            <w:tcW w:w="2992" w:type="dxa"/>
            <w:tcBorders>
              <w:top w:val="nil"/>
              <w:left w:val="nil"/>
              <w:bottom w:val="nil"/>
              <w:right w:val="nil"/>
            </w:tcBorders>
            <w:shd w:val="clear" w:color="auto" w:fill="auto"/>
            <w:vAlign w:val="center"/>
            <w:hideMark/>
          </w:tcPr>
          <w:p w:rsidR="00BF3B52" w:rsidRPr="006107A5" w:rsidRDefault="00BF3B52" w:rsidP="00F75E0F">
            <w:pPr>
              <w:widowControl w:val="0"/>
              <w:spacing w:line="240" w:lineRule="auto"/>
              <w:rPr>
                <w:rFonts w:eastAsia="Times New Roman"/>
                <w:color w:val="000000"/>
                <w:sz w:val="20"/>
                <w:szCs w:val="20"/>
                <w:lang w:eastAsia="en-GB"/>
              </w:rPr>
            </w:pPr>
            <w:r w:rsidRPr="006107A5">
              <w:rPr>
                <w:rFonts w:eastAsia="Times New Roman"/>
                <w:color w:val="000000"/>
                <w:sz w:val="20"/>
                <w:szCs w:val="20"/>
                <w:lang w:eastAsia="en-GB"/>
              </w:rPr>
              <w:t xml:space="preserve">Rarely/never feel  appreciated </w:t>
            </w:r>
            <w:r>
              <w:rPr>
                <w:rFonts w:eastAsia="Times New Roman"/>
                <w:color w:val="000000"/>
                <w:sz w:val="20"/>
                <w:szCs w:val="20"/>
                <w:lang w:eastAsia="en-GB"/>
              </w:rPr>
              <w:t>and/</w:t>
            </w:r>
            <w:r w:rsidRPr="006107A5">
              <w:rPr>
                <w:rFonts w:eastAsia="Times New Roman"/>
                <w:color w:val="000000"/>
                <w:sz w:val="20"/>
                <w:szCs w:val="20"/>
                <w:lang w:eastAsia="en-GB"/>
              </w:rPr>
              <w:t>or sense of achievement</w:t>
            </w:r>
          </w:p>
        </w:tc>
        <w:tc>
          <w:tcPr>
            <w:tcW w:w="303" w:type="dxa"/>
            <w:tcBorders>
              <w:top w:val="nil"/>
              <w:left w:val="nil"/>
              <w:bottom w:val="nil"/>
              <w:right w:val="nil"/>
            </w:tcBorders>
            <w:shd w:val="clear" w:color="auto" w:fill="auto"/>
            <w:hideMark/>
          </w:tcPr>
          <w:p w:rsidR="00BF3B52" w:rsidRPr="006107A5" w:rsidRDefault="00BF3B52" w:rsidP="00F75E0F">
            <w:pPr>
              <w:widowControl w:val="0"/>
              <w:spacing w:line="240" w:lineRule="auto"/>
              <w:rPr>
                <w:rFonts w:eastAsia="Times New Roman"/>
                <w:color w:val="000000"/>
                <w:sz w:val="20"/>
                <w:szCs w:val="20"/>
                <w:lang w:eastAsia="en-GB"/>
              </w:rPr>
            </w:pPr>
          </w:p>
        </w:tc>
        <w:tc>
          <w:tcPr>
            <w:tcW w:w="2532" w:type="dxa"/>
            <w:tcBorders>
              <w:top w:val="nil"/>
              <w:left w:val="nil"/>
              <w:bottom w:val="nil"/>
              <w:right w:val="nil"/>
            </w:tcBorders>
            <w:shd w:val="clear" w:color="auto" w:fill="auto"/>
            <w:vAlign w:val="center"/>
            <w:hideMark/>
          </w:tcPr>
          <w:p w:rsidR="00BF3B52" w:rsidRPr="006107A5" w:rsidRDefault="00BF3B52" w:rsidP="00F75E0F">
            <w:pPr>
              <w:widowControl w:val="0"/>
              <w:spacing w:line="240" w:lineRule="auto"/>
              <w:jc w:val="center"/>
              <w:rPr>
                <w:rFonts w:eastAsia="Times New Roman"/>
                <w:color w:val="000000"/>
                <w:sz w:val="20"/>
                <w:szCs w:val="20"/>
                <w:lang w:eastAsia="en-GB"/>
              </w:rPr>
            </w:pPr>
            <w:r w:rsidRPr="006107A5">
              <w:rPr>
                <w:rFonts w:eastAsia="Times New Roman"/>
                <w:color w:val="000000"/>
                <w:sz w:val="20"/>
                <w:szCs w:val="20"/>
                <w:lang w:eastAsia="en-GB"/>
              </w:rPr>
              <w:t>745 (13.7)</w:t>
            </w:r>
          </w:p>
        </w:tc>
        <w:tc>
          <w:tcPr>
            <w:tcW w:w="2693" w:type="dxa"/>
            <w:tcBorders>
              <w:top w:val="nil"/>
              <w:left w:val="nil"/>
              <w:bottom w:val="nil"/>
              <w:right w:val="nil"/>
            </w:tcBorders>
            <w:shd w:val="clear" w:color="auto" w:fill="auto"/>
            <w:vAlign w:val="center"/>
            <w:hideMark/>
          </w:tcPr>
          <w:p w:rsidR="00BF3B52" w:rsidRPr="006107A5" w:rsidRDefault="00BF3B52" w:rsidP="00F75E0F">
            <w:pPr>
              <w:widowControl w:val="0"/>
              <w:spacing w:line="240" w:lineRule="auto"/>
              <w:jc w:val="center"/>
              <w:rPr>
                <w:rFonts w:eastAsia="Times New Roman"/>
                <w:color w:val="000000"/>
                <w:sz w:val="20"/>
                <w:szCs w:val="20"/>
                <w:lang w:eastAsia="en-GB"/>
              </w:rPr>
            </w:pPr>
            <w:r w:rsidRPr="006107A5">
              <w:rPr>
                <w:rFonts w:eastAsia="Times New Roman"/>
                <w:color w:val="000000"/>
                <w:sz w:val="20"/>
                <w:szCs w:val="20"/>
                <w:lang w:eastAsia="en-GB"/>
              </w:rPr>
              <w:t>221 (60.1)</w:t>
            </w:r>
          </w:p>
        </w:tc>
        <w:tc>
          <w:tcPr>
            <w:tcW w:w="284" w:type="dxa"/>
            <w:tcBorders>
              <w:top w:val="nil"/>
              <w:left w:val="nil"/>
              <w:bottom w:val="nil"/>
              <w:right w:val="nil"/>
            </w:tcBorders>
            <w:shd w:val="clear" w:color="auto" w:fill="auto"/>
            <w:vAlign w:val="center"/>
            <w:hideMark/>
          </w:tcPr>
          <w:p w:rsidR="00BF3B52" w:rsidRPr="006107A5" w:rsidRDefault="00BF3B52" w:rsidP="00F75E0F">
            <w:pPr>
              <w:widowControl w:val="0"/>
              <w:spacing w:line="240" w:lineRule="auto"/>
              <w:jc w:val="center"/>
              <w:rPr>
                <w:rFonts w:eastAsia="Times New Roman"/>
                <w:color w:val="000000"/>
                <w:sz w:val="20"/>
                <w:szCs w:val="20"/>
                <w:lang w:eastAsia="en-GB"/>
              </w:rPr>
            </w:pPr>
          </w:p>
        </w:tc>
        <w:tc>
          <w:tcPr>
            <w:tcW w:w="850" w:type="dxa"/>
            <w:tcBorders>
              <w:top w:val="nil"/>
              <w:left w:val="nil"/>
              <w:bottom w:val="nil"/>
              <w:right w:val="nil"/>
            </w:tcBorders>
            <w:shd w:val="clear" w:color="auto" w:fill="auto"/>
            <w:vAlign w:val="center"/>
            <w:hideMark/>
          </w:tcPr>
          <w:p w:rsidR="00BF3B52" w:rsidRPr="00284C36" w:rsidRDefault="00BF3B52" w:rsidP="00BF3116">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12.9</w:t>
            </w:r>
          </w:p>
        </w:tc>
        <w:tc>
          <w:tcPr>
            <w:tcW w:w="1701" w:type="dxa"/>
            <w:tcBorders>
              <w:top w:val="nil"/>
              <w:left w:val="nil"/>
              <w:bottom w:val="nil"/>
              <w:right w:val="nil"/>
            </w:tcBorders>
            <w:shd w:val="clear" w:color="auto" w:fill="auto"/>
            <w:vAlign w:val="center"/>
            <w:hideMark/>
          </w:tcPr>
          <w:p w:rsidR="00BF3B52" w:rsidRPr="00284C36" w:rsidRDefault="00BF3B52" w:rsidP="00BF3116">
            <w:pPr>
              <w:widowControl w:val="0"/>
              <w:spacing w:line="240" w:lineRule="auto"/>
              <w:rPr>
                <w:rFonts w:eastAsia="Times New Roman"/>
                <w:color w:val="000000"/>
                <w:sz w:val="20"/>
                <w:szCs w:val="20"/>
                <w:lang w:eastAsia="en-GB"/>
              </w:rPr>
            </w:pPr>
            <w:r>
              <w:rPr>
                <w:rFonts w:eastAsia="Times New Roman"/>
                <w:color w:val="000000"/>
                <w:sz w:val="20"/>
                <w:szCs w:val="20"/>
                <w:lang w:eastAsia="en-GB"/>
              </w:rPr>
              <w:t>(10.2-16.2)</w:t>
            </w:r>
          </w:p>
        </w:tc>
        <w:tc>
          <w:tcPr>
            <w:tcW w:w="851" w:type="dxa"/>
            <w:tcBorders>
              <w:top w:val="nil"/>
              <w:left w:val="nil"/>
              <w:bottom w:val="nil"/>
              <w:right w:val="nil"/>
            </w:tcBorders>
            <w:shd w:val="clear" w:color="auto" w:fill="auto"/>
            <w:vAlign w:val="center"/>
            <w:hideMark/>
          </w:tcPr>
          <w:p w:rsidR="00BF3B52" w:rsidRPr="00284C36" w:rsidRDefault="00BF3B52" w:rsidP="00BD49BF">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53.6</w:t>
            </w:r>
          </w:p>
        </w:tc>
        <w:tc>
          <w:tcPr>
            <w:tcW w:w="1417" w:type="dxa"/>
            <w:tcBorders>
              <w:top w:val="nil"/>
              <w:left w:val="nil"/>
              <w:bottom w:val="nil"/>
              <w:right w:val="nil"/>
            </w:tcBorders>
            <w:shd w:val="clear" w:color="auto" w:fill="auto"/>
            <w:vAlign w:val="center"/>
            <w:hideMark/>
          </w:tcPr>
          <w:p w:rsidR="00BF3B52" w:rsidRPr="00284C36" w:rsidRDefault="00BF3B52" w:rsidP="00BD49BF">
            <w:pPr>
              <w:widowControl w:val="0"/>
              <w:spacing w:line="240" w:lineRule="auto"/>
              <w:rPr>
                <w:rFonts w:eastAsia="Times New Roman"/>
                <w:color w:val="000000"/>
                <w:sz w:val="20"/>
                <w:szCs w:val="20"/>
                <w:lang w:eastAsia="en-GB"/>
              </w:rPr>
            </w:pPr>
            <w:r>
              <w:rPr>
                <w:rFonts w:eastAsia="Times New Roman"/>
                <w:color w:val="000000"/>
                <w:sz w:val="20"/>
                <w:szCs w:val="20"/>
                <w:lang w:eastAsia="en-GB"/>
              </w:rPr>
              <w:t>(47.9-58.7)</w:t>
            </w:r>
          </w:p>
        </w:tc>
      </w:tr>
      <w:tr w:rsidR="00BF3B52" w:rsidRPr="00CD63CA" w:rsidTr="00F75E0F">
        <w:trPr>
          <w:trHeight w:val="680"/>
        </w:trPr>
        <w:tc>
          <w:tcPr>
            <w:tcW w:w="2992" w:type="dxa"/>
            <w:tcBorders>
              <w:top w:val="nil"/>
              <w:left w:val="nil"/>
              <w:bottom w:val="nil"/>
              <w:right w:val="nil"/>
            </w:tcBorders>
            <w:shd w:val="clear" w:color="auto" w:fill="auto"/>
            <w:vAlign w:val="center"/>
            <w:hideMark/>
          </w:tcPr>
          <w:p w:rsidR="00BF3B52" w:rsidRPr="006107A5" w:rsidRDefault="00BF3B52" w:rsidP="00F75E0F">
            <w:pPr>
              <w:widowControl w:val="0"/>
              <w:spacing w:line="240" w:lineRule="auto"/>
              <w:rPr>
                <w:rFonts w:eastAsia="Times New Roman"/>
                <w:color w:val="000000"/>
                <w:sz w:val="20"/>
                <w:szCs w:val="20"/>
                <w:lang w:eastAsia="en-GB"/>
              </w:rPr>
            </w:pPr>
            <w:r w:rsidRPr="006107A5">
              <w:rPr>
                <w:rFonts w:eastAsia="Times New Roman"/>
                <w:color w:val="000000"/>
                <w:sz w:val="20"/>
                <w:szCs w:val="20"/>
                <w:lang w:eastAsia="en-GB"/>
              </w:rPr>
              <w:t>Rarely/never support when in difficulty</w:t>
            </w:r>
          </w:p>
        </w:tc>
        <w:tc>
          <w:tcPr>
            <w:tcW w:w="303" w:type="dxa"/>
            <w:tcBorders>
              <w:top w:val="nil"/>
              <w:left w:val="nil"/>
              <w:bottom w:val="nil"/>
              <w:right w:val="nil"/>
            </w:tcBorders>
            <w:shd w:val="clear" w:color="auto" w:fill="auto"/>
            <w:hideMark/>
          </w:tcPr>
          <w:p w:rsidR="00BF3B52" w:rsidRPr="006107A5" w:rsidRDefault="00BF3B52" w:rsidP="00F75E0F">
            <w:pPr>
              <w:widowControl w:val="0"/>
              <w:spacing w:line="240" w:lineRule="auto"/>
              <w:rPr>
                <w:rFonts w:eastAsia="Times New Roman"/>
                <w:color w:val="000000"/>
                <w:sz w:val="20"/>
                <w:szCs w:val="20"/>
                <w:lang w:eastAsia="en-GB"/>
              </w:rPr>
            </w:pPr>
          </w:p>
        </w:tc>
        <w:tc>
          <w:tcPr>
            <w:tcW w:w="2532" w:type="dxa"/>
            <w:tcBorders>
              <w:top w:val="nil"/>
              <w:left w:val="nil"/>
              <w:bottom w:val="nil"/>
              <w:right w:val="nil"/>
            </w:tcBorders>
            <w:shd w:val="clear" w:color="auto" w:fill="auto"/>
            <w:vAlign w:val="center"/>
            <w:hideMark/>
          </w:tcPr>
          <w:p w:rsidR="00BF3B52" w:rsidRPr="006107A5" w:rsidRDefault="00BF3B52" w:rsidP="00F75E0F">
            <w:pPr>
              <w:widowControl w:val="0"/>
              <w:spacing w:line="240" w:lineRule="auto"/>
              <w:jc w:val="center"/>
              <w:rPr>
                <w:rFonts w:eastAsia="Times New Roman"/>
                <w:color w:val="000000"/>
                <w:sz w:val="20"/>
                <w:szCs w:val="20"/>
                <w:lang w:eastAsia="en-GB"/>
              </w:rPr>
            </w:pPr>
            <w:r w:rsidRPr="006107A5">
              <w:rPr>
                <w:rFonts w:eastAsia="Times New Roman"/>
                <w:color w:val="000000"/>
                <w:sz w:val="20"/>
                <w:szCs w:val="20"/>
                <w:lang w:eastAsia="en-GB"/>
              </w:rPr>
              <w:t>616 (12.9)</w:t>
            </w:r>
          </w:p>
        </w:tc>
        <w:tc>
          <w:tcPr>
            <w:tcW w:w="2693" w:type="dxa"/>
            <w:tcBorders>
              <w:top w:val="nil"/>
              <w:left w:val="nil"/>
              <w:bottom w:val="nil"/>
              <w:right w:val="nil"/>
            </w:tcBorders>
            <w:shd w:val="clear" w:color="auto" w:fill="auto"/>
            <w:vAlign w:val="center"/>
            <w:hideMark/>
          </w:tcPr>
          <w:p w:rsidR="00BF3B52" w:rsidRPr="006107A5" w:rsidRDefault="00BF3B52" w:rsidP="00F75E0F">
            <w:pPr>
              <w:widowControl w:val="0"/>
              <w:spacing w:line="240" w:lineRule="auto"/>
              <w:jc w:val="center"/>
              <w:rPr>
                <w:rFonts w:eastAsia="Times New Roman"/>
                <w:color w:val="000000"/>
                <w:sz w:val="20"/>
                <w:szCs w:val="20"/>
                <w:lang w:eastAsia="en-GB"/>
              </w:rPr>
            </w:pPr>
            <w:r w:rsidRPr="006107A5">
              <w:rPr>
                <w:rFonts w:eastAsia="Times New Roman"/>
                <w:color w:val="000000"/>
                <w:sz w:val="20"/>
                <w:szCs w:val="20"/>
                <w:lang w:eastAsia="en-GB"/>
              </w:rPr>
              <w:t>114 (33.2)</w:t>
            </w:r>
          </w:p>
        </w:tc>
        <w:tc>
          <w:tcPr>
            <w:tcW w:w="284" w:type="dxa"/>
            <w:tcBorders>
              <w:top w:val="nil"/>
              <w:left w:val="nil"/>
              <w:bottom w:val="nil"/>
              <w:right w:val="nil"/>
            </w:tcBorders>
            <w:shd w:val="clear" w:color="auto" w:fill="auto"/>
            <w:vAlign w:val="center"/>
            <w:hideMark/>
          </w:tcPr>
          <w:p w:rsidR="00BF3B52" w:rsidRPr="006107A5" w:rsidRDefault="00BF3B52" w:rsidP="00F75E0F">
            <w:pPr>
              <w:widowControl w:val="0"/>
              <w:spacing w:line="240" w:lineRule="auto"/>
              <w:jc w:val="center"/>
              <w:rPr>
                <w:rFonts w:eastAsia="Times New Roman"/>
                <w:color w:val="000000"/>
                <w:sz w:val="20"/>
                <w:szCs w:val="20"/>
                <w:lang w:eastAsia="en-GB"/>
              </w:rPr>
            </w:pPr>
          </w:p>
        </w:tc>
        <w:tc>
          <w:tcPr>
            <w:tcW w:w="850" w:type="dxa"/>
            <w:tcBorders>
              <w:top w:val="nil"/>
              <w:left w:val="nil"/>
              <w:bottom w:val="nil"/>
              <w:right w:val="nil"/>
            </w:tcBorders>
            <w:shd w:val="clear" w:color="auto" w:fill="auto"/>
            <w:vAlign w:val="center"/>
            <w:hideMark/>
          </w:tcPr>
          <w:p w:rsidR="00BF3B52" w:rsidRPr="00284C36" w:rsidRDefault="00BF3B52" w:rsidP="00BF3116">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3.8</w:t>
            </w:r>
          </w:p>
        </w:tc>
        <w:tc>
          <w:tcPr>
            <w:tcW w:w="1701" w:type="dxa"/>
            <w:tcBorders>
              <w:top w:val="nil"/>
              <w:left w:val="nil"/>
              <w:bottom w:val="nil"/>
              <w:right w:val="nil"/>
            </w:tcBorders>
            <w:shd w:val="clear" w:color="auto" w:fill="auto"/>
            <w:vAlign w:val="center"/>
            <w:hideMark/>
          </w:tcPr>
          <w:p w:rsidR="00BF3B52" w:rsidRPr="00284C36" w:rsidRDefault="00BF3B52" w:rsidP="00BF3116">
            <w:pPr>
              <w:widowControl w:val="0"/>
              <w:spacing w:line="240" w:lineRule="auto"/>
              <w:rPr>
                <w:rFonts w:eastAsia="Times New Roman"/>
                <w:color w:val="000000"/>
                <w:sz w:val="20"/>
                <w:szCs w:val="20"/>
                <w:lang w:eastAsia="en-GB"/>
              </w:rPr>
            </w:pPr>
            <w:r>
              <w:rPr>
                <w:rFonts w:eastAsia="Times New Roman"/>
                <w:color w:val="000000"/>
                <w:sz w:val="20"/>
                <w:szCs w:val="20"/>
                <w:lang w:eastAsia="en-GB"/>
              </w:rPr>
              <w:t>(3.0-4.9)</w:t>
            </w:r>
          </w:p>
        </w:tc>
        <w:tc>
          <w:tcPr>
            <w:tcW w:w="851" w:type="dxa"/>
            <w:tcBorders>
              <w:top w:val="nil"/>
              <w:left w:val="nil"/>
              <w:bottom w:val="nil"/>
              <w:right w:val="nil"/>
            </w:tcBorders>
            <w:shd w:val="clear" w:color="auto" w:fill="auto"/>
            <w:vAlign w:val="center"/>
            <w:hideMark/>
          </w:tcPr>
          <w:p w:rsidR="00BF3B52" w:rsidRPr="00284C36" w:rsidRDefault="00BF3B52" w:rsidP="00BD49BF">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23.2</w:t>
            </w:r>
          </w:p>
        </w:tc>
        <w:tc>
          <w:tcPr>
            <w:tcW w:w="1417" w:type="dxa"/>
            <w:tcBorders>
              <w:top w:val="nil"/>
              <w:left w:val="nil"/>
              <w:bottom w:val="nil"/>
              <w:right w:val="nil"/>
            </w:tcBorders>
            <w:shd w:val="clear" w:color="auto" w:fill="auto"/>
            <w:vAlign w:val="center"/>
            <w:hideMark/>
          </w:tcPr>
          <w:p w:rsidR="00BF3B52" w:rsidRPr="00284C36" w:rsidRDefault="00BF3B52" w:rsidP="00BD49BF">
            <w:pPr>
              <w:widowControl w:val="0"/>
              <w:spacing w:line="240" w:lineRule="auto"/>
              <w:rPr>
                <w:rFonts w:eastAsia="Times New Roman"/>
                <w:color w:val="000000"/>
                <w:sz w:val="20"/>
                <w:szCs w:val="20"/>
                <w:lang w:eastAsia="en-GB"/>
              </w:rPr>
            </w:pPr>
            <w:r>
              <w:rPr>
                <w:rFonts w:eastAsia="Times New Roman"/>
                <w:color w:val="000000"/>
                <w:sz w:val="20"/>
                <w:szCs w:val="20"/>
                <w:lang w:eastAsia="en-GB"/>
              </w:rPr>
              <w:t>(17.7-28.3)</w:t>
            </w:r>
          </w:p>
        </w:tc>
      </w:tr>
      <w:tr w:rsidR="00BF3B52" w:rsidRPr="00CD63CA" w:rsidTr="00F75E0F">
        <w:trPr>
          <w:trHeight w:val="680"/>
        </w:trPr>
        <w:tc>
          <w:tcPr>
            <w:tcW w:w="2992" w:type="dxa"/>
            <w:tcBorders>
              <w:top w:val="nil"/>
              <w:left w:val="nil"/>
              <w:bottom w:val="nil"/>
              <w:right w:val="nil"/>
            </w:tcBorders>
            <w:shd w:val="clear" w:color="auto" w:fill="auto"/>
            <w:vAlign w:val="center"/>
            <w:hideMark/>
          </w:tcPr>
          <w:p w:rsidR="00BF3B52" w:rsidRPr="006107A5" w:rsidRDefault="00BF3B52" w:rsidP="00F75E0F">
            <w:pPr>
              <w:widowControl w:val="0"/>
              <w:spacing w:line="240" w:lineRule="auto"/>
              <w:rPr>
                <w:rFonts w:eastAsia="Times New Roman"/>
                <w:color w:val="000000"/>
                <w:sz w:val="20"/>
                <w:szCs w:val="20"/>
                <w:lang w:eastAsia="en-GB"/>
              </w:rPr>
            </w:pPr>
            <w:r w:rsidRPr="006107A5">
              <w:rPr>
                <w:rFonts w:eastAsia="Times New Roman"/>
                <w:color w:val="000000"/>
                <w:sz w:val="20"/>
                <w:szCs w:val="20"/>
                <w:lang w:eastAsia="en-GB"/>
              </w:rPr>
              <w:t xml:space="preserve">Rarely/never have choice in activities </w:t>
            </w:r>
          </w:p>
        </w:tc>
        <w:tc>
          <w:tcPr>
            <w:tcW w:w="303" w:type="dxa"/>
            <w:tcBorders>
              <w:top w:val="nil"/>
              <w:left w:val="nil"/>
              <w:bottom w:val="nil"/>
              <w:right w:val="nil"/>
            </w:tcBorders>
            <w:shd w:val="clear" w:color="auto" w:fill="auto"/>
            <w:hideMark/>
          </w:tcPr>
          <w:p w:rsidR="00BF3B52" w:rsidRPr="006107A5" w:rsidRDefault="00BF3B52" w:rsidP="00F75E0F">
            <w:pPr>
              <w:widowControl w:val="0"/>
              <w:spacing w:line="240" w:lineRule="auto"/>
              <w:rPr>
                <w:rFonts w:eastAsia="Times New Roman"/>
                <w:color w:val="000000"/>
                <w:sz w:val="20"/>
                <w:szCs w:val="20"/>
                <w:lang w:eastAsia="en-GB"/>
              </w:rPr>
            </w:pPr>
          </w:p>
        </w:tc>
        <w:tc>
          <w:tcPr>
            <w:tcW w:w="2532" w:type="dxa"/>
            <w:tcBorders>
              <w:top w:val="nil"/>
              <w:left w:val="nil"/>
              <w:bottom w:val="nil"/>
              <w:right w:val="nil"/>
            </w:tcBorders>
            <w:shd w:val="clear" w:color="auto" w:fill="auto"/>
            <w:vAlign w:val="center"/>
            <w:hideMark/>
          </w:tcPr>
          <w:p w:rsidR="00BF3B52" w:rsidRPr="006107A5" w:rsidRDefault="00BF3B52" w:rsidP="00F75E0F">
            <w:pPr>
              <w:widowControl w:val="0"/>
              <w:spacing w:line="240" w:lineRule="auto"/>
              <w:jc w:val="center"/>
              <w:rPr>
                <w:rFonts w:eastAsia="Times New Roman"/>
                <w:color w:val="000000"/>
                <w:sz w:val="20"/>
                <w:szCs w:val="20"/>
                <w:lang w:eastAsia="en-GB"/>
              </w:rPr>
            </w:pPr>
            <w:r w:rsidRPr="006107A5">
              <w:rPr>
                <w:rFonts w:eastAsia="Times New Roman"/>
                <w:color w:val="000000"/>
                <w:sz w:val="20"/>
                <w:szCs w:val="20"/>
                <w:lang w:eastAsia="en-GB"/>
              </w:rPr>
              <w:t>1083 (20.0)</w:t>
            </w:r>
          </w:p>
        </w:tc>
        <w:tc>
          <w:tcPr>
            <w:tcW w:w="2693" w:type="dxa"/>
            <w:tcBorders>
              <w:top w:val="nil"/>
              <w:left w:val="nil"/>
              <w:bottom w:val="nil"/>
              <w:right w:val="nil"/>
            </w:tcBorders>
            <w:shd w:val="clear" w:color="auto" w:fill="auto"/>
            <w:vAlign w:val="center"/>
            <w:hideMark/>
          </w:tcPr>
          <w:p w:rsidR="00BF3B52" w:rsidRPr="006107A5" w:rsidRDefault="00BF3B52" w:rsidP="00F75E0F">
            <w:pPr>
              <w:widowControl w:val="0"/>
              <w:spacing w:line="240" w:lineRule="auto"/>
              <w:jc w:val="center"/>
              <w:rPr>
                <w:rFonts w:eastAsia="Times New Roman"/>
                <w:color w:val="000000"/>
                <w:sz w:val="20"/>
                <w:szCs w:val="20"/>
                <w:lang w:eastAsia="en-GB"/>
              </w:rPr>
            </w:pPr>
            <w:r w:rsidRPr="006107A5">
              <w:rPr>
                <w:rFonts w:eastAsia="Times New Roman"/>
                <w:color w:val="000000"/>
                <w:sz w:val="20"/>
                <w:szCs w:val="20"/>
                <w:lang w:eastAsia="en-GB"/>
              </w:rPr>
              <w:t>138 (37.7)</w:t>
            </w:r>
          </w:p>
        </w:tc>
        <w:tc>
          <w:tcPr>
            <w:tcW w:w="284" w:type="dxa"/>
            <w:tcBorders>
              <w:top w:val="nil"/>
              <w:left w:val="nil"/>
              <w:bottom w:val="nil"/>
              <w:right w:val="nil"/>
            </w:tcBorders>
            <w:shd w:val="clear" w:color="auto" w:fill="auto"/>
            <w:vAlign w:val="center"/>
            <w:hideMark/>
          </w:tcPr>
          <w:p w:rsidR="00BF3B52" w:rsidRPr="006107A5" w:rsidRDefault="00BF3B52" w:rsidP="00F75E0F">
            <w:pPr>
              <w:widowControl w:val="0"/>
              <w:spacing w:line="240" w:lineRule="auto"/>
              <w:jc w:val="center"/>
              <w:rPr>
                <w:rFonts w:eastAsia="Times New Roman"/>
                <w:color w:val="000000"/>
                <w:sz w:val="20"/>
                <w:szCs w:val="20"/>
                <w:lang w:eastAsia="en-GB"/>
              </w:rPr>
            </w:pPr>
          </w:p>
        </w:tc>
        <w:tc>
          <w:tcPr>
            <w:tcW w:w="850" w:type="dxa"/>
            <w:tcBorders>
              <w:top w:val="nil"/>
              <w:left w:val="nil"/>
              <w:bottom w:val="nil"/>
              <w:right w:val="nil"/>
            </w:tcBorders>
            <w:shd w:val="clear" w:color="auto" w:fill="auto"/>
            <w:vAlign w:val="center"/>
            <w:hideMark/>
          </w:tcPr>
          <w:p w:rsidR="00BF3B52" w:rsidRPr="00284C36" w:rsidRDefault="00BF3B52" w:rsidP="00BF3116">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2.7</w:t>
            </w:r>
          </w:p>
        </w:tc>
        <w:tc>
          <w:tcPr>
            <w:tcW w:w="1701" w:type="dxa"/>
            <w:tcBorders>
              <w:top w:val="nil"/>
              <w:left w:val="nil"/>
              <w:bottom w:val="nil"/>
              <w:right w:val="nil"/>
            </w:tcBorders>
            <w:shd w:val="clear" w:color="auto" w:fill="auto"/>
            <w:vAlign w:val="center"/>
            <w:hideMark/>
          </w:tcPr>
          <w:p w:rsidR="00BF3B52" w:rsidRPr="00284C36" w:rsidRDefault="00BF3B52" w:rsidP="00BF3116">
            <w:pPr>
              <w:widowControl w:val="0"/>
              <w:spacing w:line="240" w:lineRule="auto"/>
              <w:rPr>
                <w:rFonts w:eastAsia="Times New Roman"/>
                <w:color w:val="000000"/>
                <w:sz w:val="20"/>
                <w:szCs w:val="20"/>
                <w:lang w:eastAsia="en-GB"/>
              </w:rPr>
            </w:pPr>
            <w:r>
              <w:rPr>
                <w:rFonts w:eastAsia="Times New Roman"/>
                <w:color w:val="000000"/>
                <w:sz w:val="20"/>
                <w:szCs w:val="20"/>
                <w:lang w:eastAsia="en-GB"/>
              </w:rPr>
              <w:t>(2.1-3.4)</w:t>
            </w:r>
          </w:p>
        </w:tc>
        <w:tc>
          <w:tcPr>
            <w:tcW w:w="851" w:type="dxa"/>
            <w:tcBorders>
              <w:top w:val="nil"/>
              <w:left w:val="nil"/>
              <w:bottom w:val="nil"/>
              <w:right w:val="nil"/>
            </w:tcBorders>
            <w:shd w:val="clear" w:color="auto" w:fill="auto"/>
            <w:vAlign w:val="center"/>
            <w:hideMark/>
          </w:tcPr>
          <w:p w:rsidR="00BF3B52" w:rsidRPr="00284C36" w:rsidRDefault="00BF3B52" w:rsidP="00BD49BF">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22.4</w:t>
            </w:r>
          </w:p>
        </w:tc>
        <w:tc>
          <w:tcPr>
            <w:tcW w:w="1417" w:type="dxa"/>
            <w:tcBorders>
              <w:top w:val="nil"/>
              <w:left w:val="nil"/>
              <w:bottom w:val="nil"/>
              <w:right w:val="nil"/>
            </w:tcBorders>
            <w:shd w:val="clear" w:color="auto" w:fill="auto"/>
            <w:vAlign w:val="center"/>
            <w:hideMark/>
          </w:tcPr>
          <w:p w:rsidR="00BF3B52" w:rsidRPr="00284C36" w:rsidRDefault="00BF3B52" w:rsidP="00BD49BF">
            <w:pPr>
              <w:widowControl w:val="0"/>
              <w:spacing w:line="240" w:lineRule="auto"/>
              <w:rPr>
                <w:rFonts w:eastAsia="Times New Roman"/>
                <w:color w:val="000000"/>
                <w:sz w:val="20"/>
                <w:szCs w:val="20"/>
                <w:lang w:eastAsia="en-GB"/>
              </w:rPr>
            </w:pPr>
            <w:r>
              <w:rPr>
                <w:rFonts w:eastAsia="Times New Roman"/>
                <w:color w:val="000000"/>
                <w:sz w:val="20"/>
                <w:szCs w:val="20"/>
                <w:lang w:eastAsia="en-GB"/>
              </w:rPr>
              <w:t>(16.2-28.1))</w:t>
            </w:r>
          </w:p>
        </w:tc>
      </w:tr>
      <w:tr w:rsidR="00BF3B52" w:rsidRPr="00CD63CA" w:rsidTr="00F75E0F">
        <w:trPr>
          <w:trHeight w:val="680"/>
        </w:trPr>
        <w:tc>
          <w:tcPr>
            <w:tcW w:w="2992" w:type="dxa"/>
            <w:tcBorders>
              <w:top w:val="nil"/>
              <w:left w:val="nil"/>
              <w:bottom w:val="nil"/>
              <w:right w:val="nil"/>
            </w:tcBorders>
            <w:shd w:val="clear" w:color="auto" w:fill="auto"/>
            <w:vAlign w:val="center"/>
            <w:hideMark/>
          </w:tcPr>
          <w:p w:rsidR="00BF3B52" w:rsidRPr="006107A5" w:rsidRDefault="00BF3B52" w:rsidP="00F75E0F">
            <w:pPr>
              <w:widowControl w:val="0"/>
              <w:spacing w:line="240" w:lineRule="auto"/>
              <w:rPr>
                <w:rFonts w:eastAsia="Times New Roman"/>
                <w:color w:val="000000"/>
                <w:sz w:val="20"/>
                <w:szCs w:val="20"/>
                <w:lang w:eastAsia="en-GB"/>
              </w:rPr>
            </w:pPr>
            <w:r w:rsidRPr="006107A5">
              <w:rPr>
                <w:rFonts w:eastAsia="Times New Roman"/>
                <w:color w:val="000000"/>
                <w:sz w:val="20"/>
                <w:szCs w:val="20"/>
                <w:lang w:eastAsia="en-GB"/>
              </w:rPr>
              <w:t xml:space="preserve">One or more colleagues difficult </w:t>
            </w:r>
            <w:r>
              <w:rPr>
                <w:rFonts w:eastAsia="Times New Roman"/>
                <w:color w:val="000000"/>
                <w:sz w:val="20"/>
                <w:szCs w:val="20"/>
                <w:lang w:eastAsia="en-GB"/>
              </w:rPr>
              <w:t>and/</w:t>
            </w:r>
            <w:r w:rsidRPr="006107A5">
              <w:rPr>
                <w:rFonts w:eastAsia="Times New Roman"/>
                <w:color w:val="000000"/>
                <w:sz w:val="20"/>
                <w:szCs w:val="20"/>
                <w:lang w:eastAsia="en-GB"/>
              </w:rPr>
              <w:t>or often criticised unfairly</w:t>
            </w:r>
          </w:p>
        </w:tc>
        <w:tc>
          <w:tcPr>
            <w:tcW w:w="303" w:type="dxa"/>
            <w:tcBorders>
              <w:top w:val="nil"/>
              <w:left w:val="nil"/>
              <w:bottom w:val="nil"/>
              <w:right w:val="nil"/>
            </w:tcBorders>
            <w:shd w:val="clear" w:color="auto" w:fill="auto"/>
            <w:hideMark/>
          </w:tcPr>
          <w:p w:rsidR="00BF3B52" w:rsidRPr="006107A5" w:rsidRDefault="00BF3B52" w:rsidP="00F75E0F">
            <w:pPr>
              <w:widowControl w:val="0"/>
              <w:spacing w:line="240" w:lineRule="auto"/>
              <w:rPr>
                <w:rFonts w:eastAsia="Times New Roman"/>
                <w:color w:val="000000"/>
                <w:sz w:val="20"/>
                <w:szCs w:val="20"/>
                <w:lang w:eastAsia="en-GB"/>
              </w:rPr>
            </w:pPr>
          </w:p>
        </w:tc>
        <w:tc>
          <w:tcPr>
            <w:tcW w:w="2532" w:type="dxa"/>
            <w:tcBorders>
              <w:top w:val="nil"/>
              <w:left w:val="nil"/>
              <w:bottom w:val="nil"/>
              <w:right w:val="nil"/>
            </w:tcBorders>
            <w:shd w:val="clear" w:color="auto" w:fill="auto"/>
            <w:vAlign w:val="center"/>
            <w:hideMark/>
          </w:tcPr>
          <w:p w:rsidR="00BF3B52" w:rsidRPr="006107A5" w:rsidRDefault="00BF3B52" w:rsidP="00F75E0F">
            <w:pPr>
              <w:widowControl w:val="0"/>
              <w:spacing w:line="240" w:lineRule="auto"/>
              <w:jc w:val="center"/>
              <w:rPr>
                <w:rFonts w:eastAsia="Times New Roman"/>
                <w:color w:val="000000"/>
                <w:sz w:val="20"/>
                <w:szCs w:val="20"/>
                <w:lang w:eastAsia="en-GB"/>
              </w:rPr>
            </w:pPr>
            <w:r w:rsidRPr="006107A5">
              <w:rPr>
                <w:rFonts w:eastAsia="Times New Roman"/>
                <w:color w:val="000000"/>
                <w:sz w:val="20"/>
                <w:szCs w:val="20"/>
                <w:lang w:eastAsia="en-GB"/>
              </w:rPr>
              <w:t>1781 (32.8)</w:t>
            </w:r>
          </w:p>
        </w:tc>
        <w:tc>
          <w:tcPr>
            <w:tcW w:w="2693" w:type="dxa"/>
            <w:tcBorders>
              <w:top w:val="nil"/>
              <w:left w:val="nil"/>
              <w:bottom w:val="nil"/>
              <w:right w:val="nil"/>
            </w:tcBorders>
            <w:shd w:val="clear" w:color="auto" w:fill="auto"/>
            <w:vAlign w:val="center"/>
            <w:hideMark/>
          </w:tcPr>
          <w:p w:rsidR="00BF3B52" w:rsidRPr="006107A5" w:rsidRDefault="00BF3B52" w:rsidP="00F75E0F">
            <w:pPr>
              <w:widowControl w:val="0"/>
              <w:spacing w:line="240" w:lineRule="auto"/>
              <w:jc w:val="center"/>
              <w:rPr>
                <w:rFonts w:eastAsia="Times New Roman"/>
                <w:color w:val="000000"/>
                <w:sz w:val="20"/>
                <w:szCs w:val="20"/>
                <w:lang w:eastAsia="en-GB"/>
              </w:rPr>
            </w:pPr>
            <w:r w:rsidRPr="006107A5">
              <w:rPr>
                <w:rFonts w:eastAsia="Times New Roman"/>
                <w:color w:val="000000"/>
                <w:sz w:val="20"/>
                <w:szCs w:val="20"/>
                <w:lang w:eastAsia="en-GB"/>
              </w:rPr>
              <w:t>239 (65.0)</w:t>
            </w:r>
          </w:p>
        </w:tc>
        <w:tc>
          <w:tcPr>
            <w:tcW w:w="284" w:type="dxa"/>
            <w:tcBorders>
              <w:top w:val="nil"/>
              <w:left w:val="nil"/>
              <w:bottom w:val="nil"/>
              <w:right w:val="nil"/>
            </w:tcBorders>
            <w:shd w:val="clear" w:color="auto" w:fill="auto"/>
            <w:vAlign w:val="center"/>
            <w:hideMark/>
          </w:tcPr>
          <w:p w:rsidR="00BF3B52" w:rsidRPr="006107A5" w:rsidRDefault="00BF3B52" w:rsidP="00F75E0F">
            <w:pPr>
              <w:widowControl w:val="0"/>
              <w:spacing w:line="240" w:lineRule="auto"/>
              <w:jc w:val="center"/>
              <w:rPr>
                <w:rFonts w:eastAsia="Times New Roman"/>
                <w:color w:val="000000"/>
                <w:sz w:val="20"/>
                <w:szCs w:val="20"/>
                <w:lang w:eastAsia="en-GB"/>
              </w:rPr>
            </w:pPr>
          </w:p>
        </w:tc>
        <w:tc>
          <w:tcPr>
            <w:tcW w:w="850" w:type="dxa"/>
            <w:tcBorders>
              <w:top w:val="nil"/>
              <w:left w:val="nil"/>
              <w:bottom w:val="nil"/>
              <w:right w:val="nil"/>
            </w:tcBorders>
            <w:shd w:val="clear" w:color="auto" w:fill="auto"/>
            <w:vAlign w:val="center"/>
            <w:hideMark/>
          </w:tcPr>
          <w:p w:rsidR="00BF3B52" w:rsidRPr="00284C36" w:rsidRDefault="00BF3B52" w:rsidP="00BF3116">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4.2</w:t>
            </w:r>
          </w:p>
        </w:tc>
        <w:tc>
          <w:tcPr>
            <w:tcW w:w="1701" w:type="dxa"/>
            <w:tcBorders>
              <w:top w:val="nil"/>
              <w:left w:val="nil"/>
              <w:bottom w:val="nil"/>
              <w:right w:val="nil"/>
            </w:tcBorders>
            <w:shd w:val="clear" w:color="auto" w:fill="auto"/>
            <w:vAlign w:val="center"/>
            <w:hideMark/>
          </w:tcPr>
          <w:p w:rsidR="00BF3B52" w:rsidRPr="00284C36" w:rsidRDefault="00BF3B52" w:rsidP="00BF3116">
            <w:pPr>
              <w:widowControl w:val="0"/>
              <w:spacing w:line="240" w:lineRule="auto"/>
              <w:rPr>
                <w:rFonts w:eastAsia="Times New Roman"/>
                <w:color w:val="000000"/>
                <w:sz w:val="20"/>
                <w:szCs w:val="20"/>
                <w:lang w:eastAsia="en-GB"/>
              </w:rPr>
            </w:pPr>
            <w:r>
              <w:rPr>
                <w:rFonts w:eastAsia="Times New Roman"/>
                <w:color w:val="000000"/>
                <w:sz w:val="20"/>
                <w:szCs w:val="20"/>
                <w:lang w:eastAsia="en-GB"/>
              </w:rPr>
              <w:t>(3.3-5.2)</w:t>
            </w:r>
          </w:p>
        </w:tc>
        <w:tc>
          <w:tcPr>
            <w:tcW w:w="851" w:type="dxa"/>
            <w:tcBorders>
              <w:top w:val="nil"/>
              <w:left w:val="nil"/>
              <w:bottom w:val="nil"/>
              <w:right w:val="nil"/>
            </w:tcBorders>
            <w:shd w:val="clear" w:color="auto" w:fill="auto"/>
            <w:vAlign w:val="center"/>
            <w:hideMark/>
          </w:tcPr>
          <w:p w:rsidR="00BF3B52" w:rsidRPr="00284C36" w:rsidRDefault="00BF3B52" w:rsidP="00BD49BF">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47.5</w:t>
            </w:r>
          </w:p>
        </w:tc>
        <w:tc>
          <w:tcPr>
            <w:tcW w:w="1417" w:type="dxa"/>
            <w:tcBorders>
              <w:top w:val="nil"/>
              <w:left w:val="nil"/>
              <w:bottom w:val="nil"/>
              <w:right w:val="nil"/>
            </w:tcBorders>
            <w:shd w:val="clear" w:color="auto" w:fill="auto"/>
            <w:vAlign w:val="center"/>
            <w:hideMark/>
          </w:tcPr>
          <w:p w:rsidR="00BF3B52" w:rsidRPr="00284C36" w:rsidRDefault="00BF3B52" w:rsidP="00BD49BF">
            <w:pPr>
              <w:widowControl w:val="0"/>
              <w:spacing w:line="240" w:lineRule="auto"/>
              <w:rPr>
                <w:rFonts w:eastAsia="Times New Roman"/>
                <w:color w:val="000000"/>
                <w:sz w:val="20"/>
                <w:szCs w:val="20"/>
                <w:lang w:eastAsia="en-GB"/>
              </w:rPr>
            </w:pPr>
            <w:r>
              <w:rPr>
                <w:rFonts w:eastAsia="Times New Roman"/>
                <w:color w:val="000000"/>
                <w:sz w:val="20"/>
                <w:szCs w:val="20"/>
                <w:lang w:eastAsia="en-GB"/>
              </w:rPr>
              <w:t>(40.0-54.1)</w:t>
            </w:r>
          </w:p>
        </w:tc>
      </w:tr>
      <w:tr w:rsidR="00BF3B52" w:rsidRPr="00CD63CA" w:rsidTr="00F75E0F">
        <w:trPr>
          <w:trHeight w:val="680"/>
        </w:trPr>
        <w:tc>
          <w:tcPr>
            <w:tcW w:w="2992" w:type="dxa"/>
            <w:tcBorders>
              <w:top w:val="nil"/>
              <w:left w:val="nil"/>
              <w:bottom w:val="single" w:sz="12" w:space="0" w:color="auto"/>
              <w:right w:val="nil"/>
            </w:tcBorders>
            <w:shd w:val="clear" w:color="auto" w:fill="auto"/>
            <w:vAlign w:val="center"/>
            <w:hideMark/>
          </w:tcPr>
          <w:p w:rsidR="00BF3B52" w:rsidRPr="006107A5" w:rsidRDefault="00BF3B52" w:rsidP="00F75E0F">
            <w:pPr>
              <w:widowControl w:val="0"/>
              <w:spacing w:line="240" w:lineRule="auto"/>
              <w:rPr>
                <w:rFonts w:eastAsia="Times New Roman"/>
                <w:color w:val="000000"/>
                <w:sz w:val="20"/>
                <w:szCs w:val="20"/>
                <w:lang w:eastAsia="en-GB"/>
              </w:rPr>
            </w:pPr>
            <w:r w:rsidRPr="006107A5">
              <w:rPr>
                <w:rFonts w:eastAsia="Times New Roman"/>
                <w:color w:val="000000"/>
                <w:sz w:val="20"/>
                <w:szCs w:val="20"/>
                <w:lang w:eastAsia="en-GB"/>
              </w:rPr>
              <w:t xml:space="preserve">Job insecure in illness </w:t>
            </w:r>
            <w:r>
              <w:rPr>
                <w:rFonts w:eastAsia="Times New Roman"/>
                <w:color w:val="000000"/>
                <w:sz w:val="20"/>
                <w:szCs w:val="20"/>
                <w:lang w:eastAsia="en-GB"/>
              </w:rPr>
              <w:t>and/</w:t>
            </w:r>
            <w:r w:rsidRPr="006107A5">
              <w:rPr>
                <w:rFonts w:eastAsia="Times New Roman"/>
                <w:color w:val="000000"/>
                <w:sz w:val="20"/>
                <w:szCs w:val="20"/>
                <w:lang w:eastAsia="en-GB"/>
              </w:rPr>
              <w:t>or when well</w:t>
            </w:r>
          </w:p>
        </w:tc>
        <w:tc>
          <w:tcPr>
            <w:tcW w:w="303" w:type="dxa"/>
            <w:tcBorders>
              <w:top w:val="nil"/>
              <w:left w:val="nil"/>
              <w:bottom w:val="single" w:sz="12" w:space="0" w:color="auto"/>
              <w:right w:val="nil"/>
            </w:tcBorders>
            <w:shd w:val="clear" w:color="auto" w:fill="auto"/>
            <w:hideMark/>
          </w:tcPr>
          <w:p w:rsidR="00BF3B52" w:rsidRPr="006107A5" w:rsidRDefault="00BF3B52" w:rsidP="00F75E0F">
            <w:pPr>
              <w:widowControl w:val="0"/>
              <w:spacing w:line="240" w:lineRule="auto"/>
              <w:rPr>
                <w:rFonts w:eastAsia="Times New Roman"/>
                <w:color w:val="000000"/>
                <w:sz w:val="20"/>
                <w:szCs w:val="20"/>
                <w:lang w:eastAsia="en-GB"/>
              </w:rPr>
            </w:pPr>
            <w:r w:rsidRPr="006107A5">
              <w:rPr>
                <w:rFonts w:eastAsia="Times New Roman"/>
                <w:color w:val="000000"/>
                <w:sz w:val="20"/>
                <w:szCs w:val="20"/>
                <w:lang w:eastAsia="en-GB"/>
              </w:rPr>
              <w:t> </w:t>
            </w:r>
          </w:p>
        </w:tc>
        <w:tc>
          <w:tcPr>
            <w:tcW w:w="2532" w:type="dxa"/>
            <w:tcBorders>
              <w:top w:val="nil"/>
              <w:left w:val="nil"/>
              <w:bottom w:val="single" w:sz="12" w:space="0" w:color="auto"/>
              <w:right w:val="nil"/>
            </w:tcBorders>
            <w:shd w:val="clear" w:color="auto" w:fill="auto"/>
            <w:vAlign w:val="center"/>
            <w:hideMark/>
          </w:tcPr>
          <w:p w:rsidR="00BF3B52" w:rsidRPr="006107A5" w:rsidRDefault="00BF3B52" w:rsidP="00F75E0F">
            <w:pPr>
              <w:widowControl w:val="0"/>
              <w:spacing w:line="240" w:lineRule="auto"/>
              <w:jc w:val="center"/>
              <w:rPr>
                <w:rFonts w:eastAsia="Times New Roman"/>
                <w:color w:val="000000"/>
                <w:sz w:val="20"/>
                <w:szCs w:val="20"/>
                <w:lang w:eastAsia="en-GB"/>
              </w:rPr>
            </w:pPr>
            <w:r w:rsidRPr="006107A5">
              <w:rPr>
                <w:rFonts w:eastAsia="Times New Roman"/>
                <w:color w:val="000000"/>
                <w:sz w:val="20"/>
                <w:szCs w:val="20"/>
                <w:lang w:eastAsia="en-GB"/>
              </w:rPr>
              <w:t>2594 (47.8)</w:t>
            </w:r>
          </w:p>
        </w:tc>
        <w:tc>
          <w:tcPr>
            <w:tcW w:w="2693" w:type="dxa"/>
            <w:tcBorders>
              <w:top w:val="nil"/>
              <w:left w:val="nil"/>
              <w:bottom w:val="single" w:sz="12" w:space="0" w:color="auto"/>
              <w:right w:val="nil"/>
            </w:tcBorders>
            <w:shd w:val="clear" w:color="auto" w:fill="auto"/>
            <w:vAlign w:val="center"/>
            <w:hideMark/>
          </w:tcPr>
          <w:p w:rsidR="00BF3B52" w:rsidRPr="006107A5" w:rsidRDefault="00BF3B52" w:rsidP="00F75E0F">
            <w:pPr>
              <w:widowControl w:val="0"/>
              <w:spacing w:line="240" w:lineRule="auto"/>
              <w:jc w:val="center"/>
              <w:rPr>
                <w:rFonts w:eastAsia="Times New Roman"/>
                <w:color w:val="000000"/>
                <w:sz w:val="20"/>
                <w:szCs w:val="20"/>
                <w:lang w:eastAsia="en-GB"/>
              </w:rPr>
            </w:pPr>
            <w:r w:rsidRPr="006107A5">
              <w:rPr>
                <w:rFonts w:eastAsia="Times New Roman"/>
                <w:color w:val="000000"/>
                <w:sz w:val="20"/>
                <w:szCs w:val="20"/>
                <w:lang w:eastAsia="en-GB"/>
              </w:rPr>
              <w:t>284 (77.2)</w:t>
            </w:r>
          </w:p>
        </w:tc>
        <w:tc>
          <w:tcPr>
            <w:tcW w:w="284" w:type="dxa"/>
            <w:tcBorders>
              <w:top w:val="nil"/>
              <w:left w:val="nil"/>
              <w:bottom w:val="single" w:sz="12" w:space="0" w:color="auto"/>
              <w:right w:val="nil"/>
            </w:tcBorders>
            <w:shd w:val="clear" w:color="auto" w:fill="auto"/>
            <w:vAlign w:val="center"/>
            <w:hideMark/>
          </w:tcPr>
          <w:p w:rsidR="00BF3B52" w:rsidRPr="006107A5" w:rsidRDefault="00BF3B52" w:rsidP="00F75E0F">
            <w:pPr>
              <w:widowControl w:val="0"/>
              <w:spacing w:line="240" w:lineRule="auto"/>
              <w:jc w:val="center"/>
              <w:rPr>
                <w:rFonts w:eastAsia="Times New Roman"/>
                <w:color w:val="000000"/>
                <w:sz w:val="20"/>
                <w:szCs w:val="20"/>
                <w:lang w:eastAsia="en-GB"/>
              </w:rPr>
            </w:pPr>
            <w:r w:rsidRPr="006107A5">
              <w:rPr>
                <w:rFonts w:eastAsia="Times New Roman"/>
                <w:color w:val="000000"/>
                <w:sz w:val="20"/>
                <w:szCs w:val="20"/>
                <w:lang w:eastAsia="en-GB"/>
              </w:rPr>
              <w:t> </w:t>
            </w:r>
          </w:p>
        </w:tc>
        <w:tc>
          <w:tcPr>
            <w:tcW w:w="850" w:type="dxa"/>
            <w:tcBorders>
              <w:top w:val="nil"/>
              <w:left w:val="nil"/>
              <w:bottom w:val="single" w:sz="12" w:space="0" w:color="auto"/>
              <w:right w:val="nil"/>
            </w:tcBorders>
            <w:shd w:val="clear" w:color="auto" w:fill="auto"/>
            <w:vAlign w:val="center"/>
            <w:hideMark/>
          </w:tcPr>
          <w:p w:rsidR="00BF3B52" w:rsidRPr="00284C36" w:rsidRDefault="00BF3B52" w:rsidP="00BF3116">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4.0</w:t>
            </w:r>
          </w:p>
        </w:tc>
        <w:tc>
          <w:tcPr>
            <w:tcW w:w="1701" w:type="dxa"/>
            <w:tcBorders>
              <w:top w:val="nil"/>
              <w:left w:val="nil"/>
              <w:bottom w:val="single" w:sz="12" w:space="0" w:color="auto"/>
              <w:right w:val="nil"/>
            </w:tcBorders>
            <w:shd w:val="clear" w:color="auto" w:fill="auto"/>
            <w:vAlign w:val="center"/>
            <w:hideMark/>
          </w:tcPr>
          <w:p w:rsidR="00BF3B52" w:rsidRPr="00284C36" w:rsidRDefault="00BF3B52" w:rsidP="00BF3116">
            <w:pPr>
              <w:widowControl w:val="0"/>
              <w:spacing w:line="240" w:lineRule="auto"/>
              <w:rPr>
                <w:rFonts w:eastAsia="Times New Roman"/>
                <w:color w:val="000000"/>
                <w:sz w:val="20"/>
                <w:szCs w:val="20"/>
                <w:lang w:eastAsia="en-GB"/>
              </w:rPr>
            </w:pPr>
            <w:r>
              <w:rPr>
                <w:rFonts w:eastAsia="Times New Roman"/>
                <w:color w:val="000000"/>
                <w:sz w:val="20"/>
                <w:szCs w:val="20"/>
                <w:lang w:eastAsia="en-GB"/>
              </w:rPr>
              <w:t>(3.1-5.1)</w:t>
            </w:r>
          </w:p>
        </w:tc>
        <w:tc>
          <w:tcPr>
            <w:tcW w:w="851" w:type="dxa"/>
            <w:tcBorders>
              <w:top w:val="nil"/>
              <w:left w:val="nil"/>
              <w:bottom w:val="single" w:sz="12" w:space="0" w:color="auto"/>
              <w:right w:val="nil"/>
            </w:tcBorders>
            <w:shd w:val="clear" w:color="auto" w:fill="auto"/>
            <w:vAlign w:val="center"/>
            <w:hideMark/>
          </w:tcPr>
          <w:p w:rsidR="00BF3B52" w:rsidRPr="00284C36" w:rsidRDefault="00BF3B52" w:rsidP="00BD49BF">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56.1</w:t>
            </w:r>
          </w:p>
        </w:tc>
        <w:tc>
          <w:tcPr>
            <w:tcW w:w="1417" w:type="dxa"/>
            <w:tcBorders>
              <w:top w:val="nil"/>
              <w:left w:val="nil"/>
              <w:bottom w:val="single" w:sz="12" w:space="0" w:color="auto"/>
              <w:right w:val="nil"/>
            </w:tcBorders>
            <w:shd w:val="clear" w:color="auto" w:fill="auto"/>
            <w:vAlign w:val="center"/>
            <w:hideMark/>
          </w:tcPr>
          <w:p w:rsidR="00BF3B52" w:rsidRPr="00284C36" w:rsidRDefault="00BF3B52" w:rsidP="00BD49BF">
            <w:pPr>
              <w:widowControl w:val="0"/>
              <w:spacing w:line="240" w:lineRule="auto"/>
              <w:rPr>
                <w:rFonts w:eastAsia="Times New Roman"/>
                <w:color w:val="000000"/>
                <w:sz w:val="20"/>
                <w:szCs w:val="20"/>
                <w:lang w:eastAsia="en-GB"/>
              </w:rPr>
            </w:pPr>
            <w:r>
              <w:rPr>
                <w:rFonts w:eastAsia="Times New Roman"/>
                <w:color w:val="000000"/>
                <w:sz w:val="20"/>
                <w:szCs w:val="20"/>
                <w:lang w:eastAsia="en-GB"/>
              </w:rPr>
              <w:t>(47.3-63.4)</w:t>
            </w:r>
          </w:p>
        </w:tc>
      </w:tr>
    </w:tbl>
    <w:p w:rsidR="00262CAF" w:rsidRDefault="00262CAF" w:rsidP="00262CAF">
      <w:pPr>
        <w:widowControl w:val="0"/>
      </w:pPr>
    </w:p>
    <w:p w:rsidR="00262CAF" w:rsidRDefault="00262CAF" w:rsidP="00262CAF">
      <w:pPr>
        <w:widowControl w:val="0"/>
      </w:pPr>
      <w:proofErr w:type="spellStart"/>
      <w:proofErr w:type="gramStart"/>
      <w:r w:rsidRPr="00720D5B">
        <w:rPr>
          <w:vertAlign w:val="superscript"/>
        </w:rPr>
        <w:t>a</w:t>
      </w:r>
      <w:r>
        <w:t>Odds</w:t>
      </w:r>
      <w:proofErr w:type="spellEnd"/>
      <w:proofErr w:type="gramEnd"/>
      <w:r>
        <w:t xml:space="preserve"> ratios (with 95% confidence intervals)</w:t>
      </w:r>
      <w:r w:rsidR="00B01EE1">
        <w:t xml:space="preserve"> adjusted for age and sex. Separate models were constructed for each negative perception</w:t>
      </w:r>
    </w:p>
    <w:p w:rsidR="00262CAF" w:rsidRDefault="00262CAF" w:rsidP="00262CAF">
      <w:pPr>
        <w:widowControl w:val="0"/>
      </w:pPr>
      <w:proofErr w:type="spellStart"/>
      <w:proofErr w:type="gramStart"/>
      <w:r w:rsidRPr="00720D5B">
        <w:rPr>
          <w:vertAlign w:val="superscript"/>
        </w:rPr>
        <w:t>b</w:t>
      </w:r>
      <w:r>
        <w:t>Population</w:t>
      </w:r>
      <w:proofErr w:type="spellEnd"/>
      <w:proofErr w:type="gramEnd"/>
      <w:r>
        <w:t xml:space="preserve"> attributable fractions (</w:t>
      </w:r>
      <w:r w:rsidR="00CF1D39">
        <w:t xml:space="preserve">% </w:t>
      </w:r>
      <w:r>
        <w:t>with 95% confidence intervals)</w:t>
      </w:r>
      <w:r>
        <w:br w:type="page"/>
      </w:r>
    </w:p>
    <w:p w:rsidR="00262CAF" w:rsidRDefault="00262CAF" w:rsidP="00262CAF">
      <w:pPr>
        <w:pStyle w:val="Heading4"/>
        <w:widowControl w:val="0"/>
      </w:pPr>
      <w:r>
        <w:lastRenderedPageBreak/>
        <w:t xml:space="preserve">Table </w:t>
      </w:r>
      <w:r w:rsidR="00EE0306">
        <w:t>4</w:t>
      </w:r>
      <w:r>
        <w:tab/>
      </w:r>
      <w:r>
        <w:tab/>
      </w:r>
      <w:r w:rsidR="007B6B1F">
        <w:t>Contributions of negative perceptions of work to overall job dissatisfaction in different population subgroups</w:t>
      </w:r>
    </w:p>
    <w:p w:rsidR="00262CAF" w:rsidRDefault="00262CAF" w:rsidP="00262CAF">
      <w:pPr>
        <w:widowControl w:val="0"/>
      </w:pPr>
      <w:r>
        <w:t>T</w:t>
      </w:r>
      <w:r w:rsidRPr="009F12B3">
        <w:t xml:space="preserve">he figures </w:t>
      </w:r>
      <w:r>
        <w:t xml:space="preserve">presented are population </w:t>
      </w:r>
      <w:proofErr w:type="gramStart"/>
      <w:r>
        <w:t>attributable</w:t>
      </w:r>
      <w:proofErr w:type="gramEnd"/>
      <w:r>
        <w:t xml:space="preserve"> fractions % with 95% confidence intervals in brackets.</w:t>
      </w:r>
    </w:p>
    <w:p w:rsidR="00262CAF" w:rsidRDefault="00262CAF" w:rsidP="00262CAF">
      <w:pPr>
        <w:widowControl w:val="0"/>
      </w:pPr>
    </w:p>
    <w:tbl>
      <w:tblPr>
        <w:tblW w:w="14893" w:type="dxa"/>
        <w:jc w:val="center"/>
        <w:tblInd w:w="-106" w:type="dxa"/>
        <w:tblLook w:val="04A0" w:firstRow="1" w:lastRow="0" w:firstColumn="1" w:lastColumn="0" w:noHBand="0" w:noVBand="1"/>
      </w:tblPr>
      <w:tblGrid>
        <w:gridCol w:w="2836"/>
        <w:gridCol w:w="1701"/>
        <w:gridCol w:w="1701"/>
        <w:gridCol w:w="1701"/>
        <w:gridCol w:w="1843"/>
        <w:gridCol w:w="1701"/>
        <w:gridCol w:w="1701"/>
        <w:gridCol w:w="1709"/>
      </w:tblGrid>
      <w:tr w:rsidR="00262CAF" w:rsidRPr="001321C9" w:rsidTr="00F75E0F">
        <w:trPr>
          <w:trHeight w:val="1007"/>
          <w:jc w:val="center"/>
        </w:trPr>
        <w:tc>
          <w:tcPr>
            <w:tcW w:w="2836" w:type="dxa"/>
            <w:tcBorders>
              <w:top w:val="single" w:sz="12" w:space="0" w:color="auto"/>
              <w:left w:val="nil"/>
              <w:bottom w:val="single" w:sz="12" w:space="0" w:color="auto"/>
              <w:right w:val="nil"/>
            </w:tcBorders>
            <w:shd w:val="clear" w:color="auto" w:fill="auto"/>
            <w:vAlign w:val="center"/>
            <w:hideMark/>
          </w:tcPr>
          <w:p w:rsidR="00262CAF" w:rsidRPr="001321C9" w:rsidRDefault="00262CAF" w:rsidP="00887A45">
            <w:pPr>
              <w:widowControl w:val="0"/>
              <w:spacing w:line="240" w:lineRule="auto"/>
              <w:rPr>
                <w:rFonts w:eastAsia="Times New Roman"/>
                <w:b/>
                <w:bCs/>
                <w:color w:val="000000"/>
                <w:sz w:val="20"/>
                <w:szCs w:val="20"/>
                <w:lang w:eastAsia="en-GB"/>
              </w:rPr>
            </w:pPr>
            <w:r w:rsidRPr="001321C9">
              <w:rPr>
                <w:rFonts w:eastAsia="Times New Roman"/>
                <w:b/>
                <w:bCs/>
                <w:color w:val="000000"/>
                <w:sz w:val="20"/>
                <w:szCs w:val="20"/>
                <w:lang w:eastAsia="en-GB"/>
              </w:rPr>
              <w:t>Population group</w:t>
            </w:r>
          </w:p>
        </w:tc>
        <w:tc>
          <w:tcPr>
            <w:tcW w:w="1701" w:type="dxa"/>
            <w:tcBorders>
              <w:top w:val="single" w:sz="12" w:space="0" w:color="auto"/>
              <w:left w:val="nil"/>
              <w:bottom w:val="single" w:sz="12" w:space="0" w:color="auto"/>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b/>
                <w:bCs/>
                <w:color w:val="000000"/>
                <w:sz w:val="20"/>
                <w:szCs w:val="20"/>
                <w:lang w:eastAsia="en-GB"/>
              </w:rPr>
            </w:pPr>
            <w:r w:rsidRPr="001321C9">
              <w:rPr>
                <w:rFonts w:eastAsia="Times New Roman"/>
                <w:b/>
                <w:bCs/>
                <w:color w:val="000000"/>
                <w:sz w:val="20"/>
                <w:szCs w:val="20"/>
                <w:lang w:eastAsia="en-GB"/>
              </w:rPr>
              <w:t>Dissatisfied with working hours</w:t>
            </w:r>
          </w:p>
        </w:tc>
        <w:tc>
          <w:tcPr>
            <w:tcW w:w="1701" w:type="dxa"/>
            <w:tcBorders>
              <w:top w:val="single" w:sz="12" w:space="0" w:color="auto"/>
              <w:left w:val="nil"/>
              <w:bottom w:val="single" w:sz="12" w:space="0" w:color="auto"/>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b/>
                <w:bCs/>
                <w:color w:val="000000"/>
                <w:sz w:val="20"/>
                <w:szCs w:val="20"/>
                <w:lang w:eastAsia="en-GB"/>
              </w:rPr>
            </w:pPr>
            <w:r w:rsidRPr="001321C9">
              <w:rPr>
                <w:rFonts w:eastAsia="Times New Roman"/>
                <w:b/>
                <w:bCs/>
                <w:color w:val="000000"/>
                <w:sz w:val="20"/>
                <w:szCs w:val="20"/>
                <w:lang w:eastAsia="en-GB"/>
              </w:rPr>
              <w:t>Dissatisfied with pay</w:t>
            </w:r>
          </w:p>
        </w:tc>
        <w:tc>
          <w:tcPr>
            <w:tcW w:w="1701" w:type="dxa"/>
            <w:tcBorders>
              <w:top w:val="single" w:sz="12" w:space="0" w:color="auto"/>
              <w:left w:val="nil"/>
              <w:bottom w:val="single" w:sz="12" w:space="0" w:color="auto"/>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b/>
                <w:bCs/>
                <w:color w:val="000000"/>
                <w:sz w:val="20"/>
                <w:szCs w:val="20"/>
                <w:lang w:eastAsia="en-GB"/>
              </w:rPr>
            </w:pPr>
            <w:r w:rsidRPr="001321C9">
              <w:rPr>
                <w:rFonts w:eastAsia="Times New Roman"/>
                <w:b/>
                <w:bCs/>
                <w:color w:val="000000"/>
                <w:sz w:val="20"/>
                <w:szCs w:val="20"/>
                <w:lang w:eastAsia="en-GB"/>
              </w:rPr>
              <w:t>Rarely/never feel appreciated and/or sense of achievement</w:t>
            </w:r>
          </w:p>
        </w:tc>
        <w:tc>
          <w:tcPr>
            <w:tcW w:w="1843" w:type="dxa"/>
            <w:tcBorders>
              <w:top w:val="single" w:sz="12" w:space="0" w:color="auto"/>
              <w:left w:val="nil"/>
              <w:bottom w:val="single" w:sz="12" w:space="0" w:color="auto"/>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b/>
                <w:bCs/>
                <w:color w:val="000000"/>
                <w:sz w:val="20"/>
                <w:szCs w:val="20"/>
                <w:lang w:eastAsia="en-GB"/>
              </w:rPr>
            </w:pPr>
            <w:r w:rsidRPr="001321C9">
              <w:rPr>
                <w:rFonts w:eastAsia="Times New Roman"/>
                <w:b/>
                <w:bCs/>
                <w:color w:val="000000"/>
                <w:sz w:val="20"/>
                <w:szCs w:val="20"/>
                <w:lang w:eastAsia="en-GB"/>
              </w:rPr>
              <w:t>Rarely/never support when in difficulty</w:t>
            </w:r>
          </w:p>
        </w:tc>
        <w:tc>
          <w:tcPr>
            <w:tcW w:w="1701" w:type="dxa"/>
            <w:tcBorders>
              <w:top w:val="single" w:sz="12" w:space="0" w:color="auto"/>
              <w:left w:val="nil"/>
              <w:bottom w:val="single" w:sz="12" w:space="0" w:color="auto"/>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b/>
                <w:bCs/>
                <w:color w:val="000000"/>
                <w:sz w:val="20"/>
                <w:szCs w:val="20"/>
                <w:lang w:eastAsia="en-GB"/>
              </w:rPr>
            </w:pPr>
            <w:r w:rsidRPr="001321C9">
              <w:rPr>
                <w:rFonts w:eastAsia="Times New Roman"/>
                <w:b/>
                <w:bCs/>
                <w:color w:val="000000"/>
                <w:sz w:val="20"/>
                <w:szCs w:val="20"/>
                <w:lang w:eastAsia="en-GB"/>
              </w:rPr>
              <w:t>Rarely/never have choice in activities</w:t>
            </w:r>
          </w:p>
        </w:tc>
        <w:tc>
          <w:tcPr>
            <w:tcW w:w="1701" w:type="dxa"/>
            <w:tcBorders>
              <w:top w:val="single" w:sz="12" w:space="0" w:color="auto"/>
              <w:left w:val="nil"/>
              <w:bottom w:val="single" w:sz="12" w:space="0" w:color="auto"/>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b/>
                <w:bCs/>
                <w:color w:val="000000"/>
                <w:sz w:val="20"/>
                <w:szCs w:val="20"/>
                <w:lang w:eastAsia="en-GB"/>
              </w:rPr>
            </w:pPr>
            <w:r w:rsidRPr="001321C9">
              <w:rPr>
                <w:rFonts w:eastAsia="Times New Roman"/>
                <w:b/>
                <w:bCs/>
                <w:color w:val="000000"/>
                <w:sz w:val="20"/>
                <w:szCs w:val="20"/>
                <w:lang w:eastAsia="en-GB"/>
              </w:rPr>
              <w:t>One or more colleagues difficult and/or often criticised unfairly</w:t>
            </w:r>
          </w:p>
        </w:tc>
        <w:tc>
          <w:tcPr>
            <w:tcW w:w="1709" w:type="dxa"/>
            <w:tcBorders>
              <w:top w:val="single" w:sz="12" w:space="0" w:color="auto"/>
              <w:left w:val="nil"/>
              <w:bottom w:val="single" w:sz="12" w:space="0" w:color="auto"/>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b/>
                <w:bCs/>
                <w:color w:val="000000"/>
                <w:sz w:val="20"/>
                <w:szCs w:val="20"/>
                <w:lang w:eastAsia="en-GB"/>
              </w:rPr>
            </w:pPr>
            <w:r w:rsidRPr="001321C9">
              <w:rPr>
                <w:rFonts w:eastAsia="Times New Roman"/>
                <w:b/>
                <w:bCs/>
                <w:color w:val="000000"/>
                <w:sz w:val="20"/>
                <w:szCs w:val="20"/>
                <w:lang w:eastAsia="en-GB"/>
              </w:rPr>
              <w:t>Job insecure in illness and/or when well</w:t>
            </w:r>
          </w:p>
        </w:tc>
      </w:tr>
      <w:tr w:rsidR="00262CAF" w:rsidRPr="001321C9" w:rsidTr="00F75E0F">
        <w:trPr>
          <w:trHeight w:val="271"/>
          <w:jc w:val="center"/>
        </w:trPr>
        <w:tc>
          <w:tcPr>
            <w:tcW w:w="2836"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rPr>
                <w:rFonts w:eastAsia="Times New Roman"/>
                <w:color w:val="000000"/>
                <w:sz w:val="20"/>
                <w:szCs w:val="20"/>
                <w:lang w:eastAsia="en-GB"/>
              </w:rPr>
            </w:pPr>
            <w:r w:rsidRPr="001321C9">
              <w:rPr>
                <w:rFonts w:eastAsia="Times New Roman"/>
                <w:color w:val="000000"/>
                <w:sz w:val="20"/>
                <w:szCs w:val="20"/>
                <w:lang w:eastAsia="en-GB"/>
              </w:rPr>
              <w:t>Sex</w:t>
            </w: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843"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9"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r>
      <w:tr w:rsidR="009C4625" w:rsidRPr="001321C9" w:rsidTr="00F75E0F">
        <w:trPr>
          <w:trHeight w:val="454"/>
          <w:jc w:val="center"/>
        </w:trPr>
        <w:tc>
          <w:tcPr>
            <w:tcW w:w="2836" w:type="dxa"/>
            <w:tcBorders>
              <w:top w:val="nil"/>
              <w:left w:val="nil"/>
              <w:bottom w:val="nil"/>
              <w:right w:val="nil"/>
            </w:tcBorders>
            <w:shd w:val="clear" w:color="auto" w:fill="auto"/>
            <w:vAlign w:val="center"/>
            <w:hideMark/>
          </w:tcPr>
          <w:p w:rsidR="009C4625" w:rsidRPr="001321C9" w:rsidRDefault="009C4625" w:rsidP="00F75E0F">
            <w:pPr>
              <w:widowControl w:val="0"/>
              <w:spacing w:line="240" w:lineRule="auto"/>
              <w:ind w:firstLineChars="59" w:firstLine="118"/>
              <w:rPr>
                <w:rFonts w:eastAsia="Times New Roman"/>
                <w:color w:val="000000"/>
                <w:sz w:val="20"/>
                <w:szCs w:val="20"/>
                <w:lang w:eastAsia="en-GB"/>
              </w:rPr>
            </w:pPr>
            <w:r w:rsidRPr="001321C9">
              <w:rPr>
                <w:rFonts w:eastAsia="Times New Roman"/>
                <w:color w:val="000000"/>
                <w:sz w:val="20"/>
                <w:szCs w:val="20"/>
                <w:lang w:eastAsia="en-GB"/>
              </w:rPr>
              <w:t>Male</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38.4 (30.8-45.2)</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52.1 (43.2-59.6)</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57.4 (49.3-64.2)</w:t>
            </w:r>
          </w:p>
        </w:tc>
        <w:tc>
          <w:tcPr>
            <w:tcW w:w="1843"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22.7 (14.5-30.1)</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21.9 (13.9-29.1)</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45.9 (35.5-54.7)</w:t>
            </w:r>
          </w:p>
        </w:tc>
        <w:tc>
          <w:tcPr>
            <w:tcW w:w="1709"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60.6 (48.4-69.9)</w:t>
            </w:r>
          </w:p>
        </w:tc>
      </w:tr>
      <w:tr w:rsidR="009C4625" w:rsidRPr="001321C9" w:rsidTr="00F75E0F">
        <w:trPr>
          <w:trHeight w:val="454"/>
          <w:jc w:val="center"/>
        </w:trPr>
        <w:tc>
          <w:tcPr>
            <w:tcW w:w="2836" w:type="dxa"/>
            <w:tcBorders>
              <w:top w:val="nil"/>
              <w:left w:val="nil"/>
              <w:bottom w:val="nil"/>
              <w:right w:val="nil"/>
            </w:tcBorders>
            <w:shd w:val="clear" w:color="auto" w:fill="auto"/>
            <w:vAlign w:val="center"/>
            <w:hideMark/>
          </w:tcPr>
          <w:p w:rsidR="009C4625" w:rsidRPr="001321C9" w:rsidRDefault="009C4625" w:rsidP="00F75E0F">
            <w:pPr>
              <w:widowControl w:val="0"/>
              <w:spacing w:line="240" w:lineRule="auto"/>
              <w:ind w:firstLineChars="59" w:firstLine="118"/>
              <w:rPr>
                <w:rFonts w:eastAsia="Times New Roman"/>
                <w:color w:val="000000"/>
                <w:sz w:val="20"/>
                <w:szCs w:val="20"/>
                <w:lang w:eastAsia="en-GB"/>
              </w:rPr>
            </w:pPr>
            <w:r w:rsidRPr="001321C9">
              <w:rPr>
                <w:rFonts w:eastAsia="Times New Roman"/>
                <w:color w:val="000000"/>
                <w:sz w:val="20"/>
                <w:szCs w:val="20"/>
                <w:lang w:eastAsia="en-GB"/>
              </w:rPr>
              <w:t>Female</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37.1 (29.1-44.2)</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48.2 (38.1-56.7)</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49.3 (40.9-56.5)</w:t>
            </w:r>
          </w:p>
        </w:tc>
        <w:tc>
          <w:tcPr>
            <w:tcW w:w="1843" w:type="dxa"/>
            <w:tcBorders>
              <w:top w:val="nil"/>
              <w:left w:val="nil"/>
              <w:bottom w:val="nil"/>
              <w:right w:val="nil"/>
            </w:tcBorders>
            <w:shd w:val="clear" w:color="auto" w:fill="auto"/>
            <w:vAlign w:val="center"/>
            <w:hideMark/>
          </w:tcPr>
          <w:p w:rsidR="009C4625" w:rsidRPr="001F775E" w:rsidRDefault="009C4625" w:rsidP="009C4625">
            <w:pPr>
              <w:widowControl w:val="0"/>
              <w:spacing w:line="240" w:lineRule="auto"/>
              <w:ind w:right="-8"/>
              <w:jc w:val="center"/>
              <w:rPr>
                <w:rFonts w:eastAsia="Times New Roman"/>
                <w:color w:val="000000"/>
                <w:sz w:val="20"/>
                <w:szCs w:val="20"/>
                <w:lang w:eastAsia="en-GB"/>
              </w:rPr>
            </w:pPr>
            <w:r>
              <w:rPr>
                <w:rFonts w:eastAsia="Times New Roman"/>
                <w:color w:val="000000"/>
                <w:sz w:val="20"/>
                <w:szCs w:val="20"/>
                <w:lang w:eastAsia="en-GB"/>
              </w:rPr>
              <w:t>23.2 (15.7-30.0)</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23.0 (13.3-31.6)</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50.0 (38.6-59.2)</w:t>
            </w:r>
          </w:p>
        </w:tc>
        <w:tc>
          <w:tcPr>
            <w:tcW w:w="1709"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51.3 (37.5-62.0)</w:t>
            </w:r>
          </w:p>
        </w:tc>
      </w:tr>
      <w:tr w:rsidR="00262CAF" w:rsidRPr="001321C9" w:rsidTr="00F75E0F">
        <w:trPr>
          <w:trHeight w:val="271"/>
          <w:jc w:val="center"/>
        </w:trPr>
        <w:tc>
          <w:tcPr>
            <w:tcW w:w="2836"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rPr>
                <w:rFonts w:eastAsia="Times New Roman"/>
                <w:color w:val="000000"/>
                <w:sz w:val="20"/>
                <w:szCs w:val="20"/>
                <w:lang w:eastAsia="en-GB"/>
              </w:rPr>
            </w:pP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843"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9"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r>
      <w:tr w:rsidR="00262CAF" w:rsidRPr="001321C9" w:rsidTr="00F75E0F">
        <w:trPr>
          <w:trHeight w:val="271"/>
          <w:jc w:val="center"/>
        </w:trPr>
        <w:tc>
          <w:tcPr>
            <w:tcW w:w="2836"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rPr>
                <w:rFonts w:eastAsia="Times New Roman"/>
                <w:color w:val="000000"/>
                <w:sz w:val="20"/>
                <w:szCs w:val="20"/>
                <w:lang w:eastAsia="en-GB"/>
              </w:rPr>
            </w:pPr>
            <w:r w:rsidRPr="001321C9">
              <w:rPr>
                <w:rFonts w:eastAsia="Times New Roman"/>
                <w:color w:val="000000"/>
                <w:sz w:val="20"/>
                <w:szCs w:val="20"/>
                <w:lang w:eastAsia="en-GB"/>
              </w:rPr>
              <w:t>Age (years)</w:t>
            </w: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843"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9"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r>
      <w:tr w:rsidR="009C4625" w:rsidRPr="001321C9" w:rsidTr="00F75E0F">
        <w:trPr>
          <w:trHeight w:val="454"/>
          <w:jc w:val="center"/>
        </w:trPr>
        <w:tc>
          <w:tcPr>
            <w:tcW w:w="2836" w:type="dxa"/>
            <w:tcBorders>
              <w:top w:val="nil"/>
              <w:left w:val="nil"/>
              <w:bottom w:val="nil"/>
              <w:right w:val="nil"/>
            </w:tcBorders>
            <w:shd w:val="clear" w:color="auto" w:fill="auto"/>
            <w:vAlign w:val="center"/>
            <w:hideMark/>
          </w:tcPr>
          <w:p w:rsidR="009C4625" w:rsidRPr="001321C9" w:rsidRDefault="009C4625" w:rsidP="00F75E0F">
            <w:pPr>
              <w:widowControl w:val="0"/>
              <w:spacing w:line="240" w:lineRule="auto"/>
              <w:ind w:firstLineChars="59" w:firstLine="118"/>
              <w:rPr>
                <w:rFonts w:eastAsia="Times New Roman"/>
                <w:color w:val="000000"/>
                <w:sz w:val="20"/>
                <w:szCs w:val="20"/>
                <w:lang w:eastAsia="en-GB"/>
              </w:rPr>
            </w:pPr>
            <w:r w:rsidRPr="001321C9">
              <w:rPr>
                <w:rFonts w:eastAsia="Times New Roman"/>
                <w:color w:val="000000"/>
                <w:sz w:val="20"/>
                <w:szCs w:val="20"/>
                <w:lang w:eastAsia="en-GB"/>
              </w:rPr>
              <w:t>50-54</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40.8 (31.5-48.9)</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45.6 (34.3-55.0)</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54.5 (44.8-62.6)</w:t>
            </w:r>
          </w:p>
        </w:tc>
        <w:tc>
          <w:tcPr>
            <w:tcW w:w="1843"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20.4 (11.8-28.1)</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21.6 (11.4-30.5)</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52.3 (39.2-62.7)</w:t>
            </w:r>
          </w:p>
        </w:tc>
        <w:tc>
          <w:tcPr>
            <w:tcW w:w="1709"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48.0 (32.0-60.2)</w:t>
            </w:r>
          </w:p>
        </w:tc>
      </w:tr>
      <w:tr w:rsidR="009C4625" w:rsidRPr="001321C9" w:rsidTr="00F75E0F">
        <w:trPr>
          <w:trHeight w:val="454"/>
          <w:jc w:val="center"/>
        </w:trPr>
        <w:tc>
          <w:tcPr>
            <w:tcW w:w="2836" w:type="dxa"/>
            <w:tcBorders>
              <w:top w:val="nil"/>
              <w:left w:val="nil"/>
              <w:bottom w:val="nil"/>
              <w:right w:val="nil"/>
            </w:tcBorders>
            <w:shd w:val="clear" w:color="auto" w:fill="auto"/>
            <w:vAlign w:val="center"/>
            <w:hideMark/>
          </w:tcPr>
          <w:p w:rsidR="009C4625" w:rsidRPr="001321C9" w:rsidRDefault="009C4625" w:rsidP="00F75E0F">
            <w:pPr>
              <w:widowControl w:val="0"/>
              <w:spacing w:line="240" w:lineRule="auto"/>
              <w:ind w:firstLineChars="59" w:firstLine="118"/>
              <w:rPr>
                <w:rFonts w:eastAsia="Times New Roman"/>
                <w:color w:val="000000"/>
                <w:sz w:val="20"/>
                <w:szCs w:val="20"/>
                <w:lang w:eastAsia="en-GB"/>
              </w:rPr>
            </w:pPr>
            <w:r w:rsidRPr="001321C9">
              <w:rPr>
                <w:rFonts w:eastAsia="Times New Roman"/>
                <w:color w:val="000000"/>
                <w:sz w:val="20"/>
                <w:szCs w:val="20"/>
                <w:lang w:eastAsia="en-GB"/>
              </w:rPr>
              <w:t>55-59</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41.1 (32.4-48.7)</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52.0 (41.6-60.5)</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54.0 (45.0-61.6)</w:t>
            </w:r>
          </w:p>
        </w:tc>
        <w:tc>
          <w:tcPr>
            <w:tcW w:w="1843"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28.7 (19.9-36.5)</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23.0 (13.4-31.6)</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45.6 (33.4-55.7)</w:t>
            </w:r>
          </w:p>
        </w:tc>
        <w:tc>
          <w:tcPr>
            <w:tcW w:w="1709"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61.6 (47.8-71.8)</w:t>
            </w:r>
          </w:p>
        </w:tc>
      </w:tr>
      <w:tr w:rsidR="009C4625" w:rsidRPr="001321C9" w:rsidTr="00F75E0F">
        <w:trPr>
          <w:trHeight w:val="454"/>
          <w:jc w:val="center"/>
        </w:trPr>
        <w:tc>
          <w:tcPr>
            <w:tcW w:w="2836" w:type="dxa"/>
            <w:tcBorders>
              <w:top w:val="nil"/>
              <w:left w:val="nil"/>
              <w:bottom w:val="nil"/>
              <w:right w:val="nil"/>
            </w:tcBorders>
            <w:shd w:val="clear" w:color="auto" w:fill="auto"/>
            <w:vAlign w:val="center"/>
            <w:hideMark/>
          </w:tcPr>
          <w:p w:rsidR="009C4625" w:rsidRPr="001321C9" w:rsidRDefault="009C4625" w:rsidP="00F75E0F">
            <w:pPr>
              <w:widowControl w:val="0"/>
              <w:spacing w:line="240" w:lineRule="auto"/>
              <w:ind w:firstLineChars="59" w:firstLine="118"/>
              <w:rPr>
                <w:rFonts w:eastAsia="Times New Roman"/>
                <w:color w:val="000000"/>
                <w:sz w:val="20"/>
                <w:szCs w:val="20"/>
                <w:lang w:eastAsia="en-GB"/>
              </w:rPr>
            </w:pPr>
            <w:r w:rsidRPr="001321C9">
              <w:rPr>
                <w:rFonts w:eastAsia="Times New Roman"/>
                <w:color w:val="000000"/>
                <w:sz w:val="20"/>
                <w:szCs w:val="20"/>
                <w:lang w:eastAsia="en-GB"/>
              </w:rPr>
              <w:t>60-64</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24.6 (13.4-34.4)</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54.3 (38.9-65.8)</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51.0 (37.3-61.7)</w:t>
            </w:r>
          </w:p>
        </w:tc>
        <w:tc>
          <w:tcPr>
            <w:tcW w:w="1843"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18.2 (5.0-29.5)</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21.3 (6.7-33.5)</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41.7 (25.9-54.8)</w:t>
            </w:r>
          </w:p>
        </w:tc>
        <w:tc>
          <w:tcPr>
            <w:tcW w:w="1709"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59.7 (38.3-73.7)</w:t>
            </w:r>
          </w:p>
        </w:tc>
      </w:tr>
      <w:tr w:rsidR="00262CAF" w:rsidRPr="001321C9" w:rsidTr="00F75E0F">
        <w:trPr>
          <w:trHeight w:val="133"/>
          <w:jc w:val="center"/>
        </w:trPr>
        <w:tc>
          <w:tcPr>
            <w:tcW w:w="2836"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rPr>
                <w:rFonts w:eastAsia="Times New Roman"/>
                <w:color w:val="000000"/>
                <w:sz w:val="20"/>
                <w:szCs w:val="20"/>
                <w:lang w:eastAsia="en-GB"/>
              </w:rPr>
            </w:pP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843"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9"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r>
      <w:tr w:rsidR="00262CAF" w:rsidRPr="001321C9" w:rsidTr="00F75E0F">
        <w:trPr>
          <w:trHeight w:val="271"/>
          <w:jc w:val="center"/>
        </w:trPr>
        <w:tc>
          <w:tcPr>
            <w:tcW w:w="2836"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rPr>
                <w:rFonts w:eastAsia="Times New Roman"/>
                <w:color w:val="000000"/>
                <w:sz w:val="20"/>
                <w:szCs w:val="20"/>
                <w:lang w:eastAsia="en-GB"/>
              </w:rPr>
            </w:pPr>
            <w:r w:rsidRPr="001321C9">
              <w:rPr>
                <w:rFonts w:eastAsia="Times New Roman"/>
                <w:color w:val="000000"/>
                <w:sz w:val="20"/>
                <w:szCs w:val="20"/>
                <w:lang w:eastAsia="en-GB"/>
              </w:rPr>
              <w:t>Educational level</w:t>
            </w: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843"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9"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r>
      <w:tr w:rsidR="009C4625" w:rsidRPr="001321C9" w:rsidTr="00F75E0F">
        <w:trPr>
          <w:trHeight w:val="454"/>
          <w:jc w:val="center"/>
        </w:trPr>
        <w:tc>
          <w:tcPr>
            <w:tcW w:w="2836" w:type="dxa"/>
            <w:tcBorders>
              <w:top w:val="nil"/>
              <w:left w:val="nil"/>
              <w:bottom w:val="nil"/>
              <w:right w:val="nil"/>
            </w:tcBorders>
            <w:shd w:val="clear" w:color="auto" w:fill="auto"/>
            <w:vAlign w:val="center"/>
            <w:hideMark/>
          </w:tcPr>
          <w:p w:rsidR="009C4625" w:rsidRPr="001321C9" w:rsidRDefault="009C4625" w:rsidP="00F75E0F">
            <w:pPr>
              <w:widowControl w:val="0"/>
              <w:spacing w:line="240" w:lineRule="auto"/>
              <w:ind w:firstLine="118"/>
              <w:rPr>
                <w:rFonts w:eastAsia="Times New Roman"/>
                <w:color w:val="000000"/>
                <w:sz w:val="20"/>
                <w:szCs w:val="20"/>
                <w:lang w:eastAsia="en-GB"/>
              </w:rPr>
            </w:pPr>
            <w:r w:rsidRPr="001321C9">
              <w:rPr>
                <w:rFonts w:eastAsia="Times New Roman"/>
                <w:color w:val="000000"/>
                <w:sz w:val="20"/>
                <w:szCs w:val="20"/>
                <w:lang w:eastAsia="en-GB"/>
              </w:rPr>
              <w:t>School only</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42.0 (31.5-50.8)</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61.2 (48.6-70.7)</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71.2 (60.3-79.1)</w:t>
            </w:r>
          </w:p>
        </w:tc>
        <w:tc>
          <w:tcPr>
            <w:tcW w:w="1843"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30.6 (19.2-40.5)</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33.1 (19.3-44.6)</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53.2 (39.1-64.1)</w:t>
            </w:r>
          </w:p>
        </w:tc>
        <w:tc>
          <w:tcPr>
            <w:tcW w:w="1709"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53.3 (35.7-66.0)</w:t>
            </w:r>
          </w:p>
        </w:tc>
      </w:tr>
      <w:tr w:rsidR="009C4625" w:rsidRPr="001321C9" w:rsidTr="00F75E0F">
        <w:trPr>
          <w:trHeight w:val="454"/>
          <w:jc w:val="center"/>
        </w:trPr>
        <w:tc>
          <w:tcPr>
            <w:tcW w:w="2836" w:type="dxa"/>
            <w:tcBorders>
              <w:top w:val="nil"/>
              <w:left w:val="nil"/>
              <w:bottom w:val="nil"/>
              <w:right w:val="nil"/>
            </w:tcBorders>
            <w:shd w:val="clear" w:color="auto" w:fill="auto"/>
            <w:vAlign w:val="center"/>
            <w:hideMark/>
          </w:tcPr>
          <w:p w:rsidR="009C4625" w:rsidRPr="001321C9" w:rsidRDefault="009C4625" w:rsidP="00F75E0F">
            <w:pPr>
              <w:widowControl w:val="0"/>
              <w:spacing w:line="240" w:lineRule="auto"/>
              <w:ind w:left="260" w:hanging="142"/>
              <w:rPr>
                <w:rFonts w:eastAsia="Times New Roman"/>
                <w:color w:val="000000"/>
                <w:sz w:val="20"/>
                <w:szCs w:val="20"/>
                <w:lang w:eastAsia="en-GB"/>
              </w:rPr>
            </w:pPr>
            <w:r w:rsidRPr="001321C9">
              <w:rPr>
                <w:rFonts w:eastAsia="Times New Roman"/>
                <w:color w:val="000000"/>
                <w:sz w:val="20"/>
                <w:szCs w:val="20"/>
                <w:lang w:eastAsia="en-GB"/>
              </w:rPr>
              <w:t>Vocational training certificate</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37.3 (27.7-45.7)</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53.5 (41.3-63.1)</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50.5 (40.1-59.1)</w:t>
            </w:r>
          </w:p>
        </w:tc>
        <w:tc>
          <w:tcPr>
            <w:tcW w:w="1843"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18.1 (9.2-26.2)</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25.1 (13.9-34.9)</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48.8 (35.3-59.5)</w:t>
            </w:r>
          </w:p>
        </w:tc>
        <w:tc>
          <w:tcPr>
            <w:tcW w:w="1709"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63.4 (48.0-74.3)</w:t>
            </w:r>
          </w:p>
        </w:tc>
      </w:tr>
      <w:tr w:rsidR="009C4625" w:rsidRPr="001321C9" w:rsidTr="00F75E0F">
        <w:trPr>
          <w:trHeight w:val="454"/>
          <w:jc w:val="center"/>
        </w:trPr>
        <w:tc>
          <w:tcPr>
            <w:tcW w:w="2836" w:type="dxa"/>
            <w:tcBorders>
              <w:top w:val="nil"/>
              <w:left w:val="nil"/>
              <w:bottom w:val="nil"/>
              <w:right w:val="nil"/>
            </w:tcBorders>
            <w:shd w:val="clear" w:color="auto" w:fill="auto"/>
            <w:vAlign w:val="center"/>
            <w:hideMark/>
          </w:tcPr>
          <w:p w:rsidR="009C4625" w:rsidRPr="001321C9" w:rsidRDefault="009C4625" w:rsidP="00F75E0F">
            <w:pPr>
              <w:widowControl w:val="0"/>
              <w:spacing w:line="240" w:lineRule="auto"/>
              <w:ind w:left="260" w:hanging="142"/>
              <w:rPr>
                <w:rFonts w:eastAsia="Times New Roman"/>
                <w:color w:val="000000"/>
                <w:sz w:val="20"/>
                <w:szCs w:val="20"/>
                <w:lang w:eastAsia="en-GB"/>
              </w:rPr>
            </w:pPr>
            <w:r w:rsidRPr="001321C9">
              <w:rPr>
                <w:rFonts w:eastAsia="Times New Roman"/>
                <w:color w:val="000000"/>
                <w:sz w:val="20"/>
                <w:szCs w:val="20"/>
                <w:lang w:eastAsia="en-GB"/>
              </w:rPr>
              <w:t xml:space="preserve">University </w:t>
            </w:r>
            <w:r>
              <w:rPr>
                <w:rFonts w:eastAsia="Times New Roman"/>
                <w:color w:val="000000"/>
                <w:sz w:val="20"/>
                <w:szCs w:val="20"/>
                <w:lang w:eastAsia="en-GB"/>
              </w:rPr>
              <w:t>d</w:t>
            </w:r>
            <w:r w:rsidRPr="001321C9">
              <w:rPr>
                <w:rFonts w:eastAsia="Times New Roman"/>
                <w:color w:val="000000"/>
                <w:sz w:val="20"/>
                <w:szCs w:val="20"/>
                <w:lang w:eastAsia="en-GB"/>
              </w:rPr>
              <w:t>egree</w:t>
            </w:r>
            <w:r>
              <w:rPr>
                <w:rFonts w:eastAsia="Times New Roman"/>
                <w:color w:val="000000"/>
                <w:sz w:val="20"/>
                <w:szCs w:val="20"/>
                <w:lang w:eastAsia="en-GB"/>
              </w:rPr>
              <w:t xml:space="preserve"> or </w:t>
            </w:r>
            <w:r w:rsidRPr="001321C9">
              <w:rPr>
                <w:rFonts w:eastAsia="Times New Roman"/>
                <w:color w:val="000000"/>
                <w:sz w:val="20"/>
                <w:szCs w:val="20"/>
                <w:lang w:eastAsia="en-GB"/>
              </w:rPr>
              <w:t>higher professional</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34.9 (25.8-42.9)</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39.4 (28.9-48.4)</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43.7 (34.8-51.4)</w:t>
            </w:r>
          </w:p>
        </w:tc>
        <w:tc>
          <w:tcPr>
            <w:tcW w:w="1843"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23.0 (14.0-31.1)</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13.6 (5.8-20.7)</w:t>
            </w:r>
          </w:p>
        </w:tc>
        <w:tc>
          <w:tcPr>
            <w:tcW w:w="1701"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42.0 (28.7-52.9)</w:t>
            </w:r>
          </w:p>
        </w:tc>
        <w:tc>
          <w:tcPr>
            <w:tcW w:w="1709" w:type="dxa"/>
            <w:tcBorders>
              <w:top w:val="nil"/>
              <w:left w:val="nil"/>
              <w:bottom w:val="nil"/>
              <w:right w:val="nil"/>
            </w:tcBorders>
            <w:shd w:val="clear" w:color="auto" w:fill="auto"/>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51.9 (35.8-63.9)</w:t>
            </w:r>
          </w:p>
        </w:tc>
      </w:tr>
      <w:tr w:rsidR="00262CAF" w:rsidRPr="001321C9" w:rsidTr="00F75E0F">
        <w:trPr>
          <w:trHeight w:val="271"/>
          <w:jc w:val="center"/>
        </w:trPr>
        <w:tc>
          <w:tcPr>
            <w:tcW w:w="2836"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rPr>
                <w:rFonts w:eastAsia="Times New Roman"/>
                <w:color w:val="000000"/>
                <w:sz w:val="20"/>
                <w:szCs w:val="20"/>
                <w:lang w:eastAsia="en-GB"/>
              </w:rPr>
            </w:pP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843"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1"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9"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r>
      <w:tr w:rsidR="00262CAF" w:rsidRPr="001321C9" w:rsidTr="00F75E0F">
        <w:trPr>
          <w:trHeight w:val="271"/>
          <w:jc w:val="center"/>
        </w:trPr>
        <w:tc>
          <w:tcPr>
            <w:tcW w:w="2836" w:type="dxa"/>
            <w:tcBorders>
              <w:top w:val="nil"/>
              <w:left w:val="nil"/>
              <w:bottom w:val="nil"/>
              <w:right w:val="nil"/>
            </w:tcBorders>
            <w:shd w:val="clear" w:color="auto" w:fill="auto"/>
            <w:vAlign w:val="center"/>
            <w:hideMark/>
          </w:tcPr>
          <w:p w:rsidR="00262CAF" w:rsidRPr="001321C9" w:rsidRDefault="00262CAF" w:rsidP="00F75E0F">
            <w:pPr>
              <w:widowControl w:val="0"/>
              <w:spacing w:line="240" w:lineRule="auto"/>
              <w:rPr>
                <w:rFonts w:eastAsia="Times New Roman"/>
                <w:color w:val="000000"/>
                <w:sz w:val="20"/>
                <w:szCs w:val="20"/>
                <w:lang w:eastAsia="en-GB"/>
              </w:rPr>
            </w:pPr>
            <w:r w:rsidRPr="001321C9">
              <w:rPr>
                <w:rFonts w:eastAsia="Times New Roman"/>
                <w:color w:val="000000"/>
                <w:sz w:val="20"/>
                <w:szCs w:val="20"/>
                <w:lang w:eastAsia="en-GB"/>
              </w:rPr>
              <w:t>Employment status</w:t>
            </w:r>
          </w:p>
        </w:tc>
        <w:tc>
          <w:tcPr>
            <w:tcW w:w="1701" w:type="dxa"/>
            <w:tcBorders>
              <w:top w:val="nil"/>
              <w:left w:val="nil"/>
              <w:bottom w:val="nil"/>
              <w:right w:val="nil"/>
            </w:tcBorders>
            <w:shd w:val="clear" w:color="auto" w:fill="auto"/>
            <w:noWrap/>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1" w:type="dxa"/>
            <w:tcBorders>
              <w:top w:val="nil"/>
              <w:left w:val="nil"/>
              <w:bottom w:val="nil"/>
              <w:right w:val="nil"/>
            </w:tcBorders>
            <w:shd w:val="clear" w:color="auto" w:fill="auto"/>
            <w:noWrap/>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1" w:type="dxa"/>
            <w:tcBorders>
              <w:top w:val="nil"/>
              <w:left w:val="nil"/>
              <w:bottom w:val="nil"/>
              <w:right w:val="nil"/>
            </w:tcBorders>
            <w:shd w:val="clear" w:color="auto" w:fill="auto"/>
            <w:noWrap/>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843" w:type="dxa"/>
            <w:tcBorders>
              <w:top w:val="nil"/>
              <w:left w:val="nil"/>
              <w:bottom w:val="nil"/>
              <w:right w:val="nil"/>
            </w:tcBorders>
            <w:shd w:val="clear" w:color="auto" w:fill="auto"/>
            <w:noWrap/>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1" w:type="dxa"/>
            <w:tcBorders>
              <w:top w:val="nil"/>
              <w:left w:val="nil"/>
              <w:bottom w:val="nil"/>
              <w:right w:val="nil"/>
            </w:tcBorders>
            <w:shd w:val="clear" w:color="auto" w:fill="auto"/>
            <w:noWrap/>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1" w:type="dxa"/>
            <w:tcBorders>
              <w:top w:val="nil"/>
              <w:left w:val="nil"/>
              <w:bottom w:val="nil"/>
              <w:right w:val="nil"/>
            </w:tcBorders>
            <w:shd w:val="clear" w:color="auto" w:fill="auto"/>
            <w:noWrap/>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c>
          <w:tcPr>
            <w:tcW w:w="1709" w:type="dxa"/>
            <w:tcBorders>
              <w:top w:val="nil"/>
              <w:left w:val="nil"/>
              <w:bottom w:val="nil"/>
              <w:right w:val="nil"/>
            </w:tcBorders>
            <w:shd w:val="clear" w:color="auto" w:fill="auto"/>
            <w:noWrap/>
            <w:vAlign w:val="center"/>
            <w:hideMark/>
          </w:tcPr>
          <w:p w:rsidR="00262CAF" w:rsidRPr="001321C9" w:rsidRDefault="00262CAF" w:rsidP="00F75E0F">
            <w:pPr>
              <w:widowControl w:val="0"/>
              <w:spacing w:line="240" w:lineRule="auto"/>
              <w:jc w:val="center"/>
              <w:rPr>
                <w:rFonts w:eastAsia="Times New Roman"/>
                <w:color w:val="000000"/>
                <w:sz w:val="20"/>
                <w:szCs w:val="20"/>
                <w:lang w:eastAsia="en-GB"/>
              </w:rPr>
            </w:pPr>
          </w:p>
        </w:tc>
      </w:tr>
      <w:tr w:rsidR="009C4625" w:rsidRPr="001321C9" w:rsidTr="00F75E0F">
        <w:trPr>
          <w:trHeight w:val="454"/>
          <w:jc w:val="center"/>
        </w:trPr>
        <w:tc>
          <w:tcPr>
            <w:tcW w:w="2836" w:type="dxa"/>
            <w:tcBorders>
              <w:top w:val="nil"/>
              <w:left w:val="nil"/>
              <w:bottom w:val="nil"/>
              <w:right w:val="nil"/>
            </w:tcBorders>
            <w:shd w:val="clear" w:color="auto" w:fill="auto"/>
            <w:vAlign w:val="center"/>
            <w:hideMark/>
          </w:tcPr>
          <w:p w:rsidR="009C4625" w:rsidRPr="001321C9" w:rsidRDefault="009C4625" w:rsidP="00F75E0F">
            <w:pPr>
              <w:widowControl w:val="0"/>
              <w:spacing w:line="240" w:lineRule="auto"/>
              <w:ind w:firstLineChars="59" w:firstLine="118"/>
              <w:rPr>
                <w:rFonts w:eastAsia="Times New Roman"/>
                <w:color w:val="000000"/>
                <w:sz w:val="20"/>
                <w:szCs w:val="20"/>
                <w:lang w:eastAsia="en-GB"/>
              </w:rPr>
            </w:pPr>
            <w:r w:rsidRPr="001321C9">
              <w:rPr>
                <w:rFonts w:eastAsia="Times New Roman"/>
                <w:color w:val="000000"/>
                <w:sz w:val="20"/>
                <w:szCs w:val="20"/>
                <w:lang w:eastAsia="en-GB"/>
              </w:rPr>
              <w:t>Self-employed</w:t>
            </w:r>
          </w:p>
        </w:tc>
        <w:tc>
          <w:tcPr>
            <w:tcW w:w="1701" w:type="dxa"/>
            <w:tcBorders>
              <w:top w:val="nil"/>
              <w:left w:val="nil"/>
              <w:bottom w:val="nil"/>
              <w:right w:val="nil"/>
            </w:tcBorders>
            <w:shd w:val="clear" w:color="auto" w:fill="auto"/>
            <w:noWrap/>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55.3 (32.1-70.6)</w:t>
            </w:r>
          </w:p>
        </w:tc>
        <w:tc>
          <w:tcPr>
            <w:tcW w:w="1701" w:type="dxa"/>
            <w:tcBorders>
              <w:top w:val="nil"/>
              <w:left w:val="nil"/>
              <w:bottom w:val="nil"/>
              <w:right w:val="nil"/>
            </w:tcBorders>
            <w:shd w:val="clear" w:color="auto" w:fill="auto"/>
            <w:noWrap/>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76.1 (51.8-88.1)</w:t>
            </w:r>
          </w:p>
        </w:tc>
        <w:tc>
          <w:tcPr>
            <w:tcW w:w="1701" w:type="dxa"/>
            <w:tcBorders>
              <w:top w:val="nil"/>
              <w:left w:val="nil"/>
              <w:bottom w:val="nil"/>
              <w:right w:val="nil"/>
            </w:tcBorders>
            <w:shd w:val="clear" w:color="auto" w:fill="auto"/>
            <w:noWrap/>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25.4 (7.2-40.1)</w:t>
            </w:r>
          </w:p>
        </w:tc>
        <w:tc>
          <w:tcPr>
            <w:tcW w:w="1843" w:type="dxa"/>
            <w:tcBorders>
              <w:top w:val="nil"/>
              <w:left w:val="nil"/>
              <w:bottom w:val="nil"/>
              <w:right w:val="nil"/>
            </w:tcBorders>
            <w:shd w:val="clear" w:color="auto" w:fill="auto"/>
            <w:noWrap/>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21.1 (-20.1-48.2)</w:t>
            </w:r>
          </w:p>
        </w:tc>
        <w:tc>
          <w:tcPr>
            <w:tcW w:w="1701" w:type="dxa"/>
            <w:tcBorders>
              <w:top w:val="nil"/>
              <w:left w:val="nil"/>
              <w:bottom w:val="nil"/>
              <w:right w:val="nil"/>
            </w:tcBorders>
            <w:shd w:val="clear" w:color="auto" w:fill="auto"/>
            <w:noWrap/>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1.9 (-7.8-10.6)</w:t>
            </w:r>
          </w:p>
        </w:tc>
        <w:tc>
          <w:tcPr>
            <w:tcW w:w="1701" w:type="dxa"/>
            <w:tcBorders>
              <w:top w:val="nil"/>
              <w:left w:val="nil"/>
              <w:bottom w:val="nil"/>
              <w:right w:val="nil"/>
            </w:tcBorders>
            <w:shd w:val="clear" w:color="auto" w:fill="auto"/>
            <w:noWrap/>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7.2 (-10.5-22.1)</w:t>
            </w:r>
          </w:p>
        </w:tc>
        <w:tc>
          <w:tcPr>
            <w:tcW w:w="1709" w:type="dxa"/>
            <w:tcBorders>
              <w:top w:val="nil"/>
              <w:left w:val="nil"/>
              <w:bottom w:val="nil"/>
              <w:right w:val="nil"/>
            </w:tcBorders>
            <w:shd w:val="clear" w:color="auto" w:fill="auto"/>
            <w:noWrap/>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79.3 (21.6-94.5)</w:t>
            </w:r>
          </w:p>
        </w:tc>
      </w:tr>
      <w:tr w:rsidR="009C4625" w:rsidRPr="001321C9" w:rsidTr="00F75E0F">
        <w:trPr>
          <w:trHeight w:val="454"/>
          <w:jc w:val="center"/>
        </w:trPr>
        <w:tc>
          <w:tcPr>
            <w:tcW w:w="2836" w:type="dxa"/>
            <w:tcBorders>
              <w:top w:val="nil"/>
              <w:left w:val="nil"/>
              <w:right w:val="nil"/>
            </w:tcBorders>
            <w:shd w:val="clear" w:color="auto" w:fill="auto"/>
            <w:vAlign w:val="center"/>
            <w:hideMark/>
          </w:tcPr>
          <w:p w:rsidR="009C4625" w:rsidRPr="001321C9" w:rsidRDefault="009C4625" w:rsidP="00F75E0F">
            <w:pPr>
              <w:widowControl w:val="0"/>
              <w:spacing w:line="240" w:lineRule="auto"/>
              <w:ind w:left="260" w:hanging="142"/>
              <w:rPr>
                <w:rFonts w:eastAsia="Times New Roman"/>
                <w:color w:val="000000"/>
                <w:sz w:val="20"/>
                <w:szCs w:val="20"/>
                <w:lang w:eastAsia="en-GB"/>
              </w:rPr>
            </w:pPr>
            <w:r w:rsidRPr="001321C9">
              <w:rPr>
                <w:rFonts w:eastAsia="Times New Roman"/>
                <w:color w:val="000000"/>
                <w:sz w:val="20"/>
                <w:szCs w:val="20"/>
                <w:lang w:eastAsia="en-GB"/>
              </w:rPr>
              <w:t>Small employer (&lt;500 staff)</w:t>
            </w:r>
          </w:p>
        </w:tc>
        <w:tc>
          <w:tcPr>
            <w:tcW w:w="1701" w:type="dxa"/>
            <w:tcBorders>
              <w:top w:val="nil"/>
              <w:left w:val="nil"/>
              <w:right w:val="nil"/>
            </w:tcBorders>
            <w:shd w:val="clear" w:color="auto" w:fill="auto"/>
            <w:noWrap/>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32.1 (23.7-39.5)</w:t>
            </w:r>
          </w:p>
        </w:tc>
        <w:tc>
          <w:tcPr>
            <w:tcW w:w="1701" w:type="dxa"/>
            <w:tcBorders>
              <w:top w:val="nil"/>
              <w:left w:val="nil"/>
              <w:right w:val="nil"/>
            </w:tcBorders>
            <w:shd w:val="clear" w:color="auto" w:fill="auto"/>
            <w:noWrap/>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50.5 (39.7-59.4)</w:t>
            </w:r>
          </w:p>
        </w:tc>
        <w:tc>
          <w:tcPr>
            <w:tcW w:w="1701" w:type="dxa"/>
            <w:tcBorders>
              <w:top w:val="nil"/>
              <w:left w:val="nil"/>
              <w:right w:val="nil"/>
            </w:tcBorders>
            <w:shd w:val="clear" w:color="auto" w:fill="auto"/>
            <w:noWrap/>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56.4 (47.1-64.1)</w:t>
            </w:r>
          </w:p>
        </w:tc>
        <w:tc>
          <w:tcPr>
            <w:tcW w:w="1843" w:type="dxa"/>
            <w:tcBorders>
              <w:top w:val="nil"/>
              <w:left w:val="nil"/>
              <w:right w:val="nil"/>
            </w:tcBorders>
            <w:shd w:val="clear" w:color="auto" w:fill="auto"/>
            <w:noWrap/>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19.0 (10.7-26.5)</w:t>
            </w:r>
          </w:p>
        </w:tc>
        <w:tc>
          <w:tcPr>
            <w:tcW w:w="1701" w:type="dxa"/>
            <w:tcBorders>
              <w:top w:val="nil"/>
              <w:left w:val="nil"/>
              <w:right w:val="nil"/>
            </w:tcBorders>
            <w:shd w:val="clear" w:color="auto" w:fill="auto"/>
            <w:noWrap/>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22.2 (11.8-31.3)</w:t>
            </w:r>
          </w:p>
        </w:tc>
        <w:tc>
          <w:tcPr>
            <w:tcW w:w="1701" w:type="dxa"/>
            <w:tcBorders>
              <w:top w:val="nil"/>
              <w:left w:val="nil"/>
              <w:right w:val="nil"/>
            </w:tcBorders>
            <w:shd w:val="clear" w:color="auto" w:fill="auto"/>
            <w:noWrap/>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49.6 (37.4-59.4)</w:t>
            </w:r>
          </w:p>
        </w:tc>
        <w:tc>
          <w:tcPr>
            <w:tcW w:w="1709" w:type="dxa"/>
            <w:tcBorders>
              <w:top w:val="nil"/>
              <w:left w:val="nil"/>
              <w:right w:val="nil"/>
            </w:tcBorders>
            <w:shd w:val="clear" w:color="auto" w:fill="auto"/>
            <w:noWrap/>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15.2 (10.1-19.9)</w:t>
            </w:r>
          </w:p>
        </w:tc>
      </w:tr>
      <w:tr w:rsidR="009C4625" w:rsidRPr="001321C9" w:rsidTr="00F75E0F">
        <w:trPr>
          <w:trHeight w:val="454"/>
          <w:jc w:val="center"/>
        </w:trPr>
        <w:tc>
          <w:tcPr>
            <w:tcW w:w="2836" w:type="dxa"/>
            <w:tcBorders>
              <w:top w:val="nil"/>
              <w:left w:val="nil"/>
              <w:bottom w:val="single" w:sz="12" w:space="0" w:color="auto"/>
              <w:right w:val="nil"/>
            </w:tcBorders>
            <w:shd w:val="clear" w:color="auto" w:fill="auto"/>
            <w:vAlign w:val="center"/>
            <w:hideMark/>
          </w:tcPr>
          <w:p w:rsidR="009C4625" w:rsidRPr="001321C9" w:rsidRDefault="009C4625" w:rsidP="00F75E0F">
            <w:pPr>
              <w:widowControl w:val="0"/>
              <w:spacing w:line="240" w:lineRule="auto"/>
              <w:ind w:left="260" w:hanging="142"/>
              <w:rPr>
                <w:rFonts w:eastAsia="Times New Roman"/>
                <w:color w:val="000000"/>
                <w:sz w:val="20"/>
                <w:szCs w:val="20"/>
                <w:lang w:eastAsia="en-GB"/>
              </w:rPr>
            </w:pPr>
            <w:r w:rsidRPr="001321C9">
              <w:rPr>
                <w:rFonts w:eastAsia="Times New Roman"/>
                <w:color w:val="000000"/>
                <w:sz w:val="20"/>
                <w:szCs w:val="20"/>
                <w:lang w:eastAsia="en-GB"/>
              </w:rPr>
              <w:t>Large employer (≥500 staff)</w:t>
            </w:r>
          </w:p>
        </w:tc>
        <w:tc>
          <w:tcPr>
            <w:tcW w:w="1701" w:type="dxa"/>
            <w:tcBorders>
              <w:top w:val="nil"/>
              <w:left w:val="nil"/>
              <w:bottom w:val="single" w:sz="12" w:space="0" w:color="auto"/>
              <w:right w:val="nil"/>
            </w:tcBorders>
            <w:shd w:val="clear" w:color="auto" w:fill="auto"/>
            <w:noWrap/>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39.4 (31.6-46.4)</w:t>
            </w:r>
          </w:p>
        </w:tc>
        <w:tc>
          <w:tcPr>
            <w:tcW w:w="1701" w:type="dxa"/>
            <w:tcBorders>
              <w:top w:val="nil"/>
              <w:left w:val="nil"/>
              <w:bottom w:val="single" w:sz="12" w:space="0" w:color="auto"/>
              <w:right w:val="nil"/>
            </w:tcBorders>
            <w:shd w:val="clear" w:color="auto" w:fill="auto"/>
            <w:noWrap/>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44.6 (35.1-52.7)</w:t>
            </w:r>
          </w:p>
        </w:tc>
        <w:tc>
          <w:tcPr>
            <w:tcW w:w="1701" w:type="dxa"/>
            <w:tcBorders>
              <w:top w:val="nil"/>
              <w:left w:val="nil"/>
              <w:bottom w:val="single" w:sz="12" w:space="0" w:color="auto"/>
              <w:right w:val="nil"/>
            </w:tcBorders>
            <w:shd w:val="clear" w:color="auto" w:fill="auto"/>
            <w:noWrap/>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55.3 (46.9-62.4)</w:t>
            </w:r>
          </w:p>
        </w:tc>
        <w:tc>
          <w:tcPr>
            <w:tcW w:w="1843" w:type="dxa"/>
            <w:tcBorders>
              <w:top w:val="nil"/>
              <w:left w:val="nil"/>
              <w:bottom w:val="single" w:sz="12" w:space="0" w:color="auto"/>
              <w:right w:val="nil"/>
            </w:tcBorders>
            <w:shd w:val="clear" w:color="auto" w:fill="auto"/>
            <w:noWrap/>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27.5 (20.1-34.2)</w:t>
            </w:r>
          </w:p>
        </w:tc>
        <w:tc>
          <w:tcPr>
            <w:tcW w:w="1701" w:type="dxa"/>
            <w:tcBorders>
              <w:top w:val="nil"/>
              <w:left w:val="nil"/>
              <w:bottom w:val="single" w:sz="12" w:space="0" w:color="auto"/>
              <w:right w:val="nil"/>
            </w:tcBorders>
            <w:shd w:val="clear" w:color="auto" w:fill="auto"/>
            <w:noWrap/>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23.5 (14.4-31.7)</w:t>
            </w:r>
          </w:p>
        </w:tc>
        <w:tc>
          <w:tcPr>
            <w:tcW w:w="1701" w:type="dxa"/>
            <w:tcBorders>
              <w:top w:val="nil"/>
              <w:left w:val="nil"/>
              <w:bottom w:val="single" w:sz="12" w:space="0" w:color="auto"/>
              <w:right w:val="nil"/>
            </w:tcBorders>
            <w:shd w:val="clear" w:color="auto" w:fill="auto"/>
            <w:noWrap/>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52.2 (40.4-61.6)</w:t>
            </w:r>
          </w:p>
        </w:tc>
        <w:tc>
          <w:tcPr>
            <w:tcW w:w="1709" w:type="dxa"/>
            <w:tcBorders>
              <w:top w:val="nil"/>
              <w:left w:val="nil"/>
              <w:bottom w:val="single" w:sz="12" w:space="0" w:color="auto"/>
              <w:right w:val="nil"/>
            </w:tcBorders>
            <w:shd w:val="clear" w:color="auto" w:fill="auto"/>
            <w:noWrap/>
            <w:vAlign w:val="center"/>
            <w:hideMark/>
          </w:tcPr>
          <w:p w:rsidR="009C4625" w:rsidRPr="001F775E" w:rsidRDefault="009C4625" w:rsidP="00BD49BF">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56.8 (44.9-66.2)</w:t>
            </w:r>
          </w:p>
        </w:tc>
      </w:tr>
    </w:tbl>
    <w:p w:rsidR="00CF1D39" w:rsidRDefault="00CF1D39" w:rsidP="00CF1D39">
      <w:pPr>
        <w:pStyle w:val="Heading4"/>
        <w:widowControl w:val="0"/>
      </w:pPr>
      <w:r>
        <w:lastRenderedPageBreak/>
        <w:t xml:space="preserve">Table </w:t>
      </w:r>
      <w:r w:rsidR="00EE0306">
        <w:t>5</w:t>
      </w:r>
      <w:r>
        <w:tab/>
      </w:r>
      <w:r>
        <w:tab/>
      </w:r>
      <w:r w:rsidR="007B6B1F">
        <w:t>Associations of health outcomes with overall job dissatisfaction and its negative perceptions of work</w:t>
      </w:r>
    </w:p>
    <w:p w:rsidR="00CF1D39" w:rsidRPr="00F66B2E" w:rsidRDefault="00CF1D39" w:rsidP="00CF1D39">
      <w:pPr>
        <w:widowControl w:val="0"/>
      </w:pPr>
    </w:p>
    <w:tbl>
      <w:tblPr>
        <w:tblW w:w="13478" w:type="dxa"/>
        <w:tblInd w:w="-34" w:type="dxa"/>
        <w:tblLook w:val="04A0" w:firstRow="1" w:lastRow="0" w:firstColumn="1" w:lastColumn="0" w:noHBand="0" w:noVBand="1"/>
      </w:tblPr>
      <w:tblGrid>
        <w:gridCol w:w="3082"/>
        <w:gridCol w:w="324"/>
        <w:gridCol w:w="1044"/>
        <w:gridCol w:w="919"/>
        <w:gridCol w:w="1358"/>
        <w:gridCol w:w="1063"/>
        <w:gridCol w:w="898"/>
        <w:gridCol w:w="1380"/>
        <w:gridCol w:w="1028"/>
        <w:gridCol w:w="1045"/>
        <w:gridCol w:w="1337"/>
      </w:tblGrid>
      <w:tr w:rsidR="00CF1D39" w:rsidRPr="004513E3" w:rsidTr="005813D6">
        <w:trPr>
          <w:trHeight w:val="298"/>
        </w:trPr>
        <w:tc>
          <w:tcPr>
            <w:tcW w:w="3119" w:type="dxa"/>
            <w:tcBorders>
              <w:top w:val="single" w:sz="12" w:space="0" w:color="auto"/>
              <w:left w:val="nil"/>
              <w:bottom w:val="nil"/>
              <w:right w:val="nil"/>
            </w:tcBorders>
            <w:shd w:val="clear" w:color="auto" w:fill="auto"/>
            <w:vAlign w:val="center"/>
            <w:hideMark/>
          </w:tcPr>
          <w:p w:rsidR="00CF1D39" w:rsidRPr="004513E3" w:rsidRDefault="00CF1D39" w:rsidP="005813D6">
            <w:pPr>
              <w:widowControl w:val="0"/>
              <w:spacing w:line="240" w:lineRule="auto"/>
              <w:jc w:val="center"/>
              <w:rPr>
                <w:rFonts w:eastAsia="Times New Roman"/>
                <w:b/>
                <w:bCs/>
                <w:color w:val="000000"/>
                <w:sz w:val="18"/>
                <w:szCs w:val="18"/>
                <w:lang w:eastAsia="en-GB"/>
              </w:rPr>
            </w:pPr>
          </w:p>
        </w:tc>
        <w:tc>
          <w:tcPr>
            <w:tcW w:w="325" w:type="dxa"/>
            <w:tcBorders>
              <w:top w:val="single" w:sz="12" w:space="0" w:color="auto"/>
              <w:left w:val="nil"/>
              <w:bottom w:val="nil"/>
              <w:right w:val="nil"/>
            </w:tcBorders>
            <w:shd w:val="clear" w:color="auto" w:fill="auto"/>
            <w:vAlign w:val="center"/>
            <w:hideMark/>
          </w:tcPr>
          <w:p w:rsidR="00CF1D39" w:rsidRPr="004513E3" w:rsidRDefault="00CF1D39" w:rsidP="005813D6">
            <w:pPr>
              <w:widowControl w:val="0"/>
              <w:spacing w:line="240" w:lineRule="auto"/>
              <w:jc w:val="center"/>
              <w:rPr>
                <w:rFonts w:eastAsia="Times New Roman"/>
                <w:b/>
                <w:bCs/>
                <w:color w:val="000000"/>
                <w:sz w:val="18"/>
                <w:szCs w:val="18"/>
                <w:lang w:eastAsia="en-GB"/>
              </w:rPr>
            </w:pPr>
          </w:p>
        </w:tc>
        <w:tc>
          <w:tcPr>
            <w:tcW w:w="3321" w:type="dxa"/>
            <w:gridSpan w:val="3"/>
            <w:tcBorders>
              <w:top w:val="single" w:sz="12" w:space="0" w:color="auto"/>
              <w:left w:val="nil"/>
              <w:bottom w:val="nil"/>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b/>
                <w:bCs/>
                <w:color w:val="000000"/>
                <w:sz w:val="20"/>
                <w:szCs w:val="18"/>
                <w:lang w:eastAsia="en-GB"/>
              </w:rPr>
            </w:pPr>
            <w:r w:rsidRPr="00F66B2E">
              <w:rPr>
                <w:rFonts w:eastAsia="Times New Roman"/>
                <w:b/>
                <w:bCs/>
                <w:color w:val="000000"/>
                <w:sz w:val="20"/>
                <w:szCs w:val="18"/>
                <w:lang w:eastAsia="en-GB"/>
              </w:rPr>
              <w:t>Fair/Poor self-rated health</w:t>
            </w:r>
          </w:p>
        </w:tc>
        <w:tc>
          <w:tcPr>
            <w:tcW w:w="3342" w:type="dxa"/>
            <w:gridSpan w:val="3"/>
            <w:tcBorders>
              <w:top w:val="single" w:sz="12" w:space="0" w:color="auto"/>
              <w:left w:val="nil"/>
              <w:bottom w:val="nil"/>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b/>
                <w:bCs/>
                <w:color w:val="000000"/>
                <w:sz w:val="20"/>
                <w:szCs w:val="18"/>
                <w:lang w:eastAsia="en-GB"/>
              </w:rPr>
            </w:pPr>
            <w:r w:rsidRPr="00F66B2E">
              <w:rPr>
                <w:rFonts w:eastAsia="Times New Roman"/>
                <w:b/>
                <w:bCs/>
                <w:color w:val="000000"/>
                <w:sz w:val="20"/>
                <w:szCs w:val="18"/>
                <w:lang w:eastAsia="en-GB"/>
              </w:rPr>
              <w:t>CES-D score ≥16</w:t>
            </w:r>
          </w:p>
        </w:tc>
        <w:tc>
          <w:tcPr>
            <w:tcW w:w="3371" w:type="dxa"/>
            <w:gridSpan w:val="3"/>
            <w:tcBorders>
              <w:top w:val="single" w:sz="12" w:space="0" w:color="auto"/>
              <w:left w:val="nil"/>
              <w:bottom w:val="nil"/>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b/>
                <w:bCs/>
                <w:color w:val="000000"/>
                <w:sz w:val="20"/>
                <w:szCs w:val="18"/>
                <w:lang w:eastAsia="en-GB"/>
              </w:rPr>
            </w:pPr>
            <w:r w:rsidRPr="00F66B2E">
              <w:rPr>
                <w:rFonts w:eastAsia="Times New Roman"/>
                <w:b/>
                <w:bCs/>
                <w:color w:val="000000"/>
                <w:sz w:val="20"/>
                <w:szCs w:val="18"/>
                <w:lang w:eastAsia="en-GB"/>
              </w:rPr>
              <w:t>WEMWBS score poor (&lt;32)</w:t>
            </w:r>
          </w:p>
        </w:tc>
      </w:tr>
      <w:tr w:rsidR="00CF1D39" w:rsidRPr="004513E3" w:rsidTr="005813D6">
        <w:trPr>
          <w:trHeight w:val="491"/>
        </w:trPr>
        <w:tc>
          <w:tcPr>
            <w:tcW w:w="3119" w:type="dxa"/>
            <w:tcBorders>
              <w:top w:val="nil"/>
              <w:left w:val="nil"/>
              <w:bottom w:val="single" w:sz="12" w:space="0" w:color="auto"/>
              <w:right w:val="nil"/>
            </w:tcBorders>
            <w:shd w:val="clear" w:color="auto" w:fill="auto"/>
            <w:vAlign w:val="center"/>
            <w:hideMark/>
          </w:tcPr>
          <w:p w:rsidR="00CF1D39" w:rsidRPr="004513E3" w:rsidRDefault="00CF1D39" w:rsidP="005813D6">
            <w:pPr>
              <w:widowControl w:val="0"/>
              <w:spacing w:line="240" w:lineRule="auto"/>
              <w:jc w:val="center"/>
              <w:rPr>
                <w:rFonts w:eastAsia="Times New Roman"/>
                <w:b/>
                <w:bCs/>
                <w:color w:val="000000"/>
                <w:sz w:val="18"/>
                <w:szCs w:val="18"/>
                <w:lang w:eastAsia="en-GB"/>
              </w:rPr>
            </w:pPr>
          </w:p>
        </w:tc>
        <w:tc>
          <w:tcPr>
            <w:tcW w:w="325" w:type="dxa"/>
            <w:tcBorders>
              <w:top w:val="nil"/>
              <w:left w:val="nil"/>
              <w:bottom w:val="single" w:sz="12" w:space="0" w:color="auto"/>
              <w:right w:val="nil"/>
            </w:tcBorders>
            <w:shd w:val="clear" w:color="auto" w:fill="auto"/>
            <w:vAlign w:val="center"/>
            <w:hideMark/>
          </w:tcPr>
          <w:p w:rsidR="00CF1D39" w:rsidRPr="004513E3" w:rsidRDefault="00CF1D39" w:rsidP="005813D6">
            <w:pPr>
              <w:widowControl w:val="0"/>
              <w:spacing w:line="240" w:lineRule="auto"/>
              <w:jc w:val="center"/>
              <w:rPr>
                <w:rFonts w:eastAsia="Times New Roman"/>
                <w:b/>
                <w:bCs/>
                <w:color w:val="000000"/>
                <w:sz w:val="18"/>
                <w:szCs w:val="18"/>
                <w:lang w:eastAsia="en-GB"/>
              </w:rPr>
            </w:pPr>
          </w:p>
        </w:tc>
        <w:tc>
          <w:tcPr>
            <w:tcW w:w="1044" w:type="dxa"/>
            <w:tcBorders>
              <w:top w:val="nil"/>
              <w:left w:val="nil"/>
              <w:bottom w:val="single" w:sz="12" w:space="0" w:color="auto"/>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b/>
                <w:bCs/>
                <w:color w:val="000000"/>
                <w:sz w:val="20"/>
                <w:szCs w:val="18"/>
                <w:lang w:eastAsia="en-GB"/>
              </w:rPr>
            </w:pPr>
            <w:r w:rsidRPr="00F66B2E">
              <w:rPr>
                <w:rFonts w:eastAsia="Times New Roman"/>
                <w:b/>
                <w:bCs/>
                <w:color w:val="000000"/>
                <w:sz w:val="20"/>
                <w:szCs w:val="18"/>
                <w:lang w:eastAsia="en-GB"/>
              </w:rPr>
              <w:t>Cases exposed</w:t>
            </w:r>
          </w:p>
        </w:tc>
        <w:tc>
          <w:tcPr>
            <w:tcW w:w="919" w:type="dxa"/>
            <w:tcBorders>
              <w:top w:val="nil"/>
              <w:left w:val="nil"/>
              <w:bottom w:val="single" w:sz="12" w:space="0" w:color="auto"/>
              <w:right w:val="nil"/>
            </w:tcBorders>
            <w:shd w:val="clear" w:color="auto" w:fill="auto"/>
            <w:vAlign w:val="center"/>
            <w:hideMark/>
          </w:tcPr>
          <w:p w:rsidR="00CF1D39" w:rsidRPr="00F66B2E" w:rsidRDefault="00CF1D39" w:rsidP="005813D6">
            <w:pPr>
              <w:widowControl w:val="0"/>
              <w:spacing w:line="240" w:lineRule="auto"/>
              <w:jc w:val="right"/>
              <w:rPr>
                <w:rFonts w:eastAsia="Times New Roman"/>
                <w:b/>
                <w:bCs/>
                <w:color w:val="000000"/>
                <w:sz w:val="20"/>
                <w:szCs w:val="18"/>
                <w:lang w:eastAsia="en-GB"/>
              </w:rPr>
            </w:pPr>
            <w:proofErr w:type="spellStart"/>
            <w:r w:rsidRPr="00F66B2E">
              <w:rPr>
                <w:rFonts w:eastAsia="Times New Roman"/>
                <w:b/>
                <w:bCs/>
                <w:color w:val="000000"/>
                <w:sz w:val="20"/>
                <w:szCs w:val="18"/>
                <w:vertAlign w:val="superscript"/>
                <w:lang w:eastAsia="en-GB"/>
              </w:rPr>
              <w:t>a</w:t>
            </w:r>
            <w:r w:rsidRPr="00F66B2E">
              <w:rPr>
                <w:rFonts w:eastAsia="Times New Roman"/>
                <w:b/>
                <w:bCs/>
                <w:color w:val="000000"/>
                <w:sz w:val="20"/>
                <w:szCs w:val="18"/>
                <w:lang w:eastAsia="en-GB"/>
              </w:rPr>
              <w:t>OR</w:t>
            </w:r>
            <w:proofErr w:type="spellEnd"/>
          </w:p>
        </w:tc>
        <w:tc>
          <w:tcPr>
            <w:tcW w:w="1358" w:type="dxa"/>
            <w:tcBorders>
              <w:top w:val="nil"/>
              <w:left w:val="nil"/>
              <w:bottom w:val="single" w:sz="12" w:space="0" w:color="auto"/>
              <w:right w:val="nil"/>
            </w:tcBorders>
            <w:shd w:val="clear" w:color="auto" w:fill="auto"/>
            <w:vAlign w:val="center"/>
            <w:hideMark/>
          </w:tcPr>
          <w:p w:rsidR="00CF1D39" w:rsidRPr="00F66B2E" w:rsidRDefault="00CF1D39" w:rsidP="005813D6">
            <w:pPr>
              <w:widowControl w:val="0"/>
              <w:spacing w:line="240" w:lineRule="auto"/>
              <w:rPr>
                <w:rFonts w:eastAsia="Times New Roman"/>
                <w:b/>
                <w:bCs/>
                <w:color w:val="000000"/>
                <w:sz w:val="20"/>
                <w:szCs w:val="18"/>
                <w:lang w:eastAsia="en-GB"/>
              </w:rPr>
            </w:pPr>
            <w:r w:rsidRPr="00F66B2E">
              <w:rPr>
                <w:rFonts w:eastAsia="Times New Roman"/>
                <w:b/>
                <w:bCs/>
                <w:color w:val="000000"/>
                <w:sz w:val="20"/>
                <w:szCs w:val="18"/>
                <w:lang w:eastAsia="en-GB"/>
              </w:rPr>
              <w:t>(95%CI)</w:t>
            </w:r>
          </w:p>
        </w:tc>
        <w:tc>
          <w:tcPr>
            <w:tcW w:w="1064" w:type="dxa"/>
            <w:tcBorders>
              <w:top w:val="nil"/>
              <w:left w:val="nil"/>
              <w:bottom w:val="single" w:sz="12" w:space="0" w:color="auto"/>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b/>
                <w:bCs/>
                <w:color w:val="000000"/>
                <w:sz w:val="20"/>
                <w:szCs w:val="18"/>
                <w:lang w:eastAsia="en-GB"/>
              </w:rPr>
            </w:pPr>
            <w:r w:rsidRPr="00F66B2E">
              <w:rPr>
                <w:rFonts w:eastAsia="Times New Roman"/>
                <w:b/>
                <w:bCs/>
                <w:color w:val="000000"/>
                <w:sz w:val="20"/>
                <w:szCs w:val="18"/>
                <w:lang w:eastAsia="en-GB"/>
              </w:rPr>
              <w:t>Cases exposed</w:t>
            </w:r>
          </w:p>
        </w:tc>
        <w:tc>
          <w:tcPr>
            <w:tcW w:w="898" w:type="dxa"/>
            <w:tcBorders>
              <w:top w:val="nil"/>
              <w:left w:val="nil"/>
              <w:bottom w:val="single" w:sz="12" w:space="0" w:color="auto"/>
              <w:right w:val="nil"/>
            </w:tcBorders>
            <w:shd w:val="clear" w:color="auto" w:fill="auto"/>
            <w:vAlign w:val="center"/>
            <w:hideMark/>
          </w:tcPr>
          <w:p w:rsidR="00CF1D39" w:rsidRPr="00F66B2E" w:rsidRDefault="00CF1D39" w:rsidP="005813D6">
            <w:pPr>
              <w:widowControl w:val="0"/>
              <w:spacing w:line="240" w:lineRule="auto"/>
              <w:jc w:val="right"/>
              <w:rPr>
                <w:rFonts w:eastAsia="Times New Roman"/>
                <w:b/>
                <w:bCs/>
                <w:color w:val="000000"/>
                <w:sz w:val="20"/>
                <w:szCs w:val="18"/>
                <w:lang w:eastAsia="en-GB"/>
              </w:rPr>
            </w:pPr>
            <w:proofErr w:type="spellStart"/>
            <w:r w:rsidRPr="00F66B2E">
              <w:rPr>
                <w:rFonts w:eastAsia="Times New Roman"/>
                <w:b/>
                <w:bCs/>
                <w:color w:val="000000"/>
                <w:sz w:val="20"/>
                <w:szCs w:val="18"/>
                <w:vertAlign w:val="superscript"/>
                <w:lang w:eastAsia="en-GB"/>
              </w:rPr>
              <w:t>a</w:t>
            </w:r>
            <w:r w:rsidRPr="00F66B2E">
              <w:rPr>
                <w:rFonts w:eastAsia="Times New Roman"/>
                <w:b/>
                <w:bCs/>
                <w:color w:val="000000"/>
                <w:sz w:val="20"/>
                <w:szCs w:val="18"/>
                <w:lang w:eastAsia="en-GB"/>
              </w:rPr>
              <w:t>OR</w:t>
            </w:r>
            <w:proofErr w:type="spellEnd"/>
          </w:p>
        </w:tc>
        <w:tc>
          <w:tcPr>
            <w:tcW w:w="1380" w:type="dxa"/>
            <w:tcBorders>
              <w:top w:val="nil"/>
              <w:left w:val="nil"/>
              <w:bottom w:val="single" w:sz="12" w:space="0" w:color="auto"/>
              <w:right w:val="nil"/>
            </w:tcBorders>
            <w:shd w:val="clear" w:color="auto" w:fill="auto"/>
            <w:vAlign w:val="center"/>
            <w:hideMark/>
          </w:tcPr>
          <w:p w:rsidR="00CF1D39" w:rsidRPr="00F66B2E" w:rsidRDefault="00CF1D39" w:rsidP="005813D6">
            <w:pPr>
              <w:widowControl w:val="0"/>
              <w:spacing w:line="240" w:lineRule="auto"/>
              <w:rPr>
                <w:rFonts w:eastAsia="Times New Roman"/>
                <w:b/>
                <w:bCs/>
                <w:color w:val="000000"/>
                <w:sz w:val="20"/>
                <w:szCs w:val="18"/>
                <w:lang w:eastAsia="en-GB"/>
              </w:rPr>
            </w:pPr>
            <w:r w:rsidRPr="00F66B2E">
              <w:rPr>
                <w:rFonts w:eastAsia="Times New Roman"/>
                <w:b/>
                <w:bCs/>
                <w:color w:val="000000"/>
                <w:sz w:val="20"/>
                <w:szCs w:val="18"/>
                <w:lang w:eastAsia="en-GB"/>
              </w:rPr>
              <w:t>(95%CI)</w:t>
            </w:r>
          </w:p>
        </w:tc>
        <w:tc>
          <w:tcPr>
            <w:tcW w:w="989" w:type="dxa"/>
            <w:tcBorders>
              <w:top w:val="nil"/>
              <w:left w:val="nil"/>
              <w:bottom w:val="single" w:sz="12" w:space="0" w:color="auto"/>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b/>
                <w:bCs/>
                <w:color w:val="000000"/>
                <w:sz w:val="20"/>
                <w:szCs w:val="18"/>
                <w:lang w:eastAsia="en-GB"/>
              </w:rPr>
            </w:pPr>
            <w:r w:rsidRPr="00F66B2E">
              <w:rPr>
                <w:rFonts w:eastAsia="Times New Roman"/>
                <w:b/>
                <w:bCs/>
                <w:color w:val="000000"/>
                <w:sz w:val="20"/>
                <w:szCs w:val="18"/>
                <w:lang w:eastAsia="en-GB"/>
              </w:rPr>
              <w:t>Cases exposed</w:t>
            </w:r>
          </w:p>
        </w:tc>
        <w:tc>
          <w:tcPr>
            <w:tcW w:w="1045" w:type="dxa"/>
            <w:tcBorders>
              <w:top w:val="nil"/>
              <w:left w:val="nil"/>
              <w:bottom w:val="single" w:sz="12" w:space="0" w:color="auto"/>
              <w:right w:val="nil"/>
            </w:tcBorders>
            <w:shd w:val="clear" w:color="auto" w:fill="auto"/>
            <w:vAlign w:val="center"/>
            <w:hideMark/>
          </w:tcPr>
          <w:p w:rsidR="00CF1D39" w:rsidRPr="00F66B2E" w:rsidRDefault="00CF1D39" w:rsidP="005813D6">
            <w:pPr>
              <w:widowControl w:val="0"/>
              <w:spacing w:line="240" w:lineRule="auto"/>
              <w:jc w:val="right"/>
              <w:rPr>
                <w:rFonts w:eastAsia="Times New Roman"/>
                <w:b/>
                <w:bCs/>
                <w:color w:val="000000"/>
                <w:sz w:val="20"/>
                <w:szCs w:val="18"/>
                <w:lang w:eastAsia="en-GB"/>
              </w:rPr>
            </w:pPr>
            <w:proofErr w:type="spellStart"/>
            <w:r w:rsidRPr="00F66B2E">
              <w:rPr>
                <w:rFonts w:eastAsia="Times New Roman"/>
                <w:b/>
                <w:bCs/>
                <w:color w:val="000000"/>
                <w:sz w:val="20"/>
                <w:szCs w:val="18"/>
                <w:vertAlign w:val="superscript"/>
                <w:lang w:eastAsia="en-GB"/>
              </w:rPr>
              <w:t>a</w:t>
            </w:r>
            <w:r w:rsidRPr="00F66B2E">
              <w:rPr>
                <w:rFonts w:eastAsia="Times New Roman"/>
                <w:b/>
                <w:bCs/>
                <w:color w:val="000000"/>
                <w:sz w:val="20"/>
                <w:szCs w:val="18"/>
                <w:lang w:eastAsia="en-GB"/>
              </w:rPr>
              <w:t>OR</w:t>
            </w:r>
            <w:proofErr w:type="spellEnd"/>
          </w:p>
        </w:tc>
        <w:tc>
          <w:tcPr>
            <w:tcW w:w="1337" w:type="dxa"/>
            <w:tcBorders>
              <w:top w:val="nil"/>
              <w:left w:val="nil"/>
              <w:bottom w:val="single" w:sz="12" w:space="0" w:color="auto"/>
              <w:right w:val="nil"/>
            </w:tcBorders>
            <w:shd w:val="clear" w:color="auto" w:fill="auto"/>
            <w:vAlign w:val="center"/>
            <w:hideMark/>
          </w:tcPr>
          <w:p w:rsidR="00CF1D39" w:rsidRPr="00F66B2E" w:rsidRDefault="00CF1D39" w:rsidP="005813D6">
            <w:pPr>
              <w:widowControl w:val="0"/>
              <w:spacing w:line="240" w:lineRule="auto"/>
              <w:rPr>
                <w:rFonts w:eastAsia="Times New Roman"/>
                <w:b/>
                <w:bCs/>
                <w:color w:val="000000"/>
                <w:sz w:val="20"/>
                <w:szCs w:val="18"/>
                <w:lang w:eastAsia="en-GB"/>
              </w:rPr>
            </w:pPr>
            <w:r w:rsidRPr="00F66B2E">
              <w:rPr>
                <w:rFonts w:eastAsia="Times New Roman"/>
                <w:b/>
                <w:bCs/>
                <w:color w:val="000000"/>
                <w:sz w:val="20"/>
                <w:szCs w:val="18"/>
                <w:lang w:eastAsia="en-GB"/>
              </w:rPr>
              <w:t>(95%CI)</w:t>
            </w:r>
          </w:p>
        </w:tc>
      </w:tr>
      <w:tr w:rsidR="00CF1D39" w:rsidRPr="004513E3" w:rsidTr="005813D6">
        <w:trPr>
          <w:trHeight w:val="298"/>
        </w:trPr>
        <w:tc>
          <w:tcPr>
            <w:tcW w:w="3119" w:type="dxa"/>
            <w:tcBorders>
              <w:top w:val="nil"/>
              <w:left w:val="nil"/>
              <w:bottom w:val="nil"/>
              <w:right w:val="nil"/>
            </w:tcBorders>
            <w:shd w:val="clear" w:color="auto" w:fill="auto"/>
            <w:vAlign w:val="bottom"/>
            <w:hideMark/>
          </w:tcPr>
          <w:p w:rsidR="00CF1D39" w:rsidRPr="004513E3" w:rsidRDefault="00CF1D39" w:rsidP="005813D6">
            <w:pPr>
              <w:widowControl w:val="0"/>
              <w:spacing w:line="240" w:lineRule="auto"/>
              <w:rPr>
                <w:rFonts w:eastAsia="Times New Roman"/>
                <w:color w:val="000000"/>
                <w:sz w:val="18"/>
                <w:szCs w:val="18"/>
                <w:lang w:eastAsia="en-GB"/>
              </w:rPr>
            </w:pPr>
          </w:p>
        </w:tc>
        <w:tc>
          <w:tcPr>
            <w:tcW w:w="325" w:type="dxa"/>
            <w:tcBorders>
              <w:top w:val="nil"/>
              <w:left w:val="nil"/>
              <w:bottom w:val="nil"/>
              <w:right w:val="nil"/>
            </w:tcBorders>
            <w:shd w:val="clear" w:color="auto" w:fill="auto"/>
            <w:hideMark/>
          </w:tcPr>
          <w:p w:rsidR="00CF1D39" w:rsidRPr="004513E3" w:rsidRDefault="00CF1D39" w:rsidP="005813D6">
            <w:pPr>
              <w:widowControl w:val="0"/>
              <w:spacing w:line="240" w:lineRule="auto"/>
              <w:rPr>
                <w:rFonts w:eastAsia="Times New Roman"/>
                <w:color w:val="000000"/>
                <w:sz w:val="18"/>
                <w:szCs w:val="18"/>
                <w:lang w:eastAsia="en-GB"/>
              </w:rPr>
            </w:pPr>
          </w:p>
        </w:tc>
        <w:tc>
          <w:tcPr>
            <w:tcW w:w="1044" w:type="dxa"/>
            <w:tcBorders>
              <w:top w:val="nil"/>
              <w:left w:val="nil"/>
              <w:bottom w:val="nil"/>
              <w:right w:val="nil"/>
            </w:tcBorders>
            <w:shd w:val="clear" w:color="auto" w:fill="auto"/>
            <w:vAlign w:val="center"/>
            <w:hideMark/>
          </w:tcPr>
          <w:p w:rsidR="00CF1D39" w:rsidRPr="004513E3" w:rsidRDefault="00CF1D39" w:rsidP="005813D6">
            <w:pPr>
              <w:widowControl w:val="0"/>
              <w:spacing w:line="240" w:lineRule="auto"/>
              <w:jc w:val="center"/>
              <w:rPr>
                <w:rFonts w:eastAsia="Times New Roman"/>
                <w:color w:val="000000"/>
                <w:sz w:val="18"/>
                <w:szCs w:val="18"/>
                <w:lang w:eastAsia="en-GB"/>
              </w:rPr>
            </w:pPr>
          </w:p>
        </w:tc>
        <w:tc>
          <w:tcPr>
            <w:tcW w:w="919" w:type="dxa"/>
            <w:tcBorders>
              <w:top w:val="nil"/>
              <w:left w:val="nil"/>
              <w:bottom w:val="nil"/>
              <w:right w:val="nil"/>
            </w:tcBorders>
            <w:shd w:val="clear" w:color="auto" w:fill="auto"/>
            <w:vAlign w:val="center"/>
            <w:hideMark/>
          </w:tcPr>
          <w:p w:rsidR="00CF1D39" w:rsidRPr="004513E3" w:rsidRDefault="00CF1D39" w:rsidP="005813D6">
            <w:pPr>
              <w:widowControl w:val="0"/>
              <w:spacing w:line="240" w:lineRule="auto"/>
              <w:jc w:val="right"/>
              <w:rPr>
                <w:rFonts w:eastAsia="Times New Roman"/>
                <w:color w:val="000000"/>
                <w:sz w:val="18"/>
                <w:szCs w:val="18"/>
                <w:lang w:eastAsia="en-GB"/>
              </w:rPr>
            </w:pPr>
          </w:p>
        </w:tc>
        <w:tc>
          <w:tcPr>
            <w:tcW w:w="1358" w:type="dxa"/>
            <w:tcBorders>
              <w:top w:val="nil"/>
              <w:left w:val="nil"/>
              <w:bottom w:val="nil"/>
              <w:right w:val="nil"/>
            </w:tcBorders>
            <w:shd w:val="clear" w:color="auto" w:fill="auto"/>
            <w:vAlign w:val="center"/>
            <w:hideMark/>
          </w:tcPr>
          <w:p w:rsidR="00CF1D39" w:rsidRPr="004513E3" w:rsidRDefault="00CF1D39" w:rsidP="005813D6">
            <w:pPr>
              <w:widowControl w:val="0"/>
              <w:spacing w:line="240" w:lineRule="auto"/>
              <w:rPr>
                <w:rFonts w:eastAsia="Times New Roman"/>
                <w:color w:val="000000"/>
                <w:sz w:val="18"/>
                <w:szCs w:val="18"/>
                <w:lang w:eastAsia="en-GB"/>
              </w:rPr>
            </w:pPr>
          </w:p>
        </w:tc>
        <w:tc>
          <w:tcPr>
            <w:tcW w:w="1064" w:type="dxa"/>
            <w:tcBorders>
              <w:top w:val="nil"/>
              <w:left w:val="nil"/>
              <w:bottom w:val="nil"/>
              <w:right w:val="nil"/>
            </w:tcBorders>
            <w:shd w:val="clear" w:color="auto" w:fill="auto"/>
            <w:vAlign w:val="center"/>
            <w:hideMark/>
          </w:tcPr>
          <w:p w:rsidR="00CF1D39" w:rsidRPr="004513E3" w:rsidRDefault="00CF1D39" w:rsidP="005813D6">
            <w:pPr>
              <w:widowControl w:val="0"/>
              <w:spacing w:line="240" w:lineRule="auto"/>
              <w:jc w:val="center"/>
              <w:rPr>
                <w:rFonts w:eastAsia="Times New Roman"/>
                <w:color w:val="000000"/>
                <w:sz w:val="18"/>
                <w:szCs w:val="18"/>
                <w:lang w:eastAsia="en-GB"/>
              </w:rPr>
            </w:pPr>
          </w:p>
        </w:tc>
        <w:tc>
          <w:tcPr>
            <w:tcW w:w="898" w:type="dxa"/>
            <w:tcBorders>
              <w:top w:val="nil"/>
              <w:left w:val="nil"/>
              <w:bottom w:val="nil"/>
              <w:right w:val="nil"/>
            </w:tcBorders>
            <w:shd w:val="clear" w:color="auto" w:fill="auto"/>
            <w:vAlign w:val="center"/>
            <w:hideMark/>
          </w:tcPr>
          <w:p w:rsidR="00CF1D39" w:rsidRPr="004513E3" w:rsidRDefault="00CF1D39" w:rsidP="005813D6">
            <w:pPr>
              <w:widowControl w:val="0"/>
              <w:spacing w:line="240" w:lineRule="auto"/>
              <w:jc w:val="right"/>
              <w:rPr>
                <w:rFonts w:eastAsia="Times New Roman"/>
                <w:color w:val="000000"/>
                <w:sz w:val="18"/>
                <w:szCs w:val="18"/>
                <w:lang w:eastAsia="en-GB"/>
              </w:rPr>
            </w:pPr>
          </w:p>
        </w:tc>
        <w:tc>
          <w:tcPr>
            <w:tcW w:w="1380" w:type="dxa"/>
            <w:tcBorders>
              <w:top w:val="nil"/>
              <w:left w:val="nil"/>
              <w:bottom w:val="nil"/>
              <w:right w:val="nil"/>
            </w:tcBorders>
            <w:shd w:val="clear" w:color="auto" w:fill="auto"/>
            <w:vAlign w:val="center"/>
            <w:hideMark/>
          </w:tcPr>
          <w:p w:rsidR="00CF1D39" w:rsidRPr="004513E3" w:rsidRDefault="00CF1D39" w:rsidP="005813D6">
            <w:pPr>
              <w:widowControl w:val="0"/>
              <w:spacing w:line="240" w:lineRule="auto"/>
              <w:rPr>
                <w:rFonts w:eastAsia="Times New Roman"/>
                <w:color w:val="000000"/>
                <w:sz w:val="18"/>
                <w:szCs w:val="18"/>
                <w:lang w:eastAsia="en-GB"/>
              </w:rPr>
            </w:pPr>
          </w:p>
        </w:tc>
        <w:tc>
          <w:tcPr>
            <w:tcW w:w="989" w:type="dxa"/>
            <w:tcBorders>
              <w:top w:val="nil"/>
              <w:left w:val="nil"/>
              <w:bottom w:val="nil"/>
              <w:right w:val="nil"/>
            </w:tcBorders>
            <w:shd w:val="clear" w:color="auto" w:fill="auto"/>
            <w:vAlign w:val="center"/>
            <w:hideMark/>
          </w:tcPr>
          <w:p w:rsidR="00CF1D39" w:rsidRPr="004513E3" w:rsidRDefault="00CF1D39" w:rsidP="005813D6">
            <w:pPr>
              <w:widowControl w:val="0"/>
              <w:spacing w:line="240" w:lineRule="auto"/>
              <w:jc w:val="center"/>
              <w:rPr>
                <w:rFonts w:eastAsia="Times New Roman"/>
                <w:color w:val="000000"/>
                <w:sz w:val="18"/>
                <w:szCs w:val="18"/>
                <w:lang w:eastAsia="en-GB"/>
              </w:rPr>
            </w:pPr>
          </w:p>
        </w:tc>
        <w:tc>
          <w:tcPr>
            <w:tcW w:w="1045" w:type="dxa"/>
            <w:tcBorders>
              <w:top w:val="nil"/>
              <w:left w:val="nil"/>
              <w:bottom w:val="nil"/>
              <w:right w:val="nil"/>
            </w:tcBorders>
            <w:shd w:val="clear" w:color="auto" w:fill="auto"/>
            <w:vAlign w:val="center"/>
            <w:hideMark/>
          </w:tcPr>
          <w:p w:rsidR="00CF1D39" w:rsidRPr="004513E3" w:rsidRDefault="00CF1D39" w:rsidP="005813D6">
            <w:pPr>
              <w:widowControl w:val="0"/>
              <w:spacing w:line="240" w:lineRule="auto"/>
              <w:jc w:val="right"/>
              <w:rPr>
                <w:rFonts w:eastAsia="Times New Roman"/>
                <w:color w:val="000000"/>
                <w:sz w:val="18"/>
                <w:szCs w:val="18"/>
                <w:lang w:eastAsia="en-GB"/>
              </w:rPr>
            </w:pPr>
          </w:p>
        </w:tc>
        <w:tc>
          <w:tcPr>
            <w:tcW w:w="1337" w:type="dxa"/>
            <w:tcBorders>
              <w:top w:val="nil"/>
              <w:left w:val="nil"/>
              <w:bottom w:val="nil"/>
              <w:right w:val="nil"/>
            </w:tcBorders>
            <w:shd w:val="clear" w:color="auto" w:fill="auto"/>
            <w:vAlign w:val="center"/>
            <w:hideMark/>
          </w:tcPr>
          <w:p w:rsidR="00CF1D39" w:rsidRPr="004513E3" w:rsidRDefault="00CF1D39" w:rsidP="005813D6">
            <w:pPr>
              <w:widowControl w:val="0"/>
              <w:spacing w:line="240" w:lineRule="auto"/>
              <w:rPr>
                <w:rFonts w:eastAsia="Times New Roman"/>
                <w:color w:val="000000"/>
                <w:sz w:val="18"/>
                <w:szCs w:val="18"/>
                <w:lang w:eastAsia="en-GB"/>
              </w:rPr>
            </w:pPr>
          </w:p>
        </w:tc>
      </w:tr>
      <w:tr w:rsidR="00CF1D39" w:rsidRPr="004513E3" w:rsidTr="005813D6">
        <w:trPr>
          <w:trHeight w:val="567"/>
        </w:trPr>
        <w:tc>
          <w:tcPr>
            <w:tcW w:w="3119"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rPr>
                <w:rFonts w:eastAsia="Times New Roman"/>
                <w:b/>
                <w:color w:val="000000"/>
                <w:sz w:val="20"/>
                <w:szCs w:val="20"/>
                <w:lang w:eastAsia="en-GB"/>
              </w:rPr>
            </w:pPr>
            <w:r w:rsidRPr="00F66B2E">
              <w:rPr>
                <w:rFonts w:eastAsia="Times New Roman"/>
                <w:b/>
                <w:color w:val="000000"/>
                <w:sz w:val="20"/>
                <w:szCs w:val="20"/>
                <w:lang w:eastAsia="en-GB"/>
              </w:rPr>
              <w:t>Overall job dissatisfaction</w:t>
            </w:r>
          </w:p>
        </w:tc>
        <w:tc>
          <w:tcPr>
            <w:tcW w:w="325" w:type="dxa"/>
            <w:tcBorders>
              <w:top w:val="nil"/>
              <w:left w:val="nil"/>
              <w:bottom w:val="nil"/>
              <w:right w:val="nil"/>
            </w:tcBorders>
            <w:shd w:val="clear" w:color="auto" w:fill="auto"/>
            <w:hideMark/>
          </w:tcPr>
          <w:p w:rsidR="00CF1D39" w:rsidRPr="00F66B2E" w:rsidRDefault="00CF1D39" w:rsidP="005813D6">
            <w:pPr>
              <w:widowControl w:val="0"/>
              <w:spacing w:line="240" w:lineRule="auto"/>
              <w:rPr>
                <w:rFonts w:eastAsia="Times New Roman"/>
                <w:color w:val="000000"/>
                <w:sz w:val="20"/>
                <w:szCs w:val="20"/>
                <w:lang w:eastAsia="en-GB"/>
              </w:rPr>
            </w:pPr>
          </w:p>
        </w:tc>
        <w:tc>
          <w:tcPr>
            <w:tcW w:w="1044"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sidRPr="00F66B2E">
              <w:rPr>
                <w:rFonts w:eastAsia="Times New Roman"/>
                <w:color w:val="000000"/>
                <w:sz w:val="20"/>
                <w:szCs w:val="20"/>
                <w:lang w:eastAsia="en-GB"/>
              </w:rPr>
              <w:t>138</w:t>
            </w:r>
          </w:p>
        </w:tc>
        <w:tc>
          <w:tcPr>
            <w:tcW w:w="919" w:type="dxa"/>
            <w:tcBorders>
              <w:top w:val="nil"/>
              <w:left w:val="nil"/>
              <w:bottom w:val="nil"/>
              <w:right w:val="nil"/>
            </w:tcBorders>
            <w:shd w:val="clear" w:color="auto" w:fill="auto"/>
            <w:noWrap/>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3.16</w:t>
            </w:r>
          </w:p>
        </w:tc>
        <w:tc>
          <w:tcPr>
            <w:tcW w:w="1358" w:type="dxa"/>
            <w:tcBorders>
              <w:top w:val="nil"/>
              <w:left w:val="nil"/>
              <w:bottom w:val="nil"/>
              <w:right w:val="nil"/>
            </w:tcBorders>
            <w:shd w:val="clear" w:color="auto" w:fill="auto"/>
            <w:noWrap/>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(2.52,3.97)</w:t>
            </w:r>
          </w:p>
        </w:tc>
        <w:tc>
          <w:tcPr>
            <w:tcW w:w="1064"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sidRPr="00F66B2E">
              <w:rPr>
                <w:rFonts w:eastAsia="Times New Roman"/>
                <w:color w:val="000000"/>
                <w:sz w:val="20"/>
                <w:szCs w:val="20"/>
                <w:lang w:eastAsia="en-GB"/>
              </w:rPr>
              <w:t>208</w:t>
            </w:r>
          </w:p>
        </w:tc>
        <w:tc>
          <w:tcPr>
            <w:tcW w:w="898" w:type="dxa"/>
            <w:tcBorders>
              <w:top w:val="nil"/>
              <w:left w:val="nil"/>
              <w:bottom w:val="nil"/>
              <w:right w:val="nil"/>
            </w:tcBorders>
            <w:shd w:val="clear" w:color="auto" w:fill="auto"/>
            <w:noWrap/>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 xml:space="preserve">   5.26</w:t>
            </w:r>
          </w:p>
        </w:tc>
        <w:tc>
          <w:tcPr>
            <w:tcW w:w="1380" w:type="dxa"/>
            <w:tcBorders>
              <w:top w:val="nil"/>
              <w:left w:val="nil"/>
              <w:bottom w:val="nil"/>
              <w:right w:val="nil"/>
            </w:tcBorders>
            <w:shd w:val="clear" w:color="auto" w:fill="auto"/>
            <w:noWrap/>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(4.21,6.58)</w:t>
            </w:r>
          </w:p>
        </w:tc>
        <w:tc>
          <w:tcPr>
            <w:tcW w:w="989"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sidRPr="00F66B2E">
              <w:rPr>
                <w:rFonts w:eastAsia="Times New Roman"/>
                <w:color w:val="000000"/>
                <w:sz w:val="20"/>
                <w:szCs w:val="20"/>
                <w:lang w:eastAsia="en-GB"/>
              </w:rPr>
              <w:t>56</w:t>
            </w:r>
          </w:p>
        </w:tc>
        <w:tc>
          <w:tcPr>
            <w:tcW w:w="1045" w:type="dxa"/>
            <w:tcBorders>
              <w:top w:val="nil"/>
              <w:left w:val="nil"/>
              <w:bottom w:val="nil"/>
              <w:right w:val="nil"/>
            </w:tcBorders>
            <w:shd w:val="clear" w:color="auto" w:fill="auto"/>
            <w:noWrap/>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 xml:space="preserve">       5.52</w:t>
            </w:r>
          </w:p>
        </w:tc>
        <w:tc>
          <w:tcPr>
            <w:tcW w:w="1337" w:type="dxa"/>
            <w:tcBorders>
              <w:top w:val="nil"/>
              <w:left w:val="nil"/>
              <w:bottom w:val="nil"/>
              <w:right w:val="nil"/>
            </w:tcBorders>
            <w:shd w:val="clear" w:color="auto" w:fill="auto"/>
            <w:noWrap/>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Pr>
                <w:rFonts w:eastAsia="Times New Roman"/>
                <w:color w:val="000000"/>
                <w:sz w:val="20"/>
                <w:szCs w:val="20"/>
                <w:lang w:eastAsia="en-GB"/>
              </w:rPr>
              <w:t>(3.97,7.67)</w:t>
            </w:r>
          </w:p>
        </w:tc>
      </w:tr>
      <w:tr w:rsidR="00CF1D39" w:rsidRPr="004513E3" w:rsidTr="005813D6">
        <w:trPr>
          <w:trHeight w:val="567"/>
        </w:trPr>
        <w:tc>
          <w:tcPr>
            <w:tcW w:w="3119" w:type="dxa"/>
            <w:tcBorders>
              <w:top w:val="nil"/>
              <w:left w:val="nil"/>
              <w:bottom w:val="nil"/>
              <w:right w:val="nil"/>
            </w:tcBorders>
            <w:shd w:val="clear" w:color="auto" w:fill="auto"/>
            <w:vAlign w:val="center"/>
            <w:hideMark/>
          </w:tcPr>
          <w:p w:rsidR="00CF1D39" w:rsidRPr="00F66B2E" w:rsidRDefault="007B6B1F" w:rsidP="005813D6">
            <w:pPr>
              <w:widowControl w:val="0"/>
              <w:spacing w:line="240" w:lineRule="auto"/>
              <w:rPr>
                <w:rFonts w:eastAsia="Times New Roman"/>
                <w:b/>
                <w:bCs/>
                <w:color w:val="000000"/>
                <w:sz w:val="20"/>
                <w:szCs w:val="20"/>
                <w:vertAlign w:val="superscript"/>
                <w:lang w:eastAsia="en-GB"/>
              </w:rPr>
            </w:pPr>
            <w:r>
              <w:rPr>
                <w:rFonts w:eastAsia="Times New Roman"/>
                <w:b/>
                <w:bCs/>
                <w:color w:val="000000"/>
                <w:sz w:val="20"/>
                <w:szCs w:val="20"/>
                <w:lang w:eastAsia="en-GB"/>
              </w:rPr>
              <w:t xml:space="preserve">Negative </w:t>
            </w:r>
            <w:proofErr w:type="spellStart"/>
            <w:r>
              <w:rPr>
                <w:rFonts w:eastAsia="Times New Roman"/>
                <w:b/>
                <w:bCs/>
                <w:color w:val="000000"/>
                <w:sz w:val="20"/>
                <w:szCs w:val="20"/>
                <w:lang w:eastAsia="en-GB"/>
              </w:rPr>
              <w:t>perceptions</w:t>
            </w:r>
            <w:r w:rsidRPr="00F66B2E">
              <w:rPr>
                <w:rFonts w:eastAsia="Times New Roman"/>
                <w:b/>
                <w:bCs/>
                <w:color w:val="000000"/>
                <w:sz w:val="20"/>
                <w:szCs w:val="20"/>
                <w:vertAlign w:val="superscript"/>
                <w:lang w:eastAsia="en-GB"/>
              </w:rPr>
              <w:t>b</w:t>
            </w:r>
            <w:proofErr w:type="spellEnd"/>
          </w:p>
        </w:tc>
        <w:tc>
          <w:tcPr>
            <w:tcW w:w="325" w:type="dxa"/>
            <w:tcBorders>
              <w:top w:val="nil"/>
              <w:left w:val="nil"/>
              <w:bottom w:val="nil"/>
              <w:right w:val="nil"/>
            </w:tcBorders>
            <w:shd w:val="clear" w:color="auto" w:fill="auto"/>
            <w:hideMark/>
          </w:tcPr>
          <w:p w:rsidR="00CF1D39" w:rsidRPr="00F66B2E" w:rsidRDefault="00CF1D39" w:rsidP="005813D6">
            <w:pPr>
              <w:widowControl w:val="0"/>
              <w:spacing w:line="240" w:lineRule="auto"/>
              <w:rPr>
                <w:rFonts w:eastAsia="Times New Roman"/>
                <w:color w:val="000000"/>
                <w:sz w:val="20"/>
                <w:szCs w:val="20"/>
                <w:lang w:eastAsia="en-GB"/>
              </w:rPr>
            </w:pPr>
          </w:p>
        </w:tc>
        <w:tc>
          <w:tcPr>
            <w:tcW w:w="1044"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p>
        </w:tc>
        <w:tc>
          <w:tcPr>
            <w:tcW w:w="919"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right"/>
              <w:rPr>
                <w:rFonts w:eastAsia="Times New Roman"/>
                <w:color w:val="000000"/>
                <w:sz w:val="20"/>
                <w:szCs w:val="20"/>
                <w:lang w:eastAsia="en-GB"/>
              </w:rPr>
            </w:pPr>
          </w:p>
        </w:tc>
        <w:tc>
          <w:tcPr>
            <w:tcW w:w="1358"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rPr>
                <w:rFonts w:eastAsia="Times New Roman"/>
                <w:color w:val="000000"/>
                <w:sz w:val="20"/>
                <w:szCs w:val="20"/>
                <w:lang w:eastAsia="en-GB"/>
              </w:rPr>
            </w:pPr>
          </w:p>
        </w:tc>
        <w:tc>
          <w:tcPr>
            <w:tcW w:w="1064"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p>
        </w:tc>
        <w:tc>
          <w:tcPr>
            <w:tcW w:w="898"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right"/>
              <w:rPr>
                <w:rFonts w:eastAsia="Times New Roman"/>
                <w:color w:val="000000"/>
                <w:sz w:val="20"/>
                <w:szCs w:val="20"/>
                <w:lang w:eastAsia="en-GB"/>
              </w:rPr>
            </w:pPr>
          </w:p>
        </w:tc>
        <w:tc>
          <w:tcPr>
            <w:tcW w:w="1380"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rPr>
                <w:rFonts w:eastAsia="Times New Roman"/>
                <w:color w:val="000000"/>
                <w:sz w:val="20"/>
                <w:szCs w:val="20"/>
                <w:lang w:eastAsia="en-GB"/>
              </w:rPr>
            </w:pPr>
          </w:p>
        </w:tc>
        <w:tc>
          <w:tcPr>
            <w:tcW w:w="989"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p>
        </w:tc>
        <w:tc>
          <w:tcPr>
            <w:tcW w:w="1045"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right"/>
              <w:rPr>
                <w:rFonts w:eastAsia="Times New Roman"/>
                <w:color w:val="000000"/>
                <w:sz w:val="20"/>
                <w:szCs w:val="20"/>
                <w:lang w:eastAsia="en-GB"/>
              </w:rPr>
            </w:pPr>
          </w:p>
        </w:tc>
        <w:tc>
          <w:tcPr>
            <w:tcW w:w="1337"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rPr>
                <w:rFonts w:eastAsia="Times New Roman"/>
                <w:color w:val="000000"/>
                <w:sz w:val="20"/>
                <w:szCs w:val="20"/>
                <w:lang w:eastAsia="en-GB"/>
              </w:rPr>
            </w:pPr>
          </w:p>
        </w:tc>
      </w:tr>
      <w:tr w:rsidR="00CF1D39" w:rsidRPr="004513E3" w:rsidTr="005813D6">
        <w:trPr>
          <w:trHeight w:val="567"/>
        </w:trPr>
        <w:tc>
          <w:tcPr>
            <w:tcW w:w="3119"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ind w:left="333" w:hanging="142"/>
              <w:rPr>
                <w:rFonts w:eastAsia="Times New Roman"/>
                <w:color w:val="000000"/>
                <w:sz w:val="20"/>
                <w:szCs w:val="20"/>
                <w:lang w:eastAsia="en-GB"/>
              </w:rPr>
            </w:pPr>
            <w:r w:rsidRPr="00F66B2E">
              <w:rPr>
                <w:rFonts w:eastAsia="Times New Roman"/>
                <w:color w:val="000000"/>
                <w:sz w:val="20"/>
                <w:szCs w:val="20"/>
                <w:lang w:eastAsia="en-GB"/>
              </w:rPr>
              <w:t>Dissatisfied with working hours</w:t>
            </w:r>
          </w:p>
        </w:tc>
        <w:tc>
          <w:tcPr>
            <w:tcW w:w="325" w:type="dxa"/>
            <w:tcBorders>
              <w:top w:val="nil"/>
              <w:left w:val="nil"/>
              <w:bottom w:val="nil"/>
              <w:right w:val="nil"/>
            </w:tcBorders>
            <w:shd w:val="clear" w:color="auto" w:fill="auto"/>
            <w:hideMark/>
          </w:tcPr>
          <w:p w:rsidR="00CF1D39" w:rsidRPr="00F66B2E" w:rsidRDefault="00CF1D39" w:rsidP="005813D6">
            <w:pPr>
              <w:widowControl w:val="0"/>
              <w:spacing w:line="240" w:lineRule="auto"/>
              <w:rPr>
                <w:rFonts w:eastAsia="Times New Roman"/>
                <w:color w:val="000000"/>
                <w:sz w:val="20"/>
                <w:szCs w:val="20"/>
                <w:lang w:eastAsia="en-GB"/>
              </w:rPr>
            </w:pPr>
          </w:p>
        </w:tc>
        <w:tc>
          <w:tcPr>
            <w:tcW w:w="1044"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sidRPr="00F66B2E">
              <w:rPr>
                <w:rFonts w:eastAsia="Times New Roman"/>
                <w:color w:val="000000"/>
                <w:sz w:val="20"/>
                <w:szCs w:val="20"/>
                <w:lang w:eastAsia="en-GB"/>
              </w:rPr>
              <w:t>161</w:t>
            </w:r>
          </w:p>
        </w:tc>
        <w:tc>
          <w:tcPr>
            <w:tcW w:w="919"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1.13</w:t>
            </w:r>
          </w:p>
        </w:tc>
        <w:tc>
          <w:tcPr>
            <w:tcW w:w="1358"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rPr>
                <w:rFonts w:eastAsia="Times New Roman"/>
                <w:color w:val="000000"/>
                <w:sz w:val="20"/>
                <w:szCs w:val="20"/>
                <w:lang w:eastAsia="en-GB"/>
              </w:rPr>
            </w:pPr>
            <w:r>
              <w:rPr>
                <w:rFonts w:eastAsia="Times New Roman"/>
                <w:color w:val="000000"/>
                <w:sz w:val="20"/>
                <w:szCs w:val="20"/>
                <w:lang w:eastAsia="en-GB"/>
              </w:rPr>
              <w:t>(0.90,1.42)</w:t>
            </w:r>
          </w:p>
        </w:tc>
        <w:tc>
          <w:tcPr>
            <w:tcW w:w="1064"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sidRPr="00F66B2E">
              <w:rPr>
                <w:rFonts w:eastAsia="Times New Roman"/>
                <w:color w:val="000000"/>
                <w:sz w:val="20"/>
                <w:szCs w:val="20"/>
                <w:lang w:eastAsia="en-GB"/>
              </w:rPr>
              <w:t>264</w:t>
            </w:r>
          </w:p>
        </w:tc>
        <w:tc>
          <w:tcPr>
            <w:tcW w:w="898"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1.92</w:t>
            </w:r>
          </w:p>
        </w:tc>
        <w:tc>
          <w:tcPr>
            <w:tcW w:w="1380"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rPr>
                <w:rFonts w:eastAsia="Times New Roman"/>
                <w:color w:val="000000"/>
                <w:sz w:val="20"/>
                <w:szCs w:val="20"/>
                <w:lang w:eastAsia="en-GB"/>
              </w:rPr>
            </w:pPr>
            <w:r>
              <w:rPr>
                <w:rFonts w:eastAsia="Times New Roman"/>
                <w:color w:val="000000"/>
                <w:sz w:val="20"/>
                <w:szCs w:val="20"/>
                <w:lang w:eastAsia="en-GB"/>
              </w:rPr>
              <w:t>(1.56,2.36)</w:t>
            </w:r>
          </w:p>
        </w:tc>
        <w:tc>
          <w:tcPr>
            <w:tcW w:w="989"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sidRPr="00F66B2E">
              <w:rPr>
                <w:rFonts w:eastAsia="Times New Roman"/>
                <w:color w:val="000000"/>
                <w:sz w:val="20"/>
                <w:szCs w:val="20"/>
                <w:lang w:eastAsia="en-GB"/>
              </w:rPr>
              <w:t>59</w:t>
            </w:r>
          </w:p>
        </w:tc>
        <w:tc>
          <w:tcPr>
            <w:tcW w:w="1045"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1.78</w:t>
            </w:r>
          </w:p>
        </w:tc>
        <w:tc>
          <w:tcPr>
            <w:tcW w:w="1337"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rPr>
                <w:rFonts w:eastAsia="Times New Roman"/>
                <w:color w:val="000000"/>
                <w:sz w:val="20"/>
                <w:szCs w:val="20"/>
                <w:lang w:eastAsia="en-GB"/>
              </w:rPr>
            </w:pPr>
            <w:r>
              <w:rPr>
                <w:rFonts w:eastAsia="Times New Roman"/>
                <w:color w:val="000000"/>
                <w:sz w:val="20"/>
                <w:szCs w:val="20"/>
                <w:lang w:eastAsia="en-GB"/>
              </w:rPr>
              <w:t>(1.24,2.56)</w:t>
            </w:r>
          </w:p>
        </w:tc>
      </w:tr>
      <w:tr w:rsidR="00CF1D39" w:rsidRPr="004513E3" w:rsidTr="005813D6">
        <w:trPr>
          <w:trHeight w:val="567"/>
        </w:trPr>
        <w:tc>
          <w:tcPr>
            <w:tcW w:w="3119"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ind w:left="333" w:hanging="142"/>
              <w:rPr>
                <w:rFonts w:eastAsia="Times New Roman"/>
                <w:color w:val="000000"/>
                <w:sz w:val="20"/>
                <w:szCs w:val="20"/>
                <w:lang w:eastAsia="en-GB"/>
              </w:rPr>
            </w:pPr>
            <w:r w:rsidRPr="00F66B2E">
              <w:rPr>
                <w:rFonts w:eastAsia="Times New Roman"/>
                <w:color w:val="000000"/>
                <w:sz w:val="20"/>
                <w:szCs w:val="20"/>
                <w:lang w:eastAsia="en-GB"/>
              </w:rPr>
              <w:t>Dissatisfied with pay</w:t>
            </w:r>
          </w:p>
        </w:tc>
        <w:tc>
          <w:tcPr>
            <w:tcW w:w="325" w:type="dxa"/>
            <w:tcBorders>
              <w:top w:val="nil"/>
              <w:left w:val="nil"/>
              <w:bottom w:val="nil"/>
              <w:right w:val="nil"/>
            </w:tcBorders>
            <w:shd w:val="clear" w:color="auto" w:fill="auto"/>
            <w:hideMark/>
          </w:tcPr>
          <w:p w:rsidR="00CF1D39" w:rsidRPr="00F66B2E" w:rsidRDefault="00CF1D39" w:rsidP="005813D6">
            <w:pPr>
              <w:widowControl w:val="0"/>
              <w:spacing w:line="240" w:lineRule="auto"/>
              <w:rPr>
                <w:rFonts w:eastAsia="Times New Roman"/>
                <w:color w:val="000000"/>
                <w:sz w:val="20"/>
                <w:szCs w:val="20"/>
                <w:lang w:eastAsia="en-GB"/>
              </w:rPr>
            </w:pPr>
          </w:p>
        </w:tc>
        <w:tc>
          <w:tcPr>
            <w:tcW w:w="1044"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sidRPr="00F66B2E">
              <w:rPr>
                <w:rFonts w:eastAsia="Times New Roman"/>
                <w:color w:val="000000"/>
                <w:sz w:val="20"/>
                <w:szCs w:val="20"/>
                <w:lang w:eastAsia="en-GB"/>
              </w:rPr>
              <w:t>352</w:t>
            </w:r>
          </w:p>
        </w:tc>
        <w:tc>
          <w:tcPr>
            <w:tcW w:w="919"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1.71</w:t>
            </w:r>
          </w:p>
        </w:tc>
        <w:tc>
          <w:tcPr>
            <w:tcW w:w="1358"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rPr>
                <w:rFonts w:eastAsia="Times New Roman"/>
                <w:color w:val="000000"/>
                <w:sz w:val="20"/>
                <w:szCs w:val="20"/>
                <w:lang w:eastAsia="en-GB"/>
              </w:rPr>
            </w:pPr>
            <w:r>
              <w:rPr>
                <w:rFonts w:eastAsia="Times New Roman"/>
                <w:color w:val="000000"/>
                <w:sz w:val="20"/>
                <w:szCs w:val="20"/>
                <w:lang w:eastAsia="en-GB"/>
              </w:rPr>
              <w:t>(1.44,2.03)</w:t>
            </w:r>
          </w:p>
        </w:tc>
        <w:tc>
          <w:tcPr>
            <w:tcW w:w="1064"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sidRPr="00F66B2E">
              <w:rPr>
                <w:rFonts w:eastAsia="Times New Roman"/>
                <w:color w:val="000000"/>
                <w:sz w:val="20"/>
                <w:szCs w:val="20"/>
                <w:lang w:eastAsia="en-GB"/>
              </w:rPr>
              <w:t>463</w:t>
            </w:r>
          </w:p>
        </w:tc>
        <w:tc>
          <w:tcPr>
            <w:tcW w:w="898"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1.59</w:t>
            </w:r>
          </w:p>
        </w:tc>
        <w:tc>
          <w:tcPr>
            <w:tcW w:w="1380"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rPr>
                <w:rFonts w:eastAsia="Times New Roman"/>
                <w:color w:val="000000"/>
                <w:sz w:val="20"/>
                <w:szCs w:val="20"/>
                <w:lang w:eastAsia="en-GB"/>
              </w:rPr>
            </w:pPr>
            <w:r>
              <w:rPr>
                <w:rFonts w:eastAsia="Times New Roman"/>
                <w:color w:val="000000"/>
                <w:sz w:val="20"/>
                <w:szCs w:val="20"/>
                <w:lang w:eastAsia="en-GB"/>
              </w:rPr>
              <w:t>(1.35,1.87)</w:t>
            </w:r>
          </w:p>
        </w:tc>
        <w:tc>
          <w:tcPr>
            <w:tcW w:w="989"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sidRPr="00F66B2E">
              <w:rPr>
                <w:rFonts w:eastAsia="Times New Roman"/>
                <w:color w:val="000000"/>
                <w:sz w:val="20"/>
                <w:szCs w:val="20"/>
                <w:lang w:eastAsia="en-GB"/>
              </w:rPr>
              <w:t>95</w:t>
            </w:r>
          </w:p>
        </w:tc>
        <w:tc>
          <w:tcPr>
            <w:tcW w:w="1045"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1.31</w:t>
            </w:r>
          </w:p>
        </w:tc>
        <w:tc>
          <w:tcPr>
            <w:tcW w:w="1337"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rPr>
                <w:rFonts w:eastAsia="Times New Roman"/>
                <w:color w:val="000000"/>
                <w:sz w:val="20"/>
                <w:szCs w:val="20"/>
                <w:lang w:eastAsia="en-GB"/>
              </w:rPr>
            </w:pPr>
            <w:r>
              <w:rPr>
                <w:rFonts w:eastAsia="Times New Roman"/>
                <w:color w:val="000000"/>
                <w:sz w:val="20"/>
                <w:szCs w:val="20"/>
                <w:lang w:eastAsia="en-GB"/>
              </w:rPr>
              <w:t>(0.95,1.81)</w:t>
            </w:r>
          </w:p>
        </w:tc>
      </w:tr>
      <w:tr w:rsidR="00CF1D39" w:rsidRPr="004513E3" w:rsidTr="005813D6">
        <w:trPr>
          <w:trHeight w:val="567"/>
        </w:trPr>
        <w:tc>
          <w:tcPr>
            <w:tcW w:w="3119"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ind w:left="333" w:hanging="142"/>
              <w:rPr>
                <w:rFonts w:eastAsia="Times New Roman"/>
                <w:color w:val="000000"/>
                <w:sz w:val="20"/>
                <w:szCs w:val="20"/>
                <w:lang w:eastAsia="en-GB"/>
              </w:rPr>
            </w:pPr>
            <w:r w:rsidRPr="00F66B2E">
              <w:rPr>
                <w:rFonts w:eastAsia="Times New Roman"/>
                <w:color w:val="000000"/>
                <w:sz w:val="20"/>
                <w:szCs w:val="20"/>
                <w:lang w:eastAsia="en-GB"/>
              </w:rPr>
              <w:t>Rarely/never appreciated and/or sense of achievement</w:t>
            </w:r>
          </w:p>
        </w:tc>
        <w:tc>
          <w:tcPr>
            <w:tcW w:w="325" w:type="dxa"/>
            <w:tcBorders>
              <w:top w:val="nil"/>
              <w:left w:val="nil"/>
              <w:bottom w:val="nil"/>
              <w:right w:val="nil"/>
            </w:tcBorders>
            <w:shd w:val="clear" w:color="auto" w:fill="auto"/>
            <w:hideMark/>
          </w:tcPr>
          <w:p w:rsidR="00CF1D39" w:rsidRPr="00F66B2E" w:rsidRDefault="00CF1D39" w:rsidP="005813D6">
            <w:pPr>
              <w:widowControl w:val="0"/>
              <w:spacing w:line="240" w:lineRule="auto"/>
              <w:rPr>
                <w:rFonts w:eastAsia="Times New Roman"/>
                <w:color w:val="000000"/>
                <w:sz w:val="20"/>
                <w:szCs w:val="20"/>
                <w:lang w:eastAsia="en-GB"/>
              </w:rPr>
            </w:pPr>
          </w:p>
        </w:tc>
        <w:tc>
          <w:tcPr>
            <w:tcW w:w="1044"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sidRPr="00F66B2E">
              <w:rPr>
                <w:rFonts w:eastAsia="Times New Roman"/>
                <w:color w:val="000000"/>
                <w:sz w:val="20"/>
                <w:szCs w:val="20"/>
                <w:lang w:eastAsia="en-GB"/>
              </w:rPr>
              <w:t>225</w:t>
            </w:r>
          </w:p>
        </w:tc>
        <w:tc>
          <w:tcPr>
            <w:tcW w:w="919"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1.47</w:t>
            </w:r>
          </w:p>
        </w:tc>
        <w:tc>
          <w:tcPr>
            <w:tcW w:w="1358"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rPr>
                <w:rFonts w:eastAsia="Times New Roman"/>
                <w:color w:val="000000"/>
                <w:sz w:val="20"/>
                <w:szCs w:val="20"/>
                <w:lang w:eastAsia="en-GB"/>
              </w:rPr>
            </w:pPr>
            <w:r>
              <w:rPr>
                <w:rFonts w:eastAsia="Times New Roman"/>
                <w:color w:val="000000"/>
                <w:sz w:val="20"/>
                <w:szCs w:val="20"/>
                <w:lang w:eastAsia="en-GB"/>
              </w:rPr>
              <w:t>(1.19,1.81)</w:t>
            </w:r>
          </w:p>
        </w:tc>
        <w:tc>
          <w:tcPr>
            <w:tcW w:w="1064"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sidRPr="00F66B2E">
              <w:rPr>
                <w:rFonts w:eastAsia="Times New Roman"/>
                <w:color w:val="000000"/>
                <w:sz w:val="20"/>
                <w:szCs w:val="20"/>
                <w:lang w:eastAsia="en-GB"/>
              </w:rPr>
              <w:t>337</w:t>
            </w:r>
          </w:p>
        </w:tc>
        <w:tc>
          <w:tcPr>
            <w:tcW w:w="898"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1.99</w:t>
            </w:r>
          </w:p>
        </w:tc>
        <w:tc>
          <w:tcPr>
            <w:tcW w:w="1380"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rPr>
                <w:rFonts w:eastAsia="Times New Roman"/>
                <w:color w:val="000000"/>
                <w:sz w:val="20"/>
                <w:szCs w:val="20"/>
                <w:lang w:eastAsia="en-GB"/>
              </w:rPr>
            </w:pPr>
            <w:r>
              <w:rPr>
                <w:rFonts w:eastAsia="Times New Roman"/>
                <w:color w:val="000000"/>
                <w:sz w:val="20"/>
                <w:szCs w:val="20"/>
                <w:lang w:eastAsia="en-GB"/>
              </w:rPr>
              <w:t>(1.64,2.42)</w:t>
            </w:r>
          </w:p>
        </w:tc>
        <w:tc>
          <w:tcPr>
            <w:tcW w:w="989"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sidRPr="00F66B2E">
              <w:rPr>
                <w:rFonts w:eastAsia="Times New Roman"/>
                <w:color w:val="000000"/>
                <w:sz w:val="20"/>
                <w:szCs w:val="20"/>
                <w:lang w:eastAsia="en-GB"/>
              </w:rPr>
              <w:t>95</w:t>
            </w:r>
          </w:p>
        </w:tc>
        <w:tc>
          <w:tcPr>
            <w:tcW w:w="1045"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3.18</w:t>
            </w:r>
          </w:p>
        </w:tc>
        <w:tc>
          <w:tcPr>
            <w:tcW w:w="1337"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rPr>
                <w:rFonts w:eastAsia="Times New Roman"/>
                <w:color w:val="000000"/>
                <w:sz w:val="20"/>
                <w:szCs w:val="20"/>
                <w:lang w:eastAsia="en-GB"/>
              </w:rPr>
            </w:pPr>
            <w:r>
              <w:rPr>
                <w:rFonts w:eastAsia="Times New Roman"/>
                <w:color w:val="000000"/>
                <w:sz w:val="20"/>
                <w:szCs w:val="20"/>
                <w:lang w:eastAsia="en-GB"/>
              </w:rPr>
              <w:t>(2.25,4.49)</w:t>
            </w:r>
          </w:p>
        </w:tc>
      </w:tr>
      <w:tr w:rsidR="00CF1D39" w:rsidRPr="004513E3" w:rsidTr="005813D6">
        <w:trPr>
          <w:trHeight w:val="567"/>
        </w:trPr>
        <w:tc>
          <w:tcPr>
            <w:tcW w:w="3119"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ind w:left="333" w:hanging="142"/>
              <w:rPr>
                <w:rFonts w:eastAsia="Times New Roman"/>
                <w:color w:val="000000"/>
                <w:sz w:val="20"/>
                <w:szCs w:val="20"/>
                <w:lang w:eastAsia="en-GB"/>
              </w:rPr>
            </w:pPr>
            <w:r w:rsidRPr="00F66B2E">
              <w:rPr>
                <w:rFonts w:eastAsia="Times New Roman"/>
                <w:color w:val="000000"/>
                <w:sz w:val="20"/>
                <w:szCs w:val="20"/>
                <w:lang w:eastAsia="en-GB"/>
              </w:rPr>
              <w:t>Rarely/never support when in difficulty</w:t>
            </w:r>
          </w:p>
        </w:tc>
        <w:tc>
          <w:tcPr>
            <w:tcW w:w="325" w:type="dxa"/>
            <w:tcBorders>
              <w:top w:val="nil"/>
              <w:left w:val="nil"/>
              <w:bottom w:val="nil"/>
              <w:right w:val="nil"/>
            </w:tcBorders>
            <w:shd w:val="clear" w:color="auto" w:fill="auto"/>
            <w:hideMark/>
          </w:tcPr>
          <w:p w:rsidR="00CF1D39" w:rsidRPr="00F66B2E" w:rsidRDefault="00CF1D39" w:rsidP="005813D6">
            <w:pPr>
              <w:widowControl w:val="0"/>
              <w:spacing w:line="240" w:lineRule="auto"/>
              <w:rPr>
                <w:rFonts w:eastAsia="Times New Roman"/>
                <w:color w:val="000000"/>
                <w:sz w:val="20"/>
                <w:szCs w:val="20"/>
                <w:lang w:eastAsia="en-GB"/>
              </w:rPr>
            </w:pPr>
          </w:p>
        </w:tc>
        <w:tc>
          <w:tcPr>
            <w:tcW w:w="1044"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sidRPr="00F66B2E">
              <w:rPr>
                <w:rFonts w:eastAsia="Times New Roman"/>
                <w:color w:val="000000"/>
                <w:sz w:val="20"/>
                <w:szCs w:val="20"/>
                <w:lang w:eastAsia="en-GB"/>
              </w:rPr>
              <w:t>139</w:t>
            </w:r>
          </w:p>
        </w:tc>
        <w:tc>
          <w:tcPr>
            <w:tcW w:w="919"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0.94</w:t>
            </w:r>
          </w:p>
        </w:tc>
        <w:tc>
          <w:tcPr>
            <w:tcW w:w="1358"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rPr>
                <w:rFonts w:eastAsia="Times New Roman"/>
                <w:color w:val="000000"/>
                <w:sz w:val="20"/>
                <w:szCs w:val="20"/>
                <w:lang w:eastAsia="en-GB"/>
              </w:rPr>
            </w:pPr>
            <w:r>
              <w:rPr>
                <w:rFonts w:eastAsia="Times New Roman"/>
                <w:color w:val="000000"/>
                <w:sz w:val="20"/>
                <w:szCs w:val="20"/>
                <w:lang w:eastAsia="en-GB"/>
              </w:rPr>
              <w:t>(0.75,1.18)</w:t>
            </w:r>
          </w:p>
        </w:tc>
        <w:tc>
          <w:tcPr>
            <w:tcW w:w="1064"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sidRPr="00F66B2E">
              <w:rPr>
                <w:rFonts w:eastAsia="Times New Roman"/>
                <w:color w:val="000000"/>
                <w:sz w:val="20"/>
                <w:szCs w:val="20"/>
                <w:lang w:eastAsia="en-GB"/>
              </w:rPr>
              <w:t>212</w:t>
            </w:r>
          </w:p>
        </w:tc>
        <w:tc>
          <w:tcPr>
            <w:tcW w:w="898"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1.20</w:t>
            </w:r>
          </w:p>
        </w:tc>
        <w:tc>
          <w:tcPr>
            <w:tcW w:w="1380"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rPr>
                <w:rFonts w:eastAsia="Times New Roman"/>
                <w:color w:val="000000"/>
                <w:sz w:val="20"/>
                <w:szCs w:val="20"/>
                <w:lang w:eastAsia="en-GB"/>
              </w:rPr>
            </w:pPr>
            <w:r>
              <w:rPr>
                <w:rFonts w:eastAsia="Times New Roman"/>
                <w:color w:val="000000"/>
                <w:sz w:val="20"/>
                <w:szCs w:val="20"/>
                <w:lang w:eastAsia="en-GB"/>
              </w:rPr>
              <w:t>(0.97,1.48)</w:t>
            </w:r>
          </w:p>
        </w:tc>
        <w:tc>
          <w:tcPr>
            <w:tcW w:w="989"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sidRPr="00F66B2E">
              <w:rPr>
                <w:rFonts w:eastAsia="Times New Roman"/>
                <w:color w:val="000000"/>
                <w:sz w:val="20"/>
                <w:szCs w:val="20"/>
                <w:lang w:eastAsia="en-GB"/>
              </w:rPr>
              <w:t>49</w:t>
            </w:r>
          </w:p>
        </w:tc>
        <w:tc>
          <w:tcPr>
            <w:tcW w:w="1045"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1.22</w:t>
            </w:r>
          </w:p>
        </w:tc>
        <w:tc>
          <w:tcPr>
            <w:tcW w:w="1337"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rPr>
                <w:rFonts w:eastAsia="Times New Roman"/>
                <w:color w:val="000000"/>
                <w:sz w:val="20"/>
                <w:szCs w:val="20"/>
                <w:lang w:eastAsia="en-GB"/>
              </w:rPr>
            </w:pPr>
            <w:r>
              <w:rPr>
                <w:rFonts w:eastAsia="Times New Roman"/>
                <w:color w:val="000000"/>
                <w:sz w:val="20"/>
                <w:szCs w:val="20"/>
                <w:lang w:eastAsia="en-GB"/>
              </w:rPr>
              <w:t>(0.84,1.78)</w:t>
            </w:r>
          </w:p>
        </w:tc>
      </w:tr>
      <w:tr w:rsidR="00CF1D39" w:rsidRPr="004513E3" w:rsidTr="005813D6">
        <w:trPr>
          <w:trHeight w:val="567"/>
        </w:trPr>
        <w:tc>
          <w:tcPr>
            <w:tcW w:w="3119"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ind w:left="333" w:hanging="142"/>
              <w:rPr>
                <w:rFonts w:eastAsia="Times New Roman"/>
                <w:color w:val="000000"/>
                <w:sz w:val="20"/>
                <w:szCs w:val="20"/>
                <w:lang w:eastAsia="en-GB"/>
              </w:rPr>
            </w:pPr>
            <w:r w:rsidRPr="00F66B2E">
              <w:rPr>
                <w:rFonts w:eastAsia="Times New Roman"/>
                <w:color w:val="000000"/>
                <w:sz w:val="20"/>
                <w:szCs w:val="20"/>
                <w:lang w:eastAsia="en-GB"/>
              </w:rPr>
              <w:t xml:space="preserve">Rarely/never have choice in activities </w:t>
            </w:r>
          </w:p>
        </w:tc>
        <w:tc>
          <w:tcPr>
            <w:tcW w:w="325" w:type="dxa"/>
            <w:tcBorders>
              <w:top w:val="nil"/>
              <w:left w:val="nil"/>
              <w:bottom w:val="nil"/>
              <w:right w:val="nil"/>
            </w:tcBorders>
            <w:shd w:val="clear" w:color="auto" w:fill="auto"/>
            <w:hideMark/>
          </w:tcPr>
          <w:p w:rsidR="00CF1D39" w:rsidRPr="00F66B2E" w:rsidRDefault="00CF1D39" w:rsidP="005813D6">
            <w:pPr>
              <w:widowControl w:val="0"/>
              <w:spacing w:line="240" w:lineRule="auto"/>
              <w:rPr>
                <w:rFonts w:eastAsia="Times New Roman"/>
                <w:color w:val="000000"/>
                <w:sz w:val="20"/>
                <w:szCs w:val="20"/>
                <w:lang w:eastAsia="en-GB"/>
              </w:rPr>
            </w:pPr>
          </w:p>
        </w:tc>
        <w:tc>
          <w:tcPr>
            <w:tcW w:w="1044"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sidRPr="00F66B2E">
              <w:rPr>
                <w:rFonts w:eastAsia="Times New Roman"/>
                <w:color w:val="000000"/>
                <w:sz w:val="20"/>
                <w:szCs w:val="20"/>
                <w:lang w:eastAsia="en-GB"/>
              </w:rPr>
              <w:t>275</w:t>
            </w:r>
          </w:p>
        </w:tc>
        <w:tc>
          <w:tcPr>
            <w:tcW w:w="919"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1.28</w:t>
            </w:r>
          </w:p>
        </w:tc>
        <w:tc>
          <w:tcPr>
            <w:tcW w:w="1358"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rPr>
                <w:rFonts w:eastAsia="Times New Roman"/>
                <w:color w:val="000000"/>
                <w:sz w:val="20"/>
                <w:szCs w:val="20"/>
                <w:lang w:eastAsia="en-GB"/>
              </w:rPr>
            </w:pPr>
            <w:r>
              <w:rPr>
                <w:rFonts w:eastAsia="Times New Roman"/>
                <w:color w:val="000000"/>
                <w:sz w:val="20"/>
                <w:szCs w:val="20"/>
                <w:lang w:eastAsia="en-GB"/>
              </w:rPr>
              <w:t>(1.07,1.54)</w:t>
            </w:r>
          </w:p>
        </w:tc>
        <w:tc>
          <w:tcPr>
            <w:tcW w:w="1064"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sidRPr="00F66B2E">
              <w:rPr>
                <w:rFonts w:eastAsia="Times New Roman"/>
                <w:color w:val="000000"/>
                <w:sz w:val="20"/>
                <w:szCs w:val="20"/>
                <w:lang w:eastAsia="en-GB"/>
              </w:rPr>
              <w:t>359</w:t>
            </w:r>
          </w:p>
        </w:tc>
        <w:tc>
          <w:tcPr>
            <w:tcW w:w="898"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1.12</w:t>
            </w:r>
          </w:p>
        </w:tc>
        <w:tc>
          <w:tcPr>
            <w:tcW w:w="1380"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rPr>
                <w:rFonts w:eastAsia="Times New Roman"/>
                <w:color w:val="000000"/>
                <w:sz w:val="20"/>
                <w:szCs w:val="20"/>
                <w:lang w:eastAsia="en-GB"/>
              </w:rPr>
            </w:pPr>
            <w:r>
              <w:rPr>
                <w:rFonts w:eastAsia="Times New Roman"/>
                <w:color w:val="000000"/>
                <w:sz w:val="20"/>
                <w:szCs w:val="20"/>
                <w:lang w:eastAsia="en-GB"/>
              </w:rPr>
              <w:t>(0.95,1.33)</w:t>
            </w:r>
          </w:p>
        </w:tc>
        <w:tc>
          <w:tcPr>
            <w:tcW w:w="989"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sidRPr="00F66B2E">
              <w:rPr>
                <w:rFonts w:eastAsia="Times New Roman"/>
                <w:color w:val="000000"/>
                <w:sz w:val="20"/>
                <w:szCs w:val="20"/>
                <w:lang w:eastAsia="en-GB"/>
              </w:rPr>
              <w:t>68</w:t>
            </w:r>
          </w:p>
        </w:tc>
        <w:tc>
          <w:tcPr>
            <w:tcW w:w="1045"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0.93</w:t>
            </w:r>
          </w:p>
        </w:tc>
        <w:tc>
          <w:tcPr>
            <w:tcW w:w="1337"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rPr>
                <w:rFonts w:eastAsia="Times New Roman"/>
                <w:color w:val="000000"/>
                <w:sz w:val="20"/>
                <w:szCs w:val="20"/>
                <w:lang w:eastAsia="en-GB"/>
              </w:rPr>
            </w:pPr>
            <w:r>
              <w:rPr>
                <w:rFonts w:eastAsia="Times New Roman"/>
                <w:color w:val="000000"/>
                <w:sz w:val="20"/>
                <w:szCs w:val="20"/>
                <w:lang w:eastAsia="en-GB"/>
              </w:rPr>
              <w:t>(0.66,1.29)</w:t>
            </w:r>
          </w:p>
        </w:tc>
      </w:tr>
      <w:tr w:rsidR="00CF1D39" w:rsidRPr="004513E3" w:rsidTr="005813D6">
        <w:trPr>
          <w:trHeight w:val="567"/>
        </w:trPr>
        <w:tc>
          <w:tcPr>
            <w:tcW w:w="3119"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ind w:left="333" w:hanging="142"/>
              <w:rPr>
                <w:rFonts w:eastAsia="Times New Roman"/>
                <w:color w:val="000000"/>
                <w:sz w:val="20"/>
                <w:szCs w:val="20"/>
                <w:lang w:eastAsia="en-GB"/>
              </w:rPr>
            </w:pPr>
            <w:r w:rsidRPr="00F66B2E">
              <w:rPr>
                <w:rFonts w:eastAsia="Times New Roman"/>
                <w:color w:val="000000"/>
                <w:sz w:val="20"/>
                <w:szCs w:val="20"/>
                <w:lang w:eastAsia="en-GB"/>
              </w:rPr>
              <w:t>One or more colleagues difficult and/or often criticised unfairly</w:t>
            </w:r>
          </w:p>
        </w:tc>
        <w:tc>
          <w:tcPr>
            <w:tcW w:w="325" w:type="dxa"/>
            <w:tcBorders>
              <w:top w:val="nil"/>
              <w:left w:val="nil"/>
              <w:bottom w:val="nil"/>
              <w:right w:val="nil"/>
            </w:tcBorders>
            <w:shd w:val="clear" w:color="auto" w:fill="auto"/>
            <w:hideMark/>
          </w:tcPr>
          <w:p w:rsidR="00CF1D39" w:rsidRPr="00F66B2E" w:rsidRDefault="00CF1D39" w:rsidP="005813D6">
            <w:pPr>
              <w:widowControl w:val="0"/>
              <w:spacing w:line="240" w:lineRule="auto"/>
              <w:rPr>
                <w:rFonts w:eastAsia="Times New Roman"/>
                <w:color w:val="000000"/>
                <w:sz w:val="20"/>
                <w:szCs w:val="20"/>
                <w:lang w:eastAsia="en-GB"/>
              </w:rPr>
            </w:pPr>
          </w:p>
        </w:tc>
        <w:tc>
          <w:tcPr>
            <w:tcW w:w="1044"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sidRPr="00F66B2E">
              <w:rPr>
                <w:rFonts w:eastAsia="Times New Roman"/>
                <w:color w:val="000000"/>
                <w:sz w:val="20"/>
                <w:szCs w:val="20"/>
                <w:lang w:eastAsia="en-GB"/>
              </w:rPr>
              <w:t>425</w:t>
            </w:r>
          </w:p>
        </w:tc>
        <w:tc>
          <w:tcPr>
            <w:tcW w:w="919"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1.53</w:t>
            </w:r>
          </w:p>
        </w:tc>
        <w:tc>
          <w:tcPr>
            <w:tcW w:w="1358"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rPr>
                <w:rFonts w:eastAsia="Times New Roman"/>
                <w:color w:val="000000"/>
                <w:sz w:val="20"/>
                <w:szCs w:val="20"/>
                <w:lang w:eastAsia="en-GB"/>
              </w:rPr>
            </w:pPr>
            <w:r>
              <w:rPr>
                <w:rFonts w:eastAsia="Times New Roman"/>
                <w:color w:val="000000"/>
                <w:sz w:val="20"/>
                <w:szCs w:val="20"/>
                <w:lang w:eastAsia="en-GB"/>
              </w:rPr>
              <w:t>(1.31,1.79)</w:t>
            </w:r>
          </w:p>
        </w:tc>
        <w:tc>
          <w:tcPr>
            <w:tcW w:w="1064"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sidRPr="00F66B2E">
              <w:rPr>
                <w:rFonts w:eastAsia="Times New Roman"/>
                <w:color w:val="000000"/>
                <w:sz w:val="20"/>
                <w:szCs w:val="20"/>
                <w:lang w:eastAsia="en-GB"/>
              </w:rPr>
              <w:t>607</w:t>
            </w:r>
          </w:p>
        </w:tc>
        <w:tc>
          <w:tcPr>
            <w:tcW w:w="898"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1.74</w:t>
            </w:r>
          </w:p>
        </w:tc>
        <w:tc>
          <w:tcPr>
            <w:tcW w:w="1380"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rPr>
                <w:rFonts w:eastAsia="Times New Roman"/>
                <w:color w:val="000000"/>
                <w:sz w:val="20"/>
                <w:szCs w:val="20"/>
                <w:lang w:eastAsia="en-GB"/>
              </w:rPr>
            </w:pPr>
            <w:r>
              <w:rPr>
                <w:rFonts w:eastAsia="Times New Roman"/>
                <w:color w:val="000000"/>
                <w:sz w:val="20"/>
                <w:szCs w:val="20"/>
                <w:lang w:eastAsia="en-GB"/>
              </w:rPr>
              <w:t>(1.51,2.01)</w:t>
            </w:r>
          </w:p>
        </w:tc>
        <w:tc>
          <w:tcPr>
            <w:tcW w:w="989"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sidRPr="00F66B2E">
              <w:rPr>
                <w:rFonts w:eastAsia="Times New Roman"/>
                <w:color w:val="000000"/>
                <w:sz w:val="20"/>
                <w:szCs w:val="20"/>
                <w:lang w:eastAsia="en-GB"/>
              </w:rPr>
              <w:t>118</w:t>
            </w:r>
          </w:p>
        </w:tc>
        <w:tc>
          <w:tcPr>
            <w:tcW w:w="1045"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1.63</w:t>
            </w:r>
          </w:p>
        </w:tc>
        <w:tc>
          <w:tcPr>
            <w:tcW w:w="1337" w:type="dxa"/>
            <w:tcBorders>
              <w:top w:val="nil"/>
              <w:left w:val="nil"/>
              <w:bottom w:val="nil"/>
              <w:right w:val="nil"/>
            </w:tcBorders>
            <w:shd w:val="clear" w:color="auto" w:fill="auto"/>
            <w:vAlign w:val="center"/>
            <w:hideMark/>
          </w:tcPr>
          <w:p w:rsidR="00CF1D39" w:rsidRPr="00F66B2E" w:rsidRDefault="00CF1D39" w:rsidP="005813D6">
            <w:pPr>
              <w:widowControl w:val="0"/>
              <w:spacing w:line="240" w:lineRule="auto"/>
              <w:rPr>
                <w:rFonts w:eastAsia="Times New Roman"/>
                <w:color w:val="000000"/>
                <w:sz w:val="20"/>
                <w:szCs w:val="20"/>
                <w:lang w:eastAsia="en-GB"/>
              </w:rPr>
            </w:pPr>
            <w:r>
              <w:rPr>
                <w:rFonts w:eastAsia="Times New Roman"/>
                <w:color w:val="000000"/>
                <w:sz w:val="20"/>
                <w:szCs w:val="20"/>
                <w:lang w:eastAsia="en-GB"/>
              </w:rPr>
              <w:t>(1.20,2.21)</w:t>
            </w:r>
          </w:p>
        </w:tc>
      </w:tr>
      <w:tr w:rsidR="00CF1D39" w:rsidRPr="004513E3" w:rsidTr="005813D6">
        <w:trPr>
          <w:trHeight w:val="567"/>
        </w:trPr>
        <w:tc>
          <w:tcPr>
            <w:tcW w:w="3119" w:type="dxa"/>
            <w:tcBorders>
              <w:top w:val="nil"/>
              <w:left w:val="nil"/>
              <w:bottom w:val="single" w:sz="12" w:space="0" w:color="auto"/>
              <w:right w:val="nil"/>
            </w:tcBorders>
            <w:shd w:val="clear" w:color="auto" w:fill="auto"/>
            <w:vAlign w:val="center"/>
            <w:hideMark/>
          </w:tcPr>
          <w:p w:rsidR="00CF1D39" w:rsidRPr="00F66B2E" w:rsidRDefault="00CF1D39" w:rsidP="005813D6">
            <w:pPr>
              <w:widowControl w:val="0"/>
              <w:spacing w:line="240" w:lineRule="auto"/>
              <w:ind w:left="333" w:hanging="142"/>
              <w:rPr>
                <w:rFonts w:eastAsia="Times New Roman"/>
                <w:color w:val="000000"/>
                <w:sz w:val="20"/>
                <w:szCs w:val="20"/>
                <w:lang w:eastAsia="en-GB"/>
              </w:rPr>
            </w:pPr>
            <w:r w:rsidRPr="00F66B2E">
              <w:rPr>
                <w:rFonts w:eastAsia="Times New Roman"/>
                <w:color w:val="000000"/>
                <w:sz w:val="20"/>
                <w:szCs w:val="20"/>
                <w:lang w:eastAsia="en-GB"/>
              </w:rPr>
              <w:t>Job insecure in illness and/or when well</w:t>
            </w:r>
          </w:p>
        </w:tc>
        <w:tc>
          <w:tcPr>
            <w:tcW w:w="325" w:type="dxa"/>
            <w:tcBorders>
              <w:top w:val="nil"/>
              <w:left w:val="nil"/>
              <w:bottom w:val="single" w:sz="12" w:space="0" w:color="auto"/>
              <w:right w:val="nil"/>
            </w:tcBorders>
            <w:shd w:val="clear" w:color="auto" w:fill="auto"/>
            <w:hideMark/>
          </w:tcPr>
          <w:p w:rsidR="00CF1D39" w:rsidRPr="00F66B2E" w:rsidRDefault="00CF1D39" w:rsidP="005813D6">
            <w:pPr>
              <w:widowControl w:val="0"/>
              <w:spacing w:line="240" w:lineRule="auto"/>
              <w:rPr>
                <w:rFonts w:eastAsia="Times New Roman"/>
                <w:color w:val="000000"/>
                <w:sz w:val="20"/>
                <w:szCs w:val="20"/>
                <w:lang w:eastAsia="en-GB"/>
              </w:rPr>
            </w:pPr>
            <w:r w:rsidRPr="00F66B2E">
              <w:rPr>
                <w:rFonts w:eastAsia="Times New Roman"/>
                <w:color w:val="000000"/>
                <w:sz w:val="20"/>
                <w:szCs w:val="20"/>
                <w:lang w:eastAsia="en-GB"/>
              </w:rPr>
              <w:t> </w:t>
            </w:r>
          </w:p>
        </w:tc>
        <w:tc>
          <w:tcPr>
            <w:tcW w:w="1044" w:type="dxa"/>
            <w:tcBorders>
              <w:top w:val="nil"/>
              <w:left w:val="nil"/>
              <w:bottom w:val="single" w:sz="12" w:space="0" w:color="auto"/>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sidRPr="00F66B2E">
              <w:rPr>
                <w:rFonts w:eastAsia="Times New Roman"/>
                <w:color w:val="000000"/>
                <w:sz w:val="20"/>
                <w:szCs w:val="20"/>
                <w:lang w:eastAsia="en-GB"/>
              </w:rPr>
              <w:t>582</w:t>
            </w:r>
          </w:p>
        </w:tc>
        <w:tc>
          <w:tcPr>
            <w:tcW w:w="919" w:type="dxa"/>
            <w:tcBorders>
              <w:top w:val="nil"/>
              <w:left w:val="nil"/>
              <w:bottom w:val="single" w:sz="12" w:space="0" w:color="auto"/>
              <w:right w:val="nil"/>
            </w:tcBorders>
            <w:shd w:val="clear" w:color="auto" w:fill="auto"/>
            <w:vAlign w:val="center"/>
            <w:hideMark/>
          </w:tcPr>
          <w:p w:rsidR="00CF1D39" w:rsidRPr="00F66B2E" w:rsidRDefault="00CF1D39" w:rsidP="005813D6">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1.58</w:t>
            </w:r>
          </w:p>
        </w:tc>
        <w:tc>
          <w:tcPr>
            <w:tcW w:w="1358" w:type="dxa"/>
            <w:tcBorders>
              <w:top w:val="nil"/>
              <w:left w:val="nil"/>
              <w:bottom w:val="single" w:sz="12" w:space="0" w:color="auto"/>
              <w:right w:val="nil"/>
            </w:tcBorders>
            <w:shd w:val="clear" w:color="auto" w:fill="auto"/>
            <w:vAlign w:val="center"/>
            <w:hideMark/>
          </w:tcPr>
          <w:p w:rsidR="00CF1D39" w:rsidRPr="00F66B2E" w:rsidRDefault="00CF1D39" w:rsidP="005813D6">
            <w:pPr>
              <w:widowControl w:val="0"/>
              <w:spacing w:line="240" w:lineRule="auto"/>
              <w:rPr>
                <w:rFonts w:eastAsia="Times New Roman"/>
                <w:color w:val="000000"/>
                <w:sz w:val="20"/>
                <w:szCs w:val="20"/>
                <w:lang w:eastAsia="en-GB"/>
              </w:rPr>
            </w:pPr>
            <w:r>
              <w:rPr>
                <w:rFonts w:eastAsia="Times New Roman"/>
                <w:color w:val="000000"/>
                <w:sz w:val="20"/>
                <w:szCs w:val="20"/>
                <w:lang w:eastAsia="en-GB"/>
              </w:rPr>
              <w:t>(1.35,1.85)</w:t>
            </w:r>
          </w:p>
        </w:tc>
        <w:tc>
          <w:tcPr>
            <w:tcW w:w="1064" w:type="dxa"/>
            <w:tcBorders>
              <w:top w:val="nil"/>
              <w:left w:val="nil"/>
              <w:bottom w:val="single" w:sz="12" w:space="0" w:color="auto"/>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sidRPr="00F66B2E">
              <w:rPr>
                <w:rFonts w:eastAsia="Times New Roman"/>
                <w:color w:val="000000"/>
                <w:sz w:val="20"/>
                <w:szCs w:val="20"/>
                <w:lang w:eastAsia="en-GB"/>
              </w:rPr>
              <w:t>785</w:t>
            </w:r>
          </w:p>
        </w:tc>
        <w:tc>
          <w:tcPr>
            <w:tcW w:w="898" w:type="dxa"/>
            <w:tcBorders>
              <w:top w:val="nil"/>
              <w:left w:val="nil"/>
              <w:bottom w:val="single" w:sz="12" w:space="0" w:color="auto"/>
              <w:right w:val="nil"/>
            </w:tcBorders>
            <w:shd w:val="clear" w:color="auto" w:fill="auto"/>
            <w:vAlign w:val="center"/>
            <w:hideMark/>
          </w:tcPr>
          <w:p w:rsidR="00CF1D39" w:rsidRPr="00F66B2E" w:rsidRDefault="00CF1D39" w:rsidP="005813D6">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1.67</w:t>
            </w:r>
          </w:p>
        </w:tc>
        <w:tc>
          <w:tcPr>
            <w:tcW w:w="1380" w:type="dxa"/>
            <w:tcBorders>
              <w:top w:val="nil"/>
              <w:left w:val="nil"/>
              <w:bottom w:val="single" w:sz="12" w:space="0" w:color="auto"/>
              <w:right w:val="nil"/>
            </w:tcBorders>
            <w:shd w:val="clear" w:color="auto" w:fill="auto"/>
            <w:vAlign w:val="center"/>
            <w:hideMark/>
          </w:tcPr>
          <w:p w:rsidR="00CF1D39" w:rsidRPr="00F66B2E" w:rsidRDefault="00CF1D39" w:rsidP="005813D6">
            <w:pPr>
              <w:widowControl w:val="0"/>
              <w:spacing w:line="240" w:lineRule="auto"/>
              <w:rPr>
                <w:rFonts w:eastAsia="Times New Roman"/>
                <w:color w:val="000000"/>
                <w:sz w:val="20"/>
                <w:szCs w:val="20"/>
                <w:lang w:eastAsia="en-GB"/>
              </w:rPr>
            </w:pPr>
            <w:r>
              <w:rPr>
                <w:rFonts w:eastAsia="Times New Roman"/>
                <w:color w:val="000000"/>
                <w:sz w:val="20"/>
                <w:szCs w:val="20"/>
                <w:lang w:eastAsia="en-GB"/>
              </w:rPr>
              <w:t>(1.44,1.92)</w:t>
            </w:r>
          </w:p>
        </w:tc>
        <w:tc>
          <w:tcPr>
            <w:tcW w:w="989" w:type="dxa"/>
            <w:tcBorders>
              <w:top w:val="nil"/>
              <w:left w:val="nil"/>
              <w:bottom w:val="single" w:sz="12" w:space="0" w:color="auto"/>
              <w:right w:val="nil"/>
            </w:tcBorders>
            <w:shd w:val="clear" w:color="auto" w:fill="auto"/>
            <w:vAlign w:val="center"/>
            <w:hideMark/>
          </w:tcPr>
          <w:p w:rsidR="00CF1D39" w:rsidRPr="00F66B2E" w:rsidRDefault="00CF1D39" w:rsidP="005813D6">
            <w:pPr>
              <w:widowControl w:val="0"/>
              <w:spacing w:line="240" w:lineRule="auto"/>
              <w:jc w:val="center"/>
              <w:rPr>
                <w:rFonts w:eastAsia="Times New Roman"/>
                <w:color w:val="000000"/>
                <w:sz w:val="20"/>
                <w:szCs w:val="20"/>
                <w:lang w:eastAsia="en-GB"/>
              </w:rPr>
            </w:pPr>
            <w:r w:rsidRPr="00F66B2E">
              <w:rPr>
                <w:rFonts w:eastAsia="Times New Roman"/>
                <w:color w:val="000000"/>
                <w:sz w:val="20"/>
                <w:szCs w:val="20"/>
                <w:lang w:eastAsia="en-GB"/>
              </w:rPr>
              <w:t>149</w:t>
            </w:r>
          </w:p>
        </w:tc>
        <w:tc>
          <w:tcPr>
            <w:tcW w:w="1045" w:type="dxa"/>
            <w:tcBorders>
              <w:top w:val="nil"/>
              <w:left w:val="nil"/>
              <w:bottom w:val="single" w:sz="12" w:space="0" w:color="auto"/>
              <w:right w:val="nil"/>
            </w:tcBorders>
            <w:shd w:val="clear" w:color="auto" w:fill="auto"/>
            <w:vAlign w:val="center"/>
            <w:hideMark/>
          </w:tcPr>
          <w:p w:rsidR="00CF1D39" w:rsidRPr="00F66B2E" w:rsidRDefault="00CF1D39" w:rsidP="005813D6">
            <w:pPr>
              <w:widowControl w:val="0"/>
              <w:spacing w:line="240" w:lineRule="auto"/>
              <w:jc w:val="right"/>
              <w:rPr>
                <w:rFonts w:eastAsia="Times New Roman"/>
                <w:color w:val="000000"/>
                <w:sz w:val="20"/>
                <w:szCs w:val="20"/>
                <w:lang w:eastAsia="en-GB"/>
              </w:rPr>
            </w:pPr>
            <w:r>
              <w:rPr>
                <w:rFonts w:eastAsia="Times New Roman"/>
                <w:color w:val="000000"/>
                <w:sz w:val="20"/>
                <w:szCs w:val="20"/>
                <w:lang w:eastAsia="en-GB"/>
              </w:rPr>
              <w:t>1.56</w:t>
            </w:r>
          </w:p>
        </w:tc>
        <w:tc>
          <w:tcPr>
            <w:tcW w:w="1337" w:type="dxa"/>
            <w:tcBorders>
              <w:top w:val="nil"/>
              <w:left w:val="nil"/>
              <w:bottom w:val="single" w:sz="12" w:space="0" w:color="auto"/>
              <w:right w:val="nil"/>
            </w:tcBorders>
            <w:shd w:val="clear" w:color="auto" w:fill="auto"/>
            <w:vAlign w:val="center"/>
            <w:hideMark/>
          </w:tcPr>
          <w:p w:rsidR="00CF1D39" w:rsidRPr="00F66B2E" w:rsidRDefault="00CF1D39" w:rsidP="005813D6">
            <w:pPr>
              <w:widowControl w:val="0"/>
              <w:spacing w:line="240" w:lineRule="auto"/>
              <w:rPr>
                <w:rFonts w:eastAsia="Times New Roman"/>
                <w:color w:val="000000"/>
                <w:sz w:val="20"/>
                <w:szCs w:val="20"/>
                <w:lang w:eastAsia="en-GB"/>
              </w:rPr>
            </w:pPr>
            <w:r>
              <w:rPr>
                <w:rFonts w:eastAsia="Times New Roman"/>
                <w:color w:val="000000"/>
                <w:sz w:val="20"/>
                <w:szCs w:val="20"/>
                <w:lang w:eastAsia="en-GB"/>
              </w:rPr>
              <w:t>(1.14,2.15)</w:t>
            </w:r>
          </w:p>
        </w:tc>
      </w:tr>
    </w:tbl>
    <w:p w:rsidR="00CF1D39" w:rsidRDefault="00CF1D39" w:rsidP="00CF1D39">
      <w:pPr>
        <w:widowControl w:val="0"/>
        <w:rPr>
          <w:sz w:val="20"/>
          <w:szCs w:val="20"/>
          <w:vertAlign w:val="superscript"/>
        </w:rPr>
      </w:pPr>
    </w:p>
    <w:p w:rsidR="00CF1D39" w:rsidRPr="00077BFC" w:rsidRDefault="00CF1D39" w:rsidP="00CF1D39">
      <w:pPr>
        <w:widowControl w:val="0"/>
      </w:pPr>
      <w:proofErr w:type="spellStart"/>
      <w:proofErr w:type="gramStart"/>
      <w:r w:rsidRPr="00077BFC">
        <w:rPr>
          <w:vertAlign w:val="superscript"/>
        </w:rPr>
        <w:t>a</w:t>
      </w:r>
      <w:r w:rsidRPr="00077BFC">
        <w:t>Odds</w:t>
      </w:r>
      <w:proofErr w:type="spellEnd"/>
      <w:proofErr w:type="gramEnd"/>
      <w:r w:rsidRPr="00077BFC">
        <w:t xml:space="preserve"> ratios </w:t>
      </w:r>
      <w:r>
        <w:t>(</w:t>
      </w:r>
      <w:r w:rsidRPr="00077BFC">
        <w:t>with 95% confidence intervals</w:t>
      </w:r>
      <w:r>
        <w:t>), adjusted for sex, age, and educational attainment (3 levels)</w:t>
      </w:r>
    </w:p>
    <w:p w:rsidR="00CF1D39" w:rsidRDefault="00CF1D39" w:rsidP="00CF1D39">
      <w:pPr>
        <w:widowControl w:val="0"/>
      </w:pPr>
      <w:proofErr w:type="spellStart"/>
      <w:proofErr w:type="gramStart"/>
      <w:r w:rsidRPr="00734C00">
        <w:rPr>
          <w:vertAlign w:val="superscript"/>
        </w:rPr>
        <w:t>b</w:t>
      </w:r>
      <w:r w:rsidRPr="00734C00">
        <w:t>Risk</w:t>
      </w:r>
      <w:proofErr w:type="spellEnd"/>
      <w:proofErr w:type="gramEnd"/>
      <w:r w:rsidRPr="00734C00">
        <w:t xml:space="preserve"> estimates for</w:t>
      </w:r>
      <w:r w:rsidR="00473F02" w:rsidRPr="00734C00">
        <w:t xml:space="preserve"> </w:t>
      </w:r>
      <w:r w:rsidR="007B6B1F" w:rsidRPr="00734C00">
        <w:t xml:space="preserve">negative perceptions </w:t>
      </w:r>
      <w:r w:rsidRPr="00734C00">
        <w:t xml:space="preserve">of </w:t>
      </w:r>
      <w:r w:rsidR="007B6B1F" w:rsidRPr="00734C00">
        <w:t>work</w:t>
      </w:r>
      <w:r w:rsidRPr="00734C00">
        <w:t xml:space="preserve"> were derived from a single logistic regression model for each health outcome, and were mutually adjusted</w:t>
      </w:r>
    </w:p>
    <w:sectPr w:rsidR="00CF1D39" w:rsidSect="00262CA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1AD" w:rsidRDefault="005251AD" w:rsidP="00BB693A">
      <w:pPr>
        <w:spacing w:line="240" w:lineRule="auto"/>
      </w:pPr>
      <w:r>
        <w:separator/>
      </w:r>
    </w:p>
  </w:endnote>
  <w:endnote w:type="continuationSeparator" w:id="0">
    <w:p w:rsidR="005251AD" w:rsidRDefault="005251AD" w:rsidP="00BB69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43504"/>
      <w:docPartObj>
        <w:docPartGallery w:val="Page Numbers (Bottom of Page)"/>
        <w:docPartUnique/>
      </w:docPartObj>
    </w:sdtPr>
    <w:sdtEndPr>
      <w:rPr>
        <w:noProof/>
      </w:rPr>
    </w:sdtEndPr>
    <w:sdtContent>
      <w:p w:rsidR="00BF3116" w:rsidRDefault="00BF3116">
        <w:pPr>
          <w:pStyle w:val="Footer"/>
          <w:jc w:val="right"/>
        </w:pPr>
        <w:r>
          <w:fldChar w:fldCharType="begin"/>
        </w:r>
        <w:r>
          <w:instrText xml:space="preserve"> PAGE   \* MERGEFORMAT </w:instrText>
        </w:r>
        <w:r>
          <w:fldChar w:fldCharType="separate"/>
        </w:r>
        <w:r w:rsidR="00E41646">
          <w:rPr>
            <w:noProof/>
          </w:rPr>
          <w:t>1</w:t>
        </w:r>
        <w:r>
          <w:rPr>
            <w:noProof/>
          </w:rPr>
          <w:fldChar w:fldCharType="end"/>
        </w:r>
      </w:p>
    </w:sdtContent>
  </w:sdt>
  <w:p w:rsidR="00BF3116" w:rsidRDefault="00BF3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1AD" w:rsidRDefault="005251AD" w:rsidP="00BB693A">
      <w:pPr>
        <w:spacing w:line="240" w:lineRule="auto"/>
      </w:pPr>
      <w:r>
        <w:separator/>
      </w:r>
    </w:p>
  </w:footnote>
  <w:footnote w:type="continuationSeparator" w:id="0">
    <w:p w:rsidR="005251AD" w:rsidRDefault="005251AD" w:rsidP="00BB693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C45F8"/>
    <w:multiLevelType w:val="hybridMultilevel"/>
    <w:tmpl w:val="3482ADBE"/>
    <w:lvl w:ilvl="0" w:tplc="0809000F">
      <w:start w:val="1"/>
      <w:numFmt w:val="decimal"/>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FDC3ABE"/>
    <w:multiLevelType w:val="multilevel"/>
    <w:tmpl w:val="B9CA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065079E"/>
    <w:multiLevelType w:val="hybridMultilevel"/>
    <w:tmpl w:val="DCF67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F02A658-5CE5-4F86-889E-EF011AAE029A}"/>
    <w:docVar w:name="dgnword-eventsink" w:val="72974960"/>
  </w:docVars>
  <w:rsids>
    <w:rsidRoot w:val="00EC458C"/>
    <w:rsid w:val="00001FF2"/>
    <w:rsid w:val="0000406E"/>
    <w:rsid w:val="0000563D"/>
    <w:rsid w:val="0001467C"/>
    <w:rsid w:val="00015576"/>
    <w:rsid w:val="00017280"/>
    <w:rsid w:val="00037150"/>
    <w:rsid w:val="00046A9A"/>
    <w:rsid w:val="00046BE5"/>
    <w:rsid w:val="00060D66"/>
    <w:rsid w:val="000656F4"/>
    <w:rsid w:val="000751BD"/>
    <w:rsid w:val="00080C52"/>
    <w:rsid w:val="0008390E"/>
    <w:rsid w:val="00085A58"/>
    <w:rsid w:val="000860BF"/>
    <w:rsid w:val="000A2B20"/>
    <w:rsid w:val="000B1C8F"/>
    <w:rsid w:val="000B49DA"/>
    <w:rsid w:val="000B5DD4"/>
    <w:rsid w:val="000C3E86"/>
    <w:rsid w:val="000C6214"/>
    <w:rsid w:val="000C6C5D"/>
    <w:rsid w:val="000C77E3"/>
    <w:rsid w:val="000D1120"/>
    <w:rsid w:val="000D74AF"/>
    <w:rsid w:val="000E2FF3"/>
    <w:rsid w:val="000E5AB2"/>
    <w:rsid w:val="000E5EA2"/>
    <w:rsid w:val="000F40CE"/>
    <w:rsid w:val="000F5189"/>
    <w:rsid w:val="001012B5"/>
    <w:rsid w:val="00102613"/>
    <w:rsid w:val="001031BE"/>
    <w:rsid w:val="00115892"/>
    <w:rsid w:val="0011609E"/>
    <w:rsid w:val="00130FA4"/>
    <w:rsid w:val="001479BD"/>
    <w:rsid w:val="00150B72"/>
    <w:rsid w:val="0015589B"/>
    <w:rsid w:val="0015652B"/>
    <w:rsid w:val="00160C65"/>
    <w:rsid w:val="001707A4"/>
    <w:rsid w:val="001724C1"/>
    <w:rsid w:val="00183752"/>
    <w:rsid w:val="0018390B"/>
    <w:rsid w:val="001853D9"/>
    <w:rsid w:val="001965F9"/>
    <w:rsid w:val="001B2AB9"/>
    <w:rsid w:val="001D13A1"/>
    <w:rsid w:val="001E6B45"/>
    <w:rsid w:val="001E7093"/>
    <w:rsid w:val="001F525D"/>
    <w:rsid w:val="00203D41"/>
    <w:rsid w:val="00214C44"/>
    <w:rsid w:val="00225802"/>
    <w:rsid w:val="00226C3A"/>
    <w:rsid w:val="00232A63"/>
    <w:rsid w:val="0023672D"/>
    <w:rsid w:val="00236FAD"/>
    <w:rsid w:val="00240FB8"/>
    <w:rsid w:val="002548F6"/>
    <w:rsid w:val="00262CAF"/>
    <w:rsid w:val="002776B4"/>
    <w:rsid w:val="002810DA"/>
    <w:rsid w:val="002837C7"/>
    <w:rsid w:val="00293CD5"/>
    <w:rsid w:val="0029729B"/>
    <w:rsid w:val="00297F4B"/>
    <w:rsid w:val="002C4535"/>
    <w:rsid w:val="002C4695"/>
    <w:rsid w:val="002C675B"/>
    <w:rsid w:val="002C6896"/>
    <w:rsid w:val="002F6B07"/>
    <w:rsid w:val="00301A10"/>
    <w:rsid w:val="00317F0F"/>
    <w:rsid w:val="003236FB"/>
    <w:rsid w:val="00335985"/>
    <w:rsid w:val="00343A6C"/>
    <w:rsid w:val="00354D0B"/>
    <w:rsid w:val="00364C61"/>
    <w:rsid w:val="00365F9F"/>
    <w:rsid w:val="0037098D"/>
    <w:rsid w:val="00381821"/>
    <w:rsid w:val="00386540"/>
    <w:rsid w:val="003917E3"/>
    <w:rsid w:val="00393438"/>
    <w:rsid w:val="00397ACF"/>
    <w:rsid w:val="003A0F61"/>
    <w:rsid w:val="003A541C"/>
    <w:rsid w:val="003C20D6"/>
    <w:rsid w:val="003D639D"/>
    <w:rsid w:val="003E5D66"/>
    <w:rsid w:val="003E6BA8"/>
    <w:rsid w:val="003F49DD"/>
    <w:rsid w:val="003F5E2A"/>
    <w:rsid w:val="00404F7D"/>
    <w:rsid w:val="00407B1B"/>
    <w:rsid w:val="004123EE"/>
    <w:rsid w:val="00421033"/>
    <w:rsid w:val="00425832"/>
    <w:rsid w:val="00436AC7"/>
    <w:rsid w:val="00442103"/>
    <w:rsid w:val="0044296E"/>
    <w:rsid w:val="00443A74"/>
    <w:rsid w:val="00445A5F"/>
    <w:rsid w:val="00447952"/>
    <w:rsid w:val="00457205"/>
    <w:rsid w:val="00461910"/>
    <w:rsid w:val="00462A97"/>
    <w:rsid w:val="00473F02"/>
    <w:rsid w:val="00484CD2"/>
    <w:rsid w:val="004A439E"/>
    <w:rsid w:val="004B3D23"/>
    <w:rsid w:val="004B7931"/>
    <w:rsid w:val="004F283D"/>
    <w:rsid w:val="004F4FEC"/>
    <w:rsid w:val="004F5EA0"/>
    <w:rsid w:val="005005CA"/>
    <w:rsid w:val="00514416"/>
    <w:rsid w:val="0052099B"/>
    <w:rsid w:val="005231D0"/>
    <w:rsid w:val="005251AD"/>
    <w:rsid w:val="00531820"/>
    <w:rsid w:val="005418B7"/>
    <w:rsid w:val="005475E7"/>
    <w:rsid w:val="00564544"/>
    <w:rsid w:val="00567F0D"/>
    <w:rsid w:val="00571B12"/>
    <w:rsid w:val="00575C10"/>
    <w:rsid w:val="005813D6"/>
    <w:rsid w:val="00582D3D"/>
    <w:rsid w:val="00584DDE"/>
    <w:rsid w:val="005A4C1C"/>
    <w:rsid w:val="005C0D8A"/>
    <w:rsid w:val="005C1897"/>
    <w:rsid w:val="005C4785"/>
    <w:rsid w:val="005D562C"/>
    <w:rsid w:val="005E2F38"/>
    <w:rsid w:val="005E69AF"/>
    <w:rsid w:val="00600BDE"/>
    <w:rsid w:val="00604CE9"/>
    <w:rsid w:val="0060643C"/>
    <w:rsid w:val="00620484"/>
    <w:rsid w:val="00625F85"/>
    <w:rsid w:val="00634954"/>
    <w:rsid w:val="0063639A"/>
    <w:rsid w:val="006431F9"/>
    <w:rsid w:val="0064432B"/>
    <w:rsid w:val="00647315"/>
    <w:rsid w:val="006535F3"/>
    <w:rsid w:val="00655B07"/>
    <w:rsid w:val="006633BB"/>
    <w:rsid w:val="00671711"/>
    <w:rsid w:val="00682773"/>
    <w:rsid w:val="00683E01"/>
    <w:rsid w:val="00685CC1"/>
    <w:rsid w:val="00685F32"/>
    <w:rsid w:val="0068736A"/>
    <w:rsid w:val="006A2614"/>
    <w:rsid w:val="006A44FD"/>
    <w:rsid w:val="006A495D"/>
    <w:rsid w:val="006B4A84"/>
    <w:rsid w:val="006B56E0"/>
    <w:rsid w:val="006B6156"/>
    <w:rsid w:val="006B672B"/>
    <w:rsid w:val="006C11FF"/>
    <w:rsid w:val="006C55D4"/>
    <w:rsid w:val="006C6580"/>
    <w:rsid w:val="006C6E75"/>
    <w:rsid w:val="006C6F56"/>
    <w:rsid w:val="006D46BF"/>
    <w:rsid w:val="006F3CE9"/>
    <w:rsid w:val="006F424F"/>
    <w:rsid w:val="006F6978"/>
    <w:rsid w:val="00703C74"/>
    <w:rsid w:val="00712308"/>
    <w:rsid w:val="00733DF4"/>
    <w:rsid w:val="00734038"/>
    <w:rsid w:val="00734C00"/>
    <w:rsid w:val="0073705A"/>
    <w:rsid w:val="007578B1"/>
    <w:rsid w:val="00762617"/>
    <w:rsid w:val="00765E1A"/>
    <w:rsid w:val="00766DD6"/>
    <w:rsid w:val="0077419B"/>
    <w:rsid w:val="00774701"/>
    <w:rsid w:val="00786BFD"/>
    <w:rsid w:val="00786D97"/>
    <w:rsid w:val="00794100"/>
    <w:rsid w:val="007B3646"/>
    <w:rsid w:val="007B36D3"/>
    <w:rsid w:val="007B6B1F"/>
    <w:rsid w:val="007C01F4"/>
    <w:rsid w:val="007C3E3A"/>
    <w:rsid w:val="007D09DC"/>
    <w:rsid w:val="007D1FFE"/>
    <w:rsid w:val="007D412E"/>
    <w:rsid w:val="007D4C2F"/>
    <w:rsid w:val="007D5536"/>
    <w:rsid w:val="007D5900"/>
    <w:rsid w:val="007D79C5"/>
    <w:rsid w:val="007E3ED6"/>
    <w:rsid w:val="00805CEE"/>
    <w:rsid w:val="00816786"/>
    <w:rsid w:val="00830341"/>
    <w:rsid w:val="00831D22"/>
    <w:rsid w:val="008362C7"/>
    <w:rsid w:val="008418C8"/>
    <w:rsid w:val="00843165"/>
    <w:rsid w:val="00844E6C"/>
    <w:rsid w:val="0087094A"/>
    <w:rsid w:val="00872E86"/>
    <w:rsid w:val="00877BE6"/>
    <w:rsid w:val="00880056"/>
    <w:rsid w:val="00881C75"/>
    <w:rsid w:val="00882AEB"/>
    <w:rsid w:val="00887A45"/>
    <w:rsid w:val="008A63C9"/>
    <w:rsid w:val="008A6524"/>
    <w:rsid w:val="008B27FC"/>
    <w:rsid w:val="008B38D1"/>
    <w:rsid w:val="008C1265"/>
    <w:rsid w:val="008C54FA"/>
    <w:rsid w:val="008C6F5B"/>
    <w:rsid w:val="008E1918"/>
    <w:rsid w:val="008F4FCA"/>
    <w:rsid w:val="00914792"/>
    <w:rsid w:val="00914DAB"/>
    <w:rsid w:val="00917414"/>
    <w:rsid w:val="009337D8"/>
    <w:rsid w:val="009400D5"/>
    <w:rsid w:val="009478B0"/>
    <w:rsid w:val="009517D1"/>
    <w:rsid w:val="00951A48"/>
    <w:rsid w:val="00952430"/>
    <w:rsid w:val="009575A5"/>
    <w:rsid w:val="00960614"/>
    <w:rsid w:val="0096124C"/>
    <w:rsid w:val="00967274"/>
    <w:rsid w:val="00976914"/>
    <w:rsid w:val="00984136"/>
    <w:rsid w:val="00985328"/>
    <w:rsid w:val="00987B63"/>
    <w:rsid w:val="00993B86"/>
    <w:rsid w:val="00994F3B"/>
    <w:rsid w:val="009A5022"/>
    <w:rsid w:val="009B5473"/>
    <w:rsid w:val="009C4625"/>
    <w:rsid w:val="009C7E65"/>
    <w:rsid w:val="009D0B2A"/>
    <w:rsid w:val="009D3C68"/>
    <w:rsid w:val="009D4B6F"/>
    <w:rsid w:val="009E25C0"/>
    <w:rsid w:val="00A12AFA"/>
    <w:rsid w:val="00A23494"/>
    <w:rsid w:val="00A27160"/>
    <w:rsid w:val="00A32553"/>
    <w:rsid w:val="00A43D40"/>
    <w:rsid w:val="00A44689"/>
    <w:rsid w:val="00A5252E"/>
    <w:rsid w:val="00A64273"/>
    <w:rsid w:val="00A66180"/>
    <w:rsid w:val="00A67B4C"/>
    <w:rsid w:val="00A719EE"/>
    <w:rsid w:val="00A9036D"/>
    <w:rsid w:val="00A93FBF"/>
    <w:rsid w:val="00A940EA"/>
    <w:rsid w:val="00A94E09"/>
    <w:rsid w:val="00A96CD6"/>
    <w:rsid w:val="00AA2495"/>
    <w:rsid w:val="00AA2887"/>
    <w:rsid w:val="00AA7637"/>
    <w:rsid w:val="00AC10B0"/>
    <w:rsid w:val="00AC6EFE"/>
    <w:rsid w:val="00AD5048"/>
    <w:rsid w:val="00AF3251"/>
    <w:rsid w:val="00AF4B9B"/>
    <w:rsid w:val="00B009A7"/>
    <w:rsid w:val="00B01EE1"/>
    <w:rsid w:val="00B01EE5"/>
    <w:rsid w:val="00B1689B"/>
    <w:rsid w:val="00B16C80"/>
    <w:rsid w:val="00B178CC"/>
    <w:rsid w:val="00B23FC2"/>
    <w:rsid w:val="00B25B1F"/>
    <w:rsid w:val="00B43CD4"/>
    <w:rsid w:val="00B46A86"/>
    <w:rsid w:val="00B673A8"/>
    <w:rsid w:val="00B70076"/>
    <w:rsid w:val="00B75E4A"/>
    <w:rsid w:val="00B77E41"/>
    <w:rsid w:val="00B91A66"/>
    <w:rsid w:val="00BB00BE"/>
    <w:rsid w:val="00BB51D1"/>
    <w:rsid w:val="00BB693A"/>
    <w:rsid w:val="00BC56D1"/>
    <w:rsid w:val="00BD0A67"/>
    <w:rsid w:val="00BE39C1"/>
    <w:rsid w:val="00BE4278"/>
    <w:rsid w:val="00BE5C5A"/>
    <w:rsid w:val="00BF1E11"/>
    <w:rsid w:val="00BF3116"/>
    <w:rsid w:val="00BF3B52"/>
    <w:rsid w:val="00C000F3"/>
    <w:rsid w:val="00C00B3D"/>
    <w:rsid w:val="00C034F9"/>
    <w:rsid w:val="00C03911"/>
    <w:rsid w:val="00C1049F"/>
    <w:rsid w:val="00C26808"/>
    <w:rsid w:val="00C3103B"/>
    <w:rsid w:val="00C342CB"/>
    <w:rsid w:val="00C36122"/>
    <w:rsid w:val="00C42DA7"/>
    <w:rsid w:val="00C432B9"/>
    <w:rsid w:val="00C453CF"/>
    <w:rsid w:val="00C57901"/>
    <w:rsid w:val="00C71E2C"/>
    <w:rsid w:val="00C82005"/>
    <w:rsid w:val="00C9264F"/>
    <w:rsid w:val="00C940F9"/>
    <w:rsid w:val="00CA20F1"/>
    <w:rsid w:val="00CA4A82"/>
    <w:rsid w:val="00CA60B4"/>
    <w:rsid w:val="00CB3041"/>
    <w:rsid w:val="00CB5644"/>
    <w:rsid w:val="00CB5C33"/>
    <w:rsid w:val="00CC7451"/>
    <w:rsid w:val="00CD2535"/>
    <w:rsid w:val="00CD2DBD"/>
    <w:rsid w:val="00CE1DFF"/>
    <w:rsid w:val="00CE7D1D"/>
    <w:rsid w:val="00CF1D39"/>
    <w:rsid w:val="00CF70D8"/>
    <w:rsid w:val="00D02855"/>
    <w:rsid w:val="00D066E5"/>
    <w:rsid w:val="00D14DC4"/>
    <w:rsid w:val="00D20135"/>
    <w:rsid w:val="00D254C1"/>
    <w:rsid w:val="00D265D9"/>
    <w:rsid w:val="00D42F48"/>
    <w:rsid w:val="00D45880"/>
    <w:rsid w:val="00D50570"/>
    <w:rsid w:val="00D619DD"/>
    <w:rsid w:val="00D63FE1"/>
    <w:rsid w:val="00D64621"/>
    <w:rsid w:val="00D64F87"/>
    <w:rsid w:val="00D7796A"/>
    <w:rsid w:val="00D8059E"/>
    <w:rsid w:val="00D84D95"/>
    <w:rsid w:val="00D923C7"/>
    <w:rsid w:val="00DA1FB4"/>
    <w:rsid w:val="00DA43D2"/>
    <w:rsid w:val="00DA5247"/>
    <w:rsid w:val="00DA7B7C"/>
    <w:rsid w:val="00DB1536"/>
    <w:rsid w:val="00DB3386"/>
    <w:rsid w:val="00DB4135"/>
    <w:rsid w:val="00DB5693"/>
    <w:rsid w:val="00DB73DE"/>
    <w:rsid w:val="00DC125F"/>
    <w:rsid w:val="00DC2DC7"/>
    <w:rsid w:val="00DD6D58"/>
    <w:rsid w:val="00DF5AC3"/>
    <w:rsid w:val="00E06678"/>
    <w:rsid w:val="00E124E5"/>
    <w:rsid w:val="00E41646"/>
    <w:rsid w:val="00E46856"/>
    <w:rsid w:val="00E46FBC"/>
    <w:rsid w:val="00E521D8"/>
    <w:rsid w:val="00E52B51"/>
    <w:rsid w:val="00E52E7B"/>
    <w:rsid w:val="00E5566F"/>
    <w:rsid w:val="00E72530"/>
    <w:rsid w:val="00E87136"/>
    <w:rsid w:val="00E9637C"/>
    <w:rsid w:val="00E97C86"/>
    <w:rsid w:val="00EB01CC"/>
    <w:rsid w:val="00EB2DCE"/>
    <w:rsid w:val="00EB401A"/>
    <w:rsid w:val="00EC458C"/>
    <w:rsid w:val="00EE0306"/>
    <w:rsid w:val="00EE0E78"/>
    <w:rsid w:val="00F03DA5"/>
    <w:rsid w:val="00F04A1A"/>
    <w:rsid w:val="00F31D29"/>
    <w:rsid w:val="00F4159A"/>
    <w:rsid w:val="00F44F90"/>
    <w:rsid w:val="00F457EA"/>
    <w:rsid w:val="00F4595C"/>
    <w:rsid w:val="00F61929"/>
    <w:rsid w:val="00F757F4"/>
    <w:rsid w:val="00F75E0F"/>
    <w:rsid w:val="00F90C51"/>
    <w:rsid w:val="00F9322C"/>
    <w:rsid w:val="00FA7084"/>
    <w:rsid w:val="00FC1A85"/>
    <w:rsid w:val="00FC33FC"/>
    <w:rsid w:val="00FC54E3"/>
    <w:rsid w:val="00FD1EC6"/>
    <w:rsid w:val="00FE0BDA"/>
    <w:rsid w:val="00FE4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9B"/>
    <w:pPr>
      <w:spacing w:after="0"/>
    </w:pPr>
    <w:rPr>
      <w:rFonts w:ascii="Arial" w:hAnsi="Arial" w:cs="Arial"/>
    </w:rPr>
  </w:style>
  <w:style w:type="paragraph" w:styleId="Heading1">
    <w:name w:val="heading 1"/>
    <w:basedOn w:val="Normal"/>
    <w:next w:val="Normal"/>
    <w:link w:val="Heading1Char"/>
    <w:uiPriority w:val="9"/>
    <w:qFormat/>
    <w:rsid w:val="00404F7D"/>
    <w:pPr>
      <w:keepNext/>
      <w:keepLines/>
      <w:spacing w:before="480"/>
      <w:jc w:val="center"/>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autoRedefine/>
    <w:uiPriority w:val="9"/>
    <w:unhideWhenUsed/>
    <w:qFormat/>
    <w:rsid w:val="008C1265"/>
    <w:pPr>
      <w:keepNext/>
      <w:keepLines/>
      <w:spacing w:before="200"/>
      <w:jc w:val="both"/>
      <w:outlineLvl w:val="1"/>
    </w:pPr>
    <w:rPr>
      <w:rFonts w:eastAsiaTheme="majorEastAsia" w:cstheme="majorBidi"/>
      <w:bCs/>
      <w:i/>
      <w:szCs w:val="26"/>
    </w:rPr>
  </w:style>
  <w:style w:type="paragraph" w:styleId="Heading3">
    <w:name w:val="heading 3"/>
    <w:basedOn w:val="Normal"/>
    <w:next w:val="Normal"/>
    <w:link w:val="Heading3Char"/>
    <w:uiPriority w:val="9"/>
    <w:semiHidden/>
    <w:unhideWhenUsed/>
    <w:qFormat/>
    <w:rsid w:val="008C1265"/>
    <w:pPr>
      <w:keepNext/>
      <w:keepLines/>
      <w:spacing w:before="200"/>
      <w:jc w:val="both"/>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584DDE"/>
    <w:pPr>
      <w:keepNext/>
      <w:keepLines/>
      <w:spacing w:before="200"/>
      <w:outlineLvl w:val="3"/>
    </w:pPr>
    <w:rPr>
      <w:rFonts w:ascii="Arial Narrow" w:eastAsiaTheme="majorEastAsia" w:hAnsi="Arial Narrow"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F7D"/>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8C1265"/>
    <w:rPr>
      <w:rFonts w:ascii="Arial" w:eastAsiaTheme="majorEastAsia" w:hAnsi="Arial" w:cstheme="majorBidi"/>
      <w:bCs/>
      <w:i/>
      <w:szCs w:val="26"/>
    </w:rPr>
  </w:style>
  <w:style w:type="paragraph" w:styleId="NoSpacing">
    <w:name w:val="No Spacing"/>
    <w:uiPriority w:val="1"/>
    <w:qFormat/>
    <w:rsid w:val="00404F7D"/>
    <w:pPr>
      <w:spacing w:after="0"/>
    </w:pPr>
    <w:rPr>
      <w:rFonts w:ascii="Arial" w:hAnsi="Arial" w:cs="Arial"/>
      <w:i/>
    </w:rPr>
  </w:style>
  <w:style w:type="character" w:customStyle="1" w:styleId="Heading3Char">
    <w:name w:val="Heading 3 Char"/>
    <w:basedOn w:val="DefaultParagraphFont"/>
    <w:link w:val="Heading3"/>
    <w:uiPriority w:val="9"/>
    <w:semiHidden/>
    <w:rsid w:val="008C1265"/>
    <w:rPr>
      <w:rFonts w:ascii="Arial" w:eastAsiaTheme="majorEastAsia" w:hAnsi="Arial" w:cstheme="majorBidi"/>
      <w:b/>
      <w:bCs/>
      <w:i/>
    </w:rPr>
  </w:style>
  <w:style w:type="character" w:customStyle="1" w:styleId="Heading4Char">
    <w:name w:val="Heading 4 Char"/>
    <w:basedOn w:val="DefaultParagraphFont"/>
    <w:link w:val="Heading4"/>
    <w:uiPriority w:val="9"/>
    <w:rsid w:val="00584DDE"/>
    <w:rPr>
      <w:rFonts w:ascii="Arial Narrow" w:eastAsiaTheme="majorEastAsia" w:hAnsi="Arial Narrow" w:cstheme="majorBidi"/>
      <w:b/>
      <w:bCs/>
      <w:iCs/>
      <w:sz w:val="24"/>
    </w:rPr>
  </w:style>
  <w:style w:type="character" w:styleId="CommentReference">
    <w:name w:val="annotation reference"/>
    <w:basedOn w:val="DefaultParagraphFont"/>
    <w:uiPriority w:val="99"/>
    <w:semiHidden/>
    <w:unhideWhenUsed/>
    <w:rsid w:val="008C54FA"/>
    <w:rPr>
      <w:sz w:val="16"/>
      <w:szCs w:val="16"/>
    </w:rPr>
  </w:style>
  <w:style w:type="paragraph" w:styleId="CommentText">
    <w:name w:val="annotation text"/>
    <w:basedOn w:val="Normal"/>
    <w:link w:val="CommentTextChar"/>
    <w:uiPriority w:val="99"/>
    <w:semiHidden/>
    <w:unhideWhenUsed/>
    <w:rsid w:val="008C54FA"/>
    <w:pPr>
      <w:spacing w:line="240" w:lineRule="auto"/>
    </w:pPr>
    <w:rPr>
      <w:sz w:val="20"/>
      <w:szCs w:val="20"/>
    </w:rPr>
  </w:style>
  <w:style w:type="character" w:customStyle="1" w:styleId="CommentTextChar">
    <w:name w:val="Comment Text Char"/>
    <w:basedOn w:val="DefaultParagraphFont"/>
    <w:link w:val="CommentText"/>
    <w:uiPriority w:val="99"/>
    <w:semiHidden/>
    <w:rsid w:val="008C54F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C54FA"/>
    <w:rPr>
      <w:b/>
      <w:bCs/>
    </w:rPr>
  </w:style>
  <w:style w:type="character" w:customStyle="1" w:styleId="CommentSubjectChar">
    <w:name w:val="Comment Subject Char"/>
    <w:basedOn w:val="CommentTextChar"/>
    <w:link w:val="CommentSubject"/>
    <w:uiPriority w:val="99"/>
    <w:semiHidden/>
    <w:rsid w:val="008C54FA"/>
    <w:rPr>
      <w:rFonts w:ascii="Arial" w:hAnsi="Arial" w:cs="Arial"/>
      <w:b/>
      <w:bCs/>
      <w:sz w:val="20"/>
      <w:szCs w:val="20"/>
    </w:rPr>
  </w:style>
  <w:style w:type="paragraph" w:styleId="BalloonText">
    <w:name w:val="Balloon Text"/>
    <w:basedOn w:val="Normal"/>
    <w:link w:val="BalloonTextChar"/>
    <w:uiPriority w:val="99"/>
    <w:semiHidden/>
    <w:unhideWhenUsed/>
    <w:rsid w:val="008C54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4FA"/>
    <w:rPr>
      <w:rFonts w:ascii="Tahoma" w:hAnsi="Tahoma" w:cs="Tahoma"/>
      <w:sz w:val="16"/>
      <w:szCs w:val="16"/>
    </w:rPr>
  </w:style>
  <w:style w:type="paragraph" w:styleId="NormalWeb">
    <w:name w:val="Normal (Web)"/>
    <w:basedOn w:val="Normal"/>
    <w:uiPriority w:val="99"/>
    <w:semiHidden/>
    <w:unhideWhenUsed/>
    <w:rsid w:val="00D84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84D95"/>
    <w:rPr>
      <w:color w:val="0000FF"/>
      <w:u w:val="single"/>
    </w:rPr>
  </w:style>
  <w:style w:type="paragraph" w:styleId="ListParagraph">
    <w:name w:val="List Paragraph"/>
    <w:basedOn w:val="Normal"/>
    <w:uiPriority w:val="34"/>
    <w:qFormat/>
    <w:rsid w:val="00E521D8"/>
    <w:pPr>
      <w:spacing w:line="360" w:lineRule="auto"/>
      <w:ind w:left="720"/>
      <w:contextualSpacing/>
    </w:pPr>
    <w:rPr>
      <w:rFonts w:asciiTheme="minorHAnsi" w:hAnsiTheme="minorHAnsi" w:cstheme="minorBidi"/>
    </w:rPr>
  </w:style>
  <w:style w:type="paragraph" w:customStyle="1" w:styleId="EndNoteBibliography">
    <w:name w:val="EndNote Bibliography"/>
    <w:basedOn w:val="Normal"/>
    <w:link w:val="EndNoteBibliographyChar"/>
    <w:rsid w:val="000E5AB2"/>
    <w:pPr>
      <w:spacing w:line="240" w:lineRule="auto"/>
      <w:jc w:val="both"/>
    </w:pPr>
    <w:rPr>
      <w:noProof/>
      <w:lang w:val="en-US"/>
    </w:rPr>
  </w:style>
  <w:style w:type="character" w:customStyle="1" w:styleId="EndNoteBibliographyChar">
    <w:name w:val="EndNote Bibliography Char"/>
    <w:basedOn w:val="DefaultParagraphFont"/>
    <w:link w:val="EndNoteBibliography"/>
    <w:rsid w:val="000E5AB2"/>
    <w:rPr>
      <w:rFonts w:ascii="Arial" w:hAnsi="Arial" w:cs="Arial"/>
      <w:noProof/>
      <w:lang w:val="en-US"/>
    </w:rPr>
  </w:style>
  <w:style w:type="paragraph" w:styleId="Header">
    <w:name w:val="header"/>
    <w:basedOn w:val="Normal"/>
    <w:link w:val="HeaderChar"/>
    <w:uiPriority w:val="99"/>
    <w:unhideWhenUsed/>
    <w:rsid w:val="00BB693A"/>
    <w:pPr>
      <w:tabs>
        <w:tab w:val="center" w:pos="4513"/>
        <w:tab w:val="right" w:pos="9026"/>
      </w:tabs>
      <w:spacing w:line="240" w:lineRule="auto"/>
    </w:pPr>
  </w:style>
  <w:style w:type="character" w:customStyle="1" w:styleId="HeaderChar">
    <w:name w:val="Header Char"/>
    <w:basedOn w:val="DefaultParagraphFont"/>
    <w:link w:val="Header"/>
    <w:uiPriority w:val="99"/>
    <w:rsid w:val="00BB693A"/>
    <w:rPr>
      <w:rFonts w:ascii="Arial" w:hAnsi="Arial" w:cs="Arial"/>
    </w:rPr>
  </w:style>
  <w:style w:type="paragraph" w:styleId="Footer">
    <w:name w:val="footer"/>
    <w:basedOn w:val="Normal"/>
    <w:link w:val="FooterChar"/>
    <w:uiPriority w:val="99"/>
    <w:unhideWhenUsed/>
    <w:rsid w:val="00BB693A"/>
    <w:pPr>
      <w:tabs>
        <w:tab w:val="center" w:pos="4513"/>
        <w:tab w:val="right" w:pos="9026"/>
      </w:tabs>
      <w:spacing w:line="240" w:lineRule="auto"/>
    </w:pPr>
  </w:style>
  <w:style w:type="character" w:customStyle="1" w:styleId="FooterChar">
    <w:name w:val="Footer Char"/>
    <w:basedOn w:val="DefaultParagraphFont"/>
    <w:link w:val="Footer"/>
    <w:uiPriority w:val="99"/>
    <w:rsid w:val="00BB693A"/>
    <w:rPr>
      <w:rFonts w:ascii="Arial" w:hAnsi="Arial" w:cs="Arial"/>
    </w:rPr>
  </w:style>
  <w:style w:type="character" w:styleId="FollowedHyperlink">
    <w:name w:val="FollowedHyperlink"/>
    <w:basedOn w:val="DefaultParagraphFont"/>
    <w:uiPriority w:val="99"/>
    <w:semiHidden/>
    <w:unhideWhenUsed/>
    <w:rsid w:val="005475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9B"/>
    <w:pPr>
      <w:spacing w:after="0"/>
    </w:pPr>
    <w:rPr>
      <w:rFonts w:ascii="Arial" w:hAnsi="Arial" w:cs="Arial"/>
    </w:rPr>
  </w:style>
  <w:style w:type="paragraph" w:styleId="Heading1">
    <w:name w:val="heading 1"/>
    <w:basedOn w:val="Normal"/>
    <w:next w:val="Normal"/>
    <w:link w:val="Heading1Char"/>
    <w:uiPriority w:val="9"/>
    <w:qFormat/>
    <w:rsid w:val="00404F7D"/>
    <w:pPr>
      <w:keepNext/>
      <w:keepLines/>
      <w:spacing w:before="480"/>
      <w:jc w:val="center"/>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autoRedefine/>
    <w:uiPriority w:val="9"/>
    <w:unhideWhenUsed/>
    <w:qFormat/>
    <w:rsid w:val="008C1265"/>
    <w:pPr>
      <w:keepNext/>
      <w:keepLines/>
      <w:spacing w:before="200"/>
      <w:jc w:val="both"/>
      <w:outlineLvl w:val="1"/>
    </w:pPr>
    <w:rPr>
      <w:rFonts w:eastAsiaTheme="majorEastAsia" w:cstheme="majorBidi"/>
      <w:bCs/>
      <w:i/>
      <w:szCs w:val="26"/>
    </w:rPr>
  </w:style>
  <w:style w:type="paragraph" w:styleId="Heading3">
    <w:name w:val="heading 3"/>
    <w:basedOn w:val="Normal"/>
    <w:next w:val="Normal"/>
    <w:link w:val="Heading3Char"/>
    <w:uiPriority w:val="9"/>
    <w:semiHidden/>
    <w:unhideWhenUsed/>
    <w:qFormat/>
    <w:rsid w:val="008C1265"/>
    <w:pPr>
      <w:keepNext/>
      <w:keepLines/>
      <w:spacing w:before="200"/>
      <w:jc w:val="both"/>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584DDE"/>
    <w:pPr>
      <w:keepNext/>
      <w:keepLines/>
      <w:spacing w:before="200"/>
      <w:outlineLvl w:val="3"/>
    </w:pPr>
    <w:rPr>
      <w:rFonts w:ascii="Arial Narrow" w:eastAsiaTheme="majorEastAsia" w:hAnsi="Arial Narrow"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F7D"/>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8C1265"/>
    <w:rPr>
      <w:rFonts w:ascii="Arial" w:eastAsiaTheme="majorEastAsia" w:hAnsi="Arial" w:cstheme="majorBidi"/>
      <w:bCs/>
      <w:i/>
      <w:szCs w:val="26"/>
    </w:rPr>
  </w:style>
  <w:style w:type="paragraph" w:styleId="NoSpacing">
    <w:name w:val="No Spacing"/>
    <w:uiPriority w:val="1"/>
    <w:qFormat/>
    <w:rsid w:val="00404F7D"/>
    <w:pPr>
      <w:spacing w:after="0"/>
    </w:pPr>
    <w:rPr>
      <w:rFonts w:ascii="Arial" w:hAnsi="Arial" w:cs="Arial"/>
      <w:i/>
    </w:rPr>
  </w:style>
  <w:style w:type="character" w:customStyle="1" w:styleId="Heading3Char">
    <w:name w:val="Heading 3 Char"/>
    <w:basedOn w:val="DefaultParagraphFont"/>
    <w:link w:val="Heading3"/>
    <w:uiPriority w:val="9"/>
    <w:semiHidden/>
    <w:rsid w:val="008C1265"/>
    <w:rPr>
      <w:rFonts w:ascii="Arial" w:eastAsiaTheme="majorEastAsia" w:hAnsi="Arial" w:cstheme="majorBidi"/>
      <w:b/>
      <w:bCs/>
      <w:i/>
    </w:rPr>
  </w:style>
  <w:style w:type="character" w:customStyle="1" w:styleId="Heading4Char">
    <w:name w:val="Heading 4 Char"/>
    <w:basedOn w:val="DefaultParagraphFont"/>
    <w:link w:val="Heading4"/>
    <w:uiPriority w:val="9"/>
    <w:rsid w:val="00584DDE"/>
    <w:rPr>
      <w:rFonts w:ascii="Arial Narrow" w:eastAsiaTheme="majorEastAsia" w:hAnsi="Arial Narrow" w:cstheme="majorBidi"/>
      <w:b/>
      <w:bCs/>
      <w:iCs/>
      <w:sz w:val="24"/>
    </w:rPr>
  </w:style>
  <w:style w:type="character" w:styleId="CommentReference">
    <w:name w:val="annotation reference"/>
    <w:basedOn w:val="DefaultParagraphFont"/>
    <w:uiPriority w:val="99"/>
    <w:semiHidden/>
    <w:unhideWhenUsed/>
    <w:rsid w:val="008C54FA"/>
    <w:rPr>
      <w:sz w:val="16"/>
      <w:szCs w:val="16"/>
    </w:rPr>
  </w:style>
  <w:style w:type="paragraph" w:styleId="CommentText">
    <w:name w:val="annotation text"/>
    <w:basedOn w:val="Normal"/>
    <w:link w:val="CommentTextChar"/>
    <w:uiPriority w:val="99"/>
    <w:semiHidden/>
    <w:unhideWhenUsed/>
    <w:rsid w:val="008C54FA"/>
    <w:pPr>
      <w:spacing w:line="240" w:lineRule="auto"/>
    </w:pPr>
    <w:rPr>
      <w:sz w:val="20"/>
      <w:szCs w:val="20"/>
    </w:rPr>
  </w:style>
  <w:style w:type="character" w:customStyle="1" w:styleId="CommentTextChar">
    <w:name w:val="Comment Text Char"/>
    <w:basedOn w:val="DefaultParagraphFont"/>
    <w:link w:val="CommentText"/>
    <w:uiPriority w:val="99"/>
    <w:semiHidden/>
    <w:rsid w:val="008C54F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C54FA"/>
    <w:rPr>
      <w:b/>
      <w:bCs/>
    </w:rPr>
  </w:style>
  <w:style w:type="character" w:customStyle="1" w:styleId="CommentSubjectChar">
    <w:name w:val="Comment Subject Char"/>
    <w:basedOn w:val="CommentTextChar"/>
    <w:link w:val="CommentSubject"/>
    <w:uiPriority w:val="99"/>
    <w:semiHidden/>
    <w:rsid w:val="008C54FA"/>
    <w:rPr>
      <w:rFonts w:ascii="Arial" w:hAnsi="Arial" w:cs="Arial"/>
      <w:b/>
      <w:bCs/>
      <w:sz w:val="20"/>
      <w:szCs w:val="20"/>
    </w:rPr>
  </w:style>
  <w:style w:type="paragraph" w:styleId="BalloonText">
    <w:name w:val="Balloon Text"/>
    <w:basedOn w:val="Normal"/>
    <w:link w:val="BalloonTextChar"/>
    <w:uiPriority w:val="99"/>
    <w:semiHidden/>
    <w:unhideWhenUsed/>
    <w:rsid w:val="008C54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4FA"/>
    <w:rPr>
      <w:rFonts w:ascii="Tahoma" w:hAnsi="Tahoma" w:cs="Tahoma"/>
      <w:sz w:val="16"/>
      <w:szCs w:val="16"/>
    </w:rPr>
  </w:style>
  <w:style w:type="paragraph" w:styleId="NormalWeb">
    <w:name w:val="Normal (Web)"/>
    <w:basedOn w:val="Normal"/>
    <w:uiPriority w:val="99"/>
    <w:semiHidden/>
    <w:unhideWhenUsed/>
    <w:rsid w:val="00D84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84D95"/>
    <w:rPr>
      <w:color w:val="0000FF"/>
      <w:u w:val="single"/>
    </w:rPr>
  </w:style>
  <w:style w:type="paragraph" w:styleId="ListParagraph">
    <w:name w:val="List Paragraph"/>
    <w:basedOn w:val="Normal"/>
    <w:uiPriority w:val="34"/>
    <w:qFormat/>
    <w:rsid w:val="00E521D8"/>
    <w:pPr>
      <w:spacing w:line="360" w:lineRule="auto"/>
      <w:ind w:left="720"/>
      <w:contextualSpacing/>
    </w:pPr>
    <w:rPr>
      <w:rFonts w:asciiTheme="minorHAnsi" w:hAnsiTheme="minorHAnsi" w:cstheme="minorBidi"/>
    </w:rPr>
  </w:style>
  <w:style w:type="paragraph" w:customStyle="1" w:styleId="EndNoteBibliography">
    <w:name w:val="EndNote Bibliography"/>
    <w:basedOn w:val="Normal"/>
    <w:link w:val="EndNoteBibliographyChar"/>
    <w:rsid w:val="000E5AB2"/>
    <w:pPr>
      <w:spacing w:line="240" w:lineRule="auto"/>
      <w:jc w:val="both"/>
    </w:pPr>
    <w:rPr>
      <w:noProof/>
      <w:lang w:val="en-US"/>
    </w:rPr>
  </w:style>
  <w:style w:type="character" w:customStyle="1" w:styleId="EndNoteBibliographyChar">
    <w:name w:val="EndNote Bibliography Char"/>
    <w:basedOn w:val="DefaultParagraphFont"/>
    <w:link w:val="EndNoteBibliography"/>
    <w:rsid w:val="000E5AB2"/>
    <w:rPr>
      <w:rFonts w:ascii="Arial" w:hAnsi="Arial" w:cs="Arial"/>
      <w:noProof/>
      <w:lang w:val="en-US"/>
    </w:rPr>
  </w:style>
  <w:style w:type="paragraph" w:styleId="Header">
    <w:name w:val="header"/>
    <w:basedOn w:val="Normal"/>
    <w:link w:val="HeaderChar"/>
    <w:uiPriority w:val="99"/>
    <w:unhideWhenUsed/>
    <w:rsid w:val="00BB693A"/>
    <w:pPr>
      <w:tabs>
        <w:tab w:val="center" w:pos="4513"/>
        <w:tab w:val="right" w:pos="9026"/>
      </w:tabs>
      <w:spacing w:line="240" w:lineRule="auto"/>
    </w:pPr>
  </w:style>
  <w:style w:type="character" w:customStyle="1" w:styleId="HeaderChar">
    <w:name w:val="Header Char"/>
    <w:basedOn w:val="DefaultParagraphFont"/>
    <w:link w:val="Header"/>
    <w:uiPriority w:val="99"/>
    <w:rsid w:val="00BB693A"/>
    <w:rPr>
      <w:rFonts w:ascii="Arial" w:hAnsi="Arial" w:cs="Arial"/>
    </w:rPr>
  </w:style>
  <w:style w:type="paragraph" w:styleId="Footer">
    <w:name w:val="footer"/>
    <w:basedOn w:val="Normal"/>
    <w:link w:val="FooterChar"/>
    <w:uiPriority w:val="99"/>
    <w:unhideWhenUsed/>
    <w:rsid w:val="00BB693A"/>
    <w:pPr>
      <w:tabs>
        <w:tab w:val="center" w:pos="4513"/>
        <w:tab w:val="right" w:pos="9026"/>
      </w:tabs>
      <w:spacing w:line="240" w:lineRule="auto"/>
    </w:pPr>
  </w:style>
  <w:style w:type="character" w:customStyle="1" w:styleId="FooterChar">
    <w:name w:val="Footer Char"/>
    <w:basedOn w:val="DefaultParagraphFont"/>
    <w:link w:val="Footer"/>
    <w:uiPriority w:val="99"/>
    <w:rsid w:val="00BB693A"/>
    <w:rPr>
      <w:rFonts w:ascii="Arial" w:hAnsi="Arial" w:cs="Arial"/>
    </w:rPr>
  </w:style>
  <w:style w:type="character" w:styleId="FollowedHyperlink">
    <w:name w:val="FollowedHyperlink"/>
    <w:basedOn w:val="DefaultParagraphFont"/>
    <w:uiPriority w:val="99"/>
    <w:semiHidden/>
    <w:unhideWhenUsed/>
    <w:rsid w:val="005475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896277">
      <w:bodyDiv w:val="1"/>
      <w:marLeft w:val="0"/>
      <w:marRight w:val="0"/>
      <w:marTop w:val="0"/>
      <w:marBottom w:val="0"/>
      <w:divBdr>
        <w:top w:val="none" w:sz="0" w:space="0" w:color="auto"/>
        <w:left w:val="none" w:sz="0" w:space="0" w:color="auto"/>
        <w:bottom w:val="none" w:sz="0" w:space="0" w:color="auto"/>
        <w:right w:val="none" w:sz="0" w:space="0" w:color="auto"/>
      </w:divBdr>
      <w:divsChild>
        <w:div w:id="156726212">
          <w:marLeft w:val="0"/>
          <w:marRight w:val="0"/>
          <w:marTop w:val="0"/>
          <w:marBottom w:val="0"/>
          <w:divBdr>
            <w:top w:val="none" w:sz="0" w:space="0" w:color="auto"/>
            <w:left w:val="none" w:sz="0" w:space="0" w:color="auto"/>
            <w:bottom w:val="none" w:sz="0" w:space="0" w:color="auto"/>
            <w:right w:val="none" w:sz="0" w:space="0" w:color="auto"/>
          </w:divBdr>
        </w:div>
        <w:div w:id="1315841865">
          <w:marLeft w:val="0"/>
          <w:marRight w:val="0"/>
          <w:marTop w:val="0"/>
          <w:marBottom w:val="0"/>
          <w:divBdr>
            <w:top w:val="none" w:sz="0" w:space="0" w:color="auto"/>
            <w:left w:val="none" w:sz="0" w:space="0" w:color="auto"/>
            <w:bottom w:val="none" w:sz="0" w:space="0" w:color="auto"/>
            <w:right w:val="none" w:sz="0" w:space="0" w:color="auto"/>
          </w:divBdr>
        </w:div>
        <w:div w:id="728381453">
          <w:marLeft w:val="0"/>
          <w:marRight w:val="0"/>
          <w:marTop w:val="0"/>
          <w:marBottom w:val="0"/>
          <w:divBdr>
            <w:top w:val="none" w:sz="0" w:space="0" w:color="auto"/>
            <w:left w:val="none" w:sz="0" w:space="0" w:color="auto"/>
            <w:bottom w:val="none" w:sz="0" w:space="0" w:color="auto"/>
            <w:right w:val="none" w:sz="0" w:space="0" w:color="auto"/>
          </w:divBdr>
        </w:div>
        <w:div w:id="1349403769">
          <w:marLeft w:val="0"/>
          <w:marRight w:val="0"/>
          <w:marTop w:val="0"/>
          <w:marBottom w:val="0"/>
          <w:divBdr>
            <w:top w:val="none" w:sz="0" w:space="0" w:color="auto"/>
            <w:left w:val="none" w:sz="0" w:space="0" w:color="auto"/>
            <w:bottom w:val="none" w:sz="0" w:space="0" w:color="auto"/>
            <w:right w:val="none" w:sz="0" w:space="0" w:color="auto"/>
          </w:divBdr>
        </w:div>
        <w:div w:id="70740841">
          <w:marLeft w:val="0"/>
          <w:marRight w:val="0"/>
          <w:marTop w:val="0"/>
          <w:marBottom w:val="0"/>
          <w:divBdr>
            <w:top w:val="none" w:sz="0" w:space="0" w:color="auto"/>
            <w:left w:val="none" w:sz="0" w:space="0" w:color="auto"/>
            <w:bottom w:val="none" w:sz="0" w:space="0" w:color="auto"/>
            <w:right w:val="none" w:sz="0" w:space="0" w:color="auto"/>
          </w:divBdr>
        </w:div>
      </w:divsChild>
    </w:div>
    <w:div w:id="1363287669">
      <w:bodyDiv w:val="1"/>
      <w:marLeft w:val="0"/>
      <w:marRight w:val="0"/>
      <w:marTop w:val="0"/>
      <w:marBottom w:val="0"/>
      <w:divBdr>
        <w:top w:val="none" w:sz="0" w:space="0" w:color="auto"/>
        <w:left w:val="none" w:sz="0" w:space="0" w:color="auto"/>
        <w:bottom w:val="none" w:sz="0" w:space="0" w:color="auto"/>
        <w:right w:val="none" w:sz="0" w:space="0" w:color="auto"/>
      </w:divBdr>
      <w:divsChild>
        <w:div w:id="323898942">
          <w:marLeft w:val="0"/>
          <w:marRight w:val="0"/>
          <w:marTop w:val="0"/>
          <w:marBottom w:val="0"/>
          <w:divBdr>
            <w:top w:val="none" w:sz="0" w:space="0" w:color="auto"/>
            <w:left w:val="none" w:sz="0" w:space="0" w:color="auto"/>
            <w:bottom w:val="none" w:sz="0" w:space="0" w:color="auto"/>
            <w:right w:val="none" w:sz="0" w:space="0" w:color="auto"/>
          </w:divBdr>
          <w:divsChild>
            <w:div w:id="919682546">
              <w:marLeft w:val="0"/>
              <w:marRight w:val="0"/>
              <w:marTop w:val="0"/>
              <w:marBottom w:val="0"/>
              <w:divBdr>
                <w:top w:val="none" w:sz="0" w:space="0" w:color="auto"/>
                <w:left w:val="none" w:sz="0" w:space="0" w:color="auto"/>
                <w:bottom w:val="none" w:sz="0" w:space="0" w:color="auto"/>
                <w:right w:val="none" w:sz="0" w:space="0" w:color="auto"/>
              </w:divBdr>
            </w:div>
            <w:div w:id="412505870">
              <w:marLeft w:val="0"/>
              <w:marRight w:val="0"/>
              <w:marTop w:val="0"/>
              <w:marBottom w:val="0"/>
              <w:divBdr>
                <w:top w:val="none" w:sz="0" w:space="0" w:color="auto"/>
                <w:left w:val="none" w:sz="0" w:space="0" w:color="auto"/>
                <w:bottom w:val="none" w:sz="0" w:space="0" w:color="auto"/>
                <w:right w:val="none" w:sz="0" w:space="0" w:color="auto"/>
              </w:divBdr>
            </w:div>
            <w:div w:id="145628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5056">
      <w:bodyDiv w:val="1"/>
      <w:marLeft w:val="0"/>
      <w:marRight w:val="0"/>
      <w:marTop w:val="0"/>
      <w:marBottom w:val="0"/>
      <w:divBdr>
        <w:top w:val="none" w:sz="0" w:space="0" w:color="auto"/>
        <w:left w:val="none" w:sz="0" w:space="0" w:color="auto"/>
        <w:bottom w:val="none" w:sz="0" w:space="0" w:color="auto"/>
        <w:right w:val="none" w:sz="0" w:space="0" w:color="auto"/>
      </w:divBdr>
    </w:div>
    <w:div w:id="199637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p@mrc.soton.ac.uk"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uk/government/statistics/english-indices-of-deprivation-20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hare-project.org/nc/publications/books0.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org/en/development/desa/population/publications/ageing/WorldPopulationAgeingReport2013.shtml" TargetMode="External"/><Relationship Id="rId4" Type="http://schemas.openxmlformats.org/officeDocument/2006/relationships/settings" Target="settings.xml"/><Relationship Id="rId9" Type="http://schemas.openxmlformats.org/officeDocument/2006/relationships/hyperlink" Target="http://dx.doi.org/10.1787/pension_glance-2011-6-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6633</Words>
  <Characters>37812</Characters>
  <Application>Microsoft Office Word</Application>
  <DocSecurity>4</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Coggon</dc:creator>
  <cp:lastModifiedBy>Karen Drake</cp:lastModifiedBy>
  <cp:revision>2</cp:revision>
  <cp:lastPrinted>2016-04-19T14:46:00Z</cp:lastPrinted>
  <dcterms:created xsi:type="dcterms:W3CDTF">2016-04-19T14:50:00Z</dcterms:created>
  <dcterms:modified xsi:type="dcterms:W3CDTF">2016-04-19T14:50:00Z</dcterms:modified>
</cp:coreProperties>
</file>