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D9182" w14:textId="592D428D" w:rsidR="0016670D" w:rsidRPr="0097373B" w:rsidRDefault="00813E23" w:rsidP="001D2514">
      <w:pPr>
        <w:widowControl w:val="0"/>
        <w:autoSpaceDE w:val="0"/>
        <w:autoSpaceDN w:val="0"/>
        <w:adjustRightInd w:val="0"/>
        <w:spacing w:line="480" w:lineRule="auto"/>
        <w:jc w:val="both"/>
        <w:rPr>
          <w:rFonts w:ascii="Times New Roman" w:hAnsi="Times New Roman" w:cs="Times New Roman"/>
          <w:b/>
        </w:rPr>
      </w:pPr>
      <w:bookmarkStart w:id="0" w:name="_GoBack"/>
      <w:bookmarkEnd w:id="0"/>
      <w:r w:rsidRPr="0097373B">
        <w:rPr>
          <w:rFonts w:ascii="Times New Roman" w:hAnsi="Times New Roman" w:cs="Times New Roman"/>
          <w:b/>
        </w:rPr>
        <w:t>Association between</w:t>
      </w:r>
      <w:r w:rsidR="00376761" w:rsidRPr="0097373B">
        <w:rPr>
          <w:rFonts w:ascii="Times New Roman" w:hAnsi="Times New Roman" w:cs="Times New Roman"/>
          <w:b/>
        </w:rPr>
        <w:t xml:space="preserve"> </w:t>
      </w:r>
      <w:r w:rsidR="001520D4" w:rsidRPr="0097373B">
        <w:rPr>
          <w:rFonts w:ascii="Times New Roman" w:hAnsi="Times New Roman" w:cs="Times New Roman"/>
          <w:b/>
        </w:rPr>
        <w:t xml:space="preserve">overweight and obesity </w:t>
      </w:r>
      <w:r w:rsidRPr="0097373B">
        <w:rPr>
          <w:rFonts w:ascii="Times New Roman" w:hAnsi="Times New Roman" w:cs="Times New Roman"/>
          <w:b/>
        </w:rPr>
        <w:t>and</w:t>
      </w:r>
      <w:r w:rsidR="001520D4" w:rsidRPr="0097373B">
        <w:rPr>
          <w:rFonts w:ascii="Times New Roman" w:hAnsi="Times New Roman" w:cs="Times New Roman"/>
          <w:b/>
        </w:rPr>
        <w:t xml:space="preserve"> risk of </w:t>
      </w:r>
      <w:r w:rsidR="00D07F32" w:rsidRPr="0097373B">
        <w:rPr>
          <w:rFonts w:ascii="Times New Roman" w:hAnsi="Times New Roman" w:cs="Times New Roman"/>
          <w:b/>
        </w:rPr>
        <w:t xml:space="preserve">clinically diagnosed </w:t>
      </w:r>
      <w:r w:rsidR="00376761" w:rsidRPr="0097373B">
        <w:rPr>
          <w:rFonts w:ascii="Times New Roman" w:hAnsi="Times New Roman" w:cs="Times New Roman"/>
          <w:b/>
        </w:rPr>
        <w:t>knee, hip</w:t>
      </w:r>
      <w:r w:rsidR="001520D4" w:rsidRPr="0097373B">
        <w:rPr>
          <w:rFonts w:ascii="Times New Roman" w:hAnsi="Times New Roman" w:cs="Times New Roman"/>
          <w:b/>
        </w:rPr>
        <w:t>,</w:t>
      </w:r>
      <w:r w:rsidR="00F47FA5" w:rsidRPr="0097373B">
        <w:rPr>
          <w:rFonts w:ascii="Times New Roman" w:hAnsi="Times New Roman" w:cs="Times New Roman"/>
          <w:b/>
        </w:rPr>
        <w:t xml:space="preserve"> and hand osteoarthritis</w:t>
      </w:r>
      <w:r w:rsidR="00802E81" w:rsidRPr="0097373B">
        <w:rPr>
          <w:rFonts w:ascii="Times New Roman" w:hAnsi="Times New Roman" w:cs="Times New Roman"/>
          <w:b/>
        </w:rPr>
        <w:t xml:space="preserve">: a </w:t>
      </w:r>
      <w:r w:rsidR="001520D4" w:rsidRPr="0097373B">
        <w:rPr>
          <w:rFonts w:ascii="Times New Roman" w:hAnsi="Times New Roman" w:cs="Times New Roman"/>
          <w:b/>
        </w:rPr>
        <w:t xml:space="preserve">population-based </w:t>
      </w:r>
      <w:r w:rsidR="00802E81" w:rsidRPr="0097373B">
        <w:rPr>
          <w:rFonts w:ascii="Times New Roman" w:hAnsi="Times New Roman" w:cs="Times New Roman"/>
          <w:b/>
        </w:rPr>
        <w:t>cohort study.</w:t>
      </w:r>
    </w:p>
    <w:p w14:paraId="59E4BFA7" w14:textId="77777777" w:rsidR="00907E87" w:rsidRPr="0097373B" w:rsidRDefault="00907E87" w:rsidP="001D2514">
      <w:pPr>
        <w:widowControl w:val="0"/>
        <w:autoSpaceDE w:val="0"/>
        <w:autoSpaceDN w:val="0"/>
        <w:adjustRightInd w:val="0"/>
        <w:spacing w:line="480" w:lineRule="auto"/>
        <w:jc w:val="both"/>
        <w:rPr>
          <w:rFonts w:ascii="Times New Roman" w:hAnsi="Times New Roman" w:cs="Times New Roman"/>
          <w:b/>
        </w:rPr>
      </w:pPr>
    </w:p>
    <w:p w14:paraId="72C46A81" w14:textId="41295BDC" w:rsidR="00C15B10" w:rsidRPr="0097373B" w:rsidRDefault="004A059B" w:rsidP="001D2514">
      <w:pPr>
        <w:widowControl w:val="0"/>
        <w:autoSpaceDE w:val="0"/>
        <w:autoSpaceDN w:val="0"/>
        <w:adjustRightInd w:val="0"/>
        <w:spacing w:line="480" w:lineRule="auto"/>
        <w:jc w:val="both"/>
        <w:rPr>
          <w:rFonts w:ascii="Times New Roman" w:hAnsi="Times New Roman" w:cs="Times New Roman"/>
          <w:b/>
        </w:rPr>
      </w:pPr>
      <w:r w:rsidRPr="0097373B">
        <w:rPr>
          <w:rFonts w:ascii="Times New Roman" w:hAnsi="Times New Roman" w:cs="Times New Roman"/>
          <w:b/>
        </w:rPr>
        <w:t>Running Head :</w:t>
      </w:r>
      <w:r w:rsidR="006C530D" w:rsidRPr="0097373B">
        <w:rPr>
          <w:rFonts w:ascii="Times New Roman" w:hAnsi="Times New Roman" w:cs="Times New Roman"/>
          <w:b/>
        </w:rPr>
        <w:t xml:space="preserve"> Overweight/obesity and the risk of developing osteoarthritis</w:t>
      </w:r>
    </w:p>
    <w:p w14:paraId="52BA8DF5" w14:textId="77777777" w:rsidR="00907E87" w:rsidRPr="0097373B" w:rsidRDefault="00907E87" w:rsidP="001D2514">
      <w:pPr>
        <w:widowControl w:val="0"/>
        <w:autoSpaceDE w:val="0"/>
        <w:autoSpaceDN w:val="0"/>
        <w:adjustRightInd w:val="0"/>
        <w:spacing w:line="480" w:lineRule="auto"/>
        <w:jc w:val="both"/>
        <w:rPr>
          <w:rFonts w:ascii="Times New Roman" w:hAnsi="Times New Roman" w:cs="Times New Roman"/>
          <w:b/>
        </w:rPr>
      </w:pPr>
    </w:p>
    <w:p w14:paraId="33B49714" w14:textId="77777777" w:rsidR="0016670D" w:rsidRPr="0097373B" w:rsidRDefault="0016670D" w:rsidP="001D2514">
      <w:pPr>
        <w:widowControl w:val="0"/>
        <w:autoSpaceDE w:val="0"/>
        <w:autoSpaceDN w:val="0"/>
        <w:adjustRightInd w:val="0"/>
        <w:spacing w:line="480" w:lineRule="auto"/>
        <w:jc w:val="both"/>
        <w:rPr>
          <w:rFonts w:ascii="Times New Roman" w:hAnsi="Times New Roman" w:cs="Times New Roman"/>
          <w:b/>
        </w:rPr>
      </w:pPr>
      <w:r w:rsidRPr="0097373B">
        <w:rPr>
          <w:rFonts w:ascii="Times New Roman" w:hAnsi="Times New Roman" w:cs="Times New Roman"/>
          <w:b/>
        </w:rPr>
        <w:t xml:space="preserve">Authors: </w:t>
      </w:r>
    </w:p>
    <w:p w14:paraId="2AE93F3E" w14:textId="70C8A958" w:rsidR="00E834EB" w:rsidRPr="0097373B" w:rsidRDefault="0016670D" w:rsidP="001D2514">
      <w:pPr>
        <w:widowControl w:val="0"/>
        <w:autoSpaceDE w:val="0"/>
        <w:autoSpaceDN w:val="0"/>
        <w:adjustRightInd w:val="0"/>
        <w:spacing w:line="480" w:lineRule="auto"/>
        <w:jc w:val="both"/>
        <w:rPr>
          <w:rFonts w:ascii="Times New Roman" w:hAnsi="Times New Roman" w:cs="Times New Roman"/>
        </w:rPr>
      </w:pPr>
      <w:r w:rsidRPr="0097373B">
        <w:rPr>
          <w:rFonts w:ascii="Times New Roman" w:hAnsi="Times New Roman" w:cs="Times New Roman"/>
        </w:rPr>
        <w:t>C</w:t>
      </w:r>
      <w:r w:rsidR="0098624D" w:rsidRPr="0097373B">
        <w:rPr>
          <w:rFonts w:ascii="Times New Roman" w:hAnsi="Times New Roman" w:cs="Times New Roman"/>
        </w:rPr>
        <w:t>arlen</w:t>
      </w:r>
      <w:r w:rsidR="00F35363" w:rsidRPr="0097373B">
        <w:rPr>
          <w:rFonts w:ascii="Times New Roman" w:hAnsi="Times New Roman" w:cs="Times New Roman"/>
        </w:rPr>
        <w:t xml:space="preserve"> </w:t>
      </w:r>
      <w:r w:rsidRPr="0097373B">
        <w:rPr>
          <w:rFonts w:ascii="Times New Roman" w:hAnsi="Times New Roman" w:cs="Times New Roman"/>
        </w:rPr>
        <w:t>Reyes</w:t>
      </w:r>
      <w:r w:rsidR="001A5532" w:rsidRPr="0097373B">
        <w:rPr>
          <w:rFonts w:ascii="Times New Roman" w:hAnsi="Times New Roman" w:cs="Times New Roman"/>
        </w:rPr>
        <w:t xml:space="preserve">, MD, PhD </w:t>
      </w:r>
      <w:r w:rsidRPr="0097373B">
        <w:rPr>
          <w:rFonts w:ascii="Times New Roman" w:hAnsi="Times New Roman" w:cs="Times New Roman"/>
          <w:vertAlign w:val="superscript"/>
        </w:rPr>
        <w:t>1</w:t>
      </w:r>
      <w:r w:rsidR="0098624D" w:rsidRPr="0097373B">
        <w:rPr>
          <w:rFonts w:ascii="Times New Roman" w:hAnsi="Times New Roman" w:cs="Times New Roman"/>
        </w:rPr>
        <w:t>, Kirsten M Leyland, DPhil</w:t>
      </w:r>
      <w:r w:rsidR="00D84ADC" w:rsidRPr="0097373B">
        <w:rPr>
          <w:rFonts w:ascii="Times New Roman" w:hAnsi="Times New Roman" w:cs="Times New Roman"/>
          <w:vertAlign w:val="superscript"/>
        </w:rPr>
        <w:t>2</w:t>
      </w:r>
      <w:r w:rsidR="003F1ED5" w:rsidRPr="0097373B">
        <w:rPr>
          <w:rFonts w:ascii="Times New Roman" w:hAnsi="Times New Roman" w:cs="Times New Roman"/>
          <w:vertAlign w:val="superscript"/>
        </w:rPr>
        <w:t>,5</w:t>
      </w:r>
      <w:r w:rsidR="008E001D" w:rsidRPr="0097373B">
        <w:rPr>
          <w:rFonts w:ascii="Times New Roman" w:hAnsi="Times New Roman" w:cs="Times New Roman"/>
        </w:rPr>
        <w:t xml:space="preserve">, </w:t>
      </w:r>
      <w:r w:rsidR="00D07F32" w:rsidRPr="0097373B">
        <w:rPr>
          <w:rFonts w:ascii="Times New Roman" w:hAnsi="Times New Roman" w:cs="Times New Roman"/>
        </w:rPr>
        <w:t>G</w:t>
      </w:r>
      <w:r w:rsidR="0098624D" w:rsidRPr="0097373B">
        <w:rPr>
          <w:rFonts w:ascii="Times New Roman" w:hAnsi="Times New Roman" w:cs="Times New Roman"/>
        </w:rPr>
        <w:t>eorge</w:t>
      </w:r>
      <w:r w:rsidR="00F35363" w:rsidRPr="0097373B">
        <w:rPr>
          <w:rFonts w:ascii="Times New Roman" w:hAnsi="Times New Roman" w:cs="Times New Roman"/>
        </w:rPr>
        <w:t xml:space="preserve"> </w:t>
      </w:r>
      <w:r w:rsidR="00D07F32" w:rsidRPr="0097373B">
        <w:rPr>
          <w:rFonts w:ascii="Times New Roman" w:hAnsi="Times New Roman" w:cs="Times New Roman"/>
        </w:rPr>
        <w:t>Peat</w:t>
      </w:r>
      <w:r w:rsidR="001A5532" w:rsidRPr="0097373B">
        <w:rPr>
          <w:rFonts w:ascii="Times New Roman" w:hAnsi="Times New Roman" w:cs="Times New Roman"/>
        </w:rPr>
        <w:t xml:space="preserve">, PhD, MCSP </w:t>
      </w:r>
      <w:r w:rsidR="00D84ADC" w:rsidRPr="0097373B">
        <w:rPr>
          <w:rFonts w:ascii="Times New Roman" w:hAnsi="Times New Roman" w:cs="Times New Roman"/>
          <w:vertAlign w:val="superscript"/>
        </w:rPr>
        <w:t>3</w:t>
      </w:r>
      <w:r w:rsidR="00D07F32" w:rsidRPr="0097373B">
        <w:rPr>
          <w:rFonts w:ascii="Times New Roman" w:hAnsi="Times New Roman" w:cs="Times New Roman"/>
        </w:rPr>
        <w:t xml:space="preserve">, </w:t>
      </w:r>
      <w:r w:rsidR="0098624D" w:rsidRPr="0097373B">
        <w:rPr>
          <w:rFonts w:ascii="Times New Roman" w:hAnsi="Times New Roman" w:cs="Times New Roman"/>
        </w:rPr>
        <w:t>Cyrus Cooper, MA, DM, FRCP, FFPH, FMedSci</w:t>
      </w:r>
      <w:r w:rsidR="00D84ADC" w:rsidRPr="0097373B">
        <w:rPr>
          <w:rFonts w:ascii="Times New Roman" w:hAnsi="Times New Roman" w:cs="Times New Roman"/>
          <w:vertAlign w:val="superscript"/>
        </w:rPr>
        <w:t>4,5</w:t>
      </w:r>
      <w:r w:rsidR="0098624D" w:rsidRPr="0097373B">
        <w:rPr>
          <w:rFonts w:ascii="Times New Roman" w:hAnsi="Times New Roman" w:cs="Times New Roman"/>
        </w:rPr>
        <w:t>, Nigel K Arden, MBBS, FRCP, MSc, MD</w:t>
      </w:r>
      <w:r w:rsidR="003F1ED5" w:rsidRPr="0097373B">
        <w:rPr>
          <w:rFonts w:ascii="Times New Roman" w:hAnsi="Times New Roman" w:cs="Times New Roman"/>
          <w:vertAlign w:val="superscript"/>
        </w:rPr>
        <w:t>2</w:t>
      </w:r>
      <w:r w:rsidR="00D84ADC" w:rsidRPr="0097373B">
        <w:rPr>
          <w:rFonts w:ascii="Times New Roman" w:hAnsi="Times New Roman" w:cs="Times New Roman"/>
          <w:vertAlign w:val="superscript"/>
        </w:rPr>
        <w:t>,</w:t>
      </w:r>
      <w:r w:rsidR="009329BB" w:rsidRPr="0097373B">
        <w:rPr>
          <w:rFonts w:ascii="Times New Roman" w:hAnsi="Times New Roman" w:cs="Times New Roman"/>
          <w:vertAlign w:val="superscript"/>
        </w:rPr>
        <w:t>4,</w:t>
      </w:r>
      <w:r w:rsidR="00D84ADC" w:rsidRPr="0097373B">
        <w:rPr>
          <w:rFonts w:ascii="Times New Roman" w:hAnsi="Times New Roman" w:cs="Times New Roman"/>
          <w:vertAlign w:val="superscript"/>
        </w:rPr>
        <w:t>5</w:t>
      </w:r>
      <w:r w:rsidR="001520D4" w:rsidRPr="0097373B">
        <w:rPr>
          <w:rFonts w:ascii="Times New Roman" w:hAnsi="Times New Roman" w:cs="Times New Roman"/>
        </w:rPr>
        <w:t xml:space="preserve"> and </w:t>
      </w:r>
      <w:r w:rsidR="006F2D60" w:rsidRPr="00791E48">
        <w:rPr>
          <w:rFonts w:ascii="Times New Roman" w:hAnsi="Times New Roman" w:cs="Times New Roman"/>
        </w:rPr>
        <w:t>Daniel</w:t>
      </w:r>
      <w:r w:rsidR="006F2D60">
        <w:rPr>
          <w:rFonts w:ascii="Times New Roman" w:hAnsi="Times New Roman" w:cs="Times New Roman"/>
        </w:rPr>
        <w:t xml:space="preserve"> </w:t>
      </w:r>
      <w:r w:rsidR="0098624D" w:rsidRPr="0097373B">
        <w:rPr>
          <w:rFonts w:ascii="Times New Roman" w:hAnsi="Times New Roman" w:cs="Times New Roman"/>
        </w:rPr>
        <w:t>Prieto-Alhambra, MD, PhD</w:t>
      </w:r>
      <w:r w:rsidRPr="0097373B">
        <w:rPr>
          <w:rFonts w:ascii="Times New Roman" w:hAnsi="Times New Roman" w:cs="Times New Roman"/>
          <w:vertAlign w:val="superscript"/>
        </w:rPr>
        <w:t>1</w:t>
      </w:r>
      <w:r w:rsidR="00D07F32" w:rsidRPr="0097373B">
        <w:rPr>
          <w:rFonts w:ascii="Times New Roman" w:hAnsi="Times New Roman" w:cs="Times New Roman"/>
          <w:vertAlign w:val="superscript"/>
        </w:rPr>
        <w:t>,</w:t>
      </w:r>
      <w:r w:rsidR="00D84ADC" w:rsidRPr="0097373B">
        <w:rPr>
          <w:rFonts w:ascii="Times New Roman" w:hAnsi="Times New Roman" w:cs="Times New Roman"/>
          <w:vertAlign w:val="superscript"/>
        </w:rPr>
        <w:t>4-6</w:t>
      </w:r>
      <w:r w:rsidR="001520D4" w:rsidRPr="0097373B">
        <w:rPr>
          <w:rFonts w:ascii="Times New Roman" w:hAnsi="Times New Roman" w:cs="Times New Roman"/>
          <w:vertAlign w:val="superscript"/>
        </w:rPr>
        <w:t xml:space="preserve"> </w:t>
      </w:r>
      <w:r w:rsidR="001520D4" w:rsidRPr="0097373B">
        <w:rPr>
          <w:rFonts w:ascii="Times New Roman" w:hAnsi="Times New Roman" w:cs="Times New Roman"/>
          <w:vertAlign w:val="superscript"/>
        </w:rPr>
        <w:sym w:font="Wingdings" w:char="F02A"/>
      </w:r>
    </w:p>
    <w:p w14:paraId="6E816A75" w14:textId="2D933C85" w:rsidR="00864503" w:rsidRPr="0097373B" w:rsidRDefault="00864503" w:rsidP="001D2514">
      <w:pPr>
        <w:widowControl w:val="0"/>
        <w:autoSpaceDE w:val="0"/>
        <w:autoSpaceDN w:val="0"/>
        <w:adjustRightInd w:val="0"/>
        <w:spacing w:line="480" w:lineRule="auto"/>
        <w:jc w:val="both"/>
        <w:rPr>
          <w:rFonts w:ascii="Times New Roman" w:hAnsi="Times New Roman" w:cs="Times New Roman"/>
        </w:rPr>
      </w:pPr>
    </w:p>
    <w:p w14:paraId="7A4DB62C" w14:textId="665823B2" w:rsidR="0016670D" w:rsidRPr="0097373B" w:rsidRDefault="0016670D" w:rsidP="001D2514">
      <w:pPr>
        <w:spacing w:line="480" w:lineRule="auto"/>
        <w:jc w:val="both"/>
        <w:rPr>
          <w:rFonts w:ascii="Times New Roman" w:eastAsia="Arial Unicode MS" w:hAnsi="Times New Roman" w:cs="Times New Roman"/>
          <w:color w:val="000000"/>
          <w:kern w:val="1"/>
          <w:lang w:val="es-ES"/>
        </w:rPr>
      </w:pPr>
      <w:r w:rsidRPr="0097373B">
        <w:rPr>
          <w:rFonts w:ascii="Times New Roman" w:eastAsia="Arial Unicode MS" w:hAnsi="Times New Roman" w:cs="Times New Roman"/>
          <w:color w:val="000000"/>
          <w:kern w:val="1"/>
          <w:lang w:val="es-ES"/>
        </w:rPr>
        <w:t xml:space="preserve">1 </w:t>
      </w:r>
      <w:r w:rsidR="00144030" w:rsidRPr="0097373B">
        <w:rPr>
          <w:rFonts w:ascii="Times New Roman" w:eastAsia="Arial Unicode MS" w:hAnsi="Times New Roman" w:cs="Times New Roman"/>
          <w:color w:val="000000"/>
          <w:kern w:val="1"/>
          <w:lang w:val="es-ES"/>
        </w:rPr>
        <w:t>–</w:t>
      </w:r>
      <w:r w:rsidRPr="0097373B">
        <w:rPr>
          <w:rFonts w:ascii="Times New Roman" w:eastAsia="Arial Unicode MS" w:hAnsi="Times New Roman" w:cs="Times New Roman"/>
          <w:color w:val="000000"/>
          <w:kern w:val="1"/>
          <w:lang w:val="es-ES"/>
        </w:rPr>
        <w:t xml:space="preserve"> </w:t>
      </w:r>
      <w:r w:rsidR="00144030" w:rsidRPr="0097373B">
        <w:rPr>
          <w:rFonts w:ascii="Times New Roman" w:eastAsia="Arial Unicode MS" w:hAnsi="Times New Roman" w:cs="Times New Roman"/>
          <w:color w:val="000000"/>
          <w:kern w:val="1"/>
          <w:lang w:val="es-ES"/>
        </w:rPr>
        <w:t xml:space="preserve">GREMPAL Research Group, </w:t>
      </w:r>
      <w:r w:rsidRPr="0097373B">
        <w:rPr>
          <w:rFonts w:ascii="Times New Roman" w:eastAsia="Arial Unicode MS" w:hAnsi="Times New Roman" w:cs="Times New Roman"/>
          <w:color w:val="000000"/>
          <w:kern w:val="1"/>
          <w:lang w:val="es-ES"/>
        </w:rPr>
        <w:t>Institut Universitari d’Investigació en Atenció Primària Jordi Gol (IDIAP Jordi Gol)</w:t>
      </w:r>
      <w:r w:rsidR="00144030" w:rsidRPr="0097373B">
        <w:rPr>
          <w:rFonts w:ascii="Times New Roman" w:eastAsia="Arial Unicode MS" w:hAnsi="Times New Roman" w:cs="Times New Roman"/>
          <w:color w:val="000000"/>
          <w:kern w:val="1"/>
          <w:lang w:val="es-ES"/>
        </w:rPr>
        <w:t>,</w:t>
      </w:r>
      <w:r w:rsidR="001875A2" w:rsidRPr="0097373B">
        <w:rPr>
          <w:rFonts w:ascii="Times New Roman" w:eastAsia="Arial Unicode MS" w:hAnsi="Times New Roman" w:cs="Times New Roman"/>
          <w:color w:val="000000"/>
          <w:kern w:val="1"/>
          <w:lang w:val="es-ES"/>
        </w:rPr>
        <w:t xml:space="preserve"> </w:t>
      </w:r>
      <w:r w:rsidR="00144030" w:rsidRPr="0097373B">
        <w:rPr>
          <w:rFonts w:ascii="Times New Roman" w:eastAsia="Arial Unicode MS" w:hAnsi="Times New Roman" w:cs="Times New Roman"/>
          <w:color w:val="000000"/>
          <w:kern w:val="1"/>
          <w:lang w:val="es-ES"/>
        </w:rPr>
        <w:t>Universitat Autònoma de Barcelona,</w:t>
      </w:r>
      <w:r w:rsidRPr="0097373B">
        <w:rPr>
          <w:rFonts w:ascii="Times New Roman" w:eastAsia="Arial Unicode MS" w:hAnsi="Times New Roman" w:cs="Times New Roman"/>
          <w:color w:val="000000"/>
          <w:kern w:val="1"/>
          <w:lang w:val="es-ES"/>
        </w:rPr>
        <w:t xml:space="preserve"> </w:t>
      </w:r>
      <w:r w:rsidR="00144030" w:rsidRPr="0097373B">
        <w:rPr>
          <w:rFonts w:ascii="Times New Roman" w:eastAsia="Arial Unicode MS" w:hAnsi="Times New Roman" w:cs="Times New Roman"/>
          <w:color w:val="000000"/>
          <w:kern w:val="1"/>
          <w:lang w:val="es-ES"/>
        </w:rPr>
        <w:t>Barcelona</w:t>
      </w:r>
      <w:r w:rsidRPr="0097373B">
        <w:rPr>
          <w:rFonts w:ascii="Times New Roman" w:eastAsia="Arial Unicode MS" w:hAnsi="Times New Roman" w:cs="Times New Roman"/>
          <w:color w:val="000000"/>
          <w:kern w:val="1"/>
          <w:lang w:val="es-ES"/>
        </w:rPr>
        <w:t>, Spain</w:t>
      </w:r>
      <w:r w:rsidR="00FA0649" w:rsidRPr="0097373B">
        <w:rPr>
          <w:rFonts w:ascii="Times New Roman" w:eastAsia="Arial Unicode MS" w:hAnsi="Times New Roman" w:cs="Times New Roman"/>
          <w:color w:val="000000"/>
          <w:kern w:val="1"/>
          <w:lang w:val="es-ES"/>
        </w:rPr>
        <w:t>.</w:t>
      </w:r>
    </w:p>
    <w:p w14:paraId="0B047CD1" w14:textId="225D6E98" w:rsidR="00905D1C" w:rsidRPr="0097373B" w:rsidRDefault="00D84ADC" w:rsidP="001D2514">
      <w:pPr>
        <w:spacing w:line="480" w:lineRule="auto"/>
        <w:jc w:val="both"/>
        <w:rPr>
          <w:rFonts w:ascii="Times New Roman" w:eastAsia="Arial Unicode MS" w:hAnsi="Times New Roman" w:cs="Times New Roman"/>
          <w:color w:val="000000"/>
          <w:kern w:val="1"/>
        </w:rPr>
      </w:pPr>
      <w:r w:rsidRPr="0097373B">
        <w:rPr>
          <w:rFonts w:ascii="Times New Roman" w:eastAsia="Arial Unicode MS" w:hAnsi="Times New Roman" w:cs="Times New Roman"/>
          <w:color w:val="000000"/>
          <w:kern w:val="1"/>
        </w:rPr>
        <w:t xml:space="preserve">2- </w:t>
      </w:r>
      <w:r w:rsidR="003F1ED5" w:rsidRPr="0097373B">
        <w:rPr>
          <w:rFonts w:ascii="Times New Roman" w:eastAsia="Arial Unicode MS" w:hAnsi="Times New Roman" w:cs="Times New Roman"/>
          <w:color w:val="000000"/>
          <w:kern w:val="1"/>
        </w:rPr>
        <w:t>Arthritis Research UK Centre for Sport, Exercise and Osteoarthritis, University of Oxford, Oxford, U</w:t>
      </w:r>
      <w:r w:rsidR="00B0539F" w:rsidRPr="0097373B">
        <w:rPr>
          <w:rFonts w:ascii="Times New Roman" w:eastAsia="Arial Unicode MS" w:hAnsi="Times New Roman" w:cs="Times New Roman"/>
          <w:color w:val="000000"/>
          <w:kern w:val="1"/>
        </w:rPr>
        <w:t xml:space="preserve">nited </w:t>
      </w:r>
      <w:r w:rsidR="003F1ED5" w:rsidRPr="0097373B">
        <w:rPr>
          <w:rFonts w:ascii="Times New Roman" w:eastAsia="Arial Unicode MS" w:hAnsi="Times New Roman" w:cs="Times New Roman"/>
          <w:color w:val="000000"/>
          <w:kern w:val="1"/>
        </w:rPr>
        <w:t>K</w:t>
      </w:r>
      <w:r w:rsidR="00B0539F" w:rsidRPr="0097373B">
        <w:rPr>
          <w:rFonts w:ascii="Times New Roman" w:eastAsia="Arial Unicode MS" w:hAnsi="Times New Roman" w:cs="Times New Roman"/>
          <w:color w:val="000000"/>
          <w:kern w:val="1"/>
        </w:rPr>
        <w:t>ingdom.</w:t>
      </w:r>
    </w:p>
    <w:p w14:paraId="2B1E30A4" w14:textId="29609A1A" w:rsidR="0016670D" w:rsidRPr="0097373B" w:rsidRDefault="00D84ADC" w:rsidP="001D2514">
      <w:pPr>
        <w:spacing w:line="480" w:lineRule="auto"/>
        <w:jc w:val="both"/>
        <w:rPr>
          <w:rFonts w:ascii="Times New Roman" w:eastAsia="Arial Unicode MS" w:hAnsi="Times New Roman" w:cs="Times New Roman"/>
          <w:color w:val="000000"/>
          <w:kern w:val="1"/>
        </w:rPr>
      </w:pPr>
      <w:r w:rsidRPr="0097373B">
        <w:rPr>
          <w:rFonts w:ascii="Times New Roman" w:eastAsia="Arial Unicode MS" w:hAnsi="Times New Roman" w:cs="Times New Roman"/>
          <w:color w:val="000000"/>
          <w:kern w:val="1"/>
        </w:rPr>
        <w:t>3</w:t>
      </w:r>
      <w:r w:rsidR="0016670D" w:rsidRPr="0097373B">
        <w:rPr>
          <w:rFonts w:ascii="Times New Roman" w:eastAsia="Arial Unicode MS" w:hAnsi="Times New Roman" w:cs="Times New Roman"/>
          <w:color w:val="000000"/>
          <w:kern w:val="1"/>
        </w:rPr>
        <w:t xml:space="preserve">- </w:t>
      </w:r>
      <w:r w:rsidR="00C256F3" w:rsidRPr="0097373B">
        <w:rPr>
          <w:rFonts w:ascii="Times New Roman" w:eastAsia="Arial Unicode MS" w:hAnsi="Times New Roman" w:cs="Times New Roman"/>
          <w:color w:val="000000"/>
          <w:kern w:val="1"/>
        </w:rPr>
        <w:t xml:space="preserve">Research Institute for Primary Care &amp; Health Sciences, </w:t>
      </w:r>
      <w:r w:rsidR="00D07F32" w:rsidRPr="0097373B">
        <w:rPr>
          <w:rFonts w:ascii="Times New Roman" w:eastAsia="Arial Unicode MS" w:hAnsi="Times New Roman" w:cs="Times New Roman"/>
          <w:color w:val="000000"/>
          <w:kern w:val="1"/>
        </w:rPr>
        <w:t>Keele University</w:t>
      </w:r>
      <w:r w:rsidR="001875A2" w:rsidRPr="0097373B">
        <w:rPr>
          <w:rFonts w:ascii="Times New Roman" w:eastAsia="Arial Unicode MS" w:hAnsi="Times New Roman" w:cs="Times New Roman"/>
          <w:color w:val="000000"/>
          <w:kern w:val="1"/>
        </w:rPr>
        <w:t>,</w:t>
      </w:r>
      <w:r w:rsidR="00B0539F" w:rsidRPr="0097373B">
        <w:rPr>
          <w:rFonts w:ascii="Times New Roman" w:hAnsi="Times New Roman" w:cs="Times New Roman"/>
          <w:color w:val="181818"/>
        </w:rPr>
        <w:t xml:space="preserve"> Keele, United Kingdom.</w:t>
      </w:r>
    </w:p>
    <w:p w14:paraId="403CCA9C" w14:textId="74355F1F" w:rsidR="0016670D" w:rsidRPr="0097373B" w:rsidRDefault="00D84ADC" w:rsidP="001D2514">
      <w:pPr>
        <w:widowControl w:val="0"/>
        <w:autoSpaceDE w:val="0"/>
        <w:autoSpaceDN w:val="0"/>
        <w:adjustRightInd w:val="0"/>
        <w:spacing w:line="480" w:lineRule="auto"/>
        <w:jc w:val="both"/>
        <w:rPr>
          <w:rFonts w:ascii="Times New Roman" w:eastAsia="Arial Unicode MS" w:hAnsi="Times New Roman" w:cs="Times New Roman"/>
          <w:color w:val="000000"/>
          <w:kern w:val="1"/>
        </w:rPr>
      </w:pPr>
      <w:r w:rsidRPr="0097373B">
        <w:rPr>
          <w:rFonts w:ascii="Times New Roman" w:eastAsia="Arial Unicode MS" w:hAnsi="Times New Roman" w:cs="Times New Roman"/>
          <w:color w:val="000000"/>
          <w:kern w:val="1"/>
        </w:rPr>
        <w:t>4</w:t>
      </w:r>
      <w:r w:rsidR="0016670D" w:rsidRPr="0097373B">
        <w:rPr>
          <w:rFonts w:ascii="Times New Roman" w:eastAsia="Arial Unicode MS" w:hAnsi="Times New Roman" w:cs="Times New Roman"/>
          <w:color w:val="000000"/>
          <w:kern w:val="1"/>
        </w:rPr>
        <w:t>- MRC Lifecourse Epidemiology Unit, University of Southampton</w:t>
      </w:r>
      <w:r w:rsidR="00B0539F" w:rsidRPr="0097373B">
        <w:rPr>
          <w:rFonts w:ascii="Times New Roman" w:eastAsia="Arial Unicode MS" w:hAnsi="Times New Roman" w:cs="Times New Roman"/>
          <w:color w:val="000000"/>
          <w:kern w:val="1"/>
        </w:rPr>
        <w:t xml:space="preserve">, </w:t>
      </w:r>
      <w:r w:rsidR="0016670D" w:rsidRPr="0097373B">
        <w:rPr>
          <w:rFonts w:ascii="Times New Roman" w:eastAsia="Arial Unicode MS" w:hAnsi="Times New Roman" w:cs="Times New Roman"/>
          <w:color w:val="000000"/>
          <w:kern w:val="1"/>
        </w:rPr>
        <w:t>Southampton, United Kingdom</w:t>
      </w:r>
      <w:r w:rsidR="00B0539F" w:rsidRPr="0097373B">
        <w:rPr>
          <w:rFonts w:ascii="Times New Roman" w:eastAsia="Arial Unicode MS" w:hAnsi="Times New Roman" w:cs="Times New Roman"/>
          <w:color w:val="000000"/>
          <w:kern w:val="1"/>
        </w:rPr>
        <w:t>.</w:t>
      </w:r>
    </w:p>
    <w:p w14:paraId="38F6B6C8" w14:textId="61DEB7C3" w:rsidR="00D07F32" w:rsidRPr="0097373B" w:rsidRDefault="00D84ADC" w:rsidP="001D2514">
      <w:pPr>
        <w:widowControl w:val="0"/>
        <w:autoSpaceDE w:val="0"/>
        <w:autoSpaceDN w:val="0"/>
        <w:adjustRightInd w:val="0"/>
        <w:spacing w:line="480" w:lineRule="auto"/>
        <w:jc w:val="both"/>
        <w:rPr>
          <w:rFonts w:ascii="Times New Roman" w:eastAsia="Arial Unicode MS" w:hAnsi="Times New Roman" w:cs="Times New Roman"/>
          <w:color w:val="000000"/>
          <w:kern w:val="1"/>
        </w:rPr>
      </w:pPr>
      <w:r w:rsidRPr="0097373B">
        <w:rPr>
          <w:rFonts w:ascii="Times New Roman" w:eastAsia="Arial Unicode MS" w:hAnsi="Times New Roman" w:cs="Times New Roman"/>
          <w:color w:val="000000"/>
          <w:kern w:val="1"/>
        </w:rPr>
        <w:t>5</w:t>
      </w:r>
      <w:r w:rsidR="0016670D" w:rsidRPr="0097373B">
        <w:rPr>
          <w:rFonts w:ascii="Times New Roman" w:eastAsia="Arial Unicode MS" w:hAnsi="Times New Roman" w:cs="Times New Roman"/>
          <w:color w:val="000000"/>
          <w:kern w:val="1"/>
        </w:rPr>
        <w:t>- Oxford NIHR Musculoskeletal Biomedical Research Unit, Nuffield Department of Orthopaedics, Rheumatology and Musculoskeletal Sciences, University of Oxford</w:t>
      </w:r>
      <w:r w:rsidR="00B0539F" w:rsidRPr="0097373B">
        <w:rPr>
          <w:rFonts w:ascii="Times New Roman" w:eastAsia="Arial Unicode MS" w:hAnsi="Times New Roman" w:cs="Times New Roman"/>
          <w:color w:val="000000"/>
          <w:kern w:val="1"/>
        </w:rPr>
        <w:t>, Oxford, United Kingdom.</w:t>
      </w:r>
    </w:p>
    <w:p w14:paraId="573295D1" w14:textId="04881B10" w:rsidR="00144030" w:rsidRPr="0097373B" w:rsidRDefault="00D84ADC" w:rsidP="001D2514">
      <w:pPr>
        <w:widowControl w:val="0"/>
        <w:autoSpaceDE w:val="0"/>
        <w:autoSpaceDN w:val="0"/>
        <w:adjustRightInd w:val="0"/>
        <w:spacing w:line="480" w:lineRule="auto"/>
        <w:jc w:val="both"/>
        <w:rPr>
          <w:rFonts w:ascii="Times New Roman" w:eastAsia="Arial Unicode MS" w:hAnsi="Times New Roman" w:cs="Times New Roman"/>
          <w:color w:val="000000"/>
          <w:kern w:val="1"/>
        </w:rPr>
      </w:pPr>
      <w:r w:rsidRPr="0097373B">
        <w:rPr>
          <w:rFonts w:ascii="Times New Roman" w:eastAsia="Arial Unicode MS" w:hAnsi="Times New Roman" w:cs="Times New Roman"/>
          <w:color w:val="000000"/>
          <w:kern w:val="1"/>
        </w:rPr>
        <w:t>6</w:t>
      </w:r>
      <w:r w:rsidR="00D07F32" w:rsidRPr="0097373B">
        <w:rPr>
          <w:rFonts w:ascii="Times New Roman" w:eastAsia="Arial Unicode MS" w:hAnsi="Times New Roman" w:cs="Times New Roman"/>
          <w:color w:val="000000"/>
          <w:kern w:val="1"/>
        </w:rPr>
        <w:t>- Musculoskeletal Research Unit and RETICEF, IMIM Research Foundation, Parc de Salut Mar and Instituto de Salud Carlos III, Barcelona, Spain</w:t>
      </w:r>
      <w:r w:rsidR="00B0539F" w:rsidRPr="0097373B">
        <w:rPr>
          <w:rFonts w:ascii="Times New Roman" w:eastAsia="Arial Unicode MS" w:hAnsi="Times New Roman" w:cs="Times New Roman"/>
          <w:color w:val="000000"/>
          <w:kern w:val="1"/>
        </w:rPr>
        <w:t>.</w:t>
      </w:r>
    </w:p>
    <w:p w14:paraId="00684A97" w14:textId="24679E91" w:rsidR="0016670D" w:rsidRPr="0097373B" w:rsidRDefault="0016670D" w:rsidP="001D2514">
      <w:pPr>
        <w:widowControl w:val="0"/>
        <w:autoSpaceDE w:val="0"/>
        <w:autoSpaceDN w:val="0"/>
        <w:adjustRightInd w:val="0"/>
        <w:spacing w:line="480" w:lineRule="auto"/>
        <w:jc w:val="both"/>
        <w:rPr>
          <w:rFonts w:ascii="Times New Roman" w:hAnsi="Times New Roman" w:cs="Times New Roman"/>
          <w:b/>
        </w:rPr>
      </w:pPr>
      <w:r w:rsidRPr="0097373B">
        <w:rPr>
          <w:rFonts w:ascii="Times New Roman" w:hAnsi="Times New Roman" w:cs="Times New Roman"/>
          <w:b/>
        </w:rPr>
        <w:lastRenderedPageBreak/>
        <w:t xml:space="preserve">Corresponding author: </w:t>
      </w:r>
    </w:p>
    <w:p w14:paraId="465F5160" w14:textId="402CCF97" w:rsidR="0016670D" w:rsidRPr="0097373B" w:rsidRDefault="0016670D" w:rsidP="001D2514">
      <w:pPr>
        <w:spacing w:line="480" w:lineRule="auto"/>
        <w:jc w:val="both"/>
        <w:rPr>
          <w:rFonts w:ascii="Times New Roman" w:eastAsia="Arial Unicode MS" w:hAnsi="Times New Roman" w:cs="Times New Roman"/>
          <w:color w:val="000000"/>
          <w:kern w:val="1"/>
        </w:rPr>
      </w:pPr>
      <w:r w:rsidRPr="0097373B">
        <w:rPr>
          <w:rFonts w:ascii="Times New Roman" w:eastAsia="Arial Unicode MS" w:hAnsi="Times New Roman" w:cs="Times New Roman"/>
          <w:color w:val="000000"/>
          <w:kern w:val="1"/>
        </w:rPr>
        <w:t xml:space="preserve">Daniel Prieto-Alhambra, MD </w:t>
      </w:r>
      <w:r w:rsidR="00144030" w:rsidRPr="0097373B">
        <w:rPr>
          <w:rFonts w:ascii="Times New Roman" w:eastAsia="Arial Unicode MS" w:hAnsi="Times New Roman" w:cs="Times New Roman"/>
          <w:color w:val="000000"/>
          <w:kern w:val="1"/>
        </w:rPr>
        <w:t xml:space="preserve">MSc(Oxf) </w:t>
      </w:r>
      <w:r w:rsidRPr="0097373B">
        <w:rPr>
          <w:rFonts w:ascii="Times New Roman" w:eastAsia="Arial Unicode MS" w:hAnsi="Times New Roman" w:cs="Times New Roman"/>
          <w:color w:val="000000"/>
          <w:kern w:val="1"/>
        </w:rPr>
        <w:t>PhD</w:t>
      </w:r>
    </w:p>
    <w:p w14:paraId="51C1A78A" w14:textId="21A66483" w:rsidR="0016670D" w:rsidRPr="0097373B" w:rsidRDefault="009C2876" w:rsidP="001D2514">
      <w:pPr>
        <w:spacing w:line="480" w:lineRule="auto"/>
        <w:jc w:val="both"/>
        <w:rPr>
          <w:rFonts w:ascii="Times New Roman" w:eastAsia="Arial Unicode MS" w:hAnsi="Times New Roman" w:cs="Times New Roman"/>
          <w:color w:val="000000"/>
          <w:kern w:val="1"/>
        </w:rPr>
      </w:pPr>
      <w:r w:rsidRPr="0097373B">
        <w:rPr>
          <w:rFonts w:ascii="Times New Roman" w:eastAsia="Arial Unicode MS" w:hAnsi="Times New Roman" w:cs="Times New Roman"/>
          <w:color w:val="000000"/>
          <w:kern w:val="1"/>
        </w:rPr>
        <w:t>Associate Professor</w:t>
      </w:r>
      <w:r w:rsidR="0016670D" w:rsidRPr="0097373B">
        <w:rPr>
          <w:rFonts w:ascii="Times New Roman" w:eastAsia="Arial Unicode MS" w:hAnsi="Times New Roman" w:cs="Times New Roman"/>
          <w:color w:val="000000"/>
          <w:kern w:val="1"/>
        </w:rPr>
        <w:t xml:space="preserve">, Musculoskeletal Epidemiology. </w:t>
      </w:r>
    </w:p>
    <w:p w14:paraId="0D4546E8" w14:textId="77777777" w:rsidR="0016670D" w:rsidRPr="0097373B" w:rsidRDefault="0016670D" w:rsidP="001D2514">
      <w:pPr>
        <w:spacing w:line="480" w:lineRule="auto"/>
        <w:jc w:val="both"/>
        <w:rPr>
          <w:rFonts w:ascii="Times New Roman" w:eastAsia="Arial Unicode MS" w:hAnsi="Times New Roman" w:cs="Times New Roman"/>
          <w:color w:val="000000"/>
          <w:kern w:val="1"/>
        </w:rPr>
      </w:pPr>
      <w:r w:rsidRPr="0097373B">
        <w:rPr>
          <w:rFonts w:ascii="Times New Roman" w:eastAsia="Arial Unicode MS" w:hAnsi="Times New Roman" w:cs="Times New Roman"/>
          <w:color w:val="000000"/>
          <w:kern w:val="1"/>
        </w:rPr>
        <w:t>Botnar Research Centre, Nuffield Orthopaedics Centre, Windmill Road, OX3 7LD, Oxford, United Kingdom</w:t>
      </w:r>
    </w:p>
    <w:p w14:paraId="35BDE9BB" w14:textId="77777777" w:rsidR="0016670D" w:rsidRPr="0097373B" w:rsidRDefault="0016670D" w:rsidP="001D2514">
      <w:pPr>
        <w:spacing w:line="480" w:lineRule="auto"/>
        <w:jc w:val="both"/>
        <w:rPr>
          <w:rFonts w:ascii="Times New Roman" w:eastAsia="Arial Unicode MS" w:hAnsi="Times New Roman" w:cs="Times New Roman"/>
          <w:color w:val="000000"/>
          <w:kern w:val="1"/>
        </w:rPr>
      </w:pPr>
      <w:r w:rsidRPr="0097373B">
        <w:rPr>
          <w:rFonts w:ascii="Times New Roman" w:eastAsia="Arial Unicode MS" w:hAnsi="Times New Roman" w:cs="Times New Roman"/>
          <w:color w:val="000000"/>
          <w:kern w:val="1"/>
        </w:rPr>
        <w:t>Email address: Daniel.prietoalhambra@ndorms.ox.ac.uk</w:t>
      </w:r>
    </w:p>
    <w:p w14:paraId="49527E06" w14:textId="1970D797" w:rsidR="008F4D87" w:rsidRPr="0097373B" w:rsidRDefault="0016670D" w:rsidP="001D2514">
      <w:pPr>
        <w:spacing w:line="480" w:lineRule="auto"/>
        <w:jc w:val="both"/>
        <w:rPr>
          <w:rFonts w:ascii="Times New Roman" w:eastAsia="Arial Unicode MS" w:hAnsi="Times New Roman" w:cs="Times New Roman"/>
          <w:color w:val="000000"/>
          <w:kern w:val="1"/>
        </w:rPr>
      </w:pPr>
      <w:r w:rsidRPr="0097373B">
        <w:rPr>
          <w:rFonts w:ascii="Times New Roman" w:eastAsia="Arial Unicode MS" w:hAnsi="Times New Roman" w:cs="Times New Roman"/>
          <w:color w:val="000000"/>
          <w:kern w:val="1"/>
        </w:rPr>
        <w:t>Telephone: +44 (0)1865 227374 / Fax number: +44 (0)1865 737640</w:t>
      </w:r>
    </w:p>
    <w:p w14:paraId="04CDC4AF" w14:textId="77777777" w:rsidR="00C40809" w:rsidRPr="0097373B" w:rsidRDefault="00C40809" w:rsidP="001D2514">
      <w:pPr>
        <w:spacing w:line="480" w:lineRule="auto"/>
        <w:jc w:val="both"/>
        <w:rPr>
          <w:rFonts w:ascii="Times New Roman" w:eastAsia="Arial Unicode MS" w:hAnsi="Times New Roman" w:cs="Times New Roman"/>
          <w:color w:val="000000"/>
          <w:kern w:val="1"/>
        </w:rPr>
      </w:pPr>
    </w:p>
    <w:p w14:paraId="5C9862B0" w14:textId="3B4CA37F" w:rsidR="00C40809" w:rsidRPr="0097373B" w:rsidRDefault="00B3518A" w:rsidP="001D2514">
      <w:pPr>
        <w:spacing w:line="480" w:lineRule="auto"/>
        <w:jc w:val="both"/>
        <w:rPr>
          <w:rFonts w:ascii="Times New Roman" w:eastAsia="Arial Unicode MS" w:hAnsi="Times New Roman" w:cs="Times New Roman"/>
          <w:b/>
          <w:color w:val="000000"/>
          <w:kern w:val="1"/>
        </w:rPr>
      </w:pPr>
      <w:r w:rsidRPr="0097373B">
        <w:rPr>
          <w:rFonts w:ascii="Times New Roman" w:eastAsia="Arial Unicode MS" w:hAnsi="Times New Roman" w:cs="Times New Roman"/>
          <w:b/>
          <w:color w:val="000000"/>
          <w:kern w:val="1"/>
        </w:rPr>
        <w:t>Funding</w:t>
      </w:r>
      <w:r w:rsidR="00C40809" w:rsidRPr="0097373B">
        <w:rPr>
          <w:rFonts w:ascii="Times New Roman" w:eastAsia="Arial Unicode MS" w:hAnsi="Times New Roman" w:cs="Times New Roman"/>
          <w:b/>
          <w:color w:val="000000"/>
          <w:kern w:val="1"/>
        </w:rPr>
        <w:t xml:space="preserve">: </w:t>
      </w:r>
    </w:p>
    <w:p w14:paraId="5D0ED905" w14:textId="102BF86D" w:rsidR="00C40809" w:rsidRPr="0097373B" w:rsidRDefault="00B0539F" w:rsidP="001D2514">
      <w:pPr>
        <w:spacing w:line="480" w:lineRule="auto"/>
        <w:jc w:val="both"/>
        <w:rPr>
          <w:rFonts w:ascii="Times New Roman" w:hAnsi="Times New Roman" w:cs="Times New Roman"/>
          <w:kern w:val="1"/>
        </w:rPr>
      </w:pPr>
      <w:r w:rsidRPr="0097373B">
        <w:rPr>
          <w:rFonts w:ascii="Times New Roman" w:hAnsi="Times New Roman" w:cs="Times New Roman"/>
          <w:kern w:val="1"/>
        </w:rPr>
        <w:t>Funding was received from IDIAP</w:t>
      </w:r>
      <w:r w:rsidR="00C40809" w:rsidRPr="0097373B">
        <w:rPr>
          <w:rFonts w:ascii="Times New Roman" w:hAnsi="Times New Roman" w:cs="Times New Roman"/>
          <w:kern w:val="1"/>
        </w:rPr>
        <w:t xml:space="preserve"> Jordi Gol Primary Care Research Institute. Support was also received from the Oxford NIHR Musculoskeletal Biomedical Research Unit, the University of Oxford, and the MRC Lifecourse Epidemiology Unit Southampton.  Funders had no role in the collection, management, analysis and interpretation of the data; writing of the manuscript or the decision to submit the manuscript for publication. </w:t>
      </w:r>
    </w:p>
    <w:p w14:paraId="1DA881EA" w14:textId="77777777" w:rsidR="00C40809" w:rsidRPr="0097373B" w:rsidRDefault="00C40809" w:rsidP="001D2514">
      <w:pPr>
        <w:spacing w:line="480" w:lineRule="auto"/>
        <w:jc w:val="both"/>
        <w:rPr>
          <w:rFonts w:ascii="Times New Roman" w:hAnsi="Times New Roman" w:cs="Times New Roman"/>
          <w:kern w:val="1"/>
        </w:rPr>
      </w:pPr>
    </w:p>
    <w:p w14:paraId="648CB377" w14:textId="77777777" w:rsidR="00C40809" w:rsidRPr="0097373B" w:rsidRDefault="00C40809" w:rsidP="001D2514">
      <w:pPr>
        <w:spacing w:line="480" w:lineRule="auto"/>
        <w:jc w:val="both"/>
        <w:rPr>
          <w:rFonts w:ascii="Times New Roman" w:hAnsi="Times New Roman" w:cs="Times New Roman"/>
          <w:kern w:val="1"/>
        </w:rPr>
      </w:pPr>
      <w:r w:rsidRPr="0097373B">
        <w:rPr>
          <w:rFonts w:ascii="Times New Roman" w:hAnsi="Times New Roman" w:cs="Times New Roman"/>
          <w:kern w:val="1"/>
        </w:rPr>
        <w:t xml:space="preserve">The researchers were fully independent from the funder. </w:t>
      </w:r>
    </w:p>
    <w:p w14:paraId="0E81CB99" w14:textId="77777777" w:rsidR="008F4D87" w:rsidRPr="0097373B" w:rsidRDefault="008F4D87" w:rsidP="001D2514">
      <w:pPr>
        <w:spacing w:line="480" w:lineRule="auto"/>
        <w:jc w:val="both"/>
        <w:rPr>
          <w:rFonts w:ascii="Times New Roman" w:eastAsia="Arial Unicode MS" w:hAnsi="Times New Roman" w:cs="Times New Roman"/>
          <w:color w:val="000000"/>
          <w:kern w:val="1"/>
        </w:rPr>
      </w:pPr>
    </w:p>
    <w:p w14:paraId="1B9FEB2C" w14:textId="6E26893A" w:rsidR="008F4D87" w:rsidRPr="0097373B" w:rsidRDefault="00B3518A" w:rsidP="001D2514">
      <w:pPr>
        <w:spacing w:line="480" w:lineRule="auto"/>
        <w:jc w:val="both"/>
        <w:rPr>
          <w:rFonts w:ascii="Times New Roman" w:eastAsia="Arial Unicode MS" w:hAnsi="Times New Roman" w:cs="Times New Roman"/>
          <w:b/>
          <w:color w:val="000000"/>
          <w:kern w:val="1"/>
        </w:rPr>
      </w:pPr>
      <w:r w:rsidRPr="0097373B">
        <w:rPr>
          <w:rFonts w:ascii="Times New Roman" w:eastAsia="Arial Unicode MS" w:hAnsi="Times New Roman" w:cs="Times New Roman"/>
          <w:b/>
          <w:color w:val="000000"/>
          <w:kern w:val="1"/>
        </w:rPr>
        <w:t>Disclosures</w:t>
      </w:r>
      <w:r w:rsidR="0097099C" w:rsidRPr="0097373B">
        <w:rPr>
          <w:rFonts w:ascii="Times New Roman" w:eastAsia="Arial Unicode MS" w:hAnsi="Times New Roman" w:cs="Times New Roman"/>
          <w:b/>
          <w:color w:val="000000"/>
          <w:kern w:val="1"/>
        </w:rPr>
        <w:t xml:space="preserve">: </w:t>
      </w:r>
    </w:p>
    <w:p w14:paraId="55C3ACF4" w14:textId="576B6F9A" w:rsidR="00E37487" w:rsidRPr="0097373B" w:rsidRDefault="008F4D87" w:rsidP="001D2514">
      <w:pPr>
        <w:spacing w:line="480" w:lineRule="auto"/>
        <w:jc w:val="both"/>
        <w:rPr>
          <w:rFonts w:ascii="Times New Roman" w:eastAsia="Arial Unicode MS" w:hAnsi="Times New Roman" w:cs="Times New Roman"/>
          <w:color w:val="000000"/>
          <w:kern w:val="1"/>
        </w:rPr>
      </w:pPr>
      <w:r w:rsidRPr="0097373B">
        <w:rPr>
          <w:rFonts w:ascii="Times New Roman" w:eastAsia="Arial Unicode MS" w:hAnsi="Times New Roman" w:cs="Times New Roman"/>
          <w:color w:val="000000"/>
          <w:kern w:val="1"/>
        </w:rPr>
        <w:t>CC</w:t>
      </w:r>
      <w:r w:rsidR="00AA1D37" w:rsidRPr="0097373B">
        <w:rPr>
          <w:rFonts w:ascii="Times New Roman" w:hAnsi="Times New Roman" w:cs="Times New Roman"/>
        </w:rPr>
        <w:t xml:space="preserve"> has received consultancy, lecture fees and honoraria from Alliance for Better Bone Health, Amgen, Eli Lilly, GSK, Medtronic, Merck, Novartis, Pfizer, Roche, Servier, Takeda and UCB, </w:t>
      </w:r>
      <w:r w:rsidRPr="0097373B">
        <w:rPr>
          <w:rFonts w:ascii="Times New Roman" w:eastAsia="Arial Unicode MS" w:hAnsi="Times New Roman" w:cs="Times New Roman"/>
          <w:color w:val="000000"/>
          <w:kern w:val="1"/>
        </w:rPr>
        <w:t>NKA</w:t>
      </w:r>
      <w:r w:rsidR="003871F0" w:rsidRPr="0097373B">
        <w:rPr>
          <w:rFonts w:ascii="Times New Roman" w:eastAsia="Arial Unicode MS" w:hAnsi="Times New Roman" w:cs="Times New Roman"/>
          <w:color w:val="000000"/>
          <w:kern w:val="1"/>
        </w:rPr>
        <w:t xml:space="preserve"> is consultant or lecturer for Flexion, Lilly, Merck, Q-Med, Roche and Smith &amp; Nephews, Amgen, GSK, NiCox, has received grants from Novartis, Pfizer, Shcering-Plough and Servier</w:t>
      </w:r>
      <w:r w:rsidR="009C2876" w:rsidRPr="0097373B">
        <w:rPr>
          <w:rFonts w:ascii="Times New Roman" w:eastAsia="Arial Unicode MS" w:hAnsi="Times New Roman" w:cs="Times New Roman"/>
          <w:color w:val="000000"/>
          <w:kern w:val="1"/>
        </w:rPr>
        <w:t>;</w:t>
      </w:r>
      <w:r w:rsidRPr="0097373B">
        <w:rPr>
          <w:rFonts w:ascii="Times New Roman" w:eastAsia="Arial Unicode MS" w:hAnsi="Times New Roman" w:cs="Times New Roman"/>
          <w:color w:val="000000"/>
          <w:kern w:val="1"/>
        </w:rPr>
        <w:t xml:space="preserve"> DPA</w:t>
      </w:r>
      <w:r w:rsidR="003871F0" w:rsidRPr="0097373B">
        <w:rPr>
          <w:rFonts w:ascii="Times New Roman" w:eastAsia="Arial Unicode MS" w:hAnsi="Times New Roman" w:cs="Times New Roman"/>
          <w:color w:val="000000"/>
          <w:kern w:val="1"/>
        </w:rPr>
        <w:t xml:space="preserve"> has received unrestricted research grants from BIOIBERICA SA and AMGEN</w:t>
      </w:r>
      <w:r w:rsidR="00F35363" w:rsidRPr="0097373B">
        <w:rPr>
          <w:rFonts w:ascii="Times New Roman" w:eastAsia="Arial Unicode MS" w:hAnsi="Times New Roman" w:cs="Times New Roman"/>
          <w:color w:val="000000"/>
          <w:kern w:val="1"/>
        </w:rPr>
        <w:t>.</w:t>
      </w:r>
    </w:p>
    <w:p w14:paraId="5FC2E888" w14:textId="33611F69" w:rsidR="008D3125" w:rsidRPr="0097373B" w:rsidRDefault="008D3125" w:rsidP="001D2514">
      <w:pPr>
        <w:spacing w:line="480" w:lineRule="auto"/>
        <w:jc w:val="both"/>
        <w:rPr>
          <w:rFonts w:ascii="Times New Roman" w:hAnsi="Times New Roman" w:cs="Times New Roman"/>
          <w:color w:val="262626"/>
        </w:rPr>
      </w:pPr>
    </w:p>
    <w:p w14:paraId="457ED023" w14:textId="64CB0D3F" w:rsidR="008D3125" w:rsidRPr="0097373B" w:rsidRDefault="00E37487" w:rsidP="001D2514">
      <w:pPr>
        <w:spacing w:line="480" w:lineRule="auto"/>
        <w:jc w:val="both"/>
        <w:rPr>
          <w:rFonts w:ascii="Times New Roman" w:hAnsi="Times New Roman" w:cs="Times New Roman"/>
          <w:color w:val="262626"/>
        </w:rPr>
      </w:pPr>
      <w:r w:rsidRPr="0097373B">
        <w:rPr>
          <w:rFonts w:ascii="Times New Roman" w:hAnsi="Times New Roman" w:cs="Times New Roman"/>
          <w:color w:val="262626"/>
        </w:rPr>
        <w:t>A</w:t>
      </w:r>
      <w:r w:rsidR="008D3125" w:rsidRPr="0097373B">
        <w:rPr>
          <w:rFonts w:ascii="Times New Roman" w:hAnsi="Times New Roman" w:cs="Times New Roman"/>
          <w:color w:val="262626"/>
        </w:rPr>
        <w:t>ll authors, external and internal have full access to all the data (including statistical reports and tables)</w:t>
      </w:r>
      <w:r w:rsidRPr="0097373B">
        <w:rPr>
          <w:rFonts w:ascii="Times New Roman" w:hAnsi="Times New Roman" w:cs="Times New Roman"/>
          <w:color w:val="262626"/>
        </w:rPr>
        <w:t xml:space="preserve"> </w:t>
      </w:r>
      <w:r w:rsidR="008D3125" w:rsidRPr="0097373B">
        <w:rPr>
          <w:rFonts w:ascii="Times New Roman" w:hAnsi="Times New Roman" w:cs="Times New Roman"/>
          <w:color w:val="262626"/>
        </w:rPr>
        <w:t>in the study and can take responsibility for the integrity of the data and the accuracy of the data analysis.</w:t>
      </w:r>
    </w:p>
    <w:p w14:paraId="3FBF2CD2" w14:textId="77777777" w:rsidR="009C27E4" w:rsidRPr="0097373B" w:rsidRDefault="009C27E4" w:rsidP="001D2514">
      <w:pPr>
        <w:spacing w:line="480" w:lineRule="auto"/>
        <w:jc w:val="both"/>
        <w:rPr>
          <w:rFonts w:ascii="Times New Roman" w:hAnsi="Times New Roman" w:cs="Times New Roman"/>
          <w:color w:val="262626"/>
        </w:rPr>
      </w:pPr>
    </w:p>
    <w:p w14:paraId="708880B9" w14:textId="77777777" w:rsidR="009C27E4" w:rsidRPr="0097373B" w:rsidRDefault="009C27E4" w:rsidP="001D2514">
      <w:pPr>
        <w:spacing w:line="480" w:lineRule="auto"/>
        <w:jc w:val="both"/>
        <w:rPr>
          <w:rFonts w:ascii="Times New Roman" w:hAnsi="Times New Roman" w:cs="Times New Roman"/>
          <w:kern w:val="1"/>
        </w:rPr>
      </w:pPr>
      <w:r w:rsidRPr="0097373B">
        <w:rPr>
          <w:rFonts w:ascii="Times New Roman" w:hAnsi="Times New Roman" w:cs="Times New Roman"/>
          <w:b/>
          <w:kern w:val="1"/>
        </w:rPr>
        <w:t>Acknowledgements:</w:t>
      </w:r>
      <w:r w:rsidRPr="0097373B">
        <w:rPr>
          <w:rFonts w:ascii="Times New Roman" w:hAnsi="Times New Roman" w:cs="Times New Roman"/>
          <w:kern w:val="1"/>
        </w:rPr>
        <w:t xml:space="preserve"> We gratefully thank all the health professionals involved in registering data in computerised medical records for SIDIAP (Information Systme for Development of Primary Care Research). </w:t>
      </w:r>
    </w:p>
    <w:p w14:paraId="73ED454D" w14:textId="77777777" w:rsidR="009C27E4" w:rsidRPr="0097373B" w:rsidRDefault="009C27E4" w:rsidP="001D2514">
      <w:pPr>
        <w:spacing w:line="480" w:lineRule="auto"/>
        <w:jc w:val="both"/>
        <w:rPr>
          <w:rFonts w:ascii="Times New Roman" w:hAnsi="Times New Roman" w:cs="Times New Roman"/>
          <w:color w:val="262626"/>
        </w:rPr>
      </w:pPr>
    </w:p>
    <w:p w14:paraId="6170A010" w14:textId="77777777" w:rsidR="00E37487" w:rsidRPr="0097373B" w:rsidRDefault="00E37487" w:rsidP="001D2514">
      <w:pPr>
        <w:spacing w:line="480" w:lineRule="auto"/>
        <w:jc w:val="both"/>
        <w:rPr>
          <w:rFonts w:ascii="Times New Roman" w:eastAsia="Arial Unicode MS" w:hAnsi="Times New Roman" w:cs="Times New Roman"/>
          <w:color w:val="000000"/>
          <w:kern w:val="1"/>
        </w:rPr>
      </w:pPr>
    </w:p>
    <w:p w14:paraId="2F398C72" w14:textId="77777777" w:rsidR="00B0539F" w:rsidRPr="0097373B" w:rsidRDefault="00B0539F">
      <w:pPr>
        <w:rPr>
          <w:rFonts w:ascii="Times New Roman" w:eastAsia="Arial Unicode MS" w:hAnsi="Times New Roman" w:cs="Times New Roman"/>
          <w:b/>
          <w:color w:val="000000"/>
          <w:kern w:val="1"/>
        </w:rPr>
      </w:pPr>
      <w:r w:rsidRPr="0097373B">
        <w:rPr>
          <w:rFonts w:ascii="Times New Roman" w:eastAsia="Arial Unicode MS" w:hAnsi="Times New Roman" w:cs="Times New Roman"/>
          <w:b/>
          <w:color w:val="000000"/>
          <w:kern w:val="1"/>
        </w:rPr>
        <w:br w:type="page"/>
      </w:r>
    </w:p>
    <w:p w14:paraId="467A1C88" w14:textId="5E63A18D" w:rsidR="009C27E4" w:rsidRPr="0097373B" w:rsidRDefault="009C27E4" w:rsidP="001D2514">
      <w:pPr>
        <w:spacing w:line="480" w:lineRule="auto"/>
        <w:jc w:val="both"/>
        <w:rPr>
          <w:rFonts w:ascii="Times New Roman" w:eastAsia="Arial Unicode MS" w:hAnsi="Times New Roman" w:cs="Times New Roman"/>
          <w:b/>
          <w:color w:val="000000"/>
          <w:kern w:val="1"/>
        </w:rPr>
      </w:pPr>
      <w:r w:rsidRPr="0097373B">
        <w:rPr>
          <w:rFonts w:ascii="Times New Roman" w:eastAsia="Arial Unicode MS" w:hAnsi="Times New Roman" w:cs="Times New Roman"/>
          <w:b/>
          <w:color w:val="000000"/>
          <w:kern w:val="1"/>
        </w:rPr>
        <w:lastRenderedPageBreak/>
        <w:t>ABSTRACT</w:t>
      </w:r>
    </w:p>
    <w:p w14:paraId="73CA0B26" w14:textId="17E17337" w:rsidR="000A3FF3" w:rsidRPr="0097373B" w:rsidRDefault="009C27E4" w:rsidP="001D2514">
      <w:pPr>
        <w:spacing w:line="480" w:lineRule="auto"/>
        <w:jc w:val="both"/>
        <w:rPr>
          <w:rFonts w:ascii="Times New Roman" w:eastAsia="Arial Unicode MS" w:hAnsi="Times New Roman" w:cs="Times New Roman"/>
          <w:b/>
          <w:color w:val="000000"/>
          <w:kern w:val="1"/>
        </w:rPr>
      </w:pPr>
      <w:r w:rsidRPr="0097373B">
        <w:rPr>
          <w:rFonts w:ascii="Times New Roman" w:eastAsia="Arial Unicode MS" w:hAnsi="Times New Roman" w:cs="Times New Roman"/>
          <w:b/>
          <w:color w:val="000000"/>
          <w:kern w:val="1"/>
        </w:rPr>
        <w:t>[</w:t>
      </w:r>
      <w:r w:rsidR="005C7483" w:rsidRPr="0097373B">
        <w:rPr>
          <w:rFonts w:ascii="Times New Roman" w:eastAsia="Arial Unicode MS" w:hAnsi="Times New Roman" w:cs="Times New Roman"/>
          <w:b/>
          <w:color w:val="000000"/>
          <w:kern w:val="1"/>
        </w:rPr>
        <w:t>2</w:t>
      </w:r>
      <w:r w:rsidR="006C530D" w:rsidRPr="0097373B">
        <w:rPr>
          <w:rFonts w:ascii="Times New Roman" w:eastAsia="Arial Unicode MS" w:hAnsi="Times New Roman" w:cs="Times New Roman"/>
          <w:b/>
          <w:color w:val="000000"/>
          <w:kern w:val="1"/>
        </w:rPr>
        <w:t>4</w:t>
      </w:r>
      <w:r w:rsidR="00C1249C" w:rsidRPr="0097373B">
        <w:rPr>
          <w:rFonts w:ascii="Times New Roman" w:eastAsia="Arial Unicode MS" w:hAnsi="Times New Roman" w:cs="Times New Roman"/>
          <w:b/>
          <w:color w:val="000000"/>
          <w:kern w:val="1"/>
        </w:rPr>
        <w:t>8</w:t>
      </w:r>
      <w:r w:rsidR="00A624AC" w:rsidRPr="0097373B">
        <w:rPr>
          <w:rFonts w:ascii="Times New Roman" w:eastAsia="Arial Unicode MS" w:hAnsi="Times New Roman" w:cs="Times New Roman"/>
          <w:b/>
          <w:color w:val="000000"/>
          <w:kern w:val="1"/>
        </w:rPr>
        <w:t>/250</w:t>
      </w:r>
      <w:r w:rsidRPr="0097373B">
        <w:rPr>
          <w:rFonts w:ascii="Times New Roman" w:eastAsia="Arial Unicode MS" w:hAnsi="Times New Roman" w:cs="Times New Roman"/>
          <w:b/>
          <w:color w:val="000000"/>
          <w:kern w:val="1"/>
        </w:rPr>
        <w:t xml:space="preserve"> words]</w:t>
      </w:r>
      <w:r w:rsidR="008B7506" w:rsidRPr="0097373B">
        <w:rPr>
          <w:rFonts w:ascii="Times New Roman" w:eastAsia="Arial Unicode MS" w:hAnsi="Times New Roman" w:cs="Times New Roman"/>
          <w:b/>
          <w:color w:val="000000"/>
          <w:kern w:val="1"/>
        </w:rPr>
        <w:t xml:space="preserve"> </w:t>
      </w:r>
    </w:p>
    <w:p w14:paraId="0E527A13" w14:textId="3E063804" w:rsidR="00197907" w:rsidRPr="0097373B" w:rsidRDefault="00197907" w:rsidP="001D2514">
      <w:pPr>
        <w:widowControl w:val="0"/>
        <w:autoSpaceDE w:val="0"/>
        <w:autoSpaceDN w:val="0"/>
        <w:adjustRightInd w:val="0"/>
        <w:spacing w:line="480" w:lineRule="auto"/>
        <w:jc w:val="both"/>
        <w:rPr>
          <w:rFonts w:ascii="Times New Roman" w:hAnsi="Times New Roman" w:cs="Times New Roman"/>
          <w:kern w:val="1"/>
        </w:rPr>
      </w:pPr>
      <w:r w:rsidRPr="0097373B">
        <w:rPr>
          <w:rFonts w:ascii="Times New Roman" w:hAnsi="Times New Roman" w:cs="Times New Roman"/>
          <w:b/>
        </w:rPr>
        <w:t>Objective</w:t>
      </w:r>
      <w:r w:rsidRPr="0097373B">
        <w:rPr>
          <w:rFonts w:ascii="Times New Roman" w:hAnsi="Times New Roman" w:cs="Times New Roman"/>
        </w:rPr>
        <w:t xml:space="preserve">: </w:t>
      </w:r>
      <w:r w:rsidR="00145232" w:rsidRPr="0097373B">
        <w:rPr>
          <w:rFonts w:ascii="Times New Roman" w:hAnsi="Times New Roman" w:cs="Times New Roman"/>
        </w:rPr>
        <w:t xml:space="preserve">Previous cohorts have </w:t>
      </w:r>
      <w:r w:rsidR="006C530D" w:rsidRPr="0097373B">
        <w:rPr>
          <w:rFonts w:ascii="Times New Roman" w:hAnsi="Times New Roman" w:cs="Times New Roman"/>
        </w:rPr>
        <w:t>reported</w:t>
      </w:r>
      <w:r w:rsidR="00145232" w:rsidRPr="0097373B">
        <w:rPr>
          <w:rFonts w:ascii="Times New Roman" w:hAnsi="Times New Roman" w:cs="Times New Roman"/>
        </w:rPr>
        <w:t xml:space="preserve"> associations between overweight/obesity and knee and hand osteoarthritis (OA). However, no data on the effect of these on the OA burden are available. We aimed </w:t>
      </w:r>
      <w:r w:rsidR="00145232" w:rsidRPr="0097373B">
        <w:rPr>
          <w:rFonts w:ascii="Times New Roman" w:hAnsi="Times New Roman" w:cs="Times New Roman"/>
          <w:kern w:val="1"/>
        </w:rPr>
        <w:t xml:space="preserve">to </w:t>
      </w:r>
      <w:r w:rsidR="00AA69F4" w:rsidRPr="0097373B">
        <w:rPr>
          <w:rFonts w:ascii="Times New Roman" w:hAnsi="Times New Roman" w:cs="Times New Roman"/>
          <w:kern w:val="1"/>
        </w:rPr>
        <w:t>analyse</w:t>
      </w:r>
      <w:r w:rsidRPr="0097373B">
        <w:rPr>
          <w:rFonts w:ascii="Times New Roman" w:hAnsi="Times New Roman" w:cs="Times New Roman"/>
          <w:kern w:val="1"/>
        </w:rPr>
        <w:t xml:space="preserve"> the effect of </w:t>
      </w:r>
      <w:r w:rsidR="00145232" w:rsidRPr="0097373B">
        <w:rPr>
          <w:rFonts w:ascii="Times New Roman" w:hAnsi="Times New Roman" w:cs="Times New Roman"/>
          <w:kern w:val="1"/>
        </w:rPr>
        <w:t xml:space="preserve">overweight and obesity </w:t>
      </w:r>
      <w:r w:rsidRPr="0097373B">
        <w:rPr>
          <w:rFonts w:ascii="Times New Roman" w:hAnsi="Times New Roman" w:cs="Times New Roman"/>
          <w:kern w:val="1"/>
        </w:rPr>
        <w:t xml:space="preserve">on the incidence of </w:t>
      </w:r>
      <w:r w:rsidR="005C7483" w:rsidRPr="0097373B">
        <w:rPr>
          <w:rFonts w:ascii="Times New Roman" w:hAnsi="Times New Roman" w:cs="Times New Roman"/>
          <w:kern w:val="1"/>
        </w:rPr>
        <w:t xml:space="preserve">routinely diagnosed </w:t>
      </w:r>
      <w:r w:rsidRPr="0097373B">
        <w:rPr>
          <w:rFonts w:ascii="Times New Roman" w:hAnsi="Times New Roman" w:cs="Times New Roman"/>
          <w:kern w:val="1"/>
        </w:rPr>
        <w:t>knee, hip</w:t>
      </w:r>
      <w:r w:rsidR="00B040B7" w:rsidRPr="0097373B">
        <w:rPr>
          <w:rFonts w:ascii="Times New Roman" w:hAnsi="Times New Roman" w:cs="Times New Roman"/>
          <w:kern w:val="1"/>
        </w:rPr>
        <w:t>,</w:t>
      </w:r>
      <w:r w:rsidRPr="0097373B">
        <w:rPr>
          <w:rFonts w:ascii="Times New Roman" w:hAnsi="Times New Roman" w:cs="Times New Roman"/>
          <w:kern w:val="1"/>
        </w:rPr>
        <w:t xml:space="preserve"> and hand OA. </w:t>
      </w:r>
    </w:p>
    <w:p w14:paraId="6EA600F3" w14:textId="77777777" w:rsidR="00ED5C91" w:rsidRPr="0097373B" w:rsidRDefault="00ED5C91" w:rsidP="001D2514">
      <w:pPr>
        <w:spacing w:line="480" w:lineRule="auto"/>
        <w:jc w:val="both"/>
        <w:rPr>
          <w:rFonts w:ascii="Times New Roman" w:eastAsia="Arial Unicode MS" w:hAnsi="Times New Roman" w:cs="Times New Roman"/>
          <w:b/>
          <w:color w:val="000000"/>
          <w:kern w:val="1"/>
        </w:rPr>
      </w:pPr>
      <w:r w:rsidRPr="0097373B">
        <w:rPr>
          <w:rFonts w:ascii="Times New Roman" w:eastAsia="Arial Unicode MS" w:hAnsi="Times New Roman" w:cs="Times New Roman"/>
          <w:b/>
          <w:color w:val="000000"/>
          <w:kern w:val="1"/>
        </w:rPr>
        <w:t>Methods:</w:t>
      </w:r>
    </w:p>
    <w:p w14:paraId="0D21D3AB" w14:textId="1A6850B7" w:rsidR="00197907" w:rsidRPr="0097373B" w:rsidRDefault="00197907" w:rsidP="001D2514">
      <w:pPr>
        <w:spacing w:line="480" w:lineRule="auto"/>
        <w:jc w:val="both"/>
        <w:rPr>
          <w:rFonts w:ascii="Times New Roman" w:hAnsi="Times New Roman" w:cs="Times New Roman"/>
          <w:kern w:val="1"/>
        </w:rPr>
      </w:pPr>
      <w:r w:rsidRPr="0097373B">
        <w:rPr>
          <w:rFonts w:ascii="Times New Roman" w:eastAsia="Arial Unicode MS" w:hAnsi="Times New Roman" w:cs="Times New Roman"/>
          <w:color w:val="000000"/>
          <w:kern w:val="1"/>
        </w:rPr>
        <w:t>Design:</w:t>
      </w:r>
      <w:r w:rsidRPr="0097373B">
        <w:rPr>
          <w:rFonts w:ascii="Times New Roman" w:eastAsia="Arial Unicode MS" w:hAnsi="Times New Roman" w:cs="Times New Roman"/>
          <w:b/>
          <w:color w:val="000000"/>
          <w:kern w:val="1"/>
        </w:rPr>
        <w:t xml:space="preserve"> </w:t>
      </w:r>
      <w:r w:rsidRPr="0097373B">
        <w:rPr>
          <w:rFonts w:ascii="Times New Roman" w:hAnsi="Times New Roman" w:cs="Times New Roman"/>
          <w:kern w:val="1"/>
        </w:rPr>
        <w:t xml:space="preserve">population-based cohort </w:t>
      </w:r>
    </w:p>
    <w:p w14:paraId="65C1F367" w14:textId="136826A5" w:rsidR="00197907" w:rsidRPr="0097373B" w:rsidRDefault="00197907" w:rsidP="001D2514">
      <w:pPr>
        <w:spacing w:line="480" w:lineRule="auto"/>
        <w:jc w:val="both"/>
        <w:rPr>
          <w:rFonts w:ascii="Times New Roman" w:eastAsia="Arial Unicode MS" w:hAnsi="Times New Roman" w:cs="Times New Roman"/>
          <w:b/>
          <w:color w:val="000000"/>
          <w:kern w:val="1"/>
        </w:rPr>
      </w:pPr>
      <w:r w:rsidRPr="0097373B">
        <w:rPr>
          <w:rFonts w:ascii="Times New Roman" w:eastAsia="Arial Unicode MS" w:hAnsi="Times New Roman" w:cs="Times New Roman"/>
          <w:color w:val="000000"/>
          <w:kern w:val="1"/>
        </w:rPr>
        <w:t>Setting:</w:t>
      </w:r>
      <w:r w:rsidRPr="0097373B">
        <w:rPr>
          <w:rFonts w:ascii="Times New Roman" w:eastAsia="Arial Unicode MS" w:hAnsi="Times New Roman" w:cs="Times New Roman"/>
          <w:b/>
          <w:color w:val="000000"/>
          <w:kern w:val="1"/>
        </w:rPr>
        <w:t xml:space="preserve"> </w:t>
      </w:r>
      <w:r w:rsidRPr="0097373B">
        <w:rPr>
          <w:rFonts w:ascii="Times New Roman" w:hAnsi="Times New Roman" w:cs="Times New Roman"/>
          <w:color w:val="262626"/>
        </w:rPr>
        <w:t>primary care records from the SIDIAP database (&gt;5.5 million subjects</w:t>
      </w:r>
      <w:r w:rsidR="00B040B7" w:rsidRPr="0097373B">
        <w:rPr>
          <w:rFonts w:ascii="Times New Roman" w:hAnsi="Times New Roman" w:cs="Times New Roman"/>
          <w:color w:val="262626"/>
        </w:rPr>
        <w:t>) covering &gt;80% of the population of</w:t>
      </w:r>
      <w:r w:rsidRPr="0097373B">
        <w:rPr>
          <w:rFonts w:ascii="Times New Roman" w:hAnsi="Times New Roman" w:cs="Times New Roman"/>
          <w:color w:val="262626"/>
        </w:rPr>
        <w:t xml:space="preserve"> Catalonia, Spain.</w:t>
      </w:r>
    </w:p>
    <w:p w14:paraId="5CA39DAB" w14:textId="0F9FD1BD" w:rsidR="00197907" w:rsidRPr="0097373B" w:rsidRDefault="00197907" w:rsidP="001D2514">
      <w:pPr>
        <w:spacing w:line="480" w:lineRule="auto"/>
        <w:jc w:val="both"/>
        <w:rPr>
          <w:rFonts w:ascii="Times New Roman" w:eastAsia="Arial Unicode MS" w:hAnsi="Times New Roman" w:cs="Times New Roman"/>
          <w:b/>
          <w:color w:val="000000"/>
          <w:kern w:val="1"/>
        </w:rPr>
      </w:pPr>
      <w:r w:rsidRPr="0097373B">
        <w:rPr>
          <w:rFonts w:ascii="Times New Roman" w:eastAsia="Arial Unicode MS" w:hAnsi="Times New Roman" w:cs="Times New Roman"/>
          <w:color w:val="000000"/>
          <w:kern w:val="1"/>
        </w:rPr>
        <w:t>Participants:</w:t>
      </w:r>
      <w:r w:rsidRPr="0097373B">
        <w:rPr>
          <w:rFonts w:ascii="Times New Roman" w:eastAsia="Arial Unicode MS" w:hAnsi="Times New Roman" w:cs="Times New Roman"/>
          <w:b/>
          <w:color w:val="000000"/>
          <w:kern w:val="1"/>
        </w:rPr>
        <w:t xml:space="preserve"> </w:t>
      </w:r>
      <w:r w:rsidRPr="0097373B">
        <w:rPr>
          <w:rFonts w:ascii="Times New Roman" w:hAnsi="Times New Roman" w:cs="Times New Roman"/>
          <w:kern w:val="1"/>
        </w:rPr>
        <w:t xml:space="preserve"> ≥40 years old with no OA on 01/01/2006 and with </w:t>
      </w:r>
      <w:r w:rsidR="00B040B7" w:rsidRPr="0097373B">
        <w:rPr>
          <w:rFonts w:ascii="Times New Roman" w:hAnsi="Times New Roman" w:cs="Times New Roman"/>
          <w:kern w:val="1"/>
        </w:rPr>
        <w:t>body mass index (BMI) data available</w:t>
      </w:r>
      <w:r w:rsidRPr="0097373B">
        <w:rPr>
          <w:rFonts w:ascii="Times New Roman" w:hAnsi="Times New Roman" w:cs="Times New Roman"/>
          <w:kern w:val="1"/>
        </w:rPr>
        <w:t>. Follow-up: from 01/01/2006 to 12/31/2010</w:t>
      </w:r>
      <w:r w:rsidR="006C530D" w:rsidRPr="0097373B">
        <w:rPr>
          <w:rFonts w:ascii="Times New Roman" w:hAnsi="Times New Roman" w:cs="Times New Roman"/>
          <w:kern w:val="1"/>
        </w:rPr>
        <w:t>, loss to follow-up</w:t>
      </w:r>
      <w:r w:rsidRPr="0097373B">
        <w:rPr>
          <w:rFonts w:ascii="Times New Roman" w:hAnsi="Times New Roman" w:cs="Times New Roman"/>
          <w:kern w:val="1"/>
        </w:rPr>
        <w:t>, or death.</w:t>
      </w:r>
    </w:p>
    <w:p w14:paraId="5A3B951F" w14:textId="04FF8418" w:rsidR="00197907" w:rsidRPr="0097373B" w:rsidRDefault="00197907" w:rsidP="001D2514">
      <w:pPr>
        <w:spacing w:line="480" w:lineRule="auto"/>
        <w:jc w:val="both"/>
        <w:rPr>
          <w:rFonts w:ascii="Times New Roman" w:eastAsia="Arial Unicode MS" w:hAnsi="Times New Roman" w:cs="Times New Roman"/>
          <w:b/>
          <w:color w:val="000000"/>
          <w:kern w:val="1"/>
        </w:rPr>
      </w:pPr>
      <w:r w:rsidRPr="0097373B">
        <w:rPr>
          <w:rFonts w:ascii="Times New Roman" w:eastAsia="Arial Unicode MS" w:hAnsi="Times New Roman" w:cs="Times New Roman"/>
          <w:color w:val="000000"/>
          <w:kern w:val="1"/>
        </w:rPr>
        <w:t>Measures:</w:t>
      </w:r>
      <w:r w:rsidR="001F516E" w:rsidRPr="0097373B">
        <w:rPr>
          <w:rFonts w:ascii="Times New Roman" w:eastAsia="Arial Unicode MS" w:hAnsi="Times New Roman" w:cs="Times New Roman"/>
          <w:color w:val="000000"/>
          <w:kern w:val="1"/>
        </w:rPr>
        <w:t xml:space="preserve"> </w:t>
      </w:r>
      <w:r w:rsidRPr="0097373B">
        <w:rPr>
          <w:rFonts w:ascii="Times New Roman" w:hAnsi="Times New Roman" w:cs="Times New Roman"/>
          <w:kern w:val="1"/>
        </w:rPr>
        <w:t>BMI World Health Organization</w:t>
      </w:r>
      <w:r w:rsidR="00F8243F" w:rsidRPr="0097373B">
        <w:rPr>
          <w:rFonts w:ascii="Times New Roman" w:hAnsi="Times New Roman" w:cs="Times New Roman"/>
          <w:kern w:val="1"/>
        </w:rPr>
        <w:t xml:space="preserve"> </w:t>
      </w:r>
      <w:r w:rsidR="00B040B7" w:rsidRPr="0097373B">
        <w:rPr>
          <w:rFonts w:ascii="Times New Roman" w:hAnsi="Times New Roman" w:cs="Times New Roman"/>
          <w:kern w:val="1"/>
        </w:rPr>
        <w:t xml:space="preserve">categories (exposure), </w:t>
      </w:r>
      <w:r w:rsidRPr="0097373B">
        <w:rPr>
          <w:rFonts w:ascii="Times New Roman" w:hAnsi="Times New Roman" w:cs="Times New Roman"/>
          <w:kern w:val="1"/>
        </w:rPr>
        <w:t xml:space="preserve">and incident </w:t>
      </w:r>
      <w:r w:rsidR="006C530D" w:rsidRPr="0097373B">
        <w:rPr>
          <w:rFonts w:ascii="Times New Roman" w:hAnsi="Times New Roman" w:cs="Times New Roman"/>
          <w:kern w:val="1"/>
        </w:rPr>
        <w:t>clinical</w:t>
      </w:r>
      <w:r w:rsidR="00B040B7" w:rsidRPr="0097373B">
        <w:rPr>
          <w:rFonts w:ascii="Times New Roman" w:hAnsi="Times New Roman" w:cs="Times New Roman"/>
          <w:kern w:val="1"/>
        </w:rPr>
        <w:t xml:space="preserve"> </w:t>
      </w:r>
      <w:r w:rsidRPr="0097373B">
        <w:rPr>
          <w:rFonts w:ascii="Times New Roman" w:hAnsi="Times New Roman" w:cs="Times New Roman"/>
          <w:kern w:val="1"/>
        </w:rPr>
        <w:t xml:space="preserve">diagnoses of </w:t>
      </w:r>
      <w:r w:rsidR="00B040B7" w:rsidRPr="0097373B">
        <w:rPr>
          <w:rFonts w:ascii="Times New Roman" w:hAnsi="Times New Roman" w:cs="Times New Roman"/>
          <w:kern w:val="1"/>
        </w:rPr>
        <w:t xml:space="preserve">knee, hip, or hand </w:t>
      </w:r>
      <w:r w:rsidRPr="0097373B">
        <w:rPr>
          <w:rFonts w:ascii="Times New Roman" w:hAnsi="Times New Roman" w:cs="Times New Roman"/>
          <w:kern w:val="1"/>
        </w:rPr>
        <w:t>OA (ICD-10 codes).</w:t>
      </w:r>
    </w:p>
    <w:p w14:paraId="3AD4B12F" w14:textId="77777777" w:rsidR="00197907" w:rsidRPr="0097373B" w:rsidRDefault="00197907" w:rsidP="001D2514">
      <w:pPr>
        <w:spacing w:line="480" w:lineRule="auto"/>
        <w:jc w:val="both"/>
        <w:rPr>
          <w:rFonts w:ascii="Times New Roman" w:eastAsia="Arial Unicode MS" w:hAnsi="Times New Roman" w:cs="Times New Roman"/>
          <w:color w:val="000000"/>
          <w:kern w:val="1"/>
        </w:rPr>
      </w:pPr>
      <w:r w:rsidRPr="0097373B">
        <w:rPr>
          <w:rFonts w:ascii="Times New Roman" w:eastAsia="Arial Unicode MS" w:hAnsi="Times New Roman" w:cs="Times New Roman"/>
          <w:b/>
          <w:color w:val="000000"/>
          <w:kern w:val="1"/>
        </w:rPr>
        <w:t>Results</w:t>
      </w:r>
      <w:r w:rsidRPr="0097373B">
        <w:rPr>
          <w:rFonts w:ascii="Times New Roman" w:eastAsia="Arial Unicode MS" w:hAnsi="Times New Roman" w:cs="Times New Roman"/>
          <w:color w:val="000000"/>
          <w:kern w:val="1"/>
        </w:rPr>
        <w:t xml:space="preserve"> </w:t>
      </w:r>
    </w:p>
    <w:p w14:paraId="019CA589" w14:textId="06B2D992" w:rsidR="00FD4A44" w:rsidRPr="0097373B" w:rsidRDefault="00197907" w:rsidP="001D2514">
      <w:pPr>
        <w:spacing w:line="480" w:lineRule="auto"/>
        <w:jc w:val="both"/>
        <w:rPr>
          <w:rFonts w:ascii="Times New Roman" w:hAnsi="Times New Roman" w:cs="Times New Roman"/>
          <w:kern w:val="1"/>
        </w:rPr>
      </w:pPr>
      <w:r w:rsidRPr="0097373B">
        <w:rPr>
          <w:rFonts w:ascii="Times New Roman" w:hAnsi="Times New Roman" w:cs="Times New Roman"/>
          <w:kern w:val="1"/>
        </w:rPr>
        <w:t xml:space="preserve">1,764,061 subjects were </w:t>
      </w:r>
      <w:r w:rsidR="00B040B7" w:rsidRPr="0097373B">
        <w:rPr>
          <w:rFonts w:ascii="Times New Roman" w:hAnsi="Times New Roman" w:cs="Times New Roman"/>
          <w:kern w:val="1"/>
        </w:rPr>
        <w:t>observed for a</w:t>
      </w:r>
      <w:r w:rsidR="006C5FC5" w:rsidRPr="0097373B">
        <w:rPr>
          <w:rFonts w:ascii="Times New Roman" w:hAnsi="Times New Roman" w:cs="Times New Roman"/>
          <w:kern w:val="1"/>
        </w:rPr>
        <w:t xml:space="preserve"> median </w:t>
      </w:r>
      <w:r w:rsidR="00790AB1" w:rsidRPr="0097373B">
        <w:rPr>
          <w:rFonts w:ascii="Times New Roman" w:hAnsi="Times New Roman" w:cs="Times New Roman"/>
          <w:kern w:val="1"/>
        </w:rPr>
        <w:t>(</w:t>
      </w:r>
      <w:r w:rsidR="000A6A24" w:rsidRPr="0097373B">
        <w:rPr>
          <w:rFonts w:ascii="Times New Roman" w:hAnsi="Times New Roman" w:cs="Times New Roman"/>
          <w:kern w:val="1"/>
        </w:rPr>
        <w:t>inter-quartile range</w:t>
      </w:r>
      <w:r w:rsidR="00790AB1" w:rsidRPr="0097373B">
        <w:rPr>
          <w:rFonts w:ascii="Times New Roman" w:hAnsi="Times New Roman" w:cs="Times New Roman"/>
          <w:kern w:val="1"/>
        </w:rPr>
        <w:t xml:space="preserve">) </w:t>
      </w:r>
      <w:r w:rsidR="006C5FC5" w:rsidRPr="0097373B">
        <w:rPr>
          <w:rFonts w:ascii="Times New Roman" w:hAnsi="Times New Roman" w:cs="Times New Roman"/>
          <w:kern w:val="1"/>
        </w:rPr>
        <w:t>of 4.45 (4.19</w:t>
      </w:r>
      <w:r w:rsidR="002A1507" w:rsidRPr="0097373B">
        <w:rPr>
          <w:rFonts w:ascii="Times New Roman" w:hAnsi="Times New Roman" w:cs="Times New Roman"/>
          <w:kern w:val="1"/>
        </w:rPr>
        <w:t xml:space="preserve"> to </w:t>
      </w:r>
      <w:r w:rsidR="006C5FC5" w:rsidRPr="0097373B">
        <w:rPr>
          <w:rFonts w:ascii="Times New Roman" w:hAnsi="Times New Roman" w:cs="Times New Roman"/>
          <w:kern w:val="1"/>
        </w:rPr>
        <w:t xml:space="preserve">4.98) years. </w:t>
      </w:r>
      <w:r w:rsidR="000A6A24" w:rsidRPr="0097373B">
        <w:rPr>
          <w:rFonts w:ascii="Times New Roman" w:hAnsi="Times New Roman" w:cs="Times New Roman"/>
          <w:kern w:val="1"/>
        </w:rPr>
        <w:t>I</w:t>
      </w:r>
      <w:r w:rsidR="009B1544" w:rsidRPr="0097373B">
        <w:rPr>
          <w:rFonts w:ascii="Times New Roman" w:hAnsi="Times New Roman" w:cs="Times New Roman"/>
          <w:kern w:val="1"/>
        </w:rPr>
        <w:t xml:space="preserve">ncidence </w:t>
      </w:r>
      <w:r w:rsidRPr="0097373B">
        <w:rPr>
          <w:rFonts w:ascii="Times New Roman" w:hAnsi="Times New Roman" w:cs="Times New Roman"/>
          <w:kern w:val="1"/>
        </w:rPr>
        <w:t>rates</w:t>
      </w:r>
      <w:r w:rsidR="00E323C1" w:rsidRPr="0097373B">
        <w:rPr>
          <w:rFonts w:ascii="Times New Roman" w:hAnsi="Times New Roman" w:cs="Times New Roman"/>
          <w:kern w:val="1"/>
        </w:rPr>
        <w:t xml:space="preserve"> (per 1000 </w:t>
      </w:r>
      <w:r w:rsidR="00E53395" w:rsidRPr="0097373B">
        <w:rPr>
          <w:rFonts w:ascii="Times New Roman" w:hAnsi="Times New Roman" w:cs="Times New Roman"/>
          <w:kern w:val="1"/>
        </w:rPr>
        <w:t>PY</w:t>
      </w:r>
      <w:r w:rsidR="00E323C1" w:rsidRPr="0097373B">
        <w:rPr>
          <w:rFonts w:ascii="Times New Roman" w:hAnsi="Times New Roman" w:cs="Times New Roman"/>
          <w:kern w:val="1"/>
        </w:rPr>
        <w:t>)</w:t>
      </w:r>
      <w:r w:rsidRPr="0097373B">
        <w:rPr>
          <w:rFonts w:ascii="Times New Roman" w:hAnsi="Times New Roman" w:cs="Times New Roman"/>
          <w:kern w:val="1"/>
        </w:rPr>
        <w:t xml:space="preserve"> </w:t>
      </w:r>
      <w:r w:rsidR="000A6A24" w:rsidRPr="0097373B">
        <w:rPr>
          <w:rFonts w:ascii="Times New Roman" w:hAnsi="Times New Roman" w:cs="Times New Roman"/>
          <w:kern w:val="1"/>
        </w:rPr>
        <w:t xml:space="preserve">of </w:t>
      </w:r>
      <w:r w:rsidR="00316BE3" w:rsidRPr="0097373B">
        <w:rPr>
          <w:rFonts w:ascii="Times New Roman" w:hAnsi="Times New Roman" w:cs="Times New Roman"/>
          <w:kern w:val="1"/>
        </w:rPr>
        <w:t>knee, hip and hand OA</w:t>
      </w:r>
      <w:r w:rsidR="00B040B7" w:rsidRPr="0097373B">
        <w:rPr>
          <w:rFonts w:ascii="Times New Roman" w:hAnsi="Times New Roman" w:cs="Times New Roman"/>
          <w:kern w:val="1"/>
        </w:rPr>
        <w:t xml:space="preserve"> </w:t>
      </w:r>
      <w:r w:rsidR="00FD4A44" w:rsidRPr="0097373B">
        <w:rPr>
          <w:rFonts w:ascii="Times New Roman" w:hAnsi="Times New Roman" w:cs="Times New Roman"/>
          <w:kern w:val="1"/>
        </w:rPr>
        <w:t xml:space="preserve">ranged from </w:t>
      </w:r>
      <w:r w:rsidRPr="0097373B">
        <w:rPr>
          <w:rFonts w:ascii="Times New Roman" w:hAnsi="Times New Roman" w:cs="Times New Roman"/>
          <w:kern w:val="1"/>
        </w:rPr>
        <w:t>3.7 (3.6 to 3.8), 1.7 (1.7 to 1.8) and 2.6 (2.5 to 2.7)</w:t>
      </w:r>
      <w:r w:rsidR="00F8243F" w:rsidRPr="0097373B">
        <w:rPr>
          <w:rFonts w:ascii="Times New Roman" w:hAnsi="Times New Roman" w:cs="Times New Roman"/>
          <w:kern w:val="1"/>
        </w:rPr>
        <w:t xml:space="preserve"> </w:t>
      </w:r>
      <w:r w:rsidR="00B040B7" w:rsidRPr="0097373B">
        <w:rPr>
          <w:rFonts w:ascii="Times New Roman" w:hAnsi="Times New Roman" w:cs="Times New Roman"/>
          <w:kern w:val="1"/>
        </w:rPr>
        <w:t xml:space="preserve">amongst </w:t>
      </w:r>
      <w:r w:rsidR="00F8243F" w:rsidRPr="0097373B">
        <w:rPr>
          <w:rFonts w:ascii="Times New Roman" w:hAnsi="Times New Roman" w:cs="Times New Roman"/>
          <w:kern w:val="1"/>
        </w:rPr>
        <w:t>normal-weight</w:t>
      </w:r>
      <w:r w:rsidR="00B040B7" w:rsidRPr="0097373B">
        <w:rPr>
          <w:rFonts w:ascii="Times New Roman" w:hAnsi="Times New Roman" w:cs="Times New Roman"/>
          <w:kern w:val="1"/>
        </w:rPr>
        <w:t>,</w:t>
      </w:r>
      <w:r w:rsidR="00F8243F" w:rsidRPr="0097373B">
        <w:rPr>
          <w:rFonts w:ascii="Times New Roman" w:hAnsi="Times New Roman" w:cs="Times New Roman"/>
          <w:kern w:val="1"/>
        </w:rPr>
        <w:t xml:space="preserve"> to </w:t>
      </w:r>
      <w:r w:rsidRPr="0097373B">
        <w:rPr>
          <w:rFonts w:ascii="Times New Roman" w:hAnsi="Times New Roman" w:cs="Times New Roman"/>
          <w:kern w:val="1"/>
        </w:rPr>
        <w:t>19.5 (19.1 to 19.9), 3.8 (3.7 to 4.0) and 4.0 (3.9 to 4.2)</w:t>
      </w:r>
      <w:r w:rsidR="00F8243F" w:rsidRPr="0097373B">
        <w:rPr>
          <w:rFonts w:ascii="Times New Roman" w:hAnsi="Times New Roman" w:cs="Times New Roman"/>
          <w:kern w:val="1"/>
        </w:rPr>
        <w:t xml:space="preserve"> in </w:t>
      </w:r>
      <w:r w:rsidR="00B040B7" w:rsidRPr="0097373B">
        <w:rPr>
          <w:rFonts w:ascii="Times New Roman" w:hAnsi="Times New Roman" w:cs="Times New Roman"/>
          <w:kern w:val="1"/>
        </w:rPr>
        <w:t xml:space="preserve">the grade </w:t>
      </w:r>
      <w:r w:rsidR="00F8243F" w:rsidRPr="0097373B">
        <w:rPr>
          <w:rFonts w:ascii="Times New Roman" w:hAnsi="Times New Roman" w:cs="Times New Roman"/>
          <w:kern w:val="1"/>
        </w:rPr>
        <w:t xml:space="preserve">II </w:t>
      </w:r>
      <w:r w:rsidR="00B040B7" w:rsidRPr="0097373B">
        <w:rPr>
          <w:rFonts w:ascii="Times New Roman" w:hAnsi="Times New Roman" w:cs="Times New Roman"/>
          <w:kern w:val="1"/>
        </w:rPr>
        <w:t>obese</w:t>
      </w:r>
      <w:r w:rsidR="000A6A24" w:rsidRPr="0097373B">
        <w:rPr>
          <w:rFonts w:ascii="Times New Roman" w:hAnsi="Times New Roman" w:cs="Times New Roman"/>
          <w:kern w:val="1"/>
        </w:rPr>
        <w:t xml:space="preserve"> respectively</w:t>
      </w:r>
      <w:r w:rsidRPr="0097373B">
        <w:rPr>
          <w:rFonts w:ascii="Times New Roman" w:hAnsi="Times New Roman" w:cs="Times New Roman"/>
          <w:kern w:val="1"/>
        </w:rPr>
        <w:t xml:space="preserve">. </w:t>
      </w:r>
    </w:p>
    <w:p w14:paraId="7237B5A5" w14:textId="3EB58FE6" w:rsidR="00617202" w:rsidRPr="0097373B" w:rsidRDefault="00617202" w:rsidP="001D2514">
      <w:pPr>
        <w:spacing w:line="480" w:lineRule="auto"/>
        <w:jc w:val="both"/>
        <w:rPr>
          <w:rFonts w:ascii="Times New Roman" w:hAnsi="Times New Roman" w:cs="Times New Roman"/>
          <w:kern w:val="1"/>
        </w:rPr>
      </w:pPr>
      <w:r w:rsidRPr="0097373B">
        <w:rPr>
          <w:rFonts w:ascii="Times New Roman" w:hAnsi="Times New Roman" w:cs="Times New Roman"/>
          <w:kern w:val="1"/>
        </w:rPr>
        <w:t>Compared to normal-weight subjects,</w:t>
      </w:r>
      <w:r w:rsidR="00790AB1" w:rsidRPr="0097373B">
        <w:rPr>
          <w:rFonts w:ascii="Times New Roman" w:hAnsi="Times New Roman" w:cs="Times New Roman"/>
          <w:kern w:val="1"/>
        </w:rPr>
        <w:t xml:space="preserve"> being overweight or </w:t>
      </w:r>
      <w:r w:rsidR="000A6A24" w:rsidRPr="0097373B">
        <w:rPr>
          <w:rFonts w:ascii="Times New Roman" w:hAnsi="Times New Roman" w:cs="Times New Roman"/>
          <w:kern w:val="1"/>
        </w:rPr>
        <w:t>obese</w:t>
      </w:r>
      <w:r w:rsidR="00966EBD" w:rsidRPr="0097373B">
        <w:rPr>
          <w:rFonts w:ascii="Times New Roman" w:hAnsi="Times New Roman" w:cs="Times New Roman"/>
          <w:kern w:val="1"/>
        </w:rPr>
        <w:t xml:space="preserve"> increased the risk of OA at all three sites, especially at the knee</w:t>
      </w:r>
      <w:r w:rsidR="00DE01E9" w:rsidRPr="0097373B">
        <w:rPr>
          <w:rFonts w:ascii="Times New Roman" w:hAnsi="Times New Roman" w:cs="Times New Roman"/>
          <w:kern w:val="1"/>
        </w:rPr>
        <w:t xml:space="preserve">: overweight and (grade I, II) obesity increased knee OA risk by a factor of </w:t>
      </w:r>
      <w:r w:rsidR="00966EBD" w:rsidRPr="0097373B">
        <w:rPr>
          <w:rFonts w:ascii="Times New Roman" w:hAnsi="Times New Roman" w:cs="Times New Roman"/>
          <w:kern w:val="1"/>
        </w:rPr>
        <w:t xml:space="preserve">2, 3.1 and 4.7 fold respectively. </w:t>
      </w:r>
    </w:p>
    <w:p w14:paraId="36CE1A57" w14:textId="77777777" w:rsidR="00197907" w:rsidRPr="0097373B" w:rsidRDefault="00197907" w:rsidP="001D2514">
      <w:pPr>
        <w:spacing w:line="480" w:lineRule="auto"/>
        <w:jc w:val="both"/>
        <w:rPr>
          <w:rFonts w:ascii="Times New Roman" w:eastAsia="Arial Unicode MS" w:hAnsi="Times New Roman" w:cs="Times New Roman"/>
          <w:b/>
          <w:color w:val="000000"/>
          <w:kern w:val="1"/>
        </w:rPr>
      </w:pPr>
      <w:r w:rsidRPr="0097373B">
        <w:rPr>
          <w:rFonts w:ascii="Times New Roman" w:eastAsia="Arial Unicode MS" w:hAnsi="Times New Roman" w:cs="Times New Roman"/>
          <w:b/>
          <w:color w:val="000000"/>
          <w:kern w:val="1"/>
        </w:rPr>
        <w:t>Conclusions</w:t>
      </w:r>
    </w:p>
    <w:p w14:paraId="3BAE9A5E" w14:textId="52BEEF2A" w:rsidR="007A0F8E" w:rsidRPr="0097373B" w:rsidRDefault="0095544A" w:rsidP="001D2514">
      <w:pPr>
        <w:widowControl w:val="0"/>
        <w:autoSpaceDE w:val="0"/>
        <w:autoSpaceDN w:val="0"/>
        <w:adjustRightInd w:val="0"/>
        <w:spacing w:line="480" w:lineRule="auto"/>
        <w:jc w:val="both"/>
        <w:rPr>
          <w:rFonts w:ascii="Times New Roman" w:hAnsi="Times New Roman" w:cs="Times New Roman"/>
          <w:kern w:val="1"/>
        </w:rPr>
      </w:pPr>
      <w:r w:rsidRPr="0097373B">
        <w:rPr>
          <w:rFonts w:ascii="Times New Roman" w:hAnsi="Times New Roman" w:cs="Times New Roman"/>
          <w:kern w:val="1"/>
        </w:rPr>
        <w:lastRenderedPageBreak/>
        <w:t>Both overweight and o</w:t>
      </w:r>
      <w:r w:rsidR="006C5FC5" w:rsidRPr="0097373B">
        <w:rPr>
          <w:rFonts w:ascii="Times New Roman" w:hAnsi="Times New Roman" w:cs="Times New Roman"/>
          <w:kern w:val="1"/>
        </w:rPr>
        <w:t xml:space="preserve">besity increase the risk of </w:t>
      </w:r>
      <w:r w:rsidRPr="0097373B">
        <w:rPr>
          <w:rFonts w:ascii="Times New Roman" w:hAnsi="Times New Roman" w:cs="Times New Roman"/>
          <w:kern w:val="1"/>
        </w:rPr>
        <w:t xml:space="preserve">hand, hip, and knee </w:t>
      </w:r>
      <w:r w:rsidR="006C5FC5" w:rsidRPr="0097373B">
        <w:rPr>
          <w:rFonts w:ascii="Times New Roman" w:hAnsi="Times New Roman" w:cs="Times New Roman"/>
          <w:kern w:val="1"/>
        </w:rPr>
        <w:t>OA</w:t>
      </w:r>
      <w:r w:rsidR="00FD4A44" w:rsidRPr="0097373B">
        <w:rPr>
          <w:rFonts w:ascii="Times New Roman" w:hAnsi="Times New Roman" w:cs="Times New Roman"/>
          <w:kern w:val="1"/>
        </w:rPr>
        <w:t xml:space="preserve">, especially for </w:t>
      </w:r>
      <w:r w:rsidRPr="0097373B">
        <w:rPr>
          <w:rFonts w:ascii="Times New Roman" w:hAnsi="Times New Roman" w:cs="Times New Roman"/>
          <w:kern w:val="1"/>
        </w:rPr>
        <w:t>the latter</w:t>
      </w:r>
      <w:r w:rsidR="00FD4A44" w:rsidRPr="0097373B">
        <w:rPr>
          <w:rFonts w:ascii="Times New Roman" w:hAnsi="Times New Roman" w:cs="Times New Roman"/>
          <w:kern w:val="1"/>
        </w:rPr>
        <w:t xml:space="preserve">, with a dose-response </w:t>
      </w:r>
      <w:r w:rsidR="00DE01E9" w:rsidRPr="0097373B">
        <w:rPr>
          <w:rFonts w:ascii="Times New Roman" w:hAnsi="Times New Roman" w:cs="Times New Roman"/>
          <w:kern w:val="1"/>
        </w:rPr>
        <w:t xml:space="preserve">gradient </w:t>
      </w:r>
      <w:r w:rsidR="00FD4A44" w:rsidRPr="0097373B">
        <w:rPr>
          <w:rFonts w:ascii="Times New Roman" w:hAnsi="Times New Roman" w:cs="Times New Roman"/>
          <w:kern w:val="1"/>
        </w:rPr>
        <w:t>with increasing BMI.</w:t>
      </w:r>
    </w:p>
    <w:p w14:paraId="2469CB16" w14:textId="77777777" w:rsidR="00BC71B8" w:rsidRPr="0097373B" w:rsidRDefault="00BC71B8" w:rsidP="001D2514">
      <w:pPr>
        <w:spacing w:line="480" w:lineRule="auto"/>
        <w:jc w:val="both"/>
        <w:rPr>
          <w:rFonts w:ascii="Times New Roman" w:eastAsia="Arial Unicode MS" w:hAnsi="Times New Roman" w:cs="Times New Roman"/>
          <w:b/>
          <w:color w:val="000000"/>
          <w:kern w:val="1"/>
        </w:rPr>
      </w:pPr>
    </w:p>
    <w:p w14:paraId="5F44FC9A" w14:textId="77777777" w:rsidR="00E63F10" w:rsidRPr="0097373B" w:rsidRDefault="00E63F10" w:rsidP="001D2514">
      <w:pPr>
        <w:jc w:val="both"/>
        <w:rPr>
          <w:rFonts w:ascii="Times New Roman" w:hAnsi="Times New Roman" w:cs="Times New Roman"/>
          <w:b/>
        </w:rPr>
      </w:pPr>
      <w:r w:rsidRPr="0097373B">
        <w:rPr>
          <w:rFonts w:ascii="Times New Roman" w:hAnsi="Times New Roman" w:cs="Times New Roman"/>
          <w:b/>
        </w:rPr>
        <w:br w:type="page"/>
      </w:r>
    </w:p>
    <w:p w14:paraId="6F70BC62" w14:textId="7E21A5D3" w:rsidR="00510F93" w:rsidRPr="0097373B" w:rsidRDefault="00510F93" w:rsidP="001D2514">
      <w:pPr>
        <w:widowControl w:val="0"/>
        <w:autoSpaceDE w:val="0"/>
        <w:autoSpaceDN w:val="0"/>
        <w:adjustRightInd w:val="0"/>
        <w:spacing w:line="480" w:lineRule="auto"/>
        <w:jc w:val="both"/>
        <w:rPr>
          <w:rFonts w:ascii="Times New Roman" w:hAnsi="Times New Roman" w:cs="Times New Roman"/>
        </w:rPr>
      </w:pPr>
      <w:r w:rsidRPr="0097373B">
        <w:rPr>
          <w:rFonts w:ascii="Times New Roman" w:hAnsi="Times New Roman" w:cs="Times New Roman"/>
        </w:rPr>
        <w:lastRenderedPageBreak/>
        <w:t>Obesity and osteoarthritis</w:t>
      </w:r>
      <w:r w:rsidR="007D7D0F" w:rsidRPr="0097373B">
        <w:rPr>
          <w:rFonts w:ascii="Times New Roman" w:hAnsi="Times New Roman" w:cs="Times New Roman"/>
        </w:rPr>
        <w:t xml:space="preserve"> (OA)</w:t>
      </w:r>
      <w:r w:rsidRPr="0097373B">
        <w:rPr>
          <w:rFonts w:ascii="Times New Roman" w:hAnsi="Times New Roman" w:cs="Times New Roman"/>
        </w:rPr>
        <w:t xml:space="preserve"> are two interconnected health care problems affecting a </w:t>
      </w:r>
      <w:r w:rsidR="008D1CF6" w:rsidRPr="0097373B">
        <w:rPr>
          <w:rFonts w:ascii="Times New Roman" w:hAnsi="Times New Roman" w:cs="Times New Roman"/>
        </w:rPr>
        <w:t>large</w:t>
      </w:r>
      <w:r w:rsidRPr="0097373B">
        <w:rPr>
          <w:rFonts w:ascii="Times New Roman" w:hAnsi="Times New Roman" w:cs="Times New Roman"/>
        </w:rPr>
        <w:t xml:space="preserve"> proportion of the adult population worldwide. The increasing weight of the population will lead to nearly </w:t>
      </w:r>
      <w:r w:rsidR="00CA2733" w:rsidRPr="0097373B">
        <w:rPr>
          <w:rFonts w:ascii="Times New Roman" w:hAnsi="Times New Roman" w:cs="Times New Roman"/>
        </w:rPr>
        <w:t>1.3</w:t>
      </w:r>
      <w:r w:rsidRPr="0097373B">
        <w:rPr>
          <w:rFonts w:ascii="Times New Roman" w:hAnsi="Times New Roman" w:cs="Times New Roman"/>
        </w:rPr>
        <w:t xml:space="preserve"> billion and </w:t>
      </w:r>
      <w:r w:rsidR="00CA2733" w:rsidRPr="0097373B">
        <w:rPr>
          <w:rFonts w:ascii="Times New Roman" w:hAnsi="Times New Roman" w:cs="Times New Roman"/>
        </w:rPr>
        <w:t>573</w:t>
      </w:r>
      <w:r w:rsidRPr="0097373B">
        <w:rPr>
          <w:rFonts w:ascii="Times New Roman" w:hAnsi="Times New Roman" w:cs="Times New Roman"/>
        </w:rPr>
        <w:t xml:space="preserve"> million adults overweight a</w:t>
      </w:r>
      <w:r w:rsidR="00646C94" w:rsidRPr="0097373B">
        <w:rPr>
          <w:rFonts w:ascii="Times New Roman" w:hAnsi="Times New Roman" w:cs="Times New Roman"/>
        </w:rPr>
        <w:t>nd obese respectively by 20</w:t>
      </w:r>
      <w:r w:rsidR="00CA2733" w:rsidRPr="0097373B">
        <w:rPr>
          <w:rFonts w:ascii="Times New Roman" w:hAnsi="Times New Roman" w:cs="Times New Roman"/>
        </w:rPr>
        <w:t>30</w:t>
      </w:r>
      <w:r w:rsidR="00646C94" w:rsidRPr="0097373B">
        <w:rPr>
          <w:rFonts w:ascii="Times New Roman" w:hAnsi="Times New Roman" w:cs="Times New Roman"/>
        </w:rPr>
        <w:t xml:space="preserve"> [1]</w:t>
      </w:r>
      <w:r w:rsidRPr="0097373B">
        <w:rPr>
          <w:rFonts w:ascii="Times New Roman" w:hAnsi="Times New Roman" w:cs="Times New Roman"/>
        </w:rPr>
        <w:t>.</w:t>
      </w:r>
      <w:r w:rsidR="00816660" w:rsidRPr="0097373B">
        <w:rPr>
          <w:rFonts w:ascii="Times New Roman" w:hAnsi="Times New Roman" w:cs="Times New Roman"/>
        </w:rPr>
        <w:t xml:space="preserve"> Moreover</w:t>
      </w:r>
      <w:r w:rsidR="008C1366" w:rsidRPr="0097373B">
        <w:rPr>
          <w:rFonts w:ascii="Times New Roman" w:hAnsi="Times New Roman" w:cs="Times New Roman"/>
        </w:rPr>
        <w:t xml:space="preserve">, </w:t>
      </w:r>
      <w:r w:rsidR="008D1CF6" w:rsidRPr="0097373B">
        <w:rPr>
          <w:rFonts w:ascii="Times New Roman" w:hAnsi="Times New Roman" w:cs="Times New Roman"/>
        </w:rPr>
        <w:t>OA increase</w:t>
      </w:r>
      <w:r w:rsidR="00E323C1" w:rsidRPr="0097373B">
        <w:rPr>
          <w:rFonts w:ascii="Times New Roman" w:hAnsi="Times New Roman" w:cs="Times New Roman"/>
        </w:rPr>
        <w:t>s</w:t>
      </w:r>
      <w:r w:rsidR="008D1CF6" w:rsidRPr="0097373B">
        <w:rPr>
          <w:rFonts w:ascii="Times New Roman" w:hAnsi="Times New Roman" w:cs="Times New Roman"/>
        </w:rPr>
        <w:t xml:space="preserve"> as the population ages</w:t>
      </w:r>
      <w:r w:rsidR="002053B5" w:rsidRPr="0097373B">
        <w:rPr>
          <w:rFonts w:ascii="Times New Roman" w:hAnsi="Times New Roman" w:cs="Times New Roman"/>
        </w:rPr>
        <w:t xml:space="preserve"> [2</w:t>
      </w:r>
      <w:r w:rsidR="008D1CF6" w:rsidRPr="0097373B">
        <w:rPr>
          <w:rFonts w:ascii="Times New Roman" w:hAnsi="Times New Roman" w:cs="Times New Roman"/>
        </w:rPr>
        <w:t xml:space="preserve">] </w:t>
      </w:r>
      <w:r w:rsidR="00816660" w:rsidRPr="0097373B">
        <w:rPr>
          <w:rFonts w:ascii="Times New Roman" w:hAnsi="Times New Roman" w:cs="Times New Roman"/>
        </w:rPr>
        <w:t>representing</w:t>
      </w:r>
      <w:r w:rsidR="008D1CF6" w:rsidRPr="0097373B">
        <w:rPr>
          <w:rFonts w:ascii="Times New Roman" w:hAnsi="Times New Roman" w:cs="Times New Roman"/>
        </w:rPr>
        <w:t xml:space="preserve"> </w:t>
      </w:r>
      <w:r w:rsidRPr="0097373B">
        <w:rPr>
          <w:rFonts w:ascii="Times New Roman" w:hAnsi="Times New Roman" w:cs="Times New Roman"/>
        </w:rPr>
        <w:t>a le</w:t>
      </w:r>
      <w:r w:rsidR="00911C3A" w:rsidRPr="0097373B">
        <w:rPr>
          <w:rFonts w:ascii="Times New Roman" w:hAnsi="Times New Roman" w:cs="Times New Roman"/>
        </w:rPr>
        <w:t xml:space="preserve">ading cause of chronic pain </w:t>
      </w:r>
      <w:r w:rsidRPr="0097373B">
        <w:rPr>
          <w:rFonts w:ascii="Times New Roman" w:hAnsi="Times New Roman" w:cs="Times New Roman"/>
        </w:rPr>
        <w:t>an</w:t>
      </w:r>
      <w:r w:rsidR="00911C3A" w:rsidRPr="0097373B">
        <w:rPr>
          <w:rFonts w:ascii="Times New Roman" w:hAnsi="Times New Roman" w:cs="Times New Roman"/>
        </w:rPr>
        <w:t xml:space="preserve">d disability among </w:t>
      </w:r>
      <w:r w:rsidR="008D1CF6" w:rsidRPr="0097373B">
        <w:rPr>
          <w:rFonts w:ascii="Times New Roman" w:hAnsi="Times New Roman" w:cs="Times New Roman"/>
        </w:rPr>
        <w:t>old</w:t>
      </w:r>
      <w:r w:rsidR="00E323C1" w:rsidRPr="0097373B">
        <w:rPr>
          <w:rFonts w:ascii="Times New Roman" w:hAnsi="Times New Roman" w:cs="Times New Roman"/>
        </w:rPr>
        <w:t>er</w:t>
      </w:r>
      <w:r w:rsidR="008D1CF6" w:rsidRPr="0097373B">
        <w:rPr>
          <w:rFonts w:ascii="Times New Roman" w:hAnsi="Times New Roman" w:cs="Times New Roman"/>
        </w:rPr>
        <w:t xml:space="preserve"> people</w:t>
      </w:r>
      <w:r w:rsidR="00911C3A" w:rsidRPr="0097373B">
        <w:rPr>
          <w:rFonts w:ascii="Times New Roman" w:hAnsi="Times New Roman" w:cs="Times New Roman"/>
        </w:rPr>
        <w:t xml:space="preserve"> [3]</w:t>
      </w:r>
      <w:r w:rsidRPr="0097373B">
        <w:rPr>
          <w:rFonts w:ascii="Times New Roman" w:hAnsi="Times New Roman" w:cs="Times New Roman"/>
        </w:rPr>
        <w:t>.</w:t>
      </w:r>
    </w:p>
    <w:p w14:paraId="251AAD41" w14:textId="77777777" w:rsidR="001B76FC" w:rsidRPr="0097373B" w:rsidRDefault="001B76FC" w:rsidP="001D2514">
      <w:pPr>
        <w:widowControl w:val="0"/>
        <w:autoSpaceDE w:val="0"/>
        <w:autoSpaceDN w:val="0"/>
        <w:adjustRightInd w:val="0"/>
        <w:spacing w:line="480" w:lineRule="auto"/>
        <w:jc w:val="both"/>
        <w:rPr>
          <w:rFonts w:ascii="Times New Roman" w:hAnsi="Times New Roman" w:cs="Times New Roman"/>
        </w:rPr>
      </w:pPr>
    </w:p>
    <w:p w14:paraId="4CF6F4D4" w14:textId="4335F1B8" w:rsidR="001B76FC" w:rsidRPr="0097373B" w:rsidRDefault="00510F93" w:rsidP="001D2514">
      <w:pPr>
        <w:widowControl w:val="0"/>
        <w:autoSpaceDE w:val="0"/>
        <w:autoSpaceDN w:val="0"/>
        <w:adjustRightInd w:val="0"/>
        <w:spacing w:line="480" w:lineRule="auto"/>
        <w:jc w:val="both"/>
        <w:rPr>
          <w:rFonts w:ascii="Times New Roman" w:hAnsi="Times New Roman" w:cs="Times New Roman"/>
        </w:rPr>
      </w:pPr>
      <w:r w:rsidRPr="0097373B">
        <w:rPr>
          <w:rFonts w:ascii="Times New Roman" w:hAnsi="Times New Roman" w:cs="Times New Roman"/>
        </w:rPr>
        <w:t xml:space="preserve">There is extensive evidence supporting obesity </w:t>
      </w:r>
      <w:r w:rsidR="00E323C1" w:rsidRPr="0097373B">
        <w:rPr>
          <w:rFonts w:ascii="Times New Roman" w:hAnsi="Times New Roman" w:cs="Times New Roman"/>
        </w:rPr>
        <w:t>a</w:t>
      </w:r>
      <w:r w:rsidRPr="0097373B">
        <w:rPr>
          <w:rFonts w:ascii="Times New Roman" w:hAnsi="Times New Roman" w:cs="Times New Roman"/>
        </w:rPr>
        <w:t xml:space="preserve">s one of the </w:t>
      </w:r>
      <w:r w:rsidR="00097EB4" w:rsidRPr="0097373B">
        <w:rPr>
          <w:rFonts w:ascii="Times New Roman" w:hAnsi="Times New Roman" w:cs="Times New Roman"/>
        </w:rPr>
        <w:t>majo</w:t>
      </w:r>
      <w:r w:rsidR="00427058" w:rsidRPr="0097373B">
        <w:rPr>
          <w:rFonts w:ascii="Times New Roman" w:hAnsi="Times New Roman" w:cs="Times New Roman"/>
        </w:rPr>
        <w:t xml:space="preserve">r risk factors </w:t>
      </w:r>
      <w:r w:rsidR="00186E25" w:rsidRPr="0097373B">
        <w:rPr>
          <w:rFonts w:ascii="Times New Roman" w:hAnsi="Times New Roman" w:cs="Times New Roman"/>
        </w:rPr>
        <w:t xml:space="preserve">for </w:t>
      </w:r>
      <w:r w:rsidR="00427058" w:rsidRPr="0097373B">
        <w:rPr>
          <w:rFonts w:ascii="Times New Roman" w:hAnsi="Times New Roman" w:cs="Times New Roman"/>
        </w:rPr>
        <w:t>knee OA [4-</w:t>
      </w:r>
      <w:r w:rsidR="00C73C3A" w:rsidRPr="0097373B">
        <w:rPr>
          <w:rFonts w:ascii="Times New Roman" w:hAnsi="Times New Roman" w:cs="Times New Roman"/>
        </w:rPr>
        <w:t>7</w:t>
      </w:r>
      <w:r w:rsidR="00405304" w:rsidRPr="0097373B">
        <w:rPr>
          <w:rFonts w:ascii="Times New Roman" w:hAnsi="Times New Roman" w:cs="Times New Roman"/>
        </w:rPr>
        <w:t>,</w:t>
      </w:r>
      <w:r w:rsidR="002706E1" w:rsidRPr="0097373B">
        <w:rPr>
          <w:rFonts w:ascii="Times New Roman" w:hAnsi="Times New Roman" w:cs="Times New Roman"/>
        </w:rPr>
        <w:t>8</w:t>
      </w:r>
      <w:r w:rsidRPr="0097373B">
        <w:rPr>
          <w:rFonts w:ascii="Times New Roman" w:hAnsi="Times New Roman" w:cs="Times New Roman"/>
        </w:rPr>
        <w:t>], independent</w:t>
      </w:r>
      <w:r w:rsidR="00905D1C" w:rsidRPr="0097373B">
        <w:rPr>
          <w:rFonts w:ascii="Times New Roman" w:hAnsi="Times New Roman" w:cs="Times New Roman"/>
        </w:rPr>
        <w:t xml:space="preserve"> </w:t>
      </w:r>
      <w:r w:rsidR="00C73C3A" w:rsidRPr="0097373B">
        <w:rPr>
          <w:rFonts w:ascii="Times New Roman" w:hAnsi="Times New Roman" w:cs="Times New Roman"/>
        </w:rPr>
        <w:t xml:space="preserve">of the </w:t>
      </w:r>
      <w:r w:rsidR="00905D1C" w:rsidRPr="0097373B">
        <w:rPr>
          <w:rFonts w:ascii="Times New Roman" w:hAnsi="Times New Roman" w:cs="Times New Roman"/>
        </w:rPr>
        <w:t>method of assessment used</w:t>
      </w:r>
      <w:r w:rsidR="00C73C3A" w:rsidRPr="0097373B">
        <w:rPr>
          <w:rFonts w:ascii="Times New Roman" w:hAnsi="Times New Roman" w:cs="Times New Roman"/>
        </w:rPr>
        <w:t xml:space="preserve"> [</w:t>
      </w:r>
      <w:r w:rsidR="002706E1" w:rsidRPr="0097373B">
        <w:rPr>
          <w:rFonts w:ascii="Times New Roman" w:hAnsi="Times New Roman" w:cs="Times New Roman"/>
        </w:rPr>
        <w:t>9</w:t>
      </w:r>
      <w:r w:rsidR="000C3172" w:rsidRPr="0097373B">
        <w:rPr>
          <w:rFonts w:ascii="Times New Roman" w:hAnsi="Times New Roman" w:cs="Times New Roman"/>
        </w:rPr>
        <w:t xml:space="preserve">]. To a lesser extent there are </w:t>
      </w:r>
      <w:r w:rsidRPr="0097373B">
        <w:rPr>
          <w:rFonts w:ascii="Times New Roman" w:hAnsi="Times New Roman" w:cs="Times New Roman"/>
        </w:rPr>
        <w:t>reports associating obe</w:t>
      </w:r>
      <w:r w:rsidR="000C3172" w:rsidRPr="0097373B">
        <w:rPr>
          <w:rFonts w:ascii="Times New Roman" w:hAnsi="Times New Roman" w:cs="Times New Roman"/>
        </w:rPr>
        <w:t>sity with</w:t>
      </w:r>
      <w:r w:rsidR="00556754" w:rsidRPr="0097373B">
        <w:rPr>
          <w:rFonts w:ascii="Times New Roman" w:hAnsi="Times New Roman" w:cs="Times New Roman"/>
        </w:rPr>
        <w:t xml:space="preserve"> hand</w:t>
      </w:r>
      <w:r w:rsidR="000C3172" w:rsidRPr="0097373B">
        <w:rPr>
          <w:rFonts w:ascii="Times New Roman" w:hAnsi="Times New Roman" w:cs="Times New Roman"/>
        </w:rPr>
        <w:t xml:space="preserve"> </w:t>
      </w:r>
      <w:r w:rsidR="00BD40BC" w:rsidRPr="0097373B">
        <w:rPr>
          <w:rFonts w:ascii="Times New Roman" w:hAnsi="Times New Roman" w:cs="Times New Roman"/>
        </w:rPr>
        <w:t xml:space="preserve">OA </w:t>
      </w:r>
      <w:r w:rsidR="000C3172" w:rsidRPr="0097373B">
        <w:rPr>
          <w:rFonts w:ascii="Times New Roman" w:hAnsi="Times New Roman" w:cs="Times New Roman"/>
        </w:rPr>
        <w:t>[</w:t>
      </w:r>
      <w:r w:rsidR="002706E1" w:rsidRPr="0097373B">
        <w:rPr>
          <w:rFonts w:ascii="Times New Roman" w:hAnsi="Times New Roman" w:cs="Times New Roman"/>
        </w:rPr>
        <w:t>10</w:t>
      </w:r>
      <w:r w:rsidR="00405304" w:rsidRPr="0097373B">
        <w:rPr>
          <w:rFonts w:ascii="Times New Roman" w:hAnsi="Times New Roman" w:cs="Times New Roman"/>
        </w:rPr>
        <w:t>,</w:t>
      </w:r>
      <w:r w:rsidR="002706E1" w:rsidRPr="0097373B">
        <w:rPr>
          <w:rFonts w:ascii="Times New Roman" w:hAnsi="Times New Roman" w:cs="Times New Roman"/>
        </w:rPr>
        <w:t>8</w:t>
      </w:r>
      <w:r w:rsidR="00CA0E87" w:rsidRPr="0097373B">
        <w:rPr>
          <w:rFonts w:ascii="Times New Roman" w:hAnsi="Times New Roman" w:cs="Times New Roman"/>
        </w:rPr>
        <w:t>]</w:t>
      </w:r>
      <w:r w:rsidR="000C3172" w:rsidRPr="0097373B">
        <w:rPr>
          <w:rFonts w:ascii="Times New Roman" w:hAnsi="Times New Roman" w:cs="Times New Roman"/>
        </w:rPr>
        <w:t xml:space="preserve"> and</w:t>
      </w:r>
      <w:r w:rsidR="00816660" w:rsidRPr="0097373B">
        <w:rPr>
          <w:rFonts w:ascii="Times New Roman" w:hAnsi="Times New Roman" w:cs="Times New Roman"/>
        </w:rPr>
        <w:t xml:space="preserve"> </w:t>
      </w:r>
      <w:r w:rsidR="00A60CCE" w:rsidRPr="0097373B">
        <w:rPr>
          <w:rFonts w:ascii="Times New Roman" w:hAnsi="Times New Roman" w:cs="Times New Roman"/>
        </w:rPr>
        <w:t xml:space="preserve">more </w:t>
      </w:r>
      <w:r w:rsidR="00E323C1" w:rsidRPr="0097373B">
        <w:rPr>
          <w:rFonts w:ascii="Times New Roman" w:hAnsi="Times New Roman" w:cs="Times New Roman"/>
        </w:rPr>
        <w:t xml:space="preserve">conflicting </w:t>
      </w:r>
      <w:r w:rsidR="00556754" w:rsidRPr="0097373B">
        <w:rPr>
          <w:rFonts w:ascii="Times New Roman" w:hAnsi="Times New Roman" w:cs="Times New Roman"/>
        </w:rPr>
        <w:t>results</w:t>
      </w:r>
      <w:r w:rsidR="00227264" w:rsidRPr="0097373B">
        <w:rPr>
          <w:rFonts w:ascii="Times New Roman" w:hAnsi="Times New Roman" w:cs="Times New Roman"/>
        </w:rPr>
        <w:t xml:space="preserve"> are found regarding </w:t>
      </w:r>
      <w:r w:rsidR="000C3172" w:rsidRPr="0097373B">
        <w:rPr>
          <w:rFonts w:ascii="Times New Roman" w:hAnsi="Times New Roman" w:cs="Times New Roman"/>
        </w:rPr>
        <w:t>hip</w:t>
      </w:r>
      <w:r w:rsidR="00C73C3A" w:rsidRPr="0097373B">
        <w:rPr>
          <w:rFonts w:ascii="Times New Roman" w:hAnsi="Times New Roman" w:cs="Times New Roman"/>
        </w:rPr>
        <w:t xml:space="preserve"> </w:t>
      </w:r>
      <w:r w:rsidR="00556754" w:rsidRPr="0097373B">
        <w:rPr>
          <w:rFonts w:ascii="Times New Roman" w:hAnsi="Times New Roman" w:cs="Times New Roman"/>
        </w:rPr>
        <w:t xml:space="preserve">OA </w:t>
      </w:r>
      <w:r w:rsidR="00097EB4" w:rsidRPr="0097373B">
        <w:rPr>
          <w:rFonts w:ascii="Times New Roman" w:hAnsi="Times New Roman" w:cs="Times New Roman"/>
        </w:rPr>
        <w:t>[6</w:t>
      </w:r>
      <w:r w:rsidR="00C73C3A" w:rsidRPr="0097373B">
        <w:rPr>
          <w:rFonts w:ascii="Times New Roman" w:hAnsi="Times New Roman" w:cs="Times New Roman"/>
        </w:rPr>
        <w:t>,7</w:t>
      </w:r>
      <w:r w:rsidR="00CA0E87" w:rsidRPr="0097373B">
        <w:rPr>
          <w:rFonts w:ascii="Times New Roman" w:hAnsi="Times New Roman" w:cs="Times New Roman"/>
        </w:rPr>
        <w:t>,</w:t>
      </w:r>
      <w:r w:rsidR="002706E1" w:rsidRPr="0097373B">
        <w:rPr>
          <w:rFonts w:ascii="Times New Roman" w:hAnsi="Times New Roman" w:cs="Times New Roman"/>
        </w:rPr>
        <w:t>11</w:t>
      </w:r>
      <w:r w:rsidR="00405304" w:rsidRPr="0097373B">
        <w:rPr>
          <w:rFonts w:ascii="Times New Roman" w:hAnsi="Times New Roman" w:cs="Times New Roman"/>
        </w:rPr>
        <w:t>,</w:t>
      </w:r>
      <w:r w:rsidR="002706E1" w:rsidRPr="0097373B">
        <w:rPr>
          <w:rFonts w:ascii="Times New Roman" w:hAnsi="Times New Roman" w:cs="Times New Roman"/>
        </w:rPr>
        <w:t>8</w:t>
      </w:r>
      <w:r w:rsidR="00BD40BC" w:rsidRPr="0097373B">
        <w:rPr>
          <w:rFonts w:ascii="Times New Roman" w:hAnsi="Times New Roman" w:cs="Times New Roman"/>
        </w:rPr>
        <w:t>]. The mechanical overload of the weigh</w:t>
      </w:r>
      <w:r w:rsidR="00E323C1" w:rsidRPr="0097373B">
        <w:rPr>
          <w:rFonts w:ascii="Times New Roman" w:hAnsi="Times New Roman" w:cs="Times New Roman"/>
        </w:rPr>
        <w:t>t</w:t>
      </w:r>
      <w:r w:rsidR="00BD40BC" w:rsidRPr="0097373B">
        <w:rPr>
          <w:rFonts w:ascii="Times New Roman" w:hAnsi="Times New Roman" w:cs="Times New Roman"/>
        </w:rPr>
        <w:t xml:space="preserve">-bearing joint or the activation of </w:t>
      </w:r>
      <w:r w:rsidR="008C1366" w:rsidRPr="0097373B">
        <w:rPr>
          <w:rFonts w:ascii="Times New Roman" w:hAnsi="Times New Roman" w:cs="Times New Roman"/>
        </w:rPr>
        <w:t xml:space="preserve">metabolic </w:t>
      </w:r>
      <w:r w:rsidR="00BD40BC" w:rsidRPr="0097373B">
        <w:rPr>
          <w:rFonts w:ascii="Times New Roman" w:hAnsi="Times New Roman" w:cs="Times New Roman"/>
        </w:rPr>
        <w:t>factors contributing to</w:t>
      </w:r>
      <w:r w:rsidR="008C1366" w:rsidRPr="0097373B">
        <w:rPr>
          <w:rFonts w:ascii="Times New Roman" w:hAnsi="Times New Roman" w:cs="Times New Roman"/>
        </w:rPr>
        <w:t xml:space="preserve"> the</w:t>
      </w:r>
      <w:r w:rsidR="00BD40BC" w:rsidRPr="0097373B">
        <w:rPr>
          <w:rFonts w:ascii="Times New Roman" w:hAnsi="Times New Roman" w:cs="Times New Roman"/>
        </w:rPr>
        <w:t xml:space="preserve"> joint damage have </w:t>
      </w:r>
      <w:r w:rsidR="00E323C1" w:rsidRPr="0097373B">
        <w:rPr>
          <w:rFonts w:ascii="Times New Roman" w:hAnsi="Times New Roman" w:cs="Times New Roman"/>
        </w:rPr>
        <w:t xml:space="preserve">both </w:t>
      </w:r>
      <w:r w:rsidR="00BD40BC" w:rsidRPr="0097373B">
        <w:rPr>
          <w:rFonts w:ascii="Times New Roman" w:hAnsi="Times New Roman" w:cs="Times New Roman"/>
        </w:rPr>
        <w:t>been proposed as possible mechanisms</w:t>
      </w:r>
      <w:r w:rsidR="005C794F" w:rsidRPr="0097373B">
        <w:rPr>
          <w:rFonts w:ascii="Times New Roman" w:hAnsi="Times New Roman" w:cs="Times New Roman"/>
        </w:rPr>
        <w:t xml:space="preserve"> to explain how weight increases the risk of </w:t>
      </w:r>
      <w:r w:rsidR="00C336E3" w:rsidRPr="0097373B">
        <w:rPr>
          <w:rFonts w:ascii="Times New Roman" w:hAnsi="Times New Roman" w:cs="Times New Roman"/>
        </w:rPr>
        <w:t xml:space="preserve">knee or hand </w:t>
      </w:r>
      <w:r w:rsidR="005C794F" w:rsidRPr="0097373B">
        <w:rPr>
          <w:rFonts w:ascii="Times New Roman" w:hAnsi="Times New Roman" w:cs="Times New Roman"/>
        </w:rPr>
        <w:t>OA</w:t>
      </w:r>
      <w:r w:rsidR="0022268F" w:rsidRPr="0097373B">
        <w:rPr>
          <w:rFonts w:ascii="Times New Roman" w:hAnsi="Times New Roman" w:cs="Times New Roman"/>
        </w:rPr>
        <w:t xml:space="preserve"> [</w:t>
      </w:r>
      <w:r w:rsidR="002706E1" w:rsidRPr="0097373B">
        <w:rPr>
          <w:rFonts w:ascii="Times New Roman" w:hAnsi="Times New Roman" w:cs="Times New Roman"/>
        </w:rPr>
        <w:t>12</w:t>
      </w:r>
      <w:r w:rsidR="007339A6" w:rsidRPr="0097373B">
        <w:rPr>
          <w:rFonts w:ascii="Times New Roman" w:hAnsi="Times New Roman" w:cs="Times New Roman"/>
        </w:rPr>
        <w:t xml:space="preserve">]. </w:t>
      </w:r>
    </w:p>
    <w:p w14:paraId="521C40E4" w14:textId="77777777" w:rsidR="001B76FC" w:rsidRPr="0097373B" w:rsidRDefault="001B76FC" w:rsidP="001D2514">
      <w:pPr>
        <w:widowControl w:val="0"/>
        <w:autoSpaceDE w:val="0"/>
        <w:autoSpaceDN w:val="0"/>
        <w:adjustRightInd w:val="0"/>
        <w:spacing w:line="480" w:lineRule="auto"/>
        <w:jc w:val="both"/>
        <w:rPr>
          <w:rFonts w:ascii="Times New Roman" w:hAnsi="Times New Roman" w:cs="Times New Roman"/>
        </w:rPr>
      </w:pPr>
    </w:p>
    <w:p w14:paraId="0CF01F12" w14:textId="7C874D1E" w:rsidR="00E64C36" w:rsidRPr="0097373B" w:rsidRDefault="007339A6" w:rsidP="001D2514">
      <w:pPr>
        <w:widowControl w:val="0"/>
        <w:autoSpaceDE w:val="0"/>
        <w:autoSpaceDN w:val="0"/>
        <w:adjustRightInd w:val="0"/>
        <w:spacing w:line="480" w:lineRule="auto"/>
        <w:jc w:val="both"/>
        <w:rPr>
          <w:rFonts w:ascii="Times New Roman" w:hAnsi="Times New Roman" w:cs="Times New Roman"/>
          <w:kern w:val="1"/>
        </w:rPr>
      </w:pPr>
      <w:r w:rsidRPr="0097373B">
        <w:rPr>
          <w:rFonts w:ascii="Times New Roman" w:hAnsi="Times New Roman" w:cs="Times New Roman"/>
        </w:rPr>
        <w:t xml:space="preserve">Nevertheless the </w:t>
      </w:r>
      <w:r w:rsidR="00092A2E" w:rsidRPr="0097373B">
        <w:rPr>
          <w:rFonts w:ascii="Times New Roman" w:hAnsi="Times New Roman" w:cs="Times New Roman"/>
        </w:rPr>
        <w:t xml:space="preserve">limited </w:t>
      </w:r>
      <w:r w:rsidR="001A4D43" w:rsidRPr="0097373B">
        <w:rPr>
          <w:rFonts w:ascii="Times New Roman" w:hAnsi="Times New Roman" w:cs="Times New Roman"/>
        </w:rPr>
        <w:t>treatments</w:t>
      </w:r>
      <w:r w:rsidR="00905D1C" w:rsidRPr="0097373B">
        <w:rPr>
          <w:rFonts w:ascii="Times New Roman" w:hAnsi="Times New Roman" w:cs="Times New Roman"/>
        </w:rPr>
        <w:t xml:space="preserve"> </w:t>
      </w:r>
      <w:r w:rsidRPr="0097373B">
        <w:rPr>
          <w:rFonts w:ascii="Times New Roman" w:hAnsi="Times New Roman" w:cs="Times New Roman"/>
        </w:rPr>
        <w:t xml:space="preserve">for OA </w:t>
      </w:r>
      <w:r w:rsidR="009625F2" w:rsidRPr="0097373B">
        <w:rPr>
          <w:rFonts w:ascii="Times New Roman" w:hAnsi="Times New Roman" w:cs="Times New Roman"/>
        </w:rPr>
        <w:t xml:space="preserve">make prevention of </w:t>
      </w:r>
      <w:r w:rsidR="00640416" w:rsidRPr="0097373B">
        <w:rPr>
          <w:rFonts w:ascii="Times New Roman" w:hAnsi="Times New Roman" w:cs="Times New Roman"/>
        </w:rPr>
        <w:t xml:space="preserve">modifiable </w:t>
      </w:r>
      <w:r w:rsidR="009625F2" w:rsidRPr="0097373B">
        <w:rPr>
          <w:rFonts w:ascii="Times New Roman" w:hAnsi="Times New Roman" w:cs="Times New Roman"/>
        </w:rPr>
        <w:t xml:space="preserve">risk factors, such as obesity, </w:t>
      </w:r>
      <w:r w:rsidR="001A4D43" w:rsidRPr="0097373B">
        <w:rPr>
          <w:rFonts w:ascii="Times New Roman" w:hAnsi="Times New Roman" w:cs="Times New Roman"/>
        </w:rPr>
        <w:t xml:space="preserve">a </w:t>
      </w:r>
      <w:r w:rsidRPr="0097373B">
        <w:rPr>
          <w:rFonts w:ascii="Times New Roman" w:hAnsi="Times New Roman" w:cs="Times New Roman"/>
        </w:rPr>
        <w:t>key target</w:t>
      </w:r>
      <w:r w:rsidR="009625F2" w:rsidRPr="0097373B">
        <w:rPr>
          <w:rFonts w:ascii="Times New Roman" w:hAnsi="Times New Roman" w:cs="Times New Roman"/>
        </w:rPr>
        <w:t xml:space="preserve"> </w:t>
      </w:r>
      <w:r w:rsidR="00640416" w:rsidRPr="0097373B">
        <w:rPr>
          <w:rFonts w:ascii="Times New Roman" w:hAnsi="Times New Roman" w:cs="Times New Roman"/>
        </w:rPr>
        <w:t>for public health</w:t>
      </w:r>
      <w:r w:rsidR="00A60CCE" w:rsidRPr="0097373B">
        <w:rPr>
          <w:rFonts w:ascii="Times New Roman" w:hAnsi="Times New Roman" w:cs="Times New Roman"/>
        </w:rPr>
        <w:t xml:space="preserve"> </w:t>
      </w:r>
      <w:r w:rsidR="00640416" w:rsidRPr="0097373B">
        <w:rPr>
          <w:rFonts w:ascii="Times New Roman" w:hAnsi="Times New Roman" w:cs="Times New Roman"/>
        </w:rPr>
        <w:t>and</w:t>
      </w:r>
      <w:r w:rsidR="009625F2" w:rsidRPr="0097373B">
        <w:rPr>
          <w:rFonts w:ascii="Times New Roman" w:hAnsi="Times New Roman" w:cs="Times New Roman"/>
        </w:rPr>
        <w:t xml:space="preserve"> medical interventions today.</w:t>
      </w:r>
      <w:r w:rsidR="001B76FC" w:rsidRPr="0097373B">
        <w:rPr>
          <w:rFonts w:ascii="Times New Roman" w:hAnsi="Times New Roman" w:cs="Times New Roman"/>
        </w:rPr>
        <w:t xml:space="preserve"> Consequently,</w:t>
      </w:r>
      <w:r w:rsidR="009625F2" w:rsidRPr="0097373B">
        <w:rPr>
          <w:rFonts w:ascii="Times New Roman" w:hAnsi="Times New Roman" w:cs="Times New Roman"/>
        </w:rPr>
        <w:t xml:space="preserve"> </w:t>
      </w:r>
      <w:r w:rsidR="001B76FC" w:rsidRPr="0097373B">
        <w:rPr>
          <w:rFonts w:ascii="Times New Roman" w:hAnsi="Times New Roman" w:cs="Times New Roman"/>
          <w:kern w:val="1"/>
        </w:rPr>
        <w:t>t</w:t>
      </w:r>
      <w:r w:rsidR="00415A4B" w:rsidRPr="0097373B">
        <w:rPr>
          <w:rFonts w:ascii="Times New Roman" w:hAnsi="Times New Roman" w:cs="Times New Roman"/>
          <w:kern w:val="1"/>
        </w:rPr>
        <w:t>he aim of th</w:t>
      </w:r>
      <w:r w:rsidR="00A60CCE" w:rsidRPr="0097373B">
        <w:rPr>
          <w:rFonts w:ascii="Times New Roman" w:hAnsi="Times New Roman" w:cs="Times New Roman"/>
          <w:kern w:val="1"/>
        </w:rPr>
        <w:t>is</w:t>
      </w:r>
      <w:r w:rsidR="00415A4B" w:rsidRPr="0097373B">
        <w:rPr>
          <w:rFonts w:ascii="Times New Roman" w:hAnsi="Times New Roman" w:cs="Times New Roman"/>
          <w:kern w:val="1"/>
        </w:rPr>
        <w:t xml:space="preserve"> study is to </w:t>
      </w:r>
      <w:r w:rsidR="008B7169" w:rsidRPr="0097373B">
        <w:rPr>
          <w:rFonts w:ascii="Times New Roman" w:hAnsi="Times New Roman" w:cs="Times New Roman"/>
          <w:kern w:val="1"/>
        </w:rPr>
        <w:t>analyse</w:t>
      </w:r>
      <w:r w:rsidR="00547ED1" w:rsidRPr="0097373B">
        <w:rPr>
          <w:rFonts w:ascii="Times New Roman" w:hAnsi="Times New Roman" w:cs="Times New Roman"/>
          <w:kern w:val="1"/>
        </w:rPr>
        <w:t xml:space="preserve"> the </w:t>
      </w:r>
      <w:r w:rsidR="007D7D0F" w:rsidRPr="0097373B">
        <w:rPr>
          <w:rFonts w:ascii="Times New Roman" w:hAnsi="Times New Roman" w:cs="Times New Roman"/>
          <w:kern w:val="1"/>
        </w:rPr>
        <w:t>effect</w:t>
      </w:r>
      <w:r w:rsidR="00547ED1" w:rsidRPr="0097373B">
        <w:rPr>
          <w:rFonts w:ascii="Times New Roman" w:hAnsi="Times New Roman" w:cs="Times New Roman"/>
          <w:kern w:val="1"/>
        </w:rPr>
        <w:t xml:space="preserve"> of </w:t>
      </w:r>
      <w:r w:rsidR="00415A4B" w:rsidRPr="0097373B">
        <w:rPr>
          <w:rFonts w:ascii="Times New Roman" w:hAnsi="Times New Roman" w:cs="Times New Roman"/>
          <w:kern w:val="1"/>
        </w:rPr>
        <w:t xml:space="preserve">obesity on the incidence of symptomatic knee, hip and hand OA, using a large population database. </w:t>
      </w:r>
    </w:p>
    <w:p w14:paraId="10779732" w14:textId="77777777" w:rsidR="00640416" w:rsidRPr="0097373B" w:rsidRDefault="00640416" w:rsidP="001D2514">
      <w:pPr>
        <w:jc w:val="both"/>
        <w:rPr>
          <w:rFonts w:ascii="Times New Roman" w:hAnsi="Times New Roman" w:cs="Times New Roman"/>
          <w:b/>
          <w:kern w:val="1"/>
        </w:rPr>
      </w:pPr>
      <w:r w:rsidRPr="0097373B">
        <w:rPr>
          <w:rFonts w:ascii="Times New Roman" w:hAnsi="Times New Roman" w:cs="Times New Roman"/>
          <w:b/>
          <w:kern w:val="1"/>
        </w:rPr>
        <w:br w:type="page"/>
      </w:r>
    </w:p>
    <w:p w14:paraId="4C2F71B1" w14:textId="450BA2E6" w:rsidR="00820C85" w:rsidRPr="0097373B" w:rsidRDefault="00D13D96" w:rsidP="001D2514">
      <w:pPr>
        <w:widowControl w:val="0"/>
        <w:autoSpaceDE w:val="0"/>
        <w:autoSpaceDN w:val="0"/>
        <w:adjustRightInd w:val="0"/>
        <w:spacing w:line="480" w:lineRule="auto"/>
        <w:jc w:val="both"/>
        <w:rPr>
          <w:rFonts w:ascii="Times New Roman" w:hAnsi="Times New Roman" w:cs="Times New Roman"/>
          <w:b/>
          <w:kern w:val="1"/>
        </w:rPr>
      </w:pPr>
      <w:r w:rsidRPr="0097373B">
        <w:rPr>
          <w:rFonts w:ascii="Times New Roman" w:hAnsi="Times New Roman" w:cs="Times New Roman"/>
          <w:b/>
          <w:kern w:val="1"/>
        </w:rPr>
        <w:lastRenderedPageBreak/>
        <w:t xml:space="preserve">PATIENTS AND </w:t>
      </w:r>
      <w:r w:rsidR="00510F93" w:rsidRPr="0097373B">
        <w:rPr>
          <w:rFonts w:ascii="Times New Roman" w:hAnsi="Times New Roman" w:cs="Times New Roman"/>
          <w:b/>
          <w:kern w:val="1"/>
        </w:rPr>
        <w:t>METHODS</w:t>
      </w:r>
    </w:p>
    <w:p w14:paraId="63D6BA5A" w14:textId="5F9AC585" w:rsidR="00227264" w:rsidRPr="0097373B" w:rsidRDefault="003E469C" w:rsidP="001D2514">
      <w:pPr>
        <w:widowControl w:val="0"/>
        <w:autoSpaceDE w:val="0"/>
        <w:autoSpaceDN w:val="0"/>
        <w:adjustRightInd w:val="0"/>
        <w:spacing w:line="480" w:lineRule="auto"/>
        <w:jc w:val="both"/>
        <w:rPr>
          <w:rFonts w:ascii="Times New Roman" w:hAnsi="Times New Roman" w:cs="Times New Roman"/>
          <w:kern w:val="1"/>
        </w:rPr>
      </w:pPr>
      <w:r w:rsidRPr="0097373B">
        <w:rPr>
          <w:rFonts w:ascii="Times New Roman" w:hAnsi="Times New Roman" w:cs="Times New Roman"/>
          <w:b/>
          <w:kern w:val="1"/>
        </w:rPr>
        <w:t xml:space="preserve">Study design and </w:t>
      </w:r>
      <w:r w:rsidR="00F269D1" w:rsidRPr="0097373B">
        <w:rPr>
          <w:rFonts w:ascii="Times New Roman" w:hAnsi="Times New Roman" w:cs="Times New Roman"/>
          <w:b/>
          <w:kern w:val="1"/>
        </w:rPr>
        <w:t>setting</w:t>
      </w:r>
      <w:r w:rsidRPr="0097373B">
        <w:rPr>
          <w:rFonts w:ascii="Times New Roman" w:hAnsi="Times New Roman" w:cs="Times New Roman"/>
          <w:b/>
          <w:kern w:val="1"/>
        </w:rPr>
        <w:t>:</w:t>
      </w:r>
      <w:r w:rsidRPr="0097373B">
        <w:rPr>
          <w:rFonts w:ascii="Times New Roman" w:hAnsi="Times New Roman" w:cs="Times New Roman"/>
          <w:kern w:val="1"/>
        </w:rPr>
        <w:t xml:space="preserve"> </w:t>
      </w:r>
    </w:p>
    <w:p w14:paraId="6F1C9A83" w14:textId="77777777" w:rsidR="001535FD" w:rsidRPr="0097373B" w:rsidRDefault="00820C85" w:rsidP="001D2514">
      <w:pPr>
        <w:widowControl w:val="0"/>
        <w:autoSpaceDE w:val="0"/>
        <w:autoSpaceDN w:val="0"/>
        <w:adjustRightInd w:val="0"/>
        <w:spacing w:line="480" w:lineRule="auto"/>
        <w:jc w:val="both"/>
        <w:rPr>
          <w:rStyle w:val="Hyperlink"/>
          <w:rFonts w:ascii="Times New Roman" w:hAnsi="Times New Roman" w:cs="Times New Roman"/>
          <w:color w:val="auto"/>
          <w:kern w:val="1"/>
        </w:rPr>
      </w:pPr>
      <w:r w:rsidRPr="0097373B">
        <w:rPr>
          <w:rFonts w:ascii="Times New Roman" w:hAnsi="Times New Roman" w:cs="Times New Roman"/>
          <w:kern w:val="1"/>
        </w:rPr>
        <w:t>We conducted a p</w:t>
      </w:r>
      <w:r w:rsidR="00B45556" w:rsidRPr="0097373B">
        <w:rPr>
          <w:rFonts w:ascii="Times New Roman" w:hAnsi="Times New Roman" w:cs="Times New Roman"/>
          <w:kern w:val="1"/>
        </w:rPr>
        <w:t>opulation-ba</w:t>
      </w:r>
      <w:r w:rsidR="00547ED1" w:rsidRPr="0097373B">
        <w:rPr>
          <w:rFonts w:ascii="Times New Roman" w:hAnsi="Times New Roman" w:cs="Times New Roman"/>
          <w:kern w:val="1"/>
        </w:rPr>
        <w:t xml:space="preserve">sed </w:t>
      </w:r>
      <w:r w:rsidRPr="0097373B">
        <w:rPr>
          <w:rFonts w:ascii="Times New Roman" w:hAnsi="Times New Roman" w:cs="Times New Roman"/>
          <w:kern w:val="1"/>
        </w:rPr>
        <w:t xml:space="preserve">cohort study using </w:t>
      </w:r>
      <w:r w:rsidR="00640416" w:rsidRPr="0097373B">
        <w:rPr>
          <w:rFonts w:ascii="Times New Roman" w:hAnsi="Times New Roman" w:cs="Times New Roman"/>
          <w:kern w:val="1"/>
        </w:rPr>
        <w:t xml:space="preserve">routinely collected </w:t>
      </w:r>
      <w:r w:rsidRPr="0097373B">
        <w:rPr>
          <w:rFonts w:ascii="Times New Roman" w:hAnsi="Times New Roman" w:cs="Times New Roman"/>
          <w:kern w:val="1"/>
        </w:rPr>
        <w:t xml:space="preserve">data from </w:t>
      </w:r>
      <w:r w:rsidR="00B45556" w:rsidRPr="0097373B">
        <w:rPr>
          <w:rFonts w:ascii="Times New Roman" w:hAnsi="Times New Roman" w:cs="Times New Roman"/>
          <w:kern w:val="1"/>
        </w:rPr>
        <w:t>the Sistema d‘Informació per al</w:t>
      </w:r>
      <w:r w:rsidRPr="0097373B">
        <w:rPr>
          <w:rFonts w:ascii="Times New Roman" w:hAnsi="Times New Roman" w:cs="Times New Roman"/>
          <w:kern w:val="1"/>
        </w:rPr>
        <w:t xml:space="preserve"> </w:t>
      </w:r>
      <w:r w:rsidR="00B45556" w:rsidRPr="0097373B">
        <w:rPr>
          <w:rFonts w:ascii="Times New Roman" w:hAnsi="Times New Roman" w:cs="Times New Roman"/>
          <w:kern w:val="1"/>
        </w:rPr>
        <w:t>Desenvolupament de l‘Investigació en Atenció</w:t>
      </w:r>
      <w:r w:rsidRPr="0097373B">
        <w:rPr>
          <w:rFonts w:ascii="Times New Roman" w:hAnsi="Times New Roman" w:cs="Times New Roman"/>
          <w:kern w:val="1"/>
        </w:rPr>
        <w:t xml:space="preserve"> </w:t>
      </w:r>
      <w:r w:rsidR="00B45556" w:rsidRPr="0097373B">
        <w:rPr>
          <w:rFonts w:ascii="Times New Roman" w:hAnsi="Times New Roman" w:cs="Times New Roman"/>
          <w:kern w:val="1"/>
        </w:rPr>
        <w:t>Primària (SID</w:t>
      </w:r>
      <w:r w:rsidR="00A050D4" w:rsidRPr="0097373B">
        <w:rPr>
          <w:rFonts w:ascii="Times New Roman" w:hAnsi="Times New Roman" w:cs="Times New Roman"/>
          <w:kern w:val="1"/>
        </w:rPr>
        <w:t xml:space="preserve">IAP) database </w:t>
      </w:r>
      <w:r w:rsidR="00B45556" w:rsidRPr="0097373B">
        <w:rPr>
          <w:rFonts w:ascii="Times New Roman" w:hAnsi="Times New Roman" w:cs="Times New Roman"/>
          <w:kern w:val="1"/>
        </w:rPr>
        <w:t>(</w:t>
      </w:r>
      <w:hyperlink r:id="rId9" w:history="1">
        <w:r w:rsidR="00F269D1" w:rsidRPr="0097373B">
          <w:rPr>
            <w:rStyle w:val="Hyperlink"/>
            <w:rFonts w:ascii="Times New Roman" w:hAnsi="Times New Roman" w:cs="Times New Roman"/>
            <w:color w:val="auto"/>
            <w:kern w:val="1"/>
          </w:rPr>
          <w:t>http://www.sidiap.org</w:t>
        </w:r>
      </w:hyperlink>
      <w:r w:rsidR="00C22B08" w:rsidRPr="0097373B">
        <w:rPr>
          <w:rStyle w:val="Hyperlink"/>
          <w:rFonts w:ascii="Times New Roman" w:hAnsi="Times New Roman" w:cs="Times New Roman"/>
          <w:color w:val="auto"/>
          <w:kern w:val="1"/>
        </w:rPr>
        <w:t>).</w:t>
      </w:r>
    </w:p>
    <w:p w14:paraId="2C505D5B" w14:textId="4F987A7F" w:rsidR="001535FD" w:rsidRPr="0097373B" w:rsidRDefault="001535FD" w:rsidP="001D2514">
      <w:pPr>
        <w:widowControl w:val="0"/>
        <w:autoSpaceDE w:val="0"/>
        <w:autoSpaceDN w:val="0"/>
        <w:adjustRightInd w:val="0"/>
        <w:spacing w:line="480" w:lineRule="auto"/>
        <w:jc w:val="both"/>
        <w:rPr>
          <w:rFonts w:ascii="Times New Roman" w:hAnsi="Times New Roman" w:cs="Times New Roman"/>
          <w:b/>
          <w:kern w:val="1"/>
        </w:rPr>
      </w:pPr>
      <w:r w:rsidRPr="0097373B">
        <w:rPr>
          <w:rFonts w:ascii="Times New Roman" w:hAnsi="Times New Roman" w:cs="Times New Roman"/>
          <w:b/>
          <w:kern w:val="1"/>
        </w:rPr>
        <w:t xml:space="preserve">Data source: </w:t>
      </w:r>
    </w:p>
    <w:p w14:paraId="221A2754" w14:textId="77777777" w:rsidR="001535FD" w:rsidRPr="0097373B" w:rsidRDefault="001535FD" w:rsidP="001D2514">
      <w:pPr>
        <w:widowControl w:val="0"/>
        <w:autoSpaceDE w:val="0"/>
        <w:autoSpaceDN w:val="0"/>
        <w:adjustRightInd w:val="0"/>
        <w:spacing w:line="480" w:lineRule="auto"/>
        <w:jc w:val="both"/>
        <w:rPr>
          <w:rFonts w:ascii="Times New Roman" w:hAnsi="Times New Roman" w:cs="Times New Roman"/>
          <w:kern w:val="1"/>
        </w:rPr>
      </w:pPr>
      <w:r w:rsidRPr="0097373B">
        <w:rPr>
          <w:rFonts w:ascii="Times New Roman" w:hAnsi="Times New Roman" w:cs="Times New Roman"/>
          <w:kern w:val="1"/>
        </w:rPr>
        <w:t xml:space="preserve">SIDIAP gathers clinical information as recorded by general practitioners (GP) and primary care nurses including prescriptions, events (ICD-10 codes) and measurements (such as body mass index, blood pressure, or spirometry results amongst others collected using structured spreadsheets) during routine practice. It covers &gt;5.5 million people (a representative &gt;80% of the population of Catalonia, Spain) registered with one of the 3,414 GPs working in any of the 274 primary care practices run by the Catalan Institute of Health (ICS for its acronym in Catalan [15]. </w:t>
      </w:r>
    </w:p>
    <w:p w14:paraId="477BF1C6" w14:textId="4F9711F8" w:rsidR="00F269D1" w:rsidRPr="0097373B" w:rsidRDefault="001535FD" w:rsidP="001D2514">
      <w:pPr>
        <w:widowControl w:val="0"/>
        <w:autoSpaceDE w:val="0"/>
        <w:autoSpaceDN w:val="0"/>
        <w:adjustRightInd w:val="0"/>
        <w:spacing w:line="480" w:lineRule="auto"/>
        <w:jc w:val="both"/>
        <w:rPr>
          <w:rFonts w:ascii="Times New Roman" w:hAnsi="Times New Roman" w:cs="Times New Roman"/>
          <w:kern w:val="1"/>
        </w:rPr>
      </w:pPr>
      <w:r w:rsidRPr="0097373B">
        <w:rPr>
          <w:rFonts w:ascii="Times New Roman" w:hAnsi="Times New Roman" w:cs="Times New Roman"/>
          <w:kern w:val="1"/>
        </w:rPr>
        <w:t>The Spanish (and by extension, the Catalan) healthcare system is of universal coverage, and GPs are, as in the British NHS, gatekeepers to any other medical or allied healthcare professional attention with the exception of Accident and Emergency rooms.</w:t>
      </w:r>
    </w:p>
    <w:p w14:paraId="798B1D20" w14:textId="27A04BA8" w:rsidR="00227264" w:rsidRPr="0097373B" w:rsidRDefault="003E469C" w:rsidP="001D2514">
      <w:pPr>
        <w:widowControl w:val="0"/>
        <w:autoSpaceDE w:val="0"/>
        <w:autoSpaceDN w:val="0"/>
        <w:adjustRightInd w:val="0"/>
        <w:spacing w:line="480" w:lineRule="auto"/>
        <w:jc w:val="both"/>
        <w:rPr>
          <w:rFonts w:ascii="Times New Roman" w:hAnsi="Times New Roman" w:cs="Times New Roman"/>
          <w:kern w:val="1"/>
        </w:rPr>
      </w:pPr>
      <w:r w:rsidRPr="0097373B">
        <w:rPr>
          <w:rFonts w:ascii="Times New Roman" w:hAnsi="Times New Roman" w:cs="Times New Roman"/>
          <w:b/>
          <w:kern w:val="1"/>
        </w:rPr>
        <w:t>Participants:</w:t>
      </w:r>
      <w:r w:rsidRPr="0097373B">
        <w:rPr>
          <w:rFonts w:ascii="Times New Roman" w:hAnsi="Times New Roman" w:cs="Times New Roman"/>
          <w:kern w:val="1"/>
        </w:rPr>
        <w:t xml:space="preserve"> </w:t>
      </w:r>
    </w:p>
    <w:p w14:paraId="5D9EA0C0" w14:textId="1D28B732" w:rsidR="00F269D1" w:rsidRPr="0097373B" w:rsidRDefault="003155D5" w:rsidP="001D2514">
      <w:pPr>
        <w:widowControl w:val="0"/>
        <w:autoSpaceDE w:val="0"/>
        <w:autoSpaceDN w:val="0"/>
        <w:adjustRightInd w:val="0"/>
        <w:spacing w:line="480" w:lineRule="auto"/>
        <w:jc w:val="both"/>
        <w:rPr>
          <w:rFonts w:ascii="Times New Roman" w:hAnsi="Times New Roman" w:cs="Times New Roman"/>
          <w:kern w:val="1"/>
        </w:rPr>
      </w:pPr>
      <w:r w:rsidRPr="0097373B">
        <w:rPr>
          <w:rFonts w:ascii="Times New Roman" w:hAnsi="Times New Roman" w:cs="Times New Roman"/>
          <w:kern w:val="1"/>
        </w:rPr>
        <w:t xml:space="preserve">Eligible participants were all subjects </w:t>
      </w:r>
      <w:r w:rsidR="00B45556" w:rsidRPr="0097373B">
        <w:rPr>
          <w:rFonts w:ascii="Times New Roman" w:hAnsi="Times New Roman" w:cs="Times New Roman"/>
          <w:kern w:val="1"/>
        </w:rPr>
        <w:t xml:space="preserve">aged </w:t>
      </w:r>
      <w:r w:rsidRPr="0097373B">
        <w:rPr>
          <w:rFonts w:ascii="Times New Roman" w:hAnsi="Times New Roman" w:cs="Times New Roman"/>
          <w:kern w:val="1"/>
        </w:rPr>
        <w:t xml:space="preserve">at least </w:t>
      </w:r>
      <w:r w:rsidR="00B45556" w:rsidRPr="0097373B">
        <w:rPr>
          <w:rFonts w:ascii="Times New Roman" w:hAnsi="Times New Roman" w:cs="Times New Roman"/>
          <w:kern w:val="1"/>
        </w:rPr>
        <w:t>40 years old</w:t>
      </w:r>
      <w:r w:rsidR="00820C85" w:rsidRPr="0097373B">
        <w:rPr>
          <w:rFonts w:ascii="Times New Roman" w:hAnsi="Times New Roman" w:cs="Times New Roman"/>
          <w:kern w:val="1"/>
        </w:rPr>
        <w:t xml:space="preserve"> </w:t>
      </w:r>
      <w:r w:rsidR="00B45556" w:rsidRPr="0097373B">
        <w:rPr>
          <w:rFonts w:ascii="Times New Roman" w:hAnsi="Times New Roman" w:cs="Times New Roman"/>
          <w:kern w:val="1"/>
        </w:rPr>
        <w:t>with</w:t>
      </w:r>
      <w:r w:rsidR="00A60CCE" w:rsidRPr="0097373B">
        <w:rPr>
          <w:rFonts w:ascii="Times New Roman" w:hAnsi="Times New Roman" w:cs="Times New Roman"/>
          <w:kern w:val="1"/>
        </w:rPr>
        <w:t>out a</w:t>
      </w:r>
      <w:r w:rsidR="006B5894" w:rsidRPr="0097373B">
        <w:rPr>
          <w:rFonts w:ascii="Times New Roman" w:hAnsi="Times New Roman" w:cs="Times New Roman"/>
          <w:kern w:val="1"/>
        </w:rPr>
        <w:t xml:space="preserve"> history of </w:t>
      </w:r>
      <w:r w:rsidR="00802D9A" w:rsidRPr="0097373B">
        <w:rPr>
          <w:rFonts w:ascii="Times New Roman" w:hAnsi="Times New Roman" w:cs="Times New Roman"/>
          <w:kern w:val="1"/>
        </w:rPr>
        <w:t xml:space="preserve">diagnosed </w:t>
      </w:r>
      <w:r w:rsidR="006B5894" w:rsidRPr="0097373B">
        <w:rPr>
          <w:rFonts w:ascii="Times New Roman" w:hAnsi="Times New Roman" w:cs="Times New Roman"/>
          <w:kern w:val="1"/>
        </w:rPr>
        <w:t xml:space="preserve">OA </w:t>
      </w:r>
      <w:r w:rsidR="00186166" w:rsidRPr="0097373B">
        <w:rPr>
          <w:rFonts w:ascii="Times New Roman" w:hAnsi="Times New Roman" w:cs="Times New Roman"/>
          <w:kern w:val="1"/>
        </w:rPr>
        <w:t xml:space="preserve">in primary care records </w:t>
      </w:r>
      <w:r w:rsidR="006B5894" w:rsidRPr="0097373B">
        <w:rPr>
          <w:rFonts w:ascii="Times New Roman" w:hAnsi="Times New Roman" w:cs="Times New Roman"/>
          <w:kern w:val="1"/>
        </w:rPr>
        <w:t xml:space="preserve">at index joint </w:t>
      </w:r>
      <w:r w:rsidR="00B45556" w:rsidRPr="0097373B">
        <w:rPr>
          <w:rFonts w:ascii="Times New Roman" w:hAnsi="Times New Roman" w:cs="Times New Roman"/>
          <w:kern w:val="1"/>
        </w:rPr>
        <w:t>on 1</w:t>
      </w:r>
      <w:r w:rsidRPr="0097373B">
        <w:rPr>
          <w:rFonts w:ascii="Times New Roman" w:hAnsi="Times New Roman" w:cs="Times New Roman"/>
          <w:kern w:val="1"/>
          <w:vertAlign w:val="superscript"/>
        </w:rPr>
        <w:t>st</w:t>
      </w:r>
      <w:r w:rsidR="00B45556" w:rsidRPr="0097373B">
        <w:rPr>
          <w:rFonts w:ascii="Times New Roman" w:hAnsi="Times New Roman" w:cs="Times New Roman"/>
          <w:kern w:val="1"/>
        </w:rPr>
        <w:t xml:space="preserve"> January 200</w:t>
      </w:r>
      <w:r w:rsidR="00A050D4" w:rsidRPr="0097373B">
        <w:rPr>
          <w:rFonts w:ascii="Times New Roman" w:hAnsi="Times New Roman" w:cs="Times New Roman"/>
          <w:kern w:val="1"/>
        </w:rPr>
        <w:t>6</w:t>
      </w:r>
      <w:r w:rsidR="009E7049" w:rsidRPr="0097373B">
        <w:rPr>
          <w:rFonts w:ascii="Times New Roman" w:hAnsi="Times New Roman" w:cs="Times New Roman"/>
          <w:kern w:val="1"/>
        </w:rPr>
        <w:t xml:space="preserve"> and with at least one measurement of BMI coded in </w:t>
      </w:r>
      <w:r w:rsidR="00A60CCE" w:rsidRPr="0097373B">
        <w:rPr>
          <w:rFonts w:ascii="Times New Roman" w:hAnsi="Times New Roman" w:cs="Times New Roman"/>
          <w:kern w:val="1"/>
        </w:rPr>
        <w:t xml:space="preserve">the </w:t>
      </w:r>
      <w:r w:rsidR="009E7049" w:rsidRPr="0097373B">
        <w:rPr>
          <w:rFonts w:ascii="Times New Roman" w:hAnsi="Times New Roman" w:cs="Times New Roman"/>
          <w:kern w:val="1"/>
        </w:rPr>
        <w:t>primary care computerized records</w:t>
      </w:r>
      <w:r w:rsidR="00227264" w:rsidRPr="0097373B">
        <w:rPr>
          <w:rFonts w:ascii="Times New Roman" w:hAnsi="Times New Roman" w:cs="Times New Roman"/>
          <w:kern w:val="1"/>
        </w:rPr>
        <w:t xml:space="preserve"> (SIDIAP database)</w:t>
      </w:r>
      <w:r w:rsidR="00F8570F" w:rsidRPr="0097373B">
        <w:rPr>
          <w:rFonts w:ascii="Times New Roman" w:hAnsi="Times New Roman" w:cs="Times New Roman"/>
          <w:kern w:val="1"/>
        </w:rPr>
        <w:t xml:space="preserve"> </w:t>
      </w:r>
      <w:r w:rsidR="00227264" w:rsidRPr="0097373B">
        <w:rPr>
          <w:rFonts w:ascii="Times New Roman" w:hAnsi="Times New Roman" w:cs="Times New Roman"/>
          <w:kern w:val="1"/>
        </w:rPr>
        <w:t xml:space="preserve"> </w:t>
      </w:r>
    </w:p>
    <w:p w14:paraId="6524C6F0" w14:textId="4B8326A0" w:rsidR="00227264" w:rsidRPr="0097373B" w:rsidRDefault="00F269D1" w:rsidP="001D2514">
      <w:pPr>
        <w:widowControl w:val="0"/>
        <w:autoSpaceDE w:val="0"/>
        <w:autoSpaceDN w:val="0"/>
        <w:adjustRightInd w:val="0"/>
        <w:spacing w:line="480" w:lineRule="auto"/>
        <w:jc w:val="both"/>
        <w:rPr>
          <w:rFonts w:ascii="Times New Roman" w:hAnsi="Times New Roman" w:cs="Times New Roman"/>
          <w:b/>
          <w:kern w:val="1"/>
        </w:rPr>
      </w:pPr>
      <w:r w:rsidRPr="0097373B">
        <w:rPr>
          <w:rFonts w:ascii="Times New Roman" w:hAnsi="Times New Roman" w:cs="Times New Roman"/>
          <w:b/>
          <w:kern w:val="1"/>
        </w:rPr>
        <w:t xml:space="preserve">Study period: </w:t>
      </w:r>
    </w:p>
    <w:p w14:paraId="137F1BB4" w14:textId="4EF0D355" w:rsidR="00820C85" w:rsidRPr="0097373B" w:rsidRDefault="009E7049" w:rsidP="001D2514">
      <w:pPr>
        <w:widowControl w:val="0"/>
        <w:autoSpaceDE w:val="0"/>
        <w:autoSpaceDN w:val="0"/>
        <w:adjustRightInd w:val="0"/>
        <w:spacing w:line="480" w:lineRule="auto"/>
        <w:jc w:val="both"/>
        <w:rPr>
          <w:rFonts w:ascii="Times New Roman" w:hAnsi="Times New Roman" w:cs="Times New Roman"/>
          <w:kern w:val="1"/>
        </w:rPr>
      </w:pPr>
      <w:r w:rsidRPr="0097373B">
        <w:rPr>
          <w:rFonts w:ascii="Times New Roman" w:hAnsi="Times New Roman" w:cs="Times New Roman"/>
          <w:kern w:val="1"/>
        </w:rPr>
        <w:t xml:space="preserve">Participants were observed from </w:t>
      </w:r>
      <w:r w:rsidR="00AB7515" w:rsidRPr="0097373B">
        <w:rPr>
          <w:rFonts w:ascii="Times New Roman" w:hAnsi="Times New Roman" w:cs="Times New Roman"/>
          <w:kern w:val="1"/>
        </w:rPr>
        <w:t>study initiation (1</w:t>
      </w:r>
      <w:r w:rsidR="00AB7515" w:rsidRPr="0097373B">
        <w:rPr>
          <w:rFonts w:ascii="Times New Roman" w:hAnsi="Times New Roman" w:cs="Times New Roman"/>
          <w:kern w:val="1"/>
          <w:vertAlign w:val="superscript"/>
        </w:rPr>
        <w:t>st</w:t>
      </w:r>
      <w:r w:rsidR="00AB7515" w:rsidRPr="0097373B">
        <w:rPr>
          <w:rFonts w:ascii="Times New Roman" w:hAnsi="Times New Roman" w:cs="Times New Roman"/>
          <w:kern w:val="1"/>
        </w:rPr>
        <w:t xml:space="preserve"> January 2006) or </w:t>
      </w:r>
      <w:r w:rsidR="00556754" w:rsidRPr="0097373B">
        <w:rPr>
          <w:rFonts w:ascii="Times New Roman" w:hAnsi="Times New Roman" w:cs="Times New Roman"/>
          <w:kern w:val="1"/>
        </w:rPr>
        <w:t xml:space="preserve">from </w:t>
      </w:r>
      <w:r w:rsidR="00AB7515" w:rsidRPr="0097373B">
        <w:rPr>
          <w:rFonts w:ascii="Times New Roman" w:hAnsi="Times New Roman" w:cs="Times New Roman"/>
          <w:kern w:val="1"/>
        </w:rPr>
        <w:t xml:space="preserve">the date when </w:t>
      </w:r>
      <w:r w:rsidR="00556754" w:rsidRPr="0097373B">
        <w:rPr>
          <w:rFonts w:ascii="Times New Roman" w:hAnsi="Times New Roman" w:cs="Times New Roman"/>
          <w:kern w:val="1"/>
        </w:rPr>
        <w:t>they</w:t>
      </w:r>
      <w:r w:rsidR="00AB7515" w:rsidRPr="0097373B">
        <w:rPr>
          <w:rFonts w:ascii="Times New Roman" w:hAnsi="Times New Roman" w:cs="Times New Roman"/>
          <w:kern w:val="1"/>
        </w:rPr>
        <w:t xml:space="preserve"> registered </w:t>
      </w:r>
      <w:r w:rsidR="00556754" w:rsidRPr="0097373B">
        <w:rPr>
          <w:rFonts w:ascii="Times New Roman" w:hAnsi="Times New Roman" w:cs="Times New Roman"/>
          <w:kern w:val="1"/>
        </w:rPr>
        <w:t>at</w:t>
      </w:r>
      <w:r w:rsidR="00AB7515" w:rsidRPr="0097373B">
        <w:rPr>
          <w:rFonts w:ascii="Times New Roman" w:hAnsi="Times New Roman" w:cs="Times New Roman"/>
          <w:kern w:val="1"/>
        </w:rPr>
        <w:t xml:space="preserve"> any of the primary </w:t>
      </w:r>
      <w:r w:rsidR="006B3231" w:rsidRPr="0097373B">
        <w:rPr>
          <w:rFonts w:ascii="Times New Roman" w:hAnsi="Times New Roman" w:cs="Times New Roman"/>
          <w:kern w:val="1"/>
        </w:rPr>
        <w:t xml:space="preserve">health </w:t>
      </w:r>
      <w:r w:rsidR="00AB7515" w:rsidRPr="0097373B">
        <w:rPr>
          <w:rFonts w:ascii="Times New Roman" w:hAnsi="Times New Roman" w:cs="Times New Roman"/>
          <w:kern w:val="1"/>
        </w:rPr>
        <w:t xml:space="preserve">care practices covered by </w:t>
      </w:r>
      <w:r w:rsidR="00A60CCE" w:rsidRPr="0097373B">
        <w:rPr>
          <w:rFonts w:ascii="Times New Roman" w:hAnsi="Times New Roman" w:cs="Times New Roman"/>
          <w:kern w:val="1"/>
        </w:rPr>
        <w:t xml:space="preserve">the </w:t>
      </w:r>
      <w:r w:rsidR="00AB7515" w:rsidRPr="0097373B">
        <w:rPr>
          <w:rFonts w:ascii="Times New Roman" w:hAnsi="Times New Roman" w:cs="Times New Roman"/>
          <w:kern w:val="1"/>
        </w:rPr>
        <w:t xml:space="preserve">SIDIAP (whatever came </w:t>
      </w:r>
      <w:r w:rsidR="00AB7515" w:rsidRPr="0097373B">
        <w:rPr>
          <w:rFonts w:ascii="Times New Roman" w:hAnsi="Times New Roman" w:cs="Times New Roman"/>
          <w:kern w:val="1"/>
        </w:rPr>
        <w:lastRenderedPageBreak/>
        <w:t>last)</w:t>
      </w:r>
      <w:r w:rsidRPr="0097373B">
        <w:rPr>
          <w:rFonts w:ascii="Times New Roman" w:hAnsi="Times New Roman" w:cs="Times New Roman"/>
          <w:kern w:val="1"/>
        </w:rPr>
        <w:t xml:space="preserve"> </w:t>
      </w:r>
      <w:r w:rsidR="00556754" w:rsidRPr="0097373B">
        <w:rPr>
          <w:rFonts w:ascii="Times New Roman" w:hAnsi="Times New Roman" w:cs="Times New Roman"/>
          <w:kern w:val="1"/>
        </w:rPr>
        <w:t>to</w:t>
      </w:r>
      <w:r w:rsidRPr="0097373B">
        <w:rPr>
          <w:rFonts w:ascii="Times New Roman" w:hAnsi="Times New Roman" w:cs="Times New Roman"/>
          <w:kern w:val="1"/>
        </w:rPr>
        <w:t xml:space="preserve"> </w:t>
      </w:r>
      <w:r w:rsidR="003155D5" w:rsidRPr="0097373B">
        <w:rPr>
          <w:rFonts w:ascii="Times New Roman" w:hAnsi="Times New Roman" w:cs="Times New Roman"/>
          <w:kern w:val="1"/>
        </w:rPr>
        <w:t xml:space="preserve">the </w:t>
      </w:r>
      <w:r w:rsidRPr="0097373B">
        <w:rPr>
          <w:rFonts w:ascii="Times New Roman" w:hAnsi="Times New Roman" w:cs="Times New Roman"/>
          <w:kern w:val="1"/>
        </w:rPr>
        <w:t xml:space="preserve">earliest of the following: </w:t>
      </w:r>
      <w:r w:rsidR="003155D5" w:rsidRPr="0097373B">
        <w:rPr>
          <w:rFonts w:ascii="Times New Roman" w:hAnsi="Times New Roman" w:cs="Times New Roman"/>
          <w:kern w:val="1"/>
        </w:rPr>
        <w:t>end of the study (31</w:t>
      </w:r>
      <w:r w:rsidR="003155D5" w:rsidRPr="0097373B">
        <w:rPr>
          <w:rFonts w:ascii="Times New Roman" w:hAnsi="Times New Roman" w:cs="Times New Roman"/>
          <w:kern w:val="1"/>
          <w:vertAlign w:val="superscript"/>
        </w:rPr>
        <w:t>st</w:t>
      </w:r>
      <w:r w:rsidR="003155D5" w:rsidRPr="0097373B">
        <w:rPr>
          <w:rFonts w:ascii="Times New Roman" w:hAnsi="Times New Roman" w:cs="Times New Roman"/>
          <w:kern w:val="1"/>
        </w:rPr>
        <w:t xml:space="preserve"> December 2010)</w:t>
      </w:r>
      <w:r w:rsidRPr="0097373B">
        <w:rPr>
          <w:rFonts w:ascii="Times New Roman" w:hAnsi="Times New Roman" w:cs="Times New Roman"/>
          <w:kern w:val="1"/>
        </w:rPr>
        <w:t xml:space="preserve">, </w:t>
      </w:r>
      <w:r w:rsidR="00B45556" w:rsidRPr="0097373B">
        <w:rPr>
          <w:rFonts w:ascii="Times New Roman" w:hAnsi="Times New Roman" w:cs="Times New Roman"/>
          <w:kern w:val="1"/>
        </w:rPr>
        <w:t>transfer out</w:t>
      </w:r>
      <w:r w:rsidRPr="0097373B">
        <w:rPr>
          <w:rFonts w:ascii="Times New Roman" w:hAnsi="Times New Roman" w:cs="Times New Roman"/>
          <w:kern w:val="1"/>
        </w:rPr>
        <w:t xml:space="preserve"> of catchment area,</w:t>
      </w:r>
      <w:r w:rsidR="00B45556" w:rsidRPr="0097373B">
        <w:rPr>
          <w:rFonts w:ascii="Times New Roman" w:hAnsi="Times New Roman" w:cs="Times New Roman"/>
          <w:kern w:val="1"/>
        </w:rPr>
        <w:t xml:space="preserve"> or</w:t>
      </w:r>
      <w:r w:rsidR="00820C85" w:rsidRPr="0097373B">
        <w:rPr>
          <w:rFonts w:ascii="Times New Roman" w:hAnsi="Times New Roman" w:cs="Times New Roman"/>
          <w:kern w:val="1"/>
        </w:rPr>
        <w:t xml:space="preserve"> </w:t>
      </w:r>
      <w:r w:rsidR="00A050D4" w:rsidRPr="0097373B">
        <w:rPr>
          <w:rFonts w:ascii="Times New Roman" w:hAnsi="Times New Roman" w:cs="Times New Roman"/>
          <w:kern w:val="1"/>
        </w:rPr>
        <w:t>death.</w:t>
      </w:r>
    </w:p>
    <w:p w14:paraId="564E9BA6" w14:textId="016DA39E" w:rsidR="00F269D1" w:rsidRPr="0097373B" w:rsidRDefault="00F269D1" w:rsidP="001D2514">
      <w:pPr>
        <w:widowControl w:val="0"/>
        <w:autoSpaceDE w:val="0"/>
        <w:autoSpaceDN w:val="0"/>
        <w:adjustRightInd w:val="0"/>
        <w:spacing w:line="480" w:lineRule="auto"/>
        <w:jc w:val="both"/>
        <w:rPr>
          <w:rFonts w:ascii="Times New Roman" w:hAnsi="Times New Roman" w:cs="Times New Roman"/>
          <w:b/>
          <w:kern w:val="1"/>
        </w:rPr>
      </w:pPr>
      <w:r w:rsidRPr="0097373B">
        <w:rPr>
          <w:rFonts w:ascii="Times New Roman" w:hAnsi="Times New Roman" w:cs="Times New Roman"/>
          <w:b/>
          <w:kern w:val="1"/>
        </w:rPr>
        <w:t xml:space="preserve">Variables: </w:t>
      </w:r>
    </w:p>
    <w:p w14:paraId="307569E5" w14:textId="0B61AA05" w:rsidR="00084186" w:rsidRPr="0097373B" w:rsidRDefault="00BB1D51" w:rsidP="001D2514">
      <w:pPr>
        <w:widowControl w:val="0"/>
        <w:autoSpaceDE w:val="0"/>
        <w:autoSpaceDN w:val="0"/>
        <w:adjustRightInd w:val="0"/>
        <w:spacing w:line="480" w:lineRule="auto"/>
        <w:jc w:val="both"/>
        <w:rPr>
          <w:rFonts w:ascii="Times New Roman" w:hAnsi="Times New Roman" w:cs="Times New Roman"/>
          <w:kern w:val="1"/>
        </w:rPr>
      </w:pPr>
      <w:r w:rsidRPr="0097373B">
        <w:rPr>
          <w:rFonts w:ascii="Times New Roman" w:hAnsi="Times New Roman" w:cs="Times New Roman"/>
          <w:kern w:val="1"/>
          <w:u w:val="single"/>
        </w:rPr>
        <w:t>Study exposure</w:t>
      </w:r>
      <w:r w:rsidRPr="0097373B">
        <w:rPr>
          <w:rFonts w:ascii="Times New Roman" w:hAnsi="Times New Roman" w:cs="Times New Roman"/>
          <w:b/>
          <w:kern w:val="1"/>
        </w:rPr>
        <w:t xml:space="preserve">: </w:t>
      </w:r>
      <w:r w:rsidR="00A60CCE" w:rsidRPr="0097373B">
        <w:rPr>
          <w:rFonts w:ascii="Times New Roman" w:hAnsi="Times New Roman" w:cs="Times New Roman"/>
          <w:kern w:val="1"/>
        </w:rPr>
        <w:t>The</w:t>
      </w:r>
      <w:r w:rsidR="00A60CCE" w:rsidRPr="0097373B">
        <w:rPr>
          <w:rFonts w:ascii="Times New Roman" w:hAnsi="Times New Roman" w:cs="Times New Roman"/>
          <w:b/>
          <w:kern w:val="1"/>
        </w:rPr>
        <w:t xml:space="preserve"> </w:t>
      </w:r>
      <w:r w:rsidRPr="0097373B">
        <w:rPr>
          <w:rFonts w:ascii="Times New Roman" w:hAnsi="Times New Roman" w:cs="Times New Roman"/>
          <w:kern w:val="1"/>
        </w:rPr>
        <w:t xml:space="preserve">BMI coded by health </w:t>
      </w:r>
      <w:r w:rsidR="00A60CCE" w:rsidRPr="0097373B">
        <w:rPr>
          <w:rFonts w:ascii="Times New Roman" w:hAnsi="Times New Roman" w:cs="Times New Roman"/>
          <w:kern w:val="1"/>
        </w:rPr>
        <w:t xml:space="preserve">care </w:t>
      </w:r>
      <w:r w:rsidRPr="0097373B">
        <w:rPr>
          <w:rFonts w:ascii="Times New Roman" w:hAnsi="Times New Roman" w:cs="Times New Roman"/>
          <w:kern w:val="1"/>
        </w:rPr>
        <w:t>professionals in kg/m</w:t>
      </w:r>
      <w:r w:rsidRPr="0097373B">
        <w:rPr>
          <w:rFonts w:ascii="Times New Roman" w:hAnsi="Times New Roman" w:cs="Times New Roman"/>
          <w:kern w:val="1"/>
          <w:vertAlign w:val="superscript"/>
        </w:rPr>
        <w:t xml:space="preserve">2 </w:t>
      </w:r>
      <w:r w:rsidR="00D0444F" w:rsidRPr="0097373B">
        <w:rPr>
          <w:rFonts w:ascii="Times New Roman" w:hAnsi="Times New Roman" w:cs="Times New Roman"/>
          <w:kern w:val="1"/>
        </w:rPr>
        <w:t>duri</w:t>
      </w:r>
      <w:r w:rsidR="005D5798" w:rsidRPr="0097373B">
        <w:rPr>
          <w:rFonts w:ascii="Times New Roman" w:hAnsi="Times New Roman" w:cs="Times New Roman"/>
          <w:kern w:val="1"/>
        </w:rPr>
        <w:t xml:space="preserve">ng the study period </w:t>
      </w:r>
      <w:r w:rsidRPr="0097373B">
        <w:rPr>
          <w:rFonts w:ascii="Times New Roman" w:hAnsi="Times New Roman" w:cs="Times New Roman"/>
          <w:kern w:val="1"/>
        </w:rPr>
        <w:t xml:space="preserve">was the main study exposure. Values of BMI &lt;10 or &gt;60 were assumed as typing errors and not used for the current analyses. </w:t>
      </w:r>
      <w:r w:rsidR="00D0444F" w:rsidRPr="0097373B">
        <w:rPr>
          <w:rFonts w:ascii="Times New Roman" w:hAnsi="Times New Roman" w:cs="Times New Roman"/>
          <w:kern w:val="1"/>
        </w:rPr>
        <w:t>When more than one measurement was available, the closest to index date (1</w:t>
      </w:r>
      <w:r w:rsidR="00D0444F" w:rsidRPr="0097373B">
        <w:rPr>
          <w:rFonts w:ascii="Times New Roman" w:hAnsi="Times New Roman" w:cs="Times New Roman"/>
          <w:kern w:val="1"/>
          <w:vertAlign w:val="superscript"/>
        </w:rPr>
        <w:t>st</w:t>
      </w:r>
      <w:r w:rsidR="00D0444F" w:rsidRPr="0097373B">
        <w:rPr>
          <w:rFonts w:ascii="Times New Roman" w:hAnsi="Times New Roman" w:cs="Times New Roman"/>
          <w:kern w:val="1"/>
        </w:rPr>
        <w:t xml:space="preserve"> January/2006) </w:t>
      </w:r>
      <w:r w:rsidR="005D5798" w:rsidRPr="0097373B">
        <w:rPr>
          <w:rFonts w:ascii="Times New Roman" w:hAnsi="Times New Roman" w:cs="Times New Roman"/>
          <w:kern w:val="1"/>
        </w:rPr>
        <w:t xml:space="preserve">was used. Patients were classified according to </w:t>
      </w:r>
      <w:r w:rsidRPr="0097373B">
        <w:rPr>
          <w:rFonts w:ascii="Times New Roman" w:hAnsi="Times New Roman" w:cs="Times New Roman"/>
          <w:kern w:val="1"/>
        </w:rPr>
        <w:t>the World Health Organization definition</w:t>
      </w:r>
      <w:r w:rsidR="005D5798" w:rsidRPr="0097373B">
        <w:rPr>
          <w:rFonts w:ascii="Times New Roman" w:hAnsi="Times New Roman" w:cs="Times New Roman"/>
          <w:kern w:val="1"/>
        </w:rPr>
        <w:t>s in</w:t>
      </w:r>
      <w:r w:rsidRPr="0097373B">
        <w:rPr>
          <w:rFonts w:ascii="Times New Roman" w:hAnsi="Times New Roman" w:cs="Times New Roman"/>
          <w:kern w:val="1"/>
        </w:rPr>
        <w:t xml:space="preserve">: </w:t>
      </w:r>
      <w:r w:rsidR="005D5798" w:rsidRPr="0097373B">
        <w:rPr>
          <w:rFonts w:ascii="Times New Roman" w:hAnsi="Times New Roman" w:cs="Times New Roman"/>
          <w:kern w:val="1"/>
        </w:rPr>
        <w:t>normal (BMI below 25 kg/m</w:t>
      </w:r>
      <w:r w:rsidR="005D5798" w:rsidRPr="0097373B">
        <w:rPr>
          <w:rFonts w:ascii="Times New Roman" w:hAnsi="Times New Roman" w:cs="Times New Roman"/>
          <w:kern w:val="1"/>
          <w:vertAlign w:val="superscript"/>
        </w:rPr>
        <w:t>2)</w:t>
      </w:r>
      <w:r w:rsidR="005D5798" w:rsidRPr="0097373B">
        <w:rPr>
          <w:rFonts w:ascii="Times New Roman" w:hAnsi="Times New Roman" w:cs="Times New Roman"/>
          <w:kern w:val="1"/>
        </w:rPr>
        <w:t>, overweight (</w:t>
      </w:r>
      <w:r w:rsidRPr="0097373B">
        <w:rPr>
          <w:rFonts w:ascii="Times New Roman" w:hAnsi="Times New Roman" w:cs="Times New Roman"/>
          <w:kern w:val="1"/>
        </w:rPr>
        <w:t>BMI 25</w:t>
      </w:r>
      <w:r w:rsidR="005D5798" w:rsidRPr="0097373B">
        <w:rPr>
          <w:rFonts w:ascii="Times New Roman" w:hAnsi="Times New Roman" w:cs="Times New Roman"/>
          <w:kern w:val="1"/>
        </w:rPr>
        <w:t xml:space="preserve"> </w:t>
      </w:r>
      <w:r w:rsidR="00432043" w:rsidRPr="0097373B">
        <w:rPr>
          <w:rFonts w:ascii="Times New Roman" w:hAnsi="Times New Roman" w:cs="Times New Roman"/>
          <w:kern w:val="1"/>
        </w:rPr>
        <w:t>or</w:t>
      </w:r>
      <w:r w:rsidR="005D5798" w:rsidRPr="0097373B">
        <w:rPr>
          <w:rFonts w:ascii="Times New Roman" w:hAnsi="Times New Roman" w:cs="Times New Roman"/>
          <w:kern w:val="1"/>
        </w:rPr>
        <w:t xml:space="preserve"> over and below 30 kg/m</w:t>
      </w:r>
      <w:r w:rsidR="005D5798" w:rsidRPr="0097373B">
        <w:rPr>
          <w:rFonts w:ascii="Times New Roman" w:hAnsi="Times New Roman" w:cs="Times New Roman"/>
          <w:kern w:val="1"/>
          <w:vertAlign w:val="superscript"/>
        </w:rPr>
        <w:t>2</w:t>
      </w:r>
      <w:r w:rsidR="005D5798" w:rsidRPr="0097373B">
        <w:rPr>
          <w:rFonts w:ascii="Times New Roman" w:hAnsi="Times New Roman" w:cs="Times New Roman"/>
          <w:kern w:val="1"/>
        </w:rPr>
        <w:t>), obese</w:t>
      </w:r>
      <w:r w:rsidR="00432043" w:rsidRPr="0097373B">
        <w:rPr>
          <w:rFonts w:ascii="Times New Roman" w:hAnsi="Times New Roman" w:cs="Times New Roman"/>
          <w:kern w:val="1"/>
        </w:rPr>
        <w:t xml:space="preserve"> grade I</w:t>
      </w:r>
      <w:r w:rsidR="005D5798" w:rsidRPr="0097373B">
        <w:rPr>
          <w:rFonts w:ascii="Times New Roman" w:hAnsi="Times New Roman" w:cs="Times New Roman"/>
          <w:kern w:val="1"/>
        </w:rPr>
        <w:t xml:space="preserve"> (BMI 30</w:t>
      </w:r>
      <w:r w:rsidR="00432043" w:rsidRPr="0097373B">
        <w:rPr>
          <w:rFonts w:ascii="Times New Roman" w:hAnsi="Times New Roman" w:cs="Times New Roman"/>
          <w:kern w:val="1"/>
        </w:rPr>
        <w:t xml:space="preserve"> or above</w:t>
      </w:r>
      <w:r w:rsidR="005D5798" w:rsidRPr="0097373B">
        <w:rPr>
          <w:rFonts w:ascii="Times New Roman" w:hAnsi="Times New Roman" w:cs="Times New Roman"/>
          <w:kern w:val="1"/>
        </w:rPr>
        <w:t xml:space="preserve"> </w:t>
      </w:r>
      <w:r w:rsidR="00432043" w:rsidRPr="0097373B">
        <w:rPr>
          <w:rFonts w:ascii="Times New Roman" w:hAnsi="Times New Roman" w:cs="Times New Roman"/>
          <w:kern w:val="1"/>
        </w:rPr>
        <w:t>and below 35 kg/m</w:t>
      </w:r>
      <w:r w:rsidR="00432043" w:rsidRPr="0097373B">
        <w:rPr>
          <w:rFonts w:ascii="Times New Roman" w:hAnsi="Times New Roman" w:cs="Times New Roman"/>
          <w:kern w:val="1"/>
          <w:vertAlign w:val="superscript"/>
        </w:rPr>
        <w:t>2</w:t>
      </w:r>
      <w:r w:rsidR="005D5798" w:rsidRPr="0097373B">
        <w:rPr>
          <w:rFonts w:ascii="Times New Roman" w:hAnsi="Times New Roman" w:cs="Times New Roman"/>
          <w:kern w:val="1"/>
        </w:rPr>
        <w:t>)</w:t>
      </w:r>
      <w:r w:rsidR="00432043" w:rsidRPr="0097373B">
        <w:rPr>
          <w:rFonts w:ascii="Times New Roman" w:hAnsi="Times New Roman" w:cs="Times New Roman"/>
          <w:kern w:val="1"/>
        </w:rPr>
        <w:t>, and obese grade II (BMI 35 kg/m</w:t>
      </w:r>
      <w:r w:rsidR="00432043" w:rsidRPr="0097373B">
        <w:rPr>
          <w:rFonts w:ascii="Times New Roman" w:hAnsi="Times New Roman" w:cs="Times New Roman"/>
          <w:kern w:val="1"/>
          <w:vertAlign w:val="superscript"/>
        </w:rPr>
        <w:t>2</w:t>
      </w:r>
      <w:r w:rsidR="00432043" w:rsidRPr="0097373B">
        <w:rPr>
          <w:rFonts w:ascii="Times New Roman" w:hAnsi="Times New Roman" w:cs="Times New Roman"/>
          <w:kern w:val="1"/>
        </w:rPr>
        <w:t xml:space="preserve"> or above).</w:t>
      </w:r>
    </w:p>
    <w:p w14:paraId="369C864D" w14:textId="43015522" w:rsidR="00B45556" w:rsidRPr="0097373B" w:rsidRDefault="009E7049" w:rsidP="001D2514">
      <w:pPr>
        <w:widowControl w:val="0"/>
        <w:autoSpaceDE w:val="0"/>
        <w:autoSpaceDN w:val="0"/>
        <w:adjustRightInd w:val="0"/>
        <w:spacing w:line="480" w:lineRule="auto"/>
        <w:jc w:val="both"/>
        <w:rPr>
          <w:rFonts w:ascii="Times New Roman" w:hAnsi="Times New Roman" w:cs="Times New Roman"/>
          <w:kern w:val="1"/>
        </w:rPr>
      </w:pPr>
      <w:r w:rsidRPr="0097373B">
        <w:rPr>
          <w:rFonts w:ascii="Times New Roman" w:hAnsi="Times New Roman" w:cs="Times New Roman"/>
          <w:kern w:val="1"/>
          <w:u w:val="single"/>
        </w:rPr>
        <w:t>Study outcomes</w:t>
      </w:r>
      <w:r w:rsidRPr="0097373B">
        <w:rPr>
          <w:rFonts w:ascii="Times New Roman" w:hAnsi="Times New Roman" w:cs="Times New Roman"/>
          <w:b/>
          <w:kern w:val="1"/>
        </w:rPr>
        <w:t>:</w:t>
      </w:r>
      <w:r w:rsidRPr="0097373B">
        <w:rPr>
          <w:rFonts w:ascii="Times New Roman" w:hAnsi="Times New Roman" w:cs="Times New Roman"/>
          <w:kern w:val="1"/>
        </w:rPr>
        <w:t xml:space="preserve"> </w:t>
      </w:r>
      <w:r w:rsidR="003155D5" w:rsidRPr="0097373B">
        <w:rPr>
          <w:rFonts w:ascii="Times New Roman" w:hAnsi="Times New Roman" w:cs="Times New Roman"/>
          <w:kern w:val="1"/>
        </w:rPr>
        <w:t>I</w:t>
      </w:r>
      <w:r w:rsidR="00B45556" w:rsidRPr="0097373B">
        <w:rPr>
          <w:rFonts w:ascii="Times New Roman" w:hAnsi="Times New Roman" w:cs="Times New Roman"/>
          <w:kern w:val="1"/>
        </w:rPr>
        <w:t xml:space="preserve">ncident </w:t>
      </w:r>
      <w:r w:rsidR="00062475" w:rsidRPr="0097373B">
        <w:rPr>
          <w:rFonts w:ascii="Times New Roman" w:hAnsi="Times New Roman" w:cs="Times New Roman"/>
          <w:kern w:val="1"/>
        </w:rPr>
        <w:t xml:space="preserve">clinical </w:t>
      </w:r>
      <w:r w:rsidR="00B45556" w:rsidRPr="0097373B">
        <w:rPr>
          <w:rFonts w:ascii="Times New Roman" w:hAnsi="Times New Roman" w:cs="Times New Roman"/>
          <w:kern w:val="1"/>
        </w:rPr>
        <w:t>diagnoses</w:t>
      </w:r>
      <w:r w:rsidR="003155D5" w:rsidRPr="0097373B">
        <w:rPr>
          <w:rFonts w:ascii="Times New Roman" w:hAnsi="Times New Roman" w:cs="Times New Roman"/>
          <w:kern w:val="1"/>
        </w:rPr>
        <w:t xml:space="preserve"> of OA </w:t>
      </w:r>
      <w:r w:rsidR="00062475" w:rsidRPr="0097373B">
        <w:rPr>
          <w:rFonts w:ascii="Times New Roman" w:hAnsi="Times New Roman" w:cs="Times New Roman"/>
          <w:kern w:val="1"/>
        </w:rPr>
        <w:t xml:space="preserve">as </w:t>
      </w:r>
      <w:r w:rsidR="003155D5" w:rsidRPr="0097373B">
        <w:rPr>
          <w:rFonts w:ascii="Times New Roman" w:hAnsi="Times New Roman" w:cs="Times New Roman"/>
          <w:kern w:val="1"/>
        </w:rPr>
        <w:t xml:space="preserve">registered </w:t>
      </w:r>
      <w:r w:rsidR="00062475" w:rsidRPr="0097373B">
        <w:rPr>
          <w:rFonts w:ascii="Times New Roman" w:hAnsi="Times New Roman" w:cs="Times New Roman"/>
          <w:kern w:val="1"/>
        </w:rPr>
        <w:t xml:space="preserve">by general practitioners </w:t>
      </w:r>
      <w:r w:rsidR="003155D5" w:rsidRPr="0097373B">
        <w:rPr>
          <w:rFonts w:ascii="Times New Roman" w:hAnsi="Times New Roman" w:cs="Times New Roman"/>
          <w:kern w:val="1"/>
        </w:rPr>
        <w:t>during the study period (</w:t>
      </w:r>
      <w:r w:rsidR="00B45556" w:rsidRPr="0097373B">
        <w:rPr>
          <w:rFonts w:ascii="Times New Roman" w:hAnsi="Times New Roman" w:cs="Times New Roman"/>
          <w:kern w:val="1"/>
        </w:rPr>
        <w:t>1 J</w:t>
      </w:r>
      <w:r w:rsidR="003155D5" w:rsidRPr="0097373B">
        <w:rPr>
          <w:rFonts w:ascii="Times New Roman" w:hAnsi="Times New Roman" w:cs="Times New Roman"/>
          <w:kern w:val="1"/>
        </w:rPr>
        <w:t xml:space="preserve">anuary 2006 to 31 December 2010) </w:t>
      </w:r>
      <w:r w:rsidR="00B45556" w:rsidRPr="0097373B">
        <w:rPr>
          <w:rFonts w:ascii="Times New Roman" w:hAnsi="Times New Roman" w:cs="Times New Roman"/>
          <w:kern w:val="1"/>
        </w:rPr>
        <w:t>were identified usin</w:t>
      </w:r>
      <w:r w:rsidR="003155D5" w:rsidRPr="0097373B">
        <w:rPr>
          <w:rFonts w:ascii="Times New Roman" w:hAnsi="Times New Roman" w:cs="Times New Roman"/>
          <w:kern w:val="1"/>
        </w:rPr>
        <w:t xml:space="preserve">g </w:t>
      </w:r>
      <w:r w:rsidR="00062475" w:rsidRPr="0097373B">
        <w:rPr>
          <w:rFonts w:ascii="Times New Roman" w:hAnsi="Times New Roman" w:cs="Times New Roman"/>
          <w:kern w:val="1"/>
        </w:rPr>
        <w:t xml:space="preserve">a previously validated list of </w:t>
      </w:r>
      <w:r w:rsidR="003155D5" w:rsidRPr="0097373B">
        <w:rPr>
          <w:rFonts w:ascii="Times New Roman" w:hAnsi="Times New Roman" w:cs="Times New Roman"/>
          <w:kern w:val="1"/>
        </w:rPr>
        <w:t>ICD-10 codes</w:t>
      </w:r>
      <w:r w:rsidR="00B45556" w:rsidRPr="0097373B">
        <w:rPr>
          <w:rFonts w:ascii="Times New Roman" w:hAnsi="Times New Roman" w:cs="Times New Roman"/>
          <w:kern w:val="1"/>
        </w:rPr>
        <w:t>: knee OA</w:t>
      </w:r>
      <w:r w:rsidR="00820C85" w:rsidRPr="0097373B">
        <w:rPr>
          <w:rFonts w:ascii="Times New Roman" w:hAnsi="Times New Roman" w:cs="Times New Roman"/>
          <w:kern w:val="1"/>
        </w:rPr>
        <w:t xml:space="preserve"> </w:t>
      </w:r>
      <w:r w:rsidR="00B45556" w:rsidRPr="0097373B">
        <w:rPr>
          <w:rFonts w:ascii="Times New Roman" w:hAnsi="Times New Roman" w:cs="Times New Roman"/>
          <w:kern w:val="1"/>
        </w:rPr>
        <w:t>(M17, M17.0, M17.1, M17.2, M17.3, M17.4, M17.5 and</w:t>
      </w:r>
      <w:r w:rsidR="00820C85" w:rsidRPr="0097373B">
        <w:rPr>
          <w:rFonts w:ascii="Times New Roman" w:hAnsi="Times New Roman" w:cs="Times New Roman"/>
          <w:kern w:val="1"/>
        </w:rPr>
        <w:t xml:space="preserve"> </w:t>
      </w:r>
      <w:r w:rsidR="00B45556" w:rsidRPr="0097373B">
        <w:rPr>
          <w:rFonts w:ascii="Times New Roman" w:hAnsi="Times New Roman" w:cs="Times New Roman"/>
          <w:kern w:val="1"/>
        </w:rPr>
        <w:t>M17.9), hip OA (M16, M16.0, M16.1, M16.2, M16.3, M16.4,</w:t>
      </w:r>
      <w:r w:rsidR="00820C85" w:rsidRPr="0097373B">
        <w:rPr>
          <w:rFonts w:ascii="Times New Roman" w:hAnsi="Times New Roman" w:cs="Times New Roman"/>
          <w:kern w:val="1"/>
        </w:rPr>
        <w:t xml:space="preserve"> </w:t>
      </w:r>
      <w:r w:rsidR="00B45556" w:rsidRPr="0097373B">
        <w:rPr>
          <w:rFonts w:ascii="Times New Roman" w:hAnsi="Times New Roman" w:cs="Times New Roman"/>
          <w:kern w:val="1"/>
        </w:rPr>
        <w:t>M16.5, M16.6, M16.7 and M16.9) and hand OA (M15.1,</w:t>
      </w:r>
      <w:r w:rsidR="00820C85" w:rsidRPr="0097373B">
        <w:rPr>
          <w:rFonts w:ascii="Times New Roman" w:hAnsi="Times New Roman" w:cs="Times New Roman"/>
          <w:kern w:val="1"/>
        </w:rPr>
        <w:t xml:space="preserve"> </w:t>
      </w:r>
      <w:r w:rsidR="00B45556" w:rsidRPr="0097373B">
        <w:rPr>
          <w:rFonts w:ascii="Times New Roman" w:hAnsi="Times New Roman" w:cs="Times New Roman"/>
          <w:kern w:val="1"/>
        </w:rPr>
        <w:t>M15.2, M18, M18.0 to M18.5 and M18.9). OA</w:t>
      </w:r>
      <w:r w:rsidR="00820C85" w:rsidRPr="0097373B">
        <w:rPr>
          <w:rFonts w:ascii="Times New Roman" w:hAnsi="Times New Roman" w:cs="Times New Roman"/>
          <w:kern w:val="1"/>
        </w:rPr>
        <w:t xml:space="preserve"> </w:t>
      </w:r>
      <w:r w:rsidR="00B45556" w:rsidRPr="0097373B">
        <w:rPr>
          <w:rFonts w:ascii="Times New Roman" w:hAnsi="Times New Roman" w:cs="Times New Roman"/>
          <w:kern w:val="1"/>
        </w:rPr>
        <w:t xml:space="preserve">coding within SIDIAP </w:t>
      </w:r>
      <w:r w:rsidR="00AB7515" w:rsidRPr="0097373B">
        <w:rPr>
          <w:rFonts w:ascii="Times New Roman" w:hAnsi="Times New Roman" w:cs="Times New Roman"/>
          <w:kern w:val="1"/>
        </w:rPr>
        <w:t xml:space="preserve">has </w:t>
      </w:r>
      <w:r w:rsidR="00B45556" w:rsidRPr="0097373B">
        <w:rPr>
          <w:rFonts w:ascii="Times New Roman" w:hAnsi="Times New Roman" w:cs="Times New Roman"/>
          <w:kern w:val="1"/>
        </w:rPr>
        <w:t>been validated against self-reported</w:t>
      </w:r>
      <w:r w:rsidR="00820C85" w:rsidRPr="0097373B">
        <w:rPr>
          <w:rFonts w:ascii="Times New Roman" w:hAnsi="Times New Roman" w:cs="Times New Roman"/>
          <w:kern w:val="1"/>
        </w:rPr>
        <w:t xml:space="preserve"> </w:t>
      </w:r>
      <w:r w:rsidR="00B45556" w:rsidRPr="0097373B">
        <w:rPr>
          <w:rFonts w:ascii="Times New Roman" w:hAnsi="Times New Roman" w:cs="Times New Roman"/>
          <w:kern w:val="1"/>
        </w:rPr>
        <w:t>OA in the Global Longitudinal Study of Osteoporosis in Women</w:t>
      </w:r>
      <w:r w:rsidR="00820C85" w:rsidRPr="0097373B">
        <w:rPr>
          <w:rFonts w:ascii="Times New Roman" w:hAnsi="Times New Roman" w:cs="Times New Roman"/>
          <w:kern w:val="1"/>
        </w:rPr>
        <w:t xml:space="preserve"> </w:t>
      </w:r>
      <w:r w:rsidR="00B45556" w:rsidRPr="0097373B">
        <w:rPr>
          <w:rFonts w:ascii="Times New Roman" w:hAnsi="Times New Roman" w:cs="Times New Roman"/>
          <w:kern w:val="1"/>
        </w:rPr>
        <w:t>(G</w:t>
      </w:r>
      <w:r w:rsidR="00A050D4" w:rsidRPr="0097373B">
        <w:rPr>
          <w:rFonts w:ascii="Times New Roman" w:hAnsi="Times New Roman" w:cs="Times New Roman"/>
          <w:kern w:val="1"/>
        </w:rPr>
        <w:t>LOW) population-based cohort [</w:t>
      </w:r>
      <w:r w:rsidR="00560340" w:rsidRPr="0097373B">
        <w:rPr>
          <w:rFonts w:ascii="Times New Roman" w:hAnsi="Times New Roman" w:cs="Times New Roman"/>
          <w:kern w:val="1"/>
        </w:rPr>
        <w:t>13</w:t>
      </w:r>
      <w:r w:rsidR="00A050D4" w:rsidRPr="0097373B">
        <w:rPr>
          <w:rFonts w:ascii="Times New Roman" w:hAnsi="Times New Roman" w:cs="Times New Roman"/>
          <w:kern w:val="1"/>
        </w:rPr>
        <w:t>]</w:t>
      </w:r>
      <w:r w:rsidR="00AB7515" w:rsidRPr="0097373B">
        <w:rPr>
          <w:rFonts w:ascii="Times New Roman" w:hAnsi="Times New Roman" w:cs="Times New Roman"/>
          <w:kern w:val="1"/>
        </w:rPr>
        <w:t xml:space="preserve">, as well as by reviewing free text </w:t>
      </w:r>
      <w:r w:rsidR="00E97141" w:rsidRPr="0097373B">
        <w:rPr>
          <w:rFonts w:ascii="Times New Roman" w:hAnsi="Times New Roman" w:cs="Times New Roman"/>
          <w:kern w:val="1"/>
        </w:rPr>
        <w:t xml:space="preserve">and x-ray reports </w:t>
      </w:r>
      <w:r w:rsidR="00AB7515" w:rsidRPr="0097373B">
        <w:rPr>
          <w:rFonts w:ascii="Times New Roman" w:hAnsi="Times New Roman" w:cs="Times New Roman"/>
          <w:kern w:val="1"/>
        </w:rPr>
        <w:t>collected in primary care records [</w:t>
      </w:r>
      <w:r w:rsidR="00560340" w:rsidRPr="0097373B">
        <w:rPr>
          <w:rFonts w:ascii="Times New Roman" w:hAnsi="Times New Roman" w:cs="Times New Roman"/>
          <w:kern w:val="1"/>
        </w:rPr>
        <w:t>14</w:t>
      </w:r>
      <w:r w:rsidR="006B3231" w:rsidRPr="0097373B">
        <w:rPr>
          <w:rFonts w:ascii="Times New Roman" w:hAnsi="Times New Roman" w:cs="Times New Roman"/>
          <w:kern w:val="1"/>
        </w:rPr>
        <w:t>]</w:t>
      </w:r>
      <w:r w:rsidR="00A050D4" w:rsidRPr="0097373B">
        <w:rPr>
          <w:rFonts w:ascii="Times New Roman" w:hAnsi="Times New Roman" w:cs="Times New Roman"/>
          <w:kern w:val="1"/>
        </w:rPr>
        <w:t xml:space="preserve">. </w:t>
      </w:r>
    </w:p>
    <w:p w14:paraId="78B82FBB" w14:textId="662A8F8E" w:rsidR="00820C85" w:rsidRPr="0097373B" w:rsidRDefault="00B45556" w:rsidP="001D2514">
      <w:pPr>
        <w:widowControl w:val="0"/>
        <w:autoSpaceDE w:val="0"/>
        <w:autoSpaceDN w:val="0"/>
        <w:adjustRightInd w:val="0"/>
        <w:spacing w:line="480" w:lineRule="auto"/>
        <w:jc w:val="both"/>
        <w:rPr>
          <w:rFonts w:ascii="Times New Roman" w:hAnsi="Times New Roman" w:cs="Times New Roman"/>
          <w:b/>
          <w:kern w:val="1"/>
        </w:rPr>
      </w:pPr>
      <w:r w:rsidRPr="0097373B">
        <w:rPr>
          <w:rFonts w:ascii="Times New Roman" w:hAnsi="Times New Roman" w:cs="Times New Roman"/>
          <w:b/>
          <w:kern w:val="1"/>
        </w:rPr>
        <w:t>Statistical analyses</w:t>
      </w:r>
      <w:r w:rsidR="00227264" w:rsidRPr="0097373B">
        <w:rPr>
          <w:rFonts w:ascii="Times New Roman" w:hAnsi="Times New Roman" w:cs="Times New Roman"/>
          <w:b/>
          <w:kern w:val="1"/>
        </w:rPr>
        <w:t>:</w:t>
      </w:r>
    </w:p>
    <w:p w14:paraId="06C7E072" w14:textId="2BAC262B" w:rsidR="00AB7515" w:rsidRPr="0097373B" w:rsidRDefault="00B45556" w:rsidP="001D2514">
      <w:pPr>
        <w:widowControl w:val="0"/>
        <w:autoSpaceDE w:val="0"/>
        <w:autoSpaceDN w:val="0"/>
        <w:adjustRightInd w:val="0"/>
        <w:spacing w:line="480" w:lineRule="auto"/>
        <w:jc w:val="both"/>
        <w:rPr>
          <w:rFonts w:ascii="Times New Roman" w:hAnsi="Times New Roman" w:cs="Times New Roman"/>
          <w:kern w:val="1"/>
        </w:rPr>
      </w:pPr>
      <w:r w:rsidRPr="0097373B">
        <w:rPr>
          <w:rFonts w:ascii="Times New Roman" w:hAnsi="Times New Roman" w:cs="Times New Roman"/>
          <w:kern w:val="1"/>
        </w:rPr>
        <w:t xml:space="preserve">Age (in 5-year groups) and gender-specific </w:t>
      </w:r>
      <w:r w:rsidR="00AB7515" w:rsidRPr="0097373B">
        <w:rPr>
          <w:rFonts w:ascii="Times New Roman" w:hAnsi="Times New Roman" w:cs="Times New Roman"/>
          <w:kern w:val="1"/>
        </w:rPr>
        <w:t>incidence rates (</w:t>
      </w:r>
      <w:r w:rsidRPr="0097373B">
        <w:rPr>
          <w:rFonts w:ascii="Times New Roman" w:hAnsi="Times New Roman" w:cs="Times New Roman"/>
          <w:kern w:val="1"/>
        </w:rPr>
        <w:t>IRs</w:t>
      </w:r>
      <w:r w:rsidR="00AB7515" w:rsidRPr="0097373B">
        <w:rPr>
          <w:rFonts w:ascii="Times New Roman" w:hAnsi="Times New Roman" w:cs="Times New Roman"/>
          <w:kern w:val="1"/>
        </w:rPr>
        <w:t>)</w:t>
      </w:r>
      <w:r w:rsidRPr="0097373B">
        <w:rPr>
          <w:rFonts w:ascii="Times New Roman" w:hAnsi="Times New Roman" w:cs="Times New Roman"/>
          <w:kern w:val="1"/>
        </w:rPr>
        <w:t xml:space="preserve"> and 99% C</w:t>
      </w:r>
      <w:r w:rsidR="00AB7515" w:rsidRPr="0097373B">
        <w:rPr>
          <w:rFonts w:ascii="Times New Roman" w:hAnsi="Times New Roman" w:cs="Times New Roman"/>
          <w:kern w:val="1"/>
        </w:rPr>
        <w:t xml:space="preserve">onfidence </w:t>
      </w:r>
      <w:r w:rsidRPr="0097373B">
        <w:rPr>
          <w:rFonts w:ascii="Times New Roman" w:hAnsi="Times New Roman" w:cs="Times New Roman"/>
          <w:kern w:val="1"/>
        </w:rPr>
        <w:t>I</w:t>
      </w:r>
      <w:r w:rsidR="00AB7515" w:rsidRPr="0097373B">
        <w:rPr>
          <w:rFonts w:ascii="Times New Roman" w:hAnsi="Times New Roman" w:cs="Times New Roman"/>
          <w:kern w:val="1"/>
        </w:rPr>
        <w:t>nterval</w:t>
      </w:r>
      <w:r w:rsidRPr="0097373B">
        <w:rPr>
          <w:rFonts w:ascii="Times New Roman" w:hAnsi="Times New Roman" w:cs="Times New Roman"/>
          <w:kern w:val="1"/>
        </w:rPr>
        <w:t>s</w:t>
      </w:r>
      <w:r w:rsidR="00AB7515" w:rsidRPr="0097373B">
        <w:rPr>
          <w:rFonts w:ascii="Times New Roman" w:hAnsi="Times New Roman" w:cs="Times New Roman"/>
          <w:kern w:val="1"/>
        </w:rPr>
        <w:t xml:space="preserve"> (99%CIs) for each of the outcomes identified </w:t>
      </w:r>
      <w:r w:rsidRPr="0097373B">
        <w:rPr>
          <w:rFonts w:ascii="Times New Roman" w:hAnsi="Times New Roman" w:cs="Times New Roman"/>
          <w:kern w:val="1"/>
        </w:rPr>
        <w:t>in</w:t>
      </w:r>
      <w:r w:rsidR="00820C85" w:rsidRPr="0097373B">
        <w:rPr>
          <w:rFonts w:ascii="Times New Roman" w:hAnsi="Times New Roman" w:cs="Times New Roman"/>
          <w:kern w:val="1"/>
        </w:rPr>
        <w:t xml:space="preserve"> the study period were </w:t>
      </w:r>
      <w:r w:rsidRPr="0097373B">
        <w:rPr>
          <w:rFonts w:ascii="Times New Roman" w:hAnsi="Times New Roman" w:cs="Times New Roman"/>
          <w:kern w:val="1"/>
        </w:rPr>
        <w:t>estimated</w:t>
      </w:r>
      <w:r w:rsidR="00AB7515" w:rsidRPr="0097373B">
        <w:rPr>
          <w:rFonts w:ascii="Times New Roman" w:hAnsi="Times New Roman" w:cs="Times New Roman"/>
          <w:kern w:val="1"/>
        </w:rPr>
        <w:t xml:space="preserve"> assuming a Poisson distribution</w:t>
      </w:r>
      <w:r w:rsidRPr="0097373B">
        <w:rPr>
          <w:rFonts w:ascii="Times New Roman" w:hAnsi="Times New Roman" w:cs="Times New Roman"/>
          <w:kern w:val="1"/>
        </w:rPr>
        <w:t xml:space="preserve">. </w:t>
      </w:r>
    </w:p>
    <w:p w14:paraId="3C7FCFF6" w14:textId="6A1DEBA0" w:rsidR="003B18B6" w:rsidRPr="0097373B" w:rsidRDefault="00B45556" w:rsidP="001D2514">
      <w:pPr>
        <w:widowControl w:val="0"/>
        <w:autoSpaceDE w:val="0"/>
        <w:autoSpaceDN w:val="0"/>
        <w:adjustRightInd w:val="0"/>
        <w:spacing w:line="480" w:lineRule="auto"/>
        <w:jc w:val="both"/>
        <w:rPr>
          <w:rFonts w:ascii="Times New Roman" w:hAnsi="Times New Roman" w:cs="Times New Roman"/>
          <w:kern w:val="1"/>
        </w:rPr>
      </w:pPr>
      <w:r w:rsidRPr="0097373B">
        <w:rPr>
          <w:rFonts w:ascii="Times New Roman" w:hAnsi="Times New Roman" w:cs="Times New Roman"/>
          <w:kern w:val="1"/>
        </w:rPr>
        <w:t xml:space="preserve">Cox regression </w:t>
      </w:r>
      <w:r w:rsidR="006C5FC5" w:rsidRPr="0097373B">
        <w:rPr>
          <w:rFonts w:ascii="Times New Roman" w:hAnsi="Times New Roman" w:cs="Times New Roman"/>
          <w:kern w:val="1"/>
        </w:rPr>
        <w:t>modelling</w:t>
      </w:r>
      <w:r w:rsidRPr="0097373B">
        <w:rPr>
          <w:rFonts w:ascii="Times New Roman" w:hAnsi="Times New Roman" w:cs="Times New Roman"/>
          <w:kern w:val="1"/>
        </w:rPr>
        <w:t xml:space="preserve"> was used to</w:t>
      </w:r>
      <w:r w:rsidR="00820C85" w:rsidRPr="0097373B">
        <w:rPr>
          <w:rFonts w:ascii="Times New Roman" w:hAnsi="Times New Roman" w:cs="Times New Roman"/>
          <w:kern w:val="1"/>
        </w:rPr>
        <w:t xml:space="preserve"> </w:t>
      </w:r>
      <w:r w:rsidRPr="0097373B">
        <w:rPr>
          <w:rFonts w:ascii="Times New Roman" w:hAnsi="Times New Roman" w:cs="Times New Roman"/>
          <w:kern w:val="1"/>
        </w:rPr>
        <w:t xml:space="preserve">compute </w:t>
      </w:r>
      <w:r w:rsidR="004D3FBE" w:rsidRPr="0097373B">
        <w:rPr>
          <w:rFonts w:ascii="Times New Roman" w:hAnsi="Times New Roman" w:cs="Times New Roman"/>
          <w:kern w:val="1"/>
        </w:rPr>
        <w:t>age and gender-</w:t>
      </w:r>
      <w:r w:rsidRPr="0097373B">
        <w:rPr>
          <w:rFonts w:ascii="Times New Roman" w:hAnsi="Times New Roman" w:cs="Times New Roman"/>
          <w:kern w:val="1"/>
        </w:rPr>
        <w:t xml:space="preserve">adjusted </w:t>
      </w:r>
      <w:r w:rsidR="004D3FBE" w:rsidRPr="0097373B">
        <w:rPr>
          <w:rFonts w:ascii="Times New Roman" w:hAnsi="Times New Roman" w:cs="Times New Roman"/>
          <w:kern w:val="1"/>
        </w:rPr>
        <w:t>hazard ratios (</w:t>
      </w:r>
      <w:r w:rsidRPr="0097373B">
        <w:rPr>
          <w:rFonts w:ascii="Times New Roman" w:hAnsi="Times New Roman" w:cs="Times New Roman"/>
          <w:kern w:val="1"/>
        </w:rPr>
        <w:t>HRs</w:t>
      </w:r>
      <w:r w:rsidR="004D3FBE" w:rsidRPr="0097373B">
        <w:rPr>
          <w:rFonts w:ascii="Times New Roman" w:hAnsi="Times New Roman" w:cs="Times New Roman"/>
          <w:kern w:val="1"/>
        </w:rPr>
        <w:t>)</w:t>
      </w:r>
      <w:r w:rsidRPr="0097373B">
        <w:rPr>
          <w:rFonts w:ascii="Times New Roman" w:hAnsi="Times New Roman" w:cs="Times New Roman"/>
          <w:kern w:val="1"/>
        </w:rPr>
        <w:t xml:space="preserve"> and </w:t>
      </w:r>
      <w:r w:rsidRPr="0097373B">
        <w:rPr>
          <w:rFonts w:ascii="Times New Roman" w:hAnsi="Times New Roman" w:cs="Times New Roman"/>
          <w:kern w:val="1"/>
        </w:rPr>
        <w:lastRenderedPageBreak/>
        <w:t>99%CIs</w:t>
      </w:r>
      <w:r w:rsidR="00820C85" w:rsidRPr="0097373B">
        <w:rPr>
          <w:rFonts w:ascii="Times New Roman" w:hAnsi="Times New Roman" w:cs="Times New Roman"/>
          <w:kern w:val="1"/>
        </w:rPr>
        <w:t xml:space="preserve"> </w:t>
      </w:r>
      <w:r w:rsidRPr="0097373B">
        <w:rPr>
          <w:rFonts w:ascii="Times New Roman" w:hAnsi="Times New Roman" w:cs="Times New Roman"/>
          <w:kern w:val="1"/>
        </w:rPr>
        <w:t>for an incident clinical diagnosis of knee</w:t>
      </w:r>
      <w:r w:rsidR="0006579C" w:rsidRPr="0097373B">
        <w:rPr>
          <w:rFonts w:ascii="Times New Roman" w:hAnsi="Times New Roman" w:cs="Times New Roman"/>
          <w:kern w:val="1"/>
        </w:rPr>
        <w:t>, hip,</w:t>
      </w:r>
      <w:r w:rsidR="004D3FBE" w:rsidRPr="0097373B">
        <w:rPr>
          <w:rFonts w:ascii="Times New Roman" w:hAnsi="Times New Roman" w:cs="Times New Roman"/>
          <w:kern w:val="1"/>
        </w:rPr>
        <w:t xml:space="preserve"> and hand</w:t>
      </w:r>
      <w:r w:rsidRPr="0097373B">
        <w:rPr>
          <w:rFonts w:ascii="Times New Roman" w:hAnsi="Times New Roman" w:cs="Times New Roman"/>
          <w:kern w:val="1"/>
        </w:rPr>
        <w:t xml:space="preserve"> OA according</w:t>
      </w:r>
      <w:r w:rsidR="00820C85" w:rsidRPr="0097373B">
        <w:rPr>
          <w:rFonts w:ascii="Times New Roman" w:hAnsi="Times New Roman" w:cs="Times New Roman"/>
          <w:kern w:val="1"/>
        </w:rPr>
        <w:t xml:space="preserve"> </w:t>
      </w:r>
      <w:r w:rsidRPr="0097373B">
        <w:rPr>
          <w:rFonts w:ascii="Times New Roman" w:hAnsi="Times New Roman" w:cs="Times New Roman"/>
          <w:kern w:val="1"/>
        </w:rPr>
        <w:t xml:space="preserve">to </w:t>
      </w:r>
      <w:r w:rsidR="00360245" w:rsidRPr="0097373B">
        <w:rPr>
          <w:rFonts w:ascii="Times New Roman" w:hAnsi="Times New Roman" w:cs="Times New Roman"/>
          <w:kern w:val="1"/>
        </w:rPr>
        <w:t>BMI (continuous, per kg/m</w:t>
      </w:r>
      <w:r w:rsidR="00360245" w:rsidRPr="0097373B">
        <w:rPr>
          <w:rFonts w:ascii="Times New Roman" w:hAnsi="Times New Roman" w:cs="Times New Roman"/>
          <w:kern w:val="1"/>
          <w:vertAlign w:val="superscript"/>
        </w:rPr>
        <w:t>2</w:t>
      </w:r>
      <w:r w:rsidR="00360245" w:rsidRPr="0097373B">
        <w:rPr>
          <w:rFonts w:ascii="Times New Roman" w:hAnsi="Times New Roman" w:cs="Times New Roman"/>
          <w:kern w:val="1"/>
        </w:rPr>
        <w:t xml:space="preserve"> increase) and </w:t>
      </w:r>
      <w:r w:rsidR="004D3FBE" w:rsidRPr="0097373B">
        <w:rPr>
          <w:rFonts w:ascii="Times New Roman" w:hAnsi="Times New Roman" w:cs="Times New Roman"/>
          <w:kern w:val="1"/>
        </w:rPr>
        <w:t>BMI category</w:t>
      </w:r>
      <w:r w:rsidR="00360245" w:rsidRPr="0097373B">
        <w:rPr>
          <w:rFonts w:ascii="Times New Roman" w:hAnsi="Times New Roman" w:cs="Times New Roman"/>
          <w:kern w:val="1"/>
        </w:rPr>
        <w:t xml:space="preserve"> (</w:t>
      </w:r>
      <w:r w:rsidR="004D3FBE" w:rsidRPr="0097373B">
        <w:rPr>
          <w:rFonts w:ascii="Times New Roman" w:hAnsi="Times New Roman" w:cs="Times New Roman"/>
          <w:kern w:val="1"/>
        </w:rPr>
        <w:t>using normal weight as a reference group</w:t>
      </w:r>
      <w:r w:rsidR="00360245" w:rsidRPr="0097373B">
        <w:rPr>
          <w:rFonts w:ascii="Times New Roman" w:hAnsi="Times New Roman" w:cs="Times New Roman"/>
          <w:kern w:val="1"/>
        </w:rPr>
        <w:t>)</w:t>
      </w:r>
      <w:r w:rsidRPr="0097373B">
        <w:rPr>
          <w:rFonts w:ascii="Times New Roman" w:hAnsi="Times New Roman" w:cs="Times New Roman"/>
          <w:kern w:val="1"/>
        </w:rPr>
        <w:t xml:space="preserve">. </w:t>
      </w:r>
      <w:r w:rsidR="003B18B6" w:rsidRPr="0097373B">
        <w:rPr>
          <w:rFonts w:ascii="Times New Roman" w:hAnsi="Times New Roman" w:cs="Times New Roman"/>
          <w:kern w:val="1"/>
        </w:rPr>
        <w:t xml:space="preserve">Age-specific adjusted rate ratios (RRs) for overweight, obese grade I and obese grade II compared to normal-weight were calculated using Poisson regression. </w:t>
      </w:r>
    </w:p>
    <w:p w14:paraId="43B637BB" w14:textId="0E59E677" w:rsidR="00B45556" w:rsidRPr="0097373B" w:rsidRDefault="00B45556" w:rsidP="001D2514">
      <w:pPr>
        <w:widowControl w:val="0"/>
        <w:autoSpaceDE w:val="0"/>
        <w:autoSpaceDN w:val="0"/>
        <w:adjustRightInd w:val="0"/>
        <w:spacing w:line="480" w:lineRule="auto"/>
        <w:jc w:val="both"/>
        <w:rPr>
          <w:rFonts w:ascii="Times New Roman" w:hAnsi="Times New Roman" w:cs="Times New Roman"/>
          <w:kern w:val="1"/>
        </w:rPr>
      </w:pPr>
      <w:r w:rsidRPr="0097373B">
        <w:rPr>
          <w:rFonts w:ascii="Times New Roman" w:hAnsi="Times New Roman" w:cs="Times New Roman"/>
          <w:kern w:val="1"/>
        </w:rPr>
        <w:t>All the statistical analyses were carried out using S</w:t>
      </w:r>
      <w:r w:rsidR="00E605B1" w:rsidRPr="0097373B">
        <w:rPr>
          <w:rFonts w:ascii="Times New Roman" w:hAnsi="Times New Roman" w:cs="Times New Roman"/>
          <w:kern w:val="1"/>
        </w:rPr>
        <w:t>TATA</w:t>
      </w:r>
      <w:r w:rsidRPr="0097373B">
        <w:rPr>
          <w:rFonts w:ascii="Times New Roman" w:hAnsi="Times New Roman" w:cs="Times New Roman"/>
          <w:kern w:val="1"/>
        </w:rPr>
        <w:t xml:space="preserve"> SE</w:t>
      </w:r>
      <w:r w:rsidR="00820C85" w:rsidRPr="0097373B">
        <w:rPr>
          <w:rFonts w:ascii="Times New Roman" w:hAnsi="Times New Roman" w:cs="Times New Roman"/>
          <w:kern w:val="1"/>
        </w:rPr>
        <w:t xml:space="preserve"> </w:t>
      </w:r>
      <w:r w:rsidRPr="0097373B">
        <w:rPr>
          <w:rFonts w:ascii="Times New Roman" w:hAnsi="Times New Roman" w:cs="Times New Roman"/>
          <w:kern w:val="1"/>
        </w:rPr>
        <w:t>for Mac V.12.0.</w:t>
      </w:r>
    </w:p>
    <w:p w14:paraId="78AA6774" w14:textId="77777777" w:rsidR="00227264" w:rsidRPr="0097373B" w:rsidRDefault="00227264" w:rsidP="001D2514">
      <w:pPr>
        <w:widowControl w:val="0"/>
        <w:autoSpaceDE w:val="0"/>
        <w:autoSpaceDN w:val="0"/>
        <w:adjustRightInd w:val="0"/>
        <w:spacing w:line="480" w:lineRule="auto"/>
        <w:jc w:val="both"/>
        <w:rPr>
          <w:rFonts w:ascii="Times New Roman" w:hAnsi="Times New Roman" w:cs="Times New Roman"/>
          <w:kern w:val="1"/>
        </w:rPr>
      </w:pPr>
    </w:p>
    <w:p w14:paraId="3A22F428" w14:textId="3D54D026" w:rsidR="00DB151B" w:rsidRPr="0097373B" w:rsidRDefault="00DB151B" w:rsidP="001D2514">
      <w:pPr>
        <w:widowControl w:val="0"/>
        <w:autoSpaceDE w:val="0"/>
        <w:autoSpaceDN w:val="0"/>
        <w:adjustRightInd w:val="0"/>
        <w:spacing w:line="480" w:lineRule="auto"/>
        <w:jc w:val="both"/>
        <w:rPr>
          <w:rFonts w:ascii="Times New Roman" w:hAnsi="Times New Roman" w:cs="Times New Roman"/>
          <w:b/>
          <w:kern w:val="1"/>
        </w:rPr>
      </w:pPr>
      <w:r w:rsidRPr="0097373B">
        <w:rPr>
          <w:rFonts w:ascii="Times New Roman" w:hAnsi="Times New Roman" w:cs="Times New Roman"/>
          <w:b/>
          <w:kern w:val="1"/>
        </w:rPr>
        <w:t>Ethic</w:t>
      </w:r>
      <w:r w:rsidR="0035622F" w:rsidRPr="0097373B">
        <w:rPr>
          <w:rFonts w:ascii="Times New Roman" w:hAnsi="Times New Roman" w:cs="Times New Roman"/>
          <w:b/>
          <w:kern w:val="1"/>
        </w:rPr>
        <w:t>al</w:t>
      </w:r>
      <w:r w:rsidRPr="0097373B">
        <w:rPr>
          <w:rFonts w:ascii="Times New Roman" w:hAnsi="Times New Roman" w:cs="Times New Roman"/>
          <w:b/>
          <w:kern w:val="1"/>
        </w:rPr>
        <w:t xml:space="preserve"> approval: </w:t>
      </w:r>
    </w:p>
    <w:p w14:paraId="6DACB62D" w14:textId="580C4B6B" w:rsidR="00E4290B" w:rsidRPr="0097373B" w:rsidRDefault="00041D7C" w:rsidP="001D2514">
      <w:pPr>
        <w:spacing w:line="480" w:lineRule="auto"/>
        <w:jc w:val="both"/>
        <w:rPr>
          <w:rFonts w:ascii="Times New Roman" w:hAnsi="Times New Roman" w:cs="Times New Roman"/>
          <w:b/>
          <w:kern w:val="1"/>
        </w:rPr>
      </w:pPr>
      <w:r w:rsidRPr="0097373B">
        <w:rPr>
          <w:rFonts w:ascii="Times New Roman" w:eastAsia="Arial Unicode MS" w:hAnsi="Times New Roman" w:cs="Times New Roman"/>
          <w:color w:val="000000"/>
          <w:kern w:val="1"/>
        </w:rPr>
        <w:t>Scientific approval was obtained from the SIDIAP Scientific Committee, and e</w:t>
      </w:r>
      <w:r w:rsidR="006B44FC" w:rsidRPr="0097373B">
        <w:rPr>
          <w:rFonts w:ascii="Times New Roman" w:eastAsia="Arial Unicode MS" w:hAnsi="Times New Roman" w:cs="Times New Roman"/>
          <w:color w:val="000000"/>
          <w:kern w:val="1"/>
        </w:rPr>
        <w:t>thic</w:t>
      </w:r>
      <w:r w:rsidRPr="0097373B">
        <w:rPr>
          <w:rFonts w:ascii="Times New Roman" w:eastAsia="Arial Unicode MS" w:hAnsi="Times New Roman" w:cs="Times New Roman"/>
          <w:color w:val="000000"/>
          <w:kern w:val="1"/>
        </w:rPr>
        <w:t>s</w:t>
      </w:r>
      <w:r w:rsidR="006B44FC" w:rsidRPr="0097373B">
        <w:rPr>
          <w:rFonts w:ascii="Times New Roman" w:eastAsia="Arial Unicode MS" w:hAnsi="Times New Roman" w:cs="Times New Roman"/>
          <w:color w:val="000000"/>
          <w:kern w:val="1"/>
        </w:rPr>
        <w:t xml:space="preserve"> approval was </w:t>
      </w:r>
      <w:r w:rsidR="00821438" w:rsidRPr="0097373B">
        <w:rPr>
          <w:rFonts w:ascii="Times New Roman" w:eastAsia="Arial Unicode MS" w:hAnsi="Times New Roman" w:cs="Times New Roman"/>
          <w:color w:val="000000"/>
          <w:kern w:val="1"/>
        </w:rPr>
        <w:t>granted by the relevant board (</w:t>
      </w:r>
      <w:r w:rsidR="00B0539F" w:rsidRPr="0097373B">
        <w:rPr>
          <w:rFonts w:ascii="Times New Roman" w:eastAsia="Arial Unicode MS" w:hAnsi="Times New Roman" w:cs="Times New Roman"/>
          <w:color w:val="000000"/>
          <w:kern w:val="1"/>
        </w:rPr>
        <w:t>CEIC IDIAP</w:t>
      </w:r>
      <w:r w:rsidRPr="0097373B">
        <w:rPr>
          <w:rFonts w:ascii="Times New Roman" w:eastAsia="Arial Unicode MS" w:hAnsi="Times New Roman" w:cs="Times New Roman"/>
          <w:color w:val="000000"/>
          <w:kern w:val="1"/>
        </w:rPr>
        <w:t xml:space="preserve"> Jordi Gol) with certificate number P14/153.</w:t>
      </w:r>
      <w:r w:rsidRPr="0097373B">
        <w:rPr>
          <w:rFonts w:ascii="Times New Roman" w:eastAsia="Arial Unicode MS" w:hAnsi="Times New Roman" w:cs="Times New Roman"/>
          <w:b/>
          <w:color w:val="000000"/>
          <w:kern w:val="1"/>
        </w:rPr>
        <w:t xml:space="preserve"> </w:t>
      </w:r>
      <w:r w:rsidR="006B44FC" w:rsidRPr="0097373B">
        <w:rPr>
          <w:rFonts w:ascii="Times New Roman" w:eastAsia="Arial Unicode MS" w:hAnsi="Times New Roman" w:cs="Times New Roman"/>
          <w:color w:val="000000"/>
          <w:kern w:val="1"/>
        </w:rPr>
        <w:t>Patient consent was not required</w:t>
      </w:r>
      <w:r w:rsidRPr="0097373B">
        <w:rPr>
          <w:rFonts w:ascii="Times New Roman" w:eastAsia="Arial Unicode MS" w:hAnsi="Times New Roman" w:cs="Times New Roman"/>
          <w:color w:val="000000"/>
          <w:kern w:val="1"/>
        </w:rPr>
        <w:t xml:space="preserve"> as only </w:t>
      </w:r>
      <w:r w:rsidR="006B44FC" w:rsidRPr="0097373B">
        <w:rPr>
          <w:rFonts w:ascii="Times New Roman" w:eastAsia="Arial Unicode MS" w:hAnsi="Times New Roman" w:cs="Times New Roman"/>
          <w:color w:val="000000"/>
          <w:kern w:val="1"/>
        </w:rPr>
        <w:t>anonymised retrospective data</w:t>
      </w:r>
      <w:r w:rsidRPr="0097373B">
        <w:rPr>
          <w:rFonts w:ascii="Times New Roman" w:eastAsia="Arial Unicode MS" w:hAnsi="Times New Roman" w:cs="Times New Roman"/>
          <w:color w:val="000000"/>
          <w:kern w:val="1"/>
        </w:rPr>
        <w:t xml:space="preserve"> was used for this study, and no patient or GP contact was required.</w:t>
      </w:r>
    </w:p>
    <w:p w14:paraId="4C63E035" w14:textId="77777777" w:rsidR="00E63F10" w:rsidRPr="0097373B" w:rsidRDefault="00E63F10" w:rsidP="001D2514">
      <w:pPr>
        <w:jc w:val="both"/>
        <w:rPr>
          <w:rFonts w:ascii="Times New Roman" w:hAnsi="Times New Roman" w:cs="Times New Roman"/>
          <w:b/>
          <w:kern w:val="1"/>
        </w:rPr>
      </w:pPr>
      <w:r w:rsidRPr="0097373B">
        <w:rPr>
          <w:rFonts w:ascii="Times New Roman" w:hAnsi="Times New Roman" w:cs="Times New Roman"/>
          <w:b/>
          <w:kern w:val="1"/>
        </w:rPr>
        <w:br w:type="page"/>
      </w:r>
    </w:p>
    <w:p w14:paraId="4084CBDD" w14:textId="0EA789F3" w:rsidR="00510F93" w:rsidRPr="0097373B" w:rsidRDefault="00510F93" w:rsidP="00D50C8D">
      <w:pPr>
        <w:spacing w:line="480" w:lineRule="auto"/>
        <w:jc w:val="both"/>
        <w:rPr>
          <w:rFonts w:ascii="Times New Roman" w:hAnsi="Times New Roman" w:cs="Times New Roman"/>
          <w:b/>
          <w:kern w:val="1"/>
        </w:rPr>
      </w:pPr>
      <w:r w:rsidRPr="0097373B">
        <w:rPr>
          <w:rFonts w:ascii="Times New Roman" w:hAnsi="Times New Roman" w:cs="Times New Roman"/>
          <w:b/>
          <w:kern w:val="1"/>
        </w:rPr>
        <w:lastRenderedPageBreak/>
        <w:t>RESULTS</w:t>
      </w:r>
    </w:p>
    <w:p w14:paraId="3B8B6789" w14:textId="77777777" w:rsidR="005F002C" w:rsidRPr="0097373B" w:rsidRDefault="005F002C" w:rsidP="008F4D60">
      <w:pPr>
        <w:widowControl w:val="0"/>
        <w:autoSpaceDE w:val="0"/>
        <w:autoSpaceDN w:val="0"/>
        <w:adjustRightInd w:val="0"/>
        <w:spacing w:line="480" w:lineRule="auto"/>
        <w:jc w:val="both"/>
        <w:rPr>
          <w:rFonts w:ascii="Times New Roman" w:hAnsi="Times New Roman" w:cs="Times New Roman"/>
          <w:b/>
          <w:kern w:val="1"/>
        </w:rPr>
      </w:pPr>
    </w:p>
    <w:p w14:paraId="75FE5AF7" w14:textId="427DA738" w:rsidR="006E474E" w:rsidRPr="0097373B" w:rsidRDefault="0018061B">
      <w:pPr>
        <w:widowControl w:val="0"/>
        <w:autoSpaceDE w:val="0"/>
        <w:autoSpaceDN w:val="0"/>
        <w:adjustRightInd w:val="0"/>
        <w:spacing w:line="480" w:lineRule="auto"/>
        <w:jc w:val="both"/>
        <w:rPr>
          <w:rFonts w:ascii="Times New Roman" w:hAnsi="Times New Roman" w:cs="Times New Roman"/>
          <w:b/>
          <w:kern w:val="1"/>
        </w:rPr>
      </w:pPr>
      <w:r w:rsidRPr="0097373B">
        <w:rPr>
          <w:rFonts w:ascii="Times New Roman" w:hAnsi="Times New Roman" w:cs="Times New Roman"/>
          <w:b/>
          <w:kern w:val="1"/>
        </w:rPr>
        <w:t>Baseline characteristics</w:t>
      </w:r>
    </w:p>
    <w:p w14:paraId="47BEBE93" w14:textId="0820EDC3" w:rsidR="006E474E" w:rsidRPr="0097373B" w:rsidRDefault="006E474E" w:rsidP="001D2514">
      <w:pPr>
        <w:widowControl w:val="0"/>
        <w:autoSpaceDE w:val="0"/>
        <w:autoSpaceDN w:val="0"/>
        <w:adjustRightInd w:val="0"/>
        <w:spacing w:line="480" w:lineRule="auto"/>
        <w:jc w:val="both"/>
        <w:rPr>
          <w:rFonts w:ascii="Times New Roman" w:hAnsi="Times New Roman" w:cs="Times New Roman"/>
          <w:kern w:val="1"/>
        </w:rPr>
      </w:pPr>
      <w:r w:rsidRPr="0097373B">
        <w:rPr>
          <w:rFonts w:ascii="Times New Roman" w:hAnsi="Times New Roman" w:cs="Times New Roman"/>
          <w:kern w:val="1"/>
        </w:rPr>
        <w:t xml:space="preserve"> </w:t>
      </w:r>
      <w:r w:rsidR="00D60DA7" w:rsidRPr="0097373B">
        <w:rPr>
          <w:rFonts w:ascii="Times New Roman" w:hAnsi="Times New Roman" w:cs="Times New Roman"/>
          <w:kern w:val="1"/>
        </w:rPr>
        <w:t>A</w:t>
      </w:r>
      <w:r w:rsidR="00BB7B09" w:rsidRPr="0097373B">
        <w:rPr>
          <w:rFonts w:ascii="Times New Roman" w:hAnsi="Times New Roman" w:cs="Times New Roman"/>
          <w:kern w:val="1"/>
        </w:rPr>
        <w:t xml:space="preserve"> total of </w:t>
      </w:r>
      <w:r w:rsidR="00D60DA7" w:rsidRPr="0097373B">
        <w:rPr>
          <w:rFonts w:ascii="Times New Roman" w:hAnsi="Times New Roman" w:cs="Times New Roman"/>
          <w:kern w:val="1"/>
        </w:rPr>
        <w:t>1,764,061</w:t>
      </w:r>
      <w:r w:rsidR="006F036B" w:rsidRPr="0097373B">
        <w:rPr>
          <w:rFonts w:ascii="Times New Roman" w:hAnsi="Times New Roman" w:cs="Times New Roman"/>
          <w:kern w:val="1"/>
        </w:rPr>
        <w:t xml:space="preserve"> (54.0%) out of </w:t>
      </w:r>
      <w:r w:rsidR="0018061B" w:rsidRPr="0097373B">
        <w:rPr>
          <w:rFonts w:ascii="Times New Roman" w:hAnsi="Times New Roman" w:cs="Times New Roman"/>
          <w:kern w:val="1"/>
        </w:rPr>
        <w:t>3</w:t>
      </w:r>
      <w:r w:rsidR="007D7D0F" w:rsidRPr="0097373B">
        <w:rPr>
          <w:rFonts w:ascii="Times New Roman" w:hAnsi="Times New Roman" w:cs="Times New Roman"/>
          <w:kern w:val="1"/>
        </w:rPr>
        <w:t>,</w:t>
      </w:r>
      <w:r w:rsidR="0018061B" w:rsidRPr="0097373B">
        <w:rPr>
          <w:rFonts w:ascii="Times New Roman" w:hAnsi="Times New Roman" w:cs="Times New Roman"/>
          <w:kern w:val="1"/>
        </w:rPr>
        <w:t>266</w:t>
      </w:r>
      <w:r w:rsidR="007D7D0F" w:rsidRPr="0097373B">
        <w:rPr>
          <w:rFonts w:ascii="Times New Roman" w:hAnsi="Times New Roman" w:cs="Times New Roman"/>
          <w:kern w:val="1"/>
        </w:rPr>
        <w:t>,</w:t>
      </w:r>
      <w:r w:rsidR="0018061B" w:rsidRPr="0097373B">
        <w:rPr>
          <w:rFonts w:ascii="Times New Roman" w:hAnsi="Times New Roman" w:cs="Times New Roman"/>
          <w:kern w:val="1"/>
        </w:rPr>
        <w:t xml:space="preserve">826 </w:t>
      </w:r>
      <w:r w:rsidR="006F036B" w:rsidRPr="0097373B">
        <w:rPr>
          <w:rFonts w:ascii="Times New Roman" w:hAnsi="Times New Roman" w:cs="Times New Roman"/>
          <w:kern w:val="1"/>
        </w:rPr>
        <w:t xml:space="preserve">potentially eligible </w:t>
      </w:r>
      <w:r w:rsidR="00D60DA7" w:rsidRPr="0097373B">
        <w:rPr>
          <w:rFonts w:ascii="Times New Roman" w:hAnsi="Times New Roman" w:cs="Times New Roman"/>
          <w:kern w:val="1"/>
        </w:rPr>
        <w:t xml:space="preserve">subjects </w:t>
      </w:r>
      <w:r w:rsidR="00CF06E1" w:rsidRPr="0097373B">
        <w:rPr>
          <w:rFonts w:ascii="Times New Roman" w:hAnsi="Times New Roman" w:cs="Times New Roman"/>
          <w:kern w:val="1"/>
        </w:rPr>
        <w:t xml:space="preserve">registered in SIDIAP </w:t>
      </w:r>
      <w:r w:rsidR="00D60DA7" w:rsidRPr="0097373B">
        <w:rPr>
          <w:rFonts w:ascii="Times New Roman" w:hAnsi="Times New Roman" w:cs="Times New Roman"/>
          <w:kern w:val="1"/>
        </w:rPr>
        <w:t>had data on BMI</w:t>
      </w:r>
      <w:r w:rsidR="00DF186A" w:rsidRPr="0097373B">
        <w:rPr>
          <w:rFonts w:ascii="Times New Roman" w:hAnsi="Times New Roman" w:cs="Times New Roman"/>
          <w:kern w:val="1"/>
        </w:rPr>
        <w:t xml:space="preserve">, </w:t>
      </w:r>
      <w:r w:rsidR="00BF76E0" w:rsidRPr="0097373B">
        <w:rPr>
          <w:rFonts w:ascii="Times New Roman" w:hAnsi="Times New Roman" w:cs="Times New Roman"/>
          <w:kern w:val="1"/>
        </w:rPr>
        <w:t xml:space="preserve">and </w:t>
      </w:r>
      <w:r w:rsidR="00D60DA7" w:rsidRPr="0097373B">
        <w:rPr>
          <w:rFonts w:ascii="Times New Roman" w:hAnsi="Times New Roman" w:cs="Times New Roman"/>
          <w:kern w:val="1"/>
        </w:rPr>
        <w:t>were therefore included</w:t>
      </w:r>
      <w:r w:rsidR="00CC55FF" w:rsidRPr="0097373B">
        <w:rPr>
          <w:rFonts w:ascii="Times New Roman" w:hAnsi="Times New Roman" w:cs="Times New Roman"/>
          <w:kern w:val="1"/>
        </w:rPr>
        <w:t xml:space="preserve"> </w:t>
      </w:r>
      <w:r w:rsidR="00227264" w:rsidRPr="0097373B">
        <w:rPr>
          <w:rFonts w:ascii="Times New Roman" w:hAnsi="Times New Roman" w:cs="Times New Roman"/>
          <w:kern w:val="1"/>
        </w:rPr>
        <w:t>in the study</w:t>
      </w:r>
      <w:r w:rsidRPr="0097373B">
        <w:rPr>
          <w:rFonts w:ascii="Times New Roman" w:hAnsi="Times New Roman" w:cs="Times New Roman"/>
          <w:kern w:val="1"/>
        </w:rPr>
        <w:t>.</w:t>
      </w:r>
      <w:r w:rsidR="00092A2E" w:rsidRPr="0097373B">
        <w:rPr>
          <w:rFonts w:ascii="Times New Roman" w:hAnsi="Times New Roman" w:cs="Times New Roman"/>
          <w:kern w:val="1"/>
        </w:rPr>
        <w:t xml:space="preserve"> Compared to the source population, the included participants (i.e. with BMI data available) were slightly older</w:t>
      </w:r>
      <w:r w:rsidR="00446BF4" w:rsidRPr="0097373B">
        <w:rPr>
          <w:rFonts w:ascii="Times New Roman" w:hAnsi="Times New Roman" w:cs="Times New Roman"/>
          <w:kern w:val="1"/>
        </w:rPr>
        <w:t xml:space="preserve"> </w:t>
      </w:r>
      <w:r w:rsidR="00092A2E" w:rsidRPr="0097373B">
        <w:rPr>
          <w:rFonts w:ascii="Times New Roman" w:hAnsi="Times New Roman" w:cs="Times New Roman"/>
          <w:kern w:val="1"/>
        </w:rPr>
        <w:t>(64.1 versus 62.4 years) and more likely to be women (54.2% versus 51.8%).</w:t>
      </w:r>
    </w:p>
    <w:p w14:paraId="56D7949E" w14:textId="16884C35" w:rsidR="00BB1A33" w:rsidRPr="0097373B" w:rsidRDefault="00092A2E" w:rsidP="001D2514">
      <w:pPr>
        <w:widowControl w:val="0"/>
        <w:autoSpaceDE w:val="0"/>
        <w:autoSpaceDN w:val="0"/>
        <w:adjustRightInd w:val="0"/>
        <w:spacing w:line="480" w:lineRule="auto"/>
        <w:jc w:val="both"/>
        <w:rPr>
          <w:rFonts w:ascii="Times New Roman" w:hAnsi="Times New Roman" w:cs="Times New Roman"/>
          <w:kern w:val="1"/>
        </w:rPr>
      </w:pPr>
      <w:r w:rsidRPr="0097373B">
        <w:rPr>
          <w:rFonts w:ascii="Times New Roman" w:hAnsi="Times New Roman" w:cs="Times New Roman"/>
          <w:kern w:val="1"/>
        </w:rPr>
        <w:t>Eligible subjects</w:t>
      </w:r>
      <w:r w:rsidR="006E474E" w:rsidRPr="0097373B">
        <w:rPr>
          <w:rFonts w:ascii="Times New Roman" w:hAnsi="Times New Roman" w:cs="Times New Roman"/>
          <w:kern w:val="1"/>
        </w:rPr>
        <w:t xml:space="preserve"> were </w:t>
      </w:r>
      <w:r w:rsidR="00CC55FF" w:rsidRPr="0097373B">
        <w:rPr>
          <w:rFonts w:ascii="Times New Roman" w:hAnsi="Times New Roman" w:cs="Times New Roman"/>
          <w:kern w:val="1"/>
        </w:rPr>
        <w:t xml:space="preserve">categorized </w:t>
      </w:r>
      <w:r w:rsidRPr="0097373B">
        <w:rPr>
          <w:rFonts w:ascii="Times New Roman" w:hAnsi="Times New Roman" w:cs="Times New Roman"/>
          <w:kern w:val="1"/>
        </w:rPr>
        <w:t>into the following BMI categories</w:t>
      </w:r>
      <w:r w:rsidR="00CC55FF" w:rsidRPr="0097373B">
        <w:rPr>
          <w:rFonts w:ascii="Times New Roman" w:hAnsi="Times New Roman" w:cs="Times New Roman"/>
          <w:kern w:val="1"/>
        </w:rPr>
        <w:t>: 446,034 (25.3%) normal</w:t>
      </w:r>
      <w:r w:rsidR="000A3FF3" w:rsidRPr="0097373B">
        <w:rPr>
          <w:rFonts w:ascii="Times New Roman" w:hAnsi="Times New Roman" w:cs="Times New Roman"/>
          <w:kern w:val="1"/>
        </w:rPr>
        <w:t>-</w:t>
      </w:r>
      <w:r w:rsidR="00CC55FF" w:rsidRPr="0097373B">
        <w:rPr>
          <w:rFonts w:ascii="Times New Roman" w:hAnsi="Times New Roman" w:cs="Times New Roman"/>
          <w:kern w:val="1"/>
        </w:rPr>
        <w:t xml:space="preserve">weight, 742,258 (42.1%) overweight, 409,714 (23.2%) </w:t>
      </w:r>
      <w:r w:rsidR="000A3FF3" w:rsidRPr="0097373B">
        <w:rPr>
          <w:rFonts w:ascii="Times New Roman" w:hAnsi="Times New Roman" w:cs="Times New Roman"/>
          <w:kern w:val="1"/>
        </w:rPr>
        <w:t xml:space="preserve">grade </w:t>
      </w:r>
      <w:r w:rsidR="00CC55FF" w:rsidRPr="0097373B">
        <w:rPr>
          <w:rFonts w:ascii="Times New Roman" w:hAnsi="Times New Roman" w:cs="Times New Roman"/>
          <w:kern w:val="1"/>
        </w:rPr>
        <w:t>I</w:t>
      </w:r>
      <w:r w:rsidR="000A3FF3" w:rsidRPr="0097373B">
        <w:rPr>
          <w:rFonts w:ascii="Times New Roman" w:hAnsi="Times New Roman" w:cs="Times New Roman"/>
          <w:kern w:val="1"/>
        </w:rPr>
        <w:t xml:space="preserve"> obesity</w:t>
      </w:r>
      <w:r w:rsidR="00CC55FF" w:rsidRPr="0097373B">
        <w:rPr>
          <w:rFonts w:ascii="Times New Roman" w:hAnsi="Times New Roman" w:cs="Times New Roman"/>
          <w:kern w:val="1"/>
        </w:rPr>
        <w:t xml:space="preserve">, and 166,055 (9.4%) </w:t>
      </w:r>
      <w:r w:rsidR="000A3FF3" w:rsidRPr="0097373B">
        <w:rPr>
          <w:rFonts w:ascii="Times New Roman" w:hAnsi="Times New Roman" w:cs="Times New Roman"/>
          <w:kern w:val="1"/>
        </w:rPr>
        <w:t>grade</w:t>
      </w:r>
      <w:r w:rsidR="00CC55FF" w:rsidRPr="0097373B">
        <w:rPr>
          <w:rFonts w:ascii="Times New Roman" w:hAnsi="Times New Roman" w:cs="Times New Roman"/>
          <w:kern w:val="1"/>
        </w:rPr>
        <w:t xml:space="preserve"> II</w:t>
      </w:r>
      <w:r w:rsidR="000A3FF3" w:rsidRPr="0097373B">
        <w:rPr>
          <w:rFonts w:ascii="Times New Roman" w:hAnsi="Times New Roman" w:cs="Times New Roman"/>
          <w:kern w:val="1"/>
        </w:rPr>
        <w:t xml:space="preserve"> obesity</w:t>
      </w:r>
      <w:r w:rsidR="00D60DA7" w:rsidRPr="0097373B">
        <w:rPr>
          <w:rFonts w:ascii="Times New Roman" w:hAnsi="Times New Roman" w:cs="Times New Roman"/>
          <w:kern w:val="1"/>
        </w:rPr>
        <w:t xml:space="preserve">. </w:t>
      </w:r>
      <w:r w:rsidR="00B24584" w:rsidRPr="0097373B">
        <w:rPr>
          <w:rFonts w:ascii="Times New Roman" w:hAnsi="Times New Roman" w:cs="Times New Roman"/>
          <w:kern w:val="1"/>
        </w:rPr>
        <w:t>Baseline characteristics of subjects according to their BMI category are shown in table 1.</w:t>
      </w:r>
    </w:p>
    <w:p w14:paraId="71F0C69D" w14:textId="77777777" w:rsidR="005F002C" w:rsidRPr="0097373B" w:rsidRDefault="005F002C" w:rsidP="001D2514">
      <w:pPr>
        <w:widowControl w:val="0"/>
        <w:autoSpaceDE w:val="0"/>
        <w:autoSpaceDN w:val="0"/>
        <w:adjustRightInd w:val="0"/>
        <w:spacing w:line="480" w:lineRule="auto"/>
        <w:jc w:val="both"/>
        <w:rPr>
          <w:rFonts w:ascii="Times New Roman" w:hAnsi="Times New Roman" w:cs="Times New Roman"/>
          <w:kern w:val="1"/>
        </w:rPr>
      </w:pPr>
    </w:p>
    <w:p w14:paraId="68AA9DD1" w14:textId="77777777" w:rsidR="0028642D" w:rsidRPr="0097373B" w:rsidRDefault="00BB1A33" w:rsidP="001D2514">
      <w:pPr>
        <w:widowControl w:val="0"/>
        <w:autoSpaceDE w:val="0"/>
        <w:autoSpaceDN w:val="0"/>
        <w:adjustRightInd w:val="0"/>
        <w:spacing w:line="480" w:lineRule="auto"/>
        <w:jc w:val="both"/>
        <w:rPr>
          <w:rFonts w:ascii="Times New Roman" w:hAnsi="Times New Roman" w:cs="Times New Roman"/>
          <w:b/>
          <w:kern w:val="1"/>
        </w:rPr>
      </w:pPr>
      <w:r w:rsidRPr="0097373B">
        <w:rPr>
          <w:rFonts w:ascii="Times New Roman" w:hAnsi="Times New Roman" w:cs="Times New Roman"/>
          <w:b/>
          <w:kern w:val="1"/>
        </w:rPr>
        <w:t>Incidence rates of knee, hip, and hand OA in the study population</w:t>
      </w:r>
    </w:p>
    <w:p w14:paraId="4E3F6587" w14:textId="1E1CC2A8" w:rsidR="003A1B6E" w:rsidRPr="0097373B" w:rsidRDefault="001B76FC" w:rsidP="001D2514">
      <w:pPr>
        <w:widowControl w:val="0"/>
        <w:autoSpaceDE w:val="0"/>
        <w:autoSpaceDN w:val="0"/>
        <w:adjustRightInd w:val="0"/>
        <w:spacing w:line="480" w:lineRule="auto"/>
        <w:jc w:val="both"/>
        <w:rPr>
          <w:rFonts w:ascii="Times New Roman" w:hAnsi="Times New Roman" w:cs="Times New Roman"/>
          <w:kern w:val="1"/>
        </w:rPr>
      </w:pPr>
      <w:r w:rsidRPr="0097373B">
        <w:rPr>
          <w:rFonts w:ascii="Times New Roman" w:hAnsi="Times New Roman" w:cs="Times New Roman"/>
          <w:kern w:val="1"/>
        </w:rPr>
        <w:t>Participants were observed for a median (IQR) of 4.45 (4.19</w:t>
      </w:r>
      <w:r w:rsidR="00460566" w:rsidRPr="0097373B">
        <w:rPr>
          <w:rFonts w:ascii="Times New Roman" w:hAnsi="Times New Roman" w:cs="Times New Roman"/>
          <w:kern w:val="1"/>
        </w:rPr>
        <w:t xml:space="preserve"> to </w:t>
      </w:r>
      <w:r w:rsidRPr="0097373B">
        <w:rPr>
          <w:rFonts w:ascii="Times New Roman" w:hAnsi="Times New Roman" w:cs="Times New Roman"/>
          <w:kern w:val="1"/>
        </w:rPr>
        <w:t>4.98) years.</w:t>
      </w:r>
      <w:r w:rsidR="003A1B6E" w:rsidRPr="0097373B">
        <w:rPr>
          <w:rFonts w:ascii="Times New Roman" w:hAnsi="Times New Roman" w:cs="Times New Roman"/>
          <w:kern w:val="1"/>
        </w:rPr>
        <w:t xml:space="preserve"> Incidence rates are reflected in figures 1,</w:t>
      </w:r>
      <w:r w:rsidR="008A6EBE" w:rsidRPr="0097373B">
        <w:rPr>
          <w:rFonts w:ascii="Times New Roman" w:hAnsi="Times New Roman" w:cs="Times New Roman"/>
          <w:kern w:val="1"/>
        </w:rPr>
        <w:t xml:space="preserve"> </w:t>
      </w:r>
      <w:r w:rsidR="003A1B6E" w:rsidRPr="0097373B">
        <w:rPr>
          <w:rFonts w:ascii="Times New Roman" w:hAnsi="Times New Roman" w:cs="Times New Roman"/>
          <w:kern w:val="1"/>
        </w:rPr>
        <w:t>2 and 3.</w:t>
      </w:r>
      <w:r w:rsidRPr="0097373B">
        <w:rPr>
          <w:rFonts w:ascii="Times New Roman" w:hAnsi="Times New Roman" w:cs="Times New Roman"/>
          <w:kern w:val="1"/>
        </w:rPr>
        <w:t xml:space="preserve"> </w:t>
      </w:r>
      <w:r w:rsidR="00BA7B50" w:rsidRPr="0097373B">
        <w:rPr>
          <w:rFonts w:ascii="Times New Roman" w:hAnsi="Times New Roman" w:cs="Times New Roman"/>
          <w:kern w:val="1"/>
        </w:rPr>
        <w:t>During th</w:t>
      </w:r>
      <w:r w:rsidRPr="0097373B">
        <w:rPr>
          <w:rFonts w:ascii="Times New Roman" w:hAnsi="Times New Roman" w:cs="Times New Roman"/>
          <w:kern w:val="1"/>
        </w:rPr>
        <w:t xml:space="preserve">is </w:t>
      </w:r>
      <w:r w:rsidR="00BA7B50" w:rsidRPr="0097373B">
        <w:rPr>
          <w:rFonts w:ascii="Times New Roman" w:hAnsi="Times New Roman" w:cs="Times New Roman"/>
          <w:kern w:val="1"/>
        </w:rPr>
        <w:t>period</w:t>
      </w:r>
      <w:r w:rsidR="00DF58DD" w:rsidRPr="0097373B">
        <w:rPr>
          <w:rFonts w:ascii="Times New Roman" w:hAnsi="Times New Roman" w:cs="Times New Roman"/>
          <w:kern w:val="1"/>
        </w:rPr>
        <w:t>,</w:t>
      </w:r>
      <w:r w:rsidR="00BA7B50" w:rsidRPr="0097373B">
        <w:rPr>
          <w:rFonts w:ascii="Times New Roman" w:hAnsi="Times New Roman" w:cs="Times New Roman"/>
          <w:kern w:val="1"/>
        </w:rPr>
        <w:t xml:space="preserve"> </w:t>
      </w:r>
      <w:r w:rsidR="00BF76E0" w:rsidRPr="0097373B">
        <w:rPr>
          <w:rFonts w:ascii="Times New Roman" w:hAnsi="Times New Roman" w:cs="Times New Roman"/>
          <w:kern w:val="1"/>
        </w:rPr>
        <w:t>83,469</w:t>
      </w:r>
      <w:r w:rsidR="00FE3132" w:rsidRPr="0097373B">
        <w:rPr>
          <w:rFonts w:ascii="Times New Roman" w:hAnsi="Times New Roman" w:cs="Times New Roman"/>
          <w:kern w:val="1"/>
        </w:rPr>
        <w:t xml:space="preserve"> incident cases with knee OA were identified with crude-incidence rates of 9.1, 99%CI</w:t>
      </w:r>
      <w:r w:rsidR="00790AB1" w:rsidRPr="0097373B">
        <w:rPr>
          <w:rFonts w:ascii="Times New Roman" w:hAnsi="Times New Roman" w:cs="Times New Roman"/>
          <w:kern w:val="1"/>
        </w:rPr>
        <w:t xml:space="preserve"> </w:t>
      </w:r>
      <w:r w:rsidR="00FE3132" w:rsidRPr="0097373B">
        <w:rPr>
          <w:rFonts w:ascii="Times New Roman" w:hAnsi="Times New Roman" w:cs="Times New Roman"/>
          <w:kern w:val="1"/>
        </w:rPr>
        <w:t>(</w:t>
      </w:r>
      <w:r w:rsidR="00421AC3" w:rsidRPr="0097373B">
        <w:rPr>
          <w:rFonts w:ascii="Times New Roman" w:hAnsi="Times New Roman" w:cs="Times New Roman"/>
          <w:kern w:val="1"/>
        </w:rPr>
        <w:t>9.0</w:t>
      </w:r>
      <w:r w:rsidR="00FE3132" w:rsidRPr="0097373B">
        <w:rPr>
          <w:rFonts w:ascii="Times New Roman" w:hAnsi="Times New Roman" w:cs="Times New Roman"/>
          <w:kern w:val="1"/>
        </w:rPr>
        <w:t xml:space="preserve"> to 9.2) per 1,000 person-years at risk respectively</w:t>
      </w:r>
      <w:r w:rsidR="00BF76E0" w:rsidRPr="0097373B">
        <w:rPr>
          <w:rFonts w:ascii="Times New Roman" w:hAnsi="Times New Roman" w:cs="Times New Roman"/>
          <w:kern w:val="1"/>
        </w:rPr>
        <w:t>, 27,701</w:t>
      </w:r>
      <w:r w:rsidR="00FE3132" w:rsidRPr="0097373B">
        <w:rPr>
          <w:rFonts w:ascii="Times New Roman" w:hAnsi="Times New Roman" w:cs="Times New Roman"/>
          <w:kern w:val="1"/>
        </w:rPr>
        <w:t xml:space="preserve"> incident cases with hip OA were identified with crude-incidence rates of 2.9 (2.8 to 2.9) per 1,000 person-years at risk respectively</w:t>
      </w:r>
      <w:r w:rsidR="00BF76E0" w:rsidRPr="0097373B">
        <w:rPr>
          <w:rFonts w:ascii="Times New Roman" w:hAnsi="Times New Roman" w:cs="Times New Roman"/>
          <w:kern w:val="1"/>
        </w:rPr>
        <w:t xml:space="preserve"> and 30,909</w:t>
      </w:r>
      <w:r w:rsidR="00FE3132" w:rsidRPr="0097373B">
        <w:rPr>
          <w:rFonts w:ascii="Times New Roman" w:hAnsi="Times New Roman" w:cs="Times New Roman"/>
          <w:kern w:val="1"/>
        </w:rPr>
        <w:t xml:space="preserve"> incident cases with hand</w:t>
      </w:r>
      <w:r w:rsidR="00BF76E0" w:rsidRPr="0097373B">
        <w:rPr>
          <w:rFonts w:ascii="Times New Roman" w:hAnsi="Times New Roman" w:cs="Times New Roman"/>
          <w:kern w:val="1"/>
        </w:rPr>
        <w:t xml:space="preserve"> </w:t>
      </w:r>
      <w:r w:rsidR="00FE3132" w:rsidRPr="0097373B">
        <w:rPr>
          <w:rFonts w:ascii="Times New Roman" w:hAnsi="Times New Roman" w:cs="Times New Roman"/>
          <w:kern w:val="1"/>
        </w:rPr>
        <w:t>OA</w:t>
      </w:r>
      <w:r w:rsidR="00BF76E0" w:rsidRPr="0097373B">
        <w:rPr>
          <w:rFonts w:ascii="Times New Roman" w:hAnsi="Times New Roman" w:cs="Times New Roman"/>
          <w:kern w:val="1"/>
        </w:rPr>
        <w:t xml:space="preserve"> were identified</w:t>
      </w:r>
      <w:r w:rsidR="00BA7B50" w:rsidRPr="0097373B">
        <w:rPr>
          <w:rFonts w:ascii="Times New Roman" w:hAnsi="Times New Roman" w:cs="Times New Roman"/>
          <w:kern w:val="1"/>
        </w:rPr>
        <w:t xml:space="preserve"> </w:t>
      </w:r>
      <w:r w:rsidR="00FE3132" w:rsidRPr="0097373B">
        <w:rPr>
          <w:rFonts w:ascii="Times New Roman" w:hAnsi="Times New Roman" w:cs="Times New Roman"/>
          <w:kern w:val="1"/>
        </w:rPr>
        <w:t xml:space="preserve">with a </w:t>
      </w:r>
      <w:r w:rsidRPr="0097373B">
        <w:rPr>
          <w:rFonts w:ascii="Times New Roman" w:hAnsi="Times New Roman" w:cs="Times New Roman"/>
          <w:kern w:val="1"/>
        </w:rPr>
        <w:t>crude-</w:t>
      </w:r>
      <w:r w:rsidR="00DF58DD" w:rsidRPr="0097373B">
        <w:rPr>
          <w:rFonts w:ascii="Times New Roman" w:hAnsi="Times New Roman" w:cs="Times New Roman"/>
          <w:kern w:val="1"/>
        </w:rPr>
        <w:t>incidence rates of</w:t>
      </w:r>
      <w:r w:rsidR="00BA7B50" w:rsidRPr="0097373B">
        <w:rPr>
          <w:rFonts w:ascii="Times New Roman" w:hAnsi="Times New Roman" w:cs="Times New Roman"/>
          <w:kern w:val="1"/>
        </w:rPr>
        <w:t xml:space="preserve"> </w:t>
      </w:r>
      <w:r w:rsidR="00DE39EC" w:rsidRPr="0097373B">
        <w:rPr>
          <w:rFonts w:ascii="Times New Roman" w:hAnsi="Times New Roman" w:cs="Times New Roman"/>
          <w:kern w:val="1"/>
        </w:rPr>
        <w:t>3</w:t>
      </w:r>
      <w:r w:rsidR="00186D9F" w:rsidRPr="0097373B">
        <w:rPr>
          <w:rFonts w:ascii="Times New Roman" w:hAnsi="Times New Roman" w:cs="Times New Roman"/>
          <w:kern w:val="1"/>
        </w:rPr>
        <w:t>.</w:t>
      </w:r>
      <w:r w:rsidR="00DE39EC" w:rsidRPr="0097373B">
        <w:rPr>
          <w:rFonts w:ascii="Times New Roman" w:hAnsi="Times New Roman" w:cs="Times New Roman"/>
          <w:kern w:val="1"/>
        </w:rPr>
        <w:t>2</w:t>
      </w:r>
      <w:r w:rsidR="00186D9F" w:rsidRPr="0097373B">
        <w:rPr>
          <w:rFonts w:ascii="Times New Roman" w:hAnsi="Times New Roman" w:cs="Times New Roman"/>
          <w:kern w:val="1"/>
        </w:rPr>
        <w:t xml:space="preserve"> </w:t>
      </w:r>
      <w:r w:rsidR="00460566" w:rsidRPr="0097373B">
        <w:rPr>
          <w:rFonts w:ascii="Times New Roman" w:hAnsi="Times New Roman" w:cs="Times New Roman"/>
          <w:kern w:val="1"/>
        </w:rPr>
        <w:t>(</w:t>
      </w:r>
      <w:r w:rsidR="00DE39EC" w:rsidRPr="0097373B">
        <w:rPr>
          <w:rFonts w:ascii="Times New Roman" w:hAnsi="Times New Roman" w:cs="Times New Roman"/>
          <w:kern w:val="1"/>
        </w:rPr>
        <w:t>3</w:t>
      </w:r>
      <w:r w:rsidR="00186D9F" w:rsidRPr="0097373B">
        <w:rPr>
          <w:rFonts w:ascii="Times New Roman" w:hAnsi="Times New Roman" w:cs="Times New Roman"/>
          <w:kern w:val="1"/>
        </w:rPr>
        <w:t>.</w:t>
      </w:r>
      <w:r w:rsidR="00DE39EC" w:rsidRPr="0097373B">
        <w:rPr>
          <w:rFonts w:ascii="Times New Roman" w:hAnsi="Times New Roman" w:cs="Times New Roman"/>
          <w:kern w:val="1"/>
        </w:rPr>
        <w:t>2</w:t>
      </w:r>
      <w:r w:rsidR="00460566" w:rsidRPr="0097373B">
        <w:rPr>
          <w:rFonts w:ascii="Times New Roman" w:hAnsi="Times New Roman" w:cs="Times New Roman"/>
          <w:kern w:val="1"/>
        </w:rPr>
        <w:t xml:space="preserve"> to </w:t>
      </w:r>
      <w:r w:rsidR="00DE39EC" w:rsidRPr="0097373B">
        <w:rPr>
          <w:rFonts w:ascii="Times New Roman" w:hAnsi="Times New Roman" w:cs="Times New Roman"/>
          <w:kern w:val="1"/>
        </w:rPr>
        <w:t>3</w:t>
      </w:r>
      <w:r w:rsidR="00186D9F" w:rsidRPr="0097373B">
        <w:rPr>
          <w:rFonts w:ascii="Times New Roman" w:hAnsi="Times New Roman" w:cs="Times New Roman"/>
          <w:kern w:val="1"/>
        </w:rPr>
        <w:t>.</w:t>
      </w:r>
      <w:r w:rsidR="00DE39EC" w:rsidRPr="0097373B">
        <w:rPr>
          <w:rFonts w:ascii="Times New Roman" w:hAnsi="Times New Roman" w:cs="Times New Roman"/>
          <w:kern w:val="1"/>
        </w:rPr>
        <w:t>3</w:t>
      </w:r>
      <w:r w:rsidR="00460566" w:rsidRPr="0097373B">
        <w:rPr>
          <w:rFonts w:ascii="Times New Roman" w:hAnsi="Times New Roman" w:cs="Times New Roman"/>
          <w:kern w:val="1"/>
        </w:rPr>
        <w:t>)</w:t>
      </w:r>
      <w:r w:rsidR="007845C1" w:rsidRPr="0097373B">
        <w:rPr>
          <w:rFonts w:ascii="Times New Roman" w:hAnsi="Times New Roman" w:cs="Times New Roman"/>
          <w:kern w:val="1"/>
        </w:rPr>
        <w:t xml:space="preserve"> per 1,000 person-years at risk</w:t>
      </w:r>
      <w:r w:rsidR="00186D9F" w:rsidRPr="0097373B">
        <w:rPr>
          <w:rFonts w:ascii="Times New Roman" w:hAnsi="Times New Roman" w:cs="Times New Roman"/>
          <w:kern w:val="1"/>
        </w:rPr>
        <w:t xml:space="preserve"> respectively. </w:t>
      </w:r>
      <w:r w:rsidR="00A567CE" w:rsidRPr="0097373B">
        <w:rPr>
          <w:rFonts w:ascii="Times New Roman" w:hAnsi="Times New Roman" w:cs="Times New Roman"/>
          <w:kern w:val="1"/>
        </w:rPr>
        <w:t xml:space="preserve">Incidence rates of knee, hip and hand OA for each BMI category are represented in </w:t>
      </w:r>
      <w:r w:rsidR="00227264" w:rsidRPr="0097373B">
        <w:rPr>
          <w:rFonts w:ascii="Times New Roman" w:hAnsi="Times New Roman" w:cs="Times New Roman"/>
          <w:kern w:val="1"/>
        </w:rPr>
        <w:t xml:space="preserve">table </w:t>
      </w:r>
      <w:r w:rsidR="00B24584" w:rsidRPr="0097373B">
        <w:rPr>
          <w:rFonts w:ascii="Times New Roman" w:hAnsi="Times New Roman" w:cs="Times New Roman"/>
          <w:kern w:val="1"/>
        </w:rPr>
        <w:t>2</w:t>
      </w:r>
      <w:r w:rsidR="00A567CE" w:rsidRPr="0097373B">
        <w:rPr>
          <w:rFonts w:ascii="Times New Roman" w:hAnsi="Times New Roman" w:cs="Times New Roman"/>
          <w:kern w:val="1"/>
        </w:rPr>
        <w:t xml:space="preserve">. </w:t>
      </w:r>
    </w:p>
    <w:p w14:paraId="0643DDC7" w14:textId="7D696156" w:rsidR="00BE4641" w:rsidRPr="0097373B" w:rsidRDefault="00164D2B" w:rsidP="001D2514">
      <w:pPr>
        <w:widowControl w:val="0"/>
        <w:autoSpaceDE w:val="0"/>
        <w:autoSpaceDN w:val="0"/>
        <w:adjustRightInd w:val="0"/>
        <w:spacing w:line="480" w:lineRule="auto"/>
        <w:jc w:val="both"/>
        <w:rPr>
          <w:rFonts w:ascii="Times New Roman" w:hAnsi="Times New Roman" w:cs="Times New Roman"/>
          <w:kern w:val="1"/>
        </w:rPr>
      </w:pPr>
      <w:r w:rsidRPr="0097373B">
        <w:rPr>
          <w:rFonts w:ascii="Times New Roman" w:hAnsi="Times New Roman" w:cs="Times New Roman"/>
          <w:kern w:val="1"/>
        </w:rPr>
        <w:t>Th</w:t>
      </w:r>
      <w:r w:rsidR="00BE4641" w:rsidRPr="0097373B">
        <w:rPr>
          <w:rFonts w:ascii="Times New Roman" w:hAnsi="Times New Roman" w:cs="Times New Roman"/>
          <w:kern w:val="1"/>
        </w:rPr>
        <w:t>e incidence rates for knee and hip OA</w:t>
      </w:r>
      <w:r w:rsidR="00390F92" w:rsidRPr="0097373B">
        <w:rPr>
          <w:rFonts w:ascii="Times New Roman" w:hAnsi="Times New Roman" w:cs="Times New Roman"/>
          <w:kern w:val="1"/>
        </w:rPr>
        <w:t xml:space="preserve"> increased since the age of 40 years old with a special increase </w:t>
      </w:r>
      <w:r w:rsidR="00BE4641" w:rsidRPr="0097373B">
        <w:rPr>
          <w:rFonts w:ascii="Times New Roman" w:hAnsi="Times New Roman" w:cs="Times New Roman"/>
          <w:kern w:val="1"/>
        </w:rPr>
        <w:t>at the age of 55-60 and 70 to 75 years old respectively (figures 1 and 2)</w:t>
      </w:r>
    </w:p>
    <w:p w14:paraId="323FABA0" w14:textId="6063F3AB" w:rsidR="007559CC" w:rsidRPr="0097373B" w:rsidRDefault="007559CC" w:rsidP="001D2514">
      <w:pPr>
        <w:widowControl w:val="0"/>
        <w:autoSpaceDE w:val="0"/>
        <w:autoSpaceDN w:val="0"/>
        <w:adjustRightInd w:val="0"/>
        <w:spacing w:line="480" w:lineRule="auto"/>
        <w:jc w:val="both"/>
        <w:rPr>
          <w:rFonts w:ascii="Times New Roman" w:hAnsi="Times New Roman" w:cs="Times New Roman"/>
          <w:b/>
          <w:kern w:val="1"/>
        </w:rPr>
      </w:pPr>
      <w:r w:rsidRPr="0097373B">
        <w:rPr>
          <w:rFonts w:ascii="Times New Roman" w:hAnsi="Times New Roman" w:cs="Times New Roman"/>
          <w:b/>
          <w:kern w:val="1"/>
        </w:rPr>
        <w:lastRenderedPageBreak/>
        <w:t xml:space="preserve">Association of BMI and </w:t>
      </w:r>
      <w:r w:rsidR="00BB1A33" w:rsidRPr="0097373B">
        <w:rPr>
          <w:rFonts w:ascii="Times New Roman" w:hAnsi="Times New Roman" w:cs="Times New Roman"/>
          <w:b/>
          <w:kern w:val="1"/>
        </w:rPr>
        <w:t>knee</w:t>
      </w:r>
      <w:r w:rsidRPr="0097373B">
        <w:rPr>
          <w:rFonts w:ascii="Times New Roman" w:hAnsi="Times New Roman" w:cs="Times New Roman"/>
          <w:b/>
          <w:kern w:val="1"/>
        </w:rPr>
        <w:t xml:space="preserve">, hip and </w:t>
      </w:r>
      <w:r w:rsidR="00BB1A33" w:rsidRPr="0097373B">
        <w:rPr>
          <w:rFonts w:ascii="Times New Roman" w:hAnsi="Times New Roman" w:cs="Times New Roman"/>
          <w:b/>
          <w:kern w:val="1"/>
        </w:rPr>
        <w:t xml:space="preserve">hand </w:t>
      </w:r>
      <w:r w:rsidRPr="0097373B">
        <w:rPr>
          <w:rFonts w:ascii="Times New Roman" w:hAnsi="Times New Roman" w:cs="Times New Roman"/>
          <w:b/>
          <w:kern w:val="1"/>
        </w:rPr>
        <w:t>OA:</w:t>
      </w:r>
    </w:p>
    <w:p w14:paraId="2355C52F" w14:textId="726FE41B" w:rsidR="00C403BB" w:rsidRPr="0097373B" w:rsidRDefault="00DC338F" w:rsidP="001D2514">
      <w:pPr>
        <w:widowControl w:val="0"/>
        <w:autoSpaceDE w:val="0"/>
        <w:autoSpaceDN w:val="0"/>
        <w:adjustRightInd w:val="0"/>
        <w:spacing w:line="480" w:lineRule="auto"/>
        <w:jc w:val="both"/>
        <w:rPr>
          <w:rFonts w:ascii="Times New Roman" w:hAnsi="Times New Roman" w:cs="Times New Roman"/>
        </w:rPr>
      </w:pPr>
      <w:r w:rsidRPr="0097373B">
        <w:rPr>
          <w:rFonts w:ascii="Times New Roman" w:hAnsi="Times New Roman" w:cs="Times New Roman"/>
          <w:kern w:val="1"/>
        </w:rPr>
        <w:t xml:space="preserve">The incidence of knee, hip, and hand OA increased with increasing BMI, with a greater increase for </w:t>
      </w:r>
      <w:r w:rsidR="00EA7E15" w:rsidRPr="0097373B">
        <w:rPr>
          <w:rFonts w:ascii="Times New Roman" w:hAnsi="Times New Roman" w:cs="Times New Roman"/>
          <w:kern w:val="1"/>
        </w:rPr>
        <w:t>knee</w:t>
      </w:r>
      <w:r w:rsidRPr="0097373B">
        <w:rPr>
          <w:rFonts w:ascii="Times New Roman" w:hAnsi="Times New Roman" w:cs="Times New Roman"/>
          <w:kern w:val="1"/>
        </w:rPr>
        <w:t xml:space="preserve"> OA</w:t>
      </w:r>
      <w:r w:rsidR="00C336E3" w:rsidRPr="0097373B">
        <w:rPr>
          <w:rFonts w:ascii="Times New Roman" w:hAnsi="Times New Roman" w:cs="Times New Roman"/>
          <w:kern w:val="1"/>
        </w:rPr>
        <w:t xml:space="preserve"> </w:t>
      </w:r>
      <w:r w:rsidRPr="0097373B">
        <w:rPr>
          <w:rFonts w:ascii="Times New Roman" w:hAnsi="Times New Roman" w:cs="Times New Roman"/>
          <w:kern w:val="1"/>
        </w:rPr>
        <w:t>(figures 1-3)</w:t>
      </w:r>
      <w:r w:rsidR="00C336E3" w:rsidRPr="0097373B">
        <w:rPr>
          <w:rFonts w:ascii="Times New Roman" w:hAnsi="Times New Roman" w:cs="Times New Roman"/>
          <w:kern w:val="1"/>
        </w:rPr>
        <w:t>.</w:t>
      </w:r>
      <w:r w:rsidR="003A1B6E" w:rsidRPr="0097373B">
        <w:rPr>
          <w:rFonts w:ascii="Times New Roman" w:hAnsi="Times New Roman" w:cs="Times New Roman"/>
          <w:kern w:val="1"/>
        </w:rPr>
        <w:t xml:space="preserve"> </w:t>
      </w:r>
      <w:r w:rsidR="00A4660C" w:rsidRPr="0097373B">
        <w:rPr>
          <w:rFonts w:ascii="Times New Roman" w:hAnsi="Times New Roman" w:cs="Times New Roman"/>
        </w:rPr>
        <w:t>The a</w:t>
      </w:r>
      <w:r w:rsidR="00C36BC2" w:rsidRPr="0097373B">
        <w:rPr>
          <w:rFonts w:ascii="Times New Roman" w:hAnsi="Times New Roman" w:cs="Times New Roman"/>
        </w:rPr>
        <w:t xml:space="preserve">djusted HR for the effect of BMI on OA is reported in table </w:t>
      </w:r>
      <w:r w:rsidR="000F232E" w:rsidRPr="0097373B">
        <w:rPr>
          <w:rFonts w:ascii="Times New Roman" w:hAnsi="Times New Roman" w:cs="Times New Roman"/>
        </w:rPr>
        <w:t>3</w:t>
      </w:r>
      <w:r w:rsidR="00C36BC2" w:rsidRPr="0097373B">
        <w:rPr>
          <w:rFonts w:ascii="Times New Roman" w:hAnsi="Times New Roman" w:cs="Times New Roman"/>
        </w:rPr>
        <w:t xml:space="preserve">. </w:t>
      </w:r>
    </w:p>
    <w:p w14:paraId="2ECE0658" w14:textId="46A90DC4" w:rsidR="003A1B6E" w:rsidRPr="0097373B" w:rsidRDefault="003A1B6E" w:rsidP="001D2514">
      <w:pPr>
        <w:widowControl w:val="0"/>
        <w:autoSpaceDE w:val="0"/>
        <w:autoSpaceDN w:val="0"/>
        <w:adjustRightInd w:val="0"/>
        <w:spacing w:line="480" w:lineRule="auto"/>
        <w:jc w:val="both"/>
        <w:rPr>
          <w:rFonts w:ascii="Times New Roman" w:hAnsi="Times New Roman" w:cs="Times New Roman"/>
          <w:kern w:val="1"/>
        </w:rPr>
      </w:pPr>
    </w:p>
    <w:p w14:paraId="1FA1E801" w14:textId="174D4797" w:rsidR="00065E1A" w:rsidRPr="0097373B" w:rsidRDefault="00065E1A" w:rsidP="001D2514">
      <w:pPr>
        <w:widowControl w:val="0"/>
        <w:autoSpaceDE w:val="0"/>
        <w:autoSpaceDN w:val="0"/>
        <w:adjustRightInd w:val="0"/>
        <w:spacing w:line="480" w:lineRule="auto"/>
        <w:jc w:val="both"/>
        <w:rPr>
          <w:rFonts w:ascii="Times New Roman" w:hAnsi="Times New Roman" w:cs="Times New Roman"/>
        </w:rPr>
      </w:pPr>
      <w:r w:rsidRPr="0097373B">
        <w:rPr>
          <w:rFonts w:ascii="Times New Roman" w:hAnsi="Times New Roman" w:cs="Times New Roman"/>
        </w:rPr>
        <w:t xml:space="preserve">In the fitted survival model, age increased the risk of OA similarly at all three sites (knee, hand and hip) </w:t>
      </w:r>
      <w:r w:rsidR="00955AFD" w:rsidRPr="0097373B">
        <w:rPr>
          <w:rFonts w:ascii="Times New Roman" w:hAnsi="Times New Roman" w:cs="Times New Roman"/>
        </w:rPr>
        <w:t>whereas female gender increased the risk mostly in hand OA.</w:t>
      </w:r>
    </w:p>
    <w:p w14:paraId="2635C5A0" w14:textId="7E93675A" w:rsidR="00395325" w:rsidRPr="0097373B" w:rsidRDefault="00065E1A" w:rsidP="001D2514">
      <w:pPr>
        <w:widowControl w:val="0"/>
        <w:autoSpaceDE w:val="0"/>
        <w:autoSpaceDN w:val="0"/>
        <w:adjustRightInd w:val="0"/>
        <w:spacing w:line="480" w:lineRule="auto"/>
        <w:jc w:val="both"/>
        <w:rPr>
          <w:rFonts w:ascii="Times New Roman" w:hAnsi="Times New Roman" w:cs="Times New Roman"/>
        </w:rPr>
      </w:pPr>
      <w:r w:rsidRPr="0097373B">
        <w:rPr>
          <w:rFonts w:ascii="Times New Roman" w:hAnsi="Times New Roman" w:cs="Times New Roman"/>
        </w:rPr>
        <w:t>After categorization into WHO-recommended groups, and compared to those with normal weight (&lt;25kg/m</w:t>
      </w:r>
      <w:r w:rsidRPr="0097373B">
        <w:rPr>
          <w:rFonts w:ascii="Times New Roman" w:hAnsi="Times New Roman" w:cs="Times New Roman"/>
          <w:vertAlign w:val="superscript"/>
        </w:rPr>
        <w:t>2</w:t>
      </w:r>
      <w:r w:rsidRPr="0097373B">
        <w:rPr>
          <w:rFonts w:ascii="Times New Roman" w:hAnsi="Times New Roman" w:cs="Times New Roman"/>
        </w:rPr>
        <w:t>), those with overweight had an excess risk of OA, especially at the knee. This excess risk continued increasing as the BMI increased</w:t>
      </w:r>
      <w:r w:rsidR="006E4B25" w:rsidRPr="0097373B">
        <w:rPr>
          <w:rFonts w:ascii="Times New Roman" w:hAnsi="Times New Roman" w:cs="Times New Roman"/>
        </w:rPr>
        <w:t xml:space="preserve">, being more pronounced for knee OA in subjects with </w:t>
      </w:r>
      <w:r w:rsidR="00C22B08" w:rsidRPr="0097373B">
        <w:rPr>
          <w:rFonts w:ascii="Times New Roman" w:hAnsi="Times New Roman" w:cs="Times New Roman"/>
        </w:rPr>
        <w:t xml:space="preserve">grade </w:t>
      </w:r>
      <w:r w:rsidR="006E4B25" w:rsidRPr="0097373B">
        <w:rPr>
          <w:rFonts w:ascii="Times New Roman" w:hAnsi="Times New Roman" w:cs="Times New Roman"/>
        </w:rPr>
        <w:t>2 obesity (&gt;35kg/m</w:t>
      </w:r>
      <w:r w:rsidR="006E4B25" w:rsidRPr="0097373B">
        <w:rPr>
          <w:rFonts w:ascii="Times New Roman" w:hAnsi="Times New Roman" w:cs="Times New Roman"/>
          <w:vertAlign w:val="superscript"/>
        </w:rPr>
        <w:t>2</w:t>
      </w:r>
      <w:r w:rsidR="006E4B25" w:rsidRPr="0097373B">
        <w:rPr>
          <w:rFonts w:ascii="Times New Roman" w:hAnsi="Times New Roman" w:cs="Times New Roman"/>
        </w:rPr>
        <w:t xml:space="preserve">); these subjects were 4.7 fold more frequently diagnosed </w:t>
      </w:r>
      <w:r w:rsidR="00542E59" w:rsidRPr="0097373B">
        <w:rPr>
          <w:rFonts w:ascii="Times New Roman" w:hAnsi="Times New Roman" w:cs="Times New Roman"/>
        </w:rPr>
        <w:t>with</w:t>
      </w:r>
      <w:r w:rsidR="006E4B25" w:rsidRPr="0097373B">
        <w:rPr>
          <w:rFonts w:ascii="Times New Roman" w:hAnsi="Times New Roman" w:cs="Times New Roman"/>
        </w:rPr>
        <w:t xml:space="preserve"> knee OA compared to subjects with BMI &lt;25kg/m</w:t>
      </w:r>
      <w:r w:rsidR="006E4B25" w:rsidRPr="0097373B">
        <w:rPr>
          <w:rFonts w:ascii="Times New Roman" w:hAnsi="Times New Roman" w:cs="Times New Roman"/>
          <w:vertAlign w:val="superscript"/>
        </w:rPr>
        <w:t>2</w:t>
      </w:r>
      <w:r w:rsidR="006E4B25" w:rsidRPr="0097373B">
        <w:rPr>
          <w:rFonts w:ascii="Times New Roman" w:hAnsi="Times New Roman" w:cs="Times New Roman"/>
        </w:rPr>
        <w:t>.</w:t>
      </w:r>
    </w:p>
    <w:p w14:paraId="271A1C9F" w14:textId="54F42982" w:rsidR="000353D3" w:rsidRPr="0097373B" w:rsidRDefault="00286814" w:rsidP="001D2514">
      <w:pPr>
        <w:widowControl w:val="0"/>
        <w:autoSpaceDE w:val="0"/>
        <w:autoSpaceDN w:val="0"/>
        <w:adjustRightInd w:val="0"/>
        <w:spacing w:line="480" w:lineRule="auto"/>
        <w:jc w:val="both"/>
        <w:rPr>
          <w:rFonts w:ascii="Times New Roman" w:hAnsi="Times New Roman" w:cs="Times New Roman"/>
          <w:b/>
          <w:kern w:val="1"/>
        </w:rPr>
      </w:pPr>
      <w:r w:rsidRPr="0097373B">
        <w:rPr>
          <w:rFonts w:ascii="Times New Roman" w:hAnsi="Times New Roman" w:cs="Times New Roman"/>
          <w:kern w:val="1"/>
        </w:rPr>
        <w:t>The observed associations between overweight/obesity and the risk of knee, hip</w:t>
      </w:r>
      <w:r w:rsidR="00944FD1" w:rsidRPr="0097373B">
        <w:rPr>
          <w:rFonts w:ascii="Times New Roman" w:hAnsi="Times New Roman" w:cs="Times New Roman"/>
          <w:kern w:val="1"/>
        </w:rPr>
        <w:t xml:space="preserve"> </w:t>
      </w:r>
      <w:r w:rsidR="00BB1A33" w:rsidRPr="0097373B">
        <w:rPr>
          <w:rFonts w:ascii="Times New Roman" w:hAnsi="Times New Roman" w:cs="Times New Roman"/>
          <w:kern w:val="1"/>
        </w:rPr>
        <w:t>were</w:t>
      </w:r>
      <w:r w:rsidR="00CB6923" w:rsidRPr="0097373B">
        <w:rPr>
          <w:rFonts w:ascii="Times New Roman" w:hAnsi="Times New Roman" w:cs="Times New Roman"/>
          <w:kern w:val="1"/>
        </w:rPr>
        <w:t xml:space="preserve"> present throughout all the participant</w:t>
      </w:r>
      <w:r w:rsidRPr="0097373B">
        <w:rPr>
          <w:rFonts w:ascii="Times New Roman" w:hAnsi="Times New Roman" w:cs="Times New Roman"/>
          <w:kern w:val="1"/>
        </w:rPr>
        <w:t xml:space="preserve"> age</w:t>
      </w:r>
      <w:r w:rsidR="00CB6923" w:rsidRPr="0097373B">
        <w:rPr>
          <w:rFonts w:ascii="Times New Roman" w:hAnsi="Times New Roman" w:cs="Times New Roman"/>
          <w:kern w:val="1"/>
        </w:rPr>
        <w:t>s (</w:t>
      </w:r>
      <w:r w:rsidR="00944FD1" w:rsidRPr="0097373B">
        <w:rPr>
          <w:rFonts w:ascii="Times New Roman" w:hAnsi="Times New Roman" w:cs="Times New Roman"/>
          <w:kern w:val="1"/>
        </w:rPr>
        <w:t>40</w:t>
      </w:r>
      <w:r w:rsidR="00CB6923" w:rsidRPr="0097373B">
        <w:rPr>
          <w:rFonts w:ascii="Times New Roman" w:hAnsi="Times New Roman" w:cs="Times New Roman"/>
          <w:kern w:val="1"/>
        </w:rPr>
        <w:t xml:space="preserve"> years or older)</w:t>
      </w:r>
      <w:r w:rsidRPr="0097373B">
        <w:rPr>
          <w:rFonts w:ascii="Times New Roman" w:hAnsi="Times New Roman" w:cs="Times New Roman"/>
          <w:kern w:val="1"/>
        </w:rPr>
        <w:t xml:space="preserve"> </w:t>
      </w:r>
      <w:r w:rsidR="009C780B" w:rsidRPr="0097373B">
        <w:rPr>
          <w:rFonts w:ascii="Times New Roman" w:hAnsi="Times New Roman" w:cs="Times New Roman"/>
          <w:kern w:val="1"/>
        </w:rPr>
        <w:t>(</w:t>
      </w:r>
      <w:r w:rsidRPr="0097373B">
        <w:rPr>
          <w:rFonts w:ascii="Times New Roman" w:hAnsi="Times New Roman" w:cs="Times New Roman"/>
          <w:kern w:val="1"/>
        </w:rPr>
        <w:t>Figures 1</w:t>
      </w:r>
      <w:r w:rsidR="00B87101" w:rsidRPr="0097373B">
        <w:rPr>
          <w:rFonts w:ascii="Times New Roman" w:hAnsi="Times New Roman" w:cs="Times New Roman"/>
          <w:kern w:val="1"/>
        </w:rPr>
        <w:t>,</w:t>
      </w:r>
      <w:r w:rsidRPr="0097373B">
        <w:rPr>
          <w:rFonts w:ascii="Times New Roman" w:hAnsi="Times New Roman" w:cs="Times New Roman"/>
          <w:kern w:val="1"/>
        </w:rPr>
        <w:t xml:space="preserve"> </w:t>
      </w:r>
      <w:r w:rsidR="00B87101" w:rsidRPr="0097373B">
        <w:rPr>
          <w:rFonts w:ascii="Times New Roman" w:hAnsi="Times New Roman" w:cs="Times New Roman"/>
          <w:kern w:val="1"/>
        </w:rPr>
        <w:t>2</w:t>
      </w:r>
      <w:r w:rsidR="002231EC" w:rsidRPr="0097373B">
        <w:rPr>
          <w:rFonts w:ascii="Times New Roman" w:hAnsi="Times New Roman" w:cs="Times New Roman"/>
          <w:kern w:val="1"/>
        </w:rPr>
        <w:t xml:space="preserve"> </w:t>
      </w:r>
      <w:r w:rsidR="00B87101" w:rsidRPr="0097373B">
        <w:rPr>
          <w:rFonts w:ascii="Times New Roman" w:hAnsi="Times New Roman" w:cs="Times New Roman"/>
          <w:kern w:val="1"/>
        </w:rPr>
        <w:t>respectively</w:t>
      </w:r>
      <w:r w:rsidR="009C780B" w:rsidRPr="0097373B">
        <w:rPr>
          <w:rFonts w:ascii="Times New Roman" w:hAnsi="Times New Roman" w:cs="Times New Roman"/>
          <w:kern w:val="1"/>
        </w:rPr>
        <w:t>)</w:t>
      </w:r>
      <w:r w:rsidR="00F142C0" w:rsidRPr="0097373B">
        <w:rPr>
          <w:rFonts w:ascii="Times New Roman" w:hAnsi="Times New Roman" w:cs="Times New Roman"/>
          <w:kern w:val="1"/>
        </w:rPr>
        <w:t xml:space="preserve">. </w:t>
      </w:r>
      <w:r w:rsidR="00BB1A33" w:rsidRPr="0097373B">
        <w:rPr>
          <w:rFonts w:ascii="Times New Roman" w:hAnsi="Times New Roman" w:cs="Times New Roman"/>
          <w:kern w:val="1"/>
        </w:rPr>
        <w:t>However</w:t>
      </w:r>
      <w:r w:rsidR="00CB6923" w:rsidRPr="0097373B">
        <w:rPr>
          <w:rFonts w:ascii="Times New Roman" w:hAnsi="Times New Roman" w:cs="Times New Roman"/>
          <w:kern w:val="1"/>
        </w:rPr>
        <w:t xml:space="preserve">, the excess risk of OA associated with obesity </w:t>
      </w:r>
      <w:r w:rsidR="00F366A0" w:rsidRPr="0097373B">
        <w:rPr>
          <w:rFonts w:ascii="Times New Roman" w:hAnsi="Times New Roman" w:cs="Times New Roman"/>
          <w:kern w:val="1"/>
        </w:rPr>
        <w:t xml:space="preserve">varied at </w:t>
      </w:r>
      <w:r w:rsidR="00CB6923" w:rsidRPr="0097373B">
        <w:rPr>
          <w:rFonts w:ascii="Times New Roman" w:hAnsi="Times New Roman" w:cs="Times New Roman"/>
          <w:kern w:val="1"/>
        </w:rPr>
        <w:t xml:space="preserve">different ages </w:t>
      </w:r>
      <w:r w:rsidR="00D87E24" w:rsidRPr="0097373B">
        <w:rPr>
          <w:rFonts w:ascii="Times New Roman" w:hAnsi="Times New Roman" w:cs="Times New Roman"/>
          <w:kern w:val="1"/>
        </w:rPr>
        <w:t>for k</w:t>
      </w:r>
      <w:r w:rsidR="00F366A0" w:rsidRPr="0097373B">
        <w:rPr>
          <w:rFonts w:ascii="Times New Roman" w:hAnsi="Times New Roman" w:cs="Times New Roman"/>
          <w:kern w:val="1"/>
        </w:rPr>
        <w:t>nee OA while this</w:t>
      </w:r>
      <w:r w:rsidR="00286308" w:rsidRPr="0097373B">
        <w:rPr>
          <w:rFonts w:ascii="Times New Roman" w:hAnsi="Times New Roman" w:cs="Times New Roman"/>
          <w:kern w:val="1"/>
        </w:rPr>
        <w:t xml:space="preserve"> association was </w:t>
      </w:r>
      <w:r w:rsidR="00F366A0" w:rsidRPr="0097373B">
        <w:rPr>
          <w:rFonts w:ascii="Times New Roman" w:hAnsi="Times New Roman" w:cs="Times New Roman"/>
          <w:kern w:val="1"/>
        </w:rPr>
        <w:t xml:space="preserve">more </w:t>
      </w:r>
      <w:r w:rsidR="00286308" w:rsidRPr="0097373B">
        <w:rPr>
          <w:rFonts w:ascii="Times New Roman" w:hAnsi="Times New Roman" w:cs="Times New Roman"/>
          <w:kern w:val="1"/>
        </w:rPr>
        <w:t>constant (unmodified by age)</w:t>
      </w:r>
      <w:r w:rsidR="00F366A0" w:rsidRPr="0097373B">
        <w:rPr>
          <w:rFonts w:ascii="Times New Roman" w:hAnsi="Times New Roman" w:cs="Times New Roman"/>
          <w:kern w:val="1"/>
        </w:rPr>
        <w:t xml:space="preserve"> for </w:t>
      </w:r>
      <w:r w:rsidR="00286308" w:rsidRPr="0097373B">
        <w:rPr>
          <w:rFonts w:ascii="Times New Roman" w:hAnsi="Times New Roman" w:cs="Times New Roman"/>
          <w:kern w:val="1"/>
        </w:rPr>
        <w:t>hip OA,</w:t>
      </w:r>
      <w:r w:rsidR="00A4660C" w:rsidRPr="0097373B">
        <w:rPr>
          <w:rFonts w:ascii="Times New Roman" w:hAnsi="Times New Roman" w:cs="Times New Roman"/>
          <w:kern w:val="1"/>
        </w:rPr>
        <w:t xml:space="preserve"> </w:t>
      </w:r>
      <w:r w:rsidR="000A3FF3" w:rsidRPr="0097373B">
        <w:rPr>
          <w:rFonts w:ascii="Times New Roman" w:hAnsi="Times New Roman" w:cs="Times New Roman"/>
          <w:kern w:val="1"/>
        </w:rPr>
        <w:t>(</w:t>
      </w:r>
      <w:r w:rsidR="00286308" w:rsidRPr="0097373B">
        <w:rPr>
          <w:rFonts w:ascii="Times New Roman" w:hAnsi="Times New Roman" w:cs="Times New Roman"/>
          <w:kern w:val="1"/>
        </w:rPr>
        <w:t>Figure 4</w:t>
      </w:r>
      <w:r w:rsidR="000A3FF3" w:rsidRPr="0097373B">
        <w:rPr>
          <w:rFonts w:ascii="Times New Roman" w:hAnsi="Times New Roman" w:cs="Times New Roman"/>
          <w:kern w:val="1"/>
        </w:rPr>
        <w:t>)</w:t>
      </w:r>
      <w:r w:rsidR="00286308" w:rsidRPr="0097373B">
        <w:rPr>
          <w:rFonts w:ascii="Times New Roman" w:hAnsi="Times New Roman" w:cs="Times New Roman"/>
          <w:kern w:val="1"/>
        </w:rPr>
        <w:t xml:space="preserve">. </w:t>
      </w:r>
    </w:p>
    <w:p w14:paraId="64316AB5" w14:textId="77777777" w:rsidR="00BB1A33" w:rsidRPr="0097373B" w:rsidRDefault="00BB1A33" w:rsidP="001D2514">
      <w:pPr>
        <w:jc w:val="both"/>
        <w:rPr>
          <w:rFonts w:ascii="Times New Roman" w:hAnsi="Times New Roman" w:cs="Times New Roman"/>
          <w:b/>
          <w:kern w:val="1"/>
        </w:rPr>
      </w:pPr>
      <w:r w:rsidRPr="0097373B">
        <w:rPr>
          <w:rFonts w:ascii="Times New Roman" w:hAnsi="Times New Roman" w:cs="Times New Roman"/>
          <w:b/>
          <w:kern w:val="1"/>
        </w:rPr>
        <w:br w:type="page"/>
      </w:r>
    </w:p>
    <w:p w14:paraId="418DA956" w14:textId="73E3DDEB" w:rsidR="00510F93" w:rsidRPr="0097373B" w:rsidRDefault="00510F93" w:rsidP="001D2514">
      <w:pPr>
        <w:widowControl w:val="0"/>
        <w:autoSpaceDE w:val="0"/>
        <w:autoSpaceDN w:val="0"/>
        <w:adjustRightInd w:val="0"/>
        <w:spacing w:line="480" w:lineRule="auto"/>
        <w:jc w:val="both"/>
        <w:rPr>
          <w:rFonts w:ascii="Times New Roman" w:hAnsi="Times New Roman" w:cs="Times New Roman"/>
          <w:b/>
          <w:kern w:val="1"/>
        </w:rPr>
      </w:pPr>
      <w:r w:rsidRPr="0097373B">
        <w:rPr>
          <w:rFonts w:ascii="Times New Roman" w:hAnsi="Times New Roman" w:cs="Times New Roman"/>
          <w:b/>
          <w:kern w:val="1"/>
        </w:rPr>
        <w:lastRenderedPageBreak/>
        <w:t>DISCUSSION</w:t>
      </w:r>
      <w:r w:rsidR="006E474E" w:rsidRPr="0097373B">
        <w:rPr>
          <w:rFonts w:ascii="Times New Roman" w:hAnsi="Times New Roman" w:cs="Times New Roman"/>
          <w:b/>
          <w:kern w:val="1"/>
        </w:rPr>
        <w:t xml:space="preserve"> </w:t>
      </w:r>
    </w:p>
    <w:p w14:paraId="72A63017" w14:textId="10A1BC42" w:rsidR="00510F93" w:rsidRPr="0097373B" w:rsidRDefault="00C124DB" w:rsidP="001D2514">
      <w:pPr>
        <w:widowControl w:val="0"/>
        <w:autoSpaceDE w:val="0"/>
        <w:autoSpaceDN w:val="0"/>
        <w:adjustRightInd w:val="0"/>
        <w:spacing w:line="480" w:lineRule="auto"/>
        <w:jc w:val="both"/>
        <w:rPr>
          <w:rFonts w:ascii="Times New Roman" w:hAnsi="Times New Roman" w:cs="Times New Roman"/>
          <w:b/>
          <w:kern w:val="1"/>
        </w:rPr>
      </w:pPr>
      <w:r w:rsidRPr="0097373B">
        <w:rPr>
          <w:rFonts w:ascii="Times New Roman" w:hAnsi="Times New Roman" w:cs="Times New Roman"/>
          <w:b/>
          <w:kern w:val="1"/>
        </w:rPr>
        <w:t>P</w:t>
      </w:r>
      <w:r w:rsidR="008D3125" w:rsidRPr="0097373B">
        <w:rPr>
          <w:rFonts w:ascii="Times New Roman" w:hAnsi="Times New Roman" w:cs="Times New Roman"/>
          <w:b/>
          <w:kern w:val="1"/>
        </w:rPr>
        <w:t xml:space="preserve">rincipal </w:t>
      </w:r>
      <w:r w:rsidR="00A21EE7" w:rsidRPr="0097373B">
        <w:rPr>
          <w:rFonts w:ascii="Times New Roman" w:hAnsi="Times New Roman" w:cs="Times New Roman"/>
          <w:b/>
          <w:kern w:val="1"/>
        </w:rPr>
        <w:t xml:space="preserve">findings: </w:t>
      </w:r>
    </w:p>
    <w:p w14:paraId="7DAE3C34" w14:textId="071973F5" w:rsidR="00986B20" w:rsidRPr="0097373B" w:rsidRDefault="00A26587" w:rsidP="001D2514">
      <w:pPr>
        <w:widowControl w:val="0"/>
        <w:autoSpaceDE w:val="0"/>
        <w:autoSpaceDN w:val="0"/>
        <w:adjustRightInd w:val="0"/>
        <w:spacing w:line="480" w:lineRule="auto"/>
        <w:jc w:val="both"/>
        <w:rPr>
          <w:rFonts w:ascii="Times New Roman" w:hAnsi="Times New Roman" w:cs="Times New Roman"/>
          <w:kern w:val="1"/>
        </w:rPr>
      </w:pPr>
      <w:r w:rsidRPr="0097373B">
        <w:rPr>
          <w:rFonts w:ascii="Times New Roman" w:hAnsi="Times New Roman" w:cs="Times New Roman"/>
          <w:kern w:val="1"/>
        </w:rPr>
        <w:t xml:space="preserve">Our study confirms that the incidence of OA mostly affects the knee in our population, compared to the other joint sites, reaching a maximum incident rate of 19.5 per 1,000 persons-year for subjects with grade II obesity compared to the 3.7 per 1,000 persons-year for normal-weight subjects. Obesity seemed to increase the risk in all three joint sites, including the hip, but the greatest increase was reported for knee. The effect of obesity on knees was more pronounced at younger ages, which could be useful for public health messaging. </w:t>
      </w:r>
    </w:p>
    <w:p w14:paraId="23F1D91A" w14:textId="2EDBA837" w:rsidR="00805A24" w:rsidRPr="0097373B" w:rsidRDefault="00805A24" w:rsidP="001D2514">
      <w:pPr>
        <w:widowControl w:val="0"/>
        <w:autoSpaceDE w:val="0"/>
        <w:autoSpaceDN w:val="0"/>
        <w:adjustRightInd w:val="0"/>
        <w:spacing w:line="480" w:lineRule="auto"/>
        <w:jc w:val="both"/>
        <w:rPr>
          <w:rFonts w:ascii="Times New Roman" w:hAnsi="Times New Roman" w:cs="Times New Roman"/>
          <w:kern w:val="1"/>
        </w:rPr>
      </w:pPr>
      <w:r w:rsidRPr="0097373B">
        <w:rPr>
          <w:rFonts w:ascii="Times New Roman" w:hAnsi="Times New Roman" w:cs="Times New Roman"/>
          <w:kern w:val="1"/>
        </w:rPr>
        <w:t>We found a positive association between overweight and obesity with the risk of developing OA at the knee, hip and hand.</w:t>
      </w:r>
      <w:r w:rsidR="00381740" w:rsidRPr="0097373B">
        <w:rPr>
          <w:rFonts w:ascii="Times New Roman" w:hAnsi="Times New Roman" w:cs="Times New Roman"/>
          <w:kern w:val="1"/>
        </w:rPr>
        <w:t xml:space="preserve"> T</w:t>
      </w:r>
      <w:r w:rsidR="00D15FDD" w:rsidRPr="0097373B">
        <w:rPr>
          <w:rFonts w:ascii="Times New Roman" w:hAnsi="Times New Roman" w:cs="Times New Roman"/>
          <w:kern w:val="1"/>
        </w:rPr>
        <w:t>he excess risk</w:t>
      </w:r>
      <w:r w:rsidR="00381740" w:rsidRPr="0097373B">
        <w:rPr>
          <w:rFonts w:ascii="Times New Roman" w:hAnsi="Times New Roman" w:cs="Times New Roman"/>
          <w:kern w:val="1"/>
        </w:rPr>
        <w:t xml:space="preserve"> </w:t>
      </w:r>
      <w:r w:rsidR="00D15FDD" w:rsidRPr="0097373B">
        <w:rPr>
          <w:rFonts w:ascii="Times New Roman" w:hAnsi="Times New Roman" w:cs="Times New Roman"/>
          <w:kern w:val="1"/>
        </w:rPr>
        <w:t xml:space="preserve">found </w:t>
      </w:r>
      <w:r w:rsidR="00381740" w:rsidRPr="0097373B">
        <w:rPr>
          <w:rFonts w:ascii="Times New Roman" w:hAnsi="Times New Roman" w:cs="Times New Roman"/>
          <w:kern w:val="1"/>
        </w:rPr>
        <w:t>was greater for</w:t>
      </w:r>
      <w:r w:rsidR="00D15FDD" w:rsidRPr="0097373B">
        <w:rPr>
          <w:rFonts w:ascii="Times New Roman" w:hAnsi="Times New Roman" w:cs="Times New Roman"/>
          <w:kern w:val="1"/>
        </w:rPr>
        <w:t xml:space="preserve"> </w:t>
      </w:r>
      <w:r w:rsidR="00381740" w:rsidRPr="0097373B">
        <w:rPr>
          <w:rFonts w:ascii="Times New Roman" w:hAnsi="Times New Roman" w:cs="Times New Roman"/>
          <w:kern w:val="1"/>
        </w:rPr>
        <w:t xml:space="preserve">subjects with </w:t>
      </w:r>
      <w:r w:rsidRPr="0097373B">
        <w:rPr>
          <w:rFonts w:ascii="Times New Roman" w:hAnsi="Times New Roman" w:cs="Times New Roman"/>
          <w:kern w:val="1"/>
        </w:rPr>
        <w:t>grade II obesity</w:t>
      </w:r>
      <w:r w:rsidR="00735F1A" w:rsidRPr="0097373B">
        <w:rPr>
          <w:rFonts w:ascii="Times New Roman" w:hAnsi="Times New Roman" w:cs="Times New Roman"/>
          <w:kern w:val="1"/>
        </w:rPr>
        <w:t>,</w:t>
      </w:r>
      <w:r w:rsidRPr="0097373B">
        <w:rPr>
          <w:rFonts w:ascii="Times New Roman" w:hAnsi="Times New Roman" w:cs="Times New Roman"/>
          <w:kern w:val="1"/>
        </w:rPr>
        <w:t xml:space="preserve"> </w:t>
      </w:r>
      <w:r w:rsidR="00E13669" w:rsidRPr="0097373B">
        <w:rPr>
          <w:rFonts w:ascii="Times New Roman" w:hAnsi="Times New Roman" w:cs="Times New Roman"/>
          <w:kern w:val="1"/>
        </w:rPr>
        <w:t xml:space="preserve">who </w:t>
      </w:r>
      <w:r w:rsidR="00D15FDD" w:rsidRPr="0097373B">
        <w:rPr>
          <w:rFonts w:ascii="Times New Roman" w:hAnsi="Times New Roman" w:cs="Times New Roman"/>
          <w:kern w:val="1"/>
        </w:rPr>
        <w:t xml:space="preserve">were </w:t>
      </w:r>
      <w:r w:rsidR="00B1055A" w:rsidRPr="0097373B">
        <w:rPr>
          <w:rFonts w:ascii="Times New Roman" w:hAnsi="Times New Roman" w:cs="Times New Roman"/>
          <w:kern w:val="1"/>
        </w:rPr>
        <w:t xml:space="preserve">4.7 </w:t>
      </w:r>
      <w:r w:rsidR="00D15FDD" w:rsidRPr="0097373B">
        <w:rPr>
          <w:rFonts w:ascii="Times New Roman" w:hAnsi="Times New Roman" w:cs="Times New Roman"/>
          <w:kern w:val="1"/>
        </w:rPr>
        <w:t xml:space="preserve">times </w:t>
      </w:r>
      <w:r w:rsidR="00B1055A" w:rsidRPr="0097373B">
        <w:rPr>
          <w:rFonts w:ascii="Times New Roman" w:hAnsi="Times New Roman" w:cs="Times New Roman"/>
          <w:kern w:val="1"/>
        </w:rPr>
        <w:t>more likely to develop knee OA compared to subjects with normal</w:t>
      </w:r>
      <w:r w:rsidRPr="0097373B">
        <w:rPr>
          <w:rFonts w:ascii="Times New Roman" w:hAnsi="Times New Roman" w:cs="Times New Roman"/>
          <w:kern w:val="1"/>
        </w:rPr>
        <w:t>-</w:t>
      </w:r>
      <w:r w:rsidR="00B1055A" w:rsidRPr="0097373B">
        <w:rPr>
          <w:rFonts w:ascii="Times New Roman" w:hAnsi="Times New Roman" w:cs="Times New Roman"/>
          <w:kern w:val="1"/>
        </w:rPr>
        <w:t xml:space="preserve">weight. </w:t>
      </w:r>
    </w:p>
    <w:p w14:paraId="7F8F1AB8" w14:textId="77777777" w:rsidR="00302358" w:rsidRPr="0097373B" w:rsidRDefault="00302358" w:rsidP="001D2514">
      <w:pPr>
        <w:widowControl w:val="0"/>
        <w:autoSpaceDE w:val="0"/>
        <w:autoSpaceDN w:val="0"/>
        <w:adjustRightInd w:val="0"/>
        <w:spacing w:line="480" w:lineRule="auto"/>
        <w:jc w:val="both"/>
        <w:rPr>
          <w:rFonts w:ascii="Times New Roman" w:hAnsi="Times New Roman" w:cs="Times New Roman"/>
          <w:kern w:val="1"/>
        </w:rPr>
      </w:pPr>
    </w:p>
    <w:p w14:paraId="29582D72" w14:textId="2EA82D45" w:rsidR="008D3125" w:rsidRPr="0097373B" w:rsidRDefault="00302358" w:rsidP="001D2514">
      <w:pPr>
        <w:widowControl w:val="0"/>
        <w:autoSpaceDE w:val="0"/>
        <w:autoSpaceDN w:val="0"/>
        <w:adjustRightInd w:val="0"/>
        <w:spacing w:line="480" w:lineRule="auto"/>
        <w:jc w:val="both"/>
        <w:rPr>
          <w:rFonts w:ascii="Times New Roman" w:hAnsi="Times New Roman" w:cs="Times New Roman"/>
          <w:b/>
          <w:kern w:val="1"/>
        </w:rPr>
      </w:pPr>
      <w:r w:rsidRPr="0097373B">
        <w:rPr>
          <w:rFonts w:ascii="Times New Roman" w:hAnsi="Times New Roman" w:cs="Times New Roman"/>
          <w:b/>
          <w:kern w:val="1"/>
        </w:rPr>
        <w:t>Strengths</w:t>
      </w:r>
      <w:r w:rsidR="008D3125" w:rsidRPr="0097373B">
        <w:rPr>
          <w:rFonts w:ascii="Times New Roman" w:hAnsi="Times New Roman" w:cs="Times New Roman"/>
          <w:b/>
          <w:kern w:val="1"/>
        </w:rPr>
        <w:t xml:space="preserve"> and weaknesses of the study: </w:t>
      </w:r>
    </w:p>
    <w:p w14:paraId="3D082AE3" w14:textId="5CBBF300" w:rsidR="0086754E" w:rsidRPr="0097373B" w:rsidRDefault="008D3125" w:rsidP="001D2514">
      <w:pPr>
        <w:widowControl w:val="0"/>
        <w:autoSpaceDE w:val="0"/>
        <w:autoSpaceDN w:val="0"/>
        <w:adjustRightInd w:val="0"/>
        <w:spacing w:line="480" w:lineRule="auto"/>
        <w:jc w:val="both"/>
        <w:rPr>
          <w:rFonts w:ascii="Times New Roman" w:hAnsi="Times New Roman" w:cs="Times New Roman"/>
          <w:kern w:val="1"/>
        </w:rPr>
      </w:pPr>
      <w:r w:rsidRPr="0097373B">
        <w:rPr>
          <w:rFonts w:ascii="Times New Roman" w:hAnsi="Times New Roman" w:cs="Times New Roman"/>
          <w:kern w:val="1"/>
        </w:rPr>
        <w:t xml:space="preserve">Our main strength is the large population included in this study, </w:t>
      </w:r>
      <w:r w:rsidR="004434D7" w:rsidRPr="0097373B">
        <w:rPr>
          <w:rFonts w:ascii="Times New Roman" w:hAnsi="Times New Roman" w:cs="Times New Roman"/>
          <w:kern w:val="1"/>
        </w:rPr>
        <w:t xml:space="preserve">which </w:t>
      </w:r>
      <w:r w:rsidRPr="0097373B">
        <w:rPr>
          <w:rFonts w:ascii="Times New Roman" w:hAnsi="Times New Roman" w:cs="Times New Roman"/>
          <w:kern w:val="1"/>
        </w:rPr>
        <w:t>allows us to easily extrapolate our results</w:t>
      </w:r>
      <w:r w:rsidR="004434D7" w:rsidRPr="0097373B">
        <w:rPr>
          <w:rFonts w:ascii="Times New Roman" w:hAnsi="Times New Roman" w:cs="Times New Roman"/>
          <w:kern w:val="1"/>
        </w:rPr>
        <w:t xml:space="preserve"> using a clinically relevant outcome</w:t>
      </w:r>
      <w:r w:rsidRPr="0097373B">
        <w:rPr>
          <w:rFonts w:ascii="Times New Roman" w:hAnsi="Times New Roman" w:cs="Times New Roman"/>
          <w:kern w:val="1"/>
        </w:rPr>
        <w:t xml:space="preserve">.  </w:t>
      </w:r>
      <w:r w:rsidR="00390F92" w:rsidRPr="0097373B">
        <w:rPr>
          <w:rFonts w:ascii="Times New Roman" w:hAnsi="Times New Roman" w:cs="Times New Roman"/>
          <w:kern w:val="1"/>
        </w:rPr>
        <w:t>Moreover, to our knowledge this is the first study to analyse the impact of obesity on osteoarthritis using routinely collected data from primary care. However</w:t>
      </w:r>
      <w:r w:rsidRPr="0097373B">
        <w:rPr>
          <w:rFonts w:ascii="Times New Roman" w:hAnsi="Times New Roman" w:cs="Times New Roman"/>
          <w:kern w:val="1"/>
        </w:rPr>
        <w:t>, this study must be also interpreted in the light of certain limitations; the main outcome was based on symptomatic OA and no information was collected regarding radiographic OA</w:t>
      </w:r>
      <w:r w:rsidR="00735F1A" w:rsidRPr="0097373B">
        <w:rPr>
          <w:rFonts w:ascii="Times New Roman" w:hAnsi="Times New Roman" w:cs="Times New Roman"/>
          <w:kern w:val="1"/>
        </w:rPr>
        <w:t>.</w:t>
      </w:r>
      <w:r w:rsidRPr="0097373B">
        <w:rPr>
          <w:rFonts w:ascii="Times New Roman" w:hAnsi="Times New Roman" w:cs="Times New Roman"/>
          <w:kern w:val="1"/>
        </w:rPr>
        <w:t xml:space="preserve"> </w:t>
      </w:r>
      <w:r w:rsidR="004434D7" w:rsidRPr="0097373B">
        <w:rPr>
          <w:rFonts w:ascii="Times New Roman" w:hAnsi="Times New Roman" w:cs="Times New Roman"/>
          <w:kern w:val="1"/>
        </w:rPr>
        <w:t>However, t</w:t>
      </w:r>
      <w:r w:rsidRPr="0097373B">
        <w:rPr>
          <w:rFonts w:ascii="Times New Roman" w:hAnsi="Times New Roman" w:cs="Times New Roman"/>
          <w:kern w:val="1"/>
        </w:rPr>
        <w:t xml:space="preserve">here is </w:t>
      </w:r>
      <w:r w:rsidR="004434D7" w:rsidRPr="0097373B">
        <w:rPr>
          <w:rFonts w:ascii="Times New Roman" w:hAnsi="Times New Roman" w:cs="Times New Roman"/>
          <w:kern w:val="1"/>
        </w:rPr>
        <w:t xml:space="preserve">strong </w:t>
      </w:r>
      <w:r w:rsidRPr="0097373B">
        <w:rPr>
          <w:rFonts w:ascii="Times New Roman" w:hAnsi="Times New Roman" w:cs="Times New Roman"/>
          <w:kern w:val="1"/>
        </w:rPr>
        <w:t xml:space="preserve">evidence that obesity </w:t>
      </w:r>
      <w:r w:rsidR="004434D7" w:rsidRPr="0097373B">
        <w:rPr>
          <w:rFonts w:ascii="Times New Roman" w:hAnsi="Times New Roman" w:cs="Times New Roman"/>
          <w:kern w:val="1"/>
        </w:rPr>
        <w:t xml:space="preserve">is associated </w:t>
      </w:r>
      <w:r w:rsidRPr="0097373B">
        <w:rPr>
          <w:rFonts w:ascii="Times New Roman" w:hAnsi="Times New Roman" w:cs="Times New Roman"/>
          <w:kern w:val="1"/>
        </w:rPr>
        <w:t>with radiographic OA</w:t>
      </w:r>
      <w:r w:rsidR="004434D7" w:rsidRPr="0097373B">
        <w:rPr>
          <w:rFonts w:ascii="Times New Roman" w:hAnsi="Times New Roman" w:cs="Times New Roman"/>
          <w:kern w:val="1"/>
        </w:rPr>
        <w:t xml:space="preserve"> </w:t>
      </w:r>
      <w:r w:rsidR="002407C9" w:rsidRPr="0097373B">
        <w:rPr>
          <w:rFonts w:ascii="Times New Roman" w:hAnsi="Times New Roman" w:cs="Times New Roman"/>
          <w:kern w:val="1"/>
        </w:rPr>
        <w:t>[7]</w:t>
      </w:r>
      <w:r w:rsidRPr="0097373B">
        <w:rPr>
          <w:rFonts w:ascii="Times New Roman" w:hAnsi="Times New Roman" w:cs="Times New Roman"/>
          <w:kern w:val="1"/>
        </w:rPr>
        <w:t xml:space="preserve">, </w:t>
      </w:r>
      <w:r w:rsidR="004434D7" w:rsidRPr="0097373B">
        <w:rPr>
          <w:rFonts w:ascii="Times New Roman" w:hAnsi="Times New Roman" w:cs="Times New Roman"/>
          <w:kern w:val="1"/>
        </w:rPr>
        <w:t xml:space="preserve">which suggests that our results would remain unchanged. </w:t>
      </w:r>
      <w:r w:rsidRPr="0097373B">
        <w:rPr>
          <w:rFonts w:ascii="Times New Roman" w:hAnsi="Times New Roman" w:cs="Times New Roman"/>
          <w:kern w:val="1"/>
        </w:rPr>
        <w:t xml:space="preserve">Moreover, </w:t>
      </w:r>
      <w:r w:rsidR="00882551" w:rsidRPr="0097373B">
        <w:rPr>
          <w:rFonts w:ascii="Times New Roman" w:hAnsi="Times New Roman" w:cs="Times New Roman"/>
          <w:kern w:val="1"/>
        </w:rPr>
        <w:t xml:space="preserve">SIDIAP does not contain information on the </w:t>
      </w:r>
      <w:r w:rsidR="00063743" w:rsidRPr="0097373B">
        <w:rPr>
          <w:rFonts w:ascii="Times New Roman" w:hAnsi="Times New Roman" w:cs="Times New Roman"/>
          <w:kern w:val="1"/>
        </w:rPr>
        <w:t xml:space="preserve">side </w:t>
      </w:r>
      <w:r w:rsidRPr="0097373B">
        <w:rPr>
          <w:rFonts w:ascii="Times New Roman" w:hAnsi="Times New Roman" w:cs="Times New Roman"/>
          <w:kern w:val="1"/>
        </w:rPr>
        <w:t xml:space="preserve">of the joint affected </w:t>
      </w:r>
      <w:r w:rsidR="00882551" w:rsidRPr="0097373B">
        <w:rPr>
          <w:rFonts w:ascii="Times New Roman" w:hAnsi="Times New Roman" w:cs="Times New Roman"/>
          <w:kern w:val="1"/>
        </w:rPr>
        <w:t>(</w:t>
      </w:r>
      <w:r w:rsidRPr="0097373B">
        <w:rPr>
          <w:rFonts w:ascii="Times New Roman" w:hAnsi="Times New Roman" w:cs="Times New Roman"/>
          <w:kern w:val="1"/>
        </w:rPr>
        <w:t>joint site (eg, knee) was considered as a</w:t>
      </w:r>
      <w:r w:rsidR="00604C07" w:rsidRPr="0097373B">
        <w:rPr>
          <w:rFonts w:ascii="Times New Roman" w:hAnsi="Times New Roman" w:cs="Times New Roman"/>
          <w:kern w:val="1"/>
        </w:rPr>
        <w:t xml:space="preserve"> </w:t>
      </w:r>
      <w:r w:rsidRPr="0097373B">
        <w:rPr>
          <w:rFonts w:ascii="Times New Roman" w:hAnsi="Times New Roman" w:cs="Times New Roman"/>
          <w:kern w:val="1"/>
        </w:rPr>
        <w:t>whole</w:t>
      </w:r>
      <w:r w:rsidR="00882551" w:rsidRPr="0097373B">
        <w:rPr>
          <w:rFonts w:ascii="Times New Roman" w:hAnsi="Times New Roman" w:cs="Times New Roman"/>
          <w:kern w:val="1"/>
        </w:rPr>
        <w:t xml:space="preserve"> and nearly </w:t>
      </w:r>
      <w:r w:rsidR="00AA69F4" w:rsidRPr="0097373B">
        <w:rPr>
          <w:rFonts w:ascii="Times New Roman" w:hAnsi="Times New Roman" w:cs="Times New Roman"/>
          <w:kern w:val="1"/>
        </w:rPr>
        <w:t>46% of the</w:t>
      </w:r>
      <w:r w:rsidR="00882551" w:rsidRPr="0097373B">
        <w:rPr>
          <w:rFonts w:ascii="Times New Roman" w:hAnsi="Times New Roman" w:cs="Times New Roman"/>
          <w:kern w:val="1"/>
        </w:rPr>
        <w:t xml:space="preserve"> subjects had missing information on their BMI</w:t>
      </w:r>
      <w:r w:rsidRPr="0097373B">
        <w:rPr>
          <w:rFonts w:ascii="Times New Roman" w:hAnsi="Times New Roman" w:cs="Times New Roman"/>
          <w:kern w:val="1"/>
        </w:rPr>
        <w:t>.</w:t>
      </w:r>
      <w:r w:rsidR="00BE4641" w:rsidRPr="0097373B">
        <w:rPr>
          <w:rFonts w:ascii="Times New Roman" w:hAnsi="Times New Roman" w:cs="Times New Roman"/>
          <w:kern w:val="1"/>
        </w:rPr>
        <w:t xml:space="preserve"> The mi</w:t>
      </w:r>
      <w:r w:rsidR="004D386D" w:rsidRPr="0097373B">
        <w:rPr>
          <w:rFonts w:ascii="Times New Roman" w:hAnsi="Times New Roman" w:cs="Times New Roman"/>
          <w:kern w:val="1"/>
        </w:rPr>
        <w:t>ssing</w:t>
      </w:r>
      <w:r w:rsidR="00BE4641" w:rsidRPr="0097373B">
        <w:rPr>
          <w:rFonts w:ascii="Times New Roman" w:hAnsi="Times New Roman" w:cs="Times New Roman"/>
          <w:kern w:val="1"/>
        </w:rPr>
        <w:t xml:space="preserve"> BMI could be a source of bias, however the BMI registration in Spain is</w:t>
      </w:r>
      <w:r w:rsidR="0086754E" w:rsidRPr="0097373B">
        <w:rPr>
          <w:rFonts w:ascii="Times New Roman" w:hAnsi="Times New Roman" w:cs="Times New Roman"/>
          <w:kern w:val="1"/>
        </w:rPr>
        <w:t xml:space="preserve"> part of the </w:t>
      </w:r>
      <w:r w:rsidR="0086754E" w:rsidRPr="0097373B">
        <w:rPr>
          <w:rFonts w:ascii="Times New Roman" w:hAnsi="Times New Roman" w:cs="Times New Roman"/>
          <w:kern w:val="1"/>
        </w:rPr>
        <w:lastRenderedPageBreak/>
        <w:t xml:space="preserve">recommended health check programme called PAPPs required by the government </w:t>
      </w:r>
      <w:r w:rsidR="00BE4641" w:rsidRPr="0097373B">
        <w:rPr>
          <w:rFonts w:ascii="Times New Roman" w:hAnsi="Times New Roman" w:cs="Times New Roman"/>
          <w:kern w:val="1"/>
        </w:rPr>
        <w:t>in order to give funding to the primary health cares</w:t>
      </w:r>
      <w:r w:rsidR="0086754E" w:rsidRPr="0097373B">
        <w:rPr>
          <w:rFonts w:ascii="Times New Roman" w:hAnsi="Times New Roman" w:cs="Times New Roman"/>
          <w:kern w:val="1"/>
        </w:rPr>
        <w:t xml:space="preserve"> [</w:t>
      </w:r>
      <w:r w:rsidR="002407C9" w:rsidRPr="0097373B">
        <w:rPr>
          <w:rFonts w:ascii="Times New Roman" w:hAnsi="Times New Roman" w:cs="Times New Roman"/>
          <w:kern w:val="1"/>
        </w:rPr>
        <w:t>16</w:t>
      </w:r>
      <w:r w:rsidR="0086754E" w:rsidRPr="0097373B">
        <w:rPr>
          <w:rFonts w:ascii="Times New Roman" w:hAnsi="Times New Roman" w:cs="Times New Roman"/>
          <w:kern w:val="1"/>
        </w:rPr>
        <w:t>]</w:t>
      </w:r>
      <w:r w:rsidR="004D386D" w:rsidRPr="0097373B">
        <w:rPr>
          <w:rFonts w:ascii="Times New Roman" w:hAnsi="Times New Roman" w:cs="Times New Roman"/>
          <w:kern w:val="1"/>
        </w:rPr>
        <w:t>, hence it is</w:t>
      </w:r>
      <w:r w:rsidR="00BE4641" w:rsidRPr="0097373B">
        <w:rPr>
          <w:rFonts w:ascii="Times New Roman" w:hAnsi="Times New Roman" w:cs="Times New Roman"/>
          <w:kern w:val="1"/>
        </w:rPr>
        <w:t xml:space="preserve"> not always linked to a more pathological population</w:t>
      </w:r>
      <w:r w:rsidR="004D386D" w:rsidRPr="0097373B">
        <w:rPr>
          <w:rFonts w:ascii="Times New Roman" w:hAnsi="Times New Roman" w:cs="Times New Roman"/>
          <w:kern w:val="1"/>
        </w:rPr>
        <w:t xml:space="preserve"> but maybe to a population that more frequently uses primary health care resources.</w:t>
      </w:r>
      <w:r w:rsidR="005E0F87" w:rsidRPr="0097373B">
        <w:rPr>
          <w:rFonts w:ascii="Times New Roman" w:hAnsi="Times New Roman" w:cs="Times New Roman"/>
          <w:kern w:val="1"/>
        </w:rPr>
        <w:t xml:space="preserve"> Moreover, we compared the BMI distribution of the population in our study with another large national study carried out in Spain, where the trends of the BMI were analysed on over 11,000 subjects and found similar percentages of obesity between 2008-2010 [</w:t>
      </w:r>
      <w:r w:rsidR="002407C9" w:rsidRPr="0097373B">
        <w:rPr>
          <w:rFonts w:ascii="Times New Roman" w:hAnsi="Times New Roman" w:cs="Times New Roman"/>
          <w:kern w:val="1"/>
        </w:rPr>
        <w:t>17</w:t>
      </w:r>
      <w:r w:rsidR="005E0F87" w:rsidRPr="0097373B">
        <w:rPr>
          <w:rFonts w:ascii="Times New Roman" w:hAnsi="Times New Roman" w:cs="Times New Roman"/>
          <w:kern w:val="1"/>
        </w:rPr>
        <w:t xml:space="preserve">], witch reinforces the representativeness of our population. Conversely, we analysed </w:t>
      </w:r>
      <w:r w:rsidR="00AD5F2F" w:rsidRPr="0097373B">
        <w:rPr>
          <w:rFonts w:ascii="Times New Roman" w:hAnsi="Times New Roman" w:cs="Times New Roman"/>
          <w:kern w:val="1"/>
        </w:rPr>
        <w:t>the IR of knee, hip and hand OA in those subjects with missing BMI and</w:t>
      </w:r>
      <w:r w:rsidR="005E0F87" w:rsidRPr="0097373B">
        <w:rPr>
          <w:rFonts w:ascii="Times New Roman" w:hAnsi="Times New Roman" w:cs="Times New Roman"/>
          <w:kern w:val="1"/>
        </w:rPr>
        <w:t xml:space="preserve"> </w:t>
      </w:r>
      <w:r w:rsidR="00AD5F2F" w:rsidRPr="0097373B">
        <w:rPr>
          <w:rFonts w:ascii="Times New Roman" w:hAnsi="Times New Roman" w:cs="Times New Roman"/>
          <w:kern w:val="1"/>
        </w:rPr>
        <w:t>found a lower IR of OA in this population (Unadjusted IR 2.98 per 1000persons-year for knee, IR 1.03 per 1000 persons-year for hip and IR 1.33 per 1000 persons-year for hand OA</w:t>
      </w:r>
      <w:r w:rsidR="005E0F87" w:rsidRPr="0097373B">
        <w:rPr>
          <w:rFonts w:ascii="Times New Roman" w:hAnsi="Times New Roman" w:cs="Times New Roman"/>
          <w:kern w:val="1"/>
        </w:rPr>
        <w:t xml:space="preserve">), </w:t>
      </w:r>
      <w:r w:rsidR="00AD5F2F" w:rsidRPr="0097373B">
        <w:rPr>
          <w:rFonts w:ascii="Times New Roman" w:hAnsi="Times New Roman" w:cs="Times New Roman"/>
          <w:kern w:val="1"/>
        </w:rPr>
        <w:t>although we do not think that this</w:t>
      </w:r>
      <w:r w:rsidR="00616F00" w:rsidRPr="0097373B">
        <w:rPr>
          <w:rFonts w:ascii="Times New Roman" w:hAnsi="Times New Roman" w:cs="Times New Roman"/>
          <w:kern w:val="1"/>
        </w:rPr>
        <w:t xml:space="preserve"> invalidates</w:t>
      </w:r>
      <w:r w:rsidR="00AD5F2F" w:rsidRPr="0097373B">
        <w:rPr>
          <w:rFonts w:ascii="Times New Roman" w:hAnsi="Times New Roman" w:cs="Times New Roman"/>
          <w:kern w:val="1"/>
        </w:rPr>
        <w:t xml:space="preserve"> the association between BMI and O</w:t>
      </w:r>
      <w:r w:rsidR="00616F00" w:rsidRPr="0097373B">
        <w:rPr>
          <w:rFonts w:ascii="Times New Roman" w:hAnsi="Times New Roman" w:cs="Times New Roman"/>
          <w:kern w:val="1"/>
        </w:rPr>
        <w:t xml:space="preserve">A at the different sites found in this study, </w:t>
      </w:r>
      <w:r w:rsidR="005E0F87" w:rsidRPr="0097373B">
        <w:rPr>
          <w:rFonts w:ascii="Times New Roman" w:hAnsi="Times New Roman" w:cs="Times New Roman"/>
          <w:kern w:val="1"/>
        </w:rPr>
        <w:t>this</w:t>
      </w:r>
      <w:r w:rsidR="00616F00" w:rsidRPr="0097373B">
        <w:rPr>
          <w:rFonts w:ascii="Times New Roman" w:hAnsi="Times New Roman" w:cs="Times New Roman"/>
          <w:kern w:val="1"/>
        </w:rPr>
        <w:t xml:space="preserve"> may limit its representativeness. </w:t>
      </w:r>
      <w:r w:rsidR="005653CD" w:rsidRPr="0097373B">
        <w:rPr>
          <w:rFonts w:ascii="Times New Roman" w:hAnsi="Times New Roman" w:cs="Times New Roman"/>
          <w:kern w:val="1"/>
        </w:rPr>
        <w:t xml:space="preserve">Another limitation to be considered is the lack of information on incident overweight subjects during the study period; the information on BMI relied on the available data on the SIDIAP database and given that periodic BMI registering is quite uncommon we were not able to account for this. </w:t>
      </w:r>
    </w:p>
    <w:p w14:paraId="36D441CF" w14:textId="5D09035A" w:rsidR="008D3125" w:rsidRPr="0097373B" w:rsidRDefault="008D3125" w:rsidP="001D2514">
      <w:pPr>
        <w:widowControl w:val="0"/>
        <w:autoSpaceDE w:val="0"/>
        <w:autoSpaceDN w:val="0"/>
        <w:adjustRightInd w:val="0"/>
        <w:spacing w:line="480" w:lineRule="auto"/>
        <w:jc w:val="both"/>
        <w:rPr>
          <w:rFonts w:ascii="Times New Roman" w:hAnsi="Times New Roman" w:cs="Times New Roman"/>
          <w:kern w:val="1"/>
        </w:rPr>
      </w:pPr>
      <w:r w:rsidRPr="0097373B">
        <w:rPr>
          <w:rFonts w:ascii="Times New Roman" w:hAnsi="Times New Roman" w:cs="Times New Roman"/>
          <w:kern w:val="1"/>
        </w:rPr>
        <w:t xml:space="preserve">Despite </w:t>
      </w:r>
      <w:r w:rsidR="00063743" w:rsidRPr="0097373B">
        <w:rPr>
          <w:rFonts w:ascii="Times New Roman" w:hAnsi="Times New Roman" w:cs="Times New Roman"/>
          <w:kern w:val="1"/>
        </w:rPr>
        <w:t xml:space="preserve">previous validation of the data collected in the SIDAP database, </w:t>
      </w:r>
      <w:r w:rsidRPr="0097373B">
        <w:rPr>
          <w:rFonts w:ascii="Times New Roman" w:hAnsi="Times New Roman" w:cs="Times New Roman"/>
          <w:kern w:val="1"/>
        </w:rPr>
        <w:t>[13]</w:t>
      </w:r>
      <w:r w:rsidR="00CF12CB" w:rsidRPr="0097373B">
        <w:rPr>
          <w:rFonts w:ascii="Times New Roman" w:hAnsi="Times New Roman" w:cs="Times New Roman"/>
          <w:kern w:val="1"/>
        </w:rPr>
        <w:t xml:space="preserve"> and due to the retrospective nature of this study,</w:t>
      </w:r>
      <w:r w:rsidRPr="0097373B">
        <w:rPr>
          <w:rFonts w:ascii="Times New Roman" w:hAnsi="Times New Roman" w:cs="Times New Roman"/>
          <w:kern w:val="1"/>
        </w:rPr>
        <w:t xml:space="preserve"> the possibility of </w:t>
      </w:r>
      <w:r w:rsidR="00302358" w:rsidRPr="0097373B">
        <w:rPr>
          <w:rFonts w:ascii="Times New Roman" w:hAnsi="Times New Roman" w:cs="Times New Roman"/>
          <w:kern w:val="1"/>
        </w:rPr>
        <w:t>misclassification</w:t>
      </w:r>
      <w:r w:rsidR="00CF12CB" w:rsidRPr="0097373B">
        <w:rPr>
          <w:rFonts w:ascii="Times New Roman" w:hAnsi="Times New Roman" w:cs="Times New Roman"/>
          <w:kern w:val="1"/>
        </w:rPr>
        <w:t xml:space="preserve"> and registration</w:t>
      </w:r>
      <w:r w:rsidR="00063743" w:rsidRPr="0097373B">
        <w:rPr>
          <w:rFonts w:ascii="Times New Roman" w:hAnsi="Times New Roman" w:cs="Times New Roman"/>
          <w:kern w:val="1"/>
        </w:rPr>
        <w:t xml:space="preserve"> bias</w:t>
      </w:r>
      <w:r w:rsidR="00CF12CB" w:rsidRPr="0097373B">
        <w:rPr>
          <w:rFonts w:ascii="Times New Roman" w:hAnsi="Times New Roman" w:cs="Times New Roman"/>
          <w:kern w:val="1"/>
        </w:rPr>
        <w:t>es</w:t>
      </w:r>
      <w:r w:rsidR="00302358" w:rsidRPr="0097373B">
        <w:rPr>
          <w:rFonts w:ascii="Times New Roman" w:hAnsi="Times New Roman" w:cs="Times New Roman"/>
          <w:kern w:val="1"/>
        </w:rPr>
        <w:t xml:space="preserve"> should be considered</w:t>
      </w:r>
      <w:r w:rsidRPr="0097373B">
        <w:rPr>
          <w:rFonts w:ascii="Times New Roman" w:hAnsi="Times New Roman" w:cs="Times New Roman"/>
          <w:kern w:val="1"/>
        </w:rPr>
        <w:t>.</w:t>
      </w:r>
      <w:r w:rsidR="00AD5F2F" w:rsidRPr="0097373B">
        <w:rPr>
          <w:rFonts w:ascii="Times New Roman" w:hAnsi="Times New Roman" w:cs="Times New Roman"/>
          <w:kern w:val="1"/>
        </w:rPr>
        <w:t xml:space="preserve"> </w:t>
      </w:r>
      <w:r w:rsidRPr="0097373B">
        <w:rPr>
          <w:rFonts w:ascii="Times New Roman" w:hAnsi="Times New Roman" w:cs="Times New Roman"/>
          <w:kern w:val="1"/>
        </w:rPr>
        <w:t xml:space="preserve">Finally, </w:t>
      </w:r>
      <w:r w:rsidR="002D1A9F" w:rsidRPr="0097373B">
        <w:rPr>
          <w:rFonts w:ascii="Times New Roman" w:hAnsi="Times New Roman" w:cs="Times New Roman"/>
          <w:kern w:val="1"/>
        </w:rPr>
        <w:t xml:space="preserve">we did not collect information on </w:t>
      </w:r>
      <w:r w:rsidR="00063743" w:rsidRPr="0097373B">
        <w:rPr>
          <w:rFonts w:ascii="Times New Roman" w:hAnsi="Times New Roman" w:cs="Times New Roman"/>
          <w:kern w:val="1"/>
        </w:rPr>
        <w:t>occupation</w:t>
      </w:r>
      <w:r w:rsidR="00390F92" w:rsidRPr="0097373B">
        <w:rPr>
          <w:rFonts w:ascii="Times New Roman" w:hAnsi="Times New Roman" w:cs="Times New Roman"/>
          <w:kern w:val="1"/>
        </w:rPr>
        <w:t xml:space="preserve">, </w:t>
      </w:r>
      <w:r w:rsidR="002D1A9F" w:rsidRPr="0097373B">
        <w:rPr>
          <w:rFonts w:ascii="Times New Roman" w:hAnsi="Times New Roman" w:cs="Times New Roman"/>
          <w:kern w:val="1"/>
        </w:rPr>
        <w:t>physical</w:t>
      </w:r>
      <w:r w:rsidR="00882551" w:rsidRPr="0097373B">
        <w:rPr>
          <w:rFonts w:ascii="Times New Roman" w:hAnsi="Times New Roman" w:cs="Times New Roman"/>
          <w:kern w:val="1"/>
        </w:rPr>
        <w:t xml:space="preserve"> </w:t>
      </w:r>
      <w:r w:rsidR="00063743" w:rsidRPr="0097373B">
        <w:rPr>
          <w:rFonts w:ascii="Times New Roman" w:hAnsi="Times New Roman" w:cs="Times New Roman"/>
          <w:kern w:val="1"/>
        </w:rPr>
        <w:t>activity</w:t>
      </w:r>
      <w:r w:rsidR="00390F92" w:rsidRPr="0097373B">
        <w:rPr>
          <w:rFonts w:ascii="Times New Roman" w:hAnsi="Times New Roman" w:cs="Times New Roman"/>
          <w:kern w:val="1"/>
        </w:rPr>
        <w:t xml:space="preserve"> or previous injuries</w:t>
      </w:r>
      <w:r w:rsidR="00590EE4" w:rsidRPr="0097373B">
        <w:rPr>
          <w:rFonts w:ascii="Times New Roman" w:hAnsi="Times New Roman" w:cs="Times New Roman"/>
          <w:kern w:val="1"/>
        </w:rPr>
        <w:t xml:space="preserve">, which </w:t>
      </w:r>
      <w:r w:rsidRPr="0097373B">
        <w:rPr>
          <w:rFonts w:ascii="Times New Roman" w:hAnsi="Times New Roman" w:cs="Times New Roman"/>
          <w:kern w:val="1"/>
        </w:rPr>
        <w:t xml:space="preserve">could </w:t>
      </w:r>
      <w:r w:rsidR="002D1A9F" w:rsidRPr="0097373B">
        <w:rPr>
          <w:rFonts w:ascii="Times New Roman" w:hAnsi="Times New Roman" w:cs="Times New Roman"/>
          <w:kern w:val="1"/>
        </w:rPr>
        <w:t>have influenced our results</w:t>
      </w:r>
      <w:r w:rsidR="00063743" w:rsidRPr="0097373B">
        <w:rPr>
          <w:rFonts w:ascii="Times New Roman" w:hAnsi="Times New Roman" w:cs="Times New Roman"/>
          <w:kern w:val="1"/>
        </w:rPr>
        <w:t>. Previous studies have shown a</w:t>
      </w:r>
      <w:r w:rsidR="00A04229" w:rsidRPr="0097373B">
        <w:rPr>
          <w:rFonts w:ascii="Times New Roman" w:hAnsi="Times New Roman" w:cs="Times New Roman"/>
          <w:kern w:val="1"/>
        </w:rPr>
        <w:t>n</w:t>
      </w:r>
      <w:r w:rsidR="00063743" w:rsidRPr="0097373B">
        <w:rPr>
          <w:rFonts w:ascii="Times New Roman" w:hAnsi="Times New Roman" w:cs="Times New Roman"/>
          <w:kern w:val="1"/>
        </w:rPr>
        <w:t xml:space="preserve"> </w:t>
      </w:r>
      <w:r w:rsidR="00A04229" w:rsidRPr="0097373B">
        <w:rPr>
          <w:rFonts w:ascii="Times New Roman" w:hAnsi="Times New Roman" w:cs="Times New Roman"/>
          <w:kern w:val="1"/>
        </w:rPr>
        <w:t>increased risk with</w:t>
      </w:r>
      <w:r w:rsidR="00063743" w:rsidRPr="0097373B">
        <w:rPr>
          <w:rFonts w:ascii="Times New Roman" w:hAnsi="Times New Roman" w:cs="Times New Roman"/>
          <w:kern w:val="1"/>
        </w:rPr>
        <w:t xml:space="preserve"> manual </w:t>
      </w:r>
      <w:r w:rsidR="008F4D60" w:rsidRPr="0097373B">
        <w:rPr>
          <w:rFonts w:ascii="Times New Roman" w:hAnsi="Times New Roman" w:cs="Times New Roman"/>
          <w:kern w:val="1"/>
        </w:rPr>
        <w:t>labour</w:t>
      </w:r>
      <w:r w:rsidR="00063743" w:rsidRPr="0097373B">
        <w:rPr>
          <w:rFonts w:ascii="Times New Roman" w:hAnsi="Times New Roman" w:cs="Times New Roman"/>
          <w:kern w:val="1"/>
        </w:rPr>
        <w:t xml:space="preserve"> occupations and OA </w:t>
      </w:r>
      <w:r w:rsidR="009D729F" w:rsidRPr="0097373B">
        <w:rPr>
          <w:rFonts w:ascii="Times New Roman" w:hAnsi="Times New Roman" w:cs="Times New Roman"/>
          <w:kern w:val="1"/>
        </w:rPr>
        <w:t>[</w:t>
      </w:r>
      <w:r w:rsidR="00BF3664" w:rsidRPr="0097373B">
        <w:rPr>
          <w:rFonts w:ascii="Times New Roman" w:hAnsi="Times New Roman" w:cs="Times New Roman"/>
          <w:kern w:val="1"/>
        </w:rPr>
        <w:t>18</w:t>
      </w:r>
      <w:r w:rsidR="002C3C02" w:rsidRPr="0097373B">
        <w:rPr>
          <w:rFonts w:ascii="Times New Roman" w:hAnsi="Times New Roman" w:cs="Times New Roman"/>
          <w:kern w:val="1"/>
        </w:rPr>
        <w:t>]</w:t>
      </w:r>
      <w:r w:rsidR="00063743" w:rsidRPr="0097373B">
        <w:rPr>
          <w:rFonts w:ascii="Times New Roman" w:hAnsi="Times New Roman" w:cs="Times New Roman"/>
          <w:kern w:val="1"/>
        </w:rPr>
        <w:t xml:space="preserve">, while physical activity has been found to have an unclear association with OA </w:t>
      </w:r>
      <w:r w:rsidR="002C3C02" w:rsidRPr="0097373B">
        <w:rPr>
          <w:rFonts w:ascii="Times New Roman" w:hAnsi="Times New Roman" w:cs="Times New Roman"/>
          <w:kern w:val="1"/>
        </w:rPr>
        <w:t>[</w:t>
      </w:r>
      <w:r w:rsidR="002D1A9F" w:rsidRPr="0097373B">
        <w:rPr>
          <w:rFonts w:ascii="Times New Roman" w:hAnsi="Times New Roman" w:cs="Times New Roman"/>
          <w:kern w:val="1"/>
        </w:rPr>
        <w:t xml:space="preserve">6] </w:t>
      </w:r>
    </w:p>
    <w:p w14:paraId="2BCFE899" w14:textId="31C2EAEE" w:rsidR="008D3125" w:rsidRPr="0097373B" w:rsidRDefault="008D3125" w:rsidP="001D2514">
      <w:pPr>
        <w:widowControl w:val="0"/>
        <w:autoSpaceDE w:val="0"/>
        <w:autoSpaceDN w:val="0"/>
        <w:adjustRightInd w:val="0"/>
        <w:spacing w:line="480" w:lineRule="auto"/>
        <w:jc w:val="both"/>
        <w:rPr>
          <w:rFonts w:ascii="Times New Roman" w:hAnsi="Times New Roman" w:cs="Times New Roman"/>
          <w:b/>
          <w:kern w:val="1"/>
        </w:rPr>
      </w:pPr>
      <w:r w:rsidRPr="0097373B">
        <w:rPr>
          <w:rFonts w:ascii="Times New Roman" w:hAnsi="Times New Roman" w:cs="Times New Roman"/>
          <w:b/>
          <w:kern w:val="1"/>
        </w:rPr>
        <w:t>Strength and weaknesses in relation with other studies</w:t>
      </w:r>
    </w:p>
    <w:p w14:paraId="44BFD6EB" w14:textId="1631722A" w:rsidR="00886EA9" w:rsidRPr="0097373B" w:rsidRDefault="00E91811" w:rsidP="001D2514">
      <w:pPr>
        <w:widowControl w:val="0"/>
        <w:autoSpaceDE w:val="0"/>
        <w:autoSpaceDN w:val="0"/>
        <w:adjustRightInd w:val="0"/>
        <w:spacing w:line="480" w:lineRule="auto"/>
        <w:jc w:val="both"/>
        <w:rPr>
          <w:rFonts w:ascii="Times New Roman" w:hAnsi="Times New Roman" w:cs="Times New Roman"/>
          <w:kern w:val="1"/>
        </w:rPr>
      </w:pPr>
      <w:r w:rsidRPr="0097373B">
        <w:rPr>
          <w:rFonts w:ascii="Times New Roman" w:hAnsi="Times New Roman" w:cs="Times New Roman"/>
          <w:kern w:val="1"/>
        </w:rPr>
        <w:t>Overweight and obesity have been previous</w:t>
      </w:r>
      <w:r w:rsidR="004877C0" w:rsidRPr="0097373B">
        <w:rPr>
          <w:rFonts w:ascii="Times New Roman" w:hAnsi="Times New Roman" w:cs="Times New Roman"/>
          <w:kern w:val="1"/>
        </w:rPr>
        <w:t xml:space="preserve">ly identified as </w:t>
      </w:r>
      <w:r w:rsidR="00FB6EFD" w:rsidRPr="0097373B">
        <w:rPr>
          <w:rFonts w:ascii="Times New Roman" w:hAnsi="Times New Roman" w:cs="Times New Roman"/>
          <w:kern w:val="1"/>
        </w:rPr>
        <w:t xml:space="preserve">a </w:t>
      </w:r>
      <w:r w:rsidR="004877C0" w:rsidRPr="0097373B">
        <w:rPr>
          <w:rFonts w:ascii="Times New Roman" w:hAnsi="Times New Roman" w:cs="Times New Roman"/>
          <w:kern w:val="1"/>
        </w:rPr>
        <w:t xml:space="preserve">risk factor for developing </w:t>
      </w:r>
      <w:r w:rsidRPr="0097373B">
        <w:rPr>
          <w:rFonts w:ascii="Times New Roman" w:hAnsi="Times New Roman" w:cs="Times New Roman"/>
          <w:kern w:val="1"/>
        </w:rPr>
        <w:t>OA. T</w:t>
      </w:r>
      <w:r w:rsidR="0072677C" w:rsidRPr="0097373B">
        <w:rPr>
          <w:rFonts w:ascii="Times New Roman" w:hAnsi="Times New Roman" w:cs="Times New Roman"/>
          <w:kern w:val="1"/>
        </w:rPr>
        <w:t xml:space="preserve">his </w:t>
      </w:r>
      <w:r w:rsidR="0072677C" w:rsidRPr="0097373B">
        <w:rPr>
          <w:rFonts w:ascii="Times New Roman" w:hAnsi="Times New Roman" w:cs="Times New Roman"/>
          <w:kern w:val="1"/>
        </w:rPr>
        <w:lastRenderedPageBreak/>
        <w:t>association has been</w:t>
      </w:r>
      <w:r w:rsidR="000353D3" w:rsidRPr="0097373B">
        <w:rPr>
          <w:rFonts w:ascii="Times New Roman" w:hAnsi="Times New Roman" w:cs="Times New Roman"/>
          <w:kern w:val="1"/>
        </w:rPr>
        <w:t xml:space="preserve"> especially</w:t>
      </w:r>
      <w:r w:rsidR="0072677C" w:rsidRPr="0097373B">
        <w:rPr>
          <w:rFonts w:ascii="Times New Roman" w:hAnsi="Times New Roman" w:cs="Times New Roman"/>
          <w:kern w:val="1"/>
        </w:rPr>
        <w:t xml:space="preserve"> reported </w:t>
      </w:r>
      <w:r w:rsidR="00427058" w:rsidRPr="0097373B">
        <w:rPr>
          <w:rFonts w:ascii="Times New Roman" w:hAnsi="Times New Roman" w:cs="Times New Roman"/>
          <w:kern w:val="1"/>
        </w:rPr>
        <w:t xml:space="preserve">for </w:t>
      </w:r>
      <w:r w:rsidR="004877C0" w:rsidRPr="0097373B">
        <w:rPr>
          <w:rFonts w:ascii="Times New Roman" w:hAnsi="Times New Roman" w:cs="Times New Roman"/>
          <w:kern w:val="1"/>
        </w:rPr>
        <w:t>kn</w:t>
      </w:r>
      <w:r w:rsidR="00427058" w:rsidRPr="0097373B">
        <w:rPr>
          <w:rFonts w:ascii="Times New Roman" w:hAnsi="Times New Roman" w:cs="Times New Roman"/>
          <w:kern w:val="1"/>
        </w:rPr>
        <w:t>ee</w:t>
      </w:r>
      <w:r w:rsidR="00376761" w:rsidRPr="0097373B">
        <w:rPr>
          <w:rFonts w:ascii="Times New Roman" w:hAnsi="Times New Roman" w:cs="Times New Roman"/>
          <w:kern w:val="1"/>
        </w:rPr>
        <w:t xml:space="preserve"> </w:t>
      </w:r>
      <w:r w:rsidR="00427058" w:rsidRPr="0097373B">
        <w:rPr>
          <w:rFonts w:ascii="Times New Roman" w:hAnsi="Times New Roman" w:cs="Times New Roman"/>
          <w:kern w:val="1"/>
        </w:rPr>
        <w:t>[4-</w:t>
      </w:r>
      <w:r w:rsidR="00ED265F" w:rsidRPr="0097373B">
        <w:rPr>
          <w:rFonts w:ascii="Times New Roman" w:hAnsi="Times New Roman" w:cs="Times New Roman"/>
          <w:kern w:val="1"/>
        </w:rPr>
        <w:t>8</w:t>
      </w:r>
      <w:r w:rsidR="0072677C" w:rsidRPr="0097373B">
        <w:rPr>
          <w:rFonts w:ascii="Times New Roman" w:hAnsi="Times New Roman" w:cs="Times New Roman"/>
          <w:kern w:val="1"/>
        </w:rPr>
        <w:t>]</w:t>
      </w:r>
      <w:r w:rsidR="00E8572B" w:rsidRPr="0097373B">
        <w:rPr>
          <w:rFonts w:ascii="Times New Roman" w:hAnsi="Times New Roman" w:cs="Times New Roman"/>
          <w:kern w:val="1"/>
        </w:rPr>
        <w:t xml:space="preserve"> and </w:t>
      </w:r>
      <w:r w:rsidR="00ED265F" w:rsidRPr="0097373B">
        <w:rPr>
          <w:rFonts w:ascii="Times New Roman" w:hAnsi="Times New Roman" w:cs="Times New Roman"/>
          <w:kern w:val="1"/>
        </w:rPr>
        <w:t>hand OA</w:t>
      </w:r>
      <w:r w:rsidR="00D67F9E" w:rsidRPr="0097373B">
        <w:rPr>
          <w:rFonts w:ascii="Times New Roman" w:hAnsi="Times New Roman" w:cs="Times New Roman"/>
          <w:kern w:val="1"/>
        </w:rPr>
        <w:t xml:space="preserve"> </w:t>
      </w:r>
      <w:r w:rsidR="00ED265F" w:rsidRPr="0097373B">
        <w:rPr>
          <w:rFonts w:ascii="Times New Roman" w:hAnsi="Times New Roman" w:cs="Times New Roman"/>
          <w:kern w:val="1"/>
        </w:rPr>
        <w:t>[10]</w:t>
      </w:r>
      <w:r w:rsidR="00376761" w:rsidRPr="0097373B">
        <w:rPr>
          <w:rFonts w:ascii="Times New Roman" w:hAnsi="Times New Roman" w:cs="Times New Roman"/>
          <w:kern w:val="1"/>
        </w:rPr>
        <w:t>,</w:t>
      </w:r>
      <w:r w:rsidR="00E13669" w:rsidRPr="0097373B">
        <w:rPr>
          <w:rFonts w:ascii="Times New Roman" w:hAnsi="Times New Roman" w:cs="Times New Roman"/>
          <w:kern w:val="1"/>
        </w:rPr>
        <w:t xml:space="preserve"> with</w:t>
      </w:r>
      <w:r w:rsidR="000353D3" w:rsidRPr="0097373B">
        <w:rPr>
          <w:rFonts w:ascii="Times New Roman" w:hAnsi="Times New Roman" w:cs="Times New Roman"/>
          <w:kern w:val="1"/>
        </w:rPr>
        <w:t xml:space="preserve"> more inconsistent results</w:t>
      </w:r>
      <w:r w:rsidR="007F71C7" w:rsidRPr="0097373B">
        <w:rPr>
          <w:rFonts w:ascii="Times New Roman" w:hAnsi="Times New Roman" w:cs="Times New Roman"/>
          <w:kern w:val="1"/>
        </w:rPr>
        <w:t xml:space="preserve"> </w:t>
      </w:r>
      <w:r w:rsidR="00E13669" w:rsidRPr="0097373B">
        <w:rPr>
          <w:rFonts w:ascii="Times New Roman" w:hAnsi="Times New Roman" w:cs="Times New Roman"/>
          <w:kern w:val="1"/>
        </w:rPr>
        <w:t>for</w:t>
      </w:r>
      <w:r w:rsidR="0072677C" w:rsidRPr="0097373B">
        <w:rPr>
          <w:rFonts w:ascii="Times New Roman" w:hAnsi="Times New Roman" w:cs="Times New Roman"/>
          <w:kern w:val="1"/>
        </w:rPr>
        <w:t xml:space="preserve"> </w:t>
      </w:r>
      <w:r w:rsidR="00F563DC" w:rsidRPr="0097373B">
        <w:rPr>
          <w:rFonts w:ascii="Times New Roman" w:hAnsi="Times New Roman" w:cs="Times New Roman"/>
          <w:kern w:val="1"/>
        </w:rPr>
        <w:t xml:space="preserve">hip </w:t>
      </w:r>
      <w:r w:rsidR="00ED265F" w:rsidRPr="0097373B">
        <w:rPr>
          <w:rFonts w:ascii="Times New Roman" w:hAnsi="Times New Roman" w:cs="Times New Roman"/>
          <w:kern w:val="1"/>
        </w:rPr>
        <w:t>OA</w:t>
      </w:r>
      <w:r w:rsidR="00427058" w:rsidRPr="0097373B">
        <w:rPr>
          <w:rFonts w:ascii="Times New Roman" w:hAnsi="Times New Roman" w:cs="Times New Roman"/>
          <w:kern w:val="1"/>
        </w:rPr>
        <w:t xml:space="preserve"> [</w:t>
      </w:r>
      <w:r w:rsidR="001A444E" w:rsidRPr="0097373B">
        <w:rPr>
          <w:rFonts w:ascii="Times New Roman" w:hAnsi="Times New Roman" w:cs="Times New Roman"/>
          <w:kern w:val="1"/>
        </w:rPr>
        <w:t>6,</w:t>
      </w:r>
      <w:r w:rsidR="00427058" w:rsidRPr="0097373B">
        <w:rPr>
          <w:rFonts w:ascii="Times New Roman" w:hAnsi="Times New Roman" w:cs="Times New Roman"/>
          <w:kern w:val="1"/>
        </w:rPr>
        <w:t>7</w:t>
      </w:r>
      <w:r w:rsidR="00ED265F" w:rsidRPr="0097373B">
        <w:rPr>
          <w:rFonts w:ascii="Times New Roman" w:hAnsi="Times New Roman" w:cs="Times New Roman"/>
          <w:kern w:val="1"/>
        </w:rPr>
        <w:t>,8</w:t>
      </w:r>
      <w:r w:rsidR="00427058" w:rsidRPr="0097373B">
        <w:rPr>
          <w:rFonts w:ascii="Times New Roman" w:hAnsi="Times New Roman" w:cs="Times New Roman"/>
          <w:kern w:val="1"/>
        </w:rPr>
        <w:t>,</w:t>
      </w:r>
      <w:r w:rsidR="00ED265F" w:rsidRPr="0097373B">
        <w:rPr>
          <w:rFonts w:ascii="Times New Roman" w:hAnsi="Times New Roman" w:cs="Times New Roman"/>
          <w:kern w:val="1"/>
        </w:rPr>
        <w:t>11</w:t>
      </w:r>
      <w:r w:rsidR="0072677C" w:rsidRPr="0097373B">
        <w:rPr>
          <w:rFonts w:ascii="Times New Roman" w:hAnsi="Times New Roman" w:cs="Times New Roman"/>
          <w:kern w:val="1"/>
        </w:rPr>
        <w:t xml:space="preserve">]. </w:t>
      </w:r>
      <w:r w:rsidR="007F71C7" w:rsidRPr="0097373B">
        <w:rPr>
          <w:rFonts w:ascii="Times New Roman" w:hAnsi="Times New Roman" w:cs="Times New Roman"/>
          <w:kern w:val="1"/>
        </w:rPr>
        <w:t>Our results confirm these previous finding</w:t>
      </w:r>
      <w:r w:rsidR="00FB6EFD" w:rsidRPr="0097373B">
        <w:rPr>
          <w:rFonts w:ascii="Times New Roman" w:hAnsi="Times New Roman" w:cs="Times New Roman"/>
          <w:kern w:val="1"/>
        </w:rPr>
        <w:t>s</w:t>
      </w:r>
      <w:r w:rsidR="007F71C7" w:rsidRPr="0097373B">
        <w:rPr>
          <w:rFonts w:ascii="Times New Roman" w:hAnsi="Times New Roman" w:cs="Times New Roman"/>
          <w:kern w:val="1"/>
        </w:rPr>
        <w:t xml:space="preserve"> for knee and hand OA and extend what has been previously </w:t>
      </w:r>
      <w:r w:rsidR="00E13669" w:rsidRPr="0097373B">
        <w:rPr>
          <w:rFonts w:ascii="Times New Roman" w:hAnsi="Times New Roman" w:cs="Times New Roman"/>
          <w:kern w:val="1"/>
        </w:rPr>
        <w:t>published</w:t>
      </w:r>
      <w:r w:rsidR="007F71C7" w:rsidRPr="0097373B">
        <w:rPr>
          <w:rFonts w:ascii="Times New Roman" w:hAnsi="Times New Roman" w:cs="Times New Roman"/>
          <w:kern w:val="1"/>
        </w:rPr>
        <w:t xml:space="preserve"> regarding hip OA</w:t>
      </w:r>
      <w:r w:rsidR="001F024D" w:rsidRPr="0097373B">
        <w:rPr>
          <w:rFonts w:ascii="Times New Roman" w:hAnsi="Times New Roman" w:cs="Times New Roman"/>
          <w:kern w:val="1"/>
        </w:rPr>
        <w:t xml:space="preserve"> [11]</w:t>
      </w:r>
      <w:r w:rsidR="00E301A3" w:rsidRPr="0097373B">
        <w:rPr>
          <w:rFonts w:ascii="Times New Roman" w:hAnsi="Times New Roman" w:cs="Times New Roman"/>
          <w:kern w:val="1"/>
        </w:rPr>
        <w:t xml:space="preserve">; compared to those subjects with normal-weight, our overweight and grade II obese population had </w:t>
      </w:r>
      <w:r w:rsidR="00590EE4" w:rsidRPr="0097373B">
        <w:rPr>
          <w:rFonts w:ascii="Times New Roman" w:hAnsi="Times New Roman" w:cs="Times New Roman"/>
          <w:kern w:val="1"/>
        </w:rPr>
        <w:t>a</w:t>
      </w:r>
      <w:r w:rsidR="00E13669" w:rsidRPr="0097373B">
        <w:rPr>
          <w:rFonts w:ascii="Times New Roman" w:hAnsi="Times New Roman" w:cs="Times New Roman"/>
          <w:kern w:val="1"/>
        </w:rPr>
        <w:t xml:space="preserve"> 46</w:t>
      </w:r>
      <w:r w:rsidR="00BE73CC" w:rsidRPr="0097373B">
        <w:rPr>
          <w:rFonts w:ascii="Times New Roman" w:hAnsi="Times New Roman" w:cs="Times New Roman"/>
          <w:kern w:val="1"/>
        </w:rPr>
        <w:t xml:space="preserve"> and a </w:t>
      </w:r>
      <w:r w:rsidR="00E13669" w:rsidRPr="0097373B">
        <w:rPr>
          <w:rFonts w:ascii="Times New Roman" w:hAnsi="Times New Roman" w:cs="Times New Roman"/>
          <w:kern w:val="1"/>
        </w:rPr>
        <w:t xml:space="preserve">93% excess risk of hip OA </w:t>
      </w:r>
      <w:r w:rsidR="00E301A3" w:rsidRPr="0097373B">
        <w:rPr>
          <w:rFonts w:ascii="Times New Roman" w:hAnsi="Times New Roman" w:cs="Times New Roman"/>
          <w:kern w:val="1"/>
        </w:rPr>
        <w:t>respectively</w:t>
      </w:r>
      <w:r w:rsidR="007F71C7" w:rsidRPr="0097373B">
        <w:rPr>
          <w:rFonts w:ascii="Times New Roman" w:hAnsi="Times New Roman" w:cs="Times New Roman"/>
          <w:kern w:val="1"/>
        </w:rPr>
        <w:t xml:space="preserve">. </w:t>
      </w:r>
      <w:r w:rsidR="00E301A3" w:rsidRPr="0097373B">
        <w:rPr>
          <w:rFonts w:ascii="Times New Roman" w:hAnsi="Times New Roman" w:cs="Times New Roman"/>
          <w:kern w:val="1"/>
        </w:rPr>
        <w:t xml:space="preserve">Some previous studies [6-8] did not find an association between BMI and hip OA which could be due to the </w:t>
      </w:r>
      <w:r w:rsidR="001F024D" w:rsidRPr="0097373B">
        <w:rPr>
          <w:rFonts w:ascii="Times New Roman" w:hAnsi="Times New Roman" w:cs="Times New Roman"/>
          <w:kern w:val="1"/>
        </w:rPr>
        <w:t>low number of subjects with hip OA included</w:t>
      </w:r>
      <w:r w:rsidR="00E301A3" w:rsidRPr="0097373B">
        <w:rPr>
          <w:rFonts w:ascii="Times New Roman" w:hAnsi="Times New Roman" w:cs="Times New Roman"/>
          <w:kern w:val="1"/>
        </w:rPr>
        <w:t xml:space="preserve"> (</w:t>
      </w:r>
      <w:r w:rsidR="001F024D" w:rsidRPr="0097373B">
        <w:rPr>
          <w:rFonts w:ascii="Times New Roman" w:hAnsi="Times New Roman" w:cs="Times New Roman"/>
          <w:kern w:val="1"/>
        </w:rPr>
        <w:t>compared to the 27,701 cases found in our population</w:t>
      </w:r>
      <w:r w:rsidR="00E301A3" w:rsidRPr="0097373B">
        <w:rPr>
          <w:rFonts w:ascii="Times New Roman" w:hAnsi="Times New Roman" w:cs="Times New Roman"/>
          <w:kern w:val="1"/>
        </w:rPr>
        <w:t>)</w:t>
      </w:r>
      <w:r w:rsidR="001F024D" w:rsidRPr="0097373B">
        <w:rPr>
          <w:rFonts w:ascii="Times New Roman" w:hAnsi="Times New Roman" w:cs="Times New Roman"/>
          <w:kern w:val="1"/>
        </w:rPr>
        <w:t xml:space="preserve">, </w:t>
      </w:r>
      <w:r w:rsidR="00E13669" w:rsidRPr="0097373B">
        <w:rPr>
          <w:rFonts w:ascii="Times New Roman" w:hAnsi="Times New Roman" w:cs="Times New Roman"/>
          <w:kern w:val="1"/>
        </w:rPr>
        <w:t xml:space="preserve">the </w:t>
      </w:r>
      <w:r w:rsidR="001F024D" w:rsidRPr="0097373B">
        <w:rPr>
          <w:rFonts w:ascii="Times New Roman" w:hAnsi="Times New Roman" w:cs="Times New Roman"/>
          <w:kern w:val="1"/>
        </w:rPr>
        <w:t>self-reported OA [6-7]</w:t>
      </w:r>
      <w:r w:rsidR="00E301A3" w:rsidRPr="0097373B">
        <w:rPr>
          <w:rFonts w:ascii="Times New Roman" w:hAnsi="Times New Roman" w:cs="Times New Roman"/>
          <w:kern w:val="1"/>
        </w:rPr>
        <w:t xml:space="preserve"> (compared to our routinely collected data by primary health care professionals)</w:t>
      </w:r>
      <w:r w:rsidR="001F024D" w:rsidRPr="0097373B">
        <w:rPr>
          <w:rFonts w:ascii="Times New Roman" w:hAnsi="Times New Roman" w:cs="Times New Roman"/>
          <w:kern w:val="1"/>
        </w:rPr>
        <w:t xml:space="preserve"> </w:t>
      </w:r>
      <w:r w:rsidR="00E301A3" w:rsidRPr="0097373B">
        <w:rPr>
          <w:rFonts w:ascii="Times New Roman" w:hAnsi="Times New Roman" w:cs="Times New Roman"/>
          <w:kern w:val="1"/>
        </w:rPr>
        <w:t>or</w:t>
      </w:r>
      <w:r w:rsidR="001F024D" w:rsidRPr="0097373B">
        <w:rPr>
          <w:rFonts w:ascii="Times New Roman" w:hAnsi="Times New Roman" w:cs="Times New Roman"/>
          <w:kern w:val="1"/>
        </w:rPr>
        <w:t xml:space="preserve"> </w:t>
      </w:r>
      <w:r w:rsidR="00E13669" w:rsidRPr="0097373B">
        <w:rPr>
          <w:rFonts w:ascii="Times New Roman" w:hAnsi="Times New Roman" w:cs="Times New Roman"/>
          <w:kern w:val="1"/>
        </w:rPr>
        <w:t xml:space="preserve">the </w:t>
      </w:r>
      <w:r w:rsidR="001F024D" w:rsidRPr="0097373B">
        <w:rPr>
          <w:rFonts w:ascii="Times New Roman" w:hAnsi="Times New Roman" w:cs="Times New Roman"/>
          <w:kern w:val="1"/>
        </w:rPr>
        <w:t>selection of a rather healthy and younger population [6-8]</w:t>
      </w:r>
      <w:r w:rsidR="00E301A3" w:rsidRPr="0097373B">
        <w:rPr>
          <w:rFonts w:ascii="Times New Roman" w:hAnsi="Times New Roman" w:cs="Times New Roman"/>
          <w:kern w:val="1"/>
        </w:rPr>
        <w:t xml:space="preserve">, leading to an </w:t>
      </w:r>
      <w:r w:rsidR="001F024D" w:rsidRPr="0097373B">
        <w:rPr>
          <w:rFonts w:ascii="Times New Roman" w:hAnsi="Times New Roman" w:cs="Times New Roman"/>
          <w:kern w:val="1"/>
        </w:rPr>
        <w:t>underestimat</w:t>
      </w:r>
      <w:r w:rsidR="00E301A3" w:rsidRPr="0097373B">
        <w:rPr>
          <w:rFonts w:ascii="Times New Roman" w:hAnsi="Times New Roman" w:cs="Times New Roman"/>
          <w:kern w:val="1"/>
        </w:rPr>
        <w:t>ion</w:t>
      </w:r>
      <w:r w:rsidR="00590EE4" w:rsidRPr="0097373B">
        <w:rPr>
          <w:rFonts w:ascii="Times New Roman" w:hAnsi="Times New Roman" w:cs="Times New Roman"/>
          <w:kern w:val="1"/>
        </w:rPr>
        <w:t xml:space="preserve"> </w:t>
      </w:r>
      <w:r w:rsidR="00FB6EFD" w:rsidRPr="0097373B">
        <w:rPr>
          <w:rFonts w:ascii="Times New Roman" w:hAnsi="Times New Roman" w:cs="Times New Roman"/>
          <w:kern w:val="1"/>
        </w:rPr>
        <w:t xml:space="preserve">of </w:t>
      </w:r>
      <w:r w:rsidR="00590EE4" w:rsidRPr="0097373B">
        <w:rPr>
          <w:rFonts w:ascii="Times New Roman" w:hAnsi="Times New Roman" w:cs="Times New Roman"/>
          <w:kern w:val="1"/>
        </w:rPr>
        <w:t>this association</w:t>
      </w:r>
      <w:r w:rsidR="001F024D" w:rsidRPr="0097373B">
        <w:rPr>
          <w:rFonts w:ascii="Times New Roman" w:hAnsi="Times New Roman" w:cs="Times New Roman"/>
          <w:kern w:val="1"/>
        </w:rPr>
        <w:t xml:space="preserve">. </w:t>
      </w:r>
      <w:r w:rsidR="00E301A3" w:rsidRPr="0097373B">
        <w:rPr>
          <w:rFonts w:ascii="Times New Roman" w:hAnsi="Times New Roman" w:cs="Times New Roman"/>
          <w:kern w:val="1"/>
        </w:rPr>
        <w:t xml:space="preserve">Among the studies that </w:t>
      </w:r>
      <w:r w:rsidR="00590EE4" w:rsidRPr="0097373B">
        <w:rPr>
          <w:rFonts w:ascii="Times New Roman" w:hAnsi="Times New Roman" w:cs="Times New Roman"/>
          <w:kern w:val="1"/>
        </w:rPr>
        <w:t xml:space="preserve">did </w:t>
      </w:r>
      <w:r w:rsidR="00E301A3" w:rsidRPr="0097373B">
        <w:rPr>
          <w:rFonts w:ascii="Times New Roman" w:hAnsi="Times New Roman" w:cs="Times New Roman"/>
          <w:kern w:val="1"/>
        </w:rPr>
        <w:t xml:space="preserve">analyze the association between obesity and OA </w:t>
      </w:r>
      <w:r w:rsidR="0019480C" w:rsidRPr="0097373B">
        <w:rPr>
          <w:rFonts w:ascii="Times New Roman" w:hAnsi="Times New Roman" w:cs="Times New Roman"/>
          <w:kern w:val="1"/>
        </w:rPr>
        <w:t>through a life-course approach [</w:t>
      </w:r>
      <w:r w:rsidR="00BF3664" w:rsidRPr="0097373B">
        <w:rPr>
          <w:rFonts w:ascii="Times New Roman" w:hAnsi="Times New Roman" w:cs="Times New Roman"/>
          <w:kern w:val="1"/>
        </w:rPr>
        <w:t>19-23</w:t>
      </w:r>
      <w:r w:rsidR="0019480C" w:rsidRPr="0097373B">
        <w:rPr>
          <w:rFonts w:ascii="Times New Roman" w:hAnsi="Times New Roman" w:cs="Times New Roman"/>
          <w:kern w:val="1"/>
        </w:rPr>
        <w:t>]</w:t>
      </w:r>
      <w:r w:rsidR="00E301A3" w:rsidRPr="0097373B">
        <w:rPr>
          <w:rFonts w:ascii="Times New Roman" w:hAnsi="Times New Roman" w:cs="Times New Roman"/>
          <w:kern w:val="1"/>
        </w:rPr>
        <w:t xml:space="preserve">, </w:t>
      </w:r>
      <w:r w:rsidR="001633B9" w:rsidRPr="0097373B">
        <w:rPr>
          <w:rFonts w:ascii="Times New Roman" w:hAnsi="Times New Roman" w:cs="Times New Roman"/>
          <w:kern w:val="1"/>
        </w:rPr>
        <w:t xml:space="preserve">early and middle adulthood </w:t>
      </w:r>
      <w:r w:rsidR="00E8572B" w:rsidRPr="0097373B">
        <w:rPr>
          <w:rFonts w:ascii="Times New Roman" w:hAnsi="Times New Roman" w:cs="Times New Roman"/>
          <w:kern w:val="1"/>
        </w:rPr>
        <w:t>[</w:t>
      </w:r>
      <w:r w:rsidR="00BF3664" w:rsidRPr="0097373B">
        <w:rPr>
          <w:rFonts w:ascii="Times New Roman" w:hAnsi="Times New Roman" w:cs="Times New Roman"/>
          <w:kern w:val="1"/>
        </w:rPr>
        <w:t>19</w:t>
      </w:r>
      <w:r w:rsidR="00380B05" w:rsidRPr="0097373B">
        <w:rPr>
          <w:rFonts w:ascii="Times New Roman" w:hAnsi="Times New Roman" w:cs="Times New Roman"/>
          <w:kern w:val="1"/>
        </w:rPr>
        <w:t>,</w:t>
      </w:r>
      <w:r w:rsidR="00BF3664" w:rsidRPr="0097373B">
        <w:rPr>
          <w:rFonts w:ascii="Times New Roman" w:hAnsi="Times New Roman" w:cs="Times New Roman"/>
          <w:kern w:val="1"/>
        </w:rPr>
        <w:t xml:space="preserve"> 20</w:t>
      </w:r>
      <w:r w:rsidR="00380B05" w:rsidRPr="0097373B">
        <w:rPr>
          <w:rFonts w:ascii="Times New Roman" w:hAnsi="Times New Roman" w:cs="Times New Roman"/>
          <w:kern w:val="1"/>
        </w:rPr>
        <w:t>,</w:t>
      </w:r>
      <w:r w:rsidR="00BF3664" w:rsidRPr="0097373B">
        <w:rPr>
          <w:rFonts w:ascii="Times New Roman" w:hAnsi="Times New Roman" w:cs="Times New Roman"/>
          <w:kern w:val="1"/>
        </w:rPr>
        <w:t xml:space="preserve"> 22</w:t>
      </w:r>
      <w:r w:rsidR="00E8572B" w:rsidRPr="0097373B">
        <w:rPr>
          <w:rFonts w:ascii="Times New Roman" w:hAnsi="Times New Roman" w:cs="Times New Roman"/>
          <w:kern w:val="1"/>
        </w:rPr>
        <w:t>,</w:t>
      </w:r>
      <w:r w:rsidR="00380B05" w:rsidRPr="0097373B">
        <w:rPr>
          <w:rFonts w:ascii="Times New Roman" w:hAnsi="Times New Roman" w:cs="Times New Roman"/>
          <w:kern w:val="1"/>
        </w:rPr>
        <w:t xml:space="preserve"> </w:t>
      </w:r>
      <w:r w:rsidR="00BF3664" w:rsidRPr="0097373B">
        <w:rPr>
          <w:rFonts w:ascii="Times New Roman" w:hAnsi="Times New Roman" w:cs="Times New Roman"/>
          <w:kern w:val="1"/>
        </w:rPr>
        <w:t>23</w:t>
      </w:r>
      <w:r w:rsidR="00E8572B" w:rsidRPr="0097373B">
        <w:rPr>
          <w:rFonts w:ascii="Times New Roman" w:hAnsi="Times New Roman" w:cs="Times New Roman"/>
          <w:kern w:val="1"/>
        </w:rPr>
        <w:t>] and up to the age of 60 years old [</w:t>
      </w:r>
      <w:r w:rsidR="00BF3664" w:rsidRPr="0097373B">
        <w:rPr>
          <w:rFonts w:ascii="Times New Roman" w:hAnsi="Times New Roman" w:cs="Times New Roman"/>
          <w:kern w:val="1"/>
        </w:rPr>
        <w:t>20</w:t>
      </w:r>
      <w:r w:rsidR="00E8572B" w:rsidRPr="0097373B">
        <w:rPr>
          <w:rFonts w:ascii="Times New Roman" w:hAnsi="Times New Roman" w:cs="Times New Roman"/>
          <w:kern w:val="1"/>
        </w:rPr>
        <w:t>,</w:t>
      </w:r>
      <w:r w:rsidR="00380B05" w:rsidRPr="0097373B">
        <w:rPr>
          <w:rFonts w:ascii="Times New Roman" w:hAnsi="Times New Roman" w:cs="Times New Roman"/>
          <w:kern w:val="1"/>
        </w:rPr>
        <w:t xml:space="preserve"> </w:t>
      </w:r>
      <w:r w:rsidR="00BF3664" w:rsidRPr="0097373B">
        <w:rPr>
          <w:rFonts w:ascii="Times New Roman" w:hAnsi="Times New Roman" w:cs="Times New Roman"/>
          <w:kern w:val="1"/>
        </w:rPr>
        <w:t>22</w:t>
      </w:r>
      <w:r w:rsidR="00E8572B" w:rsidRPr="0097373B">
        <w:rPr>
          <w:rFonts w:ascii="Times New Roman" w:hAnsi="Times New Roman" w:cs="Times New Roman"/>
          <w:kern w:val="1"/>
        </w:rPr>
        <w:t>,</w:t>
      </w:r>
      <w:r w:rsidR="00380B05" w:rsidRPr="0097373B">
        <w:rPr>
          <w:rFonts w:ascii="Times New Roman" w:hAnsi="Times New Roman" w:cs="Times New Roman"/>
          <w:kern w:val="1"/>
        </w:rPr>
        <w:t xml:space="preserve"> </w:t>
      </w:r>
      <w:r w:rsidR="00BF3664" w:rsidRPr="0097373B">
        <w:rPr>
          <w:rFonts w:ascii="Times New Roman" w:hAnsi="Times New Roman" w:cs="Times New Roman"/>
          <w:kern w:val="1"/>
        </w:rPr>
        <w:t>23</w:t>
      </w:r>
      <w:r w:rsidR="00E8572B" w:rsidRPr="0097373B">
        <w:rPr>
          <w:rFonts w:ascii="Times New Roman" w:hAnsi="Times New Roman" w:cs="Times New Roman"/>
          <w:kern w:val="1"/>
        </w:rPr>
        <w:t xml:space="preserve">] </w:t>
      </w:r>
      <w:r w:rsidR="0019480C" w:rsidRPr="0097373B">
        <w:rPr>
          <w:rFonts w:ascii="Times New Roman" w:hAnsi="Times New Roman" w:cs="Times New Roman"/>
          <w:kern w:val="1"/>
        </w:rPr>
        <w:t>were</w:t>
      </w:r>
      <w:r w:rsidR="001633B9" w:rsidRPr="0097373B">
        <w:rPr>
          <w:rFonts w:ascii="Times New Roman" w:hAnsi="Times New Roman" w:cs="Times New Roman"/>
          <w:kern w:val="1"/>
        </w:rPr>
        <w:t xml:space="preserve"> identified </w:t>
      </w:r>
      <w:r w:rsidR="00E8572B" w:rsidRPr="0097373B">
        <w:rPr>
          <w:rFonts w:ascii="Times New Roman" w:hAnsi="Times New Roman" w:cs="Times New Roman"/>
          <w:kern w:val="1"/>
        </w:rPr>
        <w:t>as periods in life where</w:t>
      </w:r>
      <w:r w:rsidR="00754444" w:rsidRPr="0097373B">
        <w:rPr>
          <w:rFonts w:ascii="Times New Roman" w:hAnsi="Times New Roman" w:cs="Times New Roman"/>
          <w:kern w:val="1"/>
        </w:rPr>
        <w:t xml:space="preserve"> there was</w:t>
      </w:r>
      <w:r w:rsidR="00E8572B" w:rsidRPr="0097373B">
        <w:rPr>
          <w:rFonts w:ascii="Times New Roman" w:hAnsi="Times New Roman" w:cs="Times New Roman"/>
          <w:kern w:val="1"/>
        </w:rPr>
        <w:t xml:space="preserve"> an </w:t>
      </w:r>
      <w:r w:rsidR="00754444" w:rsidRPr="0097373B">
        <w:rPr>
          <w:rFonts w:ascii="Times New Roman" w:hAnsi="Times New Roman" w:cs="Times New Roman"/>
          <w:kern w:val="1"/>
        </w:rPr>
        <w:t>excess</w:t>
      </w:r>
      <w:r w:rsidR="00E8572B" w:rsidRPr="0097373B">
        <w:rPr>
          <w:rFonts w:ascii="Times New Roman" w:hAnsi="Times New Roman" w:cs="Times New Roman"/>
          <w:kern w:val="1"/>
        </w:rPr>
        <w:t xml:space="preserve"> risk of OA for obese and overweight subjects. </w:t>
      </w:r>
      <w:r w:rsidR="009D729F" w:rsidRPr="0097373B">
        <w:rPr>
          <w:rFonts w:ascii="Times New Roman" w:hAnsi="Times New Roman" w:cs="Times New Roman"/>
          <w:kern w:val="1"/>
        </w:rPr>
        <w:t>Furthermore, another previous study based on data from the National Healt</w:t>
      </w:r>
      <w:r w:rsidR="00BF50C8" w:rsidRPr="0097373B">
        <w:rPr>
          <w:rFonts w:ascii="Times New Roman" w:hAnsi="Times New Roman" w:cs="Times New Roman"/>
          <w:kern w:val="1"/>
        </w:rPr>
        <w:t>h Interview Survey in the US [</w:t>
      </w:r>
      <w:r w:rsidR="00BF3664" w:rsidRPr="0097373B">
        <w:rPr>
          <w:rFonts w:ascii="Times New Roman" w:hAnsi="Times New Roman" w:cs="Times New Roman"/>
          <w:kern w:val="1"/>
        </w:rPr>
        <w:t>24</w:t>
      </w:r>
      <w:r w:rsidR="009D729F" w:rsidRPr="0097373B">
        <w:rPr>
          <w:rFonts w:ascii="Times New Roman" w:hAnsi="Times New Roman" w:cs="Times New Roman"/>
          <w:kern w:val="1"/>
        </w:rPr>
        <w:t xml:space="preserve">] found that the incidence of knee OA peaked in those subjects aged 55 to 64 years old and was higher among obese subjects. </w:t>
      </w:r>
      <w:r w:rsidR="001633B9" w:rsidRPr="0097373B">
        <w:rPr>
          <w:rFonts w:ascii="Times New Roman" w:hAnsi="Times New Roman" w:cs="Times New Roman"/>
          <w:kern w:val="1"/>
        </w:rPr>
        <w:t>Our results are consistent with these findings;</w:t>
      </w:r>
      <w:r w:rsidR="00886EA9" w:rsidRPr="0097373B">
        <w:rPr>
          <w:rFonts w:ascii="Times New Roman" w:hAnsi="Times New Roman" w:cs="Times New Roman"/>
          <w:kern w:val="1"/>
        </w:rPr>
        <w:t xml:space="preserve"> c</w:t>
      </w:r>
      <w:r w:rsidR="001633B9" w:rsidRPr="0097373B">
        <w:rPr>
          <w:rFonts w:ascii="Times New Roman" w:hAnsi="Times New Roman" w:cs="Times New Roman"/>
          <w:kern w:val="1"/>
        </w:rPr>
        <w:t>ompared</w:t>
      </w:r>
      <w:r w:rsidR="00A74DEF" w:rsidRPr="0097373B">
        <w:rPr>
          <w:rFonts w:ascii="Times New Roman" w:hAnsi="Times New Roman" w:cs="Times New Roman"/>
          <w:kern w:val="1"/>
        </w:rPr>
        <w:t xml:space="preserve"> to the </w:t>
      </w:r>
      <w:r w:rsidR="001633B9" w:rsidRPr="0097373B">
        <w:rPr>
          <w:rFonts w:ascii="Times New Roman" w:hAnsi="Times New Roman" w:cs="Times New Roman"/>
          <w:kern w:val="1"/>
        </w:rPr>
        <w:t>normal</w:t>
      </w:r>
      <w:r w:rsidR="00754444" w:rsidRPr="0097373B">
        <w:rPr>
          <w:rFonts w:ascii="Times New Roman" w:hAnsi="Times New Roman" w:cs="Times New Roman"/>
          <w:kern w:val="1"/>
        </w:rPr>
        <w:t>-</w:t>
      </w:r>
      <w:r w:rsidR="001633B9" w:rsidRPr="0097373B">
        <w:rPr>
          <w:rFonts w:ascii="Times New Roman" w:hAnsi="Times New Roman" w:cs="Times New Roman"/>
          <w:kern w:val="1"/>
        </w:rPr>
        <w:t xml:space="preserve">weight </w:t>
      </w:r>
      <w:r w:rsidR="008059A2" w:rsidRPr="0097373B">
        <w:rPr>
          <w:rFonts w:ascii="Times New Roman" w:hAnsi="Times New Roman" w:cs="Times New Roman"/>
          <w:kern w:val="1"/>
        </w:rPr>
        <w:t xml:space="preserve">subjects </w:t>
      </w:r>
      <w:r w:rsidR="00E8572B" w:rsidRPr="0097373B">
        <w:rPr>
          <w:rFonts w:ascii="Times New Roman" w:hAnsi="Times New Roman" w:cs="Times New Roman"/>
          <w:kern w:val="1"/>
        </w:rPr>
        <w:t>those with obesity</w:t>
      </w:r>
      <w:r w:rsidR="00590EE4" w:rsidRPr="0097373B">
        <w:rPr>
          <w:rFonts w:ascii="Times New Roman" w:hAnsi="Times New Roman" w:cs="Times New Roman"/>
          <w:kern w:val="1"/>
        </w:rPr>
        <w:t xml:space="preserve"> (grade I and II) </w:t>
      </w:r>
      <w:r w:rsidR="001633B9" w:rsidRPr="0097373B">
        <w:rPr>
          <w:rFonts w:ascii="Times New Roman" w:hAnsi="Times New Roman" w:cs="Times New Roman"/>
          <w:kern w:val="1"/>
        </w:rPr>
        <w:t xml:space="preserve">had an excess risk of OA that </w:t>
      </w:r>
      <w:r w:rsidR="00E2000C" w:rsidRPr="0097373B">
        <w:rPr>
          <w:rFonts w:ascii="Times New Roman" w:hAnsi="Times New Roman" w:cs="Times New Roman"/>
          <w:kern w:val="1"/>
        </w:rPr>
        <w:t xml:space="preserve">varied with age, </w:t>
      </w:r>
      <w:r w:rsidR="007C6539" w:rsidRPr="0097373B">
        <w:rPr>
          <w:rFonts w:ascii="Times New Roman" w:hAnsi="Times New Roman" w:cs="Times New Roman"/>
          <w:kern w:val="1"/>
        </w:rPr>
        <w:t xml:space="preserve">especially at the knee. </w:t>
      </w:r>
    </w:p>
    <w:p w14:paraId="49EF4EFF" w14:textId="77777777" w:rsidR="00BF3664" w:rsidRPr="0097373B" w:rsidRDefault="00BF3664" w:rsidP="001D2514">
      <w:pPr>
        <w:widowControl w:val="0"/>
        <w:autoSpaceDE w:val="0"/>
        <w:autoSpaceDN w:val="0"/>
        <w:adjustRightInd w:val="0"/>
        <w:spacing w:line="480" w:lineRule="auto"/>
        <w:jc w:val="both"/>
        <w:rPr>
          <w:rFonts w:ascii="Times New Roman" w:hAnsi="Times New Roman" w:cs="Times New Roman"/>
          <w:b/>
          <w:kern w:val="1"/>
        </w:rPr>
      </w:pPr>
    </w:p>
    <w:p w14:paraId="4962C0BC" w14:textId="239D31C7" w:rsidR="00215273" w:rsidRPr="0097373B" w:rsidRDefault="008D3125" w:rsidP="001D2514">
      <w:pPr>
        <w:widowControl w:val="0"/>
        <w:autoSpaceDE w:val="0"/>
        <w:autoSpaceDN w:val="0"/>
        <w:adjustRightInd w:val="0"/>
        <w:spacing w:line="480" w:lineRule="auto"/>
        <w:jc w:val="both"/>
        <w:rPr>
          <w:rFonts w:ascii="Times New Roman" w:hAnsi="Times New Roman" w:cs="Times New Roman"/>
          <w:b/>
          <w:kern w:val="1"/>
        </w:rPr>
      </w:pPr>
      <w:r w:rsidRPr="0097373B">
        <w:rPr>
          <w:rFonts w:ascii="Times New Roman" w:hAnsi="Times New Roman" w:cs="Times New Roman"/>
          <w:b/>
          <w:kern w:val="1"/>
        </w:rPr>
        <w:t xml:space="preserve">Meaning of the study and </w:t>
      </w:r>
      <w:r w:rsidR="00886EA9" w:rsidRPr="0097373B">
        <w:rPr>
          <w:rFonts w:ascii="Times New Roman" w:hAnsi="Times New Roman" w:cs="Times New Roman"/>
          <w:b/>
          <w:kern w:val="1"/>
        </w:rPr>
        <w:t>i</w:t>
      </w:r>
      <w:r w:rsidR="00215273" w:rsidRPr="0097373B">
        <w:rPr>
          <w:rFonts w:ascii="Times New Roman" w:hAnsi="Times New Roman" w:cs="Times New Roman"/>
          <w:b/>
          <w:kern w:val="1"/>
        </w:rPr>
        <w:t xml:space="preserve">mplications of current findings: </w:t>
      </w:r>
    </w:p>
    <w:p w14:paraId="33F384FE" w14:textId="65A86E9E" w:rsidR="00754444" w:rsidRPr="0097373B" w:rsidRDefault="00215273" w:rsidP="001D2514">
      <w:pPr>
        <w:widowControl w:val="0"/>
        <w:autoSpaceDE w:val="0"/>
        <w:autoSpaceDN w:val="0"/>
        <w:adjustRightInd w:val="0"/>
        <w:spacing w:line="480" w:lineRule="auto"/>
        <w:jc w:val="both"/>
        <w:rPr>
          <w:rFonts w:ascii="Times New Roman" w:hAnsi="Times New Roman" w:cs="Times New Roman"/>
          <w:kern w:val="1"/>
        </w:rPr>
      </w:pPr>
      <w:r w:rsidRPr="0097373B">
        <w:rPr>
          <w:rFonts w:ascii="Times New Roman" w:hAnsi="Times New Roman" w:cs="Times New Roman"/>
          <w:kern w:val="1"/>
        </w:rPr>
        <w:t xml:space="preserve">Obesity is </w:t>
      </w:r>
      <w:r w:rsidR="008035D1" w:rsidRPr="0097373B">
        <w:rPr>
          <w:rFonts w:ascii="Times New Roman" w:hAnsi="Times New Roman" w:cs="Times New Roman"/>
          <w:kern w:val="1"/>
        </w:rPr>
        <w:t xml:space="preserve">a modifiable risk factor and </w:t>
      </w:r>
      <w:r w:rsidR="00874216" w:rsidRPr="0097373B">
        <w:rPr>
          <w:rFonts w:ascii="Times New Roman" w:hAnsi="Times New Roman" w:cs="Times New Roman"/>
          <w:kern w:val="1"/>
        </w:rPr>
        <w:t>correctly identifying the population with a higher risk of OA</w:t>
      </w:r>
      <w:r w:rsidR="00C755B4" w:rsidRPr="0097373B">
        <w:rPr>
          <w:rFonts w:ascii="Times New Roman" w:hAnsi="Times New Roman" w:cs="Times New Roman"/>
          <w:kern w:val="1"/>
        </w:rPr>
        <w:t xml:space="preserve">, such as the one identified by our study, </w:t>
      </w:r>
      <w:r w:rsidR="00874216" w:rsidRPr="0097373B">
        <w:rPr>
          <w:rFonts w:ascii="Times New Roman" w:hAnsi="Times New Roman" w:cs="Times New Roman"/>
          <w:kern w:val="1"/>
        </w:rPr>
        <w:t xml:space="preserve">could help </w:t>
      </w:r>
      <w:r w:rsidR="00F217AD" w:rsidRPr="0097373B">
        <w:rPr>
          <w:rFonts w:ascii="Times New Roman" w:hAnsi="Times New Roman" w:cs="Times New Roman"/>
          <w:kern w:val="1"/>
        </w:rPr>
        <w:t>prevention strategies</w:t>
      </w:r>
      <w:r w:rsidR="00874216" w:rsidRPr="0097373B">
        <w:rPr>
          <w:rFonts w:ascii="Times New Roman" w:hAnsi="Times New Roman" w:cs="Times New Roman"/>
          <w:kern w:val="1"/>
        </w:rPr>
        <w:t xml:space="preserve"> to</w:t>
      </w:r>
      <w:r w:rsidR="00F217AD" w:rsidRPr="0097373B">
        <w:rPr>
          <w:rFonts w:ascii="Times New Roman" w:hAnsi="Times New Roman" w:cs="Times New Roman"/>
          <w:kern w:val="1"/>
        </w:rPr>
        <w:t xml:space="preserve"> reduce the symptomatology or even the future progression of OA</w:t>
      </w:r>
      <w:r w:rsidR="0019480C" w:rsidRPr="0097373B">
        <w:rPr>
          <w:rFonts w:ascii="Times New Roman" w:hAnsi="Times New Roman" w:cs="Times New Roman"/>
          <w:kern w:val="1"/>
        </w:rPr>
        <w:t xml:space="preserve">. </w:t>
      </w:r>
      <w:r w:rsidR="006B3231" w:rsidRPr="0097373B">
        <w:rPr>
          <w:rFonts w:ascii="Times New Roman" w:hAnsi="Times New Roman" w:cs="Times New Roman"/>
          <w:kern w:val="1"/>
        </w:rPr>
        <w:t>Despite</w:t>
      </w:r>
      <w:r w:rsidR="0019480C" w:rsidRPr="0097373B">
        <w:rPr>
          <w:rFonts w:ascii="Times New Roman" w:hAnsi="Times New Roman" w:cs="Times New Roman"/>
          <w:kern w:val="1"/>
        </w:rPr>
        <w:t xml:space="preserve"> that</w:t>
      </w:r>
      <w:r w:rsidR="006B3231" w:rsidRPr="0097373B">
        <w:rPr>
          <w:rFonts w:ascii="Times New Roman" w:hAnsi="Times New Roman" w:cs="Times New Roman"/>
          <w:kern w:val="1"/>
        </w:rPr>
        <w:t xml:space="preserve"> interventions aiming to reduce the clinical outcomes of OA have proven to be effective [</w:t>
      </w:r>
      <w:r w:rsidR="00BF3664" w:rsidRPr="0097373B">
        <w:rPr>
          <w:rFonts w:ascii="Times New Roman" w:hAnsi="Times New Roman" w:cs="Times New Roman"/>
          <w:kern w:val="1"/>
        </w:rPr>
        <w:t>25,26</w:t>
      </w:r>
      <w:r w:rsidR="00E25765" w:rsidRPr="0097373B">
        <w:rPr>
          <w:rFonts w:ascii="Times New Roman" w:hAnsi="Times New Roman" w:cs="Times New Roman"/>
          <w:kern w:val="1"/>
        </w:rPr>
        <w:t>]</w:t>
      </w:r>
      <w:r w:rsidR="006B3231" w:rsidRPr="0097373B">
        <w:rPr>
          <w:rFonts w:ascii="Times New Roman" w:hAnsi="Times New Roman" w:cs="Times New Roman"/>
          <w:kern w:val="1"/>
        </w:rPr>
        <w:t xml:space="preserve">, changes in peoples </w:t>
      </w:r>
      <w:r w:rsidR="006B3231" w:rsidRPr="0097373B">
        <w:rPr>
          <w:rFonts w:ascii="Times New Roman" w:hAnsi="Times New Roman" w:cs="Times New Roman"/>
          <w:kern w:val="1"/>
        </w:rPr>
        <w:lastRenderedPageBreak/>
        <w:t>lifestyles and habits are not easy to implement.</w:t>
      </w:r>
      <w:r w:rsidR="00C755B4" w:rsidRPr="0097373B">
        <w:rPr>
          <w:rFonts w:ascii="Times New Roman" w:hAnsi="Times New Roman" w:cs="Times New Roman"/>
          <w:kern w:val="1"/>
        </w:rPr>
        <w:t xml:space="preserve"> </w:t>
      </w:r>
      <w:r w:rsidR="00FB6EFD" w:rsidRPr="0097373B">
        <w:rPr>
          <w:rFonts w:ascii="Times New Roman" w:hAnsi="Times New Roman" w:cs="Times New Roman"/>
          <w:kern w:val="1"/>
        </w:rPr>
        <w:t>B</w:t>
      </w:r>
      <w:r w:rsidR="006B3231" w:rsidRPr="0097373B">
        <w:rPr>
          <w:rFonts w:ascii="Times New Roman" w:hAnsi="Times New Roman" w:cs="Times New Roman"/>
          <w:kern w:val="1"/>
        </w:rPr>
        <w:t xml:space="preserve">y identifying the age </w:t>
      </w:r>
      <w:r w:rsidR="00FB6EFD" w:rsidRPr="0097373B">
        <w:rPr>
          <w:rFonts w:ascii="Times New Roman" w:hAnsi="Times New Roman" w:cs="Times New Roman"/>
          <w:kern w:val="1"/>
        </w:rPr>
        <w:t xml:space="preserve">at </w:t>
      </w:r>
      <w:r w:rsidR="006B3231" w:rsidRPr="0097373B">
        <w:rPr>
          <w:rFonts w:ascii="Times New Roman" w:hAnsi="Times New Roman" w:cs="Times New Roman"/>
          <w:kern w:val="1"/>
        </w:rPr>
        <w:t>w</w:t>
      </w:r>
      <w:r w:rsidR="00FB6EFD" w:rsidRPr="0097373B">
        <w:rPr>
          <w:rFonts w:ascii="Times New Roman" w:hAnsi="Times New Roman" w:cs="Times New Roman"/>
          <w:kern w:val="1"/>
        </w:rPr>
        <w:t>h</w:t>
      </w:r>
      <w:r w:rsidR="006B3231" w:rsidRPr="0097373B">
        <w:rPr>
          <w:rFonts w:ascii="Times New Roman" w:hAnsi="Times New Roman" w:cs="Times New Roman"/>
          <w:kern w:val="1"/>
        </w:rPr>
        <w:t xml:space="preserve">ich obesity would </w:t>
      </w:r>
      <w:r w:rsidR="00FB6EFD" w:rsidRPr="0097373B">
        <w:rPr>
          <w:rFonts w:ascii="Times New Roman" w:hAnsi="Times New Roman" w:cs="Times New Roman"/>
          <w:kern w:val="1"/>
        </w:rPr>
        <w:t xml:space="preserve">more seriously influence the risk of </w:t>
      </w:r>
      <w:r w:rsidR="006B3231" w:rsidRPr="0097373B">
        <w:rPr>
          <w:rFonts w:ascii="Times New Roman" w:hAnsi="Times New Roman" w:cs="Times New Roman"/>
          <w:kern w:val="1"/>
        </w:rPr>
        <w:t>OA</w:t>
      </w:r>
      <w:r w:rsidR="00FB6EFD" w:rsidRPr="0097373B">
        <w:rPr>
          <w:rFonts w:ascii="Times New Roman" w:hAnsi="Times New Roman" w:cs="Times New Roman"/>
          <w:kern w:val="1"/>
        </w:rPr>
        <w:t>, healthcare providers could focus prevention strategies on a narrower target population (</w:t>
      </w:r>
      <w:r w:rsidR="00706ACB" w:rsidRPr="0097373B">
        <w:rPr>
          <w:rFonts w:ascii="Times New Roman" w:hAnsi="Times New Roman" w:cs="Times New Roman"/>
          <w:kern w:val="1"/>
        </w:rPr>
        <w:t>i.e</w:t>
      </w:r>
      <w:r w:rsidR="00DF71CA" w:rsidRPr="0097373B">
        <w:rPr>
          <w:rFonts w:ascii="Times New Roman" w:hAnsi="Times New Roman" w:cs="Times New Roman"/>
          <w:kern w:val="1"/>
        </w:rPr>
        <w:t xml:space="preserve">. </w:t>
      </w:r>
      <w:r w:rsidR="00FB6EFD" w:rsidRPr="0097373B">
        <w:rPr>
          <w:rFonts w:ascii="Times New Roman" w:hAnsi="Times New Roman" w:cs="Times New Roman"/>
          <w:kern w:val="1"/>
        </w:rPr>
        <w:t>middle adulthood)</w:t>
      </w:r>
      <w:r w:rsidR="00DF71CA" w:rsidRPr="0097373B">
        <w:rPr>
          <w:rFonts w:ascii="Times New Roman" w:hAnsi="Times New Roman" w:cs="Times New Roman"/>
          <w:kern w:val="1"/>
        </w:rPr>
        <w:t xml:space="preserve">. </w:t>
      </w:r>
    </w:p>
    <w:p w14:paraId="61BC614D" w14:textId="77777777" w:rsidR="00886EA9" w:rsidRPr="0097373B" w:rsidRDefault="00886EA9" w:rsidP="001D2514">
      <w:pPr>
        <w:widowControl w:val="0"/>
        <w:autoSpaceDE w:val="0"/>
        <w:autoSpaceDN w:val="0"/>
        <w:adjustRightInd w:val="0"/>
        <w:spacing w:line="480" w:lineRule="auto"/>
        <w:jc w:val="both"/>
        <w:rPr>
          <w:rFonts w:ascii="Times New Roman" w:hAnsi="Times New Roman" w:cs="Times New Roman"/>
          <w:kern w:val="1"/>
        </w:rPr>
      </w:pPr>
    </w:p>
    <w:p w14:paraId="11DCA9A9" w14:textId="518B5D5F" w:rsidR="008D3125" w:rsidRPr="0097373B" w:rsidRDefault="008D3125" w:rsidP="001D2514">
      <w:pPr>
        <w:widowControl w:val="0"/>
        <w:autoSpaceDE w:val="0"/>
        <w:autoSpaceDN w:val="0"/>
        <w:adjustRightInd w:val="0"/>
        <w:spacing w:line="480" w:lineRule="auto"/>
        <w:jc w:val="both"/>
        <w:rPr>
          <w:rFonts w:ascii="Times New Roman" w:hAnsi="Times New Roman" w:cs="Times New Roman"/>
          <w:b/>
          <w:kern w:val="1"/>
        </w:rPr>
      </w:pPr>
      <w:r w:rsidRPr="0097373B">
        <w:rPr>
          <w:rFonts w:ascii="Times New Roman" w:hAnsi="Times New Roman" w:cs="Times New Roman"/>
          <w:b/>
          <w:kern w:val="1"/>
        </w:rPr>
        <w:t>Unanswered questions and future research</w:t>
      </w:r>
    </w:p>
    <w:p w14:paraId="592FE32F" w14:textId="263B341C" w:rsidR="00163196" w:rsidRPr="0097373B" w:rsidRDefault="00886EA9" w:rsidP="001D2514">
      <w:pPr>
        <w:widowControl w:val="0"/>
        <w:autoSpaceDE w:val="0"/>
        <w:autoSpaceDN w:val="0"/>
        <w:adjustRightInd w:val="0"/>
        <w:spacing w:line="480" w:lineRule="auto"/>
        <w:jc w:val="both"/>
        <w:rPr>
          <w:rFonts w:ascii="Times New Roman" w:hAnsi="Times New Roman" w:cs="Times New Roman"/>
          <w:b/>
          <w:kern w:val="1"/>
        </w:rPr>
      </w:pPr>
      <w:r w:rsidRPr="0097373B">
        <w:rPr>
          <w:rFonts w:ascii="Times New Roman" w:hAnsi="Times New Roman" w:cs="Times New Roman"/>
          <w:kern w:val="1"/>
        </w:rPr>
        <w:t>The mechanism through which obesity increases the risk of OA</w:t>
      </w:r>
      <w:r w:rsidR="00186F87" w:rsidRPr="0097373B">
        <w:rPr>
          <w:rFonts w:ascii="Times New Roman" w:hAnsi="Times New Roman" w:cs="Times New Roman"/>
          <w:kern w:val="1"/>
        </w:rPr>
        <w:t xml:space="preserve"> </w:t>
      </w:r>
      <w:r w:rsidR="00587C3D" w:rsidRPr="0097373B">
        <w:rPr>
          <w:rFonts w:ascii="Times New Roman" w:hAnsi="Times New Roman" w:cs="Times New Roman"/>
          <w:kern w:val="1"/>
        </w:rPr>
        <w:t xml:space="preserve">has not yet been fully elucidated and </w:t>
      </w:r>
      <w:r w:rsidRPr="0097373B">
        <w:rPr>
          <w:rFonts w:ascii="Times New Roman" w:hAnsi="Times New Roman" w:cs="Times New Roman"/>
          <w:kern w:val="1"/>
        </w:rPr>
        <w:t>falls out</w:t>
      </w:r>
      <w:r w:rsidR="00DF71CA" w:rsidRPr="0097373B">
        <w:rPr>
          <w:rFonts w:ascii="Times New Roman" w:hAnsi="Times New Roman" w:cs="Times New Roman"/>
          <w:kern w:val="1"/>
        </w:rPr>
        <w:t>side</w:t>
      </w:r>
      <w:r w:rsidRPr="0097373B">
        <w:rPr>
          <w:rFonts w:ascii="Times New Roman" w:hAnsi="Times New Roman" w:cs="Times New Roman"/>
          <w:kern w:val="1"/>
        </w:rPr>
        <w:t xml:space="preserve"> the scope of this study. </w:t>
      </w:r>
      <w:r w:rsidR="00186F87" w:rsidRPr="0097373B">
        <w:rPr>
          <w:rFonts w:ascii="Times New Roman" w:hAnsi="Times New Roman" w:cs="Times New Roman"/>
          <w:kern w:val="1"/>
        </w:rPr>
        <w:t>Whether the peak</w:t>
      </w:r>
      <w:r w:rsidRPr="0097373B">
        <w:rPr>
          <w:rFonts w:ascii="Times New Roman" w:hAnsi="Times New Roman" w:cs="Times New Roman"/>
          <w:kern w:val="1"/>
        </w:rPr>
        <w:t xml:space="preserve"> </w:t>
      </w:r>
      <w:r w:rsidR="00590EE4" w:rsidRPr="0097373B">
        <w:rPr>
          <w:rFonts w:ascii="Times New Roman" w:hAnsi="Times New Roman" w:cs="Times New Roman"/>
          <w:kern w:val="1"/>
        </w:rPr>
        <w:t xml:space="preserve">excess risk </w:t>
      </w:r>
      <w:r w:rsidRPr="0097373B">
        <w:rPr>
          <w:rFonts w:ascii="Times New Roman" w:hAnsi="Times New Roman" w:cs="Times New Roman"/>
          <w:kern w:val="1"/>
        </w:rPr>
        <w:t xml:space="preserve">observed in middle adulthood for knee and hand OA </w:t>
      </w:r>
      <w:r w:rsidR="00590EE4" w:rsidRPr="0097373B">
        <w:rPr>
          <w:rFonts w:ascii="Times New Roman" w:hAnsi="Times New Roman" w:cs="Times New Roman"/>
          <w:kern w:val="1"/>
        </w:rPr>
        <w:t xml:space="preserve">reflects </w:t>
      </w:r>
      <w:r w:rsidRPr="0097373B">
        <w:rPr>
          <w:rFonts w:ascii="Times New Roman" w:hAnsi="Times New Roman" w:cs="Times New Roman"/>
          <w:kern w:val="1"/>
        </w:rPr>
        <w:t>the</w:t>
      </w:r>
      <w:r w:rsidR="00590EE4" w:rsidRPr="0097373B">
        <w:rPr>
          <w:rFonts w:ascii="Times New Roman" w:hAnsi="Times New Roman" w:cs="Times New Roman"/>
          <w:kern w:val="1"/>
        </w:rPr>
        <w:t xml:space="preserve"> </w:t>
      </w:r>
      <w:r w:rsidRPr="0097373B">
        <w:rPr>
          <w:rFonts w:ascii="Times New Roman" w:hAnsi="Times New Roman" w:cs="Times New Roman"/>
          <w:kern w:val="1"/>
        </w:rPr>
        <w:t xml:space="preserve">pathogenic pathways involved in the </w:t>
      </w:r>
      <w:r w:rsidR="00186F87" w:rsidRPr="0097373B">
        <w:rPr>
          <w:rFonts w:ascii="Times New Roman" w:hAnsi="Times New Roman" w:cs="Times New Roman"/>
          <w:kern w:val="1"/>
        </w:rPr>
        <w:t>appearance of OA at the different sites (eg due to the increase in metabolic disorders such as diabetes or due to menopause [</w:t>
      </w:r>
      <w:r w:rsidR="00BF3664" w:rsidRPr="0097373B">
        <w:rPr>
          <w:rFonts w:ascii="Times New Roman" w:hAnsi="Times New Roman" w:cs="Times New Roman"/>
          <w:kern w:val="1"/>
        </w:rPr>
        <w:t>27,28</w:t>
      </w:r>
      <w:r w:rsidR="00186F87" w:rsidRPr="0097373B">
        <w:rPr>
          <w:rFonts w:ascii="Times New Roman" w:hAnsi="Times New Roman" w:cs="Times New Roman"/>
          <w:kern w:val="1"/>
        </w:rPr>
        <w:t xml:space="preserve">]) should be investigated in future research. </w:t>
      </w:r>
    </w:p>
    <w:p w14:paraId="73F85E41" w14:textId="77777777" w:rsidR="00785188" w:rsidRPr="0097373B" w:rsidRDefault="00785188" w:rsidP="001D2514">
      <w:pPr>
        <w:widowControl w:val="0"/>
        <w:autoSpaceDE w:val="0"/>
        <w:autoSpaceDN w:val="0"/>
        <w:adjustRightInd w:val="0"/>
        <w:spacing w:line="480" w:lineRule="auto"/>
        <w:jc w:val="both"/>
        <w:rPr>
          <w:rFonts w:ascii="Times New Roman" w:hAnsi="Times New Roman" w:cs="Times New Roman"/>
          <w:b/>
          <w:kern w:val="1"/>
        </w:rPr>
      </w:pPr>
    </w:p>
    <w:p w14:paraId="763DA0AB" w14:textId="7157EF26" w:rsidR="00754444" w:rsidRPr="0097373B" w:rsidRDefault="00D61048" w:rsidP="001D2514">
      <w:pPr>
        <w:widowControl w:val="0"/>
        <w:autoSpaceDE w:val="0"/>
        <w:autoSpaceDN w:val="0"/>
        <w:adjustRightInd w:val="0"/>
        <w:spacing w:line="480" w:lineRule="auto"/>
        <w:jc w:val="both"/>
        <w:rPr>
          <w:rFonts w:ascii="Times New Roman" w:hAnsi="Times New Roman" w:cs="Times New Roman"/>
          <w:b/>
          <w:kern w:val="1"/>
        </w:rPr>
      </w:pPr>
      <w:r w:rsidRPr="0097373B">
        <w:rPr>
          <w:rFonts w:ascii="Times New Roman" w:hAnsi="Times New Roman" w:cs="Times New Roman"/>
          <w:b/>
          <w:kern w:val="1"/>
        </w:rPr>
        <w:t xml:space="preserve">Conclusions: </w:t>
      </w:r>
    </w:p>
    <w:p w14:paraId="61BDBA93" w14:textId="16F24BE0" w:rsidR="00D61048" w:rsidRPr="0097373B" w:rsidRDefault="007C6539" w:rsidP="001D2514">
      <w:pPr>
        <w:widowControl w:val="0"/>
        <w:autoSpaceDE w:val="0"/>
        <w:autoSpaceDN w:val="0"/>
        <w:adjustRightInd w:val="0"/>
        <w:spacing w:line="480" w:lineRule="auto"/>
        <w:jc w:val="both"/>
        <w:rPr>
          <w:rFonts w:ascii="Times New Roman" w:hAnsi="Times New Roman" w:cs="Times New Roman"/>
          <w:kern w:val="1"/>
        </w:rPr>
      </w:pPr>
      <w:r w:rsidRPr="0097373B">
        <w:rPr>
          <w:rFonts w:ascii="Times New Roman" w:hAnsi="Times New Roman" w:cs="Times New Roman"/>
          <w:kern w:val="1"/>
        </w:rPr>
        <w:t xml:space="preserve">Both overweight and obesity increase the risk of hand, hip, and knee OA, especially for the latter, with a dose-response gradient with increasing BMI. </w:t>
      </w:r>
      <w:r w:rsidR="00E609E3" w:rsidRPr="0097373B">
        <w:rPr>
          <w:rFonts w:ascii="Times New Roman" w:hAnsi="Times New Roman" w:cs="Times New Roman"/>
          <w:kern w:val="1"/>
        </w:rPr>
        <w:t xml:space="preserve">Health care providers should implement prevention tools, especially focused on these ages, in order to reduce the risk of developing OA at these sites. </w:t>
      </w:r>
    </w:p>
    <w:p w14:paraId="26C5CA70" w14:textId="77777777" w:rsidR="006E474E" w:rsidRPr="0097373B" w:rsidRDefault="006E474E" w:rsidP="001D2514">
      <w:pPr>
        <w:widowControl w:val="0"/>
        <w:autoSpaceDE w:val="0"/>
        <w:autoSpaceDN w:val="0"/>
        <w:adjustRightInd w:val="0"/>
        <w:spacing w:line="480" w:lineRule="auto"/>
        <w:jc w:val="both"/>
        <w:rPr>
          <w:rFonts w:ascii="Times New Roman" w:hAnsi="Times New Roman" w:cs="Times New Roman"/>
          <w:kern w:val="1"/>
        </w:rPr>
      </w:pPr>
    </w:p>
    <w:p w14:paraId="3C8D78D9" w14:textId="77777777" w:rsidR="00F66E0D" w:rsidRPr="0097373B" w:rsidRDefault="00F66E0D" w:rsidP="001D2514">
      <w:pPr>
        <w:jc w:val="both"/>
        <w:rPr>
          <w:rFonts w:ascii="Times New Roman" w:hAnsi="Times New Roman" w:cs="Times New Roman"/>
          <w:b/>
          <w:kern w:val="1"/>
        </w:rPr>
      </w:pPr>
      <w:r w:rsidRPr="0097373B">
        <w:rPr>
          <w:rFonts w:ascii="Times New Roman" w:hAnsi="Times New Roman" w:cs="Times New Roman"/>
          <w:b/>
          <w:kern w:val="1"/>
        </w:rPr>
        <w:br w:type="page"/>
      </w:r>
    </w:p>
    <w:p w14:paraId="43D1DCC6" w14:textId="650F83E6" w:rsidR="00F66E0D" w:rsidRPr="0097373B" w:rsidRDefault="00F66E0D" w:rsidP="001D2514">
      <w:pPr>
        <w:spacing w:line="480" w:lineRule="auto"/>
        <w:jc w:val="both"/>
        <w:rPr>
          <w:rFonts w:ascii="Times New Roman" w:hAnsi="Times New Roman" w:cs="Times New Roman"/>
          <w:b/>
          <w:caps/>
          <w:kern w:val="24"/>
        </w:rPr>
      </w:pPr>
      <w:r w:rsidRPr="0097373B">
        <w:rPr>
          <w:rFonts w:ascii="Times New Roman" w:hAnsi="Times New Roman" w:cs="Times New Roman"/>
          <w:b/>
          <w:caps/>
          <w:kern w:val="24"/>
        </w:rPr>
        <w:lastRenderedPageBreak/>
        <w:t>Acknowledgements</w:t>
      </w:r>
    </w:p>
    <w:p w14:paraId="3FD6D54E" w14:textId="2FC1E57B" w:rsidR="00F66E0D" w:rsidRPr="0097373B" w:rsidRDefault="00F66E0D" w:rsidP="001D2514">
      <w:pPr>
        <w:spacing w:line="480" w:lineRule="auto"/>
        <w:jc w:val="both"/>
        <w:rPr>
          <w:rFonts w:ascii="Times New Roman" w:hAnsi="Times New Roman" w:cs="Times New Roman"/>
          <w:kern w:val="1"/>
        </w:rPr>
      </w:pPr>
      <w:r w:rsidRPr="0097373B">
        <w:rPr>
          <w:rFonts w:ascii="Times New Roman" w:hAnsi="Times New Roman" w:cs="Times New Roman"/>
          <w:b/>
          <w:kern w:val="1"/>
        </w:rPr>
        <w:t>Acknowledgements:</w:t>
      </w:r>
      <w:r w:rsidRPr="0097373B">
        <w:rPr>
          <w:rFonts w:ascii="Times New Roman" w:hAnsi="Times New Roman" w:cs="Times New Roman"/>
          <w:kern w:val="1"/>
        </w:rPr>
        <w:t xml:space="preserve"> We gratefully thank all the health professionals involved in registering data in computerised medical records for SIDIAP (Information Systme for Development of Primary Care Research). </w:t>
      </w:r>
    </w:p>
    <w:p w14:paraId="1806D691" w14:textId="77777777" w:rsidR="00DF71CA" w:rsidRPr="0097373B" w:rsidRDefault="00DF71CA" w:rsidP="001D2514">
      <w:pPr>
        <w:spacing w:line="480" w:lineRule="auto"/>
        <w:jc w:val="both"/>
        <w:rPr>
          <w:rFonts w:ascii="Times New Roman" w:hAnsi="Times New Roman" w:cs="Times New Roman"/>
          <w:kern w:val="1"/>
        </w:rPr>
      </w:pPr>
    </w:p>
    <w:p w14:paraId="4BFF8BFD" w14:textId="6763755C" w:rsidR="00DF71CA" w:rsidRPr="0097373B" w:rsidRDefault="00DF71CA" w:rsidP="001D2514">
      <w:pPr>
        <w:spacing w:line="480" w:lineRule="auto"/>
        <w:jc w:val="both"/>
        <w:rPr>
          <w:rFonts w:ascii="Times New Roman" w:hAnsi="Times New Roman" w:cs="Times New Roman"/>
          <w:kern w:val="1"/>
        </w:rPr>
      </w:pPr>
      <w:r w:rsidRPr="0097373B">
        <w:rPr>
          <w:rFonts w:ascii="Times New Roman" w:hAnsi="Times New Roman" w:cs="Times New Roman"/>
          <w:b/>
          <w:kern w:val="1"/>
        </w:rPr>
        <w:t>Ethical approval:</w:t>
      </w:r>
      <w:r w:rsidRPr="0097373B">
        <w:rPr>
          <w:rFonts w:ascii="Times New Roman" w:hAnsi="Times New Roman" w:cs="Times New Roman"/>
          <w:kern w:val="1"/>
        </w:rPr>
        <w:t xml:space="preserve"> This study was approved by the relevant ethics</w:t>
      </w:r>
      <w:r w:rsidR="00B0539F" w:rsidRPr="0097373B">
        <w:rPr>
          <w:rFonts w:ascii="Times New Roman" w:hAnsi="Times New Roman" w:cs="Times New Roman"/>
          <w:kern w:val="1"/>
        </w:rPr>
        <w:t xml:space="preserve"> committee (Comitè d’Ètica IDIAP</w:t>
      </w:r>
      <w:r w:rsidRPr="0097373B">
        <w:rPr>
          <w:rFonts w:ascii="Times New Roman" w:hAnsi="Times New Roman" w:cs="Times New Roman"/>
          <w:kern w:val="1"/>
        </w:rPr>
        <w:t xml:space="preserve"> Jordi Gol) with reference number P12/72.</w:t>
      </w:r>
    </w:p>
    <w:p w14:paraId="1071E060" w14:textId="0F7E6B18" w:rsidR="00F66E0D" w:rsidRPr="0097373B" w:rsidRDefault="00F66E0D" w:rsidP="001D2514">
      <w:pPr>
        <w:jc w:val="both"/>
        <w:rPr>
          <w:rFonts w:ascii="Times New Roman" w:hAnsi="Times New Roman" w:cs="Times New Roman"/>
          <w:b/>
          <w:kern w:val="1"/>
        </w:rPr>
      </w:pPr>
      <w:r w:rsidRPr="0097373B">
        <w:rPr>
          <w:rFonts w:ascii="Times New Roman" w:hAnsi="Times New Roman" w:cs="Times New Roman"/>
          <w:b/>
          <w:kern w:val="1"/>
        </w:rPr>
        <w:br w:type="page"/>
      </w:r>
    </w:p>
    <w:p w14:paraId="5A1CC3DF" w14:textId="785A1498" w:rsidR="00510F93" w:rsidRPr="0097373B" w:rsidRDefault="00F66E0D" w:rsidP="001D2514">
      <w:pPr>
        <w:widowControl w:val="0"/>
        <w:autoSpaceDE w:val="0"/>
        <w:autoSpaceDN w:val="0"/>
        <w:adjustRightInd w:val="0"/>
        <w:spacing w:line="480" w:lineRule="auto"/>
        <w:jc w:val="both"/>
        <w:rPr>
          <w:rFonts w:ascii="Times New Roman" w:hAnsi="Times New Roman" w:cs="Times New Roman"/>
          <w:b/>
          <w:kern w:val="1"/>
        </w:rPr>
      </w:pPr>
      <w:r w:rsidRPr="0097373B">
        <w:rPr>
          <w:rFonts w:ascii="Times New Roman" w:hAnsi="Times New Roman" w:cs="Times New Roman"/>
          <w:b/>
          <w:kern w:val="1"/>
        </w:rPr>
        <w:lastRenderedPageBreak/>
        <w:t>REFERENCES</w:t>
      </w:r>
      <w:r w:rsidR="00510F93" w:rsidRPr="0097373B">
        <w:rPr>
          <w:rFonts w:ascii="Times New Roman" w:hAnsi="Times New Roman" w:cs="Times New Roman"/>
          <w:b/>
          <w:kern w:val="1"/>
        </w:rPr>
        <w:t xml:space="preserve"> </w:t>
      </w:r>
    </w:p>
    <w:p w14:paraId="39B8E133" w14:textId="702A8364" w:rsidR="00BF3664" w:rsidRPr="0097373B" w:rsidRDefault="00BF3664" w:rsidP="001D2514">
      <w:pPr>
        <w:widowControl w:val="0"/>
        <w:autoSpaceDE w:val="0"/>
        <w:autoSpaceDN w:val="0"/>
        <w:adjustRightInd w:val="0"/>
        <w:spacing w:line="480" w:lineRule="auto"/>
        <w:jc w:val="both"/>
        <w:rPr>
          <w:rFonts w:ascii="Times New Roman" w:hAnsi="Times New Roman" w:cs="Times New Roman"/>
          <w:bCs/>
        </w:rPr>
      </w:pPr>
      <w:r w:rsidRPr="0097373B">
        <w:rPr>
          <w:rFonts w:ascii="Times New Roman" w:hAnsi="Times New Roman" w:cs="Times New Roman"/>
          <w:color w:val="000000"/>
        </w:rPr>
        <w:t>1- </w:t>
      </w:r>
      <w:hyperlink r:id="rId10" w:history="1">
        <w:r w:rsidRPr="0097373B">
          <w:rPr>
            <w:rFonts w:ascii="Times New Roman" w:hAnsi="Times New Roman" w:cs="Times New Roman"/>
            <w:color w:val="262626"/>
          </w:rPr>
          <w:t>Kelly T</w:t>
        </w:r>
      </w:hyperlink>
      <w:r w:rsidRPr="0097373B">
        <w:rPr>
          <w:rFonts w:ascii="Times New Roman" w:hAnsi="Times New Roman" w:cs="Times New Roman"/>
        </w:rPr>
        <w:t xml:space="preserve">, </w:t>
      </w:r>
      <w:hyperlink r:id="rId11" w:history="1">
        <w:r w:rsidRPr="0097373B">
          <w:rPr>
            <w:rFonts w:ascii="Times New Roman" w:hAnsi="Times New Roman" w:cs="Times New Roman"/>
            <w:color w:val="262626"/>
          </w:rPr>
          <w:t>Yang W</w:t>
        </w:r>
      </w:hyperlink>
      <w:r w:rsidRPr="0097373B">
        <w:rPr>
          <w:rFonts w:ascii="Times New Roman" w:hAnsi="Times New Roman" w:cs="Times New Roman"/>
        </w:rPr>
        <w:t xml:space="preserve">, </w:t>
      </w:r>
      <w:hyperlink r:id="rId12" w:history="1">
        <w:r w:rsidRPr="0097373B">
          <w:rPr>
            <w:rFonts w:ascii="Times New Roman" w:hAnsi="Times New Roman" w:cs="Times New Roman"/>
            <w:color w:val="262626"/>
          </w:rPr>
          <w:t>Chen CS</w:t>
        </w:r>
      </w:hyperlink>
      <w:r w:rsidR="00782FAA" w:rsidRPr="0097373B">
        <w:rPr>
          <w:rFonts w:ascii="Times New Roman" w:hAnsi="Times New Roman" w:cs="Times New Roman"/>
          <w:color w:val="262626"/>
        </w:rPr>
        <w:t>,</w:t>
      </w:r>
      <w:r w:rsidR="005B3F2B" w:rsidRPr="0097373B">
        <w:rPr>
          <w:rFonts w:ascii="Times New Roman" w:hAnsi="Times New Roman" w:cs="Times New Roman"/>
        </w:rPr>
        <w:t xml:space="preserve"> Reynolds K, He J</w:t>
      </w:r>
      <w:r w:rsidRPr="0097373B">
        <w:rPr>
          <w:rFonts w:ascii="Times New Roman" w:hAnsi="Times New Roman" w:cs="Times New Roman"/>
        </w:rPr>
        <w:t xml:space="preserve">. </w:t>
      </w:r>
      <w:r w:rsidRPr="0097373B">
        <w:rPr>
          <w:rFonts w:ascii="Times New Roman" w:hAnsi="Times New Roman" w:cs="Times New Roman"/>
          <w:bCs/>
        </w:rPr>
        <w:t xml:space="preserve">Global burden of obesity in 2005 and projections to 2030. </w:t>
      </w:r>
      <w:r w:rsidRPr="0097373B">
        <w:rPr>
          <w:rFonts w:ascii="Times New Roman" w:hAnsi="Times New Roman" w:cs="Times New Roman"/>
          <w:color w:val="262626"/>
        </w:rPr>
        <w:t>Int J Obes (Lond)</w:t>
      </w:r>
      <w:r w:rsidRPr="0097373B">
        <w:rPr>
          <w:rFonts w:ascii="Times New Roman" w:hAnsi="Times New Roman" w:cs="Times New Roman"/>
        </w:rPr>
        <w:t xml:space="preserve"> 2008;32:1431-7.</w:t>
      </w:r>
    </w:p>
    <w:p w14:paraId="04A42B43" w14:textId="1EBB7ABB" w:rsidR="00BF3664" w:rsidRPr="0097373B" w:rsidRDefault="00BF3664" w:rsidP="001D2514">
      <w:pPr>
        <w:widowControl w:val="0"/>
        <w:autoSpaceDE w:val="0"/>
        <w:autoSpaceDN w:val="0"/>
        <w:adjustRightInd w:val="0"/>
        <w:spacing w:line="480" w:lineRule="auto"/>
        <w:jc w:val="both"/>
        <w:rPr>
          <w:rFonts w:ascii="Times New Roman" w:hAnsi="Times New Roman" w:cs="Times New Roman"/>
        </w:rPr>
      </w:pPr>
      <w:r w:rsidRPr="0097373B">
        <w:rPr>
          <w:rFonts w:ascii="Times New Roman" w:hAnsi="Times New Roman" w:cs="Times New Roman"/>
          <w:color w:val="262626"/>
        </w:rPr>
        <w:t xml:space="preserve">2- </w:t>
      </w:r>
      <w:hyperlink r:id="rId13" w:history="1">
        <w:r w:rsidRPr="0097373B">
          <w:rPr>
            <w:rFonts w:ascii="Times New Roman" w:hAnsi="Times New Roman" w:cs="Times New Roman"/>
            <w:color w:val="262626"/>
          </w:rPr>
          <w:t>Prieto-Alhambra D</w:t>
        </w:r>
      </w:hyperlink>
      <w:r w:rsidRPr="0097373B">
        <w:rPr>
          <w:rFonts w:ascii="Times New Roman" w:hAnsi="Times New Roman" w:cs="Times New Roman"/>
        </w:rPr>
        <w:t xml:space="preserve">, </w:t>
      </w:r>
      <w:hyperlink r:id="rId14" w:history="1">
        <w:r w:rsidRPr="0097373B">
          <w:rPr>
            <w:rFonts w:ascii="Times New Roman" w:hAnsi="Times New Roman" w:cs="Times New Roman"/>
            <w:color w:val="262626"/>
          </w:rPr>
          <w:t>Judge A</w:t>
        </w:r>
      </w:hyperlink>
      <w:r w:rsidRPr="0097373B">
        <w:rPr>
          <w:rFonts w:ascii="Times New Roman" w:hAnsi="Times New Roman" w:cs="Times New Roman"/>
        </w:rPr>
        <w:t xml:space="preserve">, </w:t>
      </w:r>
      <w:hyperlink r:id="rId15" w:history="1">
        <w:r w:rsidRPr="0097373B">
          <w:rPr>
            <w:rFonts w:ascii="Times New Roman" w:hAnsi="Times New Roman" w:cs="Times New Roman"/>
            <w:color w:val="262626"/>
          </w:rPr>
          <w:t>Javaid MK</w:t>
        </w:r>
      </w:hyperlink>
      <w:r w:rsidRPr="0097373B">
        <w:rPr>
          <w:rFonts w:ascii="Times New Roman" w:hAnsi="Times New Roman" w:cs="Times New Roman"/>
        </w:rPr>
        <w:t>,</w:t>
      </w:r>
      <w:r w:rsidR="005B3F2B" w:rsidRPr="0097373B">
        <w:rPr>
          <w:rFonts w:ascii="Times New Roman" w:hAnsi="Times New Roman" w:cs="Times New Roman"/>
        </w:rPr>
        <w:t xml:space="preserve"> Cooper C, Diez-Perez A, Arden NK</w:t>
      </w:r>
      <w:r w:rsidRPr="0097373B">
        <w:rPr>
          <w:rFonts w:ascii="Times New Roman" w:hAnsi="Times New Roman" w:cs="Times New Roman"/>
        </w:rPr>
        <w:t>.</w:t>
      </w:r>
      <w:r w:rsidRPr="0097373B">
        <w:rPr>
          <w:rFonts w:ascii="Times New Roman" w:hAnsi="Times New Roman" w:cs="Times New Roman"/>
          <w:bCs/>
        </w:rPr>
        <w:t xml:space="preserve"> Incidence and risk factors for clinically diagnosed knee, hip and hand osteoarthritis: influences of age, gender and osteoarthritis affecting other joints. </w:t>
      </w:r>
      <w:r w:rsidRPr="0097373B">
        <w:rPr>
          <w:rFonts w:ascii="Times New Roman" w:hAnsi="Times New Roman" w:cs="Times New Roman"/>
          <w:color w:val="262626"/>
        </w:rPr>
        <w:t>Ann Rheum Dis</w:t>
      </w:r>
      <w:r w:rsidRPr="0097373B">
        <w:rPr>
          <w:rFonts w:ascii="Times New Roman" w:hAnsi="Times New Roman" w:cs="Times New Roman"/>
        </w:rPr>
        <w:t xml:space="preserve"> 2014;73:1659-64. </w:t>
      </w:r>
    </w:p>
    <w:p w14:paraId="291C52A1" w14:textId="29009E1D" w:rsidR="00BF3664" w:rsidRPr="0097373B" w:rsidRDefault="00BF3664" w:rsidP="001D2514">
      <w:pPr>
        <w:spacing w:line="480" w:lineRule="auto"/>
        <w:jc w:val="both"/>
        <w:rPr>
          <w:rFonts w:ascii="Times New Roman" w:hAnsi="Times New Roman" w:cs="Times New Roman"/>
        </w:rPr>
      </w:pPr>
      <w:r w:rsidRPr="0097373B">
        <w:rPr>
          <w:rFonts w:ascii="Times New Roman" w:hAnsi="Times New Roman" w:cs="Times New Roman"/>
        </w:rPr>
        <w:t xml:space="preserve">3- </w:t>
      </w:r>
      <w:hyperlink r:id="rId16" w:history="1">
        <w:r w:rsidRPr="0097373B">
          <w:rPr>
            <w:rFonts w:ascii="Times New Roman" w:hAnsi="Times New Roman" w:cs="Times New Roman"/>
            <w:color w:val="262626"/>
          </w:rPr>
          <w:t>Peat G</w:t>
        </w:r>
      </w:hyperlink>
      <w:r w:rsidRPr="0097373B">
        <w:rPr>
          <w:rFonts w:ascii="Times New Roman" w:hAnsi="Times New Roman" w:cs="Times New Roman"/>
        </w:rPr>
        <w:t xml:space="preserve">, </w:t>
      </w:r>
      <w:hyperlink r:id="rId17" w:history="1">
        <w:r w:rsidRPr="0097373B">
          <w:rPr>
            <w:rFonts w:ascii="Times New Roman" w:hAnsi="Times New Roman" w:cs="Times New Roman"/>
            <w:color w:val="262626"/>
          </w:rPr>
          <w:t>McCarney R</w:t>
        </w:r>
      </w:hyperlink>
      <w:r w:rsidRPr="0097373B">
        <w:rPr>
          <w:rFonts w:ascii="Times New Roman" w:hAnsi="Times New Roman" w:cs="Times New Roman"/>
        </w:rPr>
        <w:t xml:space="preserve">, </w:t>
      </w:r>
      <w:hyperlink r:id="rId18" w:history="1">
        <w:r w:rsidRPr="0097373B">
          <w:rPr>
            <w:rFonts w:ascii="Times New Roman" w:hAnsi="Times New Roman" w:cs="Times New Roman"/>
            <w:color w:val="262626"/>
          </w:rPr>
          <w:t>Croft P</w:t>
        </w:r>
      </w:hyperlink>
      <w:r w:rsidRPr="0097373B">
        <w:rPr>
          <w:rFonts w:ascii="Times New Roman" w:hAnsi="Times New Roman" w:cs="Times New Roman"/>
        </w:rPr>
        <w:t xml:space="preserve">. </w:t>
      </w:r>
      <w:r w:rsidRPr="0097373B">
        <w:rPr>
          <w:rFonts w:ascii="Times New Roman" w:hAnsi="Times New Roman" w:cs="Times New Roman"/>
          <w:bCs/>
        </w:rPr>
        <w:t>Knee pain and osteoarthritis in older adults: a review of community burden and current use of primary health care.</w:t>
      </w:r>
      <w:r w:rsidRPr="0097373B">
        <w:rPr>
          <w:rFonts w:ascii="Times New Roman" w:hAnsi="Times New Roman" w:cs="Times New Roman"/>
          <w:color w:val="262626"/>
        </w:rPr>
        <w:t xml:space="preserve"> Ann Rheum Dis</w:t>
      </w:r>
      <w:r w:rsidRPr="0097373B">
        <w:rPr>
          <w:rFonts w:ascii="Times New Roman" w:hAnsi="Times New Roman" w:cs="Times New Roman"/>
        </w:rPr>
        <w:t xml:space="preserve"> 2001;60:91-7.</w:t>
      </w:r>
    </w:p>
    <w:p w14:paraId="3E9AA130" w14:textId="755DD000" w:rsidR="00BF3664" w:rsidRPr="0097373B" w:rsidRDefault="00BF3664" w:rsidP="001D2514">
      <w:pPr>
        <w:widowControl w:val="0"/>
        <w:autoSpaceDE w:val="0"/>
        <w:autoSpaceDN w:val="0"/>
        <w:adjustRightInd w:val="0"/>
        <w:spacing w:line="480" w:lineRule="auto"/>
        <w:jc w:val="both"/>
        <w:rPr>
          <w:rFonts w:ascii="Times New Roman" w:hAnsi="Times New Roman" w:cs="Times New Roman"/>
          <w:bCs/>
        </w:rPr>
      </w:pPr>
      <w:r w:rsidRPr="0097373B">
        <w:rPr>
          <w:rFonts w:ascii="Times New Roman" w:hAnsi="Times New Roman" w:cs="Times New Roman"/>
          <w:color w:val="262626"/>
        </w:rPr>
        <w:t xml:space="preserve">4- </w:t>
      </w:r>
      <w:hyperlink r:id="rId19" w:history="1">
        <w:r w:rsidRPr="0097373B">
          <w:rPr>
            <w:rFonts w:ascii="Times New Roman" w:hAnsi="Times New Roman" w:cs="Times New Roman"/>
            <w:color w:val="262626"/>
          </w:rPr>
          <w:t>Jiang L</w:t>
        </w:r>
      </w:hyperlink>
      <w:r w:rsidRPr="0097373B">
        <w:rPr>
          <w:rFonts w:ascii="Times New Roman" w:hAnsi="Times New Roman" w:cs="Times New Roman"/>
        </w:rPr>
        <w:t xml:space="preserve">, </w:t>
      </w:r>
      <w:hyperlink r:id="rId20" w:history="1">
        <w:r w:rsidRPr="0097373B">
          <w:rPr>
            <w:rFonts w:ascii="Times New Roman" w:hAnsi="Times New Roman" w:cs="Times New Roman"/>
            <w:color w:val="262626"/>
          </w:rPr>
          <w:t>Tian W</w:t>
        </w:r>
      </w:hyperlink>
      <w:r w:rsidRPr="0097373B">
        <w:rPr>
          <w:rFonts w:ascii="Times New Roman" w:hAnsi="Times New Roman" w:cs="Times New Roman"/>
        </w:rPr>
        <w:t xml:space="preserve">, </w:t>
      </w:r>
      <w:hyperlink r:id="rId21" w:history="1">
        <w:r w:rsidRPr="0097373B">
          <w:rPr>
            <w:rFonts w:ascii="Times New Roman" w:hAnsi="Times New Roman" w:cs="Times New Roman"/>
            <w:color w:val="262626"/>
          </w:rPr>
          <w:t>Wang Y</w:t>
        </w:r>
      </w:hyperlink>
      <w:r w:rsidR="00782FAA" w:rsidRPr="0097373B">
        <w:rPr>
          <w:rFonts w:ascii="Times New Roman" w:hAnsi="Times New Roman" w:cs="Times New Roman"/>
          <w:color w:val="262626"/>
        </w:rPr>
        <w:t>,</w:t>
      </w:r>
      <w:r w:rsidRPr="0097373B">
        <w:rPr>
          <w:rFonts w:ascii="Times New Roman" w:hAnsi="Times New Roman" w:cs="Times New Roman"/>
        </w:rPr>
        <w:t xml:space="preserve"> </w:t>
      </w:r>
      <w:r w:rsidR="005B3F2B" w:rsidRPr="0097373B">
        <w:rPr>
          <w:rFonts w:ascii="Times New Roman" w:hAnsi="Times New Roman" w:cs="Times New Roman"/>
        </w:rPr>
        <w:t xml:space="preserve">Rong J, Bao C, Liu Y, </w:t>
      </w:r>
      <w:r w:rsidRPr="0097373B">
        <w:rPr>
          <w:rFonts w:ascii="Times New Roman" w:hAnsi="Times New Roman" w:cs="Times New Roman"/>
        </w:rPr>
        <w:t xml:space="preserve">et al. </w:t>
      </w:r>
      <w:r w:rsidRPr="0097373B">
        <w:rPr>
          <w:rFonts w:ascii="Times New Roman" w:hAnsi="Times New Roman" w:cs="Times New Roman"/>
          <w:bCs/>
        </w:rPr>
        <w:t xml:space="preserve">Body mass index and susceptibility to knee osteoarthritis: a systematic review and meta-analysis. </w:t>
      </w:r>
      <w:r w:rsidRPr="0097373B">
        <w:rPr>
          <w:rFonts w:ascii="Times New Roman" w:hAnsi="Times New Roman" w:cs="Times New Roman"/>
          <w:color w:val="262626"/>
        </w:rPr>
        <w:t>Joint Bone Spine</w:t>
      </w:r>
      <w:r w:rsidRPr="0097373B">
        <w:rPr>
          <w:rFonts w:ascii="Times New Roman" w:hAnsi="Times New Roman" w:cs="Times New Roman"/>
        </w:rPr>
        <w:t xml:space="preserve"> 2012;79:291-7. </w:t>
      </w:r>
    </w:p>
    <w:p w14:paraId="4D2678D7" w14:textId="6F8B5FB3" w:rsidR="00BF3664" w:rsidRPr="0097373B" w:rsidRDefault="00BF3664" w:rsidP="001D2514">
      <w:pPr>
        <w:widowControl w:val="0"/>
        <w:autoSpaceDE w:val="0"/>
        <w:autoSpaceDN w:val="0"/>
        <w:adjustRightInd w:val="0"/>
        <w:spacing w:line="480" w:lineRule="auto"/>
        <w:jc w:val="both"/>
        <w:rPr>
          <w:rFonts w:ascii="Times New Roman" w:hAnsi="Times New Roman" w:cs="Times New Roman"/>
          <w:bCs/>
        </w:rPr>
      </w:pPr>
      <w:r w:rsidRPr="0097373B">
        <w:rPr>
          <w:rFonts w:ascii="Times New Roman" w:hAnsi="Times New Roman" w:cs="Times New Roman"/>
        </w:rPr>
        <w:t xml:space="preserve">5- </w:t>
      </w:r>
      <w:hyperlink r:id="rId22" w:history="1">
        <w:r w:rsidRPr="0097373B">
          <w:rPr>
            <w:rFonts w:ascii="Times New Roman" w:hAnsi="Times New Roman" w:cs="Times New Roman"/>
            <w:color w:val="262626"/>
          </w:rPr>
          <w:t>Blagojevic M</w:t>
        </w:r>
      </w:hyperlink>
      <w:r w:rsidRPr="0097373B">
        <w:rPr>
          <w:rFonts w:ascii="Times New Roman" w:hAnsi="Times New Roman" w:cs="Times New Roman"/>
        </w:rPr>
        <w:t xml:space="preserve">, </w:t>
      </w:r>
      <w:hyperlink r:id="rId23" w:history="1">
        <w:r w:rsidRPr="0097373B">
          <w:rPr>
            <w:rFonts w:ascii="Times New Roman" w:hAnsi="Times New Roman" w:cs="Times New Roman"/>
            <w:color w:val="262626"/>
          </w:rPr>
          <w:t>Jinks C</w:t>
        </w:r>
      </w:hyperlink>
      <w:r w:rsidRPr="0097373B">
        <w:rPr>
          <w:rFonts w:ascii="Times New Roman" w:hAnsi="Times New Roman" w:cs="Times New Roman"/>
        </w:rPr>
        <w:t xml:space="preserve">, </w:t>
      </w:r>
      <w:hyperlink r:id="rId24" w:history="1">
        <w:r w:rsidRPr="0097373B">
          <w:rPr>
            <w:rFonts w:ascii="Times New Roman" w:hAnsi="Times New Roman" w:cs="Times New Roman"/>
            <w:color w:val="262626"/>
          </w:rPr>
          <w:t>Jeffery A</w:t>
        </w:r>
      </w:hyperlink>
      <w:r w:rsidRPr="0097373B">
        <w:rPr>
          <w:rFonts w:ascii="Times New Roman" w:hAnsi="Times New Roman" w:cs="Times New Roman"/>
        </w:rPr>
        <w:t>,</w:t>
      </w:r>
      <w:r w:rsidR="005B3F2B" w:rsidRPr="0097373B">
        <w:rPr>
          <w:rFonts w:ascii="Times New Roman" w:hAnsi="Times New Roman" w:cs="Times New Roman"/>
        </w:rPr>
        <w:t xml:space="preserve"> Jordan KP</w:t>
      </w:r>
      <w:r w:rsidRPr="0097373B">
        <w:rPr>
          <w:rFonts w:ascii="Times New Roman" w:hAnsi="Times New Roman" w:cs="Times New Roman"/>
        </w:rPr>
        <w:t xml:space="preserve">. </w:t>
      </w:r>
      <w:r w:rsidRPr="0097373B">
        <w:rPr>
          <w:rFonts w:ascii="Times New Roman" w:hAnsi="Times New Roman" w:cs="Times New Roman"/>
          <w:bCs/>
        </w:rPr>
        <w:t xml:space="preserve">Risk factors for onset of osteoarthritis of the knee in older adults: a systematic review and meta-analysis. </w:t>
      </w:r>
      <w:r w:rsidRPr="0097373B">
        <w:rPr>
          <w:rFonts w:ascii="Times New Roman" w:hAnsi="Times New Roman" w:cs="Times New Roman"/>
          <w:color w:val="262626"/>
        </w:rPr>
        <w:t>Osteoarthritis Cartilage</w:t>
      </w:r>
      <w:r w:rsidR="00782FAA" w:rsidRPr="0097373B">
        <w:rPr>
          <w:rFonts w:ascii="Times New Roman" w:hAnsi="Times New Roman" w:cs="Times New Roman"/>
        </w:rPr>
        <w:t xml:space="preserve"> </w:t>
      </w:r>
      <w:r w:rsidRPr="0097373B">
        <w:rPr>
          <w:rFonts w:ascii="Times New Roman" w:hAnsi="Times New Roman" w:cs="Times New Roman"/>
        </w:rPr>
        <w:t xml:space="preserve">2010;18:24-33. </w:t>
      </w:r>
    </w:p>
    <w:p w14:paraId="57F6B81B" w14:textId="2CDA02A5" w:rsidR="00BF3664" w:rsidRPr="0097373B" w:rsidRDefault="00BF3664" w:rsidP="001D2514">
      <w:pPr>
        <w:widowControl w:val="0"/>
        <w:autoSpaceDE w:val="0"/>
        <w:autoSpaceDN w:val="0"/>
        <w:adjustRightInd w:val="0"/>
        <w:spacing w:line="480" w:lineRule="auto"/>
        <w:jc w:val="both"/>
        <w:rPr>
          <w:rFonts w:ascii="Times New Roman" w:hAnsi="Times New Roman" w:cs="Times New Roman"/>
          <w:bCs/>
        </w:rPr>
      </w:pPr>
      <w:r w:rsidRPr="0097373B">
        <w:rPr>
          <w:rFonts w:ascii="Times New Roman" w:hAnsi="Times New Roman" w:cs="Times New Roman"/>
        </w:rPr>
        <w:t xml:space="preserve">6- </w:t>
      </w:r>
      <w:hyperlink r:id="rId25" w:history="1">
        <w:r w:rsidRPr="0097373B">
          <w:rPr>
            <w:rFonts w:ascii="Times New Roman" w:hAnsi="Times New Roman" w:cs="Times New Roman"/>
            <w:color w:val="262626"/>
          </w:rPr>
          <w:t>Mork PJ</w:t>
        </w:r>
      </w:hyperlink>
      <w:r w:rsidRPr="0097373B">
        <w:rPr>
          <w:rFonts w:ascii="Times New Roman" w:hAnsi="Times New Roman" w:cs="Times New Roman"/>
        </w:rPr>
        <w:t xml:space="preserve">, </w:t>
      </w:r>
      <w:hyperlink r:id="rId26" w:history="1">
        <w:r w:rsidRPr="0097373B">
          <w:rPr>
            <w:rFonts w:ascii="Times New Roman" w:hAnsi="Times New Roman" w:cs="Times New Roman"/>
            <w:color w:val="262626"/>
          </w:rPr>
          <w:t>Holtermann A</w:t>
        </w:r>
      </w:hyperlink>
      <w:r w:rsidRPr="0097373B">
        <w:rPr>
          <w:rFonts w:ascii="Times New Roman" w:hAnsi="Times New Roman" w:cs="Times New Roman"/>
        </w:rPr>
        <w:t xml:space="preserve">, </w:t>
      </w:r>
      <w:hyperlink r:id="rId27" w:history="1">
        <w:r w:rsidRPr="0097373B">
          <w:rPr>
            <w:rFonts w:ascii="Times New Roman" w:hAnsi="Times New Roman" w:cs="Times New Roman"/>
            <w:color w:val="262626"/>
          </w:rPr>
          <w:t>Nilsen TI</w:t>
        </w:r>
      </w:hyperlink>
      <w:r w:rsidRPr="0097373B">
        <w:rPr>
          <w:rFonts w:ascii="Times New Roman" w:hAnsi="Times New Roman" w:cs="Times New Roman"/>
        </w:rPr>
        <w:t xml:space="preserve">. </w:t>
      </w:r>
      <w:r w:rsidRPr="0097373B">
        <w:rPr>
          <w:rFonts w:ascii="Times New Roman" w:hAnsi="Times New Roman" w:cs="Times New Roman"/>
          <w:bCs/>
        </w:rPr>
        <w:t xml:space="preserve">Effect of body mass index and physical exercise on risk of knee and hip osteoarthritis: longitudinal data from the Norwegian HUNT Study. </w:t>
      </w:r>
      <w:r w:rsidRPr="0097373B">
        <w:rPr>
          <w:rFonts w:ascii="Times New Roman" w:hAnsi="Times New Roman" w:cs="Times New Roman"/>
          <w:color w:val="262626"/>
        </w:rPr>
        <w:t>J Epidemiol Community Health</w:t>
      </w:r>
      <w:r w:rsidR="00782FAA" w:rsidRPr="0097373B">
        <w:rPr>
          <w:rFonts w:ascii="Times New Roman" w:hAnsi="Times New Roman" w:cs="Times New Roman"/>
        </w:rPr>
        <w:t xml:space="preserve"> </w:t>
      </w:r>
      <w:r w:rsidRPr="0097373B">
        <w:rPr>
          <w:rFonts w:ascii="Times New Roman" w:hAnsi="Times New Roman" w:cs="Times New Roman"/>
        </w:rPr>
        <w:t xml:space="preserve">2012;66:678-83. </w:t>
      </w:r>
    </w:p>
    <w:p w14:paraId="2F01C225" w14:textId="27332880" w:rsidR="00BF3664" w:rsidRPr="0097373B" w:rsidRDefault="00BF3664" w:rsidP="001D2514">
      <w:pPr>
        <w:widowControl w:val="0"/>
        <w:autoSpaceDE w:val="0"/>
        <w:autoSpaceDN w:val="0"/>
        <w:adjustRightInd w:val="0"/>
        <w:spacing w:line="480" w:lineRule="auto"/>
        <w:jc w:val="both"/>
        <w:rPr>
          <w:rFonts w:ascii="Times New Roman" w:hAnsi="Times New Roman" w:cs="Times New Roman"/>
          <w:bCs/>
        </w:rPr>
      </w:pPr>
      <w:r w:rsidRPr="0097373B">
        <w:rPr>
          <w:rFonts w:ascii="Times New Roman" w:hAnsi="Times New Roman" w:cs="Times New Roman"/>
          <w:color w:val="262626"/>
        </w:rPr>
        <w:t xml:space="preserve">7- </w:t>
      </w:r>
      <w:hyperlink r:id="rId28" w:history="1">
        <w:r w:rsidRPr="0097373B">
          <w:rPr>
            <w:rFonts w:ascii="Times New Roman" w:hAnsi="Times New Roman" w:cs="Times New Roman"/>
            <w:color w:val="262626"/>
          </w:rPr>
          <w:t>Reijman M</w:t>
        </w:r>
      </w:hyperlink>
      <w:r w:rsidRPr="0097373B">
        <w:rPr>
          <w:rFonts w:ascii="Times New Roman" w:hAnsi="Times New Roman" w:cs="Times New Roman"/>
        </w:rPr>
        <w:t xml:space="preserve">, </w:t>
      </w:r>
      <w:hyperlink r:id="rId29" w:history="1">
        <w:r w:rsidRPr="0097373B">
          <w:rPr>
            <w:rFonts w:ascii="Times New Roman" w:hAnsi="Times New Roman" w:cs="Times New Roman"/>
            <w:color w:val="262626"/>
          </w:rPr>
          <w:t>Pols HA</w:t>
        </w:r>
      </w:hyperlink>
      <w:r w:rsidRPr="0097373B">
        <w:rPr>
          <w:rFonts w:ascii="Times New Roman" w:hAnsi="Times New Roman" w:cs="Times New Roman"/>
        </w:rPr>
        <w:t xml:space="preserve">, </w:t>
      </w:r>
      <w:hyperlink r:id="rId30" w:history="1">
        <w:r w:rsidRPr="0097373B">
          <w:rPr>
            <w:rFonts w:ascii="Times New Roman" w:hAnsi="Times New Roman" w:cs="Times New Roman"/>
            <w:color w:val="262626"/>
          </w:rPr>
          <w:t>Bergink AP</w:t>
        </w:r>
      </w:hyperlink>
      <w:r w:rsidR="00782FAA" w:rsidRPr="0097373B">
        <w:rPr>
          <w:rFonts w:ascii="Times New Roman" w:hAnsi="Times New Roman" w:cs="Times New Roman"/>
          <w:color w:val="262626"/>
        </w:rPr>
        <w:t>,</w:t>
      </w:r>
      <w:r w:rsidR="005B3F2B" w:rsidRPr="0097373B">
        <w:rPr>
          <w:rFonts w:ascii="Times New Roman" w:hAnsi="Times New Roman" w:cs="Times New Roman"/>
        </w:rPr>
        <w:t xml:space="preserve"> Hazes JM, Belo JN, Lievense AM, et al</w:t>
      </w:r>
      <w:r w:rsidRPr="0097373B">
        <w:rPr>
          <w:rFonts w:ascii="Times New Roman" w:hAnsi="Times New Roman" w:cs="Times New Roman"/>
        </w:rPr>
        <w:t xml:space="preserve">. </w:t>
      </w:r>
      <w:r w:rsidRPr="0097373B">
        <w:rPr>
          <w:rFonts w:ascii="Times New Roman" w:hAnsi="Times New Roman" w:cs="Times New Roman"/>
          <w:bCs/>
        </w:rPr>
        <w:t xml:space="preserve">Body mass index associated with onset and progression of osteoarthritis of the knee but not of the hip: the Rotterdam Study. </w:t>
      </w:r>
      <w:r w:rsidRPr="0097373B">
        <w:rPr>
          <w:rFonts w:ascii="Times New Roman" w:hAnsi="Times New Roman" w:cs="Times New Roman"/>
          <w:color w:val="262626"/>
        </w:rPr>
        <w:t>Ann Rheum Dis</w:t>
      </w:r>
      <w:r w:rsidRPr="0097373B">
        <w:rPr>
          <w:rFonts w:ascii="Times New Roman" w:hAnsi="Times New Roman" w:cs="Times New Roman"/>
        </w:rPr>
        <w:t xml:space="preserve"> 2007;66:158-62. </w:t>
      </w:r>
    </w:p>
    <w:p w14:paraId="7181D337" w14:textId="00065EC6" w:rsidR="00BF3664" w:rsidRPr="0097373B" w:rsidRDefault="00BF3664" w:rsidP="001D2514">
      <w:pPr>
        <w:widowControl w:val="0"/>
        <w:autoSpaceDE w:val="0"/>
        <w:autoSpaceDN w:val="0"/>
        <w:adjustRightInd w:val="0"/>
        <w:spacing w:line="480" w:lineRule="auto"/>
        <w:jc w:val="both"/>
        <w:rPr>
          <w:rFonts w:ascii="Times New Roman" w:hAnsi="Times New Roman" w:cs="Times New Roman"/>
          <w:bCs/>
        </w:rPr>
      </w:pPr>
      <w:r w:rsidRPr="0097373B">
        <w:rPr>
          <w:rFonts w:ascii="Times New Roman" w:hAnsi="Times New Roman" w:cs="Times New Roman"/>
        </w:rPr>
        <w:t xml:space="preserve">8- </w:t>
      </w:r>
      <w:hyperlink r:id="rId31" w:history="1">
        <w:r w:rsidRPr="0097373B">
          <w:rPr>
            <w:rFonts w:ascii="Times New Roman" w:hAnsi="Times New Roman" w:cs="Times New Roman"/>
            <w:color w:val="262626"/>
          </w:rPr>
          <w:t>Grotle M</w:t>
        </w:r>
      </w:hyperlink>
      <w:r w:rsidRPr="0097373B">
        <w:rPr>
          <w:rFonts w:ascii="Times New Roman" w:hAnsi="Times New Roman" w:cs="Times New Roman"/>
        </w:rPr>
        <w:t xml:space="preserve">, </w:t>
      </w:r>
      <w:hyperlink r:id="rId32" w:history="1">
        <w:r w:rsidRPr="0097373B">
          <w:rPr>
            <w:rFonts w:ascii="Times New Roman" w:hAnsi="Times New Roman" w:cs="Times New Roman"/>
            <w:color w:val="262626"/>
          </w:rPr>
          <w:t>Hagen KB</w:t>
        </w:r>
      </w:hyperlink>
      <w:r w:rsidRPr="0097373B">
        <w:rPr>
          <w:rFonts w:ascii="Times New Roman" w:hAnsi="Times New Roman" w:cs="Times New Roman"/>
        </w:rPr>
        <w:t xml:space="preserve">, </w:t>
      </w:r>
      <w:hyperlink r:id="rId33" w:history="1">
        <w:r w:rsidRPr="0097373B">
          <w:rPr>
            <w:rFonts w:ascii="Times New Roman" w:hAnsi="Times New Roman" w:cs="Times New Roman"/>
            <w:color w:val="262626"/>
          </w:rPr>
          <w:t>Natvig B</w:t>
        </w:r>
      </w:hyperlink>
      <w:r w:rsidRPr="0097373B">
        <w:rPr>
          <w:rFonts w:ascii="Times New Roman" w:hAnsi="Times New Roman" w:cs="Times New Roman"/>
        </w:rPr>
        <w:t>,</w:t>
      </w:r>
      <w:r w:rsidR="005B3F2B" w:rsidRPr="0097373B">
        <w:rPr>
          <w:rFonts w:ascii="Times New Roman" w:hAnsi="Times New Roman" w:cs="Times New Roman"/>
        </w:rPr>
        <w:t xml:space="preserve"> Dahl FA, Kvien TK</w:t>
      </w:r>
      <w:r w:rsidRPr="0097373B">
        <w:rPr>
          <w:rFonts w:ascii="Times New Roman" w:hAnsi="Times New Roman" w:cs="Times New Roman"/>
        </w:rPr>
        <w:t xml:space="preserve">. </w:t>
      </w:r>
      <w:r w:rsidRPr="0097373B">
        <w:rPr>
          <w:rFonts w:ascii="Times New Roman" w:hAnsi="Times New Roman" w:cs="Times New Roman"/>
          <w:bCs/>
        </w:rPr>
        <w:t xml:space="preserve">Obesity and osteoarthritis in knee, hip and/or hand: an epidemiological study in the general population with 10 years follow-up. </w:t>
      </w:r>
      <w:r w:rsidRPr="0097373B">
        <w:rPr>
          <w:rFonts w:ascii="Times New Roman" w:hAnsi="Times New Roman" w:cs="Times New Roman"/>
          <w:color w:val="262626"/>
        </w:rPr>
        <w:t>BMC Musculoskelet Disord</w:t>
      </w:r>
      <w:r w:rsidRPr="0097373B">
        <w:rPr>
          <w:rFonts w:ascii="Times New Roman" w:hAnsi="Times New Roman" w:cs="Times New Roman"/>
        </w:rPr>
        <w:t xml:space="preserve"> 2008;9:132. </w:t>
      </w:r>
    </w:p>
    <w:p w14:paraId="1C90D3A7" w14:textId="0D335334" w:rsidR="00BF3664" w:rsidRPr="0097373B" w:rsidRDefault="00BF3664" w:rsidP="001D2514">
      <w:pPr>
        <w:widowControl w:val="0"/>
        <w:autoSpaceDE w:val="0"/>
        <w:autoSpaceDN w:val="0"/>
        <w:adjustRightInd w:val="0"/>
        <w:spacing w:line="480" w:lineRule="auto"/>
        <w:jc w:val="both"/>
        <w:rPr>
          <w:rFonts w:ascii="Times New Roman" w:hAnsi="Times New Roman" w:cs="Times New Roman"/>
          <w:bCs/>
        </w:rPr>
      </w:pPr>
      <w:r w:rsidRPr="0097373B">
        <w:rPr>
          <w:rFonts w:ascii="Times New Roman" w:hAnsi="Times New Roman" w:cs="Times New Roman"/>
        </w:rPr>
        <w:t xml:space="preserve">9- </w:t>
      </w:r>
      <w:hyperlink r:id="rId34" w:history="1">
        <w:r w:rsidRPr="0097373B">
          <w:rPr>
            <w:rFonts w:ascii="Times New Roman" w:hAnsi="Times New Roman" w:cs="Times New Roman"/>
            <w:color w:val="262626"/>
          </w:rPr>
          <w:t>Lohmander LS</w:t>
        </w:r>
      </w:hyperlink>
      <w:r w:rsidRPr="0097373B">
        <w:rPr>
          <w:rFonts w:ascii="Times New Roman" w:hAnsi="Times New Roman" w:cs="Times New Roman"/>
        </w:rPr>
        <w:t xml:space="preserve">, </w:t>
      </w:r>
      <w:hyperlink r:id="rId35" w:history="1">
        <w:r w:rsidRPr="0097373B">
          <w:rPr>
            <w:rFonts w:ascii="Times New Roman" w:hAnsi="Times New Roman" w:cs="Times New Roman"/>
            <w:color w:val="262626"/>
          </w:rPr>
          <w:t>Gerhardsson de Verdier M</w:t>
        </w:r>
      </w:hyperlink>
      <w:r w:rsidRPr="0097373B">
        <w:rPr>
          <w:rFonts w:ascii="Times New Roman" w:hAnsi="Times New Roman" w:cs="Times New Roman"/>
        </w:rPr>
        <w:t>,</w:t>
      </w:r>
      <w:r w:rsidR="005B3F2B" w:rsidRPr="0097373B">
        <w:rPr>
          <w:rFonts w:ascii="Times New Roman" w:hAnsi="Times New Roman" w:cs="Times New Roman"/>
        </w:rPr>
        <w:t xml:space="preserve"> Rollof J, Nilsson PM, Engström G</w:t>
      </w:r>
      <w:r w:rsidRPr="0097373B">
        <w:rPr>
          <w:rFonts w:ascii="Times New Roman" w:hAnsi="Times New Roman" w:cs="Times New Roman"/>
        </w:rPr>
        <w:t xml:space="preserve">. </w:t>
      </w:r>
      <w:r w:rsidRPr="0097373B">
        <w:rPr>
          <w:rFonts w:ascii="Times New Roman" w:hAnsi="Times New Roman" w:cs="Times New Roman"/>
          <w:bCs/>
        </w:rPr>
        <w:t xml:space="preserve">Incidence of </w:t>
      </w:r>
      <w:r w:rsidRPr="0097373B">
        <w:rPr>
          <w:rFonts w:ascii="Times New Roman" w:hAnsi="Times New Roman" w:cs="Times New Roman"/>
          <w:bCs/>
        </w:rPr>
        <w:lastRenderedPageBreak/>
        <w:t xml:space="preserve">severe knee and hip osteoarthritis in relation to different measures of body mass: a population-based prospective cohort study. </w:t>
      </w:r>
      <w:r w:rsidRPr="0097373B">
        <w:rPr>
          <w:rFonts w:ascii="Times New Roman" w:hAnsi="Times New Roman" w:cs="Times New Roman"/>
          <w:color w:val="262626"/>
        </w:rPr>
        <w:t>Ann Rheum Dis</w:t>
      </w:r>
      <w:r w:rsidRPr="0097373B">
        <w:rPr>
          <w:rFonts w:ascii="Times New Roman" w:hAnsi="Times New Roman" w:cs="Times New Roman"/>
        </w:rPr>
        <w:t xml:space="preserve"> 2009;68:490-6. </w:t>
      </w:r>
    </w:p>
    <w:p w14:paraId="7B146C14" w14:textId="3DA88A69" w:rsidR="00BF3664" w:rsidRPr="0097373B" w:rsidRDefault="00BF3664" w:rsidP="001D2514">
      <w:pPr>
        <w:widowControl w:val="0"/>
        <w:autoSpaceDE w:val="0"/>
        <w:autoSpaceDN w:val="0"/>
        <w:adjustRightInd w:val="0"/>
        <w:spacing w:line="480" w:lineRule="auto"/>
        <w:jc w:val="both"/>
        <w:rPr>
          <w:rFonts w:ascii="Times New Roman" w:hAnsi="Times New Roman" w:cs="Times New Roman"/>
          <w:bCs/>
        </w:rPr>
      </w:pPr>
      <w:r w:rsidRPr="0097373B">
        <w:rPr>
          <w:rFonts w:ascii="Times New Roman" w:hAnsi="Times New Roman" w:cs="Times New Roman"/>
        </w:rPr>
        <w:t xml:space="preserve">10- </w:t>
      </w:r>
      <w:hyperlink r:id="rId36" w:history="1">
        <w:r w:rsidRPr="0097373B">
          <w:rPr>
            <w:rFonts w:ascii="Times New Roman" w:hAnsi="Times New Roman" w:cs="Times New Roman"/>
            <w:color w:val="262626"/>
          </w:rPr>
          <w:t>Yusuf E</w:t>
        </w:r>
      </w:hyperlink>
      <w:r w:rsidRPr="0097373B">
        <w:rPr>
          <w:rFonts w:ascii="Times New Roman" w:hAnsi="Times New Roman" w:cs="Times New Roman"/>
        </w:rPr>
        <w:t xml:space="preserve">, </w:t>
      </w:r>
      <w:hyperlink r:id="rId37" w:history="1">
        <w:r w:rsidRPr="0097373B">
          <w:rPr>
            <w:rFonts w:ascii="Times New Roman" w:hAnsi="Times New Roman" w:cs="Times New Roman"/>
            <w:color w:val="262626"/>
          </w:rPr>
          <w:t>Nelissen RG</w:t>
        </w:r>
      </w:hyperlink>
      <w:r w:rsidRPr="0097373B">
        <w:rPr>
          <w:rFonts w:ascii="Times New Roman" w:hAnsi="Times New Roman" w:cs="Times New Roman"/>
        </w:rPr>
        <w:t xml:space="preserve">, </w:t>
      </w:r>
      <w:hyperlink r:id="rId38" w:history="1">
        <w:r w:rsidRPr="0097373B">
          <w:rPr>
            <w:rFonts w:ascii="Times New Roman" w:hAnsi="Times New Roman" w:cs="Times New Roman"/>
            <w:color w:val="262626"/>
          </w:rPr>
          <w:t>Ioan-Facsinay A</w:t>
        </w:r>
      </w:hyperlink>
      <w:r w:rsidRPr="0097373B">
        <w:rPr>
          <w:rFonts w:ascii="Times New Roman" w:hAnsi="Times New Roman" w:cs="Times New Roman"/>
        </w:rPr>
        <w:t>,</w:t>
      </w:r>
      <w:r w:rsidR="005B3F2B" w:rsidRPr="0097373B">
        <w:rPr>
          <w:rFonts w:ascii="Times New Roman" w:hAnsi="Times New Roman" w:cs="Times New Roman"/>
        </w:rPr>
        <w:t xml:space="preserve"> Stojanovic-Susulic V, DeGroot J, van Osch G</w:t>
      </w:r>
      <w:r w:rsidRPr="0097373B">
        <w:rPr>
          <w:rFonts w:ascii="Times New Roman" w:hAnsi="Times New Roman" w:cs="Times New Roman"/>
        </w:rPr>
        <w:t xml:space="preserve"> et al. </w:t>
      </w:r>
      <w:r w:rsidRPr="0097373B">
        <w:rPr>
          <w:rFonts w:ascii="Times New Roman" w:hAnsi="Times New Roman" w:cs="Times New Roman"/>
          <w:bCs/>
        </w:rPr>
        <w:t xml:space="preserve">Association between weight or body mass index and hand osteoarthritis: a systematic review. </w:t>
      </w:r>
      <w:r w:rsidRPr="0097373B">
        <w:rPr>
          <w:rFonts w:ascii="Times New Roman" w:hAnsi="Times New Roman" w:cs="Times New Roman"/>
          <w:color w:val="262626"/>
        </w:rPr>
        <w:t>Ann Rheum Dis</w:t>
      </w:r>
      <w:r w:rsidRPr="0097373B">
        <w:rPr>
          <w:rFonts w:ascii="Times New Roman" w:hAnsi="Times New Roman" w:cs="Times New Roman"/>
        </w:rPr>
        <w:t xml:space="preserve"> 2010;69:761-5. </w:t>
      </w:r>
    </w:p>
    <w:p w14:paraId="5983473B" w14:textId="487DEEBA" w:rsidR="00BF3664" w:rsidRPr="0097373B" w:rsidRDefault="00BF3664" w:rsidP="001D2514">
      <w:pPr>
        <w:widowControl w:val="0"/>
        <w:autoSpaceDE w:val="0"/>
        <w:autoSpaceDN w:val="0"/>
        <w:adjustRightInd w:val="0"/>
        <w:spacing w:line="480" w:lineRule="auto"/>
        <w:jc w:val="both"/>
        <w:rPr>
          <w:rFonts w:ascii="Times New Roman" w:hAnsi="Times New Roman" w:cs="Times New Roman"/>
          <w:bCs/>
        </w:rPr>
      </w:pPr>
      <w:r w:rsidRPr="0097373B">
        <w:rPr>
          <w:rFonts w:ascii="Times New Roman" w:hAnsi="Times New Roman" w:cs="Times New Roman"/>
        </w:rPr>
        <w:t>11-</w:t>
      </w:r>
      <w:hyperlink r:id="rId39" w:history="1">
        <w:r w:rsidRPr="0097373B">
          <w:rPr>
            <w:rFonts w:ascii="Times New Roman" w:hAnsi="Times New Roman" w:cs="Times New Roman"/>
            <w:color w:val="262626"/>
          </w:rPr>
          <w:t>Jiang L</w:t>
        </w:r>
      </w:hyperlink>
      <w:r w:rsidRPr="0097373B">
        <w:rPr>
          <w:rFonts w:ascii="Times New Roman" w:hAnsi="Times New Roman" w:cs="Times New Roman"/>
        </w:rPr>
        <w:t xml:space="preserve">, </w:t>
      </w:r>
      <w:hyperlink r:id="rId40" w:history="1">
        <w:r w:rsidRPr="0097373B">
          <w:rPr>
            <w:rFonts w:ascii="Times New Roman" w:hAnsi="Times New Roman" w:cs="Times New Roman"/>
            <w:color w:val="262626"/>
          </w:rPr>
          <w:t>Rong J</w:t>
        </w:r>
      </w:hyperlink>
      <w:r w:rsidRPr="0097373B">
        <w:rPr>
          <w:rFonts w:ascii="Times New Roman" w:hAnsi="Times New Roman" w:cs="Times New Roman"/>
        </w:rPr>
        <w:t xml:space="preserve">, </w:t>
      </w:r>
      <w:hyperlink r:id="rId41" w:history="1">
        <w:r w:rsidRPr="0097373B">
          <w:rPr>
            <w:rFonts w:ascii="Times New Roman" w:hAnsi="Times New Roman" w:cs="Times New Roman"/>
            <w:color w:val="262626"/>
          </w:rPr>
          <w:t>Wang Y</w:t>
        </w:r>
      </w:hyperlink>
      <w:r w:rsidRPr="0097373B">
        <w:rPr>
          <w:rFonts w:ascii="Times New Roman" w:hAnsi="Times New Roman" w:cs="Times New Roman"/>
        </w:rPr>
        <w:t>,</w:t>
      </w:r>
      <w:r w:rsidR="00962AE0" w:rsidRPr="0097373B">
        <w:rPr>
          <w:rFonts w:ascii="Times New Roman" w:hAnsi="Times New Roman" w:cs="Times New Roman"/>
        </w:rPr>
        <w:t xml:space="preserve"> Hu F, Bao C, Li X,</w:t>
      </w:r>
      <w:r w:rsidRPr="0097373B">
        <w:rPr>
          <w:rFonts w:ascii="Times New Roman" w:hAnsi="Times New Roman" w:cs="Times New Roman"/>
        </w:rPr>
        <w:t xml:space="preserve"> et al. </w:t>
      </w:r>
      <w:r w:rsidRPr="0097373B">
        <w:rPr>
          <w:rFonts w:ascii="Times New Roman" w:hAnsi="Times New Roman" w:cs="Times New Roman"/>
          <w:bCs/>
        </w:rPr>
        <w:t xml:space="preserve">The relationship between body mass index and hip osteoarthritis: a systematic review and meta-analysis. </w:t>
      </w:r>
      <w:r w:rsidRPr="0097373B">
        <w:rPr>
          <w:rFonts w:ascii="Times New Roman" w:hAnsi="Times New Roman" w:cs="Times New Roman"/>
          <w:color w:val="262626"/>
        </w:rPr>
        <w:t>Joint Bone Spine</w:t>
      </w:r>
      <w:r w:rsidRPr="0097373B">
        <w:rPr>
          <w:rFonts w:ascii="Times New Roman" w:hAnsi="Times New Roman" w:cs="Times New Roman"/>
        </w:rPr>
        <w:t xml:space="preserve"> 2011;78:150-5. </w:t>
      </w:r>
    </w:p>
    <w:p w14:paraId="1C5087F7" w14:textId="45C3960E" w:rsidR="00BF3664" w:rsidRPr="0097373B" w:rsidRDefault="00BF3664" w:rsidP="001D2514">
      <w:pPr>
        <w:widowControl w:val="0"/>
        <w:autoSpaceDE w:val="0"/>
        <w:autoSpaceDN w:val="0"/>
        <w:adjustRightInd w:val="0"/>
        <w:spacing w:line="480" w:lineRule="auto"/>
        <w:jc w:val="both"/>
        <w:rPr>
          <w:rFonts w:ascii="Times New Roman" w:hAnsi="Times New Roman" w:cs="Times New Roman"/>
          <w:lang w:val="es-ES"/>
        </w:rPr>
      </w:pPr>
      <w:r w:rsidRPr="0097373B">
        <w:rPr>
          <w:rFonts w:ascii="Times New Roman" w:hAnsi="Times New Roman" w:cs="Times New Roman"/>
        </w:rPr>
        <w:t>12-</w:t>
      </w:r>
      <w:hyperlink r:id="rId42" w:history="1">
        <w:r w:rsidRPr="0097373B">
          <w:rPr>
            <w:rFonts w:ascii="Times New Roman" w:hAnsi="Times New Roman" w:cs="Times New Roman"/>
            <w:color w:val="262626"/>
          </w:rPr>
          <w:t>King LK</w:t>
        </w:r>
      </w:hyperlink>
      <w:r w:rsidRPr="0097373B">
        <w:rPr>
          <w:rFonts w:ascii="Times New Roman" w:hAnsi="Times New Roman" w:cs="Times New Roman"/>
        </w:rPr>
        <w:t xml:space="preserve">, </w:t>
      </w:r>
      <w:hyperlink r:id="rId43" w:history="1">
        <w:r w:rsidRPr="0097373B">
          <w:rPr>
            <w:rFonts w:ascii="Times New Roman" w:hAnsi="Times New Roman" w:cs="Times New Roman"/>
            <w:color w:val="262626"/>
          </w:rPr>
          <w:t>March L</w:t>
        </w:r>
      </w:hyperlink>
      <w:r w:rsidRPr="0097373B">
        <w:rPr>
          <w:rFonts w:ascii="Times New Roman" w:hAnsi="Times New Roman" w:cs="Times New Roman"/>
        </w:rPr>
        <w:t xml:space="preserve">, </w:t>
      </w:r>
      <w:hyperlink r:id="rId44" w:history="1">
        <w:r w:rsidRPr="0097373B">
          <w:rPr>
            <w:rFonts w:ascii="Times New Roman" w:hAnsi="Times New Roman" w:cs="Times New Roman"/>
            <w:color w:val="262626"/>
          </w:rPr>
          <w:t>Anandacoomarasamy A</w:t>
        </w:r>
      </w:hyperlink>
      <w:r w:rsidRPr="0097373B">
        <w:rPr>
          <w:rFonts w:ascii="Times New Roman" w:hAnsi="Times New Roman" w:cs="Times New Roman"/>
        </w:rPr>
        <w:t xml:space="preserve">. </w:t>
      </w:r>
      <w:r w:rsidRPr="0097373B">
        <w:rPr>
          <w:rFonts w:ascii="Times New Roman" w:hAnsi="Times New Roman" w:cs="Times New Roman"/>
          <w:bCs/>
        </w:rPr>
        <w:t xml:space="preserve">Obesity &amp; osteoarthritis. </w:t>
      </w:r>
      <w:r w:rsidRPr="0097373B">
        <w:rPr>
          <w:rFonts w:ascii="Times New Roman" w:hAnsi="Times New Roman" w:cs="Times New Roman"/>
          <w:color w:val="262626"/>
          <w:lang w:val="es-ES"/>
        </w:rPr>
        <w:t>Indian J Med Res</w:t>
      </w:r>
      <w:r w:rsidRPr="0097373B">
        <w:rPr>
          <w:rFonts w:ascii="Times New Roman" w:hAnsi="Times New Roman" w:cs="Times New Roman"/>
          <w:lang w:val="es-ES"/>
        </w:rPr>
        <w:t xml:space="preserve"> 2013;138:185-93.</w:t>
      </w:r>
    </w:p>
    <w:p w14:paraId="587CC6ED" w14:textId="0C4E98C3" w:rsidR="00BF3664" w:rsidRPr="0097373B" w:rsidRDefault="00BF3664" w:rsidP="001D2514">
      <w:pPr>
        <w:widowControl w:val="0"/>
        <w:autoSpaceDE w:val="0"/>
        <w:autoSpaceDN w:val="0"/>
        <w:adjustRightInd w:val="0"/>
        <w:spacing w:line="480" w:lineRule="auto"/>
        <w:jc w:val="both"/>
        <w:rPr>
          <w:rFonts w:ascii="Times New Roman" w:hAnsi="Times New Roman" w:cs="Times New Roman"/>
        </w:rPr>
      </w:pPr>
      <w:r w:rsidRPr="0097373B">
        <w:rPr>
          <w:rFonts w:ascii="Times New Roman" w:hAnsi="Times New Roman" w:cs="Times New Roman"/>
          <w:lang w:val="es-ES"/>
        </w:rPr>
        <w:t>13-Prieto-Alhambra D, Nogues X, Javaid MK,</w:t>
      </w:r>
      <w:r w:rsidR="00962AE0" w:rsidRPr="0097373B">
        <w:rPr>
          <w:rFonts w:ascii="Times New Roman" w:hAnsi="Times New Roman" w:cs="Times New Roman"/>
          <w:lang w:val="es-ES"/>
        </w:rPr>
        <w:t xml:space="preserve"> Wyman A, Arden NK, Azagra R,</w:t>
      </w:r>
      <w:r w:rsidRPr="0097373B">
        <w:rPr>
          <w:rFonts w:ascii="Times New Roman" w:hAnsi="Times New Roman" w:cs="Times New Roman"/>
          <w:lang w:val="es-ES"/>
        </w:rPr>
        <w:t xml:space="preserve"> et al.  </w:t>
      </w:r>
      <w:r w:rsidRPr="0097373B">
        <w:rPr>
          <w:rFonts w:ascii="Times New Roman" w:hAnsi="Times New Roman" w:cs="Times New Roman"/>
        </w:rPr>
        <w:t>An increased rate of falling leads to a rise in fracture risk in postmenopausal women with self-reported osteoarthritis: a prospective multinational cohort study (GLOW). Ann Rheum Dis 2013;72:911–7.</w:t>
      </w:r>
    </w:p>
    <w:p w14:paraId="45E854C7" w14:textId="227A9E19" w:rsidR="00BF3664" w:rsidRPr="0097373B" w:rsidRDefault="00BF3664" w:rsidP="001D2514">
      <w:pPr>
        <w:widowControl w:val="0"/>
        <w:autoSpaceDE w:val="0"/>
        <w:autoSpaceDN w:val="0"/>
        <w:adjustRightInd w:val="0"/>
        <w:spacing w:line="480" w:lineRule="auto"/>
        <w:jc w:val="both"/>
        <w:rPr>
          <w:rFonts w:ascii="Times New Roman" w:hAnsi="Times New Roman" w:cs="Times New Roman"/>
          <w:bCs/>
          <w:lang w:val="es-ES"/>
        </w:rPr>
      </w:pPr>
      <w:r w:rsidRPr="0097373B">
        <w:rPr>
          <w:rFonts w:ascii="Times New Roman" w:hAnsi="Times New Roman" w:cs="Times New Roman"/>
        </w:rPr>
        <w:t xml:space="preserve">14- </w:t>
      </w:r>
      <w:hyperlink r:id="rId45" w:history="1">
        <w:r w:rsidRPr="0097373B">
          <w:rPr>
            <w:rFonts w:ascii="Times New Roman" w:hAnsi="Times New Roman" w:cs="Times New Roman"/>
            <w:color w:val="262626"/>
          </w:rPr>
          <w:t>Prieto-Alhambra D</w:t>
        </w:r>
      </w:hyperlink>
      <w:r w:rsidRPr="0097373B">
        <w:rPr>
          <w:rFonts w:ascii="Times New Roman" w:hAnsi="Times New Roman" w:cs="Times New Roman"/>
        </w:rPr>
        <w:t xml:space="preserve">, </w:t>
      </w:r>
      <w:hyperlink r:id="rId46" w:history="1">
        <w:r w:rsidRPr="0097373B">
          <w:rPr>
            <w:rFonts w:ascii="Times New Roman" w:hAnsi="Times New Roman" w:cs="Times New Roman"/>
            <w:color w:val="262626"/>
          </w:rPr>
          <w:t>Judge A</w:t>
        </w:r>
      </w:hyperlink>
      <w:r w:rsidRPr="0097373B">
        <w:rPr>
          <w:rFonts w:ascii="Times New Roman" w:hAnsi="Times New Roman" w:cs="Times New Roman"/>
        </w:rPr>
        <w:t xml:space="preserve">, </w:t>
      </w:r>
      <w:hyperlink r:id="rId47" w:history="1">
        <w:r w:rsidRPr="0097373B">
          <w:rPr>
            <w:rFonts w:ascii="Times New Roman" w:hAnsi="Times New Roman" w:cs="Times New Roman"/>
            <w:color w:val="262626"/>
          </w:rPr>
          <w:t>Javaid MK</w:t>
        </w:r>
      </w:hyperlink>
      <w:r w:rsidRPr="0097373B">
        <w:rPr>
          <w:rFonts w:ascii="Times New Roman" w:hAnsi="Times New Roman" w:cs="Times New Roman"/>
        </w:rPr>
        <w:t>,</w:t>
      </w:r>
      <w:r w:rsidR="00782FAA" w:rsidRPr="0097373B">
        <w:rPr>
          <w:rFonts w:ascii="Times New Roman" w:hAnsi="Times New Roman" w:cs="Times New Roman"/>
        </w:rPr>
        <w:t xml:space="preserve"> </w:t>
      </w:r>
      <w:r w:rsidR="00962AE0" w:rsidRPr="0097373B">
        <w:rPr>
          <w:rFonts w:ascii="Times New Roman" w:hAnsi="Times New Roman" w:cs="Times New Roman"/>
        </w:rPr>
        <w:t>Cooper C, Diez-Perez A, Arden NK</w:t>
      </w:r>
      <w:r w:rsidRPr="0097373B">
        <w:rPr>
          <w:rFonts w:ascii="Times New Roman" w:hAnsi="Times New Roman" w:cs="Times New Roman"/>
        </w:rPr>
        <w:t xml:space="preserve">. </w:t>
      </w:r>
      <w:r w:rsidRPr="0097373B">
        <w:rPr>
          <w:rFonts w:ascii="Times New Roman" w:hAnsi="Times New Roman" w:cs="Times New Roman"/>
          <w:bCs/>
        </w:rPr>
        <w:t xml:space="preserve">Incidence and risk factors for clinically diagnosed knee, hip and hand osteoarthritis: influences of age, gender and osteoarthritis affecting other joints. </w:t>
      </w:r>
      <w:r w:rsidRPr="0097373B">
        <w:rPr>
          <w:rFonts w:ascii="Times New Roman" w:hAnsi="Times New Roman" w:cs="Times New Roman"/>
          <w:color w:val="262626"/>
          <w:lang w:val="es-ES"/>
        </w:rPr>
        <w:t>Ann Rheum Dis</w:t>
      </w:r>
      <w:r w:rsidRPr="0097373B">
        <w:rPr>
          <w:rFonts w:ascii="Times New Roman" w:hAnsi="Times New Roman" w:cs="Times New Roman"/>
          <w:lang w:val="es-ES"/>
        </w:rPr>
        <w:t xml:space="preserve"> 2014;73:1659-64. </w:t>
      </w:r>
    </w:p>
    <w:p w14:paraId="7D093898" w14:textId="6984FFAA" w:rsidR="00BF3664" w:rsidRPr="0097373B" w:rsidRDefault="00BF3664" w:rsidP="001D2514">
      <w:pPr>
        <w:widowControl w:val="0"/>
        <w:autoSpaceDE w:val="0"/>
        <w:autoSpaceDN w:val="0"/>
        <w:adjustRightInd w:val="0"/>
        <w:spacing w:line="480" w:lineRule="auto"/>
        <w:jc w:val="both"/>
        <w:rPr>
          <w:rFonts w:ascii="Times New Roman" w:hAnsi="Times New Roman" w:cs="Times New Roman"/>
          <w:lang w:val="es-ES"/>
        </w:rPr>
      </w:pPr>
      <w:r w:rsidRPr="0097373B">
        <w:rPr>
          <w:rFonts w:ascii="Times New Roman" w:hAnsi="Times New Roman" w:cs="Times New Roman"/>
          <w:lang w:val="es-ES"/>
        </w:rPr>
        <w:t>15-Garcia-Gil M</w:t>
      </w:r>
      <w:r w:rsidR="00782FAA" w:rsidRPr="0097373B">
        <w:rPr>
          <w:rFonts w:ascii="Times New Roman" w:hAnsi="Times New Roman" w:cs="Times New Roman"/>
          <w:lang w:val="es-ES"/>
        </w:rPr>
        <w:t xml:space="preserve"> </w:t>
      </w:r>
      <w:r w:rsidRPr="0097373B">
        <w:rPr>
          <w:rFonts w:ascii="Times New Roman" w:hAnsi="Times New Roman" w:cs="Times New Roman"/>
          <w:lang w:val="es-ES"/>
        </w:rPr>
        <w:t>del M, Hermos</w:t>
      </w:r>
      <w:r w:rsidR="00962AE0" w:rsidRPr="0097373B">
        <w:rPr>
          <w:rFonts w:ascii="Times New Roman" w:hAnsi="Times New Roman" w:cs="Times New Roman"/>
          <w:lang w:val="es-ES"/>
        </w:rPr>
        <w:t>illa E, Prieto-Alhambra D, Fina F, Rosell M, Ramos R, et al</w:t>
      </w:r>
      <w:r w:rsidRPr="0097373B">
        <w:rPr>
          <w:rFonts w:ascii="Times New Roman" w:hAnsi="Times New Roman" w:cs="Times New Roman"/>
          <w:lang w:val="es-ES"/>
        </w:rPr>
        <w:t xml:space="preserve">. </w:t>
      </w:r>
      <w:r w:rsidRPr="0097373B">
        <w:rPr>
          <w:rFonts w:ascii="Times New Roman" w:hAnsi="Times New Roman" w:cs="Times New Roman"/>
        </w:rPr>
        <w:t xml:space="preserve">Construction and validation of a scoring system for the selection of high-quality data in a Spanish population primary care database (SIDIAP). </w:t>
      </w:r>
      <w:r w:rsidRPr="0097373B">
        <w:rPr>
          <w:rFonts w:ascii="Times New Roman" w:hAnsi="Times New Roman" w:cs="Times New Roman"/>
          <w:lang w:val="es-ES"/>
        </w:rPr>
        <w:t>Inform Prim Care 2012;19:135–45.</w:t>
      </w:r>
    </w:p>
    <w:p w14:paraId="65CD2B68" w14:textId="10F04C37" w:rsidR="00BF3664" w:rsidRPr="0097373B" w:rsidRDefault="00BF3664" w:rsidP="001D2514">
      <w:pPr>
        <w:widowControl w:val="0"/>
        <w:autoSpaceDE w:val="0"/>
        <w:autoSpaceDN w:val="0"/>
        <w:adjustRightInd w:val="0"/>
        <w:spacing w:line="480" w:lineRule="auto"/>
        <w:jc w:val="both"/>
        <w:rPr>
          <w:rFonts w:ascii="Times New Roman" w:hAnsi="Times New Roman" w:cs="Times New Roman"/>
          <w:bCs/>
          <w:lang w:val="es-ES"/>
        </w:rPr>
      </w:pPr>
      <w:r w:rsidRPr="0097373B">
        <w:rPr>
          <w:rFonts w:ascii="Times New Roman" w:hAnsi="Times New Roman" w:cs="Times New Roman"/>
          <w:lang w:val="es-ES"/>
        </w:rPr>
        <w:t xml:space="preserve">16- </w:t>
      </w:r>
      <w:r w:rsidRPr="0097373B">
        <w:rPr>
          <w:rFonts w:ascii="Times New Roman" w:hAnsi="Times New Roman" w:cs="Times New Roman"/>
          <w:bCs/>
          <w:lang w:val="es-ES"/>
        </w:rPr>
        <w:t>Maiques Galán A, Brotons Cuixart C, Villar Álvarez F,</w:t>
      </w:r>
      <w:r w:rsidR="00962AE0" w:rsidRPr="0097373B">
        <w:rPr>
          <w:rFonts w:ascii="Times New Roman" w:hAnsi="Times New Roman" w:cs="Times New Roman"/>
          <w:bCs/>
          <w:lang w:val="es-ES"/>
        </w:rPr>
        <w:t xml:space="preserve"> Navarro Pérez J, Lobos-Bejarano JM, Ortega Sánchez-Pinilla R,</w:t>
      </w:r>
      <w:r w:rsidR="00782FAA" w:rsidRPr="0097373B">
        <w:rPr>
          <w:rFonts w:ascii="Times New Roman" w:hAnsi="Times New Roman" w:cs="Times New Roman"/>
          <w:bCs/>
          <w:lang w:val="es-ES"/>
        </w:rPr>
        <w:t xml:space="preserve"> et al</w:t>
      </w:r>
      <w:r w:rsidRPr="0097373B">
        <w:rPr>
          <w:rFonts w:ascii="Times New Roman" w:hAnsi="Times New Roman" w:cs="Times New Roman"/>
          <w:bCs/>
          <w:lang w:val="es-ES"/>
        </w:rPr>
        <w:t>. Recomendaciones preventivas cardiovasculares. Aten Primaria. 2012;44 Supl 1:3-15.</w:t>
      </w:r>
    </w:p>
    <w:p w14:paraId="0B072F4B" w14:textId="5AA24EC9" w:rsidR="00BF3664" w:rsidRPr="0097373B" w:rsidRDefault="00BF3664" w:rsidP="001D2514">
      <w:pPr>
        <w:widowControl w:val="0"/>
        <w:autoSpaceDE w:val="0"/>
        <w:autoSpaceDN w:val="0"/>
        <w:adjustRightInd w:val="0"/>
        <w:spacing w:line="480" w:lineRule="auto"/>
        <w:jc w:val="both"/>
        <w:rPr>
          <w:rFonts w:ascii="Times New Roman" w:hAnsi="Times New Roman" w:cs="Times New Roman"/>
          <w:bCs/>
        </w:rPr>
      </w:pPr>
      <w:r w:rsidRPr="0097373B">
        <w:rPr>
          <w:rFonts w:ascii="Times New Roman" w:hAnsi="Times New Roman" w:cs="Times New Roman"/>
          <w:bCs/>
          <w:lang w:val="es-ES"/>
        </w:rPr>
        <w:lastRenderedPageBreak/>
        <w:t xml:space="preserve">17- </w:t>
      </w:r>
      <w:hyperlink r:id="rId48" w:history="1">
        <w:r w:rsidRPr="0097373B">
          <w:rPr>
            <w:rFonts w:ascii="Times New Roman" w:hAnsi="Times New Roman" w:cs="Times New Roman"/>
            <w:bCs/>
            <w:lang w:val="es-ES"/>
          </w:rPr>
          <w:t>Gutiérrez-Fisac JL</w:t>
        </w:r>
      </w:hyperlink>
      <w:r w:rsidRPr="0097373B">
        <w:rPr>
          <w:rFonts w:ascii="Times New Roman" w:hAnsi="Times New Roman" w:cs="Times New Roman"/>
          <w:bCs/>
          <w:lang w:val="es-ES"/>
        </w:rPr>
        <w:t xml:space="preserve">, </w:t>
      </w:r>
      <w:hyperlink r:id="rId49" w:history="1">
        <w:r w:rsidRPr="0097373B">
          <w:rPr>
            <w:rFonts w:ascii="Times New Roman" w:hAnsi="Times New Roman" w:cs="Times New Roman"/>
            <w:bCs/>
            <w:lang w:val="es-ES"/>
          </w:rPr>
          <w:t>León-Muñoz LM</w:t>
        </w:r>
      </w:hyperlink>
      <w:r w:rsidRPr="0097373B">
        <w:rPr>
          <w:rFonts w:ascii="Times New Roman" w:hAnsi="Times New Roman" w:cs="Times New Roman"/>
          <w:bCs/>
          <w:lang w:val="es-ES"/>
        </w:rPr>
        <w:t xml:space="preserve">, </w:t>
      </w:r>
      <w:hyperlink r:id="rId50" w:history="1">
        <w:r w:rsidRPr="0097373B">
          <w:rPr>
            <w:rFonts w:ascii="Times New Roman" w:hAnsi="Times New Roman" w:cs="Times New Roman"/>
            <w:bCs/>
            <w:lang w:val="es-ES"/>
          </w:rPr>
          <w:t>Regidor E</w:t>
        </w:r>
      </w:hyperlink>
      <w:r w:rsidRPr="0097373B">
        <w:rPr>
          <w:rFonts w:ascii="Times New Roman" w:hAnsi="Times New Roman" w:cs="Times New Roman"/>
          <w:bCs/>
          <w:lang w:val="es-ES"/>
        </w:rPr>
        <w:t>,</w:t>
      </w:r>
      <w:r w:rsidR="00962AE0" w:rsidRPr="0097373B">
        <w:rPr>
          <w:rFonts w:ascii="Times New Roman" w:hAnsi="Times New Roman" w:cs="Times New Roman"/>
          <w:bCs/>
          <w:lang w:val="es-ES"/>
        </w:rPr>
        <w:t xml:space="preserve"> Banegas J, Rodríguez-Artalejo F</w:t>
      </w:r>
      <w:r w:rsidRPr="0097373B">
        <w:rPr>
          <w:rFonts w:ascii="Times New Roman" w:hAnsi="Times New Roman" w:cs="Times New Roman"/>
          <w:bCs/>
          <w:lang w:val="es-ES"/>
        </w:rPr>
        <w:t xml:space="preserve">. Trends in obesity and abdominal obesity in the older adult population of Spain (2000-2010). </w:t>
      </w:r>
      <w:r w:rsidRPr="0097373B">
        <w:rPr>
          <w:rFonts w:ascii="Times New Roman" w:hAnsi="Times New Roman" w:cs="Times New Roman"/>
          <w:bCs/>
        </w:rPr>
        <w:t xml:space="preserve">Obes Facts. 2013;6(1):1-8. </w:t>
      </w:r>
    </w:p>
    <w:p w14:paraId="2DAE030D" w14:textId="4E2D1599" w:rsidR="00BF3664" w:rsidRPr="0097373B" w:rsidRDefault="00BF3664" w:rsidP="001D2514">
      <w:pPr>
        <w:widowControl w:val="0"/>
        <w:autoSpaceDE w:val="0"/>
        <w:autoSpaceDN w:val="0"/>
        <w:adjustRightInd w:val="0"/>
        <w:spacing w:line="480" w:lineRule="auto"/>
        <w:jc w:val="both"/>
        <w:rPr>
          <w:rFonts w:ascii="Times New Roman" w:hAnsi="Times New Roman" w:cs="Times New Roman"/>
          <w:bCs/>
        </w:rPr>
      </w:pPr>
      <w:r w:rsidRPr="0097373B">
        <w:rPr>
          <w:rFonts w:ascii="Times New Roman" w:hAnsi="Times New Roman" w:cs="Times New Roman"/>
        </w:rPr>
        <w:t xml:space="preserve">18- </w:t>
      </w:r>
      <w:hyperlink r:id="rId51" w:history="1">
        <w:r w:rsidRPr="0097373B">
          <w:rPr>
            <w:rFonts w:ascii="Times New Roman" w:hAnsi="Times New Roman" w:cs="Times New Roman"/>
            <w:bCs/>
          </w:rPr>
          <w:t>Sulsky SI</w:t>
        </w:r>
      </w:hyperlink>
      <w:r w:rsidRPr="0097373B">
        <w:rPr>
          <w:rFonts w:ascii="Times New Roman" w:hAnsi="Times New Roman" w:cs="Times New Roman"/>
          <w:bCs/>
        </w:rPr>
        <w:t xml:space="preserve">, </w:t>
      </w:r>
      <w:hyperlink r:id="rId52" w:history="1">
        <w:r w:rsidRPr="0097373B">
          <w:rPr>
            <w:rFonts w:ascii="Times New Roman" w:hAnsi="Times New Roman" w:cs="Times New Roman"/>
            <w:bCs/>
          </w:rPr>
          <w:t>Carlton L</w:t>
        </w:r>
      </w:hyperlink>
      <w:r w:rsidRPr="0097373B">
        <w:rPr>
          <w:rFonts w:ascii="Times New Roman" w:hAnsi="Times New Roman" w:cs="Times New Roman"/>
          <w:bCs/>
        </w:rPr>
        <w:t xml:space="preserve">, </w:t>
      </w:r>
      <w:hyperlink r:id="rId53" w:history="1">
        <w:r w:rsidRPr="0097373B">
          <w:rPr>
            <w:rFonts w:ascii="Times New Roman" w:hAnsi="Times New Roman" w:cs="Times New Roman"/>
            <w:bCs/>
          </w:rPr>
          <w:t>Bochmann F</w:t>
        </w:r>
      </w:hyperlink>
      <w:r w:rsidRPr="0097373B">
        <w:rPr>
          <w:rFonts w:ascii="Times New Roman" w:hAnsi="Times New Roman" w:cs="Times New Roman"/>
          <w:bCs/>
        </w:rPr>
        <w:t xml:space="preserve">, </w:t>
      </w:r>
      <w:r w:rsidR="00962AE0" w:rsidRPr="0097373B">
        <w:rPr>
          <w:rFonts w:ascii="Times New Roman" w:hAnsi="Times New Roman" w:cs="Times New Roman"/>
          <w:bCs/>
        </w:rPr>
        <w:t>Ellegast R, Glitsch U, Hartmann B</w:t>
      </w:r>
      <w:r w:rsidR="00D628B1" w:rsidRPr="0097373B">
        <w:rPr>
          <w:rFonts w:ascii="Times New Roman" w:hAnsi="Times New Roman" w:cs="Times New Roman"/>
          <w:bCs/>
        </w:rPr>
        <w:t>,</w:t>
      </w:r>
      <w:r w:rsidR="00962AE0" w:rsidRPr="0097373B">
        <w:rPr>
          <w:rFonts w:ascii="Times New Roman" w:hAnsi="Times New Roman" w:cs="Times New Roman"/>
          <w:bCs/>
        </w:rPr>
        <w:t xml:space="preserve"> </w:t>
      </w:r>
      <w:r w:rsidRPr="0097373B">
        <w:rPr>
          <w:rFonts w:ascii="Times New Roman" w:hAnsi="Times New Roman" w:cs="Times New Roman"/>
          <w:bCs/>
        </w:rPr>
        <w:t>et al. Epidemiological evidence for work load as a risk factor for osteoarthritis of the hip: a systematic review. PLoS One</w:t>
      </w:r>
      <w:r w:rsidR="00A02AE3" w:rsidRPr="0097373B">
        <w:rPr>
          <w:rFonts w:ascii="Times New Roman" w:hAnsi="Times New Roman" w:cs="Times New Roman"/>
          <w:bCs/>
        </w:rPr>
        <w:t xml:space="preserve"> </w:t>
      </w:r>
      <w:r w:rsidRPr="0097373B">
        <w:rPr>
          <w:rFonts w:ascii="Times New Roman" w:hAnsi="Times New Roman" w:cs="Times New Roman"/>
          <w:bCs/>
        </w:rPr>
        <w:t>2012;7(2):e31521.</w:t>
      </w:r>
    </w:p>
    <w:p w14:paraId="07B7C30C" w14:textId="1D4808F1" w:rsidR="00BF3664" w:rsidRPr="0097373B" w:rsidRDefault="00BF3664" w:rsidP="001D2514">
      <w:pPr>
        <w:widowControl w:val="0"/>
        <w:autoSpaceDE w:val="0"/>
        <w:autoSpaceDN w:val="0"/>
        <w:adjustRightInd w:val="0"/>
        <w:spacing w:line="480" w:lineRule="auto"/>
        <w:jc w:val="both"/>
        <w:rPr>
          <w:rFonts w:ascii="Times New Roman" w:hAnsi="Times New Roman" w:cs="Times New Roman"/>
          <w:bCs/>
        </w:rPr>
      </w:pPr>
      <w:r w:rsidRPr="0097373B">
        <w:rPr>
          <w:rFonts w:ascii="Times New Roman" w:hAnsi="Times New Roman" w:cs="Times New Roman"/>
        </w:rPr>
        <w:t xml:space="preserve">19- </w:t>
      </w:r>
      <w:hyperlink r:id="rId54" w:history="1">
        <w:r w:rsidRPr="0097373B">
          <w:rPr>
            <w:rFonts w:ascii="Times New Roman" w:hAnsi="Times New Roman" w:cs="Times New Roman"/>
            <w:color w:val="262626"/>
          </w:rPr>
          <w:t>Gelber AC</w:t>
        </w:r>
      </w:hyperlink>
      <w:r w:rsidRPr="0097373B">
        <w:rPr>
          <w:rFonts w:ascii="Times New Roman" w:hAnsi="Times New Roman" w:cs="Times New Roman"/>
        </w:rPr>
        <w:t xml:space="preserve">, </w:t>
      </w:r>
      <w:hyperlink r:id="rId55" w:history="1">
        <w:r w:rsidRPr="0097373B">
          <w:rPr>
            <w:rFonts w:ascii="Times New Roman" w:hAnsi="Times New Roman" w:cs="Times New Roman"/>
            <w:color w:val="262626"/>
          </w:rPr>
          <w:t>Hochberg MC</w:t>
        </w:r>
      </w:hyperlink>
      <w:r w:rsidRPr="0097373B">
        <w:rPr>
          <w:rFonts w:ascii="Times New Roman" w:hAnsi="Times New Roman" w:cs="Times New Roman"/>
        </w:rPr>
        <w:t xml:space="preserve">, </w:t>
      </w:r>
      <w:hyperlink r:id="rId56" w:history="1">
        <w:r w:rsidRPr="0097373B">
          <w:rPr>
            <w:rFonts w:ascii="Times New Roman" w:hAnsi="Times New Roman" w:cs="Times New Roman"/>
            <w:color w:val="262626"/>
          </w:rPr>
          <w:t>Mead LA</w:t>
        </w:r>
      </w:hyperlink>
      <w:r w:rsidRPr="0097373B">
        <w:rPr>
          <w:rFonts w:ascii="Times New Roman" w:hAnsi="Times New Roman" w:cs="Times New Roman"/>
        </w:rPr>
        <w:t>,</w:t>
      </w:r>
      <w:r w:rsidR="00D628B1" w:rsidRPr="0097373B">
        <w:rPr>
          <w:rFonts w:ascii="Times New Roman" w:hAnsi="Times New Roman" w:cs="Times New Roman"/>
        </w:rPr>
        <w:t xml:space="preserve"> Wang NY, Wigley FM, Klag MJ</w:t>
      </w:r>
      <w:r w:rsidRPr="0097373B">
        <w:rPr>
          <w:rFonts w:ascii="Times New Roman" w:hAnsi="Times New Roman" w:cs="Times New Roman"/>
        </w:rPr>
        <w:t xml:space="preserve">. </w:t>
      </w:r>
      <w:r w:rsidRPr="0097373B">
        <w:rPr>
          <w:rFonts w:ascii="Times New Roman" w:hAnsi="Times New Roman" w:cs="Times New Roman"/>
          <w:bCs/>
        </w:rPr>
        <w:t xml:space="preserve">Body mass index in young men and the risk of subsequent knee and hip osteoarthritis. </w:t>
      </w:r>
      <w:r w:rsidRPr="0097373B">
        <w:rPr>
          <w:rFonts w:ascii="Times New Roman" w:hAnsi="Times New Roman" w:cs="Times New Roman"/>
          <w:color w:val="262626"/>
        </w:rPr>
        <w:t>Am J Med</w:t>
      </w:r>
      <w:r w:rsidRPr="0097373B">
        <w:rPr>
          <w:rFonts w:ascii="Times New Roman" w:hAnsi="Times New Roman" w:cs="Times New Roman"/>
        </w:rPr>
        <w:t xml:space="preserve"> 1999;107:542-8.</w:t>
      </w:r>
    </w:p>
    <w:p w14:paraId="2FC2551D" w14:textId="3728CAEC" w:rsidR="00BF3664" w:rsidRPr="0097373B" w:rsidRDefault="00BF3664" w:rsidP="001D2514">
      <w:pPr>
        <w:widowControl w:val="0"/>
        <w:autoSpaceDE w:val="0"/>
        <w:autoSpaceDN w:val="0"/>
        <w:adjustRightInd w:val="0"/>
        <w:spacing w:line="480" w:lineRule="auto"/>
        <w:jc w:val="both"/>
        <w:rPr>
          <w:rFonts w:ascii="Times New Roman" w:hAnsi="Times New Roman" w:cs="Times New Roman"/>
          <w:bCs/>
        </w:rPr>
      </w:pPr>
      <w:r w:rsidRPr="0097373B">
        <w:rPr>
          <w:rFonts w:ascii="Times New Roman" w:hAnsi="Times New Roman" w:cs="Times New Roman"/>
        </w:rPr>
        <w:t xml:space="preserve">20- </w:t>
      </w:r>
      <w:hyperlink r:id="rId57" w:history="1">
        <w:r w:rsidRPr="0097373B">
          <w:rPr>
            <w:rFonts w:ascii="Times New Roman" w:hAnsi="Times New Roman" w:cs="Times New Roman"/>
            <w:color w:val="262626"/>
          </w:rPr>
          <w:t>Holliday KL</w:t>
        </w:r>
      </w:hyperlink>
      <w:r w:rsidRPr="0097373B">
        <w:rPr>
          <w:rFonts w:ascii="Times New Roman" w:hAnsi="Times New Roman" w:cs="Times New Roman"/>
        </w:rPr>
        <w:t xml:space="preserve">, </w:t>
      </w:r>
      <w:hyperlink r:id="rId58" w:history="1">
        <w:r w:rsidRPr="0097373B">
          <w:rPr>
            <w:rFonts w:ascii="Times New Roman" w:hAnsi="Times New Roman" w:cs="Times New Roman"/>
            <w:color w:val="262626"/>
          </w:rPr>
          <w:t>McWilliams DF</w:t>
        </w:r>
      </w:hyperlink>
      <w:r w:rsidRPr="0097373B">
        <w:rPr>
          <w:rFonts w:ascii="Times New Roman" w:hAnsi="Times New Roman" w:cs="Times New Roman"/>
        </w:rPr>
        <w:t xml:space="preserve">, </w:t>
      </w:r>
      <w:hyperlink r:id="rId59" w:history="1">
        <w:r w:rsidRPr="0097373B">
          <w:rPr>
            <w:rFonts w:ascii="Times New Roman" w:hAnsi="Times New Roman" w:cs="Times New Roman"/>
            <w:color w:val="262626"/>
          </w:rPr>
          <w:t>Maciewicz RA</w:t>
        </w:r>
      </w:hyperlink>
      <w:r w:rsidRPr="0097373B">
        <w:rPr>
          <w:rFonts w:ascii="Times New Roman" w:hAnsi="Times New Roman" w:cs="Times New Roman"/>
        </w:rPr>
        <w:t>,</w:t>
      </w:r>
      <w:r w:rsidR="00D628B1" w:rsidRPr="0097373B">
        <w:rPr>
          <w:rFonts w:ascii="Times New Roman" w:hAnsi="Times New Roman" w:cs="Times New Roman"/>
        </w:rPr>
        <w:t xml:space="preserve"> Muir KR, Zhang W, Doherty M</w:t>
      </w:r>
      <w:r w:rsidRPr="0097373B">
        <w:rPr>
          <w:rFonts w:ascii="Times New Roman" w:hAnsi="Times New Roman" w:cs="Times New Roman"/>
        </w:rPr>
        <w:t xml:space="preserve">. </w:t>
      </w:r>
      <w:r w:rsidRPr="0097373B">
        <w:rPr>
          <w:rFonts w:ascii="Times New Roman" w:hAnsi="Times New Roman" w:cs="Times New Roman"/>
          <w:bCs/>
        </w:rPr>
        <w:t xml:space="preserve">Lifetime body mass index, other anthropometric measures of obesity and risk of knee or hip osteoarthritis in the GOAL case-control study. </w:t>
      </w:r>
      <w:r w:rsidRPr="0097373B">
        <w:rPr>
          <w:rFonts w:ascii="Times New Roman" w:hAnsi="Times New Roman" w:cs="Times New Roman"/>
          <w:color w:val="262626"/>
        </w:rPr>
        <w:t>Osteoarthritis Cartilage</w:t>
      </w:r>
      <w:r w:rsidRPr="0097373B">
        <w:rPr>
          <w:rFonts w:ascii="Times New Roman" w:hAnsi="Times New Roman" w:cs="Times New Roman"/>
        </w:rPr>
        <w:t xml:space="preserve"> 2011;19:37-43. </w:t>
      </w:r>
    </w:p>
    <w:p w14:paraId="4D480463" w14:textId="220D8CDF" w:rsidR="00BF3664" w:rsidRPr="0097373B" w:rsidRDefault="00BF3664" w:rsidP="001D2514">
      <w:pPr>
        <w:widowControl w:val="0"/>
        <w:autoSpaceDE w:val="0"/>
        <w:autoSpaceDN w:val="0"/>
        <w:adjustRightInd w:val="0"/>
        <w:spacing w:line="480" w:lineRule="auto"/>
        <w:jc w:val="both"/>
        <w:rPr>
          <w:rFonts w:ascii="Times New Roman" w:hAnsi="Times New Roman" w:cs="Times New Roman"/>
          <w:bCs/>
        </w:rPr>
      </w:pPr>
      <w:r w:rsidRPr="0097373B">
        <w:rPr>
          <w:rFonts w:ascii="Times New Roman" w:hAnsi="Times New Roman" w:cs="Times New Roman"/>
        </w:rPr>
        <w:t xml:space="preserve">21- </w:t>
      </w:r>
      <w:hyperlink r:id="rId60" w:history="1">
        <w:r w:rsidRPr="0097373B">
          <w:rPr>
            <w:rFonts w:ascii="Times New Roman" w:hAnsi="Times New Roman" w:cs="Times New Roman"/>
            <w:color w:val="262626"/>
          </w:rPr>
          <w:t>Wang Y</w:t>
        </w:r>
      </w:hyperlink>
      <w:r w:rsidRPr="0097373B">
        <w:rPr>
          <w:rFonts w:ascii="Times New Roman" w:hAnsi="Times New Roman" w:cs="Times New Roman"/>
        </w:rPr>
        <w:t xml:space="preserve">, </w:t>
      </w:r>
      <w:hyperlink r:id="rId61" w:history="1">
        <w:r w:rsidRPr="0097373B">
          <w:rPr>
            <w:rFonts w:ascii="Times New Roman" w:hAnsi="Times New Roman" w:cs="Times New Roman"/>
            <w:color w:val="262626"/>
          </w:rPr>
          <w:t>Wluka AE</w:t>
        </w:r>
      </w:hyperlink>
      <w:r w:rsidRPr="0097373B">
        <w:rPr>
          <w:rFonts w:ascii="Times New Roman" w:hAnsi="Times New Roman" w:cs="Times New Roman"/>
        </w:rPr>
        <w:t xml:space="preserve">, </w:t>
      </w:r>
      <w:hyperlink r:id="rId62" w:history="1">
        <w:r w:rsidRPr="0097373B">
          <w:rPr>
            <w:rFonts w:ascii="Times New Roman" w:hAnsi="Times New Roman" w:cs="Times New Roman"/>
            <w:color w:val="262626"/>
          </w:rPr>
          <w:t>Simpson JA</w:t>
        </w:r>
      </w:hyperlink>
      <w:r w:rsidRPr="0097373B">
        <w:rPr>
          <w:rFonts w:ascii="Times New Roman" w:hAnsi="Times New Roman" w:cs="Times New Roman"/>
        </w:rPr>
        <w:t>,</w:t>
      </w:r>
      <w:r w:rsidR="00D628B1" w:rsidRPr="0097373B">
        <w:rPr>
          <w:rFonts w:ascii="Times New Roman" w:hAnsi="Times New Roman" w:cs="Times New Roman"/>
        </w:rPr>
        <w:t xml:space="preserve"> Giles GG, Graves SE, de Steiger RN,</w:t>
      </w:r>
      <w:r w:rsidRPr="0097373B">
        <w:rPr>
          <w:rFonts w:ascii="Times New Roman" w:hAnsi="Times New Roman" w:cs="Times New Roman"/>
        </w:rPr>
        <w:t xml:space="preserve"> et al. </w:t>
      </w:r>
      <w:r w:rsidRPr="0097373B">
        <w:rPr>
          <w:rFonts w:ascii="Times New Roman" w:hAnsi="Times New Roman" w:cs="Times New Roman"/>
          <w:bCs/>
        </w:rPr>
        <w:t xml:space="preserve">Body weight at early and middle adulthood, weight gain and persistent overweight from early adulthood are predictors of the risk of total knee and hip replacement for osteoarthritis. </w:t>
      </w:r>
      <w:r w:rsidRPr="0097373B">
        <w:rPr>
          <w:rFonts w:ascii="Times New Roman" w:hAnsi="Times New Roman" w:cs="Times New Roman"/>
          <w:color w:val="262626"/>
        </w:rPr>
        <w:t>Rheumatology (Oxford)</w:t>
      </w:r>
      <w:r w:rsidRPr="0097373B">
        <w:rPr>
          <w:rFonts w:ascii="Times New Roman" w:hAnsi="Times New Roman" w:cs="Times New Roman"/>
        </w:rPr>
        <w:t xml:space="preserve"> 2013;52:1033-41. </w:t>
      </w:r>
    </w:p>
    <w:p w14:paraId="5EDD3569" w14:textId="30EF8ADC" w:rsidR="00BF3664" w:rsidRPr="0097373B" w:rsidRDefault="00BF3664" w:rsidP="001D2514">
      <w:pPr>
        <w:widowControl w:val="0"/>
        <w:autoSpaceDE w:val="0"/>
        <w:autoSpaceDN w:val="0"/>
        <w:adjustRightInd w:val="0"/>
        <w:spacing w:line="480" w:lineRule="auto"/>
        <w:jc w:val="both"/>
        <w:rPr>
          <w:rFonts w:ascii="Times New Roman" w:hAnsi="Times New Roman" w:cs="Times New Roman"/>
        </w:rPr>
      </w:pPr>
      <w:r w:rsidRPr="0097373B">
        <w:rPr>
          <w:rFonts w:ascii="Times New Roman" w:hAnsi="Times New Roman" w:cs="Times New Roman"/>
        </w:rPr>
        <w:t xml:space="preserve">22- </w:t>
      </w:r>
      <w:hyperlink r:id="rId63" w:history="1">
        <w:r w:rsidRPr="0097373B">
          <w:rPr>
            <w:rFonts w:ascii="Times New Roman" w:hAnsi="Times New Roman" w:cs="Times New Roman"/>
            <w:color w:val="262626"/>
          </w:rPr>
          <w:t>Wills AK</w:t>
        </w:r>
      </w:hyperlink>
      <w:r w:rsidRPr="0097373B">
        <w:rPr>
          <w:rFonts w:ascii="Times New Roman" w:hAnsi="Times New Roman" w:cs="Times New Roman"/>
        </w:rPr>
        <w:t xml:space="preserve">, </w:t>
      </w:r>
      <w:hyperlink r:id="rId64" w:history="1">
        <w:r w:rsidRPr="0097373B">
          <w:rPr>
            <w:rFonts w:ascii="Times New Roman" w:hAnsi="Times New Roman" w:cs="Times New Roman"/>
            <w:color w:val="262626"/>
          </w:rPr>
          <w:t>Black S</w:t>
        </w:r>
      </w:hyperlink>
      <w:r w:rsidRPr="0097373B">
        <w:rPr>
          <w:rFonts w:ascii="Times New Roman" w:hAnsi="Times New Roman" w:cs="Times New Roman"/>
        </w:rPr>
        <w:t xml:space="preserve">, </w:t>
      </w:r>
      <w:hyperlink r:id="rId65" w:history="1">
        <w:r w:rsidRPr="0097373B">
          <w:rPr>
            <w:rFonts w:ascii="Times New Roman" w:hAnsi="Times New Roman" w:cs="Times New Roman"/>
            <w:color w:val="262626"/>
          </w:rPr>
          <w:t>Cooper R</w:t>
        </w:r>
      </w:hyperlink>
      <w:r w:rsidRPr="0097373B">
        <w:rPr>
          <w:rFonts w:ascii="Times New Roman" w:hAnsi="Times New Roman" w:cs="Times New Roman"/>
        </w:rPr>
        <w:t xml:space="preserve">, </w:t>
      </w:r>
      <w:r w:rsidR="00D628B1" w:rsidRPr="0097373B">
        <w:rPr>
          <w:rFonts w:ascii="Times New Roman" w:hAnsi="Times New Roman" w:cs="Times New Roman"/>
        </w:rPr>
        <w:t xml:space="preserve">Coppack RJ, Hardy R, Martin KR, </w:t>
      </w:r>
      <w:r w:rsidRPr="0097373B">
        <w:rPr>
          <w:rFonts w:ascii="Times New Roman" w:hAnsi="Times New Roman" w:cs="Times New Roman"/>
        </w:rPr>
        <w:t xml:space="preserve">et al. </w:t>
      </w:r>
      <w:r w:rsidRPr="0097373B">
        <w:rPr>
          <w:rFonts w:ascii="Times New Roman" w:hAnsi="Times New Roman" w:cs="Times New Roman"/>
          <w:bCs/>
        </w:rPr>
        <w:t xml:space="preserve">Life course body mass index and risk of knee osteoarthritis at the age of 53 years: evidence from the 1946 British birth cohort study. </w:t>
      </w:r>
      <w:r w:rsidRPr="0097373B">
        <w:rPr>
          <w:rFonts w:ascii="Times New Roman" w:hAnsi="Times New Roman" w:cs="Times New Roman"/>
          <w:color w:val="262626"/>
        </w:rPr>
        <w:t>Ann Rheum Dis</w:t>
      </w:r>
      <w:r w:rsidRPr="0097373B">
        <w:rPr>
          <w:rFonts w:ascii="Times New Roman" w:hAnsi="Times New Roman" w:cs="Times New Roman"/>
        </w:rPr>
        <w:t xml:space="preserve"> 2012;71:655-60.</w:t>
      </w:r>
    </w:p>
    <w:p w14:paraId="6756E91D" w14:textId="5FBF61A3" w:rsidR="00BF3664" w:rsidRPr="0097373B" w:rsidRDefault="00BF3664" w:rsidP="001D2514">
      <w:pPr>
        <w:widowControl w:val="0"/>
        <w:autoSpaceDE w:val="0"/>
        <w:autoSpaceDN w:val="0"/>
        <w:adjustRightInd w:val="0"/>
        <w:spacing w:line="480" w:lineRule="auto"/>
        <w:jc w:val="both"/>
        <w:rPr>
          <w:rFonts w:ascii="Times New Roman" w:hAnsi="Times New Roman" w:cs="Times New Roman"/>
        </w:rPr>
      </w:pPr>
      <w:r w:rsidRPr="0097373B">
        <w:rPr>
          <w:rFonts w:ascii="Times New Roman" w:hAnsi="Times New Roman" w:cs="Times New Roman"/>
        </w:rPr>
        <w:t xml:space="preserve">23- </w:t>
      </w:r>
      <w:hyperlink r:id="rId66" w:history="1">
        <w:r w:rsidRPr="0097373B">
          <w:rPr>
            <w:rFonts w:ascii="Times New Roman" w:hAnsi="Times New Roman" w:cs="Times New Roman"/>
            <w:color w:val="262626"/>
          </w:rPr>
          <w:t>Dawson J</w:t>
        </w:r>
      </w:hyperlink>
      <w:r w:rsidRPr="0097373B">
        <w:rPr>
          <w:rFonts w:ascii="Times New Roman" w:hAnsi="Times New Roman" w:cs="Times New Roman"/>
        </w:rPr>
        <w:t xml:space="preserve">, </w:t>
      </w:r>
      <w:hyperlink r:id="rId67" w:history="1">
        <w:r w:rsidRPr="0097373B">
          <w:rPr>
            <w:rFonts w:ascii="Times New Roman" w:hAnsi="Times New Roman" w:cs="Times New Roman"/>
            <w:color w:val="262626"/>
          </w:rPr>
          <w:t>Juszczak E</w:t>
        </w:r>
      </w:hyperlink>
      <w:r w:rsidRPr="0097373B">
        <w:rPr>
          <w:rFonts w:ascii="Times New Roman" w:hAnsi="Times New Roman" w:cs="Times New Roman"/>
        </w:rPr>
        <w:t xml:space="preserve">, </w:t>
      </w:r>
      <w:hyperlink r:id="rId68" w:history="1">
        <w:r w:rsidRPr="0097373B">
          <w:rPr>
            <w:rFonts w:ascii="Times New Roman" w:hAnsi="Times New Roman" w:cs="Times New Roman"/>
            <w:color w:val="262626"/>
          </w:rPr>
          <w:t>Thorogood M</w:t>
        </w:r>
      </w:hyperlink>
      <w:r w:rsidRPr="0097373B">
        <w:rPr>
          <w:rFonts w:ascii="Times New Roman" w:hAnsi="Times New Roman" w:cs="Times New Roman"/>
        </w:rPr>
        <w:t>,</w:t>
      </w:r>
      <w:r w:rsidR="00D628B1" w:rsidRPr="0097373B">
        <w:rPr>
          <w:rFonts w:ascii="Times New Roman" w:hAnsi="Times New Roman" w:cs="Times New Roman"/>
        </w:rPr>
        <w:t xml:space="preserve"> Marks SA, Dodd C, Fitzpatrick R</w:t>
      </w:r>
      <w:r w:rsidRPr="0097373B">
        <w:rPr>
          <w:rFonts w:ascii="Times New Roman" w:hAnsi="Times New Roman" w:cs="Times New Roman"/>
        </w:rPr>
        <w:t>. An investigation of risk factors for symptomatic</w:t>
      </w:r>
      <w:r w:rsidRPr="0097373B">
        <w:rPr>
          <w:rFonts w:ascii="Times New Roman" w:hAnsi="Times New Roman" w:cs="Times New Roman"/>
          <w:bCs/>
        </w:rPr>
        <w:t xml:space="preserve"> osteoarthritis of the knee in women using a life course approach. </w:t>
      </w:r>
      <w:r w:rsidRPr="0097373B">
        <w:rPr>
          <w:rFonts w:ascii="Times New Roman" w:hAnsi="Times New Roman" w:cs="Times New Roman"/>
        </w:rPr>
        <w:t>J Epidemiol Community Health 2003;57:823-30.</w:t>
      </w:r>
    </w:p>
    <w:p w14:paraId="0C39F3ED" w14:textId="1808C675" w:rsidR="00BF3664" w:rsidRPr="0097373B" w:rsidRDefault="00BF3664" w:rsidP="001D2514">
      <w:pPr>
        <w:widowControl w:val="0"/>
        <w:autoSpaceDE w:val="0"/>
        <w:autoSpaceDN w:val="0"/>
        <w:adjustRightInd w:val="0"/>
        <w:spacing w:line="480" w:lineRule="auto"/>
        <w:jc w:val="both"/>
        <w:rPr>
          <w:rFonts w:ascii="Times New Roman" w:hAnsi="Times New Roman" w:cs="Times New Roman"/>
          <w:b/>
          <w:bCs/>
          <w:u w:color="262626"/>
        </w:rPr>
      </w:pPr>
      <w:r w:rsidRPr="0097373B">
        <w:rPr>
          <w:rFonts w:ascii="Times New Roman" w:hAnsi="Times New Roman" w:cs="Times New Roman"/>
          <w:bCs/>
        </w:rPr>
        <w:t>24-</w:t>
      </w:r>
      <w:r w:rsidRPr="0097373B">
        <w:rPr>
          <w:rFonts w:ascii="Times New Roman" w:hAnsi="Times New Roman" w:cs="Times New Roman"/>
          <w:color w:val="262626"/>
          <w:u w:val="single" w:color="262626"/>
        </w:rPr>
        <w:t xml:space="preserve"> </w:t>
      </w:r>
      <w:hyperlink r:id="rId69" w:history="1">
        <w:r w:rsidRPr="0097373B">
          <w:rPr>
            <w:rFonts w:ascii="Times New Roman" w:hAnsi="Times New Roman" w:cs="Times New Roman"/>
            <w:bCs/>
          </w:rPr>
          <w:t>Losina E</w:t>
        </w:r>
      </w:hyperlink>
      <w:r w:rsidRPr="0097373B">
        <w:rPr>
          <w:rFonts w:ascii="Times New Roman" w:hAnsi="Times New Roman" w:cs="Times New Roman"/>
          <w:bCs/>
        </w:rPr>
        <w:t xml:space="preserve">, </w:t>
      </w:r>
      <w:hyperlink r:id="rId70" w:history="1">
        <w:r w:rsidRPr="0097373B">
          <w:rPr>
            <w:rFonts w:ascii="Times New Roman" w:hAnsi="Times New Roman" w:cs="Times New Roman"/>
            <w:bCs/>
          </w:rPr>
          <w:t>Weinstein AM</w:t>
        </w:r>
      </w:hyperlink>
      <w:r w:rsidRPr="0097373B">
        <w:rPr>
          <w:rFonts w:ascii="Times New Roman" w:hAnsi="Times New Roman" w:cs="Times New Roman"/>
          <w:bCs/>
        </w:rPr>
        <w:t xml:space="preserve">, </w:t>
      </w:r>
      <w:hyperlink r:id="rId71" w:history="1">
        <w:r w:rsidRPr="0097373B">
          <w:rPr>
            <w:rFonts w:ascii="Times New Roman" w:hAnsi="Times New Roman" w:cs="Times New Roman"/>
            <w:bCs/>
          </w:rPr>
          <w:t>Reichmann WM</w:t>
        </w:r>
      </w:hyperlink>
      <w:r w:rsidR="00D628B1" w:rsidRPr="0097373B">
        <w:rPr>
          <w:rFonts w:ascii="Times New Roman" w:hAnsi="Times New Roman" w:cs="Times New Roman"/>
          <w:bCs/>
        </w:rPr>
        <w:t>, Burbine SA, Solomon DH, Daigle ME,</w:t>
      </w:r>
      <w:r w:rsidR="00A02AE3" w:rsidRPr="0097373B">
        <w:rPr>
          <w:rFonts w:ascii="Times New Roman" w:hAnsi="Times New Roman" w:cs="Times New Roman"/>
          <w:bCs/>
        </w:rPr>
        <w:t xml:space="preserve"> et al</w:t>
      </w:r>
      <w:r w:rsidRPr="0097373B">
        <w:rPr>
          <w:rFonts w:ascii="Times New Roman" w:hAnsi="Times New Roman" w:cs="Times New Roman"/>
          <w:bCs/>
        </w:rPr>
        <w:t xml:space="preserve">. Lifetime risk and age at diagnosis of symptomatic knee osteoarthritis in the US. Arthritis Care </w:t>
      </w:r>
      <w:r w:rsidRPr="0097373B">
        <w:rPr>
          <w:rFonts w:ascii="Times New Roman" w:hAnsi="Times New Roman" w:cs="Times New Roman"/>
          <w:bCs/>
        </w:rPr>
        <w:lastRenderedPageBreak/>
        <w:t>Res (Hoboken)</w:t>
      </w:r>
      <w:r w:rsidR="00A02AE3" w:rsidRPr="0097373B">
        <w:rPr>
          <w:rFonts w:ascii="Times New Roman" w:hAnsi="Times New Roman" w:cs="Times New Roman"/>
          <w:bCs/>
        </w:rPr>
        <w:t xml:space="preserve"> </w:t>
      </w:r>
      <w:r w:rsidRPr="0097373B">
        <w:rPr>
          <w:rFonts w:ascii="Times New Roman" w:hAnsi="Times New Roman" w:cs="Times New Roman"/>
          <w:bCs/>
        </w:rPr>
        <w:t>2013;65(5):703-11.</w:t>
      </w:r>
      <w:r w:rsidRPr="0097373B">
        <w:rPr>
          <w:rFonts w:ascii="Times New Roman" w:hAnsi="Times New Roman" w:cs="Times New Roman"/>
          <w:u w:color="262626"/>
        </w:rPr>
        <w:t xml:space="preserve"> </w:t>
      </w:r>
    </w:p>
    <w:p w14:paraId="264F7E47" w14:textId="550FB2D9" w:rsidR="00BF3664" w:rsidRPr="0097373B" w:rsidRDefault="00BF3664" w:rsidP="001D2514">
      <w:pPr>
        <w:widowControl w:val="0"/>
        <w:autoSpaceDE w:val="0"/>
        <w:autoSpaceDN w:val="0"/>
        <w:adjustRightInd w:val="0"/>
        <w:spacing w:line="480" w:lineRule="auto"/>
        <w:jc w:val="both"/>
        <w:rPr>
          <w:rFonts w:ascii="Times New Roman" w:hAnsi="Times New Roman" w:cs="Times New Roman"/>
          <w:bCs/>
        </w:rPr>
      </w:pPr>
      <w:r w:rsidRPr="0097373B">
        <w:rPr>
          <w:rFonts w:ascii="Times New Roman" w:hAnsi="Times New Roman" w:cs="Times New Roman"/>
        </w:rPr>
        <w:t xml:space="preserve">25- </w:t>
      </w:r>
      <w:hyperlink r:id="rId72" w:history="1">
        <w:r w:rsidRPr="0097373B">
          <w:rPr>
            <w:rFonts w:ascii="Times New Roman" w:hAnsi="Times New Roman" w:cs="Times New Roman"/>
            <w:color w:val="262626"/>
          </w:rPr>
          <w:t>Messier SP</w:t>
        </w:r>
      </w:hyperlink>
      <w:r w:rsidRPr="0097373B">
        <w:rPr>
          <w:rFonts w:ascii="Times New Roman" w:hAnsi="Times New Roman" w:cs="Times New Roman"/>
        </w:rPr>
        <w:t xml:space="preserve">, </w:t>
      </w:r>
      <w:hyperlink r:id="rId73" w:history="1">
        <w:r w:rsidRPr="0097373B">
          <w:rPr>
            <w:rFonts w:ascii="Times New Roman" w:hAnsi="Times New Roman" w:cs="Times New Roman"/>
            <w:color w:val="262626"/>
          </w:rPr>
          <w:t>Mihalko SL</w:t>
        </w:r>
      </w:hyperlink>
      <w:r w:rsidRPr="0097373B">
        <w:rPr>
          <w:rFonts w:ascii="Times New Roman" w:hAnsi="Times New Roman" w:cs="Times New Roman"/>
        </w:rPr>
        <w:t xml:space="preserve">, </w:t>
      </w:r>
      <w:hyperlink r:id="rId74" w:history="1">
        <w:r w:rsidRPr="0097373B">
          <w:rPr>
            <w:rFonts w:ascii="Times New Roman" w:hAnsi="Times New Roman" w:cs="Times New Roman"/>
            <w:color w:val="262626"/>
          </w:rPr>
          <w:t>Legault C</w:t>
        </w:r>
      </w:hyperlink>
      <w:r w:rsidRPr="0097373B">
        <w:rPr>
          <w:rFonts w:ascii="Times New Roman" w:hAnsi="Times New Roman" w:cs="Times New Roman"/>
        </w:rPr>
        <w:t xml:space="preserve">, </w:t>
      </w:r>
      <w:r w:rsidR="00D628B1" w:rsidRPr="0097373B">
        <w:rPr>
          <w:rFonts w:ascii="Times New Roman" w:hAnsi="Times New Roman" w:cs="Times New Roman"/>
        </w:rPr>
        <w:t xml:space="preserve">Miller GD, Nicklas BJ, DeVita P, </w:t>
      </w:r>
      <w:r w:rsidRPr="0097373B">
        <w:rPr>
          <w:rFonts w:ascii="Times New Roman" w:hAnsi="Times New Roman" w:cs="Times New Roman"/>
        </w:rPr>
        <w:t xml:space="preserve">et al. </w:t>
      </w:r>
      <w:r w:rsidRPr="0097373B">
        <w:rPr>
          <w:rFonts w:ascii="Times New Roman" w:hAnsi="Times New Roman" w:cs="Times New Roman"/>
          <w:bCs/>
        </w:rPr>
        <w:t xml:space="preserve">Effects of intensive diet and exercise on knee joint loads, inflammation, and clinical outcomes among overweight and obese adults with knee osteoarthritis: the IDEA randomized clinical trial. </w:t>
      </w:r>
      <w:r w:rsidRPr="0097373B">
        <w:rPr>
          <w:rFonts w:ascii="Times New Roman" w:hAnsi="Times New Roman" w:cs="Times New Roman"/>
          <w:color w:val="262626"/>
        </w:rPr>
        <w:t>JAMA</w:t>
      </w:r>
      <w:r w:rsidR="00A02AE3" w:rsidRPr="0097373B">
        <w:rPr>
          <w:rFonts w:ascii="Times New Roman" w:hAnsi="Times New Roman" w:cs="Times New Roman"/>
        </w:rPr>
        <w:t xml:space="preserve"> </w:t>
      </w:r>
      <w:r w:rsidRPr="0097373B">
        <w:rPr>
          <w:rFonts w:ascii="Times New Roman" w:hAnsi="Times New Roman" w:cs="Times New Roman"/>
        </w:rPr>
        <w:t xml:space="preserve">2013;310:1263-73. </w:t>
      </w:r>
    </w:p>
    <w:p w14:paraId="52AC1F97" w14:textId="61E9AB39" w:rsidR="00BF3664" w:rsidRPr="0097373B" w:rsidRDefault="00BF3664" w:rsidP="001D2514">
      <w:pPr>
        <w:widowControl w:val="0"/>
        <w:autoSpaceDE w:val="0"/>
        <w:autoSpaceDN w:val="0"/>
        <w:adjustRightInd w:val="0"/>
        <w:spacing w:line="480" w:lineRule="auto"/>
        <w:jc w:val="both"/>
        <w:rPr>
          <w:rFonts w:ascii="Times New Roman" w:hAnsi="Times New Roman" w:cs="Times New Roman"/>
        </w:rPr>
      </w:pPr>
      <w:r w:rsidRPr="0097373B">
        <w:rPr>
          <w:rFonts w:ascii="Times New Roman" w:hAnsi="Times New Roman" w:cs="Times New Roman"/>
        </w:rPr>
        <w:t xml:space="preserve">26- </w:t>
      </w:r>
      <w:hyperlink r:id="rId75" w:history="1">
        <w:r w:rsidRPr="0097373B">
          <w:rPr>
            <w:rFonts w:ascii="Times New Roman" w:hAnsi="Times New Roman" w:cs="Times New Roman"/>
            <w:color w:val="262626"/>
          </w:rPr>
          <w:t>Aaboe J</w:t>
        </w:r>
      </w:hyperlink>
      <w:r w:rsidRPr="0097373B">
        <w:rPr>
          <w:rFonts w:ascii="Times New Roman" w:hAnsi="Times New Roman" w:cs="Times New Roman"/>
        </w:rPr>
        <w:t xml:space="preserve">, </w:t>
      </w:r>
      <w:hyperlink r:id="rId76" w:history="1">
        <w:r w:rsidRPr="0097373B">
          <w:rPr>
            <w:rFonts w:ascii="Times New Roman" w:hAnsi="Times New Roman" w:cs="Times New Roman"/>
            <w:color w:val="262626"/>
          </w:rPr>
          <w:t>Bliddal H</w:t>
        </w:r>
      </w:hyperlink>
      <w:r w:rsidRPr="0097373B">
        <w:rPr>
          <w:rFonts w:ascii="Times New Roman" w:hAnsi="Times New Roman" w:cs="Times New Roman"/>
        </w:rPr>
        <w:t xml:space="preserve">, </w:t>
      </w:r>
      <w:hyperlink r:id="rId77" w:history="1">
        <w:r w:rsidRPr="0097373B">
          <w:rPr>
            <w:rFonts w:ascii="Times New Roman" w:hAnsi="Times New Roman" w:cs="Times New Roman"/>
            <w:color w:val="262626"/>
          </w:rPr>
          <w:t>Messier SP</w:t>
        </w:r>
      </w:hyperlink>
      <w:r w:rsidRPr="0097373B">
        <w:rPr>
          <w:rFonts w:ascii="Times New Roman" w:hAnsi="Times New Roman" w:cs="Times New Roman"/>
        </w:rPr>
        <w:t>,</w:t>
      </w:r>
      <w:r w:rsidR="00D628B1" w:rsidRPr="0097373B">
        <w:rPr>
          <w:rFonts w:ascii="Times New Roman" w:hAnsi="Times New Roman" w:cs="Times New Roman"/>
        </w:rPr>
        <w:t xml:space="preserve"> Alkjær T, Henriksen M</w:t>
      </w:r>
      <w:r w:rsidRPr="0097373B">
        <w:rPr>
          <w:rFonts w:ascii="Times New Roman" w:hAnsi="Times New Roman" w:cs="Times New Roman"/>
        </w:rPr>
        <w:t xml:space="preserve">. </w:t>
      </w:r>
      <w:r w:rsidRPr="0097373B">
        <w:rPr>
          <w:rFonts w:ascii="Times New Roman" w:hAnsi="Times New Roman" w:cs="Times New Roman"/>
          <w:bCs/>
        </w:rPr>
        <w:t xml:space="preserve">Effects of an intensive weight loss program on knee joint loading in obese adults with knee osteoarthritis. </w:t>
      </w:r>
      <w:r w:rsidRPr="0097373B">
        <w:rPr>
          <w:rFonts w:ascii="Times New Roman" w:hAnsi="Times New Roman" w:cs="Times New Roman"/>
          <w:color w:val="262626"/>
        </w:rPr>
        <w:t>Osteoarthritis Cartilage</w:t>
      </w:r>
      <w:r w:rsidRPr="0097373B">
        <w:rPr>
          <w:rFonts w:ascii="Times New Roman" w:hAnsi="Times New Roman" w:cs="Times New Roman"/>
        </w:rPr>
        <w:t xml:space="preserve"> 2011;19:822-8. </w:t>
      </w:r>
    </w:p>
    <w:p w14:paraId="3044CDBB" w14:textId="0E6D2A41" w:rsidR="00BF3664" w:rsidRPr="0097373B" w:rsidRDefault="00BF3664" w:rsidP="001D2514">
      <w:pPr>
        <w:widowControl w:val="0"/>
        <w:autoSpaceDE w:val="0"/>
        <w:autoSpaceDN w:val="0"/>
        <w:adjustRightInd w:val="0"/>
        <w:spacing w:line="480" w:lineRule="auto"/>
        <w:jc w:val="both"/>
        <w:rPr>
          <w:rFonts w:ascii="Times New Roman" w:hAnsi="Times New Roman" w:cs="Times New Roman"/>
        </w:rPr>
      </w:pPr>
      <w:r w:rsidRPr="0097373B">
        <w:rPr>
          <w:rFonts w:ascii="Times New Roman" w:hAnsi="Times New Roman" w:cs="Times New Roman"/>
        </w:rPr>
        <w:t xml:space="preserve">27- </w:t>
      </w:r>
      <w:hyperlink r:id="rId78" w:history="1">
        <w:r w:rsidRPr="0097373B">
          <w:rPr>
            <w:rFonts w:ascii="Times New Roman" w:hAnsi="Times New Roman" w:cs="Times New Roman"/>
            <w:color w:val="262626"/>
          </w:rPr>
          <w:t>Bay-Jensen AC</w:t>
        </w:r>
      </w:hyperlink>
      <w:r w:rsidRPr="0097373B">
        <w:rPr>
          <w:rFonts w:ascii="Times New Roman" w:hAnsi="Times New Roman" w:cs="Times New Roman"/>
        </w:rPr>
        <w:t xml:space="preserve">, </w:t>
      </w:r>
      <w:hyperlink r:id="rId79" w:history="1">
        <w:r w:rsidRPr="0097373B">
          <w:rPr>
            <w:rFonts w:ascii="Times New Roman" w:hAnsi="Times New Roman" w:cs="Times New Roman"/>
            <w:color w:val="262626"/>
          </w:rPr>
          <w:t>Slagboom E</w:t>
        </w:r>
      </w:hyperlink>
      <w:r w:rsidRPr="0097373B">
        <w:rPr>
          <w:rFonts w:ascii="Times New Roman" w:hAnsi="Times New Roman" w:cs="Times New Roman"/>
        </w:rPr>
        <w:t xml:space="preserve">, </w:t>
      </w:r>
      <w:hyperlink r:id="rId80" w:history="1">
        <w:r w:rsidRPr="0097373B">
          <w:rPr>
            <w:rFonts w:ascii="Times New Roman" w:hAnsi="Times New Roman" w:cs="Times New Roman"/>
            <w:color w:val="262626"/>
          </w:rPr>
          <w:t>Chen-An P</w:t>
        </w:r>
      </w:hyperlink>
      <w:r w:rsidRPr="0097373B">
        <w:rPr>
          <w:rFonts w:ascii="Times New Roman" w:hAnsi="Times New Roman" w:cs="Times New Roman"/>
        </w:rPr>
        <w:t xml:space="preserve">, </w:t>
      </w:r>
      <w:r w:rsidR="00D628B1" w:rsidRPr="0097373B">
        <w:rPr>
          <w:rFonts w:ascii="Times New Roman" w:hAnsi="Times New Roman" w:cs="Times New Roman"/>
        </w:rPr>
        <w:t xml:space="preserve">Alexandersen P, Qvist P, Christiansen C, </w:t>
      </w:r>
      <w:r w:rsidRPr="0097373B">
        <w:rPr>
          <w:rFonts w:ascii="Times New Roman" w:hAnsi="Times New Roman" w:cs="Times New Roman"/>
        </w:rPr>
        <w:t xml:space="preserve">et al. </w:t>
      </w:r>
      <w:r w:rsidRPr="0097373B">
        <w:rPr>
          <w:rFonts w:ascii="Times New Roman" w:hAnsi="Times New Roman" w:cs="Times New Roman"/>
          <w:bCs/>
        </w:rPr>
        <w:t xml:space="preserve">Role of hormones in cartilage and joint metabolism: understanding an unhealthy metabolic phenotype in osteoarthritis. </w:t>
      </w:r>
      <w:r w:rsidRPr="0097373B">
        <w:rPr>
          <w:rFonts w:ascii="Times New Roman" w:hAnsi="Times New Roman" w:cs="Times New Roman"/>
          <w:color w:val="262626"/>
        </w:rPr>
        <w:t>Menopause</w:t>
      </w:r>
      <w:r w:rsidRPr="0097373B">
        <w:rPr>
          <w:rFonts w:ascii="Times New Roman" w:hAnsi="Times New Roman" w:cs="Times New Roman"/>
        </w:rPr>
        <w:t xml:space="preserve"> 2013;20:578-86. </w:t>
      </w:r>
    </w:p>
    <w:p w14:paraId="5A954BA9" w14:textId="6091742C" w:rsidR="00BF3664" w:rsidRPr="0097373B" w:rsidRDefault="00BF3664" w:rsidP="001D2514">
      <w:pPr>
        <w:widowControl w:val="0"/>
        <w:autoSpaceDE w:val="0"/>
        <w:autoSpaceDN w:val="0"/>
        <w:adjustRightInd w:val="0"/>
        <w:spacing w:line="480" w:lineRule="auto"/>
        <w:jc w:val="both"/>
        <w:rPr>
          <w:rFonts w:ascii="Times New Roman" w:hAnsi="Times New Roman" w:cs="Times New Roman"/>
        </w:rPr>
      </w:pPr>
      <w:r w:rsidRPr="0097373B">
        <w:rPr>
          <w:rFonts w:ascii="Times New Roman" w:hAnsi="Times New Roman" w:cs="Times New Roman"/>
          <w:bCs/>
        </w:rPr>
        <w:t xml:space="preserve">28- </w:t>
      </w:r>
      <w:hyperlink r:id="rId81" w:history="1">
        <w:r w:rsidRPr="0097373B">
          <w:rPr>
            <w:rFonts w:ascii="Times New Roman" w:hAnsi="Times New Roman" w:cs="Times New Roman"/>
            <w:color w:val="262626"/>
          </w:rPr>
          <w:t>Yusuf E</w:t>
        </w:r>
      </w:hyperlink>
      <w:r w:rsidRPr="0097373B">
        <w:rPr>
          <w:rFonts w:ascii="Times New Roman" w:hAnsi="Times New Roman" w:cs="Times New Roman"/>
        </w:rPr>
        <w:t xml:space="preserve">, </w:t>
      </w:r>
      <w:hyperlink r:id="rId82" w:history="1">
        <w:r w:rsidRPr="0097373B">
          <w:rPr>
            <w:rFonts w:ascii="Times New Roman" w:hAnsi="Times New Roman" w:cs="Times New Roman"/>
            <w:color w:val="262626"/>
          </w:rPr>
          <w:t>Ioan-Facsinay A</w:t>
        </w:r>
      </w:hyperlink>
      <w:r w:rsidRPr="0097373B">
        <w:rPr>
          <w:rFonts w:ascii="Times New Roman" w:hAnsi="Times New Roman" w:cs="Times New Roman"/>
        </w:rPr>
        <w:t xml:space="preserve">, </w:t>
      </w:r>
      <w:hyperlink r:id="rId83" w:history="1">
        <w:r w:rsidRPr="0097373B">
          <w:rPr>
            <w:rFonts w:ascii="Times New Roman" w:hAnsi="Times New Roman" w:cs="Times New Roman"/>
            <w:color w:val="262626"/>
          </w:rPr>
          <w:t>Bijsterbosch J</w:t>
        </w:r>
      </w:hyperlink>
      <w:r w:rsidRPr="0097373B">
        <w:rPr>
          <w:rFonts w:ascii="Times New Roman" w:hAnsi="Times New Roman" w:cs="Times New Roman"/>
        </w:rPr>
        <w:t>,</w:t>
      </w:r>
      <w:r w:rsidR="00D628B1" w:rsidRPr="0097373B">
        <w:rPr>
          <w:rFonts w:ascii="Times New Roman" w:hAnsi="Times New Roman" w:cs="Times New Roman"/>
        </w:rPr>
        <w:t xml:space="preserve"> Klein-Wieringa I, Kwekkeboom J, Slagboom PE,</w:t>
      </w:r>
      <w:r w:rsidRPr="0097373B">
        <w:rPr>
          <w:rFonts w:ascii="Times New Roman" w:hAnsi="Times New Roman" w:cs="Times New Roman"/>
        </w:rPr>
        <w:t xml:space="preserve"> et al. </w:t>
      </w:r>
      <w:r w:rsidRPr="0097373B">
        <w:rPr>
          <w:rFonts w:ascii="Times New Roman" w:hAnsi="Times New Roman" w:cs="Times New Roman"/>
          <w:bCs/>
        </w:rPr>
        <w:t xml:space="preserve">Association between leptin, adiponectin and resistin and long-term progression of hand osteoarthritis. </w:t>
      </w:r>
      <w:r w:rsidRPr="0097373B">
        <w:rPr>
          <w:rFonts w:ascii="Times New Roman" w:hAnsi="Times New Roman" w:cs="Times New Roman"/>
          <w:color w:val="262626"/>
        </w:rPr>
        <w:t>Ann Rheum Dis</w:t>
      </w:r>
      <w:r w:rsidRPr="0097373B">
        <w:rPr>
          <w:rFonts w:ascii="Times New Roman" w:hAnsi="Times New Roman" w:cs="Times New Roman"/>
        </w:rPr>
        <w:t xml:space="preserve"> 2011;70:1282-4. </w:t>
      </w:r>
    </w:p>
    <w:p w14:paraId="7E3BD976" w14:textId="77777777" w:rsidR="00C31AE3" w:rsidRPr="0097373B" w:rsidRDefault="00C31AE3" w:rsidP="001D2514">
      <w:pPr>
        <w:widowControl w:val="0"/>
        <w:autoSpaceDE w:val="0"/>
        <w:autoSpaceDN w:val="0"/>
        <w:adjustRightInd w:val="0"/>
        <w:spacing w:line="480" w:lineRule="auto"/>
        <w:jc w:val="both"/>
        <w:rPr>
          <w:rFonts w:ascii="Times New Roman" w:hAnsi="Times New Roman" w:cs="Times New Roman"/>
        </w:rPr>
      </w:pPr>
    </w:p>
    <w:p w14:paraId="54FB3234" w14:textId="77777777" w:rsidR="00C31AE3" w:rsidRPr="0097373B" w:rsidRDefault="00C31AE3" w:rsidP="001D2514">
      <w:pPr>
        <w:widowControl w:val="0"/>
        <w:autoSpaceDE w:val="0"/>
        <w:autoSpaceDN w:val="0"/>
        <w:adjustRightInd w:val="0"/>
        <w:spacing w:line="480" w:lineRule="auto"/>
        <w:jc w:val="both"/>
        <w:rPr>
          <w:rFonts w:ascii="Times New Roman" w:hAnsi="Times New Roman" w:cs="Times New Roman"/>
        </w:rPr>
      </w:pPr>
    </w:p>
    <w:p w14:paraId="67DE5B4D" w14:textId="77777777" w:rsidR="00C31AE3" w:rsidRPr="0097373B" w:rsidRDefault="00C31AE3" w:rsidP="001D2514">
      <w:pPr>
        <w:widowControl w:val="0"/>
        <w:autoSpaceDE w:val="0"/>
        <w:autoSpaceDN w:val="0"/>
        <w:adjustRightInd w:val="0"/>
        <w:spacing w:line="480" w:lineRule="auto"/>
        <w:jc w:val="both"/>
        <w:rPr>
          <w:rFonts w:ascii="Times New Roman" w:hAnsi="Times New Roman" w:cs="Times New Roman"/>
        </w:rPr>
      </w:pPr>
    </w:p>
    <w:p w14:paraId="756652A0" w14:textId="77777777" w:rsidR="00C31AE3" w:rsidRPr="0097373B" w:rsidRDefault="00C31AE3" w:rsidP="001D2514">
      <w:pPr>
        <w:widowControl w:val="0"/>
        <w:autoSpaceDE w:val="0"/>
        <w:autoSpaceDN w:val="0"/>
        <w:adjustRightInd w:val="0"/>
        <w:spacing w:line="480" w:lineRule="auto"/>
        <w:jc w:val="both"/>
        <w:rPr>
          <w:rFonts w:ascii="Times New Roman" w:hAnsi="Times New Roman" w:cs="Times New Roman"/>
        </w:rPr>
      </w:pPr>
    </w:p>
    <w:p w14:paraId="0DD1FCAC" w14:textId="77777777" w:rsidR="00C31AE3" w:rsidRPr="0097373B" w:rsidRDefault="00C31AE3" w:rsidP="001D2514">
      <w:pPr>
        <w:widowControl w:val="0"/>
        <w:autoSpaceDE w:val="0"/>
        <w:autoSpaceDN w:val="0"/>
        <w:adjustRightInd w:val="0"/>
        <w:spacing w:line="480" w:lineRule="auto"/>
        <w:jc w:val="both"/>
        <w:rPr>
          <w:rFonts w:ascii="Times New Roman" w:hAnsi="Times New Roman" w:cs="Times New Roman"/>
        </w:rPr>
      </w:pPr>
    </w:p>
    <w:p w14:paraId="613FE110" w14:textId="77777777" w:rsidR="00C31AE3" w:rsidRPr="0097373B" w:rsidRDefault="00C31AE3" w:rsidP="001D2514">
      <w:pPr>
        <w:widowControl w:val="0"/>
        <w:autoSpaceDE w:val="0"/>
        <w:autoSpaceDN w:val="0"/>
        <w:adjustRightInd w:val="0"/>
        <w:spacing w:line="480" w:lineRule="auto"/>
        <w:jc w:val="both"/>
        <w:rPr>
          <w:rFonts w:ascii="Times New Roman" w:hAnsi="Times New Roman" w:cs="Times New Roman"/>
        </w:rPr>
      </w:pPr>
    </w:p>
    <w:p w14:paraId="5E49AACC" w14:textId="77777777" w:rsidR="00C31AE3" w:rsidRPr="0097373B" w:rsidRDefault="00C31AE3" w:rsidP="001D2514">
      <w:pPr>
        <w:widowControl w:val="0"/>
        <w:autoSpaceDE w:val="0"/>
        <w:autoSpaceDN w:val="0"/>
        <w:adjustRightInd w:val="0"/>
        <w:spacing w:line="480" w:lineRule="auto"/>
        <w:jc w:val="both"/>
        <w:rPr>
          <w:rFonts w:ascii="Times New Roman" w:hAnsi="Times New Roman" w:cs="Times New Roman"/>
        </w:rPr>
      </w:pPr>
    </w:p>
    <w:p w14:paraId="6C653B1A" w14:textId="77777777" w:rsidR="00C31AE3" w:rsidRPr="0097373B" w:rsidRDefault="00C31AE3" w:rsidP="001D2514">
      <w:pPr>
        <w:widowControl w:val="0"/>
        <w:autoSpaceDE w:val="0"/>
        <w:autoSpaceDN w:val="0"/>
        <w:adjustRightInd w:val="0"/>
        <w:spacing w:line="480" w:lineRule="auto"/>
        <w:jc w:val="both"/>
        <w:rPr>
          <w:rFonts w:ascii="Times New Roman" w:hAnsi="Times New Roman" w:cs="Times New Roman"/>
        </w:rPr>
      </w:pPr>
    </w:p>
    <w:p w14:paraId="24AF6F81" w14:textId="77777777" w:rsidR="00CE0EB6" w:rsidRPr="0097373B" w:rsidRDefault="00CE0EB6" w:rsidP="001D2514">
      <w:pPr>
        <w:widowControl w:val="0"/>
        <w:autoSpaceDE w:val="0"/>
        <w:autoSpaceDN w:val="0"/>
        <w:adjustRightInd w:val="0"/>
        <w:spacing w:line="480" w:lineRule="auto"/>
        <w:jc w:val="both"/>
        <w:rPr>
          <w:rFonts w:ascii="Times New Roman" w:hAnsi="Times New Roman" w:cs="Times New Roman"/>
        </w:rPr>
      </w:pPr>
    </w:p>
    <w:p w14:paraId="4385E2A8" w14:textId="4D4D2C75" w:rsidR="00C31AE3" w:rsidRPr="0097373B" w:rsidRDefault="00CE0EB6" w:rsidP="001D2514">
      <w:pPr>
        <w:widowControl w:val="0"/>
        <w:autoSpaceDE w:val="0"/>
        <w:autoSpaceDN w:val="0"/>
        <w:adjustRightInd w:val="0"/>
        <w:spacing w:line="480" w:lineRule="auto"/>
        <w:jc w:val="both"/>
        <w:rPr>
          <w:rFonts w:ascii="Times New Roman" w:hAnsi="Times New Roman" w:cs="Times New Roman"/>
          <w:b/>
        </w:rPr>
      </w:pPr>
      <w:r w:rsidRPr="0097373B">
        <w:rPr>
          <w:rFonts w:ascii="Times New Roman" w:hAnsi="Times New Roman" w:cs="Times New Roman"/>
          <w:b/>
        </w:rPr>
        <w:lastRenderedPageBreak/>
        <w:t>TABLES:</w:t>
      </w:r>
    </w:p>
    <w:tbl>
      <w:tblPr>
        <w:tblStyle w:val="TableGrid"/>
        <w:tblW w:w="759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858"/>
        <w:gridCol w:w="1076"/>
        <w:gridCol w:w="1063"/>
        <w:gridCol w:w="1216"/>
        <w:gridCol w:w="1079"/>
        <w:gridCol w:w="1306"/>
      </w:tblGrid>
      <w:tr w:rsidR="003D27BC" w:rsidRPr="0097373B" w14:paraId="79406C53" w14:textId="77777777" w:rsidTr="003D27BC">
        <w:tc>
          <w:tcPr>
            <w:tcW w:w="7598" w:type="dxa"/>
            <w:gridSpan w:val="6"/>
            <w:tcBorders>
              <w:bottom w:val="single" w:sz="4" w:space="0" w:color="auto"/>
            </w:tcBorders>
            <w:vAlign w:val="center"/>
          </w:tcPr>
          <w:p w14:paraId="40E05598" w14:textId="77777777" w:rsidR="003D27BC" w:rsidRPr="0097373B" w:rsidRDefault="003D27BC" w:rsidP="003D27BC">
            <w:pPr>
              <w:spacing w:line="480" w:lineRule="auto"/>
              <w:rPr>
                <w:b/>
              </w:rPr>
            </w:pPr>
            <w:r w:rsidRPr="0097373B">
              <w:rPr>
                <w:b/>
              </w:rPr>
              <w:t>Table 1 Baseline characteristics of subjects based on their BMI category</w:t>
            </w:r>
          </w:p>
        </w:tc>
      </w:tr>
      <w:tr w:rsidR="003D27BC" w:rsidRPr="0097373B" w14:paraId="43F5A317" w14:textId="77777777" w:rsidTr="003D27BC">
        <w:tc>
          <w:tcPr>
            <w:tcW w:w="2934" w:type="dxa"/>
            <w:gridSpan w:val="2"/>
            <w:vMerge w:val="restart"/>
            <w:tcBorders>
              <w:top w:val="single" w:sz="4" w:space="0" w:color="auto"/>
              <w:bottom w:val="nil"/>
            </w:tcBorders>
            <w:vAlign w:val="center"/>
          </w:tcPr>
          <w:p w14:paraId="3788B0A0" w14:textId="77777777" w:rsidR="003D27BC" w:rsidRPr="0097373B" w:rsidRDefault="003D27BC" w:rsidP="003D27BC">
            <w:pPr>
              <w:spacing w:line="480" w:lineRule="auto"/>
              <w:jc w:val="center"/>
            </w:pPr>
          </w:p>
        </w:tc>
        <w:tc>
          <w:tcPr>
            <w:tcW w:w="4664" w:type="dxa"/>
            <w:gridSpan w:val="4"/>
            <w:tcBorders>
              <w:top w:val="single" w:sz="4" w:space="0" w:color="auto"/>
              <w:bottom w:val="nil"/>
            </w:tcBorders>
            <w:vAlign w:val="center"/>
          </w:tcPr>
          <w:p w14:paraId="11ECC95D" w14:textId="77777777" w:rsidR="003D27BC" w:rsidRPr="0097373B" w:rsidRDefault="003D27BC" w:rsidP="003D27BC">
            <w:pPr>
              <w:spacing w:line="480" w:lineRule="auto"/>
              <w:jc w:val="center"/>
              <w:rPr>
                <w:b/>
              </w:rPr>
            </w:pPr>
            <w:r w:rsidRPr="0097373B">
              <w:rPr>
                <w:b/>
              </w:rPr>
              <w:t>BMI categories, N , %</w:t>
            </w:r>
          </w:p>
        </w:tc>
      </w:tr>
      <w:tr w:rsidR="003D27BC" w:rsidRPr="0097373B" w14:paraId="09BE1C22" w14:textId="77777777" w:rsidTr="003D27BC">
        <w:tc>
          <w:tcPr>
            <w:tcW w:w="2934" w:type="dxa"/>
            <w:gridSpan w:val="2"/>
            <w:vMerge/>
            <w:tcBorders>
              <w:top w:val="nil"/>
              <w:bottom w:val="nil"/>
            </w:tcBorders>
            <w:vAlign w:val="center"/>
          </w:tcPr>
          <w:p w14:paraId="417E8CEF" w14:textId="77777777" w:rsidR="003D27BC" w:rsidRPr="0097373B" w:rsidRDefault="003D27BC" w:rsidP="003D27BC">
            <w:pPr>
              <w:spacing w:line="480" w:lineRule="auto"/>
              <w:jc w:val="center"/>
            </w:pPr>
          </w:p>
        </w:tc>
        <w:tc>
          <w:tcPr>
            <w:tcW w:w="1063" w:type="dxa"/>
            <w:tcBorders>
              <w:top w:val="nil"/>
              <w:bottom w:val="nil"/>
            </w:tcBorders>
            <w:vAlign w:val="center"/>
          </w:tcPr>
          <w:p w14:paraId="2EF19606" w14:textId="77777777" w:rsidR="003D27BC" w:rsidRPr="0097373B" w:rsidRDefault="003D27BC" w:rsidP="003D27BC">
            <w:pPr>
              <w:spacing w:line="480" w:lineRule="auto"/>
              <w:jc w:val="center"/>
            </w:pPr>
            <w:r w:rsidRPr="0097373B">
              <w:t>&lt;25</w:t>
            </w:r>
          </w:p>
        </w:tc>
        <w:tc>
          <w:tcPr>
            <w:tcW w:w="1216" w:type="dxa"/>
            <w:tcBorders>
              <w:top w:val="nil"/>
              <w:bottom w:val="nil"/>
            </w:tcBorders>
            <w:vAlign w:val="center"/>
          </w:tcPr>
          <w:p w14:paraId="05153EEC" w14:textId="77777777" w:rsidR="003D27BC" w:rsidRPr="0097373B" w:rsidRDefault="003D27BC" w:rsidP="003D27BC">
            <w:pPr>
              <w:spacing w:line="480" w:lineRule="auto"/>
              <w:jc w:val="center"/>
            </w:pPr>
            <w:r w:rsidRPr="0097373B">
              <w:t>25 to &lt;30</w:t>
            </w:r>
          </w:p>
        </w:tc>
        <w:tc>
          <w:tcPr>
            <w:tcW w:w="1079" w:type="dxa"/>
            <w:tcBorders>
              <w:top w:val="nil"/>
              <w:bottom w:val="nil"/>
            </w:tcBorders>
            <w:vAlign w:val="center"/>
          </w:tcPr>
          <w:p w14:paraId="1B1B95F0" w14:textId="77777777" w:rsidR="003D27BC" w:rsidRPr="0097373B" w:rsidRDefault="003D27BC" w:rsidP="003D27BC">
            <w:pPr>
              <w:spacing w:line="480" w:lineRule="auto"/>
              <w:jc w:val="center"/>
            </w:pPr>
            <w:r w:rsidRPr="0097373B">
              <w:t>30 to &lt;35</w:t>
            </w:r>
          </w:p>
        </w:tc>
        <w:tc>
          <w:tcPr>
            <w:tcW w:w="1306" w:type="dxa"/>
            <w:tcBorders>
              <w:top w:val="nil"/>
              <w:bottom w:val="nil"/>
            </w:tcBorders>
            <w:vAlign w:val="center"/>
          </w:tcPr>
          <w:p w14:paraId="0C53E67E" w14:textId="77777777" w:rsidR="003D27BC" w:rsidRPr="0097373B" w:rsidRDefault="003D27BC" w:rsidP="003D27BC">
            <w:pPr>
              <w:spacing w:line="480" w:lineRule="auto"/>
              <w:jc w:val="center"/>
            </w:pPr>
            <w:r w:rsidRPr="0097373B">
              <w:t>&gt;35</w:t>
            </w:r>
          </w:p>
        </w:tc>
      </w:tr>
      <w:tr w:rsidR="003D27BC" w:rsidRPr="0097373B" w14:paraId="5BE4F62A" w14:textId="77777777" w:rsidTr="003D27BC">
        <w:trPr>
          <w:trHeight w:val="553"/>
        </w:trPr>
        <w:tc>
          <w:tcPr>
            <w:tcW w:w="2934" w:type="dxa"/>
            <w:gridSpan w:val="2"/>
            <w:tcBorders>
              <w:top w:val="nil"/>
              <w:bottom w:val="nil"/>
            </w:tcBorders>
            <w:vAlign w:val="center"/>
          </w:tcPr>
          <w:p w14:paraId="5D4A0C35" w14:textId="77777777" w:rsidR="003D27BC" w:rsidRPr="0097373B" w:rsidRDefault="003D27BC" w:rsidP="003D27BC">
            <w:pPr>
              <w:spacing w:line="480" w:lineRule="auto"/>
              <w:rPr>
                <w:b/>
              </w:rPr>
            </w:pPr>
            <w:r w:rsidRPr="0097373B">
              <w:rPr>
                <w:b/>
              </w:rPr>
              <w:t xml:space="preserve">Follow-up </w:t>
            </w:r>
          </w:p>
          <w:p w14:paraId="7CC32E82" w14:textId="77777777" w:rsidR="003D27BC" w:rsidRPr="0097373B" w:rsidRDefault="003D27BC" w:rsidP="003D27BC">
            <w:pPr>
              <w:spacing w:line="480" w:lineRule="auto"/>
              <w:rPr>
                <w:b/>
              </w:rPr>
            </w:pPr>
            <w:r w:rsidRPr="0097373B">
              <w:rPr>
                <w:b/>
              </w:rPr>
              <w:t>(median (inter-quartile range))</w:t>
            </w:r>
          </w:p>
        </w:tc>
        <w:tc>
          <w:tcPr>
            <w:tcW w:w="1063" w:type="dxa"/>
            <w:tcBorders>
              <w:top w:val="nil"/>
              <w:bottom w:val="nil"/>
            </w:tcBorders>
            <w:vAlign w:val="center"/>
          </w:tcPr>
          <w:p w14:paraId="66DC2896" w14:textId="77777777" w:rsidR="003D27BC" w:rsidRPr="0097373B" w:rsidRDefault="003D27BC" w:rsidP="003D27BC">
            <w:pPr>
              <w:spacing w:line="480" w:lineRule="auto"/>
              <w:jc w:val="center"/>
            </w:pPr>
            <w:r w:rsidRPr="0097373B">
              <w:t>5.99 (4.81 -5.99)</w:t>
            </w:r>
          </w:p>
        </w:tc>
        <w:tc>
          <w:tcPr>
            <w:tcW w:w="1216" w:type="dxa"/>
            <w:tcBorders>
              <w:top w:val="nil"/>
              <w:bottom w:val="nil"/>
            </w:tcBorders>
            <w:vAlign w:val="center"/>
          </w:tcPr>
          <w:p w14:paraId="270DE9F8" w14:textId="77777777" w:rsidR="003D27BC" w:rsidRPr="0097373B" w:rsidRDefault="003D27BC" w:rsidP="003D27BC">
            <w:pPr>
              <w:spacing w:line="480" w:lineRule="auto"/>
              <w:jc w:val="center"/>
            </w:pPr>
            <w:r w:rsidRPr="0097373B">
              <w:t>5.99 (3.97-5.99)</w:t>
            </w:r>
          </w:p>
        </w:tc>
        <w:tc>
          <w:tcPr>
            <w:tcW w:w="1079" w:type="dxa"/>
            <w:tcBorders>
              <w:top w:val="nil"/>
              <w:bottom w:val="nil"/>
            </w:tcBorders>
            <w:vAlign w:val="center"/>
          </w:tcPr>
          <w:p w14:paraId="5BD5A303" w14:textId="77777777" w:rsidR="003D27BC" w:rsidRPr="0097373B" w:rsidRDefault="003D27BC" w:rsidP="003D27BC">
            <w:pPr>
              <w:spacing w:line="480" w:lineRule="auto"/>
              <w:jc w:val="center"/>
            </w:pPr>
            <w:r w:rsidRPr="0097373B">
              <w:t>5.99 (2.83-5.99)</w:t>
            </w:r>
          </w:p>
        </w:tc>
        <w:tc>
          <w:tcPr>
            <w:tcW w:w="1306" w:type="dxa"/>
            <w:tcBorders>
              <w:top w:val="nil"/>
              <w:bottom w:val="nil"/>
            </w:tcBorders>
            <w:vAlign w:val="center"/>
          </w:tcPr>
          <w:p w14:paraId="2DDB94B7" w14:textId="77777777" w:rsidR="003D27BC" w:rsidRPr="0097373B" w:rsidRDefault="003D27BC" w:rsidP="003D27BC">
            <w:pPr>
              <w:spacing w:line="480" w:lineRule="auto"/>
              <w:jc w:val="center"/>
            </w:pPr>
            <w:r w:rsidRPr="0097373B">
              <w:t>5.99 (1.84-5.99)</w:t>
            </w:r>
          </w:p>
        </w:tc>
      </w:tr>
      <w:tr w:rsidR="003D27BC" w:rsidRPr="0097373B" w14:paraId="18440757" w14:textId="77777777" w:rsidTr="003D27BC">
        <w:tc>
          <w:tcPr>
            <w:tcW w:w="1858" w:type="dxa"/>
            <w:vMerge w:val="restart"/>
            <w:tcBorders>
              <w:top w:val="nil"/>
              <w:bottom w:val="nil"/>
            </w:tcBorders>
            <w:vAlign w:val="center"/>
          </w:tcPr>
          <w:p w14:paraId="79C4803F" w14:textId="77777777" w:rsidR="003D27BC" w:rsidRPr="0097373B" w:rsidRDefault="003D27BC" w:rsidP="003D27BC">
            <w:pPr>
              <w:spacing w:line="480" w:lineRule="auto"/>
              <w:jc w:val="center"/>
              <w:rPr>
                <w:b/>
              </w:rPr>
            </w:pPr>
            <w:r w:rsidRPr="0097373B">
              <w:rPr>
                <w:b/>
              </w:rPr>
              <w:t>Gender</w:t>
            </w:r>
          </w:p>
        </w:tc>
        <w:tc>
          <w:tcPr>
            <w:tcW w:w="1076" w:type="dxa"/>
            <w:tcBorders>
              <w:top w:val="nil"/>
              <w:bottom w:val="nil"/>
            </w:tcBorders>
            <w:vAlign w:val="center"/>
          </w:tcPr>
          <w:p w14:paraId="0278ECAC" w14:textId="77777777" w:rsidR="003D27BC" w:rsidRPr="0097373B" w:rsidRDefault="003D27BC" w:rsidP="003D27BC">
            <w:pPr>
              <w:spacing w:line="480" w:lineRule="auto"/>
              <w:jc w:val="center"/>
              <w:rPr>
                <w:b/>
              </w:rPr>
            </w:pPr>
            <w:r w:rsidRPr="0097373B">
              <w:rPr>
                <w:b/>
              </w:rPr>
              <w:t>Female</w:t>
            </w:r>
          </w:p>
        </w:tc>
        <w:tc>
          <w:tcPr>
            <w:tcW w:w="1063" w:type="dxa"/>
            <w:tcBorders>
              <w:top w:val="nil"/>
              <w:bottom w:val="nil"/>
            </w:tcBorders>
            <w:vAlign w:val="center"/>
          </w:tcPr>
          <w:p w14:paraId="741C38A8" w14:textId="77777777" w:rsidR="003D27BC" w:rsidRPr="0097373B" w:rsidRDefault="003D27BC" w:rsidP="003D27BC">
            <w:pPr>
              <w:spacing w:line="480" w:lineRule="auto"/>
              <w:jc w:val="center"/>
            </w:pPr>
            <w:r w:rsidRPr="0097373B">
              <w:t>271,175</w:t>
            </w:r>
          </w:p>
          <w:p w14:paraId="79B66B62" w14:textId="77777777" w:rsidR="003D27BC" w:rsidRPr="0097373B" w:rsidRDefault="003D27BC" w:rsidP="003D27BC">
            <w:pPr>
              <w:spacing w:line="480" w:lineRule="auto"/>
              <w:jc w:val="center"/>
            </w:pPr>
            <w:r w:rsidRPr="0097373B">
              <w:t>60.8</w:t>
            </w:r>
          </w:p>
        </w:tc>
        <w:tc>
          <w:tcPr>
            <w:tcW w:w="1216" w:type="dxa"/>
            <w:tcBorders>
              <w:top w:val="nil"/>
              <w:bottom w:val="nil"/>
            </w:tcBorders>
            <w:vAlign w:val="center"/>
          </w:tcPr>
          <w:p w14:paraId="66428429" w14:textId="77777777" w:rsidR="003D27BC" w:rsidRPr="0097373B" w:rsidRDefault="003D27BC" w:rsidP="003D27BC">
            <w:pPr>
              <w:spacing w:line="480" w:lineRule="auto"/>
              <w:jc w:val="center"/>
            </w:pPr>
            <w:r w:rsidRPr="0097373B">
              <w:t>350,771</w:t>
            </w:r>
          </w:p>
          <w:p w14:paraId="20D518F3" w14:textId="77777777" w:rsidR="003D27BC" w:rsidRPr="0097373B" w:rsidRDefault="003D27BC" w:rsidP="003D27BC">
            <w:pPr>
              <w:spacing w:line="480" w:lineRule="auto"/>
              <w:jc w:val="center"/>
            </w:pPr>
            <w:r w:rsidRPr="0097373B">
              <w:t>47.3</w:t>
            </w:r>
          </w:p>
        </w:tc>
        <w:tc>
          <w:tcPr>
            <w:tcW w:w="1079" w:type="dxa"/>
            <w:tcBorders>
              <w:top w:val="nil"/>
              <w:bottom w:val="nil"/>
            </w:tcBorders>
            <w:vAlign w:val="center"/>
          </w:tcPr>
          <w:p w14:paraId="2A2AE604" w14:textId="77777777" w:rsidR="003D27BC" w:rsidRPr="0097373B" w:rsidRDefault="003D27BC" w:rsidP="003D27BC">
            <w:pPr>
              <w:spacing w:line="480" w:lineRule="auto"/>
              <w:jc w:val="center"/>
            </w:pPr>
            <w:r w:rsidRPr="0097373B">
              <w:t>218,236</w:t>
            </w:r>
          </w:p>
          <w:p w14:paraId="4AC6E2B9" w14:textId="77777777" w:rsidR="003D27BC" w:rsidRPr="0097373B" w:rsidRDefault="003D27BC" w:rsidP="003D27BC">
            <w:pPr>
              <w:spacing w:line="480" w:lineRule="auto"/>
              <w:jc w:val="center"/>
            </w:pPr>
            <w:r w:rsidRPr="0097373B">
              <w:t>53.3</w:t>
            </w:r>
          </w:p>
        </w:tc>
        <w:tc>
          <w:tcPr>
            <w:tcW w:w="1306" w:type="dxa"/>
            <w:tcBorders>
              <w:top w:val="nil"/>
              <w:bottom w:val="nil"/>
            </w:tcBorders>
            <w:vAlign w:val="center"/>
          </w:tcPr>
          <w:p w14:paraId="4AF4A0AF" w14:textId="77777777" w:rsidR="003D27BC" w:rsidRPr="0097373B" w:rsidRDefault="003D27BC" w:rsidP="003D27BC">
            <w:pPr>
              <w:spacing w:line="480" w:lineRule="auto"/>
              <w:jc w:val="center"/>
            </w:pPr>
            <w:r w:rsidRPr="0097373B">
              <w:t>115,151</w:t>
            </w:r>
          </w:p>
          <w:p w14:paraId="25C52C5F" w14:textId="77777777" w:rsidR="003D27BC" w:rsidRPr="0097373B" w:rsidRDefault="003D27BC" w:rsidP="003D27BC">
            <w:pPr>
              <w:spacing w:line="480" w:lineRule="auto"/>
              <w:jc w:val="center"/>
            </w:pPr>
            <w:r w:rsidRPr="0097373B">
              <w:t>69.3</w:t>
            </w:r>
          </w:p>
        </w:tc>
      </w:tr>
      <w:tr w:rsidR="003D27BC" w:rsidRPr="0097373B" w14:paraId="67E0FA1B" w14:textId="77777777" w:rsidTr="003D27BC">
        <w:tc>
          <w:tcPr>
            <w:tcW w:w="1858" w:type="dxa"/>
            <w:vMerge/>
            <w:tcBorders>
              <w:top w:val="nil"/>
              <w:bottom w:val="nil"/>
            </w:tcBorders>
            <w:vAlign w:val="center"/>
          </w:tcPr>
          <w:p w14:paraId="04DA4B62" w14:textId="77777777" w:rsidR="003D27BC" w:rsidRPr="0097373B" w:rsidRDefault="003D27BC" w:rsidP="003D27BC">
            <w:pPr>
              <w:spacing w:line="480" w:lineRule="auto"/>
              <w:jc w:val="center"/>
              <w:rPr>
                <w:b/>
              </w:rPr>
            </w:pPr>
          </w:p>
        </w:tc>
        <w:tc>
          <w:tcPr>
            <w:tcW w:w="1076" w:type="dxa"/>
            <w:tcBorders>
              <w:top w:val="nil"/>
              <w:bottom w:val="nil"/>
            </w:tcBorders>
            <w:vAlign w:val="center"/>
          </w:tcPr>
          <w:p w14:paraId="458A999C" w14:textId="77777777" w:rsidR="003D27BC" w:rsidRPr="0097373B" w:rsidRDefault="003D27BC" w:rsidP="003D27BC">
            <w:pPr>
              <w:spacing w:line="480" w:lineRule="auto"/>
              <w:jc w:val="center"/>
              <w:rPr>
                <w:b/>
              </w:rPr>
            </w:pPr>
            <w:r w:rsidRPr="0097373B">
              <w:rPr>
                <w:b/>
              </w:rPr>
              <w:t>Male</w:t>
            </w:r>
          </w:p>
        </w:tc>
        <w:tc>
          <w:tcPr>
            <w:tcW w:w="1063" w:type="dxa"/>
            <w:tcBorders>
              <w:top w:val="nil"/>
              <w:bottom w:val="nil"/>
            </w:tcBorders>
            <w:vAlign w:val="center"/>
          </w:tcPr>
          <w:p w14:paraId="7133D98C" w14:textId="77777777" w:rsidR="003D27BC" w:rsidRPr="0097373B" w:rsidRDefault="003D27BC" w:rsidP="003D27BC">
            <w:pPr>
              <w:spacing w:line="480" w:lineRule="auto"/>
              <w:jc w:val="center"/>
            </w:pPr>
            <w:r w:rsidRPr="0097373B">
              <w:t>174,859</w:t>
            </w:r>
          </w:p>
          <w:p w14:paraId="6D2DD4EE" w14:textId="77777777" w:rsidR="003D27BC" w:rsidRPr="0097373B" w:rsidRDefault="003D27BC" w:rsidP="003D27BC">
            <w:pPr>
              <w:spacing w:line="480" w:lineRule="auto"/>
              <w:jc w:val="center"/>
            </w:pPr>
            <w:r w:rsidRPr="0097373B">
              <w:t>39.2</w:t>
            </w:r>
          </w:p>
        </w:tc>
        <w:tc>
          <w:tcPr>
            <w:tcW w:w="1216" w:type="dxa"/>
            <w:tcBorders>
              <w:top w:val="nil"/>
              <w:bottom w:val="nil"/>
            </w:tcBorders>
            <w:vAlign w:val="center"/>
          </w:tcPr>
          <w:p w14:paraId="124E9F15" w14:textId="77777777" w:rsidR="003D27BC" w:rsidRPr="0097373B" w:rsidRDefault="003D27BC" w:rsidP="003D27BC">
            <w:pPr>
              <w:spacing w:line="480" w:lineRule="auto"/>
              <w:jc w:val="center"/>
            </w:pPr>
            <w:r w:rsidRPr="0097373B">
              <w:t>391,487</w:t>
            </w:r>
          </w:p>
          <w:p w14:paraId="6D399C67" w14:textId="77777777" w:rsidR="003D27BC" w:rsidRPr="0097373B" w:rsidRDefault="003D27BC" w:rsidP="003D27BC">
            <w:pPr>
              <w:spacing w:line="480" w:lineRule="auto"/>
              <w:jc w:val="center"/>
            </w:pPr>
            <w:r w:rsidRPr="0097373B">
              <w:t>52.7</w:t>
            </w:r>
          </w:p>
        </w:tc>
        <w:tc>
          <w:tcPr>
            <w:tcW w:w="1079" w:type="dxa"/>
            <w:tcBorders>
              <w:top w:val="nil"/>
              <w:bottom w:val="nil"/>
            </w:tcBorders>
            <w:vAlign w:val="center"/>
          </w:tcPr>
          <w:p w14:paraId="563208F6" w14:textId="77777777" w:rsidR="003D27BC" w:rsidRPr="0097373B" w:rsidRDefault="003D27BC" w:rsidP="003D27BC">
            <w:pPr>
              <w:spacing w:line="480" w:lineRule="auto"/>
              <w:jc w:val="center"/>
            </w:pPr>
            <w:r w:rsidRPr="0097373B">
              <w:t>191,478</w:t>
            </w:r>
          </w:p>
          <w:p w14:paraId="588EB4C9" w14:textId="77777777" w:rsidR="003D27BC" w:rsidRPr="0097373B" w:rsidRDefault="003D27BC" w:rsidP="003D27BC">
            <w:pPr>
              <w:spacing w:line="480" w:lineRule="auto"/>
              <w:jc w:val="center"/>
            </w:pPr>
            <w:r w:rsidRPr="0097373B">
              <w:t>46.7</w:t>
            </w:r>
          </w:p>
        </w:tc>
        <w:tc>
          <w:tcPr>
            <w:tcW w:w="1306" w:type="dxa"/>
            <w:tcBorders>
              <w:top w:val="nil"/>
              <w:bottom w:val="nil"/>
            </w:tcBorders>
            <w:vAlign w:val="center"/>
          </w:tcPr>
          <w:p w14:paraId="75BA60AD" w14:textId="77777777" w:rsidR="003D27BC" w:rsidRPr="0097373B" w:rsidRDefault="003D27BC" w:rsidP="003D27BC">
            <w:pPr>
              <w:spacing w:line="480" w:lineRule="auto"/>
              <w:jc w:val="center"/>
            </w:pPr>
            <w:r w:rsidRPr="0097373B">
              <w:t>50,904</w:t>
            </w:r>
          </w:p>
          <w:p w14:paraId="0A1BCF00" w14:textId="77777777" w:rsidR="003D27BC" w:rsidRPr="0097373B" w:rsidRDefault="003D27BC" w:rsidP="003D27BC">
            <w:pPr>
              <w:spacing w:line="480" w:lineRule="auto"/>
              <w:jc w:val="center"/>
            </w:pPr>
            <w:r w:rsidRPr="0097373B">
              <w:t>30.6</w:t>
            </w:r>
          </w:p>
        </w:tc>
      </w:tr>
      <w:tr w:rsidR="003D27BC" w:rsidRPr="0097373B" w14:paraId="11377295" w14:textId="77777777" w:rsidTr="003D27BC">
        <w:tc>
          <w:tcPr>
            <w:tcW w:w="2934" w:type="dxa"/>
            <w:gridSpan w:val="2"/>
            <w:tcBorders>
              <w:top w:val="nil"/>
              <w:bottom w:val="nil"/>
            </w:tcBorders>
            <w:vAlign w:val="center"/>
          </w:tcPr>
          <w:p w14:paraId="3CE7C61C" w14:textId="77777777" w:rsidR="003D27BC" w:rsidRPr="0097373B" w:rsidRDefault="003D27BC" w:rsidP="003D27BC">
            <w:pPr>
              <w:spacing w:line="480" w:lineRule="auto"/>
              <w:jc w:val="center"/>
              <w:rPr>
                <w:b/>
              </w:rPr>
            </w:pPr>
            <w:r w:rsidRPr="0097373B">
              <w:rPr>
                <w:b/>
              </w:rPr>
              <w:t>Age Mean (SD)</w:t>
            </w:r>
          </w:p>
        </w:tc>
        <w:tc>
          <w:tcPr>
            <w:tcW w:w="1063" w:type="dxa"/>
            <w:tcBorders>
              <w:top w:val="nil"/>
              <w:bottom w:val="nil"/>
            </w:tcBorders>
            <w:vAlign w:val="center"/>
          </w:tcPr>
          <w:p w14:paraId="22A7F405" w14:textId="77777777" w:rsidR="003D27BC" w:rsidRPr="0097373B" w:rsidRDefault="003D27BC" w:rsidP="003D27BC">
            <w:pPr>
              <w:spacing w:line="480" w:lineRule="auto"/>
              <w:jc w:val="center"/>
            </w:pPr>
            <w:r w:rsidRPr="0097373B">
              <w:t>60.7</w:t>
            </w:r>
          </w:p>
          <w:p w14:paraId="2049211C" w14:textId="77777777" w:rsidR="003D27BC" w:rsidRPr="0097373B" w:rsidRDefault="003D27BC" w:rsidP="003D27BC">
            <w:pPr>
              <w:spacing w:line="480" w:lineRule="auto"/>
              <w:jc w:val="center"/>
            </w:pPr>
            <w:r w:rsidRPr="0097373B">
              <w:t>(15.2)</w:t>
            </w:r>
          </w:p>
        </w:tc>
        <w:tc>
          <w:tcPr>
            <w:tcW w:w="1216" w:type="dxa"/>
            <w:tcBorders>
              <w:top w:val="nil"/>
              <w:bottom w:val="nil"/>
            </w:tcBorders>
            <w:vAlign w:val="center"/>
          </w:tcPr>
          <w:p w14:paraId="3087F8FA" w14:textId="77777777" w:rsidR="003D27BC" w:rsidRPr="0097373B" w:rsidRDefault="003D27BC" w:rsidP="003D27BC">
            <w:pPr>
              <w:spacing w:line="480" w:lineRule="auto"/>
              <w:jc w:val="center"/>
            </w:pPr>
            <w:r w:rsidRPr="0097373B">
              <w:t>65.1</w:t>
            </w:r>
          </w:p>
          <w:p w14:paraId="6B67656F" w14:textId="77777777" w:rsidR="003D27BC" w:rsidRPr="0097373B" w:rsidRDefault="003D27BC" w:rsidP="003D27BC">
            <w:pPr>
              <w:spacing w:line="480" w:lineRule="auto"/>
              <w:jc w:val="center"/>
            </w:pPr>
            <w:r w:rsidRPr="0097373B">
              <w:t>(13.9)</w:t>
            </w:r>
          </w:p>
        </w:tc>
        <w:tc>
          <w:tcPr>
            <w:tcW w:w="1079" w:type="dxa"/>
            <w:tcBorders>
              <w:top w:val="nil"/>
              <w:bottom w:val="nil"/>
            </w:tcBorders>
            <w:vAlign w:val="center"/>
          </w:tcPr>
          <w:p w14:paraId="78AB52A0" w14:textId="77777777" w:rsidR="003D27BC" w:rsidRPr="0097373B" w:rsidRDefault="003D27BC" w:rsidP="003D27BC">
            <w:pPr>
              <w:spacing w:line="480" w:lineRule="auto"/>
              <w:jc w:val="center"/>
            </w:pPr>
            <w:r w:rsidRPr="0097373B">
              <w:t>66.1</w:t>
            </w:r>
          </w:p>
          <w:p w14:paraId="5F8DB557" w14:textId="77777777" w:rsidR="003D27BC" w:rsidRPr="0097373B" w:rsidRDefault="003D27BC" w:rsidP="003D27BC">
            <w:pPr>
              <w:spacing w:line="480" w:lineRule="auto"/>
              <w:jc w:val="center"/>
            </w:pPr>
            <w:r w:rsidRPr="0097373B">
              <w:t>(13.1)</w:t>
            </w:r>
          </w:p>
        </w:tc>
        <w:tc>
          <w:tcPr>
            <w:tcW w:w="1306" w:type="dxa"/>
            <w:tcBorders>
              <w:top w:val="nil"/>
              <w:bottom w:val="nil"/>
            </w:tcBorders>
            <w:vAlign w:val="center"/>
          </w:tcPr>
          <w:p w14:paraId="5A72B620" w14:textId="77777777" w:rsidR="003D27BC" w:rsidRPr="0097373B" w:rsidRDefault="003D27BC" w:rsidP="003D27BC">
            <w:pPr>
              <w:spacing w:line="480" w:lineRule="auto"/>
              <w:jc w:val="center"/>
            </w:pPr>
            <w:r w:rsidRPr="0097373B">
              <w:t>64.4</w:t>
            </w:r>
          </w:p>
          <w:p w14:paraId="7DC1DC90" w14:textId="77777777" w:rsidR="003D27BC" w:rsidRPr="0097373B" w:rsidRDefault="003D27BC" w:rsidP="003D27BC">
            <w:pPr>
              <w:spacing w:line="480" w:lineRule="auto"/>
              <w:jc w:val="center"/>
            </w:pPr>
            <w:r w:rsidRPr="0097373B">
              <w:t>(12.9)</w:t>
            </w:r>
          </w:p>
        </w:tc>
      </w:tr>
      <w:tr w:rsidR="003D27BC" w:rsidRPr="0097373B" w14:paraId="6E516E4F" w14:textId="77777777" w:rsidTr="003D27BC">
        <w:tc>
          <w:tcPr>
            <w:tcW w:w="2934" w:type="dxa"/>
            <w:gridSpan w:val="2"/>
            <w:tcBorders>
              <w:top w:val="nil"/>
              <w:bottom w:val="nil"/>
            </w:tcBorders>
            <w:vAlign w:val="center"/>
          </w:tcPr>
          <w:p w14:paraId="173371C2" w14:textId="77777777" w:rsidR="003D27BC" w:rsidRPr="0097373B" w:rsidRDefault="003D27BC" w:rsidP="003D27BC">
            <w:pPr>
              <w:spacing w:line="480" w:lineRule="auto"/>
              <w:jc w:val="center"/>
              <w:rPr>
                <w:b/>
              </w:rPr>
            </w:pPr>
            <w:r w:rsidRPr="0097373B">
              <w:rPr>
                <w:b/>
              </w:rPr>
              <w:t>Ischemic heart disease</w:t>
            </w:r>
          </w:p>
        </w:tc>
        <w:tc>
          <w:tcPr>
            <w:tcW w:w="1063" w:type="dxa"/>
            <w:tcBorders>
              <w:top w:val="nil"/>
              <w:bottom w:val="nil"/>
            </w:tcBorders>
            <w:vAlign w:val="center"/>
          </w:tcPr>
          <w:p w14:paraId="2B9FD8B9" w14:textId="77777777" w:rsidR="003D27BC" w:rsidRPr="0097373B" w:rsidRDefault="003D27BC" w:rsidP="003D27BC">
            <w:pPr>
              <w:spacing w:line="480" w:lineRule="auto"/>
              <w:jc w:val="center"/>
            </w:pPr>
            <w:r w:rsidRPr="0097373B">
              <w:t>2,258</w:t>
            </w:r>
          </w:p>
          <w:p w14:paraId="2E4A025B" w14:textId="77777777" w:rsidR="003D27BC" w:rsidRPr="0097373B" w:rsidRDefault="003D27BC" w:rsidP="003D27BC">
            <w:pPr>
              <w:spacing w:line="480" w:lineRule="auto"/>
              <w:jc w:val="center"/>
            </w:pPr>
            <w:r w:rsidRPr="0097373B">
              <w:t>0.5</w:t>
            </w:r>
          </w:p>
        </w:tc>
        <w:tc>
          <w:tcPr>
            <w:tcW w:w="1216" w:type="dxa"/>
            <w:tcBorders>
              <w:top w:val="nil"/>
              <w:bottom w:val="nil"/>
            </w:tcBorders>
            <w:vAlign w:val="center"/>
          </w:tcPr>
          <w:p w14:paraId="68492C08" w14:textId="77777777" w:rsidR="003D27BC" w:rsidRPr="0097373B" w:rsidRDefault="003D27BC" w:rsidP="003D27BC">
            <w:pPr>
              <w:spacing w:line="480" w:lineRule="auto"/>
              <w:jc w:val="center"/>
            </w:pPr>
            <w:r w:rsidRPr="0097373B">
              <w:t>7,664</w:t>
            </w:r>
          </w:p>
          <w:p w14:paraId="5A2B19FA" w14:textId="77777777" w:rsidR="003D27BC" w:rsidRPr="0097373B" w:rsidRDefault="003D27BC" w:rsidP="003D27BC">
            <w:pPr>
              <w:spacing w:line="480" w:lineRule="auto"/>
              <w:jc w:val="center"/>
            </w:pPr>
            <w:r w:rsidRPr="0097373B">
              <w:t>1.0</w:t>
            </w:r>
          </w:p>
        </w:tc>
        <w:tc>
          <w:tcPr>
            <w:tcW w:w="1079" w:type="dxa"/>
            <w:tcBorders>
              <w:top w:val="nil"/>
              <w:bottom w:val="nil"/>
            </w:tcBorders>
            <w:vAlign w:val="center"/>
          </w:tcPr>
          <w:p w14:paraId="42907B50" w14:textId="77777777" w:rsidR="003D27BC" w:rsidRPr="0097373B" w:rsidRDefault="003D27BC" w:rsidP="003D27BC">
            <w:pPr>
              <w:spacing w:line="480" w:lineRule="auto"/>
              <w:jc w:val="center"/>
            </w:pPr>
            <w:r w:rsidRPr="0097373B">
              <w:t>6,168</w:t>
            </w:r>
          </w:p>
          <w:p w14:paraId="3BD790B1" w14:textId="77777777" w:rsidR="003D27BC" w:rsidRPr="0097373B" w:rsidRDefault="003D27BC" w:rsidP="003D27BC">
            <w:pPr>
              <w:spacing w:line="480" w:lineRule="auto"/>
              <w:jc w:val="center"/>
            </w:pPr>
            <w:r w:rsidRPr="0097373B">
              <w:t>1.5</w:t>
            </w:r>
          </w:p>
        </w:tc>
        <w:tc>
          <w:tcPr>
            <w:tcW w:w="1306" w:type="dxa"/>
            <w:tcBorders>
              <w:top w:val="nil"/>
              <w:bottom w:val="nil"/>
            </w:tcBorders>
            <w:vAlign w:val="center"/>
          </w:tcPr>
          <w:p w14:paraId="57D6ADF7" w14:textId="77777777" w:rsidR="003D27BC" w:rsidRPr="0097373B" w:rsidRDefault="003D27BC" w:rsidP="003D27BC">
            <w:pPr>
              <w:spacing w:line="480" w:lineRule="auto"/>
              <w:jc w:val="center"/>
            </w:pPr>
            <w:r w:rsidRPr="0097373B">
              <w:t>2,648</w:t>
            </w:r>
          </w:p>
          <w:p w14:paraId="61DCCA80" w14:textId="77777777" w:rsidR="003D27BC" w:rsidRPr="0097373B" w:rsidRDefault="003D27BC" w:rsidP="003D27BC">
            <w:pPr>
              <w:spacing w:line="480" w:lineRule="auto"/>
              <w:jc w:val="center"/>
            </w:pPr>
            <w:r w:rsidRPr="0097373B">
              <w:t>1.6</w:t>
            </w:r>
          </w:p>
        </w:tc>
      </w:tr>
      <w:tr w:rsidR="003D27BC" w:rsidRPr="0097373B" w14:paraId="5AE9087B" w14:textId="77777777" w:rsidTr="003D27BC">
        <w:tc>
          <w:tcPr>
            <w:tcW w:w="2934" w:type="dxa"/>
            <w:gridSpan w:val="2"/>
            <w:tcBorders>
              <w:top w:val="nil"/>
              <w:bottom w:val="nil"/>
            </w:tcBorders>
            <w:vAlign w:val="center"/>
          </w:tcPr>
          <w:p w14:paraId="4501B66C" w14:textId="77777777" w:rsidR="003D27BC" w:rsidRPr="0097373B" w:rsidRDefault="003D27BC" w:rsidP="003D27BC">
            <w:pPr>
              <w:spacing w:line="480" w:lineRule="auto"/>
              <w:jc w:val="center"/>
              <w:rPr>
                <w:b/>
              </w:rPr>
            </w:pPr>
            <w:r w:rsidRPr="0097373B">
              <w:rPr>
                <w:b/>
              </w:rPr>
              <w:t>Cerebrovascular disease</w:t>
            </w:r>
          </w:p>
        </w:tc>
        <w:tc>
          <w:tcPr>
            <w:tcW w:w="1063" w:type="dxa"/>
            <w:tcBorders>
              <w:top w:val="nil"/>
              <w:bottom w:val="nil"/>
            </w:tcBorders>
            <w:vAlign w:val="center"/>
          </w:tcPr>
          <w:p w14:paraId="6DC03276" w14:textId="77777777" w:rsidR="003D27BC" w:rsidRPr="0097373B" w:rsidRDefault="003D27BC" w:rsidP="003D27BC">
            <w:pPr>
              <w:spacing w:line="480" w:lineRule="auto"/>
              <w:jc w:val="center"/>
            </w:pPr>
            <w:r w:rsidRPr="0097373B">
              <w:t>1,735</w:t>
            </w:r>
          </w:p>
          <w:p w14:paraId="015CC1EC" w14:textId="77777777" w:rsidR="003D27BC" w:rsidRPr="0097373B" w:rsidRDefault="003D27BC" w:rsidP="003D27BC">
            <w:pPr>
              <w:spacing w:line="480" w:lineRule="auto"/>
              <w:jc w:val="center"/>
            </w:pPr>
            <w:r w:rsidRPr="0097373B">
              <w:t>0.4</w:t>
            </w:r>
          </w:p>
        </w:tc>
        <w:tc>
          <w:tcPr>
            <w:tcW w:w="1216" w:type="dxa"/>
            <w:tcBorders>
              <w:top w:val="nil"/>
              <w:bottom w:val="nil"/>
            </w:tcBorders>
            <w:vAlign w:val="center"/>
          </w:tcPr>
          <w:p w14:paraId="5E882152" w14:textId="77777777" w:rsidR="003D27BC" w:rsidRPr="0097373B" w:rsidRDefault="003D27BC" w:rsidP="003D27BC">
            <w:pPr>
              <w:spacing w:line="480" w:lineRule="auto"/>
              <w:jc w:val="center"/>
            </w:pPr>
            <w:r w:rsidRPr="0097373B">
              <w:t>4,667</w:t>
            </w:r>
          </w:p>
          <w:p w14:paraId="27733589" w14:textId="77777777" w:rsidR="003D27BC" w:rsidRPr="0097373B" w:rsidRDefault="003D27BC" w:rsidP="003D27BC">
            <w:pPr>
              <w:spacing w:line="480" w:lineRule="auto"/>
              <w:jc w:val="center"/>
            </w:pPr>
            <w:r w:rsidRPr="0097373B">
              <w:t>0.6</w:t>
            </w:r>
          </w:p>
        </w:tc>
        <w:tc>
          <w:tcPr>
            <w:tcW w:w="1079" w:type="dxa"/>
            <w:tcBorders>
              <w:top w:val="nil"/>
              <w:bottom w:val="nil"/>
            </w:tcBorders>
            <w:vAlign w:val="center"/>
          </w:tcPr>
          <w:p w14:paraId="09D9998C" w14:textId="77777777" w:rsidR="003D27BC" w:rsidRPr="0097373B" w:rsidRDefault="003D27BC" w:rsidP="003D27BC">
            <w:pPr>
              <w:spacing w:line="480" w:lineRule="auto"/>
              <w:jc w:val="center"/>
            </w:pPr>
            <w:r w:rsidRPr="0097373B">
              <w:t>3,379</w:t>
            </w:r>
          </w:p>
          <w:p w14:paraId="7BE43BFD" w14:textId="77777777" w:rsidR="003D27BC" w:rsidRPr="0097373B" w:rsidRDefault="003D27BC" w:rsidP="003D27BC">
            <w:pPr>
              <w:spacing w:line="480" w:lineRule="auto"/>
              <w:jc w:val="center"/>
            </w:pPr>
            <w:r w:rsidRPr="0097373B">
              <w:t>0.8</w:t>
            </w:r>
          </w:p>
        </w:tc>
        <w:tc>
          <w:tcPr>
            <w:tcW w:w="1306" w:type="dxa"/>
            <w:tcBorders>
              <w:top w:val="nil"/>
              <w:bottom w:val="nil"/>
            </w:tcBorders>
            <w:vAlign w:val="center"/>
          </w:tcPr>
          <w:p w14:paraId="7DDE5896" w14:textId="77777777" w:rsidR="003D27BC" w:rsidRPr="0097373B" w:rsidRDefault="003D27BC" w:rsidP="003D27BC">
            <w:pPr>
              <w:spacing w:line="480" w:lineRule="auto"/>
              <w:jc w:val="center"/>
            </w:pPr>
            <w:r w:rsidRPr="0097373B">
              <w:t>1,339</w:t>
            </w:r>
          </w:p>
          <w:p w14:paraId="55F9601C" w14:textId="77777777" w:rsidR="003D27BC" w:rsidRPr="0097373B" w:rsidRDefault="003D27BC" w:rsidP="003D27BC">
            <w:pPr>
              <w:spacing w:line="480" w:lineRule="auto"/>
              <w:jc w:val="center"/>
            </w:pPr>
            <w:r w:rsidRPr="0097373B">
              <w:t>0.8</w:t>
            </w:r>
          </w:p>
        </w:tc>
      </w:tr>
      <w:tr w:rsidR="003D27BC" w:rsidRPr="0097373B" w14:paraId="07D54BAF" w14:textId="77777777" w:rsidTr="003D27BC">
        <w:tc>
          <w:tcPr>
            <w:tcW w:w="2934" w:type="dxa"/>
            <w:gridSpan w:val="2"/>
            <w:tcBorders>
              <w:top w:val="nil"/>
              <w:bottom w:val="nil"/>
            </w:tcBorders>
            <w:vAlign w:val="center"/>
          </w:tcPr>
          <w:p w14:paraId="38F74F9E" w14:textId="77777777" w:rsidR="003D27BC" w:rsidRPr="0097373B" w:rsidRDefault="003D27BC" w:rsidP="003D27BC">
            <w:pPr>
              <w:spacing w:line="480" w:lineRule="auto"/>
              <w:jc w:val="center"/>
              <w:rPr>
                <w:b/>
              </w:rPr>
            </w:pPr>
            <w:r w:rsidRPr="0097373B">
              <w:rPr>
                <w:b/>
              </w:rPr>
              <w:t>COPD*</w:t>
            </w:r>
          </w:p>
        </w:tc>
        <w:tc>
          <w:tcPr>
            <w:tcW w:w="1063" w:type="dxa"/>
            <w:tcBorders>
              <w:top w:val="nil"/>
              <w:bottom w:val="nil"/>
            </w:tcBorders>
            <w:vAlign w:val="center"/>
          </w:tcPr>
          <w:p w14:paraId="02B640AF" w14:textId="77777777" w:rsidR="003D27BC" w:rsidRPr="0097373B" w:rsidRDefault="003D27BC" w:rsidP="003D27BC">
            <w:pPr>
              <w:spacing w:line="480" w:lineRule="auto"/>
              <w:jc w:val="center"/>
            </w:pPr>
            <w:r w:rsidRPr="0097373B">
              <w:t>2,865</w:t>
            </w:r>
          </w:p>
          <w:p w14:paraId="24DC3CB6" w14:textId="77777777" w:rsidR="003D27BC" w:rsidRPr="0097373B" w:rsidRDefault="003D27BC" w:rsidP="003D27BC">
            <w:pPr>
              <w:spacing w:line="480" w:lineRule="auto"/>
              <w:jc w:val="center"/>
            </w:pPr>
            <w:r w:rsidRPr="0097373B">
              <w:t>0.6</w:t>
            </w:r>
          </w:p>
        </w:tc>
        <w:tc>
          <w:tcPr>
            <w:tcW w:w="1216" w:type="dxa"/>
            <w:tcBorders>
              <w:top w:val="nil"/>
              <w:bottom w:val="nil"/>
            </w:tcBorders>
            <w:vAlign w:val="center"/>
          </w:tcPr>
          <w:p w14:paraId="3011E25E" w14:textId="77777777" w:rsidR="003D27BC" w:rsidRPr="0097373B" w:rsidRDefault="003D27BC" w:rsidP="003D27BC">
            <w:pPr>
              <w:spacing w:line="480" w:lineRule="auto"/>
              <w:jc w:val="center"/>
            </w:pPr>
            <w:r w:rsidRPr="0097373B">
              <w:t>7,812</w:t>
            </w:r>
          </w:p>
          <w:p w14:paraId="39260F3C" w14:textId="77777777" w:rsidR="003D27BC" w:rsidRPr="0097373B" w:rsidRDefault="003D27BC" w:rsidP="003D27BC">
            <w:pPr>
              <w:spacing w:line="480" w:lineRule="auto"/>
              <w:jc w:val="center"/>
            </w:pPr>
            <w:r w:rsidRPr="0097373B">
              <w:t>1.0</w:t>
            </w:r>
          </w:p>
        </w:tc>
        <w:tc>
          <w:tcPr>
            <w:tcW w:w="1079" w:type="dxa"/>
            <w:tcBorders>
              <w:top w:val="nil"/>
              <w:bottom w:val="nil"/>
            </w:tcBorders>
            <w:vAlign w:val="center"/>
          </w:tcPr>
          <w:p w14:paraId="04233788" w14:textId="77777777" w:rsidR="003D27BC" w:rsidRPr="0097373B" w:rsidRDefault="003D27BC" w:rsidP="003D27BC">
            <w:pPr>
              <w:spacing w:line="480" w:lineRule="auto"/>
              <w:jc w:val="center"/>
            </w:pPr>
            <w:r w:rsidRPr="0097373B">
              <w:t>6,346</w:t>
            </w:r>
          </w:p>
          <w:p w14:paraId="561621DD" w14:textId="77777777" w:rsidR="003D27BC" w:rsidRPr="0097373B" w:rsidRDefault="003D27BC" w:rsidP="003D27BC">
            <w:pPr>
              <w:spacing w:line="480" w:lineRule="auto"/>
              <w:jc w:val="center"/>
            </w:pPr>
            <w:r w:rsidRPr="0097373B">
              <w:t>1.5</w:t>
            </w:r>
          </w:p>
        </w:tc>
        <w:tc>
          <w:tcPr>
            <w:tcW w:w="1306" w:type="dxa"/>
            <w:tcBorders>
              <w:top w:val="nil"/>
              <w:bottom w:val="nil"/>
            </w:tcBorders>
            <w:vAlign w:val="center"/>
          </w:tcPr>
          <w:p w14:paraId="2A1E03BD" w14:textId="77777777" w:rsidR="003D27BC" w:rsidRPr="0097373B" w:rsidRDefault="003D27BC" w:rsidP="003D27BC">
            <w:pPr>
              <w:spacing w:line="480" w:lineRule="auto"/>
              <w:jc w:val="center"/>
            </w:pPr>
            <w:r w:rsidRPr="0097373B">
              <w:t>2,933</w:t>
            </w:r>
          </w:p>
          <w:p w14:paraId="5C822514" w14:textId="77777777" w:rsidR="003D27BC" w:rsidRPr="0097373B" w:rsidRDefault="003D27BC" w:rsidP="003D27BC">
            <w:pPr>
              <w:spacing w:line="480" w:lineRule="auto"/>
              <w:jc w:val="center"/>
            </w:pPr>
            <w:r w:rsidRPr="0097373B">
              <w:t>1.8</w:t>
            </w:r>
          </w:p>
        </w:tc>
      </w:tr>
      <w:tr w:rsidR="003D27BC" w:rsidRPr="0097373B" w14:paraId="0CB49E0B" w14:textId="77777777" w:rsidTr="003D27BC">
        <w:tc>
          <w:tcPr>
            <w:tcW w:w="2934" w:type="dxa"/>
            <w:gridSpan w:val="2"/>
            <w:tcBorders>
              <w:top w:val="nil"/>
              <w:bottom w:val="nil"/>
            </w:tcBorders>
            <w:vAlign w:val="center"/>
          </w:tcPr>
          <w:p w14:paraId="1CC51CC4" w14:textId="77777777" w:rsidR="003D27BC" w:rsidRPr="0097373B" w:rsidRDefault="003D27BC" w:rsidP="003D27BC">
            <w:pPr>
              <w:spacing w:line="480" w:lineRule="auto"/>
              <w:jc w:val="center"/>
              <w:rPr>
                <w:b/>
              </w:rPr>
            </w:pPr>
            <w:r w:rsidRPr="0097373B">
              <w:rPr>
                <w:b/>
              </w:rPr>
              <w:t>Diabetes mellitus</w:t>
            </w:r>
          </w:p>
        </w:tc>
        <w:tc>
          <w:tcPr>
            <w:tcW w:w="1063" w:type="dxa"/>
            <w:tcBorders>
              <w:top w:val="nil"/>
              <w:bottom w:val="nil"/>
            </w:tcBorders>
            <w:vAlign w:val="center"/>
          </w:tcPr>
          <w:p w14:paraId="50ED5AC7" w14:textId="77777777" w:rsidR="003D27BC" w:rsidRPr="0097373B" w:rsidRDefault="003D27BC" w:rsidP="003D27BC">
            <w:pPr>
              <w:spacing w:line="480" w:lineRule="auto"/>
              <w:jc w:val="center"/>
            </w:pPr>
            <w:r w:rsidRPr="0097373B">
              <w:t>5,137</w:t>
            </w:r>
          </w:p>
          <w:p w14:paraId="3CC05A63" w14:textId="77777777" w:rsidR="003D27BC" w:rsidRPr="0097373B" w:rsidRDefault="003D27BC" w:rsidP="003D27BC">
            <w:pPr>
              <w:spacing w:line="480" w:lineRule="auto"/>
              <w:jc w:val="center"/>
            </w:pPr>
            <w:r w:rsidRPr="0097373B">
              <w:t>1.15</w:t>
            </w:r>
          </w:p>
        </w:tc>
        <w:tc>
          <w:tcPr>
            <w:tcW w:w="1216" w:type="dxa"/>
            <w:tcBorders>
              <w:top w:val="nil"/>
              <w:bottom w:val="nil"/>
            </w:tcBorders>
            <w:vAlign w:val="center"/>
          </w:tcPr>
          <w:p w14:paraId="3A58567E" w14:textId="77777777" w:rsidR="003D27BC" w:rsidRPr="0097373B" w:rsidRDefault="003D27BC" w:rsidP="003D27BC">
            <w:pPr>
              <w:spacing w:line="480" w:lineRule="auto"/>
              <w:jc w:val="center"/>
            </w:pPr>
            <w:r w:rsidRPr="0097373B">
              <w:t>20,798</w:t>
            </w:r>
          </w:p>
          <w:p w14:paraId="69FAE109" w14:textId="77777777" w:rsidR="003D27BC" w:rsidRPr="0097373B" w:rsidRDefault="003D27BC" w:rsidP="003D27BC">
            <w:pPr>
              <w:spacing w:line="480" w:lineRule="auto"/>
              <w:jc w:val="center"/>
            </w:pPr>
            <w:r w:rsidRPr="0097373B">
              <w:t>2.8</w:t>
            </w:r>
          </w:p>
        </w:tc>
        <w:tc>
          <w:tcPr>
            <w:tcW w:w="1079" w:type="dxa"/>
            <w:tcBorders>
              <w:top w:val="nil"/>
              <w:bottom w:val="nil"/>
            </w:tcBorders>
            <w:vAlign w:val="center"/>
          </w:tcPr>
          <w:p w14:paraId="5897F820" w14:textId="77777777" w:rsidR="003D27BC" w:rsidRPr="0097373B" w:rsidRDefault="003D27BC" w:rsidP="003D27BC">
            <w:pPr>
              <w:spacing w:line="480" w:lineRule="auto"/>
              <w:jc w:val="center"/>
            </w:pPr>
            <w:r w:rsidRPr="0097373B">
              <w:t>19,541</w:t>
            </w:r>
          </w:p>
          <w:p w14:paraId="5916C601" w14:textId="77777777" w:rsidR="003D27BC" w:rsidRPr="0097373B" w:rsidRDefault="003D27BC" w:rsidP="003D27BC">
            <w:pPr>
              <w:spacing w:line="480" w:lineRule="auto"/>
              <w:jc w:val="center"/>
            </w:pPr>
            <w:r w:rsidRPr="0097373B">
              <w:t>4.8</w:t>
            </w:r>
          </w:p>
        </w:tc>
        <w:tc>
          <w:tcPr>
            <w:tcW w:w="1306" w:type="dxa"/>
            <w:tcBorders>
              <w:top w:val="nil"/>
              <w:bottom w:val="nil"/>
            </w:tcBorders>
            <w:vAlign w:val="center"/>
          </w:tcPr>
          <w:p w14:paraId="59B70128" w14:textId="77777777" w:rsidR="003D27BC" w:rsidRPr="0097373B" w:rsidRDefault="003D27BC" w:rsidP="003D27BC">
            <w:pPr>
              <w:spacing w:line="480" w:lineRule="auto"/>
              <w:jc w:val="center"/>
            </w:pPr>
            <w:r w:rsidRPr="0097373B">
              <w:t>11,847</w:t>
            </w:r>
          </w:p>
          <w:p w14:paraId="5CB451D7" w14:textId="77777777" w:rsidR="003D27BC" w:rsidRPr="0097373B" w:rsidRDefault="003D27BC" w:rsidP="003D27BC">
            <w:pPr>
              <w:spacing w:line="480" w:lineRule="auto"/>
              <w:jc w:val="center"/>
            </w:pPr>
            <w:r w:rsidRPr="0097373B">
              <w:t>7.1</w:t>
            </w:r>
          </w:p>
        </w:tc>
      </w:tr>
      <w:tr w:rsidR="003D27BC" w:rsidRPr="0097373B" w14:paraId="61E4E174" w14:textId="77777777" w:rsidTr="003D27BC">
        <w:tc>
          <w:tcPr>
            <w:tcW w:w="2934" w:type="dxa"/>
            <w:gridSpan w:val="2"/>
            <w:tcBorders>
              <w:top w:val="nil"/>
            </w:tcBorders>
            <w:vAlign w:val="center"/>
          </w:tcPr>
          <w:p w14:paraId="081FC5EB" w14:textId="77777777" w:rsidR="003D27BC" w:rsidRPr="0097373B" w:rsidRDefault="003D27BC" w:rsidP="003D27BC">
            <w:pPr>
              <w:spacing w:line="480" w:lineRule="auto"/>
              <w:jc w:val="center"/>
              <w:rPr>
                <w:b/>
              </w:rPr>
            </w:pPr>
            <w:r w:rsidRPr="0097373B">
              <w:rPr>
                <w:b/>
              </w:rPr>
              <w:lastRenderedPageBreak/>
              <w:t>Hypertension</w:t>
            </w:r>
          </w:p>
        </w:tc>
        <w:tc>
          <w:tcPr>
            <w:tcW w:w="1063" w:type="dxa"/>
            <w:tcBorders>
              <w:top w:val="nil"/>
            </w:tcBorders>
            <w:vAlign w:val="center"/>
          </w:tcPr>
          <w:p w14:paraId="45F88B82" w14:textId="77777777" w:rsidR="003D27BC" w:rsidRPr="0097373B" w:rsidRDefault="003D27BC" w:rsidP="003D27BC">
            <w:pPr>
              <w:spacing w:line="480" w:lineRule="auto"/>
              <w:jc w:val="center"/>
            </w:pPr>
            <w:r w:rsidRPr="0097373B">
              <w:t>16,804</w:t>
            </w:r>
          </w:p>
          <w:p w14:paraId="6B0CCA79" w14:textId="77777777" w:rsidR="003D27BC" w:rsidRPr="0097373B" w:rsidRDefault="003D27BC" w:rsidP="003D27BC">
            <w:pPr>
              <w:spacing w:line="480" w:lineRule="auto"/>
              <w:jc w:val="center"/>
            </w:pPr>
            <w:r w:rsidRPr="0097373B">
              <w:t>3.8</w:t>
            </w:r>
          </w:p>
        </w:tc>
        <w:tc>
          <w:tcPr>
            <w:tcW w:w="1216" w:type="dxa"/>
            <w:tcBorders>
              <w:top w:val="nil"/>
            </w:tcBorders>
            <w:vAlign w:val="center"/>
          </w:tcPr>
          <w:p w14:paraId="64C07266" w14:textId="77777777" w:rsidR="003D27BC" w:rsidRPr="0097373B" w:rsidRDefault="003D27BC" w:rsidP="003D27BC">
            <w:pPr>
              <w:spacing w:line="480" w:lineRule="auto"/>
              <w:jc w:val="center"/>
            </w:pPr>
            <w:r w:rsidRPr="0097373B">
              <w:t>63,659</w:t>
            </w:r>
          </w:p>
          <w:p w14:paraId="45F1A95E" w14:textId="77777777" w:rsidR="003D27BC" w:rsidRPr="0097373B" w:rsidRDefault="003D27BC" w:rsidP="003D27BC">
            <w:pPr>
              <w:spacing w:line="480" w:lineRule="auto"/>
              <w:jc w:val="center"/>
            </w:pPr>
            <w:r w:rsidRPr="0097373B">
              <w:t>8.6</w:t>
            </w:r>
          </w:p>
        </w:tc>
        <w:tc>
          <w:tcPr>
            <w:tcW w:w="1079" w:type="dxa"/>
            <w:tcBorders>
              <w:top w:val="nil"/>
            </w:tcBorders>
            <w:vAlign w:val="center"/>
          </w:tcPr>
          <w:p w14:paraId="62FB4DB8" w14:textId="77777777" w:rsidR="003D27BC" w:rsidRPr="0097373B" w:rsidRDefault="003D27BC" w:rsidP="003D27BC">
            <w:pPr>
              <w:spacing w:line="480" w:lineRule="auto"/>
              <w:jc w:val="center"/>
            </w:pPr>
            <w:r w:rsidRPr="0097373B">
              <w:t>58,850</w:t>
            </w:r>
          </w:p>
          <w:p w14:paraId="5DE16C20" w14:textId="77777777" w:rsidR="003D27BC" w:rsidRPr="0097373B" w:rsidRDefault="003D27BC" w:rsidP="003D27BC">
            <w:pPr>
              <w:spacing w:line="480" w:lineRule="auto"/>
              <w:jc w:val="center"/>
            </w:pPr>
            <w:r w:rsidRPr="0097373B">
              <w:t>14.4</w:t>
            </w:r>
          </w:p>
        </w:tc>
        <w:tc>
          <w:tcPr>
            <w:tcW w:w="1306" w:type="dxa"/>
            <w:tcBorders>
              <w:top w:val="nil"/>
            </w:tcBorders>
            <w:vAlign w:val="center"/>
          </w:tcPr>
          <w:p w14:paraId="2BFDF120" w14:textId="77777777" w:rsidR="003D27BC" w:rsidRPr="0097373B" w:rsidRDefault="003D27BC" w:rsidP="003D27BC">
            <w:pPr>
              <w:spacing w:line="480" w:lineRule="auto"/>
              <w:jc w:val="center"/>
            </w:pPr>
            <w:r w:rsidRPr="0097373B">
              <w:t>32,645</w:t>
            </w:r>
          </w:p>
          <w:p w14:paraId="481828DF" w14:textId="77777777" w:rsidR="003D27BC" w:rsidRPr="0097373B" w:rsidRDefault="003D27BC" w:rsidP="003D27BC">
            <w:pPr>
              <w:spacing w:line="480" w:lineRule="auto"/>
              <w:jc w:val="center"/>
            </w:pPr>
            <w:r w:rsidRPr="0097373B">
              <w:t>19.7</w:t>
            </w:r>
          </w:p>
        </w:tc>
      </w:tr>
    </w:tbl>
    <w:p w14:paraId="66BAA43D" w14:textId="77777777" w:rsidR="003D27BC" w:rsidRPr="0097373B" w:rsidRDefault="003D27BC" w:rsidP="001D2514">
      <w:pPr>
        <w:widowControl w:val="0"/>
        <w:autoSpaceDE w:val="0"/>
        <w:autoSpaceDN w:val="0"/>
        <w:adjustRightInd w:val="0"/>
        <w:spacing w:line="480" w:lineRule="auto"/>
        <w:jc w:val="both"/>
        <w:rPr>
          <w:rFonts w:ascii="Times New Roman" w:hAnsi="Times New Roman" w:cs="Times New Roman"/>
          <w:b/>
        </w:rPr>
      </w:pPr>
    </w:p>
    <w:p w14:paraId="67D1D9FA" w14:textId="77777777" w:rsidR="00C31AE3" w:rsidRPr="0097373B" w:rsidRDefault="00C31AE3" w:rsidP="003D27BC">
      <w:pPr>
        <w:spacing w:line="480" w:lineRule="auto"/>
      </w:pPr>
      <w:r w:rsidRPr="0097373B">
        <w:t>* COPD : Chronic obstructive pulmonary disease</w:t>
      </w:r>
    </w:p>
    <w:p w14:paraId="171B49D8" w14:textId="77777777" w:rsidR="00C31AE3" w:rsidRPr="0097373B" w:rsidRDefault="00C31AE3" w:rsidP="001D2514">
      <w:pPr>
        <w:widowControl w:val="0"/>
        <w:autoSpaceDE w:val="0"/>
        <w:autoSpaceDN w:val="0"/>
        <w:adjustRightInd w:val="0"/>
        <w:spacing w:line="480" w:lineRule="auto"/>
        <w:jc w:val="both"/>
        <w:rPr>
          <w:rFonts w:ascii="Times New Roman" w:hAnsi="Times New Roman" w:cs="Times New Roman"/>
        </w:rPr>
      </w:pPr>
    </w:p>
    <w:p w14:paraId="25C1BCA9" w14:textId="77777777" w:rsidR="00C31AE3" w:rsidRPr="0097373B" w:rsidRDefault="00C31AE3" w:rsidP="001D2514">
      <w:pPr>
        <w:widowControl w:val="0"/>
        <w:autoSpaceDE w:val="0"/>
        <w:autoSpaceDN w:val="0"/>
        <w:adjustRightInd w:val="0"/>
        <w:spacing w:line="480" w:lineRule="auto"/>
        <w:jc w:val="both"/>
        <w:rPr>
          <w:rFonts w:ascii="Times New Roman" w:hAnsi="Times New Roman" w:cs="Times New Roman"/>
        </w:rPr>
      </w:pPr>
    </w:p>
    <w:p w14:paraId="3D28E2E2" w14:textId="253A9F41" w:rsidR="00E63F10" w:rsidRPr="0097373B" w:rsidRDefault="00E63F10" w:rsidP="001D2514">
      <w:pPr>
        <w:jc w:val="both"/>
        <w:rPr>
          <w:rFonts w:ascii="Times New Roman" w:hAnsi="Times New Roman" w:cs="Times New Roman"/>
        </w:rPr>
      </w:pPr>
      <w:r w:rsidRPr="0097373B">
        <w:rPr>
          <w:rFonts w:ascii="Times New Roman" w:hAnsi="Times New Roman" w:cs="Times New Roman"/>
        </w:rPr>
        <w:br w:type="page"/>
      </w:r>
    </w:p>
    <w:tbl>
      <w:tblPr>
        <w:tblStyle w:val="PlainTable2"/>
        <w:tblpPr w:leftFromText="180" w:rightFromText="180" w:vertAnchor="page" w:horzAnchor="page" w:tblpX="1549" w:tblpY="3061"/>
        <w:tblW w:w="0" w:type="auto"/>
        <w:tblLayout w:type="fixed"/>
        <w:tblLook w:val="04A0" w:firstRow="1" w:lastRow="0" w:firstColumn="1" w:lastColumn="0" w:noHBand="0" w:noVBand="1"/>
      </w:tblPr>
      <w:tblGrid>
        <w:gridCol w:w="1134"/>
        <w:gridCol w:w="1134"/>
        <w:gridCol w:w="1701"/>
        <w:gridCol w:w="2268"/>
        <w:gridCol w:w="2279"/>
        <w:gridCol w:w="273"/>
      </w:tblGrid>
      <w:tr w:rsidR="00164D2B" w:rsidRPr="0097373B" w14:paraId="7E0F822D" w14:textId="77777777" w:rsidTr="00D50C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gridSpan w:val="3"/>
          </w:tcPr>
          <w:p w14:paraId="6D598EAE" w14:textId="77777777" w:rsidR="00164D2B" w:rsidRPr="0097373B" w:rsidRDefault="00164D2B" w:rsidP="00C31AE3">
            <w:pPr>
              <w:spacing w:line="480" w:lineRule="auto"/>
              <w:jc w:val="both"/>
              <w:rPr>
                <w:rFonts w:ascii="Times New Roman" w:hAnsi="Times New Roman" w:cs="Times New Roman"/>
              </w:rPr>
            </w:pPr>
          </w:p>
        </w:tc>
        <w:tc>
          <w:tcPr>
            <w:tcW w:w="2268" w:type="dxa"/>
          </w:tcPr>
          <w:p w14:paraId="1FC3914A" w14:textId="77777777" w:rsidR="00164D2B" w:rsidRPr="0097373B" w:rsidRDefault="00164D2B" w:rsidP="00C31AE3">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7373B">
              <w:rPr>
                <w:rFonts w:ascii="Times New Roman" w:hAnsi="Times New Roman" w:cs="Times New Roman"/>
              </w:rPr>
              <w:t>Incident diagnosed site-specific OA (N)</w:t>
            </w:r>
          </w:p>
        </w:tc>
        <w:tc>
          <w:tcPr>
            <w:tcW w:w="2552" w:type="dxa"/>
            <w:gridSpan w:val="2"/>
          </w:tcPr>
          <w:p w14:paraId="2CA982E6" w14:textId="77777777" w:rsidR="00164D2B" w:rsidRPr="0097373B" w:rsidRDefault="00164D2B" w:rsidP="00C31AE3">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7373B">
              <w:rPr>
                <w:rFonts w:ascii="Times New Roman" w:hAnsi="Times New Roman" w:cs="Times New Roman"/>
              </w:rPr>
              <w:t>Crude IR per 1,000 persons/year (99% CI)</w:t>
            </w:r>
          </w:p>
        </w:tc>
      </w:tr>
      <w:tr w:rsidR="00164D2B" w:rsidRPr="0097373B" w14:paraId="19EE584C" w14:textId="77777777" w:rsidTr="00D50C8D">
        <w:trPr>
          <w:gridAfter w:val="1"/>
          <w:cnfStyle w:val="000000100000" w:firstRow="0" w:lastRow="0" w:firstColumn="0" w:lastColumn="0" w:oddVBand="0" w:evenVBand="0" w:oddHBand="1" w:evenHBand="0" w:firstRowFirstColumn="0" w:firstRowLastColumn="0" w:lastRowFirstColumn="0" w:lastRowLastColumn="0"/>
          <w:wAfter w:w="273" w:type="dxa"/>
        </w:trPr>
        <w:tc>
          <w:tcPr>
            <w:cnfStyle w:val="001000000000" w:firstRow="0" w:lastRow="0" w:firstColumn="1" w:lastColumn="0" w:oddVBand="0" w:evenVBand="0" w:oddHBand="0" w:evenHBand="0" w:firstRowFirstColumn="0" w:firstRowLastColumn="0" w:lastRowFirstColumn="0" w:lastRowLastColumn="0"/>
            <w:tcW w:w="1134" w:type="dxa"/>
            <w:vMerge w:val="restart"/>
          </w:tcPr>
          <w:p w14:paraId="3401E345" w14:textId="77777777" w:rsidR="00164D2B" w:rsidRPr="0097373B" w:rsidRDefault="00164D2B" w:rsidP="00C31AE3">
            <w:pPr>
              <w:spacing w:line="480" w:lineRule="auto"/>
              <w:jc w:val="both"/>
              <w:rPr>
                <w:rFonts w:ascii="Times New Roman" w:hAnsi="Times New Roman" w:cs="Times New Roman"/>
              </w:rPr>
            </w:pPr>
            <w:r w:rsidRPr="0097373B">
              <w:rPr>
                <w:rFonts w:ascii="Times New Roman" w:hAnsi="Times New Roman" w:cs="Times New Roman"/>
              </w:rPr>
              <w:t>Knee OA</w:t>
            </w:r>
            <w:r w:rsidRPr="0097373B">
              <w:rPr>
                <w:rFonts w:ascii="Times New Roman" w:hAnsi="Times New Roman" w:cs="Times New Roman"/>
                <w:vertAlign w:val="superscript"/>
              </w:rPr>
              <w:t>β</w:t>
            </w:r>
          </w:p>
        </w:tc>
        <w:tc>
          <w:tcPr>
            <w:tcW w:w="2835" w:type="dxa"/>
            <w:gridSpan w:val="2"/>
            <w:tcBorders>
              <w:top w:val="nil"/>
              <w:bottom w:val="nil"/>
            </w:tcBorders>
          </w:tcPr>
          <w:p w14:paraId="4778AFB3" w14:textId="77777777" w:rsidR="00164D2B" w:rsidRPr="0097373B" w:rsidRDefault="00164D2B" w:rsidP="00C31AE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1"/>
              </w:rPr>
            </w:pPr>
            <w:r w:rsidRPr="0097373B">
              <w:rPr>
                <w:rFonts w:ascii="Times New Roman" w:hAnsi="Times New Roman" w:cs="Times New Roman"/>
              </w:rPr>
              <w:t>Overall IR</w:t>
            </w:r>
          </w:p>
        </w:tc>
        <w:tc>
          <w:tcPr>
            <w:tcW w:w="2268" w:type="dxa"/>
            <w:tcBorders>
              <w:top w:val="nil"/>
              <w:bottom w:val="nil"/>
            </w:tcBorders>
          </w:tcPr>
          <w:p w14:paraId="7BF93380" w14:textId="77777777" w:rsidR="00164D2B" w:rsidRPr="0097373B" w:rsidRDefault="00164D2B" w:rsidP="00C31AE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1"/>
              </w:rPr>
            </w:pPr>
            <w:r w:rsidRPr="0097373B">
              <w:rPr>
                <w:rFonts w:ascii="Times New Roman" w:hAnsi="Times New Roman" w:cs="Times New Roman"/>
                <w:kern w:val="1"/>
              </w:rPr>
              <w:t xml:space="preserve">83,469 </w:t>
            </w:r>
          </w:p>
        </w:tc>
        <w:tc>
          <w:tcPr>
            <w:tcW w:w="2279" w:type="dxa"/>
            <w:tcBorders>
              <w:top w:val="nil"/>
              <w:bottom w:val="nil"/>
            </w:tcBorders>
          </w:tcPr>
          <w:p w14:paraId="2239AEA9" w14:textId="77777777" w:rsidR="00164D2B" w:rsidRPr="0097373B" w:rsidRDefault="00164D2B" w:rsidP="00C31AE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373B">
              <w:rPr>
                <w:rFonts w:ascii="Times New Roman" w:hAnsi="Times New Roman" w:cs="Times New Roman"/>
                <w:kern w:val="1"/>
              </w:rPr>
              <w:t>9.1 (9.0-9.2)</w:t>
            </w:r>
          </w:p>
        </w:tc>
      </w:tr>
      <w:tr w:rsidR="00164D2B" w:rsidRPr="0097373B" w14:paraId="14845ADB" w14:textId="77777777" w:rsidTr="00D50C8D">
        <w:trPr>
          <w:gridAfter w:val="1"/>
          <w:wAfter w:w="273" w:type="dxa"/>
        </w:trPr>
        <w:tc>
          <w:tcPr>
            <w:cnfStyle w:val="001000000000" w:firstRow="0" w:lastRow="0" w:firstColumn="1" w:lastColumn="0" w:oddVBand="0" w:evenVBand="0" w:oddHBand="0" w:evenHBand="0" w:firstRowFirstColumn="0" w:firstRowLastColumn="0" w:lastRowFirstColumn="0" w:lastRowLastColumn="0"/>
            <w:tcW w:w="1134" w:type="dxa"/>
            <w:vMerge/>
            <w:tcBorders>
              <w:top w:val="nil"/>
            </w:tcBorders>
          </w:tcPr>
          <w:p w14:paraId="67BE1959" w14:textId="77777777" w:rsidR="00164D2B" w:rsidRPr="0097373B" w:rsidRDefault="00164D2B" w:rsidP="00C31AE3">
            <w:pPr>
              <w:spacing w:line="480" w:lineRule="auto"/>
              <w:jc w:val="both"/>
              <w:rPr>
                <w:rFonts w:ascii="Times New Roman" w:hAnsi="Times New Roman" w:cs="Times New Roman"/>
              </w:rPr>
            </w:pPr>
          </w:p>
        </w:tc>
        <w:tc>
          <w:tcPr>
            <w:tcW w:w="1134" w:type="dxa"/>
            <w:vMerge w:val="restart"/>
            <w:tcBorders>
              <w:top w:val="nil"/>
            </w:tcBorders>
          </w:tcPr>
          <w:p w14:paraId="02DF5EF3" w14:textId="77777777" w:rsidR="00164D2B" w:rsidRPr="0097373B" w:rsidRDefault="00164D2B" w:rsidP="00C31AE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373B">
              <w:rPr>
                <w:rFonts w:ascii="Times New Roman" w:hAnsi="Times New Roman" w:cs="Times New Roman"/>
              </w:rPr>
              <w:t>BMI*</w:t>
            </w:r>
          </w:p>
        </w:tc>
        <w:tc>
          <w:tcPr>
            <w:tcW w:w="1701" w:type="dxa"/>
            <w:tcBorders>
              <w:top w:val="nil"/>
              <w:bottom w:val="nil"/>
            </w:tcBorders>
          </w:tcPr>
          <w:p w14:paraId="4E4A4E2B" w14:textId="77777777" w:rsidR="00164D2B" w:rsidRPr="0097373B" w:rsidRDefault="00164D2B" w:rsidP="00C31AE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1"/>
              </w:rPr>
            </w:pPr>
            <w:r w:rsidRPr="0097373B">
              <w:rPr>
                <w:rFonts w:ascii="Times New Roman" w:hAnsi="Times New Roman" w:cs="Times New Roman"/>
              </w:rPr>
              <w:t>Normal-weight</w:t>
            </w:r>
          </w:p>
        </w:tc>
        <w:tc>
          <w:tcPr>
            <w:tcW w:w="2268" w:type="dxa"/>
            <w:tcBorders>
              <w:top w:val="nil"/>
              <w:bottom w:val="nil"/>
            </w:tcBorders>
          </w:tcPr>
          <w:p w14:paraId="13A5A2D0" w14:textId="77777777" w:rsidR="00164D2B" w:rsidRPr="0097373B" w:rsidRDefault="00164D2B" w:rsidP="00C31AE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1"/>
              </w:rPr>
            </w:pPr>
            <w:r w:rsidRPr="0097373B">
              <w:rPr>
                <w:rFonts w:ascii="Times New Roman" w:hAnsi="Times New Roman" w:cs="Times New Roman"/>
                <w:kern w:val="1"/>
              </w:rPr>
              <w:t>8,785</w:t>
            </w:r>
          </w:p>
        </w:tc>
        <w:tc>
          <w:tcPr>
            <w:tcW w:w="2279" w:type="dxa"/>
            <w:tcBorders>
              <w:top w:val="nil"/>
              <w:bottom w:val="nil"/>
            </w:tcBorders>
          </w:tcPr>
          <w:p w14:paraId="5463D237" w14:textId="77777777" w:rsidR="00164D2B" w:rsidRPr="0097373B" w:rsidRDefault="00164D2B" w:rsidP="00C31AE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373B">
              <w:rPr>
                <w:rFonts w:ascii="Times New Roman" w:hAnsi="Times New Roman" w:cs="Times New Roman"/>
                <w:kern w:val="1"/>
              </w:rPr>
              <w:t>3.7 (3.6-3.8)</w:t>
            </w:r>
          </w:p>
        </w:tc>
      </w:tr>
      <w:tr w:rsidR="00164D2B" w:rsidRPr="0097373B" w14:paraId="2FD12722" w14:textId="77777777" w:rsidTr="00D50C8D">
        <w:trPr>
          <w:gridAfter w:val="1"/>
          <w:cnfStyle w:val="000000100000" w:firstRow="0" w:lastRow="0" w:firstColumn="0" w:lastColumn="0" w:oddVBand="0" w:evenVBand="0" w:oddHBand="1" w:evenHBand="0" w:firstRowFirstColumn="0" w:firstRowLastColumn="0" w:lastRowFirstColumn="0" w:lastRowLastColumn="0"/>
          <w:wAfter w:w="273" w:type="dxa"/>
        </w:trPr>
        <w:tc>
          <w:tcPr>
            <w:cnfStyle w:val="001000000000" w:firstRow="0" w:lastRow="0" w:firstColumn="1" w:lastColumn="0" w:oddVBand="0" w:evenVBand="0" w:oddHBand="0" w:evenHBand="0" w:firstRowFirstColumn="0" w:firstRowLastColumn="0" w:lastRowFirstColumn="0" w:lastRowLastColumn="0"/>
            <w:tcW w:w="1134" w:type="dxa"/>
            <w:vMerge/>
          </w:tcPr>
          <w:p w14:paraId="349E32FD" w14:textId="77777777" w:rsidR="00164D2B" w:rsidRPr="0097373B" w:rsidRDefault="00164D2B" w:rsidP="00C31AE3">
            <w:pPr>
              <w:spacing w:line="480" w:lineRule="auto"/>
              <w:jc w:val="both"/>
              <w:rPr>
                <w:rFonts w:ascii="Times New Roman" w:hAnsi="Times New Roman" w:cs="Times New Roman"/>
              </w:rPr>
            </w:pPr>
          </w:p>
        </w:tc>
        <w:tc>
          <w:tcPr>
            <w:tcW w:w="1134" w:type="dxa"/>
            <w:vMerge/>
          </w:tcPr>
          <w:p w14:paraId="3416ECED" w14:textId="77777777" w:rsidR="00164D2B" w:rsidRPr="0097373B" w:rsidRDefault="00164D2B" w:rsidP="00C31AE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01" w:type="dxa"/>
            <w:tcBorders>
              <w:top w:val="nil"/>
              <w:bottom w:val="nil"/>
            </w:tcBorders>
          </w:tcPr>
          <w:p w14:paraId="6E8C11D8" w14:textId="77777777" w:rsidR="00164D2B" w:rsidRPr="0097373B" w:rsidRDefault="00164D2B" w:rsidP="00C31AE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1"/>
              </w:rPr>
            </w:pPr>
            <w:r w:rsidRPr="0097373B">
              <w:rPr>
                <w:rFonts w:ascii="Times New Roman" w:hAnsi="Times New Roman" w:cs="Times New Roman"/>
              </w:rPr>
              <w:t>Overweight</w:t>
            </w:r>
          </w:p>
        </w:tc>
        <w:tc>
          <w:tcPr>
            <w:tcW w:w="2268" w:type="dxa"/>
            <w:tcBorders>
              <w:top w:val="nil"/>
              <w:bottom w:val="nil"/>
            </w:tcBorders>
          </w:tcPr>
          <w:p w14:paraId="0E956BD4" w14:textId="77777777" w:rsidR="00164D2B" w:rsidRPr="0097373B" w:rsidRDefault="00164D2B" w:rsidP="00C31AE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1"/>
              </w:rPr>
            </w:pPr>
            <w:r w:rsidRPr="0097373B">
              <w:rPr>
                <w:rFonts w:ascii="Times New Roman" w:hAnsi="Times New Roman" w:cs="Times New Roman"/>
                <w:kern w:val="1"/>
              </w:rPr>
              <w:t>31,415</w:t>
            </w:r>
          </w:p>
        </w:tc>
        <w:tc>
          <w:tcPr>
            <w:tcW w:w="2279" w:type="dxa"/>
            <w:tcBorders>
              <w:top w:val="nil"/>
              <w:bottom w:val="nil"/>
            </w:tcBorders>
          </w:tcPr>
          <w:p w14:paraId="15566E46" w14:textId="77777777" w:rsidR="00164D2B" w:rsidRPr="0097373B" w:rsidRDefault="00164D2B" w:rsidP="00C31AE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1"/>
              </w:rPr>
            </w:pPr>
            <w:r w:rsidRPr="0097373B">
              <w:rPr>
                <w:rFonts w:ascii="Times New Roman" w:hAnsi="Times New Roman" w:cs="Times New Roman"/>
                <w:kern w:val="1"/>
              </w:rPr>
              <w:t>8.0 (7.9-8.2)</w:t>
            </w:r>
          </w:p>
        </w:tc>
      </w:tr>
      <w:tr w:rsidR="00164D2B" w:rsidRPr="0097373B" w14:paraId="4EA29571" w14:textId="77777777" w:rsidTr="00D50C8D">
        <w:trPr>
          <w:gridAfter w:val="1"/>
          <w:wAfter w:w="273" w:type="dxa"/>
        </w:trPr>
        <w:tc>
          <w:tcPr>
            <w:cnfStyle w:val="001000000000" w:firstRow="0" w:lastRow="0" w:firstColumn="1" w:lastColumn="0" w:oddVBand="0" w:evenVBand="0" w:oddHBand="0" w:evenHBand="0" w:firstRowFirstColumn="0" w:firstRowLastColumn="0" w:lastRowFirstColumn="0" w:lastRowLastColumn="0"/>
            <w:tcW w:w="1134" w:type="dxa"/>
            <w:vMerge/>
          </w:tcPr>
          <w:p w14:paraId="05D70392" w14:textId="77777777" w:rsidR="00164D2B" w:rsidRPr="0097373B" w:rsidRDefault="00164D2B" w:rsidP="00C31AE3">
            <w:pPr>
              <w:spacing w:line="480" w:lineRule="auto"/>
              <w:jc w:val="both"/>
              <w:rPr>
                <w:rFonts w:ascii="Times New Roman" w:hAnsi="Times New Roman" w:cs="Times New Roman"/>
              </w:rPr>
            </w:pPr>
          </w:p>
        </w:tc>
        <w:tc>
          <w:tcPr>
            <w:tcW w:w="1134" w:type="dxa"/>
            <w:vMerge/>
          </w:tcPr>
          <w:p w14:paraId="24B09EB4" w14:textId="77777777" w:rsidR="00164D2B" w:rsidRPr="0097373B" w:rsidRDefault="00164D2B" w:rsidP="00C31AE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701" w:type="dxa"/>
            <w:tcBorders>
              <w:top w:val="nil"/>
              <w:bottom w:val="nil"/>
            </w:tcBorders>
          </w:tcPr>
          <w:p w14:paraId="26C52EBE" w14:textId="77777777" w:rsidR="00164D2B" w:rsidRPr="0097373B" w:rsidRDefault="00164D2B" w:rsidP="00C31AE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1"/>
              </w:rPr>
            </w:pPr>
            <w:r w:rsidRPr="0097373B">
              <w:rPr>
                <w:rFonts w:ascii="Times New Roman" w:hAnsi="Times New Roman" w:cs="Times New Roman"/>
              </w:rPr>
              <w:t>Obesity I</w:t>
            </w:r>
          </w:p>
        </w:tc>
        <w:tc>
          <w:tcPr>
            <w:tcW w:w="2268" w:type="dxa"/>
            <w:tcBorders>
              <w:top w:val="nil"/>
              <w:bottom w:val="nil"/>
            </w:tcBorders>
          </w:tcPr>
          <w:p w14:paraId="759EF035" w14:textId="77777777" w:rsidR="00164D2B" w:rsidRPr="0097373B" w:rsidRDefault="00164D2B" w:rsidP="00C31AE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1"/>
              </w:rPr>
            </w:pPr>
            <w:r w:rsidRPr="0097373B">
              <w:rPr>
                <w:rFonts w:ascii="Times New Roman" w:hAnsi="Times New Roman" w:cs="Times New Roman"/>
                <w:kern w:val="1"/>
              </w:rPr>
              <w:t>27,777</w:t>
            </w:r>
          </w:p>
        </w:tc>
        <w:tc>
          <w:tcPr>
            <w:tcW w:w="2279" w:type="dxa"/>
            <w:tcBorders>
              <w:top w:val="nil"/>
              <w:bottom w:val="nil"/>
            </w:tcBorders>
          </w:tcPr>
          <w:p w14:paraId="6D722281" w14:textId="77777777" w:rsidR="00164D2B" w:rsidRPr="0097373B" w:rsidRDefault="00164D2B" w:rsidP="00C31AE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1"/>
              </w:rPr>
            </w:pPr>
            <w:r w:rsidRPr="0097373B">
              <w:rPr>
                <w:rFonts w:ascii="Times New Roman" w:hAnsi="Times New Roman" w:cs="Times New Roman"/>
                <w:kern w:val="1"/>
              </w:rPr>
              <w:t>13.5 (13.2-13.7)</w:t>
            </w:r>
          </w:p>
        </w:tc>
      </w:tr>
      <w:tr w:rsidR="00164D2B" w:rsidRPr="0097373B" w14:paraId="62767F10" w14:textId="77777777" w:rsidTr="00D50C8D">
        <w:trPr>
          <w:gridAfter w:val="1"/>
          <w:cnfStyle w:val="000000100000" w:firstRow="0" w:lastRow="0" w:firstColumn="0" w:lastColumn="0" w:oddVBand="0" w:evenVBand="0" w:oddHBand="1" w:evenHBand="0" w:firstRowFirstColumn="0" w:firstRowLastColumn="0" w:lastRowFirstColumn="0" w:lastRowLastColumn="0"/>
          <w:wAfter w:w="273" w:type="dxa"/>
        </w:trPr>
        <w:tc>
          <w:tcPr>
            <w:cnfStyle w:val="001000000000" w:firstRow="0" w:lastRow="0" w:firstColumn="1" w:lastColumn="0" w:oddVBand="0" w:evenVBand="0" w:oddHBand="0" w:evenHBand="0" w:firstRowFirstColumn="0" w:firstRowLastColumn="0" w:lastRowFirstColumn="0" w:lastRowLastColumn="0"/>
            <w:tcW w:w="1134" w:type="dxa"/>
            <w:vMerge/>
            <w:tcBorders>
              <w:bottom w:val="nil"/>
            </w:tcBorders>
          </w:tcPr>
          <w:p w14:paraId="4E4BDD27" w14:textId="77777777" w:rsidR="00164D2B" w:rsidRPr="0097373B" w:rsidRDefault="00164D2B" w:rsidP="00C31AE3">
            <w:pPr>
              <w:spacing w:line="480" w:lineRule="auto"/>
              <w:jc w:val="both"/>
              <w:rPr>
                <w:rFonts w:ascii="Times New Roman" w:hAnsi="Times New Roman" w:cs="Times New Roman"/>
              </w:rPr>
            </w:pPr>
          </w:p>
        </w:tc>
        <w:tc>
          <w:tcPr>
            <w:tcW w:w="1134" w:type="dxa"/>
            <w:vMerge/>
            <w:tcBorders>
              <w:bottom w:val="nil"/>
            </w:tcBorders>
          </w:tcPr>
          <w:p w14:paraId="4F6FF77C" w14:textId="77777777" w:rsidR="00164D2B" w:rsidRPr="0097373B" w:rsidRDefault="00164D2B" w:rsidP="00C31AE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01" w:type="dxa"/>
            <w:tcBorders>
              <w:top w:val="nil"/>
              <w:bottom w:val="nil"/>
            </w:tcBorders>
          </w:tcPr>
          <w:p w14:paraId="1576337B" w14:textId="77777777" w:rsidR="00164D2B" w:rsidRPr="0097373B" w:rsidRDefault="00164D2B" w:rsidP="00C31AE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1"/>
              </w:rPr>
            </w:pPr>
            <w:r w:rsidRPr="0097373B">
              <w:rPr>
                <w:rFonts w:ascii="Times New Roman" w:hAnsi="Times New Roman" w:cs="Times New Roman"/>
              </w:rPr>
              <w:t>Obesity II</w:t>
            </w:r>
          </w:p>
        </w:tc>
        <w:tc>
          <w:tcPr>
            <w:tcW w:w="2268" w:type="dxa"/>
            <w:tcBorders>
              <w:top w:val="nil"/>
              <w:bottom w:val="nil"/>
            </w:tcBorders>
          </w:tcPr>
          <w:p w14:paraId="72A1AA95" w14:textId="77777777" w:rsidR="00164D2B" w:rsidRPr="0097373B" w:rsidRDefault="00164D2B" w:rsidP="00C31AE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1"/>
              </w:rPr>
            </w:pPr>
            <w:r w:rsidRPr="0097373B">
              <w:rPr>
                <w:rFonts w:ascii="Times New Roman" w:hAnsi="Times New Roman" w:cs="Times New Roman"/>
                <w:kern w:val="1"/>
              </w:rPr>
              <w:t>15,492</w:t>
            </w:r>
          </w:p>
        </w:tc>
        <w:tc>
          <w:tcPr>
            <w:tcW w:w="2279" w:type="dxa"/>
            <w:tcBorders>
              <w:top w:val="nil"/>
              <w:bottom w:val="nil"/>
            </w:tcBorders>
          </w:tcPr>
          <w:p w14:paraId="3F19F91C" w14:textId="77777777" w:rsidR="00164D2B" w:rsidRPr="0097373B" w:rsidRDefault="00164D2B" w:rsidP="00C31AE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373B">
              <w:rPr>
                <w:rFonts w:ascii="Times New Roman" w:hAnsi="Times New Roman" w:cs="Times New Roman"/>
                <w:kern w:val="1"/>
              </w:rPr>
              <w:t>19.5 (19.1-19.9)</w:t>
            </w:r>
          </w:p>
        </w:tc>
      </w:tr>
      <w:tr w:rsidR="00164D2B" w:rsidRPr="0097373B" w14:paraId="12BD3742" w14:textId="77777777" w:rsidTr="00D50C8D">
        <w:trPr>
          <w:gridAfter w:val="1"/>
          <w:wAfter w:w="273" w:type="dxa"/>
        </w:trPr>
        <w:tc>
          <w:tcPr>
            <w:cnfStyle w:val="001000000000" w:firstRow="0" w:lastRow="0" w:firstColumn="1" w:lastColumn="0" w:oddVBand="0" w:evenVBand="0" w:oddHBand="0" w:evenHBand="0" w:firstRowFirstColumn="0" w:firstRowLastColumn="0" w:lastRowFirstColumn="0" w:lastRowLastColumn="0"/>
            <w:tcW w:w="1134" w:type="dxa"/>
            <w:vMerge w:val="restart"/>
            <w:tcBorders>
              <w:top w:val="nil"/>
              <w:bottom w:val="nil"/>
            </w:tcBorders>
          </w:tcPr>
          <w:p w14:paraId="76F5651F" w14:textId="77777777" w:rsidR="00164D2B" w:rsidRPr="0097373B" w:rsidRDefault="00164D2B" w:rsidP="00C31AE3">
            <w:pPr>
              <w:spacing w:line="480" w:lineRule="auto"/>
              <w:jc w:val="both"/>
              <w:rPr>
                <w:rFonts w:ascii="Times New Roman" w:hAnsi="Times New Roman" w:cs="Times New Roman"/>
              </w:rPr>
            </w:pPr>
            <w:r w:rsidRPr="0097373B">
              <w:rPr>
                <w:rFonts w:ascii="Times New Roman" w:hAnsi="Times New Roman" w:cs="Times New Roman"/>
              </w:rPr>
              <w:t>Hip OA</w:t>
            </w:r>
            <w:r w:rsidRPr="0097373B">
              <w:rPr>
                <w:rFonts w:ascii="Times New Roman" w:hAnsi="Times New Roman" w:cs="Times New Roman"/>
                <w:vertAlign w:val="superscript"/>
              </w:rPr>
              <w:t>β</w:t>
            </w:r>
          </w:p>
        </w:tc>
        <w:tc>
          <w:tcPr>
            <w:tcW w:w="2835" w:type="dxa"/>
            <w:gridSpan w:val="2"/>
            <w:tcBorders>
              <w:top w:val="nil"/>
              <w:bottom w:val="nil"/>
            </w:tcBorders>
          </w:tcPr>
          <w:p w14:paraId="3F354E13" w14:textId="77777777" w:rsidR="00164D2B" w:rsidRPr="0097373B" w:rsidRDefault="00164D2B" w:rsidP="00C31AE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1"/>
              </w:rPr>
            </w:pPr>
            <w:r w:rsidRPr="0097373B">
              <w:rPr>
                <w:rFonts w:ascii="Times New Roman" w:hAnsi="Times New Roman" w:cs="Times New Roman"/>
              </w:rPr>
              <w:t>Overall IR</w:t>
            </w:r>
          </w:p>
        </w:tc>
        <w:tc>
          <w:tcPr>
            <w:tcW w:w="2268" w:type="dxa"/>
            <w:tcBorders>
              <w:top w:val="nil"/>
              <w:bottom w:val="nil"/>
            </w:tcBorders>
          </w:tcPr>
          <w:p w14:paraId="7B00F375" w14:textId="77777777" w:rsidR="00164D2B" w:rsidRPr="0097373B" w:rsidRDefault="00164D2B" w:rsidP="00C31AE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1"/>
              </w:rPr>
            </w:pPr>
            <w:r w:rsidRPr="0097373B">
              <w:rPr>
                <w:rFonts w:ascii="Times New Roman" w:hAnsi="Times New Roman" w:cs="Times New Roman"/>
                <w:kern w:val="1"/>
              </w:rPr>
              <w:t>27,701</w:t>
            </w:r>
          </w:p>
        </w:tc>
        <w:tc>
          <w:tcPr>
            <w:tcW w:w="2279" w:type="dxa"/>
            <w:tcBorders>
              <w:top w:val="nil"/>
              <w:bottom w:val="nil"/>
            </w:tcBorders>
          </w:tcPr>
          <w:p w14:paraId="6E88D76C" w14:textId="77777777" w:rsidR="00164D2B" w:rsidRPr="0097373B" w:rsidRDefault="00164D2B" w:rsidP="00C31AE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373B">
              <w:rPr>
                <w:rFonts w:ascii="Times New Roman" w:hAnsi="Times New Roman" w:cs="Times New Roman"/>
                <w:kern w:val="1"/>
              </w:rPr>
              <w:t>2.9 (2.8-2.9)</w:t>
            </w:r>
          </w:p>
        </w:tc>
      </w:tr>
      <w:tr w:rsidR="00164D2B" w:rsidRPr="0097373B" w14:paraId="73390907" w14:textId="77777777" w:rsidTr="00D50C8D">
        <w:trPr>
          <w:gridAfter w:val="1"/>
          <w:cnfStyle w:val="000000100000" w:firstRow="0" w:lastRow="0" w:firstColumn="0" w:lastColumn="0" w:oddVBand="0" w:evenVBand="0" w:oddHBand="1" w:evenHBand="0" w:firstRowFirstColumn="0" w:firstRowLastColumn="0" w:lastRowFirstColumn="0" w:lastRowLastColumn="0"/>
          <w:wAfter w:w="273" w:type="dxa"/>
        </w:trPr>
        <w:tc>
          <w:tcPr>
            <w:cnfStyle w:val="001000000000" w:firstRow="0" w:lastRow="0" w:firstColumn="1" w:lastColumn="0" w:oddVBand="0" w:evenVBand="0" w:oddHBand="0" w:evenHBand="0" w:firstRowFirstColumn="0" w:firstRowLastColumn="0" w:lastRowFirstColumn="0" w:lastRowLastColumn="0"/>
            <w:tcW w:w="1134" w:type="dxa"/>
            <w:vMerge/>
            <w:tcBorders>
              <w:top w:val="nil"/>
              <w:bottom w:val="nil"/>
            </w:tcBorders>
          </w:tcPr>
          <w:p w14:paraId="7FFD9D8A" w14:textId="77777777" w:rsidR="00164D2B" w:rsidRPr="0097373B" w:rsidRDefault="00164D2B" w:rsidP="00C31AE3">
            <w:pPr>
              <w:spacing w:line="480" w:lineRule="auto"/>
              <w:jc w:val="both"/>
              <w:rPr>
                <w:rFonts w:ascii="Times New Roman" w:hAnsi="Times New Roman" w:cs="Times New Roman"/>
              </w:rPr>
            </w:pPr>
          </w:p>
        </w:tc>
        <w:tc>
          <w:tcPr>
            <w:tcW w:w="1134" w:type="dxa"/>
            <w:vMerge w:val="restart"/>
            <w:tcBorders>
              <w:top w:val="nil"/>
              <w:bottom w:val="nil"/>
            </w:tcBorders>
          </w:tcPr>
          <w:p w14:paraId="3F91AAAC" w14:textId="77777777" w:rsidR="00164D2B" w:rsidRPr="0097373B" w:rsidRDefault="00164D2B" w:rsidP="00C31AE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373B">
              <w:rPr>
                <w:rFonts w:ascii="Times New Roman" w:hAnsi="Times New Roman" w:cs="Times New Roman"/>
              </w:rPr>
              <w:t>BMI*</w:t>
            </w:r>
          </w:p>
        </w:tc>
        <w:tc>
          <w:tcPr>
            <w:tcW w:w="1701" w:type="dxa"/>
            <w:tcBorders>
              <w:top w:val="nil"/>
              <w:bottom w:val="nil"/>
            </w:tcBorders>
          </w:tcPr>
          <w:p w14:paraId="524D65EB" w14:textId="77777777" w:rsidR="00164D2B" w:rsidRPr="0097373B" w:rsidRDefault="00164D2B" w:rsidP="00C31AE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1"/>
              </w:rPr>
            </w:pPr>
            <w:r w:rsidRPr="0097373B">
              <w:rPr>
                <w:rFonts w:ascii="Times New Roman" w:hAnsi="Times New Roman" w:cs="Times New Roman"/>
              </w:rPr>
              <w:t>Normal-weight</w:t>
            </w:r>
          </w:p>
        </w:tc>
        <w:tc>
          <w:tcPr>
            <w:tcW w:w="2268" w:type="dxa"/>
            <w:tcBorders>
              <w:top w:val="nil"/>
              <w:bottom w:val="nil"/>
            </w:tcBorders>
          </w:tcPr>
          <w:p w14:paraId="7E4BD59D" w14:textId="77777777" w:rsidR="00164D2B" w:rsidRPr="0097373B" w:rsidRDefault="00164D2B" w:rsidP="00C31AE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1"/>
              </w:rPr>
            </w:pPr>
            <w:r w:rsidRPr="0097373B">
              <w:rPr>
                <w:rFonts w:ascii="Times New Roman" w:hAnsi="Times New Roman" w:cs="Times New Roman"/>
                <w:kern w:val="1"/>
              </w:rPr>
              <w:t>4,250</w:t>
            </w:r>
          </w:p>
        </w:tc>
        <w:tc>
          <w:tcPr>
            <w:tcW w:w="2279" w:type="dxa"/>
            <w:tcBorders>
              <w:top w:val="nil"/>
              <w:bottom w:val="nil"/>
            </w:tcBorders>
          </w:tcPr>
          <w:p w14:paraId="3E4EE1CB" w14:textId="77777777" w:rsidR="00164D2B" w:rsidRPr="0097373B" w:rsidRDefault="00164D2B" w:rsidP="00C31AE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373B">
              <w:rPr>
                <w:rFonts w:ascii="Times New Roman" w:hAnsi="Times New Roman" w:cs="Times New Roman"/>
                <w:kern w:val="1"/>
              </w:rPr>
              <w:t>1.7 (1.7-1.8)</w:t>
            </w:r>
          </w:p>
        </w:tc>
      </w:tr>
      <w:tr w:rsidR="00164D2B" w:rsidRPr="0097373B" w14:paraId="7AB10660" w14:textId="77777777" w:rsidTr="00D50C8D">
        <w:trPr>
          <w:gridAfter w:val="1"/>
          <w:wAfter w:w="273" w:type="dxa"/>
        </w:trPr>
        <w:tc>
          <w:tcPr>
            <w:cnfStyle w:val="001000000000" w:firstRow="0" w:lastRow="0" w:firstColumn="1" w:lastColumn="0" w:oddVBand="0" w:evenVBand="0" w:oddHBand="0" w:evenHBand="0" w:firstRowFirstColumn="0" w:firstRowLastColumn="0" w:lastRowFirstColumn="0" w:lastRowLastColumn="0"/>
            <w:tcW w:w="1134" w:type="dxa"/>
            <w:vMerge/>
            <w:tcBorders>
              <w:top w:val="nil"/>
              <w:bottom w:val="nil"/>
            </w:tcBorders>
          </w:tcPr>
          <w:p w14:paraId="6E1C3B0A" w14:textId="77777777" w:rsidR="00164D2B" w:rsidRPr="0097373B" w:rsidRDefault="00164D2B" w:rsidP="00C31AE3">
            <w:pPr>
              <w:spacing w:line="480" w:lineRule="auto"/>
              <w:jc w:val="both"/>
              <w:rPr>
                <w:rFonts w:ascii="Times New Roman" w:hAnsi="Times New Roman" w:cs="Times New Roman"/>
              </w:rPr>
            </w:pPr>
          </w:p>
        </w:tc>
        <w:tc>
          <w:tcPr>
            <w:tcW w:w="1134" w:type="dxa"/>
            <w:vMerge/>
            <w:tcBorders>
              <w:top w:val="nil"/>
              <w:bottom w:val="nil"/>
            </w:tcBorders>
          </w:tcPr>
          <w:p w14:paraId="4C11E53E" w14:textId="77777777" w:rsidR="00164D2B" w:rsidRPr="0097373B" w:rsidRDefault="00164D2B" w:rsidP="00C31AE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701" w:type="dxa"/>
            <w:tcBorders>
              <w:top w:val="nil"/>
              <w:bottom w:val="nil"/>
            </w:tcBorders>
          </w:tcPr>
          <w:p w14:paraId="65946A0A" w14:textId="77777777" w:rsidR="00164D2B" w:rsidRPr="0097373B" w:rsidRDefault="00164D2B" w:rsidP="00C31AE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1"/>
              </w:rPr>
            </w:pPr>
            <w:r w:rsidRPr="0097373B">
              <w:rPr>
                <w:rFonts w:ascii="Times New Roman" w:hAnsi="Times New Roman" w:cs="Times New Roman"/>
              </w:rPr>
              <w:t>Overweight</w:t>
            </w:r>
          </w:p>
        </w:tc>
        <w:tc>
          <w:tcPr>
            <w:tcW w:w="2268" w:type="dxa"/>
            <w:tcBorders>
              <w:top w:val="nil"/>
              <w:bottom w:val="nil"/>
            </w:tcBorders>
          </w:tcPr>
          <w:p w14:paraId="09B4FEC4" w14:textId="77777777" w:rsidR="00164D2B" w:rsidRPr="0097373B" w:rsidRDefault="00164D2B" w:rsidP="00C31AE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1"/>
              </w:rPr>
            </w:pPr>
            <w:r w:rsidRPr="0097373B">
              <w:rPr>
                <w:rFonts w:ascii="Times New Roman" w:hAnsi="Times New Roman" w:cs="Times New Roman"/>
                <w:kern w:val="1"/>
              </w:rPr>
              <w:t>11,846</w:t>
            </w:r>
          </w:p>
        </w:tc>
        <w:tc>
          <w:tcPr>
            <w:tcW w:w="2279" w:type="dxa"/>
            <w:tcBorders>
              <w:top w:val="nil"/>
              <w:bottom w:val="nil"/>
            </w:tcBorders>
          </w:tcPr>
          <w:p w14:paraId="7F9E65B6" w14:textId="77777777" w:rsidR="00164D2B" w:rsidRPr="0097373B" w:rsidRDefault="00164D2B" w:rsidP="00C31AE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1"/>
              </w:rPr>
            </w:pPr>
            <w:r w:rsidRPr="0097373B">
              <w:rPr>
                <w:rFonts w:ascii="Times New Roman" w:hAnsi="Times New Roman" w:cs="Times New Roman"/>
                <w:kern w:val="1"/>
              </w:rPr>
              <w:t>2.9 (2.8-3.0)</w:t>
            </w:r>
          </w:p>
        </w:tc>
      </w:tr>
      <w:tr w:rsidR="00164D2B" w:rsidRPr="0097373B" w14:paraId="72DFD5DE" w14:textId="77777777" w:rsidTr="00D50C8D">
        <w:trPr>
          <w:gridAfter w:val="1"/>
          <w:cnfStyle w:val="000000100000" w:firstRow="0" w:lastRow="0" w:firstColumn="0" w:lastColumn="0" w:oddVBand="0" w:evenVBand="0" w:oddHBand="1" w:evenHBand="0" w:firstRowFirstColumn="0" w:firstRowLastColumn="0" w:lastRowFirstColumn="0" w:lastRowLastColumn="0"/>
          <w:wAfter w:w="273" w:type="dxa"/>
        </w:trPr>
        <w:tc>
          <w:tcPr>
            <w:cnfStyle w:val="001000000000" w:firstRow="0" w:lastRow="0" w:firstColumn="1" w:lastColumn="0" w:oddVBand="0" w:evenVBand="0" w:oddHBand="0" w:evenHBand="0" w:firstRowFirstColumn="0" w:firstRowLastColumn="0" w:lastRowFirstColumn="0" w:lastRowLastColumn="0"/>
            <w:tcW w:w="1134" w:type="dxa"/>
            <w:vMerge/>
            <w:tcBorders>
              <w:top w:val="nil"/>
              <w:bottom w:val="nil"/>
            </w:tcBorders>
          </w:tcPr>
          <w:p w14:paraId="744E9C77" w14:textId="77777777" w:rsidR="00164D2B" w:rsidRPr="0097373B" w:rsidRDefault="00164D2B" w:rsidP="00C31AE3">
            <w:pPr>
              <w:spacing w:line="480" w:lineRule="auto"/>
              <w:jc w:val="both"/>
              <w:rPr>
                <w:rFonts w:ascii="Times New Roman" w:hAnsi="Times New Roman" w:cs="Times New Roman"/>
              </w:rPr>
            </w:pPr>
          </w:p>
        </w:tc>
        <w:tc>
          <w:tcPr>
            <w:tcW w:w="1134" w:type="dxa"/>
            <w:vMerge/>
            <w:tcBorders>
              <w:top w:val="nil"/>
              <w:bottom w:val="nil"/>
            </w:tcBorders>
          </w:tcPr>
          <w:p w14:paraId="06D56A5C" w14:textId="77777777" w:rsidR="00164D2B" w:rsidRPr="0097373B" w:rsidRDefault="00164D2B" w:rsidP="00C31AE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01" w:type="dxa"/>
            <w:tcBorders>
              <w:top w:val="nil"/>
              <w:bottom w:val="nil"/>
            </w:tcBorders>
          </w:tcPr>
          <w:p w14:paraId="445DF8E7" w14:textId="77777777" w:rsidR="00164D2B" w:rsidRPr="0097373B" w:rsidRDefault="00164D2B" w:rsidP="00C31AE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1"/>
              </w:rPr>
            </w:pPr>
            <w:r w:rsidRPr="0097373B">
              <w:rPr>
                <w:rFonts w:ascii="Times New Roman" w:hAnsi="Times New Roman" w:cs="Times New Roman"/>
              </w:rPr>
              <w:t>Obesity I</w:t>
            </w:r>
          </w:p>
        </w:tc>
        <w:tc>
          <w:tcPr>
            <w:tcW w:w="2268" w:type="dxa"/>
            <w:tcBorders>
              <w:top w:val="nil"/>
              <w:bottom w:val="nil"/>
            </w:tcBorders>
          </w:tcPr>
          <w:p w14:paraId="64229992" w14:textId="77777777" w:rsidR="00164D2B" w:rsidRPr="0097373B" w:rsidRDefault="00164D2B" w:rsidP="00C31AE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1"/>
              </w:rPr>
            </w:pPr>
            <w:r w:rsidRPr="0097373B">
              <w:rPr>
                <w:rFonts w:ascii="Times New Roman" w:hAnsi="Times New Roman" w:cs="Times New Roman"/>
                <w:kern w:val="1"/>
              </w:rPr>
              <w:t>8,141</w:t>
            </w:r>
          </w:p>
        </w:tc>
        <w:tc>
          <w:tcPr>
            <w:tcW w:w="2279" w:type="dxa"/>
            <w:tcBorders>
              <w:top w:val="nil"/>
              <w:bottom w:val="nil"/>
            </w:tcBorders>
          </w:tcPr>
          <w:p w14:paraId="1E6A6636" w14:textId="77777777" w:rsidR="00164D2B" w:rsidRPr="0097373B" w:rsidRDefault="00164D2B" w:rsidP="00C31AE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1"/>
              </w:rPr>
            </w:pPr>
            <w:r w:rsidRPr="0097373B">
              <w:rPr>
                <w:rFonts w:ascii="Times New Roman" w:hAnsi="Times New Roman" w:cs="Times New Roman"/>
                <w:kern w:val="1"/>
              </w:rPr>
              <w:t>3.6 (3.5-3.7)</w:t>
            </w:r>
          </w:p>
        </w:tc>
      </w:tr>
      <w:tr w:rsidR="00164D2B" w:rsidRPr="0097373B" w14:paraId="07B22C31" w14:textId="77777777" w:rsidTr="00D50C8D">
        <w:trPr>
          <w:gridAfter w:val="1"/>
          <w:wAfter w:w="273" w:type="dxa"/>
        </w:trPr>
        <w:tc>
          <w:tcPr>
            <w:cnfStyle w:val="001000000000" w:firstRow="0" w:lastRow="0" w:firstColumn="1" w:lastColumn="0" w:oddVBand="0" w:evenVBand="0" w:oddHBand="0" w:evenHBand="0" w:firstRowFirstColumn="0" w:firstRowLastColumn="0" w:lastRowFirstColumn="0" w:lastRowLastColumn="0"/>
            <w:tcW w:w="1134" w:type="dxa"/>
            <w:vMerge/>
            <w:tcBorders>
              <w:top w:val="nil"/>
              <w:bottom w:val="nil"/>
            </w:tcBorders>
          </w:tcPr>
          <w:p w14:paraId="101CA4F4" w14:textId="77777777" w:rsidR="00164D2B" w:rsidRPr="0097373B" w:rsidRDefault="00164D2B" w:rsidP="00C31AE3">
            <w:pPr>
              <w:spacing w:line="480" w:lineRule="auto"/>
              <w:jc w:val="both"/>
              <w:rPr>
                <w:rFonts w:ascii="Times New Roman" w:hAnsi="Times New Roman" w:cs="Times New Roman"/>
              </w:rPr>
            </w:pPr>
          </w:p>
        </w:tc>
        <w:tc>
          <w:tcPr>
            <w:tcW w:w="1134" w:type="dxa"/>
            <w:vMerge/>
            <w:tcBorders>
              <w:top w:val="nil"/>
              <w:bottom w:val="nil"/>
            </w:tcBorders>
          </w:tcPr>
          <w:p w14:paraId="35F0EF7F" w14:textId="77777777" w:rsidR="00164D2B" w:rsidRPr="0097373B" w:rsidRDefault="00164D2B" w:rsidP="00C31AE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701" w:type="dxa"/>
            <w:tcBorders>
              <w:top w:val="nil"/>
              <w:bottom w:val="nil"/>
            </w:tcBorders>
          </w:tcPr>
          <w:p w14:paraId="7720A038" w14:textId="77777777" w:rsidR="00164D2B" w:rsidRPr="0097373B" w:rsidRDefault="00164D2B" w:rsidP="00C31AE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1"/>
              </w:rPr>
            </w:pPr>
            <w:r w:rsidRPr="0097373B">
              <w:rPr>
                <w:rFonts w:ascii="Times New Roman" w:hAnsi="Times New Roman" w:cs="Times New Roman"/>
              </w:rPr>
              <w:t>Obesity II</w:t>
            </w:r>
          </w:p>
        </w:tc>
        <w:tc>
          <w:tcPr>
            <w:tcW w:w="2268" w:type="dxa"/>
            <w:tcBorders>
              <w:top w:val="nil"/>
              <w:bottom w:val="nil"/>
            </w:tcBorders>
          </w:tcPr>
          <w:p w14:paraId="39AF7051" w14:textId="77777777" w:rsidR="00164D2B" w:rsidRPr="0097373B" w:rsidRDefault="00164D2B" w:rsidP="00C31AE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1"/>
              </w:rPr>
            </w:pPr>
            <w:r w:rsidRPr="0097373B">
              <w:rPr>
                <w:rFonts w:ascii="Times New Roman" w:hAnsi="Times New Roman" w:cs="Times New Roman"/>
                <w:kern w:val="1"/>
              </w:rPr>
              <w:t>3,464</w:t>
            </w:r>
          </w:p>
        </w:tc>
        <w:tc>
          <w:tcPr>
            <w:tcW w:w="2279" w:type="dxa"/>
            <w:tcBorders>
              <w:top w:val="nil"/>
              <w:bottom w:val="nil"/>
            </w:tcBorders>
          </w:tcPr>
          <w:p w14:paraId="1A74A387" w14:textId="77777777" w:rsidR="00164D2B" w:rsidRPr="0097373B" w:rsidRDefault="00164D2B" w:rsidP="00C31AE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373B">
              <w:rPr>
                <w:rFonts w:ascii="Times New Roman" w:hAnsi="Times New Roman" w:cs="Times New Roman"/>
                <w:kern w:val="1"/>
              </w:rPr>
              <w:t>3.8 (3.7-4.0)</w:t>
            </w:r>
          </w:p>
        </w:tc>
      </w:tr>
      <w:tr w:rsidR="00164D2B" w:rsidRPr="0097373B" w14:paraId="41C99FCF" w14:textId="77777777" w:rsidTr="00D50C8D">
        <w:trPr>
          <w:gridAfter w:val="1"/>
          <w:cnfStyle w:val="000000100000" w:firstRow="0" w:lastRow="0" w:firstColumn="0" w:lastColumn="0" w:oddVBand="0" w:evenVBand="0" w:oddHBand="1" w:evenHBand="0" w:firstRowFirstColumn="0" w:firstRowLastColumn="0" w:lastRowFirstColumn="0" w:lastRowLastColumn="0"/>
          <w:wAfter w:w="273" w:type="dxa"/>
        </w:trPr>
        <w:tc>
          <w:tcPr>
            <w:cnfStyle w:val="001000000000" w:firstRow="0" w:lastRow="0" w:firstColumn="1" w:lastColumn="0" w:oddVBand="0" w:evenVBand="0" w:oddHBand="0" w:evenHBand="0" w:firstRowFirstColumn="0" w:firstRowLastColumn="0" w:lastRowFirstColumn="0" w:lastRowLastColumn="0"/>
            <w:tcW w:w="1134" w:type="dxa"/>
            <w:vMerge w:val="restart"/>
            <w:tcBorders>
              <w:top w:val="nil"/>
              <w:bottom w:val="nil"/>
            </w:tcBorders>
          </w:tcPr>
          <w:p w14:paraId="5956057A" w14:textId="77777777" w:rsidR="00164D2B" w:rsidRPr="0097373B" w:rsidRDefault="00164D2B" w:rsidP="00C31AE3">
            <w:pPr>
              <w:spacing w:line="480" w:lineRule="auto"/>
              <w:jc w:val="both"/>
              <w:rPr>
                <w:rFonts w:ascii="Times New Roman" w:hAnsi="Times New Roman" w:cs="Times New Roman"/>
              </w:rPr>
            </w:pPr>
            <w:r w:rsidRPr="0097373B">
              <w:rPr>
                <w:rFonts w:ascii="Times New Roman" w:hAnsi="Times New Roman" w:cs="Times New Roman"/>
              </w:rPr>
              <w:t>Hand OA</w:t>
            </w:r>
            <w:r w:rsidRPr="0097373B">
              <w:rPr>
                <w:rFonts w:ascii="Times New Roman" w:hAnsi="Times New Roman" w:cs="Times New Roman"/>
                <w:vertAlign w:val="superscript"/>
              </w:rPr>
              <w:t>β</w:t>
            </w:r>
          </w:p>
        </w:tc>
        <w:tc>
          <w:tcPr>
            <w:tcW w:w="2835" w:type="dxa"/>
            <w:gridSpan w:val="2"/>
            <w:tcBorders>
              <w:top w:val="nil"/>
              <w:bottom w:val="nil"/>
            </w:tcBorders>
          </w:tcPr>
          <w:p w14:paraId="541D0391" w14:textId="77777777" w:rsidR="00164D2B" w:rsidRPr="0097373B" w:rsidRDefault="00164D2B" w:rsidP="00C31AE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1"/>
              </w:rPr>
            </w:pPr>
            <w:r w:rsidRPr="0097373B">
              <w:rPr>
                <w:rFonts w:ascii="Times New Roman" w:hAnsi="Times New Roman" w:cs="Times New Roman"/>
              </w:rPr>
              <w:t>Overall IR</w:t>
            </w:r>
          </w:p>
        </w:tc>
        <w:tc>
          <w:tcPr>
            <w:tcW w:w="2268" w:type="dxa"/>
            <w:tcBorders>
              <w:top w:val="nil"/>
              <w:bottom w:val="nil"/>
            </w:tcBorders>
          </w:tcPr>
          <w:p w14:paraId="781EC13E" w14:textId="77777777" w:rsidR="00164D2B" w:rsidRPr="0097373B" w:rsidRDefault="00164D2B" w:rsidP="00C31AE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1"/>
              </w:rPr>
            </w:pPr>
            <w:r w:rsidRPr="0097373B">
              <w:rPr>
                <w:rFonts w:ascii="Times New Roman" w:hAnsi="Times New Roman" w:cs="Times New Roman"/>
                <w:kern w:val="1"/>
              </w:rPr>
              <w:t>30,909</w:t>
            </w:r>
          </w:p>
        </w:tc>
        <w:tc>
          <w:tcPr>
            <w:tcW w:w="2279" w:type="dxa"/>
            <w:tcBorders>
              <w:top w:val="nil"/>
              <w:bottom w:val="nil"/>
            </w:tcBorders>
          </w:tcPr>
          <w:p w14:paraId="4EE8531F" w14:textId="77777777" w:rsidR="00164D2B" w:rsidRPr="0097373B" w:rsidRDefault="00164D2B" w:rsidP="00C31AE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373B">
              <w:rPr>
                <w:rFonts w:ascii="Times New Roman" w:hAnsi="Times New Roman" w:cs="Times New Roman"/>
                <w:kern w:val="1"/>
              </w:rPr>
              <w:t>3.2 (3.2-3.3)</w:t>
            </w:r>
          </w:p>
        </w:tc>
      </w:tr>
      <w:tr w:rsidR="00164D2B" w:rsidRPr="0097373B" w14:paraId="1378A404" w14:textId="77777777" w:rsidTr="00D50C8D">
        <w:trPr>
          <w:gridAfter w:val="1"/>
          <w:wAfter w:w="273" w:type="dxa"/>
        </w:trPr>
        <w:tc>
          <w:tcPr>
            <w:cnfStyle w:val="001000000000" w:firstRow="0" w:lastRow="0" w:firstColumn="1" w:lastColumn="0" w:oddVBand="0" w:evenVBand="0" w:oddHBand="0" w:evenHBand="0" w:firstRowFirstColumn="0" w:firstRowLastColumn="0" w:lastRowFirstColumn="0" w:lastRowLastColumn="0"/>
            <w:tcW w:w="1134" w:type="dxa"/>
            <w:vMerge/>
            <w:tcBorders>
              <w:top w:val="nil"/>
              <w:bottom w:val="nil"/>
            </w:tcBorders>
          </w:tcPr>
          <w:p w14:paraId="6F048FFA" w14:textId="77777777" w:rsidR="00164D2B" w:rsidRPr="0097373B" w:rsidRDefault="00164D2B" w:rsidP="00C31AE3">
            <w:pPr>
              <w:spacing w:line="480" w:lineRule="auto"/>
              <w:jc w:val="both"/>
              <w:rPr>
                <w:rFonts w:ascii="Times New Roman" w:hAnsi="Times New Roman" w:cs="Times New Roman"/>
              </w:rPr>
            </w:pPr>
          </w:p>
        </w:tc>
        <w:tc>
          <w:tcPr>
            <w:tcW w:w="1134" w:type="dxa"/>
            <w:vMerge w:val="restart"/>
            <w:tcBorders>
              <w:top w:val="nil"/>
              <w:bottom w:val="nil"/>
            </w:tcBorders>
          </w:tcPr>
          <w:p w14:paraId="1D146A7A" w14:textId="77777777" w:rsidR="00164D2B" w:rsidRPr="0097373B" w:rsidRDefault="00164D2B" w:rsidP="00C31AE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373B">
              <w:rPr>
                <w:rFonts w:ascii="Times New Roman" w:hAnsi="Times New Roman" w:cs="Times New Roman"/>
              </w:rPr>
              <w:t>BMI*</w:t>
            </w:r>
          </w:p>
        </w:tc>
        <w:tc>
          <w:tcPr>
            <w:tcW w:w="1701" w:type="dxa"/>
            <w:tcBorders>
              <w:top w:val="nil"/>
              <w:bottom w:val="nil"/>
            </w:tcBorders>
          </w:tcPr>
          <w:p w14:paraId="33457927" w14:textId="77777777" w:rsidR="00164D2B" w:rsidRPr="0097373B" w:rsidRDefault="00164D2B" w:rsidP="00C31AE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1"/>
              </w:rPr>
            </w:pPr>
            <w:r w:rsidRPr="0097373B">
              <w:rPr>
                <w:rFonts w:ascii="Times New Roman" w:hAnsi="Times New Roman" w:cs="Times New Roman"/>
              </w:rPr>
              <w:t>Normal-weight</w:t>
            </w:r>
          </w:p>
        </w:tc>
        <w:tc>
          <w:tcPr>
            <w:tcW w:w="2268" w:type="dxa"/>
            <w:tcBorders>
              <w:top w:val="nil"/>
              <w:bottom w:val="nil"/>
            </w:tcBorders>
          </w:tcPr>
          <w:p w14:paraId="0B4594CE" w14:textId="77777777" w:rsidR="00164D2B" w:rsidRPr="0097373B" w:rsidRDefault="00164D2B" w:rsidP="00C31AE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1"/>
              </w:rPr>
            </w:pPr>
            <w:r w:rsidRPr="0097373B">
              <w:rPr>
                <w:rFonts w:ascii="Times New Roman" w:hAnsi="Times New Roman" w:cs="Times New Roman"/>
                <w:kern w:val="1"/>
              </w:rPr>
              <w:t>6,302</w:t>
            </w:r>
          </w:p>
        </w:tc>
        <w:tc>
          <w:tcPr>
            <w:tcW w:w="2279" w:type="dxa"/>
            <w:tcBorders>
              <w:top w:val="nil"/>
              <w:bottom w:val="nil"/>
            </w:tcBorders>
          </w:tcPr>
          <w:p w14:paraId="076A48D4" w14:textId="77777777" w:rsidR="00164D2B" w:rsidRPr="0097373B" w:rsidRDefault="00164D2B" w:rsidP="00C31AE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373B">
              <w:rPr>
                <w:rFonts w:ascii="Times New Roman" w:hAnsi="Times New Roman" w:cs="Times New Roman"/>
                <w:kern w:val="1"/>
              </w:rPr>
              <w:t>2.6 (2.5-2.7)</w:t>
            </w:r>
          </w:p>
        </w:tc>
      </w:tr>
      <w:tr w:rsidR="00164D2B" w:rsidRPr="0097373B" w14:paraId="77465BCF" w14:textId="77777777" w:rsidTr="00D50C8D">
        <w:trPr>
          <w:gridAfter w:val="1"/>
          <w:cnfStyle w:val="000000100000" w:firstRow="0" w:lastRow="0" w:firstColumn="0" w:lastColumn="0" w:oddVBand="0" w:evenVBand="0" w:oddHBand="1" w:evenHBand="0" w:firstRowFirstColumn="0" w:firstRowLastColumn="0" w:lastRowFirstColumn="0" w:lastRowLastColumn="0"/>
          <w:wAfter w:w="273" w:type="dxa"/>
        </w:trPr>
        <w:tc>
          <w:tcPr>
            <w:cnfStyle w:val="001000000000" w:firstRow="0" w:lastRow="0" w:firstColumn="1" w:lastColumn="0" w:oddVBand="0" w:evenVBand="0" w:oddHBand="0" w:evenHBand="0" w:firstRowFirstColumn="0" w:firstRowLastColumn="0" w:lastRowFirstColumn="0" w:lastRowLastColumn="0"/>
            <w:tcW w:w="1134" w:type="dxa"/>
            <w:vMerge/>
            <w:tcBorders>
              <w:top w:val="nil"/>
              <w:bottom w:val="nil"/>
            </w:tcBorders>
          </w:tcPr>
          <w:p w14:paraId="1638ED5F" w14:textId="77777777" w:rsidR="00164D2B" w:rsidRPr="0097373B" w:rsidRDefault="00164D2B" w:rsidP="00C31AE3">
            <w:pPr>
              <w:spacing w:line="480" w:lineRule="auto"/>
              <w:jc w:val="both"/>
              <w:rPr>
                <w:rFonts w:ascii="Times New Roman" w:hAnsi="Times New Roman" w:cs="Times New Roman"/>
              </w:rPr>
            </w:pPr>
          </w:p>
        </w:tc>
        <w:tc>
          <w:tcPr>
            <w:tcW w:w="1134" w:type="dxa"/>
            <w:vMerge/>
            <w:tcBorders>
              <w:top w:val="nil"/>
              <w:bottom w:val="nil"/>
            </w:tcBorders>
          </w:tcPr>
          <w:p w14:paraId="20F706AB" w14:textId="77777777" w:rsidR="00164D2B" w:rsidRPr="0097373B" w:rsidRDefault="00164D2B" w:rsidP="00C31AE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01" w:type="dxa"/>
            <w:tcBorders>
              <w:top w:val="nil"/>
              <w:bottom w:val="nil"/>
            </w:tcBorders>
          </w:tcPr>
          <w:p w14:paraId="3FC78797" w14:textId="77777777" w:rsidR="00164D2B" w:rsidRPr="0097373B" w:rsidRDefault="00164D2B" w:rsidP="00C31AE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1"/>
              </w:rPr>
            </w:pPr>
            <w:r w:rsidRPr="0097373B">
              <w:rPr>
                <w:rFonts w:ascii="Times New Roman" w:hAnsi="Times New Roman" w:cs="Times New Roman"/>
              </w:rPr>
              <w:t>Overweight</w:t>
            </w:r>
          </w:p>
        </w:tc>
        <w:tc>
          <w:tcPr>
            <w:tcW w:w="2268" w:type="dxa"/>
            <w:tcBorders>
              <w:top w:val="nil"/>
              <w:bottom w:val="nil"/>
            </w:tcBorders>
          </w:tcPr>
          <w:p w14:paraId="64A991E8" w14:textId="77777777" w:rsidR="00164D2B" w:rsidRPr="0097373B" w:rsidRDefault="00164D2B" w:rsidP="00C31AE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1"/>
              </w:rPr>
            </w:pPr>
            <w:r w:rsidRPr="0097373B">
              <w:rPr>
                <w:rFonts w:ascii="Times New Roman" w:hAnsi="Times New Roman" w:cs="Times New Roman"/>
                <w:kern w:val="1"/>
              </w:rPr>
              <w:t>12,856</w:t>
            </w:r>
          </w:p>
        </w:tc>
        <w:tc>
          <w:tcPr>
            <w:tcW w:w="2279" w:type="dxa"/>
            <w:tcBorders>
              <w:top w:val="nil"/>
              <w:bottom w:val="nil"/>
            </w:tcBorders>
          </w:tcPr>
          <w:p w14:paraId="584F5A41" w14:textId="77777777" w:rsidR="00164D2B" w:rsidRPr="0097373B" w:rsidRDefault="00164D2B" w:rsidP="00C31AE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1"/>
              </w:rPr>
            </w:pPr>
            <w:r w:rsidRPr="0097373B">
              <w:rPr>
                <w:rFonts w:ascii="Times New Roman" w:hAnsi="Times New Roman" w:cs="Times New Roman"/>
                <w:kern w:val="1"/>
              </w:rPr>
              <w:t>3.2 (3.1-3.3)</w:t>
            </w:r>
          </w:p>
        </w:tc>
      </w:tr>
      <w:tr w:rsidR="00164D2B" w:rsidRPr="0097373B" w14:paraId="34AC0591" w14:textId="77777777" w:rsidTr="00D50C8D">
        <w:trPr>
          <w:gridAfter w:val="1"/>
          <w:wAfter w:w="273" w:type="dxa"/>
        </w:trPr>
        <w:tc>
          <w:tcPr>
            <w:cnfStyle w:val="001000000000" w:firstRow="0" w:lastRow="0" w:firstColumn="1" w:lastColumn="0" w:oddVBand="0" w:evenVBand="0" w:oddHBand="0" w:evenHBand="0" w:firstRowFirstColumn="0" w:firstRowLastColumn="0" w:lastRowFirstColumn="0" w:lastRowLastColumn="0"/>
            <w:tcW w:w="1134" w:type="dxa"/>
            <w:vMerge/>
            <w:tcBorders>
              <w:top w:val="nil"/>
              <w:bottom w:val="nil"/>
            </w:tcBorders>
          </w:tcPr>
          <w:p w14:paraId="613CF920" w14:textId="77777777" w:rsidR="00164D2B" w:rsidRPr="0097373B" w:rsidRDefault="00164D2B" w:rsidP="00C31AE3">
            <w:pPr>
              <w:spacing w:line="480" w:lineRule="auto"/>
              <w:jc w:val="both"/>
              <w:rPr>
                <w:rFonts w:ascii="Times New Roman" w:hAnsi="Times New Roman" w:cs="Times New Roman"/>
              </w:rPr>
            </w:pPr>
          </w:p>
        </w:tc>
        <w:tc>
          <w:tcPr>
            <w:tcW w:w="1134" w:type="dxa"/>
            <w:vMerge/>
            <w:tcBorders>
              <w:top w:val="nil"/>
              <w:bottom w:val="nil"/>
            </w:tcBorders>
          </w:tcPr>
          <w:p w14:paraId="7B2E343C" w14:textId="77777777" w:rsidR="00164D2B" w:rsidRPr="0097373B" w:rsidRDefault="00164D2B" w:rsidP="00C31AE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701" w:type="dxa"/>
            <w:tcBorders>
              <w:top w:val="nil"/>
              <w:bottom w:val="nil"/>
            </w:tcBorders>
          </w:tcPr>
          <w:p w14:paraId="3696EC6A" w14:textId="77777777" w:rsidR="00164D2B" w:rsidRPr="0097373B" w:rsidRDefault="00164D2B" w:rsidP="00C31AE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1"/>
              </w:rPr>
            </w:pPr>
            <w:r w:rsidRPr="0097373B">
              <w:rPr>
                <w:rFonts w:ascii="Times New Roman" w:hAnsi="Times New Roman" w:cs="Times New Roman"/>
              </w:rPr>
              <w:t>Obesity I</w:t>
            </w:r>
          </w:p>
        </w:tc>
        <w:tc>
          <w:tcPr>
            <w:tcW w:w="2268" w:type="dxa"/>
            <w:tcBorders>
              <w:top w:val="nil"/>
              <w:bottom w:val="nil"/>
            </w:tcBorders>
          </w:tcPr>
          <w:p w14:paraId="56F879D8" w14:textId="77777777" w:rsidR="00164D2B" w:rsidRPr="0097373B" w:rsidRDefault="00164D2B" w:rsidP="00C31AE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1"/>
              </w:rPr>
            </w:pPr>
            <w:r w:rsidRPr="0097373B">
              <w:rPr>
                <w:rFonts w:ascii="Times New Roman" w:hAnsi="Times New Roman" w:cs="Times New Roman"/>
                <w:kern w:val="1"/>
              </w:rPr>
              <w:t>8,141</w:t>
            </w:r>
          </w:p>
        </w:tc>
        <w:tc>
          <w:tcPr>
            <w:tcW w:w="2279" w:type="dxa"/>
            <w:tcBorders>
              <w:top w:val="nil"/>
              <w:bottom w:val="nil"/>
            </w:tcBorders>
          </w:tcPr>
          <w:p w14:paraId="15673D6C" w14:textId="77777777" w:rsidR="00164D2B" w:rsidRPr="0097373B" w:rsidRDefault="00164D2B" w:rsidP="00C31AE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1"/>
              </w:rPr>
            </w:pPr>
            <w:r w:rsidRPr="0097373B">
              <w:rPr>
                <w:rFonts w:ascii="Times New Roman" w:hAnsi="Times New Roman" w:cs="Times New Roman"/>
                <w:kern w:val="1"/>
              </w:rPr>
              <w:t>3.7 (3.6-3.8)</w:t>
            </w:r>
          </w:p>
        </w:tc>
      </w:tr>
      <w:tr w:rsidR="00164D2B" w:rsidRPr="0097373B" w14:paraId="4B0C805A" w14:textId="77777777" w:rsidTr="00D50C8D">
        <w:trPr>
          <w:gridAfter w:val="1"/>
          <w:cnfStyle w:val="000000100000" w:firstRow="0" w:lastRow="0" w:firstColumn="0" w:lastColumn="0" w:oddVBand="0" w:evenVBand="0" w:oddHBand="1" w:evenHBand="0" w:firstRowFirstColumn="0" w:firstRowLastColumn="0" w:lastRowFirstColumn="0" w:lastRowLastColumn="0"/>
          <w:wAfter w:w="273" w:type="dxa"/>
        </w:trPr>
        <w:tc>
          <w:tcPr>
            <w:cnfStyle w:val="001000000000" w:firstRow="0" w:lastRow="0" w:firstColumn="1" w:lastColumn="0" w:oddVBand="0" w:evenVBand="0" w:oddHBand="0" w:evenHBand="0" w:firstRowFirstColumn="0" w:firstRowLastColumn="0" w:lastRowFirstColumn="0" w:lastRowLastColumn="0"/>
            <w:tcW w:w="1134" w:type="dxa"/>
            <w:vMerge/>
            <w:tcBorders>
              <w:top w:val="nil"/>
            </w:tcBorders>
          </w:tcPr>
          <w:p w14:paraId="465E6165" w14:textId="77777777" w:rsidR="00164D2B" w:rsidRPr="0097373B" w:rsidRDefault="00164D2B" w:rsidP="00C31AE3">
            <w:pPr>
              <w:spacing w:line="480" w:lineRule="auto"/>
              <w:jc w:val="both"/>
              <w:rPr>
                <w:rFonts w:ascii="Times New Roman" w:hAnsi="Times New Roman" w:cs="Times New Roman"/>
              </w:rPr>
            </w:pPr>
          </w:p>
        </w:tc>
        <w:tc>
          <w:tcPr>
            <w:tcW w:w="1134" w:type="dxa"/>
            <w:vMerge/>
            <w:tcBorders>
              <w:top w:val="nil"/>
            </w:tcBorders>
          </w:tcPr>
          <w:p w14:paraId="2DCB31BD" w14:textId="77777777" w:rsidR="00164D2B" w:rsidRPr="0097373B" w:rsidRDefault="00164D2B" w:rsidP="00C31AE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01" w:type="dxa"/>
            <w:tcBorders>
              <w:top w:val="nil"/>
            </w:tcBorders>
          </w:tcPr>
          <w:p w14:paraId="673FF587" w14:textId="77777777" w:rsidR="00164D2B" w:rsidRPr="0097373B" w:rsidRDefault="00164D2B" w:rsidP="00C31AE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1"/>
              </w:rPr>
            </w:pPr>
            <w:r w:rsidRPr="0097373B">
              <w:rPr>
                <w:rFonts w:ascii="Times New Roman" w:hAnsi="Times New Roman" w:cs="Times New Roman"/>
              </w:rPr>
              <w:t>Obesity II</w:t>
            </w:r>
          </w:p>
        </w:tc>
        <w:tc>
          <w:tcPr>
            <w:tcW w:w="2268" w:type="dxa"/>
            <w:tcBorders>
              <w:top w:val="nil"/>
            </w:tcBorders>
          </w:tcPr>
          <w:p w14:paraId="1BBB1C07" w14:textId="77777777" w:rsidR="00164D2B" w:rsidRPr="0097373B" w:rsidRDefault="00164D2B" w:rsidP="00C31AE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1"/>
              </w:rPr>
            </w:pPr>
            <w:r w:rsidRPr="0097373B">
              <w:rPr>
                <w:rFonts w:ascii="Times New Roman" w:hAnsi="Times New Roman" w:cs="Times New Roman"/>
                <w:kern w:val="1"/>
              </w:rPr>
              <w:t>3,610</w:t>
            </w:r>
          </w:p>
        </w:tc>
        <w:tc>
          <w:tcPr>
            <w:tcW w:w="2279" w:type="dxa"/>
            <w:tcBorders>
              <w:top w:val="nil"/>
            </w:tcBorders>
          </w:tcPr>
          <w:p w14:paraId="742F062A" w14:textId="77777777" w:rsidR="00164D2B" w:rsidRPr="0097373B" w:rsidRDefault="00164D2B" w:rsidP="00C31AE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373B">
              <w:rPr>
                <w:rFonts w:ascii="Times New Roman" w:hAnsi="Times New Roman" w:cs="Times New Roman"/>
                <w:kern w:val="1"/>
              </w:rPr>
              <w:t>4.0 (3.9-4.2)</w:t>
            </w:r>
          </w:p>
        </w:tc>
      </w:tr>
    </w:tbl>
    <w:p w14:paraId="208D53E3" w14:textId="66339FB9" w:rsidR="00164D2B" w:rsidRPr="0097373B" w:rsidRDefault="003D27BC" w:rsidP="003D27BC">
      <w:pPr>
        <w:widowControl w:val="0"/>
        <w:autoSpaceDE w:val="0"/>
        <w:autoSpaceDN w:val="0"/>
        <w:adjustRightInd w:val="0"/>
        <w:spacing w:line="480" w:lineRule="auto"/>
        <w:jc w:val="both"/>
        <w:rPr>
          <w:rFonts w:ascii="Times New Roman" w:hAnsi="Times New Roman" w:cs="Times New Roman"/>
          <w:b/>
        </w:rPr>
      </w:pPr>
      <w:r w:rsidRPr="0097373B">
        <w:rPr>
          <w:rFonts w:ascii="Times New Roman" w:hAnsi="Times New Roman" w:cs="Times New Roman"/>
          <w:b/>
          <w:kern w:val="1"/>
        </w:rPr>
        <w:t>Table 2 Incident rates (IR) of knee, hip and hand OA per 1,000 persons/year</w:t>
      </w:r>
    </w:p>
    <w:p w14:paraId="68D7FBC9" w14:textId="77777777" w:rsidR="00164D2B" w:rsidRPr="0097373B" w:rsidRDefault="00164D2B" w:rsidP="001D2514">
      <w:pPr>
        <w:widowControl w:val="0"/>
        <w:autoSpaceDE w:val="0"/>
        <w:autoSpaceDN w:val="0"/>
        <w:adjustRightInd w:val="0"/>
        <w:spacing w:line="480" w:lineRule="auto"/>
        <w:jc w:val="both"/>
        <w:rPr>
          <w:rFonts w:ascii="Times New Roman" w:hAnsi="Times New Roman" w:cs="Times New Roman"/>
          <w:b/>
        </w:rPr>
      </w:pPr>
    </w:p>
    <w:p w14:paraId="39A4E9B7" w14:textId="77777777" w:rsidR="00164D2B" w:rsidRPr="0097373B" w:rsidRDefault="00164D2B" w:rsidP="001D2514">
      <w:pPr>
        <w:widowControl w:val="0"/>
        <w:autoSpaceDE w:val="0"/>
        <w:autoSpaceDN w:val="0"/>
        <w:adjustRightInd w:val="0"/>
        <w:spacing w:line="480" w:lineRule="auto"/>
        <w:jc w:val="both"/>
        <w:rPr>
          <w:rFonts w:ascii="Times New Roman" w:hAnsi="Times New Roman" w:cs="Times New Roman"/>
          <w:b/>
        </w:rPr>
      </w:pPr>
    </w:p>
    <w:p w14:paraId="06A6F656" w14:textId="77777777" w:rsidR="00164D2B" w:rsidRPr="0097373B" w:rsidRDefault="00164D2B" w:rsidP="001D2514">
      <w:pPr>
        <w:widowControl w:val="0"/>
        <w:autoSpaceDE w:val="0"/>
        <w:autoSpaceDN w:val="0"/>
        <w:adjustRightInd w:val="0"/>
        <w:spacing w:line="480" w:lineRule="auto"/>
        <w:jc w:val="both"/>
        <w:rPr>
          <w:rFonts w:ascii="Times New Roman" w:hAnsi="Times New Roman" w:cs="Times New Roman"/>
          <w:b/>
        </w:rPr>
      </w:pPr>
    </w:p>
    <w:p w14:paraId="4E450773" w14:textId="77777777" w:rsidR="00164D2B" w:rsidRPr="0097373B" w:rsidRDefault="00164D2B" w:rsidP="001D2514">
      <w:pPr>
        <w:widowControl w:val="0"/>
        <w:autoSpaceDE w:val="0"/>
        <w:autoSpaceDN w:val="0"/>
        <w:adjustRightInd w:val="0"/>
        <w:spacing w:line="480" w:lineRule="auto"/>
        <w:jc w:val="both"/>
        <w:rPr>
          <w:rFonts w:ascii="Times New Roman" w:hAnsi="Times New Roman" w:cs="Times New Roman"/>
          <w:b/>
        </w:rPr>
      </w:pPr>
    </w:p>
    <w:p w14:paraId="493BA82F" w14:textId="77777777" w:rsidR="00164D2B" w:rsidRPr="0097373B" w:rsidRDefault="00164D2B" w:rsidP="001D2514">
      <w:pPr>
        <w:widowControl w:val="0"/>
        <w:autoSpaceDE w:val="0"/>
        <w:autoSpaceDN w:val="0"/>
        <w:adjustRightInd w:val="0"/>
        <w:spacing w:line="480" w:lineRule="auto"/>
        <w:jc w:val="both"/>
        <w:rPr>
          <w:rFonts w:ascii="Times New Roman" w:hAnsi="Times New Roman" w:cs="Times New Roman"/>
          <w:b/>
        </w:rPr>
      </w:pPr>
    </w:p>
    <w:p w14:paraId="10AFF203" w14:textId="77777777" w:rsidR="00164D2B" w:rsidRPr="0097373B" w:rsidRDefault="00164D2B" w:rsidP="001D2514">
      <w:pPr>
        <w:widowControl w:val="0"/>
        <w:autoSpaceDE w:val="0"/>
        <w:autoSpaceDN w:val="0"/>
        <w:adjustRightInd w:val="0"/>
        <w:spacing w:line="480" w:lineRule="auto"/>
        <w:jc w:val="both"/>
        <w:rPr>
          <w:rFonts w:ascii="Times New Roman" w:hAnsi="Times New Roman" w:cs="Times New Roman"/>
          <w:b/>
        </w:rPr>
      </w:pPr>
    </w:p>
    <w:p w14:paraId="48E415E3" w14:textId="77777777" w:rsidR="00164D2B" w:rsidRPr="0097373B" w:rsidRDefault="00164D2B" w:rsidP="001D2514">
      <w:pPr>
        <w:widowControl w:val="0"/>
        <w:autoSpaceDE w:val="0"/>
        <w:autoSpaceDN w:val="0"/>
        <w:adjustRightInd w:val="0"/>
        <w:spacing w:line="480" w:lineRule="auto"/>
        <w:jc w:val="both"/>
        <w:rPr>
          <w:rFonts w:ascii="Times New Roman" w:hAnsi="Times New Roman" w:cs="Times New Roman"/>
          <w:b/>
        </w:rPr>
      </w:pPr>
    </w:p>
    <w:p w14:paraId="056A4083" w14:textId="77777777" w:rsidR="008366A7" w:rsidRPr="0097373B" w:rsidRDefault="008366A7" w:rsidP="001D2514">
      <w:pPr>
        <w:jc w:val="both"/>
        <w:rPr>
          <w:rFonts w:ascii="Times New Roman" w:hAnsi="Times New Roman" w:cs="Times New Roman"/>
        </w:rPr>
      </w:pPr>
    </w:p>
    <w:p w14:paraId="58398F5F" w14:textId="77777777" w:rsidR="008366A7" w:rsidRPr="0097373B" w:rsidRDefault="008366A7" w:rsidP="001D2514">
      <w:pPr>
        <w:jc w:val="both"/>
        <w:rPr>
          <w:rFonts w:ascii="Times New Roman" w:hAnsi="Times New Roman" w:cs="Times New Roman"/>
        </w:rPr>
      </w:pPr>
    </w:p>
    <w:p w14:paraId="333E08AD" w14:textId="77777777" w:rsidR="008366A7" w:rsidRPr="0097373B" w:rsidRDefault="008366A7" w:rsidP="001D2514">
      <w:pPr>
        <w:jc w:val="both"/>
        <w:rPr>
          <w:rFonts w:ascii="Times New Roman" w:hAnsi="Times New Roman" w:cs="Times New Roman"/>
        </w:rPr>
      </w:pPr>
    </w:p>
    <w:p w14:paraId="6DDFB487" w14:textId="77777777" w:rsidR="008366A7" w:rsidRPr="0097373B" w:rsidRDefault="008366A7" w:rsidP="001D2514">
      <w:pPr>
        <w:jc w:val="both"/>
        <w:rPr>
          <w:rFonts w:ascii="Times New Roman" w:hAnsi="Times New Roman" w:cs="Times New Roman"/>
        </w:rPr>
      </w:pPr>
    </w:p>
    <w:p w14:paraId="3A1D9D86" w14:textId="77777777" w:rsidR="008366A7" w:rsidRPr="0097373B" w:rsidRDefault="008366A7" w:rsidP="001D2514">
      <w:pPr>
        <w:jc w:val="both"/>
        <w:rPr>
          <w:rFonts w:ascii="Times New Roman" w:hAnsi="Times New Roman" w:cs="Times New Roman"/>
        </w:rPr>
      </w:pPr>
    </w:p>
    <w:p w14:paraId="1D30E889" w14:textId="77777777" w:rsidR="008366A7" w:rsidRPr="0097373B" w:rsidRDefault="008366A7" w:rsidP="001D2514">
      <w:pPr>
        <w:jc w:val="both"/>
        <w:rPr>
          <w:rFonts w:ascii="Times New Roman" w:hAnsi="Times New Roman" w:cs="Times New Roman"/>
        </w:rPr>
      </w:pPr>
    </w:p>
    <w:p w14:paraId="785594DA" w14:textId="77777777" w:rsidR="008366A7" w:rsidRPr="0097373B" w:rsidRDefault="008366A7" w:rsidP="001D2514">
      <w:pPr>
        <w:jc w:val="both"/>
        <w:rPr>
          <w:rFonts w:ascii="Times New Roman" w:hAnsi="Times New Roman" w:cs="Times New Roman"/>
        </w:rPr>
      </w:pPr>
    </w:p>
    <w:p w14:paraId="063C5B2C" w14:textId="77777777" w:rsidR="008366A7" w:rsidRPr="0097373B" w:rsidRDefault="008366A7" w:rsidP="001D2514">
      <w:pPr>
        <w:jc w:val="both"/>
        <w:rPr>
          <w:rFonts w:ascii="Times New Roman" w:hAnsi="Times New Roman" w:cs="Times New Roman"/>
        </w:rPr>
      </w:pPr>
    </w:p>
    <w:p w14:paraId="548250B8" w14:textId="77777777" w:rsidR="008366A7" w:rsidRPr="0097373B" w:rsidRDefault="008366A7" w:rsidP="001D2514">
      <w:pPr>
        <w:jc w:val="both"/>
        <w:rPr>
          <w:rFonts w:ascii="Times New Roman" w:hAnsi="Times New Roman" w:cs="Times New Roman"/>
        </w:rPr>
      </w:pPr>
    </w:p>
    <w:p w14:paraId="265F835A" w14:textId="77777777" w:rsidR="008366A7" w:rsidRPr="0097373B" w:rsidRDefault="008366A7" w:rsidP="001D2514">
      <w:pPr>
        <w:jc w:val="both"/>
        <w:rPr>
          <w:rFonts w:ascii="Times New Roman" w:hAnsi="Times New Roman" w:cs="Times New Roman"/>
        </w:rPr>
      </w:pPr>
    </w:p>
    <w:p w14:paraId="393EEBBD" w14:textId="77777777" w:rsidR="008366A7" w:rsidRPr="0097373B" w:rsidRDefault="008366A7" w:rsidP="001D2514">
      <w:pPr>
        <w:jc w:val="both"/>
        <w:rPr>
          <w:rFonts w:ascii="Times New Roman" w:hAnsi="Times New Roman" w:cs="Times New Roman"/>
        </w:rPr>
      </w:pPr>
    </w:p>
    <w:p w14:paraId="3DE6758C" w14:textId="77777777" w:rsidR="008366A7" w:rsidRPr="0097373B" w:rsidRDefault="008366A7" w:rsidP="001D2514">
      <w:pPr>
        <w:jc w:val="both"/>
        <w:rPr>
          <w:rFonts w:ascii="Times New Roman" w:hAnsi="Times New Roman" w:cs="Times New Roman"/>
        </w:rPr>
      </w:pPr>
    </w:p>
    <w:p w14:paraId="4D384510" w14:textId="77777777" w:rsidR="008366A7" w:rsidRPr="0097373B" w:rsidRDefault="008366A7" w:rsidP="001D2514">
      <w:pPr>
        <w:jc w:val="both"/>
        <w:rPr>
          <w:rFonts w:ascii="Times New Roman" w:hAnsi="Times New Roman" w:cs="Times New Roman"/>
        </w:rPr>
      </w:pPr>
    </w:p>
    <w:p w14:paraId="02BE626A" w14:textId="77777777" w:rsidR="008366A7" w:rsidRPr="0097373B" w:rsidRDefault="008366A7" w:rsidP="001D2514">
      <w:pPr>
        <w:jc w:val="both"/>
        <w:rPr>
          <w:rFonts w:ascii="Times New Roman" w:hAnsi="Times New Roman" w:cs="Times New Roman"/>
        </w:rPr>
      </w:pPr>
    </w:p>
    <w:p w14:paraId="5CD229B0" w14:textId="77777777" w:rsidR="008366A7" w:rsidRPr="0097373B" w:rsidRDefault="008366A7" w:rsidP="001D2514">
      <w:pPr>
        <w:jc w:val="both"/>
        <w:rPr>
          <w:rFonts w:ascii="Times New Roman" w:hAnsi="Times New Roman" w:cs="Times New Roman"/>
        </w:rPr>
      </w:pPr>
    </w:p>
    <w:p w14:paraId="05963317" w14:textId="77777777" w:rsidR="008366A7" w:rsidRPr="0097373B" w:rsidRDefault="008366A7" w:rsidP="001D2514">
      <w:pPr>
        <w:jc w:val="both"/>
        <w:rPr>
          <w:rFonts w:ascii="Times New Roman" w:hAnsi="Times New Roman" w:cs="Times New Roman"/>
        </w:rPr>
      </w:pPr>
    </w:p>
    <w:p w14:paraId="6E329DEB" w14:textId="77777777" w:rsidR="008366A7" w:rsidRPr="0097373B" w:rsidRDefault="008366A7" w:rsidP="001D2514">
      <w:pPr>
        <w:jc w:val="both"/>
        <w:rPr>
          <w:rFonts w:ascii="Times New Roman" w:hAnsi="Times New Roman" w:cs="Times New Roman"/>
        </w:rPr>
      </w:pPr>
    </w:p>
    <w:p w14:paraId="26E132CA" w14:textId="77777777" w:rsidR="008366A7" w:rsidRPr="0097373B" w:rsidRDefault="008366A7" w:rsidP="001D2514">
      <w:pPr>
        <w:jc w:val="both"/>
        <w:rPr>
          <w:rFonts w:ascii="Times New Roman" w:hAnsi="Times New Roman" w:cs="Times New Roman"/>
        </w:rPr>
      </w:pPr>
    </w:p>
    <w:p w14:paraId="7085FBE9" w14:textId="77777777" w:rsidR="003D27BC" w:rsidRPr="0097373B" w:rsidRDefault="003D27BC" w:rsidP="001D2514">
      <w:pPr>
        <w:jc w:val="both"/>
        <w:rPr>
          <w:rFonts w:ascii="Times New Roman" w:hAnsi="Times New Roman" w:cs="Times New Roman"/>
        </w:rPr>
      </w:pPr>
    </w:p>
    <w:p w14:paraId="59337EA2" w14:textId="77777777" w:rsidR="003D27BC" w:rsidRPr="0097373B" w:rsidRDefault="003D27BC" w:rsidP="001D2514">
      <w:pPr>
        <w:jc w:val="both"/>
        <w:rPr>
          <w:rFonts w:ascii="Times New Roman" w:hAnsi="Times New Roman" w:cs="Times New Roman"/>
        </w:rPr>
      </w:pPr>
    </w:p>
    <w:p w14:paraId="73ABC59C" w14:textId="77777777" w:rsidR="003D27BC" w:rsidRPr="0097373B" w:rsidRDefault="003D27BC" w:rsidP="001D2514">
      <w:pPr>
        <w:jc w:val="both"/>
        <w:rPr>
          <w:rFonts w:ascii="Times New Roman" w:hAnsi="Times New Roman" w:cs="Times New Roman"/>
        </w:rPr>
      </w:pPr>
    </w:p>
    <w:p w14:paraId="6F531CB2" w14:textId="77777777" w:rsidR="003D27BC" w:rsidRPr="0097373B" w:rsidRDefault="003D27BC" w:rsidP="001D2514">
      <w:pPr>
        <w:jc w:val="both"/>
        <w:rPr>
          <w:rFonts w:ascii="Times New Roman" w:hAnsi="Times New Roman" w:cs="Times New Roman"/>
        </w:rPr>
      </w:pPr>
    </w:p>
    <w:p w14:paraId="4D075BFD" w14:textId="77777777" w:rsidR="003D27BC" w:rsidRPr="0097373B" w:rsidRDefault="003D27BC" w:rsidP="001D2514">
      <w:pPr>
        <w:jc w:val="both"/>
        <w:rPr>
          <w:rFonts w:ascii="Times New Roman" w:hAnsi="Times New Roman" w:cs="Times New Roman"/>
        </w:rPr>
      </w:pPr>
    </w:p>
    <w:p w14:paraId="5B914492" w14:textId="77777777" w:rsidR="00EF3E1A" w:rsidRDefault="00EF3E1A" w:rsidP="001D2514">
      <w:pPr>
        <w:jc w:val="both"/>
        <w:rPr>
          <w:rFonts w:ascii="Times New Roman" w:hAnsi="Times New Roman" w:cs="Times New Roman"/>
        </w:rPr>
      </w:pPr>
    </w:p>
    <w:p w14:paraId="7AB448AB" w14:textId="77777777" w:rsidR="00EF3E1A" w:rsidRDefault="00EF3E1A" w:rsidP="001D2514">
      <w:pPr>
        <w:jc w:val="both"/>
        <w:rPr>
          <w:rFonts w:ascii="Times New Roman" w:hAnsi="Times New Roman" w:cs="Times New Roman"/>
        </w:rPr>
      </w:pPr>
    </w:p>
    <w:p w14:paraId="1716BB07" w14:textId="77777777" w:rsidR="00164D2B" w:rsidRPr="0097373B" w:rsidRDefault="00164D2B" w:rsidP="001D2514">
      <w:pPr>
        <w:jc w:val="both"/>
        <w:rPr>
          <w:rFonts w:ascii="Times New Roman" w:hAnsi="Times New Roman" w:cs="Times New Roman"/>
        </w:rPr>
      </w:pPr>
      <w:r w:rsidRPr="0097373B">
        <w:rPr>
          <w:rFonts w:ascii="Times New Roman" w:hAnsi="Times New Roman" w:cs="Times New Roman"/>
        </w:rPr>
        <w:t>* BMI based on WHO definitions: Norma-weight (&lt;25kg/m2), overweight (25 to &lt;30 kg/m2), obesity I (30 to &lt;35 kg/m2) and obesity II (35 kg/m2 and over).</w:t>
      </w:r>
    </w:p>
    <w:p w14:paraId="5E11ABB8" w14:textId="09A6E3E8" w:rsidR="00164D2B" w:rsidRPr="0097373B" w:rsidRDefault="00164D2B" w:rsidP="001D2514">
      <w:pPr>
        <w:widowControl w:val="0"/>
        <w:autoSpaceDE w:val="0"/>
        <w:autoSpaceDN w:val="0"/>
        <w:adjustRightInd w:val="0"/>
        <w:spacing w:line="480" w:lineRule="auto"/>
        <w:jc w:val="both"/>
        <w:rPr>
          <w:rFonts w:ascii="Times New Roman" w:hAnsi="Times New Roman" w:cs="Times New Roman"/>
        </w:rPr>
      </w:pPr>
      <w:r w:rsidRPr="0097373B">
        <w:rPr>
          <w:rFonts w:ascii="Times New Roman" w:hAnsi="Times New Roman" w:cs="Times New Roman"/>
          <w:vertAlign w:val="superscript"/>
        </w:rPr>
        <w:t>β</w:t>
      </w:r>
      <w:r w:rsidRPr="0097373B">
        <w:rPr>
          <w:rFonts w:ascii="Times New Roman" w:hAnsi="Times New Roman" w:cs="Times New Roman"/>
        </w:rPr>
        <w:t xml:space="preserve"> Osteoarthritis.</w:t>
      </w:r>
    </w:p>
    <w:p w14:paraId="042896F7" w14:textId="77777777" w:rsidR="003D27BC" w:rsidRPr="0097373B" w:rsidRDefault="00164D2B" w:rsidP="001D2514">
      <w:pPr>
        <w:jc w:val="both"/>
        <w:rPr>
          <w:rFonts w:ascii="Times New Roman" w:hAnsi="Times New Roman" w:cs="Times New Roman"/>
          <w:b/>
        </w:rPr>
      </w:pPr>
      <w:r w:rsidRPr="0097373B">
        <w:rPr>
          <w:rFonts w:ascii="Times New Roman" w:hAnsi="Times New Roman" w:cs="Times New Roman"/>
        </w:rPr>
        <w:br w:type="page"/>
      </w:r>
      <w:r w:rsidRPr="0097373B">
        <w:rPr>
          <w:rFonts w:ascii="Times New Roman" w:hAnsi="Times New Roman" w:cs="Times New Roman"/>
          <w:b/>
        </w:rPr>
        <w:lastRenderedPageBreak/>
        <w:t xml:space="preserve">Table </w:t>
      </w:r>
      <w:r w:rsidR="000F232E" w:rsidRPr="0097373B">
        <w:rPr>
          <w:rFonts w:ascii="Times New Roman" w:hAnsi="Times New Roman" w:cs="Times New Roman"/>
          <w:b/>
        </w:rPr>
        <w:t>3</w:t>
      </w:r>
      <w:r w:rsidRPr="0097373B">
        <w:rPr>
          <w:rFonts w:ascii="Times New Roman" w:hAnsi="Times New Roman" w:cs="Times New Roman"/>
          <w:b/>
        </w:rPr>
        <w:t xml:space="preserve"> </w:t>
      </w:r>
      <w:r w:rsidRPr="0097373B">
        <w:rPr>
          <w:rFonts w:ascii="Times New Roman" w:hAnsi="Times New Roman" w:cs="Times New Roman"/>
          <w:b/>
          <w:kern w:val="1"/>
        </w:rPr>
        <w:t>Adjusted HR [99%CI] for the effect of BMI on OA.</w:t>
      </w:r>
      <w:r w:rsidRPr="0097373B">
        <w:rPr>
          <w:rFonts w:ascii="Times New Roman" w:hAnsi="Times New Roman" w:cs="Times New Roman"/>
          <w:b/>
        </w:rPr>
        <w:t xml:space="preserve"> </w:t>
      </w:r>
    </w:p>
    <w:p w14:paraId="192725E1" w14:textId="77777777" w:rsidR="003D27BC" w:rsidRPr="0097373B" w:rsidRDefault="003D27BC" w:rsidP="001D2514">
      <w:pPr>
        <w:jc w:val="both"/>
        <w:rPr>
          <w:rFonts w:ascii="Times New Roman" w:hAnsi="Times New Roman" w:cs="Times New Roman"/>
          <w:b/>
        </w:rPr>
      </w:pPr>
    </w:p>
    <w:tbl>
      <w:tblPr>
        <w:tblStyle w:val="TableGrid"/>
        <w:tblpPr w:leftFromText="180" w:rightFromText="180" w:horzAnchor="page" w:tblpX="1909" w:tblpY="720"/>
        <w:tblW w:w="946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61"/>
        <w:gridCol w:w="1832"/>
        <w:gridCol w:w="1898"/>
        <w:gridCol w:w="1929"/>
        <w:gridCol w:w="1843"/>
      </w:tblGrid>
      <w:tr w:rsidR="003D27BC" w:rsidRPr="0097373B" w14:paraId="3FD6C5FB" w14:textId="77777777" w:rsidTr="00F7659C">
        <w:tc>
          <w:tcPr>
            <w:tcW w:w="1962" w:type="dxa"/>
            <w:gridSpan w:val="2"/>
            <w:shd w:val="clear" w:color="auto" w:fill="auto"/>
          </w:tcPr>
          <w:p w14:paraId="1494163A" w14:textId="77777777" w:rsidR="003D27BC" w:rsidRPr="0097373B" w:rsidRDefault="003D27BC" w:rsidP="00F7659C">
            <w:pPr>
              <w:rPr>
                <w:rFonts w:ascii="Times New Roman" w:hAnsi="Times New Roman" w:cs="Times New Roman"/>
                <w:sz w:val="20"/>
                <w:szCs w:val="20"/>
              </w:rPr>
            </w:pPr>
          </w:p>
        </w:tc>
        <w:tc>
          <w:tcPr>
            <w:tcW w:w="1832" w:type="dxa"/>
            <w:shd w:val="clear" w:color="auto" w:fill="auto"/>
          </w:tcPr>
          <w:p w14:paraId="1025676B" w14:textId="77777777" w:rsidR="003D27BC" w:rsidRPr="0097373B" w:rsidRDefault="003D27BC" w:rsidP="00F7659C">
            <w:pPr>
              <w:rPr>
                <w:rFonts w:ascii="Times New Roman" w:hAnsi="Times New Roman" w:cs="Times New Roman"/>
                <w:sz w:val="20"/>
                <w:szCs w:val="20"/>
              </w:rPr>
            </w:pPr>
            <w:r w:rsidRPr="0097373B">
              <w:rPr>
                <w:rFonts w:ascii="Times New Roman" w:hAnsi="Times New Roman" w:cs="Times New Roman"/>
                <w:sz w:val="20"/>
                <w:szCs w:val="20"/>
              </w:rPr>
              <w:t>Any OA</w:t>
            </w:r>
          </w:p>
        </w:tc>
        <w:tc>
          <w:tcPr>
            <w:tcW w:w="1898" w:type="dxa"/>
            <w:shd w:val="clear" w:color="auto" w:fill="auto"/>
          </w:tcPr>
          <w:p w14:paraId="05FD3E21" w14:textId="77777777" w:rsidR="003D27BC" w:rsidRPr="0097373B" w:rsidRDefault="003D27BC" w:rsidP="00F7659C">
            <w:pPr>
              <w:rPr>
                <w:rFonts w:ascii="Times New Roman" w:hAnsi="Times New Roman" w:cs="Times New Roman"/>
                <w:sz w:val="20"/>
                <w:szCs w:val="20"/>
              </w:rPr>
            </w:pPr>
            <w:r w:rsidRPr="0097373B">
              <w:rPr>
                <w:rFonts w:ascii="Times New Roman" w:hAnsi="Times New Roman" w:cs="Times New Roman"/>
                <w:sz w:val="20"/>
                <w:szCs w:val="20"/>
              </w:rPr>
              <w:t>Knee OA</w:t>
            </w:r>
          </w:p>
        </w:tc>
        <w:tc>
          <w:tcPr>
            <w:tcW w:w="1929" w:type="dxa"/>
            <w:shd w:val="clear" w:color="auto" w:fill="auto"/>
          </w:tcPr>
          <w:p w14:paraId="5F452BB0" w14:textId="77777777" w:rsidR="003D27BC" w:rsidRPr="0097373B" w:rsidRDefault="003D27BC" w:rsidP="00F7659C">
            <w:pPr>
              <w:rPr>
                <w:rFonts w:ascii="Times New Roman" w:hAnsi="Times New Roman" w:cs="Times New Roman"/>
                <w:sz w:val="20"/>
                <w:szCs w:val="20"/>
              </w:rPr>
            </w:pPr>
            <w:r w:rsidRPr="0097373B">
              <w:rPr>
                <w:rFonts w:ascii="Times New Roman" w:hAnsi="Times New Roman" w:cs="Times New Roman"/>
                <w:sz w:val="20"/>
                <w:szCs w:val="20"/>
              </w:rPr>
              <w:t>Hip OA</w:t>
            </w:r>
          </w:p>
        </w:tc>
        <w:tc>
          <w:tcPr>
            <w:tcW w:w="1843" w:type="dxa"/>
            <w:shd w:val="clear" w:color="auto" w:fill="auto"/>
          </w:tcPr>
          <w:p w14:paraId="7BA9E583" w14:textId="77777777" w:rsidR="003D27BC" w:rsidRPr="0097373B" w:rsidRDefault="003D27BC" w:rsidP="00F7659C">
            <w:pPr>
              <w:rPr>
                <w:rFonts w:ascii="Times New Roman" w:hAnsi="Times New Roman" w:cs="Times New Roman"/>
                <w:sz w:val="20"/>
                <w:szCs w:val="20"/>
              </w:rPr>
            </w:pPr>
            <w:r w:rsidRPr="0097373B">
              <w:rPr>
                <w:rFonts w:ascii="Times New Roman" w:hAnsi="Times New Roman" w:cs="Times New Roman"/>
                <w:sz w:val="20"/>
                <w:szCs w:val="20"/>
              </w:rPr>
              <w:t>Hand OA</w:t>
            </w:r>
          </w:p>
        </w:tc>
      </w:tr>
      <w:tr w:rsidR="003D27BC" w:rsidRPr="0097373B" w14:paraId="0C11FD20" w14:textId="77777777" w:rsidTr="00F7659C">
        <w:tc>
          <w:tcPr>
            <w:tcW w:w="1962" w:type="dxa"/>
            <w:gridSpan w:val="2"/>
            <w:shd w:val="clear" w:color="auto" w:fill="auto"/>
          </w:tcPr>
          <w:p w14:paraId="2D75FD89" w14:textId="77777777" w:rsidR="003D27BC" w:rsidRPr="0097373B" w:rsidRDefault="003D27BC" w:rsidP="00F7659C">
            <w:pPr>
              <w:rPr>
                <w:rFonts w:ascii="Times New Roman" w:hAnsi="Times New Roman" w:cs="Times New Roman"/>
                <w:sz w:val="20"/>
                <w:szCs w:val="20"/>
              </w:rPr>
            </w:pPr>
            <w:r w:rsidRPr="0097373B">
              <w:rPr>
                <w:rFonts w:ascii="Times New Roman" w:hAnsi="Times New Roman" w:cs="Times New Roman"/>
                <w:sz w:val="20"/>
                <w:szCs w:val="20"/>
              </w:rPr>
              <w:t>Age (per year)</w:t>
            </w:r>
          </w:p>
        </w:tc>
        <w:tc>
          <w:tcPr>
            <w:tcW w:w="1832" w:type="dxa"/>
            <w:shd w:val="clear" w:color="auto" w:fill="auto"/>
          </w:tcPr>
          <w:p w14:paraId="228C31F6" w14:textId="77777777" w:rsidR="003D27BC" w:rsidRPr="0097373B" w:rsidRDefault="003D27BC" w:rsidP="00F7659C">
            <w:pPr>
              <w:rPr>
                <w:rFonts w:ascii="Times New Roman" w:hAnsi="Times New Roman" w:cs="Times New Roman"/>
                <w:sz w:val="20"/>
                <w:szCs w:val="20"/>
                <w:lang w:val="es-ES_tradnl"/>
              </w:rPr>
            </w:pPr>
            <w:r w:rsidRPr="0097373B">
              <w:rPr>
                <w:rFonts w:ascii="Times New Roman" w:hAnsi="Times New Roman" w:cs="Times New Roman"/>
                <w:sz w:val="20"/>
                <w:szCs w:val="20"/>
              </w:rPr>
              <w:t>1.04 [1.04-1.05]</w:t>
            </w:r>
          </w:p>
          <w:p w14:paraId="77655EE4" w14:textId="77777777" w:rsidR="003D27BC" w:rsidRPr="0097373B" w:rsidRDefault="003D27BC" w:rsidP="00F7659C">
            <w:pPr>
              <w:rPr>
                <w:rFonts w:ascii="Times New Roman" w:hAnsi="Times New Roman" w:cs="Times New Roman"/>
                <w:sz w:val="20"/>
                <w:szCs w:val="20"/>
              </w:rPr>
            </w:pPr>
          </w:p>
        </w:tc>
        <w:tc>
          <w:tcPr>
            <w:tcW w:w="1898" w:type="dxa"/>
            <w:shd w:val="clear" w:color="auto" w:fill="auto"/>
          </w:tcPr>
          <w:p w14:paraId="06F63755" w14:textId="77777777" w:rsidR="003D27BC" w:rsidRPr="0097373B" w:rsidRDefault="003D27BC" w:rsidP="00F7659C">
            <w:pPr>
              <w:rPr>
                <w:rFonts w:ascii="Times New Roman" w:hAnsi="Times New Roman" w:cs="Times New Roman"/>
                <w:sz w:val="20"/>
                <w:szCs w:val="20"/>
                <w:lang w:val="es-ES_tradnl"/>
              </w:rPr>
            </w:pPr>
            <w:r w:rsidRPr="0097373B">
              <w:rPr>
                <w:rFonts w:ascii="Times New Roman" w:hAnsi="Times New Roman" w:cs="Times New Roman"/>
                <w:sz w:val="20"/>
                <w:szCs w:val="20"/>
              </w:rPr>
              <w:t>1.04 [1.04-1.04]</w:t>
            </w:r>
          </w:p>
          <w:p w14:paraId="2EB57DF0" w14:textId="77777777" w:rsidR="003D27BC" w:rsidRPr="0097373B" w:rsidRDefault="003D27BC" w:rsidP="00F7659C">
            <w:pPr>
              <w:rPr>
                <w:rFonts w:ascii="Times New Roman" w:hAnsi="Times New Roman" w:cs="Times New Roman"/>
                <w:sz w:val="20"/>
                <w:szCs w:val="20"/>
              </w:rPr>
            </w:pPr>
          </w:p>
        </w:tc>
        <w:tc>
          <w:tcPr>
            <w:tcW w:w="1929" w:type="dxa"/>
            <w:shd w:val="clear" w:color="auto" w:fill="auto"/>
          </w:tcPr>
          <w:p w14:paraId="03AD33A9" w14:textId="77777777" w:rsidR="003D27BC" w:rsidRPr="0097373B" w:rsidRDefault="003D27BC" w:rsidP="00F7659C">
            <w:pPr>
              <w:rPr>
                <w:rFonts w:ascii="Times New Roman" w:hAnsi="Times New Roman" w:cs="Times New Roman"/>
                <w:sz w:val="20"/>
                <w:szCs w:val="20"/>
                <w:lang w:val="es-ES_tradnl"/>
              </w:rPr>
            </w:pPr>
            <w:r w:rsidRPr="0097373B">
              <w:rPr>
                <w:rFonts w:ascii="Times New Roman" w:hAnsi="Times New Roman" w:cs="Times New Roman"/>
                <w:sz w:val="20"/>
                <w:szCs w:val="20"/>
              </w:rPr>
              <w:t>1.05 [1.05-1.05]</w:t>
            </w:r>
          </w:p>
          <w:p w14:paraId="26A39B36" w14:textId="77777777" w:rsidR="003D27BC" w:rsidRPr="0097373B" w:rsidRDefault="003D27BC" w:rsidP="00F7659C">
            <w:pPr>
              <w:rPr>
                <w:rFonts w:ascii="Times New Roman" w:hAnsi="Times New Roman" w:cs="Times New Roman"/>
                <w:sz w:val="20"/>
                <w:szCs w:val="20"/>
              </w:rPr>
            </w:pPr>
          </w:p>
        </w:tc>
        <w:tc>
          <w:tcPr>
            <w:tcW w:w="1843" w:type="dxa"/>
            <w:shd w:val="clear" w:color="auto" w:fill="auto"/>
          </w:tcPr>
          <w:p w14:paraId="6D861EA9" w14:textId="77777777" w:rsidR="003D27BC" w:rsidRPr="0097373B" w:rsidRDefault="003D27BC" w:rsidP="00F7659C">
            <w:pPr>
              <w:rPr>
                <w:rFonts w:ascii="Times New Roman" w:hAnsi="Times New Roman" w:cs="Times New Roman"/>
                <w:sz w:val="20"/>
                <w:szCs w:val="20"/>
                <w:lang w:val="es-ES_tradnl"/>
              </w:rPr>
            </w:pPr>
            <w:r w:rsidRPr="0097373B">
              <w:rPr>
                <w:rFonts w:ascii="Times New Roman" w:hAnsi="Times New Roman" w:cs="Times New Roman"/>
                <w:sz w:val="20"/>
                <w:szCs w:val="20"/>
              </w:rPr>
              <w:t>1.03 [1.02-1.03]</w:t>
            </w:r>
          </w:p>
          <w:p w14:paraId="4D533480" w14:textId="77777777" w:rsidR="003D27BC" w:rsidRPr="0097373B" w:rsidRDefault="003D27BC" w:rsidP="00F7659C">
            <w:pPr>
              <w:rPr>
                <w:rFonts w:ascii="Times New Roman" w:hAnsi="Times New Roman" w:cs="Times New Roman"/>
                <w:sz w:val="20"/>
                <w:szCs w:val="20"/>
              </w:rPr>
            </w:pPr>
          </w:p>
        </w:tc>
      </w:tr>
      <w:tr w:rsidR="003D27BC" w:rsidRPr="0097373B" w14:paraId="278EB852" w14:textId="77777777" w:rsidTr="00F7659C">
        <w:tc>
          <w:tcPr>
            <w:tcW w:w="1962" w:type="dxa"/>
            <w:gridSpan w:val="2"/>
            <w:shd w:val="clear" w:color="auto" w:fill="auto"/>
          </w:tcPr>
          <w:p w14:paraId="29287A4F" w14:textId="77777777" w:rsidR="003D27BC" w:rsidRPr="0097373B" w:rsidRDefault="003D27BC" w:rsidP="00F7659C">
            <w:pPr>
              <w:rPr>
                <w:rFonts w:ascii="Times New Roman" w:hAnsi="Times New Roman" w:cs="Times New Roman"/>
                <w:sz w:val="20"/>
                <w:szCs w:val="20"/>
              </w:rPr>
            </w:pPr>
            <w:r w:rsidRPr="0097373B">
              <w:rPr>
                <w:rFonts w:ascii="Times New Roman" w:hAnsi="Times New Roman" w:cs="Times New Roman"/>
                <w:sz w:val="20"/>
                <w:szCs w:val="20"/>
              </w:rPr>
              <w:t>Sex  Female</w:t>
            </w:r>
          </w:p>
          <w:p w14:paraId="10E8FFB2" w14:textId="77777777" w:rsidR="003D27BC" w:rsidRPr="0097373B" w:rsidRDefault="003D27BC" w:rsidP="00F7659C">
            <w:pPr>
              <w:rPr>
                <w:rFonts w:ascii="Times New Roman" w:hAnsi="Times New Roman" w:cs="Times New Roman"/>
                <w:sz w:val="20"/>
                <w:szCs w:val="20"/>
              </w:rPr>
            </w:pPr>
            <w:r w:rsidRPr="0097373B">
              <w:rPr>
                <w:rFonts w:ascii="Times New Roman" w:hAnsi="Times New Roman" w:cs="Times New Roman"/>
                <w:sz w:val="20"/>
                <w:szCs w:val="20"/>
              </w:rPr>
              <w:t xml:space="preserve">       </w:t>
            </w:r>
          </w:p>
        </w:tc>
        <w:tc>
          <w:tcPr>
            <w:tcW w:w="1832" w:type="dxa"/>
            <w:shd w:val="clear" w:color="auto" w:fill="auto"/>
          </w:tcPr>
          <w:p w14:paraId="55A5FEB8" w14:textId="77777777" w:rsidR="003D27BC" w:rsidRPr="0097373B" w:rsidRDefault="003D27BC" w:rsidP="00F7659C">
            <w:pPr>
              <w:rPr>
                <w:rFonts w:ascii="Times New Roman" w:hAnsi="Times New Roman" w:cs="Times New Roman"/>
                <w:sz w:val="20"/>
                <w:szCs w:val="20"/>
              </w:rPr>
            </w:pPr>
            <w:r w:rsidRPr="0097373B">
              <w:rPr>
                <w:rFonts w:ascii="Times New Roman" w:hAnsi="Times New Roman" w:cs="Times New Roman"/>
                <w:sz w:val="20"/>
                <w:szCs w:val="20"/>
              </w:rPr>
              <w:t>1.75 [1.75-1.78]</w:t>
            </w:r>
          </w:p>
        </w:tc>
        <w:tc>
          <w:tcPr>
            <w:tcW w:w="1898" w:type="dxa"/>
            <w:shd w:val="clear" w:color="auto" w:fill="auto"/>
          </w:tcPr>
          <w:p w14:paraId="5C29B561" w14:textId="77777777" w:rsidR="003D27BC" w:rsidRPr="0097373B" w:rsidRDefault="003D27BC" w:rsidP="00F7659C">
            <w:pPr>
              <w:rPr>
                <w:rFonts w:ascii="Times New Roman" w:hAnsi="Times New Roman" w:cs="Times New Roman"/>
                <w:sz w:val="20"/>
                <w:szCs w:val="20"/>
              </w:rPr>
            </w:pPr>
            <w:r w:rsidRPr="0097373B">
              <w:rPr>
                <w:rFonts w:ascii="Times New Roman" w:hAnsi="Times New Roman" w:cs="Times New Roman"/>
                <w:sz w:val="20"/>
                <w:szCs w:val="20"/>
              </w:rPr>
              <w:t>1.53 [1.51-1.56]</w:t>
            </w:r>
          </w:p>
        </w:tc>
        <w:tc>
          <w:tcPr>
            <w:tcW w:w="1929" w:type="dxa"/>
            <w:shd w:val="clear" w:color="auto" w:fill="auto"/>
          </w:tcPr>
          <w:p w14:paraId="47203097" w14:textId="77777777" w:rsidR="003D27BC" w:rsidRPr="0097373B" w:rsidRDefault="003D27BC" w:rsidP="00F7659C">
            <w:pPr>
              <w:rPr>
                <w:rFonts w:ascii="Times New Roman" w:hAnsi="Times New Roman" w:cs="Times New Roman"/>
                <w:sz w:val="20"/>
                <w:szCs w:val="20"/>
              </w:rPr>
            </w:pPr>
            <w:r w:rsidRPr="0097373B">
              <w:rPr>
                <w:rFonts w:ascii="Times New Roman" w:hAnsi="Times New Roman" w:cs="Times New Roman"/>
                <w:sz w:val="20"/>
                <w:szCs w:val="20"/>
              </w:rPr>
              <w:t xml:space="preserve">1.20 [1.16-1.23] </w:t>
            </w:r>
          </w:p>
        </w:tc>
        <w:tc>
          <w:tcPr>
            <w:tcW w:w="1843" w:type="dxa"/>
            <w:shd w:val="clear" w:color="auto" w:fill="auto"/>
          </w:tcPr>
          <w:p w14:paraId="38F4EF57" w14:textId="77777777" w:rsidR="003D27BC" w:rsidRPr="0097373B" w:rsidRDefault="003D27BC" w:rsidP="00F7659C">
            <w:pPr>
              <w:rPr>
                <w:rFonts w:ascii="Times New Roman" w:hAnsi="Times New Roman" w:cs="Times New Roman"/>
                <w:sz w:val="20"/>
                <w:szCs w:val="20"/>
              </w:rPr>
            </w:pPr>
            <w:r w:rsidRPr="0097373B">
              <w:rPr>
                <w:rFonts w:ascii="Times New Roman" w:hAnsi="Times New Roman" w:cs="Times New Roman"/>
                <w:sz w:val="20"/>
                <w:szCs w:val="20"/>
              </w:rPr>
              <w:t>2.56 [2.5-2.63]</w:t>
            </w:r>
          </w:p>
        </w:tc>
      </w:tr>
      <w:tr w:rsidR="003D27BC" w:rsidRPr="0097373B" w14:paraId="3C25B8C2" w14:textId="77777777" w:rsidTr="00F7659C">
        <w:tc>
          <w:tcPr>
            <w:tcW w:w="1101" w:type="dxa"/>
            <w:vMerge w:val="restart"/>
            <w:shd w:val="clear" w:color="auto" w:fill="auto"/>
          </w:tcPr>
          <w:p w14:paraId="2941E1DB" w14:textId="77777777" w:rsidR="003D27BC" w:rsidRPr="0097373B" w:rsidRDefault="003D27BC" w:rsidP="00F7659C">
            <w:pPr>
              <w:rPr>
                <w:rFonts w:ascii="Times New Roman" w:hAnsi="Times New Roman" w:cs="Times New Roman"/>
                <w:sz w:val="20"/>
                <w:szCs w:val="20"/>
              </w:rPr>
            </w:pPr>
            <w:r w:rsidRPr="0097373B">
              <w:rPr>
                <w:rFonts w:ascii="Times New Roman" w:hAnsi="Times New Roman" w:cs="Times New Roman"/>
                <w:sz w:val="20"/>
                <w:szCs w:val="20"/>
              </w:rPr>
              <w:t>BMI (kg/m</w:t>
            </w:r>
            <w:r w:rsidRPr="0097373B">
              <w:rPr>
                <w:rFonts w:ascii="Times New Roman" w:hAnsi="Times New Roman" w:cs="Times New Roman"/>
                <w:sz w:val="20"/>
                <w:szCs w:val="20"/>
                <w:vertAlign w:val="superscript"/>
              </w:rPr>
              <w:t>2</w:t>
            </w:r>
            <w:r w:rsidRPr="0097373B">
              <w:rPr>
                <w:rFonts w:ascii="Times New Roman" w:hAnsi="Times New Roman" w:cs="Times New Roman"/>
                <w:sz w:val="20"/>
                <w:szCs w:val="20"/>
              </w:rPr>
              <w:t>)</w:t>
            </w:r>
          </w:p>
        </w:tc>
        <w:tc>
          <w:tcPr>
            <w:tcW w:w="861" w:type="dxa"/>
            <w:shd w:val="clear" w:color="auto" w:fill="auto"/>
          </w:tcPr>
          <w:p w14:paraId="5F824DA6" w14:textId="77777777" w:rsidR="003D27BC" w:rsidRPr="0097373B" w:rsidRDefault="003D27BC" w:rsidP="00F7659C">
            <w:pPr>
              <w:rPr>
                <w:rFonts w:ascii="Times New Roman" w:hAnsi="Times New Roman" w:cs="Times New Roman"/>
                <w:sz w:val="20"/>
                <w:szCs w:val="20"/>
              </w:rPr>
            </w:pPr>
            <w:r w:rsidRPr="0097373B">
              <w:rPr>
                <w:rFonts w:ascii="Times New Roman" w:hAnsi="Times New Roman" w:cs="Times New Roman"/>
                <w:sz w:val="20"/>
                <w:szCs w:val="20"/>
              </w:rPr>
              <w:t>Overall</w:t>
            </w:r>
          </w:p>
        </w:tc>
        <w:tc>
          <w:tcPr>
            <w:tcW w:w="1832" w:type="dxa"/>
            <w:shd w:val="clear" w:color="auto" w:fill="auto"/>
          </w:tcPr>
          <w:p w14:paraId="24E9B0E6" w14:textId="77777777" w:rsidR="003D27BC" w:rsidRPr="0097373B" w:rsidRDefault="003D27BC" w:rsidP="00F7659C">
            <w:pPr>
              <w:rPr>
                <w:rFonts w:ascii="Times New Roman" w:hAnsi="Times New Roman" w:cs="Times New Roman"/>
                <w:sz w:val="20"/>
                <w:szCs w:val="20"/>
                <w:lang w:val="es-ES_tradnl"/>
              </w:rPr>
            </w:pPr>
            <w:r w:rsidRPr="0097373B">
              <w:rPr>
                <w:rFonts w:ascii="Times New Roman" w:hAnsi="Times New Roman" w:cs="Times New Roman"/>
                <w:sz w:val="20"/>
                <w:szCs w:val="20"/>
              </w:rPr>
              <w:t>1.05 [1.05-1.06]</w:t>
            </w:r>
          </w:p>
          <w:p w14:paraId="343427FE" w14:textId="77777777" w:rsidR="003D27BC" w:rsidRPr="0097373B" w:rsidRDefault="003D27BC" w:rsidP="00F7659C">
            <w:pPr>
              <w:rPr>
                <w:rFonts w:ascii="Times New Roman" w:hAnsi="Times New Roman" w:cs="Times New Roman"/>
                <w:sz w:val="20"/>
                <w:szCs w:val="20"/>
              </w:rPr>
            </w:pPr>
          </w:p>
        </w:tc>
        <w:tc>
          <w:tcPr>
            <w:tcW w:w="1898" w:type="dxa"/>
            <w:shd w:val="clear" w:color="auto" w:fill="auto"/>
          </w:tcPr>
          <w:p w14:paraId="4FEF1D34" w14:textId="77777777" w:rsidR="003D27BC" w:rsidRPr="0097373B" w:rsidRDefault="003D27BC" w:rsidP="00F7659C">
            <w:pPr>
              <w:rPr>
                <w:rFonts w:ascii="Times New Roman" w:hAnsi="Times New Roman" w:cs="Times New Roman"/>
                <w:sz w:val="20"/>
                <w:szCs w:val="20"/>
                <w:lang w:val="es-ES_tradnl"/>
              </w:rPr>
            </w:pPr>
            <w:r w:rsidRPr="0097373B">
              <w:rPr>
                <w:rFonts w:ascii="Times New Roman" w:hAnsi="Times New Roman" w:cs="Times New Roman"/>
                <w:sz w:val="20"/>
                <w:szCs w:val="20"/>
              </w:rPr>
              <w:t>1.09 [1.08-1.09]</w:t>
            </w:r>
          </w:p>
          <w:p w14:paraId="23403D3E" w14:textId="77777777" w:rsidR="003D27BC" w:rsidRPr="0097373B" w:rsidRDefault="003D27BC" w:rsidP="00F7659C">
            <w:pPr>
              <w:rPr>
                <w:rFonts w:ascii="Times New Roman" w:hAnsi="Times New Roman" w:cs="Times New Roman"/>
                <w:sz w:val="20"/>
                <w:szCs w:val="20"/>
              </w:rPr>
            </w:pPr>
          </w:p>
        </w:tc>
        <w:tc>
          <w:tcPr>
            <w:tcW w:w="1929" w:type="dxa"/>
            <w:shd w:val="clear" w:color="auto" w:fill="auto"/>
          </w:tcPr>
          <w:p w14:paraId="727A35D5" w14:textId="77777777" w:rsidR="003D27BC" w:rsidRPr="0097373B" w:rsidRDefault="003D27BC" w:rsidP="00F7659C">
            <w:pPr>
              <w:rPr>
                <w:rFonts w:ascii="Times New Roman" w:hAnsi="Times New Roman" w:cs="Times New Roman"/>
                <w:sz w:val="20"/>
                <w:szCs w:val="20"/>
                <w:lang w:val="es-ES_tradnl"/>
              </w:rPr>
            </w:pPr>
            <w:r w:rsidRPr="0097373B">
              <w:rPr>
                <w:rFonts w:ascii="Times New Roman" w:hAnsi="Times New Roman" w:cs="Times New Roman"/>
                <w:sz w:val="20"/>
                <w:szCs w:val="20"/>
              </w:rPr>
              <w:t>1.04 [1.04-1.04]</w:t>
            </w:r>
          </w:p>
          <w:p w14:paraId="55702310" w14:textId="77777777" w:rsidR="003D27BC" w:rsidRPr="0097373B" w:rsidRDefault="003D27BC" w:rsidP="00F7659C">
            <w:pPr>
              <w:rPr>
                <w:rFonts w:ascii="Times New Roman" w:hAnsi="Times New Roman" w:cs="Times New Roman"/>
                <w:sz w:val="20"/>
                <w:szCs w:val="20"/>
              </w:rPr>
            </w:pPr>
          </w:p>
        </w:tc>
        <w:tc>
          <w:tcPr>
            <w:tcW w:w="1843" w:type="dxa"/>
            <w:shd w:val="clear" w:color="auto" w:fill="auto"/>
          </w:tcPr>
          <w:p w14:paraId="49FE123A" w14:textId="77777777" w:rsidR="003D27BC" w:rsidRPr="0097373B" w:rsidRDefault="003D27BC" w:rsidP="00F7659C">
            <w:pPr>
              <w:rPr>
                <w:rFonts w:ascii="Times New Roman" w:hAnsi="Times New Roman" w:cs="Times New Roman"/>
                <w:sz w:val="20"/>
                <w:szCs w:val="20"/>
                <w:lang w:val="es-ES_tradnl"/>
              </w:rPr>
            </w:pPr>
            <w:r w:rsidRPr="0097373B">
              <w:rPr>
                <w:rFonts w:ascii="Times New Roman" w:hAnsi="Times New Roman" w:cs="Times New Roman"/>
                <w:sz w:val="20"/>
                <w:szCs w:val="20"/>
              </w:rPr>
              <w:t>1.02 [1.01-1.02]</w:t>
            </w:r>
          </w:p>
          <w:p w14:paraId="330E06C0" w14:textId="77777777" w:rsidR="003D27BC" w:rsidRPr="0097373B" w:rsidRDefault="003D27BC" w:rsidP="00F7659C">
            <w:pPr>
              <w:rPr>
                <w:rFonts w:ascii="Times New Roman" w:hAnsi="Times New Roman" w:cs="Times New Roman"/>
                <w:sz w:val="20"/>
                <w:szCs w:val="20"/>
              </w:rPr>
            </w:pPr>
          </w:p>
        </w:tc>
      </w:tr>
      <w:tr w:rsidR="003D27BC" w:rsidRPr="0097373B" w14:paraId="593C450F" w14:textId="77777777" w:rsidTr="00F7659C">
        <w:tc>
          <w:tcPr>
            <w:tcW w:w="1101" w:type="dxa"/>
            <w:vMerge/>
            <w:shd w:val="clear" w:color="auto" w:fill="auto"/>
          </w:tcPr>
          <w:p w14:paraId="0E2DCF7C" w14:textId="77777777" w:rsidR="003D27BC" w:rsidRPr="0097373B" w:rsidRDefault="003D27BC" w:rsidP="00F7659C">
            <w:pPr>
              <w:rPr>
                <w:rFonts w:ascii="Times New Roman" w:hAnsi="Times New Roman" w:cs="Times New Roman"/>
                <w:sz w:val="20"/>
                <w:szCs w:val="20"/>
              </w:rPr>
            </w:pPr>
          </w:p>
        </w:tc>
        <w:tc>
          <w:tcPr>
            <w:tcW w:w="861" w:type="dxa"/>
            <w:shd w:val="clear" w:color="auto" w:fill="auto"/>
          </w:tcPr>
          <w:p w14:paraId="0E7D75D5" w14:textId="77777777" w:rsidR="003D27BC" w:rsidRPr="0097373B" w:rsidRDefault="003D27BC" w:rsidP="00F7659C">
            <w:pPr>
              <w:rPr>
                <w:rFonts w:ascii="Times New Roman" w:hAnsi="Times New Roman" w:cs="Times New Roman"/>
                <w:sz w:val="20"/>
                <w:szCs w:val="20"/>
              </w:rPr>
            </w:pPr>
            <w:r w:rsidRPr="0097373B">
              <w:rPr>
                <w:rFonts w:ascii="Times New Roman" w:hAnsi="Times New Roman" w:cs="Times New Roman"/>
                <w:sz w:val="20"/>
                <w:szCs w:val="20"/>
              </w:rPr>
              <w:t>&lt;25</w:t>
            </w:r>
          </w:p>
        </w:tc>
        <w:tc>
          <w:tcPr>
            <w:tcW w:w="1832" w:type="dxa"/>
            <w:shd w:val="clear" w:color="auto" w:fill="auto"/>
          </w:tcPr>
          <w:p w14:paraId="7E1E1F2D" w14:textId="77777777" w:rsidR="003D27BC" w:rsidRPr="0097373B" w:rsidRDefault="003D27BC" w:rsidP="00F7659C">
            <w:pPr>
              <w:rPr>
                <w:rFonts w:ascii="Times New Roman" w:hAnsi="Times New Roman" w:cs="Times New Roman"/>
                <w:sz w:val="20"/>
                <w:szCs w:val="20"/>
              </w:rPr>
            </w:pPr>
            <w:r w:rsidRPr="0097373B">
              <w:rPr>
                <w:rFonts w:ascii="Times New Roman" w:hAnsi="Times New Roman" w:cs="Times New Roman"/>
                <w:sz w:val="20"/>
                <w:szCs w:val="20"/>
              </w:rPr>
              <w:t>Ref</w:t>
            </w:r>
          </w:p>
        </w:tc>
        <w:tc>
          <w:tcPr>
            <w:tcW w:w="1898" w:type="dxa"/>
            <w:shd w:val="clear" w:color="auto" w:fill="auto"/>
          </w:tcPr>
          <w:p w14:paraId="649F0764" w14:textId="77777777" w:rsidR="003D27BC" w:rsidRPr="0097373B" w:rsidRDefault="003D27BC" w:rsidP="00F7659C">
            <w:pPr>
              <w:rPr>
                <w:rFonts w:ascii="Times New Roman" w:hAnsi="Times New Roman" w:cs="Times New Roman"/>
                <w:sz w:val="20"/>
                <w:szCs w:val="20"/>
              </w:rPr>
            </w:pPr>
            <w:r w:rsidRPr="0097373B">
              <w:rPr>
                <w:rFonts w:ascii="Times New Roman" w:hAnsi="Times New Roman" w:cs="Times New Roman"/>
                <w:sz w:val="20"/>
                <w:szCs w:val="20"/>
              </w:rPr>
              <w:t>Ref</w:t>
            </w:r>
          </w:p>
        </w:tc>
        <w:tc>
          <w:tcPr>
            <w:tcW w:w="1929" w:type="dxa"/>
            <w:shd w:val="clear" w:color="auto" w:fill="auto"/>
          </w:tcPr>
          <w:p w14:paraId="43EB85E2" w14:textId="77777777" w:rsidR="003D27BC" w:rsidRPr="0097373B" w:rsidRDefault="003D27BC" w:rsidP="00F7659C">
            <w:pPr>
              <w:rPr>
                <w:rFonts w:ascii="Times New Roman" w:hAnsi="Times New Roman" w:cs="Times New Roman"/>
                <w:sz w:val="20"/>
                <w:szCs w:val="20"/>
              </w:rPr>
            </w:pPr>
            <w:r w:rsidRPr="0097373B">
              <w:rPr>
                <w:rFonts w:ascii="Times New Roman" w:hAnsi="Times New Roman" w:cs="Times New Roman"/>
                <w:sz w:val="20"/>
                <w:szCs w:val="20"/>
              </w:rPr>
              <w:t>Ref</w:t>
            </w:r>
          </w:p>
        </w:tc>
        <w:tc>
          <w:tcPr>
            <w:tcW w:w="1843" w:type="dxa"/>
            <w:shd w:val="clear" w:color="auto" w:fill="auto"/>
          </w:tcPr>
          <w:p w14:paraId="3D7C00EC" w14:textId="77777777" w:rsidR="003D27BC" w:rsidRPr="0097373B" w:rsidRDefault="003D27BC" w:rsidP="00F7659C">
            <w:pPr>
              <w:rPr>
                <w:rFonts w:ascii="Times New Roman" w:hAnsi="Times New Roman" w:cs="Times New Roman"/>
                <w:sz w:val="20"/>
                <w:szCs w:val="20"/>
              </w:rPr>
            </w:pPr>
            <w:r w:rsidRPr="0097373B">
              <w:rPr>
                <w:rFonts w:ascii="Times New Roman" w:hAnsi="Times New Roman" w:cs="Times New Roman"/>
                <w:sz w:val="20"/>
                <w:szCs w:val="20"/>
              </w:rPr>
              <w:t>Ref</w:t>
            </w:r>
          </w:p>
        </w:tc>
      </w:tr>
      <w:tr w:rsidR="003D27BC" w:rsidRPr="0097373B" w14:paraId="64A09663" w14:textId="77777777" w:rsidTr="00F7659C">
        <w:tc>
          <w:tcPr>
            <w:tcW w:w="1101" w:type="dxa"/>
            <w:vMerge/>
            <w:shd w:val="clear" w:color="auto" w:fill="auto"/>
          </w:tcPr>
          <w:p w14:paraId="78323CCB" w14:textId="77777777" w:rsidR="003D27BC" w:rsidRPr="0097373B" w:rsidRDefault="003D27BC" w:rsidP="00F7659C">
            <w:pPr>
              <w:rPr>
                <w:rFonts w:ascii="Times New Roman" w:hAnsi="Times New Roman" w:cs="Times New Roman"/>
                <w:sz w:val="20"/>
                <w:szCs w:val="20"/>
              </w:rPr>
            </w:pPr>
          </w:p>
        </w:tc>
        <w:tc>
          <w:tcPr>
            <w:tcW w:w="861" w:type="dxa"/>
            <w:shd w:val="clear" w:color="auto" w:fill="auto"/>
          </w:tcPr>
          <w:p w14:paraId="3A532A9D" w14:textId="77777777" w:rsidR="003D27BC" w:rsidRPr="0097373B" w:rsidRDefault="003D27BC" w:rsidP="00F7659C">
            <w:pPr>
              <w:rPr>
                <w:rFonts w:ascii="Times New Roman" w:hAnsi="Times New Roman" w:cs="Times New Roman"/>
                <w:sz w:val="20"/>
                <w:szCs w:val="20"/>
              </w:rPr>
            </w:pPr>
            <w:r w:rsidRPr="0097373B">
              <w:rPr>
                <w:rFonts w:ascii="Times New Roman" w:hAnsi="Times New Roman" w:cs="Times New Roman"/>
                <w:sz w:val="20"/>
                <w:szCs w:val="20"/>
              </w:rPr>
              <w:t>25-30</w:t>
            </w:r>
          </w:p>
        </w:tc>
        <w:tc>
          <w:tcPr>
            <w:tcW w:w="1832" w:type="dxa"/>
            <w:shd w:val="clear" w:color="auto" w:fill="auto"/>
          </w:tcPr>
          <w:p w14:paraId="23968E0C" w14:textId="77777777" w:rsidR="003D27BC" w:rsidRPr="0097373B" w:rsidRDefault="003D27BC" w:rsidP="00F7659C">
            <w:pPr>
              <w:rPr>
                <w:rFonts w:ascii="Times New Roman" w:hAnsi="Times New Roman" w:cs="Times New Roman"/>
                <w:sz w:val="20"/>
                <w:szCs w:val="20"/>
              </w:rPr>
            </w:pPr>
            <w:r w:rsidRPr="0097373B">
              <w:rPr>
                <w:rFonts w:ascii="Times New Roman" w:hAnsi="Times New Roman" w:cs="Times New Roman"/>
                <w:sz w:val="20"/>
                <w:szCs w:val="20"/>
              </w:rPr>
              <w:t>1.49 [1.46-1.51]</w:t>
            </w:r>
          </w:p>
        </w:tc>
        <w:tc>
          <w:tcPr>
            <w:tcW w:w="1898" w:type="dxa"/>
            <w:shd w:val="clear" w:color="auto" w:fill="auto"/>
          </w:tcPr>
          <w:p w14:paraId="61D420FF" w14:textId="77777777" w:rsidR="003D27BC" w:rsidRPr="0097373B" w:rsidRDefault="003D27BC" w:rsidP="00F7659C">
            <w:pPr>
              <w:rPr>
                <w:rFonts w:ascii="Times New Roman" w:hAnsi="Times New Roman" w:cs="Times New Roman"/>
                <w:sz w:val="20"/>
                <w:szCs w:val="20"/>
                <w:lang w:val="es-ES_tradnl"/>
              </w:rPr>
            </w:pPr>
            <w:r w:rsidRPr="0097373B">
              <w:rPr>
                <w:rFonts w:ascii="Times New Roman" w:hAnsi="Times New Roman" w:cs="Times New Roman"/>
                <w:sz w:val="20"/>
                <w:szCs w:val="20"/>
              </w:rPr>
              <w:t>2.00 [1.94-2.06]</w:t>
            </w:r>
          </w:p>
          <w:p w14:paraId="2202D126" w14:textId="77777777" w:rsidR="003D27BC" w:rsidRPr="0097373B" w:rsidRDefault="003D27BC" w:rsidP="00F7659C">
            <w:pPr>
              <w:rPr>
                <w:rFonts w:ascii="Times New Roman" w:hAnsi="Times New Roman" w:cs="Times New Roman"/>
                <w:sz w:val="20"/>
                <w:szCs w:val="20"/>
              </w:rPr>
            </w:pPr>
          </w:p>
        </w:tc>
        <w:tc>
          <w:tcPr>
            <w:tcW w:w="1929" w:type="dxa"/>
            <w:shd w:val="clear" w:color="auto" w:fill="auto"/>
          </w:tcPr>
          <w:p w14:paraId="611E519B" w14:textId="77777777" w:rsidR="003D27BC" w:rsidRPr="0097373B" w:rsidRDefault="003D27BC" w:rsidP="00F7659C">
            <w:pPr>
              <w:rPr>
                <w:rFonts w:ascii="Times New Roman" w:hAnsi="Times New Roman" w:cs="Times New Roman"/>
                <w:sz w:val="20"/>
                <w:szCs w:val="20"/>
              </w:rPr>
            </w:pPr>
            <w:r w:rsidRPr="0097373B">
              <w:rPr>
                <w:rFonts w:ascii="Times New Roman" w:hAnsi="Times New Roman" w:cs="Times New Roman"/>
                <w:sz w:val="20"/>
                <w:szCs w:val="20"/>
              </w:rPr>
              <w:t>1.46 [1.39-1.52]</w:t>
            </w:r>
          </w:p>
        </w:tc>
        <w:tc>
          <w:tcPr>
            <w:tcW w:w="1843" w:type="dxa"/>
            <w:shd w:val="clear" w:color="auto" w:fill="auto"/>
          </w:tcPr>
          <w:p w14:paraId="632D86FD" w14:textId="77777777" w:rsidR="003D27BC" w:rsidRPr="0097373B" w:rsidRDefault="003D27BC" w:rsidP="00F7659C">
            <w:pPr>
              <w:rPr>
                <w:rFonts w:ascii="Times New Roman" w:hAnsi="Times New Roman" w:cs="Times New Roman"/>
                <w:sz w:val="20"/>
                <w:szCs w:val="20"/>
              </w:rPr>
            </w:pPr>
            <w:r w:rsidRPr="0097373B">
              <w:rPr>
                <w:rFonts w:ascii="Times New Roman" w:hAnsi="Times New Roman" w:cs="Times New Roman"/>
                <w:sz w:val="20"/>
                <w:szCs w:val="20"/>
              </w:rPr>
              <w:t>1.22 [1.17-1.27]</w:t>
            </w:r>
          </w:p>
        </w:tc>
      </w:tr>
      <w:tr w:rsidR="003D27BC" w:rsidRPr="0097373B" w14:paraId="1777C3CA" w14:textId="77777777" w:rsidTr="00F7659C">
        <w:tc>
          <w:tcPr>
            <w:tcW w:w="1101" w:type="dxa"/>
            <w:vMerge/>
            <w:shd w:val="clear" w:color="auto" w:fill="auto"/>
          </w:tcPr>
          <w:p w14:paraId="7FB6452E" w14:textId="77777777" w:rsidR="003D27BC" w:rsidRPr="0097373B" w:rsidRDefault="003D27BC" w:rsidP="00F7659C">
            <w:pPr>
              <w:rPr>
                <w:rFonts w:ascii="Times New Roman" w:hAnsi="Times New Roman" w:cs="Times New Roman"/>
                <w:sz w:val="20"/>
                <w:szCs w:val="20"/>
              </w:rPr>
            </w:pPr>
          </w:p>
        </w:tc>
        <w:tc>
          <w:tcPr>
            <w:tcW w:w="861" w:type="dxa"/>
            <w:shd w:val="clear" w:color="auto" w:fill="auto"/>
          </w:tcPr>
          <w:p w14:paraId="0E88E129" w14:textId="77777777" w:rsidR="003D27BC" w:rsidRPr="0097373B" w:rsidRDefault="003D27BC" w:rsidP="00F7659C">
            <w:pPr>
              <w:rPr>
                <w:rFonts w:ascii="Times New Roman" w:hAnsi="Times New Roman" w:cs="Times New Roman"/>
                <w:sz w:val="20"/>
                <w:szCs w:val="20"/>
              </w:rPr>
            </w:pPr>
            <w:r w:rsidRPr="0097373B">
              <w:rPr>
                <w:rFonts w:ascii="Times New Roman" w:hAnsi="Times New Roman" w:cs="Times New Roman"/>
                <w:sz w:val="20"/>
                <w:szCs w:val="20"/>
              </w:rPr>
              <w:t>30-35</w:t>
            </w:r>
          </w:p>
        </w:tc>
        <w:tc>
          <w:tcPr>
            <w:tcW w:w="1832" w:type="dxa"/>
            <w:shd w:val="clear" w:color="auto" w:fill="auto"/>
          </w:tcPr>
          <w:p w14:paraId="3432A7A7" w14:textId="77777777" w:rsidR="003D27BC" w:rsidRPr="0097373B" w:rsidRDefault="003D27BC" w:rsidP="00F7659C">
            <w:pPr>
              <w:rPr>
                <w:rFonts w:ascii="Times New Roman" w:hAnsi="Times New Roman" w:cs="Times New Roman"/>
                <w:sz w:val="20"/>
                <w:szCs w:val="20"/>
                <w:lang w:val="es-ES_tradnl"/>
              </w:rPr>
            </w:pPr>
            <w:r w:rsidRPr="0097373B">
              <w:rPr>
                <w:rFonts w:ascii="Times New Roman" w:hAnsi="Times New Roman" w:cs="Times New Roman"/>
                <w:sz w:val="20"/>
                <w:szCs w:val="20"/>
              </w:rPr>
              <w:t>1.96 [1.93-2.00]</w:t>
            </w:r>
          </w:p>
          <w:p w14:paraId="16568FA2" w14:textId="77777777" w:rsidR="003D27BC" w:rsidRPr="0097373B" w:rsidRDefault="003D27BC" w:rsidP="00F7659C">
            <w:pPr>
              <w:rPr>
                <w:rFonts w:ascii="Times New Roman" w:hAnsi="Times New Roman" w:cs="Times New Roman"/>
                <w:sz w:val="20"/>
                <w:szCs w:val="20"/>
              </w:rPr>
            </w:pPr>
          </w:p>
        </w:tc>
        <w:tc>
          <w:tcPr>
            <w:tcW w:w="1898" w:type="dxa"/>
            <w:shd w:val="clear" w:color="auto" w:fill="auto"/>
          </w:tcPr>
          <w:p w14:paraId="11D0E4CA" w14:textId="77777777" w:rsidR="003D27BC" w:rsidRPr="0097373B" w:rsidRDefault="003D27BC" w:rsidP="00F7659C">
            <w:pPr>
              <w:rPr>
                <w:rFonts w:ascii="Times New Roman" w:hAnsi="Times New Roman" w:cs="Times New Roman"/>
                <w:sz w:val="20"/>
                <w:szCs w:val="20"/>
                <w:lang w:val="es-ES_tradnl"/>
              </w:rPr>
            </w:pPr>
            <w:r w:rsidRPr="0097373B">
              <w:rPr>
                <w:rFonts w:ascii="Times New Roman" w:hAnsi="Times New Roman" w:cs="Times New Roman"/>
                <w:sz w:val="20"/>
                <w:szCs w:val="20"/>
              </w:rPr>
              <w:t>3.19 [3.09-3.30]</w:t>
            </w:r>
          </w:p>
          <w:p w14:paraId="15E5CFEF" w14:textId="77777777" w:rsidR="003D27BC" w:rsidRPr="0097373B" w:rsidRDefault="003D27BC" w:rsidP="00F7659C">
            <w:pPr>
              <w:rPr>
                <w:rFonts w:ascii="Times New Roman" w:hAnsi="Times New Roman" w:cs="Times New Roman"/>
                <w:sz w:val="20"/>
                <w:szCs w:val="20"/>
              </w:rPr>
            </w:pPr>
          </w:p>
        </w:tc>
        <w:tc>
          <w:tcPr>
            <w:tcW w:w="1929" w:type="dxa"/>
            <w:shd w:val="clear" w:color="auto" w:fill="auto"/>
          </w:tcPr>
          <w:p w14:paraId="2C66C04B" w14:textId="77777777" w:rsidR="003D27BC" w:rsidRPr="0097373B" w:rsidRDefault="003D27BC" w:rsidP="00F7659C">
            <w:pPr>
              <w:rPr>
                <w:rFonts w:ascii="Times New Roman" w:hAnsi="Times New Roman" w:cs="Times New Roman"/>
                <w:sz w:val="20"/>
                <w:szCs w:val="20"/>
                <w:lang w:val="es-ES_tradnl"/>
              </w:rPr>
            </w:pPr>
            <w:r w:rsidRPr="0097373B">
              <w:rPr>
                <w:rFonts w:ascii="Times New Roman" w:hAnsi="Times New Roman" w:cs="Times New Roman"/>
                <w:sz w:val="20"/>
                <w:szCs w:val="20"/>
              </w:rPr>
              <w:t>1.75 [1.66-1.83]</w:t>
            </w:r>
          </w:p>
          <w:p w14:paraId="7CEBC71F" w14:textId="77777777" w:rsidR="003D27BC" w:rsidRPr="0097373B" w:rsidRDefault="003D27BC" w:rsidP="00F7659C">
            <w:pPr>
              <w:rPr>
                <w:rFonts w:ascii="Times New Roman" w:hAnsi="Times New Roman" w:cs="Times New Roman"/>
                <w:sz w:val="20"/>
                <w:szCs w:val="20"/>
              </w:rPr>
            </w:pPr>
          </w:p>
        </w:tc>
        <w:tc>
          <w:tcPr>
            <w:tcW w:w="1843" w:type="dxa"/>
            <w:shd w:val="clear" w:color="auto" w:fill="auto"/>
          </w:tcPr>
          <w:p w14:paraId="7C42F435" w14:textId="77777777" w:rsidR="003D27BC" w:rsidRPr="0097373B" w:rsidRDefault="003D27BC" w:rsidP="00F7659C">
            <w:pPr>
              <w:rPr>
                <w:rFonts w:ascii="Times New Roman" w:hAnsi="Times New Roman" w:cs="Times New Roman"/>
                <w:sz w:val="20"/>
                <w:szCs w:val="20"/>
                <w:lang w:val="es-ES_tradnl"/>
              </w:rPr>
            </w:pPr>
            <w:r w:rsidRPr="0097373B">
              <w:rPr>
                <w:rFonts w:ascii="Times New Roman" w:hAnsi="Times New Roman" w:cs="Times New Roman"/>
                <w:sz w:val="20"/>
                <w:szCs w:val="20"/>
              </w:rPr>
              <w:t>1.30 [1.25-1.36]</w:t>
            </w:r>
          </w:p>
          <w:p w14:paraId="2F9F9083" w14:textId="77777777" w:rsidR="003D27BC" w:rsidRPr="0097373B" w:rsidRDefault="003D27BC" w:rsidP="00F7659C">
            <w:pPr>
              <w:rPr>
                <w:rFonts w:ascii="Times New Roman" w:hAnsi="Times New Roman" w:cs="Times New Roman"/>
                <w:sz w:val="20"/>
                <w:szCs w:val="20"/>
              </w:rPr>
            </w:pPr>
          </w:p>
        </w:tc>
      </w:tr>
      <w:tr w:rsidR="003D27BC" w:rsidRPr="0097373B" w14:paraId="11619DE4" w14:textId="77777777" w:rsidTr="00F7659C">
        <w:tc>
          <w:tcPr>
            <w:tcW w:w="1101" w:type="dxa"/>
            <w:vMerge/>
            <w:shd w:val="clear" w:color="auto" w:fill="auto"/>
          </w:tcPr>
          <w:p w14:paraId="689ED9D2" w14:textId="77777777" w:rsidR="003D27BC" w:rsidRPr="0097373B" w:rsidRDefault="003D27BC" w:rsidP="00F7659C">
            <w:pPr>
              <w:rPr>
                <w:rFonts w:ascii="Times New Roman" w:hAnsi="Times New Roman" w:cs="Times New Roman"/>
                <w:sz w:val="20"/>
                <w:szCs w:val="20"/>
              </w:rPr>
            </w:pPr>
          </w:p>
        </w:tc>
        <w:tc>
          <w:tcPr>
            <w:tcW w:w="861" w:type="dxa"/>
            <w:shd w:val="clear" w:color="auto" w:fill="auto"/>
          </w:tcPr>
          <w:p w14:paraId="31174B65" w14:textId="77777777" w:rsidR="003D27BC" w:rsidRPr="0097373B" w:rsidRDefault="003D27BC" w:rsidP="00F7659C">
            <w:pPr>
              <w:rPr>
                <w:rFonts w:ascii="Times New Roman" w:hAnsi="Times New Roman" w:cs="Times New Roman"/>
                <w:sz w:val="20"/>
                <w:szCs w:val="20"/>
              </w:rPr>
            </w:pPr>
            <w:r w:rsidRPr="0097373B">
              <w:rPr>
                <w:rFonts w:ascii="Times New Roman" w:hAnsi="Times New Roman" w:cs="Times New Roman"/>
                <w:sz w:val="20"/>
                <w:szCs w:val="20"/>
              </w:rPr>
              <w:t>≥35</w:t>
            </w:r>
          </w:p>
        </w:tc>
        <w:tc>
          <w:tcPr>
            <w:tcW w:w="1832" w:type="dxa"/>
            <w:shd w:val="clear" w:color="auto" w:fill="auto"/>
          </w:tcPr>
          <w:p w14:paraId="65B43010" w14:textId="77777777" w:rsidR="003D27BC" w:rsidRPr="0097373B" w:rsidRDefault="003D27BC" w:rsidP="00F7659C">
            <w:pPr>
              <w:rPr>
                <w:rFonts w:ascii="Times New Roman" w:hAnsi="Times New Roman" w:cs="Times New Roman"/>
                <w:sz w:val="20"/>
                <w:szCs w:val="20"/>
                <w:lang w:val="es-ES_tradnl"/>
              </w:rPr>
            </w:pPr>
            <w:r w:rsidRPr="0097373B">
              <w:rPr>
                <w:rFonts w:ascii="Times New Roman" w:hAnsi="Times New Roman" w:cs="Times New Roman"/>
                <w:sz w:val="20"/>
                <w:szCs w:val="20"/>
              </w:rPr>
              <w:t>2.51 [2.45-2.56]</w:t>
            </w:r>
          </w:p>
          <w:p w14:paraId="4CA4D5DD" w14:textId="77777777" w:rsidR="003D27BC" w:rsidRPr="0097373B" w:rsidRDefault="003D27BC" w:rsidP="00F7659C">
            <w:pPr>
              <w:rPr>
                <w:rFonts w:ascii="Times New Roman" w:hAnsi="Times New Roman" w:cs="Times New Roman"/>
                <w:sz w:val="20"/>
                <w:szCs w:val="20"/>
              </w:rPr>
            </w:pPr>
          </w:p>
        </w:tc>
        <w:tc>
          <w:tcPr>
            <w:tcW w:w="1898" w:type="dxa"/>
            <w:shd w:val="clear" w:color="auto" w:fill="auto"/>
          </w:tcPr>
          <w:p w14:paraId="6AAD6962" w14:textId="77777777" w:rsidR="003D27BC" w:rsidRPr="0097373B" w:rsidRDefault="003D27BC" w:rsidP="00F7659C">
            <w:pPr>
              <w:rPr>
                <w:rFonts w:ascii="Times New Roman" w:hAnsi="Times New Roman" w:cs="Times New Roman"/>
                <w:sz w:val="20"/>
                <w:szCs w:val="20"/>
                <w:lang w:val="es-ES_tradnl"/>
              </w:rPr>
            </w:pPr>
            <w:r w:rsidRPr="0097373B">
              <w:rPr>
                <w:rFonts w:ascii="Times New Roman" w:hAnsi="Times New Roman" w:cs="Times New Roman"/>
                <w:sz w:val="20"/>
                <w:szCs w:val="20"/>
              </w:rPr>
              <w:t>4.72 [4.56-4.89]</w:t>
            </w:r>
          </w:p>
          <w:p w14:paraId="19B0B63C" w14:textId="77777777" w:rsidR="003D27BC" w:rsidRPr="0097373B" w:rsidRDefault="003D27BC" w:rsidP="00F7659C">
            <w:pPr>
              <w:rPr>
                <w:rFonts w:ascii="Times New Roman" w:hAnsi="Times New Roman" w:cs="Times New Roman"/>
                <w:sz w:val="20"/>
                <w:szCs w:val="20"/>
              </w:rPr>
            </w:pPr>
          </w:p>
        </w:tc>
        <w:tc>
          <w:tcPr>
            <w:tcW w:w="1929" w:type="dxa"/>
            <w:shd w:val="clear" w:color="auto" w:fill="auto"/>
          </w:tcPr>
          <w:p w14:paraId="2B4BE946" w14:textId="77777777" w:rsidR="003D27BC" w:rsidRPr="0097373B" w:rsidRDefault="003D27BC" w:rsidP="00F7659C">
            <w:pPr>
              <w:rPr>
                <w:rFonts w:ascii="Times New Roman" w:hAnsi="Times New Roman" w:cs="Times New Roman"/>
                <w:sz w:val="20"/>
                <w:szCs w:val="20"/>
                <w:lang w:val="es-ES_tradnl"/>
              </w:rPr>
            </w:pPr>
            <w:r w:rsidRPr="0097373B">
              <w:rPr>
                <w:rFonts w:ascii="Times New Roman" w:hAnsi="Times New Roman" w:cs="Times New Roman"/>
                <w:sz w:val="20"/>
                <w:szCs w:val="20"/>
              </w:rPr>
              <w:t>1.93 [1.82-2.05]</w:t>
            </w:r>
          </w:p>
          <w:p w14:paraId="1A40F53A" w14:textId="77777777" w:rsidR="003D27BC" w:rsidRPr="0097373B" w:rsidRDefault="003D27BC" w:rsidP="00F7659C">
            <w:pPr>
              <w:rPr>
                <w:rFonts w:ascii="Times New Roman" w:hAnsi="Times New Roman" w:cs="Times New Roman"/>
                <w:sz w:val="20"/>
                <w:szCs w:val="20"/>
              </w:rPr>
            </w:pPr>
          </w:p>
        </w:tc>
        <w:tc>
          <w:tcPr>
            <w:tcW w:w="1843" w:type="dxa"/>
            <w:shd w:val="clear" w:color="auto" w:fill="auto"/>
          </w:tcPr>
          <w:p w14:paraId="490C80E5" w14:textId="77777777" w:rsidR="003D27BC" w:rsidRPr="0097373B" w:rsidRDefault="003D27BC" w:rsidP="00F7659C">
            <w:pPr>
              <w:rPr>
                <w:rFonts w:ascii="Times New Roman" w:hAnsi="Times New Roman" w:cs="Times New Roman"/>
                <w:sz w:val="20"/>
                <w:szCs w:val="20"/>
                <w:lang w:val="es-ES_tradnl"/>
              </w:rPr>
            </w:pPr>
            <w:r w:rsidRPr="0097373B">
              <w:rPr>
                <w:rFonts w:ascii="Times New Roman" w:hAnsi="Times New Roman" w:cs="Times New Roman"/>
                <w:sz w:val="20"/>
                <w:szCs w:val="20"/>
              </w:rPr>
              <w:t>1.31 [1.24-1.38]</w:t>
            </w:r>
          </w:p>
          <w:p w14:paraId="7FB9AE53" w14:textId="77777777" w:rsidR="003D27BC" w:rsidRPr="0097373B" w:rsidRDefault="003D27BC" w:rsidP="00F7659C">
            <w:pPr>
              <w:rPr>
                <w:rFonts w:ascii="Times New Roman" w:hAnsi="Times New Roman" w:cs="Times New Roman"/>
                <w:sz w:val="20"/>
                <w:szCs w:val="20"/>
              </w:rPr>
            </w:pPr>
          </w:p>
        </w:tc>
      </w:tr>
    </w:tbl>
    <w:p w14:paraId="4B3FCCDE" w14:textId="77777777" w:rsidR="003D27BC" w:rsidRPr="0097373B" w:rsidRDefault="003D27BC" w:rsidP="001D2514">
      <w:pPr>
        <w:jc w:val="both"/>
        <w:rPr>
          <w:rFonts w:ascii="Times New Roman" w:hAnsi="Times New Roman" w:cs="Times New Roman"/>
        </w:rPr>
      </w:pPr>
    </w:p>
    <w:p w14:paraId="391528C0" w14:textId="24344013" w:rsidR="00164D2B" w:rsidRPr="0097373B" w:rsidRDefault="00164D2B" w:rsidP="001D2514">
      <w:pPr>
        <w:jc w:val="both"/>
        <w:rPr>
          <w:rFonts w:ascii="Times New Roman" w:hAnsi="Times New Roman" w:cs="Times New Roman"/>
        </w:rPr>
      </w:pPr>
      <w:r w:rsidRPr="0097373B">
        <w:rPr>
          <w:rFonts w:ascii="Times New Roman" w:hAnsi="Times New Roman" w:cs="Times New Roman"/>
        </w:rPr>
        <w:t>All p-vals&lt;0.001</w:t>
      </w:r>
    </w:p>
    <w:p w14:paraId="37D6F9F6" w14:textId="2452C38C" w:rsidR="00164D2B" w:rsidRPr="0097373B" w:rsidRDefault="00164D2B" w:rsidP="001D2514">
      <w:pPr>
        <w:jc w:val="both"/>
        <w:rPr>
          <w:rFonts w:ascii="Times New Roman" w:hAnsi="Times New Roman" w:cs="Times New Roman"/>
          <w:b/>
        </w:rPr>
      </w:pPr>
      <w:r w:rsidRPr="0097373B">
        <w:rPr>
          <w:rFonts w:ascii="Times New Roman" w:hAnsi="Times New Roman" w:cs="Times New Roman"/>
          <w:b/>
        </w:rPr>
        <w:br w:type="page"/>
      </w:r>
    </w:p>
    <w:p w14:paraId="650B897F" w14:textId="06A6BEF5" w:rsidR="00F66E0D" w:rsidRPr="0097373B" w:rsidRDefault="00F66E0D" w:rsidP="001D2514">
      <w:pPr>
        <w:widowControl w:val="0"/>
        <w:autoSpaceDE w:val="0"/>
        <w:autoSpaceDN w:val="0"/>
        <w:adjustRightInd w:val="0"/>
        <w:spacing w:line="480" w:lineRule="auto"/>
        <w:jc w:val="both"/>
        <w:rPr>
          <w:rFonts w:ascii="Times New Roman" w:hAnsi="Times New Roman" w:cs="Times New Roman"/>
          <w:b/>
        </w:rPr>
      </w:pPr>
      <w:r w:rsidRPr="0097373B">
        <w:rPr>
          <w:rFonts w:ascii="Times New Roman" w:hAnsi="Times New Roman" w:cs="Times New Roman"/>
          <w:b/>
        </w:rPr>
        <w:lastRenderedPageBreak/>
        <w:t>FIGURES</w:t>
      </w:r>
    </w:p>
    <w:p w14:paraId="54FC38E2" w14:textId="7290A54C" w:rsidR="00C73C3A" w:rsidRPr="0097373B" w:rsidRDefault="00E63F10" w:rsidP="001D2514">
      <w:pPr>
        <w:widowControl w:val="0"/>
        <w:autoSpaceDE w:val="0"/>
        <w:autoSpaceDN w:val="0"/>
        <w:adjustRightInd w:val="0"/>
        <w:spacing w:line="480" w:lineRule="auto"/>
        <w:jc w:val="both"/>
        <w:rPr>
          <w:rFonts w:ascii="Times New Roman" w:hAnsi="Times New Roman" w:cs="Times New Roman"/>
          <w:b/>
        </w:rPr>
      </w:pPr>
      <w:r w:rsidRPr="0097373B">
        <w:rPr>
          <w:rFonts w:ascii="Times New Roman" w:hAnsi="Times New Roman" w:cs="Times New Roman"/>
          <w:b/>
        </w:rPr>
        <w:t>Figure 1 Incidence of knee OA for each range of BMI* per 1,000/persons-year.</w:t>
      </w:r>
    </w:p>
    <w:p w14:paraId="15A92BD1" w14:textId="32633DDB" w:rsidR="00E63F10" w:rsidRPr="0097373B" w:rsidRDefault="001765CF" w:rsidP="001D2514">
      <w:pPr>
        <w:widowControl w:val="0"/>
        <w:autoSpaceDE w:val="0"/>
        <w:autoSpaceDN w:val="0"/>
        <w:adjustRightInd w:val="0"/>
        <w:spacing w:line="480" w:lineRule="auto"/>
        <w:jc w:val="both"/>
        <w:rPr>
          <w:rFonts w:ascii="Times New Roman" w:hAnsi="Times New Roman" w:cs="Times New Roman"/>
        </w:rPr>
      </w:pPr>
      <w:r w:rsidRPr="00F474B2">
        <w:rPr>
          <w:noProof/>
          <w:lang w:eastAsia="en-GB"/>
        </w:rPr>
        <w:drawing>
          <wp:inline distT="0" distB="0" distL="0" distR="0" wp14:anchorId="2448C138" wp14:editId="4DD49776">
            <wp:extent cx="5943600" cy="3364302"/>
            <wp:effectExtent l="0" t="0" r="0" b="0"/>
            <wp:docPr id="1" name="Chart 1" title="Knee OA incidence (per 1,000/PYAE)"/>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14:paraId="2C1C845A" w14:textId="7D87AE2E" w:rsidR="00346AD6" w:rsidRDefault="00346AD6" w:rsidP="001D2514">
      <w:pPr>
        <w:widowControl w:val="0"/>
        <w:autoSpaceDE w:val="0"/>
        <w:autoSpaceDN w:val="0"/>
        <w:adjustRightInd w:val="0"/>
        <w:spacing w:line="480" w:lineRule="auto"/>
        <w:jc w:val="both"/>
        <w:rPr>
          <w:rFonts w:ascii="Times New Roman" w:hAnsi="Times New Roman" w:cs="Times New Roman"/>
          <w:b/>
        </w:rPr>
      </w:pPr>
      <w:r>
        <w:rPr>
          <w:noProof/>
          <w:lang w:eastAsia="en-GB"/>
        </w:rPr>
        <mc:AlternateContent>
          <mc:Choice Requires="wps">
            <w:drawing>
              <wp:anchor distT="0" distB="0" distL="114300" distR="114300" simplePos="0" relativeHeight="251659264" behindDoc="0" locked="0" layoutInCell="1" allowOverlap="1" wp14:anchorId="593213CB" wp14:editId="6157FC0E">
                <wp:simplePos x="0" y="0"/>
                <wp:positionH relativeFrom="column">
                  <wp:posOffset>457200</wp:posOffset>
                </wp:positionH>
                <wp:positionV relativeFrom="paragraph">
                  <wp:posOffset>102870</wp:posOffset>
                </wp:positionV>
                <wp:extent cx="4800600" cy="685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48006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67EC791" w14:textId="77777777" w:rsidR="00346AD6" w:rsidRDefault="00346AD6" w:rsidP="00346AD6">
                            <w:r w:rsidRPr="001F5496">
                              <w:t>* BMI</w:t>
                            </w:r>
                            <w:r>
                              <w:t xml:space="preserve"> based on WHO definitions: Normal-weight (&lt;25kg/m</w:t>
                            </w:r>
                            <w:r w:rsidRPr="00421A87">
                              <w:rPr>
                                <w:vertAlign w:val="superscript"/>
                              </w:rPr>
                              <w:t>2</w:t>
                            </w:r>
                            <w:r>
                              <w:t>), overweight (25 to &lt;30 kg/m</w:t>
                            </w:r>
                            <w:r w:rsidRPr="00421A87">
                              <w:rPr>
                                <w:vertAlign w:val="superscript"/>
                              </w:rPr>
                              <w:t>2</w:t>
                            </w:r>
                            <w:r>
                              <w:t>), obesity I (30 to &lt;35 kg/m</w:t>
                            </w:r>
                            <w:r w:rsidRPr="00421A87">
                              <w:rPr>
                                <w:vertAlign w:val="superscript"/>
                              </w:rPr>
                              <w:t>2</w:t>
                            </w:r>
                            <w:r>
                              <w:t>) and obesity II (35 kg/m</w:t>
                            </w:r>
                            <w:r w:rsidRPr="00421A87">
                              <w:rPr>
                                <w:vertAlign w:val="superscript"/>
                              </w:rPr>
                              <w:t>2</w:t>
                            </w:r>
                            <w:r>
                              <w:t xml:space="preserve"> and over).</w:t>
                            </w:r>
                          </w:p>
                          <w:p w14:paraId="68BABA0C" w14:textId="77777777" w:rsidR="00346AD6" w:rsidRDefault="00346AD6" w:rsidP="00346A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3" o:spid="_x0000_s1026" type="#_x0000_t202" style="position:absolute;left:0;text-align:left;margin-left:36pt;margin-top:8.1pt;width:378pt;height:5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" filled="f" stroked="f">
                <v:textbox>
                  <w:txbxContent>
                    <w:p w14:paraId="267EC791" w14:textId="77777777" w:rsidR="00346AD6" w:rsidRDefault="00346AD6" w:rsidP="00346AD6">
                      <w:r w:rsidRPr="001F5496">
                        <w:t>* BMI</w:t>
                      </w:r>
                      <w:r>
                        <w:t xml:space="preserve"> based on WHO definitions: Normal-weight (&lt;25kg/m</w:t>
                      </w:r>
                      <w:r w:rsidRPr="00421A87">
                        <w:rPr>
                          <w:vertAlign w:val="superscript"/>
                        </w:rPr>
                        <w:t>2</w:t>
                      </w:r>
                      <w:r>
                        <w:t>), overweight (25 to &lt;30 kg/m</w:t>
                      </w:r>
                      <w:r w:rsidRPr="00421A87">
                        <w:rPr>
                          <w:vertAlign w:val="superscript"/>
                        </w:rPr>
                        <w:t>2</w:t>
                      </w:r>
                      <w:r>
                        <w:t xml:space="preserve">), obesity </w:t>
                      </w:r>
                      <w:proofErr w:type="gramStart"/>
                      <w:r>
                        <w:t>I (30 to &lt;35 kg/m</w:t>
                      </w:r>
                      <w:r w:rsidRPr="00421A87">
                        <w:rPr>
                          <w:vertAlign w:val="superscript"/>
                        </w:rPr>
                        <w:t>2</w:t>
                      </w:r>
                      <w:r>
                        <w:t>) and obesity II</w:t>
                      </w:r>
                      <w:proofErr w:type="gramEnd"/>
                      <w:r>
                        <w:t xml:space="preserve"> (35 kg/m</w:t>
                      </w:r>
                      <w:r w:rsidRPr="00421A87">
                        <w:rPr>
                          <w:vertAlign w:val="superscript"/>
                        </w:rPr>
                        <w:t>2</w:t>
                      </w:r>
                      <w:r>
                        <w:t xml:space="preserve"> and over).</w:t>
                      </w:r>
                    </w:p>
                    <w:p w14:paraId="68BABA0C" w14:textId="77777777" w:rsidR="00346AD6" w:rsidRDefault="00346AD6" w:rsidP="00346AD6"/>
                  </w:txbxContent>
                </v:textbox>
                <w10:wrap type="square"/>
              </v:shape>
            </w:pict>
          </mc:Fallback>
        </mc:AlternateContent>
      </w:r>
    </w:p>
    <w:p w14:paraId="6F6E7691" w14:textId="77777777" w:rsidR="00346AD6" w:rsidRDefault="00346AD6" w:rsidP="001D2514">
      <w:pPr>
        <w:widowControl w:val="0"/>
        <w:autoSpaceDE w:val="0"/>
        <w:autoSpaceDN w:val="0"/>
        <w:adjustRightInd w:val="0"/>
        <w:spacing w:line="480" w:lineRule="auto"/>
        <w:jc w:val="both"/>
        <w:rPr>
          <w:rFonts w:ascii="Times New Roman" w:hAnsi="Times New Roman" w:cs="Times New Roman"/>
          <w:b/>
        </w:rPr>
      </w:pPr>
    </w:p>
    <w:p w14:paraId="7443E409" w14:textId="77777777" w:rsidR="00346AD6" w:rsidRDefault="00346AD6" w:rsidP="001D2514">
      <w:pPr>
        <w:widowControl w:val="0"/>
        <w:autoSpaceDE w:val="0"/>
        <w:autoSpaceDN w:val="0"/>
        <w:adjustRightInd w:val="0"/>
        <w:spacing w:line="480" w:lineRule="auto"/>
        <w:jc w:val="both"/>
        <w:rPr>
          <w:rFonts w:ascii="Times New Roman" w:hAnsi="Times New Roman" w:cs="Times New Roman"/>
          <w:b/>
        </w:rPr>
      </w:pPr>
    </w:p>
    <w:p w14:paraId="05102DCB" w14:textId="77777777" w:rsidR="00346AD6" w:rsidRDefault="00346AD6" w:rsidP="001D2514">
      <w:pPr>
        <w:widowControl w:val="0"/>
        <w:autoSpaceDE w:val="0"/>
        <w:autoSpaceDN w:val="0"/>
        <w:adjustRightInd w:val="0"/>
        <w:spacing w:line="480" w:lineRule="auto"/>
        <w:jc w:val="both"/>
        <w:rPr>
          <w:rFonts w:ascii="Times New Roman" w:hAnsi="Times New Roman" w:cs="Times New Roman"/>
          <w:b/>
        </w:rPr>
      </w:pPr>
    </w:p>
    <w:p w14:paraId="7305BA82" w14:textId="77777777" w:rsidR="00346AD6" w:rsidRDefault="00346AD6" w:rsidP="001D2514">
      <w:pPr>
        <w:widowControl w:val="0"/>
        <w:autoSpaceDE w:val="0"/>
        <w:autoSpaceDN w:val="0"/>
        <w:adjustRightInd w:val="0"/>
        <w:spacing w:line="480" w:lineRule="auto"/>
        <w:jc w:val="both"/>
        <w:rPr>
          <w:rFonts w:ascii="Times New Roman" w:hAnsi="Times New Roman" w:cs="Times New Roman"/>
          <w:b/>
        </w:rPr>
      </w:pPr>
    </w:p>
    <w:p w14:paraId="39E00D1E" w14:textId="77777777" w:rsidR="00346AD6" w:rsidRDefault="00346AD6" w:rsidP="001D2514">
      <w:pPr>
        <w:widowControl w:val="0"/>
        <w:autoSpaceDE w:val="0"/>
        <w:autoSpaceDN w:val="0"/>
        <w:adjustRightInd w:val="0"/>
        <w:spacing w:line="480" w:lineRule="auto"/>
        <w:jc w:val="both"/>
        <w:rPr>
          <w:rFonts w:ascii="Times New Roman" w:hAnsi="Times New Roman" w:cs="Times New Roman"/>
          <w:b/>
        </w:rPr>
      </w:pPr>
    </w:p>
    <w:p w14:paraId="5B4E2329" w14:textId="77777777" w:rsidR="00346AD6" w:rsidRDefault="00346AD6" w:rsidP="001D2514">
      <w:pPr>
        <w:widowControl w:val="0"/>
        <w:autoSpaceDE w:val="0"/>
        <w:autoSpaceDN w:val="0"/>
        <w:adjustRightInd w:val="0"/>
        <w:spacing w:line="480" w:lineRule="auto"/>
        <w:jc w:val="both"/>
        <w:rPr>
          <w:rFonts w:ascii="Times New Roman" w:hAnsi="Times New Roman" w:cs="Times New Roman"/>
          <w:b/>
        </w:rPr>
      </w:pPr>
    </w:p>
    <w:p w14:paraId="334861A2" w14:textId="77777777" w:rsidR="00346AD6" w:rsidRDefault="00346AD6" w:rsidP="001D2514">
      <w:pPr>
        <w:widowControl w:val="0"/>
        <w:autoSpaceDE w:val="0"/>
        <w:autoSpaceDN w:val="0"/>
        <w:adjustRightInd w:val="0"/>
        <w:spacing w:line="480" w:lineRule="auto"/>
        <w:jc w:val="both"/>
        <w:rPr>
          <w:rFonts w:ascii="Times New Roman" w:hAnsi="Times New Roman" w:cs="Times New Roman"/>
          <w:b/>
        </w:rPr>
      </w:pPr>
    </w:p>
    <w:p w14:paraId="768C789C" w14:textId="77777777" w:rsidR="00346AD6" w:rsidRDefault="00346AD6" w:rsidP="001D2514">
      <w:pPr>
        <w:widowControl w:val="0"/>
        <w:autoSpaceDE w:val="0"/>
        <w:autoSpaceDN w:val="0"/>
        <w:adjustRightInd w:val="0"/>
        <w:spacing w:line="480" w:lineRule="auto"/>
        <w:jc w:val="both"/>
        <w:rPr>
          <w:rFonts w:ascii="Times New Roman" w:hAnsi="Times New Roman" w:cs="Times New Roman"/>
          <w:b/>
        </w:rPr>
      </w:pPr>
    </w:p>
    <w:p w14:paraId="3C544FCF" w14:textId="77777777" w:rsidR="00346AD6" w:rsidRDefault="00346AD6" w:rsidP="001D2514">
      <w:pPr>
        <w:widowControl w:val="0"/>
        <w:autoSpaceDE w:val="0"/>
        <w:autoSpaceDN w:val="0"/>
        <w:adjustRightInd w:val="0"/>
        <w:spacing w:line="480" w:lineRule="auto"/>
        <w:jc w:val="both"/>
        <w:rPr>
          <w:rFonts w:ascii="Times New Roman" w:hAnsi="Times New Roman" w:cs="Times New Roman"/>
          <w:b/>
        </w:rPr>
      </w:pPr>
    </w:p>
    <w:p w14:paraId="67C4A211" w14:textId="77777777" w:rsidR="00346AD6" w:rsidRDefault="00346AD6" w:rsidP="001D2514">
      <w:pPr>
        <w:widowControl w:val="0"/>
        <w:autoSpaceDE w:val="0"/>
        <w:autoSpaceDN w:val="0"/>
        <w:adjustRightInd w:val="0"/>
        <w:spacing w:line="480" w:lineRule="auto"/>
        <w:jc w:val="both"/>
        <w:rPr>
          <w:rFonts w:ascii="Times New Roman" w:hAnsi="Times New Roman" w:cs="Times New Roman"/>
          <w:b/>
        </w:rPr>
      </w:pPr>
    </w:p>
    <w:p w14:paraId="26FB2F8D" w14:textId="1512E3C6" w:rsidR="00E63F10" w:rsidRPr="0097373B" w:rsidRDefault="00E63F10" w:rsidP="001D2514">
      <w:pPr>
        <w:widowControl w:val="0"/>
        <w:autoSpaceDE w:val="0"/>
        <w:autoSpaceDN w:val="0"/>
        <w:adjustRightInd w:val="0"/>
        <w:spacing w:line="480" w:lineRule="auto"/>
        <w:jc w:val="both"/>
        <w:rPr>
          <w:rFonts w:ascii="Times New Roman" w:hAnsi="Times New Roman" w:cs="Times New Roman"/>
          <w:b/>
        </w:rPr>
      </w:pPr>
      <w:r w:rsidRPr="0097373B">
        <w:rPr>
          <w:rFonts w:ascii="Times New Roman" w:hAnsi="Times New Roman" w:cs="Times New Roman"/>
          <w:b/>
        </w:rPr>
        <w:lastRenderedPageBreak/>
        <w:t>Figure 2 Incidence of hip OA for each range of BMI* per 1,000/persons-year.</w:t>
      </w:r>
    </w:p>
    <w:p w14:paraId="22ABFCD9" w14:textId="2C6E298C" w:rsidR="00E63F10" w:rsidRPr="0097373B" w:rsidRDefault="001765CF" w:rsidP="001D2514">
      <w:pPr>
        <w:widowControl w:val="0"/>
        <w:autoSpaceDE w:val="0"/>
        <w:autoSpaceDN w:val="0"/>
        <w:adjustRightInd w:val="0"/>
        <w:spacing w:line="480" w:lineRule="auto"/>
        <w:jc w:val="both"/>
        <w:rPr>
          <w:rFonts w:ascii="Times New Roman" w:hAnsi="Times New Roman" w:cs="Times New Roman"/>
        </w:rPr>
      </w:pPr>
      <w:r w:rsidRPr="00D270C7">
        <w:rPr>
          <w:noProof/>
          <w:lang w:eastAsia="en-GB"/>
        </w:rPr>
        <w:drawing>
          <wp:inline distT="0" distB="0" distL="0" distR="0" wp14:anchorId="193C9DE7" wp14:editId="6666D0EF">
            <wp:extent cx="5943600" cy="3025833"/>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5"/>
              </a:graphicData>
            </a:graphic>
          </wp:inline>
        </w:drawing>
      </w:r>
    </w:p>
    <w:p w14:paraId="253EB82B" w14:textId="1B6FB6DE" w:rsidR="00E22A6D" w:rsidRDefault="00346AD6" w:rsidP="001D2514">
      <w:pPr>
        <w:widowControl w:val="0"/>
        <w:autoSpaceDE w:val="0"/>
        <w:autoSpaceDN w:val="0"/>
        <w:adjustRightInd w:val="0"/>
        <w:spacing w:line="480" w:lineRule="auto"/>
        <w:jc w:val="both"/>
        <w:rPr>
          <w:rFonts w:ascii="Times New Roman" w:hAnsi="Times New Roman" w:cs="Times New Roman"/>
          <w:b/>
        </w:rPr>
      </w:pPr>
      <w:r>
        <w:rPr>
          <w:noProof/>
          <w:lang w:eastAsia="en-GB"/>
        </w:rPr>
        <mc:AlternateContent>
          <mc:Choice Requires="wps">
            <w:drawing>
              <wp:anchor distT="0" distB="0" distL="114300" distR="114300" simplePos="0" relativeHeight="251661312" behindDoc="0" locked="0" layoutInCell="1" allowOverlap="1" wp14:anchorId="1E20CBF8" wp14:editId="27C71753">
                <wp:simplePos x="0" y="0"/>
                <wp:positionH relativeFrom="column">
                  <wp:posOffset>342900</wp:posOffset>
                </wp:positionH>
                <wp:positionV relativeFrom="paragraph">
                  <wp:posOffset>106045</wp:posOffset>
                </wp:positionV>
                <wp:extent cx="4800600" cy="685800"/>
                <wp:effectExtent l="0" t="0" r="0" b="0"/>
                <wp:wrapSquare wrapText="bothSides"/>
                <wp:docPr id="5" name="Text Box 3"/>
                <wp:cNvGraphicFramePr/>
                <a:graphic xmlns:a="http://schemas.openxmlformats.org/drawingml/2006/main">
                  <a:graphicData uri="http://schemas.microsoft.com/office/word/2010/wordprocessingShape">
                    <wps:wsp>
                      <wps:cNvSpPr txBox="1"/>
                      <wps:spPr>
                        <a:xfrm>
                          <a:off x="0" y="0"/>
                          <a:ext cx="48006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9400430" w14:textId="77777777" w:rsidR="00346AD6" w:rsidRDefault="00346AD6" w:rsidP="00346AD6">
                            <w:r w:rsidRPr="001F5496">
                              <w:t>* BMI</w:t>
                            </w:r>
                            <w:r>
                              <w:t xml:space="preserve"> based on WHO definitions: Normal-weight (&lt;25kg/m</w:t>
                            </w:r>
                            <w:r w:rsidRPr="00421A87">
                              <w:rPr>
                                <w:vertAlign w:val="superscript"/>
                              </w:rPr>
                              <w:t>2</w:t>
                            </w:r>
                            <w:r>
                              <w:t>), overweight (25 to &lt;30 kg/m</w:t>
                            </w:r>
                            <w:r w:rsidRPr="00421A87">
                              <w:rPr>
                                <w:vertAlign w:val="superscript"/>
                              </w:rPr>
                              <w:t>2</w:t>
                            </w:r>
                            <w:r>
                              <w:t>), obesity I (30 to &lt;35 kg/m</w:t>
                            </w:r>
                            <w:r w:rsidRPr="00421A87">
                              <w:rPr>
                                <w:vertAlign w:val="superscript"/>
                              </w:rPr>
                              <w:t>2</w:t>
                            </w:r>
                            <w:r>
                              <w:t>) and obesity II (35 kg/m</w:t>
                            </w:r>
                            <w:r w:rsidRPr="00421A87">
                              <w:rPr>
                                <w:vertAlign w:val="superscript"/>
                              </w:rPr>
                              <w:t>2</w:t>
                            </w:r>
                            <w:r>
                              <w:t xml:space="preserve"> and over).</w:t>
                            </w:r>
                          </w:p>
                          <w:p w14:paraId="77ED5A69" w14:textId="77777777" w:rsidR="00346AD6" w:rsidRDefault="00346AD6" w:rsidP="00346A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shape id="_x0000_s1027" type="#_x0000_t202" style="position:absolute;left:0;text-align:left;margin-left:27pt;margin-top:8.35pt;width:378pt;height:5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" filled="f" stroked="f">
                <v:textbox>
                  <w:txbxContent>
                    <w:p w14:paraId="09400430" w14:textId="77777777" w:rsidR="00346AD6" w:rsidRDefault="00346AD6" w:rsidP="00346AD6">
                      <w:r w:rsidRPr="001F5496">
                        <w:t>* BMI</w:t>
                      </w:r>
                      <w:r>
                        <w:t xml:space="preserve"> based on WHO definitions: Normal-weight (&lt;25kg/m</w:t>
                      </w:r>
                      <w:r w:rsidRPr="00421A87">
                        <w:rPr>
                          <w:vertAlign w:val="superscript"/>
                        </w:rPr>
                        <w:t>2</w:t>
                      </w:r>
                      <w:r>
                        <w:t>), overweight (25 to &lt;30 kg/m</w:t>
                      </w:r>
                      <w:r w:rsidRPr="00421A87">
                        <w:rPr>
                          <w:vertAlign w:val="superscript"/>
                        </w:rPr>
                        <w:t>2</w:t>
                      </w:r>
                      <w:r>
                        <w:t xml:space="preserve">), obesity </w:t>
                      </w:r>
                      <w:proofErr w:type="gramStart"/>
                      <w:r>
                        <w:t>I (30 to &lt;35 kg/m</w:t>
                      </w:r>
                      <w:r w:rsidRPr="00421A87">
                        <w:rPr>
                          <w:vertAlign w:val="superscript"/>
                        </w:rPr>
                        <w:t>2</w:t>
                      </w:r>
                      <w:r>
                        <w:t>) and obesity II</w:t>
                      </w:r>
                      <w:proofErr w:type="gramEnd"/>
                      <w:r>
                        <w:t xml:space="preserve"> (35 kg/m</w:t>
                      </w:r>
                      <w:r w:rsidRPr="00421A87">
                        <w:rPr>
                          <w:vertAlign w:val="superscript"/>
                        </w:rPr>
                        <w:t>2</w:t>
                      </w:r>
                      <w:r>
                        <w:t xml:space="preserve"> and over).</w:t>
                      </w:r>
                    </w:p>
                    <w:p w14:paraId="77ED5A69" w14:textId="77777777" w:rsidR="00346AD6" w:rsidRDefault="00346AD6" w:rsidP="00346AD6"/>
                  </w:txbxContent>
                </v:textbox>
                <w10:wrap type="square"/>
              </v:shape>
            </w:pict>
          </mc:Fallback>
        </mc:AlternateContent>
      </w:r>
    </w:p>
    <w:p w14:paraId="1DCAA76B" w14:textId="172C596F" w:rsidR="00346AD6" w:rsidRDefault="00346AD6" w:rsidP="001D2514">
      <w:pPr>
        <w:widowControl w:val="0"/>
        <w:autoSpaceDE w:val="0"/>
        <w:autoSpaceDN w:val="0"/>
        <w:adjustRightInd w:val="0"/>
        <w:spacing w:line="480" w:lineRule="auto"/>
        <w:jc w:val="both"/>
        <w:rPr>
          <w:rFonts w:ascii="Times New Roman" w:hAnsi="Times New Roman" w:cs="Times New Roman"/>
          <w:b/>
        </w:rPr>
      </w:pPr>
    </w:p>
    <w:p w14:paraId="48794BB8" w14:textId="77777777" w:rsidR="00346AD6" w:rsidRDefault="00346AD6" w:rsidP="001D2514">
      <w:pPr>
        <w:widowControl w:val="0"/>
        <w:autoSpaceDE w:val="0"/>
        <w:autoSpaceDN w:val="0"/>
        <w:adjustRightInd w:val="0"/>
        <w:spacing w:line="480" w:lineRule="auto"/>
        <w:jc w:val="both"/>
        <w:rPr>
          <w:rFonts w:ascii="Times New Roman" w:hAnsi="Times New Roman" w:cs="Times New Roman"/>
          <w:b/>
        </w:rPr>
      </w:pPr>
    </w:p>
    <w:p w14:paraId="7F05F10C" w14:textId="77777777" w:rsidR="00346AD6" w:rsidRDefault="00346AD6" w:rsidP="001D2514">
      <w:pPr>
        <w:widowControl w:val="0"/>
        <w:autoSpaceDE w:val="0"/>
        <w:autoSpaceDN w:val="0"/>
        <w:adjustRightInd w:val="0"/>
        <w:spacing w:line="480" w:lineRule="auto"/>
        <w:jc w:val="both"/>
        <w:rPr>
          <w:rFonts w:ascii="Times New Roman" w:hAnsi="Times New Roman" w:cs="Times New Roman"/>
          <w:b/>
        </w:rPr>
      </w:pPr>
    </w:p>
    <w:p w14:paraId="3E78C9C2" w14:textId="77777777" w:rsidR="00346AD6" w:rsidRDefault="00346AD6" w:rsidP="001D2514">
      <w:pPr>
        <w:widowControl w:val="0"/>
        <w:autoSpaceDE w:val="0"/>
        <w:autoSpaceDN w:val="0"/>
        <w:adjustRightInd w:val="0"/>
        <w:spacing w:line="480" w:lineRule="auto"/>
        <w:jc w:val="both"/>
        <w:rPr>
          <w:rFonts w:ascii="Times New Roman" w:hAnsi="Times New Roman" w:cs="Times New Roman"/>
          <w:b/>
        </w:rPr>
      </w:pPr>
    </w:p>
    <w:p w14:paraId="4BA8B063" w14:textId="77777777" w:rsidR="00346AD6" w:rsidRDefault="00346AD6" w:rsidP="001D2514">
      <w:pPr>
        <w:widowControl w:val="0"/>
        <w:autoSpaceDE w:val="0"/>
        <w:autoSpaceDN w:val="0"/>
        <w:adjustRightInd w:val="0"/>
        <w:spacing w:line="480" w:lineRule="auto"/>
        <w:jc w:val="both"/>
        <w:rPr>
          <w:rFonts w:ascii="Times New Roman" w:hAnsi="Times New Roman" w:cs="Times New Roman"/>
          <w:b/>
        </w:rPr>
      </w:pPr>
    </w:p>
    <w:p w14:paraId="3C9B63A5" w14:textId="77777777" w:rsidR="00346AD6" w:rsidRDefault="00346AD6" w:rsidP="001D2514">
      <w:pPr>
        <w:widowControl w:val="0"/>
        <w:autoSpaceDE w:val="0"/>
        <w:autoSpaceDN w:val="0"/>
        <w:adjustRightInd w:val="0"/>
        <w:spacing w:line="480" w:lineRule="auto"/>
        <w:jc w:val="both"/>
        <w:rPr>
          <w:rFonts w:ascii="Times New Roman" w:hAnsi="Times New Roman" w:cs="Times New Roman"/>
          <w:b/>
        </w:rPr>
      </w:pPr>
    </w:p>
    <w:p w14:paraId="292A48D3" w14:textId="77777777" w:rsidR="00346AD6" w:rsidRDefault="00346AD6" w:rsidP="001D2514">
      <w:pPr>
        <w:widowControl w:val="0"/>
        <w:autoSpaceDE w:val="0"/>
        <w:autoSpaceDN w:val="0"/>
        <w:adjustRightInd w:val="0"/>
        <w:spacing w:line="480" w:lineRule="auto"/>
        <w:jc w:val="both"/>
        <w:rPr>
          <w:rFonts w:ascii="Times New Roman" w:hAnsi="Times New Roman" w:cs="Times New Roman"/>
          <w:b/>
        </w:rPr>
      </w:pPr>
    </w:p>
    <w:p w14:paraId="4CCDD6B5" w14:textId="77777777" w:rsidR="00346AD6" w:rsidRDefault="00346AD6" w:rsidP="001D2514">
      <w:pPr>
        <w:widowControl w:val="0"/>
        <w:autoSpaceDE w:val="0"/>
        <w:autoSpaceDN w:val="0"/>
        <w:adjustRightInd w:val="0"/>
        <w:spacing w:line="480" w:lineRule="auto"/>
        <w:jc w:val="both"/>
        <w:rPr>
          <w:rFonts w:ascii="Times New Roman" w:hAnsi="Times New Roman" w:cs="Times New Roman"/>
          <w:b/>
        </w:rPr>
      </w:pPr>
    </w:p>
    <w:p w14:paraId="5C5E56CA" w14:textId="77777777" w:rsidR="00346AD6" w:rsidRDefault="00346AD6" w:rsidP="001D2514">
      <w:pPr>
        <w:widowControl w:val="0"/>
        <w:autoSpaceDE w:val="0"/>
        <w:autoSpaceDN w:val="0"/>
        <w:adjustRightInd w:val="0"/>
        <w:spacing w:line="480" w:lineRule="auto"/>
        <w:jc w:val="both"/>
        <w:rPr>
          <w:rFonts w:ascii="Times New Roman" w:hAnsi="Times New Roman" w:cs="Times New Roman"/>
          <w:b/>
        </w:rPr>
      </w:pPr>
    </w:p>
    <w:p w14:paraId="5899AEBB" w14:textId="77777777" w:rsidR="00346AD6" w:rsidRDefault="00346AD6" w:rsidP="001D2514">
      <w:pPr>
        <w:widowControl w:val="0"/>
        <w:autoSpaceDE w:val="0"/>
        <w:autoSpaceDN w:val="0"/>
        <w:adjustRightInd w:val="0"/>
        <w:spacing w:line="480" w:lineRule="auto"/>
        <w:jc w:val="both"/>
        <w:rPr>
          <w:rFonts w:ascii="Times New Roman" w:hAnsi="Times New Roman" w:cs="Times New Roman"/>
          <w:b/>
        </w:rPr>
      </w:pPr>
    </w:p>
    <w:p w14:paraId="604C3D79" w14:textId="77777777" w:rsidR="00346AD6" w:rsidRDefault="00346AD6" w:rsidP="001D2514">
      <w:pPr>
        <w:widowControl w:val="0"/>
        <w:autoSpaceDE w:val="0"/>
        <w:autoSpaceDN w:val="0"/>
        <w:adjustRightInd w:val="0"/>
        <w:spacing w:line="480" w:lineRule="auto"/>
        <w:jc w:val="both"/>
        <w:rPr>
          <w:rFonts w:ascii="Times New Roman" w:hAnsi="Times New Roman" w:cs="Times New Roman"/>
          <w:b/>
        </w:rPr>
      </w:pPr>
    </w:p>
    <w:p w14:paraId="035C25B9" w14:textId="77777777" w:rsidR="00346AD6" w:rsidRDefault="00346AD6" w:rsidP="001D2514">
      <w:pPr>
        <w:widowControl w:val="0"/>
        <w:autoSpaceDE w:val="0"/>
        <w:autoSpaceDN w:val="0"/>
        <w:adjustRightInd w:val="0"/>
        <w:spacing w:line="480" w:lineRule="auto"/>
        <w:jc w:val="both"/>
        <w:rPr>
          <w:rFonts w:ascii="Times New Roman" w:hAnsi="Times New Roman" w:cs="Times New Roman"/>
          <w:b/>
        </w:rPr>
      </w:pPr>
    </w:p>
    <w:p w14:paraId="4EA830AD" w14:textId="5BAE521D" w:rsidR="00E63F10" w:rsidRDefault="00E63F10" w:rsidP="001D2514">
      <w:pPr>
        <w:widowControl w:val="0"/>
        <w:autoSpaceDE w:val="0"/>
        <w:autoSpaceDN w:val="0"/>
        <w:adjustRightInd w:val="0"/>
        <w:spacing w:line="480" w:lineRule="auto"/>
        <w:jc w:val="both"/>
        <w:rPr>
          <w:rFonts w:ascii="Times New Roman" w:hAnsi="Times New Roman" w:cs="Times New Roman"/>
          <w:b/>
        </w:rPr>
      </w:pPr>
      <w:r w:rsidRPr="0097373B">
        <w:rPr>
          <w:rFonts w:ascii="Times New Roman" w:hAnsi="Times New Roman" w:cs="Times New Roman"/>
          <w:b/>
        </w:rPr>
        <w:lastRenderedPageBreak/>
        <w:t>Figure 3 Incidence of hand OA for each range of BMI per 1,000/persons-year.</w:t>
      </w:r>
    </w:p>
    <w:p w14:paraId="7CD643F8" w14:textId="51949529" w:rsidR="00E22A6D" w:rsidRPr="0097373B" w:rsidRDefault="00E22A6D" w:rsidP="001D2514">
      <w:pPr>
        <w:widowControl w:val="0"/>
        <w:autoSpaceDE w:val="0"/>
        <w:autoSpaceDN w:val="0"/>
        <w:adjustRightInd w:val="0"/>
        <w:spacing w:line="480" w:lineRule="auto"/>
        <w:jc w:val="both"/>
        <w:rPr>
          <w:rFonts w:ascii="Times New Roman" w:hAnsi="Times New Roman" w:cs="Times New Roman"/>
          <w:b/>
        </w:rPr>
      </w:pPr>
      <w:r>
        <w:rPr>
          <w:noProof/>
          <w:lang w:eastAsia="en-GB"/>
        </w:rPr>
        <w:drawing>
          <wp:inline distT="0" distB="0" distL="0" distR="0" wp14:anchorId="4C2B2B0C" wp14:editId="0EAFDD14">
            <wp:extent cx="5943600" cy="3252158"/>
            <wp:effectExtent l="0" t="0" r="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6"/>
              </a:graphicData>
            </a:graphic>
          </wp:inline>
        </w:drawing>
      </w:r>
    </w:p>
    <w:p w14:paraId="5A3D7339" w14:textId="735B6098" w:rsidR="00005421" w:rsidRPr="0097373B" w:rsidRDefault="00346AD6" w:rsidP="001D2514">
      <w:pPr>
        <w:widowControl w:val="0"/>
        <w:autoSpaceDE w:val="0"/>
        <w:autoSpaceDN w:val="0"/>
        <w:adjustRightInd w:val="0"/>
        <w:spacing w:line="480" w:lineRule="auto"/>
        <w:jc w:val="both"/>
        <w:rPr>
          <w:rFonts w:ascii="Times New Roman" w:hAnsi="Times New Roman" w:cs="Times New Roman"/>
          <w:b/>
        </w:rPr>
      </w:pPr>
      <w:r>
        <w:rPr>
          <w:noProof/>
          <w:lang w:eastAsia="en-GB"/>
        </w:rPr>
        <mc:AlternateContent>
          <mc:Choice Requires="wps">
            <w:drawing>
              <wp:anchor distT="0" distB="0" distL="114300" distR="114300" simplePos="0" relativeHeight="251663360" behindDoc="0" locked="0" layoutInCell="1" allowOverlap="1" wp14:anchorId="1395912C" wp14:editId="3A21581D">
                <wp:simplePos x="0" y="0"/>
                <wp:positionH relativeFrom="column">
                  <wp:posOffset>457200</wp:posOffset>
                </wp:positionH>
                <wp:positionV relativeFrom="paragraph">
                  <wp:posOffset>108585</wp:posOffset>
                </wp:positionV>
                <wp:extent cx="4800600" cy="685800"/>
                <wp:effectExtent l="0" t="0" r="0" b="0"/>
                <wp:wrapSquare wrapText="bothSides"/>
                <wp:docPr id="7" name="Text Box 3"/>
                <wp:cNvGraphicFramePr/>
                <a:graphic xmlns:a="http://schemas.openxmlformats.org/drawingml/2006/main">
                  <a:graphicData uri="http://schemas.microsoft.com/office/word/2010/wordprocessingShape">
                    <wps:wsp>
                      <wps:cNvSpPr txBox="1"/>
                      <wps:spPr>
                        <a:xfrm>
                          <a:off x="0" y="0"/>
                          <a:ext cx="48006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CA1DBCE" w14:textId="77777777" w:rsidR="00346AD6" w:rsidRDefault="00346AD6" w:rsidP="00346AD6">
                            <w:r w:rsidRPr="001F5496">
                              <w:t>* BMI</w:t>
                            </w:r>
                            <w:r>
                              <w:t xml:space="preserve"> based on WHO definitions: Normal-weight (&lt;25kg/m</w:t>
                            </w:r>
                            <w:r w:rsidRPr="00421A87">
                              <w:rPr>
                                <w:vertAlign w:val="superscript"/>
                              </w:rPr>
                              <w:t>2</w:t>
                            </w:r>
                            <w:r>
                              <w:t>), overweight (25 to &lt;30 kg/m</w:t>
                            </w:r>
                            <w:r w:rsidRPr="00421A87">
                              <w:rPr>
                                <w:vertAlign w:val="superscript"/>
                              </w:rPr>
                              <w:t>2</w:t>
                            </w:r>
                            <w:r>
                              <w:t>), obesity I (30 to &lt;35 kg/m</w:t>
                            </w:r>
                            <w:r w:rsidRPr="00421A87">
                              <w:rPr>
                                <w:vertAlign w:val="superscript"/>
                              </w:rPr>
                              <w:t>2</w:t>
                            </w:r>
                            <w:r>
                              <w:t>) and obesity II (35 kg/m</w:t>
                            </w:r>
                            <w:r w:rsidRPr="00421A87">
                              <w:rPr>
                                <w:vertAlign w:val="superscript"/>
                              </w:rPr>
                              <w:t>2</w:t>
                            </w:r>
                            <w:r>
                              <w:t xml:space="preserve"> and over).</w:t>
                            </w:r>
                          </w:p>
                          <w:p w14:paraId="087A26DC" w14:textId="77777777" w:rsidR="00346AD6" w:rsidRDefault="00346AD6" w:rsidP="00346A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shape id="_x0000_s1028" type="#_x0000_t202" style="position:absolute;left:0;text-align:left;margin-left:36pt;margin-top:8.55pt;width:378pt;height:5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" filled="f" stroked="f">
                <v:textbox>
                  <w:txbxContent>
                    <w:p w14:paraId="1CA1DBCE" w14:textId="77777777" w:rsidR="00346AD6" w:rsidRDefault="00346AD6" w:rsidP="00346AD6">
                      <w:r w:rsidRPr="001F5496">
                        <w:t>* BMI</w:t>
                      </w:r>
                      <w:r>
                        <w:t xml:space="preserve"> based on WHO definitions: Normal-weight (&lt;25kg/m</w:t>
                      </w:r>
                      <w:r w:rsidRPr="00421A87">
                        <w:rPr>
                          <w:vertAlign w:val="superscript"/>
                        </w:rPr>
                        <w:t>2</w:t>
                      </w:r>
                      <w:r>
                        <w:t>), overweight (25 to &lt;30 kg/m</w:t>
                      </w:r>
                      <w:r w:rsidRPr="00421A87">
                        <w:rPr>
                          <w:vertAlign w:val="superscript"/>
                        </w:rPr>
                        <w:t>2</w:t>
                      </w:r>
                      <w:r>
                        <w:t xml:space="preserve">), obesity </w:t>
                      </w:r>
                      <w:proofErr w:type="gramStart"/>
                      <w:r>
                        <w:t>I (30 to &lt;35 kg/m</w:t>
                      </w:r>
                      <w:r w:rsidRPr="00421A87">
                        <w:rPr>
                          <w:vertAlign w:val="superscript"/>
                        </w:rPr>
                        <w:t>2</w:t>
                      </w:r>
                      <w:r>
                        <w:t>) and obesity II</w:t>
                      </w:r>
                      <w:proofErr w:type="gramEnd"/>
                      <w:r>
                        <w:t xml:space="preserve"> (35 kg/m</w:t>
                      </w:r>
                      <w:r w:rsidRPr="00421A87">
                        <w:rPr>
                          <w:vertAlign w:val="superscript"/>
                        </w:rPr>
                        <w:t>2</w:t>
                      </w:r>
                      <w:r>
                        <w:t xml:space="preserve"> and over).</w:t>
                      </w:r>
                    </w:p>
                    <w:p w14:paraId="087A26DC" w14:textId="77777777" w:rsidR="00346AD6" w:rsidRDefault="00346AD6" w:rsidP="00346AD6"/>
                  </w:txbxContent>
                </v:textbox>
                <w10:wrap type="square"/>
              </v:shape>
            </w:pict>
          </mc:Fallback>
        </mc:AlternateContent>
      </w:r>
    </w:p>
    <w:p w14:paraId="1A0A0984" w14:textId="77777777" w:rsidR="00346AD6" w:rsidRDefault="00346AD6" w:rsidP="001D2514">
      <w:pPr>
        <w:widowControl w:val="0"/>
        <w:autoSpaceDE w:val="0"/>
        <w:autoSpaceDN w:val="0"/>
        <w:adjustRightInd w:val="0"/>
        <w:spacing w:line="480" w:lineRule="auto"/>
        <w:jc w:val="both"/>
        <w:rPr>
          <w:rFonts w:ascii="Times New Roman" w:hAnsi="Times New Roman" w:cs="Times New Roman"/>
          <w:b/>
        </w:rPr>
      </w:pPr>
    </w:p>
    <w:p w14:paraId="78C37C5A" w14:textId="77777777" w:rsidR="00346AD6" w:rsidRDefault="00346AD6" w:rsidP="001D2514">
      <w:pPr>
        <w:widowControl w:val="0"/>
        <w:autoSpaceDE w:val="0"/>
        <w:autoSpaceDN w:val="0"/>
        <w:adjustRightInd w:val="0"/>
        <w:spacing w:line="480" w:lineRule="auto"/>
        <w:jc w:val="both"/>
        <w:rPr>
          <w:rFonts w:ascii="Times New Roman" w:hAnsi="Times New Roman" w:cs="Times New Roman"/>
          <w:b/>
        </w:rPr>
      </w:pPr>
    </w:p>
    <w:p w14:paraId="08C1E2FC" w14:textId="77777777" w:rsidR="00346AD6" w:rsidRDefault="00346AD6" w:rsidP="001D2514">
      <w:pPr>
        <w:widowControl w:val="0"/>
        <w:autoSpaceDE w:val="0"/>
        <w:autoSpaceDN w:val="0"/>
        <w:adjustRightInd w:val="0"/>
        <w:spacing w:line="480" w:lineRule="auto"/>
        <w:jc w:val="both"/>
        <w:rPr>
          <w:rFonts w:ascii="Times New Roman" w:hAnsi="Times New Roman" w:cs="Times New Roman"/>
          <w:b/>
        </w:rPr>
      </w:pPr>
    </w:p>
    <w:p w14:paraId="543D11C4" w14:textId="77777777" w:rsidR="00346AD6" w:rsidRDefault="00346AD6" w:rsidP="001D2514">
      <w:pPr>
        <w:widowControl w:val="0"/>
        <w:autoSpaceDE w:val="0"/>
        <w:autoSpaceDN w:val="0"/>
        <w:adjustRightInd w:val="0"/>
        <w:spacing w:line="480" w:lineRule="auto"/>
        <w:jc w:val="both"/>
        <w:rPr>
          <w:rFonts w:ascii="Times New Roman" w:hAnsi="Times New Roman" w:cs="Times New Roman"/>
          <w:b/>
        </w:rPr>
      </w:pPr>
    </w:p>
    <w:p w14:paraId="23B1510C" w14:textId="77777777" w:rsidR="00346AD6" w:rsidRDefault="00346AD6" w:rsidP="001D2514">
      <w:pPr>
        <w:widowControl w:val="0"/>
        <w:autoSpaceDE w:val="0"/>
        <w:autoSpaceDN w:val="0"/>
        <w:adjustRightInd w:val="0"/>
        <w:spacing w:line="480" w:lineRule="auto"/>
        <w:jc w:val="both"/>
        <w:rPr>
          <w:rFonts w:ascii="Times New Roman" w:hAnsi="Times New Roman" w:cs="Times New Roman"/>
          <w:b/>
        </w:rPr>
      </w:pPr>
    </w:p>
    <w:p w14:paraId="26F40480" w14:textId="77777777" w:rsidR="00346AD6" w:rsidRDefault="00346AD6" w:rsidP="001D2514">
      <w:pPr>
        <w:widowControl w:val="0"/>
        <w:autoSpaceDE w:val="0"/>
        <w:autoSpaceDN w:val="0"/>
        <w:adjustRightInd w:val="0"/>
        <w:spacing w:line="480" w:lineRule="auto"/>
        <w:jc w:val="both"/>
        <w:rPr>
          <w:rFonts w:ascii="Times New Roman" w:hAnsi="Times New Roman" w:cs="Times New Roman"/>
          <w:b/>
        </w:rPr>
      </w:pPr>
    </w:p>
    <w:p w14:paraId="79821681" w14:textId="77777777" w:rsidR="00346AD6" w:rsidRDefault="00346AD6" w:rsidP="001D2514">
      <w:pPr>
        <w:widowControl w:val="0"/>
        <w:autoSpaceDE w:val="0"/>
        <w:autoSpaceDN w:val="0"/>
        <w:adjustRightInd w:val="0"/>
        <w:spacing w:line="480" w:lineRule="auto"/>
        <w:jc w:val="both"/>
        <w:rPr>
          <w:rFonts w:ascii="Times New Roman" w:hAnsi="Times New Roman" w:cs="Times New Roman"/>
          <w:b/>
        </w:rPr>
      </w:pPr>
    </w:p>
    <w:p w14:paraId="2C2D43B1" w14:textId="77777777" w:rsidR="00346AD6" w:rsidRDefault="00346AD6" w:rsidP="001D2514">
      <w:pPr>
        <w:widowControl w:val="0"/>
        <w:autoSpaceDE w:val="0"/>
        <w:autoSpaceDN w:val="0"/>
        <w:adjustRightInd w:val="0"/>
        <w:spacing w:line="480" w:lineRule="auto"/>
        <w:jc w:val="both"/>
        <w:rPr>
          <w:rFonts w:ascii="Times New Roman" w:hAnsi="Times New Roman" w:cs="Times New Roman"/>
          <w:b/>
        </w:rPr>
      </w:pPr>
    </w:p>
    <w:p w14:paraId="13C42E8C" w14:textId="77777777" w:rsidR="00346AD6" w:rsidRDefault="00346AD6" w:rsidP="001D2514">
      <w:pPr>
        <w:widowControl w:val="0"/>
        <w:autoSpaceDE w:val="0"/>
        <w:autoSpaceDN w:val="0"/>
        <w:adjustRightInd w:val="0"/>
        <w:spacing w:line="480" w:lineRule="auto"/>
        <w:jc w:val="both"/>
        <w:rPr>
          <w:rFonts w:ascii="Times New Roman" w:hAnsi="Times New Roman" w:cs="Times New Roman"/>
          <w:b/>
        </w:rPr>
      </w:pPr>
    </w:p>
    <w:p w14:paraId="4DB8EF53" w14:textId="77777777" w:rsidR="00346AD6" w:rsidRDefault="00346AD6" w:rsidP="001D2514">
      <w:pPr>
        <w:widowControl w:val="0"/>
        <w:autoSpaceDE w:val="0"/>
        <w:autoSpaceDN w:val="0"/>
        <w:adjustRightInd w:val="0"/>
        <w:spacing w:line="480" w:lineRule="auto"/>
        <w:jc w:val="both"/>
        <w:rPr>
          <w:rFonts w:ascii="Times New Roman" w:hAnsi="Times New Roman" w:cs="Times New Roman"/>
          <w:b/>
        </w:rPr>
      </w:pPr>
    </w:p>
    <w:p w14:paraId="60527C4B" w14:textId="77777777" w:rsidR="00346AD6" w:rsidRDefault="00346AD6" w:rsidP="001D2514">
      <w:pPr>
        <w:widowControl w:val="0"/>
        <w:autoSpaceDE w:val="0"/>
        <w:autoSpaceDN w:val="0"/>
        <w:adjustRightInd w:val="0"/>
        <w:spacing w:line="480" w:lineRule="auto"/>
        <w:jc w:val="both"/>
        <w:rPr>
          <w:rFonts w:ascii="Times New Roman" w:hAnsi="Times New Roman" w:cs="Times New Roman"/>
          <w:b/>
        </w:rPr>
      </w:pPr>
    </w:p>
    <w:p w14:paraId="6298D360" w14:textId="77777777" w:rsidR="00346AD6" w:rsidRDefault="00346AD6" w:rsidP="001D2514">
      <w:pPr>
        <w:widowControl w:val="0"/>
        <w:autoSpaceDE w:val="0"/>
        <w:autoSpaceDN w:val="0"/>
        <w:adjustRightInd w:val="0"/>
        <w:spacing w:line="480" w:lineRule="auto"/>
        <w:jc w:val="both"/>
        <w:rPr>
          <w:rFonts w:ascii="Times New Roman" w:hAnsi="Times New Roman" w:cs="Times New Roman"/>
          <w:b/>
        </w:rPr>
      </w:pPr>
    </w:p>
    <w:p w14:paraId="657BC63E" w14:textId="5973E8F4" w:rsidR="00E63F10" w:rsidRPr="00F47FA5" w:rsidRDefault="00E63F10" w:rsidP="001D2514">
      <w:pPr>
        <w:widowControl w:val="0"/>
        <w:autoSpaceDE w:val="0"/>
        <w:autoSpaceDN w:val="0"/>
        <w:adjustRightInd w:val="0"/>
        <w:spacing w:line="480" w:lineRule="auto"/>
        <w:jc w:val="both"/>
        <w:rPr>
          <w:rFonts w:ascii="Times New Roman" w:hAnsi="Times New Roman" w:cs="Times New Roman"/>
          <w:b/>
        </w:rPr>
      </w:pPr>
      <w:r w:rsidRPr="0097373B">
        <w:rPr>
          <w:rFonts w:ascii="Times New Roman" w:hAnsi="Times New Roman" w:cs="Times New Roman"/>
          <w:b/>
        </w:rPr>
        <w:lastRenderedPageBreak/>
        <w:t>Figure 4 Multivariate Hazard Ratio of the effect of BMI &gt;35 kg/m</w:t>
      </w:r>
      <w:r w:rsidRPr="0097373B">
        <w:rPr>
          <w:rFonts w:ascii="Times New Roman" w:hAnsi="Times New Roman" w:cs="Times New Roman"/>
          <w:b/>
          <w:vertAlign w:val="superscript"/>
        </w:rPr>
        <w:t>2</w:t>
      </w:r>
      <w:r w:rsidRPr="0097373B">
        <w:rPr>
          <w:rFonts w:ascii="Times New Roman" w:hAnsi="Times New Roman" w:cs="Times New Roman"/>
          <w:b/>
        </w:rPr>
        <w:t xml:space="preserve"> on the knee, hip and hand compared to BMI &lt;25 kg/m</w:t>
      </w:r>
      <w:r w:rsidRPr="0097373B">
        <w:rPr>
          <w:rFonts w:ascii="Times New Roman" w:hAnsi="Times New Roman" w:cs="Times New Roman"/>
          <w:b/>
          <w:vertAlign w:val="superscript"/>
        </w:rPr>
        <w:t>2</w:t>
      </w:r>
      <w:r w:rsidRPr="0097373B">
        <w:rPr>
          <w:rFonts w:ascii="Times New Roman" w:hAnsi="Times New Roman" w:cs="Times New Roman"/>
          <w:b/>
        </w:rPr>
        <w:t>.</w:t>
      </w:r>
    </w:p>
    <w:p w14:paraId="2F0DFEE3" w14:textId="5B661B6F" w:rsidR="00E63F10" w:rsidRPr="00F47FA5" w:rsidRDefault="00E22A6D" w:rsidP="001D2514">
      <w:pPr>
        <w:widowControl w:val="0"/>
        <w:autoSpaceDE w:val="0"/>
        <w:autoSpaceDN w:val="0"/>
        <w:adjustRightInd w:val="0"/>
        <w:spacing w:line="480" w:lineRule="auto"/>
        <w:jc w:val="both"/>
        <w:rPr>
          <w:rFonts w:ascii="Times New Roman" w:hAnsi="Times New Roman" w:cs="Times New Roman"/>
        </w:rPr>
      </w:pPr>
      <w:r w:rsidRPr="00693679">
        <w:rPr>
          <w:noProof/>
          <w:lang w:eastAsia="en-GB"/>
        </w:rPr>
        <w:drawing>
          <wp:inline distT="0" distB="0" distL="0" distR="0" wp14:anchorId="77375101" wp14:editId="202B91D8">
            <wp:extent cx="5829300" cy="2743200"/>
            <wp:effectExtent l="0" t="0" r="1270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inline>
        </w:drawing>
      </w:r>
    </w:p>
    <w:sectPr w:rsidR="00E63F10" w:rsidRPr="00F47FA5" w:rsidSect="00365B2D">
      <w:footerReference w:type="even" r:id="rId88"/>
      <w:footerReference w:type="default" r:id="rId89"/>
      <w:pgSz w:w="12240" w:h="15840"/>
      <w:pgMar w:top="1440" w:right="1440" w:bottom="1440" w:left="1440" w:header="720" w:footer="720" w:gutter="0"/>
      <w:lnNumType w:countBy="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FE488" w14:textId="77777777" w:rsidR="00661D05" w:rsidRDefault="00661D05" w:rsidP="00A60038">
      <w:r>
        <w:separator/>
      </w:r>
    </w:p>
  </w:endnote>
  <w:endnote w:type="continuationSeparator" w:id="0">
    <w:p w14:paraId="2AE42AA4" w14:textId="77777777" w:rsidR="00661D05" w:rsidRDefault="00661D05" w:rsidP="00A60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505D3" w14:textId="77777777" w:rsidR="00661D05" w:rsidRDefault="00661D05" w:rsidP="008D1C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84E1BE" w14:textId="77777777" w:rsidR="00661D05" w:rsidRDefault="00661D05" w:rsidP="003F49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037BF" w14:textId="77777777" w:rsidR="00661D05" w:rsidRDefault="00661D05" w:rsidP="008D1C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1F70">
      <w:rPr>
        <w:rStyle w:val="PageNumber"/>
        <w:noProof/>
      </w:rPr>
      <w:t>1</w:t>
    </w:r>
    <w:r>
      <w:rPr>
        <w:rStyle w:val="PageNumber"/>
      </w:rPr>
      <w:fldChar w:fldCharType="end"/>
    </w:r>
  </w:p>
  <w:p w14:paraId="7ADBBD0B" w14:textId="77777777" w:rsidR="00661D05" w:rsidRDefault="00661D05" w:rsidP="009B714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B04652" w14:textId="77777777" w:rsidR="00661D05" w:rsidRDefault="00661D05" w:rsidP="00A60038">
      <w:r>
        <w:separator/>
      </w:r>
    </w:p>
  </w:footnote>
  <w:footnote w:type="continuationSeparator" w:id="0">
    <w:p w14:paraId="0ACEE2B7" w14:textId="77777777" w:rsidR="00661D05" w:rsidRDefault="00661D05" w:rsidP="00A600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8AF5C42"/>
    <w:multiLevelType w:val="hybridMultilevel"/>
    <w:tmpl w:val="53E61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AF1B7B"/>
    <w:multiLevelType w:val="hybridMultilevel"/>
    <w:tmpl w:val="FE9A2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27677C"/>
    <w:multiLevelType w:val="hybridMultilevel"/>
    <w:tmpl w:val="9A1E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F93"/>
    <w:rsid w:val="000028B7"/>
    <w:rsid w:val="00005421"/>
    <w:rsid w:val="00033E8D"/>
    <w:rsid w:val="000353D3"/>
    <w:rsid w:val="000411FE"/>
    <w:rsid w:val="00041450"/>
    <w:rsid w:val="00041D7C"/>
    <w:rsid w:val="0004697F"/>
    <w:rsid w:val="00056968"/>
    <w:rsid w:val="00062475"/>
    <w:rsid w:val="00063743"/>
    <w:rsid w:val="0006579C"/>
    <w:rsid w:val="00065E1A"/>
    <w:rsid w:val="000722E3"/>
    <w:rsid w:val="0007255F"/>
    <w:rsid w:val="00076EC9"/>
    <w:rsid w:val="00084186"/>
    <w:rsid w:val="00091F90"/>
    <w:rsid w:val="00092A2E"/>
    <w:rsid w:val="00095108"/>
    <w:rsid w:val="00097182"/>
    <w:rsid w:val="00097EB4"/>
    <w:rsid w:val="000A3FF3"/>
    <w:rsid w:val="000A6A24"/>
    <w:rsid w:val="000B29C7"/>
    <w:rsid w:val="000C3172"/>
    <w:rsid w:val="000F232E"/>
    <w:rsid w:val="00117F39"/>
    <w:rsid w:val="0013390A"/>
    <w:rsid w:val="001363A2"/>
    <w:rsid w:val="00144030"/>
    <w:rsid w:val="00145232"/>
    <w:rsid w:val="001462DC"/>
    <w:rsid w:val="001520D4"/>
    <w:rsid w:val="001535FD"/>
    <w:rsid w:val="001559C8"/>
    <w:rsid w:val="00163196"/>
    <w:rsid w:val="001633B9"/>
    <w:rsid w:val="00164D2B"/>
    <w:rsid w:val="0016670D"/>
    <w:rsid w:val="00166C3E"/>
    <w:rsid w:val="00173165"/>
    <w:rsid w:val="001765CF"/>
    <w:rsid w:val="0018061B"/>
    <w:rsid w:val="00182A69"/>
    <w:rsid w:val="00182CA1"/>
    <w:rsid w:val="00182F0B"/>
    <w:rsid w:val="00186166"/>
    <w:rsid w:val="00186D9F"/>
    <w:rsid w:val="00186E25"/>
    <w:rsid w:val="00186F87"/>
    <w:rsid w:val="001875A2"/>
    <w:rsid w:val="00194537"/>
    <w:rsid w:val="0019480C"/>
    <w:rsid w:val="00194C37"/>
    <w:rsid w:val="00197907"/>
    <w:rsid w:val="001A444E"/>
    <w:rsid w:val="001A4D43"/>
    <w:rsid w:val="001A5532"/>
    <w:rsid w:val="001B0C98"/>
    <w:rsid w:val="001B2148"/>
    <w:rsid w:val="001B76FC"/>
    <w:rsid w:val="001C1ADB"/>
    <w:rsid w:val="001D2514"/>
    <w:rsid w:val="001D3D4B"/>
    <w:rsid w:val="001F024D"/>
    <w:rsid w:val="001F3C13"/>
    <w:rsid w:val="001F516E"/>
    <w:rsid w:val="0020290E"/>
    <w:rsid w:val="002053B5"/>
    <w:rsid w:val="00206E13"/>
    <w:rsid w:val="0020727D"/>
    <w:rsid w:val="00213F35"/>
    <w:rsid w:val="00215273"/>
    <w:rsid w:val="00215F18"/>
    <w:rsid w:val="002224D2"/>
    <w:rsid w:val="0022268F"/>
    <w:rsid w:val="002231EC"/>
    <w:rsid w:val="00224732"/>
    <w:rsid w:val="00227264"/>
    <w:rsid w:val="002365C4"/>
    <w:rsid w:val="002407C9"/>
    <w:rsid w:val="00254DB9"/>
    <w:rsid w:val="002706E1"/>
    <w:rsid w:val="00273D03"/>
    <w:rsid w:val="002777E0"/>
    <w:rsid w:val="00286308"/>
    <w:rsid w:val="0028642D"/>
    <w:rsid w:val="00286814"/>
    <w:rsid w:val="002877A4"/>
    <w:rsid w:val="002A1507"/>
    <w:rsid w:val="002B5257"/>
    <w:rsid w:val="002C3C02"/>
    <w:rsid w:val="002D1A9F"/>
    <w:rsid w:val="002D2EF3"/>
    <w:rsid w:val="002D374C"/>
    <w:rsid w:val="002E4E29"/>
    <w:rsid w:val="002F5626"/>
    <w:rsid w:val="002F728D"/>
    <w:rsid w:val="002F76A2"/>
    <w:rsid w:val="00302358"/>
    <w:rsid w:val="003078B3"/>
    <w:rsid w:val="00310C04"/>
    <w:rsid w:val="00310E61"/>
    <w:rsid w:val="0031534E"/>
    <w:rsid w:val="003155D5"/>
    <w:rsid w:val="00316BE3"/>
    <w:rsid w:val="00320D07"/>
    <w:rsid w:val="00321709"/>
    <w:rsid w:val="00343E1C"/>
    <w:rsid w:val="00346AD6"/>
    <w:rsid w:val="0035622F"/>
    <w:rsid w:val="00357CCF"/>
    <w:rsid w:val="00360245"/>
    <w:rsid w:val="003629E0"/>
    <w:rsid w:val="003641A5"/>
    <w:rsid w:val="00365B2D"/>
    <w:rsid w:val="00366683"/>
    <w:rsid w:val="00376761"/>
    <w:rsid w:val="00380B05"/>
    <w:rsid w:val="00381740"/>
    <w:rsid w:val="003866A2"/>
    <w:rsid w:val="003871F0"/>
    <w:rsid w:val="00390F92"/>
    <w:rsid w:val="003910C6"/>
    <w:rsid w:val="00395325"/>
    <w:rsid w:val="00397576"/>
    <w:rsid w:val="003A1B6E"/>
    <w:rsid w:val="003A5456"/>
    <w:rsid w:val="003B18B6"/>
    <w:rsid w:val="003C009D"/>
    <w:rsid w:val="003D27BC"/>
    <w:rsid w:val="003D3510"/>
    <w:rsid w:val="003E1852"/>
    <w:rsid w:val="003E469C"/>
    <w:rsid w:val="003F0AC6"/>
    <w:rsid w:val="003F1ED5"/>
    <w:rsid w:val="003F492B"/>
    <w:rsid w:val="00405304"/>
    <w:rsid w:val="00413902"/>
    <w:rsid w:val="00415A4B"/>
    <w:rsid w:val="004163B7"/>
    <w:rsid w:val="00421AC3"/>
    <w:rsid w:val="00427058"/>
    <w:rsid w:val="00432043"/>
    <w:rsid w:val="00432898"/>
    <w:rsid w:val="0043591F"/>
    <w:rsid w:val="004434D7"/>
    <w:rsid w:val="00446BF4"/>
    <w:rsid w:val="00460566"/>
    <w:rsid w:val="004650C5"/>
    <w:rsid w:val="004744CC"/>
    <w:rsid w:val="004877C0"/>
    <w:rsid w:val="00490064"/>
    <w:rsid w:val="00493E05"/>
    <w:rsid w:val="004979D9"/>
    <w:rsid w:val="004A059B"/>
    <w:rsid w:val="004C38C2"/>
    <w:rsid w:val="004C6FA0"/>
    <w:rsid w:val="004C7CBE"/>
    <w:rsid w:val="004D1BD0"/>
    <w:rsid w:val="004D386D"/>
    <w:rsid w:val="004D3FBE"/>
    <w:rsid w:val="004F1D7B"/>
    <w:rsid w:val="004F2B26"/>
    <w:rsid w:val="004F4E6F"/>
    <w:rsid w:val="00510066"/>
    <w:rsid w:val="00510F93"/>
    <w:rsid w:val="00512E18"/>
    <w:rsid w:val="00522456"/>
    <w:rsid w:val="00533080"/>
    <w:rsid w:val="005424F0"/>
    <w:rsid w:val="00542E59"/>
    <w:rsid w:val="00547ED1"/>
    <w:rsid w:val="00550064"/>
    <w:rsid w:val="00556754"/>
    <w:rsid w:val="00560340"/>
    <w:rsid w:val="00561C14"/>
    <w:rsid w:val="00564634"/>
    <w:rsid w:val="005653CD"/>
    <w:rsid w:val="00566A97"/>
    <w:rsid w:val="00566D02"/>
    <w:rsid w:val="005855C0"/>
    <w:rsid w:val="0058567C"/>
    <w:rsid w:val="00587C3D"/>
    <w:rsid w:val="00590EE4"/>
    <w:rsid w:val="005A2E57"/>
    <w:rsid w:val="005A7AAE"/>
    <w:rsid w:val="005B0A49"/>
    <w:rsid w:val="005B3F2B"/>
    <w:rsid w:val="005C0C5C"/>
    <w:rsid w:val="005C7483"/>
    <w:rsid w:val="005C794F"/>
    <w:rsid w:val="005D5798"/>
    <w:rsid w:val="005D6CB6"/>
    <w:rsid w:val="005E0BB0"/>
    <w:rsid w:val="005E0F87"/>
    <w:rsid w:val="005E34A1"/>
    <w:rsid w:val="005E388A"/>
    <w:rsid w:val="005E6B76"/>
    <w:rsid w:val="005E7B2E"/>
    <w:rsid w:val="005F002C"/>
    <w:rsid w:val="00604C07"/>
    <w:rsid w:val="00615EDB"/>
    <w:rsid w:val="00616085"/>
    <w:rsid w:val="00616F00"/>
    <w:rsid w:val="00617202"/>
    <w:rsid w:val="00617607"/>
    <w:rsid w:val="00634103"/>
    <w:rsid w:val="00640416"/>
    <w:rsid w:val="00646C94"/>
    <w:rsid w:val="00653D2D"/>
    <w:rsid w:val="00655FB0"/>
    <w:rsid w:val="00657FC9"/>
    <w:rsid w:val="00661D05"/>
    <w:rsid w:val="0067072D"/>
    <w:rsid w:val="00671AFE"/>
    <w:rsid w:val="00672D4E"/>
    <w:rsid w:val="00681894"/>
    <w:rsid w:val="00681CA3"/>
    <w:rsid w:val="006842AE"/>
    <w:rsid w:val="00685104"/>
    <w:rsid w:val="006A499B"/>
    <w:rsid w:val="006A6D49"/>
    <w:rsid w:val="006B3231"/>
    <w:rsid w:val="006B44FC"/>
    <w:rsid w:val="006B5894"/>
    <w:rsid w:val="006B5950"/>
    <w:rsid w:val="006C4739"/>
    <w:rsid w:val="006C530D"/>
    <w:rsid w:val="006C5FC5"/>
    <w:rsid w:val="006D4207"/>
    <w:rsid w:val="006E3375"/>
    <w:rsid w:val="006E474E"/>
    <w:rsid w:val="006E4B25"/>
    <w:rsid w:val="006E6257"/>
    <w:rsid w:val="006F036B"/>
    <w:rsid w:val="006F1513"/>
    <w:rsid w:val="006F2D60"/>
    <w:rsid w:val="006F7C35"/>
    <w:rsid w:val="00700C94"/>
    <w:rsid w:val="00706053"/>
    <w:rsid w:val="00706ACB"/>
    <w:rsid w:val="00714F1C"/>
    <w:rsid w:val="00717B1F"/>
    <w:rsid w:val="00721EC4"/>
    <w:rsid w:val="0072677C"/>
    <w:rsid w:val="007329BB"/>
    <w:rsid w:val="007339A6"/>
    <w:rsid w:val="00735F1A"/>
    <w:rsid w:val="007372E8"/>
    <w:rsid w:val="00740534"/>
    <w:rsid w:val="00754444"/>
    <w:rsid w:val="007559CC"/>
    <w:rsid w:val="00756EAE"/>
    <w:rsid w:val="007749B1"/>
    <w:rsid w:val="00782FAA"/>
    <w:rsid w:val="007845C1"/>
    <w:rsid w:val="00785188"/>
    <w:rsid w:val="00790AB1"/>
    <w:rsid w:val="00791E48"/>
    <w:rsid w:val="00795137"/>
    <w:rsid w:val="007A0F8E"/>
    <w:rsid w:val="007A378D"/>
    <w:rsid w:val="007A7567"/>
    <w:rsid w:val="007B6C3B"/>
    <w:rsid w:val="007C0EF0"/>
    <w:rsid w:val="007C2CCF"/>
    <w:rsid w:val="007C6539"/>
    <w:rsid w:val="007D4DFA"/>
    <w:rsid w:val="007D7D0F"/>
    <w:rsid w:val="007F389C"/>
    <w:rsid w:val="007F4D4C"/>
    <w:rsid w:val="007F71C7"/>
    <w:rsid w:val="007F7E70"/>
    <w:rsid w:val="00802D9A"/>
    <w:rsid w:val="00802E81"/>
    <w:rsid w:val="008033C7"/>
    <w:rsid w:val="008035D1"/>
    <w:rsid w:val="008059A2"/>
    <w:rsid w:val="00805A24"/>
    <w:rsid w:val="00806FCB"/>
    <w:rsid w:val="0080768C"/>
    <w:rsid w:val="00813E23"/>
    <w:rsid w:val="00814092"/>
    <w:rsid w:val="00814A8A"/>
    <w:rsid w:val="00816660"/>
    <w:rsid w:val="008208D8"/>
    <w:rsid w:val="00820C85"/>
    <w:rsid w:val="00821438"/>
    <w:rsid w:val="008230ED"/>
    <w:rsid w:val="008366A7"/>
    <w:rsid w:val="00847533"/>
    <w:rsid w:val="008477F8"/>
    <w:rsid w:val="00850441"/>
    <w:rsid w:val="00861397"/>
    <w:rsid w:val="00864503"/>
    <w:rsid w:val="0086754E"/>
    <w:rsid w:val="00874216"/>
    <w:rsid w:val="008801E4"/>
    <w:rsid w:val="00882551"/>
    <w:rsid w:val="00882583"/>
    <w:rsid w:val="00886EA9"/>
    <w:rsid w:val="008956C3"/>
    <w:rsid w:val="00897F3D"/>
    <w:rsid w:val="008A6EBE"/>
    <w:rsid w:val="008B4EAD"/>
    <w:rsid w:val="008B7169"/>
    <w:rsid w:val="008B7506"/>
    <w:rsid w:val="008C1366"/>
    <w:rsid w:val="008C51AC"/>
    <w:rsid w:val="008C7392"/>
    <w:rsid w:val="008D1CF6"/>
    <w:rsid w:val="008D3125"/>
    <w:rsid w:val="008E001D"/>
    <w:rsid w:val="008E1D91"/>
    <w:rsid w:val="008E748B"/>
    <w:rsid w:val="008F0753"/>
    <w:rsid w:val="008F4D60"/>
    <w:rsid w:val="008F4D87"/>
    <w:rsid w:val="008F55BE"/>
    <w:rsid w:val="00905D1C"/>
    <w:rsid w:val="00907E87"/>
    <w:rsid w:val="00911C3A"/>
    <w:rsid w:val="0091541F"/>
    <w:rsid w:val="00915915"/>
    <w:rsid w:val="009329BB"/>
    <w:rsid w:val="009362AE"/>
    <w:rsid w:val="00944FD1"/>
    <w:rsid w:val="00947F4C"/>
    <w:rsid w:val="0095003D"/>
    <w:rsid w:val="00950B73"/>
    <w:rsid w:val="0095544A"/>
    <w:rsid w:val="00955AFD"/>
    <w:rsid w:val="009623E8"/>
    <w:rsid w:val="009625F2"/>
    <w:rsid w:val="00962AE0"/>
    <w:rsid w:val="00965D2D"/>
    <w:rsid w:val="00966BC2"/>
    <w:rsid w:val="00966EBD"/>
    <w:rsid w:val="0097099C"/>
    <w:rsid w:val="0097373B"/>
    <w:rsid w:val="0097596B"/>
    <w:rsid w:val="0098624D"/>
    <w:rsid w:val="00986B20"/>
    <w:rsid w:val="00992E24"/>
    <w:rsid w:val="00995175"/>
    <w:rsid w:val="009A346F"/>
    <w:rsid w:val="009A4FF2"/>
    <w:rsid w:val="009B1544"/>
    <w:rsid w:val="009B714A"/>
    <w:rsid w:val="009B7245"/>
    <w:rsid w:val="009C1F77"/>
    <w:rsid w:val="009C27E4"/>
    <w:rsid w:val="009C2876"/>
    <w:rsid w:val="009C7441"/>
    <w:rsid w:val="009C780B"/>
    <w:rsid w:val="009D60D4"/>
    <w:rsid w:val="009D729F"/>
    <w:rsid w:val="009E7049"/>
    <w:rsid w:val="009F7FD1"/>
    <w:rsid w:val="00A02AE3"/>
    <w:rsid w:val="00A04229"/>
    <w:rsid w:val="00A050D4"/>
    <w:rsid w:val="00A11E17"/>
    <w:rsid w:val="00A160D1"/>
    <w:rsid w:val="00A21EE7"/>
    <w:rsid w:val="00A26587"/>
    <w:rsid w:val="00A34609"/>
    <w:rsid w:val="00A37C10"/>
    <w:rsid w:val="00A4660C"/>
    <w:rsid w:val="00A567CE"/>
    <w:rsid w:val="00A5786B"/>
    <w:rsid w:val="00A60038"/>
    <w:rsid w:val="00A60CCE"/>
    <w:rsid w:val="00A624AC"/>
    <w:rsid w:val="00A7054B"/>
    <w:rsid w:val="00A74DEF"/>
    <w:rsid w:val="00A75722"/>
    <w:rsid w:val="00A75EF7"/>
    <w:rsid w:val="00A7684E"/>
    <w:rsid w:val="00A80F17"/>
    <w:rsid w:val="00A854A5"/>
    <w:rsid w:val="00A8668A"/>
    <w:rsid w:val="00A92C4E"/>
    <w:rsid w:val="00A9414C"/>
    <w:rsid w:val="00A9460C"/>
    <w:rsid w:val="00A964EC"/>
    <w:rsid w:val="00A96602"/>
    <w:rsid w:val="00A96F74"/>
    <w:rsid w:val="00AA1D37"/>
    <w:rsid w:val="00AA69F4"/>
    <w:rsid w:val="00AB7515"/>
    <w:rsid w:val="00AD3886"/>
    <w:rsid w:val="00AD4D27"/>
    <w:rsid w:val="00AD5F2F"/>
    <w:rsid w:val="00B016E6"/>
    <w:rsid w:val="00B040B7"/>
    <w:rsid w:val="00B0539F"/>
    <w:rsid w:val="00B1055A"/>
    <w:rsid w:val="00B229A3"/>
    <w:rsid w:val="00B24584"/>
    <w:rsid w:val="00B27A99"/>
    <w:rsid w:val="00B27C37"/>
    <w:rsid w:val="00B31F70"/>
    <w:rsid w:val="00B331E9"/>
    <w:rsid w:val="00B3518A"/>
    <w:rsid w:val="00B410DE"/>
    <w:rsid w:val="00B42021"/>
    <w:rsid w:val="00B43E95"/>
    <w:rsid w:val="00B45556"/>
    <w:rsid w:val="00B464BE"/>
    <w:rsid w:val="00B46F42"/>
    <w:rsid w:val="00B51DFC"/>
    <w:rsid w:val="00B66D63"/>
    <w:rsid w:val="00B67284"/>
    <w:rsid w:val="00B76066"/>
    <w:rsid w:val="00B804BF"/>
    <w:rsid w:val="00B805E7"/>
    <w:rsid w:val="00B87101"/>
    <w:rsid w:val="00B94434"/>
    <w:rsid w:val="00BA7B50"/>
    <w:rsid w:val="00BB1A33"/>
    <w:rsid w:val="00BB1C33"/>
    <w:rsid w:val="00BB1D51"/>
    <w:rsid w:val="00BB7B09"/>
    <w:rsid w:val="00BC35F1"/>
    <w:rsid w:val="00BC3E08"/>
    <w:rsid w:val="00BC3F81"/>
    <w:rsid w:val="00BC4371"/>
    <w:rsid w:val="00BC47FD"/>
    <w:rsid w:val="00BC6F42"/>
    <w:rsid w:val="00BC71B8"/>
    <w:rsid w:val="00BC77FC"/>
    <w:rsid w:val="00BD40A0"/>
    <w:rsid w:val="00BD40BC"/>
    <w:rsid w:val="00BE4641"/>
    <w:rsid w:val="00BE4CD7"/>
    <w:rsid w:val="00BE73CC"/>
    <w:rsid w:val="00BF3664"/>
    <w:rsid w:val="00BF50C8"/>
    <w:rsid w:val="00BF76E0"/>
    <w:rsid w:val="00C012AE"/>
    <w:rsid w:val="00C072A7"/>
    <w:rsid w:val="00C1249C"/>
    <w:rsid w:val="00C124DB"/>
    <w:rsid w:val="00C15B10"/>
    <w:rsid w:val="00C16279"/>
    <w:rsid w:val="00C21EF2"/>
    <w:rsid w:val="00C22B08"/>
    <w:rsid w:val="00C240BD"/>
    <w:rsid w:val="00C2553C"/>
    <w:rsid w:val="00C256F3"/>
    <w:rsid w:val="00C31AE3"/>
    <w:rsid w:val="00C31C1C"/>
    <w:rsid w:val="00C336E3"/>
    <w:rsid w:val="00C36BC2"/>
    <w:rsid w:val="00C373A9"/>
    <w:rsid w:val="00C403BB"/>
    <w:rsid w:val="00C40809"/>
    <w:rsid w:val="00C73C3A"/>
    <w:rsid w:val="00C755B4"/>
    <w:rsid w:val="00C77ADF"/>
    <w:rsid w:val="00C77B8B"/>
    <w:rsid w:val="00C80C1A"/>
    <w:rsid w:val="00CA0E87"/>
    <w:rsid w:val="00CA232C"/>
    <w:rsid w:val="00CA2733"/>
    <w:rsid w:val="00CB6923"/>
    <w:rsid w:val="00CB6E7F"/>
    <w:rsid w:val="00CB7914"/>
    <w:rsid w:val="00CC55FF"/>
    <w:rsid w:val="00CD0EC8"/>
    <w:rsid w:val="00CD1721"/>
    <w:rsid w:val="00CD7AFC"/>
    <w:rsid w:val="00CE0EB6"/>
    <w:rsid w:val="00CF06E1"/>
    <w:rsid w:val="00CF12CB"/>
    <w:rsid w:val="00D0444F"/>
    <w:rsid w:val="00D07F32"/>
    <w:rsid w:val="00D13D96"/>
    <w:rsid w:val="00D153A2"/>
    <w:rsid w:val="00D15FDD"/>
    <w:rsid w:val="00D21B03"/>
    <w:rsid w:val="00D34C32"/>
    <w:rsid w:val="00D370E1"/>
    <w:rsid w:val="00D507A4"/>
    <w:rsid w:val="00D50C8D"/>
    <w:rsid w:val="00D5447D"/>
    <w:rsid w:val="00D57AB4"/>
    <w:rsid w:val="00D60DA7"/>
    <w:rsid w:val="00D61048"/>
    <w:rsid w:val="00D628B1"/>
    <w:rsid w:val="00D67F9E"/>
    <w:rsid w:val="00D84ADC"/>
    <w:rsid w:val="00D87E24"/>
    <w:rsid w:val="00D974C2"/>
    <w:rsid w:val="00DB151B"/>
    <w:rsid w:val="00DC338F"/>
    <w:rsid w:val="00DD3A1D"/>
    <w:rsid w:val="00DD3E4D"/>
    <w:rsid w:val="00DE01E9"/>
    <w:rsid w:val="00DE39EC"/>
    <w:rsid w:val="00DE3A00"/>
    <w:rsid w:val="00DE5ED8"/>
    <w:rsid w:val="00DF186A"/>
    <w:rsid w:val="00DF58DD"/>
    <w:rsid w:val="00DF71CA"/>
    <w:rsid w:val="00E11A57"/>
    <w:rsid w:val="00E13669"/>
    <w:rsid w:val="00E162D8"/>
    <w:rsid w:val="00E1715B"/>
    <w:rsid w:val="00E2000C"/>
    <w:rsid w:val="00E22A6D"/>
    <w:rsid w:val="00E246B6"/>
    <w:rsid w:val="00E25722"/>
    <w:rsid w:val="00E25765"/>
    <w:rsid w:val="00E263DA"/>
    <w:rsid w:val="00E26570"/>
    <w:rsid w:val="00E301A3"/>
    <w:rsid w:val="00E323C1"/>
    <w:rsid w:val="00E335BD"/>
    <w:rsid w:val="00E37487"/>
    <w:rsid w:val="00E4290B"/>
    <w:rsid w:val="00E45CD2"/>
    <w:rsid w:val="00E46D8F"/>
    <w:rsid w:val="00E46DBB"/>
    <w:rsid w:val="00E53395"/>
    <w:rsid w:val="00E605B1"/>
    <w:rsid w:val="00E609E3"/>
    <w:rsid w:val="00E63F10"/>
    <w:rsid w:val="00E64C36"/>
    <w:rsid w:val="00E70186"/>
    <w:rsid w:val="00E802F5"/>
    <w:rsid w:val="00E834EB"/>
    <w:rsid w:val="00E8572B"/>
    <w:rsid w:val="00E91811"/>
    <w:rsid w:val="00E939E7"/>
    <w:rsid w:val="00E97141"/>
    <w:rsid w:val="00EA63E8"/>
    <w:rsid w:val="00EA7E15"/>
    <w:rsid w:val="00EB0D90"/>
    <w:rsid w:val="00EB0F28"/>
    <w:rsid w:val="00EB5BA0"/>
    <w:rsid w:val="00ED265F"/>
    <w:rsid w:val="00ED2E06"/>
    <w:rsid w:val="00ED5C91"/>
    <w:rsid w:val="00ED6848"/>
    <w:rsid w:val="00EE26A4"/>
    <w:rsid w:val="00EE4A08"/>
    <w:rsid w:val="00EF3E1A"/>
    <w:rsid w:val="00EF4AD2"/>
    <w:rsid w:val="00EF4EFD"/>
    <w:rsid w:val="00F142C0"/>
    <w:rsid w:val="00F15999"/>
    <w:rsid w:val="00F1705E"/>
    <w:rsid w:val="00F217AD"/>
    <w:rsid w:val="00F217E2"/>
    <w:rsid w:val="00F25053"/>
    <w:rsid w:val="00F269D1"/>
    <w:rsid w:val="00F26AC3"/>
    <w:rsid w:val="00F332E4"/>
    <w:rsid w:val="00F35363"/>
    <w:rsid w:val="00F358C7"/>
    <w:rsid w:val="00F366A0"/>
    <w:rsid w:val="00F41C83"/>
    <w:rsid w:val="00F46E0F"/>
    <w:rsid w:val="00F47FA5"/>
    <w:rsid w:val="00F507EF"/>
    <w:rsid w:val="00F563DC"/>
    <w:rsid w:val="00F60333"/>
    <w:rsid w:val="00F60542"/>
    <w:rsid w:val="00F63928"/>
    <w:rsid w:val="00F66E0D"/>
    <w:rsid w:val="00F703A7"/>
    <w:rsid w:val="00F73191"/>
    <w:rsid w:val="00F73F20"/>
    <w:rsid w:val="00F8243F"/>
    <w:rsid w:val="00F8570F"/>
    <w:rsid w:val="00F85FE2"/>
    <w:rsid w:val="00FA0649"/>
    <w:rsid w:val="00FA2A8B"/>
    <w:rsid w:val="00FA3E76"/>
    <w:rsid w:val="00FB5CF0"/>
    <w:rsid w:val="00FB6EFD"/>
    <w:rsid w:val="00FB77E7"/>
    <w:rsid w:val="00FC1F02"/>
    <w:rsid w:val="00FC593E"/>
    <w:rsid w:val="00FC66F6"/>
    <w:rsid w:val="00FD487C"/>
    <w:rsid w:val="00FD4A44"/>
    <w:rsid w:val="00FE3132"/>
    <w:rsid w:val="00FF7B4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A83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53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534E"/>
    <w:rPr>
      <w:rFonts w:ascii="Lucida Grande" w:hAnsi="Lucida Grande" w:cs="Lucida Grande"/>
      <w:sz w:val="18"/>
      <w:szCs w:val="18"/>
    </w:rPr>
  </w:style>
  <w:style w:type="character" w:styleId="CommentReference">
    <w:name w:val="annotation reference"/>
    <w:basedOn w:val="DefaultParagraphFont"/>
    <w:uiPriority w:val="99"/>
    <w:semiHidden/>
    <w:unhideWhenUsed/>
    <w:rsid w:val="00640416"/>
    <w:rPr>
      <w:sz w:val="18"/>
      <w:szCs w:val="18"/>
    </w:rPr>
  </w:style>
  <w:style w:type="paragraph" w:styleId="CommentText">
    <w:name w:val="annotation text"/>
    <w:basedOn w:val="Normal"/>
    <w:link w:val="CommentTextChar"/>
    <w:uiPriority w:val="99"/>
    <w:unhideWhenUsed/>
    <w:rsid w:val="00640416"/>
  </w:style>
  <w:style w:type="character" w:customStyle="1" w:styleId="CommentTextChar">
    <w:name w:val="Comment Text Char"/>
    <w:basedOn w:val="DefaultParagraphFont"/>
    <w:link w:val="CommentText"/>
    <w:uiPriority w:val="99"/>
    <w:rsid w:val="00640416"/>
    <w:rPr>
      <w:lang w:val="en-US"/>
    </w:rPr>
  </w:style>
  <w:style w:type="paragraph" w:styleId="CommentSubject">
    <w:name w:val="annotation subject"/>
    <w:basedOn w:val="CommentText"/>
    <w:next w:val="CommentText"/>
    <w:link w:val="CommentSubjectChar"/>
    <w:uiPriority w:val="99"/>
    <w:semiHidden/>
    <w:unhideWhenUsed/>
    <w:rsid w:val="00640416"/>
    <w:rPr>
      <w:b/>
      <w:bCs/>
      <w:sz w:val="20"/>
      <w:szCs w:val="20"/>
    </w:rPr>
  </w:style>
  <w:style w:type="character" w:customStyle="1" w:styleId="CommentSubjectChar">
    <w:name w:val="Comment Subject Char"/>
    <w:basedOn w:val="CommentTextChar"/>
    <w:link w:val="CommentSubject"/>
    <w:uiPriority w:val="99"/>
    <w:semiHidden/>
    <w:rsid w:val="00640416"/>
    <w:rPr>
      <w:b/>
      <w:bCs/>
      <w:sz w:val="20"/>
      <w:szCs w:val="20"/>
      <w:lang w:val="en-US"/>
    </w:rPr>
  </w:style>
  <w:style w:type="paragraph" w:styleId="Header">
    <w:name w:val="header"/>
    <w:basedOn w:val="Normal"/>
    <w:link w:val="HeaderChar"/>
    <w:uiPriority w:val="99"/>
    <w:unhideWhenUsed/>
    <w:rsid w:val="00A60038"/>
    <w:pPr>
      <w:tabs>
        <w:tab w:val="center" w:pos="4153"/>
        <w:tab w:val="right" w:pos="8306"/>
      </w:tabs>
    </w:pPr>
  </w:style>
  <w:style w:type="character" w:customStyle="1" w:styleId="HeaderChar">
    <w:name w:val="Header Char"/>
    <w:basedOn w:val="DefaultParagraphFont"/>
    <w:link w:val="Header"/>
    <w:uiPriority w:val="99"/>
    <w:rsid w:val="00A60038"/>
    <w:rPr>
      <w:lang w:val="en-US"/>
    </w:rPr>
  </w:style>
  <w:style w:type="paragraph" w:styleId="Footer">
    <w:name w:val="footer"/>
    <w:basedOn w:val="Normal"/>
    <w:link w:val="FooterChar"/>
    <w:uiPriority w:val="99"/>
    <w:unhideWhenUsed/>
    <w:rsid w:val="00A60038"/>
    <w:pPr>
      <w:tabs>
        <w:tab w:val="center" w:pos="4153"/>
        <w:tab w:val="right" w:pos="8306"/>
      </w:tabs>
    </w:pPr>
  </w:style>
  <w:style w:type="character" w:customStyle="1" w:styleId="FooterChar">
    <w:name w:val="Footer Char"/>
    <w:basedOn w:val="DefaultParagraphFont"/>
    <w:link w:val="Footer"/>
    <w:uiPriority w:val="99"/>
    <w:rsid w:val="00A60038"/>
    <w:rPr>
      <w:lang w:val="en-US"/>
    </w:rPr>
  </w:style>
  <w:style w:type="character" w:styleId="LineNumber">
    <w:name w:val="line number"/>
    <w:basedOn w:val="DefaultParagraphFont"/>
    <w:uiPriority w:val="99"/>
    <w:semiHidden/>
    <w:unhideWhenUsed/>
    <w:rsid w:val="002F728D"/>
  </w:style>
  <w:style w:type="character" w:styleId="PageNumber">
    <w:name w:val="page number"/>
    <w:basedOn w:val="DefaultParagraphFont"/>
    <w:uiPriority w:val="99"/>
    <w:semiHidden/>
    <w:unhideWhenUsed/>
    <w:rsid w:val="002F728D"/>
  </w:style>
  <w:style w:type="character" w:styleId="Hyperlink">
    <w:name w:val="Hyperlink"/>
    <w:basedOn w:val="DefaultParagraphFont"/>
    <w:uiPriority w:val="99"/>
    <w:unhideWhenUsed/>
    <w:rsid w:val="00F269D1"/>
    <w:rPr>
      <w:color w:val="0000FF" w:themeColor="hyperlink"/>
      <w:u w:val="single"/>
    </w:rPr>
  </w:style>
  <w:style w:type="paragraph" w:styleId="ListParagraph">
    <w:name w:val="List Paragraph"/>
    <w:basedOn w:val="Normal"/>
    <w:uiPriority w:val="34"/>
    <w:qFormat/>
    <w:rsid w:val="001B76FC"/>
    <w:pPr>
      <w:ind w:left="720"/>
      <w:contextualSpacing/>
    </w:pPr>
  </w:style>
  <w:style w:type="paragraph" w:styleId="Revision">
    <w:name w:val="Revision"/>
    <w:hidden/>
    <w:uiPriority w:val="99"/>
    <w:semiHidden/>
    <w:rsid w:val="00B040B7"/>
    <w:rPr>
      <w:lang w:val="en-GB"/>
    </w:rPr>
  </w:style>
  <w:style w:type="table" w:styleId="TableGrid">
    <w:name w:val="Table Grid"/>
    <w:basedOn w:val="TableNormal"/>
    <w:uiPriority w:val="59"/>
    <w:rsid w:val="003A1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
    <w:name w:val="Plain Table 2"/>
    <w:basedOn w:val="TableNormal"/>
    <w:uiPriority w:val="99"/>
    <w:rsid w:val="008366A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E22A6D"/>
    <w:pPr>
      <w:spacing w:before="100" w:beforeAutospacing="1" w:after="100" w:afterAutospacing="1"/>
    </w:pPr>
    <w:rPr>
      <w:rFonts w:ascii="Times" w:hAnsi="Times" w:cs="Times New Roman"/>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53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534E"/>
    <w:rPr>
      <w:rFonts w:ascii="Lucida Grande" w:hAnsi="Lucida Grande" w:cs="Lucida Grande"/>
      <w:sz w:val="18"/>
      <w:szCs w:val="18"/>
    </w:rPr>
  </w:style>
  <w:style w:type="character" w:styleId="CommentReference">
    <w:name w:val="annotation reference"/>
    <w:basedOn w:val="DefaultParagraphFont"/>
    <w:uiPriority w:val="99"/>
    <w:semiHidden/>
    <w:unhideWhenUsed/>
    <w:rsid w:val="00640416"/>
    <w:rPr>
      <w:sz w:val="18"/>
      <w:szCs w:val="18"/>
    </w:rPr>
  </w:style>
  <w:style w:type="paragraph" w:styleId="CommentText">
    <w:name w:val="annotation text"/>
    <w:basedOn w:val="Normal"/>
    <w:link w:val="CommentTextChar"/>
    <w:uiPriority w:val="99"/>
    <w:unhideWhenUsed/>
    <w:rsid w:val="00640416"/>
  </w:style>
  <w:style w:type="character" w:customStyle="1" w:styleId="CommentTextChar">
    <w:name w:val="Comment Text Char"/>
    <w:basedOn w:val="DefaultParagraphFont"/>
    <w:link w:val="CommentText"/>
    <w:uiPriority w:val="99"/>
    <w:rsid w:val="00640416"/>
    <w:rPr>
      <w:lang w:val="en-US"/>
    </w:rPr>
  </w:style>
  <w:style w:type="paragraph" w:styleId="CommentSubject">
    <w:name w:val="annotation subject"/>
    <w:basedOn w:val="CommentText"/>
    <w:next w:val="CommentText"/>
    <w:link w:val="CommentSubjectChar"/>
    <w:uiPriority w:val="99"/>
    <w:semiHidden/>
    <w:unhideWhenUsed/>
    <w:rsid w:val="00640416"/>
    <w:rPr>
      <w:b/>
      <w:bCs/>
      <w:sz w:val="20"/>
      <w:szCs w:val="20"/>
    </w:rPr>
  </w:style>
  <w:style w:type="character" w:customStyle="1" w:styleId="CommentSubjectChar">
    <w:name w:val="Comment Subject Char"/>
    <w:basedOn w:val="CommentTextChar"/>
    <w:link w:val="CommentSubject"/>
    <w:uiPriority w:val="99"/>
    <w:semiHidden/>
    <w:rsid w:val="00640416"/>
    <w:rPr>
      <w:b/>
      <w:bCs/>
      <w:sz w:val="20"/>
      <w:szCs w:val="20"/>
      <w:lang w:val="en-US"/>
    </w:rPr>
  </w:style>
  <w:style w:type="paragraph" w:styleId="Header">
    <w:name w:val="header"/>
    <w:basedOn w:val="Normal"/>
    <w:link w:val="HeaderChar"/>
    <w:uiPriority w:val="99"/>
    <w:unhideWhenUsed/>
    <w:rsid w:val="00A60038"/>
    <w:pPr>
      <w:tabs>
        <w:tab w:val="center" w:pos="4153"/>
        <w:tab w:val="right" w:pos="8306"/>
      </w:tabs>
    </w:pPr>
  </w:style>
  <w:style w:type="character" w:customStyle="1" w:styleId="HeaderChar">
    <w:name w:val="Header Char"/>
    <w:basedOn w:val="DefaultParagraphFont"/>
    <w:link w:val="Header"/>
    <w:uiPriority w:val="99"/>
    <w:rsid w:val="00A60038"/>
    <w:rPr>
      <w:lang w:val="en-US"/>
    </w:rPr>
  </w:style>
  <w:style w:type="paragraph" w:styleId="Footer">
    <w:name w:val="footer"/>
    <w:basedOn w:val="Normal"/>
    <w:link w:val="FooterChar"/>
    <w:uiPriority w:val="99"/>
    <w:unhideWhenUsed/>
    <w:rsid w:val="00A60038"/>
    <w:pPr>
      <w:tabs>
        <w:tab w:val="center" w:pos="4153"/>
        <w:tab w:val="right" w:pos="8306"/>
      </w:tabs>
    </w:pPr>
  </w:style>
  <w:style w:type="character" w:customStyle="1" w:styleId="FooterChar">
    <w:name w:val="Footer Char"/>
    <w:basedOn w:val="DefaultParagraphFont"/>
    <w:link w:val="Footer"/>
    <w:uiPriority w:val="99"/>
    <w:rsid w:val="00A60038"/>
    <w:rPr>
      <w:lang w:val="en-US"/>
    </w:rPr>
  </w:style>
  <w:style w:type="character" w:styleId="LineNumber">
    <w:name w:val="line number"/>
    <w:basedOn w:val="DefaultParagraphFont"/>
    <w:uiPriority w:val="99"/>
    <w:semiHidden/>
    <w:unhideWhenUsed/>
    <w:rsid w:val="002F728D"/>
  </w:style>
  <w:style w:type="character" w:styleId="PageNumber">
    <w:name w:val="page number"/>
    <w:basedOn w:val="DefaultParagraphFont"/>
    <w:uiPriority w:val="99"/>
    <w:semiHidden/>
    <w:unhideWhenUsed/>
    <w:rsid w:val="002F728D"/>
  </w:style>
  <w:style w:type="character" w:styleId="Hyperlink">
    <w:name w:val="Hyperlink"/>
    <w:basedOn w:val="DefaultParagraphFont"/>
    <w:uiPriority w:val="99"/>
    <w:unhideWhenUsed/>
    <w:rsid w:val="00F269D1"/>
    <w:rPr>
      <w:color w:val="0000FF" w:themeColor="hyperlink"/>
      <w:u w:val="single"/>
    </w:rPr>
  </w:style>
  <w:style w:type="paragraph" w:styleId="ListParagraph">
    <w:name w:val="List Paragraph"/>
    <w:basedOn w:val="Normal"/>
    <w:uiPriority w:val="34"/>
    <w:qFormat/>
    <w:rsid w:val="001B76FC"/>
    <w:pPr>
      <w:ind w:left="720"/>
      <w:contextualSpacing/>
    </w:pPr>
  </w:style>
  <w:style w:type="paragraph" w:styleId="Revision">
    <w:name w:val="Revision"/>
    <w:hidden/>
    <w:uiPriority w:val="99"/>
    <w:semiHidden/>
    <w:rsid w:val="00B040B7"/>
    <w:rPr>
      <w:lang w:val="en-GB"/>
    </w:rPr>
  </w:style>
  <w:style w:type="table" w:styleId="TableGrid">
    <w:name w:val="Table Grid"/>
    <w:basedOn w:val="TableNormal"/>
    <w:uiPriority w:val="59"/>
    <w:rsid w:val="003A1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
    <w:name w:val="Plain Table 2"/>
    <w:basedOn w:val="TableNormal"/>
    <w:uiPriority w:val="99"/>
    <w:rsid w:val="008366A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E22A6D"/>
    <w:pPr>
      <w:spacing w:before="100" w:beforeAutospacing="1" w:after="100" w:afterAutospacing="1"/>
    </w:pPr>
    <w:rPr>
      <w:rFonts w:ascii="Times" w:hAnsi="Times"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704732">
      <w:bodyDiv w:val="1"/>
      <w:marLeft w:val="0"/>
      <w:marRight w:val="0"/>
      <w:marTop w:val="0"/>
      <w:marBottom w:val="0"/>
      <w:divBdr>
        <w:top w:val="none" w:sz="0" w:space="0" w:color="auto"/>
        <w:left w:val="none" w:sz="0" w:space="0" w:color="auto"/>
        <w:bottom w:val="none" w:sz="0" w:space="0" w:color="auto"/>
        <w:right w:val="none" w:sz="0" w:space="0" w:color="auto"/>
      </w:divBdr>
    </w:div>
    <w:div w:id="1503623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ubmed?term=Prieto-Alhambra%20D%5BAuthor%5D&amp;cauthor=true&amp;cauthor_uid=23744977" TargetMode="External"/><Relationship Id="rId18" Type="http://schemas.openxmlformats.org/officeDocument/2006/relationships/hyperlink" Target="http://www.ncbi.nlm.nih.gov/pubmed?term=Croft%20P%5BAuthor%5D&amp;cauthor=true&amp;cauthor_uid=11156538" TargetMode="External"/><Relationship Id="rId26" Type="http://schemas.openxmlformats.org/officeDocument/2006/relationships/hyperlink" Target="http://www.ncbi.nlm.nih.gov/pubmed?term=Holtermann%20A%5BAuthor%5D&amp;cauthor=true&amp;cauthor_uid=22511797" TargetMode="External"/><Relationship Id="rId39" Type="http://schemas.openxmlformats.org/officeDocument/2006/relationships/hyperlink" Target="http://www.ncbi.nlm.nih.gov/pubmed?term=Jiang%20L%5BAuthor%5D&amp;cauthor=true&amp;cauthor_uid=20580591" TargetMode="External"/><Relationship Id="rId21" Type="http://schemas.openxmlformats.org/officeDocument/2006/relationships/hyperlink" Target="http://www.ncbi.nlm.nih.gov/pubmed?term=Wang%20Y%5BAuthor%5D&amp;cauthor=true&amp;cauthor_uid=21803633" TargetMode="External"/><Relationship Id="rId34" Type="http://schemas.openxmlformats.org/officeDocument/2006/relationships/hyperlink" Target="http://www.ncbi.nlm.nih.gov/pubmed?term=Lohmander%20LS%5BAuthor%5D&amp;cauthor=true&amp;cauthor_uid=18467514" TargetMode="External"/><Relationship Id="rId42" Type="http://schemas.openxmlformats.org/officeDocument/2006/relationships/hyperlink" Target="http://www.ncbi.nlm.nih.gov/pubmed?term=King%20LK%5BAuthor%5D&amp;cauthor=true&amp;cauthor_uid=24056594" TargetMode="External"/><Relationship Id="rId47" Type="http://schemas.openxmlformats.org/officeDocument/2006/relationships/hyperlink" Target="http://www.ncbi.nlm.nih.gov/pubmed/?term=Javaid%20MK%5BAuthor%5D&amp;cauthor=true&amp;cauthor_uid=23744977" TargetMode="External"/><Relationship Id="rId50" Type="http://schemas.openxmlformats.org/officeDocument/2006/relationships/hyperlink" Target="http://www.ncbi.nlm.nih.gov/pubmed/?term=Regidor%20E%5BAuthor%5D&amp;cauthor=true&amp;cauthor_uid=23428930" TargetMode="External"/><Relationship Id="rId55" Type="http://schemas.openxmlformats.org/officeDocument/2006/relationships/hyperlink" Target="http://www.ncbi.nlm.nih.gov/pubmed?term=Hochberg%20MC%5BAuthor%5D&amp;cauthor=true&amp;cauthor_uid=10625021" TargetMode="External"/><Relationship Id="rId63" Type="http://schemas.openxmlformats.org/officeDocument/2006/relationships/hyperlink" Target="http://www.ncbi.nlm.nih.gov/pubmed?term=Wills%20AK%5BAuthor%5D&amp;cauthor=true&amp;cauthor_uid=21979003" TargetMode="External"/><Relationship Id="rId68" Type="http://schemas.openxmlformats.org/officeDocument/2006/relationships/hyperlink" Target="http://www.ncbi.nlm.nih.gov/pubmed?term=Thorogood%20M%5BAuthor%5D&amp;cauthor=true&amp;cauthor_uid=14573590" TargetMode="External"/><Relationship Id="rId76" Type="http://schemas.openxmlformats.org/officeDocument/2006/relationships/hyperlink" Target="http://www.ncbi.nlm.nih.gov/pubmed?term=Bliddal%20H%5BAuthor%5D&amp;cauthor=true&amp;cauthor_uid=21440076" TargetMode="External"/><Relationship Id="rId84" Type="http://schemas.openxmlformats.org/officeDocument/2006/relationships/chart" Target="charts/chart1.xml"/><Relationship Id="rId89"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hyperlink" Target="http://www.ncbi.nlm.nih.gov/pubmed/?term=Reichmann%20WM%5BAuthor%5D&amp;cauthor=true&amp;cauthor_uid=23203864" TargetMode="External"/><Relationship Id="rId2" Type="http://schemas.openxmlformats.org/officeDocument/2006/relationships/numbering" Target="numbering.xml"/><Relationship Id="rId16" Type="http://schemas.openxmlformats.org/officeDocument/2006/relationships/hyperlink" Target="http://www.ncbi.nlm.nih.gov/pubmed?term=Peat%20G%5BAuthor%5D&amp;cauthor=true&amp;cauthor_uid=11156538" TargetMode="External"/><Relationship Id="rId29" Type="http://schemas.openxmlformats.org/officeDocument/2006/relationships/hyperlink" Target="http://www.ncbi.nlm.nih.gov/pubmed?term=Pols%20HA%5BAuthor%5D&amp;cauthor=true&amp;cauthor_uid=16837490" TargetMode="External"/><Relationship Id="rId11" Type="http://schemas.openxmlformats.org/officeDocument/2006/relationships/hyperlink" Target="http://www.ncbi.nlm.nih.gov/pubmed/?term=Yang%20W%5BAuthor%5D&amp;cauthor=true&amp;cauthor_uid=18607383" TargetMode="External"/><Relationship Id="rId24" Type="http://schemas.openxmlformats.org/officeDocument/2006/relationships/hyperlink" Target="http://www.ncbi.nlm.nih.gov/pubmed?term=Jeffery%20A%5BAuthor%5D&amp;cauthor=true&amp;cauthor_uid=19751691" TargetMode="External"/><Relationship Id="rId32" Type="http://schemas.openxmlformats.org/officeDocument/2006/relationships/hyperlink" Target="http://www.ncbi.nlm.nih.gov/pubmed?term=Hagen%20KB%5BAuthor%5D&amp;cauthor=true&amp;cauthor_uid=18831740" TargetMode="External"/><Relationship Id="rId37" Type="http://schemas.openxmlformats.org/officeDocument/2006/relationships/hyperlink" Target="http://www.ncbi.nlm.nih.gov/pubmed?term=Nelissen%20RG%5BAuthor%5D&amp;cauthor=true&amp;cauthor_uid=19487215" TargetMode="External"/><Relationship Id="rId40" Type="http://schemas.openxmlformats.org/officeDocument/2006/relationships/hyperlink" Target="http://www.ncbi.nlm.nih.gov/pubmed?term=Rong%20J%5BAuthor%5D&amp;cauthor=true&amp;cauthor_uid=20580591" TargetMode="External"/><Relationship Id="rId45" Type="http://schemas.openxmlformats.org/officeDocument/2006/relationships/hyperlink" Target="http://www.ncbi.nlm.nih.gov/pubmed/?term=Prieto-Alhambra%20D%5BAuthor%5D&amp;cauthor=true&amp;cauthor_uid=23744977" TargetMode="External"/><Relationship Id="rId53" Type="http://schemas.openxmlformats.org/officeDocument/2006/relationships/hyperlink" Target="http://www.ncbi.nlm.nih.gov/pubmed/?term=Bochmann%20F%5BAuthor%5D&amp;cauthor=true&amp;cauthor_uid=22348095" TargetMode="External"/><Relationship Id="rId58" Type="http://schemas.openxmlformats.org/officeDocument/2006/relationships/hyperlink" Target="http://www.ncbi.nlm.nih.gov/pubmed?term=McWilliams%20DF%5BAuthor%5D&amp;cauthor=true&amp;cauthor_uid=21044695" TargetMode="External"/><Relationship Id="rId66" Type="http://schemas.openxmlformats.org/officeDocument/2006/relationships/hyperlink" Target="http://www.ncbi.nlm.nih.gov/pubmed?term=Dawson%20J%5BAuthor%5D&amp;cauthor=true&amp;cauthor_uid=14573590" TargetMode="External"/><Relationship Id="rId74" Type="http://schemas.openxmlformats.org/officeDocument/2006/relationships/hyperlink" Target="http://www.ncbi.nlm.nih.gov/pubmed?term=Legault%20C%5BAuthor%5D&amp;cauthor=true&amp;cauthor_uid=24065013" TargetMode="External"/><Relationship Id="rId79" Type="http://schemas.openxmlformats.org/officeDocument/2006/relationships/hyperlink" Target="http://www.ncbi.nlm.nih.gov/pubmed/?term=Slagboom%20E%5BAuthor%5D&amp;cauthor=true&amp;cauthor_uid=23615651" TargetMode="External"/><Relationship Id="rId87" Type="http://schemas.openxmlformats.org/officeDocument/2006/relationships/chart" Target="charts/chart4.xml"/><Relationship Id="rId5" Type="http://schemas.openxmlformats.org/officeDocument/2006/relationships/settings" Target="settings.xml"/><Relationship Id="rId61" Type="http://schemas.openxmlformats.org/officeDocument/2006/relationships/hyperlink" Target="http://www.ncbi.nlm.nih.gov/pubmed?term=Wluka%20AE%5BAuthor%5D&amp;cauthor=true&amp;cauthor_uid=23362222" TargetMode="External"/><Relationship Id="rId82" Type="http://schemas.openxmlformats.org/officeDocument/2006/relationships/hyperlink" Target="http://www.ncbi.nlm.nih.gov/pubmed?term=Ioan-Facsinay%20A%5BAuthor%5D&amp;cauthor=true&amp;cauthor_uid=21470970" TargetMode="External"/><Relationship Id="rId90" Type="http://schemas.openxmlformats.org/officeDocument/2006/relationships/fontTable" Target="fontTable.xml"/><Relationship Id="rId19" Type="http://schemas.openxmlformats.org/officeDocument/2006/relationships/hyperlink" Target="http://www.ncbi.nlm.nih.gov/pubmed?term=Jiang%20L%5BAuthor%5D&amp;cauthor=true&amp;cauthor_uid=21803633" TargetMode="External"/><Relationship Id="rId14" Type="http://schemas.openxmlformats.org/officeDocument/2006/relationships/hyperlink" Target="http://www.ncbi.nlm.nih.gov/pubmed?term=Judge%20A%5BAuthor%5D&amp;cauthor=true&amp;cauthor_uid=23744977" TargetMode="External"/><Relationship Id="rId22" Type="http://schemas.openxmlformats.org/officeDocument/2006/relationships/hyperlink" Target="http://www.ncbi.nlm.nih.gov/pubmed?term=Blagojevic%20M%5BAuthor%5D&amp;cauthor=true&amp;cauthor_uid=19751691" TargetMode="External"/><Relationship Id="rId27" Type="http://schemas.openxmlformats.org/officeDocument/2006/relationships/hyperlink" Target="http://www.ncbi.nlm.nih.gov/pubmed?term=Nilsen%20TI%5BAuthor%5D&amp;cauthor=true&amp;cauthor_uid=22511797" TargetMode="External"/><Relationship Id="rId30" Type="http://schemas.openxmlformats.org/officeDocument/2006/relationships/hyperlink" Target="http://www.ncbi.nlm.nih.gov/pubmed?term=Bergink%20AP%5BAuthor%5D&amp;cauthor=true&amp;cauthor_uid=16837490" TargetMode="External"/><Relationship Id="rId35" Type="http://schemas.openxmlformats.org/officeDocument/2006/relationships/hyperlink" Target="http://www.ncbi.nlm.nih.gov/pubmed?term=Gerhardsson%20de%20Verdier%20M%5BAuthor%5D&amp;cauthor=true&amp;cauthor_uid=18467514" TargetMode="External"/><Relationship Id="rId43" Type="http://schemas.openxmlformats.org/officeDocument/2006/relationships/hyperlink" Target="http://www.ncbi.nlm.nih.gov/pubmed?term=March%20L%5BAuthor%5D&amp;cauthor=true&amp;cauthor_uid=24056594" TargetMode="External"/><Relationship Id="rId48" Type="http://schemas.openxmlformats.org/officeDocument/2006/relationships/hyperlink" Target="http://www.ncbi.nlm.nih.gov/pubmed/?term=Guti%C3%A9rrez-Fisac%20JL%5BAuthor%5D&amp;cauthor=true&amp;cauthor_uid=23428930" TargetMode="External"/><Relationship Id="rId56" Type="http://schemas.openxmlformats.org/officeDocument/2006/relationships/hyperlink" Target="http://www.ncbi.nlm.nih.gov/pubmed?term=Mead%20LA%5BAuthor%5D&amp;cauthor=true&amp;cauthor_uid=10625021" TargetMode="External"/><Relationship Id="rId64" Type="http://schemas.openxmlformats.org/officeDocument/2006/relationships/hyperlink" Target="http://www.ncbi.nlm.nih.gov/pubmed?term=Black%20S%5BAuthor%5D&amp;cauthor=true&amp;cauthor_uid=21979003" TargetMode="External"/><Relationship Id="rId69" Type="http://schemas.openxmlformats.org/officeDocument/2006/relationships/hyperlink" Target="http://www.ncbi.nlm.nih.gov/pubmed/?term=Losina%20E%5BAuthor%5D&amp;cauthor=true&amp;cauthor_uid=23203864" TargetMode="External"/><Relationship Id="rId77" Type="http://schemas.openxmlformats.org/officeDocument/2006/relationships/hyperlink" Target="http://www.ncbi.nlm.nih.gov/pubmed?term=Messier%20SP%5BAuthor%5D&amp;cauthor=true&amp;cauthor_uid=21440076" TargetMode="External"/><Relationship Id="rId8" Type="http://schemas.openxmlformats.org/officeDocument/2006/relationships/endnotes" Target="endnotes.xml"/><Relationship Id="rId51" Type="http://schemas.openxmlformats.org/officeDocument/2006/relationships/hyperlink" Target="http://www.ncbi.nlm.nih.gov/pubmed/?term=Sulsky%20SI%5BAuthor%5D&amp;cauthor=true&amp;cauthor_uid=22348095" TargetMode="External"/><Relationship Id="rId72" Type="http://schemas.openxmlformats.org/officeDocument/2006/relationships/hyperlink" Target="http://www.ncbi.nlm.nih.gov/pubmed?term=Messier%20SP%5BAuthor%5D&amp;cauthor=true&amp;cauthor_uid=24065013" TargetMode="External"/><Relationship Id="rId80" Type="http://schemas.openxmlformats.org/officeDocument/2006/relationships/hyperlink" Target="http://www.ncbi.nlm.nih.gov/pubmed/?term=Chen-An%20P%5BAuthor%5D&amp;cauthor=true&amp;cauthor_uid=23615651" TargetMode="External"/><Relationship Id="rId85" Type="http://schemas.openxmlformats.org/officeDocument/2006/relationships/chart" Target="charts/chart2.xml"/><Relationship Id="rId3" Type="http://schemas.openxmlformats.org/officeDocument/2006/relationships/styles" Target="styles.xml"/><Relationship Id="rId12" Type="http://schemas.openxmlformats.org/officeDocument/2006/relationships/hyperlink" Target="http://www.ncbi.nlm.nih.gov/pubmed/?term=Chen%20CS%5BAuthor%5D&amp;cauthor=true&amp;cauthor_uid=18607383" TargetMode="External"/><Relationship Id="rId17" Type="http://schemas.openxmlformats.org/officeDocument/2006/relationships/hyperlink" Target="http://www.ncbi.nlm.nih.gov/pubmed?term=McCarney%20R%5BAuthor%5D&amp;cauthor=true&amp;cauthor_uid=11156538" TargetMode="External"/><Relationship Id="rId25" Type="http://schemas.openxmlformats.org/officeDocument/2006/relationships/hyperlink" Target="http://www.ncbi.nlm.nih.gov/pubmed?term=Mork%20PJ%5BAuthor%5D&amp;cauthor=true&amp;cauthor_uid=22511797" TargetMode="External"/><Relationship Id="rId33" Type="http://schemas.openxmlformats.org/officeDocument/2006/relationships/hyperlink" Target="http://www.ncbi.nlm.nih.gov/pubmed?term=Natvig%20B%5BAuthor%5D&amp;cauthor=true&amp;cauthor_uid=18831740" TargetMode="External"/><Relationship Id="rId38" Type="http://schemas.openxmlformats.org/officeDocument/2006/relationships/hyperlink" Target="http://www.ncbi.nlm.nih.gov/pubmed?term=Ioan-Facsinay%20A%5BAuthor%5D&amp;cauthor=true&amp;cauthor_uid=19487215" TargetMode="External"/><Relationship Id="rId46" Type="http://schemas.openxmlformats.org/officeDocument/2006/relationships/hyperlink" Target="http://www.ncbi.nlm.nih.gov/pubmed/?term=Judge%20A%5BAuthor%5D&amp;cauthor=true&amp;cauthor_uid=23744977" TargetMode="External"/><Relationship Id="rId59" Type="http://schemas.openxmlformats.org/officeDocument/2006/relationships/hyperlink" Target="http://www.ncbi.nlm.nih.gov/pubmed?term=Maciewicz%20RA%5BAuthor%5D&amp;cauthor=true&amp;cauthor_uid=21044695" TargetMode="External"/><Relationship Id="rId67" Type="http://schemas.openxmlformats.org/officeDocument/2006/relationships/hyperlink" Target="http://www.ncbi.nlm.nih.gov/pubmed?term=Juszczak%20E%5BAuthor%5D&amp;cauthor=true&amp;cauthor_uid=14573590" TargetMode="External"/><Relationship Id="rId20" Type="http://schemas.openxmlformats.org/officeDocument/2006/relationships/hyperlink" Target="http://www.ncbi.nlm.nih.gov/pubmed?term=Tian%20W%5BAuthor%5D&amp;cauthor=true&amp;cauthor_uid=21803633" TargetMode="External"/><Relationship Id="rId41" Type="http://schemas.openxmlformats.org/officeDocument/2006/relationships/hyperlink" Target="http://www.ncbi.nlm.nih.gov/pubmed?term=Wang%20Y%5BAuthor%5D&amp;cauthor=true&amp;cauthor_uid=20580591" TargetMode="External"/><Relationship Id="rId54" Type="http://schemas.openxmlformats.org/officeDocument/2006/relationships/hyperlink" Target="http://www.ncbi.nlm.nih.gov/pubmed?term=Gelber%20AC%5BAuthor%5D&amp;cauthor=true&amp;cauthor_uid=10625021" TargetMode="External"/><Relationship Id="rId62" Type="http://schemas.openxmlformats.org/officeDocument/2006/relationships/hyperlink" Target="http://www.ncbi.nlm.nih.gov/pubmed?term=Simpson%20JA%5BAuthor%5D&amp;cauthor=true&amp;cauthor_uid=23362222" TargetMode="External"/><Relationship Id="rId70" Type="http://schemas.openxmlformats.org/officeDocument/2006/relationships/hyperlink" Target="http://www.ncbi.nlm.nih.gov/pubmed/?term=Weinstein%20AM%5BAuthor%5D&amp;cauthor=true&amp;cauthor_uid=23203864" TargetMode="External"/><Relationship Id="rId75" Type="http://schemas.openxmlformats.org/officeDocument/2006/relationships/hyperlink" Target="http://www.ncbi.nlm.nih.gov/pubmed?term=Aaboe%20J%5BAuthor%5D&amp;cauthor=true&amp;cauthor_uid=21440076" TargetMode="External"/><Relationship Id="rId83" Type="http://schemas.openxmlformats.org/officeDocument/2006/relationships/hyperlink" Target="http://www.ncbi.nlm.nih.gov/pubmed?term=Bijsterbosch%20J%5BAuthor%5D&amp;cauthor=true&amp;cauthor_uid=21470970" TargetMode="External"/><Relationship Id="rId88" Type="http://schemas.openxmlformats.org/officeDocument/2006/relationships/footer" Target="foot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ncbi.nlm.nih.gov/pubmed?term=Javaid%20MK%5BAuthor%5D&amp;cauthor=true&amp;cauthor_uid=23744977" TargetMode="External"/><Relationship Id="rId23" Type="http://schemas.openxmlformats.org/officeDocument/2006/relationships/hyperlink" Target="http://www.ncbi.nlm.nih.gov/pubmed?term=Jinks%20C%5BAuthor%5D&amp;cauthor=true&amp;cauthor_uid=19751691" TargetMode="External"/><Relationship Id="rId28" Type="http://schemas.openxmlformats.org/officeDocument/2006/relationships/hyperlink" Target="http://www.ncbi.nlm.nih.gov/pubmed?term=Reijman%20M%5BAuthor%5D&amp;cauthor=true&amp;cauthor_uid=16837490" TargetMode="External"/><Relationship Id="rId36" Type="http://schemas.openxmlformats.org/officeDocument/2006/relationships/hyperlink" Target="http://www.ncbi.nlm.nih.gov/pubmed?term=Yusuf%20E%5BAuthor%5D&amp;cauthor=true&amp;cauthor_uid=19487215" TargetMode="External"/><Relationship Id="rId49" Type="http://schemas.openxmlformats.org/officeDocument/2006/relationships/hyperlink" Target="http://www.ncbi.nlm.nih.gov/pubmed/?term=Le%C3%B3n-Mu%C3%B1oz%20LM%5BAuthor%5D&amp;cauthor=true&amp;cauthor_uid=23428930" TargetMode="External"/><Relationship Id="rId57" Type="http://schemas.openxmlformats.org/officeDocument/2006/relationships/hyperlink" Target="http://www.ncbi.nlm.nih.gov/pubmed?term=Holliday%20KL%5BAuthor%5D&amp;cauthor=true&amp;cauthor_uid=21044695" TargetMode="External"/><Relationship Id="rId10" Type="http://schemas.openxmlformats.org/officeDocument/2006/relationships/hyperlink" Target="http://www.ncbi.nlm.nih.gov/pubmed/?term=Kelly%20T%5BAuthor%5D&amp;cauthor=true&amp;cauthor_uid=18607383" TargetMode="External"/><Relationship Id="rId31" Type="http://schemas.openxmlformats.org/officeDocument/2006/relationships/hyperlink" Target="http://www.ncbi.nlm.nih.gov/pubmed?term=Grotle%20M%5BAuthor%5D&amp;cauthor=true&amp;cauthor_uid=18831740" TargetMode="External"/><Relationship Id="rId44" Type="http://schemas.openxmlformats.org/officeDocument/2006/relationships/hyperlink" Target="http://www.ncbi.nlm.nih.gov/pubmed?term=Anandacoomarasamy%20A%5BAuthor%5D&amp;cauthor=true&amp;cauthor_uid=24056594" TargetMode="External"/><Relationship Id="rId52" Type="http://schemas.openxmlformats.org/officeDocument/2006/relationships/hyperlink" Target="http://www.ncbi.nlm.nih.gov/pubmed/?term=Carlton%20L%5BAuthor%5D&amp;cauthor=true&amp;cauthor_uid=22348095" TargetMode="External"/><Relationship Id="rId60" Type="http://schemas.openxmlformats.org/officeDocument/2006/relationships/hyperlink" Target="http://www.ncbi.nlm.nih.gov/pubmed?term=Wang%20Y%5BAuthor%5D&amp;cauthor=true&amp;cauthor_uid=23362222" TargetMode="External"/><Relationship Id="rId65" Type="http://schemas.openxmlformats.org/officeDocument/2006/relationships/hyperlink" Target="http://www.ncbi.nlm.nih.gov/pubmed?term=Cooper%20R%5BAuthor%5D&amp;cauthor=true&amp;cauthor_uid=21979003" TargetMode="External"/><Relationship Id="rId73" Type="http://schemas.openxmlformats.org/officeDocument/2006/relationships/hyperlink" Target="http://www.ncbi.nlm.nih.gov/pubmed?term=Mihalko%20SL%5BAuthor%5D&amp;cauthor=true&amp;cauthor_uid=24065013" TargetMode="External"/><Relationship Id="rId78" Type="http://schemas.openxmlformats.org/officeDocument/2006/relationships/hyperlink" Target="http://www.ncbi.nlm.nih.gov/pubmed/?term=Bay-Jensen%20AC%5BAuthor%5D&amp;cauthor=true&amp;cauthor_uid=23615651" TargetMode="External"/><Relationship Id="rId81" Type="http://schemas.openxmlformats.org/officeDocument/2006/relationships/hyperlink" Target="http://www.ncbi.nlm.nih.gov/pubmed?term=Yusuf%20E%5BAuthor%5D&amp;cauthor=true&amp;cauthor_uid=21470970" TargetMode="External"/><Relationship Id="rId86"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hyperlink" Target="http://www.sidiap.org"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6.2976450860309105E-2"/>
          <c:y val="0.16576552930883601"/>
          <c:w val="0.78526948282408104"/>
          <c:h val="0.60199008457276204"/>
        </c:manualLayout>
      </c:layout>
      <c:lineChart>
        <c:grouping val="standard"/>
        <c:varyColors val="0"/>
        <c:ser>
          <c:idx val="0"/>
          <c:order val="0"/>
          <c:tx>
            <c:strRef>
              <c:f>Sheet1!$B$1</c:f>
              <c:strCache>
                <c:ptCount val="1"/>
                <c:pt idx="0">
                  <c:v>Obesity II</c:v>
                </c:pt>
              </c:strCache>
            </c:strRef>
          </c:tx>
          <c:spPr>
            <a:ln w="25400">
              <a:solidFill>
                <a:schemeClr val="tx1"/>
              </a:solidFill>
            </a:ln>
          </c:spPr>
          <c:marker>
            <c:symbol val="none"/>
          </c:marker>
          <c:cat>
            <c:strRef>
              <c:f>Sheet1!$A$2:$A$11</c:f>
              <c:strCache>
                <c:ptCount val="10"/>
                <c:pt idx="0">
                  <c:v>40 to &lt; 45</c:v>
                </c:pt>
                <c:pt idx="1">
                  <c:v>45 to &lt; 50</c:v>
                </c:pt>
                <c:pt idx="2">
                  <c:v>50 to &lt; 55</c:v>
                </c:pt>
                <c:pt idx="3">
                  <c:v>55 to &lt; 60</c:v>
                </c:pt>
                <c:pt idx="4">
                  <c:v>60 to &lt; 65</c:v>
                </c:pt>
                <c:pt idx="5">
                  <c:v>65 to &lt; 70</c:v>
                </c:pt>
                <c:pt idx="6">
                  <c:v>70 to &lt; 75</c:v>
                </c:pt>
                <c:pt idx="7">
                  <c:v>75 to &lt; 80</c:v>
                </c:pt>
                <c:pt idx="8">
                  <c:v>80 to &lt; 85</c:v>
                </c:pt>
                <c:pt idx="9">
                  <c:v>85 and older</c:v>
                </c:pt>
              </c:strCache>
            </c:strRef>
          </c:cat>
          <c:val>
            <c:numRef>
              <c:f>Sheet1!$B$2:$B$11</c:f>
              <c:numCache>
                <c:formatCode>General</c:formatCode>
                <c:ptCount val="10"/>
                <c:pt idx="0">
                  <c:v>1.58</c:v>
                </c:pt>
                <c:pt idx="1">
                  <c:v>4.7</c:v>
                </c:pt>
                <c:pt idx="2">
                  <c:v>9.6999999999999993</c:v>
                </c:pt>
                <c:pt idx="3">
                  <c:v>17.989999999999998</c:v>
                </c:pt>
                <c:pt idx="4">
                  <c:v>23.13</c:v>
                </c:pt>
                <c:pt idx="5">
                  <c:v>27.72</c:v>
                </c:pt>
                <c:pt idx="6">
                  <c:v>31.47</c:v>
                </c:pt>
                <c:pt idx="7">
                  <c:v>31.29</c:v>
                </c:pt>
                <c:pt idx="8">
                  <c:v>31.15</c:v>
                </c:pt>
                <c:pt idx="9">
                  <c:v>22.09</c:v>
                </c:pt>
              </c:numCache>
            </c:numRef>
          </c:val>
          <c:smooth val="0"/>
        </c:ser>
        <c:ser>
          <c:idx val="1"/>
          <c:order val="1"/>
          <c:tx>
            <c:strRef>
              <c:f>Sheet1!$C$1</c:f>
              <c:strCache>
                <c:ptCount val="1"/>
                <c:pt idx="0">
                  <c:v>Obesity I</c:v>
                </c:pt>
              </c:strCache>
            </c:strRef>
          </c:tx>
          <c:spPr>
            <a:ln w="12700">
              <a:solidFill>
                <a:schemeClr val="tx1"/>
              </a:solidFill>
            </a:ln>
          </c:spPr>
          <c:marker>
            <c:symbol val="square"/>
            <c:size val="5"/>
            <c:spPr>
              <a:solidFill>
                <a:schemeClr val="tx1"/>
              </a:solidFill>
              <a:ln>
                <a:solidFill>
                  <a:schemeClr val="tx1"/>
                </a:solidFill>
              </a:ln>
            </c:spPr>
          </c:marker>
          <c:cat>
            <c:strRef>
              <c:f>Sheet1!$A$2:$A$11</c:f>
              <c:strCache>
                <c:ptCount val="10"/>
                <c:pt idx="0">
                  <c:v>40 to &lt; 45</c:v>
                </c:pt>
                <c:pt idx="1">
                  <c:v>45 to &lt; 50</c:v>
                </c:pt>
                <c:pt idx="2">
                  <c:v>50 to &lt; 55</c:v>
                </c:pt>
                <c:pt idx="3">
                  <c:v>55 to &lt; 60</c:v>
                </c:pt>
                <c:pt idx="4">
                  <c:v>60 to &lt; 65</c:v>
                </c:pt>
                <c:pt idx="5">
                  <c:v>65 to &lt; 70</c:v>
                </c:pt>
                <c:pt idx="6">
                  <c:v>70 to &lt; 75</c:v>
                </c:pt>
                <c:pt idx="7">
                  <c:v>75 to &lt; 80</c:v>
                </c:pt>
                <c:pt idx="8">
                  <c:v>80 to &lt; 85</c:v>
                </c:pt>
                <c:pt idx="9">
                  <c:v>85 and older</c:v>
                </c:pt>
              </c:strCache>
            </c:strRef>
          </c:cat>
          <c:val>
            <c:numRef>
              <c:f>Sheet1!$C$2:$C$11</c:f>
              <c:numCache>
                <c:formatCode>General</c:formatCode>
                <c:ptCount val="10"/>
                <c:pt idx="0">
                  <c:v>1.03</c:v>
                </c:pt>
                <c:pt idx="1">
                  <c:v>2.66</c:v>
                </c:pt>
                <c:pt idx="2">
                  <c:v>5.22</c:v>
                </c:pt>
                <c:pt idx="3">
                  <c:v>9.58</c:v>
                </c:pt>
                <c:pt idx="4">
                  <c:v>14.17</c:v>
                </c:pt>
                <c:pt idx="5">
                  <c:v>16.27</c:v>
                </c:pt>
                <c:pt idx="6">
                  <c:v>20.74</c:v>
                </c:pt>
                <c:pt idx="7">
                  <c:v>22.81</c:v>
                </c:pt>
                <c:pt idx="8">
                  <c:v>22.81</c:v>
                </c:pt>
                <c:pt idx="9">
                  <c:v>17.559999999999999</c:v>
                </c:pt>
              </c:numCache>
            </c:numRef>
          </c:val>
          <c:smooth val="0"/>
        </c:ser>
        <c:ser>
          <c:idx val="2"/>
          <c:order val="2"/>
          <c:tx>
            <c:strRef>
              <c:f>Sheet1!$D$1</c:f>
              <c:strCache>
                <c:ptCount val="1"/>
                <c:pt idx="0">
                  <c:v>Overweight</c:v>
                </c:pt>
              </c:strCache>
            </c:strRef>
          </c:tx>
          <c:spPr>
            <a:ln w="12700">
              <a:solidFill>
                <a:schemeClr val="tx1"/>
              </a:solidFill>
            </a:ln>
          </c:spPr>
          <c:marker>
            <c:symbol val="diamond"/>
            <c:size val="5"/>
            <c:spPr>
              <a:noFill/>
              <a:ln>
                <a:solidFill>
                  <a:schemeClr val="tx1"/>
                </a:solidFill>
              </a:ln>
            </c:spPr>
          </c:marker>
          <c:cat>
            <c:strRef>
              <c:f>Sheet1!$A$2:$A$11</c:f>
              <c:strCache>
                <c:ptCount val="10"/>
                <c:pt idx="0">
                  <c:v>40 to &lt; 45</c:v>
                </c:pt>
                <c:pt idx="1">
                  <c:v>45 to &lt; 50</c:v>
                </c:pt>
                <c:pt idx="2">
                  <c:v>50 to &lt; 55</c:v>
                </c:pt>
                <c:pt idx="3">
                  <c:v>55 to &lt; 60</c:v>
                </c:pt>
                <c:pt idx="4">
                  <c:v>60 to &lt; 65</c:v>
                </c:pt>
                <c:pt idx="5">
                  <c:v>65 to &lt; 70</c:v>
                </c:pt>
                <c:pt idx="6">
                  <c:v>70 to &lt; 75</c:v>
                </c:pt>
                <c:pt idx="7">
                  <c:v>75 to &lt; 80</c:v>
                </c:pt>
                <c:pt idx="8">
                  <c:v>80 to &lt; 85</c:v>
                </c:pt>
                <c:pt idx="9">
                  <c:v>85 and older</c:v>
                </c:pt>
              </c:strCache>
            </c:strRef>
          </c:cat>
          <c:val>
            <c:numRef>
              <c:f>Sheet1!$D$2:$D$11</c:f>
              <c:numCache>
                <c:formatCode>General</c:formatCode>
                <c:ptCount val="10"/>
                <c:pt idx="0">
                  <c:v>0.63</c:v>
                </c:pt>
                <c:pt idx="1">
                  <c:v>1.73</c:v>
                </c:pt>
                <c:pt idx="2">
                  <c:v>2.97</c:v>
                </c:pt>
                <c:pt idx="3">
                  <c:v>5.44</c:v>
                </c:pt>
                <c:pt idx="4">
                  <c:v>7.84</c:v>
                </c:pt>
                <c:pt idx="5">
                  <c:v>10.26</c:v>
                </c:pt>
                <c:pt idx="6">
                  <c:v>12.5</c:v>
                </c:pt>
                <c:pt idx="7">
                  <c:v>14.75</c:v>
                </c:pt>
                <c:pt idx="8">
                  <c:v>15.93</c:v>
                </c:pt>
                <c:pt idx="9">
                  <c:v>12.12</c:v>
                </c:pt>
              </c:numCache>
            </c:numRef>
          </c:val>
          <c:smooth val="0"/>
        </c:ser>
        <c:ser>
          <c:idx val="3"/>
          <c:order val="3"/>
          <c:tx>
            <c:strRef>
              <c:f>Sheet1!$E$1</c:f>
              <c:strCache>
                <c:ptCount val="1"/>
                <c:pt idx="0">
                  <c:v>Normal-weight</c:v>
                </c:pt>
              </c:strCache>
            </c:strRef>
          </c:tx>
          <c:spPr>
            <a:ln w="12700">
              <a:solidFill>
                <a:schemeClr val="tx1"/>
              </a:solidFill>
            </a:ln>
          </c:spPr>
          <c:marker>
            <c:symbol val="x"/>
            <c:size val="5"/>
            <c:spPr>
              <a:noFill/>
              <a:ln>
                <a:solidFill>
                  <a:schemeClr val="tx1"/>
                </a:solidFill>
              </a:ln>
            </c:spPr>
          </c:marker>
          <c:cat>
            <c:strRef>
              <c:f>Sheet1!$A$2:$A$11</c:f>
              <c:strCache>
                <c:ptCount val="10"/>
                <c:pt idx="0">
                  <c:v>40 to &lt; 45</c:v>
                </c:pt>
                <c:pt idx="1">
                  <c:v>45 to &lt; 50</c:v>
                </c:pt>
                <c:pt idx="2">
                  <c:v>50 to &lt; 55</c:v>
                </c:pt>
                <c:pt idx="3">
                  <c:v>55 to &lt; 60</c:v>
                </c:pt>
                <c:pt idx="4">
                  <c:v>60 to &lt; 65</c:v>
                </c:pt>
                <c:pt idx="5">
                  <c:v>65 to &lt; 70</c:v>
                </c:pt>
                <c:pt idx="6">
                  <c:v>70 to &lt; 75</c:v>
                </c:pt>
                <c:pt idx="7">
                  <c:v>75 to &lt; 80</c:v>
                </c:pt>
                <c:pt idx="8">
                  <c:v>80 to &lt; 85</c:v>
                </c:pt>
                <c:pt idx="9">
                  <c:v>85 and older</c:v>
                </c:pt>
              </c:strCache>
            </c:strRef>
          </c:cat>
          <c:val>
            <c:numRef>
              <c:f>Sheet1!$E$2:$E$11</c:f>
              <c:numCache>
                <c:formatCode>General</c:formatCode>
                <c:ptCount val="10"/>
                <c:pt idx="0">
                  <c:v>0.4</c:v>
                </c:pt>
                <c:pt idx="1">
                  <c:v>1.04</c:v>
                </c:pt>
                <c:pt idx="2">
                  <c:v>1.85</c:v>
                </c:pt>
                <c:pt idx="3">
                  <c:v>3.14</c:v>
                </c:pt>
                <c:pt idx="4">
                  <c:v>4.6399999999999997</c:v>
                </c:pt>
                <c:pt idx="5">
                  <c:v>5.89</c:v>
                </c:pt>
                <c:pt idx="6">
                  <c:v>7.42</c:v>
                </c:pt>
                <c:pt idx="7">
                  <c:v>8.66</c:v>
                </c:pt>
                <c:pt idx="8">
                  <c:v>9.0299999999999994</c:v>
                </c:pt>
                <c:pt idx="9">
                  <c:v>7.14</c:v>
                </c:pt>
              </c:numCache>
            </c:numRef>
          </c:val>
          <c:smooth val="0"/>
        </c:ser>
        <c:dLbls>
          <c:showLegendKey val="0"/>
          <c:showVal val="0"/>
          <c:showCatName val="0"/>
          <c:showSerName val="0"/>
          <c:showPercent val="0"/>
          <c:showBubbleSize val="0"/>
        </c:dLbls>
        <c:marker val="1"/>
        <c:smooth val="0"/>
        <c:axId val="38938112"/>
        <c:axId val="38940032"/>
      </c:lineChart>
      <c:catAx>
        <c:axId val="38938112"/>
        <c:scaling>
          <c:orientation val="minMax"/>
        </c:scaling>
        <c:delete val="0"/>
        <c:axPos val="b"/>
        <c:majorTickMark val="out"/>
        <c:minorTickMark val="none"/>
        <c:tickLblPos val="nextTo"/>
        <c:txPr>
          <a:bodyPr rot="-2700000"/>
          <a:lstStyle/>
          <a:p>
            <a:pPr>
              <a:defRPr/>
            </a:pPr>
            <a:endParaRPr lang="en-US"/>
          </a:p>
        </c:txPr>
        <c:crossAx val="38940032"/>
        <c:crosses val="autoZero"/>
        <c:auto val="1"/>
        <c:lblAlgn val="ctr"/>
        <c:lblOffset val="100"/>
        <c:noMultiLvlLbl val="0"/>
      </c:catAx>
      <c:valAx>
        <c:axId val="38940032"/>
        <c:scaling>
          <c:orientation val="minMax"/>
        </c:scaling>
        <c:delete val="0"/>
        <c:axPos val="l"/>
        <c:majorGridlines>
          <c:spPr>
            <a:ln>
              <a:solidFill>
                <a:schemeClr val="bg1">
                  <a:lumMod val="85000"/>
                </a:schemeClr>
              </a:solidFill>
            </a:ln>
          </c:spPr>
        </c:majorGridlines>
        <c:numFmt formatCode="General" sourceLinked="1"/>
        <c:majorTickMark val="out"/>
        <c:minorTickMark val="none"/>
        <c:tickLblPos val="nextTo"/>
        <c:crossAx val="38938112"/>
        <c:crosses val="autoZero"/>
        <c:crossBetween val="between"/>
      </c:valAx>
      <c:spPr>
        <a:ln>
          <a:noFill/>
        </a:ln>
      </c:spPr>
    </c:plotArea>
    <c:plotVisOnly val="1"/>
    <c:dispBlanksAs val="gap"/>
    <c:showDLblsOverMax val="0"/>
  </c:chart>
  <c:spPr>
    <a:ln>
      <a:noFill/>
    </a:ln>
  </c:spPr>
  <c:txPr>
    <a:bodyPr/>
    <a:lstStyle/>
    <a:p>
      <a:pPr>
        <a:defRPr sz="1200">
          <a:latin typeface="Times New Roman"/>
          <a:cs typeface="Times New Roman"/>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2111508788674103E-2"/>
          <c:y val="0.177700599925009"/>
          <c:w val="0.76375391712399598"/>
          <c:h val="0.577317835270591"/>
        </c:manualLayout>
      </c:layout>
      <c:lineChart>
        <c:grouping val="standard"/>
        <c:varyColors val="0"/>
        <c:ser>
          <c:idx val="0"/>
          <c:order val="0"/>
          <c:tx>
            <c:strRef>
              <c:f>Sheet1!$B$1</c:f>
              <c:strCache>
                <c:ptCount val="1"/>
                <c:pt idx="0">
                  <c:v>Obesity II</c:v>
                </c:pt>
              </c:strCache>
            </c:strRef>
          </c:tx>
          <c:spPr>
            <a:ln w="25400">
              <a:solidFill>
                <a:schemeClr val="tx1"/>
              </a:solidFill>
            </a:ln>
          </c:spPr>
          <c:marker>
            <c:symbol val="none"/>
          </c:marker>
          <c:cat>
            <c:strRef>
              <c:f>Sheet1!$A$2:$A$11</c:f>
              <c:strCache>
                <c:ptCount val="10"/>
                <c:pt idx="0">
                  <c:v>40 to &lt; 45</c:v>
                </c:pt>
                <c:pt idx="1">
                  <c:v>45 to &lt; 50</c:v>
                </c:pt>
                <c:pt idx="2">
                  <c:v>50 to &lt; 55</c:v>
                </c:pt>
                <c:pt idx="3">
                  <c:v>55 to &lt; 60</c:v>
                </c:pt>
                <c:pt idx="4">
                  <c:v>60 to &lt; 65</c:v>
                </c:pt>
                <c:pt idx="5">
                  <c:v>65 to &lt; 70</c:v>
                </c:pt>
                <c:pt idx="6">
                  <c:v>70 to &lt; 75</c:v>
                </c:pt>
                <c:pt idx="7">
                  <c:v>75 to &lt; 80</c:v>
                </c:pt>
                <c:pt idx="8">
                  <c:v>80 to &lt; 85</c:v>
                </c:pt>
                <c:pt idx="9">
                  <c:v>85 and older</c:v>
                </c:pt>
              </c:strCache>
            </c:strRef>
          </c:cat>
          <c:val>
            <c:numRef>
              <c:f>Sheet1!$B$2:$B$11</c:f>
              <c:numCache>
                <c:formatCode>General</c:formatCode>
                <c:ptCount val="10"/>
                <c:pt idx="0">
                  <c:v>0.42</c:v>
                </c:pt>
                <c:pt idx="1">
                  <c:v>1.1299999999999999</c:v>
                </c:pt>
                <c:pt idx="2">
                  <c:v>1.8</c:v>
                </c:pt>
                <c:pt idx="3">
                  <c:v>2.83</c:v>
                </c:pt>
                <c:pt idx="4">
                  <c:v>3.53</c:v>
                </c:pt>
                <c:pt idx="5">
                  <c:v>4.7300000000000004</c:v>
                </c:pt>
                <c:pt idx="6">
                  <c:v>5.51</c:v>
                </c:pt>
                <c:pt idx="7">
                  <c:v>7.08</c:v>
                </c:pt>
                <c:pt idx="8">
                  <c:v>6.74</c:v>
                </c:pt>
                <c:pt idx="9">
                  <c:v>5.51</c:v>
                </c:pt>
              </c:numCache>
            </c:numRef>
          </c:val>
          <c:smooth val="0"/>
        </c:ser>
        <c:ser>
          <c:idx val="1"/>
          <c:order val="1"/>
          <c:tx>
            <c:strRef>
              <c:f>Sheet1!$C$1</c:f>
              <c:strCache>
                <c:ptCount val="1"/>
                <c:pt idx="0">
                  <c:v>Obesity I</c:v>
                </c:pt>
              </c:strCache>
            </c:strRef>
          </c:tx>
          <c:spPr>
            <a:ln w="12700">
              <a:solidFill>
                <a:schemeClr val="tx1"/>
              </a:solidFill>
            </a:ln>
          </c:spPr>
          <c:marker>
            <c:symbol val="square"/>
            <c:size val="5"/>
            <c:spPr>
              <a:solidFill>
                <a:schemeClr val="tx1"/>
              </a:solidFill>
              <a:ln>
                <a:solidFill>
                  <a:schemeClr val="tx1"/>
                </a:solidFill>
              </a:ln>
            </c:spPr>
          </c:marker>
          <c:cat>
            <c:strRef>
              <c:f>Sheet1!$A$2:$A$11</c:f>
              <c:strCache>
                <c:ptCount val="10"/>
                <c:pt idx="0">
                  <c:v>40 to &lt; 45</c:v>
                </c:pt>
                <c:pt idx="1">
                  <c:v>45 to &lt; 50</c:v>
                </c:pt>
                <c:pt idx="2">
                  <c:v>50 to &lt; 55</c:v>
                </c:pt>
                <c:pt idx="3">
                  <c:v>55 to &lt; 60</c:v>
                </c:pt>
                <c:pt idx="4">
                  <c:v>60 to &lt; 65</c:v>
                </c:pt>
                <c:pt idx="5">
                  <c:v>65 to &lt; 70</c:v>
                </c:pt>
                <c:pt idx="6">
                  <c:v>70 to &lt; 75</c:v>
                </c:pt>
                <c:pt idx="7">
                  <c:v>75 to &lt; 80</c:v>
                </c:pt>
                <c:pt idx="8">
                  <c:v>80 to &lt; 85</c:v>
                </c:pt>
                <c:pt idx="9">
                  <c:v>85 and older</c:v>
                </c:pt>
              </c:strCache>
            </c:strRef>
          </c:cat>
          <c:val>
            <c:numRef>
              <c:f>Sheet1!$C$2:$C$11</c:f>
              <c:numCache>
                <c:formatCode>General</c:formatCode>
                <c:ptCount val="10"/>
                <c:pt idx="0">
                  <c:v>0.37</c:v>
                </c:pt>
                <c:pt idx="1">
                  <c:v>0.83</c:v>
                </c:pt>
                <c:pt idx="2">
                  <c:v>1.45</c:v>
                </c:pt>
                <c:pt idx="3">
                  <c:v>2.11</c:v>
                </c:pt>
                <c:pt idx="4">
                  <c:v>3.22</c:v>
                </c:pt>
                <c:pt idx="5">
                  <c:v>3.93</c:v>
                </c:pt>
                <c:pt idx="6">
                  <c:v>5.26</c:v>
                </c:pt>
                <c:pt idx="7">
                  <c:v>6.1199999999999974</c:v>
                </c:pt>
                <c:pt idx="8">
                  <c:v>6.74</c:v>
                </c:pt>
                <c:pt idx="9">
                  <c:v>5.84</c:v>
                </c:pt>
              </c:numCache>
            </c:numRef>
          </c:val>
          <c:smooth val="0"/>
        </c:ser>
        <c:ser>
          <c:idx val="2"/>
          <c:order val="2"/>
          <c:tx>
            <c:strRef>
              <c:f>Sheet1!$D$1</c:f>
              <c:strCache>
                <c:ptCount val="1"/>
                <c:pt idx="0">
                  <c:v>Overweight</c:v>
                </c:pt>
              </c:strCache>
            </c:strRef>
          </c:tx>
          <c:spPr>
            <a:ln w="12700">
              <a:solidFill>
                <a:schemeClr val="tx1"/>
              </a:solidFill>
            </a:ln>
          </c:spPr>
          <c:marker>
            <c:symbol val="diamond"/>
            <c:size val="5"/>
            <c:spPr>
              <a:noFill/>
              <a:ln>
                <a:solidFill>
                  <a:schemeClr val="tx1"/>
                </a:solidFill>
              </a:ln>
            </c:spPr>
          </c:marker>
          <c:cat>
            <c:strRef>
              <c:f>Sheet1!$A$2:$A$11</c:f>
              <c:strCache>
                <c:ptCount val="10"/>
                <c:pt idx="0">
                  <c:v>40 to &lt; 45</c:v>
                </c:pt>
                <c:pt idx="1">
                  <c:v>45 to &lt; 50</c:v>
                </c:pt>
                <c:pt idx="2">
                  <c:v>50 to &lt; 55</c:v>
                </c:pt>
                <c:pt idx="3">
                  <c:v>55 to &lt; 60</c:v>
                </c:pt>
                <c:pt idx="4">
                  <c:v>60 to &lt; 65</c:v>
                </c:pt>
                <c:pt idx="5">
                  <c:v>65 to &lt; 70</c:v>
                </c:pt>
                <c:pt idx="6">
                  <c:v>70 to &lt; 75</c:v>
                </c:pt>
                <c:pt idx="7">
                  <c:v>75 to &lt; 80</c:v>
                </c:pt>
                <c:pt idx="8">
                  <c:v>80 to &lt; 85</c:v>
                </c:pt>
                <c:pt idx="9">
                  <c:v>85 and older</c:v>
                </c:pt>
              </c:strCache>
            </c:strRef>
          </c:cat>
          <c:val>
            <c:numRef>
              <c:f>Sheet1!$D$2:$D$11</c:f>
              <c:numCache>
                <c:formatCode>General</c:formatCode>
                <c:ptCount val="10"/>
                <c:pt idx="0">
                  <c:v>0.26</c:v>
                </c:pt>
                <c:pt idx="1">
                  <c:v>0.83</c:v>
                </c:pt>
                <c:pt idx="2">
                  <c:v>1.2</c:v>
                </c:pt>
                <c:pt idx="3">
                  <c:v>1.83</c:v>
                </c:pt>
                <c:pt idx="4">
                  <c:v>2.71</c:v>
                </c:pt>
                <c:pt idx="5">
                  <c:v>3.29</c:v>
                </c:pt>
                <c:pt idx="6">
                  <c:v>4.38</c:v>
                </c:pt>
                <c:pt idx="7">
                  <c:v>5.1499999999999986</c:v>
                </c:pt>
                <c:pt idx="8">
                  <c:v>5.79</c:v>
                </c:pt>
                <c:pt idx="9">
                  <c:v>4.9000000000000004</c:v>
                </c:pt>
              </c:numCache>
            </c:numRef>
          </c:val>
          <c:smooth val="0"/>
        </c:ser>
        <c:ser>
          <c:idx val="3"/>
          <c:order val="3"/>
          <c:tx>
            <c:strRef>
              <c:f>Sheet1!$E$1</c:f>
              <c:strCache>
                <c:ptCount val="1"/>
                <c:pt idx="0">
                  <c:v>Normal-weight</c:v>
                </c:pt>
              </c:strCache>
            </c:strRef>
          </c:tx>
          <c:spPr>
            <a:ln w="12700">
              <a:solidFill>
                <a:schemeClr val="tx1"/>
              </a:solidFill>
            </a:ln>
          </c:spPr>
          <c:marker>
            <c:symbol val="x"/>
            <c:size val="5"/>
            <c:spPr>
              <a:ln>
                <a:solidFill>
                  <a:schemeClr val="tx1"/>
                </a:solidFill>
              </a:ln>
            </c:spPr>
          </c:marker>
          <c:cat>
            <c:strRef>
              <c:f>Sheet1!$A$2:$A$11</c:f>
              <c:strCache>
                <c:ptCount val="10"/>
                <c:pt idx="0">
                  <c:v>40 to &lt; 45</c:v>
                </c:pt>
                <c:pt idx="1">
                  <c:v>45 to &lt; 50</c:v>
                </c:pt>
                <c:pt idx="2">
                  <c:v>50 to &lt; 55</c:v>
                </c:pt>
                <c:pt idx="3">
                  <c:v>55 to &lt; 60</c:v>
                </c:pt>
                <c:pt idx="4">
                  <c:v>60 to &lt; 65</c:v>
                </c:pt>
                <c:pt idx="5">
                  <c:v>65 to &lt; 70</c:v>
                </c:pt>
                <c:pt idx="6">
                  <c:v>70 to &lt; 75</c:v>
                </c:pt>
                <c:pt idx="7">
                  <c:v>75 to &lt; 80</c:v>
                </c:pt>
                <c:pt idx="8">
                  <c:v>80 to &lt; 85</c:v>
                </c:pt>
                <c:pt idx="9">
                  <c:v>85 and older</c:v>
                </c:pt>
              </c:strCache>
            </c:strRef>
          </c:cat>
          <c:val>
            <c:numRef>
              <c:f>Sheet1!$E$2:$E$11</c:f>
              <c:numCache>
                <c:formatCode>General</c:formatCode>
                <c:ptCount val="10"/>
                <c:pt idx="0">
                  <c:v>0.26</c:v>
                </c:pt>
                <c:pt idx="1">
                  <c:v>0.5</c:v>
                </c:pt>
                <c:pt idx="2">
                  <c:v>0.9</c:v>
                </c:pt>
                <c:pt idx="3">
                  <c:v>1.41</c:v>
                </c:pt>
                <c:pt idx="4">
                  <c:v>2.06</c:v>
                </c:pt>
                <c:pt idx="5">
                  <c:v>2.61</c:v>
                </c:pt>
                <c:pt idx="6">
                  <c:v>3.31</c:v>
                </c:pt>
                <c:pt idx="7">
                  <c:v>4.34</c:v>
                </c:pt>
                <c:pt idx="8">
                  <c:v>4.26</c:v>
                </c:pt>
                <c:pt idx="9">
                  <c:v>3.64</c:v>
                </c:pt>
              </c:numCache>
            </c:numRef>
          </c:val>
          <c:smooth val="0"/>
        </c:ser>
        <c:dLbls>
          <c:showLegendKey val="0"/>
          <c:showVal val="0"/>
          <c:showCatName val="0"/>
          <c:showSerName val="0"/>
          <c:showPercent val="0"/>
          <c:showBubbleSize val="0"/>
        </c:dLbls>
        <c:marker val="1"/>
        <c:smooth val="0"/>
        <c:axId val="41419520"/>
        <c:axId val="42720640"/>
      </c:lineChart>
      <c:catAx>
        <c:axId val="41419520"/>
        <c:scaling>
          <c:orientation val="minMax"/>
        </c:scaling>
        <c:delete val="0"/>
        <c:axPos val="b"/>
        <c:majorTickMark val="out"/>
        <c:minorTickMark val="none"/>
        <c:tickLblPos val="nextTo"/>
        <c:txPr>
          <a:bodyPr rot="-2700000"/>
          <a:lstStyle/>
          <a:p>
            <a:pPr>
              <a:defRPr/>
            </a:pPr>
            <a:endParaRPr lang="en-US"/>
          </a:p>
        </c:txPr>
        <c:crossAx val="42720640"/>
        <c:crosses val="autoZero"/>
        <c:auto val="1"/>
        <c:lblAlgn val="ctr"/>
        <c:lblOffset val="100"/>
        <c:noMultiLvlLbl val="0"/>
      </c:catAx>
      <c:valAx>
        <c:axId val="42720640"/>
        <c:scaling>
          <c:orientation val="minMax"/>
        </c:scaling>
        <c:delete val="0"/>
        <c:axPos val="l"/>
        <c:majorGridlines>
          <c:spPr>
            <a:ln>
              <a:solidFill>
                <a:schemeClr val="bg1">
                  <a:lumMod val="85000"/>
                </a:schemeClr>
              </a:solidFill>
            </a:ln>
          </c:spPr>
        </c:majorGridlines>
        <c:numFmt formatCode="General" sourceLinked="1"/>
        <c:majorTickMark val="out"/>
        <c:minorTickMark val="none"/>
        <c:tickLblPos val="nextTo"/>
        <c:crossAx val="41419520"/>
        <c:crosses val="autoZero"/>
        <c:crossBetween val="between"/>
      </c:valAx>
    </c:plotArea>
    <c:plotVisOnly val="1"/>
    <c:dispBlanksAs val="gap"/>
    <c:showDLblsOverMax val="0"/>
  </c:chart>
  <c:spPr>
    <a:ln>
      <a:noFill/>
    </a:ln>
  </c:spPr>
  <c:txPr>
    <a:bodyPr/>
    <a:lstStyle/>
    <a:p>
      <a:pPr>
        <a:defRPr sz="1200">
          <a:latin typeface="Times New Roman"/>
          <a:cs typeface="Times New Roman"/>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5.1090146750524097E-2"/>
          <c:y val="0.148148148148148"/>
          <c:w val="0.79796645702306102"/>
          <c:h val="0.57629046369203896"/>
        </c:manualLayout>
      </c:layout>
      <c:lineChart>
        <c:grouping val="standard"/>
        <c:varyColors val="0"/>
        <c:ser>
          <c:idx val="0"/>
          <c:order val="0"/>
          <c:tx>
            <c:strRef>
              <c:f>Sheet1!$B$1</c:f>
              <c:strCache>
                <c:ptCount val="1"/>
                <c:pt idx="0">
                  <c:v>Obesity II</c:v>
                </c:pt>
              </c:strCache>
            </c:strRef>
          </c:tx>
          <c:spPr>
            <a:ln w="25400">
              <a:solidFill>
                <a:schemeClr val="tx1"/>
              </a:solidFill>
            </a:ln>
          </c:spPr>
          <c:marker>
            <c:symbol val="none"/>
          </c:marker>
          <c:cat>
            <c:strRef>
              <c:f>Sheet1!$A$2:$A$11</c:f>
              <c:strCache>
                <c:ptCount val="10"/>
                <c:pt idx="0">
                  <c:v>40 to &lt; 45</c:v>
                </c:pt>
                <c:pt idx="1">
                  <c:v>45 to &lt; 50</c:v>
                </c:pt>
                <c:pt idx="2">
                  <c:v>50 to &lt; 55</c:v>
                </c:pt>
                <c:pt idx="3">
                  <c:v>55 to &lt; 60</c:v>
                </c:pt>
                <c:pt idx="4">
                  <c:v>60 to &lt; 65</c:v>
                </c:pt>
                <c:pt idx="5">
                  <c:v>65 to &lt; 70</c:v>
                </c:pt>
                <c:pt idx="6">
                  <c:v>70 to &lt; 75</c:v>
                </c:pt>
                <c:pt idx="7">
                  <c:v>75 to &lt; 80</c:v>
                </c:pt>
                <c:pt idx="8">
                  <c:v>80 to &lt; 85</c:v>
                </c:pt>
                <c:pt idx="9">
                  <c:v>85 and older</c:v>
                </c:pt>
              </c:strCache>
            </c:strRef>
          </c:cat>
          <c:val>
            <c:numRef>
              <c:f>Sheet1!$B$2:$B$11</c:f>
              <c:numCache>
                <c:formatCode>General</c:formatCode>
                <c:ptCount val="10"/>
                <c:pt idx="0">
                  <c:v>0.25</c:v>
                </c:pt>
                <c:pt idx="1">
                  <c:v>1.18</c:v>
                </c:pt>
                <c:pt idx="2">
                  <c:v>2.89</c:v>
                </c:pt>
                <c:pt idx="3">
                  <c:v>4.1499999999999986</c:v>
                </c:pt>
                <c:pt idx="4">
                  <c:v>5.4</c:v>
                </c:pt>
                <c:pt idx="5">
                  <c:v>5.26</c:v>
                </c:pt>
                <c:pt idx="6">
                  <c:v>5.54</c:v>
                </c:pt>
                <c:pt idx="7">
                  <c:v>5.4</c:v>
                </c:pt>
                <c:pt idx="8">
                  <c:v>4.76</c:v>
                </c:pt>
                <c:pt idx="9">
                  <c:v>4.2300000000000004</c:v>
                </c:pt>
              </c:numCache>
            </c:numRef>
          </c:val>
          <c:smooth val="0"/>
        </c:ser>
        <c:ser>
          <c:idx val="1"/>
          <c:order val="1"/>
          <c:tx>
            <c:strRef>
              <c:f>Sheet1!$C$1</c:f>
              <c:strCache>
                <c:ptCount val="1"/>
                <c:pt idx="0">
                  <c:v>Obesity I</c:v>
                </c:pt>
              </c:strCache>
            </c:strRef>
          </c:tx>
          <c:spPr>
            <a:ln w="12700">
              <a:solidFill>
                <a:schemeClr val="tx1"/>
              </a:solidFill>
            </a:ln>
          </c:spPr>
          <c:marker>
            <c:symbol val="square"/>
            <c:size val="5"/>
            <c:spPr>
              <a:solidFill>
                <a:schemeClr val="tx1"/>
              </a:solidFill>
              <a:ln>
                <a:solidFill>
                  <a:schemeClr val="tx1"/>
                </a:solidFill>
              </a:ln>
            </c:spPr>
          </c:marker>
          <c:cat>
            <c:strRef>
              <c:f>Sheet1!$A$2:$A$11</c:f>
              <c:strCache>
                <c:ptCount val="10"/>
                <c:pt idx="0">
                  <c:v>40 to &lt; 45</c:v>
                </c:pt>
                <c:pt idx="1">
                  <c:v>45 to &lt; 50</c:v>
                </c:pt>
                <c:pt idx="2">
                  <c:v>50 to &lt; 55</c:v>
                </c:pt>
                <c:pt idx="3">
                  <c:v>55 to &lt; 60</c:v>
                </c:pt>
                <c:pt idx="4">
                  <c:v>60 to &lt; 65</c:v>
                </c:pt>
                <c:pt idx="5">
                  <c:v>65 to &lt; 70</c:v>
                </c:pt>
                <c:pt idx="6">
                  <c:v>70 to &lt; 75</c:v>
                </c:pt>
                <c:pt idx="7">
                  <c:v>75 to &lt; 80</c:v>
                </c:pt>
                <c:pt idx="8">
                  <c:v>80 to &lt; 85</c:v>
                </c:pt>
                <c:pt idx="9">
                  <c:v>85 and older</c:v>
                </c:pt>
              </c:strCache>
            </c:strRef>
          </c:cat>
          <c:val>
            <c:numRef>
              <c:f>Sheet1!$C$2:$C$11</c:f>
              <c:numCache>
                <c:formatCode>General</c:formatCode>
                <c:ptCount val="10"/>
                <c:pt idx="0">
                  <c:v>0.36</c:v>
                </c:pt>
                <c:pt idx="1">
                  <c:v>1.28</c:v>
                </c:pt>
                <c:pt idx="2">
                  <c:v>2.39</c:v>
                </c:pt>
                <c:pt idx="3">
                  <c:v>3.7</c:v>
                </c:pt>
                <c:pt idx="4">
                  <c:v>4.71</c:v>
                </c:pt>
                <c:pt idx="5">
                  <c:v>4.54</c:v>
                </c:pt>
                <c:pt idx="6">
                  <c:v>4.91</c:v>
                </c:pt>
                <c:pt idx="7">
                  <c:v>4.74</c:v>
                </c:pt>
                <c:pt idx="8">
                  <c:v>4.26</c:v>
                </c:pt>
                <c:pt idx="9">
                  <c:v>4.3199999999999976</c:v>
                </c:pt>
              </c:numCache>
            </c:numRef>
          </c:val>
          <c:smooth val="0"/>
        </c:ser>
        <c:ser>
          <c:idx val="2"/>
          <c:order val="2"/>
          <c:tx>
            <c:strRef>
              <c:f>Sheet1!$D$1</c:f>
              <c:strCache>
                <c:ptCount val="1"/>
                <c:pt idx="0">
                  <c:v>Overweight</c:v>
                </c:pt>
              </c:strCache>
            </c:strRef>
          </c:tx>
          <c:spPr>
            <a:ln w="12700">
              <a:solidFill>
                <a:schemeClr val="tx1"/>
              </a:solidFill>
            </a:ln>
          </c:spPr>
          <c:marker>
            <c:symbol val="diamond"/>
            <c:size val="5"/>
            <c:spPr>
              <a:noFill/>
              <a:ln>
                <a:solidFill>
                  <a:schemeClr val="tx1"/>
                </a:solidFill>
              </a:ln>
            </c:spPr>
          </c:marker>
          <c:cat>
            <c:strRef>
              <c:f>Sheet1!$A$2:$A$11</c:f>
              <c:strCache>
                <c:ptCount val="10"/>
                <c:pt idx="0">
                  <c:v>40 to &lt; 45</c:v>
                </c:pt>
                <c:pt idx="1">
                  <c:v>45 to &lt; 50</c:v>
                </c:pt>
                <c:pt idx="2">
                  <c:v>50 to &lt; 55</c:v>
                </c:pt>
                <c:pt idx="3">
                  <c:v>55 to &lt; 60</c:v>
                </c:pt>
                <c:pt idx="4">
                  <c:v>60 to &lt; 65</c:v>
                </c:pt>
                <c:pt idx="5">
                  <c:v>65 to &lt; 70</c:v>
                </c:pt>
                <c:pt idx="6">
                  <c:v>70 to &lt; 75</c:v>
                </c:pt>
                <c:pt idx="7">
                  <c:v>75 to &lt; 80</c:v>
                </c:pt>
                <c:pt idx="8">
                  <c:v>80 to &lt; 85</c:v>
                </c:pt>
                <c:pt idx="9">
                  <c:v>85 and older</c:v>
                </c:pt>
              </c:strCache>
            </c:strRef>
          </c:cat>
          <c:val>
            <c:numRef>
              <c:f>Sheet1!$D$2:$D$11</c:f>
              <c:numCache>
                <c:formatCode>General</c:formatCode>
                <c:ptCount val="10"/>
                <c:pt idx="0">
                  <c:v>0.32</c:v>
                </c:pt>
                <c:pt idx="1">
                  <c:v>1.17</c:v>
                </c:pt>
                <c:pt idx="2">
                  <c:v>2.2200000000000002</c:v>
                </c:pt>
                <c:pt idx="3">
                  <c:v>3.76</c:v>
                </c:pt>
                <c:pt idx="4">
                  <c:v>4.0999999999999996</c:v>
                </c:pt>
                <c:pt idx="5">
                  <c:v>4.34</c:v>
                </c:pt>
                <c:pt idx="6">
                  <c:v>4.18</c:v>
                </c:pt>
                <c:pt idx="7">
                  <c:v>4.1099999999999994</c:v>
                </c:pt>
                <c:pt idx="8">
                  <c:v>3.94</c:v>
                </c:pt>
                <c:pt idx="9">
                  <c:v>3.63</c:v>
                </c:pt>
              </c:numCache>
            </c:numRef>
          </c:val>
          <c:smooth val="0"/>
        </c:ser>
        <c:ser>
          <c:idx val="3"/>
          <c:order val="3"/>
          <c:tx>
            <c:strRef>
              <c:f>Sheet1!$E$1</c:f>
              <c:strCache>
                <c:ptCount val="1"/>
                <c:pt idx="0">
                  <c:v>Normal-weight</c:v>
                </c:pt>
              </c:strCache>
            </c:strRef>
          </c:tx>
          <c:spPr>
            <a:ln w="12700">
              <a:solidFill>
                <a:schemeClr val="tx1"/>
              </a:solidFill>
            </a:ln>
          </c:spPr>
          <c:marker>
            <c:symbol val="x"/>
            <c:size val="5"/>
            <c:spPr>
              <a:ln>
                <a:solidFill>
                  <a:schemeClr val="tx1"/>
                </a:solidFill>
              </a:ln>
            </c:spPr>
          </c:marker>
          <c:cat>
            <c:strRef>
              <c:f>Sheet1!$A$2:$A$11</c:f>
              <c:strCache>
                <c:ptCount val="10"/>
                <c:pt idx="0">
                  <c:v>40 to &lt; 45</c:v>
                </c:pt>
                <c:pt idx="1">
                  <c:v>45 to &lt; 50</c:v>
                </c:pt>
                <c:pt idx="2">
                  <c:v>50 to &lt; 55</c:v>
                </c:pt>
                <c:pt idx="3">
                  <c:v>55 to &lt; 60</c:v>
                </c:pt>
                <c:pt idx="4">
                  <c:v>60 to &lt; 65</c:v>
                </c:pt>
                <c:pt idx="5">
                  <c:v>65 to &lt; 70</c:v>
                </c:pt>
                <c:pt idx="6">
                  <c:v>70 to &lt; 75</c:v>
                </c:pt>
                <c:pt idx="7">
                  <c:v>75 to &lt; 80</c:v>
                </c:pt>
                <c:pt idx="8">
                  <c:v>80 to &lt; 85</c:v>
                </c:pt>
                <c:pt idx="9">
                  <c:v>85 and older</c:v>
                </c:pt>
              </c:strCache>
            </c:strRef>
          </c:cat>
          <c:val>
            <c:numRef>
              <c:f>Sheet1!$E$2:$E$11</c:f>
              <c:numCache>
                <c:formatCode>General</c:formatCode>
                <c:ptCount val="10"/>
                <c:pt idx="0">
                  <c:v>0.28999999999999998</c:v>
                </c:pt>
                <c:pt idx="1">
                  <c:v>1.06</c:v>
                </c:pt>
                <c:pt idx="2">
                  <c:v>2.5299999999999998</c:v>
                </c:pt>
                <c:pt idx="3">
                  <c:v>4.0199999999999996</c:v>
                </c:pt>
                <c:pt idx="4">
                  <c:v>4.3</c:v>
                </c:pt>
                <c:pt idx="5">
                  <c:v>4.3</c:v>
                </c:pt>
                <c:pt idx="6">
                  <c:v>3.92</c:v>
                </c:pt>
                <c:pt idx="7">
                  <c:v>3.91</c:v>
                </c:pt>
                <c:pt idx="8">
                  <c:v>3.58</c:v>
                </c:pt>
                <c:pt idx="9">
                  <c:v>3.35</c:v>
                </c:pt>
              </c:numCache>
            </c:numRef>
          </c:val>
          <c:smooth val="0"/>
        </c:ser>
        <c:dLbls>
          <c:showLegendKey val="0"/>
          <c:showVal val="0"/>
          <c:showCatName val="0"/>
          <c:showSerName val="0"/>
          <c:showPercent val="0"/>
          <c:showBubbleSize val="0"/>
        </c:dLbls>
        <c:marker val="1"/>
        <c:smooth val="0"/>
        <c:axId val="42916096"/>
        <c:axId val="42799488"/>
      </c:lineChart>
      <c:catAx>
        <c:axId val="42916096"/>
        <c:scaling>
          <c:orientation val="minMax"/>
        </c:scaling>
        <c:delete val="0"/>
        <c:axPos val="b"/>
        <c:majorTickMark val="out"/>
        <c:minorTickMark val="none"/>
        <c:tickLblPos val="nextTo"/>
        <c:txPr>
          <a:bodyPr rot="-2700000"/>
          <a:lstStyle/>
          <a:p>
            <a:pPr>
              <a:defRPr/>
            </a:pPr>
            <a:endParaRPr lang="en-US"/>
          </a:p>
        </c:txPr>
        <c:crossAx val="42799488"/>
        <c:crosses val="autoZero"/>
        <c:auto val="1"/>
        <c:lblAlgn val="ctr"/>
        <c:lblOffset val="100"/>
        <c:noMultiLvlLbl val="0"/>
      </c:catAx>
      <c:valAx>
        <c:axId val="42799488"/>
        <c:scaling>
          <c:orientation val="minMax"/>
        </c:scaling>
        <c:delete val="0"/>
        <c:axPos val="l"/>
        <c:majorGridlines>
          <c:spPr>
            <a:ln>
              <a:solidFill>
                <a:schemeClr val="bg1">
                  <a:lumMod val="75000"/>
                </a:schemeClr>
              </a:solidFill>
            </a:ln>
          </c:spPr>
        </c:majorGridlines>
        <c:numFmt formatCode="General" sourceLinked="1"/>
        <c:majorTickMark val="out"/>
        <c:minorTickMark val="none"/>
        <c:tickLblPos val="nextTo"/>
        <c:crossAx val="42916096"/>
        <c:crosses val="autoZero"/>
        <c:crossBetween val="between"/>
      </c:valAx>
      <c:spPr>
        <a:noFill/>
        <a:ln>
          <a:noFill/>
        </a:ln>
      </c:spPr>
    </c:plotArea>
    <c:plotVisOnly val="1"/>
    <c:dispBlanksAs val="gap"/>
    <c:showDLblsOverMax val="0"/>
  </c:chart>
  <c:spPr>
    <a:noFill/>
    <a:ln>
      <a:noFill/>
    </a:ln>
  </c:spPr>
  <c:txPr>
    <a:bodyPr/>
    <a:lstStyle/>
    <a:p>
      <a:pPr>
        <a:defRPr sz="1200">
          <a:latin typeface="Times New Roman"/>
          <a:cs typeface="Times New Roman"/>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6.8815869170199898E-2"/>
          <c:y val="0.148148148148148"/>
          <c:w val="0.85208241126721895"/>
          <c:h val="0.60171770195392205"/>
        </c:manualLayout>
      </c:layout>
      <c:lineChart>
        <c:grouping val="standard"/>
        <c:varyColors val="0"/>
        <c:ser>
          <c:idx val="0"/>
          <c:order val="0"/>
          <c:tx>
            <c:strRef>
              <c:f>Sheet1!$B$1</c:f>
              <c:strCache>
                <c:ptCount val="1"/>
                <c:pt idx="0">
                  <c:v>Knee</c:v>
                </c:pt>
              </c:strCache>
            </c:strRef>
          </c:tx>
          <c:spPr>
            <a:ln w="25400">
              <a:solidFill>
                <a:schemeClr val="tx1"/>
              </a:solidFill>
            </a:ln>
          </c:spPr>
          <c:marker>
            <c:symbol val="none"/>
          </c:marker>
          <c:cat>
            <c:strRef>
              <c:f>Sheet1!$A$2:$A$11</c:f>
              <c:strCache>
                <c:ptCount val="10"/>
                <c:pt idx="0">
                  <c:v>40 to &lt; 45</c:v>
                </c:pt>
                <c:pt idx="1">
                  <c:v>45 to &lt; 50</c:v>
                </c:pt>
                <c:pt idx="2">
                  <c:v>50 to &lt; 55</c:v>
                </c:pt>
                <c:pt idx="3">
                  <c:v>55 to &lt; 60</c:v>
                </c:pt>
                <c:pt idx="4">
                  <c:v>60 to &lt; 65</c:v>
                </c:pt>
                <c:pt idx="5">
                  <c:v>65 to &lt; 70</c:v>
                </c:pt>
                <c:pt idx="6">
                  <c:v>70 to &lt; 75</c:v>
                </c:pt>
                <c:pt idx="7">
                  <c:v>75 to &lt; 80</c:v>
                </c:pt>
                <c:pt idx="8">
                  <c:v>80 to &lt; 85</c:v>
                </c:pt>
                <c:pt idx="9">
                  <c:v>85 and older</c:v>
                </c:pt>
              </c:strCache>
            </c:strRef>
          </c:cat>
          <c:val>
            <c:numRef>
              <c:f>Sheet1!$B$2:$B$11</c:f>
              <c:numCache>
                <c:formatCode>General</c:formatCode>
                <c:ptCount val="10"/>
                <c:pt idx="0">
                  <c:v>2.4500000000000002</c:v>
                </c:pt>
                <c:pt idx="1">
                  <c:v>2.63</c:v>
                </c:pt>
                <c:pt idx="2">
                  <c:v>2.98</c:v>
                </c:pt>
                <c:pt idx="3">
                  <c:v>3.24</c:v>
                </c:pt>
                <c:pt idx="4">
                  <c:v>3.16</c:v>
                </c:pt>
                <c:pt idx="5">
                  <c:v>2.8</c:v>
                </c:pt>
                <c:pt idx="6">
                  <c:v>2.76</c:v>
                </c:pt>
                <c:pt idx="7">
                  <c:v>2.56</c:v>
                </c:pt>
                <c:pt idx="8">
                  <c:v>2.4500000000000002</c:v>
                </c:pt>
                <c:pt idx="9">
                  <c:v>2.39</c:v>
                </c:pt>
              </c:numCache>
            </c:numRef>
          </c:val>
          <c:smooth val="0"/>
        </c:ser>
        <c:ser>
          <c:idx val="1"/>
          <c:order val="1"/>
          <c:tx>
            <c:strRef>
              <c:f>Sheet1!$C$1</c:f>
              <c:strCache>
                <c:ptCount val="1"/>
                <c:pt idx="0">
                  <c:v>Hip</c:v>
                </c:pt>
              </c:strCache>
            </c:strRef>
          </c:tx>
          <c:spPr>
            <a:ln w="25400">
              <a:solidFill>
                <a:schemeClr val="tx1"/>
              </a:solidFill>
              <a:prstDash val="lgDash"/>
            </a:ln>
          </c:spPr>
          <c:marker>
            <c:symbol val="none"/>
          </c:marker>
          <c:cat>
            <c:strRef>
              <c:f>Sheet1!$A$2:$A$11</c:f>
              <c:strCache>
                <c:ptCount val="10"/>
                <c:pt idx="0">
                  <c:v>40 to &lt; 45</c:v>
                </c:pt>
                <c:pt idx="1">
                  <c:v>45 to &lt; 50</c:v>
                </c:pt>
                <c:pt idx="2">
                  <c:v>50 to &lt; 55</c:v>
                </c:pt>
                <c:pt idx="3">
                  <c:v>55 to &lt; 60</c:v>
                </c:pt>
                <c:pt idx="4">
                  <c:v>60 to &lt; 65</c:v>
                </c:pt>
                <c:pt idx="5">
                  <c:v>65 to &lt; 70</c:v>
                </c:pt>
                <c:pt idx="6">
                  <c:v>70 to &lt; 75</c:v>
                </c:pt>
                <c:pt idx="7">
                  <c:v>75 to &lt; 80</c:v>
                </c:pt>
                <c:pt idx="8">
                  <c:v>80 to &lt; 85</c:v>
                </c:pt>
                <c:pt idx="9">
                  <c:v>85 and older</c:v>
                </c:pt>
              </c:strCache>
            </c:strRef>
          </c:cat>
          <c:val>
            <c:numRef>
              <c:f>Sheet1!$C$2:$C$11</c:f>
              <c:numCache>
                <c:formatCode>General</c:formatCode>
                <c:ptCount val="10"/>
                <c:pt idx="0">
                  <c:v>1.49</c:v>
                </c:pt>
                <c:pt idx="1">
                  <c:v>1.62</c:v>
                </c:pt>
                <c:pt idx="2">
                  <c:v>1.6</c:v>
                </c:pt>
                <c:pt idx="3">
                  <c:v>1.51</c:v>
                </c:pt>
                <c:pt idx="4">
                  <c:v>1.58</c:v>
                </c:pt>
                <c:pt idx="5">
                  <c:v>1.51</c:v>
                </c:pt>
                <c:pt idx="6">
                  <c:v>1.57</c:v>
                </c:pt>
                <c:pt idx="7">
                  <c:v>1.39</c:v>
                </c:pt>
                <c:pt idx="8">
                  <c:v>1.54</c:v>
                </c:pt>
                <c:pt idx="9">
                  <c:v>1.59</c:v>
                </c:pt>
              </c:numCache>
            </c:numRef>
          </c:val>
          <c:smooth val="0"/>
        </c:ser>
        <c:ser>
          <c:idx val="2"/>
          <c:order val="2"/>
          <c:tx>
            <c:strRef>
              <c:f>Sheet1!$D$1</c:f>
              <c:strCache>
                <c:ptCount val="1"/>
                <c:pt idx="0">
                  <c:v>Hand</c:v>
                </c:pt>
              </c:strCache>
            </c:strRef>
          </c:tx>
          <c:spPr>
            <a:ln w="38100">
              <a:solidFill>
                <a:schemeClr val="tx1"/>
              </a:solidFill>
              <a:prstDash val="sysDot"/>
            </a:ln>
          </c:spPr>
          <c:marker>
            <c:symbol val="none"/>
          </c:marker>
          <c:cat>
            <c:strRef>
              <c:f>Sheet1!$A$2:$A$11</c:f>
              <c:strCache>
                <c:ptCount val="10"/>
                <c:pt idx="0">
                  <c:v>40 to &lt; 45</c:v>
                </c:pt>
                <c:pt idx="1">
                  <c:v>45 to &lt; 50</c:v>
                </c:pt>
                <c:pt idx="2">
                  <c:v>50 to &lt; 55</c:v>
                </c:pt>
                <c:pt idx="3">
                  <c:v>55 to &lt; 60</c:v>
                </c:pt>
                <c:pt idx="4">
                  <c:v>60 to &lt; 65</c:v>
                </c:pt>
                <c:pt idx="5">
                  <c:v>65 to &lt; 70</c:v>
                </c:pt>
                <c:pt idx="6">
                  <c:v>70 to &lt; 75</c:v>
                </c:pt>
                <c:pt idx="7">
                  <c:v>75 to &lt; 80</c:v>
                </c:pt>
                <c:pt idx="8">
                  <c:v>80 to &lt; 85</c:v>
                </c:pt>
                <c:pt idx="9">
                  <c:v>85 and older</c:v>
                </c:pt>
              </c:strCache>
            </c:strRef>
          </c:cat>
          <c:val>
            <c:numRef>
              <c:f>Sheet1!$D$2:$D$11</c:f>
              <c:numCache>
                <c:formatCode>General</c:formatCode>
                <c:ptCount val="10"/>
                <c:pt idx="0">
                  <c:v>1.4</c:v>
                </c:pt>
                <c:pt idx="1">
                  <c:v>1.43</c:v>
                </c:pt>
                <c:pt idx="2">
                  <c:v>1.1299999999999999</c:v>
                </c:pt>
                <c:pt idx="3">
                  <c:v>1.07</c:v>
                </c:pt>
                <c:pt idx="4">
                  <c:v>1.18</c:v>
                </c:pt>
                <c:pt idx="5">
                  <c:v>1.08</c:v>
                </c:pt>
                <c:pt idx="6">
                  <c:v>1.23</c:v>
                </c:pt>
                <c:pt idx="7">
                  <c:v>1.17</c:v>
                </c:pt>
                <c:pt idx="8">
                  <c:v>1.1499999999999999</c:v>
                </c:pt>
                <c:pt idx="9">
                  <c:v>1.23</c:v>
                </c:pt>
              </c:numCache>
            </c:numRef>
          </c:val>
          <c:smooth val="0"/>
        </c:ser>
        <c:dLbls>
          <c:showLegendKey val="0"/>
          <c:showVal val="0"/>
          <c:showCatName val="0"/>
          <c:showSerName val="0"/>
          <c:showPercent val="0"/>
          <c:showBubbleSize val="0"/>
        </c:dLbls>
        <c:marker val="1"/>
        <c:smooth val="0"/>
        <c:axId val="42992000"/>
        <c:axId val="42993536"/>
      </c:lineChart>
      <c:catAx>
        <c:axId val="42992000"/>
        <c:scaling>
          <c:orientation val="minMax"/>
        </c:scaling>
        <c:delete val="0"/>
        <c:axPos val="b"/>
        <c:majorTickMark val="out"/>
        <c:minorTickMark val="none"/>
        <c:tickLblPos val="nextTo"/>
        <c:txPr>
          <a:bodyPr rot="-2400000"/>
          <a:lstStyle/>
          <a:p>
            <a:pPr>
              <a:defRPr sz="1100"/>
            </a:pPr>
            <a:endParaRPr lang="en-US"/>
          </a:p>
        </c:txPr>
        <c:crossAx val="42993536"/>
        <c:crosses val="autoZero"/>
        <c:auto val="1"/>
        <c:lblAlgn val="ctr"/>
        <c:lblOffset val="100"/>
        <c:noMultiLvlLbl val="0"/>
      </c:catAx>
      <c:valAx>
        <c:axId val="42993536"/>
        <c:scaling>
          <c:orientation val="minMax"/>
        </c:scaling>
        <c:delete val="0"/>
        <c:axPos val="l"/>
        <c:majorGridlines>
          <c:spPr>
            <a:ln>
              <a:solidFill>
                <a:schemeClr val="bg1">
                  <a:lumMod val="75000"/>
                </a:schemeClr>
              </a:solidFill>
            </a:ln>
          </c:spPr>
        </c:majorGridlines>
        <c:numFmt formatCode="General" sourceLinked="1"/>
        <c:majorTickMark val="out"/>
        <c:minorTickMark val="none"/>
        <c:tickLblPos val="nextTo"/>
        <c:crossAx val="42992000"/>
        <c:crosses val="autoZero"/>
        <c:crossBetween val="between"/>
      </c:valAx>
    </c:plotArea>
    <c:plotVisOnly val="1"/>
    <c:dispBlanksAs val="gap"/>
    <c:showDLblsOverMax val="0"/>
  </c:chart>
  <c:spPr>
    <a:ln>
      <a:noFill/>
    </a:ln>
  </c:spPr>
  <c:txPr>
    <a:bodyPr/>
    <a:lstStyle/>
    <a:p>
      <a:pPr>
        <a:defRPr sz="1200">
          <a:latin typeface="Times New Roman"/>
          <a:cs typeface="Times New Roman"/>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cdr:x>
      <cdr:y>0</cdr:y>
    </cdr:from>
    <cdr:to>
      <cdr:x>0.26531</cdr:x>
      <cdr:y>0.14658</cdr:y>
    </cdr:to>
    <cdr:sp macro="" textlink="">
      <cdr:nvSpPr>
        <cdr:cNvPr id="2" name="Cuadro de texto 1"/>
        <cdr:cNvSpPr txBox="1"/>
      </cdr:nvSpPr>
      <cdr:spPr>
        <a:xfrm xmlns:a="http://schemas.openxmlformats.org/drawingml/2006/main">
          <a:off x="0" y="0"/>
          <a:ext cx="1485900" cy="50262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 sz="1100">
              <a:latin typeface="Times New Roman"/>
            </a:rPr>
            <a:t>Incidence</a:t>
          </a:r>
          <a:r>
            <a:rPr lang="es-ES" sz="1100" baseline="0">
              <a:latin typeface="Times New Roman"/>
            </a:rPr>
            <a:t> of knee OA (1,000/ persons-year)</a:t>
          </a:r>
          <a:endParaRPr lang="es-ES" sz="1100">
            <a:latin typeface="Times New Roman"/>
          </a:endParaRPr>
        </a:p>
      </cdr:txBody>
    </cdr:sp>
  </cdr:relSizeAnchor>
  <cdr:relSizeAnchor xmlns:cdr="http://schemas.openxmlformats.org/drawingml/2006/chartDrawing">
    <cdr:from>
      <cdr:x>0.84906</cdr:x>
      <cdr:y>0.73333</cdr:y>
    </cdr:from>
    <cdr:to>
      <cdr:x>0.9307</cdr:x>
      <cdr:y>0.83333</cdr:y>
    </cdr:to>
    <cdr:sp macro="" textlink="">
      <cdr:nvSpPr>
        <cdr:cNvPr id="3" name="Cuadro de texto 2"/>
        <cdr:cNvSpPr txBox="1"/>
      </cdr:nvSpPr>
      <cdr:spPr>
        <a:xfrm xmlns:a="http://schemas.openxmlformats.org/drawingml/2006/main">
          <a:off x="5143500" y="2514600"/>
          <a:ext cx="494567" cy="3429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 sz="1100">
              <a:latin typeface="Times New Roman"/>
            </a:rPr>
            <a:t>Age</a:t>
          </a:r>
        </a:p>
      </cdr:txBody>
    </cdr:sp>
  </cdr:relSizeAnchor>
  <cdr:relSizeAnchor xmlns:cdr="http://schemas.openxmlformats.org/drawingml/2006/chartDrawing">
    <cdr:from>
      <cdr:x>0.81132</cdr:x>
      <cdr:y>0.33333</cdr:y>
    </cdr:from>
    <cdr:to>
      <cdr:x>1</cdr:x>
      <cdr:y>0.4</cdr:y>
    </cdr:to>
    <cdr:sp macro="" textlink="">
      <cdr:nvSpPr>
        <cdr:cNvPr id="4" name="Cuadro de texto 3"/>
        <cdr:cNvSpPr txBox="1"/>
      </cdr:nvSpPr>
      <cdr:spPr>
        <a:xfrm xmlns:a="http://schemas.openxmlformats.org/drawingml/2006/main">
          <a:off x="4914896" y="1143000"/>
          <a:ext cx="1143004" cy="228611"/>
        </a:xfrm>
        <a:prstGeom xmlns:a="http://schemas.openxmlformats.org/drawingml/2006/main" prst="rect">
          <a:avLst/>
        </a:prstGeom>
        <a:noFill xmlns:a="http://schemas.openxmlformats.org/drawingml/2006/main"/>
      </cdr:spPr>
      <cdr:txBody>
        <a:bodyPr xmlns:a="http://schemas.openxmlformats.org/drawingml/2006/main" vertOverflow="clip" wrap="square" rtlCol="0"/>
        <a:lstStyle xmlns:a="http://schemas.openxmlformats.org/drawingml/2006/main"/>
        <a:p xmlns:a="http://schemas.openxmlformats.org/drawingml/2006/main">
          <a:r>
            <a:rPr lang="es-ES" sz="1100">
              <a:latin typeface="Times New Roman"/>
            </a:rPr>
            <a:t>Obesity type II</a:t>
          </a:r>
        </a:p>
      </cdr:txBody>
    </cdr:sp>
  </cdr:relSizeAnchor>
  <cdr:relSizeAnchor xmlns:cdr="http://schemas.openxmlformats.org/drawingml/2006/chartDrawing">
    <cdr:from>
      <cdr:x>0.81132</cdr:x>
      <cdr:y>0.43333</cdr:y>
    </cdr:from>
    <cdr:to>
      <cdr:x>0.98113</cdr:x>
      <cdr:y>0.53333</cdr:y>
    </cdr:to>
    <cdr:sp macro="" textlink="">
      <cdr:nvSpPr>
        <cdr:cNvPr id="5" name="Cuadro de texto 4"/>
        <cdr:cNvSpPr txBox="1"/>
      </cdr:nvSpPr>
      <cdr:spPr>
        <a:xfrm xmlns:a="http://schemas.openxmlformats.org/drawingml/2006/main">
          <a:off x="4914900" y="1485900"/>
          <a:ext cx="1028692" cy="342900"/>
        </a:xfrm>
        <a:prstGeom xmlns:a="http://schemas.openxmlformats.org/drawingml/2006/main" prst="rect">
          <a:avLst/>
        </a:prstGeom>
        <a:noFill xmlns:a="http://schemas.openxmlformats.org/drawingml/2006/main"/>
      </cdr:spPr>
      <cdr:txBody>
        <a:bodyPr xmlns:a="http://schemas.openxmlformats.org/drawingml/2006/main" vertOverflow="clip" wrap="none" rtlCol="0"/>
        <a:lstStyle xmlns:a="http://schemas.openxmlformats.org/drawingml/2006/main"/>
        <a:p xmlns:a="http://schemas.openxmlformats.org/drawingml/2006/main">
          <a:r>
            <a:rPr lang="es-ES" sz="1100">
              <a:latin typeface="Times New Roman"/>
            </a:rPr>
            <a:t>Obesity type I</a:t>
          </a:r>
        </a:p>
      </cdr:txBody>
    </cdr:sp>
  </cdr:relSizeAnchor>
  <cdr:relSizeAnchor xmlns:cdr="http://schemas.openxmlformats.org/drawingml/2006/chartDrawing">
    <cdr:from>
      <cdr:x>0.81132</cdr:x>
      <cdr:y>0.53333</cdr:y>
    </cdr:from>
    <cdr:to>
      <cdr:x>0.96226</cdr:x>
      <cdr:y>0.6</cdr:y>
    </cdr:to>
    <cdr:sp macro="" textlink="">
      <cdr:nvSpPr>
        <cdr:cNvPr id="6" name="Cuadro de texto 5"/>
        <cdr:cNvSpPr txBox="1"/>
      </cdr:nvSpPr>
      <cdr:spPr>
        <a:xfrm xmlns:a="http://schemas.openxmlformats.org/drawingml/2006/main">
          <a:off x="4914900" y="1828800"/>
          <a:ext cx="914379" cy="22861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ES" sz="1100">
              <a:latin typeface="Times New Roman"/>
            </a:rPr>
            <a:t>Overweight</a:t>
          </a:r>
        </a:p>
      </cdr:txBody>
    </cdr:sp>
  </cdr:relSizeAnchor>
  <cdr:relSizeAnchor xmlns:cdr="http://schemas.openxmlformats.org/drawingml/2006/chartDrawing">
    <cdr:from>
      <cdr:x>0.81132</cdr:x>
      <cdr:y>0.6</cdr:y>
    </cdr:from>
    <cdr:to>
      <cdr:x>0.98113</cdr:x>
      <cdr:y>0.7</cdr:y>
    </cdr:to>
    <cdr:sp macro="" textlink="">
      <cdr:nvSpPr>
        <cdr:cNvPr id="7" name="Cuadro de texto 6"/>
        <cdr:cNvSpPr txBox="1"/>
      </cdr:nvSpPr>
      <cdr:spPr>
        <a:xfrm xmlns:a="http://schemas.openxmlformats.org/drawingml/2006/main">
          <a:off x="4914894" y="2057400"/>
          <a:ext cx="1028705" cy="3429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ES" sz="1100">
              <a:latin typeface="Times New Roman"/>
            </a:rPr>
            <a:t>Normal-weight</a:t>
          </a:r>
        </a:p>
      </cdr:txBody>
    </cdr:sp>
  </cdr:relSizeAnchor>
</c:userShapes>
</file>

<file path=word/drawings/drawing2.xml><?xml version="1.0" encoding="utf-8"?>
<c:userShapes xmlns:c="http://schemas.openxmlformats.org/drawingml/2006/chart">
  <cdr:relSizeAnchor xmlns:cdr="http://schemas.openxmlformats.org/drawingml/2006/chartDrawing">
    <cdr:from>
      <cdr:x>0.01818</cdr:x>
      <cdr:y>0</cdr:y>
    </cdr:from>
    <cdr:to>
      <cdr:x>0.25455</cdr:x>
      <cdr:y>0.15514</cdr:y>
    </cdr:to>
    <cdr:sp macro="" textlink="">
      <cdr:nvSpPr>
        <cdr:cNvPr id="2" name="Cuadro de texto 1"/>
        <cdr:cNvSpPr txBox="1"/>
      </cdr:nvSpPr>
      <cdr:spPr>
        <a:xfrm xmlns:a="http://schemas.openxmlformats.org/drawingml/2006/main">
          <a:off x="114300" y="0"/>
          <a:ext cx="1485900" cy="49651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ES" sz="1100">
              <a:latin typeface="Times New Roman"/>
            </a:rPr>
            <a:t>Incidence of hip</a:t>
          </a:r>
          <a:r>
            <a:rPr lang="es-ES" sz="1100" baseline="0">
              <a:latin typeface="Times New Roman"/>
            </a:rPr>
            <a:t> OA </a:t>
          </a:r>
        </a:p>
        <a:p xmlns:a="http://schemas.openxmlformats.org/drawingml/2006/main">
          <a:r>
            <a:rPr lang="es-ES" sz="1100" baseline="0">
              <a:latin typeface="Times New Roman"/>
            </a:rPr>
            <a:t>(1,000/ persons-year)</a:t>
          </a:r>
          <a:endParaRPr lang="es-ES" sz="1100">
            <a:latin typeface="Times New Roman"/>
          </a:endParaRPr>
        </a:p>
      </cdr:txBody>
    </cdr:sp>
  </cdr:relSizeAnchor>
  <cdr:relSizeAnchor xmlns:cdr="http://schemas.openxmlformats.org/drawingml/2006/chartDrawing">
    <cdr:from>
      <cdr:x>0.83636</cdr:x>
      <cdr:y>0.71429</cdr:y>
    </cdr:from>
    <cdr:to>
      <cdr:x>0.91183</cdr:x>
      <cdr:y>0.8254</cdr:y>
    </cdr:to>
    <cdr:sp macro="" textlink="">
      <cdr:nvSpPr>
        <cdr:cNvPr id="3" name="Cuadro de texto 2"/>
        <cdr:cNvSpPr txBox="1"/>
      </cdr:nvSpPr>
      <cdr:spPr>
        <a:xfrm xmlns:a="http://schemas.openxmlformats.org/drawingml/2006/main">
          <a:off x="5257800" y="2286000"/>
          <a:ext cx="474442" cy="3555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 sz="1100">
              <a:latin typeface="Times New Roman"/>
            </a:rPr>
            <a:t>Age</a:t>
          </a:r>
        </a:p>
      </cdr:txBody>
    </cdr:sp>
  </cdr:relSizeAnchor>
  <cdr:relSizeAnchor xmlns:cdr="http://schemas.openxmlformats.org/drawingml/2006/chartDrawing">
    <cdr:from>
      <cdr:x>0.7963</cdr:x>
      <cdr:y>0.23077</cdr:y>
    </cdr:from>
    <cdr:to>
      <cdr:x>0.94725</cdr:x>
      <cdr:y>0.3433</cdr:y>
    </cdr:to>
    <cdr:sp macro="" textlink="">
      <cdr:nvSpPr>
        <cdr:cNvPr id="4" name="Cuadro de texto 3"/>
        <cdr:cNvSpPr txBox="1"/>
      </cdr:nvSpPr>
      <cdr:spPr>
        <a:xfrm xmlns:a="http://schemas.openxmlformats.org/drawingml/2006/main">
          <a:off x="4914900" y="685800"/>
          <a:ext cx="931693" cy="33442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ES" sz="1100">
              <a:latin typeface="Times New Roman"/>
            </a:rPr>
            <a:t>Obesity type I</a:t>
          </a:r>
        </a:p>
        <a:p xmlns:a="http://schemas.openxmlformats.org/drawingml/2006/main">
          <a:endParaRPr lang="es-ES" sz="1100">
            <a:latin typeface="Times New Roman"/>
          </a:endParaRPr>
        </a:p>
      </cdr:txBody>
    </cdr:sp>
  </cdr:relSizeAnchor>
  <cdr:relSizeAnchor xmlns:cdr="http://schemas.openxmlformats.org/drawingml/2006/chartDrawing">
    <cdr:from>
      <cdr:x>0.7963</cdr:x>
      <cdr:y>0.30769</cdr:y>
    </cdr:from>
    <cdr:to>
      <cdr:x>0.96296</cdr:x>
      <cdr:y>0.42308</cdr:y>
    </cdr:to>
    <cdr:sp macro="" textlink="">
      <cdr:nvSpPr>
        <cdr:cNvPr id="5" name="Cuadro de texto 4"/>
        <cdr:cNvSpPr txBox="1"/>
      </cdr:nvSpPr>
      <cdr:spPr>
        <a:xfrm xmlns:a="http://schemas.openxmlformats.org/drawingml/2006/main">
          <a:off x="4914900" y="914400"/>
          <a:ext cx="1028700" cy="3429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ES" sz="1100">
              <a:latin typeface="Times New Roman"/>
            </a:rPr>
            <a:t>Obesity type</a:t>
          </a:r>
          <a:r>
            <a:rPr lang="es-ES" sz="1100" baseline="0">
              <a:latin typeface="Times New Roman"/>
            </a:rPr>
            <a:t> II</a:t>
          </a:r>
          <a:endParaRPr lang="es-ES" sz="1100">
            <a:latin typeface="Times New Roman"/>
          </a:endParaRPr>
        </a:p>
      </cdr:txBody>
    </cdr:sp>
  </cdr:relSizeAnchor>
  <cdr:relSizeAnchor xmlns:cdr="http://schemas.openxmlformats.org/drawingml/2006/chartDrawing">
    <cdr:from>
      <cdr:x>0.7963</cdr:x>
      <cdr:y>0.38462</cdr:y>
    </cdr:from>
    <cdr:to>
      <cdr:x>0.92593</cdr:x>
      <cdr:y>0.46154</cdr:y>
    </cdr:to>
    <cdr:sp macro="" textlink="">
      <cdr:nvSpPr>
        <cdr:cNvPr id="6" name="Cuadro de texto 5"/>
        <cdr:cNvSpPr txBox="1"/>
      </cdr:nvSpPr>
      <cdr:spPr>
        <a:xfrm xmlns:a="http://schemas.openxmlformats.org/drawingml/2006/main">
          <a:off x="4914900" y="1143000"/>
          <a:ext cx="800100" cy="2286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ES" sz="1100">
              <a:latin typeface="Times New Roman"/>
            </a:rPr>
            <a:t>Overweight</a:t>
          </a:r>
        </a:p>
      </cdr:txBody>
    </cdr:sp>
  </cdr:relSizeAnchor>
  <cdr:relSizeAnchor xmlns:cdr="http://schemas.openxmlformats.org/drawingml/2006/chartDrawing">
    <cdr:from>
      <cdr:x>0.7963</cdr:x>
      <cdr:y>0.46154</cdr:y>
    </cdr:from>
    <cdr:to>
      <cdr:x>0.96296</cdr:x>
      <cdr:y>0.57692</cdr:y>
    </cdr:to>
    <cdr:sp macro="" textlink="">
      <cdr:nvSpPr>
        <cdr:cNvPr id="7" name="Cuadro de texto 6"/>
        <cdr:cNvSpPr txBox="1"/>
      </cdr:nvSpPr>
      <cdr:spPr>
        <a:xfrm xmlns:a="http://schemas.openxmlformats.org/drawingml/2006/main">
          <a:off x="4914900" y="1371600"/>
          <a:ext cx="1028700" cy="3429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ES" sz="1100">
              <a:latin typeface="Times New Roman"/>
            </a:rPr>
            <a:t>Normal-weight</a:t>
          </a: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cdr:y>
    </cdr:from>
    <cdr:to>
      <cdr:x>0.24528</cdr:x>
      <cdr:y>0.14815</cdr:y>
    </cdr:to>
    <cdr:sp macro="" textlink="">
      <cdr:nvSpPr>
        <cdr:cNvPr id="2" name="Cuadro de texto 1"/>
        <cdr:cNvSpPr txBox="1"/>
      </cdr:nvSpPr>
      <cdr:spPr>
        <a:xfrm xmlns:a="http://schemas.openxmlformats.org/drawingml/2006/main">
          <a:off x="0" y="0"/>
          <a:ext cx="1485900" cy="4572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ES" sz="1100">
              <a:latin typeface="Times New Roman"/>
            </a:rPr>
            <a:t>Incidence of hand OA</a:t>
          </a:r>
        </a:p>
        <a:p xmlns:a="http://schemas.openxmlformats.org/drawingml/2006/main">
          <a:r>
            <a:rPr lang="es-ES" sz="1100">
              <a:latin typeface="Times New Roman"/>
            </a:rPr>
            <a:t>(1,000/</a:t>
          </a:r>
          <a:r>
            <a:rPr lang="es-ES" sz="1100" baseline="0">
              <a:latin typeface="Times New Roman"/>
            </a:rPr>
            <a:t> persons-year</a:t>
          </a:r>
          <a:r>
            <a:rPr lang="es-ES" sz="1100">
              <a:latin typeface="Times New Roman"/>
            </a:rPr>
            <a:t>)</a:t>
          </a:r>
        </a:p>
      </cdr:txBody>
    </cdr:sp>
  </cdr:relSizeAnchor>
  <cdr:relSizeAnchor xmlns:cdr="http://schemas.openxmlformats.org/drawingml/2006/chartDrawing">
    <cdr:from>
      <cdr:x>0.84906</cdr:x>
      <cdr:y>0.66667</cdr:y>
    </cdr:from>
    <cdr:to>
      <cdr:x>0.94339</cdr:x>
      <cdr:y>0.74074</cdr:y>
    </cdr:to>
    <cdr:sp macro="" textlink="">
      <cdr:nvSpPr>
        <cdr:cNvPr id="3" name="Cuadro de texto 2"/>
        <cdr:cNvSpPr txBox="1"/>
      </cdr:nvSpPr>
      <cdr:spPr>
        <a:xfrm xmlns:a="http://schemas.openxmlformats.org/drawingml/2006/main">
          <a:off x="5143500" y="2057400"/>
          <a:ext cx="571479" cy="2286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ES" sz="1100">
              <a:latin typeface="Times New Roman"/>
            </a:rPr>
            <a:t>Age </a:t>
          </a:r>
        </a:p>
      </cdr:txBody>
    </cdr:sp>
  </cdr:relSizeAnchor>
  <cdr:relSizeAnchor xmlns:cdr="http://schemas.openxmlformats.org/drawingml/2006/chartDrawing">
    <cdr:from>
      <cdr:x>0.71698</cdr:x>
      <cdr:y>0.18519</cdr:y>
    </cdr:from>
    <cdr:to>
      <cdr:x>0.86792</cdr:x>
      <cdr:y>0.25926</cdr:y>
    </cdr:to>
    <cdr:sp macro="" textlink="">
      <cdr:nvSpPr>
        <cdr:cNvPr id="4" name="Cuadro de texto 3"/>
        <cdr:cNvSpPr txBox="1"/>
      </cdr:nvSpPr>
      <cdr:spPr>
        <a:xfrm xmlns:a="http://schemas.openxmlformats.org/drawingml/2006/main">
          <a:off x="4343400" y="571500"/>
          <a:ext cx="914400" cy="228600"/>
        </a:xfrm>
        <a:prstGeom xmlns:a="http://schemas.openxmlformats.org/drawingml/2006/main" prst="rect">
          <a:avLst/>
        </a:prstGeom>
        <a:solidFill xmlns:a="http://schemas.openxmlformats.org/drawingml/2006/main">
          <a:srgbClr val="FFFFFF"/>
        </a:solidFill>
      </cdr:spPr>
      <cdr:txBody>
        <a:bodyPr xmlns:a="http://schemas.openxmlformats.org/drawingml/2006/main" vertOverflow="clip" wrap="none" rtlCol="0"/>
        <a:lstStyle xmlns:a="http://schemas.openxmlformats.org/drawingml/2006/main"/>
        <a:p xmlns:a="http://schemas.openxmlformats.org/drawingml/2006/main">
          <a:r>
            <a:rPr lang="es-ES" sz="1100">
              <a:latin typeface="Times New Roman"/>
            </a:rPr>
            <a:t>Obesity</a:t>
          </a:r>
          <a:r>
            <a:rPr lang="es-ES" sz="1100" baseline="0">
              <a:latin typeface="Times New Roman"/>
            </a:rPr>
            <a:t> type II</a:t>
          </a:r>
          <a:endParaRPr lang="es-ES" sz="1100">
            <a:latin typeface="Times New Roman"/>
          </a:endParaRPr>
        </a:p>
      </cdr:txBody>
    </cdr:sp>
  </cdr:relSizeAnchor>
  <cdr:relSizeAnchor xmlns:cdr="http://schemas.openxmlformats.org/drawingml/2006/chartDrawing">
    <cdr:from>
      <cdr:x>0.81132</cdr:x>
      <cdr:y>0.25926</cdr:y>
    </cdr:from>
    <cdr:to>
      <cdr:x>0.96226</cdr:x>
      <cdr:y>0.40741</cdr:y>
    </cdr:to>
    <cdr:sp macro="" textlink="">
      <cdr:nvSpPr>
        <cdr:cNvPr id="5" name="Cuadro de texto 4"/>
        <cdr:cNvSpPr txBox="1"/>
      </cdr:nvSpPr>
      <cdr:spPr>
        <a:xfrm xmlns:a="http://schemas.openxmlformats.org/drawingml/2006/main">
          <a:off x="4914900" y="800100"/>
          <a:ext cx="914400" cy="4572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ES" sz="1100">
              <a:latin typeface="Times New Roman"/>
            </a:rPr>
            <a:t>Obesity type</a:t>
          </a:r>
          <a:r>
            <a:rPr lang="es-ES" sz="1100" baseline="0">
              <a:latin typeface="Times New Roman"/>
            </a:rPr>
            <a:t> I</a:t>
          </a:r>
          <a:endParaRPr lang="es-ES" sz="1100">
            <a:latin typeface="Times New Roman"/>
          </a:endParaRPr>
        </a:p>
      </cdr:txBody>
    </cdr:sp>
  </cdr:relSizeAnchor>
  <cdr:relSizeAnchor xmlns:cdr="http://schemas.openxmlformats.org/drawingml/2006/chartDrawing">
    <cdr:from>
      <cdr:x>0.81132</cdr:x>
      <cdr:y>0.33333</cdr:y>
    </cdr:from>
    <cdr:to>
      <cdr:x>0.98113</cdr:x>
      <cdr:y>0.44444</cdr:y>
    </cdr:to>
    <cdr:sp macro="" textlink="">
      <cdr:nvSpPr>
        <cdr:cNvPr id="6" name="Cuadro de texto 5"/>
        <cdr:cNvSpPr txBox="1"/>
      </cdr:nvSpPr>
      <cdr:spPr>
        <a:xfrm xmlns:a="http://schemas.openxmlformats.org/drawingml/2006/main">
          <a:off x="4914900" y="1028700"/>
          <a:ext cx="1028700" cy="3429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ES" sz="1100">
              <a:latin typeface="Times New Roman"/>
            </a:rPr>
            <a:t>Overweight</a:t>
          </a:r>
        </a:p>
      </cdr:txBody>
    </cdr:sp>
  </cdr:relSizeAnchor>
  <cdr:relSizeAnchor xmlns:cdr="http://schemas.openxmlformats.org/drawingml/2006/chartDrawing">
    <cdr:from>
      <cdr:x>0.75472</cdr:x>
      <cdr:y>0.40741</cdr:y>
    </cdr:from>
    <cdr:to>
      <cdr:x>0.9434</cdr:x>
      <cdr:y>0.48148</cdr:y>
    </cdr:to>
    <cdr:sp macro="" textlink="">
      <cdr:nvSpPr>
        <cdr:cNvPr id="7" name="Cuadro de texto 6"/>
        <cdr:cNvSpPr txBox="1"/>
      </cdr:nvSpPr>
      <cdr:spPr>
        <a:xfrm xmlns:a="http://schemas.openxmlformats.org/drawingml/2006/main">
          <a:off x="4572018" y="1257308"/>
          <a:ext cx="1142982" cy="22859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ES" sz="1100">
              <a:latin typeface="Times New Roman"/>
            </a:rPr>
            <a:t>Normal-weight</a:t>
          </a:r>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0.03704</cdr:y>
    </cdr:from>
    <cdr:to>
      <cdr:x>0.19231</cdr:x>
      <cdr:y>0.11111</cdr:y>
    </cdr:to>
    <cdr:sp macro="" textlink="">
      <cdr:nvSpPr>
        <cdr:cNvPr id="2" name="Cuadro de texto 1"/>
        <cdr:cNvSpPr txBox="1"/>
      </cdr:nvSpPr>
      <cdr:spPr>
        <a:xfrm xmlns:a="http://schemas.openxmlformats.org/drawingml/2006/main">
          <a:off x="0" y="114300"/>
          <a:ext cx="1143000" cy="2286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ES" sz="1100">
              <a:latin typeface="Times New Roman"/>
            </a:rPr>
            <a:t>Multivariate</a:t>
          </a:r>
          <a:r>
            <a:rPr lang="es-ES" sz="1100" baseline="0">
              <a:latin typeface="Times New Roman"/>
            </a:rPr>
            <a:t> HR</a:t>
          </a:r>
          <a:endParaRPr lang="es-ES" sz="1100">
            <a:latin typeface="Times New Roman"/>
          </a:endParaRPr>
        </a:p>
      </cdr:txBody>
    </cdr:sp>
  </cdr:relSizeAnchor>
  <cdr:relSizeAnchor xmlns:cdr="http://schemas.openxmlformats.org/drawingml/2006/chartDrawing">
    <cdr:from>
      <cdr:x>0.92308</cdr:x>
      <cdr:y>0.7037</cdr:y>
    </cdr:from>
    <cdr:to>
      <cdr:x>1</cdr:x>
      <cdr:y>0.81481</cdr:y>
    </cdr:to>
    <cdr:sp macro="" textlink="">
      <cdr:nvSpPr>
        <cdr:cNvPr id="3" name="Cuadro de texto 2"/>
        <cdr:cNvSpPr txBox="1"/>
      </cdr:nvSpPr>
      <cdr:spPr>
        <a:xfrm xmlns:a="http://schemas.openxmlformats.org/drawingml/2006/main">
          <a:off x="5486400" y="2171700"/>
          <a:ext cx="457200" cy="3429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ES" sz="1100">
              <a:latin typeface="Times New Roman"/>
            </a:rPr>
            <a:t>Age</a:t>
          </a:r>
        </a:p>
      </cdr:txBody>
    </cdr:sp>
  </cdr:relSizeAnchor>
  <cdr:relSizeAnchor xmlns:cdr="http://schemas.openxmlformats.org/drawingml/2006/chartDrawing">
    <cdr:from>
      <cdr:x>0.88235</cdr:x>
      <cdr:y>0.29167</cdr:y>
    </cdr:from>
    <cdr:to>
      <cdr:x>0.99773</cdr:x>
      <cdr:y>0.36574</cdr:y>
    </cdr:to>
    <cdr:sp macro="" textlink="">
      <cdr:nvSpPr>
        <cdr:cNvPr id="4" name="Cuadro de texto 3"/>
        <cdr:cNvSpPr txBox="1"/>
      </cdr:nvSpPr>
      <cdr:spPr>
        <a:xfrm xmlns:a="http://schemas.openxmlformats.org/drawingml/2006/main">
          <a:off x="5143483" y="800109"/>
          <a:ext cx="672584" cy="203189"/>
        </a:xfrm>
        <a:prstGeom xmlns:a="http://schemas.openxmlformats.org/drawingml/2006/main" prst="rect">
          <a:avLst/>
        </a:prstGeom>
        <a:solidFill xmlns:a="http://schemas.openxmlformats.org/drawingml/2006/main">
          <a:schemeClr val="bg1"/>
        </a:solidFill>
      </cdr:spPr>
      <cdr:txBody>
        <a:bodyPr xmlns:a="http://schemas.openxmlformats.org/drawingml/2006/main" vertOverflow="clip" wrap="square" rtlCol="0"/>
        <a:lstStyle xmlns:a="http://schemas.openxmlformats.org/drawingml/2006/main"/>
        <a:p xmlns:a="http://schemas.openxmlformats.org/drawingml/2006/main">
          <a:r>
            <a:rPr lang="es-ES" sz="1100">
              <a:latin typeface="Times New Roman"/>
            </a:rPr>
            <a:t>Knee</a:t>
          </a:r>
        </a:p>
      </cdr:txBody>
    </cdr:sp>
  </cdr:relSizeAnchor>
  <cdr:relSizeAnchor xmlns:cdr="http://schemas.openxmlformats.org/drawingml/2006/chartDrawing">
    <cdr:from>
      <cdr:x>0.88235</cdr:x>
      <cdr:y>0.41667</cdr:y>
    </cdr:from>
    <cdr:to>
      <cdr:x>0.9691</cdr:x>
      <cdr:y>0.54199</cdr:y>
    </cdr:to>
    <cdr:sp macro="" textlink="">
      <cdr:nvSpPr>
        <cdr:cNvPr id="5" name="Cuadro de texto 4"/>
        <cdr:cNvSpPr txBox="1"/>
      </cdr:nvSpPr>
      <cdr:spPr>
        <a:xfrm xmlns:a="http://schemas.openxmlformats.org/drawingml/2006/main">
          <a:off x="5143500" y="1143000"/>
          <a:ext cx="505674" cy="343775"/>
        </a:xfrm>
        <a:prstGeom xmlns:a="http://schemas.openxmlformats.org/drawingml/2006/main" prst="rect">
          <a:avLst/>
        </a:prstGeom>
        <a:solidFill xmlns:a="http://schemas.openxmlformats.org/drawingml/2006/main">
          <a:srgbClr val="FFFFFF"/>
        </a:solidFill>
      </cdr:spPr>
      <cdr:txBody>
        <a:bodyPr xmlns:a="http://schemas.openxmlformats.org/drawingml/2006/main" vertOverflow="clip" wrap="none" rtlCol="0"/>
        <a:lstStyle xmlns:a="http://schemas.openxmlformats.org/drawingml/2006/main"/>
        <a:p xmlns:a="http://schemas.openxmlformats.org/drawingml/2006/main">
          <a:r>
            <a:rPr lang="es-ES" sz="1100">
              <a:latin typeface="Times New Roman"/>
            </a:rPr>
            <a:t>Hip</a:t>
          </a:r>
        </a:p>
      </cdr:txBody>
    </cdr:sp>
  </cdr:relSizeAnchor>
  <cdr:relSizeAnchor xmlns:cdr="http://schemas.openxmlformats.org/drawingml/2006/chartDrawing">
    <cdr:from>
      <cdr:x>0.88235</cdr:x>
      <cdr:y>0.5</cdr:y>
    </cdr:from>
    <cdr:to>
      <cdr:x>0.98838</cdr:x>
      <cdr:y>0.62532</cdr:y>
    </cdr:to>
    <cdr:sp macro="" textlink="">
      <cdr:nvSpPr>
        <cdr:cNvPr id="6" name="Cuadro de texto 5"/>
        <cdr:cNvSpPr txBox="1"/>
      </cdr:nvSpPr>
      <cdr:spPr>
        <a:xfrm xmlns:a="http://schemas.openxmlformats.org/drawingml/2006/main">
          <a:off x="5143500" y="1371600"/>
          <a:ext cx="618046" cy="343775"/>
        </a:xfrm>
        <a:prstGeom xmlns:a="http://schemas.openxmlformats.org/drawingml/2006/main" prst="rect">
          <a:avLst/>
        </a:prstGeom>
        <a:solidFill xmlns:a="http://schemas.openxmlformats.org/drawingml/2006/main">
          <a:srgbClr val="FFFFFF"/>
        </a:solidFill>
      </cdr:spPr>
      <cdr:txBody>
        <a:bodyPr xmlns:a="http://schemas.openxmlformats.org/drawingml/2006/main" vertOverflow="clip" wrap="none" rtlCol="0"/>
        <a:lstStyle xmlns:a="http://schemas.openxmlformats.org/drawingml/2006/main"/>
        <a:p xmlns:a="http://schemas.openxmlformats.org/drawingml/2006/main">
          <a:r>
            <a:rPr lang="es-ES" sz="1100">
              <a:latin typeface="Times New Roman"/>
            </a:rPr>
            <a:t>Hand</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55777-DDDD-4B21-9030-0718C9CB8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5589</Words>
  <Characters>31861</Characters>
  <Application>Microsoft Office Word</Application>
  <DocSecurity>4</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Primary Care Sciences</Company>
  <LinksUpToDate>false</LinksUpToDate>
  <CharactersWithSpaces>37376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Carlen Reyes</dc:creator>
  <cp:lastModifiedBy>Karen Drake</cp:lastModifiedBy>
  <cp:revision>2</cp:revision>
  <cp:lastPrinted>2015-07-10T13:45:00Z</cp:lastPrinted>
  <dcterms:created xsi:type="dcterms:W3CDTF">2016-04-20T08:23:00Z</dcterms:created>
  <dcterms:modified xsi:type="dcterms:W3CDTF">2016-04-20T08:23:00Z</dcterms:modified>
</cp:coreProperties>
</file>