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CBD8D6F" w14:textId="316BD868" w:rsidR="0091541F" w:rsidRDefault="00F474B2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640B7" wp14:editId="3DDE958D">
                <wp:simplePos x="0" y="0"/>
                <wp:positionH relativeFrom="column">
                  <wp:posOffset>228600</wp:posOffset>
                </wp:positionH>
                <wp:positionV relativeFrom="paragraph">
                  <wp:posOffset>3886200</wp:posOffset>
                </wp:positionV>
                <wp:extent cx="4800600" cy="685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08CB1" w14:textId="70C54B16" w:rsidR="00246737" w:rsidRDefault="00246737" w:rsidP="000E2632">
                            <w:r w:rsidRPr="001F5496">
                              <w:t>* BMI</w:t>
                            </w:r>
                            <w:r>
                              <w:t xml:space="preserve"> based on WHO definitions: Norma</w:t>
                            </w:r>
                            <w:r w:rsidR="00D679C8">
                              <w:t>l</w:t>
                            </w:r>
                            <w:r>
                              <w:t>-weight (&lt;25kg/m</w:t>
                            </w:r>
                            <w:r w:rsidRPr="00421A87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), overweight (25 to &lt;30 kg/m</w:t>
                            </w:r>
                            <w:r w:rsidRPr="00421A87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), obesity I (30 to &lt;35 kg/m</w:t>
                            </w:r>
                            <w:r w:rsidRPr="00421A87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) and obesity II (35 kg/m</w:t>
                            </w:r>
                            <w:r w:rsidRPr="00421A87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and over).</w:t>
                            </w:r>
                          </w:p>
                          <w:p w14:paraId="13B797B0" w14:textId="77777777" w:rsidR="00246737" w:rsidRDefault="002467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8pt;margin-top:306pt;width:378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" filled="f" stroked="f">
                <v:textbox>
                  <w:txbxContent>
                    <w:p w14:paraId="76508CB1" w14:textId="70C54B16" w:rsidR="00246737" w:rsidRDefault="00246737" w:rsidP="000E2632">
                      <w:r w:rsidRPr="001F5496">
                        <w:t>* BMI</w:t>
                      </w:r>
                      <w:r>
                        <w:t xml:space="preserve"> based on WHO definitions: Norma</w:t>
                      </w:r>
                      <w:r w:rsidR="00D679C8">
                        <w:t>l</w:t>
                      </w:r>
                      <w:bookmarkStart w:id="1" w:name="_GoBack"/>
                      <w:bookmarkEnd w:id="1"/>
                      <w:r>
                        <w:t>-weight (&lt;25kg/m</w:t>
                      </w:r>
                      <w:r w:rsidRPr="00421A87">
                        <w:rPr>
                          <w:vertAlign w:val="superscript"/>
                        </w:rPr>
                        <w:t>2</w:t>
                      </w:r>
                      <w:r>
                        <w:t>), overweight (25 to &lt;30 kg/m</w:t>
                      </w:r>
                      <w:r w:rsidRPr="00421A87">
                        <w:rPr>
                          <w:vertAlign w:val="superscript"/>
                        </w:rPr>
                        <w:t>2</w:t>
                      </w:r>
                      <w:r>
                        <w:t xml:space="preserve">), obesity </w:t>
                      </w:r>
                      <w:proofErr w:type="gramStart"/>
                      <w:r>
                        <w:t>I (30 to &lt;35 kg/m</w:t>
                      </w:r>
                      <w:r w:rsidRPr="00421A87">
                        <w:rPr>
                          <w:vertAlign w:val="superscript"/>
                        </w:rPr>
                        <w:t>2</w:t>
                      </w:r>
                      <w:r>
                        <w:t>) and obesity II</w:t>
                      </w:r>
                      <w:proofErr w:type="gramEnd"/>
                      <w:r>
                        <w:t xml:space="preserve"> (35 kg/m</w:t>
                      </w:r>
                      <w:r w:rsidRPr="00421A87">
                        <w:rPr>
                          <w:vertAlign w:val="superscript"/>
                        </w:rPr>
                        <w:t>2</w:t>
                      </w:r>
                      <w:r>
                        <w:t xml:space="preserve"> and over).</w:t>
                      </w:r>
                    </w:p>
                    <w:p w14:paraId="13B797B0" w14:textId="77777777" w:rsidR="00246737" w:rsidRDefault="00246737"/>
                  </w:txbxContent>
                </v:textbox>
                <w10:wrap type="square"/>
              </v:shape>
            </w:pict>
          </mc:Fallback>
        </mc:AlternateContent>
      </w:r>
      <w:r w:rsidRPr="00F474B2">
        <w:rPr>
          <w:noProof/>
          <w:lang w:val="en-GB" w:eastAsia="en-GB"/>
        </w:rPr>
        <w:drawing>
          <wp:inline distT="0" distB="0" distL="0" distR="0" wp14:anchorId="1F31E1E2" wp14:editId="186F3609">
            <wp:extent cx="6057900" cy="3429000"/>
            <wp:effectExtent l="0" t="0" r="12700" b="0"/>
            <wp:docPr id="1" name="Chart 1" title="Knee OA incidence (per 1,000/PYAE)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D71BF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7C378" wp14:editId="504AB634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5372100" cy="4572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2EE44" w14:textId="7133F264" w:rsidR="00246737" w:rsidRPr="00D71BFB" w:rsidRDefault="00246737">
                            <w:pP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D71BFB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Figure 1 Incidence of knee OA for each range of BMI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*</w:t>
                            </w:r>
                            <w:r w:rsidRPr="00D71BFB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 per 1,000/persons-year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2" o:spid="_x0000_s1027" type="#_x0000_t202" style="position:absolute;margin-left:0;margin-top:-44.95pt;width:423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" filled="f" stroked="f">
                <v:textbox>
                  <w:txbxContent>
                    <w:p w14:paraId="2032EE44" w14:textId="7133F264" w:rsidR="00D71BFB" w:rsidRPr="00D71BFB" w:rsidRDefault="00D71BFB">
                      <w:pP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D71BFB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Figure 1 Incidence of knee OA for each range of BMI</w:t>
                      </w:r>
                      <w:r w:rsidR="000E2632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*</w:t>
                      </w:r>
                      <w:r w:rsidRPr="00D71BFB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 per 1,000/persons-year</w:t>
                      </w:r>
                      <w: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1541F" w:rsidSect="0091541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B9"/>
    <w:rsid w:val="000E2632"/>
    <w:rsid w:val="00202CCC"/>
    <w:rsid w:val="00246737"/>
    <w:rsid w:val="002D2FC6"/>
    <w:rsid w:val="0031534E"/>
    <w:rsid w:val="00421A87"/>
    <w:rsid w:val="004256E0"/>
    <w:rsid w:val="0049421F"/>
    <w:rsid w:val="006246DD"/>
    <w:rsid w:val="008B4AFC"/>
    <w:rsid w:val="0091541F"/>
    <w:rsid w:val="0092495D"/>
    <w:rsid w:val="00930FB9"/>
    <w:rsid w:val="00B231E5"/>
    <w:rsid w:val="00B366F2"/>
    <w:rsid w:val="00C3044B"/>
    <w:rsid w:val="00D679C8"/>
    <w:rsid w:val="00D71BFB"/>
    <w:rsid w:val="00F4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E327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3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34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3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34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976450860309105E-2"/>
          <c:y val="0.16576552930883601"/>
          <c:w val="0.78526948282408104"/>
          <c:h val="0.6019900845727620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Obesity II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none"/>
          </c:marker>
          <c:cat>
            <c:strRef>
              <c:f>Sheet1!$A$2:$A$11</c:f>
              <c:strCache>
                <c:ptCount val="10"/>
                <c:pt idx="0">
                  <c:v>40 to &lt; 45</c:v>
                </c:pt>
                <c:pt idx="1">
                  <c:v>45 to &lt; 50</c:v>
                </c:pt>
                <c:pt idx="2">
                  <c:v>50 to &lt; 55</c:v>
                </c:pt>
                <c:pt idx="3">
                  <c:v>55 to &lt; 60</c:v>
                </c:pt>
                <c:pt idx="4">
                  <c:v>60 to &lt; 65</c:v>
                </c:pt>
                <c:pt idx="5">
                  <c:v>65 to &lt; 70</c:v>
                </c:pt>
                <c:pt idx="6">
                  <c:v>70 to &lt; 75</c:v>
                </c:pt>
                <c:pt idx="7">
                  <c:v>75 to &lt; 80</c:v>
                </c:pt>
                <c:pt idx="8">
                  <c:v>80 to &lt; 85</c:v>
                </c:pt>
                <c:pt idx="9">
                  <c:v>85 and older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1.58</c:v>
                </c:pt>
                <c:pt idx="1">
                  <c:v>4.7</c:v>
                </c:pt>
                <c:pt idx="2">
                  <c:v>9.6999999999999993</c:v>
                </c:pt>
                <c:pt idx="3">
                  <c:v>17.989999999999998</c:v>
                </c:pt>
                <c:pt idx="4">
                  <c:v>23.13</c:v>
                </c:pt>
                <c:pt idx="5">
                  <c:v>27.72</c:v>
                </c:pt>
                <c:pt idx="6">
                  <c:v>31.47</c:v>
                </c:pt>
                <c:pt idx="7">
                  <c:v>31.29</c:v>
                </c:pt>
                <c:pt idx="8">
                  <c:v>31.15</c:v>
                </c:pt>
                <c:pt idx="9">
                  <c:v>22.09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Obesity I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square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strRef>
              <c:f>Sheet1!$A$2:$A$11</c:f>
              <c:strCache>
                <c:ptCount val="10"/>
                <c:pt idx="0">
                  <c:v>40 to &lt; 45</c:v>
                </c:pt>
                <c:pt idx="1">
                  <c:v>45 to &lt; 50</c:v>
                </c:pt>
                <c:pt idx="2">
                  <c:v>50 to &lt; 55</c:v>
                </c:pt>
                <c:pt idx="3">
                  <c:v>55 to &lt; 60</c:v>
                </c:pt>
                <c:pt idx="4">
                  <c:v>60 to &lt; 65</c:v>
                </c:pt>
                <c:pt idx="5">
                  <c:v>65 to &lt; 70</c:v>
                </c:pt>
                <c:pt idx="6">
                  <c:v>70 to &lt; 75</c:v>
                </c:pt>
                <c:pt idx="7">
                  <c:v>75 to &lt; 80</c:v>
                </c:pt>
                <c:pt idx="8">
                  <c:v>80 to &lt; 85</c:v>
                </c:pt>
                <c:pt idx="9">
                  <c:v>85 and older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1.03</c:v>
                </c:pt>
                <c:pt idx="1">
                  <c:v>2.66</c:v>
                </c:pt>
                <c:pt idx="2">
                  <c:v>5.22</c:v>
                </c:pt>
                <c:pt idx="3">
                  <c:v>9.58</c:v>
                </c:pt>
                <c:pt idx="4">
                  <c:v>14.17</c:v>
                </c:pt>
                <c:pt idx="5">
                  <c:v>16.27</c:v>
                </c:pt>
                <c:pt idx="6">
                  <c:v>20.74</c:v>
                </c:pt>
                <c:pt idx="7">
                  <c:v>22.81</c:v>
                </c:pt>
                <c:pt idx="8">
                  <c:v>22.81</c:v>
                </c:pt>
                <c:pt idx="9">
                  <c:v>17.559999999999999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Overweight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diamond"/>
            <c:size val="5"/>
            <c:spPr>
              <a:noFill/>
              <a:ln>
                <a:solidFill>
                  <a:schemeClr val="tx1"/>
                </a:solidFill>
              </a:ln>
            </c:spPr>
          </c:marker>
          <c:cat>
            <c:strRef>
              <c:f>Sheet1!$A$2:$A$11</c:f>
              <c:strCache>
                <c:ptCount val="10"/>
                <c:pt idx="0">
                  <c:v>40 to &lt; 45</c:v>
                </c:pt>
                <c:pt idx="1">
                  <c:v>45 to &lt; 50</c:v>
                </c:pt>
                <c:pt idx="2">
                  <c:v>50 to &lt; 55</c:v>
                </c:pt>
                <c:pt idx="3">
                  <c:v>55 to &lt; 60</c:v>
                </c:pt>
                <c:pt idx="4">
                  <c:v>60 to &lt; 65</c:v>
                </c:pt>
                <c:pt idx="5">
                  <c:v>65 to &lt; 70</c:v>
                </c:pt>
                <c:pt idx="6">
                  <c:v>70 to &lt; 75</c:v>
                </c:pt>
                <c:pt idx="7">
                  <c:v>75 to &lt; 80</c:v>
                </c:pt>
                <c:pt idx="8">
                  <c:v>80 to &lt; 85</c:v>
                </c:pt>
                <c:pt idx="9">
                  <c:v>85 and older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0.63</c:v>
                </c:pt>
                <c:pt idx="1">
                  <c:v>1.73</c:v>
                </c:pt>
                <c:pt idx="2">
                  <c:v>2.97</c:v>
                </c:pt>
                <c:pt idx="3">
                  <c:v>5.44</c:v>
                </c:pt>
                <c:pt idx="4">
                  <c:v>7.84</c:v>
                </c:pt>
                <c:pt idx="5">
                  <c:v>10.26</c:v>
                </c:pt>
                <c:pt idx="6">
                  <c:v>12.5</c:v>
                </c:pt>
                <c:pt idx="7">
                  <c:v>14.75</c:v>
                </c:pt>
                <c:pt idx="8">
                  <c:v>15.93</c:v>
                </c:pt>
                <c:pt idx="9">
                  <c:v>12.12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Normal-weight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x"/>
            <c:size val="5"/>
            <c:spPr>
              <a:noFill/>
              <a:ln>
                <a:solidFill>
                  <a:schemeClr val="tx1"/>
                </a:solidFill>
              </a:ln>
            </c:spPr>
          </c:marker>
          <c:cat>
            <c:strRef>
              <c:f>Sheet1!$A$2:$A$11</c:f>
              <c:strCache>
                <c:ptCount val="10"/>
                <c:pt idx="0">
                  <c:v>40 to &lt; 45</c:v>
                </c:pt>
                <c:pt idx="1">
                  <c:v>45 to &lt; 50</c:v>
                </c:pt>
                <c:pt idx="2">
                  <c:v>50 to &lt; 55</c:v>
                </c:pt>
                <c:pt idx="3">
                  <c:v>55 to &lt; 60</c:v>
                </c:pt>
                <c:pt idx="4">
                  <c:v>60 to &lt; 65</c:v>
                </c:pt>
                <c:pt idx="5">
                  <c:v>65 to &lt; 70</c:v>
                </c:pt>
                <c:pt idx="6">
                  <c:v>70 to &lt; 75</c:v>
                </c:pt>
                <c:pt idx="7">
                  <c:v>75 to &lt; 80</c:v>
                </c:pt>
                <c:pt idx="8">
                  <c:v>80 to &lt; 85</c:v>
                </c:pt>
                <c:pt idx="9">
                  <c:v>85 and older</c:v>
                </c:pt>
              </c:strCache>
            </c:strRef>
          </c:cat>
          <c:val>
            <c:numRef>
              <c:f>Sheet1!$E$2:$E$11</c:f>
              <c:numCache>
                <c:formatCode>General</c:formatCode>
                <c:ptCount val="10"/>
                <c:pt idx="0">
                  <c:v>0.4</c:v>
                </c:pt>
                <c:pt idx="1">
                  <c:v>1.04</c:v>
                </c:pt>
                <c:pt idx="2">
                  <c:v>1.85</c:v>
                </c:pt>
                <c:pt idx="3">
                  <c:v>3.14</c:v>
                </c:pt>
                <c:pt idx="4">
                  <c:v>4.6399999999999997</c:v>
                </c:pt>
                <c:pt idx="5">
                  <c:v>5.89</c:v>
                </c:pt>
                <c:pt idx="6">
                  <c:v>7.42</c:v>
                </c:pt>
                <c:pt idx="7">
                  <c:v>8.66</c:v>
                </c:pt>
                <c:pt idx="8">
                  <c:v>9.0299999999999994</c:v>
                </c:pt>
                <c:pt idx="9">
                  <c:v>7.14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475584"/>
        <c:axId val="68224128"/>
      </c:lineChart>
      <c:catAx>
        <c:axId val="334755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2700000"/>
          <a:lstStyle/>
          <a:p>
            <a:pPr>
              <a:defRPr/>
            </a:pPr>
            <a:endParaRPr lang="en-US"/>
          </a:p>
        </c:txPr>
        <c:crossAx val="68224128"/>
        <c:crosses val="autoZero"/>
        <c:auto val="1"/>
        <c:lblAlgn val="ctr"/>
        <c:lblOffset val="100"/>
        <c:noMultiLvlLbl val="0"/>
      </c:catAx>
      <c:valAx>
        <c:axId val="68224128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33475584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/>
          <a:cs typeface="Times New Roman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0.26531</cdr:x>
      <cdr:y>0.14658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0" y="0"/>
          <a:ext cx="1485900" cy="50262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ES" sz="1100">
              <a:latin typeface="Times New Roman"/>
            </a:rPr>
            <a:t>Incidence</a:t>
          </a:r>
          <a:r>
            <a:rPr lang="es-ES" sz="1100" baseline="0">
              <a:latin typeface="Times New Roman"/>
            </a:rPr>
            <a:t> of knee OA (1,000/ persons-year)</a:t>
          </a:r>
          <a:endParaRPr lang="es-ES" sz="1100">
            <a:latin typeface="Times New Roman"/>
          </a:endParaRPr>
        </a:p>
      </cdr:txBody>
    </cdr:sp>
  </cdr:relSizeAnchor>
  <cdr:relSizeAnchor xmlns:cdr="http://schemas.openxmlformats.org/drawingml/2006/chartDrawing">
    <cdr:from>
      <cdr:x>0.84906</cdr:x>
      <cdr:y>0.73333</cdr:y>
    </cdr:from>
    <cdr:to>
      <cdr:x>0.9307</cdr:x>
      <cdr:y>0.83333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5143500" y="2514600"/>
          <a:ext cx="494567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ES" sz="1100">
              <a:latin typeface="Times New Roman"/>
            </a:rPr>
            <a:t>Age</a:t>
          </a:r>
        </a:p>
      </cdr:txBody>
    </cdr:sp>
  </cdr:relSizeAnchor>
  <cdr:relSizeAnchor xmlns:cdr="http://schemas.openxmlformats.org/drawingml/2006/chartDrawing">
    <cdr:from>
      <cdr:x>0.81132</cdr:x>
      <cdr:y>0.33333</cdr:y>
    </cdr:from>
    <cdr:to>
      <cdr:x>1</cdr:x>
      <cdr:y>0.4</cdr:y>
    </cdr:to>
    <cdr:sp macro="" textlink="">
      <cdr:nvSpPr>
        <cdr:cNvPr id="4" name="Cuadro de texto 3"/>
        <cdr:cNvSpPr txBox="1"/>
      </cdr:nvSpPr>
      <cdr:spPr>
        <a:xfrm xmlns:a="http://schemas.openxmlformats.org/drawingml/2006/main">
          <a:off x="4914896" y="1143000"/>
          <a:ext cx="1143004" cy="228611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ES" sz="1100">
              <a:latin typeface="Times New Roman"/>
            </a:rPr>
            <a:t>Obesity type II</a:t>
          </a:r>
        </a:p>
      </cdr:txBody>
    </cdr:sp>
  </cdr:relSizeAnchor>
  <cdr:relSizeAnchor xmlns:cdr="http://schemas.openxmlformats.org/drawingml/2006/chartDrawing">
    <cdr:from>
      <cdr:x>0.81132</cdr:x>
      <cdr:y>0.43333</cdr:y>
    </cdr:from>
    <cdr:to>
      <cdr:x>0.98113</cdr:x>
      <cdr:y>0.53333</cdr:y>
    </cdr:to>
    <cdr:sp macro="" textlink="">
      <cdr:nvSpPr>
        <cdr:cNvPr id="5" name="Cuadro de texto 4"/>
        <cdr:cNvSpPr txBox="1"/>
      </cdr:nvSpPr>
      <cdr:spPr>
        <a:xfrm xmlns:a="http://schemas.openxmlformats.org/drawingml/2006/main">
          <a:off x="4914900" y="1485900"/>
          <a:ext cx="1028692" cy="34290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ES" sz="1100">
              <a:latin typeface="Times New Roman"/>
            </a:rPr>
            <a:t>Obesity type I</a:t>
          </a:r>
        </a:p>
      </cdr:txBody>
    </cdr:sp>
  </cdr:relSizeAnchor>
  <cdr:relSizeAnchor xmlns:cdr="http://schemas.openxmlformats.org/drawingml/2006/chartDrawing">
    <cdr:from>
      <cdr:x>0.81132</cdr:x>
      <cdr:y>0.53333</cdr:y>
    </cdr:from>
    <cdr:to>
      <cdr:x>0.96226</cdr:x>
      <cdr:y>0.6</cdr:y>
    </cdr:to>
    <cdr:sp macro="" textlink="">
      <cdr:nvSpPr>
        <cdr:cNvPr id="6" name="Cuadro de texto 5"/>
        <cdr:cNvSpPr txBox="1"/>
      </cdr:nvSpPr>
      <cdr:spPr>
        <a:xfrm xmlns:a="http://schemas.openxmlformats.org/drawingml/2006/main">
          <a:off x="4914900" y="1828800"/>
          <a:ext cx="914379" cy="2286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ES" sz="1100">
              <a:latin typeface="Times New Roman"/>
            </a:rPr>
            <a:t>Overweight</a:t>
          </a:r>
        </a:p>
      </cdr:txBody>
    </cdr:sp>
  </cdr:relSizeAnchor>
  <cdr:relSizeAnchor xmlns:cdr="http://schemas.openxmlformats.org/drawingml/2006/chartDrawing">
    <cdr:from>
      <cdr:x>0.81132</cdr:x>
      <cdr:y>0.6</cdr:y>
    </cdr:from>
    <cdr:to>
      <cdr:x>0.98113</cdr:x>
      <cdr:y>0.7</cdr:y>
    </cdr:to>
    <cdr:sp macro="" textlink="">
      <cdr:nvSpPr>
        <cdr:cNvPr id="7" name="Cuadro de texto 6"/>
        <cdr:cNvSpPr txBox="1"/>
      </cdr:nvSpPr>
      <cdr:spPr>
        <a:xfrm xmlns:a="http://schemas.openxmlformats.org/drawingml/2006/main">
          <a:off x="4914894" y="2057400"/>
          <a:ext cx="1028705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ES" sz="1100">
              <a:latin typeface="Times New Roman"/>
            </a:rPr>
            <a:t>Normal-weight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Carlen Reyes</dc:creator>
  <cp:lastModifiedBy>Karen Drake</cp:lastModifiedBy>
  <cp:revision>2</cp:revision>
  <dcterms:created xsi:type="dcterms:W3CDTF">2016-04-20T08:25:00Z</dcterms:created>
  <dcterms:modified xsi:type="dcterms:W3CDTF">2016-04-20T08:25:00Z</dcterms:modified>
</cp:coreProperties>
</file>