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304E" w14:textId="258979A6" w:rsidR="00693679" w:rsidRDefault="00693679">
      <w:bookmarkStart w:id="0" w:name="_GoBack"/>
      <w:bookmarkEnd w:id="0"/>
      <w:r w:rsidRPr="00693679">
        <w:rPr>
          <w:noProof/>
          <w:lang w:val="en-GB" w:eastAsia="en-GB"/>
        </w:rPr>
        <w:drawing>
          <wp:inline distT="0" distB="0" distL="0" distR="0" wp14:anchorId="65D1EEB1" wp14:editId="77550F6E">
            <wp:extent cx="5829300" cy="274320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B38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EC01" wp14:editId="7411D9FE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6400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CB17" w14:textId="375471EB" w:rsidR="003B38F9" w:rsidRPr="00F45053" w:rsidRDefault="003B38F9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45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Figure 4 Multivariate Hazard Rati</w:t>
                            </w:r>
                            <w:r w:rsidR="00F45053" w:rsidRPr="00F45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 of the effect of BMI &gt;35 kg/m</w:t>
                            </w:r>
                            <w:r w:rsidR="00F45053" w:rsidRPr="00F45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F45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F45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on the knee, hip and hand compared to </w:t>
                            </w:r>
                            <w:r w:rsidR="00F45053" w:rsidRPr="00F45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BMI &lt;25 kg/m</w:t>
                            </w:r>
                            <w:r w:rsidR="00F45053" w:rsidRPr="00F45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="00F45053" w:rsidRPr="00F450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-53.95pt;width:7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0is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" filled="f" stroked="f">
                <v:textbox>
                  <w:txbxContent>
                    <w:p w14:paraId="23DACB17" w14:textId="375471EB" w:rsidR="003B38F9" w:rsidRPr="00F45053" w:rsidRDefault="003B38F9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4505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Figure 4 Multivariate Hazard Rati</w:t>
                      </w:r>
                      <w:r w:rsidR="00F45053" w:rsidRPr="00F4505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 of the effect of BMI &gt;35 kg/m</w:t>
                      </w:r>
                      <w:r w:rsidR="00F45053" w:rsidRPr="00F45053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2</w:t>
                      </w:r>
                      <w:r w:rsidRPr="00F45053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Pr="00F4505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on the knee, hip and hand compared to </w:t>
                      </w:r>
                      <w:r w:rsidR="00F45053" w:rsidRPr="00F4505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BMI &lt;25 kg/m</w:t>
                      </w:r>
                      <w:r w:rsidR="00F45053" w:rsidRPr="00F45053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2</w:t>
                      </w:r>
                      <w:r w:rsidR="00F45053" w:rsidRPr="00F4505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DA7D9" w14:textId="77777777" w:rsidR="00693679" w:rsidRPr="00693679" w:rsidRDefault="00693679" w:rsidP="00693679"/>
    <w:p w14:paraId="260C8FAD" w14:textId="2B8CFA2A" w:rsidR="00693679" w:rsidRDefault="00693679" w:rsidP="00693679"/>
    <w:p w14:paraId="5A65D7ED" w14:textId="77777777" w:rsidR="0091541F" w:rsidRPr="00693679" w:rsidRDefault="0091541F" w:rsidP="00693679">
      <w:pPr>
        <w:jc w:val="right"/>
      </w:pPr>
    </w:p>
    <w:sectPr w:rsidR="0091541F" w:rsidRPr="00693679" w:rsidSect="009154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51"/>
    <w:rsid w:val="000843B4"/>
    <w:rsid w:val="0031534E"/>
    <w:rsid w:val="003B38F9"/>
    <w:rsid w:val="00693679"/>
    <w:rsid w:val="0091541F"/>
    <w:rsid w:val="009F32AF"/>
    <w:rsid w:val="00F05651"/>
    <w:rsid w:val="00F45053"/>
    <w:rsid w:val="00F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B9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15869170199898E-2"/>
          <c:y val="0.148148148148148"/>
          <c:w val="0.85208241126721895"/>
          <c:h val="0.6017177019539220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Knee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2.4500000000000002</c:v>
                </c:pt>
                <c:pt idx="1">
                  <c:v>2.63</c:v>
                </c:pt>
                <c:pt idx="2">
                  <c:v>2.98</c:v>
                </c:pt>
                <c:pt idx="3">
                  <c:v>3.24</c:v>
                </c:pt>
                <c:pt idx="4">
                  <c:v>3.16</c:v>
                </c:pt>
                <c:pt idx="5">
                  <c:v>2.8</c:v>
                </c:pt>
                <c:pt idx="6">
                  <c:v>2.76</c:v>
                </c:pt>
                <c:pt idx="7">
                  <c:v>2.56</c:v>
                </c:pt>
                <c:pt idx="8">
                  <c:v>2.4500000000000002</c:v>
                </c:pt>
                <c:pt idx="9">
                  <c:v>2.39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Hip</c:v>
                </c:pt>
              </c:strCache>
            </c:strRef>
          </c:tx>
          <c:spPr>
            <a:ln w="25400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1.49</c:v>
                </c:pt>
                <c:pt idx="1">
                  <c:v>1.62</c:v>
                </c:pt>
                <c:pt idx="2">
                  <c:v>1.6</c:v>
                </c:pt>
                <c:pt idx="3">
                  <c:v>1.51</c:v>
                </c:pt>
                <c:pt idx="4">
                  <c:v>1.58</c:v>
                </c:pt>
                <c:pt idx="5">
                  <c:v>1.51</c:v>
                </c:pt>
                <c:pt idx="6">
                  <c:v>1.57</c:v>
                </c:pt>
                <c:pt idx="7">
                  <c:v>1.39</c:v>
                </c:pt>
                <c:pt idx="8">
                  <c:v>1.54</c:v>
                </c:pt>
                <c:pt idx="9">
                  <c:v>1.59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Hand</c:v>
                </c:pt>
              </c:strCache>
            </c:strRef>
          </c:tx>
          <c:spPr>
            <a:ln w="3810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1.4</c:v>
                </c:pt>
                <c:pt idx="1">
                  <c:v>1.43</c:v>
                </c:pt>
                <c:pt idx="2">
                  <c:v>1.1299999999999999</c:v>
                </c:pt>
                <c:pt idx="3">
                  <c:v>1.07</c:v>
                </c:pt>
                <c:pt idx="4">
                  <c:v>1.18</c:v>
                </c:pt>
                <c:pt idx="5">
                  <c:v>1.08</c:v>
                </c:pt>
                <c:pt idx="6">
                  <c:v>1.23</c:v>
                </c:pt>
                <c:pt idx="7">
                  <c:v>1.17</c:v>
                </c:pt>
                <c:pt idx="8">
                  <c:v>1.1499999999999999</c:v>
                </c:pt>
                <c:pt idx="9">
                  <c:v>1.23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79360"/>
        <c:axId val="32880896"/>
      </c:lineChart>
      <c:catAx>
        <c:axId val="32879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400000"/>
          <a:lstStyle/>
          <a:p>
            <a:pPr>
              <a:defRPr sz="1100"/>
            </a:pPr>
            <a:endParaRPr lang="en-US"/>
          </a:p>
        </c:txPr>
        <c:crossAx val="32880896"/>
        <c:crosses val="autoZero"/>
        <c:auto val="1"/>
        <c:lblAlgn val="ctr"/>
        <c:lblOffset val="100"/>
        <c:noMultiLvlLbl val="0"/>
      </c:catAx>
      <c:valAx>
        <c:axId val="3288089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2879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/>
          <a:cs typeface="Times New Roman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0.03704</cdr:y>
    </cdr:from>
    <cdr:to>
      <cdr:x>0.19231</cdr:x>
      <cdr:y>0.11111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114300"/>
          <a:ext cx="11430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Multivariate</a:t>
          </a:r>
          <a:r>
            <a:rPr lang="es-ES" sz="1100" baseline="0">
              <a:latin typeface="Times New Roman"/>
            </a:rPr>
            <a:t> HR</a:t>
          </a:r>
          <a:endParaRPr lang="es-ES" sz="1100">
            <a:latin typeface="Times New Roman"/>
          </a:endParaRPr>
        </a:p>
      </cdr:txBody>
    </cdr:sp>
  </cdr:relSizeAnchor>
  <cdr:relSizeAnchor xmlns:cdr="http://schemas.openxmlformats.org/drawingml/2006/chartDrawing">
    <cdr:from>
      <cdr:x>0.92308</cdr:x>
      <cdr:y>0.7037</cdr:y>
    </cdr:from>
    <cdr:to>
      <cdr:x>1</cdr:x>
      <cdr:y>0.81481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5486400" y="2171700"/>
          <a:ext cx="457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Age</a:t>
          </a:r>
        </a:p>
      </cdr:txBody>
    </cdr:sp>
  </cdr:relSizeAnchor>
  <cdr:relSizeAnchor xmlns:cdr="http://schemas.openxmlformats.org/drawingml/2006/chartDrawing">
    <cdr:from>
      <cdr:x>0.88235</cdr:x>
      <cdr:y>0.29167</cdr:y>
    </cdr:from>
    <cdr:to>
      <cdr:x>0.99773</cdr:x>
      <cdr:y>0.36574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5143483" y="800109"/>
          <a:ext cx="672584" cy="2031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Knee</a:t>
          </a:r>
        </a:p>
      </cdr:txBody>
    </cdr:sp>
  </cdr:relSizeAnchor>
  <cdr:relSizeAnchor xmlns:cdr="http://schemas.openxmlformats.org/drawingml/2006/chartDrawing">
    <cdr:from>
      <cdr:x>0.88235</cdr:x>
      <cdr:y>0.41667</cdr:y>
    </cdr:from>
    <cdr:to>
      <cdr:x>0.9691</cdr:x>
      <cdr:y>0.54199</cdr:y>
    </cdr:to>
    <cdr:sp macro="" textlink="">
      <cdr:nvSpPr>
        <cdr:cNvPr id="5" name="Cuadro de texto 4"/>
        <cdr:cNvSpPr txBox="1"/>
      </cdr:nvSpPr>
      <cdr:spPr>
        <a:xfrm xmlns:a="http://schemas.openxmlformats.org/drawingml/2006/main">
          <a:off x="5143500" y="1143000"/>
          <a:ext cx="505674" cy="3437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Hip</a:t>
          </a:r>
        </a:p>
      </cdr:txBody>
    </cdr:sp>
  </cdr:relSizeAnchor>
  <cdr:relSizeAnchor xmlns:cdr="http://schemas.openxmlformats.org/drawingml/2006/chartDrawing">
    <cdr:from>
      <cdr:x>0.88235</cdr:x>
      <cdr:y>0.5</cdr:y>
    </cdr:from>
    <cdr:to>
      <cdr:x>0.98838</cdr:x>
      <cdr:y>0.62532</cdr:y>
    </cdr:to>
    <cdr:sp macro="" textlink="">
      <cdr:nvSpPr>
        <cdr:cNvPr id="6" name="Cuadro de texto 5"/>
        <cdr:cNvSpPr txBox="1"/>
      </cdr:nvSpPr>
      <cdr:spPr>
        <a:xfrm xmlns:a="http://schemas.openxmlformats.org/drawingml/2006/main">
          <a:off x="5143500" y="1371600"/>
          <a:ext cx="618046" cy="3437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Hand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 Reyes</dc:creator>
  <cp:lastModifiedBy>Karen Drake</cp:lastModifiedBy>
  <cp:revision>2</cp:revision>
  <dcterms:created xsi:type="dcterms:W3CDTF">2016-04-20T08:28:00Z</dcterms:created>
  <dcterms:modified xsi:type="dcterms:W3CDTF">2016-04-20T08:28:00Z</dcterms:modified>
</cp:coreProperties>
</file>