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drawings/drawing1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8A304E" w14:textId="258979A6" w:rsidR="00693679" w:rsidRDefault="00693679">
      <w:bookmarkStart w:id="0" w:name="_GoBack"/>
      <w:bookmarkEnd w:id="0"/>
      <w:r w:rsidRPr="00693679">
        <w:rPr>
          <w:noProof/>
          <w:lang w:val="en-GB" w:eastAsia="en-GB"/>
        </w:rPr>
        <w:drawing>
          <wp:inline distT="0" distB="0" distL="0" distR="0" wp14:anchorId="65D1EEB1" wp14:editId="77550F6E">
            <wp:extent cx="5829300" cy="2743200"/>
            <wp:effectExtent l="0" t="0" r="1270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 w:rsidR="003B38F9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26EC01" wp14:editId="7411D9FE">
                <wp:simplePos x="0" y="0"/>
                <wp:positionH relativeFrom="column">
                  <wp:posOffset>-571500</wp:posOffset>
                </wp:positionH>
                <wp:positionV relativeFrom="paragraph">
                  <wp:posOffset>-685800</wp:posOffset>
                </wp:positionV>
                <wp:extent cx="6400800" cy="571500"/>
                <wp:effectExtent l="0" t="0" r="0" b="127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DACB17" w14:textId="375471EB" w:rsidR="003B38F9" w:rsidRPr="00F45053" w:rsidRDefault="003B38F9">
                            <w:pPr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</w:pPr>
                            <w:r w:rsidRPr="00F4505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Figure 4 Multivariate Hazard Rati</w:t>
                            </w:r>
                            <w:r w:rsidR="00F45053" w:rsidRPr="00F4505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o of the effect of BMI &gt;35 kg/m</w:t>
                            </w:r>
                            <w:r w:rsidR="00F45053" w:rsidRPr="00F4505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vertAlign w:val="superscript"/>
                              </w:rPr>
                              <w:t>2</w:t>
                            </w:r>
                            <w:r w:rsidRPr="00F4505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vertAlign w:val="superscript"/>
                              </w:rPr>
                              <w:t xml:space="preserve"> </w:t>
                            </w:r>
                            <w:r w:rsidRPr="00F4505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 xml:space="preserve">on the knee, hip and hand compared to </w:t>
                            </w:r>
                            <w:r w:rsidR="00F45053" w:rsidRPr="00F4505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BMI &lt;25 kg/m</w:t>
                            </w:r>
                            <w:r w:rsidR="00F45053" w:rsidRPr="00F4505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  <w:vertAlign w:val="superscript"/>
                              </w:rPr>
                              <w:t>2</w:t>
                            </w:r>
                            <w:r w:rsidR="00F45053" w:rsidRPr="00F45053">
                              <w:rPr>
                                <w:rFonts w:ascii="Times New Roman" w:hAnsi="Times New Roman" w:cs="Times New Roman"/>
                                <w:b/>
                                <w:u w:val="single"/>
                              </w:rPr>
                              <w:t>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-44.95pt;margin-top:-53.95pt;width:7in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" filled="f" stroked="f">
                <v:textbox>
                  <w:txbxContent>
                    <w:p w14:paraId="23DACB17" w14:textId="375471EB" w:rsidR="003B38F9" w:rsidRPr="00F45053" w:rsidRDefault="003B38F9">
                      <w:pPr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</w:pPr>
                      <w:r w:rsidRPr="00F4505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Figure 4 Multivariate Hazard Rati</w:t>
                      </w:r>
                      <w:r w:rsidR="00F45053" w:rsidRPr="00F4505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o of the effect of BMI &gt;35 kg/m</w:t>
                      </w:r>
                      <w:r w:rsidR="00F45053" w:rsidRPr="00F45053">
                        <w:rPr>
                          <w:rFonts w:ascii="Times New Roman" w:hAnsi="Times New Roman" w:cs="Times New Roman"/>
                          <w:b/>
                          <w:u w:val="single"/>
                          <w:vertAlign w:val="superscript"/>
                        </w:rPr>
                        <w:t>2</w:t>
                      </w:r>
                      <w:r w:rsidRPr="00F45053">
                        <w:rPr>
                          <w:rFonts w:ascii="Times New Roman" w:hAnsi="Times New Roman" w:cs="Times New Roman"/>
                          <w:b/>
                          <w:u w:val="single"/>
                          <w:vertAlign w:val="superscript"/>
                        </w:rPr>
                        <w:t xml:space="preserve"> </w:t>
                      </w:r>
                      <w:r w:rsidRPr="00F4505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 xml:space="preserve">on the knee, hip and hand compared to </w:t>
                      </w:r>
                      <w:r w:rsidR="00F45053" w:rsidRPr="00F4505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BMI &lt;25 kg/m</w:t>
                      </w:r>
                      <w:r w:rsidR="00F45053" w:rsidRPr="00F45053">
                        <w:rPr>
                          <w:rFonts w:ascii="Times New Roman" w:hAnsi="Times New Roman" w:cs="Times New Roman"/>
                          <w:b/>
                          <w:u w:val="single"/>
                          <w:vertAlign w:val="superscript"/>
                        </w:rPr>
                        <w:t>2</w:t>
                      </w:r>
                      <w:r w:rsidR="00F45053" w:rsidRPr="00F45053">
                        <w:rPr>
                          <w:rFonts w:ascii="Times New Roman" w:hAnsi="Times New Roman" w:cs="Times New Roman"/>
                          <w:b/>
                          <w:u w:val="single"/>
                        </w:rPr>
                        <w:t>: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D2DA7D9" w14:textId="77777777" w:rsidR="00693679" w:rsidRPr="00693679" w:rsidRDefault="00693679" w:rsidP="00693679"/>
    <w:p w14:paraId="260C8FAD" w14:textId="2B8CFA2A" w:rsidR="00693679" w:rsidRDefault="00693679" w:rsidP="00693679"/>
    <w:p w14:paraId="5A65D7ED" w14:textId="77777777" w:rsidR="0091541F" w:rsidRPr="00693679" w:rsidRDefault="0091541F" w:rsidP="00693679">
      <w:pPr>
        <w:jc w:val="right"/>
      </w:pPr>
    </w:p>
    <w:sectPr w:rsidR="0091541F" w:rsidRPr="00693679" w:rsidSect="0091541F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651"/>
    <w:rsid w:val="000843B4"/>
    <w:rsid w:val="0031534E"/>
    <w:rsid w:val="003B38F9"/>
    <w:rsid w:val="00693679"/>
    <w:rsid w:val="0091541F"/>
    <w:rsid w:val="009F32AF"/>
    <w:rsid w:val="00F05651"/>
    <w:rsid w:val="00F45053"/>
    <w:rsid w:val="00F46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9B985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E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1534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34E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GB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0"/>
    <c:plotArea>
      <c:layout>
        <c:manualLayout>
          <c:layoutTarget val="inner"/>
          <c:xMode val="edge"/>
          <c:yMode val="edge"/>
          <c:x val="6.8815869170199898E-2"/>
          <c:y val="0.148148148148148"/>
          <c:w val="0.85208241126721895"/>
          <c:h val="0.6017177019539220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Knee</c:v>
                </c:pt>
              </c:strCache>
            </c:strRef>
          </c:tx>
          <c:spPr>
            <a:ln w="25400">
              <a:solidFill>
                <a:schemeClr val="tx1"/>
              </a:solidFill>
            </a:ln>
          </c:spPr>
          <c:marker>
            <c:symbol val="none"/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Sheet1!$B$2:$B$11</c:f>
              <c:numCache>
                <c:formatCode>General</c:formatCode>
                <c:ptCount val="10"/>
                <c:pt idx="0">
                  <c:v>2.4500000000000002</c:v>
                </c:pt>
                <c:pt idx="1">
                  <c:v>2.63</c:v>
                </c:pt>
                <c:pt idx="2">
                  <c:v>2.98</c:v>
                </c:pt>
                <c:pt idx="3">
                  <c:v>3.24</c:v>
                </c:pt>
                <c:pt idx="4">
                  <c:v>3.16</c:v>
                </c:pt>
                <c:pt idx="5">
                  <c:v>2.8</c:v>
                </c:pt>
                <c:pt idx="6">
                  <c:v>2.76</c:v>
                </c:pt>
                <c:pt idx="7">
                  <c:v>2.56</c:v>
                </c:pt>
                <c:pt idx="8">
                  <c:v>2.4500000000000002</c:v>
                </c:pt>
                <c:pt idx="9">
                  <c:v>2.39</c:v>
                </c:pt>
              </c:numCache>
            </c:numRef>
          </c:val>
          <c:smooth val="0"/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Hip</c:v>
                </c:pt>
              </c:strCache>
            </c:strRef>
          </c:tx>
          <c:spPr>
            <a:ln w="25400">
              <a:solidFill>
                <a:schemeClr val="tx1"/>
              </a:solidFill>
              <a:prstDash val="lgDash"/>
            </a:ln>
          </c:spPr>
          <c:marker>
            <c:symbol val="none"/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Sheet1!$C$2:$C$11</c:f>
              <c:numCache>
                <c:formatCode>General</c:formatCode>
                <c:ptCount val="10"/>
                <c:pt idx="0">
                  <c:v>1.49</c:v>
                </c:pt>
                <c:pt idx="1">
                  <c:v>1.62</c:v>
                </c:pt>
                <c:pt idx="2">
                  <c:v>1.6</c:v>
                </c:pt>
                <c:pt idx="3">
                  <c:v>1.51</c:v>
                </c:pt>
                <c:pt idx="4">
                  <c:v>1.58</c:v>
                </c:pt>
                <c:pt idx="5">
                  <c:v>1.51</c:v>
                </c:pt>
                <c:pt idx="6">
                  <c:v>1.57</c:v>
                </c:pt>
                <c:pt idx="7">
                  <c:v>1.39</c:v>
                </c:pt>
                <c:pt idx="8">
                  <c:v>1.54</c:v>
                </c:pt>
                <c:pt idx="9">
                  <c:v>1.59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Hand</c:v>
                </c:pt>
              </c:strCache>
            </c:strRef>
          </c:tx>
          <c:spPr>
            <a:ln w="38100">
              <a:solidFill>
                <a:schemeClr val="tx1"/>
              </a:solidFill>
              <a:prstDash val="sysDot"/>
            </a:ln>
          </c:spPr>
          <c:marker>
            <c:symbol val="none"/>
          </c:marker>
          <c:cat>
            <c:strRef>
              <c:f>Sheet1!$A$2:$A$11</c:f>
              <c:strCache>
                <c:ptCount val="10"/>
                <c:pt idx="0">
                  <c:v>40 to &lt; 45</c:v>
                </c:pt>
                <c:pt idx="1">
                  <c:v>45 to &lt; 50</c:v>
                </c:pt>
                <c:pt idx="2">
                  <c:v>50 to &lt; 55</c:v>
                </c:pt>
                <c:pt idx="3">
                  <c:v>55 to &lt; 60</c:v>
                </c:pt>
                <c:pt idx="4">
                  <c:v>60 to &lt; 65</c:v>
                </c:pt>
                <c:pt idx="5">
                  <c:v>65 to &lt; 70</c:v>
                </c:pt>
                <c:pt idx="6">
                  <c:v>70 to &lt; 75</c:v>
                </c:pt>
                <c:pt idx="7">
                  <c:v>75 to &lt; 80</c:v>
                </c:pt>
                <c:pt idx="8">
                  <c:v>80 to &lt; 85</c:v>
                </c:pt>
                <c:pt idx="9">
                  <c:v>85 and older</c:v>
                </c:pt>
              </c:strCache>
            </c:strRef>
          </c:cat>
          <c:val>
            <c:numRef>
              <c:f>Sheet1!$D$2:$D$11</c:f>
              <c:numCache>
                <c:formatCode>General</c:formatCode>
                <c:ptCount val="10"/>
                <c:pt idx="0">
                  <c:v>1.4</c:v>
                </c:pt>
                <c:pt idx="1">
                  <c:v>1.43</c:v>
                </c:pt>
                <c:pt idx="2">
                  <c:v>1.1299999999999999</c:v>
                </c:pt>
                <c:pt idx="3">
                  <c:v>1.07</c:v>
                </c:pt>
                <c:pt idx="4">
                  <c:v>1.18</c:v>
                </c:pt>
                <c:pt idx="5">
                  <c:v>1.08</c:v>
                </c:pt>
                <c:pt idx="6">
                  <c:v>1.23</c:v>
                </c:pt>
                <c:pt idx="7">
                  <c:v>1.17</c:v>
                </c:pt>
                <c:pt idx="8">
                  <c:v>1.1499999999999999</c:v>
                </c:pt>
                <c:pt idx="9">
                  <c:v>1.23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2879360"/>
        <c:axId val="32880896"/>
      </c:lineChart>
      <c:catAx>
        <c:axId val="32879360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 rot="-2400000"/>
          <a:lstStyle/>
          <a:p>
            <a:pPr>
              <a:defRPr sz="1100"/>
            </a:pPr>
            <a:endParaRPr lang="en-US"/>
          </a:p>
        </c:txPr>
        <c:crossAx val="32880896"/>
        <c:crosses val="autoZero"/>
        <c:auto val="1"/>
        <c:lblAlgn val="ctr"/>
        <c:lblOffset val="100"/>
        <c:noMultiLvlLbl val="0"/>
      </c:catAx>
      <c:valAx>
        <c:axId val="32880896"/>
        <c:scaling>
          <c:orientation val="minMax"/>
        </c:scaling>
        <c:delete val="0"/>
        <c:axPos val="l"/>
        <c:majorGridlines>
          <c:spPr>
            <a:ln>
              <a:solidFill>
                <a:schemeClr val="bg1">
                  <a:lumMod val="75000"/>
                </a:schemeClr>
              </a:solidFill>
            </a:ln>
          </c:spPr>
        </c:majorGridlines>
        <c:numFmt formatCode="General" sourceLinked="1"/>
        <c:majorTickMark val="out"/>
        <c:minorTickMark val="none"/>
        <c:tickLblPos val="nextTo"/>
        <c:crossAx val="32879360"/>
        <c:crosses val="autoZero"/>
        <c:crossBetween val="between"/>
      </c:valAx>
    </c:plotArea>
    <c:plotVisOnly val="1"/>
    <c:dispBlanksAs val="gap"/>
    <c:showDLblsOverMax val="0"/>
  </c:chart>
  <c:spPr>
    <a:ln>
      <a:noFill/>
    </a:ln>
  </c:spPr>
  <c:txPr>
    <a:bodyPr/>
    <a:lstStyle/>
    <a:p>
      <a:pPr>
        <a:defRPr sz="1200">
          <a:latin typeface="Times New Roman"/>
          <a:cs typeface="Times New Roman"/>
        </a:defRPr>
      </a:pPr>
      <a:endParaRPr lang="en-US"/>
    </a:p>
  </c:txPr>
  <c:externalData r:id="rId1">
    <c:autoUpdate val="0"/>
  </c:externalData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</cdr:x>
      <cdr:y>0.03704</cdr:y>
    </cdr:from>
    <cdr:to>
      <cdr:x>0.19231</cdr:x>
      <cdr:y>0.11111</cdr:y>
    </cdr:to>
    <cdr:sp macro="" textlink="">
      <cdr:nvSpPr>
        <cdr:cNvPr id="2" name="Cuadro de texto 1"/>
        <cdr:cNvSpPr txBox="1"/>
      </cdr:nvSpPr>
      <cdr:spPr>
        <a:xfrm xmlns:a="http://schemas.openxmlformats.org/drawingml/2006/main">
          <a:off x="0" y="114300"/>
          <a:ext cx="1143000" cy="2286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Multivariate</a:t>
          </a:r>
          <a:r>
            <a:rPr lang="es-ES" sz="1100" baseline="0">
              <a:latin typeface="Times New Roman"/>
            </a:rPr>
            <a:t> HR</a:t>
          </a:r>
          <a:endParaRPr lang="es-ES" sz="1100">
            <a:latin typeface="Times New Roman"/>
          </a:endParaRPr>
        </a:p>
      </cdr:txBody>
    </cdr:sp>
  </cdr:relSizeAnchor>
  <cdr:relSizeAnchor xmlns:cdr="http://schemas.openxmlformats.org/drawingml/2006/chartDrawing">
    <cdr:from>
      <cdr:x>0.92308</cdr:x>
      <cdr:y>0.7037</cdr:y>
    </cdr:from>
    <cdr:to>
      <cdr:x>1</cdr:x>
      <cdr:y>0.81481</cdr:y>
    </cdr:to>
    <cdr:sp macro="" textlink="">
      <cdr:nvSpPr>
        <cdr:cNvPr id="3" name="Cuadro de texto 2"/>
        <cdr:cNvSpPr txBox="1"/>
      </cdr:nvSpPr>
      <cdr:spPr>
        <a:xfrm xmlns:a="http://schemas.openxmlformats.org/drawingml/2006/main">
          <a:off x="5486400" y="2171700"/>
          <a:ext cx="457200" cy="3429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Age</a:t>
          </a:r>
        </a:p>
      </cdr:txBody>
    </cdr:sp>
  </cdr:relSizeAnchor>
  <cdr:relSizeAnchor xmlns:cdr="http://schemas.openxmlformats.org/drawingml/2006/chartDrawing">
    <cdr:from>
      <cdr:x>0.88235</cdr:x>
      <cdr:y>0.29167</cdr:y>
    </cdr:from>
    <cdr:to>
      <cdr:x>0.99773</cdr:x>
      <cdr:y>0.36574</cdr:y>
    </cdr:to>
    <cdr:sp macro="" textlink="">
      <cdr:nvSpPr>
        <cdr:cNvPr id="4" name="Cuadro de texto 3"/>
        <cdr:cNvSpPr txBox="1"/>
      </cdr:nvSpPr>
      <cdr:spPr>
        <a:xfrm xmlns:a="http://schemas.openxmlformats.org/drawingml/2006/main">
          <a:off x="5143483" y="800109"/>
          <a:ext cx="672584" cy="203189"/>
        </a:xfrm>
        <a:prstGeom xmlns:a="http://schemas.openxmlformats.org/drawingml/2006/main" prst="rect">
          <a:avLst/>
        </a:prstGeom>
        <a:solidFill xmlns:a="http://schemas.openxmlformats.org/drawingml/2006/main">
          <a:schemeClr val="bg1"/>
        </a:solidFill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Knee</a:t>
          </a:r>
        </a:p>
      </cdr:txBody>
    </cdr:sp>
  </cdr:relSizeAnchor>
  <cdr:relSizeAnchor xmlns:cdr="http://schemas.openxmlformats.org/drawingml/2006/chartDrawing">
    <cdr:from>
      <cdr:x>0.88235</cdr:x>
      <cdr:y>0.41667</cdr:y>
    </cdr:from>
    <cdr:to>
      <cdr:x>0.9691</cdr:x>
      <cdr:y>0.54199</cdr:y>
    </cdr:to>
    <cdr:sp macro="" textlink="">
      <cdr:nvSpPr>
        <cdr:cNvPr id="5" name="Cuadro de texto 4"/>
        <cdr:cNvSpPr txBox="1"/>
      </cdr:nvSpPr>
      <cdr:spPr>
        <a:xfrm xmlns:a="http://schemas.openxmlformats.org/drawingml/2006/main">
          <a:off x="5143500" y="1143000"/>
          <a:ext cx="505674" cy="3437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Hip</a:t>
          </a:r>
        </a:p>
      </cdr:txBody>
    </cdr:sp>
  </cdr:relSizeAnchor>
  <cdr:relSizeAnchor xmlns:cdr="http://schemas.openxmlformats.org/drawingml/2006/chartDrawing">
    <cdr:from>
      <cdr:x>0.88235</cdr:x>
      <cdr:y>0.5</cdr:y>
    </cdr:from>
    <cdr:to>
      <cdr:x>0.98838</cdr:x>
      <cdr:y>0.62532</cdr:y>
    </cdr:to>
    <cdr:sp macro="" textlink="">
      <cdr:nvSpPr>
        <cdr:cNvPr id="6" name="Cuadro de texto 5"/>
        <cdr:cNvSpPr txBox="1"/>
      </cdr:nvSpPr>
      <cdr:spPr>
        <a:xfrm xmlns:a="http://schemas.openxmlformats.org/drawingml/2006/main">
          <a:off x="5143500" y="1371600"/>
          <a:ext cx="618046" cy="343775"/>
        </a:xfrm>
        <a:prstGeom xmlns:a="http://schemas.openxmlformats.org/drawingml/2006/main" prst="rect">
          <a:avLst/>
        </a:prstGeom>
        <a:solidFill xmlns:a="http://schemas.openxmlformats.org/drawingml/2006/main">
          <a:srgbClr val="FFFFFF"/>
        </a:solidFill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es-ES" sz="1100">
              <a:latin typeface="Times New Roman"/>
            </a:rPr>
            <a:t>Hand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Carlen Reyes</dc:creator>
  <cp:lastModifiedBy>Karen Drake</cp:lastModifiedBy>
  <cp:revision>2</cp:revision>
  <dcterms:created xsi:type="dcterms:W3CDTF">2016-04-20T08:28:00Z</dcterms:created>
  <dcterms:modified xsi:type="dcterms:W3CDTF">2016-04-20T08:28:00Z</dcterms:modified>
</cp:coreProperties>
</file>