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FFBAA" w14:textId="1D05694C" w:rsidR="004B15BF" w:rsidRDefault="00152EC1" w:rsidP="00420BB1">
      <w:pPr>
        <w:spacing w:line="360" w:lineRule="auto"/>
        <w:jc w:val="center"/>
        <w:rPr>
          <w:rFonts w:ascii="Verdana" w:hAnsi="Verdana"/>
          <w:b/>
        </w:rPr>
      </w:pPr>
      <w:bookmarkStart w:id="0" w:name="_GoBack"/>
      <w:bookmarkEnd w:id="0"/>
      <w:r w:rsidRPr="00420BB1">
        <w:rPr>
          <w:rFonts w:ascii="Verdana" w:hAnsi="Verdana"/>
          <w:b/>
        </w:rPr>
        <w:t>The BSRBR-RA at 15 years</w:t>
      </w:r>
    </w:p>
    <w:p w14:paraId="2585E0BD" w14:textId="79BA1F88" w:rsidR="00152EC1" w:rsidRPr="00420BB1" w:rsidRDefault="004B15BF" w:rsidP="00420BB1">
      <w:pPr>
        <w:spacing w:line="360" w:lineRule="auto"/>
        <w:jc w:val="center"/>
        <w:rPr>
          <w:rFonts w:ascii="Verdana" w:hAnsi="Verdana"/>
          <w:b/>
        </w:rPr>
      </w:pPr>
      <w:r>
        <w:rPr>
          <w:rFonts w:ascii="Verdana" w:hAnsi="Verdana"/>
          <w:b/>
        </w:rPr>
        <w:t>Strap line:</w:t>
      </w:r>
      <w:r w:rsidR="00152EC1" w:rsidRPr="00420BB1">
        <w:rPr>
          <w:rFonts w:ascii="Verdana" w:hAnsi="Verdana"/>
          <w:b/>
        </w:rPr>
        <w:t xml:space="preserve"> Providing Real-World Insight into the Effectiveness and Safety of Biologic Therapies</w:t>
      </w:r>
    </w:p>
    <w:p w14:paraId="31DE1B00" w14:textId="77777777" w:rsidR="00152EC1" w:rsidRPr="00B67795" w:rsidRDefault="00152EC1" w:rsidP="00420BB1">
      <w:pPr>
        <w:spacing w:line="360" w:lineRule="auto"/>
        <w:jc w:val="center"/>
        <w:rPr>
          <w:rFonts w:ascii="Verdana" w:hAnsi="Verdana"/>
        </w:rPr>
      </w:pPr>
    </w:p>
    <w:p w14:paraId="57B2B6CD" w14:textId="7D7FD87C" w:rsidR="00152EC1" w:rsidRPr="00B67795" w:rsidRDefault="00152EC1" w:rsidP="00420BB1">
      <w:pPr>
        <w:spacing w:line="360" w:lineRule="auto"/>
        <w:jc w:val="center"/>
        <w:rPr>
          <w:rFonts w:ascii="Verdana" w:hAnsi="Verdana"/>
          <w:vertAlign w:val="superscript"/>
        </w:rPr>
      </w:pPr>
      <w:r w:rsidRPr="00B67795">
        <w:rPr>
          <w:rFonts w:ascii="Verdana" w:hAnsi="Verdana"/>
        </w:rPr>
        <w:t>Elaine M Dennison</w:t>
      </w:r>
      <w:r w:rsidRPr="00B67795">
        <w:rPr>
          <w:rFonts w:ascii="Verdana" w:hAnsi="Verdana"/>
          <w:vertAlign w:val="superscript"/>
        </w:rPr>
        <w:t>1</w:t>
      </w:r>
      <w:proofErr w:type="gramStart"/>
      <w:r w:rsidRPr="00B67795">
        <w:rPr>
          <w:rFonts w:ascii="Verdana" w:hAnsi="Verdana"/>
          <w:vertAlign w:val="superscript"/>
        </w:rPr>
        <w:t>,2</w:t>
      </w:r>
      <w:proofErr w:type="gramEnd"/>
      <w:r w:rsidR="00B67795" w:rsidRPr="00B67795">
        <w:rPr>
          <w:rFonts w:ascii="Verdana" w:hAnsi="Verdana"/>
        </w:rPr>
        <w:t xml:space="preserve">, </w:t>
      </w:r>
      <w:r w:rsidRPr="00B67795">
        <w:rPr>
          <w:rFonts w:ascii="Verdana" w:hAnsi="Verdana"/>
        </w:rPr>
        <w:t>Jon Packham</w:t>
      </w:r>
      <w:r w:rsidRPr="00B67795">
        <w:rPr>
          <w:rFonts w:ascii="Verdana" w:hAnsi="Verdana"/>
          <w:vertAlign w:val="superscript"/>
        </w:rPr>
        <w:t>3</w:t>
      </w:r>
      <w:r w:rsidR="00B67795" w:rsidRPr="00B67795">
        <w:rPr>
          <w:rFonts w:ascii="Verdana" w:hAnsi="Verdana"/>
          <w:vertAlign w:val="superscript"/>
        </w:rPr>
        <w:t xml:space="preserve"> </w:t>
      </w:r>
      <w:r w:rsidR="00B67795" w:rsidRPr="00B67795">
        <w:rPr>
          <w:rFonts w:ascii="Verdana" w:hAnsi="Verdana"/>
        </w:rPr>
        <w:t xml:space="preserve">and </w:t>
      </w:r>
      <w:proofErr w:type="spellStart"/>
      <w:r w:rsidRPr="00B67795">
        <w:rPr>
          <w:rFonts w:ascii="Verdana" w:hAnsi="Verdana"/>
        </w:rPr>
        <w:t>Kimme</w:t>
      </w:r>
      <w:proofErr w:type="spellEnd"/>
      <w:r w:rsidRPr="00B67795">
        <w:rPr>
          <w:rFonts w:ascii="Verdana" w:hAnsi="Verdana"/>
        </w:rPr>
        <w:t xml:space="preserve"> Hyrich</w:t>
      </w:r>
      <w:r w:rsidRPr="00B67795">
        <w:rPr>
          <w:rFonts w:ascii="Verdana" w:hAnsi="Verdana"/>
          <w:vertAlign w:val="superscript"/>
        </w:rPr>
        <w:t>4</w:t>
      </w:r>
      <w:r w:rsidR="00B95D30" w:rsidRPr="00B67795">
        <w:rPr>
          <w:rFonts w:ascii="Verdana" w:hAnsi="Verdana"/>
          <w:vertAlign w:val="superscript"/>
        </w:rPr>
        <w:t>, 5</w:t>
      </w:r>
    </w:p>
    <w:p w14:paraId="684F5242" w14:textId="77777777" w:rsidR="00152EC1" w:rsidRPr="00420BB1" w:rsidRDefault="00152EC1" w:rsidP="00420BB1">
      <w:pPr>
        <w:spacing w:line="360" w:lineRule="auto"/>
        <w:jc w:val="both"/>
        <w:rPr>
          <w:rFonts w:ascii="Verdana" w:hAnsi="Verdana"/>
          <w:color w:val="1F497D"/>
          <w:vertAlign w:val="superscript"/>
        </w:rPr>
      </w:pPr>
    </w:p>
    <w:p w14:paraId="5890EB30" w14:textId="7FC10C7E" w:rsidR="00152EC1" w:rsidRPr="00B67795" w:rsidRDefault="00152EC1" w:rsidP="00420BB1">
      <w:pPr>
        <w:pStyle w:val="BodyText"/>
        <w:spacing w:line="360" w:lineRule="auto"/>
        <w:jc w:val="both"/>
        <w:rPr>
          <w:rFonts w:ascii="Verdana" w:hAnsi="Verdana" w:cs="Arial"/>
          <w:bCs/>
          <w:sz w:val="22"/>
          <w:szCs w:val="22"/>
        </w:rPr>
      </w:pPr>
      <w:r w:rsidRPr="00B67795">
        <w:rPr>
          <w:rFonts w:ascii="Verdana" w:hAnsi="Verdana" w:cs="Arial"/>
          <w:bCs/>
          <w:sz w:val="22"/>
          <w:szCs w:val="22"/>
          <w:vertAlign w:val="superscript"/>
        </w:rPr>
        <w:t>1</w:t>
      </w:r>
      <w:r w:rsidRPr="00B67795">
        <w:rPr>
          <w:rFonts w:ascii="Verdana" w:hAnsi="Verdana" w:cs="Arial"/>
          <w:bCs/>
          <w:sz w:val="22"/>
          <w:szCs w:val="22"/>
        </w:rPr>
        <w:t>MRC Lifecourse Epidemiology Unit, University of Southampton</w:t>
      </w:r>
      <w:r w:rsidR="00B67795">
        <w:rPr>
          <w:rFonts w:ascii="Verdana" w:hAnsi="Verdana" w:cs="Arial"/>
          <w:bCs/>
          <w:sz w:val="22"/>
          <w:szCs w:val="22"/>
        </w:rPr>
        <w:t>, Southampton, UK</w:t>
      </w:r>
    </w:p>
    <w:p w14:paraId="46138FFC" w14:textId="74589C5D" w:rsidR="00152EC1" w:rsidRPr="00B67795" w:rsidRDefault="00152EC1" w:rsidP="00420BB1">
      <w:pPr>
        <w:pStyle w:val="BodyText"/>
        <w:spacing w:line="360" w:lineRule="auto"/>
        <w:jc w:val="both"/>
        <w:rPr>
          <w:rFonts w:ascii="Verdana" w:hAnsi="Verdana" w:cs="Arial"/>
          <w:bCs/>
          <w:color w:val="FF0000"/>
          <w:sz w:val="22"/>
          <w:szCs w:val="22"/>
        </w:rPr>
      </w:pPr>
      <w:r w:rsidRPr="00FC14D6">
        <w:rPr>
          <w:rFonts w:ascii="Verdana" w:hAnsi="Verdana" w:cs="Arial"/>
          <w:bCs/>
          <w:sz w:val="22"/>
          <w:szCs w:val="22"/>
        </w:rPr>
        <w:t>2</w:t>
      </w:r>
      <w:r w:rsidR="004B15BF" w:rsidRPr="00FC14D6">
        <w:rPr>
          <w:rFonts w:ascii="Verdana" w:hAnsi="Verdana" w:cs="Arial"/>
          <w:bCs/>
          <w:sz w:val="22"/>
          <w:szCs w:val="22"/>
        </w:rPr>
        <w:t xml:space="preserve">Department, </w:t>
      </w:r>
      <w:r w:rsidRPr="00FC14D6">
        <w:rPr>
          <w:rFonts w:ascii="Verdana" w:hAnsi="Verdana" w:cs="Arial"/>
          <w:bCs/>
          <w:sz w:val="22"/>
          <w:szCs w:val="22"/>
        </w:rPr>
        <w:t>Victoria University of Wellington, New Zealand</w:t>
      </w:r>
    </w:p>
    <w:p w14:paraId="4A9B8540" w14:textId="67C10AAF" w:rsidR="00152EC1" w:rsidRPr="00B67795" w:rsidRDefault="00C21A09" w:rsidP="00420BB1">
      <w:pPr>
        <w:pStyle w:val="BodyText"/>
        <w:spacing w:line="360" w:lineRule="auto"/>
        <w:jc w:val="both"/>
        <w:rPr>
          <w:rFonts w:ascii="Verdana" w:hAnsi="Verdana" w:cs="Arial"/>
          <w:bCs/>
          <w:sz w:val="22"/>
          <w:szCs w:val="22"/>
        </w:rPr>
      </w:pPr>
      <w:r w:rsidRPr="00B67795">
        <w:rPr>
          <w:rFonts w:ascii="Verdana" w:hAnsi="Verdana" w:cs="Arial"/>
          <w:bCs/>
          <w:sz w:val="22"/>
          <w:szCs w:val="22"/>
          <w:vertAlign w:val="superscript"/>
        </w:rPr>
        <w:t>3</w:t>
      </w:r>
      <w:r w:rsidRPr="00B67795">
        <w:rPr>
          <w:rFonts w:ascii="Arial" w:hAnsi="Arial" w:cs="Arial"/>
          <w:color w:val="1F497D"/>
          <w:sz w:val="22"/>
          <w:szCs w:val="22"/>
        </w:rPr>
        <w:t xml:space="preserve"> </w:t>
      </w:r>
      <w:proofErr w:type="gramStart"/>
      <w:r w:rsidRPr="00B67795">
        <w:rPr>
          <w:rFonts w:ascii="Verdana" w:hAnsi="Verdana" w:cs="Arial"/>
          <w:sz w:val="22"/>
          <w:szCs w:val="22"/>
        </w:rPr>
        <w:t>Institute</w:t>
      </w:r>
      <w:proofErr w:type="gramEnd"/>
      <w:r w:rsidRPr="00B67795">
        <w:rPr>
          <w:rFonts w:ascii="Verdana" w:hAnsi="Verdana" w:cs="Arial"/>
          <w:sz w:val="22"/>
          <w:szCs w:val="22"/>
        </w:rPr>
        <w:t xml:space="preserve"> of Science and Technology in Medicine, </w:t>
      </w:r>
      <w:proofErr w:type="spellStart"/>
      <w:r w:rsidRPr="00B67795">
        <w:rPr>
          <w:rFonts w:ascii="Verdana" w:hAnsi="Verdana" w:cs="Arial"/>
          <w:sz w:val="22"/>
          <w:szCs w:val="22"/>
        </w:rPr>
        <w:t>Keele</w:t>
      </w:r>
      <w:proofErr w:type="spellEnd"/>
      <w:r w:rsidRPr="00B67795">
        <w:rPr>
          <w:rFonts w:ascii="Verdana" w:hAnsi="Verdana" w:cs="Arial"/>
          <w:sz w:val="22"/>
          <w:szCs w:val="22"/>
        </w:rPr>
        <w:t xml:space="preserve"> University</w:t>
      </w:r>
      <w:r w:rsidR="00B67795">
        <w:rPr>
          <w:rFonts w:ascii="Verdana" w:hAnsi="Verdana" w:cs="Arial"/>
          <w:sz w:val="22"/>
          <w:szCs w:val="22"/>
        </w:rPr>
        <w:t xml:space="preserve">, </w:t>
      </w:r>
      <w:proofErr w:type="spellStart"/>
      <w:r w:rsidR="00B67795">
        <w:rPr>
          <w:rFonts w:ascii="Verdana" w:hAnsi="Verdana" w:cs="Arial"/>
          <w:sz w:val="22"/>
          <w:szCs w:val="22"/>
        </w:rPr>
        <w:t>Keele</w:t>
      </w:r>
      <w:proofErr w:type="spellEnd"/>
      <w:r w:rsidR="00B67795">
        <w:rPr>
          <w:rFonts w:ascii="Verdana" w:hAnsi="Verdana" w:cs="Arial"/>
          <w:sz w:val="22"/>
          <w:szCs w:val="22"/>
        </w:rPr>
        <w:t>, UK</w:t>
      </w:r>
    </w:p>
    <w:p w14:paraId="2981789A" w14:textId="57548D2B" w:rsidR="00B95D30" w:rsidRPr="00B67795" w:rsidRDefault="00152EC1" w:rsidP="00420BB1">
      <w:pPr>
        <w:pStyle w:val="BodyText"/>
        <w:spacing w:line="360" w:lineRule="auto"/>
        <w:jc w:val="both"/>
        <w:rPr>
          <w:rFonts w:ascii="Verdana" w:hAnsi="Verdana" w:cs="Arial"/>
          <w:bCs/>
          <w:sz w:val="22"/>
          <w:szCs w:val="22"/>
        </w:rPr>
      </w:pPr>
      <w:r w:rsidRPr="00B67795">
        <w:rPr>
          <w:rFonts w:ascii="Verdana" w:hAnsi="Verdana" w:cs="Arial"/>
          <w:bCs/>
          <w:sz w:val="22"/>
          <w:szCs w:val="22"/>
          <w:vertAlign w:val="superscript"/>
        </w:rPr>
        <w:t xml:space="preserve"> 4</w:t>
      </w:r>
      <w:r w:rsidRPr="00B67795">
        <w:rPr>
          <w:rFonts w:ascii="Verdana" w:hAnsi="Verdana" w:cs="Arial"/>
          <w:bCs/>
          <w:sz w:val="22"/>
          <w:szCs w:val="22"/>
        </w:rPr>
        <w:t>Arthritis Research UK Centre for Epidemiology, Centre for Musculoskeletal Research, Institute of Inflammation an</w:t>
      </w:r>
      <w:r w:rsidR="00B67795">
        <w:rPr>
          <w:rFonts w:ascii="Verdana" w:hAnsi="Verdana" w:cs="Arial"/>
          <w:bCs/>
          <w:sz w:val="22"/>
          <w:szCs w:val="22"/>
        </w:rPr>
        <w:t>d Repair, Manchester University, Manchester, UK</w:t>
      </w:r>
    </w:p>
    <w:p w14:paraId="0AD60520" w14:textId="45D5DD96" w:rsidR="00B95D30" w:rsidRPr="00B67795" w:rsidRDefault="00B95D30" w:rsidP="00420BB1">
      <w:pPr>
        <w:pStyle w:val="BodyText"/>
        <w:spacing w:line="360" w:lineRule="auto"/>
        <w:jc w:val="both"/>
        <w:rPr>
          <w:rFonts w:ascii="Verdana" w:hAnsi="Verdana" w:cs="Arial"/>
          <w:bCs/>
          <w:sz w:val="22"/>
          <w:szCs w:val="22"/>
        </w:rPr>
      </w:pPr>
      <w:r w:rsidRPr="00B67795">
        <w:rPr>
          <w:rFonts w:ascii="Verdana" w:hAnsi="Verdana"/>
          <w:sz w:val="22"/>
          <w:szCs w:val="22"/>
          <w:vertAlign w:val="superscript"/>
        </w:rPr>
        <w:t>5</w:t>
      </w:r>
      <w:r w:rsidRPr="00B67795">
        <w:rPr>
          <w:rFonts w:ascii="Verdana" w:hAnsi="Verdana"/>
          <w:sz w:val="22"/>
          <w:szCs w:val="22"/>
        </w:rPr>
        <w:t>NIHR Manchester Musculoskeletal BRU, Central Manchester Foundation Trust</w:t>
      </w:r>
      <w:r w:rsidR="00B67795">
        <w:rPr>
          <w:rFonts w:ascii="Verdana" w:hAnsi="Verdana"/>
          <w:sz w:val="22"/>
          <w:szCs w:val="22"/>
        </w:rPr>
        <w:t>, Manchester, UK</w:t>
      </w:r>
    </w:p>
    <w:p w14:paraId="6E82EC5F" w14:textId="77777777" w:rsidR="008A5BE5" w:rsidRDefault="008A5BE5" w:rsidP="00420BB1">
      <w:pPr>
        <w:pStyle w:val="BodyText"/>
        <w:spacing w:line="360" w:lineRule="auto"/>
        <w:jc w:val="both"/>
        <w:rPr>
          <w:rFonts w:ascii="Verdana" w:hAnsi="Verdana" w:cs="Arial"/>
          <w:bCs/>
          <w:i/>
          <w:sz w:val="22"/>
          <w:szCs w:val="22"/>
        </w:rPr>
      </w:pPr>
    </w:p>
    <w:p w14:paraId="62BD3A4C" w14:textId="5D309653" w:rsidR="00B67795" w:rsidRPr="00FC14D6" w:rsidRDefault="00B67795" w:rsidP="00420BB1">
      <w:pPr>
        <w:pStyle w:val="BodyText"/>
        <w:spacing w:line="360" w:lineRule="auto"/>
        <w:jc w:val="both"/>
        <w:rPr>
          <w:rFonts w:ascii="Verdana" w:hAnsi="Verdana" w:cs="Arial"/>
          <w:b/>
          <w:bCs/>
          <w:sz w:val="22"/>
          <w:szCs w:val="22"/>
        </w:rPr>
      </w:pPr>
      <w:r w:rsidRPr="00FC14D6">
        <w:rPr>
          <w:rFonts w:ascii="Verdana" w:hAnsi="Verdana" w:cs="Arial"/>
          <w:b/>
          <w:bCs/>
          <w:sz w:val="22"/>
          <w:szCs w:val="22"/>
        </w:rPr>
        <w:t xml:space="preserve">Correspondence to:  </w:t>
      </w:r>
    </w:p>
    <w:p w14:paraId="53DE4AAE" w14:textId="6CC1696D" w:rsidR="00EC314B" w:rsidRPr="00B67795" w:rsidRDefault="00B67795" w:rsidP="00EC314B">
      <w:pPr>
        <w:pStyle w:val="BodyText"/>
        <w:spacing w:line="360" w:lineRule="auto"/>
        <w:jc w:val="both"/>
        <w:rPr>
          <w:rFonts w:ascii="Verdana" w:hAnsi="Verdana" w:cs="Arial"/>
          <w:bCs/>
          <w:sz w:val="22"/>
          <w:szCs w:val="22"/>
        </w:rPr>
      </w:pPr>
      <w:r w:rsidRPr="00FC14D6">
        <w:rPr>
          <w:rFonts w:ascii="Verdana" w:hAnsi="Verdana" w:cs="Arial"/>
          <w:bCs/>
          <w:sz w:val="22"/>
          <w:szCs w:val="22"/>
        </w:rPr>
        <w:t>Elaine M</w:t>
      </w:r>
      <w:r w:rsidR="008A5BE5" w:rsidRPr="00FC14D6">
        <w:rPr>
          <w:rFonts w:ascii="Verdana" w:hAnsi="Verdana" w:cs="Arial"/>
          <w:bCs/>
          <w:sz w:val="22"/>
          <w:szCs w:val="22"/>
        </w:rPr>
        <w:t xml:space="preserve"> Dennison</w:t>
      </w:r>
      <w:r w:rsidR="004B15BF" w:rsidRPr="00FC14D6">
        <w:rPr>
          <w:rFonts w:ascii="Verdana" w:hAnsi="Verdana" w:cs="Arial"/>
          <w:bCs/>
          <w:sz w:val="22"/>
          <w:szCs w:val="22"/>
        </w:rPr>
        <w:t xml:space="preserve">, </w:t>
      </w:r>
      <w:r w:rsidR="00EC314B" w:rsidRPr="00B67795">
        <w:rPr>
          <w:rFonts w:ascii="Verdana" w:hAnsi="Verdana" w:cs="Arial"/>
          <w:bCs/>
          <w:sz w:val="22"/>
          <w:szCs w:val="22"/>
        </w:rPr>
        <w:t>MRC Lifecourse Epidemiology Unit, University of Southampton</w:t>
      </w:r>
      <w:r w:rsidR="00EC314B">
        <w:rPr>
          <w:rFonts w:ascii="Verdana" w:hAnsi="Verdana" w:cs="Arial"/>
          <w:bCs/>
          <w:sz w:val="22"/>
          <w:szCs w:val="22"/>
        </w:rPr>
        <w:t>, Southampton, UK SO16 6YD</w:t>
      </w:r>
    </w:p>
    <w:p w14:paraId="2FB2E695" w14:textId="2163861E" w:rsidR="008A5BE5" w:rsidRPr="00B67795" w:rsidRDefault="008A5BE5" w:rsidP="00420BB1">
      <w:pPr>
        <w:pStyle w:val="BodyText"/>
        <w:spacing w:line="360" w:lineRule="auto"/>
        <w:jc w:val="both"/>
        <w:rPr>
          <w:rFonts w:ascii="Verdana" w:hAnsi="Verdana" w:cs="Arial"/>
          <w:bCs/>
          <w:color w:val="FF0000"/>
          <w:sz w:val="22"/>
          <w:szCs w:val="22"/>
        </w:rPr>
      </w:pPr>
    </w:p>
    <w:p w14:paraId="0B3011BC" w14:textId="77777777" w:rsidR="00152EC1" w:rsidRPr="00420BB1" w:rsidRDefault="00152EC1" w:rsidP="00420BB1">
      <w:pPr>
        <w:spacing w:line="360" w:lineRule="auto"/>
        <w:jc w:val="both"/>
        <w:rPr>
          <w:rFonts w:ascii="Verdana" w:hAnsi="Verdana"/>
          <w:color w:val="1F497D"/>
        </w:rPr>
      </w:pPr>
    </w:p>
    <w:p w14:paraId="38D7AD09" w14:textId="2BD81205" w:rsidR="00DC2EA2" w:rsidRPr="00420BB1" w:rsidRDefault="00DC2EA2" w:rsidP="00420BB1">
      <w:pPr>
        <w:spacing w:line="360" w:lineRule="auto"/>
        <w:jc w:val="both"/>
        <w:rPr>
          <w:rFonts w:ascii="Verdana" w:hAnsi="Verdana"/>
        </w:rPr>
      </w:pPr>
      <w:r w:rsidRPr="00420BB1">
        <w:rPr>
          <w:rFonts w:ascii="Verdana" w:hAnsi="Verdana"/>
        </w:rPr>
        <w:t xml:space="preserve">The advent of </w:t>
      </w:r>
      <w:r w:rsidR="00745644" w:rsidRPr="00420BB1">
        <w:rPr>
          <w:rFonts w:ascii="Verdana" w:hAnsi="Verdana"/>
        </w:rPr>
        <w:t>anti-TNF</w:t>
      </w:r>
      <w:r w:rsidRPr="00420BB1">
        <w:rPr>
          <w:rFonts w:ascii="Verdana" w:hAnsi="Verdana"/>
        </w:rPr>
        <w:t xml:space="preserve"> therapies for </w:t>
      </w:r>
      <w:r w:rsidR="00745644" w:rsidRPr="00420BB1">
        <w:rPr>
          <w:rFonts w:ascii="Verdana" w:hAnsi="Verdana"/>
        </w:rPr>
        <w:t>rheumatoid</w:t>
      </w:r>
      <w:r w:rsidRPr="00420BB1">
        <w:rPr>
          <w:rFonts w:ascii="Verdana" w:hAnsi="Verdana"/>
        </w:rPr>
        <w:t xml:space="preserve"> arthritis </w:t>
      </w:r>
      <w:r w:rsidR="00745644" w:rsidRPr="00420BB1">
        <w:rPr>
          <w:rFonts w:ascii="Verdana" w:hAnsi="Verdana"/>
        </w:rPr>
        <w:t xml:space="preserve">(RA) </w:t>
      </w:r>
      <w:r w:rsidRPr="00420BB1">
        <w:rPr>
          <w:rFonts w:ascii="Verdana" w:hAnsi="Verdana"/>
        </w:rPr>
        <w:t>has produced a very significant advance in the way rheumatologists treat their patients, offering the chance of long</w:t>
      </w:r>
      <w:r w:rsidR="004B15BF">
        <w:rPr>
          <w:rFonts w:ascii="Verdana" w:hAnsi="Verdana"/>
        </w:rPr>
        <w:t>-</w:t>
      </w:r>
      <w:r w:rsidRPr="00420BB1">
        <w:rPr>
          <w:rFonts w:ascii="Verdana" w:hAnsi="Verdana"/>
        </w:rPr>
        <w:t xml:space="preserve">term remission for many more people than was previously thought possible. For those clinicians </w:t>
      </w:r>
      <w:r w:rsidR="004B15BF">
        <w:rPr>
          <w:rFonts w:ascii="Verdana" w:hAnsi="Verdana"/>
        </w:rPr>
        <w:t xml:space="preserve">below </w:t>
      </w:r>
      <w:r w:rsidRPr="00420BB1">
        <w:rPr>
          <w:rFonts w:ascii="Verdana" w:hAnsi="Verdana"/>
        </w:rPr>
        <w:t>the age of</w:t>
      </w:r>
      <w:r w:rsidR="00745644" w:rsidRPr="00420BB1">
        <w:rPr>
          <w:rFonts w:ascii="Verdana" w:hAnsi="Verdana"/>
        </w:rPr>
        <w:t xml:space="preserve"> 40</w:t>
      </w:r>
      <w:r w:rsidR="004B15BF">
        <w:rPr>
          <w:rFonts w:ascii="Verdana" w:hAnsi="Verdana"/>
        </w:rPr>
        <w:t xml:space="preserve"> years</w:t>
      </w:r>
      <w:r w:rsidR="00745644" w:rsidRPr="00420BB1">
        <w:rPr>
          <w:rFonts w:ascii="Verdana" w:hAnsi="Verdana"/>
        </w:rPr>
        <w:t>, it is perhaps impossible</w:t>
      </w:r>
      <w:r w:rsidRPr="00420BB1">
        <w:rPr>
          <w:rFonts w:ascii="Verdana" w:hAnsi="Verdana"/>
        </w:rPr>
        <w:t xml:space="preserve"> to conceive a world where </w:t>
      </w:r>
      <w:r w:rsidR="003A1382">
        <w:rPr>
          <w:rFonts w:ascii="Verdana" w:hAnsi="Verdana"/>
        </w:rPr>
        <w:t>these therapies were not available.</w:t>
      </w:r>
      <w:r w:rsidRPr="00420BB1">
        <w:rPr>
          <w:rFonts w:ascii="Verdana" w:hAnsi="Verdana"/>
        </w:rPr>
        <w:t xml:space="preserve"> </w:t>
      </w:r>
    </w:p>
    <w:p w14:paraId="451605E4" w14:textId="77777777" w:rsidR="0023653D" w:rsidRPr="00420BB1" w:rsidRDefault="0023653D" w:rsidP="00420BB1">
      <w:pPr>
        <w:spacing w:line="360" w:lineRule="auto"/>
        <w:jc w:val="both"/>
        <w:rPr>
          <w:rFonts w:ascii="Verdana" w:hAnsi="Verdana"/>
        </w:rPr>
      </w:pPr>
    </w:p>
    <w:p w14:paraId="78ECE194" w14:textId="216134E5" w:rsidR="00DC2EA2" w:rsidRPr="00420BB1" w:rsidRDefault="00DC2EA2" w:rsidP="00420BB1">
      <w:pPr>
        <w:autoSpaceDE w:val="0"/>
        <w:autoSpaceDN w:val="0"/>
        <w:adjustRightInd w:val="0"/>
        <w:spacing w:after="0" w:line="360" w:lineRule="auto"/>
        <w:jc w:val="both"/>
        <w:rPr>
          <w:rFonts w:ascii="Verdana" w:hAnsi="Verdana"/>
        </w:rPr>
      </w:pPr>
      <w:r w:rsidRPr="00420BB1">
        <w:rPr>
          <w:rFonts w:ascii="Verdana" w:hAnsi="Verdana"/>
        </w:rPr>
        <w:t xml:space="preserve">The </w:t>
      </w:r>
      <w:r w:rsidR="00FE2274" w:rsidRPr="00420BB1">
        <w:rPr>
          <w:rFonts w:ascii="Verdana" w:hAnsi="Verdana"/>
        </w:rPr>
        <w:t>British Society of Rheumatology Biologics Register for Rheumatoid Arthritis (</w:t>
      </w:r>
      <w:r w:rsidRPr="00420BB1">
        <w:rPr>
          <w:rFonts w:ascii="Verdana" w:hAnsi="Verdana"/>
        </w:rPr>
        <w:t>BSRBR</w:t>
      </w:r>
      <w:r w:rsidR="00FE2274" w:rsidRPr="00420BB1">
        <w:rPr>
          <w:rFonts w:ascii="Verdana" w:hAnsi="Verdana"/>
        </w:rPr>
        <w:t>-RA)</w:t>
      </w:r>
      <w:r w:rsidRPr="00420BB1">
        <w:rPr>
          <w:rFonts w:ascii="Verdana" w:hAnsi="Verdana"/>
        </w:rPr>
        <w:t xml:space="preserve"> was </w:t>
      </w:r>
      <w:r w:rsidR="002C0A28" w:rsidRPr="00420BB1">
        <w:rPr>
          <w:rFonts w:ascii="Verdana" w:hAnsi="Verdana"/>
        </w:rPr>
        <w:t xml:space="preserve">launched </w:t>
      </w:r>
      <w:r w:rsidRPr="00420BB1">
        <w:rPr>
          <w:rFonts w:ascii="Verdana" w:hAnsi="Verdana"/>
        </w:rPr>
        <w:t xml:space="preserve">when </w:t>
      </w:r>
      <w:r w:rsidR="00745644" w:rsidRPr="00420BB1">
        <w:rPr>
          <w:rFonts w:ascii="Verdana" w:hAnsi="Verdana"/>
        </w:rPr>
        <w:t>anti-TNF therapies</w:t>
      </w:r>
      <w:r w:rsidRPr="00420BB1">
        <w:rPr>
          <w:rFonts w:ascii="Verdana" w:hAnsi="Verdana"/>
        </w:rPr>
        <w:t xml:space="preserve"> became a</w:t>
      </w:r>
      <w:r w:rsidR="00745644" w:rsidRPr="00420BB1">
        <w:rPr>
          <w:rFonts w:ascii="Verdana" w:hAnsi="Verdana"/>
        </w:rPr>
        <w:t xml:space="preserve">vailable; </w:t>
      </w:r>
      <w:r w:rsidR="00BF19DE" w:rsidRPr="00420BB1">
        <w:rPr>
          <w:rFonts w:ascii="Verdana" w:hAnsi="Verdana"/>
        </w:rPr>
        <w:t xml:space="preserve">a crucial </w:t>
      </w:r>
      <w:r w:rsidR="00BF19DE" w:rsidRPr="00420BB1">
        <w:rPr>
          <w:rFonts w:ascii="Verdana" w:hAnsi="Verdana"/>
        </w:rPr>
        <w:lastRenderedPageBreak/>
        <w:t>aspect of the</w:t>
      </w:r>
      <w:r w:rsidR="00152EC1" w:rsidRPr="00420BB1">
        <w:rPr>
          <w:rFonts w:ascii="Verdana" w:hAnsi="Verdana"/>
        </w:rPr>
        <w:t xml:space="preserve"> </w:t>
      </w:r>
      <w:r w:rsidR="00BF19DE" w:rsidRPr="00420BB1">
        <w:rPr>
          <w:rFonts w:ascii="Verdana" w:hAnsi="Verdana"/>
        </w:rPr>
        <w:t>original BSR</w:t>
      </w:r>
      <w:r w:rsidRPr="00420BB1">
        <w:rPr>
          <w:rFonts w:ascii="Verdana" w:hAnsi="Verdana"/>
        </w:rPr>
        <w:t xml:space="preserve"> guidelines to all </w:t>
      </w:r>
      <w:r w:rsidR="00BF19DE" w:rsidRPr="00420BB1">
        <w:rPr>
          <w:rFonts w:ascii="Verdana" w:hAnsi="Verdana"/>
        </w:rPr>
        <w:t xml:space="preserve">UK </w:t>
      </w:r>
      <w:r w:rsidRPr="00420BB1">
        <w:rPr>
          <w:rFonts w:ascii="Verdana" w:hAnsi="Verdana"/>
        </w:rPr>
        <w:t xml:space="preserve">rheumatologists on the use of </w:t>
      </w:r>
      <w:r w:rsidR="00BF19DE" w:rsidRPr="00420BB1">
        <w:rPr>
          <w:rFonts w:ascii="Verdana" w:hAnsi="Verdana"/>
        </w:rPr>
        <w:t>anti-TNF</w:t>
      </w:r>
      <w:r w:rsidRPr="00420BB1">
        <w:rPr>
          <w:rFonts w:ascii="Verdana" w:hAnsi="Verdana"/>
        </w:rPr>
        <w:t xml:space="preserve"> in RA</w:t>
      </w:r>
      <w:r w:rsidR="00BF19DE" w:rsidRPr="00420BB1">
        <w:rPr>
          <w:rFonts w:ascii="Verdana" w:hAnsi="Verdana"/>
        </w:rPr>
        <w:t xml:space="preserve"> was </w:t>
      </w:r>
      <w:r w:rsidRPr="00420BB1">
        <w:rPr>
          <w:rFonts w:ascii="Verdana" w:hAnsi="Verdana"/>
        </w:rPr>
        <w:t xml:space="preserve">enrolment on a national register </w:t>
      </w:r>
      <w:r w:rsidR="00BF19DE" w:rsidRPr="00420BB1">
        <w:rPr>
          <w:rFonts w:ascii="Verdana" w:hAnsi="Verdana"/>
        </w:rPr>
        <w:t xml:space="preserve">as </w:t>
      </w:r>
      <w:r w:rsidRPr="00420BB1">
        <w:rPr>
          <w:rFonts w:ascii="Verdana" w:hAnsi="Verdana"/>
        </w:rPr>
        <w:t xml:space="preserve">an essential part of the prescribing process. </w:t>
      </w:r>
      <w:r w:rsidR="00FE2274" w:rsidRPr="00420BB1">
        <w:rPr>
          <w:rFonts w:ascii="Verdana" w:hAnsi="Verdana"/>
        </w:rPr>
        <w:t xml:space="preserve">The </w:t>
      </w:r>
      <w:r w:rsidRPr="00420BB1">
        <w:rPr>
          <w:rFonts w:ascii="Verdana" w:hAnsi="Verdana"/>
        </w:rPr>
        <w:t xml:space="preserve">register was established in 2001 when an alliance was formed between the BSR, the pharmaceutical industry and the University of Manchester, where the register is held. As we celebrate the 15 year anniversary of the BSRBR-RA, it is perhaps time to reflect on the information that has emerged from the register. </w:t>
      </w:r>
      <w:r w:rsidR="003A1382">
        <w:rPr>
          <w:rFonts w:ascii="Verdana" w:hAnsi="Verdana"/>
        </w:rPr>
        <w:t>Here</w:t>
      </w:r>
      <w:r w:rsidR="00171524" w:rsidRPr="00420BB1">
        <w:rPr>
          <w:rFonts w:ascii="Verdana" w:hAnsi="Verdana"/>
        </w:rPr>
        <w:t xml:space="preserve"> we celebrate</w:t>
      </w:r>
      <w:r w:rsidRPr="00420BB1">
        <w:rPr>
          <w:rFonts w:ascii="Verdana" w:hAnsi="Verdana"/>
        </w:rPr>
        <w:t xml:space="preserve"> some of the </w:t>
      </w:r>
      <w:r w:rsidR="003A1382">
        <w:rPr>
          <w:rFonts w:ascii="Verdana" w:hAnsi="Verdana"/>
        </w:rPr>
        <w:t xml:space="preserve">register’s </w:t>
      </w:r>
      <w:r w:rsidRPr="00420BB1">
        <w:rPr>
          <w:rFonts w:ascii="Verdana" w:hAnsi="Verdana"/>
        </w:rPr>
        <w:t xml:space="preserve">key findings </w:t>
      </w:r>
      <w:r w:rsidR="00420BB1">
        <w:rPr>
          <w:rFonts w:ascii="Verdana" w:hAnsi="Verdana"/>
        </w:rPr>
        <w:t>by reviewing 8</w:t>
      </w:r>
      <w:r w:rsidRPr="00420BB1">
        <w:rPr>
          <w:rFonts w:ascii="Verdana" w:hAnsi="Verdana"/>
        </w:rPr>
        <w:t xml:space="preserve"> papers </w:t>
      </w:r>
      <w:r w:rsidR="002C0A28" w:rsidRPr="00420BB1">
        <w:rPr>
          <w:rFonts w:ascii="Verdana" w:hAnsi="Verdana"/>
        </w:rPr>
        <w:t xml:space="preserve">published in this </w:t>
      </w:r>
      <w:r w:rsidR="00E76041">
        <w:rPr>
          <w:rFonts w:ascii="Verdana" w:hAnsi="Verdana"/>
        </w:rPr>
        <w:t>J</w:t>
      </w:r>
      <w:r w:rsidR="002C0A28" w:rsidRPr="00420BB1">
        <w:rPr>
          <w:rFonts w:ascii="Verdana" w:hAnsi="Verdana"/>
        </w:rPr>
        <w:t>ournal</w:t>
      </w:r>
      <w:r w:rsidR="003A22FE" w:rsidRPr="00420BB1">
        <w:rPr>
          <w:rFonts w:ascii="Verdana" w:hAnsi="Verdana"/>
        </w:rPr>
        <w:t xml:space="preserve"> which have focussed on </w:t>
      </w:r>
      <w:r w:rsidR="003A1382">
        <w:rPr>
          <w:rFonts w:ascii="Verdana" w:hAnsi="Verdana"/>
        </w:rPr>
        <w:t xml:space="preserve">the safety and effectiveness of </w:t>
      </w:r>
      <w:r w:rsidR="003E36D6" w:rsidRPr="00420BB1">
        <w:rPr>
          <w:rFonts w:ascii="Verdana" w:hAnsi="Verdana"/>
        </w:rPr>
        <w:t>anti-TNF</w:t>
      </w:r>
      <w:r w:rsidR="003A22FE" w:rsidRPr="00420BB1">
        <w:rPr>
          <w:rFonts w:ascii="Verdana" w:hAnsi="Verdana"/>
        </w:rPr>
        <w:t xml:space="preserve"> therapies in patients with RA.</w:t>
      </w:r>
      <w:r w:rsidR="003E36D6" w:rsidRPr="00420BB1">
        <w:rPr>
          <w:rFonts w:ascii="Verdana" w:hAnsi="Verdana"/>
        </w:rPr>
        <w:t xml:space="preserve"> These papers sit within a sizeable collection published</w:t>
      </w:r>
      <w:r w:rsidR="00FE2274" w:rsidRPr="00420BB1">
        <w:rPr>
          <w:rFonts w:ascii="Verdana" w:hAnsi="Verdana"/>
        </w:rPr>
        <w:t xml:space="preserve"> from the BSRBR-RA</w:t>
      </w:r>
      <w:r w:rsidR="003E36D6" w:rsidRPr="00420BB1">
        <w:rPr>
          <w:rFonts w:ascii="Verdana" w:hAnsi="Verdana"/>
        </w:rPr>
        <w:t xml:space="preserve"> </w:t>
      </w:r>
      <w:r w:rsidR="00467F16" w:rsidRPr="00420BB1">
        <w:rPr>
          <w:rFonts w:ascii="Verdana" w:hAnsi="Verdana"/>
        </w:rPr>
        <w:t xml:space="preserve">both within this </w:t>
      </w:r>
      <w:r w:rsidR="004B15BF">
        <w:rPr>
          <w:rFonts w:ascii="Verdana" w:hAnsi="Verdana"/>
        </w:rPr>
        <w:t>J</w:t>
      </w:r>
      <w:r w:rsidR="00467F16" w:rsidRPr="00420BB1">
        <w:rPr>
          <w:rFonts w:ascii="Verdana" w:hAnsi="Verdana"/>
        </w:rPr>
        <w:t xml:space="preserve">ournal and </w:t>
      </w:r>
      <w:r w:rsidR="003E36D6" w:rsidRPr="00420BB1">
        <w:rPr>
          <w:rFonts w:ascii="Verdana" w:hAnsi="Verdana"/>
        </w:rPr>
        <w:t>the worldwide literature that is available from the BSRBR-RA website</w:t>
      </w:r>
      <w:r w:rsidR="00B447FA" w:rsidRPr="00420BB1">
        <w:rPr>
          <w:rFonts w:ascii="Verdana" w:hAnsi="Verdana"/>
        </w:rPr>
        <w:t xml:space="preserve"> [1]</w:t>
      </w:r>
      <w:r w:rsidR="003E36D6" w:rsidRPr="00420BB1">
        <w:rPr>
          <w:rFonts w:ascii="Verdana" w:hAnsi="Verdana"/>
        </w:rPr>
        <w:t>.</w:t>
      </w:r>
    </w:p>
    <w:p w14:paraId="3296DE3B" w14:textId="77777777" w:rsidR="00745644" w:rsidRPr="00420BB1" w:rsidRDefault="00745644" w:rsidP="00420BB1">
      <w:pPr>
        <w:pStyle w:val="NormalWeb"/>
        <w:shd w:val="clear" w:color="auto" w:fill="FFFFFF"/>
        <w:spacing w:line="360" w:lineRule="auto"/>
        <w:jc w:val="both"/>
        <w:rPr>
          <w:rFonts w:ascii="Verdana" w:hAnsi="Verdana"/>
          <w:sz w:val="22"/>
          <w:szCs w:val="22"/>
        </w:rPr>
      </w:pPr>
    </w:p>
    <w:p w14:paraId="42B2B9DD" w14:textId="19C8E5EA" w:rsidR="008D4551" w:rsidRPr="00420BB1" w:rsidRDefault="00950817"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eastAsia="Times New Roman" w:hAnsi="Verdana" w:cs="Arial"/>
          <w:sz w:val="22"/>
          <w:szCs w:val="22"/>
          <w:lang w:eastAsia="en-GB"/>
        </w:rPr>
        <w:t xml:space="preserve">Many papers from the BSRBR-RA have focussed on the effectiveness of biologic therapies when used in routine clinical practice, away from the confines of a clinical trial. </w:t>
      </w:r>
      <w:r w:rsidR="001A3273" w:rsidRPr="00420BB1">
        <w:rPr>
          <w:rFonts w:ascii="Verdana" w:eastAsia="Times New Roman" w:hAnsi="Verdana" w:cs="Arial"/>
          <w:sz w:val="22"/>
          <w:szCs w:val="22"/>
          <w:lang w:eastAsia="en-GB"/>
        </w:rPr>
        <w:t>I</w:t>
      </w:r>
      <w:r w:rsidRPr="00420BB1">
        <w:rPr>
          <w:rFonts w:ascii="Verdana" w:eastAsia="Times New Roman" w:hAnsi="Verdana" w:cs="Arial"/>
          <w:sz w:val="22"/>
          <w:szCs w:val="22"/>
          <w:lang w:eastAsia="en-GB"/>
        </w:rPr>
        <w:t>t</w:t>
      </w:r>
      <w:r w:rsidR="001A3273" w:rsidRPr="00420BB1">
        <w:rPr>
          <w:rFonts w:ascii="Verdana" w:eastAsia="Times New Roman" w:hAnsi="Verdana" w:cs="Arial"/>
          <w:sz w:val="22"/>
          <w:szCs w:val="22"/>
          <w:lang w:eastAsia="en-GB"/>
        </w:rPr>
        <w:t xml:space="preserve"> is c</w:t>
      </w:r>
      <w:r w:rsidR="007367D9" w:rsidRPr="00420BB1">
        <w:rPr>
          <w:rFonts w:ascii="Verdana" w:eastAsia="Times New Roman" w:hAnsi="Verdana" w:cs="Arial"/>
          <w:sz w:val="22"/>
          <w:szCs w:val="22"/>
          <w:lang w:eastAsia="en-GB"/>
        </w:rPr>
        <w:t xml:space="preserve">linically </w:t>
      </w:r>
      <w:r w:rsidR="001A3273" w:rsidRPr="00420BB1">
        <w:rPr>
          <w:rFonts w:ascii="Verdana" w:eastAsia="Times New Roman" w:hAnsi="Verdana" w:cs="Arial"/>
          <w:sz w:val="22"/>
          <w:szCs w:val="22"/>
          <w:lang w:eastAsia="en-GB"/>
        </w:rPr>
        <w:t>important to identify</w:t>
      </w:r>
      <w:r w:rsidR="007367D9" w:rsidRPr="00420BB1">
        <w:rPr>
          <w:rFonts w:ascii="Verdana" w:eastAsia="Times New Roman" w:hAnsi="Verdana" w:cs="Arial"/>
          <w:sz w:val="22"/>
          <w:szCs w:val="22"/>
          <w:lang w:eastAsia="en-GB"/>
        </w:rPr>
        <w:t xml:space="preserve"> group</w:t>
      </w:r>
      <w:r w:rsidR="001A3273" w:rsidRPr="00420BB1">
        <w:rPr>
          <w:rFonts w:ascii="Verdana" w:eastAsia="Times New Roman" w:hAnsi="Verdana" w:cs="Arial"/>
          <w:sz w:val="22"/>
          <w:szCs w:val="22"/>
          <w:lang w:eastAsia="en-GB"/>
        </w:rPr>
        <w:t>s</w:t>
      </w:r>
      <w:r w:rsidR="007367D9" w:rsidRPr="00420BB1">
        <w:rPr>
          <w:rFonts w:ascii="Verdana" w:eastAsia="Times New Roman" w:hAnsi="Verdana" w:cs="Arial"/>
          <w:sz w:val="22"/>
          <w:szCs w:val="22"/>
          <w:lang w:eastAsia="en-GB"/>
        </w:rPr>
        <w:t xml:space="preserve"> of patients who might </w:t>
      </w:r>
      <w:r w:rsidR="001A3273" w:rsidRPr="00420BB1">
        <w:rPr>
          <w:rFonts w:ascii="Verdana" w:eastAsia="Times New Roman" w:hAnsi="Verdana" w:cs="Arial"/>
          <w:sz w:val="22"/>
          <w:szCs w:val="22"/>
          <w:lang w:eastAsia="en-GB"/>
        </w:rPr>
        <w:t xml:space="preserve">preferentially </w:t>
      </w:r>
      <w:r w:rsidR="007367D9" w:rsidRPr="00420BB1">
        <w:rPr>
          <w:rFonts w:ascii="Verdana" w:eastAsia="Times New Roman" w:hAnsi="Verdana" w:cs="Arial"/>
          <w:sz w:val="22"/>
          <w:szCs w:val="22"/>
          <w:lang w:eastAsia="en-GB"/>
        </w:rPr>
        <w:t xml:space="preserve">benefit from anti-TNF therapy. </w:t>
      </w:r>
      <w:r w:rsidR="008D4551" w:rsidRPr="00420BB1">
        <w:rPr>
          <w:rFonts w:ascii="Verdana" w:eastAsia="Times New Roman" w:hAnsi="Verdana" w:cs="Arial"/>
          <w:sz w:val="22"/>
          <w:szCs w:val="22"/>
          <w:lang w:eastAsia="en-GB"/>
        </w:rPr>
        <w:t xml:space="preserve">In a 2006 paper, </w:t>
      </w:r>
      <w:proofErr w:type="spellStart"/>
      <w:r w:rsidR="008D4551" w:rsidRPr="00420BB1">
        <w:rPr>
          <w:rFonts w:ascii="Verdana" w:eastAsia="Times New Roman" w:hAnsi="Verdana" w:cs="Arial"/>
          <w:sz w:val="22"/>
          <w:szCs w:val="22"/>
          <w:lang w:eastAsia="en-GB"/>
        </w:rPr>
        <w:t>Hyrich</w:t>
      </w:r>
      <w:proofErr w:type="spellEnd"/>
      <w:r w:rsidR="008D4551" w:rsidRPr="00420BB1">
        <w:rPr>
          <w:rFonts w:ascii="Verdana" w:eastAsia="Times New Roman" w:hAnsi="Verdana" w:cs="Arial"/>
          <w:sz w:val="22"/>
          <w:szCs w:val="22"/>
          <w:lang w:eastAsia="en-GB"/>
        </w:rPr>
        <w:t xml:space="preserve"> et al</w:t>
      </w:r>
      <w:r w:rsidR="004B15BF">
        <w:rPr>
          <w:rFonts w:ascii="Verdana" w:eastAsia="Times New Roman" w:hAnsi="Verdana" w:cs="Arial"/>
          <w:sz w:val="22"/>
          <w:szCs w:val="22"/>
          <w:lang w:eastAsia="en-GB"/>
        </w:rPr>
        <w:t>.</w:t>
      </w:r>
      <w:r w:rsidR="008D4551" w:rsidRPr="00420BB1">
        <w:rPr>
          <w:rFonts w:ascii="Verdana" w:eastAsia="Times New Roman" w:hAnsi="Verdana" w:cs="Arial"/>
          <w:sz w:val="22"/>
          <w:szCs w:val="22"/>
          <w:lang w:eastAsia="en-GB"/>
        </w:rPr>
        <w:t xml:space="preserve"> studied 2879 patients</w:t>
      </w:r>
      <w:r w:rsidRPr="00420BB1">
        <w:rPr>
          <w:rFonts w:ascii="Verdana" w:eastAsia="Times New Roman" w:hAnsi="Verdana" w:cs="Arial"/>
          <w:sz w:val="22"/>
          <w:szCs w:val="22"/>
          <w:lang w:eastAsia="en-GB"/>
        </w:rPr>
        <w:t xml:space="preserve"> with RA</w:t>
      </w:r>
      <w:r w:rsidR="008D4551" w:rsidRPr="00420BB1">
        <w:rPr>
          <w:rFonts w:ascii="Verdana" w:eastAsia="Times New Roman" w:hAnsi="Verdana" w:cs="Arial"/>
          <w:sz w:val="22"/>
          <w:szCs w:val="22"/>
          <w:lang w:eastAsia="en-GB"/>
        </w:rPr>
        <w:t xml:space="preserve"> </w:t>
      </w:r>
      <w:r w:rsidRPr="00420BB1">
        <w:rPr>
          <w:rFonts w:ascii="Verdana" w:eastAsia="Times New Roman" w:hAnsi="Verdana" w:cs="Arial"/>
          <w:sz w:val="22"/>
          <w:szCs w:val="22"/>
          <w:lang w:eastAsia="en-GB"/>
        </w:rPr>
        <w:t>(mean age 55 years, mean disease duration 14 years)</w:t>
      </w:r>
      <w:r w:rsidR="008D4551" w:rsidRPr="00420BB1">
        <w:rPr>
          <w:rFonts w:ascii="Verdana" w:eastAsia="Times New Roman" w:hAnsi="Verdana" w:cs="Arial"/>
          <w:sz w:val="22"/>
          <w:szCs w:val="22"/>
          <w:lang w:eastAsia="en-GB"/>
        </w:rPr>
        <w:t xml:space="preserve"> start</w:t>
      </w:r>
      <w:r w:rsidRPr="00420BB1">
        <w:rPr>
          <w:rFonts w:ascii="Verdana" w:eastAsia="Times New Roman" w:hAnsi="Verdana" w:cs="Arial"/>
          <w:sz w:val="22"/>
          <w:szCs w:val="22"/>
          <w:lang w:eastAsia="en-GB"/>
        </w:rPr>
        <w:t xml:space="preserve">ing their first treatment with </w:t>
      </w:r>
      <w:proofErr w:type="spellStart"/>
      <w:r w:rsidRPr="00420BB1">
        <w:rPr>
          <w:rFonts w:ascii="Verdana" w:eastAsia="Times New Roman" w:hAnsi="Verdana" w:cs="Arial"/>
          <w:sz w:val="22"/>
          <w:szCs w:val="22"/>
          <w:lang w:eastAsia="en-GB"/>
        </w:rPr>
        <w:t>etanercept</w:t>
      </w:r>
      <w:proofErr w:type="spellEnd"/>
      <w:r w:rsidRPr="00420BB1">
        <w:rPr>
          <w:rFonts w:ascii="Verdana" w:eastAsia="Times New Roman" w:hAnsi="Verdana" w:cs="Arial"/>
          <w:sz w:val="22"/>
          <w:szCs w:val="22"/>
          <w:lang w:eastAsia="en-GB"/>
        </w:rPr>
        <w:t xml:space="preserve"> or infliximab</w:t>
      </w:r>
      <w:r w:rsidR="00745644" w:rsidRPr="00420BB1">
        <w:rPr>
          <w:rFonts w:ascii="Verdana" w:eastAsia="Times New Roman" w:hAnsi="Verdana" w:cs="Arial"/>
          <w:sz w:val="22"/>
          <w:szCs w:val="22"/>
          <w:lang w:eastAsia="en-GB"/>
        </w:rPr>
        <w:t xml:space="preserve"> [</w:t>
      </w:r>
      <w:r w:rsidR="00B447FA" w:rsidRPr="00420BB1">
        <w:rPr>
          <w:rFonts w:ascii="Verdana" w:eastAsia="Times New Roman" w:hAnsi="Verdana" w:cs="Arial"/>
          <w:sz w:val="22"/>
          <w:szCs w:val="22"/>
          <w:lang w:eastAsia="en-GB"/>
        </w:rPr>
        <w:t>2</w:t>
      </w:r>
      <w:r w:rsidR="00745644" w:rsidRPr="00420BB1">
        <w:rPr>
          <w:rFonts w:ascii="Verdana" w:eastAsia="Times New Roman" w:hAnsi="Verdana" w:cs="Arial"/>
          <w:sz w:val="22"/>
          <w:szCs w:val="22"/>
          <w:lang w:eastAsia="en-GB"/>
        </w:rPr>
        <w:t>]</w:t>
      </w:r>
      <w:r w:rsidR="008D4551" w:rsidRPr="00420BB1">
        <w:rPr>
          <w:rFonts w:ascii="Verdana" w:eastAsia="Times New Roman" w:hAnsi="Verdana" w:cs="Arial"/>
          <w:sz w:val="22"/>
          <w:szCs w:val="22"/>
          <w:lang w:eastAsia="en-GB"/>
        </w:rPr>
        <w:t xml:space="preserve">. After 6 months, </w:t>
      </w:r>
      <w:r w:rsidR="001A3273" w:rsidRPr="00420BB1">
        <w:rPr>
          <w:rFonts w:ascii="Verdana" w:eastAsia="Times New Roman" w:hAnsi="Verdana" w:cs="Arial"/>
          <w:sz w:val="22"/>
          <w:szCs w:val="22"/>
          <w:lang w:eastAsia="en-GB"/>
        </w:rPr>
        <w:t xml:space="preserve">50% had a moderate response and </w:t>
      </w:r>
      <w:r w:rsidR="008D4551" w:rsidRPr="00420BB1">
        <w:rPr>
          <w:rFonts w:ascii="Verdana" w:eastAsia="Times New Roman" w:hAnsi="Verdana" w:cs="Arial"/>
          <w:sz w:val="22"/>
          <w:szCs w:val="22"/>
          <w:lang w:eastAsia="en-GB"/>
        </w:rPr>
        <w:t>18% had a good EULAR response</w:t>
      </w:r>
      <w:r w:rsidRPr="00420BB1">
        <w:rPr>
          <w:rFonts w:ascii="Verdana" w:eastAsia="Times New Roman" w:hAnsi="Verdana" w:cs="Arial"/>
          <w:sz w:val="22"/>
          <w:szCs w:val="22"/>
          <w:lang w:eastAsia="en-GB"/>
        </w:rPr>
        <w:t xml:space="preserve">, and </w:t>
      </w:r>
      <w:r w:rsidR="008D4551" w:rsidRPr="00420BB1">
        <w:rPr>
          <w:rFonts w:ascii="Verdana" w:eastAsia="Times New Roman" w:hAnsi="Verdana" w:cs="Arial"/>
          <w:sz w:val="22"/>
          <w:szCs w:val="22"/>
          <w:lang w:eastAsia="en-GB"/>
        </w:rPr>
        <w:t>9% were in remission</w:t>
      </w:r>
      <w:r w:rsidR="001A3273" w:rsidRPr="00420BB1">
        <w:rPr>
          <w:rFonts w:ascii="Verdana" w:eastAsia="Times New Roman" w:hAnsi="Verdana" w:cs="Arial"/>
          <w:sz w:val="22"/>
          <w:szCs w:val="22"/>
          <w:lang w:eastAsia="en-GB"/>
        </w:rPr>
        <w:t>.</w:t>
      </w:r>
      <w:r w:rsidR="008D4551" w:rsidRPr="00420BB1">
        <w:rPr>
          <w:rFonts w:ascii="Verdana" w:eastAsia="Times New Roman" w:hAnsi="Verdana" w:cs="Arial"/>
          <w:sz w:val="22"/>
          <w:szCs w:val="22"/>
          <w:lang w:eastAsia="en-GB"/>
        </w:rPr>
        <w:t xml:space="preserve"> There was no overall difference in response rate between the two anti-TNF therapies. </w:t>
      </w:r>
      <w:r w:rsidR="001A3273" w:rsidRPr="00420BB1">
        <w:rPr>
          <w:rFonts w:ascii="Verdana" w:eastAsia="Times New Roman" w:hAnsi="Verdana" w:cs="Arial"/>
          <w:sz w:val="22"/>
          <w:szCs w:val="22"/>
          <w:lang w:eastAsia="en-GB"/>
        </w:rPr>
        <w:t>Both current smokers and more disabled patients (</w:t>
      </w:r>
      <w:r w:rsidR="008D4551" w:rsidRPr="00420BB1">
        <w:rPr>
          <w:rFonts w:ascii="Verdana" w:eastAsia="Times New Roman" w:hAnsi="Verdana" w:cs="Arial"/>
          <w:sz w:val="22"/>
          <w:szCs w:val="22"/>
          <w:lang w:eastAsia="en-GB"/>
        </w:rPr>
        <w:t>high baseline HAQ score</w:t>
      </w:r>
      <w:r w:rsidR="001A3273" w:rsidRPr="00420BB1">
        <w:rPr>
          <w:rFonts w:ascii="Verdana" w:eastAsia="Times New Roman" w:hAnsi="Verdana" w:cs="Arial"/>
          <w:sz w:val="22"/>
          <w:szCs w:val="22"/>
          <w:lang w:eastAsia="en-GB"/>
        </w:rPr>
        <w:t>)</w:t>
      </w:r>
      <w:r w:rsidR="008D4551" w:rsidRPr="00420BB1">
        <w:rPr>
          <w:rFonts w:ascii="Verdana" w:eastAsia="Times New Roman" w:hAnsi="Verdana" w:cs="Arial"/>
          <w:sz w:val="22"/>
          <w:szCs w:val="22"/>
          <w:lang w:eastAsia="en-GB"/>
        </w:rPr>
        <w:t xml:space="preserve"> </w:t>
      </w:r>
      <w:r w:rsidR="001A3273" w:rsidRPr="00420BB1">
        <w:rPr>
          <w:rFonts w:ascii="Verdana" w:eastAsia="Times New Roman" w:hAnsi="Verdana" w:cs="Arial"/>
          <w:sz w:val="22"/>
          <w:szCs w:val="22"/>
          <w:lang w:eastAsia="en-GB"/>
        </w:rPr>
        <w:t xml:space="preserve">had poorer </w:t>
      </w:r>
      <w:r w:rsidR="008D4551" w:rsidRPr="00420BB1">
        <w:rPr>
          <w:rFonts w:ascii="Verdana" w:eastAsia="Times New Roman" w:hAnsi="Verdana" w:cs="Arial"/>
          <w:sz w:val="22"/>
          <w:szCs w:val="22"/>
          <w:lang w:eastAsia="en-GB"/>
        </w:rPr>
        <w:t>response rate</w:t>
      </w:r>
      <w:r w:rsidR="001A3273" w:rsidRPr="00420BB1">
        <w:rPr>
          <w:rFonts w:ascii="Verdana" w:eastAsia="Times New Roman" w:hAnsi="Verdana" w:cs="Arial"/>
          <w:sz w:val="22"/>
          <w:szCs w:val="22"/>
          <w:lang w:eastAsia="en-GB"/>
        </w:rPr>
        <w:t>s and</w:t>
      </w:r>
      <w:r w:rsidRPr="00420BB1">
        <w:rPr>
          <w:rFonts w:ascii="Verdana" w:eastAsia="Times New Roman" w:hAnsi="Verdana" w:cs="Arial"/>
          <w:sz w:val="22"/>
          <w:szCs w:val="22"/>
          <w:lang w:eastAsia="en-GB"/>
        </w:rPr>
        <w:t xml:space="preserve"> </w:t>
      </w:r>
      <w:r w:rsidR="001A3273" w:rsidRPr="00420BB1">
        <w:rPr>
          <w:rFonts w:ascii="Verdana" w:eastAsia="Times New Roman" w:hAnsi="Verdana" w:cs="Arial"/>
          <w:sz w:val="22"/>
          <w:szCs w:val="22"/>
          <w:lang w:eastAsia="en-GB"/>
        </w:rPr>
        <w:t>women were less likely to achieve remission. Patients con</w:t>
      </w:r>
      <w:r w:rsidR="008D4551" w:rsidRPr="00420BB1">
        <w:rPr>
          <w:rFonts w:ascii="Verdana" w:eastAsia="Times New Roman" w:hAnsi="Verdana" w:cs="Arial"/>
          <w:sz w:val="22"/>
          <w:szCs w:val="22"/>
          <w:lang w:eastAsia="en-GB"/>
        </w:rPr>
        <w:t>current</w:t>
      </w:r>
      <w:r w:rsidR="001A3273" w:rsidRPr="00420BB1">
        <w:rPr>
          <w:rFonts w:ascii="Verdana" w:eastAsia="Times New Roman" w:hAnsi="Verdana" w:cs="Arial"/>
          <w:sz w:val="22"/>
          <w:szCs w:val="22"/>
          <w:lang w:eastAsia="en-GB"/>
        </w:rPr>
        <w:t>ly</w:t>
      </w:r>
      <w:r w:rsidR="008D4551" w:rsidRPr="00420BB1">
        <w:rPr>
          <w:rFonts w:ascii="Verdana" w:eastAsia="Times New Roman" w:hAnsi="Verdana" w:cs="Arial"/>
          <w:sz w:val="22"/>
          <w:szCs w:val="22"/>
          <w:lang w:eastAsia="en-GB"/>
        </w:rPr>
        <w:t xml:space="preserve"> </w:t>
      </w:r>
      <w:r w:rsidR="001A3273" w:rsidRPr="00420BB1">
        <w:rPr>
          <w:rFonts w:ascii="Verdana" w:eastAsia="Times New Roman" w:hAnsi="Verdana" w:cs="Arial"/>
          <w:sz w:val="22"/>
          <w:szCs w:val="22"/>
          <w:lang w:eastAsia="en-GB"/>
        </w:rPr>
        <w:t>receiving</w:t>
      </w:r>
      <w:r w:rsidR="008D4551" w:rsidRPr="00420BB1">
        <w:rPr>
          <w:rFonts w:ascii="Verdana" w:eastAsia="Times New Roman" w:hAnsi="Verdana" w:cs="Arial"/>
          <w:sz w:val="22"/>
          <w:szCs w:val="22"/>
          <w:lang w:eastAsia="en-GB"/>
        </w:rPr>
        <w:t xml:space="preserve"> anti-inflammatories </w:t>
      </w:r>
      <w:r w:rsidR="001A3273" w:rsidRPr="00420BB1">
        <w:rPr>
          <w:rFonts w:ascii="Verdana" w:eastAsia="Times New Roman" w:hAnsi="Verdana" w:cs="Arial"/>
          <w:sz w:val="22"/>
          <w:szCs w:val="22"/>
          <w:lang w:eastAsia="en-GB"/>
        </w:rPr>
        <w:t>or</w:t>
      </w:r>
      <w:r w:rsidR="008D4551" w:rsidRPr="00420BB1">
        <w:rPr>
          <w:rFonts w:ascii="Verdana" w:eastAsia="Times New Roman" w:hAnsi="Verdana" w:cs="Arial"/>
          <w:sz w:val="22"/>
          <w:szCs w:val="22"/>
          <w:lang w:eastAsia="en-GB"/>
        </w:rPr>
        <w:t xml:space="preserve"> methotrexate</w:t>
      </w:r>
      <w:r w:rsidR="001A3273" w:rsidRPr="00420BB1">
        <w:rPr>
          <w:rFonts w:ascii="Verdana" w:eastAsia="Times New Roman" w:hAnsi="Verdana" w:cs="Arial"/>
          <w:sz w:val="22"/>
          <w:szCs w:val="22"/>
          <w:lang w:eastAsia="en-GB"/>
        </w:rPr>
        <w:t xml:space="preserve"> were more likely to respond to anti-TNF</w:t>
      </w:r>
      <w:r w:rsidR="008D4551" w:rsidRPr="00420BB1">
        <w:rPr>
          <w:rFonts w:ascii="Verdana" w:eastAsia="Times New Roman" w:hAnsi="Verdana" w:cs="Arial"/>
          <w:sz w:val="22"/>
          <w:szCs w:val="22"/>
          <w:lang w:eastAsia="en-GB"/>
        </w:rPr>
        <w:t xml:space="preserve">. </w:t>
      </w:r>
      <w:r w:rsidR="001A3273" w:rsidRPr="00420BB1">
        <w:rPr>
          <w:rFonts w:ascii="Verdana" w:eastAsia="Times New Roman" w:hAnsi="Verdana" w:cs="Arial"/>
          <w:sz w:val="22"/>
          <w:szCs w:val="22"/>
          <w:lang w:eastAsia="en-GB"/>
        </w:rPr>
        <w:t>A</w:t>
      </w:r>
      <w:r w:rsidR="008D4551" w:rsidRPr="00420BB1">
        <w:rPr>
          <w:rFonts w:ascii="Verdana" w:eastAsia="Times New Roman" w:hAnsi="Verdana" w:cs="Arial"/>
          <w:sz w:val="22"/>
          <w:szCs w:val="22"/>
          <w:lang w:eastAsia="en-GB"/>
        </w:rPr>
        <w:t xml:space="preserve">ge, disease duration, rheumatoid factor and the previous number of </w:t>
      </w:r>
      <w:r w:rsidR="00745644" w:rsidRPr="00420BB1">
        <w:rPr>
          <w:rFonts w:ascii="Verdana" w:eastAsia="Times New Roman" w:hAnsi="Verdana" w:cs="Arial"/>
          <w:sz w:val="22"/>
          <w:szCs w:val="22"/>
          <w:lang w:eastAsia="en-GB"/>
        </w:rPr>
        <w:t xml:space="preserve">DMARDs </w:t>
      </w:r>
      <w:r w:rsidR="008D4551" w:rsidRPr="00420BB1">
        <w:rPr>
          <w:rFonts w:ascii="Verdana" w:eastAsia="Times New Roman" w:hAnsi="Verdana" w:cs="Arial"/>
          <w:sz w:val="22"/>
          <w:szCs w:val="22"/>
          <w:lang w:eastAsia="en-GB"/>
        </w:rPr>
        <w:t xml:space="preserve">did not predict response to either drug. </w:t>
      </w:r>
    </w:p>
    <w:p w14:paraId="5D9136A3" w14:textId="77777777" w:rsidR="0023653D" w:rsidRPr="00420BB1" w:rsidRDefault="0023653D" w:rsidP="00420BB1">
      <w:pPr>
        <w:pStyle w:val="NormalWeb"/>
        <w:shd w:val="clear" w:color="auto" w:fill="FFFFFF"/>
        <w:spacing w:line="360" w:lineRule="auto"/>
        <w:jc w:val="both"/>
        <w:rPr>
          <w:rFonts w:ascii="Verdana" w:eastAsia="Times New Roman" w:hAnsi="Verdana" w:cs="Arial"/>
          <w:sz w:val="22"/>
          <w:szCs w:val="22"/>
          <w:lang w:eastAsia="en-GB"/>
        </w:rPr>
      </w:pPr>
    </w:p>
    <w:p w14:paraId="26EA05E0" w14:textId="6B74C768" w:rsidR="008D4551" w:rsidRPr="00420BB1" w:rsidRDefault="008D4551"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eastAsia="Times New Roman" w:hAnsi="Verdana" w:cs="Arial"/>
          <w:sz w:val="22"/>
          <w:szCs w:val="22"/>
          <w:lang w:eastAsia="en-GB"/>
        </w:rPr>
        <w:t>The effect of switching</w:t>
      </w:r>
      <w:r w:rsidR="00950817" w:rsidRPr="00420BB1">
        <w:rPr>
          <w:rFonts w:ascii="Verdana" w:eastAsia="Times New Roman" w:hAnsi="Verdana" w:cs="Arial"/>
          <w:sz w:val="22"/>
          <w:szCs w:val="22"/>
          <w:lang w:eastAsia="en-GB"/>
        </w:rPr>
        <w:t xml:space="preserve"> between anti-TNF therapies</w:t>
      </w:r>
      <w:r w:rsidRPr="00420BB1">
        <w:rPr>
          <w:rFonts w:ascii="Verdana" w:eastAsia="Times New Roman" w:hAnsi="Verdana" w:cs="Arial"/>
          <w:sz w:val="22"/>
          <w:szCs w:val="22"/>
          <w:lang w:eastAsia="en-GB"/>
        </w:rPr>
        <w:t xml:space="preserve"> was the subject of a 2008 paper that identified </w:t>
      </w:r>
      <w:r w:rsidR="00815328" w:rsidRPr="00420BB1">
        <w:rPr>
          <w:rFonts w:ascii="Verdana" w:eastAsia="Times New Roman" w:hAnsi="Verdana" w:cs="Arial"/>
          <w:sz w:val="22"/>
          <w:szCs w:val="22"/>
          <w:lang w:eastAsia="en-GB"/>
        </w:rPr>
        <w:t xml:space="preserve">868 </w:t>
      </w:r>
      <w:r w:rsidRPr="00420BB1">
        <w:rPr>
          <w:rFonts w:ascii="Verdana" w:eastAsia="Times New Roman" w:hAnsi="Verdana" w:cs="Arial"/>
          <w:sz w:val="22"/>
          <w:szCs w:val="22"/>
          <w:lang w:eastAsia="en-GB"/>
        </w:rPr>
        <w:t>RA patients with inefficacy to a first anti-TNF based on clinician opinion and/or</w:t>
      </w:r>
      <w:r w:rsidR="00745644" w:rsidRPr="00420BB1">
        <w:rPr>
          <w:rFonts w:ascii="Verdana" w:eastAsia="Times New Roman" w:hAnsi="Verdana" w:cs="Arial"/>
          <w:sz w:val="22"/>
          <w:szCs w:val="22"/>
          <w:lang w:eastAsia="en-GB"/>
        </w:rPr>
        <w:t xml:space="preserve"> DAS score</w:t>
      </w:r>
      <w:r w:rsidR="0023653D" w:rsidRPr="00420BB1">
        <w:rPr>
          <w:rFonts w:ascii="Verdana" w:eastAsia="Times New Roman" w:hAnsi="Verdana" w:cs="Arial"/>
          <w:sz w:val="22"/>
          <w:szCs w:val="22"/>
          <w:lang w:eastAsia="en-GB"/>
        </w:rPr>
        <w:t xml:space="preserve"> [</w:t>
      </w:r>
      <w:r w:rsidR="00B447FA" w:rsidRPr="00420BB1">
        <w:rPr>
          <w:rFonts w:ascii="Verdana" w:eastAsia="Times New Roman" w:hAnsi="Verdana" w:cs="Arial"/>
          <w:sz w:val="22"/>
          <w:szCs w:val="22"/>
          <w:lang w:eastAsia="en-GB"/>
        </w:rPr>
        <w:t>3</w:t>
      </w:r>
      <w:r w:rsidR="0023653D" w:rsidRPr="00420BB1">
        <w:rPr>
          <w:rFonts w:ascii="Verdana" w:eastAsia="Times New Roman" w:hAnsi="Verdana" w:cs="Arial"/>
          <w:sz w:val="22"/>
          <w:szCs w:val="22"/>
          <w:lang w:eastAsia="en-GB"/>
        </w:rPr>
        <w:t>]</w:t>
      </w:r>
      <w:r w:rsidRPr="00420BB1">
        <w:rPr>
          <w:rFonts w:ascii="Verdana" w:eastAsia="Times New Roman" w:hAnsi="Verdana" w:cs="Arial"/>
          <w:sz w:val="22"/>
          <w:szCs w:val="22"/>
          <w:lang w:eastAsia="en-GB"/>
        </w:rPr>
        <w:t xml:space="preserve">. </w:t>
      </w:r>
      <w:r w:rsidR="00822F20" w:rsidRPr="00420BB1">
        <w:rPr>
          <w:rFonts w:ascii="Verdana" w:eastAsia="Times New Roman" w:hAnsi="Verdana" w:cs="Arial"/>
          <w:sz w:val="22"/>
          <w:szCs w:val="22"/>
          <w:lang w:eastAsia="en-GB"/>
        </w:rPr>
        <w:t>Fifty five percent</w:t>
      </w:r>
      <w:r w:rsidR="00420BB1">
        <w:rPr>
          <w:rFonts w:ascii="Verdana" w:eastAsia="Times New Roman" w:hAnsi="Verdana" w:cs="Arial"/>
          <w:sz w:val="22"/>
          <w:szCs w:val="22"/>
          <w:lang w:eastAsia="en-GB"/>
        </w:rPr>
        <w:t xml:space="preserve"> </w:t>
      </w:r>
      <w:r w:rsidRPr="00420BB1">
        <w:rPr>
          <w:rFonts w:ascii="Verdana" w:eastAsia="Times New Roman" w:hAnsi="Verdana" w:cs="Arial"/>
          <w:sz w:val="22"/>
          <w:szCs w:val="22"/>
          <w:lang w:eastAsia="en-GB"/>
        </w:rPr>
        <w:t xml:space="preserve">stopped </w:t>
      </w:r>
      <w:r w:rsidR="00815328" w:rsidRPr="00420BB1">
        <w:rPr>
          <w:rFonts w:ascii="Verdana" w:eastAsia="Times New Roman" w:hAnsi="Verdana" w:cs="Arial"/>
          <w:sz w:val="22"/>
          <w:szCs w:val="22"/>
          <w:lang w:eastAsia="en-GB"/>
        </w:rPr>
        <w:t xml:space="preserve">their first </w:t>
      </w:r>
      <w:r w:rsidRPr="00420BB1">
        <w:rPr>
          <w:rFonts w:ascii="Verdana" w:eastAsia="Times New Roman" w:hAnsi="Verdana" w:cs="Arial"/>
          <w:sz w:val="22"/>
          <w:szCs w:val="22"/>
          <w:lang w:eastAsia="en-GB"/>
        </w:rPr>
        <w:t>anti-TNF</w:t>
      </w:r>
      <w:r w:rsidR="003E36D6" w:rsidRPr="00420BB1">
        <w:rPr>
          <w:rFonts w:ascii="Verdana" w:eastAsia="Times New Roman" w:hAnsi="Verdana" w:cs="Arial"/>
          <w:sz w:val="22"/>
          <w:szCs w:val="22"/>
          <w:lang w:eastAsia="en-GB"/>
        </w:rPr>
        <w:t xml:space="preserve"> </w:t>
      </w:r>
      <w:r w:rsidR="0023653D" w:rsidRPr="00420BB1">
        <w:rPr>
          <w:rFonts w:ascii="Verdana" w:eastAsia="Times New Roman" w:hAnsi="Verdana" w:cs="Arial"/>
          <w:sz w:val="22"/>
          <w:szCs w:val="22"/>
          <w:lang w:eastAsia="en-GB"/>
        </w:rPr>
        <w:t>treatment</w:t>
      </w:r>
      <w:r w:rsidR="00822F20" w:rsidRPr="00420BB1">
        <w:rPr>
          <w:rFonts w:ascii="Verdana" w:eastAsia="Times New Roman" w:hAnsi="Verdana" w:cs="Arial"/>
          <w:sz w:val="22"/>
          <w:szCs w:val="22"/>
          <w:lang w:eastAsia="en-GB"/>
        </w:rPr>
        <w:t xml:space="preserve">, with 69% </w:t>
      </w:r>
      <w:r w:rsidR="00815328" w:rsidRPr="00420BB1">
        <w:rPr>
          <w:rFonts w:ascii="Verdana" w:eastAsia="Times New Roman" w:hAnsi="Verdana" w:cs="Arial"/>
          <w:sz w:val="22"/>
          <w:szCs w:val="22"/>
          <w:lang w:eastAsia="en-GB"/>
        </w:rPr>
        <w:t>of these</w:t>
      </w:r>
      <w:r w:rsidRPr="00420BB1">
        <w:rPr>
          <w:rFonts w:ascii="Verdana" w:eastAsia="Times New Roman" w:hAnsi="Verdana" w:cs="Arial"/>
          <w:sz w:val="22"/>
          <w:szCs w:val="22"/>
          <w:lang w:eastAsia="en-GB"/>
        </w:rPr>
        <w:t xml:space="preserve"> switch</w:t>
      </w:r>
      <w:r w:rsidR="00822F20" w:rsidRPr="00420BB1">
        <w:rPr>
          <w:rFonts w:ascii="Verdana" w:eastAsia="Times New Roman" w:hAnsi="Verdana" w:cs="Arial"/>
          <w:sz w:val="22"/>
          <w:szCs w:val="22"/>
          <w:lang w:eastAsia="en-GB"/>
        </w:rPr>
        <w:t>ing</w:t>
      </w:r>
      <w:r w:rsidRPr="00420BB1">
        <w:rPr>
          <w:rFonts w:ascii="Verdana" w:eastAsia="Times New Roman" w:hAnsi="Verdana" w:cs="Arial"/>
          <w:sz w:val="22"/>
          <w:szCs w:val="22"/>
          <w:lang w:eastAsia="en-GB"/>
        </w:rPr>
        <w:t xml:space="preserve"> to a second anti-TNF</w:t>
      </w:r>
      <w:r w:rsidR="0023653D" w:rsidRPr="00420BB1">
        <w:rPr>
          <w:rFonts w:ascii="Verdana" w:eastAsia="Times New Roman" w:hAnsi="Verdana" w:cs="Arial"/>
          <w:sz w:val="22"/>
          <w:szCs w:val="22"/>
          <w:lang w:eastAsia="en-GB"/>
        </w:rPr>
        <w:t xml:space="preserve"> agent</w:t>
      </w:r>
      <w:r w:rsidRPr="00420BB1">
        <w:rPr>
          <w:rFonts w:ascii="Verdana" w:eastAsia="Times New Roman" w:hAnsi="Verdana" w:cs="Arial"/>
          <w:sz w:val="22"/>
          <w:szCs w:val="22"/>
          <w:lang w:eastAsia="en-GB"/>
        </w:rPr>
        <w:t xml:space="preserve">. </w:t>
      </w:r>
      <w:r w:rsidR="00646D8D" w:rsidRPr="00420BB1">
        <w:rPr>
          <w:rFonts w:ascii="Verdana" w:eastAsia="Times New Roman" w:hAnsi="Verdana" w:cs="Arial"/>
          <w:sz w:val="22"/>
          <w:szCs w:val="22"/>
          <w:lang w:eastAsia="en-GB"/>
        </w:rPr>
        <w:t xml:space="preserve">The authors demonstrated that </w:t>
      </w:r>
      <w:r w:rsidR="00822F20" w:rsidRPr="00420BB1">
        <w:rPr>
          <w:rFonts w:ascii="Verdana" w:eastAsia="Times New Roman" w:hAnsi="Verdana" w:cs="Arial"/>
          <w:sz w:val="22"/>
          <w:szCs w:val="22"/>
          <w:lang w:eastAsia="en-GB"/>
        </w:rPr>
        <w:t xml:space="preserve">both </w:t>
      </w:r>
      <w:r w:rsidR="00646D8D" w:rsidRPr="00420BB1">
        <w:rPr>
          <w:rFonts w:ascii="Verdana" w:eastAsia="Times New Roman" w:hAnsi="Verdana" w:cs="Arial"/>
          <w:sz w:val="22"/>
          <w:szCs w:val="22"/>
          <w:lang w:eastAsia="en-GB"/>
        </w:rPr>
        <w:t>p</w:t>
      </w:r>
      <w:r w:rsidRPr="00420BB1">
        <w:rPr>
          <w:rFonts w:ascii="Verdana" w:eastAsia="Times New Roman" w:hAnsi="Verdana" w:cs="Arial"/>
          <w:sz w:val="22"/>
          <w:szCs w:val="22"/>
          <w:lang w:eastAsia="en-GB"/>
        </w:rPr>
        <w:t xml:space="preserve">atients who continued and those who switched </w:t>
      </w:r>
      <w:r w:rsidR="00822F20" w:rsidRPr="00420BB1">
        <w:rPr>
          <w:rFonts w:ascii="Verdana" w:eastAsia="Times New Roman" w:hAnsi="Verdana" w:cs="Arial"/>
          <w:sz w:val="22"/>
          <w:szCs w:val="22"/>
          <w:lang w:eastAsia="en-GB"/>
        </w:rPr>
        <w:lastRenderedPageBreak/>
        <w:t xml:space="preserve">anti-TNF therapy </w:t>
      </w:r>
      <w:r w:rsidRPr="00420BB1">
        <w:rPr>
          <w:rFonts w:ascii="Verdana" w:eastAsia="Times New Roman" w:hAnsi="Verdana" w:cs="Arial"/>
          <w:sz w:val="22"/>
          <w:szCs w:val="22"/>
          <w:lang w:eastAsia="en-GB"/>
        </w:rPr>
        <w:t xml:space="preserve">had improvements in HAQ over the 12 months, </w:t>
      </w:r>
      <w:r w:rsidR="002C0A28" w:rsidRPr="00420BB1">
        <w:rPr>
          <w:rFonts w:ascii="Verdana" w:eastAsia="Times New Roman" w:hAnsi="Verdana" w:cs="Arial"/>
          <w:sz w:val="22"/>
          <w:szCs w:val="22"/>
          <w:lang w:eastAsia="en-GB"/>
        </w:rPr>
        <w:t xml:space="preserve">with a trend towards </w:t>
      </w:r>
      <w:r w:rsidR="00822F20" w:rsidRPr="00420BB1">
        <w:rPr>
          <w:rFonts w:ascii="Verdana" w:eastAsia="Times New Roman" w:hAnsi="Verdana" w:cs="Arial"/>
          <w:sz w:val="22"/>
          <w:szCs w:val="22"/>
          <w:lang w:eastAsia="en-GB"/>
        </w:rPr>
        <w:t>more</w:t>
      </w:r>
      <w:r w:rsidR="002C0A28" w:rsidRPr="00420BB1">
        <w:rPr>
          <w:rFonts w:ascii="Verdana" w:eastAsia="Times New Roman" w:hAnsi="Verdana" w:cs="Arial"/>
          <w:sz w:val="22"/>
          <w:szCs w:val="22"/>
          <w:lang w:eastAsia="en-GB"/>
        </w:rPr>
        <w:t xml:space="preserve"> improvement among those who switched</w:t>
      </w:r>
      <w:r w:rsidR="00815328" w:rsidRPr="00420BB1">
        <w:rPr>
          <w:rFonts w:ascii="Verdana" w:eastAsia="Times New Roman" w:hAnsi="Verdana" w:cs="Arial"/>
          <w:sz w:val="22"/>
          <w:szCs w:val="22"/>
          <w:lang w:eastAsia="en-GB"/>
        </w:rPr>
        <w:t>, i</w:t>
      </w:r>
      <w:r w:rsidR="00822F20" w:rsidRPr="00420BB1">
        <w:rPr>
          <w:rFonts w:ascii="Verdana" w:eastAsia="Times New Roman" w:hAnsi="Verdana" w:cs="Arial"/>
          <w:sz w:val="22"/>
          <w:szCs w:val="22"/>
          <w:lang w:eastAsia="en-GB"/>
        </w:rPr>
        <w:t xml:space="preserve">n contrast to </w:t>
      </w:r>
      <w:r w:rsidRPr="00420BB1">
        <w:rPr>
          <w:rFonts w:ascii="Verdana" w:eastAsia="Times New Roman" w:hAnsi="Verdana" w:cs="Arial"/>
          <w:sz w:val="22"/>
          <w:szCs w:val="22"/>
          <w:lang w:eastAsia="en-GB"/>
        </w:rPr>
        <w:t xml:space="preserve">patients who discontinued all biologic therapy. </w:t>
      </w:r>
    </w:p>
    <w:p w14:paraId="7AF0231C" w14:textId="77777777" w:rsidR="00646D8D" w:rsidRPr="00420BB1" w:rsidRDefault="00646D8D" w:rsidP="00420BB1">
      <w:pPr>
        <w:pStyle w:val="NormalWeb"/>
        <w:shd w:val="clear" w:color="auto" w:fill="FFFFFF"/>
        <w:spacing w:line="360" w:lineRule="auto"/>
        <w:jc w:val="both"/>
        <w:rPr>
          <w:rFonts w:ascii="Verdana" w:eastAsia="Times New Roman" w:hAnsi="Verdana" w:cs="Arial"/>
          <w:sz w:val="22"/>
          <w:szCs w:val="22"/>
          <w:lang w:eastAsia="en-GB"/>
        </w:rPr>
      </w:pPr>
    </w:p>
    <w:p w14:paraId="697FE6F9" w14:textId="74687212" w:rsidR="00646D8D" w:rsidRPr="00420BB1" w:rsidRDefault="00822F20"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eastAsia="Times New Roman" w:hAnsi="Verdana" w:cs="Arial"/>
          <w:sz w:val="22"/>
          <w:szCs w:val="22"/>
          <w:lang w:eastAsia="en-GB"/>
        </w:rPr>
        <w:t>T</w:t>
      </w:r>
      <w:r w:rsidR="00646D8D" w:rsidRPr="00420BB1">
        <w:rPr>
          <w:rFonts w:ascii="Verdana" w:eastAsia="Times New Roman" w:hAnsi="Verdana" w:cs="Arial"/>
          <w:sz w:val="22"/>
          <w:szCs w:val="22"/>
          <w:lang w:eastAsia="en-GB"/>
        </w:rPr>
        <w:t>he benefit of anti-TNF therapy in RA patients with moderate disease activity</w:t>
      </w:r>
      <w:r w:rsidR="0023653D" w:rsidRPr="00420BB1">
        <w:rPr>
          <w:rFonts w:ascii="Verdana" w:eastAsia="Times New Roman" w:hAnsi="Verdana" w:cs="Arial"/>
          <w:sz w:val="22"/>
          <w:szCs w:val="22"/>
          <w:lang w:eastAsia="en-GB"/>
        </w:rPr>
        <w:t xml:space="preserve"> </w:t>
      </w:r>
      <w:r w:rsidRPr="00420BB1">
        <w:rPr>
          <w:rFonts w:ascii="Verdana" w:eastAsia="Times New Roman" w:hAnsi="Verdana" w:cs="Arial"/>
          <w:sz w:val="22"/>
          <w:szCs w:val="22"/>
          <w:lang w:eastAsia="en-GB"/>
        </w:rPr>
        <w:t>was assessed in an</w:t>
      </w:r>
      <w:r w:rsidR="00646D8D" w:rsidRPr="00420BB1">
        <w:rPr>
          <w:rFonts w:ascii="Verdana" w:eastAsia="Times New Roman" w:hAnsi="Verdana" w:cs="Arial"/>
          <w:sz w:val="22"/>
          <w:szCs w:val="22"/>
          <w:lang w:eastAsia="en-GB"/>
        </w:rPr>
        <w:t xml:space="preserve"> analysis</w:t>
      </w:r>
      <w:r w:rsidRPr="00420BB1">
        <w:rPr>
          <w:rFonts w:ascii="Verdana" w:eastAsia="Times New Roman" w:hAnsi="Verdana" w:cs="Arial"/>
          <w:sz w:val="22"/>
          <w:szCs w:val="22"/>
          <w:lang w:eastAsia="en-GB"/>
        </w:rPr>
        <w:t xml:space="preserve"> of </w:t>
      </w:r>
      <w:r w:rsidR="00646D8D" w:rsidRPr="00420BB1">
        <w:rPr>
          <w:rFonts w:ascii="Verdana" w:eastAsia="Times New Roman" w:hAnsi="Verdana" w:cs="Arial"/>
          <w:sz w:val="22"/>
          <w:szCs w:val="22"/>
          <w:lang w:eastAsia="en-GB"/>
        </w:rPr>
        <w:t xml:space="preserve">4687 anti-TNF </w:t>
      </w:r>
      <w:r w:rsidRPr="00420BB1">
        <w:rPr>
          <w:rFonts w:ascii="Verdana" w:eastAsia="Times New Roman" w:hAnsi="Verdana" w:cs="Arial"/>
          <w:sz w:val="22"/>
          <w:szCs w:val="22"/>
          <w:lang w:eastAsia="en-GB"/>
        </w:rPr>
        <w:t>/</w:t>
      </w:r>
      <w:r w:rsidR="00646D8D" w:rsidRPr="00420BB1">
        <w:rPr>
          <w:rFonts w:ascii="Verdana" w:eastAsia="Times New Roman" w:hAnsi="Verdana" w:cs="Arial"/>
          <w:sz w:val="22"/>
          <w:szCs w:val="22"/>
          <w:lang w:eastAsia="en-GB"/>
        </w:rPr>
        <w:t xml:space="preserve"> 344 DMARD patients with high disease and 224 anti-TNF- </w:t>
      </w:r>
      <w:r w:rsidRPr="00420BB1">
        <w:rPr>
          <w:rFonts w:ascii="Verdana" w:eastAsia="Times New Roman" w:hAnsi="Verdana" w:cs="Arial"/>
          <w:sz w:val="22"/>
          <w:szCs w:val="22"/>
          <w:lang w:eastAsia="en-GB"/>
        </w:rPr>
        <w:t>/</w:t>
      </w:r>
      <w:r w:rsidR="00646D8D" w:rsidRPr="00420BB1">
        <w:rPr>
          <w:rFonts w:ascii="Verdana" w:eastAsia="Times New Roman" w:hAnsi="Verdana" w:cs="Arial"/>
          <w:sz w:val="22"/>
          <w:szCs w:val="22"/>
          <w:lang w:eastAsia="en-GB"/>
        </w:rPr>
        <w:t xml:space="preserve"> 300 DMARD-treated patients with moderate disease activity </w:t>
      </w:r>
      <w:r w:rsidR="00815328" w:rsidRPr="00420BB1">
        <w:rPr>
          <w:rFonts w:ascii="Verdana" w:eastAsia="Times New Roman" w:hAnsi="Verdana" w:cs="Arial"/>
          <w:sz w:val="22"/>
          <w:szCs w:val="22"/>
          <w:lang w:eastAsia="en-GB"/>
        </w:rPr>
        <w:t>despite treatment with two standard DMARDs</w:t>
      </w:r>
      <w:r w:rsidR="00420BB1">
        <w:rPr>
          <w:rFonts w:ascii="Verdana" w:eastAsia="Times New Roman" w:hAnsi="Verdana" w:cs="Arial"/>
          <w:sz w:val="22"/>
          <w:szCs w:val="22"/>
          <w:lang w:eastAsia="en-GB"/>
        </w:rPr>
        <w:t xml:space="preserve"> [4]</w:t>
      </w:r>
      <w:r w:rsidR="00815328" w:rsidRPr="00420BB1">
        <w:rPr>
          <w:rFonts w:ascii="Verdana" w:eastAsia="Times New Roman" w:hAnsi="Verdana" w:cs="Arial"/>
          <w:sz w:val="22"/>
          <w:szCs w:val="22"/>
          <w:lang w:eastAsia="en-GB"/>
        </w:rPr>
        <w:t>.</w:t>
      </w:r>
      <w:r w:rsidR="00646D8D" w:rsidRPr="00420BB1">
        <w:rPr>
          <w:rFonts w:ascii="Verdana" w:eastAsia="Times New Roman" w:hAnsi="Verdana" w:cs="Arial"/>
          <w:sz w:val="22"/>
          <w:szCs w:val="22"/>
          <w:lang w:eastAsia="en-GB"/>
        </w:rPr>
        <w:t xml:space="preserve"> The mean adjusted change in HAQ over 12 months was similar in patients </w:t>
      </w:r>
      <w:r w:rsidR="00BF19DE" w:rsidRPr="00420BB1">
        <w:rPr>
          <w:rFonts w:ascii="Verdana" w:eastAsia="Times New Roman" w:hAnsi="Verdana" w:cs="Arial"/>
          <w:sz w:val="22"/>
          <w:szCs w:val="22"/>
          <w:lang w:eastAsia="en-GB"/>
        </w:rPr>
        <w:t xml:space="preserve">starting anti-TNF </w:t>
      </w:r>
      <w:r w:rsidR="00646D8D" w:rsidRPr="00420BB1">
        <w:rPr>
          <w:rFonts w:ascii="Verdana" w:eastAsia="Times New Roman" w:hAnsi="Verdana" w:cs="Arial"/>
          <w:sz w:val="22"/>
          <w:szCs w:val="22"/>
          <w:lang w:eastAsia="en-GB"/>
        </w:rPr>
        <w:t>with moderate and high disease activity at baseline</w:t>
      </w:r>
      <w:r w:rsidR="00BF19DE" w:rsidRPr="00420BB1">
        <w:rPr>
          <w:rFonts w:ascii="Verdana" w:eastAsia="Times New Roman" w:hAnsi="Verdana" w:cs="Arial"/>
          <w:sz w:val="22"/>
          <w:szCs w:val="22"/>
          <w:lang w:eastAsia="en-GB"/>
        </w:rPr>
        <w:t xml:space="preserve">. This lack of dependence of initial disease severity on </w:t>
      </w:r>
      <w:r w:rsidR="00815328" w:rsidRPr="00420BB1">
        <w:rPr>
          <w:rFonts w:ascii="Verdana" w:eastAsia="Times New Roman" w:hAnsi="Verdana" w:cs="Arial"/>
          <w:sz w:val="22"/>
          <w:szCs w:val="22"/>
          <w:lang w:eastAsia="en-GB"/>
        </w:rPr>
        <w:t>response</w:t>
      </w:r>
      <w:r w:rsidR="00646D8D" w:rsidRPr="00420BB1">
        <w:rPr>
          <w:rFonts w:ascii="Verdana" w:eastAsia="Times New Roman" w:hAnsi="Verdana" w:cs="Arial"/>
          <w:sz w:val="22"/>
          <w:szCs w:val="22"/>
          <w:lang w:eastAsia="en-GB"/>
        </w:rPr>
        <w:t xml:space="preserve"> suggest</w:t>
      </w:r>
      <w:r w:rsidR="00BF19DE" w:rsidRPr="00420BB1">
        <w:rPr>
          <w:rFonts w:ascii="Verdana" w:eastAsia="Times New Roman" w:hAnsi="Verdana" w:cs="Arial"/>
          <w:sz w:val="22"/>
          <w:szCs w:val="22"/>
          <w:lang w:eastAsia="en-GB"/>
        </w:rPr>
        <w:t>s</w:t>
      </w:r>
      <w:r w:rsidR="00646D8D" w:rsidRPr="00420BB1">
        <w:rPr>
          <w:rFonts w:ascii="Verdana" w:eastAsia="Times New Roman" w:hAnsi="Verdana" w:cs="Arial"/>
          <w:sz w:val="22"/>
          <w:szCs w:val="22"/>
          <w:lang w:eastAsia="en-GB"/>
        </w:rPr>
        <w:t xml:space="preserve"> that substantial benefits may be gained by treating moderately active disease despite standard DMARD therapy.</w:t>
      </w:r>
    </w:p>
    <w:p w14:paraId="6ACCDDC2" w14:textId="77777777" w:rsidR="00646D8D" w:rsidRPr="00420BB1" w:rsidRDefault="00646D8D" w:rsidP="00420BB1">
      <w:pPr>
        <w:pStyle w:val="NormalWeb"/>
        <w:shd w:val="clear" w:color="auto" w:fill="FFFFFF"/>
        <w:spacing w:line="360" w:lineRule="auto"/>
        <w:jc w:val="both"/>
        <w:rPr>
          <w:rFonts w:ascii="Verdana" w:eastAsia="Times New Roman" w:hAnsi="Verdana" w:cs="Arial"/>
          <w:sz w:val="22"/>
          <w:szCs w:val="22"/>
          <w:lang w:eastAsia="en-GB"/>
        </w:rPr>
      </w:pPr>
    </w:p>
    <w:p w14:paraId="50644C9E" w14:textId="335D159C" w:rsidR="00646D8D" w:rsidRPr="00420BB1" w:rsidRDefault="00BF19DE"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eastAsia="Times New Roman" w:hAnsi="Verdana" w:cs="Arial"/>
          <w:sz w:val="22"/>
          <w:szCs w:val="22"/>
          <w:lang w:eastAsia="en-GB"/>
        </w:rPr>
        <w:t>A</w:t>
      </w:r>
      <w:r w:rsidR="00646D8D" w:rsidRPr="00420BB1">
        <w:rPr>
          <w:rFonts w:ascii="Verdana" w:eastAsia="Times New Roman" w:hAnsi="Verdana" w:cs="Arial"/>
          <w:sz w:val="22"/>
          <w:szCs w:val="22"/>
          <w:lang w:eastAsia="en-GB"/>
        </w:rPr>
        <w:t xml:space="preserve"> 2011 paper considered how the </w:t>
      </w:r>
      <w:r w:rsidRPr="00420BB1">
        <w:rPr>
          <w:rFonts w:ascii="Verdana" w:eastAsia="Times New Roman" w:hAnsi="Verdana" w:cs="Arial"/>
          <w:sz w:val="22"/>
          <w:szCs w:val="22"/>
          <w:lang w:eastAsia="en-GB"/>
        </w:rPr>
        <w:t xml:space="preserve">disease characteristics of </w:t>
      </w:r>
      <w:r w:rsidR="00646D8D" w:rsidRPr="00420BB1">
        <w:rPr>
          <w:rFonts w:ascii="Verdana" w:eastAsia="Times New Roman" w:hAnsi="Verdana" w:cs="Arial"/>
          <w:sz w:val="22"/>
          <w:szCs w:val="22"/>
          <w:lang w:eastAsia="en-GB"/>
        </w:rPr>
        <w:t>patients start</w:t>
      </w:r>
      <w:r w:rsidR="00815328" w:rsidRPr="00420BB1">
        <w:rPr>
          <w:rFonts w:ascii="Verdana" w:eastAsia="Times New Roman" w:hAnsi="Verdana" w:cs="Arial"/>
          <w:sz w:val="22"/>
          <w:szCs w:val="22"/>
          <w:lang w:eastAsia="en-GB"/>
        </w:rPr>
        <w:t>ing</w:t>
      </w:r>
      <w:r w:rsidR="00646D8D" w:rsidRPr="00420BB1">
        <w:rPr>
          <w:rFonts w:ascii="Verdana" w:eastAsia="Times New Roman" w:hAnsi="Verdana" w:cs="Arial"/>
          <w:sz w:val="22"/>
          <w:szCs w:val="22"/>
          <w:lang w:eastAsia="en-GB"/>
        </w:rPr>
        <w:t xml:space="preserve"> anti-TNF therapy have changed over t</w:t>
      </w:r>
      <w:r w:rsidRPr="00420BB1">
        <w:rPr>
          <w:rFonts w:ascii="Verdana" w:eastAsia="Times New Roman" w:hAnsi="Verdana" w:cs="Arial"/>
          <w:sz w:val="22"/>
          <w:szCs w:val="22"/>
          <w:lang w:eastAsia="en-GB"/>
        </w:rPr>
        <w:t>ime</w:t>
      </w:r>
      <w:r w:rsidR="0023653D" w:rsidRPr="00420BB1">
        <w:rPr>
          <w:rFonts w:ascii="Verdana" w:eastAsia="Times New Roman" w:hAnsi="Verdana" w:cs="Arial"/>
          <w:sz w:val="22"/>
          <w:szCs w:val="22"/>
          <w:lang w:eastAsia="en-GB"/>
        </w:rPr>
        <w:t xml:space="preserve"> [</w:t>
      </w:r>
      <w:r w:rsidR="00B447FA" w:rsidRPr="00420BB1">
        <w:rPr>
          <w:rFonts w:ascii="Verdana" w:eastAsia="Times New Roman" w:hAnsi="Verdana" w:cs="Arial"/>
          <w:sz w:val="22"/>
          <w:szCs w:val="22"/>
          <w:lang w:eastAsia="en-GB"/>
        </w:rPr>
        <w:t>5</w:t>
      </w:r>
      <w:r w:rsidR="0023653D" w:rsidRPr="00420BB1">
        <w:rPr>
          <w:rFonts w:ascii="Verdana" w:eastAsia="Times New Roman" w:hAnsi="Verdana" w:cs="Arial"/>
          <w:sz w:val="22"/>
          <w:szCs w:val="22"/>
          <w:lang w:eastAsia="en-GB"/>
        </w:rPr>
        <w:t>]</w:t>
      </w:r>
      <w:r w:rsidR="00646D8D" w:rsidRPr="00420BB1">
        <w:rPr>
          <w:rFonts w:ascii="Verdana" w:eastAsia="Times New Roman" w:hAnsi="Verdana" w:cs="Arial"/>
          <w:sz w:val="22"/>
          <w:szCs w:val="22"/>
          <w:lang w:eastAsia="en-GB"/>
        </w:rPr>
        <w:t xml:space="preserve">. Among a total of 11216 </w:t>
      </w:r>
      <w:r w:rsidRPr="00420BB1">
        <w:rPr>
          <w:rFonts w:ascii="Verdana" w:eastAsia="Times New Roman" w:hAnsi="Verdana" w:cs="Arial"/>
          <w:sz w:val="22"/>
          <w:szCs w:val="22"/>
          <w:lang w:eastAsia="en-GB"/>
        </w:rPr>
        <w:t>BSRBR-</w:t>
      </w:r>
      <w:r w:rsidR="00646D8D" w:rsidRPr="00420BB1">
        <w:rPr>
          <w:rFonts w:ascii="Verdana" w:eastAsia="Times New Roman" w:hAnsi="Verdana" w:cs="Arial"/>
          <w:sz w:val="22"/>
          <w:szCs w:val="22"/>
          <w:lang w:eastAsia="en-GB"/>
        </w:rPr>
        <w:t xml:space="preserve">RA patients </w:t>
      </w:r>
      <w:r w:rsidR="00B56A90">
        <w:rPr>
          <w:rFonts w:ascii="Verdana" w:eastAsia="Times New Roman" w:hAnsi="Verdana" w:cs="Arial"/>
          <w:sz w:val="22"/>
          <w:szCs w:val="22"/>
          <w:lang w:eastAsia="en-GB"/>
        </w:rPr>
        <w:t>starting their first anti-TNF</w:t>
      </w:r>
      <w:r w:rsidR="00646D8D" w:rsidRPr="00420BB1">
        <w:rPr>
          <w:rFonts w:ascii="Verdana" w:eastAsia="Times New Roman" w:hAnsi="Verdana" w:cs="Arial"/>
          <w:sz w:val="22"/>
          <w:szCs w:val="22"/>
          <w:lang w:eastAsia="en-GB"/>
        </w:rPr>
        <w:t xml:space="preserve"> between 2001 and 2008, mean disease activity and </w:t>
      </w:r>
      <w:r w:rsidR="00815328" w:rsidRPr="00420BB1">
        <w:rPr>
          <w:rFonts w:ascii="Verdana" w:eastAsia="Times New Roman" w:hAnsi="Verdana" w:cs="Arial"/>
          <w:sz w:val="22"/>
          <w:szCs w:val="22"/>
          <w:lang w:eastAsia="en-GB"/>
        </w:rPr>
        <w:t xml:space="preserve">disability scores </w:t>
      </w:r>
      <w:r w:rsidR="00646D8D" w:rsidRPr="00420BB1">
        <w:rPr>
          <w:rFonts w:ascii="Verdana" w:eastAsia="Times New Roman" w:hAnsi="Verdana" w:cs="Arial"/>
          <w:sz w:val="22"/>
          <w:szCs w:val="22"/>
          <w:lang w:eastAsia="en-GB"/>
        </w:rPr>
        <w:t>decreased</w:t>
      </w:r>
      <w:r w:rsidR="00815328" w:rsidRPr="00420BB1">
        <w:rPr>
          <w:rFonts w:ascii="Verdana" w:eastAsia="Times New Roman" w:hAnsi="Verdana" w:cs="Arial"/>
          <w:sz w:val="22"/>
          <w:szCs w:val="22"/>
          <w:lang w:eastAsia="en-GB"/>
        </w:rPr>
        <w:t xml:space="preserve"> year-on-year</w:t>
      </w:r>
      <w:r w:rsidR="00646D8D" w:rsidRPr="00420BB1">
        <w:rPr>
          <w:rFonts w:ascii="Verdana" w:eastAsia="Times New Roman" w:hAnsi="Verdana" w:cs="Arial"/>
          <w:sz w:val="22"/>
          <w:szCs w:val="22"/>
          <w:lang w:eastAsia="en-GB"/>
        </w:rPr>
        <w:t xml:space="preserve">. </w:t>
      </w:r>
      <w:r w:rsidR="00815328" w:rsidRPr="00420BB1">
        <w:rPr>
          <w:rFonts w:ascii="Verdana" w:eastAsia="Times New Roman" w:hAnsi="Verdana" w:cs="Arial"/>
          <w:sz w:val="22"/>
          <w:szCs w:val="22"/>
          <w:lang w:eastAsia="en-GB"/>
        </w:rPr>
        <w:t xml:space="preserve">Patients were also receiving the treatments earlier, with the proportion of patients starting within the first 5 years following diagnosis increasing, although the mean disease duration in 2008 remained high at 11 years. Year-on-year, the proportion of patients achieving EULAR good responses and remission also increased. </w:t>
      </w:r>
    </w:p>
    <w:p w14:paraId="43BDBC55" w14:textId="7D9A6468" w:rsidR="00467F16" w:rsidRPr="00420BB1" w:rsidRDefault="00467F16" w:rsidP="00420BB1">
      <w:pPr>
        <w:pStyle w:val="NormalWeb"/>
        <w:shd w:val="clear" w:color="auto" w:fill="FFFFFF"/>
        <w:spacing w:line="360" w:lineRule="auto"/>
        <w:jc w:val="both"/>
        <w:rPr>
          <w:rFonts w:ascii="Verdana" w:hAnsi="Verdana"/>
          <w:sz w:val="22"/>
          <w:szCs w:val="22"/>
        </w:rPr>
      </w:pPr>
    </w:p>
    <w:p w14:paraId="26DCD1BD" w14:textId="193FB516" w:rsidR="00467F16" w:rsidRPr="00420BB1" w:rsidRDefault="00467F16"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hAnsi="Verdana"/>
          <w:sz w:val="22"/>
          <w:szCs w:val="22"/>
        </w:rPr>
        <w:t>Balanced with obtaining a better understanding of the effectiveness of these therapies in real-world practice is gaining a better understanding of their safety profile. A particular concern when anti-TNF therapy was first introduced was serious infection, and in a 2011 paper</w:t>
      </w:r>
      <w:r w:rsidR="00E76041">
        <w:rPr>
          <w:rFonts w:ascii="Verdana" w:hAnsi="Verdana"/>
          <w:sz w:val="22"/>
          <w:szCs w:val="22"/>
        </w:rPr>
        <w:t>,</w:t>
      </w:r>
      <w:r w:rsidRPr="00420BB1">
        <w:rPr>
          <w:rFonts w:ascii="Verdana" w:hAnsi="Verdana"/>
          <w:sz w:val="22"/>
          <w:szCs w:val="22"/>
        </w:rPr>
        <w:t xml:space="preserve"> Galloway and colleagues demonstrated an increased risk of serious infection in patients with RA especially in the first 6 months of treatment [</w:t>
      </w:r>
      <w:r w:rsidR="00B447FA" w:rsidRPr="00420BB1">
        <w:rPr>
          <w:rFonts w:ascii="Verdana" w:hAnsi="Verdana"/>
          <w:sz w:val="22"/>
          <w:szCs w:val="22"/>
        </w:rPr>
        <w:t>6</w:t>
      </w:r>
      <w:r w:rsidRPr="00420BB1">
        <w:rPr>
          <w:rFonts w:ascii="Verdana" w:hAnsi="Verdana"/>
          <w:sz w:val="22"/>
          <w:szCs w:val="22"/>
        </w:rPr>
        <w:t xml:space="preserve">]. </w:t>
      </w:r>
      <w:r w:rsidRPr="00420BB1">
        <w:rPr>
          <w:rFonts w:ascii="Verdana" w:eastAsia="Times New Roman" w:hAnsi="Verdana" w:cs="Arial"/>
          <w:sz w:val="22"/>
          <w:szCs w:val="22"/>
          <w:lang w:eastAsia="en-GB"/>
        </w:rPr>
        <w:t>Using data from the BSRBR-RA they compared the risk of serious infection between 11</w:t>
      </w:r>
      <w:r w:rsidRPr="00420BB1">
        <w:rPr>
          <w:rFonts w:ascii="Arial" w:eastAsia="Times New Roman" w:hAnsi="Arial" w:cs="Arial"/>
          <w:sz w:val="22"/>
          <w:szCs w:val="22"/>
          <w:lang w:eastAsia="en-GB"/>
        </w:rPr>
        <w:t> </w:t>
      </w:r>
      <w:r w:rsidRPr="00420BB1">
        <w:rPr>
          <w:rFonts w:ascii="Verdana" w:eastAsia="Times New Roman" w:hAnsi="Verdana" w:cs="Arial"/>
          <w:sz w:val="22"/>
          <w:szCs w:val="22"/>
          <w:lang w:eastAsia="en-GB"/>
        </w:rPr>
        <w:t xml:space="preserve">798 anti-TNF-treated patients and 3598 non-biologic DMARD treated patients. The adjusted hazard ratio </w:t>
      </w:r>
      <w:r w:rsidR="00815328" w:rsidRPr="00420BB1">
        <w:rPr>
          <w:rFonts w:ascii="Verdana" w:eastAsia="Times New Roman" w:hAnsi="Verdana" w:cs="Arial"/>
          <w:sz w:val="22"/>
          <w:szCs w:val="22"/>
          <w:lang w:eastAsia="en-GB"/>
        </w:rPr>
        <w:t xml:space="preserve">of </w:t>
      </w:r>
      <w:r w:rsidRPr="00420BB1">
        <w:rPr>
          <w:rFonts w:ascii="Verdana" w:eastAsia="Times New Roman" w:hAnsi="Verdana" w:cs="Arial"/>
          <w:sz w:val="22"/>
          <w:szCs w:val="22"/>
          <w:lang w:eastAsia="en-GB"/>
        </w:rPr>
        <w:t>serious infection in the anti-TNF cohort was 1.2 (95% CI 1.1, 1.5</w:t>
      </w:r>
      <w:r w:rsidR="003A1382">
        <w:rPr>
          <w:rFonts w:ascii="Verdana" w:eastAsia="Times New Roman" w:hAnsi="Verdana" w:cs="Arial"/>
          <w:sz w:val="22"/>
          <w:szCs w:val="22"/>
          <w:lang w:eastAsia="en-GB"/>
        </w:rPr>
        <w:t>)</w:t>
      </w:r>
      <w:r w:rsidRPr="00420BB1">
        <w:rPr>
          <w:rFonts w:ascii="Verdana" w:eastAsia="Times New Roman" w:hAnsi="Verdana" w:cs="Arial"/>
          <w:sz w:val="22"/>
          <w:szCs w:val="22"/>
          <w:lang w:eastAsia="en-GB"/>
        </w:rPr>
        <w:t xml:space="preserve">. Reassuringly mortality within 30 days of serious infection was 50% lower in the anti-TNF cohort. The authors </w:t>
      </w:r>
      <w:r w:rsidR="00815328" w:rsidRPr="00420BB1">
        <w:rPr>
          <w:rFonts w:ascii="Verdana" w:eastAsia="Times New Roman" w:hAnsi="Verdana" w:cs="Arial"/>
          <w:sz w:val="22"/>
          <w:szCs w:val="22"/>
          <w:lang w:eastAsia="en-GB"/>
        </w:rPr>
        <w:lastRenderedPageBreak/>
        <w:t>suggested that</w:t>
      </w:r>
      <w:r w:rsidRPr="00420BB1">
        <w:rPr>
          <w:rFonts w:ascii="Verdana" w:eastAsia="Times New Roman" w:hAnsi="Verdana" w:cs="Arial"/>
          <w:sz w:val="22"/>
          <w:szCs w:val="22"/>
          <w:lang w:eastAsia="en-GB"/>
        </w:rPr>
        <w:t xml:space="preserve"> the small but significant overall risk of serious infection with anti-TNF therapy should be balanced against the risks associated with poor disease control or alternative treatments.</w:t>
      </w:r>
    </w:p>
    <w:p w14:paraId="228D844D" w14:textId="067C0A48" w:rsidR="00467F16" w:rsidRPr="00420BB1" w:rsidRDefault="00467F16" w:rsidP="00420BB1">
      <w:pPr>
        <w:pStyle w:val="NormalWeb"/>
        <w:shd w:val="clear" w:color="auto" w:fill="FFFFFF"/>
        <w:spacing w:line="360" w:lineRule="auto"/>
        <w:jc w:val="both"/>
        <w:rPr>
          <w:rFonts w:ascii="Verdana" w:eastAsia="Times New Roman" w:hAnsi="Verdana" w:cs="Arial"/>
          <w:sz w:val="22"/>
          <w:szCs w:val="22"/>
          <w:lang w:eastAsia="en-GB"/>
        </w:rPr>
      </w:pPr>
    </w:p>
    <w:p w14:paraId="1B988B30" w14:textId="09E64D1E" w:rsidR="00467F16" w:rsidRDefault="00467F16" w:rsidP="00420BB1">
      <w:pPr>
        <w:pStyle w:val="NormalWeb"/>
        <w:shd w:val="clear" w:color="auto" w:fill="FFFFFF"/>
        <w:spacing w:line="360" w:lineRule="auto"/>
        <w:jc w:val="both"/>
        <w:rPr>
          <w:rFonts w:ascii="Verdana" w:eastAsia="Times New Roman" w:hAnsi="Verdana" w:cs="Arial"/>
          <w:sz w:val="22"/>
          <w:szCs w:val="22"/>
          <w:lang w:eastAsia="en-GB"/>
        </w:rPr>
      </w:pPr>
      <w:r w:rsidRPr="00420BB1">
        <w:rPr>
          <w:rFonts w:ascii="Verdana" w:eastAsia="Times New Roman" w:hAnsi="Verdana" w:cs="Arial"/>
          <w:sz w:val="22"/>
          <w:szCs w:val="22"/>
          <w:lang w:eastAsia="en-GB"/>
        </w:rPr>
        <w:t>The BSRBR-RA has also published the results</w:t>
      </w:r>
      <w:r w:rsidR="00815328" w:rsidRPr="00420BB1">
        <w:rPr>
          <w:rFonts w:ascii="Verdana" w:eastAsia="Times New Roman" w:hAnsi="Verdana" w:cs="Arial"/>
          <w:sz w:val="22"/>
          <w:szCs w:val="22"/>
          <w:lang w:eastAsia="en-GB"/>
        </w:rPr>
        <w:t xml:space="preserve"> of analyses</w:t>
      </w:r>
      <w:r w:rsidRPr="00420BB1">
        <w:rPr>
          <w:rFonts w:ascii="Verdana" w:eastAsia="Times New Roman" w:hAnsi="Verdana" w:cs="Arial"/>
          <w:sz w:val="22"/>
          <w:szCs w:val="22"/>
          <w:lang w:eastAsia="en-GB"/>
        </w:rPr>
        <w:t xml:space="preserve"> focusing on the risk of other adverse events, including exposure to </w:t>
      </w:r>
      <w:r w:rsidR="00815328" w:rsidRPr="00420BB1">
        <w:rPr>
          <w:rFonts w:ascii="Verdana" w:eastAsia="Times New Roman" w:hAnsi="Verdana" w:cs="Arial"/>
          <w:sz w:val="22"/>
          <w:szCs w:val="22"/>
          <w:lang w:eastAsia="en-GB"/>
        </w:rPr>
        <w:t>anti-TNF</w:t>
      </w:r>
      <w:r w:rsidRPr="00420BB1">
        <w:rPr>
          <w:rFonts w:ascii="Verdana" w:eastAsia="Times New Roman" w:hAnsi="Verdana" w:cs="Arial"/>
          <w:sz w:val="22"/>
          <w:szCs w:val="22"/>
          <w:lang w:eastAsia="en-GB"/>
        </w:rPr>
        <w:t xml:space="preserve"> in pregnancy, the risk of pulmonary embolism, and the risk of psoriasis</w:t>
      </w:r>
      <w:r w:rsidR="00B447FA" w:rsidRPr="00420BB1">
        <w:rPr>
          <w:rFonts w:ascii="Verdana" w:eastAsia="Times New Roman" w:hAnsi="Verdana" w:cs="Arial"/>
          <w:sz w:val="22"/>
          <w:szCs w:val="22"/>
          <w:lang w:eastAsia="en-GB"/>
        </w:rPr>
        <w:t xml:space="preserve"> [1]</w:t>
      </w:r>
      <w:r w:rsidRPr="00420BB1">
        <w:rPr>
          <w:rFonts w:ascii="Verdana" w:eastAsia="Times New Roman" w:hAnsi="Verdana" w:cs="Arial"/>
          <w:sz w:val="22"/>
          <w:szCs w:val="22"/>
          <w:lang w:eastAsia="en-GB"/>
        </w:rPr>
        <w:t xml:space="preserve">. However, perhaps </w:t>
      </w:r>
      <w:r w:rsidR="003A1382">
        <w:rPr>
          <w:rFonts w:ascii="Verdana" w:eastAsia="Times New Roman" w:hAnsi="Verdana" w:cs="Arial"/>
          <w:sz w:val="22"/>
          <w:szCs w:val="22"/>
          <w:lang w:eastAsia="en-GB"/>
        </w:rPr>
        <w:t>of particular concern</w:t>
      </w:r>
      <w:r w:rsidRPr="00420BB1">
        <w:rPr>
          <w:rFonts w:ascii="Verdana" w:eastAsia="Times New Roman" w:hAnsi="Verdana" w:cs="Arial"/>
          <w:sz w:val="22"/>
          <w:szCs w:val="22"/>
          <w:lang w:eastAsia="en-GB"/>
        </w:rPr>
        <w:t xml:space="preserve"> has been whether </w:t>
      </w:r>
      <w:r w:rsidR="00B56A90">
        <w:rPr>
          <w:rFonts w:ascii="Verdana" w:eastAsia="Times New Roman" w:hAnsi="Verdana" w:cs="Arial"/>
          <w:sz w:val="22"/>
          <w:szCs w:val="22"/>
          <w:lang w:eastAsia="en-GB"/>
        </w:rPr>
        <w:t>anti-TNF</w:t>
      </w:r>
      <w:r w:rsidRPr="00420BB1">
        <w:rPr>
          <w:rFonts w:ascii="Verdana" w:eastAsia="Times New Roman" w:hAnsi="Verdana" w:cs="Arial"/>
          <w:sz w:val="22"/>
          <w:szCs w:val="22"/>
          <w:lang w:eastAsia="en-GB"/>
        </w:rPr>
        <w:t xml:space="preserve"> therapy is associated with an increased </w:t>
      </w:r>
      <w:r w:rsidR="003A1382">
        <w:rPr>
          <w:rFonts w:ascii="Verdana" w:eastAsia="Times New Roman" w:hAnsi="Verdana" w:cs="Arial"/>
          <w:sz w:val="22"/>
          <w:szCs w:val="22"/>
          <w:lang w:eastAsia="en-GB"/>
        </w:rPr>
        <w:t xml:space="preserve">cancer </w:t>
      </w:r>
      <w:r w:rsidRPr="00420BB1">
        <w:rPr>
          <w:rFonts w:ascii="Verdana" w:eastAsia="Times New Roman" w:hAnsi="Verdana" w:cs="Arial"/>
          <w:sz w:val="22"/>
          <w:szCs w:val="22"/>
          <w:lang w:eastAsia="en-GB"/>
        </w:rPr>
        <w:t xml:space="preserve">risk. To date, </w:t>
      </w:r>
      <w:r w:rsidR="00950817" w:rsidRPr="00420BB1">
        <w:rPr>
          <w:rFonts w:ascii="Verdana" w:eastAsia="Times New Roman" w:hAnsi="Verdana" w:cs="Arial"/>
          <w:sz w:val="22"/>
          <w:szCs w:val="22"/>
          <w:lang w:eastAsia="en-GB"/>
        </w:rPr>
        <w:t>analyses of data from the BSRBR-RA have</w:t>
      </w:r>
      <w:r w:rsidRPr="00420BB1">
        <w:rPr>
          <w:rFonts w:ascii="Verdana" w:eastAsia="Times New Roman" w:hAnsi="Verdana" w:cs="Arial"/>
          <w:sz w:val="22"/>
          <w:szCs w:val="22"/>
          <w:lang w:eastAsia="en-GB"/>
        </w:rPr>
        <w:t xml:space="preserve"> not identified an increased risk of non-melanoma skin cancer</w:t>
      </w:r>
      <w:r w:rsidR="00950817" w:rsidRPr="00420BB1">
        <w:rPr>
          <w:rFonts w:ascii="Verdana" w:eastAsia="Times New Roman" w:hAnsi="Verdana" w:cs="Arial"/>
          <w:sz w:val="22"/>
          <w:szCs w:val="22"/>
          <w:lang w:eastAsia="en-GB"/>
        </w:rPr>
        <w:t xml:space="preserve"> </w:t>
      </w:r>
      <w:r w:rsidR="00B447FA" w:rsidRPr="00420BB1">
        <w:rPr>
          <w:rFonts w:ascii="Verdana" w:eastAsia="Times New Roman" w:hAnsi="Verdana" w:cs="Arial"/>
          <w:sz w:val="22"/>
          <w:szCs w:val="22"/>
          <w:lang w:eastAsia="en-GB"/>
        </w:rPr>
        <w:t>[7]</w:t>
      </w:r>
      <w:r w:rsidR="00950817" w:rsidRPr="00420BB1">
        <w:rPr>
          <w:rFonts w:ascii="Verdana" w:eastAsia="Times New Roman" w:hAnsi="Verdana" w:cs="Arial"/>
          <w:sz w:val="22"/>
          <w:szCs w:val="22"/>
          <w:lang w:eastAsia="en-GB"/>
        </w:rPr>
        <w:t xml:space="preserve"> or solid organ cancer </w:t>
      </w:r>
      <w:r w:rsidR="00B447FA" w:rsidRPr="00420BB1">
        <w:rPr>
          <w:rFonts w:ascii="Verdana" w:eastAsia="Times New Roman" w:hAnsi="Verdana" w:cs="Arial"/>
          <w:sz w:val="22"/>
          <w:szCs w:val="22"/>
          <w:lang w:eastAsia="en-GB"/>
        </w:rPr>
        <w:t>[8]</w:t>
      </w:r>
      <w:r w:rsidR="00950817" w:rsidRPr="00420BB1">
        <w:rPr>
          <w:rFonts w:ascii="Verdana" w:eastAsia="Times New Roman" w:hAnsi="Verdana" w:cs="Arial"/>
          <w:sz w:val="22"/>
          <w:szCs w:val="22"/>
          <w:lang w:eastAsia="en-GB"/>
        </w:rPr>
        <w:t xml:space="preserve">. A small study limited to patients with a history of malignancy prior to starting </w:t>
      </w:r>
      <w:r w:rsidR="00B56A90">
        <w:rPr>
          <w:rFonts w:ascii="Verdana" w:eastAsia="Times New Roman" w:hAnsi="Verdana" w:cs="Arial"/>
          <w:sz w:val="22"/>
          <w:szCs w:val="22"/>
          <w:lang w:eastAsia="en-GB"/>
        </w:rPr>
        <w:t>anti-TNF</w:t>
      </w:r>
      <w:r w:rsidR="00950817" w:rsidRPr="00420BB1">
        <w:rPr>
          <w:rFonts w:ascii="Verdana" w:eastAsia="Times New Roman" w:hAnsi="Verdana" w:cs="Arial"/>
          <w:sz w:val="22"/>
          <w:szCs w:val="22"/>
          <w:lang w:eastAsia="en-GB"/>
        </w:rPr>
        <w:t xml:space="preserve"> has also not found an increased risk of new therapies among this selected group of patients compared to those remaining on standard DMARD therapy</w:t>
      </w:r>
      <w:r w:rsidR="00B447FA" w:rsidRPr="00420BB1">
        <w:rPr>
          <w:rFonts w:ascii="Verdana" w:eastAsia="Times New Roman" w:hAnsi="Verdana" w:cs="Arial"/>
          <w:sz w:val="22"/>
          <w:szCs w:val="22"/>
          <w:lang w:eastAsia="en-GB"/>
        </w:rPr>
        <w:t xml:space="preserve"> [9]</w:t>
      </w:r>
      <w:r w:rsidR="00950817" w:rsidRPr="00420BB1">
        <w:rPr>
          <w:rFonts w:ascii="Verdana" w:eastAsia="Times New Roman" w:hAnsi="Verdana" w:cs="Arial"/>
          <w:sz w:val="22"/>
          <w:szCs w:val="22"/>
          <w:lang w:eastAsia="en-GB"/>
        </w:rPr>
        <w:t xml:space="preserve">. </w:t>
      </w:r>
    </w:p>
    <w:p w14:paraId="336718EE" w14:textId="77777777" w:rsidR="003A1382" w:rsidRPr="00420BB1" w:rsidRDefault="003A1382" w:rsidP="00420BB1">
      <w:pPr>
        <w:pStyle w:val="NormalWeb"/>
        <w:shd w:val="clear" w:color="auto" w:fill="FFFFFF"/>
        <w:spacing w:line="360" w:lineRule="auto"/>
        <w:jc w:val="both"/>
        <w:rPr>
          <w:rFonts w:ascii="Verdana" w:eastAsia="Times New Roman" w:hAnsi="Verdana" w:cs="Arial"/>
          <w:sz w:val="22"/>
          <w:szCs w:val="22"/>
          <w:lang w:eastAsia="en-GB"/>
        </w:rPr>
      </w:pPr>
    </w:p>
    <w:p w14:paraId="43DE9A36" w14:textId="54E40EC1" w:rsidR="00DC2EA2" w:rsidRPr="00420BB1" w:rsidRDefault="00646D8D" w:rsidP="00420BB1">
      <w:pPr>
        <w:autoSpaceDE w:val="0"/>
        <w:autoSpaceDN w:val="0"/>
        <w:adjustRightInd w:val="0"/>
        <w:spacing w:after="0" w:line="360" w:lineRule="auto"/>
        <w:jc w:val="both"/>
        <w:rPr>
          <w:rFonts w:ascii="Verdana" w:hAnsi="Verdana"/>
        </w:rPr>
      </w:pPr>
      <w:r w:rsidRPr="00420BB1">
        <w:rPr>
          <w:rFonts w:ascii="Verdana" w:hAnsi="Verdana"/>
        </w:rPr>
        <w:t xml:space="preserve">The BSRBR-RA has yielded considerable clinical guidance over the years. </w:t>
      </w:r>
      <w:r w:rsidR="00745644" w:rsidRPr="00420BB1">
        <w:rPr>
          <w:rFonts w:ascii="Verdana" w:hAnsi="Verdana"/>
        </w:rPr>
        <w:t xml:space="preserve">However, the findings reported above have been possible only because of the clinicians and patients who have taken the time and trouble to participate in the registry. </w:t>
      </w:r>
      <w:r w:rsidR="007053AB" w:rsidRPr="00420BB1">
        <w:rPr>
          <w:rFonts w:ascii="Verdana" w:hAnsi="Verdana"/>
        </w:rPr>
        <w:t xml:space="preserve">We </w:t>
      </w:r>
      <w:r w:rsidR="00745644" w:rsidRPr="00420BB1">
        <w:rPr>
          <w:rFonts w:ascii="Verdana" w:hAnsi="Verdana"/>
        </w:rPr>
        <w:t>hope you will agree that your efforts have been worthwhile, and that you will continue to contribute over the years to come</w:t>
      </w:r>
      <w:r w:rsidR="00950817" w:rsidRPr="00420BB1">
        <w:rPr>
          <w:rFonts w:ascii="Verdana" w:hAnsi="Verdana"/>
        </w:rPr>
        <w:t xml:space="preserve">, as clinical questions regarding safety and effectiveness of both </w:t>
      </w:r>
      <w:r w:rsidR="003A1382">
        <w:rPr>
          <w:rFonts w:ascii="Verdana" w:hAnsi="Verdana"/>
        </w:rPr>
        <w:t xml:space="preserve">long term </w:t>
      </w:r>
      <w:r w:rsidR="00B56A90">
        <w:rPr>
          <w:rFonts w:ascii="Verdana" w:hAnsi="Verdana"/>
        </w:rPr>
        <w:t>anti-TNF</w:t>
      </w:r>
      <w:r w:rsidR="00950817" w:rsidRPr="00420BB1">
        <w:rPr>
          <w:rFonts w:ascii="Verdana" w:hAnsi="Verdana"/>
        </w:rPr>
        <w:t xml:space="preserve"> </w:t>
      </w:r>
      <w:r w:rsidR="003A1382">
        <w:rPr>
          <w:rFonts w:ascii="Verdana" w:hAnsi="Verdana"/>
        </w:rPr>
        <w:t>use</w:t>
      </w:r>
      <w:r w:rsidR="00950817" w:rsidRPr="00420BB1">
        <w:rPr>
          <w:rFonts w:ascii="Verdana" w:hAnsi="Verdana"/>
        </w:rPr>
        <w:t xml:space="preserve"> and newer biologic therapies will continue to develop</w:t>
      </w:r>
      <w:r w:rsidR="00745644" w:rsidRPr="00420BB1">
        <w:rPr>
          <w:rFonts w:ascii="Verdana" w:hAnsi="Verdana"/>
        </w:rPr>
        <w:t>.</w:t>
      </w:r>
    </w:p>
    <w:p w14:paraId="4DCED106" w14:textId="77777777" w:rsidR="00DC2EA2" w:rsidRPr="00420BB1" w:rsidRDefault="00DC2EA2" w:rsidP="00420BB1">
      <w:pPr>
        <w:autoSpaceDE w:val="0"/>
        <w:autoSpaceDN w:val="0"/>
        <w:adjustRightInd w:val="0"/>
        <w:spacing w:after="0" w:line="360" w:lineRule="auto"/>
        <w:jc w:val="both"/>
        <w:rPr>
          <w:rFonts w:ascii="Verdana" w:hAnsi="Verdana"/>
        </w:rPr>
      </w:pPr>
    </w:p>
    <w:p w14:paraId="134C2CED" w14:textId="77777777" w:rsidR="00AC6DB8" w:rsidRPr="00C21A09" w:rsidRDefault="00AC6DB8" w:rsidP="00C21A09">
      <w:pPr>
        <w:pStyle w:val="Heading1"/>
        <w:spacing w:line="360" w:lineRule="auto"/>
        <w:jc w:val="both"/>
        <w:rPr>
          <w:rFonts w:ascii="Verdana" w:hAnsi="Verdana"/>
          <w:color w:val="auto"/>
          <w:sz w:val="22"/>
          <w:szCs w:val="22"/>
        </w:rPr>
      </w:pPr>
      <w:r w:rsidRPr="00C21A09">
        <w:rPr>
          <w:rFonts w:ascii="Verdana" w:hAnsi="Verdana"/>
          <w:color w:val="auto"/>
          <w:sz w:val="22"/>
          <w:szCs w:val="22"/>
        </w:rPr>
        <w:t>Acknowledgements</w:t>
      </w:r>
    </w:p>
    <w:p w14:paraId="6C642CD4" w14:textId="44BFFB71" w:rsidR="00AC6DB8" w:rsidRDefault="00AC6DB8" w:rsidP="00C21A09">
      <w:pPr>
        <w:spacing w:line="360" w:lineRule="auto"/>
        <w:jc w:val="both"/>
        <w:rPr>
          <w:rFonts w:ascii="Verdana" w:hAnsi="Verdana"/>
        </w:rPr>
      </w:pPr>
      <w:r w:rsidRPr="00C21A09">
        <w:rPr>
          <w:rFonts w:ascii="Verdana" w:hAnsi="Verdana"/>
        </w:rPr>
        <w:t xml:space="preserve">The authors acknowledge the enthusiastic collaboration of all consultant rheumatologists and their specialist nurses in the UK in providing the data. </w:t>
      </w:r>
      <w:r w:rsidRPr="00C21A09">
        <w:rPr>
          <w:rFonts w:ascii="Verdana" w:hAnsi="Verdana" w:cs="Courier New"/>
        </w:rPr>
        <w:t>The authors would like to gratefully acknowledge the support of the National Institute for Health Research, through the Comprehensive Local Research Networks at participating centres.</w:t>
      </w:r>
      <w:r w:rsidRPr="00C21A09">
        <w:rPr>
          <w:rFonts w:ascii="Verdana" w:hAnsi="Verdana"/>
        </w:rPr>
        <w:t xml:space="preserve"> In addition, the authors acknowledge support from the BSR Executive, the members of the BSR Registers and Research Committee and the BSRBR-RA Project Team in London for their active role in enabling the register to undertake its tasks. The authors also acknowledge the </w:t>
      </w:r>
      <w:r w:rsidRPr="00C21A09">
        <w:rPr>
          <w:rFonts w:ascii="Verdana" w:hAnsi="Verdana"/>
        </w:rPr>
        <w:lastRenderedPageBreak/>
        <w:t xml:space="preserve">seminal role of the BSR Clinical Affairs Committee for establishing national biological guidelines and recommendations for such a register. </w:t>
      </w:r>
    </w:p>
    <w:p w14:paraId="49A77144" w14:textId="27B195E8" w:rsidR="00E76041" w:rsidRPr="00FC14D6" w:rsidRDefault="00E76041" w:rsidP="00E76041">
      <w:pPr>
        <w:spacing w:after="0" w:line="360" w:lineRule="auto"/>
        <w:jc w:val="both"/>
        <w:rPr>
          <w:rFonts w:ascii="Verdana" w:hAnsi="Verdana"/>
        </w:rPr>
      </w:pPr>
      <w:r w:rsidRPr="00FC14D6">
        <w:rPr>
          <w:rFonts w:ascii="Verdana" w:hAnsi="Verdana"/>
        </w:rPr>
        <w:t xml:space="preserve">The BSR commissioned the BSR Biologics Register in rheumatoid arthritis (BSRBR-RA) as a UK wide national project to investigate the safety of biologic agents in routine medical practice. BSR receives restricted income from UK pharmaceutical companies, presently </w:t>
      </w:r>
      <w:proofErr w:type="spellStart"/>
      <w:r w:rsidRPr="00FC14D6">
        <w:rPr>
          <w:rFonts w:ascii="Verdana" w:hAnsi="Verdana"/>
        </w:rPr>
        <w:t>Abbvie</w:t>
      </w:r>
      <w:proofErr w:type="spellEnd"/>
      <w:r w:rsidRPr="00FC14D6">
        <w:rPr>
          <w:rFonts w:ascii="Verdana" w:hAnsi="Verdana"/>
        </w:rPr>
        <w:t xml:space="preserve">, </w:t>
      </w:r>
      <w:proofErr w:type="spellStart"/>
      <w:r w:rsidRPr="00FC14D6">
        <w:rPr>
          <w:rFonts w:ascii="Verdana" w:hAnsi="Verdana"/>
        </w:rPr>
        <w:t>Celltrion</w:t>
      </w:r>
      <w:proofErr w:type="spellEnd"/>
      <w:r w:rsidRPr="00FC14D6">
        <w:rPr>
          <w:rFonts w:ascii="Verdana" w:hAnsi="Verdana"/>
        </w:rPr>
        <w:t xml:space="preserve">, </w:t>
      </w:r>
      <w:proofErr w:type="spellStart"/>
      <w:r w:rsidRPr="00FC14D6">
        <w:rPr>
          <w:rFonts w:ascii="Verdana" w:hAnsi="Verdana"/>
        </w:rPr>
        <w:t>Hospira</w:t>
      </w:r>
      <w:proofErr w:type="spellEnd"/>
      <w:r w:rsidRPr="00FC14D6">
        <w:rPr>
          <w:rFonts w:ascii="Verdana" w:hAnsi="Verdana"/>
        </w:rPr>
        <w:t xml:space="preserve">, Pfizer, UCB and Roche, and in the past Swedish Orphan </w:t>
      </w:r>
      <w:proofErr w:type="spellStart"/>
      <w:r w:rsidRPr="00FC14D6">
        <w:rPr>
          <w:rFonts w:ascii="Verdana" w:hAnsi="Verdana"/>
        </w:rPr>
        <w:t>Biovitrum</w:t>
      </w:r>
      <w:proofErr w:type="spellEnd"/>
      <w:r w:rsidRPr="00FC14D6">
        <w:rPr>
          <w:rFonts w:ascii="Verdana" w:hAnsi="Verdana"/>
        </w:rPr>
        <w:t xml:space="preserve"> and Merck. The pharmaceutical company funders had no role in the </w:t>
      </w:r>
      <w:r w:rsidRPr="00FC14D6">
        <w:rPr>
          <w:rFonts w:ascii="Verdana" w:eastAsia="Times New Roman" w:hAnsi="Verdana"/>
        </w:rPr>
        <w:t xml:space="preserve">design and conduct of the study; collection, management, analysis, and interpretation of the data; preparation, review, or approval of the manuscript; and decision to submit the manuscript for publication. </w:t>
      </w:r>
      <w:r w:rsidRPr="00FC14D6">
        <w:rPr>
          <w:rFonts w:ascii="Verdana" w:hAnsi="Verdana"/>
        </w:rPr>
        <w:t xml:space="preserve">Members of the University of Manchester team, BSR trustees, committee members and staff complete an annual declaration in relation to conflicts of interest. </w:t>
      </w:r>
    </w:p>
    <w:p w14:paraId="3DDB66D8" w14:textId="77777777" w:rsidR="00CB0FC6" w:rsidRDefault="00CB0FC6" w:rsidP="00C21A09">
      <w:pPr>
        <w:spacing w:line="360" w:lineRule="auto"/>
        <w:jc w:val="both"/>
        <w:rPr>
          <w:rFonts w:ascii="Verdana" w:hAnsi="Verdana"/>
        </w:rPr>
      </w:pPr>
    </w:p>
    <w:p w14:paraId="25053706" w14:textId="6BB5B234" w:rsidR="00CB0FC6" w:rsidRPr="00CB0FC6" w:rsidRDefault="00CB0FC6" w:rsidP="00C21A09">
      <w:pPr>
        <w:spacing w:line="360" w:lineRule="auto"/>
        <w:jc w:val="both"/>
        <w:rPr>
          <w:rFonts w:ascii="Verdana" w:hAnsi="Verdana"/>
          <w:b/>
        </w:rPr>
      </w:pPr>
      <w:r w:rsidRPr="00CB0FC6">
        <w:rPr>
          <w:rFonts w:ascii="Verdana" w:hAnsi="Verdana"/>
          <w:b/>
        </w:rPr>
        <w:t>Conflict of interest</w:t>
      </w:r>
    </w:p>
    <w:p w14:paraId="541CB0C1" w14:textId="5FD14972" w:rsidR="00CB0FC6" w:rsidRPr="00C502C9" w:rsidRDefault="00CB0FC6" w:rsidP="00C21A09">
      <w:pPr>
        <w:spacing w:line="360" w:lineRule="auto"/>
        <w:jc w:val="both"/>
        <w:rPr>
          <w:rFonts w:ascii="Verdana" w:hAnsi="Verdana"/>
        </w:rPr>
      </w:pPr>
      <w:r>
        <w:rPr>
          <w:rFonts w:ascii="Verdana" w:hAnsi="Verdana"/>
        </w:rPr>
        <w:t xml:space="preserve">ED had received speaking fees from Lilly. JP has received a personal fee for education from </w:t>
      </w:r>
      <w:proofErr w:type="spellStart"/>
      <w:r>
        <w:rPr>
          <w:rFonts w:ascii="Verdana" w:hAnsi="Verdana"/>
        </w:rPr>
        <w:t>Abbvie</w:t>
      </w:r>
      <w:proofErr w:type="spellEnd"/>
      <w:r>
        <w:rPr>
          <w:rFonts w:ascii="Verdana" w:hAnsi="Verdana"/>
        </w:rPr>
        <w:t xml:space="preserve">. KH </w:t>
      </w:r>
      <w:r w:rsidR="00C502C9">
        <w:rPr>
          <w:rFonts w:ascii="Verdana" w:hAnsi="Verdana"/>
        </w:rPr>
        <w:t xml:space="preserve">has </w:t>
      </w:r>
      <w:r w:rsidR="00C502C9" w:rsidRPr="00C502C9">
        <w:rPr>
          <w:rFonts w:ascii="Verdana" w:hAnsi="Verdana" w:cs="Tahoma"/>
          <w:color w:val="000000"/>
        </w:rPr>
        <w:t xml:space="preserve">received honoraria from </w:t>
      </w:r>
      <w:proofErr w:type="spellStart"/>
      <w:r w:rsidR="00C502C9" w:rsidRPr="00C502C9">
        <w:rPr>
          <w:rFonts w:ascii="Verdana" w:hAnsi="Verdana" w:cs="Tahoma"/>
          <w:color w:val="000000"/>
        </w:rPr>
        <w:t>Abbvie</w:t>
      </w:r>
      <w:proofErr w:type="spellEnd"/>
      <w:r w:rsidR="00C502C9" w:rsidRPr="00C502C9">
        <w:rPr>
          <w:rFonts w:ascii="Verdana" w:hAnsi="Verdana" w:cs="Tahoma"/>
          <w:color w:val="000000"/>
        </w:rPr>
        <w:t xml:space="preserve"> and honoraria and competitive grant funding from Pfizer</w:t>
      </w:r>
      <w:r w:rsidR="00C502C9">
        <w:rPr>
          <w:rFonts w:ascii="Verdana" w:hAnsi="Verdana" w:cs="Tahoma"/>
          <w:color w:val="000000"/>
        </w:rPr>
        <w:t>.</w:t>
      </w:r>
    </w:p>
    <w:p w14:paraId="45592305" w14:textId="77777777" w:rsidR="00CB0FC6" w:rsidRDefault="00CB0FC6" w:rsidP="00C21A09">
      <w:pPr>
        <w:spacing w:line="360" w:lineRule="auto"/>
        <w:jc w:val="both"/>
        <w:rPr>
          <w:rFonts w:ascii="Verdana" w:hAnsi="Verdana"/>
        </w:rPr>
      </w:pPr>
    </w:p>
    <w:p w14:paraId="48A6D5D1" w14:textId="4FFA8A42" w:rsidR="00255379" w:rsidRDefault="00255379" w:rsidP="00255379">
      <w:r>
        <w:rPr>
          <w:rFonts w:ascii="Verdana" w:hAnsi="Verdana"/>
        </w:rPr>
        <w:t xml:space="preserve">Funding: </w:t>
      </w:r>
      <w:r w:rsidR="00D654AB">
        <w:rPr>
          <w:color w:val="1F497D"/>
        </w:rPr>
        <w:t>None</w:t>
      </w:r>
    </w:p>
    <w:p w14:paraId="07A15B4D" w14:textId="182B736D" w:rsidR="00CB0FC6" w:rsidRPr="00C21A09" w:rsidRDefault="00CB0FC6" w:rsidP="00C21A09">
      <w:pPr>
        <w:spacing w:line="360" w:lineRule="auto"/>
        <w:jc w:val="both"/>
        <w:rPr>
          <w:rFonts w:ascii="Verdana" w:hAnsi="Verdana"/>
        </w:rPr>
      </w:pPr>
    </w:p>
    <w:p w14:paraId="47050301" w14:textId="77777777" w:rsidR="0023653D" w:rsidRPr="00420BB1" w:rsidRDefault="0023653D" w:rsidP="00420BB1">
      <w:pPr>
        <w:autoSpaceDE w:val="0"/>
        <w:autoSpaceDN w:val="0"/>
        <w:adjustRightInd w:val="0"/>
        <w:spacing w:after="0" w:line="360" w:lineRule="auto"/>
        <w:jc w:val="both"/>
        <w:rPr>
          <w:rFonts w:ascii="Verdana" w:hAnsi="Verdana"/>
          <w:b/>
        </w:rPr>
      </w:pPr>
      <w:r w:rsidRPr="00420BB1">
        <w:rPr>
          <w:rFonts w:ascii="Verdana" w:hAnsi="Verdana"/>
          <w:b/>
        </w:rPr>
        <w:t>References</w:t>
      </w:r>
    </w:p>
    <w:p w14:paraId="55EA8725" w14:textId="34028258" w:rsidR="008A5BE5" w:rsidRPr="00420BB1" w:rsidRDefault="008A5BE5" w:rsidP="00420BB1">
      <w:pPr>
        <w:shd w:val="clear" w:color="auto" w:fill="FFFFFF"/>
        <w:spacing w:before="100" w:beforeAutospacing="1" w:after="100" w:afterAutospacing="1" w:line="360" w:lineRule="auto"/>
        <w:ind w:right="240"/>
        <w:jc w:val="both"/>
        <w:textAlignment w:val="center"/>
        <w:rPr>
          <w:rFonts w:ascii="Verdana" w:eastAsia="Times New Roman" w:hAnsi="Verdana" w:cs="Courier New"/>
          <w:lang w:eastAsia="en-GB"/>
        </w:rPr>
      </w:pPr>
      <w:proofErr w:type="gramStart"/>
      <w:r w:rsidRPr="00420BB1">
        <w:rPr>
          <w:rFonts w:ascii="Verdana" w:hAnsi="Verdana"/>
        </w:rPr>
        <w:t>1.http</w:t>
      </w:r>
      <w:proofErr w:type="gramEnd"/>
      <w:r w:rsidRPr="00420BB1">
        <w:rPr>
          <w:rFonts w:ascii="Verdana" w:hAnsi="Verdana"/>
        </w:rPr>
        <w:t>://www.inflammation-repair.manchester.ac.uk/musculoskeletal/research/CfE/pharmacoepidemiology/bsrbr/healthprofessionals/publications/</w:t>
      </w:r>
    </w:p>
    <w:p w14:paraId="11302957" w14:textId="4EFE2A44" w:rsidR="0023653D" w:rsidRPr="00420BB1" w:rsidRDefault="008A5BE5" w:rsidP="00420BB1">
      <w:pPr>
        <w:spacing w:line="360" w:lineRule="auto"/>
        <w:jc w:val="both"/>
        <w:rPr>
          <w:rFonts w:ascii="Verdana" w:eastAsia="Times New Roman" w:hAnsi="Verdana" w:cs="Courier New"/>
          <w:color w:val="111111"/>
          <w:lang w:eastAsia="en-GB"/>
        </w:rPr>
      </w:pPr>
      <w:r w:rsidRPr="00420BB1">
        <w:rPr>
          <w:rFonts w:ascii="Verdana" w:hAnsi="Verdana"/>
        </w:rPr>
        <w:t xml:space="preserve">2. </w:t>
      </w:r>
      <w:r w:rsidR="00B45F5C" w:rsidRPr="00420BB1">
        <w:rPr>
          <w:rFonts w:ascii="Verdana" w:hAnsi="Verdana"/>
        </w:rPr>
        <w:t xml:space="preserve"> </w:t>
      </w:r>
      <w:proofErr w:type="spellStart"/>
      <w:r w:rsidR="0023653D" w:rsidRPr="00420BB1">
        <w:rPr>
          <w:rFonts w:ascii="Verdana" w:eastAsia="Times New Roman" w:hAnsi="Verdana" w:cs="Courier New"/>
          <w:color w:val="111111"/>
          <w:lang w:eastAsia="en-GB"/>
        </w:rPr>
        <w:t>Hyrich</w:t>
      </w:r>
      <w:proofErr w:type="spellEnd"/>
      <w:r w:rsidR="0023653D" w:rsidRPr="00420BB1">
        <w:rPr>
          <w:rFonts w:ascii="Verdana" w:eastAsia="Times New Roman" w:hAnsi="Verdana" w:cs="Courier New"/>
          <w:color w:val="111111"/>
          <w:lang w:eastAsia="en-GB"/>
        </w:rPr>
        <w:t xml:space="preserve"> KL, Watson KD, </w:t>
      </w:r>
      <w:proofErr w:type="spellStart"/>
      <w:r w:rsidR="0023653D" w:rsidRPr="00420BB1">
        <w:rPr>
          <w:rFonts w:ascii="Verdana" w:eastAsia="Times New Roman" w:hAnsi="Verdana" w:cs="Courier New"/>
          <w:color w:val="111111"/>
          <w:lang w:eastAsia="en-GB"/>
        </w:rPr>
        <w:t>Silman</w:t>
      </w:r>
      <w:proofErr w:type="spellEnd"/>
      <w:r w:rsidR="0023653D" w:rsidRPr="00420BB1">
        <w:rPr>
          <w:rFonts w:ascii="Verdana" w:eastAsia="Times New Roman" w:hAnsi="Verdana" w:cs="Courier New"/>
          <w:color w:val="111111"/>
          <w:lang w:eastAsia="en-GB"/>
        </w:rPr>
        <w:t xml:space="preserve"> AJ, </w:t>
      </w:r>
      <w:proofErr w:type="spellStart"/>
      <w:r w:rsidR="0023653D" w:rsidRPr="00420BB1">
        <w:rPr>
          <w:rFonts w:ascii="Verdana" w:eastAsia="Times New Roman" w:hAnsi="Verdana" w:cs="Courier New"/>
          <w:color w:val="111111"/>
          <w:lang w:eastAsia="en-GB"/>
        </w:rPr>
        <w:t>Symmons</w:t>
      </w:r>
      <w:proofErr w:type="spellEnd"/>
      <w:r w:rsidR="0023653D" w:rsidRPr="00420BB1">
        <w:rPr>
          <w:rFonts w:ascii="Verdana" w:eastAsia="Times New Roman" w:hAnsi="Verdana" w:cs="Courier New"/>
          <w:color w:val="111111"/>
          <w:lang w:eastAsia="en-GB"/>
        </w:rPr>
        <w:t xml:space="preserve"> D. (2006). Predictors of response to anti-TNF-{alpha} therapy among patients with rheumatoid arthritis: results from the British Society for Rheumatology Biologics Register.</w:t>
      </w:r>
      <w:r w:rsidR="00B447FA" w:rsidRPr="00420BB1">
        <w:rPr>
          <w:rFonts w:ascii="Verdana" w:eastAsia="Times New Roman" w:hAnsi="Verdana" w:cs="Courier New"/>
          <w:color w:val="111111"/>
          <w:lang w:eastAsia="en-GB"/>
        </w:rPr>
        <w:t xml:space="preserve"> </w:t>
      </w:r>
      <w:r w:rsidR="0023653D" w:rsidRPr="00420BB1">
        <w:rPr>
          <w:rFonts w:ascii="Verdana" w:eastAsia="Times New Roman" w:hAnsi="Verdana" w:cs="Courier New"/>
          <w:i/>
          <w:iCs/>
          <w:color w:val="111111"/>
          <w:lang w:eastAsia="en-GB"/>
        </w:rPr>
        <w:t>Rheumatology</w:t>
      </w:r>
      <w:r w:rsidR="0023653D" w:rsidRPr="00420BB1">
        <w:rPr>
          <w:rFonts w:ascii="Verdana" w:eastAsia="Times New Roman" w:hAnsi="Verdana" w:cs="Courier New"/>
          <w:color w:val="111111"/>
          <w:lang w:eastAsia="en-GB"/>
        </w:rPr>
        <w:t xml:space="preserve">, 45, 12, 1558-1565. </w:t>
      </w:r>
    </w:p>
    <w:p w14:paraId="7FAEA8AC" w14:textId="07A84128" w:rsidR="0023653D" w:rsidRPr="00420BB1" w:rsidRDefault="00B45F5C" w:rsidP="00420BB1">
      <w:pPr>
        <w:shd w:val="clear" w:color="auto" w:fill="FFFFFF"/>
        <w:spacing w:before="100" w:beforeAutospacing="1" w:after="100" w:afterAutospacing="1" w:line="360" w:lineRule="auto"/>
        <w:ind w:right="240"/>
        <w:jc w:val="both"/>
        <w:textAlignment w:val="center"/>
        <w:rPr>
          <w:rFonts w:ascii="Verdana" w:eastAsia="Times New Roman" w:hAnsi="Verdana" w:cs="Courier New"/>
          <w:color w:val="111111"/>
          <w:lang w:eastAsia="en-GB"/>
        </w:rPr>
      </w:pPr>
      <w:r w:rsidRPr="00420BB1">
        <w:rPr>
          <w:rFonts w:ascii="Verdana" w:eastAsia="Times New Roman" w:hAnsi="Verdana" w:cs="Courier New"/>
          <w:color w:val="111111"/>
          <w:lang w:eastAsia="en-GB"/>
        </w:rPr>
        <w:lastRenderedPageBreak/>
        <w:t xml:space="preserve">3. </w:t>
      </w:r>
      <w:proofErr w:type="spellStart"/>
      <w:r w:rsidR="0023653D" w:rsidRPr="00420BB1">
        <w:rPr>
          <w:rFonts w:ascii="Verdana" w:eastAsia="Times New Roman" w:hAnsi="Verdana" w:cs="Courier New"/>
          <w:color w:val="111111"/>
          <w:lang w:eastAsia="en-GB"/>
        </w:rPr>
        <w:t>Hyrich</w:t>
      </w:r>
      <w:proofErr w:type="spellEnd"/>
      <w:r w:rsidR="0023653D" w:rsidRPr="00420BB1">
        <w:rPr>
          <w:rFonts w:ascii="Verdana" w:eastAsia="Times New Roman" w:hAnsi="Verdana" w:cs="Courier New"/>
          <w:color w:val="111111"/>
          <w:lang w:eastAsia="en-GB"/>
        </w:rPr>
        <w:t xml:space="preserve"> KL, Lunt M, Dixon WG, Watson KD, </w:t>
      </w:r>
      <w:proofErr w:type="spellStart"/>
      <w:r w:rsidR="0023653D" w:rsidRPr="00420BB1">
        <w:rPr>
          <w:rFonts w:ascii="Verdana" w:eastAsia="Times New Roman" w:hAnsi="Verdana" w:cs="Courier New"/>
          <w:color w:val="111111"/>
          <w:lang w:eastAsia="en-GB"/>
        </w:rPr>
        <w:t>Symmons</w:t>
      </w:r>
      <w:proofErr w:type="spellEnd"/>
      <w:r w:rsidR="0023653D" w:rsidRPr="00420BB1">
        <w:rPr>
          <w:rFonts w:ascii="Verdana" w:eastAsia="Times New Roman" w:hAnsi="Verdana" w:cs="Courier New"/>
          <w:color w:val="111111"/>
          <w:lang w:eastAsia="en-GB"/>
        </w:rPr>
        <w:t xml:space="preserve"> D. (2008). </w:t>
      </w:r>
      <w:proofErr w:type="gramStart"/>
      <w:r w:rsidR="0023653D" w:rsidRPr="00420BB1">
        <w:rPr>
          <w:rFonts w:ascii="Verdana" w:eastAsia="Times New Roman" w:hAnsi="Verdana" w:cs="Courier New"/>
          <w:color w:val="111111"/>
          <w:lang w:eastAsia="en-GB"/>
        </w:rPr>
        <w:t>Effects of switching between anti-TNF therapies on HAQ response in patients who do not respond to their first anti-TNF drug.</w:t>
      </w:r>
      <w:proofErr w:type="gramEnd"/>
      <w:r w:rsidR="0023653D" w:rsidRPr="00420BB1">
        <w:rPr>
          <w:rFonts w:ascii="Verdana" w:eastAsia="Times New Roman" w:hAnsi="Verdana" w:cs="Courier New"/>
          <w:color w:val="111111"/>
          <w:lang w:eastAsia="en-GB"/>
        </w:rPr>
        <w:t> </w:t>
      </w:r>
      <w:proofErr w:type="gramStart"/>
      <w:r w:rsidR="0023653D" w:rsidRPr="00420BB1">
        <w:rPr>
          <w:rFonts w:ascii="Verdana" w:eastAsia="Times New Roman" w:hAnsi="Verdana" w:cs="Courier New"/>
          <w:i/>
          <w:iCs/>
          <w:color w:val="111111"/>
          <w:lang w:eastAsia="en-GB"/>
        </w:rPr>
        <w:t>Rheumatology (Oxford)</w:t>
      </w:r>
      <w:r w:rsidR="0023653D" w:rsidRPr="00420BB1">
        <w:rPr>
          <w:rFonts w:ascii="Verdana" w:eastAsia="Times New Roman" w:hAnsi="Verdana" w:cs="Courier New"/>
          <w:color w:val="111111"/>
          <w:lang w:eastAsia="en-GB"/>
        </w:rPr>
        <w:t>, 47(7), 1000-5.</w:t>
      </w:r>
      <w:proofErr w:type="gramEnd"/>
      <w:r w:rsidR="0023653D" w:rsidRPr="00420BB1">
        <w:rPr>
          <w:rFonts w:ascii="Verdana" w:eastAsia="Times New Roman" w:hAnsi="Verdana" w:cs="Courier New"/>
          <w:color w:val="111111"/>
          <w:lang w:eastAsia="en-GB"/>
        </w:rPr>
        <w:t xml:space="preserve"> </w:t>
      </w:r>
    </w:p>
    <w:p w14:paraId="6A89C5EB" w14:textId="1E5FB079" w:rsidR="0023653D" w:rsidRPr="00420BB1" w:rsidRDefault="00B45F5C" w:rsidP="00420BB1">
      <w:pPr>
        <w:shd w:val="clear" w:color="auto" w:fill="FFFFFF"/>
        <w:spacing w:before="100" w:beforeAutospacing="1" w:after="100" w:afterAutospacing="1" w:line="360" w:lineRule="auto"/>
        <w:ind w:right="240"/>
        <w:jc w:val="both"/>
        <w:textAlignment w:val="center"/>
        <w:rPr>
          <w:rFonts w:ascii="Verdana" w:eastAsia="Times New Roman" w:hAnsi="Verdana" w:cs="Courier New"/>
          <w:color w:val="111111"/>
          <w:lang w:eastAsia="en-GB"/>
        </w:rPr>
      </w:pPr>
      <w:r w:rsidRPr="00420BB1">
        <w:rPr>
          <w:rFonts w:ascii="Verdana" w:eastAsia="Times New Roman" w:hAnsi="Verdana" w:cs="Courier New"/>
          <w:color w:val="111111"/>
          <w:lang w:eastAsia="en-GB"/>
        </w:rPr>
        <w:t xml:space="preserve">4. </w:t>
      </w:r>
      <w:proofErr w:type="spellStart"/>
      <w:r w:rsidR="0023653D" w:rsidRPr="00420BB1">
        <w:rPr>
          <w:rFonts w:ascii="Verdana" w:eastAsia="Times New Roman" w:hAnsi="Verdana" w:cs="Courier New"/>
          <w:color w:val="111111"/>
          <w:lang w:eastAsia="en-GB"/>
        </w:rPr>
        <w:t>Hyrich</w:t>
      </w:r>
      <w:proofErr w:type="spellEnd"/>
      <w:r w:rsidR="0023653D" w:rsidRPr="00420BB1">
        <w:rPr>
          <w:rFonts w:ascii="Verdana" w:eastAsia="Times New Roman" w:hAnsi="Verdana" w:cs="Courier New"/>
          <w:color w:val="111111"/>
          <w:lang w:eastAsia="en-GB"/>
        </w:rPr>
        <w:t xml:space="preserve">, K., Deighton, C., Watson, K., </w:t>
      </w:r>
      <w:proofErr w:type="spellStart"/>
      <w:r w:rsidR="0023653D" w:rsidRPr="00420BB1">
        <w:rPr>
          <w:rFonts w:ascii="Verdana" w:eastAsia="Times New Roman" w:hAnsi="Verdana" w:cs="Courier New"/>
          <w:color w:val="111111"/>
          <w:lang w:eastAsia="en-GB"/>
        </w:rPr>
        <w:t>Symmons</w:t>
      </w:r>
      <w:proofErr w:type="spellEnd"/>
      <w:r w:rsidR="0023653D" w:rsidRPr="00420BB1">
        <w:rPr>
          <w:rFonts w:ascii="Verdana" w:eastAsia="Times New Roman" w:hAnsi="Verdana" w:cs="Courier New"/>
          <w:color w:val="111111"/>
          <w:lang w:eastAsia="en-GB"/>
        </w:rPr>
        <w:t xml:space="preserve">, D., Lunt, M. &amp; </w:t>
      </w:r>
      <w:proofErr w:type="spellStart"/>
      <w:r w:rsidR="0023653D" w:rsidRPr="00420BB1">
        <w:rPr>
          <w:rFonts w:ascii="Verdana" w:eastAsia="Times New Roman" w:hAnsi="Verdana" w:cs="Courier New"/>
          <w:color w:val="111111"/>
          <w:lang w:eastAsia="en-GB"/>
        </w:rPr>
        <w:t>BSRBR_Control_Centre_Consortium</w:t>
      </w:r>
      <w:proofErr w:type="spellEnd"/>
      <w:r w:rsidR="0023653D" w:rsidRPr="00420BB1">
        <w:rPr>
          <w:rFonts w:ascii="Verdana" w:eastAsia="Times New Roman" w:hAnsi="Verdana" w:cs="Courier New"/>
          <w:color w:val="111111"/>
          <w:lang w:eastAsia="en-GB"/>
        </w:rPr>
        <w:t>, B (2009). Benefit of anti-TNF therapy in rheumatoid arthritis patients with moderate disease activity. </w:t>
      </w:r>
      <w:proofErr w:type="gramStart"/>
      <w:r w:rsidR="0023653D" w:rsidRPr="00420BB1">
        <w:rPr>
          <w:rFonts w:ascii="Verdana" w:eastAsia="Times New Roman" w:hAnsi="Verdana" w:cs="Courier New"/>
          <w:i/>
          <w:iCs/>
          <w:color w:val="111111"/>
          <w:lang w:eastAsia="en-GB"/>
        </w:rPr>
        <w:t>Rheumatology (Oxford)</w:t>
      </w:r>
      <w:r w:rsidR="0023653D" w:rsidRPr="00420BB1">
        <w:rPr>
          <w:rFonts w:ascii="Verdana" w:eastAsia="Times New Roman" w:hAnsi="Verdana" w:cs="Courier New"/>
          <w:color w:val="111111"/>
          <w:lang w:eastAsia="en-GB"/>
        </w:rPr>
        <w:t>, 48(10), 1323-7.</w:t>
      </w:r>
      <w:proofErr w:type="gramEnd"/>
      <w:r w:rsidR="0023653D" w:rsidRPr="00420BB1">
        <w:rPr>
          <w:rFonts w:ascii="Verdana" w:eastAsia="Times New Roman" w:hAnsi="Verdana" w:cs="Courier New"/>
          <w:color w:val="111111"/>
          <w:lang w:eastAsia="en-GB"/>
        </w:rPr>
        <w:t xml:space="preserve"> </w:t>
      </w:r>
    </w:p>
    <w:p w14:paraId="0D0B9A04" w14:textId="5CD855D3" w:rsidR="00B447FA" w:rsidRPr="00420BB1" w:rsidRDefault="00B45F5C" w:rsidP="00420BB1">
      <w:pPr>
        <w:shd w:val="clear" w:color="auto" w:fill="FFFFFF"/>
        <w:spacing w:before="100" w:beforeAutospacing="1" w:after="0" w:afterAutospacing="1" w:line="360" w:lineRule="auto"/>
        <w:ind w:right="240"/>
        <w:jc w:val="both"/>
        <w:textAlignment w:val="center"/>
        <w:rPr>
          <w:rFonts w:ascii="Verdana" w:hAnsi="Verdana"/>
        </w:rPr>
      </w:pPr>
      <w:r w:rsidRPr="00420BB1">
        <w:rPr>
          <w:rFonts w:ascii="Verdana" w:eastAsia="Times New Roman" w:hAnsi="Verdana" w:cs="Courier New"/>
          <w:color w:val="111111"/>
          <w:lang w:eastAsia="en-GB"/>
        </w:rPr>
        <w:t xml:space="preserve">5. </w:t>
      </w:r>
      <w:proofErr w:type="spellStart"/>
      <w:r w:rsidR="0023653D" w:rsidRPr="00420BB1">
        <w:rPr>
          <w:rFonts w:ascii="Verdana" w:eastAsia="Times New Roman" w:hAnsi="Verdana" w:cs="Courier New"/>
          <w:color w:val="111111"/>
          <w:lang w:eastAsia="en-GB"/>
        </w:rPr>
        <w:t>Hyrich</w:t>
      </w:r>
      <w:proofErr w:type="spellEnd"/>
      <w:r w:rsidR="0023653D" w:rsidRPr="00420BB1">
        <w:rPr>
          <w:rFonts w:ascii="Verdana" w:eastAsia="Times New Roman" w:hAnsi="Verdana" w:cs="Courier New"/>
          <w:color w:val="111111"/>
          <w:lang w:eastAsia="en-GB"/>
        </w:rPr>
        <w:t xml:space="preserve">, K., Watson, K., Lunt, M., </w:t>
      </w:r>
      <w:proofErr w:type="spellStart"/>
      <w:r w:rsidR="0023653D" w:rsidRPr="00420BB1">
        <w:rPr>
          <w:rFonts w:ascii="Verdana" w:eastAsia="Times New Roman" w:hAnsi="Verdana" w:cs="Courier New"/>
          <w:color w:val="111111"/>
          <w:lang w:eastAsia="en-GB"/>
        </w:rPr>
        <w:t>Symmons</w:t>
      </w:r>
      <w:proofErr w:type="spellEnd"/>
      <w:r w:rsidR="0023653D" w:rsidRPr="00420BB1">
        <w:rPr>
          <w:rFonts w:ascii="Verdana" w:eastAsia="Times New Roman" w:hAnsi="Verdana" w:cs="Courier New"/>
          <w:color w:val="111111"/>
          <w:lang w:eastAsia="en-GB"/>
        </w:rPr>
        <w:t>, D. &amp; BSR</w:t>
      </w:r>
      <w:r w:rsidR="00ED383F" w:rsidRPr="00420BB1">
        <w:rPr>
          <w:rFonts w:ascii="Verdana" w:eastAsia="Times New Roman" w:hAnsi="Verdana" w:cs="Courier New"/>
          <w:color w:val="111111"/>
          <w:lang w:eastAsia="en-GB"/>
        </w:rPr>
        <w:t xml:space="preserve"> </w:t>
      </w:r>
      <w:proofErr w:type="spellStart"/>
      <w:r w:rsidR="0023653D" w:rsidRPr="00420BB1">
        <w:rPr>
          <w:rFonts w:ascii="Verdana" w:eastAsia="Times New Roman" w:hAnsi="Verdana" w:cs="Courier New"/>
          <w:color w:val="111111"/>
          <w:lang w:eastAsia="en-GB"/>
        </w:rPr>
        <w:t>Biologics_Register</w:t>
      </w:r>
      <w:proofErr w:type="spellEnd"/>
      <w:r w:rsidR="0023653D" w:rsidRPr="00420BB1">
        <w:rPr>
          <w:rFonts w:ascii="Verdana" w:eastAsia="Times New Roman" w:hAnsi="Verdana" w:cs="Courier New"/>
          <w:color w:val="111111"/>
          <w:lang w:eastAsia="en-GB"/>
        </w:rPr>
        <w:t>, B (2011). Changes in disease characteristics and response rates among patients in the United Kingdom starting anti-tumour necrosis factor therapy for rheumatoid arthritis between 2001 and 2008. </w:t>
      </w:r>
      <w:r w:rsidR="0023653D" w:rsidRPr="00420BB1">
        <w:rPr>
          <w:rFonts w:ascii="Verdana" w:eastAsia="Times New Roman" w:hAnsi="Verdana" w:cs="Courier New"/>
          <w:i/>
          <w:iCs/>
          <w:color w:val="111111"/>
          <w:lang w:eastAsia="en-GB"/>
        </w:rPr>
        <w:t>Rheumatology (Oxford)</w:t>
      </w:r>
      <w:r w:rsidR="0023653D" w:rsidRPr="00420BB1">
        <w:rPr>
          <w:rFonts w:ascii="Verdana" w:eastAsia="Times New Roman" w:hAnsi="Verdana" w:cs="Courier New"/>
          <w:color w:val="111111"/>
          <w:lang w:eastAsia="en-GB"/>
        </w:rPr>
        <w:t xml:space="preserve">, 50(1), 117-123. </w:t>
      </w:r>
    </w:p>
    <w:p w14:paraId="427AB6E4" w14:textId="726165A1" w:rsidR="0023653D" w:rsidRPr="00420BB1" w:rsidRDefault="00B45F5C" w:rsidP="00420BB1">
      <w:pPr>
        <w:shd w:val="clear" w:color="auto" w:fill="FFFFFF"/>
        <w:spacing w:before="100" w:beforeAutospacing="1" w:after="0" w:afterAutospacing="1" w:line="360" w:lineRule="auto"/>
        <w:ind w:right="240"/>
        <w:jc w:val="both"/>
        <w:textAlignment w:val="center"/>
        <w:rPr>
          <w:rFonts w:ascii="Verdana" w:hAnsi="Verdana"/>
        </w:rPr>
      </w:pPr>
      <w:r w:rsidRPr="00420BB1">
        <w:rPr>
          <w:rFonts w:ascii="Verdana" w:eastAsia="Times New Roman" w:hAnsi="Verdana" w:cs="Times New Roman"/>
          <w:color w:val="111111"/>
          <w:lang w:eastAsia="en-GB"/>
        </w:rPr>
        <w:t xml:space="preserve">6. </w:t>
      </w:r>
      <w:r w:rsidR="00B447FA" w:rsidRPr="00420BB1">
        <w:rPr>
          <w:rFonts w:ascii="Verdana" w:eastAsia="Times New Roman" w:hAnsi="Verdana" w:cs="Courier New"/>
          <w:color w:val="111111"/>
          <w:lang w:eastAsia="en-GB"/>
        </w:rPr>
        <w:t xml:space="preserve">Galloway, J., </w:t>
      </w:r>
      <w:proofErr w:type="spellStart"/>
      <w:r w:rsidR="00B447FA" w:rsidRPr="00420BB1">
        <w:rPr>
          <w:rFonts w:ascii="Verdana" w:eastAsia="Times New Roman" w:hAnsi="Verdana" w:cs="Courier New"/>
          <w:color w:val="111111"/>
          <w:lang w:eastAsia="en-GB"/>
        </w:rPr>
        <w:t>Hyrich</w:t>
      </w:r>
      <w:proofErr w:type="spellEnd"/>
      <w:r w:rsidR="00B447FA" w:rsidRPr="00420BB1">
        <w:rPr>
          <w:rFonts w:ascii="Verdana" w:eastAsia="Times New Roman" w:hAnsi="Verdana" w:cs="Courier New"/>
          <w:color w:val="111111"/>
          <w:lang w:eastAsia="en-GB"/>
        </w:rPr>
        <w:t xml:space="preserve">, K., Mercer, L., Dixon, W., Fu, B., </w:t>
      </w:r>
      <w:proofErr w:type="spellStart"/>
      <w:r w:rsidR="00B447FA" w:rsidRPr="00420BB1">
        <w:rPr>
          <w:rFonts w:ascii="Verdana" w:eastAsia="Times New Roman" w:hAnsi="Verdana" w:cs="Courier New"/>
          <w:color w:val="111111"/>
          <w:lang w:eastAsia="en-GB"/>
        </w:rPr>
        <w:t>Ustianowski</w:t>
      </w:r>
      <w:proofErr w:type="spellEnd"/>
      <w:r w:rsidR="00B447FA" w:rsidRPr="00420BB1">
        <w:rPr>
          <w:rFonts w:ascii="Verdana" w:eastAsia="Times New Roman" w:hAnsi="Verdana" w:cs="Courier New"/>
          <w:color w:val="111111"/>
          <w:lang w:eastAsia="en-GB"/>
        </w:rPr>
        <w:t xml:space="preserve">, A., Watson, K., Lunt, M., </w:t>
      </w:r>
      <w:proofErr w:type="spellStart"/>
      <w:r w:rsidR="00B447FA" w:rsidRPr="00420BB1">
        <w:rPr>
          <w:rFonts w:ascii="Verdana" w:eastAsia="Times New Roman" w:hAnsi="Verdana" w:cs="Courier New"/>
          <w:color w:val="111111"/>
          <w:lang w:eastAsia="en-GB"/>
        </w:rPr>
        <w:t>BSR_Control_Centre_Consortium</w:t>
      </w:r>
      <w:proofErr w:type="spellEnd"/>
      <w:r w:rsidR="00B447FA" w:rsidRPr="00420BB1">
        <w:rPr>
          <w:rFonts w:ascii="Verdana" w:eastAsia="Times New Roman" w:hAnsi="Verdana" w:cs="Courier New"/>
          <w:color w:val="111111"/>
          <w:lang w:eastAsia="en-GB"/>
        </w:rPr>
        <w:t xml:space="preserve">, B., </w:t>
      </w:r>
      <w:proofErr w:type="spellStart"/>
      <w:r w:rsidR="00B447FA" w:rsidRPr="00420BB1">
        <w:rPr>
          <w:rFonts w:ascii="Verdana" w:eastAsia="Times New Roman" w:hAnsi="Verdana" w:cs="Courier New"/>
          <w:color w:val="111111"/>
          <w:lang w:eastAsia="en-GB"/>
        </w:rPr>
        <w:t>Symmons</w:t>
      </w:r>
      <w:proofErr w:type="spellEnd"/>
      <w:r w:rsidR="00B447FA" w:rsidRPr="00420BB1">
        <w:rPr>
          <w:rFonts w:ascii="Verdana" w:eastAsia="Times New Roman" w:hAnsi="Verdana" w:cs="Courier New"/>
          <w:color w:val="111111"/>
          <w:lang w:eastAsia="en-GB"/>
        </w:rPr>
        <w:t xml:space="preserve">, D. &amp; </w:t>
      </w:r>
      <w:proofErr w:type="spellStart"/>
      <w:r w:rsidR="00B447FA" w:rsidRPr="00420BB1">
        <w:rPr>
          <w:rFonts w:ascii="Verdana" w:eastAsia="Times New Roman" w:hAnsi="Verdana" w:cs="Courier New"/>
          <w:color w:val="111111"/>
          <w:lang w:eastAsia="en-GB"/>
        </w:rPr>
        <w:t>BSR_Biologics_Register</w:t>
      </w:r>
      <w:proofErr w:type="spellEnd"/>
      <w:r w:rsidR="00B447FA" w:rsidRPr="00420BB1">
        <w:rPr>
          <w:rFonts w:ascii="Verdana" w:eastAsia="Times New Roman" w:hAnsi="Verdana" w:cs="Courier New"/>
          <w:color w:val="111111"/>
          <w:lang w:eastAsia="en-GB"/>
        </w:rPr>
        <w:t>, B (2011). Anti-TNF therapy is associated with an increased risk of serious infections in patients with rheumatoid arthritis especially in the first 6 months of treatment: updated results from the British Society for Rheumatology Biologics Register with special emphasis on risks in the elderly. </w:t>
      </w:r>
      <w:r w:rsidR="00B447FA" w:rsidRPr="00420BB1">
        <w:rPr>
          <w:rFonts w:ascii="Verdana" w:eastAsia="Times New Roman" w:hAnsi="Verdana" w:cs="Courier New"/>
          <w:i/>
          <w:iCs/>
          <w:color w:val="111111"/>
          <w:lang w:eastAsia="en-GB"/>
        </w:rPr>
        <w:t>Rheumatology (Oxford)</w:t>
      </w:r>
      <w:r w:rsidR="00B447FA" w:rsidRPr="00420BB1">
        <w:rPr>
          <w:rFonts w:ascii="Verdana" w:eastAsia="Times New Roman" w:hAnsi="Verdana" w:cs="Courier New"/>
          <w:color w:val="111111"/>
          <w:lang w:eastAsia="en-GB"/>
        </w:rPr>
        <w:t>, 50(1), 124-131</w:t>
      </w:r>
      <w:r w:rsidR="008A5BE5">
        <w:rPr>
          <w:rFonts w:ascii="Verdana" w:eastAsia="Times New Roman" w:hAnsi="Verdana" w:cs="Courier New"/>
          <w:color w:val="111111"/>
          <w:lang w:eastAsia="en-GB"/>
        </w:rPr>
        <w:t>.</w:t>
      </w:r>
    </w:p>
    <w:p w14:paraId="33590700" w14:textId="1D4D2D6A" w:rsidR="00B447FA" w:rsidRPr="00420BB1" w:rsidRDefault="00B45F5C" w:rsidP="00420BB1">
      <w:pPr>
        <w:shd w:val="clear" w:color="auto" w:fill="FFFFFF"/>
        <w:spacing w:before="100" w:beforeAutospacing="1" w:after="0" w:afterAutospacing="1" w:line="360" w:lineRule="auto"/>
        <w:ind w:right="240"/>
        <w:jc w:val="both"/>
        <w:textAlignment w:val="center"/>
        <w:rPr>
          <w:rFonts w:ascii="Verdana" w:hAnsi="Verdana"/>
        </w:rPr>
      </w:pPr>
      <w:r w:rsidRPr="00420BB1">
        <w:rPr>
          <w:rFonts w:ascii="Verdana" w:eastAsia="Times New Roman" w:hAnsi="Verdana" w:cs="Arial"/>
          <w:lang w:eastAsia="en-GB"/>
        </w:rPr>
        <w:t xml:space="preserve">7. </w:t>
      </w:r>
      <w:r w:rsidRPr="00420BB1">
        <w:rPr>
          <w:rFonts w:ascii="Verdana" w:hAnsi="Verdana" w:cs="Arial"/>
        </w:rPr>
        <w:t xml:space="preserve">Mercer LK, Green AC, Galloway JB, Davies R, Lunt M, Dixon WG, Watson KD; British Society for Rheumatology Biologics Register Control Centre Consortium, </w:t>
      </w:r>
      <w:proofErr w:type="spellStart"/>
      <w:r w:rsidRPr="00420BB1">
        <w:rPr>
          <w:rFonts w:ascii="Verdana" w:hAnsi="Verdana" w:cs="Arial"/>
        </w:rPr>
        <w:t>Symmons</w:t>
      </w:r>
      <w:proofErr w:type="spellEnd"/>
      <w:r w:rsidRPr="00420BB1">
        <w:rPr>
          <w:rFonts w:ascii="Verdana" w:hAnsi="Verdana" w:cs="Arial"/>
        </w:rPr>
        <w:t xml:space="preserve"> DP, </w:t>
      </w:r>
      <w:proofErr w:type="spellStart"/>
      <w:r w:rsidRPr="00420BB1">
        <w:rPr>
          <w:rFonts w:ascii="Verdana" w:hAnsi="Verdana" w:cs="Arial"/>
        </w:rPr>
        <w:t>Hyrich</w:t>
      </w:r>
      <w:proofErr w:type="spellEnd"/>
      <w:r w:rsidRPr="00420BB1">
        <w:rPr>
          <w:rFonts w:ascii="Verdana" w:hAnsi="Verdana" w:cs="Arial"/>
        </w:rPr>
        <w:t xml:space="preserve"> KL</w:t>
      </w:r>
      <w:r w:rsidR="008A5BE5">
        <w:rPr>
          <w:rFonts w:ascii="Verdana" w:hAnsi="Verdana" w:cs="Arial"/>
        </w:rPr>
        <w:t xml:space="preserve"> (2012)</w:t>
      </w:r>
      <w:r w:rsidRPr="00420BB1">
        <w:rPr>
          <w:rFonts w:ascii="Verdana" w:hAnsi="Verdana" w:cs="Arial"/>
        </w:rPr>
        <w:t>. The influence of anti-TNF therapy upon incidence of keratinocyte skin cancer in patients with rheumatoid arthritis: longitudinal results from the British Society for Rheumatology Biologics Register. Ann Rheum Dis Jun</w:t>
      </w:r>
      <w:proofErr w:type="gramStart"/>
      <w:r w:rsidRPr="00420BB1">
        <w:rPr>
          <w:rFonts w:ascii="Verdana" w:hAnsi="Verdana" w:cs="Arial"/>
        </w:rPr>
        <w:t>;71</w:t>
      </w:r>
      <w:proofErr w:type="gramEnd"/>
      <w:r w:rsidRPr="00420BB1">
        <w:rPr>
          <w:rFonts w:ascii="Verdana" w:hAnsi="Verdana" w:cs="Arial"/>
        </w:rPr>
        <w:t>(6):869-74</w:t>
      </w:r>
    </w:p>
    <w:p w14:paraId="2DB65D1E" w14:textId="4B353A5E" w:rsidR="00B447FA" w:rsidRPr="00420BB1" w:rsidRDefault="00B45F5C" w:rsidP="00420BB1">
      <w:pPr>
        <w:shd w:val="clear" w:color="auto" w:fill="FFFFFF"/>
        <w:spacing w:before="100" w:beforeAutospacing="1" w:after="0" w:afterAutospacing="1" w:line="360" w:lineRule="auto"/>
        <w:ind w:right="240"/>
        <w:jc w:val="both"/>
        <w:textAlignment w:val="center"/>
        <w:rPr>
          <w:rFonts w:ascii="Verdana" w:hAnsi="Verdana"/>
        </w:rPr>
      </w:pPr>
      <w:r w:rsidRPr="00420BB1">
        <w:rPr>
          <w:rFonts w:ascii="Verdana" w:eastAsia="Times New Roman" w:hAnsi="Verdana" w:cs="Arial"/>
          <w:lang w:eastAsia="en-GB"/>
        </w:rPr>
        <w:t xml:space="preserve">8. </w:t>
      </w:r>
      <w:r w:rsidRPr="00420BB1">
        <w:rPr>
          <w:rFonts w:ascii="Verdana" w:hAnsi="Verdana" w:cs="Arial"/>
        </w:rPr>
        <w:t xml:space="preserve">Mercer LK, Lunt M, Low AL, Dixon WG, Watson KD, </w:t>
      </w:r>
      <w:proofErr w:type="spellStart"/>
      <w:r w:rsidRPr="00420BB1">
        <w:rPr>
          <w:rFonts w:ascii="Verdana" w:hAnsi="Verdana" w:cs="Arial"/>
        </w:rPr>
        <w:t>Symmons</w:t>
      </w:r>
      <w:proofErr w:type="spellEnd"/>
      <w:r w:rsidRPr="00420BB1">
        <w:rPr>
          <w:rFonts w:ascii="Verdana" w:hAnsi="Verdana" w:cs="Arial"/>
        </w:rPr>
        <w:t xml:space="preserve"> DP, </w:t>
      </w:r>
      <w:proofErr w:type="spellStart"/>
      <w:r w:rsidRPr="00420BB1">
        <w:rPr>
          <w:rFonts w:ascii="Verdana" w:hAnsi="Verdana" w:cs="Arial"/>
        </w:rPr>
        <w:t>Hyrich</w:t>
      </w:r>
      <w:proofErr w:type="spellEnd"/>
      <w:r w:rsidRPr="00420BB1">
        <w:rPr>
          <w:rFonts w:ascii="Verdana" w:hAnsi="Verdana" w:cs="Arial"/>
        </w:rPr>
        <w:t xml:space="preserve"> KL</w:t>
      </w:r>
      <w:r w:rsidRPr="00420BB1">
        <w:rPr>
          <w:rFonts w:ascii="Verdana" w:eastAsia="Times New Roman" w:hAnsi="Verdana" w:cs="Arial"/>
          <w:lang w:eastAsia="en-GB"/>
        </w:rPr>
        <w:t xml:space="preserve"> </w:t>
      </w:r>
      <w:r w:rsidR="008A5BE5">
        <w:rPr>
          <w:rFonts w:ascii="Verdana" w:eastAsia="Times New Roman" w:hAnsi="Verdana" w:cs="Arial"/>
          <w:lang w:eastAsia="en-GB"/>
        </w:rPr>
        <w:t xml:space="preserve">(2015) </w:t>
      </w:r>
      <w:r w:rsidRPr="00420BB1">
        <w:rPr>
          <w:rFonts w:ascii="Verdana" w:hAnsi="Verdana" w:cs="Arial"/>
        </w:rPr>
        <w:t>Risk of solid cancer in patients exposed to anti-tumour necrosis factor therapy: results from the British Society for Rheumatology Biologics Register for Rheumatoid Arthritis. Ann Rheum Dis Jun</w:t>
      </w:r>
      <w:proofErr w:type="gramStart"/>
      <w:r w:rsidRPr="00420BB1">
        <w:rPr>
          <w:rFonts w:ascii="Verdana" w:hAnsi="Verdana" w:cs="Arial"/>
        </w:rPr>
        <w:t>;74</w:t>
      </w:r>
      <w:proofErr w:type="gramEnd"/>
      <w:r w:rsidRPr="00420BB1">
        <w:rPr>
          <w:rFonts w:ascii="Verdana" w:hAnsi="Verdana" w:cs="Arial"/>
        </w:rPr>
        <w:t>(6):1087-93</w:t>
      </w:r>
      <w:r w:rsidR="008A5BE5">
        <w:rPr>
          <w:rFonts w:ascii="Verdana" w:hAnsi="Verdana" w:cs="Arial"/>
        </w:rPr>
        <w:t>.</w:t>
      </w:r>
    </w:p>
    <w:p w14:paraId="69227216" w14:textId="36EF0288" w:rsidR="00B447FA" w:rsidRPr="00420BB1" w:rsidRDefault="00B45F5C" w:rsidP="00420BB1">
      <w:pPr>
        <w:shd w:val="clear" w:color="auto" w:fill="FFFFFF"/>
        <w:spacing w:before="100" w:beforeAutospacing="1" w:after="0" w:afterAutospacing="1" w:line="360" w:lineRule="auto"/>
        <w:ind w:right="240"/>
        <w:jc w:val="both"/>
        <w:textAlignment w:val="center"/>
        <w:rPr>
          <w:rFonts w:ascii="Verdana" w:hAnsi="Verdana"/>
        </w:rPr>
      </w:pPr>
      <w:r w:rsidRPr="00420BB1">
        <w:rPr>
          <w:rFonts w:ascii="Verdana" w:eastAsia="Times New Roman" w:hAnsi="Verdana" w:cs="Arial"/>
          <w:lang w:eastAsia="en-GB"/>
        </w:rPr>
        <w:lastRenderedPageBreak/>
        <w:t xml:space="preserve">9. </w:t>
      </w:r>
      <w:r w:rsidRPr="00420BB1">
        <w:rPr>
          <w:rFonts w:ascii="Verdana" w:hAnsi="Verdana" w:cs="Arial"/>
        </w:rPr>
        <w:t xml:space="preserve">Dixon WG, Watson KD, Lunt M, Mercer LK, </w:t>
      </w:r>
      <w:proofErr w:type="spellStart"/>
      <w:r w:rsidRPr="00420BB1">
        <w:rPr>
          <w:rFonts w:ascii="Verdana" w:hAnsi="Verdana" w:cs="Arial"/>
        </w:rPr>
        <w:t>Hyrich</w:t>
      </w:r>
      <w:proofErr w:type="spellEnd"/>
      <w:r w:rsidRPr="00420BB1">
        <w:rPr>
          <w:rFonts w:ascii="Verdana" w:hAnsi="Verdana" w:cs="Arial"/>
        </w:rPr>
        <w:t xml:space="preserve"> KL, </w:t>
      </w:r>
      <w:proofErr w:type="spellStart"/>
      <w:r w:rsidRPr="00420BB1">
        <w:rPr>
          <w:rFonts w:ascii="Verdana" w:hAnsi="Verdana" w:cs="Arial"/>
        </w:rPr>
        <w:t>Symmons</w:t>
      </w:r>
      <w:proofErr w:type="spellEnd"/>
      <w:r w:rsidRPr="00420BB1">
        <w:rPr>
          <w:rFonts w:ascii="Verdana" w:hAnsi="Verdana" w:cs="Arial"/>
        </w:rPr>
        <w:t xml:space="preserve"> DP</w:t>
      </w:r>
      <w:r w:rsidR="008A5BE5">
        <w:rPr>
          <w:rFonts w:ascii="Verdana" w:hAnsi="Verdana" w:cs="Arial"/>
        </w:rPr>
        <w:t xml:space="preserve"> (2010)</w:t>
      </w:r>
      <w:r w:rsidRPr="00420BB1">
        <w:rPr>
          <w:rFonts w:ascii="Verdana" w:hAnsi="Verdana" w:cs="Arial"/>
        </w:rPr>
        <w:t>. Influence of anti-</w:t>
      </w:r>
      <w:proofErr w:type="spellStart"/>
      <w:r w:rsidRPr="00420BB1">
        <w:rPr>
          <w:rFonts w:ascii="Verdana" w:hAnsi="Verdana" w:cs="Arial"/>
        </w:rPr>
        <w:t>tumor</w:t>
      </w:r>
      <w:proofErr w:type="spellEnd"/>
      <w:r w:rsidRPr="00420BB1">
        <w:rPr>
          <w:rFonts w:ascii="Verdana" w:hAnsi="Verdana" w:cs="Arial"/>
        </w:rPr>
        <w:t xml:space="preserve"> necrosis factor therapy on cancer incidence in patients with rheumatoid arthritis </w:t>
      </w:r>
      <w:proofErr w:type="gramStart"/>
      <w:r w:rsidRPr="00420BB1">
        <w:rPr>
          <w:rFonts w:ascii="Verdana" w:hAnsi="Verdana" w:cs="Arial"/>
        </w:rPr>
        <w:t>who</w:t>
      </w:r>
      <w:proofErr w:type="gramEnd"/>
      <w:r w:rsidRPr="00420BB1">
        <w:rPr>
          <w:rFonts w:ascii="Verdana" w:hAnsi="Verdana" w:cs="Arial"/>
        </w:rPr>
        <w:t xml:space="preserve"> have had a prior malignancy: results from the British Society for Rheumatology Biologics Register. Arthritis Care Res Jun</w:t>
      </w:r>
      <w:proofErr w:type="gramStart"/>
      <w:r w:rsidRPr="00420BB1">
        <w:rPr>
          <w:rFonts w:ascii="Verdana" w:hAnsi="Verdana" w:cs="Arial"/>
        </w:rPr>
        <w:t>;62</w:t>
      </w:r>
      <w:proofErr w:type="gramEnd"/>
      <w:r w:rsidRPr="00420BB1">
        <w:rPr>
          <w:rFonts w:ascii="Verdana" w:hAnsi="Verdana" w:cs="Arial"/>
        </w:rPr>
        <w:t>(6):755-63</w:t>
      </w:r>
      <w:r w:rsidR="008A5BE5">
        <w:rPr>
          <w:rFonts w:ascii="Verdana" w:hAnsi="Verdana" w:cs="Arial"/>
        </w:rPr>
        <w:t>.</w:t>
      </w:r>
    </w:p>
    <w:p w14:paraId="78C71F98" w14:textId="77777777" w:rsidR="0023653D" w:rsidRPr="00420BB1" w:rsidRDefault="0023653D" w:rsidP="00420BB1">
      <w:pPr>
        <w:autoSpaceDE w:val="0"/>
        <w:autoSpaceDN w:val="0"/>
        <w:adjustRightInd w:val="0"/>
        <w:spacing w:after="0" w:line="360" w:lineRule="auto"/>
        <w:jc w:val="both"/>
        <w:rPr>
          <w:rFonts w:ascii="Verdana" w:hAnsi="Verdana"/>
        </w:rPr>
      </w:pPr>
    </w:p>
    <w:sectPr w:rsidR="0023653D" w:rsidRPr="00420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145"/>
    <w:multiLevelType w:val="hybridMultilevel"/>
    <w:tmpl w:val="9544DB8E"/>
    <w:lvl w:ilvl="0" w:tplc="A1D270CA">
      <w:start w:val="1"/>
      <w:numFmt w:val="decimal"/>
      <w:lvlText w:val="%1."/>
      <w:lvlJc w:val="left"/>
      <w:pPr>
        <w:ind w:left="720" w:hanging="360"/>
      </w:pPr>
      <w:rPr>
        <w:rFonts w:ascii="Calibri" w:eastAsiaTheme="minorHAnsi" w:hAnsi="Calibr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B0E2D"/>
    <w:multiLevelType w:val="multilevel"/>
    <w:tmpl w:val="1784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46087"/>
    <w:multiLevelType w:val="multilevel"/>
    <w:tmpl w:val="B20CF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F07C0"/>
    <w:multiLevelType w:val="hybridMultilevel"/>
    <w:tmpl w:val="E676B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A46429"/>
    <w:multiLevelType w:val="hybridMultilevel"/>
    <w:tmpl w:val="8B5CCD06"/>
    <w:lvl w:ilvl="0" w:tplc="CDF24F38">
      <w:start w:val="1"/>
      <w:numFmt w:val="decimal"/>
      <w:lvlText w:val="%1."/>
      <w:lvlJc w:val="left"/>
      <w:pPr>
        <w:ind w:left="720" w:hanging="360"/>
      </w:pPr>
      <w:rPr>
        <w:rFonts w:ascii="Calibri" w:eastAsiaTheme="minorHAnsi" w:hAnsi="Calibr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9D4C5F"/>
    <w:multiLevelType w:val="multilevel"/>
    <w:tmpl w:val="4DE83B10"/>
    <w:lvl w:ilvl="0">
      <w:start w:val="1"/>
      <w:numFmt w:val="decimal"/>
      <w:lvlText w:val="%1."/>
      <w:lvlJc w:val="left"/>
      <w:pPr>
        <w:tabs>
          <w:tab w:val="num" w:pos="720"/>
        </w:tabs>
        <w:ind w:left="720" w:hanging="360"/>
      </w:pPr>
      <w:rPr>
        <w:rFonts w:ascii="Verdana" w:eastAsia="Times New Roman" w:hAnsi="Verdana" w:cs="Courier New"/>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B9686C"/>
    <w:multiLevelType w:val="multilevel"/>
    <w:tmpl w:val="6BBEC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FE580D"/>
    <w:multiLevelType w:val="hybridMultilevel"/>
    <w:tmpl w:val="96328C28"/>
    <w:lvl w:ilvl="0" w:tplc="B232C128">
      <w:start w:val="1"/>
      <w:numFmt w:val="decimal"/>
      <w:lvlText w:val="%1."/>
      <w:lvlJc w:val="left"/>
      <w:pPr>
        <w:ind w:left="720" w:hanging="360"/>
      </w:pPr>
      <w:rPr>
        <w:rFonts w:ascii="Calibri" w:eastAsiaTheme="minorHAnsi" w:hAnsi="Calibr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CC2C9E"/>
    <w:multiLevelType w:val="hybridMultilevel"/>
    <w:tmpl w:val="BFB4EE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644BFB"/>
    <w:multiLevelType w:val="multilevel"/>
    <w:tmpl w:val="456A8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A2"/>
    <w:rsid w:val="00086BF7"/>
    <w:rsid w:val="00152EC1"/>
    <w:rsid w:val="00171524"/>
    <w:rsid w:val="001A3273"/>
    <w:rsid w:val="0023653D"/>
    <w:rsid w:val="00255379"/>
    <w:rsid w:val="002C0A28"/>
    <w:rsid w:val="002C293D"/>
    <w:rsid w:val="002E73B5"/>
    <w:rsid w:val="003A1382"/>
    <w:rsid w:val="003A22FE"/>
    <w:rsid w:val="003E36D6"/>
    <w:rsid w:val="00413A2D"/>
    <w:rsid w:val="00420BB1"/>
    <w:rsid w:val="00467F16"/>
    <w:rsid w:val="004B15BF"/>
    <w:rsid w:val="00506286"/>
    <w:rsid w:val="005F0F99"/>
    <w:rsid w:val="00646D8D"/>
    <w:rsid w:val="007053AB"/>
    <w:rsid w:val="007367D9"/>
    <w:rsid w:val="00745644"/>
    <w:rsid w:val="00815328"/>
    <w:rsid w:val="00822F20"/>
    <w:rsid w:val="008A5BE5"/>
    <w:rsid w:val="008D23A2"/>
    <w:rsid w:val="008D4551"/>
    <w:rsid w:val="00950817"/>
    <w:rsid w:val="00973335"/>
    <w:rsid w:val="00A424CA"/>
    <w:rsid w:val="00AC6DB8"/>
    <w:rsid w:val="00B447FA"/>
    <w:rsid w:val="00B45F5C"/>
    <w:rsid w:val="00B56A90"/>
    <w:rsid w:val="00B67795"/>
    <w:rsid w:val="00B95D30"/>
    <w:rsid w:val="00BF19DE"/>
    <w:rsid w:val="00C03499"/>
    <w:rsid w:val="00C21A09"/>
    <w:rsid w:val="00C502C9"/>
    <w:rsid w:val="00C83010"/>
    <w:rsid w:val="00CB0FC6"/>
    <w:rsid w:val="00D54376"/>
    <w:rsid w:val="00D654AB"/>
    <w:rsid w:val="00DB32B6"/>
    <w:rsid w:val="00DC2EA2"/>
    <w:rsid w:val="00DD0E24"/>
    <w:rsid w:val="00E76041"/>
    <w:rsid w:val="00EC314B"/>
    <w:rsid w:val="00ED383F"/>
    <w:rsid w:val="00F95743"/>
    <w:rsid w:val="00FC14D6"/>
    <w:rsid w:val="00FE22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DB8"/>
    <w:pPr>
      <w:keepNext/>
      <w:keepLines/>
      <w:spacing w:before="480" w:after="0" w:line="480" w:lineRule="auto"/>
      <w:outlineLvl w:val="0"/>
    </w:pPr>
    <w:rPr>
      <w:rFonts w:asciiTheme="majorHAnsi" w:eastAsiaTheme="majorEastAsia" w:hAnsiTheme="majorHAnsi" w:cstheme="majorBidi"/>
      <w:b/>
      <w:bCs/>
      <w:color w:val="2E74B5"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1524"/>
    <w:rPr>
      <w:sz w:val="16"/>
      <w:szCs w:val="16"/>
    </w:rPr>
  </w:style>
  <w:style w:type="paragraph" w:styleId="CommentText">
    <w:name w:val="annotation text"/>
    <w:basedOn w:val="Normal"/>
    <w:link w:val="CommentTextChar"/>
    <w:uiPriority w:val="99"/>
    <w:semiHidden/>
    <w:unhideWhenUsed/>
    <w:rsid w:val="00171524"/>
    <w:pPr>
      <w:spacing w:line="240" w:lineRule="auto"/>
    </w:pPr>
    <w:rPr>
      <w:sz w:val="20"/>
      <w:szCs w:val="20"/>
    </w:rPr>
  </w:style>
  <w:style w:type="character" w:customStyle="1" w:styleId="CommentTextChar">
    <w:name w:val="Comment Text Char"/>
    <w:basedOn w:val="DefaultParagraphFont"/>
    <w:link w:val="CommentText"/>
    <w:uiPriority w:val="99"/>
    <w:semiHidden/>
    <w:rsid w:val="00171524"/>
    <w:rPr>
      <w:sz w:val="20"/>
      <w:szCs w:val="20"/>
    </w:rPr>
  </w:style>
  <w:style w:type="paragraph" w:styleId="CommentSubject">
    <w:name w:val="annotation subject"/>
    <w:basedOn w:val="CommentText"/>
    <w:next w:val="CommentText"/>
    <w:link w:val="CommentSubjectChar"/>
    <w:uiPriority w:val="99"/>
    <w:semiHidden/>
    <w:unhideWhenUsed/>
    <w:rsid w:val="00171524"/>
    <w:rPr>
      <w:b/>
      <w:bCs/>
    </w:rPr>
  </w:style>
  <w:style w:type="character" w:customStyle="1" w:styleId="CommentSubjectChar">
    <w:name w:val="Comment Subject Char"/>
    <w:basedOn w:val="CommentTextChar"/>
    <w:link w:val="CommentSubject"/>
    <w:uiPriority w:val="99"/>
    <w:semiHidden/>
    <w:rsid w:val="00171524"/>
    <w:rPr>
      <w:b/>
      <w:bCs/>
      <w:sz w:val="20"/>
      <w:szCs w:val="20"/>
    </w:rPr>
  </w:style>
  <w:style w:type="paragraph" w:styleId="BalloonText">
    <w:name w:val="Balloon Text"/>
    <w:basedOn w:val="Normal"/>
    <w:link w:val="BalloonTextChar"/>
    <w:uiPriority w:val="99"/>
    <w:semiHidden/>
    <w:unhideWhenUsed/>
    <w:rsid w:val="00171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524"/>
    <w:rPr>
      <w:rFonts w:ascii="Segoe UI" w:hAnsi="Segoe UI" w:cs="Segoe UI"/>
      <w:sz w:val="18"/>
      <w:szCs w:val="18"/>
    </w:rPr>
  </w:style>
  <w:style w:type="paragraph" w:styleId="NormalWeb">
    <w:name w:val="Normal (Web)"/>
    <w:basedOn w:val="Normal"/>
    <w:uiPriority w:val="99"/>
    <w:unhideWhenUsed/>
    <w:rsid w:val="00171524"/>
    <w:rPr>
      <w:rFonts w:ascii="Times New Roman" w:hAnsi="Times New Roman" w:cs="Times New Roman"/>
      <w:sz w:val="24"/>
      <w:szCs w:val="24"/>
    </w:rPr>
  </w:style>
  <w:style w:type="paragraph" w:styleId="ListParagraph">
    <w:name w:val="List Paragraph"/>
    <w:basedOn w:val="Normal"/>
    <w:uiPriority w:val="34"/>
    <w:qFormat/>
    <w:rsid w:val="0023653D"/>
    <w:pPr>
      <w:ind w:left="720"/>
      <w:contextualSpacing/>
    </w:pPr>
  </w:style>
  <w:style w:type="paragraph" w:styleId="BodyText">
    <w:name w:val="Body Text"/>
    <w:basedOn w:val="Normal"/>
    <w:link w:val="BodyTextChar"/>
    <w:rsid w:val="00152EC1"/>
    <w:pPr>
      <w:spacing w:after="120" w:line="240" w:lineRule="auto"/>
    </w:pPr>
    <w:rPr>
      <w:rFonts w:ascii="Times New Roman" w:eastAsia="Times New Roman" w:hAnsi="Times New Roman" w:cs="Times New Roman"/>
      <w:sz w:val="24"/>
      <w:szCs w:val="24"/>
      <w:lang w:val="en-NZ" w:eastAsia="en-GB"/>
    </w:rPr>
  </w:style>
  <w:style w:type="character" w:customStyle="1" w:styleId="BodyTextChar">
    <w:name w:val="Body Text Char"/>
    <w:basedOn w:val="DefaultParagraphFont"/>
    <w:link w:val="BodyText"/>
    <w:rsid w:val="00152EC1"/>
    <w:rPr>
      <w:rFonts w:ascii="Times New Roman" w:eastAsia="Times New Roman" w:hAnsi="Times New Roman" w:cs="Times New Roman"/>
      <w:sz w:val="24"/>
      <w:szCs w:val="24"/>
      <w:lang w:val="en-NZ" w:eastAsia="en-GB"/>
    </w:rPr>
  </w:style>
  <w:style w:type="character" w:customStyle="1" w:styleId="Heading1Char">
    <w:name w:val="Heading 1 Char"/>
    <w:basedOn w:val="DefaultParagraphFont"/>
    <w:link w:val="Heading1"/>
    <w:uiPriority w:val="9"/>
    <w:rsid w:val="00AC6DB8"/>
    <w:rPr>
      <w:rFonts w:asciiTheme="majorHAnsi" w:eastAsiaTheme="majorEastAsia" w:hAnsiTheme="majorHAnsi" w:cstheme="majorBidi"/>
      <w:b/>
      <w:bCs/>
      <w:color w:val="2E74B5"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DB8"/>
    <w:pPr>
      <w:keepNext/>
      <w:keepLines/>
      <w:spacing w:before="480" w:after="0" w:line="480" w:lineRule="auto"/>
      <w:outlineLvl w:val="0"/>
    </w:pPr>
    <w:rPr>
      <w:rFonts w:asciiTheme="majorHAnsi" w:eastAsiaTheme="majorEastAsia" w:hAnsiTheme="majorHAnsi" w:cstheme="majorBidi"/>
      <w:b/>
      <w:bCs/>
      <w:color w:val="2E74B5"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1524"/>
    <w:rPr>
      <w:sz w:val="16"/>
      <w:szCs w:val="16"/>
    </w:rPr>
  </w:style>
  <w:style w:type="paragraph" w:styleId="CommentText">
    <w:name w:val="annotation text"/>
    <w:basedOn w:val="Normal"/>
    <w:link w:val="CommentTextChar"/>
    <w:uiPriority w:val="99"/>
    <w:semiHidden/>
    <w:unhideWhenUsed/>
    <w:rsid w:val="00171524"/>
    <w:pPr>
      <w:spacing w:line="240" w:lineRule="auto"/>
    </w:pPr>
    <w:rPr>
      <w:sz w:val="20"/>
      <w:szCs w:val="20"/>
    </w:rPr>
  </w:style>
  <w:style w:type="character" w:customStyle="1" w:styleId="CommentTextChar">
    <w:name w:val="Comment Text Char"/>
    <w:basedOn w:val="DefaultParagraphFont"/>
    <w:link w:val="CommentText"/>
    <w:uiPriority w:val="99"/>
    <w:semiHidden/>
    <w:rsid w:val="00171524"/>
    <w:rPr>
      <w:sz w:val="20"/>
      <w:szCs w:val="20"/>
    </w:rPr>
  </w:style>
  <w:style w:type="paragraph" w:styleId="CommentSubject">
    <w:name w:val="annotation subject"/>
    <w:basedOn w:val="CommentText"/>
    <w:next w:val="CommentText"/>
    <w:link w:val="CommentSubjectChar"/>
    <w:uiPriority w:val="99"/>
    <w:semiHidden/>
    <w:unhideWhenUsed/>
    <w:rsid w:val="00171524"/>
    <w:rPr>
      <w:b/>
      <w:bCs/>
    </w:rPr>
  </w:style>
  <w:style w:type="character" w:customStyle="1" w:styleId="CommentSubjectChar">
    <w:name w:val="Comment Subject Char"/>
    <w:basedOn w:val="CommentTextChar"/>
    <w:link w:val="CommentSubject"/>
    <w:uiPriority w:val="99"/>
    <w:semiHidden/>
    <w:rsid w:val="00171524"/>
    <w:rPr>
      <w:b/>
      <w:bCs/>
      <w:sz w:val="20"/>
      <w:szCs w:val="20"/>
    </w:rPr>
  </w:style>
  <w:style w:type="paragraph" w:styleId="BalloonText">
    <w:name w:val="Balloon Text"/>
    <w:basedOn w:val="Normal"/>
    <w:link w:val="BalloonTextChar"/>
    <w:uiPriority w:val="99"/>
    <w:semiHidden/>
    <w:unhideWhenUsed/>
    <w:rsid w:val="00171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524"/>
    <w:rPr>
      <w:rFonts w:ascii="Segoe UI" w:hAnsi="Segoe UI" w:cs="Segoe UI"/>
      <w:sz w:val="18"/>
      <w:szCs w:val="18"/>
    </w:rPr>
  </w:style>
  <w:style w:type="paragraph" w:styleId="NormalWeb">
    <w:name w:val="Normal (Web)"/>
    <w:basedOn w:val="Normal"/>
    <w:uiPriority w:val="99"/>
    <w:unhideWhenUsed/>
    <w:rsid w:val="00171524"/>
    <w:rPr>
      <w:rFonts w:ascii="Times New Roman" w:hAnsi="Times New Roman" w:cs="Times New Roman"/>
      <w:sz w:val="24"/>
      <w:szCs w:val="24"/>
    </w:rPr>
  </w:style>
  <w:style w:type="paragraph" w:styleId="ListParagraph">
    <w:name w:val="List Paragraph"/>
    <w:basedOn w:val="Normal"/>
    <w:uiPriority w:val="34"/>
    <w:qFormat/>
    <w:rsid w:val="0023653D"/>
    <w:pPr>
      <w:ind w:left="720"/>
      <w:contextualSpacing/>
    </w:pPr>
  </w:style>
  <w:style w:type="paragraph" w:styleId="BodyText">
    <w:name w:val="Body Text"/>
    <w:basedOn w:val="Normal"/>
    <w:link w:val="BodyTextChar"/>
    <w:rsid w:val="00152EC1"/>
    <w:pPr>
      <w:spacing w:after="120" w:line="240" w:lineRule="auto"/>
    </w:pPr>
    <w:rPr>
      <w:rFonts w:ascii="Times New Roman" w:eastAsia="Times New Roman" w:hAnsi="Times New Roman" w:cs="Times New Roman"/>
      <w:sz w:val="24"/>
      <w:szCs w:val="24"/>
      <w:lang w:val="en-NZ" w:eastAsia="en-GB"/>
    </w:rPr>
  </w:style>
  <w:style w:type="character" w:customStyle="1" w:styleId="BodyTextChar">
    <w:name w:val="Body Text Char"/>
    <w:basedOn w:val="DefaultParagraphFont"/>
    <w:link w:val="BodyText"/>
    <w:rsid w:val="00152EC1"/>
    <w:rPr>
      <w:rFonts w:ascii="Times New Roman" w:eastAsia="Times New Roman" w:hAnsi="Times New Roman" w:cs="Times New Roman"/>
      <w:sz w:val="24"/>
      <w:szCs w:val="24"/>
      <w:lang w:val="en-NZ" w:eastAsia="en-GB"/>
    </w:rPr>
  </w:style>
  <w:style w:type="character" w:customStyle="1" w:styleId="Heading1Char">
    <w:name w:val="Heading 1 Char"/>
    <w:basedOn w:val="DefaultParagraphFont"/>
    <w:link w:val="Heading1"/>
    <w:uiPriority w:val="9"/>
    <w:rsid w:val="00AC6DB8"/>
    <w:rPr>
      <w:rFonts w:asciiTheme="majorHAnsi" w:eastAsiaTheme="majorEastAsia" w:hAnsiTheme="majorHAnsi" w:cstheme="majorBidi"/>
      <w:b/>
      <w:bCs/>
      <w:color w:val="2E74B5"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1272">
      <w:bodyDiv w:val="1"/>
      <w:marLeft w:val="0"/>
      <w:marRight w:val="0"/>
      <w:marTop w:val="0"/>
      <w:marBottom w:val="0"/>
      <w:divBdr>
        <w:top w:val="none" w:sz="0" w:space="0" w:color="auto"/>
        <w:left w:val="none" w:sz="0" w:space="0" w:color="auto"/>
        <w:bottom w:val="none" w:sz="0" w:space="0" w:color="auto"/>
        <w:right w:val="none" w:sz="0" w:space="0" w:color="auto"/>
      </w:divBdr>
      <w:divsChild>
        <w:div w:id="511071308">
          <w:marLeft w:val="0"/>
          <w:marRight w:val="0"/>
          <w:marTop w:val="0"/>
          <w:marBottom w:val="0"/>
          <w:divBdr>
            <w:top w:val="none" w:sz="0" w:space="0" w:color="auto"/>
            <w:left w:val="none" w:sz="0" w:space="0" w:color="auto"/>
            <w:bottom w:val="none" w:sz="0" w:space="0" w:color="auto"/>
            <w:right w:val="none" w:sz="0" w:space="0" w:color="auto"/>
          </w:divBdr>
        </w:div>
      </w:divsChild>
    </w:div>
    <w:div w:id="513615809">
      <w:bodyDiv w:val="1"/>
      <w:marLeft w:val="0"/>
      <w:marRight w:val="0"/>
      <w:marTop w:val="0"/>
      <w:marBottom w:val="0"/>
      <w:divBdr>
        <w:top w:val="none" w:sz="0" w:space="0" w:color="auto"/>
        <w:left w:val="none" w:sz="0" w:space="0" w:color="auto"/>
        <w:bottom w:val="none" w:sz="0" w:space="0" w:color="auto"/>
        <w:right w:val="none" w:sz="0" w:space="0" w:color="auto"/>
      </w:divBdr>
      <w:divsChild>
        <w:div w:id="675882287">
          <w:marLeft w:val="0"/>
          <w:marRight w:val="1"/>
          <w:marTop w:val="0"/>
          <w:marBottom w:val="0"/>
          <w:divBdr>
            <w:top w:val="none" w:sz="0" w:space="0" w:color="auto"/>
            <w:left w:val="none" w:sz="0" w:space="0" w:color="auto"/>
            <w:bottom w:val="none" w:sz="0" w:space="0" w:color="auto"/>
            <w:right w:val="none" w:sz="0" w:space="0" w:color="auto"/>
          </w:divBdr>
          <w:divsChild>
            <w:div w:id="512494540">
              <w:marLeft w:val="0"/>
              <w:marRight w:val="0"/>
              <w:marTop w:val="0"/>
              <w:marBottom w:val="0"/>
              <w:divBdr>
                <w:top w:val="none" w:sz="0" w:space="0" w:color="auto"/>
                <w:left w:val="none" w:sz="0" w:space="0" w:color="auto"/>
                <w:bottom w:val="none" w:sz="0" w:space="0" w:color="auto"/>
                <w:right w:val="none" w:sz="0" w:space="0" w:color="auto"/>
              </w:divBdr>
              <w:divsChild>
                <w:div w:id="1445265629">
                  <w:marLeft w:val="0"/>
                  <w:marRight w:val="1"/>
                  <w:marTop w:val="0"/>
                  <w:marBottom w:val="0"/>
                  <w:divBdr>
                    <w:top w:val="none" w:sz="0" w:space="0" w:color="auto"/>
                    <w:left w:val="none" w:sz="0" w:space="0" w:color="auto"/>
                    <w:bottom w:val="none" w:sz="0" w:space="0" w:color="auto"/>
                    <w:right w:val="none" w:sz="0" w:space="0" w:color="auto"/>
                  </w:divBdr>
                  <w:divsChild>
                    <w:div w:id="1177964965">
                      <w:marLeft w:val="0"/>
                      <w:marRight w:val="0"/>
                      <w:marTop w:val="0"/>
                      <w:marBottom w:val="0"/>
                      <w:divBdr>
                        <w:top w:val="none" w:sz="0" w:space="0" w:color="auto"/>
                        <w:left w:val="none" w:sz="0" w:space="0" w:color="auto"/>
                        <w:bottom w:val="none" w:sz="0" w:space="0" w:color="auto"/>
                        <w:right w:val="none" w:sz="0" w:space="0" w:color="auto"/>
                      </w:divBdr>
                      <w:divsChild>
                        <w:div w:id="13313215">
                          <w:marLeft w:val="0"/>
                          <w:marRight w:val="0"/>
                          <w:marTop w:val="0"/>
                          <w:marBottom w:val="0"/>
                          <w:divBdr>
                            <w:top w:val="none" w:sz="0" w:space="0" w:color="auto"/>
                            <w:left w:val="none" w:sz="0" w:space="0" w:color="auto"/>
                            <w:bottom w:val="none" w:sz="0" w:space="0" w:color="auto"/>
                            <w:right w:val="none" w:sz="0" w:space="0" w:color="auto"/>
                          </w:divBdr>
                          <w:divsChild>
                            <w:div w:id="1549102154">
                              <w:marLeft w:val="0"/>
                              <w:marRight w:val="0"/>
                              <w:marTop w:val="120"/>
                              <w:marBottom w:val="360"/>
                              <w:divBdr>
                                <w:top w:val="none" w:sz="0" w:space="0" w:color="auto"/>
                                <w:left w:val="none" w:sz="0" w:space="0" w:color="auto"/>
                                <w:bottom w:val="none" w:sz="0" w:space="0" w:color="auto"/>
                                <w:right w:val="none" w:sz="0" w:space="0" w:color="auto"/>
                              </w:divBdr>
                              <w:divsChild>
                                <w:div w:id="1750425095">
                                  <w:marLeft w:val="0"/>
                                  <w:marRight w:val="0"/>
                                  <w:marTop w:val="0"/>
                                  <w:marBottom w:val="0"/>
                                  <w:divBdr>
                                    <w:top w:val="none" w:sz="0" w:space="0" w:color="auto"/>
                                    <w:left w:val="none" w:sz="0" w:space="0" w:color="auto"/>
                                    <w:bottom w:val="none" w:sz="0" w:space="0" w:color="auto"/>
                                    <w:right w:val="none" w:sz="0" w:space="0" w:color="auto"/>
                                  </w:divBdr>
                                  <w:divsChild>
                                    <w:div w:id="17050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965213">
      <w:bodyDiv w:val="1"/>
      <w:marLeft w:val="0"/>
      <w:marRight w:val="0"/>
      <w:marTop w:val="0"/>
      <w:marBottom w:val="0"/>
      <w:divBdr>
        <w:top w:val="none" w:sz="0" w:space="0" w:color="auto"/>
        <w:left w:val="none" w:sz="0" w:space="0" w:color="auto"/>
        <w:bottom w:val="none" w:sz="0" w:space="0" w:color="auto"/>
        <w:right w:val="none" w:sz="0" w:space="0" w:color="auto"/>
      </w:divBdr>
      <w:divsChild>
        <w:div w:id="489757953">
          <w:marLeft w:val="0"/>
          <w:marRight w:val="1"/>
          <w:marTop w:val="0"/>
          <w:marBottom w:val="0"/>
          <w:divBdr>
            <w:top w:val="none" w:sz="0" w:space="0" w:color="auto"/>
            <w:left w:val="none" w:sz="0" w:space="0" w:color="auto"/>
            <w:bottom w:val="none" w:sz="0" w:space="0" w:color="auto"/>
            <w:right w:val="none" w:sz="0" w:space="0" w:color="auto"/>
          </w:divBdr>
          <w:divsChild>
            <w:div w:id="966593991">
              <w:marLeft w:val="0"/>
              <w:marRight w:val="0"/>
              <w:marTop w:val="0"/>
              <w:marBottom w:val="0"/>
              <w:divBdr>
                <w:top w:val="none" w:sz="0" w:space="0" w:color="auto"/>
                <w:left w:val="none" w:sz="0" w:space="0" w:color="auto"/>
                <w:bottom w:val="none" w:sz="0" w:space="0" w:color="auto"/>
                <w:right w:val="none" w:sz="0" w:space="0" w:color="auto"/>
              </w:divBdr>
              <w:divsChild>
                <w:div w:id="185682924">
                  <w:marLeft w:val="0"/>
                  <w:marRight w:val="1"/>
                  <w:marTop w:val="0"/>
                  <w:marBottom w:val="0"/>
                  <w:divBdr>
                    <w:top w:val="none" w:sz="0" w:space="0" w:color="auto"/>
                    <w:left w:val="none" w:sz="0" w:space="0" w:color="auto"/>
                    <w:bottom w:val="none" w:sz="0" w:space="0" w:color="auto"/>
                    <w:right w:val="none" w:sz="0" w:space="0" w:color="auto"/>
                  </w:divBdr>
                  <w:divsChild>
                    <w:div w:id="1170174070">
                      <w:marLeft w:val="0"/>
                      <w:marRight w:val="0"/>
                      <w:marTop w:val="0"/>
                      <w:marBottom w:val="0"/>
                      <w:divBdr>
                        <w:top w:val="none" w:sz="0" w:space="0" w:color="auto"/>
                        <w:left w:val="none" w:sz="0" w:space="0" w:color="auto"/>
                        <w:bottom w:val="none" w:sz="0" w:space="0" w:color="auto"/>
                        <w:right w:val="none" w:sz="0" w:space="0" w:color="auto"/>
                      </w:divBdr>
                      <w:divsChild>
                        <w:div w:id="2079671186">
                          <w:marLeft w:val="0"/>
                          <w:marRight w:val="0"/>
                          <w:marTop w:val="0"/>
                          <w:marBottom w:val="0"/>
                          <w:divBdr>
                            <w:top w:val="none" w:sz="0" w:space="0" w:color="auto"/>
                            <w:left w:val="none" w:sz="0" w:space="0" w:color="auto"/>
                            <w:bottom w:val="none" w:sz="0" w:space="0" w:color="auto"/>
                            <w:right w:val="none" w:sz="0" w:space="0" w:color="auto"/>
                          </w:divBdr>
                          <w:divsChild>
                            <w:div w:id="831530457">
                              <w:marLeft w:val="0"/>
                              <w:marRight w:val="0"/>
                              <w:marTop w:val="120"/>
                              <w:marBottom w:val="360"/>
                              <w:divBdr>
                                <w:top w:val="none" w:sz="0" w:space="0" w:color="auto"/>
                                <w:left w:val="none" w:sz="0" w:space="0" w:color="auto"/>
                                <w:bottom w:val="none" w:sz="0" w:space="0" w:color="auto"/>
                                <w:right w:val="none" w:sz="0" w:space="0" w:color="auto"/>
                              </w:divBdr>
                              <w:divsChild>
                                <w:div w:id="1659334922">
                                  <w:marLeft w:val="0"/>
                                  <w:marRight w:val="0"/>
                                  <w:marTop w:val="0"/>
                                  <w:marBottom w:val="0"/>
                                  <w:divBdr>
                                    <w:top w:val="none" w:sz="0" w:space="0" w:color="auto"/>
                                    <w:left w:val="none" w:sz="0" w:space="0" w:color="auto"/>
                                    <w:bottom w:val="none" w:sz="0" w:space="0" w:color="auto"/>
                                    <w:right w:val="none" w:sz="0" w:space="0" w:color="auto"/>
                                  </w:divBdr>
                                  <w:divsChild>
                                    <w:div w:id="19599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310405">
      <w:bodyDiv w:val="1"/>
      <w:marLeft w:val="0"/>
      <w:marRight w:val="0"/>
      <w:marTop w:val="0"/>
      <w:marBottom w:val="0"/>
      <w:divBdr>
        <w:top w:val="none" w:sz="0" w:space="0" w:color="auto"/>
        <w:left w:val="none" w:sz="0" w:space="0" w:color="auto"/>
        <w:bottom w:val="none" w:sz="0" w:space="0" w:color="auto"/>
        <w:right w:val="none" w:sz="0" w:space="0" w:color="auto"/>
      </w:divBdr>
      <w:divsChild>
        <w:div w:id="874081149">
          <w:marLeft w:val="0"/>
          <w:marRight w:val="1"/>
          <w:marTop w:val="0"/>
          <w:marBottom w:val="0"/>
          <w:divBdr>
            <w:top w:val="none" w:sz="0" w:space="0" w:color="auto"/>
            <w:left w:val="none" w:sz="0" w:space="0" w:color="auto"/>
            <w:bottom w:val="none" w:sz="0" w:space="0" w:color="auto"/>
            <w:right w:val="none" w:sz="0" w:space="0" w:color="auto"/>
          </w:divBdr>
          <w:divsChild>
            <w:div w:id="829637715">
              <w:marLeft w:val="0"/>
              <w:marRight w:val="0"/>
              <w:marTop w:val="0"/>
              <w:marBottom w:val="0"/>
              <w:divBdr>
                <w:top w:val="none" w:sz="0" w:space="0" w:color="auto"/>
                <w:left w:val="none" w:sz="0" w:space="0" w:color="auto"/>
                <w:bottom w:val="none" w:sz="0" w:space="0" w:color="auto"/>
                <w:right w:val="none" w:sz="0" w:space="0" w:color="auto"/>
              </w:divBdr>
              <w:divsChild>
                <w:div w:id="284431292">
                  <w:marLeft w:val="0"/>
                  <w:marRight w:val="1"/>
                  <w:marTop w:val="0"/>
                  <w:marBottom w:val="0"/>
                  <w:divBdr>
                    <w:top w:val="none" w:sz="0" w:space="0" w:color="auto"/>
                    <w:left w:val="none" w:sz="0" w:space="0" w:color="auto"/>
                    <w:bottom w:val="none" w:sz="0" w:space="0" w:color="auto"/>
                    <w:right w:val="none" w:sz="0" w:space="0" w:color="auto"/>
                  </w:divBdr>
                  <w:divsChild>
                    <w:div w:id="934362193">
                      <w:marLeft w:val="0"/>
                      <w:marRight w:val="0"/>
                      <w:marTop w:val="0"/>
                      <w:marBottom w:val="0"/>
                      <w:divBdr>
                        <w:top w:val="none" w:sz="0" w:space="0" w:color="auto"/>
                        <w:left w:val="none" w:sz="0" w:space="0" w:color="auto"/>
                        <w:bottom w:val="none" w:sz="0" w:space="0" w:color="auto"/>
                        <w:right w:val="none" w:sz="0" w:space="0" w:color="auto"/>
                      </w:divBdr>
                      <w:divsChild>
                        <w:div w:id="1447844224">
                          <w:marLeft w:val="0"/>
                          <w:marRight w:val="0"/>
                          <w:marTop w:val="0"/>
                          <w:marBottom w:val="0"/>
                          <w:divBdr>
                            <w:top w:val="none" w:sz="0" w:space="0" w:color="auto"/>
                            <w:left w:val="none" w:sz="0" w:space="0" w:color="auto"/>
                            <w:bottom w:val="none" w:sz="0" w:space="0" w:color="auto"/>
                            <w:right w:val="none" w:sz="0" w:space="0" w:color="auto"/>
                          </w:divBdr>
                          <w:divsChild>
                            <w:div w:id="157115585">
                              <w:marLeft w:val="0"/>
                              <w:marRight w:val="0"/>
                              <w:marTop w:val="120"/>
                              <w:marBottom w:val="360"/>
                              <w:divBdr>
                                <w:top w:val="none" w:sz="0" w:space="0" w:color="auto"/>
                                <w:left w:val="none" w:sz="0" w:space="0" w:color="auto"/>
                                <w:bottom w:val="none" w:sz="0" w:space="0" w:color="auto"/>
                                <w:right w:val="none" w:sz="0" w:space="0" w:color="auto"/>
                              </w:divBdr>
                              <w:divsChild>
                                <w:div w:id="1253392155">
                                  <w:marLeft w:val="0"/>
                                  <w:marRight w:val="0"/>
                                  <w:marTop w:val="0"/>
                                  <w:marBottom w:val="0"/>
                                  <w:divBdr>
                                    <w:top w:val="none" w:sz="0" w:space="0" w:color="auto"/>
                                    <w:left w:val="none" w:sz="0" w:space="0" w:color="auto"/>
                                    <w:bottom w:val="none" w:sz="0" w:space="0" w:color="auto"/>
                                    <w:right w:val="none" w:sz="0" w:space="0" w:color="auto"/>
                                  </w:divBdr>
                                  <w:divsChild>
                                    <w:div w:id="5264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06745">
      <w:bodyDiv w:val="1"/>
      <w:marLeft w:val="0"/>
      <w:marRight w:val="0"/>
      <w:marTop w:val="0"/>
      <w:marBottom w:val="0"/>
      <w:divBdr>
        <w:top w:val="none" w:sz="0" w:space="0" w:color="auto"/>
        <w:left w:val="none" w:sz="0" w:space="0" w:color="auto"/>
        <w:bottom w:val="none" w:sz="0" w:space="0" w:color="auto"/>
        <w:right w:val="none" w:sz="0" w:space="0" w:color="auto"/>
      </w:divBdr>
      <w:divsChild>
        <w:div w:id="729234301">
          <w:marLeft w:val="0"/>
          <w:marRight w:val="1"/>
          <w:marTop w:val="0"/>
          <w:marBottom w:val="0"/>
          <w:divBdr>
            <w:top w:val="none" w:sz="0" w:space="0" w:color="auto"/>
            <w:left w:val="none" w:sz="0" w:space="0" w:color="auto"/>
            <w:bottom w:val="none" w:sz="0" w:space="0" w:color="auto"/>
            <w:right w:val="none" w:sz="0" w:space="0" w:color="auto"/>
          </w:divBdr>
          <w:divsChild>
            <w:div w:id="1115488487">
              <w:marLeft w:val="0"/>
              <w:marRight w:val="0"/>
              <w:marTop w:val="0"/>
              <w:marBottom w:val="0"/>
              <w:divBdr>
                <w:top w:val="none" w:sz="0" w:space="0" w:color="auto"/>
                <w:left w:val="none" w:sz="0" w:space="0" w:color="auto"/>
                <w:bottom w:val="none" w:sz="0" w:space="0" w:color="auto"/>
                <w:right w:val="none" w:sz="0" w:space="0" w:color="auto"/>
              </w:divBdr>
              <w:divsChild>
                <w:div w:id="1225338361">
                  <w:marLeft w:val="0"/>
                  <w:marRight w:val="1"/>
                  <w:marTop w:val="0"/>
                  <w:marBottom w:val="0"/>
                  <w:divBdr>
                    <w:top w:val="none" w:sz="0" w:space="0" w:color="auto"/>
                    <w:left w:val="none" w:sz="0" w:space="0" w:color="auto"/>
                    <w:bottom w:val="none" w:sz="0" w:space="0" w:color="auto"/>
                    <w:right w:val="none" w:sz="0" w:space="0" w:color="auto"/>
                  </w:divBdr>
                  <w:divsChild>
                    <w:div w:id="1594165914">
                      <w:marLeft w:val="0"/>
                      <w:marRight w:val="0"/>
                      <w:marTop w:val="0"/>
                      <w:marBottom w:val="0"/>
                      <w:divBdr>
                        <w:top w:val="none" w:sz="0" w:space="0" w:color="auto"/>
                        <w:left w:val="none" w:sz="0" w:space="0" w:color="auto"/>
                        <w:bottom w:val="none" w:sz="0" w:space="0" w:color="auto"/>
                        <w:right w:val="none" w:sz="0" w:space="0" w:color="auto"/>
                      </w:divBdr>
                      <w:divsChild>
                        <w:div w:id="932783556">
                          <w:marLeft w:val="0"/>
                          <w:marRight w:val="0"/>
                          <w:marTop w:val="0"/>
                          <w:marBottom w:val="0"/>
                          <w:divBdr>
                            <w:top w:val="none" w:sz="0" w:space="0" w:color="auto"/>
                            <w:left w:val="none" w:sz="0" w:space="0" w:color="auto"/>
                            <w:bottom w:val="none" w:sz="0" w:space="0" w:color="auto"/>
                            <w:right w:val="none" w:sz="0" w:space="0" w:color="auto"/>
                          </w:divBdr>
                          <w:divsChild>
                            <w:div w:id="1564481562">
                              <w:marLeft w:val="0"/>
                              <w:marRight w:val="0"/>
                              <w:marTop w:val="120"/>
                              <w:marBottom w:val="360"/>
                              <w:divBdr>
                                <w:top w:val="none" w:sz="0" w:space="0" w:color="auto"/>
                                <w:left w:val="none" w:sz="0" w:space="0" w:color="auto"/>
                                <w:bottom w:val="none" w:sz="0" w:space="0" w:color="auto"/>
                                <w:right w:val="none" w:sz="0" w:space="0" w:color="auto"/>
                              </w:divBdr>
                              <w:divsChild>
                                <w:div w:id="1585457110">
                                  <w:marLeft w:val="0"/>
                                  <w:marRight w:val="0"/>
                                  <w:marTop w:val="0"/>
                                  <w:marBottom w:val="0"/>
                                  <w:divBdr>
                                    <w:top w:val="none" w:sz="0" w:space="0" w:color="auto"/>
                                    <w:left w:val="none" w:sz="0" w:space="0" w:color="auto"/>
                                    <w:bottom w:val="none" w:sz="0" w:space="0" w:color="auto"/>
                                    <w:right w:val="none" w:sz="0" w:space="0" w:color="auto"/>
                                  </w:divBdr>
                                  <w:divsChild>
                                    <w:div w:id="7503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169266">
      <w:bodyDiv w:val="1"/>
      <w:marLeft w:val="0"/>
      <w:marRight w:val="0"/>
      <w:marTop w:val="0"/>
      <w:marBottom w:val="0"/>
      <w:divBdr>
        <w:top w:val="none" w:sz="0" w:space="0" w:color="auto"/>
        <w:left w:val="none" w:sz="0" w:space="0" w:color="auto"/>
        <w:bottom w:val="none" w:sz="0" w:space="0" w:color="auto"/>
        <w:right w:val="none" w:sz="0" w:space="0" w:color="auto"/>
      </w:divBdr>
      <w:divsChild>
        <w:div w:id="1078556612">
          <w:marLeft w:val="0"/>
          <w:marRight w:val="0"/>
          <w:marTop w:val="0"/>
          <w:marBottom w:val="0"/>
          <w:divBdr>
            <w:top w:val="none" w:sz="0" w:space="0" w:color="auto"/>
            <w:left w:val="none" w:sz="0" w:space="0" w:color="auto"/>
            <w:bottom w:val="none" w:sz="0" w:space="0" w:color="auto"/>
            <w:right w:val="none" w:sz="0" w:space="0" w:color="auto"/>
          </w:divBdr>
        </w:div>
      </w:divsChild>
    </w:div>
    <w:div w:id="1752506158">
      <w:bodyDiv w:val="1"/>
      <w:marLeft w:val="0"/>
      <w:marRight w:val="0"/>
      <w:marTop w:val="0"/>
      <w:marBottom w:val="0"/>
      <w:divBdr>
        <w:top w:val="none" w:sz="0" w:space="0" w:color="auto"/>
        <w:left w:val="none" w:sz="0" w:space="0" w:color="auto"/>
        <w:bottom w:val="none" w:sz="0" w:space="0" w:color="auto"/>
        <w:right w:val="none" w:sz="0" w:space="0" w:color="auto"/>
      </w:divBdr>
      <w:divsChild>
        <w:div w:id="1742291542">
          <w:marLeft w:val="0"/>
          <w:marRight w:val="1"/>
          <w:marTop w:val="0"/>
          <w:marBottom w:val="0"/>
          <w:divBdr>
            <w:top w:val="none" w:sz="0" w:space="0" w:color="auto"/>
            <w:left w:val="none" w:sz="0" w:space="0" w:color="auto"/>
            <w:bottom w:val="none" w:sz="0" w:space="0" w:color="auto"/>
            <w:right w:val="none" w:sz="0" w:space="0" w:color="auto"/>
          </w:divBdr>
          <w:divsChild>
            <w:div w:id="840462346">
              <w:marLeft w:val="0"/>
              <w:marRight w:val="0"/>
              <w:marTop w:val="0"/>
              <w:marBottom w:val="0"/>
              <w:divBdr>
                <w:top w:val="none" w:sz="0" w:space="0" w:color="auto"/>
                <w:left w:val="none" w:sz="0" w:space="0" w:color="auto"/>
                <w:bottom w:val="none" w:sz="0" w:space="0" w:color="auto"/>
                <w:right w:val="none" w:sz="0" w:space="0" w:color="auto"/>
              </w:divBdr>
              <w:divsChild>
                <w:div w:id="1924608715">
                  <w:marLeft w:val="0"/>
                  <w:marRight w:val="1"/>
                  <w:marTop w:val="0"/>
                  <w:marBottom w:val="0"/>
                  <w:divBdr>
                    <w:top w:val="none" w:sz="0" w:space="0" w:color="auto"/>
                    <w:left w:val="none" w:sz="0" w:space="0" w:color="auto"/>
                    <w:bottom w:val="none" w:sz="0" w:space="0" w:color="auto"/>
                    <w:right w:val="none" w:sz="0" w:space="0" w:color="auto"/>
                  </w:divBdr>
                  <w:divsChild>
                    <w:div w:id="1848711726">
                      <w:marLeft w:val="0"/>
                      <w:marRight w:val="0"/>
                      <w:marTop w:val="0"/>
                      <w:marBottom w:val="0"/>
                      <w:divBdr>
                        <w:top w:val="none" w:sz="0" w:space="0" w:color="auto"/>
                        <w:left w:val="none" w:sz="0" w:space="0" w:color="auto"/>
                        <w:bottom w:val="none" w:sz="0" w:space="0" w:color="auto"/>
                        <w:right w:val="none" w:sz="0" w:space="0" w:color="auto"/>
                      </w:divBdr>
                      <w:divsChild>
                        <w:div w:id="918902676">
                          <w:marLeft w:val="0"/>
                          <w:marRight w:val="0"/>
                          <w:marTop w:val="0"/>
                          <w:marBottom w:val="0"/>
                          <w:divBdr>
                            <w:top w:val="none" w:sz="0" w:space="0" w:color="auto"/>
                            <w:left w:val="none" w:sz="0" w:space="0" w:color="auto"/>
                            <w:bottom w:val="none" w:sz="0" w:space="0" w:color="auto"/>
                            <w:right w:val="none" w:sz="0" w:space="0" w:color="auto"/>
                          </w:divBdr>
                          <w:divsChild>
                            <w:div w:id="493834460">
                              <w:marLeft w:val="0"/>
                              <w:marRight w:val="0"/>
                              <w:marTop w:val="120"/>
                              <w:marBottom w:val="360"/>
                              <w:divBdr>
                                <w:top w:val="none" w:sz="0" w:space="0" w:color="auto"/>
                                <w:left w:val="none" w:sz="0" w:space="0" w:color="auto"/>
                                <w:bottom w:val="none" w:sz="0" w:space="0" w:color="auto"/>
                                <w:right w:val="none" w:sz="0" w:space="0" w:color="auto"/>
                              </w:divBdr>
                              <w:divsChild>
                                <w:div w:id="345131911">
                                  <w:marLeft w:val="0"/>
                                  <w:marRight w:val="0"/>
                                  <w:marTop w:val="0"/>
                                  <w:marBottom w:val="0"/>
                                  <w:divBdr>
                                    <w:top w:val="none" w:sz="0" w:space="0" w:color="auto"/>
                                    <w:left w:val="none" w:sz="0" w:space="0" w:color="auto"/>
                                    <w:bottom w:val="none" w:sz="0" w:space="0" w:color="auto"/>
                                    <w:right w:val="none" w:sz="0" w:space="0" w:color="auto"/>
                                  </w:divBdr>
                                  <w:divsChild>
                                    <w:div w:id="1175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6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9981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Dennison</dc:creator>
  <cp:lastModifiedBy>Karen Drake</cp:lastModifiedBy>
  <cp:revision>2</cp:revision>
  <dcterms:created xsi:type="dcterms:W3CDTF">2016-04-20T12:36:00Z</dcterms:created>
  <dcterms:modified xsi:type="dcterms:W3CDTF">2016-04-20T12:36:00Z</dcterms:modified>
</cp:coreProperties>
</file>